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E6FF8" w14:textId="2E745D78" w:rsidR="00BB4F99" w:rsidRPr="00BB4F99" w:rsidRDefault="00BB4F99" w:rsidP="00BB4F99">
      <w:pPr>
        <w:spacing w:after="200" w:line="276" w:lineRule="auto"/>
        <w:jc w:val="center"/>
        <w:rPr>
          <w:rFonts w:ascii="Times New Roman" w:eastAsia="Calibri" w:hAnsi="Times New Roman" w:cs="Times New Roman"/>
          <w:b/>
          <w:bCs/>
          <w:sz w:val="28"/>
          <w:szCs w:val="28"/>
        </w:rPr>
      </w:pPr>
      <w:r w:rsidRPr="00BB4F99">
        <w:rPr>
          <w:rFonts w:ascii="Times New Roman" w:eastAsia="Calibri" w:hAnsi="Times New Roman" w:cs="Times New Roman"/>
          <w:b/>
          <w:bCs/>
          <w:sz w:val="28"/>
          <w:szCs w:val="28"/>
        </w:rPr>
        <w:t>Violência contra a mulher em Portugal: Linhas gerais e caminho a seguir</w:t>
      </w:r>
    </w:p>
    <w:p w14:paraId="5A47D1EB" w14:textId="44E27750" w:rsidR="00AC32D1" w:rsidRPr="00AC32D1" w:rsidRDefault="00AC32D1" w:rsidP="00AC32D1">
      <w:pPr>
        <w:spacing w:after="200" w:line="360" w:lineRule="auto"/>
        <w:jc w:val="right"/>
        <w:rPr>
          <w:rFonts w:ascii="Times New Roman" w:eastAsia="Calibri" w:hAnsi="Times New Roman" w:cs="Times New Roman"/>
          <w:b/>
          <w:bCs/>
          <w:noProof/>
          <w:sz w:val="24"/>
          <w:szCs w:val="24"/>
        </w:rPr>
      </w:pPr>
      <w:r w:rsidRPr="00AC32D1">
        <w:rPr>
          <w:rFonts w:ascii="Times New Roman" w:eastAsia="Calibri" w:hAnsi="Times New Roman" w:cs="Times New Roman"/>
          <w:b/>
          <w:bCs/>
          <w:noProof/>
          <w:sz w:val="24"/>
          <w:szCs w:val="24"/>
        </w:rPr>
        <w:t>Ana Sofia Gomes</w:t>
      </w:r>
      <w:r>
        <w:rPr>
          <w:rStyle w:val="Refdenotaderodap"/>
          <w:rFonts w:eastAsia="Calibri"/>
          <w:b/>
          <w:bCs/>
          <w:noProof/>
          <w:sz w:val="24"/>
          <w:szCs w:val="24"/>
        </w:rPr>
        <w:footnoteReference w:id="1"/>
      </w:r>
    </w:p>
    <w:p w14:paraId="49EFC84B" w14:textId="62E44ED4" w:rsidR="00BB4F99" w:rsidRPr="00B11184" w:rsidRDefault="00BB4F99" w:rsidP="00B11184">
      <w:pPr>
        <w:pStyle w:val="PargrafodaLista"/>
        <w:numPr>
          <w:ilvl w:val="0"/>
          <w:numId w:val="3"/>
        </w:numPr>
        <w:spacing w:after="200" w:line="360" w:lineRule="auto"/>
        <w:jc w:val="both"/>
        <w:rPr>
          <w:rFonts w:ascii="Times New Roman" w:eastAsia="Calibri" w:hAnsi="Times New Roman" w:cs="Times New Roman"/>
          <w:b/>
          <w:bCs/>
          <w:noProof/>
          <w:sz w:val="24"/>
          <w:szCs w:val="24"/>
        </w:rPr>
      </w:pPr>
      <w:r w:rsidRPr="00B11184">
        <w:rPr>
          <w:rFonts w:ascii="Times New Roman" w:eastAsia="Calibri" w:hAnsi="Times New Roman" w:cs="Times New Roman"/>
          <w:b/>
          <w:bCs/>
          <w:noProof/>
          <w:sz w:val="24"/>
          <w:szCs w:val="24"/>
        </w:rPr>
        <w:t>Introdução</w:t>
      </w:r>
    </w:p>
    <w:p w14:paraId="5A8D1D4B" w14:textId="25903BC6" w:rsidR="003304AF" w:rsidRDefault="00BB4F99" w:rsidP="00BB4F99">
      <w:pPr>
        <w:spacing w:line="360" w:lineRule="auto"/>
        <w:jc w:val="both"/>
        <w:rPr>
          <w:rFonts w:ascii="Times New Roman" w:eastAsia="Times New Roman" w:hAnsi="Times New Roman"/>
          <w:noProof/>
          <w:sz w:val="24"/>
          <w:szCs w:val="24"/>
          <w:lang w:eastAsia="pt-PT"/>
        </w:rPr>
      </w:pPr>
      <w:r>
        <w:rPr>
          <w:rFonts w:ascii="Times New Roman" w:hAnsi="Times New Roman"/>
          <w:noProof/>
          <w:sz w:val="24"/>
          <w:szCs w:val="24"/>
        </w:rPr>
        <w:t xml:space="preserve">A </w:t>
      </w:r>
      <w:r>
        <w:rPr>
          <w:rFonts w:ascii="Times New Roman" w:hAnsi="Times New Roman"/>
          <w:noProof/>
          <w:sz w:val="24"/>
          <w:szCs w:val="24"/>
        </w:rPr>
        <w:t xml:space="preserve">violência contra a mulher, em geral (e a violência doméstica, em particular), em Portugal e no mundo, não é um fenomeno recente. É, infelizmente, um fenómeno antigo e cada vez mais global. É um fenomeno transversal dentro de cada sociedade, afetando diferentes comunidades, com diversas origens históricas, com disparidades económicas, sociais e religiosas. Afecta a vitima de uma forma substancial, apenas por ser mulher, sujeitando-a a todo o tipo de sofrimento, nas suas diversas modalidades e limitando a sua liberdade. </w:t>
      </w:r>
      <w:r>
        <w:rPr>
          <w:rFonts w:ascii="Times New Roman" w:eastAsia="Times New Roman" w:hAnsi="Times New Roman"/>
          <w:noProof/>
          <w:sz w:val="24"/>
          <w:szCs w:val="24"/>
          <w:lang w:eastAsia="pt-PT"/>
        </w:rPr>
        <w:t>Toda a violência contra a mulher, ofende a dignidade humana</w:t>
      </w:r>
      <w:r>
        <w:rPr>
          <w:rFonts w:ascii="Times New Roman" w:eastAsia="Times New Roman" w:hAnsi="Times New Roman"/>
          <w:noProof/>
          <w:sz w:val="24"/>
          <w:szCs w:val="24"/>
          <w:lang w:eastAsia="pt-PT"/>
        </w:rPr>
        <w:t>.</w:t>
      </w:r>
    </w:p>
    <w:p w14:paraId="415A7C5E" w14:textId="06C8FE68" w:rsidR="00BB4F99" w:rsidRPr="00BB4F99" w:rsidRDefault="00BB4F99" w:rsidP="00B11184">
      <w:pPr>
        <w:spacing w:line="360" w:lineRule="auto"/>
        <w:jc w:val="both"/>
        <w:rPr>
          <w:rFonts w:ascii="Times New Roman" w:eastAsia="Calibri" w:hAnsi="Times New Roman" w:cs="Times New Roman"/>
          <w:noProof/>
          <w:sz w:val="24"/>
          <w:szCs w:val="24"/>
        </w:rPr>
      </w:pPr>
      <w:r>
        <w:rPr>
          <w:rFonts w:ascii="Times New Roman" w:eastAsia="Times New Roman" w:hAnsi="Times New Roman"/>
          <w:noProof/>
          <w:sz w:val="24"/>
          <w:szCs w:val="24"/>
          <w:lang w:eastAsia="pt-PT"/>
        </w:rPr>
        <w:t>Considerando a esc</w:t>
      </w:r>
      <w:r w:rsidR="00B11184">
        <w:rPr>
          <w:rFonts w:ascii="Times New Roman" w:eastAsia="Times New Roman" w:hAnsi="Times New Roman"/>
          <w:noProof/>
          <w:sz w:val="24"/>
          <w:szCs w:val="24"/>
          <w:lang w:eastAsia="pt-PT"/>
        </w:rPr>
        <w:t>a</w:t>
      </w:r>
      <w:r>
        <w:rPr>
          <w:rFonts w:ascii="Times New Roman" w:eastAsia="Times New Roman" w:hAnsi="Times New Roman"/>
          <w:noProof/>
          <w:sz w:val="24"/>
          <w:szCs w:val="24"/>
          <w:lang w:eastAsia="pt-PT"/>
        </w:rPr>
        <w:t xml:space="preserve">la simultaneamente transnacional e devastadora deste crime, </w:t>
      </w:r>
      <w:r w:rsidR="00B11184">
        <w:rPr>
          <w:rFonts w:ascii="Times New Roman" w:eastAsia="Times New Roman" w:hAnsi="Times New Roman"/>
          <w:noProof/>
          <w:sz w:val="24"/>
          <w:szCs w:val="24"/>
          <w:lang w:eastAsia="pt-PT"/>
        </w:rPr>
        <w:t>foi preparada</w:t>
      </w:r>
      <w:r w:rsidR="000504AA">
        <w:rPr>
          <w:rFonts w:ascii="Times New Roman" w:eastAsia="Times New Roman" w:hAnsi="Times New Roman"/>
          <w:noProof/>
          <w:sz w:val="24"/>
          <w:szCs w:val="24"/>
          <w:lang w:eastAsia="pt-PT"/>
        </w:rPr>
        <w:t>,</w:t>
      </w:r>
      <w:r w:rsidR="00B11184">
        <w:rPr>
          <w:rFonts w:ascii="Times New Roman" w:eastAsia="Times New Roman" w:hAnsi="Times New Roman"/>
          <w:noProof/>
          <w:sz w:val="24"/>
          <w:szCs w:val="24"/>
          <w:lang w:eastAsia="pt-PT"/>
        </w:rPr>
        <w:t xml:space="preserve"> </w:t>
      </w:r>
      <w:r>
        <w:rPr>
          <w:rFonts w:ascii="Times New Roman" w:eastAsia="Times New Roman" w:hAnsi="Times New Roman"/>
          <w:noProof/>
          <w:sz w:val="24"/>
          <w:szCs w:val="24"/>
          <w:lang w:eastAsia="pt-PT"/>
        </w:rPr>
        <w:t xml:space="preserve">sob o impulso do Conselho da Europa, </w:t>
      </w:r>
      <w:r w:rsidR="000504AA">
        <w:rPr>
          <w:rFonts w:ascii="Times New Roman" w:eastAsia="Times New Roman" w:hAnsi="Times New Roman"/>
          <w:noProof/>
          <w:sz w:val="24"/>
          <w:szCs w:val="24"/>
          <w:lang w:eastAsia="pt-PT"/>
        </w:rPr>
        <w:t xml:space="preserve">a </w:t>
      </w:r>
      <w:r w:rsidR="00B11184" w:rsidRPr="00BB4F99">
        <w:rPr>
          <w:rFonts w:ascii="Times New Roman" w:eastAsia="Times New Roman" w:hAnsi="Times New Roman" w:cs="Times New Roman"/>
          <w:noProof/>
          <w:kern w:val="36"/>
          <w:sz w:val="24"/>
          <w:szCs w:val="24"/>
          <w:lang w:eastAsia="pt-PT"/>
        </w:rPr>
        <w:t>Convenção para a</w:t>
      </w:r>
      <w:r w:rsidR="00B11184" w:rsidRPr="00BB4F99">
        <w:rPr>
          <w:rFonts w:ascii="Arial" w:eastAsia="Calibri" w:hAnsi="Arial" w:cs="Arial"/>
          <w:color w:val="4D5156"/>
          <w:sz w:val="21"/>
          <w:szCs w:val="21"/>
          <w:shd w:val="clear" w:color="auto" w:fill="FFFFFF"/>
        </w:rPr>
        <w:t xml:space="preserve"> </w:t>
      </w:r>
      <w:r w:rsidR="00B11184" w:rsidRPr="00BB4F99">
        <w:rPr>
          <w:rFonts w:ascii="Times New Roman" w:eastAsia="Times New Roman" w:hAnsi="Times New Roman" w:cs="Times New Roman"/>
          <w:noProof/>
          <w:kern w:val="36"/>
          <w:sz w:val="24"/>
          <w:szCs w:val="24"/>
          <w:lang w:eastAsia="pt-PT"/>
        </w:rPr>
        <w:t>prevenção e o combate à violência contra as mulheres e a violência doméstica</w:t>
      </w:r>
      <w:r w:rsidR="000504AA">
        <w:rPr>
          <w:rFonts w:ascii="Times New Roman" w:eastAsia="Times New Roman" w:hAnsi="Times New Roman" w:cs="Times New Roman"/>
          <w:noProof/>
          <w:kern w:val="36"/>
          <w:sz w:val="24"/>
          <w:szCs w:val="24"/>
          <w:lang w:eastAsia="pt-PT"/>
        </w:rPr>
        <w:t>, que</w:t>
      </w:r>
      <w:r w:rsidR="00B11184">
        <w:rPr>
          <w:rFonts w:ascii="Times New Roman" w:eastAsia="Times New Roman" w:hAnsi="Times New Roman" w:cs="Times New Roman"/>
          <w:noProof/>
          <w:kern w:val="36"/>
          <w:sz w:val="24"/>
          <w:szCs w:val="24"/>
          <w:lang w:eastAsia="pt-PT"/>
        </w:rPr>
        <w:t xml:space="preserve"> foi </w:t>
      </w:r>
      <w:r w:rsidR="000504AA" w:rsidRPr="000504AA">
        <w:rPr>
          <w:rFonts w:ascii="Times New Roman" w:eastAsia="Times New Roman" w:hAnsi="Times New Roman" w:cs="Times New Roman"/>
          <w:noProof/>
          <w:kern w:val="36"/>
          <w:sz w:val="24"/>
          <w:szCs w:val="24"/>
          <w:lang w:eastAsia="pt-PT"/>
        </w:rPr>
        <w:t>a</w:t>
      </w:r>
      <w:r w:rsidR="00B11184" w:rsidRPr="000504AA">
        <w:rPr>
          <w:rFonts w:ascii="Times New Roman" w:hAnsi="Times New Roman" w:cs="Times New Roman"/>
          <w:sz w:val="24"/>
          <w:szCs w:val="24"/>
        </w:rPr>
        <w:t>dotada pelo Comité de Ministros do Conselho de Europa em 7 de abril de 2011 e aberta à assinatura em Istambul, em 11 de maio do mesmo ano</w:t>
      </w:r>
      <w:r w:rsidR="00B11184" w:rsidRPr="000504AA">
        <w:rPr>
          <w:rFonts w:ascii="Times New Roman" w:hAnsi="Times New Roman" w:cs="Times New Roman"/>
          <w:sz w:val="24"/>
          <w:szCs w:val="24"/>
        </w:rPr>
        <w:t>.</w:t>
      </w:r>
      <w:r w:rsidRPr="00BB4F99">
        <w:rPr>
          <w:rFonts w:ascii="Times New Roman" w:eastAsia="Times New Roman" w:hAnsi="Times New Roman" w:cs="Times New Roman"/>
          <w:noProof/>
          <w:kern w:val="36"/>
          <w:sz w:val="24"/>
          <w:szCs w:val="24"/>
          <w:lang w:eastAsia="pt-PT"/>
        </w:rPr>
        <w:t xml:space="preserve"> Esta Convenção, que constitui atualmente o instrumento juridico mais importante à escala mundial, no</w:t>
      </w:r>
      <w:r w:rsidR="000504AA">
        <w:rPr>
          <w:rFonts w:ascii="Times New Roman" w:eastAsia="Times New Roman" w:hAnsi="Times New Roman" w:cs="Times New Roman"/>
          <w:noProof/>
          <w:kern w:val="36"/>
          <w:sz w:val="24"/>
          <w:szCs w:val="24"/>
          <w:lang w:eastAsia="pt-PT"/>
        </w:rPr>
        <w:t xml:space="preserve"> seu âmbito de aplicação</w:t>
      </w:r>
      <w:r w:rsidRPr="00BB4F99">
        <w:rPr>
          <w:rFonts w:ascii="Times New Roman" w:eastAsia="Times New Roman" w:hAnsi="Times New Roman" w:cs="Times New Roman"/>
          <w:noProof/>
          <w:kern w:val="36"/>
          <w:sz w:val="24"/>
          <w:szCs w:val="24"/>
          <w:lang w:eastAsia="pt-PT"/>
        </w:rPr>
        <w:t>, considera três tipos fundamentais de violência contra a mulher: a violência contra a mulher, a violência doméstica e a violência de género.</w:t>
      </w:r>
    </w:p>
    <w:p w14:paraId="3F88CE3B" w14:textId="7960C64F" w:rsidR="00BB4F99" w:rsidRDefault="00BB4F99" w:rsidP="00BB4F99">
      <w:pPr>
        <w:spacing w:line="360" w:lineRule="auto"/>
        <w:jc w:val="both"/>
        <w:rPr>
          <w:rFonts w:ascii="Times New Roman" w:eastAsia="Times New Roman" w:hAnsi="Times New Roman"/>
          <w:noProof/>
          <w:kern w:val="36"/>
          <w:sz w:val="24"/>
          <w:szCs w:val="24"/>
          <w:lang w:eastAsia="pt-PT"/>
        </w:rPr>
      </w:pPr>
      <w:r>
        <w:rPr>
          <w:rFonts w:ascii="Times New Roman" w:hAnsi="Times New Roman"/>
          <w:noProof/>
          <w:sz w:val="24"/>
          <w:szCs w:val="24"/>
        </w:rPr>
        <w:t>Ao consagrar a violência contra a mulher como uma violação de direitos humanos, a Convenção reforça, de modo muito significativo, a proteção da vítima. A consagração de disposições de natureza imperativa é essencial para o alcance do nível de proteção desejado, uma vez que impõe a alteração dos direitos internos dos Estados nos quais a Convenção se encontra em vigor, mediante a introdução na respetiva legislação interna de todos os tipos criminais na mesma previstos. A atribuição do papel de supervisor da sua boa aplicação pelos Estados ao</w:t>
      </w:r>
      <w:r>
        <w:rPr>
          <w:rFonts w:ascii="Times New Roman" w:eastAsia="Times New Roman" w:hAnsi="Times New Roman"/>
          <w:noProof/>
          <w:kern w:val="36"/>
          <w:sz w:val="24"/>
          <w:szCs w:val="24"/>
          <w:lang w:eastAsia="pt-PT"/>
        </w:rPr>
        <w:t xml:space="preserve"> </w:t>
      </w:r>
      <w:r>
        <w:rPr>
          <w:rFonts w:ascii="Times New Roman" w:eastAsia="Times New Roman" w:hAnsi="Times New Roman"/>
          <w:noProof/>
          <w:sz w:val="24"/>
          <w:szCs w:val="24"/>
          <w:lang w:eastAsia="pt-PT"/>
        </w:rPr>
        <w:t>Tribunal Europeu de Direitos Humanos (TEDH), funciona como una garantía adicional de alcance dos seus objetivos</w:t>
      </w:r>
      <w:r>
        <w:rPr>
          <w:rFonts w:ascii="Times New Roman" w:eastAsia="Times New Roman" w:hAnsi="Times New Roman"/>
          <w:noProof/>
          <w:kern w:val="36"/>
          <w:sz w:val="24"/>
          <w:szCs w:val="24"/>
          <w:lang w:eastAsia="pt-PT"/>
        </w:rPr>
        <w:t>.</w:t>
      </w:r>
    </w:p>
    <w:p w14:paraId="7591A2FE" w14:textId="49D127AA" w:rsidR="00BB4F99" w:rsidRDefault="00BB4F99" w:rsidP="00BB4F99">
      <w:pPr>
        <w:spacing w:line="360" w:lineRule="auto"/>
        <w:jc w:val="both"/>
        <w:rPr>
          <w:rFonts w:ascii="Times New Roman" w:eastAsia="Times New Roman" w:hAnsi="Times New Roman" w:cs="Times New Roman"/>
          <w:noProof/>
          <w:kern w:val="36"/>
          <w:sz w:val="24"/>
          <w:szCs w:val="24"/>
          <w:lang w:eastAsia="pt-PT"/>
        </w:rPr>
      </w:pPr>
      <w:r w:rsidRPr="00B11184">
        <w:rPr>
          <w:rFonts w:ascii="Times New Roman" w:eastAsia="Times New Roman" w:hAnsi="Times New Roman" w:cs="Times New Roman"/>
          <w:noProof/>
          <w:kern w:val="36"/>
          <w:sz w:val="24"/>
          <w:szCs w:val="24"/>
          <w:lang w:eastAsia="pt-PT"/>
        </w:rPr>
        <w:t>A previsão das principais formas de violência contra a mulher como crimes, como é o caso da mutilação genital femenina (artigo 38.º), o casamento forçado (artigo</w:t>
      </w:r>
      <w:r w:rsidRPr="00B11184">
        <w:rPr>
          <w:rFonts w:ascii="Times New Roman" w:eastAsia="Calibri" w:hAnsi="Times New Roman" w:cs="Times New Roman"/>
          <w:noProof/>
          <w:sz w:val="24"/>
          <w:szCs w:val="24"/>
          <w:shd w:val="clear" w:color="auto" w:fill="FFFFFF"/>
          <w:lang w:eastAsia="pt-PT"/>
        </w:rPr>
        <w:t xml:space="preserve"> 37.º), o aborto forçado e a esterilização forçada (artigo 39.º)</w:t>
      </w:r>
      <w:r w:rsidRPr="00B11184">
        <w:rPr>
          <w:rFonts w:ascii="Times New Roman" w:eastAsia="Calibri" w:hAnsi="Times New Roman" w:cs="Times New Roman"/>
          <w:noProof/>
          <w:sz w:val="24"/>
          <w:szCs w:val="24"/>
          <w:lang w:eastAsia="pt-PT"/>
        </w:rPr>
        <w:t xml:space="preserve">, o assédio </w:t>
      </w:r>
      <w:r w:rsidRPr="00B11184">
        <w:rPr>
          <w:rFonts w:ascii="Times New Roman" w:eastAsia="Calibri" w:hAnsi="Times New Roman" w:cs="Times New Roman"/>
          <w:noProof/>
          <w:sz w:val="24"/>
          <w:szCs w:val="24"/>
          <w:shd w:val="clear" w:color="auto" w:fill="FFFFFF"/>
          <w:lang w:eastAsia="pt-PT"/>
        </w:rPr>
        <w:t>(art. 40.º),</w:t>
      </w:r>
      <w:r w:rsidRPr="00B11184">
        <w:rPr>
          <w:rFonts w:ascii="Times New Roman" w:eastAsia="Calibri" w:hAnsi="Times New Roman" w:cs="Times New Roman"/>
          <w:noProof/>
          <w:sz w:val="24"/>
          <w:szCs w:val="24"/>
          <w:lang w:eastAsia="pt-PT"/>
        </w:rPr>
        <w:t xml:space="preserve"> a </w:t>
      </w:r>
      <w:r w:rsidRPr="00B11184">
        <w:rPr>
          <w:rFonts w:ascii="Times New Roman" w:eastAsia="Calibri" w:hAnsi="Times New Roman" w:cs="Times New Roman"/>
          <w:noProof/>
          <w:sz w:val="24"/>
          <w:szCs w:val="24"/>
          <w:shd w:val="clear" w:color="auto" w:fill="FFFFFF"/>
          <w:lang w:eastAsia="pt-PT"/>
        </w:rPr>
        <w:t xml:space="preserve">violência </w:t>
      </w:r>
      <w:r w:rsidRPr="00B11184">
        <w:rPr>
          <w:rFonts w:ascii="Times New Roman" w:eastAsia="Calibri" w:hAnsi="Times New Roman" w:cs="Times New Roman"/>
          <w:noProof/>
          <w:sz w:val="24"/>
          <w:szCs w:val="24"/>
          <w:shd w:val="clear" w:color="auto" w:fill="FFFFFF"/>
          <w:lang w:eastAsia="pt-PT"/>
        </w:rPr>
        <w:lastRenderedPageBreak/>
        <w:t>física (artigo 35.º), psicológica (artigo 33.º) e sexual, incluindo a violação (artigo 36.º)</w:t>
      </w:r>
      <w:r w:rsidRPr="00B11184">
        <w:rPr>
          <w:rFonts w:ascii="Times New Roman" w:eastAsia="Times New Roman" w:hAnsi="Times New Roman" w:cs="Times New Roman"/>
          <w:noProof/>
          <w:kern w:val="36"/>
          <w:sz w:val="24"/>
          <w:szCs w:val="24"/>
          <w:lang w:eastAsia="pt-PT"/>
        </w:rPr>
        <w:t xml:space="preserve">, assume um papel fundamental no que respeita à unificação da legislação dos Estados que decidem </w:t>
      </w:r>
      <w:r w:rsidRPr="00BB4F99">
        <w:rPr>
          <w:rFonts w:ascii="Times New Roman" w:eastAsia="Times New Roman" w:hAnsi="Times New Roman" w:cs="Times New Roman"/>
          <w:noProof/>
          <w:kern w:val="36"/>
          <w:sz w:val="24"/>
          <w:szCs w:val="24"/>
          <w:lang w:eastAsia="pt-PT"/>
        </w:rPr>
        <w:t>tornar-se parte da Convenção.</w:t>
      </w:r>
    </w:p>
    <w:p w14:paraId="3BC50951" w14:textId="1194FE71" w:rsidR="00BB4F99" w:rsidRPr="00410137" w:rsidRDefault="00BB4F99" w:rsidP="00B11184">
      <w:pPr>
        <w:pStyle w:val="PargrafodaLista"/>
        <w:numPr>
          <w:ilvl w:val="0"/>
          <w:numId w:val="2"/>
        </w:numPr>
        <w:shd w:val="clear" w:color="auto" w:fill="FFFFFF"/>
        <w:spacing w:before="100" w:beforeAutospacing="1" w:after="100" w:afterAutospacing="1" w:line="360" w:lineRule="auto"/>
        <w:jc w:val="both"/>
        <w:rPr>
          <w:rFonts w:ascii="Times New Roman" w:eastAsia="Calibri" w:hAnsi="Times New Roman" w:cs="Times New Roman"/>
          <w:b/>
          <w:bCs/>
          <w:noProof/>
          <w:sz w:val="24"/>
          <w:szCs w:val="24"/>
          <w:lang w:eastAsia="pt-PT"/>
        </w:rPr>
      </w:pPr>
      <w:r w:rsidRPr="00410137">
        <w:rPr>
          <w:rFonts w:ascii="Times New Roman" w:eastAsia="Times New Roman" w:hAnsi="Times New Roman" w:cs="Times New Roman"/>
          <w:b/>
          <w:bCs/>
          <w:noProof/>
          <w:kern w:val="36"/>
          <w:sz w:val="24"/>
          <w:szCs w:val="24"/>
          <w:lang w:eastAsia="pt-PT"/>
        </w:rPr>
        <w:t>A violência contra a mulher em Portugal</w:t>
      </w:r>
    </w:p>
    <w:p w14:paraId="11033169" w14:textId="6C754106" w:rsidR="00BB4F99" w:rsidRPr="00BB4F99" w:rsidRDefault="00BB4F99" w:rsidP="00BB4F99">
      <w:pPr>
        <w:shd w:val="clear" w:color="auto" w:fill="FFFFFF" w:themeFill="background1"/>
        <w:spacing w:before="100" w:beforeAutospacing="1" w:after="100" w:afterAutospacing="1" w:line="360" w:lineRule="auto"/>
        <w:jc w:val="both"/>
        <w:rPr>
          <w:rFonts w:ascii="Times New Roman" w:eastAsia="Times New Roman" w:hAnsi="Times New Roman" w:cs="Times New Roman"/>
          <w:noProof/>
          <w:kern w:val="36"/>
          <w:sz w:val="24"/>
          <w:szCs w:val="24"/>
          <w:lang w:eastAsia="pt-PT"/>
        </w:rPr>
      </w:pPr>
      <w:r w:rsidRPr="00BB4F99">
        <w:rPr>
          <w:rFonts w:ascii="Times New Roman" w:eastAsia="Times New Roman" w:hAnsi="Times New Roman" w:cs="Times New Roman"/>
          <w:noProof/>
          <w:kern w:val="36"/>
          <w:sz w:val="24"/>
          <w:szCs w:val="24"/>
          <w:lang w:eastAsia="pt-PT"/>
        </w:rPr>
        <w:t xml:space="preserve">A legislação portuguesa prevé todas as formas de violência contra a mulher incluídas na Convenção de Istambul. Com a finalidade de adaptar o Código Penal portugués à Convenção de Istambul, foi aprovada a Lei n.º 83/2015, que autonomizou o crime de mutilação genital femenina, introduzindo, no nosso ordenamento jurídico, os crímes de </w:t>
      </w:r>
      <w:r w:rsidRPr="00BB4F99">
        <w:rPr>
          <w:rFonts w:ascii="Times New Roman" w:eastAsia="Times New Roman" w:hAnsi="Times New Roman" w:cs="Times New Roman"/>
          <w:noProof/>
          <w:sz w:val="24"/>
          <w:szCs w:val="24"/>
          <w:shd w:val="clear" w:color="auto" w:fill="FFFFFF"/>
          <w:lang w:eastAsia="pt-PT"/>
        </w:rPr>
        <w:t>perseguição, casamento forçado e alterando os crímes de violação, coação e importunação sexual</w:t>
      </w:r>
      <w:r w:rsidRPr="00BB4F99">
        <w:rPr>
          <w:rFonts w:ascii="Times New Roman" w:eastAsia="Times New Roman" w:hAnsi="Times New Roman" w:cs="Times New Roman"/>
          <w:noProof/>
          <w:kern w:val="36"/>
          <w:sz w:val="24"/>
          <w:szCs w:val="24"/>
          <w:lang w:eastAsia="pt-PT"/>
        </w:rPr>
        <w:t xml:space="preserve"> e outr</w:t>
      </w:r>
      <w:r w:rsidR="00B11184">
        <w:rPr>
          <w:rFonts w:ascii="Times New Roman" w:eastAsia="Times New Roman" w:hAnsi="Times New Roman" w:cs="Times New Roman"/>
          <w:noProof/>
          <w:kern w:val="36"/>
          <w:sz w:val="24"/>
          <w:szCs w:val="24"/>
          <w:lang w:eastAsia="pt-PT"/>
        </w:rPr>
        <w:t>o</w:t>
      </w:r>
      <w:r w:rsidRPr="00BB4F99">
        <w:rPr>
          <w:rFonts w:ascii="Times New Roman" w:eastAsia="Times New Roman" w:hAnsi="Times New Roman" w:cs="Times New Roman"/>
          <w:noProof/>
          <w:kern w:val="36"/>
          <w:sz w:val="24"/>
          <w:szCs w:val="24"/>
          <w:lang w:eastAsia="pt-PT"/>
        </w:rPr>
        <w:t>s não expres</w:t>
      </w:r>
      <w:r w:rsidR="00B11184">
        <w:rPr>
          <w:rFonts w:ascii="Times New Roman" w:eastAsia="Times New Roman" w:hAnsi="Times New Roman" w:cs="Times New Roman"/>
          <w:noProof/>
          <w:kern w:val="36"/>
          <w:sz w:val="24"/>
          <w:szCs w:val="24"/>
          <w:lang w:eastAsia="pt-PT"/>
        </w:rPr>
        <w:t>s</w:t>
      </w:r>
      <w:r w:rsidRPr="00BB4F99">
        <w:rPr>
          <w:rFonts w:ascii="Times New Roman" w:eastAsia="Times New Roman" w:hAnsi="Times New Roman" w:cs="Times New Roman"/>
          <w:noProof/>
          <w:kern w:val="36"/>
          <w:sz w:val="24"/>
          <w:szCs w:val="24"/>
          <w:lang w:eastAsia="pt-PT"/>
        </w:rPr>
        <w:t xml:space="preserve">amente contempladas nesse instrumento internacional. Como antes referimos, no presente trabalho vamos centrar a nossa atenção no crime de violência doméstica. Para além da sua previsão legal, encontra-se organizada no ordenamento juridico português, uma complexa estrutura de cooperação entre autoridades, com responsabilidades em diversas áreas sociais, tendo como objetivo a prevenção e deteção precce de situacões de violência e ainda de apoio e de proteção à vítima. </w:t>
      </w:r>
    </w:p>
    <w:p w14:paraId="1E8F5A1D" w14:textId="4D8E5D9D" w:rsidR="00BB4F99" w:rsidRPr="00B11184" w:rsidRDefault="00BB4F99" w:rsidP="00B11184">
      <w:pPr>
        <w:pStyle w:val="PargrafodaLista"/>
        <w:numPr>
          <w:ilvl w:val="0"/>
          <w:numId w:val="2"/>
        </w:numPr>
        <w:spacing w:after="0" w:line="360" w:lineRule="auto"/>
        <w:jc w:val="both"/>
        <w:rPr>
          <w:rFonts w:ascii="Times New Roman" w:eastAsia="Calibri" w:hAnsi="Times New Roman" w:cs="Times New Roman"/>
          <w:b/>
          <w:bCs/>
          <w:noProof/>
          <w:sz w:val="24"/>
          <w:szCs w:val="24"/>
        </w:rPr>
      </w:pPr>
      <w:r w:rsidRPr="00B11184">
        <w:rPr>
          <w:rFonts w:ascii="Times New Roman" w:eastAsia="Calibri" w:hAnsi="Times New Roman" w:cs="Times New Roman"/>
          <w:b/>
          <w:bCs/>
          <w:noProof/>
          <w:sz w:val="24"/>
          <w:szCs w:val="24"/>
        </w:rPr>
        <w:t xml:space="preserve">Conceito e tipo legal de crime </w:t>
      </w:r>
    </w:p>
    <w:p w14:paraId="7C80D7EF" w14:textId="77777777" w:rsidR="00BB4F99" w:rsidRPr="00BB4F99" w:rsidRDefault="00BB4F99" w:rsidP="00BB4F99">
      <w:pPr>
        <w:spacing w:after="200" w:line="360" w:lineRule="auto"/>
        <w:jc w:val="both"/>
        <w:rPr>
          <w:rFonts w:ascii="Times New Roman" w:eastAsia="Calibri" w:hAnsi="Times New Roman" w:cs="Times New Roman"/>
          <w:noProof/>
          <w:sz w:val="24"/>
          <w:szCs w:val="24"/>
        </w:rPr>
      </w:pPr>
      <w:r w:rsidRPr="00BB4F99">
        <w:rPr>
          <w:rFonts w:ascii="Times New Roman" w:eastAsia="Calibri" w:hAnsi="Times New Roman" w:cs="Times New Roman"/>
          <w:noProof/>
          <w:sz w:val="24"/>
          <w:szCs w:val="24"/>
        </w:rPr>
        <w:t xml:space="preserve">O crime de violência doméstica encontra-se previsto atualmente no Capítulo III (“Crímes contra a integridade física”), do Título I (“Crímes contra as pessoas”), da Parte Especial do Código Penal portugués. </w:t>
      </w:r>
    </w:p>
    <w:p w14:paraId="75E8DE03" w14:textId="472879EE" w:rsidR="00BB4F99" w:rsidRPr="00BB4F99" w:rsidRDefault="00BB4F99" w:rsidP="00BB4F99">
      <w:pPr>
        <w:spacing w:after="200" w:line="360" w:lineRule="auto"/>
        <w:jc w:val="both"/>
        <w:rPr>
          <w:rFonts w:ascii="Times New Roman" w:eastAsia="Calibri" w:hAnsi="Times New Roman" w:cs="Times New Roman"/>
          <w:noProof/>
          <w:sz w:val="24"/>
          <w:szCs w:val="24"/>
        </w:rPr>
      </w:pPr>
      <w:r w:rsidRPr="00BB4F99">
        <w:rPr>
          <w:rFonts w:ascii="Times New Roman" w:eastAsia="Calibri" w:hAnsi="Times New Roman" w:cs="Times New Roman"/>
          <w:noProof/>
          <w:sz w:val="24"/>
          <w:szCs w:val="24"/>
        </w:rPr>
        <w:t>No que respeita ao bem jurídico protegido e à natureza deste tipo de crime, a doutrina e a jurisprud</w:t>
      </w:r>
      <w:r>
        <w:rPr>
          <w:rFonts w:ascii="Times New Roman" w:eastAsia="Calibri" w:hAnsi="Times New Roman" w:cs="Times New Roman"/>
          <w:noProof/>
          <w:sz w:val="24"/>
          <w:szCs w:val="24"/>
        </w:rPr>
        <w:t>ên</w:t>
      </w:r>
      <w:r w:rsidRPr="00BB4F99">
        <w:rPr>
          <w:rFonts w:ascii="Times New Roman" w:eastAsia="Calibri" w:hAnsi="Times New Roman" w:cs="Times New Roman"/>
          <w:noProof/>
          <w:sz w:val="24"/>
          <w:szCs w:val="24"/>
        </w:rPr>
        <w:t xml:space="preserve">cia dominantes foram variando ao longo do tempo.Assistiu-se à defesa de que o bem juridico protegido neste tipo de crime é a defesa da comunidade familiar ou a sociedade conjugal, ou a saúde da mulher, numa acepção ampla, que engloba várias vertentes, e que repousa sobre a proteção da integridade física e psiquica, assim como na proteção da liberdade pessoal no que respeita à autodeterminação sexual e à honra. A posição dominante na jurisprudência portuguesa é a que considera que o bem juridico protegido pelo crime de violência doméstica é plural e complexo, protege-se a integridade pessoal nas suas vertentes física, psiquica e mental, consideradas invioláveis pelo artigo 25.º, n.º 1 da Constituição da República Portuguesa. </w:t>
      </w:r>
    </w:p>
    <w:p w14:paraId="019A1267" w14:textId="76DA673D" w:rsidR="00BB4F99" w:rsidRPr="00BB4F99" w:rsidRDefault="00BB4F99" w:rsidP="00BB4F99">
      <w:pPr>
        <w:spacing w:after="200" w:line="360" w:lineRule="auto"/>
        <w:jc w:val="both"/>
        <w:rPr>
          <w:rFonts w:ascii="Times New Roman" w:eastAsia="Calibri" w:hAnsi="Times New Roman" w:cs="Times New Roman"/>
          <w:noProof/>
          <w:sz w:val="24"/>
          <w:szCs w:val="24"/>
        </w:rPr>
      </w:pPr>
      <w:r w:rsidRPr="00BB4F99">
        <w:rPr>
          <w:rFonts w:ascii="Times New Roman" w:eastAsia="Calibri" w:hAnsi="Times New Roman" w:cs="Times New Roman"/>
          <w:noProof/>
          <w:sz w:val="24"/>
          <w:szCs w:val="24"/>
        </w:rPr>
        <w:t xml:space="preserve">Nestes termos, a previsão atual do artigo 152.º do Código Penal, qualifica como crime a conduta de quem inflinja maus tratos físicos ou psíquicos, incluindo castigos corporais, </w:t>
      </w:r>
      <w:r w:rsidRPr="00BB4F99">
        <w:rPr>
          <w:rFonts w:ascii="Times New Roman" w:eastAsia="Calibri" w:hAnsi="Times New Roman" w:cs="Times New Roman"/>
          <w:noProof/>
          <w:sz w:val="24"/>
          <w:szCs w:val="24"/>
        </w:rPr>
        <w:lastRenderedPageBreak/>
        <w:t>privações de liberdade e ofensas sexuais, continuados ou não, a pessoas em certas situações especificas. As vítimas tanto podem ser casadas, como separadas ou divorciadas, independentemente do seu sexo, o que está em linha com a consagração do casamento entre pessoas do mesmo sexo, que no ordenamento juridico português foi introduzido pela lei n.º 9/2010, de 31 de maio. A vítima pode ser também a pessoa com quem o agente mantenha ou tenha mantido uma relação de namoro, querida por ambos ou uma relação análoga à dos conjuges, ainda que sem coabitação, ou o progenitor de descendente comum em primeiro grau ou pessoa particularmente indefesa, devido à sua idade, deficiência, doença, gravidez ou dependência económica, que com ele coabite.</w:t>
      </w:r>
    </w:p>
    <w:p w14:paraId="0EC0AFE5" w14:textId="714CDF38" w:rsidR="00BB4F99" w:rsidRPr="00BB4F99" w:rsidRDefault="00BB4F99" w:rsidP="00BB4F99">
      <w:pPr>
        <w:shd w:val="clear" w:color="auto" w:fill="FFFFFF"/>
        <w:spacing w:before="100" w:beforeAutospacing="1" w:after="100" w:afterAutospacing="1" w:line="360" w:lineRule="auto"/>
        <w:jc w:val="both"/>
        <w:rPr>
          <w:rFonts w:ascii="Times New Roman" w:eastAsia="Times New Roman" w:hAnsi="Times New Roman" w:cs="Times New Roman"/>
          <w:noProof/>
          <w:sz w:val="24"/>
          <w:szCs w:val="24"/>
          <w:lang w:eastAsia="pt-PT"/>
        </w:rPr>
      </w:pPr>
      <w:r w:rsidRPr="00BB4F99">
        <w:rPr>
          <w:rFonts w:ascii="Times New Roman" w:eastAsia="Times New Roman" w:hAnsi="Times New Roman" w:cs="Times New Roman"/>
          <w:noProof/>
          <w:sz w:val="24"/>
          <w:szCs w:val="24"/>
          <w:lang w:eastAsia="pt-PT"/>
        </w:rPr>
        <w:t>Esses comportamentos podem manifestar-se sobre a forma de maus tratos físicos ou psiquicos, ameaças, injúrias, difamação, coação, abusos sexuais ou perturbação da vida privada, qualquer que seja a perturbação causada. Incluem-se nesta última situação, as ameaças de difusão de video e conversas privadas, segredos, factos privados, o controlo de telefonemas, de correio electronico, de localização de veículo, entre outros.</w:t>
      </w:r>
    </w:p>
    <w:p w14:paraId="112899B2" w14:textId="77777777" w:rsidR="00BB4F99" w:rsidRPr="00BB4F99" w:rsidRDefault="00BB4F99" w:rsidP="00BB4F99">
      <w:pPr>
        <w:spacing w:after="200" w:line="360" w:lineRule="auto"/>
        <w:jc w:val="both"/>
        <w:rPr>
          <w:rFonts w:ascii="Times New Roman" w:eastAsia="Calibri" w:hAnsi="Times New Roman" w:cs="Times New Roman"/>
          <w:noProof/>
          <w:sz w:val="24"/>
          <w:szCs w:val="24"/>
        </w:rPr>
      </w:pPr>
      <w:r w:rsidRPr="00BB4F99">
        <w:rPr>
          <w:rFonts w:ascii="Times New Roman" w:eastAsia="Calibri" w:hAnsi="Times New Roman" w:cs="Times New Roman"/>
          <w:noProof/>
          <w:sz w:val="24"/>
          <w:szCs w:val="24"/>
        </w:rPr>
        <w:t xml:space="preserve">A punição é de 1 a 5 anos (n.º 1), mas eleva-se no seu limite mínimo em certas circunstâncias particulares, nas quais se incluem as circunstâncias que se desenvolvam contra um menor ou na sua presença, no domicilio comum ou no domicilio da vitima ou através da difusão na internet ou de outros meios de difusão pública generalizada, de dados pessoais, como sejam imagens, sons, respeitantes à intimidade da vida privada da vitima, sem o seu consentimento. </w:t>
      </w:r>
    </w:p>
    <w:p w14:paraId="5D9CF4CD" w14:textId="77777777" w:rsidR="00BB4F99" w:rsidRPr="00BB4F99" w:rsidRDefault="00BB4F99" w:rsidP="00BB4F99">
      <w:pPr>
        <w:spacing w:after="200" w:line="360" w:lineRule="auto"/>
        <w:jc w:val="both"/>
        <w:rPr>
          <w:rFonts w:ascii="Times New Roman" w:eastAsia="Calibri" w:hAnsi="Times New Roman" w:cs="Times New Roman"/>
          <w:noProof/>
          <w:sz w:val="24"/>
          <w:szCs w:val="24"/>
        </w:rPr>
      </w:pPr>
      <w:r w:rsidRPr="00BB4F99">
        <w:rPr>
          <w:rFonts w:ascii="Times New Roman" w:eastAsia="Calibri" w:hAnsi="Times New Roman" w:cs="Times New Roman"/>
          <w:noProof/>
          <w:sz w:val="24"/>
          <w:szCs w:val="24"/>
        </w:rPr>
        <w:t>Se da conduta resultar a morte, prevé-se uma agravação da pena em função do resultado, passando a pena a ser de 3 a 10 anos, ou ofensa à integridade física grave, elevando-se a pena para 2 a 8 anos.</w:t>
      </w:r>
    </w:p>
    <w:p w14:paraId="601C16D2" w14:textId="07D890B0" w:rsidR="00BB4F99" w:rsidRPr="00B11184" w:rsidRDefault="00BB4F99" w:rsidP="00B11184">
      <w:pPr>
        <w:pStyle w:val="PargrafodaLista"/>
        <w:numPr>
          <w:ilvl w:val="0"/>
          <w:numId w:val="2"/>
        </w:numPr>
        <w:rPr>
          <w:rFonts w:ascii="Times New Roman" w:hAnsi="Times New Roman" w:cs="Times New Roman"/>
          <w:b/>
          <w:bCs/>
          <w:sz w:val="24"/>
          <w:szCs w:val="24"/>
        </w:rPr>
      </w:pPr>
      <w:r w:rsidRPr="00B11184">
        <w:rPr>
          <w:rFonts w:ascii="Times New Roman" w:hAnsi="Times New Roman" w:cs="Times New Roman"/>
          <w:b/>
          <w:bCs/>
          <w:sz w:val="24"/>
          <w:szCs w:val="24"/>
        </w:rPr>
        <w:t>Falta de consciência da Ilicitude</w:t>
      </w:r>
    </w:p>
    <w:p w14:paraId="035A3FBF" w14:textId="03BCFCF0" w:rsidR="00BB4F99" w:rsidRDefault="00BB4F99" w:rsidP="00BB4F99">
      <w:pPr>
        <w:spacing w:after="200" w:line="360" w:lineRule="auto"/>
        <w:jc w:val="both"/>
        <w:rPr>
          <w:rFonts w:ascii="Times New Roman" w:eastAsia="Calibri" w:hAnsi="Times New Roman" w:cs="Times New Roman"/>
          <w:noProof/>
          <w:sz w:val="24"/>
          <w:szCs w:val="24"/>
        </w:rPr>
      </w:pPr>
      <w:r w:rsidRPr="00BB4F99">
        <w:rPr>
          <w:rFonts w:ascii="Times New Roman" w:eastAsia="Calibri" w:hAnsi="Times New Roman" w:cs="Times New Roman"/>
          <w:noProof/>
          <w:sz w:val="24"/>
          <w:szCs w:val="24"/>
        </w:rPr>
        <w:t>O artigo 17.º n.º 2 do Código Penal portugués, prevé que atua sem culpa quem age sem consciência da ilicitude, se o erro não lhe for censurável.</w:t>
      </w:r>
      <w:r w:rsidRPr="00BB4F99">
        <w:rPr>
          <w:rFonts w:ascii="Times New Roman" w:eastAsia="Calibri" w:hAnsi="Times New Roman" w:cs="Times New Roman"/>
          <w:noProof/>
          <w:sz w:val="24"/>
          <w:szCs w:val="24"/>
          <w:shd w:val="clear" w:color="auto" w:fill="FFFFFF"/>
        </w:rPr>
        <w:t xml:space="preserve"> Se for censurável, o agente é punido com a pena aplicável ao crime doloso, podendo a mesma ser especialmente atenuada.</w:t>
      </w:r>
      <w:r w:rsidRPr="00BB4F99">
        <w:rPr>
          <w:rFonts w:ascii="Times New Roman" w:eastAsia="Calibri" w:hAnsi="Times New Roman" w:cs="Times New Roman"/>
          <w:noProof/>
          <w:sz w:val="24"/>
          <w:szCs w:val="24"/>
        </w:rPr>
        <w:t xml:space="preserve"> A atenuação especial da pena não deve aplicar-se se se verifica que o agente violou regras internas ou internacionais que consagram direitos humanos, como é o caso de princípios universais –éticos–, consagrados constitucionalmente ao nivel interno e internacional e, mais concretamente, como sucede com os princípios incluídos na </w:t>
      </w:r>
      <w:r w:rsidRPr="00BB4F99">
        <w:rPr>
          <w:rFonts w:ascii="Times New Roman" w:eastAsia="Calibri" w:hAnsi="Times New Roman" w:cs="Times New Roman"/>
          <w:noProof/>
          <w:sz w:val="24"/>
          <w:szCs w:val="24"/>
        </w:rPr>
        <w:lastRenderedPageBreak/>
        <w:t>Convenção de Istambul</w:t>
      </w:r>
      <w:r w:rsidRPr="00BB4F99">
        <w:rPr>
          <w:rFonts w:ascii="Times New Roman" w:eastAsia="Calibri" w:hAnsi="Times New Roman" w:cs="Times New Roman"/>
          <w:noProof/>
          <w:sz w:val="24"/>
          <w:szCs w:val="24"/>
          <w:vertAlign w:val="superscript"/>
          <w:lang w:val="es-ES"/>
        </w:rPr>
        <w:footnoteReference w:id="2"/>
      </w:r>
      <w:r w:rsidRPr="00BB4F99">
        <w:rPr>
          <w:rFonts w:ascii="Times New Roman" w:eastAsia="Calibri" w:hAnsi="Times New Roman" w:cs="Times New Roman"/>
          <w:noProof/>
          <w:sz w:val="24"/>
          <w:szCs w:val="24"/>
        </w:rPr>
        <w:t>. A possibilidade de invocação da falta de consciência da ilicitude, como fundamento de atenuação da pena aplicável, encontra-se prevista no artigo 17.º, n.º 2, do Código de Proceso Penal portugués. No entanto, e quanto à sua aplicação no âmbito do crime de violência doméstica, a mesma foi liminarmente rejeitada pelo Tribunal da Relação de Lisboa, por violação da proibição de tratamentos crueis e degradantes, consagrada nos artigos 1.º e 25.º da Constituição da República Portuguesa e os valores protegidos pelos artigos 1.º, 4.º e 12.º da Convenção de Istambul</w:t>
      </w:r>
      <w:r w:rsidRPr="00BB4F99">
        <w:rPr>
          <w:rFonts w:ascii="Times New Roman" w:eastAsia="Calibri" w:hAnsi="Times New Roman" w:cs="Times New Roman"/>
          <w:noProof/>
          <w:sz w:val="24"/>
          <w:szCs w:val="24"/>
          <w:vertAlign w:val="superscript"/>
          <w:lang w:val="es-ES"/>
        </w:rPr>
        <w:footnoteReference w:id="3"/>
      </w:r>
      <w:r w:rsidRPr="00BB4F99">
        <w:rPr>
          <w:rFonts w:ascii="Times New Roman" w:eastAsia="Calibri" w:hAnsi="Times New Roman" w:cs="Times New Roman"/>
          <w:noProof/>
          <w:sz w:val="24"/>
          <w:szCs w:val="24"/>
        </w:rPr>
        <w:t xml:space="preserve">. </w:t>
      </w:r>
    </w:p>
    <w:p w14:paraId="3D110649" w14:textId="3EB39487" w:rsidR="00BB4F99" w:rsidRPr="00B11184" w:rsidRDefault="00BB4F99" w:rsidP="00B11184">
      <w:pPr>
        <w:pStyle w:val="PargrafodaLista"/>
        <w:numPr>
          <w:ilvl w:val="0"/>
          <w:numId w:val="2"/>
        </w:numPr>
        <w:spacing w:after="200" w:line="360" w:lineRule="auto"/>
        <w:jc w:val="both"/>
        <w:rPr>
          <w:rFonts w:ascii="Times New Roman" w:eastAsia="Calibri" w:hAnsi="Times New Roman" w:cs="Times New Roman"/>
          <w:b/>
          <w:bCs/>
          <w:noProof/>
          <w:sz w:val="24"/>
          <w:szCs w:val="24"/>
        </w:rPr>
      </w:pPr>
      <w:r w:rsidRPr="00B11184">
        <w:rPr>
          <w:rFonts w:ascii="Times New Roman" w:eastAsia="Calibri" w:hAnsi="Times New Roman" w:cs="Times New Roman"/>
          <w:b/>
          <w:bCs/>
          <w:noProof/>
          <w:sz w:val="24"/>
          <w:szCs w:val="24"/>
        </w:rPr>
        <w:t xml:space="preserve">Meios utilizados na prevenção </w:t>
      </w:r>
    </w:p>
    <w:p w14:paraId="512AF4C3" w14:textId="77777777" w:rsidR="00BB4F99" w:rsidRPr="00BB4F99" w:rsidRDefault="00BB4F99" w:rsidP="00BB4F99">
      <w:pPr>
        <w:spacing w:after="200" w:line="360" w:lineRule="auto"/>
        <w:jc w:val="both"/>
        <w:rPr>
          <w:rFonts w:ascii="Times New Roman" w:eastAsia="Calibri" w:hAnsi="Times New Roman" w:cs="Times New Roman"/>
          <w:noProof/>
          <w:sz w:val="24"/>
          <w:szCs w:val="24"/>
        </w:rPr>
      </w:pPr>
      <w:r w:rsidRPr="00BB4F99">
        <w:rPr>
          <w:rFonts w:ascii="Times New Roman" w:eastAsia="Calibri" w:hAnsi="Times New Roman" w:cs="Times New Roman"/>
          <w:noProof/>
          <w:sz w:val="24"/>
          <w:szCs w:val="24"/>
        </w:rPr>
        <w:t xml:space="preserve">Em Portugal existem inúmeros meios que são utilizados na prevenção, na deteção, no apoio à vitima, no controlo e no estudo da violência doméstica. </w:t>
      </w:r>
    </w:p>
    <w:p w14:paraId="77FCB94C" w14:textId="0A55D49D" w:rsidR="00BB4F99" w:rsidRPr="00BB4F99" w:rsidRDefault="00BB4F99" w:rsidP="00BB4F99">
      <w:pPr>
        <w:spacing w:after="200" w:line="360" w:lineRule="auto"/>
        <w:jc w:val="both"/>
        <w:rPr>
          <w:rFonts w:ascii="Times New Roman" w:eastAsia="Calibri" w:hAnsi="Times New Roman" w:cs="Times New Roman"/>
          <w:noProof/>
          <w:sz w:val="24"/>
          <w:szCs w:val="24"/>
        </w:rPr>
      </w:pPr>
      <w:r w:rsidRPr="00BB4F99">
        <w:rPr>
          <w:rFonts w:ascii="Times New Roman" w:eastAsia="Calibri" w:hAnsi="Times New Roman" w:cs="Times New Roman"/>
          <w:noProof/>
          <w:sz w:val="24"/>
          <w:szCs w:val="24"/>
        </w:rPr>
        <w:t xml:space="preserve">Para além do Departamento de Investigação e Ação Penal, da responsabilidade do Ministério Público, enquadrado dentro da estrutura da Procuradoria Geral da República (PGR), entidade responsável pela investigação criminal, existem várias entidades públicas e privadas, com diversas competências nesta matéria, tendo em vista detectar precocemente os suficientes indicios da prática de um crime e de quem foi o seu agente. </w:t>
      </w:r>
    </w:p>
    <w:p w14:paraId="6390EBBD" w14:textId="0CA31C52" w:rsidR="00BB4F99" w:rsidRPr="00BB4F99" w:rsidRDefault="00BB4F99" w:rsidP="00BB4F99">
      <w:pPr>
        <w:spacing w:after="200" w:line="360" w:lineRule="auto"/>
        <w:jc w:val="both"/>
        <w:rPr>
          <w:rFonts w:ascii="Times New Roman" w:eastAsia="Calibri" w:hAnsi="Times New Roman" w:cs="Times New Roman"/>
          <w:noProof/>
          <w:sz w:val="24"/>
          <w:szCs w:val="24"/>
        </w:rPr>
      </w:pPr>
      <w:r w:rsidRPr="00BB4F99">
        <w:rPr>
          <w:rFonts w:ascii="Times New Roman" w:eastAsia="Calibri" w:hAnsi="Times New Roman" w:cs="Times New Roman"/>
          <w:noProof/>
          <w:sz w:val="24"/>
          <w:szCs w:val="24"/>
        </w:rPr>
        <w:t>Intervêm também as forças policiais das principais entidades militares e civis, a Guarda Nacional Republicana, a Polícia de Segurança Pública e a Polícia Judiciaria, sem prejuízo de todas as demais entidades policiais terem também competência para receber queixas</w:t>
      </w:r>
      <w:r w:rsidR="00AC32D1">
        <w:rPr>
          <w:rFonts w:ascii="Times New Roman" w:eastAsia="Calibri" w:hAnsi="Times New Roman" w:cs="Times New Roman"/>
          <w:noProof/>
          <w:sz w:val="24"/>
          <w:szCs w:val="24"/>
        </w:rPr>
        <w:t>,</w:t>
      </w:r>
      <w:r w:rsidR="006A3263">
        <w:rPr>
          <w:rFonts w:ascii="Times New Roman" w:eastAsia="Calibri" w:hAnsi="Times New Roman" w:cs="Times New Roman"/>
          <w:noProof/>
          <w:sz w:val="24"/>
          <w:szCs w:val="24"/>
        </w:rPr>
        <w:t xml:space="preserve"> os </w:t>
      </w:r>
      <w:r w:rsidRPr="00BB4F99">
        <w:rPr>
          <w:rFonts w:ascii="Times New Roman" w:eastAsia="Calibri" w:hAnsi="Times New Roman" w:cs="Times New Roman"/>
          <w:noProof/>
          <w:sz w:val="24"/>
          <w:szCs w:val="24"/>
        </w:rPr>
        <w:t>serviços públicos de saúde</w:t>
      </w:r>
      <w:r w:rsidR="006A3263">
        <w:rPr>
          <w:rFonts w:ascii="Times New Roman" w:eastAsia="Calibri" w:hAnsi="Times New Roman" w:cs="Times New Roman"/>
          <w:noProof/>
          <w:sz w:val="24"/>
          <w:szCs w:val="24"/>
        </w:rPr>
        <w:t xml:space="preserve">, </w:t>
      </w:r>
      <w:r w:rsidRPr="00BB4F99">
        <w:rPr>
          <w:rFonts w:ascii="Times New Roman" w:eastAsia="Calibri" w:hAnsi="Times New Roman" w:cs="Times New Roman"/>
          <w:noProof/>
          <w:sz w:val="24"/>
          <w:szCs w:val="24"/>
        </w:rPr>
        <w:t>o Instituto de Segurança Social, I. P.,</w:t>
      </w:r>
      <w:r w:rsidR="006A3263">
        <w:rPr>
          <w:rFonts w:ascii="Times New Roman" w:eastAsia="Calibri" w:hAnsi="Times New Roman" w:cs="Times New Roman"/>
          <w:noProof/>
          <w:sz w:val="24"/>
          <w:szCs w:val="24"/>
        </w:rPr>
        <w:t xml:space="preserve"> </w:t>
      </w:r>
      <w:r w:rsidRPr="00BB4F99">
        <w:rPr>
          <w:rFonts w:ascii="Times New Roman" w:eastAsia="Calibri" w:hAnsi="Times New Roman" w:cs="Times New Roman"/>
          <w:noProof/>
          <w:sz w:val="24"/>
          <w:szCs w:val="24"/>
        </w:rPr>
        <w:t>a Comissão para a Igualdade de Género, a Linha Nacional de Emergência Social, a Rede Nacional de Apoio a Vítimas de Violência Doméstica, o Programa de Respostas Integradas, o Núcleo Mulher e Meno</w:t>
      </w:r>
      <w:r w:rsidR="006A3263">
        <w:rPr>
          <w:rFonts w:ascii="Times New Roman" w:eastAsia="Calibri" w:hAnsi="Times New Roman" w:cs="Times New Roman"/>
          <w:noProof/>
          <w:sz w:val="24"/>
          <w:szCs w:val="24"/>
        </w:rPr>
        <w:t>r</w:t>
      </w:r>
      <w:r w:rsidRPr="00BB4F99">
        <w:rPr>
          <w:rFonts w:ascii="Times New Roman" w:eastAsia="Calibri" w:hAnsi="Times New Roman" w:cs="Times New Roman"/>
          <w:noProof/>
          <w:sz w:val="24"/>
          <w:szCs w:val="24"/>
        </w:rPr>
        <w:t>, as Equipas de Prevênção de Violência em Adultos</w:t>
      </w:r>
      <w:r w:rsidR="006A3263">
        <w:rPr>
          <w:rFonts w:ascii="Times New Roman" w:eastAsia="Calibri" w:hAnsi="Times New Roman" w:cs="Times New Roman"/>
          <w:noProof/>
          <w:sz w:val="24"/>
          <w:szCs w:val="24"/>
        </w:rPr>
        <w:t xml:space="preserve"> </w:t>
      </w:r>
      <w:r w:rsidRPr="00BB4F99">
        <w:rPr>
          <w:rFonts w:ascii="Times New Roman" w:eastAsia="Calibri" w:hAnsi="Times New Roman" w:cs="Times New Roman"/>
          <w:noProof/>
          <w:sz w:val="24"/>
          <w:szCs w:val="24"/>
        </w:rPr>
        <w:t>e pela Comissão Técnica Multidisciplinar para a melhoria da prevenção e combate à violência doméstica</w:t>
      </w:r>
      <w:r w:rsidR="006A3263">
        <w:rPr>
          <w:rFonts w:ascii="Times New Roman" w:eastAsia="Calibri" w:hAnsi="Times New Roman" w:cs="Times New Roman"/>
          <w:noProof/>
          <w:sz w:val="24"/>
          <w:szCs w:val="24"/>
        </w:rPr>
        <w:t>.</w:t>
      </w:r>
    </w:p>
    <w:p w14:paraId="49B093F7" w14:textId="262CEFB5" w:rsidR="00BB4F99" w:rsidRPr="00410137" w:rsidRDefault="00BB4F99" w:rsidP="00410137">
      <w:pPr>
        <w:pStyle w:val="PargrafodaLista"/>
        <w:numPr>
          <w:ilvl w:val="0"/>
          <w:numId w:val="2"/>
        </w:numPr>
        <w:shd w:val="clear" w:color="auto" w:fill="FFFFFF"/>
        <w:spacing w:before="100" w:beforeAutospacing="1" w:after="100" w:afterAutospacing="1" w:line="360" w:lineRule="auto"/>
        <w:jc w:val="both"/>
        <w:rPr>
          <w:rFonts w:ascii="Times New Roman" w:eastAsia="Times New Roman" w:hAnsi="Times New Roman" w:cs="Times New Roman"/>
          <w:b/>
          <w:bCs/>
          <w:noProof/>
          <w:kern w:val="36"/>
          <w:sz w:val="24"/>
          <w:szCs w:val="24"/>
          <w:lang w:eastAsia="pt-PT"/>
        </w:rPr>
      </w:pPr>
      <w:r w:rsidRPr="00410137">
        <w:rPr>
          <w:rFonts w:ascii="Times New Roman" w:eastAsia="Times New Roman" w:hAnsi="Times New Roman" w:cs="Times New Roman"/>
          <w:b/>
          <w:bCs/>
          <w:noProof/>
          <w:kern w:val="36"/>
          <w:sz w:val="24"/>
          <w:szCs w:val="24"/>
          <w:lang w:eastAsia="pt-PT"/>
        </w:rPr>
        <w:t>As limitações de prova e o encobrimento dos factos</w:t>
      </w:r>
    </w:p>
    <w:p w14:paraId="703FFB8E" w14:textId="147E61AC" w:rsidR="00410137" w:rsidRDefault="00BB4F99" w:rsidP="00410137">
      <w:pPr>
        <w:spacing w:after="200" w:line="360" w:lineRule="auto"/>
        <w:jc w:val="both"/>
        <w:rPr>
          <w:rFonts w:ascii="Times New Roman" w:eastAsia="Times New Roman" w:hAnsi="Times New Roman" w:cs="Times New Roman"/>
          <w:noProof/>
          <w:kern w:val="36"/>
          <w:sz w:val="24"/>
          <w:szCs w:val="24"/>
          <w:lang w:eastAsia="pt-PT"/>
        </w:rPr>
      </w:pPr>
      <w:r w:rsidRPr="00BB4F99">
        <w:rPr>
          <w:rFonts w:ascii="Times New Roman" w:eastAsia="Times New Roman" w:hAnsi="Times New Roman" w:cs="Times New Roman"/>
          <w:noProof/>
          <w:kern w:val="36"/>
          <w:sz w:val="24"/>
          <w:szCs w:val="24"/>
          <w:lang w:eastAsia="pt-PT"/>
        </w:rPr>
        <w:t>As dificuldades de deteção e punição, en geral, de situações de violência, dependem largamente da colaboração prestada pela própria vitima</w:t>
      </w:r>
      <w:r w:rsidR="006A3263">
        <w:rPr>
          <w:rFonts w:ascii="Times New Roman" w:eastAsia="Times New Roman" w:hAnsi="Times New Roman" w:cs="Times New Roman"/>
          <w:noProof/>
          <w:kern w:val="36"/>
          <w:sz w:val="24"/>
          <w:szCs w:val="24"/>
          <w:lang w:eastAsia="pt-PT"/>
        </w:rPr>
        <w:t xml:space="preserve">, pois, quando a vitima não presta </w:t>
      </w:r>
      <w:r w:rsidR="006A3263">
        <w:rPr>
          <w:rFonts w:ascii="Times New Roman" w:eastAsia="Times New Roman" w:hAnsi="Times New Roman" w:cs="Times New Roman"/>
          <w:noProof/>
          <w:kern w:val="36"/>
          <w:sz w:val="24"/>
          <w:szCs w:val="24"/>
          <w:lang w:eastAsia="pt-PT"/>
        </w:rPr>
        <w:lastRenderedPageBreak/>
        <w:t>declarações, dificlmente pode ocorrer uma condenação. Por outro lado, quando as presta, o seu depoimento, não deve ser desvalorizado, deve antes merecer uma</w:t>
      </w:r>
      <w:r w:rsidRPr="00BB4F99">
        <w:rPr>
          <w:rFonts w:ascii="Times New Roman" w:eastAsia="Times New Roman" w:hAnsi="Times New Roman" w:cs="Times New Roman"/>
          <w:noProof/>
          <w:kern w:val="36"/>
          <w:sz w:val="24"/>
          <w:szCs w:val="24"/>
          <w:lang w:eastAsia="pt-PT"/>
        </w:rPr>
        <w:t xml:space="preserve"> valoração ponderada, tendo em conta que os diversos tipos de violência, física, psíquica ou mental, são perpetrados maioritáriamente em ambientes privados, e sem a presença de testemunhas. A prática de violência contra a mulher entre as quatro paredes, é acompanhada de uma sensação de impunidade, proporcionada pelo ambiente no qual a sua prática se desenvolve</w:t>
      </w:r>
      <w:r w:rsidR="00410137">
        <w:rPr>
          <w:rFonts w:ascii="Times New Roman" w:eastAsia="Times New Roman" w:hAnsi="Times New Roman" w:cs="Times New Roman"/>
          <w:noProof/>
          <w:kern w:val="36"/>
          <w:sz w:val="24"/>
          <w:szCs w:val="24"/>
          <w:lang w:eastAsia="pt-PT"/>
        </w:rPr>
        <w:t>, acrescendo ainda</w:t>
      </w:r>
      <w:r w:rsidR="00410137" w:rsidRPr="00BB4F99">
        <w:rPr>
          <w:rFonts w:ascii="Times New Roman" w:eastAsia="Times New Roman" w:hAnsi="Times New Roman" w:cs="Times New Roman"/>
          <w:noProof/>
          <w:kern w:val="36"/>
          <w:sz w:val="24"/>
          <w:szCs w:val="24"/>
          <w:lang w:eastAsia="pt-PT"/>
        </w:rPr>
        <w:t xml:space="preserve"> o pudor de terceiros em </w:t>
      </w:r>
      <w:r w:rsidR="00410137">
        <w:rPr>
          <w:rFonts w:ascii="Times New Roman" w:eastAsia="Times New Roman" w:hAnsi="Times New Roman" w:cs="Times New Roman"/>
          <w:noProof/>
          <w:kern w:val="36"/>
          <w:sz w:val="24"/>
          <w:szCs w:val="24"/>
          <w:lang w:eastAsia="pt-PT"/>
        </w:rPr>
        <w:t>i</w:t>
      </w:r>
      <w:r w:rsidR="00410137" w:rsidRPr="00BB4F99">
        <w:rPr>
          <w:rFonts w:ascii="Times New Roman" w:eastAsia="Times New Roman" w:hAnsi="Times New Roman" w:cs="Times New Roman"/>
          <w:noProof/>
          <w:kern w:val="36"/>
          <w:sz w:val="24"/>
          <w:szCs w:val="24"/>
          <w:lang w:eastAsia="pt-PT"/>
        </w:rPr>
        <w:t>ntrometer-se no que continua a ser considerado como a vida privada dos outros</w:t>
      </w:r>
      <w:r w:rsidRPr="00BB4F99">
        <w:rPr>
          <w:rFonts w:ascii="Times New Roman" w:eastAsia="Times New Roman" w:hAnsi="Times New Roman" w:cs="Times New Roman"/>
          <w:noProof/>
          <w:kern w:val="36"/>
          <w:sz w:val="24"/>
          <w:szCs w:val="24"/>
          <w:lang w:eastAsia="pt-PT"/>
        </w:rPr>
        <w:t xml:space="preserve">. Para além das dificuldades probatórias existentes e conhecidas, há ainda que considerar as limitações pessoais da vítima relativamente a falar sobre a sua própria situação, tanto por vergonha, </w:t>
      </w:r>
      <w:r w:rsidR="00410137">
        <w:rPr>
          <w:rFonts w:ascii="Times New Roman" w:eastAsia="Times New Roman" w:hAnsi="Times New Roman" w:cs="Times New Roman"/>
          <w:noProof/>
          <w:kern w:val="36"/>
          <w:sz w:val="24"/>
          <w:szCs w:val="24"/>
          <w:lang w:eastAsia="pt-PT"/>
        </w:rPr>
        <w:t xml:space="preserve">receio da reação do agressor, </w:t>
      </w:r>
      <w:r w:rsidR="006A3263">
        <w:rPr>
          <w:rFonts w:ascii="Times New Roman" w:eastAsia="Times New Roman" w:hAnsi="Times New Roman" w:cs="Times New Roman"/>
          <w:noProof/>
          <w:kern w:val="36"/>
          <w:sz w:val="24"/>
          <w:szCs w:val="24"/>
          <w:lang w:eastAsia="pt-PT"/>
        </w:rPr>
        <w:t xml:space="preserve">como pelo reviver das situações por que passou, que constitui mais uma vitimização da vitima, </w:t>
      </w:r>
      <w:r w:rsidRPr="00BB4F99">
        <w:rPr>
          <w:rFonts w:ascii="Times New Roman" w:eastAsia="Times New Roman" w:hAnsi="Times New Roman" w:cs="Times New Roman"/>
          <w:noProof/>
          <w:kern w:val="36"/>
          <w:sz w:val="24"/>
          <w:szCs w:val="24"/>
          <w:lang w:eastAsia="pt-PT"/>
        </w:rPr>
        <w:t>como por existência de dependência económica</w:t>
      </w:r>
      <w:r w:rsidR="00410137">
        <w:rPr>
          <w:rFonts w:ascii="Times New Roman" w:eastAsia="Times New Roman" w:hAnsi="Times New Roman" w:cs="Times New Roman"/>
          <w:noProof/>
          <w:kern w:val="36"/>
          <w:sz w:val="24"/>
          <w:szCs w:val="24"/>
          <w:lang w:eastAsia="pt-PT"/>
        </w:rPr>
        <w:t xml:space="preserve"> </w:t>
      </w:r>
      <w:r w:rsidRPr="00BB4F99">
        <w:rPr>
          <w:rFonts w:ascii="Times New Roman" w:eastAsia="Times New Roman" w:hAnsi="Times New Roman" w:cs="Times New Roman"/>
          <w:noProof/>
          <w:kern w:val="36"/>
          <w:sz w:val="24"/>
          <w:szCs w:val="24"/>
          <w:lang w:eastAsia="pt-PT"/>
        </w:rPr>
        <w:t xml:space="preserve">ou outra, </w:t>
      </w:r>
      <w:r w:rsidR="00410137">
        <w:rPr>
          <w:rFonts w:ascii="Times New Roman" w:eastAsia="Times New Roman" w:hAnsi="Times New Roman" w:cs="Times New Roman"/>
          <w:noProof/>
          <w:kern w:val="36"/>
          <w:sz w:val="24"/>
          <w:szCs w:val="24"/>
          <w:lang w:eastAsia="pt-PT"/>
        </w:rPr>
        <w:t xml:space="preserve">apesar de serem crescentes as </w:t>
      </w:r>
      <w:r w:rsidR="00410137" w:rsidRPr="00BB4F99">
        <w:rPr>
          <w:rFonts w:ascii="Times New Roman" w:eastAsia="Times New Roman" w:hAnsi="Times New Roman" w:cs="Times New Roman"/>
          <w:noProof/>
          <w:kern w:val="36"/>
          <w:sz w:val="24"/>
          <w:szCs w:val="24"/>
          <w:lang w:eastAsia="pt-PT"/>
        </w:rPr>
        <w:t>situações em que as vítimas não dependem economicamente do agressor, fruto de um nível cada vez mais elevado de instrução das mulheres</w:t>
      </w:r>
      <w:r w:rsidR="00410137">
        <w:rPr>
          <w:rFonts w:ascii="Times New Roman" w:eastAsia="Times New Roman" w:hAnsi="Times New Roman" w:cs="Times New Roman"/>
          <w:noProof/>
          <w:kern w:val="36"/>
          <w:sz w:val="24"/>
          <w:szCs w:val="24"/>
          <w:lang w:eastAsia="pt-PT"/>
        </w:rPr>
        <w:t>.</w:t>
      </w:r>
      <w:r w:rsidR="00410137" w:rsidRPr="00BB4F99">
        <w:rPr>
          <w:rFonts w:ascii="Times New Roman" w:eastAsia="Times New Roman" w:hAnsi="Times New Roman" w:cs="Times New Roman"/>
          <w:noProof/>
          <w:kern w:val="36"/>
          <w:sz w:val="24"/>
          <w:szCs w:val="24"/>
          <w:lang w:eastAsia="pt-PT"/>
        </w:rPr>
        <w:t xml:space="preserve"> </w:t>
      </w:r>
    </w:p>
    <w:p w14:paraId="4F75C86B" w14:textId="79593801" w:rsidR="006A3263" w:rsidRPr="006A3263" w:rsidRDefault="006A3263" w:rsidP="006A3263">
      <w:pPr>
        <w:pStyle w:val="PargrafodaLista"/>
        <w:numPr>
          <w:ilvl w:val="0"/>
          <w:numId w:val="2"/>
        </w:numPr>
        <w:spacing w:after="200" w:line="360" w:lineRule="auto"/>
        <w:jc w:val="both"/>
        <w:rPr>
          <w:rFonts w:ascii="Times New Roman" w:eastAsia="Times New Roman" w:hAnsi="Times New Roman" w:cs="Times New Roman"/>
          <w:b/>
          <w:bCs/>
          <w:noProof/>
          <w:kern w:val="36"/>
          <w:sz w:val="24"/>
          <w:szCs w:val="24"/>
          <w:lang w:eastAsia="pt-PT"/>
        </w:rPr>
      </w:pPr>
      <w:r w:rsidRPr="006A3263">
        <w:rPr>
          <w:rFonts w:ascii="Times New Roman" w:eastAsia="Times New Roman" w:hAnsi="Times New Roman" w:cs="Times New Roman"/>
          <w:b/>
          <w:bCs/>
          <w:noProof/>
          <w:kern w:val="36"/>
          <w:sz w:val="24"/>
          <w:szCs w:val="24"/>
          <w:lang w:eastAsia="pt-PT"/>
        </w:rPr>
        <w:t>O primeiro “ataque” à proteção institucional dos Direitos Humanos da Mulheres</w:t>
      </w:r>
    </w:p>
    <w:p w14:paraId="616DD1AF" w14:textId="0D42BD74" w:rsidR="00BB4F99" w:rsidRPr="00AC32D1" w:rsidRDefault="00AC32D1" w:rsidP="00AC32D1">
      <w:pPr>
        <w:spacing w:line="360" w:lineRule="auto"/>
        <w:jc w:val="both"/>
        <w:rPr>
          <w:rFonts w:ascii="Times New Roman" w:hAnsi="Times New Roman" w:cs="Times New Roman"/>
          <w:noProof/>
          <w:sz w:val="24"/>
          <w:szCs w:val="24"/>
        </w:rPr>
      </w:pPr>
      <w:r w:rsidRPr="00AC32D1">
        <w:rPr>
          <w:rFonts w:ascii="Times New Roman" w:eastAsia="Times New Roman" w:hAnsi="Times New Roman" w:cs="Times New Roman"/>
          <w:noProof/>
          <w:kern w:val="36"/>
          <w:sz w:val="24"/>
          <w:szCs w:val="24"/>
          <w:lang w:eastAsia="pt-PT"/>
        </w:rPr>
        <w:t xml:space="preserve">Apesar da importância da Convenção de Istambul, infelizmente, o regime turco decidiu recentemente desvincular-se da Convenção, invocando que a Convenção ficou refém de um grupo de cidadãos que pretendem a aceitação da homosexualidade o que contraria os valores sociais e famíliares daquele pais. È de lamentar o profundo retrocesso que tal posição pode implicar, em várias perspetivas. Numa perspetiva jusfamiliar, num pais que após a implantação da República e consequente abolição do Califado Otomano (1924), com a sua história de 600 anos, adotou, pela mão de Ataturk, uma das legislações mais evoluidas da Europa, no seu tempo, o Código Civil Suiço, em vigor desde 4 outubro de 1926,  ao mesmo tempo que aboliu a Sharia. Foi a conjugação destes fenómenos, que possibilitou uma evolução muito significativa do estatuto das mulheres, ao longo de décadas, que a Convenção de Istambul vinha reforçar. Numa perspetiva de direitos humanos das mulheres naquele pais, a decisão pode ser ainda mais devastadora, pois, deixando o mesmo de estar vinculado à Convenção, após a ter incorporado no seu direito interno, são expectáveis alterações legislativas, com impacto na diminuição do padrão de proteção dos direitos humanos das mulheres turcas. </w:t>
      </w:r>
    </w:p>
    <w:sectPr w:rsidR="00BB4F99" w:rsidRPr="00AC32D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3332E" w14:textId="77777777" w:rsidR="004647B7" w:rsidRDefault="004647B7" w:rsidP="00BB4F99">
      <w:pPr>
        <w:spacing w:after="0" w:line="240" w:lineRule="auto"/>
      </w:pPr>
      <w:r>
        <w:separator/>
      </w:r>
    </w:p>
  </w:endnote>
  <w:endnote w:type="continuationSeparator" w:id="0">
    <w:p w14:paraId="20E24445" w14:textId="77777777" w:rsidR="004647B7" w:rsidRDefault="004647B7" w:rsidP="00BB4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D9E49D" w14:textId="77777777" w:rsidR="004647B7" w:rsidRDefault="004647B7" w:rsidP="00BB4F99">
      <w:pPr>
        <w:spacing w:after="0" w:line="240" w:lineRule="auto"/>
      </w:pPr>
      <w:r>
        <w:separator/>
      </w:r>
    </w:p>
  </w:footnote>
  <w:footnote w:type="continuationSeparator" w:id="0">
    <w:p w14:paraId="0B9308B2" w14:textId="77777777" w:rsidR="004647B7" w:rsidRDefault="004647B7" w:rsidP="00BB4F99">
      <w:pPr>
        <w:spacing w:after="0" w:line="240" w:lineRule="auto"/>
      </w:pPr>
      <w:r>
        <w:continuationSeparator/>
      </w:r>
    </w:p>
  </w:footnote>
  <w:footnote w:id="1">
    <w:p w14:paraId="03209405" w14:textId="4E2036C8" w:rsidR="00AC32D1" w:rsidRPr="00AC32D1" w:rsidRDefault="00AC32D1" w:rsidP="00AC32D1">
      <w:pPr>
        <w:pStyle w:val="Textodenotaderodap"/>
        <w:tabs>
          <w:tab w:val="left" w:pos="0"/>
          <w:tab w:val="left" w:pos="567"/>
        </w:tabs>
        <w:jc w:val="both"/>
        <w:rPr>
          <w:rFonts w:ascii="Times New Roman" w:hAnsi="Times New Roman"/>
        </w:rPr>
      </w:pPr>
      <w:r>
        <w:rPr>
          <w:rStyle w:val="Refdenotaderodap"/>
          <w:b/>
          <w:bCs/>
        </w:rPr>
        <w:t>*</w:t>
      </w:r>
      <w:r>
        <w:rPr>
          <w:rFonts w:ascii="Times New Roman" w:hAnsi="Times New Roman"/>
          <w:b/>
          <w:bCs/>
        </w:rPr>
        <w:t xml:space="preserve"> </w:t>
      </w:r>
      <w:r>
        <w:rPr>
          <w:rFonts w:ascii="Times New Roman" w:hAnsi="Times New Roman"/>
        </w:rPr>
        <w:t>Professora da Faculdade de Direito da Universidade Lusíada, Portugal.</w:t>
      </w:r>
    </w:p>
  </w:footnote>
  <w:footnote w:id="2">
    <w:p w14:paraId="3A592536" w14:textId="77777777" w:rsidR="00BB4F99" w:rsidRDefault="00BB4F99" w:rsidP="00BB4F99">
      <w:pPr>
        <w:tabs>
          <w:tab w:val="left" w:pos="0"/>
          <w:tab w:val="left" w:pos="567"/>
        </w:tabs>
        <w:spacing w:line="240" w:lineRule="auto"/>
        <w:jc w:val="both"/>
        <w:rPr>
          <w:rFonts w:ascii="Times New Roman" w:hAnsi="Times New Roman"/>
          <w:sz w:val="20"/>
          <w:szCs w:val="20"/>
        </w:rPr>
      </w:pPr>
      <w:r>
        <w:rPr>
          <w:rStyle w:val="Refdenotaderodap"/>
          <w:sz w:val="20"/>
          <w:szCs w:val="20"/>
        </w:rPr>
        <w:footnoteRef/>
      </w:r>
      <w:r>
        <w:rPr>
          <w:rFonts w:ascii="Times New Roman" w:hAnsi="Times New Roman"/>
          <w:sz w:val="20"/>
          <w:szCs w:val="20"/>
        </w:rPr>
        <w:t xml:space="preserve"> Assim o acórdão do Tribunal da Relação de Lisboa, de 21.02.2018, proferido no Proc. N.º 1119/16.1PTLSB.L1-3, por unanimidade, relatora Teresa Féria</w:t>
      </w:r>
      <w:bookmarkStart w:id="0" w:name="_Hlk44389574"/>
      <w:r>
        <w:rPr>
          <w:rFonts w:ascii="Times New Roman" w:hAnsi="Times New Roman"/>
          <w:sz w:val="20"/>
          <w:szCs w:val="20"/>
        </w:rPr>
        <w:t xml:space="preserve">. Disponível em: </w:t>
      </w:r>
      <w:hyperlink r:id="rId1" w:history="1">
        <w:r w:rsidRPr="00AC32D1">
          <w:rPr>
            <w:rStyle w:val="Hiperligao"/>
            <w:color w:val="auto"/>
            <w:sz w:val="20"/>
            <w:szCs w:val="20"/>
          </w:rPr>
          <w:t>www.dgsi.pt</w:t>
        </w:r>
      </w:hyperlink>
      <w:r w:rsidRPr="00AC32D1">
        <w:rPr>
          <w:rFonts w:ascii="Times New Roman" w:hAnsi="Times New Roman"/>
          <w:sz w:val="20"/>
          <w:szCs w:val="20"/>
        </w:rPr>
        <w:t xml:space="preserve">, </w:t>
      </w:r>
      <w:r>
        <w:rPr>
          <w:rFonts w:ascii="Times New Roman" w:hAnsi="Times New Roman"/>
          <w:sz w:val="20"/>
          <w:szCs w:val="20"/>
        </w:rPr>
        <w:t xml:space="preserve">consultado em 13 de maio de 2020. </w:t>
      </w:r>
      <w:bookmarkEnd w:id="0"/>
    </w:p>
  </w:footnote>
  <w:footnote w:id="3">
    <w:p w14:paraId="08F55832" w14:textId="77777777" w:rsidR="00BB4F99" w:rsidRDefault="00BB4F99" w:rsidP="00BB4F99">
      <w:pPr>
        <w:tabs>
          <w:tab w:val="left" w:pos="0"/>
          <w:tab w:val="left" w:pos="567"/>
        </w:tabs>
        <w:spacing w:line="240" w:lineRule="auto"/>
        <w:jc w:val="both"/>
        <w:rPr>
          <w:rFonts w:ascii="Times New Roman" w:hAnsi="Times New Roman"/>
          <w:sz w:val="20"/>
          <w:szCs w:val="20"/>
        </w:rPr>
      </w:pPr>
      <w:r>
        <w:rPr>
          <w:rStyle w:val="Refdenotaderodap"/>
          <w:sz w:val="20"/>
          <w:szCs w:val="20"/>
        </w:rPr>
        <w:footnoteRef/>
      </w:r>
      <w:r>
        <w:rPr>
          <w:rFonts w:ascii="Times New Roman" w:hAnsi="Times New Roman"/>
          <w:sz w:val="20"/>
          <w:szCs w:val="20"/>
        </w:rPr>
        <w:t xml:space="preserve"> Acórdão do Tribunal da Relação de Lisboa, de 21.02.2018, proferido no Proc. N.º 1119/16.1PTLSB.L1-3, supramencionado.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A35B0"/>
    <w:multiLevelType w:val="multilevel"/>
    <w:tmpl w:val="74F69BBE"/>
    <w:lvl w:ilvl="0">
      <w:start w:val="1"/>
      <w:numFmt w:val="decimal"/>
      <w:lvlText w:val="%1."/>
      <w:lvlJc w:val="left"/>
      <w:pPr>
        <w:ind w:left="720" w:hanging="360"/>
      </w:pPr>
      <w:rPr>
        <w:rFonts w:eastAsia="Times New Roman"/>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1BF12A86"/>
    <w:multiLevelType w:val="hybridMultilevel"/>
    <w:tmpl w:val="E04C6140"/>
    <w:lvl w:ilvl="0" w:tplc="5AACFD44">
      <w:start w:val="2"/>
      <w:numFmt w:val="upperRoman"/>
      <w:lvlText w:val="%1."/>
      <w:lvlJc w:val="left"/>
      <w:pPr>
        <w:ind w:left="1080" w:hanging="720"/>
      </w:pPr>
      <w:rPr>
        <w:rFonts w:eastAsia="Times New Roman"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210F754B"/>
    <w:multiLevelType w:val="hybridMultilevel"/>
    <w:tmpl w:val="D212A378"/>
    <w:lvl w:ilvl="0" w:tplc="7292EDAE">
      <w:start w:val="1"/>
      <w:numFmt w:val="upperRoman"/>
      <w:lvlText w:val="%1."/>
      <w:lvlJc w:val="left"/>
      <w:pPr>
        <w:ind w:left="1428" w:hanging="72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99"/>
    <w:rsid w:val="000504AA"/>
    <w:rsid w:val="003304AF"/>
    <w:rsid w:val="00410137"/>
    <w:rsid w:val="004647B7"/>
    <w:rsid w:val="006A3263"/>
    <w:rsid w:val="00AC32D1"/>
    <w:rsid w:val="00B11184"/>
    <w:rsid w:val="00BB4F9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C4D3D"/>
  <w15:chartTrackingRefBased/>
  <w15:docId w15:val="{DDAE8B0C-699F-4534-AFD9-3DE9C949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B4F99"/>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lang w:val="es-E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BB4F99"/>
    <w:rPr>
      <w:rFonts w:ascii="Times New Roman" w:hAnsi="Times New Roman" w:cs="Times New Roman"/>
      <w:sz w:val="24"/>
      <w:szCs w:val="24"/>
    </w:rPr>
  </w:style>
  <w:style w:type="character" w:customStyle="1" w:styleId="TextodenotaderodapCarter">
    <w:name w:val="Texto de nota de rodapé Caráter"/>
    <w:aliases w:val="Footnote Text Char Char Char Char Char Caráter,Footnote Text Char Char Char Char Caráter,Footnote reference Caráter,FA Fu Caráter,Footnote Text Char Char Char Caráter,Footnote Text Cha Caráter,FA Fußnotentext Caráter"/>
    <w:basedOn w:val="Tipodeletrapredefinidodopargrafo"/>
    <w:link w:val="Textodenotaderodap"/>
    <w:uiPriority w:val="99"/>
    <w:semiHidden/>
    <w:locked/>
    <w:rsid w:val="00BB4F99"/>
    <w:rPr>
      <w:rFonts w:ascii="Calibri" w:eastAsia="Calibri" w:hAnsi="Calibri" w:cs="Times New Roman"/>
      <w:sz w:val="20"/>
      <w:szCs w:val="20"/>
    </w:rPr>
  </w:style>
  <w:style w:type="paragraph" w:styleId="Textodenotaderodap">
    <w:name w:val="footnote text"/>
    <w:aliases w:val="Footnote Text Char Char Char Char Char,Footnote Text Char Char Char Char,Footnote reference,FA Fu,Footnote Text Char Char Char,Footnote Text Cha,FA Fußnotentext,FA Fu?notentext,Footnote Text Char Char,FA Fuﬂnotentext,Ca,C,ft"/>
    <w:basedOn w:val="Normal"/>
    <w:link w:val="TextodenotaderodapCarter"/>
    <w:uiPriority w:val="99"/>
    <w:semiHidden/>
    <w:unhideWhenUsed/>
    <w:qFormat/>
    <w:rsid w:val="00BB4F99"/>
    <w:pPr>
      <w:spacing w:after="0" w:line="240" w:lineRule="auto"/>
    </w:pPr>
    <w:rPr>
      <w:rFonts w:ascii="Calibri" w:eastAsia="Calibri" w:hAnsi="Calibri" w:cs="Times New Roman"/>
      <w:sz w:val="20"/>
      <w:szCs w:val="20"/>
    </w:rPr>
  </w:style>
  <w:style w:type="character" w:customStyle="1" w:styleId="TextodenotaderodapCarter1">
    <w:name w:val="Texto de nota de rodapé Caráter1"/>
    <w:basedOn w:val="Tipodeletrapredefinidodopargrafo"/>
    <w:uiPriority w:val="99"/>
    <w:semiHidden/>
    <w:rsid w:val="00BB4F99"/>
    <w:rPr>
      <w:sz w:val="20"/>
      <w:szCs w:val="20"/>
    </w:rPr>
  </w:style>
  <w:style w:type="character" w:styleId="Refdenotaderodap">
    <w:name w:val="footnote reference"/>
    <w:aliases w:val="Texto de nota al pie,Appel note de bas de page,Footnotes refss,Footnote number,referencia nota al pie,BVI fnr,f,4_G,16 Point,Superscript 6 Point,Texto nota al pie,Footnote Reference Char3,Footnote Reference Char1 Char"/>
    <w:link w:val="4GChar"/>
    <w:uiPriority w:val="99"/>
    <w:unhideWhenUsed/>
    <w:qFormat/>
    <w:rsid w:val="00BB4F99"/>
    <w:rPr>
      <w:rFonts w:ascii="Times New Roman" w:hAnsi="Times New Roman" w:cs="Times New Roman"/>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derodap"/>
    <w:uiPriority w:val="99"/>
    <w:qFormat/>
    <w:rsid w:val="00BB4F99"/>
    <w:pPr>
      <w:spacing w:after="0" w:line="240" w:lineRule="auto"/>
      <w:jc w:val="both"/>
    </w:pPr>
    <w:rPr>
      <w:rFonts w:ascii="Times New Roman" w:hAnsi="Times New Roman" w:cs="Times New Roman"/>
      <w:vertAlign w:val="superscript"/>
    </w:rPr>
  </w:style>
  <w:style w:type="character" w:customStyle="1" w:styleId="Ttulo1Carter">
    <w:name w:val="Título 1 Caráter"/>
    <w:basedOn w:val="Tipodeletrapredefinidodopargrafo"/>
    <w:link w:val="Ttulo1"/>
    <w:uiPriority w:val="9"/>
    <w:rsid w:val="00BB4F99"/>
    <w:rPr>
      <w:rFonts w:asciiTheme="majorHAnsi" w:eastAsiaTheme="majorEastAsia" w:hAnsiTheme="majorHAnsi" w:cstheme="majorBidi"/>
      <w:color w:val="2F5496" w:themeColor="accent1" w:themeShade="BF"/>
      <w:sz w:val="32"/>
      <w:szCs w:val="32"/>
      <w:lang w:val="es-ES"/>
    </w:rPr>
  </w:style>
  <w:style w:type="character" w:styleId="Hiperligao">
    <w:name w:val="Hyperlink"/>
    <w:semiHidden/>
    <w:unhideWhenUsed/>
    <w:rsid w:val="00BB4F99"/>
    <w:rPr>
      <w:rFonts w:ascii="Times New Roman" w:hAnsi="Times New Roman" w:cs="Times New Roman" w:hint="default"/>
      <w:color w:val="0000FF"/>
      <w:u w:val="single"/>
    </w:rPr>
  </w:style>
  <w:style w:type="paragraph" w:styleId="PargrafodaLista">
    <w:name w:val="List Paragraph"/>
    <w:basedOn w:val="Normal"/>
    <w:uiPriority w:val="34"/>
    <w:qFormat/>
    <w:rsid w:val="00B11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dgsi.p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37596-DBF6-4D09-982F-4CCFB2A63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1833</Words>
  <Characters>9901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sofia gomes</dc:creator>
  <cp:keywords/>
  <dc:description/>
  <cp:lastModifiedBy>ana sofia gomes</cp:lastModifiedBy>
  <cp:revision>2</cp:revision>
  <dcterms:created xsi:type="dcterms:W3CDTF">2021-03-26T19:33:00Z</dcterms:created>
  <dcterms:modified xsi:type="dcterms:W3CDTF">2021-03-26T19:33:00Z</dcterms:modified>
</cp:coreProperties>
</file>