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54D" w:rsidRDefault="0099654D" w:rsidP="0099654D">
      <w:pPr>
        <w:autoSpaceDE w:val="0"/>
        <w:autoSpaceDN w:val="0"/>
        <w:adjustRightInd w:val="0"/>
        <w:spacing w:after="0"/>
        <w:jc w:val="right"/>
        <w:rPr>
          <w:rFonts w:ascii="Times New Roman" w:hAnsi="Times New Roman"/>
          <w:b/>
          <w:sz w:val="28"/>
          <w:szCs w:val="28"/>
          <w:lang w:eastAsia="es-ES"/>
        </w:rPr>
      </w:pPr>
      <w:r w:rsidRPr="00387212">
        <w:rPr>
          <w:rFonts w:ascii="Times New Roman" w:hAnsi="Times New Roman"/>
          <w:b/>
          <w:sz w:val="28"/>
          <w:szCs w:val="28"/>
          <w:lang w:eastAsia="es-ES"/>
        </w:rPr>
        <w:t xml:space="preserve">VIOLENCIA </w:t>
      </w:r>
      <w:r>
        <w:rPr>
          <w:rFonts w:ascii="Times New Roman" w:hAnsi="Times New Roman"/>
          <w:b/>
          <w:sz w:val="28"/>
          <w:szCs w:val="28"/>
          <w:lang w:eastAsia="es-ES"/>
        </w:rPr>
        <w:t>CONTRA LA MUJER</w:t>
      </w:r>
      <w:r w:rsidRPr="00387212">
        <w:rPr>
          <w:rFonts w:ascii="Times New Roman" w:hAnsi="Times New Roman"/>
          <w:b/>
          <w:sz w:val="28"/>
          <w:szCs w:val="28"/>
          <w:lang w:eastAsia="es-ES"/>
        </w:rPr>
        <w:t xml:space="preserve"> Y </w:t>
      </w:r>
    </w:p>
    <w:p w:rsidR="0099654D" w:rsidRPr="00387212" w:rsidRDefault="0099654D" w:rsidP="0099654D">
      <w:pPr>
        <w:autoSpaceDE w:val="0"/>
        <w:autoSpaceDN w:val="0"/>
        <w:adjustRightInd w:val="0"/>
        <w:spacing w:after="0"/>
        <w:jc w:val="right"/>
        <w:rPr>
          <w:rFonts w:ascii="Times New Roman" w:hAnsi="Times New Roman"/>
          <w:b/>
          <w:sz w:val="28"/>
          <w:szCs w:val="28"/>
          <w:lang w:eastAsia="es-ES"/>
        </w:rPr>
      </w:pPr>
      <w:r w:rsidRPr="00387212">
        <w:rPr>
          <w:rFonts w:ascii="Times New Roman" w:hAnsi="Times New Roman"/>
          <w:b/>
          <w:sz w:val="28"/>
          <w:szCs w:val="28"/>
          <w:lang w:eastAsia="es-ES"/>
        </w:rPr>
        <w:t>DESAPARICIONES FORZADAS</w:t>
      </w:r>
    </w:p>
    <w:p w:rsidR="0099654D" w:rsidRPr="00387212" w:rsidRDefault="0099654D" w:rsidP="0099654D">
      <w:pPr>
        <w:autoSpaceDE w:val="0"/>
        <w:autoSpaceDN w:val="0"/>
        <w:adjustRightInd w:val="0"/>
        <w:spacing w:after="0"/>
        <w:jc w:val="right"/>
        <w:rPr>
          <w:rFonts w:ascii="Times New Roman" w:hAnsi="Times New Roman"/>
          <w:b/>
          <w:sz w:val="24"/>
          <w:szCs w:val="24"/>
          <w:lang w:eastAsia="es-ES"/>
        </w:rPr>
      </w:pPr>
    </w:p>
    <w:p w:rsidR="0099654D" w:rsidRPr="00387212" w:rsidRDefault="0099654D" w:rsidP="0099654D">
      <w:pPr>
        <w:autoSpaceDE w:val="0"/>
        <w:autoSpaceDN w:val="0"/>
        <w:adjustRightInd w:val="0"/>
        <w:spacing w:after="0"/>
        <w:ind w:left="360"/>
        <w:jc w:val="right"/>
        <w:rPr>
          <w:rFonts w:ascii="Times New Roman" w:hAnsi="Times New Roman"/>
          <w:b/>
          <w:sz w:val="24"/>
          <w:szCs w:val="24"/>
          <w:lang w:eastAsia="es-ES"/>
        </w:rPr>
      </w:pPr>
      <w:r w:rsidRPr="00387212">
        <w:rPr>
          <w:rFonts w:ascii="Times New Roman" w:hAnsi="Times New Roman"/>
          <w:sz w:val="24"/>
          <w:szCs w:val="24"/>
          <w:lang w:eastAsia="es-ES"/>
        </w:rPr>
        <w:t>Juan Manuel López Ulla</w:t>
      </w:r>
      <w:r w:rsidRPr="00387212">
        <w:rPr>
          <w:rStyle w:val="Refdenotaalpie"/>
          <w:rFonts w:ascii="Times New Roman" w:hAnsi="Times New Roman"/>
          <w:sz w:val="20"/>
          <w:szCs w:val="20"/>
        </w:rPr>
        <w:footnoteReference w:customMarkFollows="1" w:id="1"/>
        <w:sym w:font="Symbol" w:char="F02A"/>
      </w:r>
    </w:p>
    <w:p w:rsidR="0099654D" w:rsidRDefault="0099654D" w:rsidP="0099654D">
      <w:pPr>
        <w:pStyle w:val="Prrafodelista"/>
        <w:spacing w:after="160"/>
        <w:jc w:val="both"/>
        <w:rPr>
          <w:rFonts w:ascii="Times New Roman" w:hAnsi="Times New Roman"/>
          <w:b/>
          <w:sz w:val="24"/>
          <w:szCs w:val="24"/>
        </w:rPr>
      </w:pPr>
    </w:p>
    <w:p w:rsidR="0099654D" w:rsidRDefault="0099654D" w:rsidP="0099654D">
      <w:pPr>
        <w:pStyle w:val="Prrafodelista"/>
        <w:spacing w:after="160"/>
        <w:jc w:val="both"/>
        <w:rPr>
          <w:rFonts w:ascii="Times New Roman" w:hAnsi="Times New Roman"/>
          <w:sz w:val="24"/>
          <w:szCs w:val="24"/>
        </w:rPr>
      </w:pPr>
      <w:r w:rsidRPr="0099654D">
        <w:rPr>
          <w:rFonts w:ascii="Times New Roman" w:hAnsi="Times New Roman"/>
          <w:sz w:val="24"/>
          <w:szCs w:val="24"/>
        </w:rPr>
        <w:t xml:space="preserve">Resumen del capítulo de libro publicado en la obra colectiva </w:t>
      </w:r>
      <w:r w:rsidRPr="0099654D">
        <w:rPr>
          <w:rFonts w:ascii="Times New Roman" w:hAnsi="Times New Roman"/>
          <w:i/>
          <w:sz w:val="24"/>
          <w:szCs w:val="24"/>
        </w:rPr>
        <w:t>Combatiendo la violencia contra la mujer: experiencias europeas y americanas</w:t>
      </w:r>
      <w:r>
        <w:rPr>
          <w:rFonts w:ascii="Times New Roman" w:hAnsi="Times New Roman"/>
          <w:sz w:val="24"/>
          <w:szCs w:val="24"/>
        </w:rPr>
        <w:t>, Aranzadi</w:t>
      </w:r>
      <w:r w:rsidRPr="0099654D">
        <w:rPr>
          <w:rFonts w:ascii="Times New Roman" w:hAnsi="Times New Roman"/>
          <w:sz w:val="24"/>
          <w:szCs w:val="24"/>
        </w:rPr>
        <w:t xml:space="preserve"> &amp; Thomson Reuters, 2020</w:t>
      </w:r>
      <w:r>
        <w:rPr>
          <w:rFonts w:ascii="Times New Roman" w:hAnsi="Times New Roman"/>
          <w:sz w:val="24"/>
          <w:szCs w:val="24"/>
        </w:rPr>
        <w:t>.</w:t>
      </w:r>
    </w:p>
    <w:p w:rsidR="0099654D" w:rsidRPr="0099654D" w:rsidRDefault="0099654D" w:rsidP="0099654D">
      <w:pPr>
        <w:pStyle w:val="Prrafodelista"/>
        <w:spacing w:after="160"/>
        <w:jc w:val="both"/>
        <w:rPr>
          <w:rFonts w:ascii="Times New Roman" w:hAnsi="Times New Roman"/>
          <w:sz w:val="24"/>
          <w:szCs w:val="24"/>
        </w:rPr>
      </w:pPr>
    </w:p>
    <w:p w:rsidR="0099654D" w:rsidRDefault="0099654D" w:rsidP="0099654D">
      <w:pPr>
        <w:ind w:left="1134" w:hanging="1134"/>
        <w:jc w:val="both"/>
        <w:rPr>
          <w:rFonts w:ascii="Times New Roman" w:hAnsi="Times New Roman"/>
          <w:sz w:val="20"/>
          <w:szCs w:val="20"/>
        </w:rPr>
      </w:pPr>
      <w:r w:rsidRPr="00387212">
        <w:rPr>
          <w:rFonts w:ascii="Times New Roman" w:hAnsi="Times New Roman"/>
          <w:sz w:val="20"/>
          <w:szCs w:val="20"/>
        </w:rPr>
        <w:t>SUMARIO</w:t>
      </w:r>
      <w:r>
        <w:rPr>
          <w:rFonts w:ascii="Times New Roman" w:hAnsi="Times New Roman"/>
          <w:sz w:val="20"/>
          <w:szCs w:val="20"/>
        </w:rPr>
        <w:t xml:space="preserve"> DEL CAPÍTULO DE LIBRO:</w:t>
      </w:r>
    </w:p>
    <w:p w:rsidR="0099654D" w:rsidRDefault="0099654D" w:rsidP="0099654D">
      <w:pPr>
        <w:ind w:left="1134" w:hanging="1134"/>
        <w:jc w:val="both"/>
        <w:rPr>
          <w:rFonts w:ascii="Times New Roman" w:hAnsi="Times New Roman"/>
          <w:sz w:val="20"/>
          <w:szCs w:val="20"/>
        </w:rPr>
      </w:pPr>
      <w:r w:rsidRPr="00387212">
        <w:rPr>
          <w:rFonts w:ascii="Times New Roman" w:hAnsi="Times New Roman"/>
          <w:sz w:val="20"/>
          <w:szCs w:val="20"/>
        </w:rPr>
        <w:tab/>
      </w:r>
      <w:r>
        <w:rPr>
          <w:rFonts w:ascii="Times New Roman" w:hAnsi="Times New Roman"/>
          <w:sz w:val="20"/>
          <w:szCs w:val="20"/>
        </w:rPr>
        <w:t xml:space="preserve"> </w:t>
      </w:r>
      <w:r w:rsidRPr="00387212">
        <w:rPr>
          <w:rFonts w:ascii="Times New Roman" w:hAnsi="Times New Roman"/>
          <w:sz w:val="20"/>
          <w:szCs w:val="20"/>
        </w:rPr>
        <w:t>I</w:t>
      </w:r>
      <w:r>
        <w:rPr>
          <w:rFonts w:ascii="Times New Roman" w:hAnsi="Times New Roman"/>
          <w:sz w:val="20"/>
          <w:szCs w:val="20"/>
        </w:rPr>
        <w:t>.DE</w:t>
      </w:r>
      <w:r w:rsidRPr="00387212">
        <w:rPr>
          <w:rFonts w:ascii="Times New Roman" w:hAnsi="Times New Roman"/>
          <w:sz w:val="20"/>
          <w:szCs w:val="20"/>
        </w:rPr>
        <w:t>SAPARICIONES</w:t>
      </w:r>
      <w:r>
        <w:rPr>
          <w:rFonts w:ascii="Times New Roman" w:hAnsi="Times New Roman"/>
          <w:sz w:val="20"/>
          <w:szCs w:val="20"/>
        </w:rPr>
        <w:t xml:space="preserve"> </w:t>
      </w:r>
      <w:r w:rsidRPr="00387212">
        <w:rPr>
          <w:rFonts w:ascii="Times New Roman" w:hAnsi="Times New Roman"/>
          <w:sz w:val="20"/>
          <w:szCs w:val="20"/>
        </w:rPr>
        <w:t>FORZADAS.  II. DESAPARECIDAS. III. DISCRIMINACIÓN POR RAZÓN DE GÉNERO Y VIOLENCIA CONTRA LA MUJER. IV. LAS MUJERES DE LOS DESAPARECIDOS SON VÍCTIMAS DIRECTAS. V. INFLUENCIA DE LOS PATRONES SOCIOCULTURALES DISCRIMINATORIOS EN LA INVESTIGACIÓN CUANDO LA VÍCTIMA ES UNA MUJER. VI. LA URGENCIA DE POLÍTICAS EFICACES DE PREVENCIÓN Y REPRESIÓN. VII. RELACIÓN DE SENTENCIAS CITADAS. VIII. BIBLIOGRAFÍA CITADA.</w:t>
      </w:r>
    </w:p>
    <w:p w:rsidR="00F31241" w:rsidRPr="00387212" w:rsidRDefault="00F31241" w:rsidP="0099654D">
      <w:pPr>
        <w:ind w:left="1134" w:hanging="1134"/>
        <w:jc w:val="both"/>
        <w:rPr>
          <w:rFonts w:ascii="Times New Roman" w:hAnsi="Times New Roman"/>
          <w:sz w:val="20"/>
          <w:szCs w:val="20"/>
        </w:rPr>
      </w:pPr>
      <w:bookmarkStart w:id="0" w:name="_GoBack"/>
      <w:bookmarkEnd w:id="0"/>
    </w:p>
    <w:p w:rsidR="0099654D" w:rsidRPr="00387212" w:rsidRDefault="0099654D" w:rsidP="0099654D">
      <w:pPr>
        <w:pStyle w:val="Prrafodelista"/>
        <w:numPr>
          <w:ilvl w:val="0"/>
          <w:numId w:val="1"/>
        </w:numPr>
        <w:spacing w:after="160"/>
        <w:jc w:val="both"/>
        <w:rPr>
          <w:rFonts w:ascii="Times New Roman" w:hAnsi="Times New Roman"/>
          <w:b/>
          <w:sz w:val="24"/>
          <w:szCs w:val="24"/>
        </w:rPr>
      </w:pPr>
      <w:r w:rsidRPr="00387212">
        <w:rPr>
          <w:rFonts w:ascii="Times New Roman" w:hAnsi="Times New Roman"/>
          <w:b/>
          <w:sz w:val="24"/>
          <w:szCs w:val="24"/>
        </w:rPr>
        <w:t>DESAPARICIONES FORZADAS</w:t>
      </w:r>
    </w:p>
    <w:p w:rsidR="0099654D" w:rsidRPr="00387212" w:rsidRDefault="0099654D" w:rsidP="0099654D">
      <w:pPr>
        <w:ind w:firstLine="360"/>
        <w:jc w:val="both"/>
        <w:rPr>
          <w:rFonts w:ascii="Times New Roman" w:hAnsi="Times New Roman"/>
          <w:sz w:val="24"/>
          <w:szCs w:val="24"/>
        </w:rPr>
      </w:pPr>
      <w:r w:rsidRPr="00387212">
        <w:rPr>
          <w:rFonts w:ascii="Times New Roman" w:hAnsi="Times New Roman"/>
          <w:sz w:val="24"/>
          <w:szCs w:val="24"/>
        </w:rPr>
        <w:t xml:space="preserve">En contextos de conflictos o represión, la desaparición forzada es una forma de combatir a la oposición política. </w:t>
      </w:r>
      <w:r w:rsidRPr="00387212">
        <w:rPr>
          <w:rFonts w:ascii="Times New Roman" w:eastAsia="Times New Roman" w:hAnsi="Times New Roman"/>
          <w:sz w:val="24"/>
          <w:szCs w:val="24"/>
          <w:lang w:val="es-ES_tradnl"/>
        </w:rPr>
        <w:t xml:space="preserve">En América Latina es donde un mayor número de casos se han denunciado y resuelto. Las primeras resoluciones de las Naciones Unidas </w:t>
      </w:r>
      <w:r w:rsidRPr="00387212">
        <w:rPr>
          <w:rFonts w:ascii="Times New Roman" w:hAnsi="Times New Roman"/>
          <w:sz w:val="24"/>
          <w:szCs w:val="24"/>
        </w:rPr>
        <w:t>sobre la cuestión de “los desaparecidos” se dictan a mediados de los setenta. En el ámbito de la Organización de Estados Americanos (OEA), la primera Sentencia de</w:t>
      </w:r>
      <w:r w:rsidRPr="00387212">
        <w:rPr>
          <w:rFonts w:ascii="Times New Roman" w:eastAsia="Times New Roman" w:hAnsi="Times New Roman"/>
          <w:sz w:val="24"/>
          <w:szCs w:val="24"/>
          <w:lang w:val="es-ES_tradnl"/>
        </w:rPr>
        <w:t xml:space="preserve"> la Corte Interamericana de Derechos Humanos (en adelante, CIDH) se dicta en el caso </w:t>
      </w:r>
      <w:r w:rsidRPr="004F0255">
        <w:rPr>
          <w:rFonts w:ascii="Times New Roman" w:eastAsia="Times New Roman" w:hAnsi="Times New Roman"/>
          <w:i/>
          <w:sz w:val="24"/>
          <w:szCs w:val="24"/>
          <w:lang w:val="es-ES_tradnl"/>
        </w:rPr>
        <w:t>Velásquez Rodríguez Vs. Honduras</w:t>
      </w:r>
      <w:r w:rsidRPr="00387212">
        <w:rPr>
          <w:rFonts w:ascii="Times New Roman" w:eastAsia="Times New Roman" w:hAnsi="Times New Roman"/>
          <w:sz w:val="24"/>
          <w:szCs w:val="24"/>
          <w:lang w:val="es-ES_tradnl"/>
        </w:rPr>
        <w:t xml:space="preserve"> (1988). Desde entonces, la CIDH ha conocido 42 casos relativos a desapariciones forzadas, dentro de los 182 casos contenciosos que ha resuelto hasta la fecha</w:t>
      </w:r>
      <w:r w:rsidRPr="00387212">
        <w:rPr>
          <w:rStyle w:val="Refdenotaalpie"/>
          <w:rFonts w:ascii="Times New Roman" w:eastAsia="Times New Roman" w:hAnsi="Times New Roman"/>
          <w:sz w:val="24"/>
          <w:szCs w:val="24"/>
          <w:lang w:val="es-ES_tradnl"/>
        </w:rPr>
        <w:footnoteReference w:id="2"/>
      </w:r>
      <w:r w:rsidRPr="00387212">
        <w:rPr>
          <w:rFonts w:ascii="Times New Roman" w:eastAsia="Times New Roman" w:hAnsi="Times New Roman"/>
          <w:sz w:val="24"/>
          <w:szCs w:val="24"/>
          <w:lang w:val="es-ES_tradnl"/>
        </w:rPr>
        <w:t>.</w:t>
      </w:r>
    </w:p>
    <w:p w:rsidR="0099654D" w:rsidRPr="00387212" w:rsidRDefault="0099654D" w:rsidP="0099654D">
      <w:pPr>
        <w:spacing w:after="0"/>
        <w:ind w:firstLine="360"/>
        <w:jc w:val="both"/>
        <w:rPr>
          <w:rFonts w:ascii="Times New Roman" w:eastAsia="Times New Roman" w:hAnsi="Times New Roman"/>
          <w:sz w:val="24"/>
          <w:szCs w:val="24"/>
        </w:rPr>
      </w:pPr>
      <w:r w:rsidRPr="00387212">
        <w:rPr>
          <w:rFonts w:ascii="Times New Roman" w:eastAsia="Times New Roman" w:hAnsi="Times New Roman"/>
          <w:sz w:val="24"/>
          <w:szCs w:val="24"/>
        </w:rPr>
        <w:t>En el ámbito del Consejo de Europa, la desaparición forzada es una práctica sobre la que encontramos alguna referencia en 1984, pero es a partir de los años noventa cuando el Tribunal Europeo de Derechos Humanos (en adelante, TEDH) comienza a recibir un gran número de demandas por detenciones ilegales, torturas, desapariciones forzadas o ejecuciones extrajudiciales</w:t>
      </w:r>
      <w:r w:rsidRPr="00387212">
        <w:rPr>
          <w:rFonts w:ascii="Times New Roman" w:eastAsia="Times New Roman" w:hAnsi="Times New Roman"/>
          <w:sz w:val="24"/>
          <w:szCs w:val="24"/>
          <w:vertAlign w:val="superscript"/>
          <w:lang w:val="it-IT"/>
        </w:rPr>
        <w:footnoteReference w:id="3"/>
      </w:r>
      <w:r w:rsidRPr="00387212">
        <w:rPr>
          <w:rFonts w:ascii="Times New Roman" w:eastAsia="Times New Roman" w:hAnsi="Times New Roman"/>
          <w:sz w:val="24"/>
          <w:szCs w:val="24"/>
        </w:rPr>
        <w:t>. La mayor parte de estas violaciones tuvieron lugar en el marco de conflictos armados o en periodos de gran inestabilidad interna</w:t>
      </w:r>
      <w:r w:rsidRPr="00387212">
        <w:rPr>
          <w:rFonts w:ascii="Times New Roman" w:eastAsia="Times New Roman" w:hAnsi="Times New Roman"/>
          <w:sz w:val="24"/>
          <w:szCs w:val="24"/>
          <w:vertAlign w:val="superscript"/>
          <w:lang w:val="en-GB"/>
        </w:rPr>
        <w:footnoteReference w:id="4"/>
      </w:r>
      <w:r w:rsidRPr="00387212">
        <w:rPr>
          <w:rFonts w:ascii="Times New Roman" w:eastAsia="Times New Roman" w:hAnsi="Times New Roman"/>
          <w:sz w:val="24"/>
          <w:szCs w:val="24"/>
        </w:rPr>
        <w:t>.</w:t>
      </w:r>
    </w:p>
    <w:p w:rsidR="0099654D" w:rsidRPr="00387212" w:rsidRDefault="0099654D" w:rsidP="0099654D">
      <w:pPr>
        <w:spacing w:after="0"/>
        <w:jc w:val="both"/>
        <w:rPr>
          <w:rFonts w:ascii="Times New Roman" w:eastAsia="Times New Roman" w:hAnsi="Times New Roman"/>
          <w:sz w:val="24"/>
          <w:szCs w:val="24"/>
        </w:rPr>
      </w:pPr>
    </w:p>
    <w:p w:rsidR="0099654D" w:rsidRPr="00387212" w:rsidRDefault="0099654D" w:rsidP="0099654D">
      <w:pPr>
        <w:spacing w:after="0"/>
        <w:ind w:firstLine="360"/>
        <w:jc w:val="both"/>
        <w:rPr>
          <w:rFonts w:ascii="Times New Roman" w:eastAsia="Times New Roman" w:hAnsi="Times New Roman"/>
          <w:sz w:val="24"/>
          <w:szCs w:val="24"/>
          <w:lang w:val="es-ES_tradnl"/>
        </w:rPr>
      </w:pPr>
      <w:r w:rsidRPr="00387212">
        <w:rPr>
          <w:rFonts w:ascii="Times New Roman" w:eastAsia="Times New Roman" w:hAnsi="Times New Roman"/>
          <w:sz w:val="24"/>
          <w:szCs w:val="24"/>
        </w:rPr>
        <w:t xml:space="preserve">En el sistema europeo de protección de derechos humanos se utiliza el concepto de </w:t>
      </w:r>
      <w:r w:rsidRPr="00387212">
        <w:rPr>
          <w:rFonts w:ascii="Times New Roman" w:eastAsia="Times New Roman" w:hAnsi="Times New Roman"/>
          <w:sz w:val="24"/>
          <w:szCs w:val="24"/>
          <w:lang w:val="es-ES_tradnl"/>
        </w:rPr>
        <w:t xml:space="preserve">“entrega extraordinaria” (en inglés, </w:t>
      </w:r>
      <w:r w:rsidRPr="00387212">
        <w:rPr>
          <w:rFonts w:ascii="Times New Roman" w:eastAsia="Times New Roman" w:hAnsi="Times New Roman"/>
          <w:i/>
          <w:sz w:val="24"/>
          <w:szCs w:val="24"/>
          <w:lang w:val="es-ES_tradnl"/>
        </w:rPr>
        <w:t>extraordinary rendition</w:t>
      </w:r>
      <w:r w:rsidRPr="00387212">
        <w:rPr>
          <w:rFonts w:ascii="Times New Roman" w:eastAsia="Times New Roman" w:hAnsi="Times New Roman"/>
          <w:sz w:val="24"/>
          <w:szCs w:val="24"/>
          <w:lang w:val="es-ES_tradnl"/>
        </w:rPr>
        <w:t xml:space="preserve">) para significar la desaparición forzada en la que intervienen dos o más países. Concretamente, este concepto se emplea cuando los agentes de un Estado, o las personas que actúan con su aquiescencia, entregan al detenido a las autoridades de otro Estado, bien en su mismo territorio o trasladándola a otro país. Todo, fuera de cualquier procedimiento legal. </w:t>
      </w:r>
      <w:r w:rsidRPr="00387212">
        <w:rPr>
          <w:rFonts w:ascii="Times New Roman" w:eastAsia="Times New Roman" w:hAnsi="Times New Roman"/>
          <w:sz w:val="24"/>
          <w:szCs w:val="24"/>
        </w:rPr>
        <w:t xml:space="preserve">El TEDH lo ha definido como el </w:t>
      </w:r>
      <w:r w:rsidRPr="00387212">
        <w:rPr>
          <w:rFonts w:ascii="Times New Roman" w:eastAsia="Times New Roman" w:hAnsi="Times New Roman"/>
          <w:sz w:val="24"/>
          <w:szCs w:val="24"/>
          <w:lang w:val="es-ES_tradnl"/>
        </w:rPr>
        <w:t>“traslado extrajudicial de personas desde una jurisdicción o Estado a otro, con el propósito de detenerlas e interrogarlas fuera del sistema legal normal, con riesgo real de tortura o tratos crueles, inhumanos o degradantes”</w:t>
      </w:r>
      <w:r w:rsidRPr="00387212">
        <w:rPr>
          <w:rFonts w:ascii="Times New Roman" w:eastAsia="Times New Roman" w:hAnsi="Times New Roman"/>
          <w:sz w:val="24"/>
          <w:szCs w:val="24"/>
          <w:vertAlign w:val="superscript"/>
          <w:lang w:val="es-ES_tradnl"/>
        </w:rPr>
        <w:footnoteReference w:id="5"/>
      </w:r>
      <w:r w:rsidRPr="00387212">
        <w:rPr>
          <w:rFonts w:ascii="Times New Roman" w:eastAsia="Times New Roman" w:hAnsi="Times New Roman"/>
          <w:sz w:val="24"/>
          <w:szCs w:val="24"/>
          <w:lang w:val="es-ES_tradnl"/>
        </w:rPr>
        <w:t xml:space="preserve">. </w:t>
      </w:r>
    </w:p>
    <w:p w:rsidR="0099654D" w:rsidRPr="00387212" w:rsidRDefault="0099654D" w:rsidP="0099654D">
      <w:pPr>
        <w:spacing w:after="0"/>
        <w:ind w:firstLine="360"/>
        <w:jc w:val="both"/>
        <w:rPr>
          <w:rFonts w:ascii="Times New Roman" w:eastAsia="Garamond" w:hAnsi="Times New Roman"/>
          <w:sz w:val="24"/>
          <w:szCs w:val="24"/>
          <w:lang w:eastAsia="es-ES"/>
        </w:rPr>
      </w:pPr>
    </w:p>
    <w:p w:rsidR="0099654D" w:rsidRPr="00387212" w:rsidRDefault="0099654D" w:rsidP="0099654D">
      <w:pPr>
        <w:spacing w:after="0"/>
        <w:ind w:firstLine="360"/>
        <w:jc w:val="both"/>
        <w:rPr>
          <w:rFonts w:ascii="Times New Roman" w:eastAsia="Times New Roman" w:hAnsi="Times New Roman"/>
          <w:sz w:val="24"/>
          <w:szCs w:val="24"/>
          <w:lang w:val="es-ES_tradnl"/>
        </w:rPr>
      </w:pPr>
      <w:r w:rsidRPr="00387212">
        <w:rPr>
          <w:rFonts w:ascii="Times New Roman" w:eastAsia="Garamond" w:hAnsi="Times New Roman"/>
          <w:sz w:val="24"/>
          <w:szCs w:val="24"/>
          <w:lang w:eastAsia="es-ES"/>
        </w:rPr>
        <w:t>El concepto de “entrega extraordinaria” se utiliza sobre todo a raíz de las detenciones ilegales que comienzan a practicarse</w:t>
      </w:r>
      <w:r w:rsidRPr="00387212">
        <w:rPr>
          <w:rFonts w:ascii="Times New Roman" w:hAnsi="Times New Roman"/>
          <w:sz w:val="24"/>
          <w:szCs w:val="24"/>
        </w:rPr>
        <w:t xml:space="preserve"> en varios países europeos aliados de los Estados Unidos como método de lucha contra el terrorismo internacional de corte yihadista </w:t>
      </w:r>
      <w:r w:rsidRPr="00387212">
        <w:rPr>
          <w:rFonts w:ascii="Times New Roman" w:eastAsia="Garamond" w:hAnsi="Times New Roman"/>
          <w:sz w:val="24"/>
          <w:szCs w:val="24"/>
          <w:lang w:eastAsia="es-ES"/>
        </w:rPr>
        <w:t xml:space="preserve">tras los </w:t>
      </w:r>
      <w:r w:rsidRPr="00387212">
        <w:rPr>
          <w:rFonts w:ascii="Times New Roman" w:hAnsi="Times New Roman"/>
          <w:sz w:val="24"/>
          <w:szCs w:val="24"/>
        </w:rPr>
        <w:t>ataques del 11 de septiembre de 2001</w:t>
      </w:r>
      <w:r w:rsidRPr="00387212">
        <w:rPr>
          <w:rFonts w:ascii="Times New Roman" w:eastAsia="Times New Roman" w:hAnsi="Times New Roman"/>
          <w:sz w:val="24"/>
          <w:szCs w:val="24"/>
          <w:vertAlign w:val="superscript"/>
          <w:lang w:val="it-IT"/>
        </w:rPr>
        <w:footnoteReference w:id="6"/>
      </w:r>
      <w:r w:rsidRPr="00387212">
        <w:rPr>
          <w:rFonts w:ascii="Times New Roman" w:hAnsi="Times New Roman"/>
          <w:sz w:val="24"/>
          <w:szCs w:val="24"/>
        </w:rPr>
        <w:t>.</w:t>
      </w:r>
      <w:r w:rsidRPr="00387212">
        <w:rPr>
          <w:rFonts w:ascii="Times New Roman" w:eastAsia="Times New Roman" w:hAnsi="Times New Roman"/>
          <w:sz w:val="24"/>
          <w:szCs w:val="24"/>
          <w:lang w:val="es-ES_tradnl"/>
        </w:rPr>
        <w:t xml:space="preserve"> En América Latina no se emplea este concepto. Allí, para todos los casos, utilizan el de “desaparición forzada”.</w:t>
      </w:r>
    </w:p>
    <w:p w:rsidR="0099654D" w:rsidRPr="00387212" w:rsidRDefault="0099654D" w:rsidP="0099654D">
      <w:pPr>
        <w:spacing w:after="0"/>
        <w:jc w:val="both"/>
        <w:rPr>
          <w:rFonts w:ascii="Times New Roman" w:eastAsia="Times New Roman" w:hAnsi="Times New Roman"/>
          <w:sz w:val="24"/>
          <w:szCs w:val="24"/>
          <w:lang w:val="es-ES_tradnl"/>
        </w:rPr>
      </w:pPr>
    </w:p>
    <w:p w:rsidR="0099654D" w:rsidRPr="00387212" w:rsidRDefault="0099654D" w:rsidP="0099654D">
      <w:pPr>
        <w:spacing w:after="0"/>
        <w:ind w:firstLine="360"/>
        <w:jc w:val="both"/>
        <w:rPr>
          <w:rFonts w:ascii="Times New Roman" w:eastAsia="Times New Roman" w:hAnsi="Times New Roman"/>
          <w:sz w:val="24"/>
          <w:szCs w:val="24"/>
          <w:lang w:val="es-ES_tradnl"/>
        </w:rPr>
      </w:pPr>
      <w:r w:rsidRPr="00387212">
        <w:rPr>
          <w:rFonts w:ascii="Times New Roman" w:hAnsi="Times New Roman"/>
          <w:sz w:val="24"/>
          <w:szCs w:val="24"/>
        </w:rPr>
        <w:t>Pero no han sido estas dos grandes regiones las únicas que han conocido esta práctica criminal. El Grupo de Trabajo sobre las Desapariciones Forzadas o Involuntarias ha confirmado que, en al menos noventa y dos países del mundo, decenas de miles de personas han sido eliminadas a través de estos métodos</w:t>
      </w:r>
      <w:r w:rsidRPr="00387212">
        <w:rPr>
          <w:rStyle w:val="Refdenotaalpie"/>
          <w:rFonts w:ascii="Times New Roman" w:hAnsi="Times New Roman"/>
          <w:sz w:val="24"/>
          <w:szCs w:val="24"/>
        </w:rPr>
        <w:footnoteReference w:id="7"/>
      </w:r>
      <w:r w:rsidRPr="00387212">
        <w:rPr>
          <w:rFonts w:ascii="Times New Roman" w:hAnsi="Times New Roman"/>
          <w:sz w:val="24"/>
          <w:szCs w:val="24"/>
        </w:rPr>
        <w:t>.</w:t>
      </w:r>
      <w:r w:rsidRPr="00387212">
        <w:rPr>
          <w:rFonts w:ascii="Times New Roman" w:eastAsia="Garamond" w:hAnsi="Times New Roman"/>
          <w:sz w:val="24"/>
          <w:szCs w:val="24"/>
          <w:lang w:eastAsia="es-ES"/>
        </w:rPr>
        <w:t xml:space="preserve"> </w:t>
      </w:r>
    </w:p>
    <w:p w:rsidR="0099654D" w:rsidRPr="00387212" w:rsidRDefault="0099654D" w:rsidP="0099654D">
      <w:pPr>
        <w:spacing w:after="0"/>
        <w:jc w:val="both"/>
        <w:rPr>
          <w:rFonts w:ascii="Times New Roman" w:eastAsia="Times New Roman" w:hAnsi="Times New Roman"/>
          <w:sz w:val="24"/>
          <w:szCs w:val="24"/>
        </w:rPr>
      </w:pPr>
    </w:p>
    <w:p w:rsidR="004F0255" w:rsidRPr="00387212" w:rsidRDefault="0099654D" w:rsidP="004F0255">
      <w:pPr>
        <w:spacing w:after="0"/>
        <w:ind w:firstLine="360"/>
        <w:jc w:val="both"/>
        <w:rPr>
          <w:rFonts w:ascii="Times New Roman" w:eastAsia="Times New Roman" w:hAnsi="Times New Roman"/>
          <w:sz w:val="24"/>
          <w:szCs w:val="24"/>
        </w:rPr>
      </w:pPr>
      <w:r w:rsidRPr="00387212">
        <w:rPr>
          <w:rFonts w:ascii="Times New Roman" w:eastAsia="Times New Roman" w:hAnsi="Times New Roman"/>
          <w:sz w:val="24"/>
          <w:szCs w:val="24"/>
        </w:rPr>
        <w:t xml:space="preserve">La </w:t>
      </w:r>
      <w:r w:rsidRPr="00387212">
        <w:rPr>
          <w:rFonts w:ascii="Times New Roman" w:eastAsia="Times New Roman" w:hAnsi="Times New Roman"/>
          <w:i/>
          <w:sz w:val="24"/>
          <w:szCs w:val="24"/>
        </w:rPr>
        <w:t>Convención Internacional para la protección de todas las personas contra las desapariciones forzadas</w:t>
      </w:r>
      <w:r w:rsidRPr="00387212">
        <w:rPr>
          <w:rFonts w:ascii="Times New Roman" w:eastAsia="Times New Roman" w:hAnsi="Times New Roman"/>
          <w:sz w:val="24"/>
          <w:szCs w:val="24"/>
        </w:rPr>
        <w:t xml:space="preserve"> (2006)</w:t>
      </w:r>
      <w:r w:rsidRPr="00387212">
        <w:rPr>
          <w:rFonts w:ascii="Times New Roman" w:eastAsia="Times New Roman" w:hAnsi="Times New Roman"/>
          <w:sz w:val="24"/>
          <w:szCs w:val="24"/>
          <w:vertAlign w:val="superscript"/>
          <w:lang w:val="it-IT"/>
        </w:rPr>
        <w:footnoteReference w:id="8"/>
      </w:r>
      <w:r w:rsidRPr="00387212">
        <w:rPr>
          <w:rFonts w:ascii="Times New Roman" w:eastAsia="Times New Roman" w:hAnsi="Times New Roman"/>
          <w:sz w:val="24"/>
          <w:szCs w:val="24"/>
        </w:rPr>
        <w:t>,</w:t>
      </w:r>
      <w:r w:rsidRPr="00387212">
        <w:rPr>
          <w:rFonts w:ascii="Times New Roman" w:hAnsi="Times New Roman"/>
          <w:sz w:val="24"/>
          <w:szCs w:val="24"/>
        </w:rPr>
        <w:t xml:space="preserve"> define el concepto de desaparición forzada de la siguiente manera: </w:t>
      </w:r>
      <w:r w:rsidRPr="00387212">
        <w:rPr>
          <w:rFonts w:ascii="Times New Roman" w:eastAsia="Times New Roman" w:hAnsi="Times New Roman"/>
          <w:sz w:val="24"/>
          <w:szCs w:val="24"/>
        </w:rPr>
        <w:t>se trata del “arresto, la detención, el secuestro o cualquier otra forma de privación de libertad que sean obra de agentes del Estado o de personas o grupos de personas que actúan con la autorización, el apoyo o la aquiescencia del Estado, seguido de la negativa a reconocer dicha privación de libertad o del ocultamiento de la suerte o el paradero de la persona desaparecida, quedando ésta sustraída a la protección de la ley”</w:t>
      </w:r>
      <w:r w:rsidRPr="00387212">
        <w:rPr>
          <w:rStyle w:val="Refdenotaalpie"/>
          <w:rFonts w:ascii="Times New Roman" w:eastAsia="Times New Roman" w:hAnsi="Times New Roman"/>
          <w:sz w:val="24"/>
          <w:szCs w:val="24"/>
        </w:rPr>
        <w:footnoteReference w:id="9"/>
      </w:r>
      <w:r w:rsidRPr="00387212">
        <w:rPr>
          <w:rFonts w:ascii="Times New Roman" w:eastAsia="Times New Roman" w:hAnsi="Times New Roman"/>
          <w:sz w:val="24"/>
          <w:szCs w:val="24"/>
        </w:rPr>
        <w:t xml:space="preserve">. </w:t>
      </w:r>
    </w:p>
    <w:p w:rsidR="0099654D" w:rsidRPr="00387212" w:rsidRDefault="0099654D" w:rsidP="0099654D">
      <w:pPr>
        <w:tabs>
          <w:tab w:val="left" w:pos="720"/>
        </w:tabs>
        <w:spacing w:after="0"/>
        <w:jc w:val="both"/>
        <w:rPr>
          <w:rFonts w:ascii="Times New Roman" w:hAnsi="Times New Roman"/>
          <w:sz w:val="24"/>
          <w:szCs w:val="24"/>
          <w:lang w:eastAsia="es-ES"/>
        </w:rPr>
      </w:pPr>
    </w:p>
    <w:p w:rsidR="0099654D" w:rsidRPr="00387212" w:rsidRDefault="0099654D" w:rsidP="0099654D">
      <w:pPr>
        <w:spacing w:after="160"/>
        <w:ind w:firstLine="357"/>
        <w:jc w:val="both"/>
        <w:rPr>
          <w:rFonts w:ascii="Times New Roman" w:eastAsia="Times New Roman" w:hAnsi="Times New Roman"/>
          <w:sz w:val="24"/>
          <w:szCs w:val="24"/>
        </w:rPr>
      </w:pPr>
      <w:r w:rsidRPr="00387212">
        <w:rPr>
          <w:rFonts w:ascii="Times New Roman" w:eastAsia="Times New Roman" w:hAnsi="Times New Roman"/>
          <w:sz w:val="24"/>
          <w:szCs w:val="24"/>
        </w:rPr>
        <w:t>La Asamblea General de las Naciones Unidas, en 1992, advirtió la gravedad del delito en el que estamos centrados: una desaparición forzada es “un ultraje a la dignidad humana (…), una negación de los objetivos de la Carta de las Naciones Unidad y (…) una violación grave manifiesta de los derechos humanos y de las libertades fundamentales proclamados en la Declaración Universal de Derechos Humanos”</w:t>
      </w:r>
      <w:r w:rsidRPr="00387212">
        <w:rPr>
          <w:rFonts w:ascii="Times New Roman" w:eastAsia="Times New Roman" w:hAnsi="Times New Roman"/>
          <w:sz w:val="24"/>
          <w:szCs w:val="24"/>
          <w:vertAlign w:val="superscript"/>
        </w:rPr>
        <w:footnoteReference w:id="10"/>
      </w:r>
      <w:r w:rsidRPr="00387212">
        <w:rPr>
          <w:rFonts w:ascii="Times New Roman" w:eastAsia="Times New Roman" w:hAnsi="Times New Roman"/>
          <w:sz w:val="24"/>
          <w:szCs w:val="24"/>
        </w:rPr>
        <w:t xml:space="preserve">. Los sistemas europeo e interamericano de protección de los derechos humanos así lo han </w:t>
      </w:r>
      <w:r w:rsidRPr="00387212">
        <w:rPr>
          <w:rFonts w:ascii="Times New Roman" w:eastAsia="Times New Roman" w:hAnsi="Times New Roman"/>
          <w:sz w:val="24"/>
          <w:szCs w:val="24"/>
        </w:rPr>
        <w:lastRenderedPageBreak/>
        <w:t>corroborado, estableciendo la obligación de tipificar esta acción criminal en la legislación penal con penas proporcionales al daño infligido</w:t>
      </w:r>
      <w:r w:rsidRPr="00387212">
        <w:rPr>
          <w:rStyle w:val="Refdenotaalpie"/>
          <w:rFonts w:ascii="Times New Roman" w:eastAsia="Times New Roman" w:hAnsi="Times New Roman"/>
          <w:sz w:val="24"/>
          <w:szCs w:val="24"/>
        </w:rPr>
        <w:footnoteReference w:id="11"/>
      </w:r>
      <w:r w:rsidRPr="00387212">
        <w:rPr>
          <w:rFonts w:ascii="Times New Roman" w:eastAsia="Times New Roman" w:hAnsi="Times New Roman"/>
          <w:sz w:val="24"/>
          <w:szCs w:val="24"/>
        </w:rPr>
        <w:t xml:space="preserve">. </w:t>
      </w:r>
    </w:p>
    <w:p w:rsidR="0099654D" w:rsidRPr="00387212" w:rsidRDefault="004F0255" w:rsidP="0099654D">
      <w:pPr>
        <w:spacing w:after="160"/>
        <w:ind w:firstLine="357"/>
        <w:jc w:val="both"/>
        <w:rPr>
          <w:rFonts w:ascii="Times New Roman" w:eastAsia="Times New Roman" w:hAnsi="Times New Roman"/>
          <w:sz w:val="24"/>
          <w:szCs w:val="24"/>
        </w:rPr>
      </w:pPr>
      <w:r>
        <w:rPr>
          <w:rFonts w:ascii="Times New Roman" w:eastAsia="Times New Roman" w:hAnsi="Times New Roman"/>
          <w:sz w:val="24"/>
          <w:szCs w:val="24"/>
        </w:rPr>
        <w:t>L</w:t>
      </w:r>
      <w:r w:rsidR="0099654D" w:rsidRPr="00387212">
        <w:rPr>
          <w:rFonts w:ascii="Times New Roman" w:eastAsia="Times New Roman" w:hAnsi="Times New Roman"/>
          <w:sz w:val="24"/>
          <w:szCs w:val="24"/>
        </w:rPr>
        <w:t xml:space="preserve">as Naciones Unidas y los sistemas europeo y latinoamericano de protección de los derechos humanos han reconocido que cuando la víctima es mujer, el daño que este execrable delito genera es aún mayor. Las desaparecidas frecuentemente son sometidas a un tipo de violencia sexual que no sufren los hombres (o la sufren en mucha menor medida). Si recuperan la libertad, muchas quedan estigmatizadas por las violaciones sufridas durante la desaparición. Y a ello hay que sumar que en muchas ocasiones sus denuncias no obtienen la respuesta que sería obligada por parte de las autoridades competentes. </w:t>
      </w:r>
    </w:p>
    <w:p w:rsidR="0099654D" w:rsidRPr="00387212" w:rsidRDefault="0099654D" w:rsidP="0099654D">
      <w:pPr>
        <w:pStyle w:val="Prrafodelista"/>
        <w:numPr>
          <w:ilvl w:val="0"/>
          <w:numId w:val="1"/>
        </w:numPr>
        <w:jc w:val="both"/>
        <w:rPr>
          <w:rFonts w:ascii="Times New Roman" w:hAnsi="Times New Roman"/>
          <w:b/>
          <w:sz w:val="24"/>
          <w:szCs w:val="24"/>
        </w:rPr>
      </w:pPr>
      <w:r w:rsidRPr="00387212">
        <w:rPr>
          <w:rFonts w:ascii="Times New Roman" w:hAnsi="Times New Roman"/>
          <w:b/>
          <w:sz w:val="24"/>
          <w:szCs w:val="24"/>
        </w:rPr>
        <w:t>DESAPARECIDAS</w:t>
      </w:r>
    </w:p>
    <w:p w:rsidR="0099654D" w:rsidRPr="00387212" w:rsidRDefault="0099654D" w:rsidP="0099654D">
      <w:pPr>
        <w:tabs>
          <w:tab w:val="left" w:pos="720"/>
        </w:tabs>
        <w:spacing w:after="0"/>
        <w:ind w:firstLine="357"/>
        <w:jc w:val="both"/>
        <w:rPr>
          <w:rFonts w:ascii="Times New Roman" w:hAnsi="Times New Roman"/>
          <w:sz w:val="24"/>
          <w:szCs w:val="24"/>
        </w:rPr>
      </w:pPr>
      <w:r w:rsidRPr="00387212">
        <w:rPr>
          <w:rFonts w:ascii="Times New Roman" w:hAnsi="Times New Roman"/>
          <w:sz w:val="24"/>
          <w:szCs w:val="24"/>
          <w:lang w:eastAsia="es-ES"/>
        </w:rPr>
        <w:t xml:space="preserve">El artículo 18.2 </w:t>
      </w:r>
      <w:r w:rsidRPr="00387212">
        <w:rPr>
          <w:rFonts w:ascii="Times New Roman" w:eastAsia="Times New Roman" w:hAnsi="Times New Roman"/>
          <w:sz w:val="24"/>
          <w:szCs w:val="24"/>
        </w:rPr>
        <w:t xml:space="preserve">de la </w:t>
      </w:r>
      <w:r w:rsidRPr="00387212">
        <w:rPr>
          <w:rFonts w:ascii="Times New Roman" w:eastAsia="Times New Roman" w:hAnsi="Times New Roman"/>
          <w:i/>
          <w:sz w:val="24"/>
          <w:szCs w:val="24"/>
        </w:rPr>
        <w:t>Convención Internacional para la protección de todas las personas contra las desapariciones forzadas</w:t>
      </w:r>
      <w:r w:rsidRPr="00387212">
        <w:rPr>
          <w:rFonts w:ascii="Times New Roman" w:eastAsia="Times New Roman" w:hAnsi="Times New Roman"/>
          <w:sz w:val="24"/>
          <w:szCs w:val="24"/>
        </w:rPr>
        <w:t xml:space="preserve"> obliga a todos los Estados Parte al “establecimiento y el mantenimiento de uno o varios registros oficiales y/o expedientes actualizados de las personas privadas de libertad, que bajo requerimiento serán rápidamente puestos a disposición de toda autoridad judicial o de toda otra autoridad o institución competente de acuerdo con la legislación nacional o cualquier instrumento jurídico internacional relevante del que el Estado sea Parte”. Por razones evidentes, cuando de una desaparición forzada se trata, la realidad es otra. </w:t>
      </w:r>
    </w:p>
    <w:p w:rsidR="0099654D" w:rsidRPr="00387212" w:rsidRDefault="0099654D" w:rsidP="0099654D">
      <w:pPr>
        <w:tabs>
          <w:tab w:val="left" w:pos="720"/>
        </w:tabs>
        <w:spacing w:after="0"/>
        <w:jc w:val="both"/>
        <w:rPr>
          <w:rFonts w:ascii="Times New Roman" w:hAnsi="Times New Roman"/>
          <w:sz w:val="24"/>
          <w:szCs w:val="24"/>
        </w:rPr>
      </w:pPr>
    </w:p>
    <w:p w:rsidR="0099654D" w:rsidRPr="00387212" w:rsidRDefault="0099654D" w:rsidP="0099654D">
      <w:pPr>
        <w:tabs>
          <w:tab w:val="left" w:pos="720"/>
        </w:tabs>
        <w:spacing w:after="0"/>
        <w:ind w:firstLine="357"/>
        <w:jc w:val="both"/>
        <w:rPr>
          <w:rFonts w:ascii="Times New Roman" w:hAnsi="Times New Roman"/>
          <w:sz w:val="24"/>
          <w:szCs w:val="24"/>
        </w:rPr>
      </w:pPr>
      <w:r w:rsidRPr="00387212">
        <w:rPr>
          <w:rFonts w:ascii="Times New Roman" w:hAnsi="Times New Roman"/>
          <w:sz w:val="24"/>
          <w:szCs w:val="24"/>
        </w:rPr>
        <w:t xml:space="preserve">Es bastante probable que las cifras “oficiales” de desaparecidos que maneja el Grupo de Trabajo de Naciones Unidas sobre Desapariciones Forzadas o Involuntarias no reflejen la realidad, pues normalmente el delincuente no reconoce su delito. La inexistencia de registros que autoinculpen al Estado es lo normal, y cuando existen, o bien no están al día, o de </w:t>
      </w:r>
      <w:r w:rsidRPr="00387212">
        <w:rPr>
          <w:rFonts w:ascii="Times New Roman" w:hAnsi="Times New Roman"/>
          <w:sz w:val="24"/>
          <w:szCs w:val="24"/>
          <w:lang w:eastAsia="es-ES"/>
        </w:rPr>
        <w:t>la información anotada no se deduce con claridad lo sucedido</w:t>
      </w:r>
      <w:r w:rsidRPr="00387212">
        <w:rPr>
          <w:rFonts w:ascii="Times New Roman" w:hAnsi="Times New Roman"/>
          <w:sz w:val="24"/>
          <w:szCs w:val="24"/>
          <w:vertAlign w:val="superscript"/>
          <w:lang w:eastAsia="es-ES"/>
        </w:rPr>
        <w:footnoteReference w:id="12"/>
      </w:r>
      <w:r w:rsidRPr="00387212">
        <w:rPr>
          <w:rFonts w:ascii="Times New Roman" w:hAnsi="Times New Roman"/>
          <w:sz w:val="24"/>
          <w:szCs w:val="24"/>
          <w:lang w:eastAsia="es-ES"/>
        </w:rPr>
        <w:t>. En estos casos,  l</w:t>
      </w:r>
      <w:r w:rsidRPr="00387212">
        <w:rPr>
          <w:rFonts w:ascii="Times New Roman" w:hAnsi="Times New Roman"/>
          <w:sz w:val="24"/>
          <w:szCs w:val="24"/>
        </w:rPr>
        <w:t>a transparencia suele brillar por su ausencia.</w:t>
      </w:r>
    </w:p>
    <w:p w:rsidR="0099654D" w:rsidRPr="00387212" w:rsidRDefault="0099654D" w:rsidP="0099654D">
      <w:pPr>
        <w:tabs>
          <w:tab w:val="left" w:pos="720"/>
        </w:tabs>
        <w:spacing w:after="0"/>
        <w:jc w:val="both"/>
        <w:rPr>
          <w:rFonts w:ascii="Times New Roman" w:hAnsi="Times New Roman"/>
          <w:sz w:val="24"/>
          <w:szCs w:val="24"/>
        </w:rPr>
      </w:pP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hAnsi="Times New Roman"/>
          <w:sz w:val="24"/>
          <w:szCs w:val="24"/>
        </w:rPr>
        <w:t xml:space="preserve">Si esto es así, conocer las cifras de mujeres y niñas desaparecidas es más difícil aún. La violencia institucionalizada de género que en muchos países existe, desaconseja la denuncia o, cuando se presentan, apenas tienen recorrido. Para que el lector tenga una idea </w:t>
      </w:r>
      <w:r w:rsidRPr="00387212">
        <w:rPr>
          <w:rFonts w:ascii="Times New Roman" w:hAnsi="Times New Roman"/>
          <w:sz w:val="24"/>
          <w:szCs w:val="24"/>
          <w:lang w:eastAsia="es-ES"/>
        </w:rPr>
        <w:t xml:space="preserve">de hasta dónde puede llegar la falta de precisión sobre los datos disponibles, </w:t>
      </w:r>
      <w:r w:rsidRPr="00387212">
        <w:rPr>
          <w:rFonts w:ascii="Times New Roman" w:hAnsi="Times New Roman"/>
          <w:sz w:val="24"/>
          <w:szCs w:val="24"/>
        </w:rPr>
        <w:t xml:space="preserve">un documento de 2019, de la Comisión Interamericana de Derechos Humanos, señala que, </w:t>
      </w:r>
      <w:r w:rsidRPr="00387212">
        <w:rPr>
          <w:rFonts w:ascii="Times New Roman" w:hAnsi="Times New Roman"/>
          <w:sz w:val="24"/>
          <w:szCs w:val="24"/>
        </w:rPr>
        <w:lastRenderedPageBreak/>
        <w:t>de acuerdo con los datos recabados de la Oficina del Alto Comisionado de la ONU para los Derechos Humanos, en México existe un total de 35.424 personas desaparecidas, de las cuales más de 9.000 son mujeres</w:t>
      </w:r>
      <w:r w:rsidRPr="00387212">
        <w:rPr>
          <w:rFonts w:ascii="Times New Roman" w:hAnsi="Times New Roman"/>
          <w:sz w:val="24"/>
          <w:szCs w:val="24"/>
          <w:vertAlign w:val="superscript"/>
        </w:rPr>
        <w:footnoteReference w:id="13"/>
      </w:r>
      <w:r w:rsidRPr="00387212">
        <w:rPr>
          <w:rFonts w:ascii="Times New Roman" w:hAnsi="Times New Roman"/>
          <w:sz w:val="24"/>
          <w:szCs w:val="24"/>
        </w:rPr>
        <w:t>. Pues bien, tras la llegada a la Presidencia de Andrés Manuel López Obrador (1 de diciembre de 2018), el nuevo Subsecretario de Derechos Humanos de la Secretaría de Gobernación informó, en enero de 2020, que el número total de desaparecidos era prácticamente el doble, 61.637 personas, sin distinguir en esta ocasión entre hombres y mujeres.</w:t>
      </w:r>
    </w:p>
    <w:p w:rsidR="0099654D" w:rsidRPr="00387212" w:rsidRDefault="0099654D" w:rsidP="0099654D">
      <w:pPr>
        <w:tabs>
          <w:tab w:val="left" w:pos="720"/>
        </w:tabs>
        <w:spacing w:after="0"/>
        <w:ind w:firstLine="357"/>
        <w:jc w:val="both"/>
        <w:rPr>
          <w:rFonts w:ascii="Times New Roman" w:eastAsia="Cambria" w:hAnsi="Times New Roman"/>
          <w:sz w:val="24"/>
          <w:szCs w:val="24"/>
          <w:lang w:eastAsia="es-ES"/>
        </w:rPr>
      </w:pPr>
      <w:r w:rsidRPr="00387212">
        <w:rPr>
          <w:rFonts w:ascii="Times New Roman" w:hAnsi="Times New Roman"/>
          <w:sz w:val="24"/>
          <w:szCs w:val="24"/>
        </w:rPr>
        <w:t>De acuerdo con el documento de Naciones Unidas de 2019 que acabamos de citar, y con las cautelas que se derivan del importante baile de cifras que México ha reconocido, en Guatemala, 1.180 mujeres habrían desaparecido durante 2017</w:t>
      </w:r>
      <w:r w:rsidRPr="00387212">
        <w:rPr>
          <w:rFonts w:ascii="Times New Roman" w:eastAsia="Cambria" w:hAnsi="Times New Roman"/>
          <w:sz w:val="24"/>
          <w:szCs w:val="24"/>
          <w:lang w:eastAsia="es-ES"/>
        </w:rPr>
        <w:t>; en Honduras, el Ministerio Púbico había denunciado, en los últimos nueve años hasta 2.342 desapariciones de mujeres; en Perú, durante el año 2017, la policía había recibido 4.454 denuncias de desapariciones, de las cuales 1.914 eran de niñas; y en Ecuador, cada año desaparecen 10.000 personas, de las cuales, el 67% son mujeres</w:t>
      </w:r>
      <w:r w:rsidRPr="00387212">
        <w:rPr>
          <w:rFonts w:ascii="Times New Roman" w:hAnsi="Times New Roman"/>
          <w:sz w:val="24"/>
          <w:szCs w:val="24"/>
          <w:vertAlign w:val="superscript"/>
        </w:rPr>
        <w:footnoteReference w:id="14"/>
      </w:r>
      <w:r w:rsidRPr="00387212">
        <w:rPr>
          <w:rFonts w:ascii="Times New Roman" w:eastAsia="Cambria" w:hAnsi="Times New Roman"/>
          <w:sz w:val="24"/>
          <w:szCs w:val="24"/>
          <w:lang w:eastAsia="es-ES"/>
        </w:rPr>
        <w:t>.</w:t>
      </w:r>
    </w:p>
    <w:p w:rsidR="0099654D" w:rsidRPr="00387212" w:rsidRDefault="0099654D" w:rsidP="0099654D">
      <w:pPr>
        <w:tabs>
          <w:tab w:val="left" w:pos="720"/>
        </w:tabs>
        <w:spacing w:after="0"/>
        <w:jc w:val="both"/>
        <w:rPr>
          <w:rFonts w:ascii="Times New Roman" w:eastAsia="Cambria" w:hAnsi="Times New Roman"/>
          <w:sz w:val="24"/>
          <w:szCs w:val="24"/>
          <w:lang w:eastAsia="es-ES"/>
        </w:rPr>
      </w:pP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hAnsi="Times New Roman"/>
          <w:sz w:val="24"/>
          <w:szCs w:val="24"/>
        </w:rPr>
        <w:t xml:space="preserve">La desaparición de mujeres tiene especial relevancia en contextos donde la discriminación por razón género está institucionalizada. Diríase que representa un tipo de violencia que tienen un caldo de cultivo propicio allí donde la subordinación de la mujer al hombre no es extraña. </w:t>
      </w: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hAnsi="Times New Roman"/>
          <w:sz w:val="24"/>
          <w:szCs w:val="24"/>
        </w:rPr>
        <w:t>Es un dato contrastado que en dictaduras o en situaciones de guerra o de conflicto generalizado, la impunidad de las agresiones contra las mujeres aumenta considerablemente. La ausencia de castigo genera terribles efectos colaterales. Desde un punto de vista colectivo, la sociedad puede llegar a acostumbrarse a mirar hacia otro lado, o a percibir que la conducta agresiva en el entorno familiar pertenece al ámbito de lo privado. Desde un punto de vista individual, asumir que la denuncia se puede volver en contra de la denunciante o que, en el mejor de los casos, quedará archivada, mina cualquier atisbo de esperanza</w:t>
      </w:r>
      <w:r w:rsidRPr="00387212">
        <w:rPr>
          <w:rFonts w:ascii="Times New Roman" w:hAnsi="Times New Roman"/>
          <w:sz w:val="24"/>
          <w:szCs w:val="24"/>
          <w:vertAlign w:val="superscript"/>
        </w:rPr>
        <w:footnoteReference w:id="15"/>
      </w:r>
      <w:r w:rsidRPr="00387212">
        <w:rPr>
          <w:rFonts w:ascii="Times New Roman" w:hAnsi="Times New Roman"/>
          <w:sz w:val="24"/>
          <w:szCs w:val="24"/>
        </w:rPr>
        <w:t>.</w:t>
      </w:r>
    </w:p>
    <w:p w:rsidR="0099654D" w:rsidRPr="00387212" w:rsidRDefault="0099654D" w:rsidP="0099654D">
      <w:pPr>
        <w:pStyle w:val="Prrafodelista"/>
        <w:numPr>
          <w:ilvl w:val="0"/>
          <w:numId w:val="1"/>
        </w:numPr>
        <w:spacing w:after="160"/>
        <w:jc w:val="both"/>
        <w:rPr>
          <w:rFonts w:ascii="Times New Roman" w:hAnsi="Times New Roman"/>
          <w:b/>
          <w:sz w:val="24"/>
          <w:szCs w:val="24"/>
        </w:rPr>
      </w:pPr>
      <w:r w:rsidRPr="00387212">
        <w:rPr>
          <w:rFonts w:ascii="Times New Roman" w:hAnsi="Times New Roman"/>
          <w:b/>
          <w:sz w:val="24"/>
          <w:szCs w:val="24"/>
        </w:rPr>
        <w:lastRenderedPageBreak/>
        <w:t>DISCRIMINACIÓN POR RAZÓN DE GÉNERO Y VIOLENCIA CONTRA LA MUJER</w:t>
      </w:r>
    </w:p>
    <w:p w:rsidR="0099654D" w:rsidRPr="00387212" w:rsidRDefault="0099654D" w:rsidP="0099654D">
      <w:pPr>
        <w:pStyle w:val="Prrafodelista"/>
        <w:spacing w:after="160"/>
        <w:jc w:val="both"/>
        <w:rPr>
          <w:rFonts w:ascii="Times New Roman" w:hAnsi="Times New Roman"/>
          <w:b/>
          <w:sz w:val="24"/>
          <w:szCs w:val="24"/>
        </w:rPr>
      </w:pP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La Comisión Interamericana de Derechos Humanos advierte que “el concepto restringido del principio de no discriminación, asociado con una concepción liberal clásica” permite que a veces no lo utilicemos “para cuestionar concepciones sociales arraigadas en la sociedad acerca del determinado papel de las mujeres que las hace responsables en primer grado del cuidado de los niños y del ámbito doméstico y que las excluye de ámbitos públicos tales como el trabajo, la educación y la política”</w:t>
      </w:r>
      <w:r w:rsidRPr="00387212">
        <w:rPr>
          <w:rFonts w:ascii="Times New Roman" w:hAnsi="Times New Roman"/>
          <w:sz w:val="24"/>
          <w:szCs w:val="24"/>
          <w:vertAlign w:val="superscript"/>
        </w:rPr>
        <w:footnoteReference w:id="16"/>
      </w:r>
      <w:r w:rsidRPr="00387212">
        <w:rPr>
          <w:rFonts w:ascii="Times New Roman" w:hAnsi="Times New Roman"/>
          <w:sz w:val="24"/>
          <w:szCs w:val="24"/>
        </w:rPr>
        <w:t xml:space="preserve">. </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 xml:space="preserve">En 1979, la </w:t>
      </w:r>
      <w:r w:rsidRPr="00387212">
        <w:rPr>
          <w:rFonts w:ascii="Times New Roman" w:hAnsi="Times New Roman"/>
          <w:i/>
          <w:sz w:val="24"/>
          <w:szCs w:val="24"/>
        </w:rPr>
        <w:t xml:space="preserve">Convención sobre la eliminación de todas las formas de discriminación contra la mujer </w:t>
      </w:r>
      <w:r w:rsidRPr="00387212">
        <w:rPr>
          <w:rFonts w:ascii="Times New Roman" w:hAnsi="Times New Roman"/>
          <w:sz w:val="24"/>
          <w:szCs w:val="24"/>
        </w:rPr>
        <w:t>(en adelante CEDAW, por sus siglas en inglés)</w:t>
      </w:r>
      <w:r w:rsidRPr="00387212">
        <w:rPr>
          <w:rFonts w:ascii="Times New Roman" w:hAnsi="Times New Roman"/>
          <w:sz w:val="24"/>
          <w:szCs w:val="24"/>
          <w:vertAlign w:val="superscript"/>
        </w:rPr>
        <w:footnoteReference w:id="17"/>
      </w:r>
      <w:r w:rsidRPr="00387212">
        <w:rPr>
          <w:rFonts w:ascii="Times New Roman" w:hAnsi="Times New Roman"/>
          <w:i/>
          <w:sz w:val="24"/>
          <w:szCs w:val="24"/>
        </w:rPr>
        <w:t xml:space="preserve"> </w:t>
      </w:r>
      <w:r w:rsidRPr="00387212">
        <w:rPr>
          <w:rFonts w:ascii="Times New Roman" w:hAnsi="Times New Roman"/>
          <w:sz w:val="24"/>
          <w:szCs w:val="24"/>
        </w:rPr>
        <w:t xml:space="preserve">define la expresión “discriminación contra la mujer” como “toda distinción, exclusión a restricción basada en el sexo que tenga por objeto o por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 (artículo 1). </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 xml:space="preserve">Esta Convención no declara explícitamente que la violencia contra la mujer por el hecho de ser mujer, esto es, la violencia basada en el género, sea una forma específica de discriminación, pero sí lo hizo algo más tarde, el 29 de enero de 1992, el Alto Comisionado para los Derechos Humanos de las Naciones Unidas, en la </w:t>
      </w:r>
      <w:r w:rsidRPr="00387212">
        <w:rPr>
          <w:rFonts w:ascii="Times New Roman" w:hAnsi="Times New Roman"/>
          <w:i/>
          <w:sz w:val="24"/>
          <w:szCs w:val="24"/>
        </w:rPr>
        <w:t>Recomendación General 19</w:t>
      </w:r>
      <w:r w:rsidRPr="00387212">
        <w:rPr>
          <w:rFonts w:ascii="Times New Roman" w:hAnsi="Times New Roman"/>
          <w:sz w:val="24"/>
          <w:szCs w:val="24"/>
        </w:rPr>
        <w:t xml:space="preserve"> </w:t>
      </w:r>
      <w:r w:rsidRPr="00387212">
        <w:rPr>
          <w:rFonts w:ascii="Times New Roman" w:hAnsi="Times New Roman"/>
          <w:i/>
          <w:sz w:val="24"/>
          <w:szCs w:val="24"/>
        </w:rPr>
        <w:t>CEDAW</w:t>
      </w:r>
      <w:r w:rsidRPr="00387212">
        <w:rPr>
          <w:rFonts w:ascii="Times New Roman" w:hAnsi="Times New Roman"/>
          <w:sz w:val="24"/>
          <w:szCs w:val="24"/>
        </w:rPr>
        <w:t>. Aunque se trate de una consecuencia que se deriva con toda claridad de la definición citada, la necesidad de una Recomendación para que los Estados Partes de la Convención “adopten medidas apropiadas y eficaces para combatir todo tipo de violencia basada en el sexo”</w:t>
      </w:r>
      <w:r w:rsidRPr="00387212">
        <w:rPr>
          <w:rStyle w:val="Refdenotaalpie"/>
          <w:rFonts w:ascii="Times New Roman" w:hAnsi="Times New Roman"/>
          <w:sz w:val="24"/>
          <w:szCs w:val="24"/>
        </w:rPr>
        <w:footnoteReference w:id="18"/>
      </w:r>
      <w:r w:rsidRPr="00387212">
        <w:rPr>
          <w:rFonts w:ascii="Times New Roman" w:hAnsi="Times New Roman"/>
          <w:sz w:val="24"/>
          <w:szCs w:val="24"/>
        </w:rPr>
        <w:t xml:space="preserve">, da fe de la crudeza de esta realidad. </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En el ámbito interamericano, el artículo 1.1 de</w:t>
      </w:r>
      <w:r w:rsidRPr="00387212">
        <w:rPr>
          <w:rFonts w:ascii="Times New Roman" w:eastAsia="Times New Roman" w:hAnsi="Times New Roman"/>
          <w:sz w:val="24"/>
          <w:szCs w:val="24"/>
        </w:rPr>
        <w:t xml:space="preserve"> la </w:t>
      </w:r>
      <w:r w:rsidRPr="00387212">
        <w:rPr>
          <w:rFonts w:ascii="Times New Roman" w:eastAsia="Times New Roman" w:hAnsi="Times New Roman"/>
          <w:i/>
          <w:sz w:val="24"/>
          <w:szCs w:val="24"/>
        </w:rPr>
        <w:t>Convención Americana de Derechos Humanos</w:t>
      </w:r>
      <w:r w:rsidRPr="00387212">
        <w:rPr>
          <w:rFonts w:ascii="Times New Roman" w:eastAsia="Times New Roman" w:hAnsi="Times New Roman"/>
          <w:sz w:val="24"/>
          <w:szCs w:val="24"/>
        </w:rPr>
        <w:t xml:space="preserve"> impone a los Estados Parte la obligación, no solo de respetar los derechos y libertades en ellos reconocidos, sino también de implementar las medidas necesarias para el goce efectivo de los mismos, sin que pueda prevalecer </w:t>
      </w:r>
      <w:r w:rsidRPr="00387212">
        <w:rPr>
          <w:rFonts w:ascii="Times New Roman" w:hAnsi="Times New Roman"/>
          <w:sz w:val="24"/>
          <w:szCs w:val="24"/>
        </w:rPr>
        <w:t>discriminación alguna por motivos de raza, color, sexo, idioma, religión, opiniones políticas o de cualquier otra índole, origen nacional o social, posición económica, nacimiento o cualquier otra condición social.</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lastRenderedPageBreak/>
        <w:t>La</w:t>
      </w:r>
      <w:r w:rsidRPr="00387212">
        <w:rPr>
          <w:rFonts w:ascii="Times New Roman" w:hAnsi="Times New Roman"/>
          <w:i/>
          <w:sz w:val="24"/>
          <w:szCs w:val="24"/>
        </w:rPr>
        <w:t xml:space="preserve"> Convención Interamericana para Prevenir, Sancionar y Erradicar la Violencia contra la Mujer</w:t>
      </w:r>
      <w:r w:rsidRPr="00387212">
        <w:rPr>
          <w:rFonts w:ascii="Times New Roman" w:hAnsi="Times New Roman"/>
          <w:sz w:val="24"/>
          <w:szCs w:val="24"/>
        </w:rPr>
        <w:t xml:space="preserve"> </w:t>
      </w:r>
      <w:r w:rsidRPr="00387212">
        <w:rPr>
          <w:rFonts w:ascii="Times New Roman" w:hAnsi="Times New Roman"/>
          <w:i/>
          <w:sz w:val="24"/>
          <w:szCs w:val="24"/>
        </w:rPr>
        <w:t>(Convención de Belém do Pará)</w:t>
      </w:r>
      <w:r w:rsidRPr="00387212">
        <w:rPr>
          <w:rFonts w:ascii="Times New Roman" w:hAnsi="Times New Roman"/>
          <w:sz w:val="24"/>
          <w:szCs w:val="24"/>
        </w:rPr>
        <w:t>, aprobada en 1994</w:t>
      </w:r>
      <w:r w:rsidRPr="00387212">
        <w:rPr>
          <w:rFonts w:ascii="Times New Roman" w:hAnsi="Times New Roman"/>
          <w:sz w:val="24"/>
          <w:szCs w:val="24"/>
          <w:vertAlign w:val="superscript"/>
        </w:rPr>
        <w:footnoteReference w:id="19"/>
      </w:r>
      <w:r w:rsidRPr="00387212">
        <w:rPr>
          <w:rFonts w:ascii="Times New Roman" w:hAnsi="Times New Roman"/>
          <w:sz w:val="24"/>
          <w:szCs w:val="24"/>
        </w:rPr>
        <w:t>, reconoce que la violencia contra la mujer representa una modalidad específica de discriminación contra ella. Concretamente, su Preámbulo advierte que “la violencia contra la mujer es una ofensa a la dignidad humana y una manifestación de las relaciones de poder históricamente desiguales entre mujeres y hombres”, y su parte dispositiva reconoce que “el derecho de toda mujer a una vida libre de violencia incluye, entre otros: a) “el derecho de la mujer a ser libre de toda forma de discriminación” (artículo 6).</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En el ámbito del Consejo de Europa, el Convenio Europeo de Derechos Humanos (en adelante, CEDH), en el artículo 1, obliga a las Altas Partes Contratantes a garantizar “a toda persona bajo su jurisdicción los derechos y libertades definidos en el Título I del presente Convenio”; y el artículo 14 CEDH proclama que “el goce de los derechos y libertades reconocidos en el presente Convenio ha de ser asegurado sin distinción alguna, especialmente por razones de sexo, raza, color, lengua, religión, opiniones políticas u otras, origen nacional o social, pertenencia a una minoría nacional, fortuna, nacimiento o cualquier otra situación”.</w:t>
      </w:r>
    </w:p>
    <w:p w:rsidR="0099654D" w:rsidRPr="00387212" w:rsidRDefault="0099654D" w:rsidP="0099654D">
      <w:pPr>
        <w:spacing w:after="160"/>
        <w:ind w:firstLine="360"/>
        <w:jc w:val="both"/>
        <w:rPr>
          <w:rFonts w:ascii="Times New Roman" w:eastAsia="Times New Roman" w:hAnsi="Times New Roman"/>
          <w:sz w:val="24"/>
          <w:szCs w:val="24"/>
        </w:rPr>
      </w:pPr>
      <w:r w:rsidRPr="00387212">
        <w:rPr>
          <w:rFonts w:ascii="Times New Roman" w:eastAsia="Times New Roman" w:hAnsi="Times New Roman"/>
          <w:sz w:val="24"/>
          <w:szCs w:val="24"/>
        </w:rPr>
        <w:t xml:space="preserve">El </w:t>
      </w:r>
      <w:r w:rsidRPr="00387212">
        <w:rPr>
          <w:rFonts w:ascii="Times New Roman" w:eastAsia="Times New Roman" w:hAnsi="Times New Roman"/>
          <w:i/>
          <w:sz w:val="24"/>
          <w:szCs w:val="24"/>
        </w:rPr>
        <w:t>Convenio del Consejo de Europa sobre prevención y lucha contra la violencia contra las mujeres y la violencia doméstica</w:t>
      </w:r>
      <w:r w:rsidRPr="00387212">
        <w:rPr>
          <w:rFonts w:ascii="Times New Roman" w:eastAsia="Times New Roman" w:hAnsi="Times New Roman"/>
          <w:sz w:val="24"/>
          <w:szCs w:val="24"/>
        </w:rPr>
        <w:t>, aprobado en 2011, también reconoce que la violencia contra la mujer obedece a un “desequilibrio histórico entre la mujer y el hombre que ha llevado a la dominación y a la discriminación de la mujer por el hombre, privando así a la mujer de su plena emancipación”, constatando que “la naturaleza estructural” de esta violencia está basada en el género</w:t>
      </w:r>
      <w:r w:rsidRPr="00387212">
        <w:rPr>
          <w:rFonts w:ascii="Times New Roman" w:eastAsia="Times New Roman" w:hAnsi="Times New Roman"/>
          <w:sz w:val="24"/>
          <w:szCs w:val="24"/>
          <w:vertAlign w:val="superscript"/>
        </w:rPr>
        <w:footnoteReference w:id="20"/>
      </w:r>
      <w:r w:rsidRPr="00387212">
        <w:rPr>
          <w:rFonts w:ascii="Times New Roman" w:eastAsia="Times New Roman" w:hAnsi="Times New Roman"/>
          <w:sz w:val="24"/>
          <w:szCs w:val="24"/>
        </w:rPr>
        <w:t>.</w:t>
      </w:r>
    </w:p>
    <w:p w:rsidR="0099654D" w:rsidRPr="00387212" w:rsidRDefault="0099654D" w:rsidP="007B69B7">
      <w:pPr>
        <w:spacing w:after="160"/>
        <w:ind w:firstLine="360"/>
        <w:jc w:val="both"/>
        <w:rPr>
          <w:rFonts w:ascii="Times New Roman" w:hAnsi="Times New Roman"/>
          <w:sz w:val="24"/>
          <w:szCs w:val="24"/>
          <w:lang w:eastAsia="es-ES"/>
        </w:rPr>
      </w:pPr>
      <w:r w:rsidRPr="00387212">
        <w:rPr>
          <w:rFonts w:ascii="Times New Roman" w:eastAsia="Times New Roman" w:hAnsi="Times New Roman"/>
          <w:sz w:val="24"/>
          <w:szCs w:val="24"/>
        </w:rPr>
        <w:t>Tanto el TEDH como la CIDH han subrayado la relevancia de este tipo de discriminación, advirtiendo la necesidad de proteger a la mujer de la violencia del hombre. En ambas sedes, la jurisprudencia al respecto es abundante</w:t>
      </w:r>
      <w:r w:rsidR="007B69B7">
        <w:rPr>
          <w:rFonts w:ascii="Times New Roman" w:eastAsia="Times New Roman" w:hAnsi="Times New Roman"/>
          <w:sz w:val="24"/>
          <w:szCs w:val="24"/>
        </w:rPr>
        <w:t>.</w:t>
      </w:r>
    </w:p>
    <w:p w:rsidR="0099654D" w:rsidRPr="00387212" w:rsidRDefault="0099654D" w:rsidP="0099654D">
      <w:pPr>
        <w:autoSpaceDE w:val="0"/>
        <w:autoSpaceDN w:val="0"/>
        <w:adjustRightInd w:val="0"/>
        <w:spacing w:after="0"/>
        <w:jc w:val="both"/>
        <w:rPr>
          <w:rFonts w:ascii="Times New Roman" w:hAnsi="Times New Roman"/>
          <w:sz w:val="24"/>
          <w:szCs w:val="24"/>
          <w:lang w:eastAsia="es-ES"/>
        </w:rPr>
      </w:pPr>
    </w:p>
    <w:p w:rsidR="0099654D" w:rsidRPr="00387212" w:rsidRDefault="0099654D" w:rsidP="0099654D">
      <w:pPr>
        <w:pStyle w:val="Prrafodelista"/>
        <w:numPr>
          <w:ilvl w:val="0"/>
          <w:numId w:val="1"/>
        </w:numPr>
        <w:spacing w:after="160"/>
        <w:jc w:val="both"/>
        <w:rPr>
          <w:rFonts w:ascii="Times New Roman" w:hAnsi="Times New Roman"/>
          <w:b/>
          <w:sz w:val="24"/>
          <w:szCs w:val="24"/>
        </w:rPr>
      </w:pPr>
      <w:r w:rsidRPr="00387212">
        <w:rPr>
          <w:rFonts w:ascii="Times New Roman" w:hAnsi="Times New Roman"/>
          <w:b/>
          <w:sz w:val="24"/>
          <w:szCs w:val="24"/>
        </w:rPr>
        <w:t>LAS MUJERES DE LOS DESAPARECIDOS SON VÍCTIMAS DIRECTAS</w:t>
      </w:r>
    </w:p>
    <w:p w:rsidR="0099654D" w:rsidRPr="00387212" w:rsidRDefault="0099654D" w:rsidP="0099654D">
      <w:pPr>
        <w:spacing w:after="160"/>
        <w:ind w:firstLine="360"/>
        <w:jc w:val="both"/>
        <w:rPr>
          <w:rFonts w:ascii="Times New Roman" w:hAnsi="Times New Roman"/>
          <w:sz w:val="24"/>
          <w:szCs w:val="24"/>
        </w:rPr>
      </w:pPr>
      <w:r w:rsidRPr="00387212">
        <w:rPr>
          <w:rFonts w:ascii="Times New Roman" w:hAnsi="Times New Roman"/>
          <w:sz w:val="24"/>
          <w:szCs w:val="24"/>
        </w:rPr>
        <w:t>A la vista de los datos conocidos se presume que, aproximadamente las mujeres representan el 30% de las personas desaparecidas</w:t>
      </w:r>
      <w:r w:rsidRPr="00387212">
        <w:rPr>
          <w:rFonts w:ascii="Times New Roman" w:eastAsia="Garamond" w:hAnsi="Times New Roman"/>
          <w:sz w:val="24"/>
          <w:szCs w:val="24"/>
          <w:vertAlign w:val="superscript"/>
          <w:lang w:eastAsia="es-ES"/>
        </w:rPr>
        <w:footnoteReference w:id="21"/>
      </w:r>
      <w:r w:rsidRPr="00387212">
        <w:rPr>
          <w:rFonts w:ascii="Times New Roman" w:hAnsi="Times New Roman"/>
          <w:sz w:val="24"/>
          <w:szCs w:val="24"/>
        </w:rPr>
        <w:t xml:space="preserve">. Pero no cabe duda de que esposas, parejas, madres o hijas de los desaparecidos también son víctimas de la desaparición, y no solo por el dolor que genera la incertidumbre sobre el destino del ser querido. A este </w:t>
      </w:r>
      <w:r w:rsidRPr="00387212">
        <w:rPr>
          <w:rFonts w:ascii="Times New Roman" w:hAnsi="Times New Roman"/>
          <w:sz w:val="24"/>
          <w:szCs w:val="24"/>
        </w:rPr>
        <w:lastRenderedPageBreak/>
        <w:t>hay que sumar otro tipo de sufrimiento que deriva de la situación económica, social y familiar a la que se ven abocadas estas personas.</w:t>
      </w:r>
    </w:p>
    <w:p w:rsidR="0099654D" w:rsidRPr="00387212" w:rsidRDefault="0099654D" w:rsidP="0099654D">
      <w:pPr>
        <w:tabs>
          <w:tab w:val="left" w:pos="720"/>
        </w:tabs>
        <w:spacing w:after="0"/>
        <w:ind w:firstLine="357"/>
        <w:jc w:val="both"/>
        <w:rPr>
          <w:rFonts w:ascii="Times New Roman" w:hAnsi="Times New Roman"/>
          <w:sz w:val="24"/>
          <w:szCs w:val="24"/>
          <w:lang w:eastAsia="es-ES"/>
        </w:rPr>
      </w:pPr>
      <w:r w:rsidRPr="00387212">
        <w:rPr>
          <w:rFonts w:ascii="Times New Roman" w:hAnsi="Times New Roman"/>
          <w:sz w:val="24"/>
          <w:szCs w:val="24"/>
        </w:rPr>
        <w:t xml:space="preserve">Esta situación se complica aún más cuando se trata de </w:t>
      </w:r>
      <w:r w:rsidRPr="00387212">
        <w:rPr>
          <w:rFonts w:ascii="Times New Roman" w:hAnsi="Times New Roman"/>
          <w:sz w:val="24"/>
          <w:szCs w:val="24"/>
          <w:lang w:eastAsia="es-ES"/>
        </w:rPr>
        <w:t>mujeres indígenas que habitan en zonas rurales y no hablan el idioma dominante o lo hacen con dificultad. Registrarlas como víctimas de desapariciones forzadas para poder acceder a los derechos que hubiere lugar sería lo procedente, pero no siempre se habilitan los procedimientos y medios oportunos para facilitar la gestión de estos trámites. Incluso siendo conscientes de cuáles son sus derechos, muchas no saben cómo ejercerlos.</w:t>
      </w:r>
    </w:p>
    <w:p w:rsidR="0099654D" w:rsidRPr="00387212" w:rsidRDefault="0099654D" w:rsidP="0099654D">
      <w:pPr>
        <w:tabs>
          <w:tab w:val="left" w:pos="720"/>
        </w:tabs>
        <w:spacing w:after="0"/>
        <w:jc w:val="both"/>
        <w:rPr>
          <w:rFonts w:ascii="Times New Roman" w:hAnsi="Times New Roman"/>
          <w:sz w:val="24"/>
          <w:szCs w:val="24"/>
          <w:lang w:eastAsia="es-ES"/>
        </w:rPr>
      </w:pP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hAnsi="Times New Roman"/>
          <w:sz w:val="24"/>
          <w:szCs w:val="24"/>
        </w:rPr>
        <w:t>La indiferencia o desidia de las autoridades, esto es, del Estado, y en muchos casos también de la familia o del entorno, sumergen a la persona en un estado de desesperanza difícil de imaginar.  Es por eso que hablar de ellas como víctimas indirectas no parece lo más acertado.</w:t>
      </w:r>
    </w:p>
    <w:p w:rsidR="0099654D" w:rsidRPr="00387212" w:rsidRDefault="0099654D" w:rsidP="0099654D">
      <w:pPr>
        <w:tabs>
          <w:tab w:val="left" w:pos="1997"/>
        </w:tabs>
        <w:spacing w:after="0"/>
        <w:ind w:firstLine="357"/>
        <w:jc w:val="both"/>
        <w:rPr>
          <w:rFonts w:ascii="Times New Roman" w:hAnsi="Times New Roman"/>
          <w:sz w:val="24"/>
          <w:szCs w:val="24"/>
          <w:lang w:eastAsia="es-ES"/>
        </w:rPr>
      </w:pPr>
      <w:r w:rsidRPr="00387212">
        <w:rPr>
          <w:rFonts w:ascii="Times New Roman" w:hAnsi="Times New Roman"/>
          <w:sz w:val="24"/>
          <w:szCs w:val="24"/>
        </w:rPr>
        <w:t xml:space="preserve">De acuerdo con el artículo 24.1 de la </w:t>
      </w:r>
      <w:r w:rsidRPr="00387212">
        <w:rPr>
          <w:rFonts w:ascii="Times New Roman" w:hAnsi="Times New Roman"/>
          <w:i/>
          <w:sz w:val="24"/>
          <w:szCs w:val="24"/>
        </w:rPr>
        <w:t>Convención Internacional para la protección de todas las personas contra las desapariciones forzadas</w:t>
      </w:r>
      <w:r w:rsidRPr="00387212">
        <w:rPr>
          <w:rFonts w:ascii="Times New Roman" w:hAnsi="Times New Roman"/>
          <w:sz w:val="24"/>
          <w:szCs w:val="24"/>
        </w:rPr>
        <w:t>,</w:t>
      </w:r>
      <w:r w:rsidRPr="00387212">
        <w:rPr>
          <w:rFonts w:ascii="Times New Roman" w:eastAsia="Times New Roman" w:hAnsi="Times New Roman"/>
          <w:sz w:val="24"/>
          <w:szCs w:val="24"/>
          <w:lang w:val="es-ES_tradnl"/>
        </w:rPr>
        <w:t xml:space="preserve"> “se entenderá por «víctima» la persona desaparecida y toda persona física que haya sufrido un perjuicio directo como consecuencia de una desaparición forzada”. El párrafo segundo reconoce que “cada víctima tiene </w:t>
      </w:r>
      <w:r w:rsidRPr="00387212">
        <w:rPr>
          <w:rFonts w:ascii="Times New Roman" w:hAnsi="Times New Roman"/>
          <w:sz w:val="24"/>
          <w:szCs w:val="24"/>
          <w:lang w:eastAsia="es-ES"/>
        </w:rPr>
        <w:t>el derecho de conocer la verdad sobre las circunstancias de la desaparición forzada, la evolución y resultados de la investigación y la suerte de la persona desaparecida”. Añade el precepto que “cada Estado Parte tomará las medidas adecuadas a este respecto”</w:t>
      </w:r>
      <w:r w:rsidRPr="00387212">
        <w:rPr>
          <w:rFonts w:ascii="Times New Roman" w:eastAsia="Times New Roman" w:hAnsi="Times New Roman"/>
          <w:sz w:val="24"/>
          <w:szCs w:val="24"/>
          <w:vertAlign w:val="superscript"/>
        </w:rPr>
        <w:footnoteReference w:id="22"/>
      </w:r>
      <w:r w:rsidRPr="00387212">
        <w:rPr>
          <w:rFonts w:ascii="Times New Roman" w:hAnsi="Times New Roman"/>
          <w:sz w:val="24"/>
          <w:szCs w:val="24"/>
          <w:lang w:eastAsia="es-ES"/>
        </w:rPr>
        <w:t>.</w:t>
      </w:r>
    </w:p>
    <w:p w:rsidR="0099654D" w:rsidRPr="00387212" w:rsidRDefault="0099654D" w:rsidP="0099654D">
      <w:pPr>
        <w:tabs>
          <w:tab w:val="left" w:pos="1997"/>
        </w:tabs>
        <w:spacing w:after="0"/>
        <w:ind w:firstLine="357"/>
        <w:jc w:val="both"/>
        <w:rPr>
          <w:rFonts w:ascii="Times New Roman" w:eastAsia="Times New Roman" w:hAnsi="Times New Roman"/>
          <w:sz w:val="24"/>
          <w:szCs w:val="24"/>
          <w:lang w:val="es-ES_tradnl"/>
        </w:rPr>
      </w:pPr>
    </w:p>
    <w:p w:rsidR="0099654D" w:rsidRPr="00387212" w:rsidRDefault="0099654D" w:rsidP="0099654D">
      <w:pPr>
        <w:spacing w:after="160"/>
        <w:ind w:firstLine="357"/>
        <w:jc w:val="both"/>
        <w:rPr>
          <w:rFonts w:ascii="Times New Roman" w:eastAsia="Times New Roman" w:hAnsi="Times New Roman"/>
          <w:sz w:val="24"/>
          <w:szCs w:val="24"/>
          <w:lang w:val="es-ES_tradnl"/>
        </w:rPr>
      </w:pPr>
      <w:r w:rsidRPr="00387212">
        <w:rPr>
          <w:rFonts w:ascii="Times New Roman" w:eastAsia="Times New Roman" w:hAnsi="Times New Roman"/>
          <w:sz w:val="24"/>
          <w:szCs w:val="24"/>
          <w:lang w:val="es-ES_tradnl"/>
        </w:rPr>
        <w:t xml:space="preserve">De esta definición se deriva que, si bien la Convención distingue entre la persona desaparecida y aquellas otras que también de manera directa sufren las consecuencias de la desaparición, ambas son consideradas víctimas de la acción criminal. </w:t>
      </w:r>
    </w:p>
    <w:p w:rsidR="0099654D" w:rsidRPr="00387212" w:rsidRDefault="0099654D" w:rsidP="0099654D">
      <w:pPr>
        <w:spacing w:after="160"/>
        <w:ind w:firstLine="357"/>
        <w:jc w:val="both"/>
        <w:rPr>
          <w:rFonts w:ascii="Times New Roman" w:eastAsia="Times New Roman" w:hAnsi="Times New Roman"/>
          <w:sz w:val="24"/>
          <w:szCs w:val="24"/>
          <w:lang w:val="es-ES_tradnl"/>
        </w:rPr>
      </w:pPr>
      <w:r w:rsidRPr="00387212">
        <w:rPr>
          <w:rFonts w:ascii="Times New Roman" w:eastAsia="Times New Roman" w:hAnsi="Times New Roman"/>
          <w:sz w:val="24"/>
          <w:szCs w:val="24"/>
          <w:lang w:val="es-ES_tradnl"/>
        </w:rPr>
        <w:t xml:space="preserve">En relación con quiénes podrían ser consideradas víctimas más allá de la persona desaparecida, la Convención no se refiere a la familia ni concreta, por tanto, grados de parentesco o cualquier otra condición. Tan sólo señala que podrá ser considerada como tal aquella “persona física que hubiese sufrido un perjuicio directo como consecuencia de la desaparición forzada”. En consecuencia, esposas, parejas, hijas, personas a cargo, o allegados podrían así ser consideradas si se cumple el único requisito que el precepto exige. No se trata, pues, de una presunción </w:t>
      </w:r>
      <w:r w:rsidRPr="00387212">
        <w:rPr>
          <w:rFonts w:ascii="Times New Roman" w:eastAsia="Times New Roman" w:hAnsi="Times New Roman"/>
          <w:i/>
          <w:sz w:val="24"/>
          <w:szCs w:val="24"/>
          <w:lang w:val="es-ES_tradnl"/>
        </w:rPr>
        <w:t>iuris et de iure</w:t>
      </w:r>
      <w:r w:rsidRPr="00387212">
        <w:rPr>
          <w:rFonts w:ascii="Times New Roman" w:eastAsia="Times New Roman" w:hAnsi="Times New Roman"/>
          <w:sz w:val="24"/>
          <w:szCs w:val="24"/>
          <w:lang w:val="es-ES_tradnl"/>
        </w:rPr>
        <w:t>. Si el perjuicio no existe, la condición no se adquiere.</w:t>
      </w:r>
    </w:p>
    <w:p w:rsidR="0099654D" w:rsidRPr="00387212" w:rsidRDefault="000B409D" w:rsidP="0099654D">
      <w:pPr>
        <w:autoSpaceDE w:val="0"/>
        <w:autoSpaceDN w:val="0"/>
        <w:adjustRightInd w:val="0"/>
        <w:spacing w:after="0"/>
        <w:ind w:firstLine="357"/>
        <w:jc w:val="both"/>
        <w:rPr>
          <w:rFonts w:ascii="Times New Roman" w:eastAsia="Times New Roman" w:hAnsi="Times New Roman"/>
          <w:sz w:val="24"/>
          <w:szCs w:val="24"/>
        </w:rPr>
      </w:pPr>
      <w:r>
        <w:rPr>
          <w:rFonts w:ascii="Times New Roman" w:eastAsia="Times New Roman" w:hAnsi="Times New Roman"/>
          <w:sz w:val="24"/>
          <w:szCs w:val="24"/>
        </w:rPr>
        <w:t>D</w:t>
      </w:r>
      <w:r w:rsidR="0099654D" w:rsidRPr="00387212">
        <w:rPr>
          <w:rFonts w:ascii="Times New Roman" w:eastAsia="Times New Roman" w:hAnsi="Times New Roman"/>
          <w:sz w:val="24"/>
          <w:szCs w:val="24"/>
        </w:rPr>
        <w:t xml:space="preserve">el conjunto de resoluciones examinadas, tanto del TEDH como de la CIDH, se deriva que además de la persona desaparecida, existen otras víctimas en una desaparición forzada. En el ámbito del Consejo de Europa, no tienen por qué pertenecer necesariamente al ámbito familiar. Lo relevante es el perjuicio directo que la desaparición hubiera generado. Y lo mismo sucede en el ámbito interamericano, si bien </w:t>
      </w:r>
      <w:r w:rsidR="0099654D" w:rsidRPr="00387212">
        <w:rPr>
          <w:rFonts w:ascii="Times New Roman" w:eastAsia="Times New Roman" w:hAnsi="Times New Roman"/>
          <w:sz w:val="24"/>
          <w:szCs w:val="24"/>
        </w:rPr>
        <w:lastRenderedPageBreak/>
        <w:t xml:space="preserve">hasta la fecha ninguna Sentencia ha concedido esa condición más allá de los familiares. Ambos sistemas, pues, con anterioridad incluso a que la </w:t>
      </w:r>
      <w:r w:rsidR="0099654D" w:rsidRPr="004D0D09">
        <w:rPr>
          <w:rFonts w:ascii="Times New Roman" w:eastAsia="Times New Roman" w:hAnsi="Times New Roman"/>
          <w:i/>
          <w:sz w:val="24"/>
          <w:szCs w:val="24"/>
        </w:rPr>
        <w:t>Convención Internacional</w:t>
      </w:r>
      <w:r w:rsidR="0099654D" w:rsidRPr="00387212">
        <w:rPr>
          <w:rFonts w:ascii="Times New Roman" w:eastAsia="Times New Roman" w:hAnsi="Times New Roman"/>
          <w:sz w:val="24"/>
          <w:szCs w:val="24"/>
        </w:rPr>
        <w:t xml:space="preserve"> de las Naciones Unidas se aprobara, han venido considerando lo que el artículo 24.1 de este tratado también recoge, esto es, que en una desaparición forzada existen víctimas colaterales, personas que, a raíz de la desaparición del familiar o del allegado, han visto también sus derechos conculcados. Puesto que </w:t>
      </w:r>
      <w:r w:rsidR="0099654D">
        <w:rPr>
          <w:rFonts w:ascii="Times New Roman" w:eastAsia="Times New Roman" w:hAnsi="Times New Roman"/>
          <w:sz w:val="24"/>
          <w:szCs w:val="24"/>
        </w:rPr>
        <w:t>hablar</w:t>
      </w:r>
      <w:r w:rsidR="0099654D" w:rsidRPr="00387212">
        <w:rPr>
          <w:rFonts w:ascii="Times New Roman" w:eastAsia="Times New Roman" w:hAnsi="Times New Roman"/>
          <w:sz w:val="24"/>
          <w:szCs w:val="24"/>
        </w:rPr>
        <w:t xml:space="preserve"> </w:t>
      </w:r>
      <w:r w:rsidR="0099654D">
        <w:rPr>
          <w:rFonts w:ascii="Times New Roman" w:eastAsia="Times New Roman" w:hAnsi="Times New Roman"/>
          <w:sz w:val="24"/>
          <w:szCs w:val="24"/>
        </w:rPr>
        <w:t>d</w:t>
      </w:r>
      <w:r w:rsidR="0099654D" w:rsidRPr="00387212">
        <w:rPr>
          <w:rFonts w:ascii="Times New Roman" w:eastAsia="Times New Roman" w:hAnsi="Times New Roman"/>
          <w:sz w:val="24"/>
          <w:szCs w:val="24"/>
        </w:rPr>
        <w:t xml:space="preserve">e víctimas directas </w:t>
      </w:r>
      <w:r w:rsidR="0099654D">
        <w:rPr>
          <w:rFonts w:ascii="Times New Roman" w:eastAsia="Times New Roman" w:hAnsi="Times New Roman"/>
          <w:sz w:val="24"/>
          <w:szCs w:val="24"/>
        </w:rPr>
        <w:t>e</w:t>
      </w:r>
      <w:r w:rsidR="0099654D" w:rsidRPr="00387212">
        <w:rPr>
          <w:rFonts w:ascii="Times New Roman" w:eastAsia="Times New Roman" w:hAnsi="Times New Roman"/>
          <w:sz w:val="24"/>
          <w:szCs w:val="24"/>
        </w:rPr>
        <w:t xml:space="preserve"> indirectas pudiera generar la impresión de que estas segundas lo son menos que las primeras, </w:t>
      </w:r>
      <w:r w:rsidR="0099654D">
        <w:rPr>
          <w:rFonts w:ascii="Times New Roman" w:eastAsia="Times New Roman" w:hAnsi="Times New Roman"/>
          <w:sz w:val="24"/>
          <w:szCs w:val="24"/>
        </w:rPr>
        <w:t>entendemos que esa distinción no debiera ser utilizada</w:t>
      </w:r>
      <w:r w:rsidR="0099654D" w:rsidRPr="00387212">
        <w:rPr>
          <w:rFonts w:ascii="Times New Roman" w:eastAsia="Times New Roman" w:hAnsi="Times New Roman"/>
          <w:sz w:val="24"/>
          <w:szCs w:val="24"/>
        </w:rPr>
        <w:t xml:space="preserve">. </w:t>
      </w:r>
    </w:p>
    <w:p w:rsidR="0099654D" w:rsidRPr="00387212" w:rsidRDefault="0099654D" w:rsidP="0099654D">
      <w:pPr>
        <w:autoSpaceDE w:val="0"/>
        <w:autoSpaceDN w:val="0"/>
        <w:adjustRightInd w:val="0"/>
        <w:spacing w:after="0"/>
        <w:jc w:val="both"/>
        <w:rPr>
          <w:rFonts w:ascii="Times New Roman" w:eastAsia="Times New Roman" w:hAnsi="Times New Roman"/>
          <w:sz w:val="24"/>
          <w:szCs w:val="24"/>
        </w:rPr>
      </w:pPr>
    </w:p>
    <w:p w:rsidR="0099654D" w:rsidRPr="00387212" w:rsidRDefault="0099654D" w:rsidP="0099654D">
      <w:pPr>
        <w:autoSpaceDE w:val="0"/>
        <w:autoSpaceDN w:val="0"/>
        <w:adjustRightInd w:val="0"/>
        <w:spacing w:after="0"/>
        <w:ind w:firstLine="357"/>
        <w:jc w:val="both"/>
        <w:rPr>
          <w:rFonts w:ascii="Times New Roman" w:eastAsia="Times New Roman" w:hAnsi="Times New Roman"/>
          <w:sz w:val="24"/>
          <w:szCs w:val="24"/>
        </w:rPr>
      </w:pPr>
      <w:r w:rsidRPr="00387212">
        <w:rPr>
          <w:rFonts w:ascii="Times New Roman" w:eastAsia="Times New Roman" w:hAnsi="Times New Roman"/>
          <w:sz w:val="24"/>
          <w:szCs w:val="24"/>
        </w:rPr>
        <w:t xml:space="preserve">Hemos de reconocer que las resoluciones de la CIDH y del TEDH no emplean el concepto de víctima indirecta, sino que suelen </w:t>
      </w:r>
      <w:r>
        <w:rPr>
          <w:rFonts w:ascii="Times New Roman" w:eastAsia="Times New Roman" w:hAnsi="Times New Roman"/>
          <w:sz w:val="24"/>
          <w:szCs w:val="24"/>
        </w:rPr>
        <w:t>emplear</w:t>
      </w:r>
      <w:r w:rsidRPr="00387212">
        <w:rPr>
          <w:rFonts w:ascii="Times New Roman" w:eastAsia="Times New Roman" w:hAnsi="Times New Roman"/>
          <w:sz w:val="24"/>
          <w:szCs w:val="24"/>
        </w:rPr>
        <w:t xml:space="preserve"> el concepto de víctima directa en relación con la persona desaparecida y a los familiares y allegados se los menciona haciendo referencia directamente a ellos, sin utilizar aquella otra categoría. No obstante, en el marco de las Naciones Unidas, algún documento del Comité para la Eliminación de la Discriminación contra la Mujer y del Comité contra la Tortura ha distinguido entre una y otra</w:t>
      </w:r>
      <w:r w:rsidRPr="00387212">
        <w:rPr>
          <w:rStyle w:val="Refdenotaalpie"/>
          <w:rFonts w:ascii="Times New Roman" w:eastAsia="Times New Roman" w:hAnsi="Times New Roman"/>
          <w:sz w:val="24"/>
          <w:szCs w:val="24"/>
        </w:rPr>
        <w:footnoteReference w:id="23"/>
      </w:r>
      <w:r w:rsidRPr="00387212">
        <w:rPr>
          <w:rFonts w:ascii="Times New Roman" w:eastAsia="Times New Roman" w:hAnsi="Times New Roman"/>
          <w:sz w:val="24"/>
          <w:szCs w:val="24"/>
        </w:rPr>
        <w:t>. Por la razón apuntada, no debiera ser así.</w:t>
      </w:r>
    </w:p>
    <w:p w:rsidR="0099654D" w:rsidRPr="00387212" w:rsidRDefault="0099654D" w:rsidP="0099654D">
      <w:pPr>
        <w:autoSpaceDE w:val="0"/>
        <w:autoSpaceDN w:val="0"/>
        <w:adjustRightInd w:val="0"/>
        <w:spacing w:after="0"/>
        <w:jc w:val="both"/>
        <w:rPr>
          <w:rFonts w:ascii="Times New Roman" w:eastAsia="Times New Roman" w:hAnsi="Times New Roman"/>
          <w:sz w:val="24"/>
          <w:szCs w:val="24"/>
        </w:rPr>
      </w:pPr>
    </w:p>
    <w:p w:rsidR="0099654D" w:rsidRPr="00387212" w:rsidRDefault="0099654D" w:rsidP="0099654D">
      <w:pPr>
        <w:pStyle w:val="Prrafodelista"/>
        <w:numPr>
          <w:ilvl w:val="0"/>
          <w:numId w:val="1"/>
        </w:numPr>
        <w:spacing w:after="160"/>
        <w:jc w:val="both"/>
        <w:rPr>
          <w:rFonts w:ascii="Times New Roman" w:hAnsi="Times New Roman"/>
          <w:b/>
          <w:sz w:val="24"/>
          <w:szCs w:val="24"/>
        </w:rPr>
      </w:pPr>
      <w:r w:rsidRPr="00387212">
        <w:rPr>
          <w:rFonts w:ascii="Times New Roman" w:hAnsi="Times New Roman"/>
          <w:b/>
          <w:sz w:val="24"/>
          <w:szCs w:val="24"/>
          <w:lang w:eastAsia="es-ES"/>
        </w:rPr>
        <w:t>INFLUENCIA DE LOS PATRONES SOCIOCULTURALES DISCRIMINATORIOS EN LA INVESTIGACIÓN CUANDO LA VÍCTIMA ES UNA MUJER</w:t>
      </w:r>
    </w:p>
    <w:p w:rsidR="0099654D" w:rsidRPr="00387212" w:rsidRDefault="0099654D" w:rsidP="0099654D">
      <w:pPr>
        <w:tabs>
          <w:tab w:val="left" w:pos="720"/>
        </w:tabs>
        <w:spacing w:after="0"/>
        <w:ind w:firstLine="357"/>
        <w:jc w:val="both"/>
        <w:rPr>
          <w:rFonts w:ascii="Times New Roman" w:hAnsi="Times New Roman"/>
          <w:sz w:val="24"/>
          <w:szCs w:val="24"/>
        </w:rPr>
      </w:pPr>
      <w:r w:rsidRPr="00387212">
        <w:rPr>
          <w:rFonts w:ascii="Times New Roman" w:hAnsi="Times New Roman"/>
          <w:sz w:val="24"/>
          <w:szCs w:val="24"/>
        </w:rPr>
        <w:t>Cuando lo que se denuncia es la desaparición de una mujer, los “patrones socioculturales discriminatorios” pueden llegar a influir en la investigación o en la valoración de las pruebas, hasta el punto de desembocar en una descalificación de la credibilidad de la víctima a la que, en ocasiones, se la ha llegado a responsabilizar de la violencia sufrida “por su forma de vestir, por su ocupación laboral, conducta sexual [o por su] relación o parentesco con el agresor”, lo que</w:t>
      </w:r>
      <w:r>
        <w:rPr>
          <w:rFonts w:ascii="Times New Roman" w:hAnsi="Times New Roman"/>
          <w:sz w:val="24"/>
          <w:szCs w:val="24"/>
        </w:rPr>
        <w:t>,</w:t>
      </w:r>
      <w:r w:rsidRPr="00387212">
        <w:rPr>
          <w:rFonts w:ascii="Times New Roman" w:hAnsi="Times New Roman"/>
          <w:sz w:val="24"/>
          <w:szCs w:val="24"/>
        </w:rPr>
        <w:t xml:space="preserve"> lamentablemente</w:t>
      </w:r>
      <w:r>
        <w:rPr>
          <w:rFonts w:ascii="Times New Roman" w:hAnsi="Times New Roman"/>
          <w:sz w:val="24"/>
          <w:szCs w:val="24"/>
        </w:rPr>
        <w:t>,</w:t>
      </w:r>
      <w:r w:rsidRPr="00387212">
        <w:rPr>
          <w:rFonts w:ascii="Times New Roman" w:hAnsi="Times New Roman"/>
          <w:sz w:val="24"/>
          <w:szCs w:val="24"/>
        </w:rPr>
        <w:t xml:space="preserve"> en muchos casos se ha traducido en una falta de actuación por parte de las autoridades a las se dirige la víctima buscando amparo (policía, fiscales y jueces). </w:t>
      </w:r>
      <w:r>
        <w:rPr>
          <w:rFonts w:ascii="Times New Roman" w:hAnsi="Times New Roman"/>
          <w:sz w:val="24"/>
          <w:szCs w:val="24"/>
        </w:rPr>
        <w:t>Más aún, a veces estas denuncias</w:t>
      </w:r>
      <w:r w:rsidRPr="00387212">
        <w:rPr>
          <w:rFonts w:ascii="Times New Roman" w:hAnsi="Times New Roman"/>
          <w:sz w:val="24"/>
          <w:szCs w:val="24"/>
        </w:rPr>
        <w:t xml:space="preserve"> han terminado abriendo una investigación sobre “el comportamiento social o sexual previo de las víctimas”, lo que, salvo que existan indicios que lo justifiquen suficientemente,  supone una constatación de la</w:t>
      </w:r>
      <w:r>
        <w:rPr>
          <w:rFonts w:ascii="Times New Roman" w:hAnsi="Times New Roman"/>
          <w:sz w:val="24"/>
          <w:szCs w:val="24"/>
        </w:rPr>
        <w:t xml:space="preserve"> inaceptable</w:t>
      </w:r>
      <w:r w:rsidRPr="00387212">
        <w:rPr>
          <w:rFonts w:ascii="Times New Roman" w:hAnsi="Times New Roman"/>
          <w:sz w:val="24"/>
          <w:szCs w:val="24"/>
        </w:rPr>
        <w:t xml:space="preserve"> influencia de los estereotipos de género en el aparato del Estado</w:t>
      </w:r>
      <w:r w:rsidRPr="00387212">
        <w:rPr>
          <w:rFonts w:ascii="Times New Roman" w:hAnsi="Times New Roman"/>
          <w:sz w:val="24"/>
          <w:szCs w:val="24"/>
          <w:vertAlign w:val="superscript"/>
        </w:rPr>
        <w:footnoteReference w:id="24"/>
      </w:r>
      <w:r w:rsidRPr="00387212">
        <w:rPr>
          <w:rFonts w:ascii="Times New Roman" w:hAnsi="Times New Roman"/>
          <w:sz w:val="24"/>
          <w:szCs w:val="24"/>
        </w:rPr>
        <w:t>.</w:t>
      </w:r>
      <w:r>
        <w:rPr>
          <w:rFonts w:ascii="Times New Roman" w:hAnsi="Times New Roman"/>
          <w:sz w:val="24"/>
          <w:szCs w:val="24"/>
        </w:rPr>
        <w:t xml:space="preserve"> </w:t>
      </w:r>
    </w:p>
    <w:p w:rsidR="0099654D" w:rsidRPr="00387212" w:rsidRDefault="0099654D" w:rsidP="0099654D">
      <w:pPr>
        <w:tabs>
          <w:tab w:val="left" w:pos="720"/>
        </w:tabs>
        <w:spacing w:after="0"/>
        <w:jc w:val="both"/>
        <w:rPr>
          <w:rFonts w:ascii="Times New Roman" w:hAnsi="Times New Roman"/>
          <w:sz w:val="24"/>
          <w:szCs w:val="24"/>
        </w:rPr>
      </w:pPr>
    </w:p>
    <w:p w:rsidR="0099654D" w:rsidRPr="00387212" w:rsidRDefault="0099654D" w:rsidP="0099654D">
      <w:pPr>
        <w:spacing w:after="160"/>
        <w:ind w:firstLine="357"/>
        <w:jc w:val="both"/>
        <w:rPr>
          <w:rFonts w:ascii="Times New Roman" w:eastAsia="Cambria" w:hAnsi="Times New Roman"/>
          <w:sz w:val="24"/>
          <w:szCs w:val="24"/>
          <w:lang w:eastAsia="es-ES"/>
        </w:rPr>
      </w:pPr>
      <w:r w:rsidRPr="00387212">
        <w:rPr>
          <w:rFonts w:ascii="Times New Roman" w:hAnsi="Times New Roman"/>
          <w:sz w:val="24"/>
          <w:szCs w:val="24"/>
        </w:rPr>
        <w:t xml:space="preserve">En relación con esta realidad, </w:t>
      </w:r>
      <w:r w:rsidRPr="00387212">
        <w:rPr>
          <w:rFonts w:ascii="Times New Roman" w:eastAsia="Cambria" w:hAnsi="Times New Roman"/>
          <w:sz w:val="24"/>
          <w:szCs w:val="24"/>
          <w:lang w:eastAsia="es-ES"/>
        </w:rPr>
        <w:t>el Comité</w:t>
      </w:r>
      <w:r w:rsidRPr="00387212">
        <w:rPr>
          <w:rFonts w:ascii="Times New Roman" w:hAnsi="Times New Roman"/>
          <w:sz w:val="24"/>
          <w:szCs w:val="24"/>
        </w:rPr>
        <w:t xml:space="preserve"> </w:t>
      </w:r>
      <w:r w:rsidRPr="00387212">
        <w:rPr>
          <w:rFonts w:ascii="Times New Roman" w:eastAsia="Cambria" w:hAnsi="Times New Roman"/>
          <w:sz w:val="24"/>
          <w:szCs w:val="24"/>
          <w:lang w:eastAsia="es-ES"/>
        </w:rPr>
        <w:t xml:space="preserve">para la Eliminación de la Discriminación contra la Mujer, en su informe periódico sobre México, de 2018, </w:t>
      </w:r>
      <w:r>
        <w:rPr>
          <w:rFonts w:ascii="Times New Roman" w:eastAsia="Cambria" w:hAnsi="Times New Roman"/>
          <w:sz w:val="24"/>
          <w:szCs w:val="24"/>
          <w:lang w:eastAsia="es-ES"/>
        </w:rPr>
        <w:t>advierte</w:t>
      </w:r>
      <w:r w:rsidRPr="00387212">
        <w:rPr>
          <w:rFonts w:ascii="Times New Roman" w:eastAsia="Cambria" w:hAnsi="Times New Roman"/>
          <w:sz w:val="24"/>
          <w:szCs w:val="24"/>
          <w:lang w:eastAsia="es-ES"/>
        </w:rPr>
        <w:t xml:space="preserve"> que “ante denuncias de mujeres desaparecidas subsiste la persistencia de actitudes y prácticas discriminatorias por parte de autoridades estatales, en virtud de las cuales se demuestra una falta de seriedad ante la denuncia y una ausencia de acciones concretas e inmediatas que, en distintos casos, pudiesen marcar la diferencia en respecto a la integridad personal de la mujer en riesgo. Estas actitudes o prácticas se pueden observar no solo por parte de los agentes investigadores sino también, entre otros, en servidores públicos como trabajadores sociales e autoridades gubernamentales. Mismo si algunos países han eliminado, por ejemplo, la necesidad de esperar determinadas horas para aceptar una denuncia o iniciar la investigación en el caso de una persona desaparecida, en la práctica se observa que los agentes estatales suelen encaminar sus respuestas así como guiar las líneas de investigación sobre la base del modo de vida de la víctima y sus relaciones resultando en investigaciones que no son ni diligentes ni imparciales”</w:t>
      </w:r>
      <w:r w:rsidRPr="00387212">
        <w:rPr>
          <w:rFonts w:ascii="Times New Roman" w:eastAsia="Cambria" w:hAnsi="Times New Roman"/>
          <w:sz w:val="24"/>
          <w:szCs w:val="24"/>
          <w:vertAlign w:val="superscript"/>
          <w:lang w:eastAsia="es-ES"/>
        </w:rPr>
        <w:footnoteReference w:id="25"/>
      </w:r>
      <w:r w:rsidRPr="00387212">
        <w:rPr>
          <w:rFonts w:ascii="Times New Roman" w:eastAsia="Cambria" w:hAnsi="Times New Roman"/>
          <w:sz w:val="24"/>
          <w:szCs w:val="24"/>
          <w:lang w:eastAsia="es-ES"/>
        </w:rPr>
        <w:t>.</w:t>
      </w: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eastAsia="Cambria" w:hAnsi="Times New Roman"/>
          <w:sz w:val="24"/>
          <w:szCs w:val="24"/>
          <w:lang w:eastAsia="es-ES"/>
        </w:rPr>
        <w:t xml:space="preserve">Los efectos perniciosos de esta manera de proceder urgen medidas drásticas que las combatan.  La CIDH advierte, con claridad meridiana, que </w:t>
      </w:r>
      <w:r w:rsidRPr="00387212">
        <w:rPr>
          <w:rFonts w:ascii="Times New Roman" w:hAnsi="Times New Roman"/>
          <w:sz w:val="24"/>
          <w:szCs w:val="24"/>
        </w:rPr>
        <w:t>“la ineficacia judicial frente a casos individuales de violencia contra la mujer propicia un ambiente de impunidad que facilita y promueve la repetición de los hechos de violencia general y envía un mensaje según el cual la violencia contra las mujeres puede ser tolerada y aceptada, lo que favorece su perpetuación y la aceptación social del fenómeno, el sentimiento y la sensación de inseguridad de las mujeres, así como una persistente desconfianza de estas en el sistema de administración de justicia</w:t>
      </w:r>
      <w:r w:rsidRPr="00387212">
        <w:rPr>
          <w:rFonts w:ascii="Times New Roman" w:hAnsi="Times New Roman"/>
          <w:sz w:val="24"/>
          <w:szCs w:val="24"/>
          <w:vertAlign w:val="superscript"/>
        </w:rPr>
        <w:footnoteReference w:id="26"/>
      </w:r>
      <w:r w:rsidRPr="00387212">
        <w:rPr>
          <w:rFonts w:ascii="Times New Roman" w:hAnsi="Times New Roman"/>
          <w:sz w:val="24"/>
          <w:szCs w:val="24"/>
        </w:rPr>
        <w:t>. Dicha ineficacia o indiferencia constituye en sí misma una discriminación [de la mujer] en el acceso a la justicia</w:t>
      </w:r>
      <w:r w:rsidRPr="00387212">
        <w:rPr>
          <w:rFonts w:ascii="Times New Roman" w:hAnsi="Times New Roman"/>
          <w:sz w:val="24"/>
          <w:szCs w:val="24"/>
          <w:vertAlign w:val="superscript"/>
        </w:rPr>
        <w:footnoteReference w:id="27"/>
      </w:r>
      <w:r w:rsidRPr="00387212">
        <w:rPr>
          <w:rFonts w:ascii="Times New Roman" w:hAnsi="Times New Roman"/>
          <w:sz w:val="24"/>
          <w:szCs w:val="24"/>
        </w:rPr>
        <w:t xml:space="preserve">. Por ello, cuando existan indicios o sospechas concretas de violencia de género, la falta de investigación por parte de las autoridades de los posibles móviles discriminatorios que </w:t>
      </w:r>
      <w:r w:rsidRPr="00387212">
        <w:rPr>
          <w:rFonts w:ascii="Times New Roman" w:hAnsi="Times New Roman"/>
          <w:sz w:val="24"/>
          <w:szCs w:val="24"/>
        </w:rPr>
        <w:lastRenderedPageBreak/>
        <w:t>tuvo un acto de violencia contra la mujer, puede constituir en sí misma una forma de discriminación basada en el género”</w:t>
      </w:r>
      <w:r w:rsidRPr="00387212">
        <w:rPr>
          <w:rFonts w:ascii="Times New Roman" w:hAnsi="Times New Roman"/>
          <w:sz w:val="24"/>
          <w:szCs w:val="24"/>
          <w:vertAlign w:val="superscript"/>
        </w:rPr>
        <w:footnoteReference w:id="28"/>
      </w:r>
      <w:r w:rsidRPr="00387212">
        <w:rPr>
          <w:rFonts w:ascii="Times New Roman" w:hAnsi="Times New Roman"/>
          <w:sz w:val="24"/>
          <w:szCs w:val="24"/>
        </w:rPr>
        <w:t>.</w:t>
      </w:r>
    </w:p>
    <w:p w:rsidR="0099654D" w:rsidRPr="00387212" w:rsidRDefault="0099654D" w:rsidP="0099654D">
      <w:pPr>
        <w:spacing w:after="160"/>
        <w:ind w:firstLine="357"/>
        <w:jc w:val="both"/>
        <w:rPr>
          <w:rFonts w:ascii="Times New Roman" w:hAnsi="Times New Roman"/>
          <w:sz w:val="24"/>
          <w:szCs w:val="24"/>
        </w:rPr>
      </w:pPr>
      <w:r w:rsidRPr="00387212">
        <w:rPr>
          <w:rFonts w:ascii="Times New Roman" w:hAnsi="Times New Roman"/>
          <w:sz w:val="24"/>
          <w:szCs w:val="24"/>
        </w:rPr>
        <w:t>La CIDH ha señalado que el deber de investigar efectivamente tiene un alcance adicional “cuando se trata de una mujer que sufre una muerte, maltrato o afectación a su libertad personal en el marco de un contexto general de violencia contra las mujeres”. Al efecto, la Corte recuerda que el TEDH se ha pronunciado en ese sentido al subrayar la extremada importancia que tiene que las minorías vulnerables perciban el respaldo de las autoridades públicas ante la evidente situación de riesgo que sufren, en este caso, las mujeres por motivo de la violencia por razón de género</w:t>
      </w:r>
      <w:r w:rsidRPr="00387212">
        <w:rPr>
          <w:rFonts w:ascii="Times New Roman" w:hAnsi="Times New Roman"/>
          <w:sz w:val="24"/>
          <w:szCs w:val="24"/>
          <w:vertAlign w:val="superscript"/>
        </w:rPr>
        <w:footnoteReference w:id="29"/>
      </w:r>
      <w:r w:rsidRPr="00387212">
        <w:rPr>
          <w:rFonts w:ascii="Times New Roman" w:hAnsi="Times New Roman"/>
          <w:sz w:val="24"/>
          <w:szCs w:val="24"/>
        </w:rPr>
        <w:t>.</w:t>
      </w:r>
      <w:r w:rsidR="005E4DC8">
        <w:rPr>
          <w:rFonts w:ascii="Times New Roman" w:hAnsi="Times New Roman"/>
          <w:sz w:val="24"/>
          <w:szCs w:val="24"/>
        </w:rPr>
        <w:t xml:space="preserve"> </w:t>
      </w:r>
      <w:r w:rsidRPr="00387212">
        <w:rPr>
          <w:rFonts w:ascii="Times New Roman" w:hAnsi="Times New Roman"/>
          <w:sz w:val="24"/>
          <w:szCs w:val="24"/>
        </w:rPr>
        <w:t xml:space="preserve">La CIDH realiza estas consideraciones en la Sentencia que resuelve el </w:t>
      </w:r>
      <w:r w:rsidRPr="00387212">
        <w:rPr>
          <w:rFonts w:ascii="Times New Roman" w:hAnsi="Times New Roman"/>
          <w:i/>
          <w:sz w:val="24"/>
          <w:szCs w:val="24"/>
        </w:rPr>
        <w:t>Caso González y otras (“Campo Algodonero” Vs. México</w:t>
      </w:r>
      <w:r w:rsidRPr="00387212">
        <w:rPr>
          <w:rFonts w:ascii="Times New Roman" w:hAnsi="Times New Roman"/>
          <w:sz w:val="24"/>
          <w:szCs w:val="24"/>
          <w:vertAlign w:val="superscript"/>
        </w:rPr>
        <w:footnoteReference w:id="30"/>
      </w:r>
      <w:r w:rsidRPr="00387212">
        <w:rPr>
          <w:rFonts w:ascii="Times New Roman" w:hAnsi="Times New Roman"/>
          <w:sz w:val="24"/>
          <w:szCs w:val="24"/>
        </w:rPr>
        <w:t xml:space="preserve">. </w:t>
      </w:r>
    </w:p>
    <w:p w:rsidR="0099654D" w:rsidRPr="00387212" w:rsidRDefault="0099654D" w:rsidP="0099654D">
      <w:pPr>
        <w:pStyle w:val="footnotedescription"/>
        <w:spacing w:line="276" w:lineRule="auto"/>
        <w:ind w:left="0" w:firstLine="357"/>
        <w:rPr>
          <w:rFonts w:ascii="Times New Roman" w:hAnsi="Times New Roman" w:cs="Times New Roman"/>
          <w:sz w:val="24"/>
          <w:szCs w:val="24"/>
        </w:rPr>
      </w:pPr>
      <w:r w:rsidRPr="00387212">
        <w:rPr>
          <w:rFonts w:ascii="Times New Roman" w:hAnsi="Times New Roman" w:cs="Times New Roman"/>
          <w:color w:val="auto"/>
          <w:sz w:val="24"/>
          <w:szCs w:val="24"/>
        </w:rPr>
        <w:t xml:space="preserve">Para hacer frente a esta realidad, y en particular en relación con las desapariciones forzadas, la jurisprudencia de la CIDH, en el </w:t>
      </w:r>
      <w:r w:rsidRPr="00387212">
        <w:rPr>
          <w:rFonts w:ascii="Times New Roman" w:hAnsi="Times New Roman" w:cs="Times New Roman"/>
          <w:i/>
          <w:color w:val="auto"/>
          <w:sz w:val="24"/>
          <w:szCs w:val="24"/>
        </w:rPr>
        <w:t>Caso González y Otras (“Campo Algondonero”) Vs. México</w:t>
      </w:r>
      <w:r w:rsidRPr="00387212">
        <w:rPr>
          <w:rFonts w:ascii="Times New Roman" w:hAnsi="Times New Roman" w:cs="Times New Roman"/>
          <w:color w:val="auto"/>
          <w:sz w:val="24"/>
          <w:szCs w:val="24"/>
        </w:rPr>
        <w:t>, y en otras posteriores, ha señalado que los Estados deben estandarizar los protocolos, manuales, criterios ministeriales de investigación, servicios periciales y de impartición de justicia, utilizados para investigar todos los delitos que se relacionen con desapariciones, violencia sexual y homicidios de mujeres, para que se ajusten al Convenio de Estambul, al Manual sobre la Prevención e Investigación Efectiva de Ejecuciones Extrajudiciales, Arbitrarias y Sumarias de Naciones Unidas y a los estándares internacionales de búsqueda de personas desaparecidas, con base en una perspectiva de género</w:t>
      </w:r>
      <w:r w:rsidRPr="00387212">
        <w:rPr>
          <w:rStyle w:val="Refdenotaalpie"/>
          <w:rFonts w:ascii="Times New Roman" w:hAnsi="Times New Roman"/>
          <w:color w:val="auto"/>
          <w:sz w:val="24"/>
          <w:szCs w:val="24"/>
        </w:rPr>
        <w:footnoteReference w:id="31"/>
      </w:r>
      <w:r w:rsidRPr="00387212">
        <w:rPr>
          <w:rFonts w:ascii="Times New Roman" w:hAnsi="Times New Roman" w:cs="Times New Roman"/>
          <w:color w:val="auto"/>
          <w:sz w:val="24"/>
          <w:szCs w:val="24"/>
        </w:rPr>
        <w:t xml:space="preserve">. </w:t>
      </w:r>
    </w:p>
    <w:p w:rsidR="0099654D" w:rsidRPr="00387212" w:rsidRDefault="0099654D" w:rsidP="0099654D">
      <w:pPr>
        <w:spacing w:after="0"/>
        <w:jc w:val="both"/>
        <w:rPr>
          <w:rFonts w:ascii="Times New Roman" w:hAnsi="Times New Roman"/>
          <w:sz w:val="24"/>
          <w:szCs w:val="24"/>
        </w:rPr>
      </w:pPr>
    </w:p>
    <w:p w:rsidR="0099654D" w:rsidRPr="00387212" w:rsidRDefault="0099654D" w:rsidP="0099654D">
      <w:pPr>
        <w:pStyle w:val="Prrafodelista"/>
        <w:numPr>
          <w:ilvl w:val="0"/>
          <w:numId w:val="1"/>
        </w:numPr>
        <w:spacing w:after="160"/>
        <w:jc w:val="both"/>
        <w:rPr>
          <w:rFonts w:ascii="Times New Roman" w:eastAsia="Cambria" w:hAnsi="Times New Roman"/>
          <w:b/>
          <w:sz w:val="24"/>
          <w:szCs w:val="24"/>
          <w:lang w:eastAsia="es-ES"/>
        </w:rPr>
      </w:pPr>
      <w:r w:rsidRPr="00387212">
        <w:rPr>
          <w:rFonts w:ascii="Times New Roman" w:eastAsia="Cambria" w:hAnsi="Times New Roman"/>
          <w:b/>
          <w:sz w:val="24"/>
          <w:szCs w:val="24"/>
          <w:lang w:eastAsia="es-ES"/>
        </w:rPr>
        <w:lastRenderedPageBreak/>
        <w:t>LA URGENCIA DE POLÍTICAS EFICACES DE PREVENCIÓN Y REPRESIÓN</w:t>
      </w:r>
    </w:p>
    <w:p w:rsidR="0099654D" w:rsidRPr="00387212" w:rsidRDefault="005E4DC8" w:rsidP="0099654D">
      <w:pPr>
        <w:tabs>
          <w:tab w:val="left" w:pos="1997"/>
        </w:tabs>
        <w:spacing w:after="0"/>
        <w:ind w:firstLine="357"/>
        <w:jc w:val="both"/>
        <w:rPr>
          <w:rFonts w:ascii="Times New Roman" w:hAnsi="Times New Roman"/>
          <w:sz w:val="24"/>
          <w:szCs w:val="24"/>
        </w:rPr>
      </w:pPr>
      <w:r>
        <w:rPr>
          <w:rFonts w:ascii="Times New Roman" w:hAnsi="Times New Roman"/>
          <w:sz w:val="24"/>
          <w:szCs w:val="24"/>
        </w:rPr>
        <w:t>E</w:t>
      </w:r>
      <w:r w:rsidR="0099654D" w:rsidRPr="00387212">
        <w:rPr>
          <w:rFonts w:ascii="Times New Roman" w:hAnsi="Times New Roman"/>
          <w:sz w:val="24"/>
          <w:szCs w:val="24"/>
        </w:rPr>
        <w:t>l Comité de Expertas del MESECVI (OEA)</w:t>
      </w:r>
      <w:r w:rsidR="0099654D" w:rsidRPr="00387212">
        <w:rPr>
          <w:rStyle w:val="Refdenotaalpie"/>
          <w:rFonts w:ascii="Times New Roman" w:hAnsi="Times New Roman"/>
          <w:sz w:val="24"/>
          <w:szCs w:val="24"/>
        </w:rPr>
        <w:footnoteReference w:id="32"/>
      </w:r>
      <w:r w:rsidR="0099654D" w:rsidRPr="00387212">
        <w:rPr>
          <w:rFonts w:ascii="Times New Roman" w:hAnsi="Times New Roman"/>
          <w:sz w:val="24"/>
          <w:szCs w:val="24"/>
        </w:rPr>
        <w:t xml:space="preserve"> </w:t>
      </w:r>
      <w:r w:rsidR="0099654D">
        <w:rPr>
          <w:rFonts w:ascii="Times New Roman" w:hAnsi="Times New Roman"/>
          <w:sz w:val="24"/>
          <w:szCs w:val="24"/>
        </w:rPr>
        <w:t>señala</w:t>
      </w:r>
      <w:r w:rsidR="0099654D" w:rsidRPr="00387212">
        <w:rPr>
          <w:rFonts w:ascii="Times New Roman" w:hAnsi="Times New Roman"/>
          <w:sz w:val="24"/>
          <w:szCs w:val="24"/>
        </w:rPr>
        <w:t xml:space="preserve"> que el Estado no solo debe de abstenerse de adoptar cualquier medida violadora de derechos sino que debe de intervenir con determinación para implementar aquellas que sean necesarias para garantizar “la transformación cultural necesaria para erradicar las causas que generan las relaciones desiguales de poder”</w:t>
      </w:r>
      <w:r w:rsidR="0099654D" w:rsidRPr="00387212">
        <w:rPr>
          <w:rStyle w:val="Refdenotaalpie"/>
          <w:rFonts w:ascii="Times New Roman" w:hAnsi="Times New Roman"/>
          <w:sz w:val="24"/>
          <w:szCs w:val="24"/>
        </w:rPr>
        <w:footnoteReference w:id="33"/>
      </w:r>
      <w:r w:rsidR="0099654D" w:rsidRPr="00387212">
        <w:rPr>
          <w:rFonts w:ascii="Times New Roman" w:hAnsi="Times New Roman"/>
          <w:sz w:val="24"/>
          <w:szCs w:val="24"/>
        </w:rPr>
        <w:t xml:space="preserve">. A tal efecto, la CIDH advierte que cuando de los antecedentes del caso, o del contexto de violencia de la zona, se desprendiera “un riesgo real e inmediato” de agresión contra las víctimas, las autoridades han de emplear todos los medios al alcance y de manera inmediata para prevenir una eventual agresión. </w:t>
      </w:r>
      <w:r w:rsidR="0099654D">
        <w:rPr>
          <w:rFonts w:ascii="Times New Roman" w:hAnsi="Times New Roman"/>
          <w:sz w:val="24"/>
          <w:szCs w:val="24"/>
        </w:rPr>
        <w:t>De</w:t>
      </w:r>
      <w:r w:rsidR="0099654D" w:rsidRPr="00387212">
        <w:rPr>
          <w:rFonts w:ascii="Times New Roman" w:hAnsi="Times New Roman"/>
          <w:sz w:val="24"/>
          <w:szCs w:val="24"/>
        </w:rPr>
        <w:t xml:space="preserve"> esta capacidad de análisis y respuesta </w:t>
      </w:r>
      <w:r w:rsidR="0099654D">
        <w:rPr>
          <w:rFonts w:ascii="Times New Roman" w:hAnsi="Times New Roman"/>
          <w:sz w:val="24"/>
          <w:szCs w:val="24"/>
        </w:rPr>
        <w:t>depende muchas veces</w:t>
      </w:r>
      <w:r w:rsidR="0099654D" w:rsidRPr="00387212">
        <w:rPr>
          <w:rFonts w:ascii="Times New Roman" w:hAnsi="Times New Roman"/>
          <w:sz w:val="24"/>
          <w:szCs w:val="24"/>
        </w:rPr>
        <w:t xml:space="preserve"> la vida</w:t>
      </w:r>
      <w:r w:rsidR="0099654D" w:rsidRPr="00387212">
        <w:rPr>
          <w:rFonts w:ascii="Times New Roman" w:hAnsi="Times New Roman"/>
          <w:sz w:val="24"/>
          <w:szCs w:val="24"/>
          <w:vertAlign w:val="superscript"/>
        </w:rPr>
        <w:footnoteReference w:id="34"/>
      </w:r>
      <w:r w:rsidR="0099654D" w:rsidRPr="00387212">
        <w:rPr>
          <w:rFonts w:ascii="Times New Roman" w:hAnsi="Times New Roman"/>
          <w:sz w:val="24"/>
          <w:szCs w:val="24"/>
        </w:rPr>
        <w:t xml:space="preserve">. Son varias las sentencias de la Corte que han responsabilizado al Estado de la violación de la </w:t>
      </w:r>
      <w:r w:rsidR="0099654D" w:rsidRPr="00463C32">
        <w:rPr>
          <w:rFonts w:ascii="Times New Roman" w:hAnsi="Times New Roman"/>
          <w:i/>
          <w:sz w:val="24"/>
          <w:szCs w:val="24"/>
        </w:rPr>
        <w:t>Convención Americana de los Derechos Humanos</w:t>
      </w:r>
      <w:r w:rsidR="0099654D" w:rsidRPr="00387212">
        <w:rPr>
          <w:rFonts w:ascii="Times New Roman" w:hAnsi="Times New Roman"/>
          <w:sz w:val="24"/>
          <w:szCs w:val="24"/>
        </w:rPr>
        <w:t xml:space="preserve"> por no cumplir con la obligación que el artículo 1.1 impone a los Estados Parte de establecer las condiciones que sean necesarias para evitar las violaciones de los derechos en ella reconocidos</w:t>
      </w:r>
      <w:r w:rsidR="0099654D" w:rsidRPr="00387212">
        <w:rPr>
          <w:rStyle w:val="Refdenotaalpie"/>
          <w:rFonts w:ascii="Times New Roman" w:hAnsi="Times New Roman"/>
          <w:sz w:val="24"/>
          <w:szCs w:val="24"/>
        </w:rPr>
        <w:footnoteReference w:id="35"/>
      </w:r>
      <w:r w:rsidR="0099654D" w:rsidRPr="00387212">
        <w:rPr>
          <w:rFonts w:ascii="Times New Roman" w:hAnsi="Times New Roman"/>
          <w:sz w:val="24"/>
          <w:szCs w:val="24"/>
        </w:rPr>
        <w:t>.</w:t>
      </w:r>
    </w:p>
    <w:p w:rsidR="0099654D" w:rsidRPr="00387212" w:rsidRDefault="0099654D" w:rsidP="0099654D">
      <w:pPr>
        <w:tabs>
          <w:tab w:val="left" w:pos="1997"/>
        </w:tabs>
        <w:spacing w:after="0"/>
        <w:jc w:val="both"/>
        <w:rPr>
          <w:rFonts w:ascii="Times New Roman" w:hAnsi="Times New Roman"/>
          <w:sz w:val="24"/>
          <w:szCs w:val="24"/>
        </w:rPr>
      </w:pPr>
    </w:p>
    <w:p w:rsidR="0099654D" w:rsidRPr="00387212" w:rsidRDefault="0099654D" w:rsidP="0099654D">
      <w:pPr>
        <w:tabs>
          <w:tab w:val="left" w:pos="1997"/>
        </w:tabs>
        <w:spacing w:after="0"/>
        <w:ind w:firstLine="357"/>
        <w:jc w:val="both"/>
        <w:rPr>
          <w:rFonts w:ascii="Times New Roman" w:eastAsia="Verdana" w:hAnsi="Times New Roman"/>
          <w:sz w:val="24"/>
          <w:szCs w:val="24"/>
          <w:lang w:eastAsia="es-ES"/>
        </w:rPr>
      </w:pPr>
      <w:r w:rsidRPr="00387212">
        <w:rPr>
          <w:rFonts w:ascii="Times New Roman" w:hAnsi="Times New Roman"/>
          <w:sz w:val="24"/>
          <w:szCs w:val="24"/>
        </w:rPr>
        <w:t xml:space="preserve">La relevancia de la prevención también ha sido subrayada en varias ocasiones por el TEDH. Entre otras sentencias, </w:t>
      </w:r>
      <w:r w:rsidRPr="00387212">
        <w:rPr>
          <w:rFonts w:ascii="Times New Roman" w:hAnsi="Times New Roman"/>
          <w:sz w:val="24"/>
          <w:szCs w:val="24"/>
          <w:lang w:eastAsia="es-ES"/>
        </w:rPr>
        <w:t xml:space="preserve">en </w:t>
      </w:r>
      <w:r w:rsidRPr="00387212">
        <w:rPr>
          <w:rFonts w:ascii="Times New Roman" w:hAnsi="Times New Roman"/>
          <w:i/>
          <w:sz w:val="24"/>
          <w:szCs w:val="24"/>
          <w:lang w:eastAsia="es-ES"/>
        </w:rPr>
        <w:t>Kontrovà c. Eslovaquia</w:t>
      </w:r>
      <w:r w:rsidRPr="00387212">
        <w:rPr>
          <w:rFonts w:ascii="Times New Roman" w:hAnsi="Times New Roman"/>
          <w:sz w:val="24"/>
          <w:szCs w:val="24"/>
          <w:lang w:eastAsia="es-ES"/>
        </w:rPr>
        <w:t xml:space="preserve"> (2007) declaró la violación del artículo 2 del CEDH (derecho a la vida) al con</w:t>
      </w:r>
      <w:r>
        <w:rPr>
          <w:rFonts w:ascii="Times New Roman" w:hAnsi="Times New Roman"/>
          <w:sz w:val="24"/>
          <w:szCs w:val="24"/>
          <w:lang w:eastAsia="es-ES"/>
        </w:rPr>
        <w:t>siderar que, de acuerdo con el D</w:t>
      </w:r>
      <w:r w:rsidRPr="00387212">
        <w:rPr>
          <w:rFonts w:ascii="Times New Roman" w:hAnsi="Times New Roman"/>
          <w:sz w:val="24"/>
          <w:szCs w:val="24"/>
          <w:lang w:eastAsia="es-ES"/>
        </w:rPr>
        <w:t>erecho aplicable, las autoridades eslovacas hubieran debido proteger mejor la vida de los hijos de la demandante, estrechando la vigilancia sobre el asesino</w:t>
      </w:r>
      <w:r w:rsidRPr="00387212">
        <w:rPr>
          <w:rStyle w:val="Refdenotaalpie"/>
          <w:rFonts w:ascii="Times New Roman" w:hAnsi="Times New Roman"/>
          <w:sz w:val="24"/>
          <w:szCs w:val="24"/>
        </w:rPr>
        <w:footnoteReference w:id="36"/>
      </w:r>
      <w:r w:rsidRPr="00387212">
        <w:rPr>
          <w:rFonts w:ascii="Times New Roman" w:hAnsi="Times New Roman"/>
          <w:sz w:val="24"/>
          <w:szCs w:val="24"/>
          <w:lang w:eastAsia="es-ES"/>
        </w:rPr>
        <w:t xml:space="preserve">; en </w:t>
      </w:r>
      <w:r w:rsidRPr="00387212">
        <w:rPr>
          <w:rFonts w:ascii="Times New Roman" w:hAnsi="Times New Roman"/>
          <w:i/>
          <w:sz w:val="24"/>
          <w:szCs w:val="24"/>
          <w:lang w:eastAsia="es-ES"/>
        </w:rPr>
        <w:t>Branko Tomašić y otros c. Croacia</w:t>
      </w:r>
      <w:r w:rsidRPr="00387212">
        <w:rPr>
          <w:rFonts w:ascii="Times New Roman" w:hAnsi="Times New Roman"/>
          <w:sz w:val="24"/>
          <w:szCs w:val="24"/>
          <w:lang w:eastAsia="es-ES"/>
        </w:rPr>
        <w:t xml:space="preserve"> (2009)</w:t>
      </w:r>
      <w:r>
        <w:rPr>
          <w:rFonts w:ascii="Times New Roman" w:hAnsi="Times New Roman"/>
          <w:sz w:val="24"/>
          <w:szCs w:val="24"/>
          <w:lang w:eastAsia="es-ES"/>
        </w:rPr>
        <w:t>,</w:t>
      </w:r>
      <w:r w:rsidRPr="00387212">
        <w:rPr>
          <w:rFonts w:ascii="Times New Roman" w:hAnsi="Times New Roman"/>
          <w:sz w:val="24"/>
          <w:szCs w:val="24"/>
          <w:lang w:eastAsia="es-ES"/>
        </w:rPr>
        <w:t xml:space="preserve"> el Estado demandado fue condenado por no proteger a una mujer y a su bebé de las amenazas de muerte proferidas por el esposo y padre de </w:t>
      </w:r>
      <w:r w:rsidRPr="00387212">
        <w:rPr>
          <w:rFonts w:ascii="Times New Roman" w:hAnsi="Times New Roman"/>
          <w:sz w:val="24"/>
          <w:szCs w:val="24"/>
          <w:lang w:eastAsia="es-ES"/>
        </w:rPr>
        <w:lastRenderedPageBreak/>
        <w:t>aquellos, que terminó asesinándolos al salir de la cárcel</w:t>
      </w:r>
      <w:r w:rsidRPr="00387212">
        <w:rPr>
          <w:rStyle w:val="Refdenotaalpie"/>
          <w:rFonts w:ascii="Times New Roman" w:hAnsi="Times New Roman"/>
          <w:sz w:val="24"/>
          <w:szCs w:val="24"/>
        </w:rPr>
        <w:footnoteReference w:id="37"/>
      </w:r>
      <w:r w:rsidRPr="00387212">
        <w:rPr>
          <w:rFonts w:ascii="Times New Roman" w:hAnsi="Times New Roman"/>
          <w:sz w:val="24"/>
          <w:szCs w:val="24"/>
          <w:lang w:eastAsia="es-ES"/>
        </w:rPr>
        <w:t xml:space="preserve">; y en </w:t>
      </w:r>
      <w:r w:rsidRPr="00387212">
        <w:rPr>
          <w:rFonts w:ascii="Times New Roman" w:eastAsia="Verdana" w:hAnsi="Times New Roman"/>
          <w:i/>
          <w:sz w:val="24"/>
          <w:szCs w:val="24"/>
          <w:lang w:eastAsia="es-ES"/>
        </w:rPr>
        <w:t>Civek c. Turquía</w:t>
      </w:r>
      <w:r w:rsidRPr="00387212">
        <w:rPr>
          <w:rFonts w:ascii="Times New Roman" w:eastAsia="Verdana" w:hAnsi="Times New Roman"/>
          <w:sz w:val="24"/>
          <w:szCs w:val="24"/>
          <w:lang w:eastAsia="es-ES"/>
        </w:rPr>
        <w:t xml:space="preserve"> (2016), tomando en consideración que las autoridades competentes habían sido informadas de las continuas quejas por amenazas y acoso del marido hacia la mujer, responsabilizó al Estado por el asesinato de esta, al no haber adoptado las medidas razonables que hubieren podido minimizar el riesgo</w:t>
      </w:r>
      <w:r w:rsidRPr="00387212">
        <w:rPr>
          <w:rStyle w:val="Refdenotaalpie"/>
          <w:rFonts w:ascii="Times New Roman" w:eastAsia="Verdana" w:hAnsi="Times New Roman"/>
          <w:sz w:val="24"/>
          <w:szCs w:val="24"/>
        </w:rPr>
        <w:footnoteReference w:id="38"/>
      </w:r>
      <w:r w:rsidRPr="00387212">
        <w:rPr>
          <w:rFonts w:ascii="Times New Roman" w:eastAsia="Verdana" w:hAnsi="Times New Roman"/>
          <w:sz w:val="24"/>
          <w:szCs w:val="24"/>
          <w:lang w:eastAsia="es-ES"/>
        </w:rPr>
        <w:t>.</w:t>
      </w:r>
    </w:p>
    <w:p w:rsidR="0099654D" w:rsidRPr="00387212" w:rsidRDefault="0099654D" w:rsidP="0099654D">
      <w:pPr>
        <w:tabs>
          <w:tab w:val="left" w:pos="1997"/>
        </w:tabs>
        <w:spacing w:after="0"/>
        <w:jc w:val="both"/>
        <w:rPr>
          <w:rFonts w:ascii="Times New Roman" w:hAnsi="Times New Roman"/>
          <w:sz w:val="24"/>
          <w:szCs w:val="24"/>
        </w:rPr>
      </w:pPr>
    </w:p>
    <w:p w:rsidR="0099654D" w:rsidRPr="00387212" w:rsidRDefault="0099654D" w:rsidP="0099654D">
      <w:pPr>
        <w:ind w:firstLine="357"/>
        <w:jc w:val="both"/>
        <w:rPr>
          <w:rFonts w:ascii="Times New Roman" w:hAnsi="Times New Roman"/>
          <w:sz w:val="24"/>
          <w:szCs w:val="24"/>
          <w:lang w:val="es-CR"/>
        </w:rPr>
      </w:pPr>
      <w:r w:rsidRPr="00387212">
        <w:rPr>
          <w:rFonts w:ascii="Times New Roman" w:hAnsi="Times New Roman"/>
          <w:sz w:val="24"/>
          <w:szCs w:val="24"/>
        </w:rPr>
        <w:t>Pero las políticas de prevención deben ser complementadas con otras represivas. Cuando el daño se produce, la sanción resulta indispensable para erradicar ese tipo de conductas.</w:t>
      </w:r>
      <w:r w:rsidRPr="00387212">
        <w:rPr>
          <w:rFonts w:ascii="Times New Roman" w:eastAsia="Batang" w:hAnsi="Times New Roman"/>
          <w:sz w:val="24"/>
          <w:szCs w:val="24"/>
          <w:lang w:val="es-CR" w:bidi="en-US"/>
        </w:rPr>
        <w:t xml:space="preserve"> </w:t>
      </w:r>
      <w:r w:rsidRPr="00387212">
        <w:rPr>
          <w:rFonts w:ascii="Times New Roman" w:eastAsia="Times New Roman" w:hAnsi="Times New Roman"/>
          <w:sz w:val="24"/>
          <w:szCs w:val="24"/>
        </w:rPr>
        <w:t>Así lo ha entendido la CIDH desde su primera Sentencia en un caso de desaparición forzada. Es fundamental a</w:t>
      </w:r>
      <w:r w:rsidRPr="00387212">
        <w:rPr>
          <w:rFonts w:ascii="Times New Roman" w:eastAsia="Batang" w:hAnsi="Times New Roman"/>
          <w:sz w:val="24"/>
          <w:szCs w:val="24"/>
          <w:lang w:val="es-CR" w:bidi="en-US"/>
        </w:rPr>
        <w:t xml:space="preserve">cabar con la impunidad de los responsables. Para ello, hay que garantizar </w:t>
      </w:r>
      <w:r w:rsidRPr="00387212">
        <w:rPr>
          <w:rFonts w:ascii="Times New Roman" w:eastAsia="Times New Roman" w:hAnsi="Times New Roman"/>
          <w:sz w:val="24"/>
          <w:szCs w:val="24"/>
        </w:rPr>
        <w:t xml:space="preserve">el derecho de acceso a la justicia a través de un recurso efectivo que dé lugar a la apertura de un procedimiento capaz de </w:t>
      </w:r>
      <w:r w:rsidRPr="00387212">
        <w:rPr>
          <w:rFonts w:ascii="Times New Roman" w:hAnsi="Times New Roman"/>
          <w:sz w:val="24"/>
          <w:szCs w:val="24"/>
          <w:lang w:val="es-CR"/>
        </w:rPr>
        <w:t>investigar</w:t>
      </w:r>
      <w:r>
        <w:rPr>
          <w:rFonts w:ascii="Times New Roman" w:hAnsi="Times New Roman"/>
          <w:sz w:val="24"/>
          <w:szCs w:val="24"/>
          <w:lang w:val="es-CR"/>
        </w:rPr>
        <w:t>, de verdad,</w:t>
      </w:r>
      <w:r w:rsidRPr="00387212">
        <w:rPr>
          <w:rFonts w:ascii="Times New Roman" w:hAnsi="Times New Roman"/>
          <w:sz w:val="24"/>
          <w:szCs w:val="24"/>
          <w:lang w:val="es-CR"/>
        </w:rPr>
        <w:t xml:space="preserve"> las violaciones que se hayan</w:t>
      </w:r>
      <w:r>
        <w:rPr>
          <w:rFonts w:ascii="Times New Roman" w:hAnsi="Times New Roman"/>
          <w:sz w:val="24"/>
          <w:szCs w:val="24"/>
          <w:lang w:val="es-CR"/>
        </w:rPr>
        <w:t xml:space="preserve"> podido</w:t>
      </w:r>
      <w:r w:rsidRPr="00387212">
        <w:rPr>
          <w:rFonts w:ascii="Times New Roman" w:hAnsi="Times New Roman"/>
          <w:sz w:val="24"/>
          <w:szCs w:val="24"/>
          <w:lang w:val="es-CR"/>
        </w:rPr>
        <w:t xml:space="preserve"> comet</w:t>
      </w:r>
      <w:r>
        <w:rPr>
          <w:rFonts w:ascii="Times New Roman" w:hAnsi="Times New Roman"/>
          <w:sz w:val="24"/>
          <w:szCs w:val="24"/>
          <w:lang w:val="es-CR"/>
        </w:rPr>
        <w:t>er</w:t>
      </w:r>
      <w:r w:rsidRPr="00387212">
        <w:rPr>
          <w:rFonts w:ascii="Times New Roman" w:hAnsi="Times New Roman"/>
          <w:sz w:val="24"/>
          <w:szCs w:val="24"/>
          <w:lang w:val="es-CR"/>
        </w:rPr>
        <w:t>, “a fin de identificar a los responsables, de imponerles las sanciones pertinentes y de asegurar a la víctima una adecuada reparación”</w:t>
      </w:r>
      <w:r w:rsidRPr="00387212">
        <w:rPr>
          <w:rFonts w:ascii="Times New Roman" w:hAnsi="Times New Roman"/>
          <w:sz w:val="24"/>
          <w:szCs w:val="24"/>
          <w:vertAlign w:val="superscript"/>
          <w:lang w:val="es-CR"/>
        </w:rPr>
        <w:footnoteReference w:id="39"/>
      </w:r>
      <w:r w:rsidRPr="00387212">
        <w:rPr>
          <w:rFonts w:ascii="Times New Roman" w:hAnsi="Times New Roman"/>
          <w:sz w:val="24"/>
          <w:szCs w:val="24"/>
          <w:lang w:val="es-CR"/>
        </w:rPr>
        <w:t>.</w:t>
      </w:r>
    </w:p>
    <w:p w:rsidR="0099654D" w:rsidRPr="00387212" w:rsidRDefault="0099654D" w:rsidP="0099654D">
      <w:pPr>
        <w:spacing w:after="0"/>
        <w:ind w:firstLine="357"/>
        <w:jc w:val="both"/>
        <w:rPr>
          <w:rFonts w:ascii="Times New Roman" w:eastAsia="Cambria" w:hAnsi="Times New Roman"/>
          <w:sz w:val="24"/>
          <w:szCs w:val="24"/>
          <w:lang w:val="es-ES_tradnl" w:eastAsia="es-ES"/>
        </w:rPr>
      </w:pPr>
      <w:r w:rsidRPr="00387212">
        <w:rPr>
          <w:rFonts w:ascii="Times New Roman" w:hAnsi="Times New Roman"/>
          <w:sz w:val="24"/>
          <w:szCs w:val="24"/>
          <w:lang w:eastAsia="es-ES"/>
        </w:rPr>
        <w:t>En el marco de las Naciones Unidas, el Comité</w:t>
      </w:r>
      <w:r w:rsidRPr="00387212">
        <w:rPr>
          <w:rFonts w:ascii="Times New Roman" w:eastAsia="Cambria" w:hAnsi="Times New Roman"/>
          <w:sz w:val="24"/>
          <w:szCs w:val="24"/>
          <w:lang w:eastAsia="es-ES"/>
        </w:rPr>
        <w:t xml:space="preserve"> para la Eliminación de la Discriminación contra la Mujer (CEDAW), en su Informe periódico sobre México, de 2018, tras confirmar la</w:t>
      </w:r>
      <w:r w:rsidRPr="00387212">
        <w:rPr>
          <w:rFonts w:ascii="Times New Roman" w:eastAsia="Cambria" w:hAnsi="Times New Roman"/>
          <w:sz w:val="24"/>
          <w:szCs w:val="24"/>
          <w:lang w:val="es-ES_tradnl" w:eastAsia="es-ES"/>
        </w:rPr>
        <w:t xml:space="preserve"> persistencia de patrones de uso generalizado de violencia por razón de género contra las mujeres y las niñas, “incluidas la violencia física, psicológica, sexual y económica, así como el aumento de la violencia doméstica, las desapariciones forzadas, la tortura sexual y los asesinatos, especialmente los feminicidios”, recomienda al Estado que: “a) Adopte medidas de carácter urgente para prevenir las muertes violentas, los asesinatos y las desapariciones forzadas de mujeres, en particular combatiendo las causas profundas de esos actos, como la violencia armada, la delincuencia organizada, el tráfico de estupefacientes, los estereotipos discriminatorios, la pobreza y la marginación de las mujeres; b) Investigue, enjuicie y sancione como corresponda a los responsables, incluidos los agentes estatales y no estatales, como cuestión prioritaria; c) Vele por que se tipifique como delito el feminicidio en todos los códigos penales estatales de conformidad con la Ley General de Acceso de las Mujeres a una Vida Libre de Violencia, normalice los protocolos de investigación policial del feminicidio en todo el Estado parte y garantice la aplicación efectiva de las disposiciones del derecho penal sobre el feminicidio (…); g) Refuerce los mecanismos de recopilación sistemática de datos sobre la violencia contra las mujeres y las niñas, incluidos los feminicidios, y las desapariciones forzadas, desglosados por tipo de violencia y relación con los perpetradores (…)”</w:t>
      </w:r>
      <w:r w:rsidRPr="00387212">
        <w:rPr>
          <w:rFonts w:ascii="Times New Roman" w:eastAsia="Cambria" w:hAnsi="Times New Roman"/>
          <w:sz w:val="24"/>
          <w:szCs w:val="24"/>
          <w:vertAlign w:val="superscript"/>
          <w:lang w:val="es-ES_tradnl" w:eastAsia="es-ES"/>
        </w:rPr>
        <w:footnoteReference w:id="40"/>
      </w:r>
      <w:r w:rsidRPr="00387212">
        <w:rPr>
          <w:rFonts w:ascii="Times New Roman" w:eastAsia="Cambria" w:hAnsi="Times New Roman"/>
          <w:sz w:val="24"/>
          <w:szCs w:val="24"/>
          <w:lang w:val="es-ES_tradnl" w:eastAsia="es-ES"/>
        </w:rPr>
        <w:t>.</w:t>
      </w:r>
    </w:p>
    <w:p w:rsidR="0099654D" w:rsidRPr="00387212" w:rsidRDefault="0099654D" w:rsidP="0099654D">
      <w:pPr>
        <w:spacing w:after="0"/>
        <w:jc w:val="both"/>
        <w:rPr>
          <w:rFonts w:ascii="Times New Roman" w:eastAsia="Cambria" w:hAnsi="Times New Roman"/>
          <w:sz w:val="24"/>
          <w:szCs w:val="24"/>
          <w:lang w:val="es-ES_tradnl" w:eastAsia="es-ES"/>
        </w:rPr>
      </w:pPr>
    </w:p>
    <w:p w:rsidR="0099654D" w:rsidRPr="00387212" w:rsidRDefault="0099654D" w:rsidP="0099654D">
      <w:pPr>
        <w:spacing w:after="160"/>
        <w:ind w:firstLine="357"/>
        <w:jc w:val="both"/>
        <w:rPr>
          <w:rFonts w:ascii="Times New Roman" w:eastAsia="Times New Roman" w:hAnsi="Times New Roman"/>
          <w:sz w:val="24"/>
          <w:szCs w:val="24"/>
        </w:rPr>
      </w:pPr>
      <w:r w:rsidRPr="00387212">
        <w:rPr>
          <w:rFonts w:ascii="Times New Roman" w:eastAsia="Times New Roman" w:hAnsi="Times New Roman"/>
          <w:sz w:val="24"/>
          <w:szCs w:val="24"/>
        </w:rPr>
        <w:t xml:space="preserve">El Estado tiene la obligación de combatir la violencia estableciendo los mecanismos preventivos y represivos que sean necesarios. Acabar con los estereotipos de género que discriminan a la mujer, y que están en el origen de este tipo de conductas criminales, exige subvertir esa cultura de la violencia por la del respeto y la igualdad. Y para ello es fundamental que los hechos de violencia sean revelados y reconocidos. Sin esa toma de consciencia, </w:t>
      </w:r>
      <w:r>
        <w:rPr>
          <w:rFonts w:ascii="Times New Roman" w:eastAsia="Times New Roman" w:hAnsi="Times New Roman"/>
          <w:sz w:val="24"/>
          <w:szCs w:val="24"/>
        </w:rPr>
        <w:t>la solución</w:t>
      </w:r>
      <w:r w:rsidRPr="00387212">
        <w:rPr>
          <w:rFonts w:ascii="Times New Roman" w:eastAsia="Times New Roman" w:hAnsi="Times New Roman"/>
          <w:sz w:val="24"/>
          <w:szCs w:val="24"/>
        </w:rPr>
        <w:t xml:space="preserve"> no será fácil. </w:t>
      </w:r>
    </w:p>
    <w:p w:rsidR="0099654D" w:rsidRPr="00387212" w:rsidRDefault="0099654D" w:rsidP="0099654D">
      <w:pPr>
        <w:spacing w:after="160"/>
        <w:ind w:firstLine="357"/>
        <w:jc w:val="both"/>
        <w:rPr>
          <w:rFonts w:ascii="Times New Roman" w:eastAsia="Batang" w:hAnsi="Times New Roman"/>
          <w:sz w:val="24"/>
          <w:szCs w:val="24"/>
          <w:lang w:val="es-CR" w:bidi="en-US"/>
        </w:rPr>
      </w:pPr>
      <w:r w:rsidRPr="00387212">
        <w:rPr>
          <w:rFonts w:ascii="Times New Roman" w:eastAsia="Batang" w:hAnsi="Times New Roman"/>
          <w:sz w:val="24"/>
          <w:szCs w:val="24"/>
          <w:lang w:val="es-CR" w:bidi="en-US"/>
        </w:rPr>
        <w:t>Cuando estamos poniendo punto y final a este trabajo, leemos en un diario que la violencia machista mata en México, “en circunstancias normales”, a 10 mujeres al día, y que nueve de cada diez mujeres no denuncia la violencia de género</w:t>
      </w:r>
      <w:r w:rsidRPr="00387212">
        <w:rPr>
          <w:rStyle w:val="Refdenotaalpie"/>
          <w:rFonts w:ascii="Times New Roman" w:eastAsia="Batang" w:hAnsi="Times New Roman"/>
          <w:sz w:val="24"/>
          <w:szCs w:val="24"/>
          <w:lang w:val="es-CR" w:bidi="en-US"/>
        </w:rPr>
        <w:footnoteReference w:id="41"/>
      </w:r>
      <w:r w:rsidRPr="00387212">
        <w:rPr>
          <w:rFonts w:ascii="Times New Roman" w:eastAsia="Batang" w:hAnsi="Times New Roman"/>
          <w:sz w:val="24"/>
          <w:szCs w:val="24"/>
          <w:lang w:val="es-CR" w:bidi="en-US"/>
        </w:rPr>
        <w:t>. Es en este país, como hemos tenido ocasión de comprobar a lo largo de estas páginas, y como se analizará también en otro de los capítulos de este libro</w:t>
      </w:r>
      <w:r w:rsidRPr="00387212">
        <w:rPr>
          <w:rStyle w:val="Refdenotaalpie"/>
          <w:rFonts w:ascii="Times New Roman" w:eastAsia="Batang" w:hAnsi="Times New Roman"/>
          <w:sz w:val="24"/>
          <w:szCs w:val="24"/>
          <w:lang w:val="es-CR" w:bidi="en-US"/>
        </w:rPr>
        <w:footnoteReference w:id="42"/>
      </w:r>
      <w:r w:rsidRPr="00387212">
        <w:rPr>
          <w:rFonts w:ascii="Times New Roman" w:eastAsia="Batang" w:hAnsi="Times New Roman"/>
          <w:sz w:val="24"/>
          <w:szCs w:val="24"/>
          <w:lang w:val="es-CR" w:bidi="en-US"/>
        </w:rPr>
        <w:t>, donde más casos de desapariciones forzadas de mujeres se han denunciado, pero no es el único donde la mujer está especialmente amenazada. Como la del COVID-19, que nos acecha cuando escribimos estas líneas, hablamos de otro tipo de pandemia que tampoco conoce de fronteras. Combatirla con eficacia también exige recursos y determinación.</w:t>
      </w:r>
    </w:p>
    <w:p w:rsidR="0099654D" w:rsidRPr="00387212" w:rsidRDefault="0099654D" w:rsidP="0099654D">
      <w:pPr>
        <w:spacing w:after="160"/>
        <w:jc w:val="both"/>
        <w:rPr>
          <w:rFonts w:ascii="Times New Roman" w:eastAsia="Batang" w:hAnsi="Times New Roman"/>
          <w:sz w:val="24"/>
          <w:szCs w:val="24"/>
          <w:lang w:val="es-CR" w:bidi="en-US"/>
        </w:rPr>
      </w:pPr>
    </w:p>
    <w:p w:rsidR="0099654D" w:rsidRPr="00387212" w:rsidRDefault="0099654D" w:rsidP="0099654D">
      <w:pPr>
        <w:pStyle w:val="Prrafodelista"/>
        <w:numPr>
          <w:ilvl w:val="0"/>
          <w:numId w:val="1"/>
        </w:numPr>
        <w:spacing w:after="160" w:line="259" w:lineRule="auto"/>
        <w:jc w:val="both"/>
        <w:rPr>
          <w:rFonts w:ascii="Times New Roman" w:eastAsiaTheme="minorHAnsi" w:hAnsi="Times New Roman"/>
          <w:b/>
          <w:sz w:val="24"/>
          <w:szCs w:val="24"/>
        </w:rPr>
      </w:pPr>
      <w:r w:rsidRPr="00387212">
        <w:rPr>
          <w:rFonts w:ascii="Times New Roman" w:eastAsiaTheme="minorHAnsi" w:hAnsi="Times New Roman"/>
          <w:b/>
          <w:sz w:val="24"/>
          <w:szCs w:val="24"/>
        </w:rPr>
        <w:t>RELACIÓN DE SENTENCIAS CITADAS</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De la Corte Interamericana de Derechos Humanos</w:t>
      </w:r>
      <w:r w:rsidRPr="00387212">
        <w:rPr>
          <w:rFonts w:ascii="Times New Roman" w:eastAsiaTheme="minorHAnsi" w:hAnsi="Times New Roman"/>
          <w:sz w:val="24"/>
          <w:szCs w:val="24"/>
        </w:rPr>
        <w:t>:</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rPr>
        <w:t>Caso Velásquez Rodríguez Vs. Honduras. Fondo.</w:t>
      </w:r>
      <w:r w:rsidRPr="00387212">
        <w:rPr>
          <w:rFonts w:ascii="Times New Roman" w:eastAsiaTheme="minorHAnsi" w:hAnsi="Times New Roman"/>
          <w:sz w:val="24"/>
          <w:szCs w:val="24"/>
        </w:rPr>
        <w:t xml:space="preserve"> Sentencia de 29 de julio de 1988. Serie C No. 4.</w:t>
      </w:r>
    </w:p>
    <w:p w:rsidR="0099654D" w:rsidRPr="00387212" w:rsidRDefault="0099654D" w:rsidP="0099654D">
      <w:pPr>
        <w:autoSpaceDE w:val="0"/>
        <w:autoSpaceDN w:val="0"/>
        <w:adjustRightInd w:val="0"/>
        <w:snapToGrid w:val="0"/>
        <w:jc w:val="both"/>
        <w:rPr>
          <w:rFonts w:ascii="Times New Roman" w:eastAsia="Times New Roman" w:hAnsi="Times New Roman"/>
          <w:bCs/>
          <w:spacing w:val="-4"/>
          <w:sz w:val="24"/>
          <w:szCs w:val="24"/>
          <w:lang w:val="es-MX" w:eastAsia="es-CR"/>
        </w:rPr>
      </w:pPr>
      <w:r w:rsidRPr="00387212">
        <w:rPr>
          <w:rFonts w:ascii="Times New Roman" w:eastAsia="Times New Roman" w:hAnsi="Times New Roman"/>
          <w:bCs/>
          <w:i/>
          <w:iCs/>
          <w:spacing w:val="-4"/>
          <w:sz w:val="24"/>
          <w:szCs w:val="24"/>
          <w:lang w:val="es-MX" w:eastAsia="es-CR"/>
        </w:rPr>
        <w:t>Caso Godínez Cruz Vs. Honduras. Fondo</w:t>
      </w:r>
      <w:r w:rsidRPr="00387212">
        <w:rPr>
          <w:rFonts w:ascii="Times New Roman" w:eastAsia="Times New Roman" w:hAnsi="Times New Roman"/>
          <w:bCs/>
          <w:spacing w:val="-4"/>
          <w:sz w:val="24"/>
          <w:szCs w:val="24"/>
          <w:lang w:val="es-MX" w:eastAsia="es-CR"/>
        </w:rPr>
        <w:t xml:space="preserve">. Sentencia de </w:t>
      </w:r>
      <w:smartTag w:uri="urn:schemas-microsoft-com:office:smarttags" w:element="date">
        <w:smartTagPr>
          <w:attr w:name="Year" w:val="1989"/>
          <w:attr w:name="Day" w:val="20"/>
          <w:attr w:name="Month" w:val="1"/>
          <w:attr w:name="ls" w:val="trans"/>
        </w:smartTagPr>
        <w:r w:rsidRPr="00387212">
          <w:rPr>
            <w:rFonts w:ascii="Times New Roman" w:eastAsia="Times New Roman" w:hAnsi="Times New Roman"/>
            <w:bCs/>
            <w:spacing w:val="-4"/>
            <w:sz w:val="24"/>
            <w:szCs w:val="24"/>
            <w:lang w:val="es-MX" w:eastAsia="es-CR"/>
          </w:rPr>
          <w:t>20 de enero de 1989</w:t>
        </w:r>
      </w:smartTag>
      <w:r w:rsidRPr="00387212">
        <w:rPr>
          <w:rFonts w:ascii="Times New Roman" w:eastAsia="Times New Roman" w:hAnsi="Times New Roman"/>
          <w:bCs/>
          <w:spacing w:val="-4"/>
          <w:sz w:val="24"/>
          <w:szCs w:val="24"/>
          <w:lang w:val="es-MX" w:eastAsia="es-CR"/>
        </w:rPr>
        <w:t>. Serie C No. 5.</w:t>
      </w:r>
    </w:p>
    <w:p w:rsidR="0099654D" w:rsidRPr="00387212" w:rsidRDefault="0099654D" w:rsidP="0099654D">
      <w:pPr>
        <w:spacing w:after="160" w:line="259" w:lineRule="auto"/>
        <w:jc w:val="both"/>
        <w:rPr>
          <w:rFonts w:ascii="Times New Roman" w:eastAsiaTheme="minorHAnsi" w:hAnsi="Times New Roman"/>
          <w:spacing w:val="-4"/>
          <w:sz w:val="24"/>
          <w:szCs w:val="24"/>
          <w:lang w:val="es-PR"/>
        </w:rPr>
      </w:pPr>
      <w:r w:rsidRPr="00387212">
        <w:rPr>
          <w:rFonts w:ascii="Times New Roman" w:eastAsiaTheme="minorHAnsi" w:hAnsi="Times New Roman"/>
          <w:i/>
          <w:spacing w:val="-4"/>
          <w:sz w:val="24"/>
          <w:szCs w:val="24"/>
          <w:lang w:val="es-PR"/>
        </w:rPr>
        <w:t>Caso Blake Vs. Guatemala. Fondo</w:t>
      </w:r>
      <w:r w:rsidRPr="00387212">
        <w:rPr>
          <w:rFonts w:ascii="Times New Roman" w:eastAsiaTheme="minorHAnsi" w:hAnsi="Times New Roman"/>
          <w:spacing w:val="-4"/>
          <w:sz w:val="24"/>
          <w:szCs w:val="24"/>
          <w:lang w:val="es-PR"/>
        </w:rPr>
        <w:t>. Sentencia de 24 de enero de 1998. Serie C No. 36.</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pacing w:val="-4"/>
          <w:sz w:val="24"/>
          <w:szCs w:val="24"/>
        </w:rPr>
        <w:t>Caso Bámaca Velásquez Vs. Guatemala. Fondo</w:t>
      </w:r>
      <w:r w:rsidRPr="00387212">
        <w:rPr>
          <w:rFonts w:ascii="Times New Roman" w:eastAsiaTheme="minorHAnsi" w:hAnsi="Times New Roman"/>
          <w:spacing w:val="-4"/>
          <w:sz w:val="24"/>
          <w:szCs w:val="24"/>
        </w:rPr>
        <w:t xml:space="preserve">. Sentencia de 25 de noviembre de 2000. Serie C </w:t>
      </w:r>
      <w:r w:rsidRPr="00387212">
        <w:rPr>
          <w:rFonts w:ascii="Times New Roman" w:eastAsiaTheme="minorHAnsi" w:hAnsi="Times New Roman"/>
          <w:spacing w:val="-4"/>
          <w:sz w:val="24"/>
          <w:szCs w:val="24"/>
          <w:lang w:val="es-CR"/>
        </w:rPr>
        <w:t>No</w:t>
      </w:r>
      <w:r w:rsidRPr="00387212">
        <w:rPr>
          <w:rFonts w:ascii="Times New Roman" w:eastAsiaTheme="minorHAnsi" w:hAnsi="Times New Roman"/>
          <w:spacing w:val="-4"/>
          <w:sz w:val="24"/>
          <w:szCs w:val="24"/>
        </w:rPr>
        <w:t>. 70.</w:t>
      </w:r>
    </w:p>
    <w:p w:rsidR="0099654D" w:rsidRPr="00387212" w:rsidRDefault="0099654D" w:rsidP="0099654D">
      <w:pPr>
        <w:spacing w:after="160" w:line="259" w:lineRule="auto"/>
        <w:jc w:val="both"/>
        <w:rPr>
          <w:rFonts w:ascii="Times New Roman" w:eastAsia="Times New Roman" w:hAnsi="Times New Roman"/>
          <w:i/>
          <w:sz w:val="24"/>
          <w:szCs w:val="24"/>
          <w:lang w:val="es-ES_tradnl"/>
        </w:rPr>
      </w:pPr>
      <w:r w:rsidRPr="00387212">
        <w:rPr>
          <w:rFonts w:ascii="Times New Roman" w:eastAsiaTheme="minorHAnsi" w:hAnsi="Times New Roman"/>
          <w:i/>
          <w:sz w:val="24"/>
          <w:szCs w:val="24"/>
          <w:lang w:val="es-CR"/>
        </w:rPr>
        <w:t>Caso Barrios Altos Vs. Perú. Fondo.</w:t>
      </w:r>
      <w:r w:rsidRPr="00387212">
        <w:rPr>
          <w:rFonts w:ascii="Times New Roman" w:eastAsiaTheme="minorHAnsi" w:hAnsi="Times New Roman"/>
          <w:sz w:val="24"/>
          <w:szCs w:val="24"/>
          <w:lang w:val="es-CR"/>
        </w:rPr>
        <w:t xml:space="preserve"> Sentencia de 14 de marzo de 2001. Serie C Nº. 75</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imes New Roman" w:hAnsi="Times New Roman"/>
          <w:i/>
          <w:sz w:val="24"/>
          <w:szCs w:val="24"/>
          <w:lang w:val="es-ES_tradnl"/>
        </w:rPr>
        <w:t>Caso Trujillo Oroza Vs. Bolivia. Reparaciones y Costas</w:t>
      </w:r>
      <w:r w:rsidRPr="00387212">
        <w:rPr>
          <w:rFonts w:ascii="Times New Roman" w:eastAsia="Times New Roman" w:hAnsi="Times New Roman"/>
          <w:sz w:val="24"/>
          <w:szCs w:val="24"/>
          <w:lang w:val="es-ES_tradnl"/>
        </w:rPr>
        <w:t xml:space="preserve">. Sentencia de 27 de febrero de 2002. Serie C. </w:t>
      </w:r>
      <w:r w:rsidRPr="00387212">
        <w:rPr>
          <w:rFonts w:ascii="Times New Roman" w:eastAsiaTheme="minorHAnsi" w:hAnsi="Times New Roman"/>
          <w:spacing w:val="-4"/>
          <w:sz w:val="24"/>
          <w:szCs w:val="24"/>
          <w:lang w:val="es-CR"/>
        </w:rPr>
        <w:t>No</w:t>
      </w:r>
      <w:r w:rsidRPr="00387212">
        <w:rPr>
          <w:rFonts w:ascii="Times New Roman" w:eastAsia="Times New Roman" w:hAnsi="Times New Roman"/>
          <w:sz w:val="24"/>
          <w:szCs w:val="24"/>
          <w:lang w:val="es-ES_tradnl"/>
        </w:rPr>
        <w:t>. 92</w:t>
      </w:r>
    </w:p>
    <w:p w:rsidR="0099654D" w:rsidRPr="00387212" w:rsidRDefault="0099654D" w:rsidP="0099654D">
      <w:pPr>
        <w:spacing w:after="160" w:line="259" w:lineRule="auto"/>
        <w:jc w:val="both"/>
        <w:rPr>
          <w:rFonts w:ascii="Times New Roman" w:eastAsiaTheme="minorHAnsi" w:hAnsi="Times New Roman"/>
          <w:sz w:val="24"/>
          <w:szCs w:val="24"/>
          <w:lang w:val="es-PR"/>
        </w:rPr>
      </w:pPr>
      <w:r w:rsidRPr="00387212">
        <w:rPr>
          <w:rFonts w:ascii="Times New Roman" w:eastAsiaTheme="minorHAnsi" w:hAnsi="Times New Roman"/>
          <w:i/>
          <w:sz w:val="24"/>
          <w:szCs w:val="24"/>
          <w:lang w:val="es-PR"/>
        </w:rPr>
        <w:t>Caso de la “Masacre de Mapiripán” Vs. Colombia. Fondo, Reparaciones y Costas</w:t>
      </w:r>
      <w:r w:rsidRPr="00387212">
        <w:rPr>
          <w:rFonts w:ascii="Times New Roman" w:eastAsiaTheme="minorHAnsi" w:hAnsi="Times New Roman"/>
          <w:sz w:val="24"/>
          <w:szCs w:val="24"/>
          <w:lang w:val="es-PR"/>
        </w:rPr>
        <w:t>. Sentencia de 15 de septiembre de 2005. Serie C No. 134.</w:t>
      </w:r>
    </w:p>
    <w:p w:rsidR="0099654D" w:rsidRPr="00387212" w:rsidRDefault="0099654D" w:rsidP="0099654D">
      <w:pPr>
        <w:spacing w:after="160" w:line="259" w:lineRule="auto"/>
        <w:jc w:val="both"/>
        <w:rPr>
          <w:rFonts w:ascii="Times New Roman" w:eastAsiaTheme="minorHAnsi" w:hAnsi="Times New Roman"/>
          <w:spacing w:val="-4"/>
          <w:sz w:val="24"/>
          <w:szCs w:val="24"/>
          <w:lang w:val="es-CR"/>
        </w:rPr>
      </w:pPr>
      <w:r w:rsidRPr="00387212">
        <w:rPr>
          <w:rFonts w:ascii="Times New Roman" w:eastAsiaTheme="minorHAnsi" w:hAnsi="Times New Roman"/>
          <w:i/>
          <w:spacing w:val="-4"/>
          <w:sz w:val="24"/>
          <w:szCs w:val="24"/>
          <w:lang w:val="es-CR"/>
        </w:rPr>
        <w:lastRenderedPageBreak/>
        <w:t xml:space="preserve">Caso de la Masacre de Pueblo Bello Vs. Colombia. </w:t>
      </w:r>
      <w:r w:rsidRPr="00387212">
        <w:rPr>
          <w:rFonts w:ascii="Times New Roman" w:eastAsiaTheme="minorHAnsi" w:hAnsi="Times New Roman"/>
          <w:spacing w:val="-4"/>
          <w:sz w:val="24"/>
          <w:szCs w:val="24"/>
          <w:lang w:val="es-CR"/>
        </w:rPr>
        <w:t>Sentencia de 31 de enero de 2006. Serie C No. 140.</w:t>
      </w:r>
    </w:p>
    <w:p w:rsidR="0099654D" w:rsidRPr="00387212" w:rsidRDefault="0099654D" w:rsidP="0099654D">
      <w:pPr>
        <w:spacing w:after="160" w:line="259" w:lineRule="auto"/>
        <w:jc w:val="both"/>
        <w:rPr>
          <w:rFonts w:ascii="Times New Roman" w:eastAsiaTheme="minorHAnsi" w:hAnsi="Times New Roman"/>
          <w:sz w:val="24"/>
          <w:szCs w:val="24"/>
          <w:lang w:val="es-PR"/>
        </w:rPr>
      </w:pPr>
      <w:r w:rsidRPr="00387212">
        <w:rPr>
          <w:rFonts w:ascii="Times New Roman" w:eastAsiaTheme="minorHAnsi" w:hAnsi="Times New Roman"/>
          <w:i/>
          <w:spacing w:val="-4"/>
          <w:sz w:val="24"/>
          <w:szCs w:val="24"/>
          <w:lang w:val="es-CR"/>
        </w:rPr>
        <w:t xml:space="preserve">Caso Montero Aranguren y otros (Retén de Catia) Vs. Venezuela. Excepción Preliminar, Fondo, Reparaciones y Costas. </w:t>
      </w:r>
      <w:r w:rsidRPr="00387212">
        <w:rPr>
          <w:rFonts w:ascii="Times New Roman" w:eastAsiaTheme="minorHAnsi" w:hAnsi="Times New Roman"/>
          <w:spacing w:val="-4"/>
          <w:sz w:val="24"/>
          <w:szCs w:val="24"/>
          <w:lang w:val="es-CR"/>
        </w:rPr>
        <w:t>Sentencia de 5 de julio de 2006. Serie C No. 150.</w:t>
      </w:r>
    </w:p>
    <w:p w:rsidR="0099654D" w:rsidRPr="00387212" w:rsidRDefault="0099654D" w:rsidP="0099654D">
      <w:pPr>
        <w:spacing w:after="160" w:line="259" w:lineRule="auto"/>
        <w:jc w:val="both"/>
        <w:rPr>
          <w:rFonts w:ascii="Times New Roman" w:eastAsiaTheme="minorHAnsi" w:hAnsi="Times New Roman"/>
          <w:spacing w:val="-4"/>
          <w:sz w:val="24"/>
          <w:szCs w:val="24"/>
          <w:lang w:val="es-CR"/>
        </w:rPr>
      </w:pPr>
      <w:r w:rsidRPr="00387212">
        <w:rPr>
          <w:rFonts w:ascii="Times New Roman" w:eastAsiaTheme="minorHAnsi" w:hAnsi="Times New Roman"/>
          <w:i/>
          <w:spacing w:val="-4"/>
          <w:sz w:val="24"/>
          <w:szCs w:val="24"/>
          <w:lang w:val="es-CR"/>
        </w:rPr>
        <w:t xml:space="preserve">Caso Servellón García y otros Vs Honduras. </w:t>
      </w:r>
      <w:r w:rsidRPr="00387212">
        <w:rPr>
          <w:rFonts w:ascii="Times New Roman" w:eastAsiaTheme="minorHAnsi" w:hAnsi="Times New Roman"/>
          <w:spacing w:val="-4"/>
          <w:sz w:val="24"/>
          <w:szCs w:val="24"/>
          <w:lang w:val="es-CR"/>
        </w:rPr>
        <w:t>Sentencia de 21 de septiembre de 2006. Serie C No. 152.</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lang w:val="es-ES_tradnl" w:eastAsia="es-ES_tradnl"/>
        </w:rPr>
        <w:t>Caso Almonacid Arellano y otros Vs. Chile. Fondo, Reparaciones y Costas</w:t>
      </w:r>
      <w:r w:rsidRPr="00387212">
        <w:rPr>
          <w:rFonts w:ascii="Times New Roman" w:eastAsiaTheme="minorHAnsi" w:hAnsi="Times New Roman"/>
          <w:sz w:val="24"/>
          <w:szCs w:val="24"/>
          <w:lang w:val="es-ES_tradnl" w:eastAsia="es-ES_tradnl"/>
        </w:rPr>
        <w:t>. Sentencia de 26 de septiembre de 2006</w:t>
      </w:r>
      <w:r w:rsidRPr="00387212">
        <w:rPr>
          <w:rFonts w:ascii="Times New Roman" w:eastAsiaTheme="minorHAnsi" w:hAnsi="Times New Roman"/>
          <w:i/>
          <w:sz w:val="24"/>
          <w:szCs w:val="24"/>
          <w:lang w:val="es-ES_tradnl" w:eastAsia="es-ES_tradnl"/>
        </w:rPr>
        <w:t>,</w:t>
      </w:r>
      <w:r w:rsidRPr="00387212">
        <w:rPr>
          <w:rFonts w:ascii="Times New Roman" w:eastAsiaTheme="minorHAnsi" w:hAnsi="Times New Roman"/>
          <w:sz w:val="24"/>
          <w:szCs w:val="24"/>
          <w:lang w:val="es-ES_tradnl" w:eastAsia="es-ES_tradnl"/>
        </w:rPr>
        <w:t xml:space="preserve"> Serie C. </w:t>
      </w:r>
      <w:r w:rsidRPr="00387212">
        <w:rPr>
          <w:rFonts w:ascii="Times New Roman" w:eastAsiaTheme="minorHAnsi" w:hAnsi="Times New Roman"/>
          <w:spacing w:val="-4"/>
          <w:sz w:val="24"/>
          <w:szCs w:val="24"/>
          <w:lang w:val="es-CR"/>
        </w:rPr>
        <w:t>No</w:t>
      </w:r>
      <w:r w:rsidRPr="00387212">
        <w:rPr>
          <w:rFonts w:ascii="Times New Roman" w:eastAsiaTheme="minorHAnsi" w:hAnsi="Times New Roman"/>
          <w:sz w:val="24"/>
          <w:szCs w:val="24"/>
          <w:lang w:val="es-ES_tradnl" w:eastAsia="es-ES_tradnl"/>
        </w:rPr>
        <w:t>. 154.</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del Penal Miguel Castro Castro Vs. Perú</w:t>
      </w:r>
      <w:r w:rsidRPr="00387212">
        <w:rPr>
          <w:rFonts w:ascii="Times New Roman" w:eastAsiaTheme="minorHAnsi" w:hAnsi="Times New Roman"/>
          <w:sz w:val="24"/>
          <w:szCs w:val="24"/>
        </w:rPr>
        <w:t xml:space="preserve">. </w:t>
      </w:r>
      <w:r w:rsidRPr="00387212">
        <w:rPr>
          <w:rFonts w:ascii="Times New Roman" w:eastAsiaTheme="minorHAnsi" w:hAnsi="Times New Roman"/>
          <w:i/>
          <w:sz w:val="24"/>
          <w:szCs w:val="24"/>
        </w:rPr>
        <w:t>Fondo, Reparaciones y Costas</w:t>
      </w:r>
      <w:r w:rsidRPr="00387212">
        <w:rPr>
          <w:rFonts w:ascii="Times New Roman" w:eastAsiaTheme="minorHAnsi" w:hAnsi="Times New Roman"/>
          <w:sz w:val="24"/>
          <w:szCs w:val="24"/>
        </w:rPr>
        <w:t>. Sentencia de 25 de noviembre de 2006. Serie C No. 160.</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pacing w:val="-4"/>
          <w:sz w:val="24"/>
          <w:szCs w:val="24"/>
          <w:lang w:val="es-PR"/>
        </w:rPr>
        <w:t>Caso Valle Jaramillo y otros Vs. Colombia. Fondo, Reparaciones y Costas</w:t>
      </w:r>
      <w:r w:rsidRPr="00387212">
        <w:rPr>
          <w:rFonts w:ascii="Times New Roman" w:eastAsiaTheme="minorHAnsi" w:hAnsi="Times New Roman"/>
          <w:spacing w:val="-4"/>
          <w:sz w:val="24"/>
          <w:szCs w:val="24"/>
          <w:lang w:val="es-PR"/>
        </w:rPr>
        <w:t xml:space="preserve">. Sentencia de 27 de noviembre de 2008. Serie C. </w:t>
      </w:r>
      <w:r w:rsidRPr="00387212">
        <w:rPr>
          <w:rFonts w:ascii="Times New Roman" w:eastAsiaTheme="minorHAnsi" w:hAnsi="Times New Roman"/>
          <w:spacing w:val="-4"/>
          <w:sz w:val="24"/>
          <w:szCs w:val="24"/>
          <w:lang w:val="es-CR"/>
        </w:rPr>
        <w:t>No</w:t>
      </w:r>
      <w:r w:rsidRPr="00387212">
        <w:rPr>
          <w:rFonts w:ascii="Times New Roman" w:eastAsiaTheme="minorHAnsi" w:hAnsi="Times New Roman"/>
          <w:spacing w:val="-4"/>
          <w:sz w:val="24"/>
          <w:szCs w:val="24"/>
          <w:lang w:val="es-PR"/>
        </w:rPr>
        <w:t>. 192.</w:t>
      </w:r>
    </w:p>
    <w:p w:rsidR="0099654D" w:rsidRPr="00387212" w:rsidRDefault="0099654D" w:rsidP="0099654D">
      <w:pPr>
        <w:spacing w:after="160" w:line="259" w:lineRule="auto"/>
        <w:jc w:val="both"/>
        <w:rPr>
          <w:rFonts w:ascii="Times New Roman" w:eastAsiaTheme="minorHAnsi" w:hAnsi="Times New Roman"/>
          <w:bCs/>
          <w:sz w:val="24"/>
          <w:szCs w:val="24"/>
          <w:lang w:val="es-MX"/>
        </w:rPr>
      </w:pPr>
      <w:r w:rsidRPr="00387212">
        <w:rPr>
          <w:rFonts w:ascii="Times New Roman" w:eastAsiaTheme="minorHAnsi" w:hAnsi="Times New Roman"/>
          <w:bCs/>
          <w:i/>
          <w:iCs/>
          <w:sz w:val="24"/>
          <w:szCs w:val="24"/>
          <w:lang w:val="es-MX"/>
        </w:rPr>
        <w:t>Caso La Cantuta Vs. Perú. Fondo, Reparaciones y Costas.</w:t>
      </w:r>
      <w:r w:rsidRPr="00387212">
        <w:rPr>
          <w:rFonts w:ascii="Times New Roman" w:eastAsiaTheme="minorHAnsi" w:hAnsi="Times New Roman"/>
          <w:bCs/>
          <w:sz w:val="24"/>
          <w:szCs w:val="24"/>
          <w:lang w:val="es-MX"/>
        </w:rPr>
        <w:t xml:space="preserve"> Sentencia de 29 de noviembre de 2006. Serie C No. 162.</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bCs/>
          <w:i/>
          <w:iCs/>
          <w:spacing w:val="-4"/>
          <w:sz w:val="24"/>
          <w:szCs w:val="24"/>
          <w:lang w:val="es-MX" w:eastAsia="es-CR"/>
        </w:rPr>
        <w:t>Caso Heliodoro Portugal Vs. Panamá. Excepciones Preliminares, Fondo, Reparaciones y Costas.</w:t>
      </w:r>
      <w:r w:rsidRPr="00387212">
        <w:rPr>
          <w:rFonts w:ascii="Times New Roman" w:eastAsiaTheme="minorHAnsi" w:hAnsi="Times New Roman"/>
          <w:bCs/>
          <w:spacing w:val="-4"/>
          <w:sz w:val="24"/>
          <w:szCs w:val="24"/>
          <w:lang w:val="es-MX" w:eastAsia="es-CR"/>
        </w:rPr>
        <w:t xml:space="preserve"> Sentencia de 12 de agosto de 2008. Serie C </w:t>
      </w:r>
      <w:r w:rsidRPr="00387212">
        <w:rPr>
          <w:rFonts w:ascii="Times New Roman" w:eastAsiaTheme="minorHAnsi" w:hAnsi="Times New Roman"/>
          <w:spacing w:val="-4"/>
          <w:sz w:val="24"/>
          <w:szCs w:val="24"/>
          <w:lang w:val="es-CR"/>
        </w:rPr>
        <w:t>No</w:t>
      </w:r>
      <w:r w:rsidRPr="00387212">
        <w:rPr>
          <w:rFonts w:ascii="Times New Roman" w:eastAsiaTheme="minorHAnsi" w:hAnsi="Times New Roman"/>
          <w:bCs/>
          <w:spacing w:val="-4"/>
          <w:sz w:val="24"/>
          <w:szCs w:val="24"/>
          <w:lang w:val="es-MX" w:eastAsia="es-CR"/>
        </w:rPr>
        <w:t xml:space="preserve"> 186,</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Valle Jaramillo y otros Vs. Colombia. Fondo, Reparaciones y Costas</w:t>
      </w:r>
      <w:r w:rsidRPr="00387212">
        <w:rPr>
          <w:rFonts w:ascii="Times New Roman" w:eastAsiaTheme="minorHAnsi" w:hAnsi="Times New Roman"/>
          <w:sz w:val="24"/>
          <w:szCs w:val="24"/>
        </w:rPr>
        <w:t>. Sentencia de 27 de noviembre de 2008. Serie C No. 192.</w:t>
      </w:r>
    </w:p>
    <w:p w:rsidR="0099654D" w:rsidRPr="00387212" w:rsidRDefault="0099654D" w:rsidP="0099654D">
      <w:pPr>
        <w:autoSpaceDE w:val="0"/>
        <w:autoSpaceDN w:val="0"/>
        <w:adjustRightInd w:val="0"/>
        <w:snapToGrid w:val="0"/>
        <w:jc w:val="both"/>
        <w:rPr>
          <w:rFonts w:ascii="Times New Roman" w:eastAsia="Times New Roman" w:hAnsi="Times New Roman"/>
          <w:bCs/>
          <w:spacing w:val="-4"/>
          <w:sz w:val="24"/>
          <w:szCs w:val="24"/>
          <w:lang w:val="es-MX" w:eastAsia="es-CR"/>
        </w:rPr>
      </w:pPr>
      <w:r w:rsidRPr="00387212">
        <w:rPr>
          <w:rFonts w:ascii="Times New Roman" w:eastAsia="Times New Roman" w:hAnsi="Times New Roman"/>
          <w:i/>
          <w:sz w:val="24"/>
          <w:szCs w:val="24"/>
          <w:lang w:val="es-CR"/>
        </w:rPr>
        <w:t>Caso González y otras (“Campo Algodonero”) Vs. México. Excepción Preliminar, Fondo, Reparaciones y Costas.</w:t>
      </w:r>
      <w:r w:rsidRPr="00387212">
        <w:rPr>
          <w:rFonts w:ascii="Times New Roman" w:eastAsia="Times New Roman" w:hAnsi="Times New Roman"/>
          <w:sz w:val="24"/>
          <w:szCs w:val="24"/>
          <w:lang w:val="es-CR"/>
        </w:rPr>
        <w:t xml:space="preserve"> Sentencia de </w:t>
      </w:r>
      <w:smartTag w:uri="urn:schemas-microsoft-com:office:smarttags" w:element="date">
        <w:smartTagPr>
          <w:attr w:name="Year" w:val="2009"/>
          <w:attr w:name="Day" w:val="16"/>
          <w:attr w:name="Month" w:val="11"/>
          <w:attr w:name="ls" w:val="trans"/>
        </w:smartTagPr>
        <w:r w:rsidRPr="00387212">
          <w:rPr>
            <w:rFonts w:ascii="Times New Roman" w:eastAsia="Times New Roman" w:hAnsi="Times New Roman"/>
            <w:sz w:val="24"/>
            <w:szCs w:val="24"/>
            <w:lang w:val="es-CR"/>
          </w:rPr>
          <w:t>16 de noviembre de 2009</w:t>
        </w:r>
      </w:smartTag>
      <w:r w:rsidRPr="00387212">
        <w:rPr>
          <w:rFonts w:ascii="Times New Roman" w:eastAsia="Times New Roman" w:hAnsi="Times New Roman"/>
          <w:sz w:val="24"/>
          <w:szCs w:val="24"/>
          <w:lang w:val="es-CR"/>
        </w:rPr>
        <w:t>. Serie C No. 205.</w:t>
      </w:r>
    </w:p>
    <w:p w:rsidR="0099654D" w:rsidRPr="00387212" w:rsidRDefault="0099654D" w:rsidP="0099654D">
      <w:pPr>
        <w:spacing w:after="160" w:line="259" w:lineRule="auto"/>
        <w:jc w:val="both"/>
        <w:rPr>
          <w:rFonts w:ascii="Times New Roman" w:eastAsiaTheme="minorHAnsi" w:hAnsi="Times New Roman"/>
          <w:bCs/>
          <w:sz w:val="24"/>
          <w:szCs w:val="24"/>
          <w:lang w:eastAsia="es-ES"/>
        </w:rPr>
      </w:pPr>
      <w:r w:rsidRPr="00387212">
        <w:rPr>
          <w:rFonts w:ascii="Times New Roman" w:eastAsiaTheme="minorHAnsi" w:hAnsi="Times New Roman"/>
          <w:bCs/>
          <w:i/>
          <w:iCs/>
          <w:sz w:val="24"/>
          <w:szCs w:val="24"/>
          <w:lang w:val="es-MX"/>
        </w:rPr>
        <w:t>Caso Radilla Pacheco Vs. México. Excepciones Preliminares, Fondo, Reparaciones y Costas.</w:t>
      </w:r>
      <w:r w:rsidRPr="00387212">
        <w:rPr>
          <w:rFonts w:ascii="Times New Roman" w:eastAsiaTheme="minorHAnsi" w:hAnsi="Times New Roman"/>
          <w:bCs/>
          <w:i/>
          <w:sz w:val="24"/>
          <w:szCs w:val="24"/>
          <w:lang w:val="es-MX"/>
        </w:rPr>
        <w:t xml:space="preserve"> </w:t>
      </w:r>
      <w:r w:rsidRPr="00387212">
        <w:rPr>
          <w:rFonts w:ascii="Times New Roman" w:eastAsiaTheme="minorHAnsi" w:hAnsi="Times New Roman"/>
          <w:bCs/>
          <w:sz w:val="24"/>
          <w:szCs w:val="24"/>
          <w:lang w:val="es-MX"/>
        </w:rPr>
        <w:t>Sentencia de 23 de noviembre de 2009. Serie C No. 209.</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lang w:val="es-ES_tradnl" w:eastAsia="es-ES_tradnl"/>
        </w:rPr>
        <w:t>Caso Kawas Fernández Vs. Honduras</w:t>
      </w:r>
      <w:r w:rsidRPr="00387212">
        <w:rPr>
          <w:rFonts w:ascii="Times New Roman" w:eastAsiaTheme="minorHAnsi" w:hAnsi="Times New Roman"/>
          <w:sz w:val="24"/>
          <w:szCs w:val="24"/>
          <w:lang w:val="es-ES_tradnl" w:eastAsia="es-ES_tradnl"/>
        </w:rPr>
        <w:t>.</w:t>
      </w:r>
      <w:r w:rsidRPr="00387212">
        <w:rPr>
          <w:rFonts w:ascii="Times New Roman" w:eastAsiaTheme="minorHAnsi" w:hAnsi="Times New Roman"/>
          <w:i/>
          <w:sz w:val="24"/>
          <w:szCs w:val="24"/>
          <w:lang w:val="es-ES_tradnl" w:eastAsia="es-ES_tradnl"/>
        </w:rPr>
        <w:t xml:space="preserve"> </w:t>
      </w:r>
      <w:r w:rsidRPr="00387212">
        <w:rPr>
          <w:rFonts w:ascii="Times New Roman" w:eastAsiaTheme="minorHAnsi" w:hAnsi="Times New Roman"/>
          <w:i/>
          <w:sz w:val="24"/>
          <w:szCs w:val="24"/>
          <w:lang w:val="es-ES_tradnl"/>
        </w:rPr>
        <w:t>Fondo, Reparaciones y Costas</w:t>
      </w:r>
      <w:r w:rsidRPr="00387212">
        <w:rPr>
          <w:rFonts w:ascii="Times New Roman" w:eastAsiaTheme="minorHAnsi" w:hAnsi="Times New Roman"/>
          <w:sz w:val="24"/>
          <w:szCs w:val="24"/>
          <w:lang w:val="es-ES_tradnl"/>
        </w:rPr>
        <w:t xml:space="preserve">. Sentencia de 3 de abril de 2009 Serie C </w:t>
      </w:r>
      <w:r w:rsidRPr="00387212">
        <w:rPr>
          <w:rFonts w:ascii="Times New Roman" w:eastAsiaTheme="minorHAnsi" w:hAnsi="Times New Roman"/>
          <w:spacing w:val="-4"/>
          <w:sz w:val="24"/>
          <w:szCs w:val="24"/>
          <w:lang w:val="es-CR"/>
        </w:rPr>
        <w:t>No.</w:t>
      </w:r>
      <w:r w:rsidRPr="00387212">
        <w:rPr>
          <w:rFonts w:ascii="Times New Roman" w:eastAsiaTheme="minorHAnsi" w:hAnsi="Times New Roman"/>
          <w:sz w:val="24"/>
          <w:szCs w:val="24"/>
          <w:lang w:val="es-ES_tradnl"/>
        </w:rPr>
        <w:t xml:space="preserve"> 196.</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rPr>
        <w:t>Caso Anzualdo Castro Vs. Perú. Excepción Preliminar, Fondo, Reparaciones y Costas.</w:t>
      </w:r>
      <w:r w:rsidRPr="00387212">
        <w:rPr>
          <w:rFonts w:ascii="Times New Roman" w:eastAsiaTheme="minorHAnsi" w:hAnsi="Times New Roman"/>
          <w:sz w:val="24"/>
          <w:szCs w:val="24"/>
        </w:rPr>
        <w:t xml:space="preserve"> Sentencia de 22 de septiembre de 2009</w:t>
      </w:r>
      <w:r w:rsidRPr="00387212">
        <w:rPr>
          <w:rFonts w:ascii="Times New Roman" w:eastAsiaTheme="minorHAnsi" w:hAnsi="Times New Roman"/>
          <w:bCs/>
          <w:sz w:val="24"/>
          <w:szCs w:val="24"/>
          <w:lang w:val="es-MX"/>
        </w:rPr>
        <w:t>. Serie C No. 202.</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Fernández Ortega y otros Vs. México</w:t>
      </w:r>
      <w:r w:rsidRPr="00387212">
        <w:rPr>
          <w:rFonts w:ascii="Times New Roman" w:eastAsiaTheme="minorHAnsi" w:hAnsi="Times New Roman"/>
          <w:sz w:val="24"/>
          <w:szCs w:val="24"/>
        </w:rPr>
        <w:t xml:space="preserve">. </w:t>
      </w:r>
      <w:r w:rsidRPr="00387212">
        <w:rPr>
          <w:rFonts w:ascii="Times New Roman" w:eastAsiaTheme="minorHAnsi" w:hAnsi="Times New Roman"/>
          <w:i/>
          <w:sz w:val="24"/>
          <w:szCs w:val="24"/>
        </w:rPr>
        <w:t>Excepción Preliminar, Fondo, Reparaciones y Costas</w:t>
      </w:r>
      <w:r w:rsidRPr="00387212">
        <w:rPr>
          <w:rFonts w:ascii="Times New Roman" w:eastAsiaTheme="minorHAnsi" w:hAnsi="Times New Roman"/>
          <w:sz w:val="24"/>
          <w:szCs w:val="24"/>
        </w:rPr>
        <w:t xml:space="preserve">. Sentencia de 30 de agosto de 2010. Serie C </w:t>
      </w:r>
      <w:r w:rsidRPr="00387212">
        <w:rPr>
          <w:rFonts w:ascii="Times New Roman" w:eastAsiaTheme="minorHAnsi" w:hAnsi="Times New Roman"/>
          <w:bCs/>
          <w:sz w:val="24"/>
          <w:szCs w:val="24"/>
          <w:lang w:val="es-MX"/>
        </w:rPr>
        <w:t>No. 215.</w:t>
      </w:r>
    </w:p>
    <w:p w:rsidR="0099654D" w:rsidRPr="00387212" w:rsidRDefault="0099654D" w:rsidP="0099654D">
      <w:pPr>
        <w:spacing w:after="160" w:line="259" w:lineRule="auto"/>
        <w:jc w:val="both"/>
        <w:rPr>
          <w:rFonts w:ascii="Times New Roman" w:eastAsiaTheme="minorHAnsi" w:hAnsi="Times New Roman"/>
          <w:i/>
          <w:iCs/>
          <w:sz w:val="24"/>
          <w:szCs w:val="24"/>
          <w:lang w:val="es-MX" w:eastAsia="es-CR"/>
        </w:rPr>
      </w:pPr>
      <w:r w:rsidRPr="00387212">
        <w:rPr>
          <w:rFonts w:ascii="Times New Roman" w:eastAsiaTheme="minorHAnsi" w:hAnsi="Times New Roman"/>
          <w:i/>
          <w:sz w:val="24"/>
          <w:szCs w:val="24"/>
        </w:rPr>
        <w:t>Caso Rosendo Cantú y otra Vs. México. Excepción Preliminar, Fondo, Reparaciones y Costas</w:t>
      </w:r>
      <w:r w:rsidRPr="00387212">
        <w:rPr>
          <w:rFonts w:ascii="Times New Roman" w:eastAsiaTheme="minorHAnsi" w:hAnsi="Times New Roman"/>
          <w:sz w:val="24"/>
          <w:szCs w:val="24"/>
        </w:rPr>
        <w:t xml:space="preserve">. Sentencia de 31 de agosto de 2010. Serie C </w:t>
      </w:r>
      <w:r w:rsidRPr="00387212">
        <w:rPr>
          <w:rFonts w:ascii="Times New Roman" w:eastAsiaTheme="minorHAnsi" w:hAnsi="Times New Roman"/>
          <w:bCs/>
          <w:sz w:val="24"/>
          <w:szCs w:val="24"/>
          <w:lang w:val="es-MX"/>
        </w:rPr>
        <w:t>No. 216.</w:t>
      </w:r>
    </w:p>
    <w:p w:rsidR="0099654D" w:rsidRPr="00387212" w:rsidRDefault="0099654D" w:rsidP="0099654D">
      <w:pPr>
        <w:spacing w:after="160" w:line="259" w:lineRule="auto"/>
        <w:jc w:val="both"/>
        <w:rPr>
          <w:rFonts w:ascii="Times New Roman" w:eastAsiaTheme="minorHAnsi" w:hAnsi="Times New Roman"/>
          <w:iCs/>
          <w:sz w:val="24"/>
          <w:szCs w:val="24"/>
          <w:lang w:val="es-MX" w:eastAsia="es-CR"/>
        </w:rPr>
      </w:pPr>
      <w:r w:rsidRPr="00387212">
        <w:rPr>
          <w:rFonts w:ascii="Times New Roman" w:eastAsiaTheme="minorHAnsi" w:hAnsi="Times New Roman"/>
          <w:bCs/>
          <w:i/>
          <w:iCs/>
          <w:sz w:val="24"/>
          <w:szCs w:val="24"/>
          <w:lang w:val="es-MX" w:eastAsia="es-CR"/>
        </w:rPr>
        <w:t xml:space="preserve">Caso Gelman Vs. Uruguay. Fondo y Reparaciones. </w:t>
      </w:r>
      <w:r w:rsidRPr="00387212">
        <w:rPr>
          <w:rFonts w:ascii="Times New Roman" w:eastAsiaTheme="minorHAnsi" w:hAnsi="Times New Roman"/>
          <w:bCs/>
          <w:iCs/>
          <w:sz w:val="24"/>
          <w:szCs w:val="24"/>
          <w:lang w:val="es-MX" w:eastAsia="es-CR"/>
        </w:rPr>
        <w:t xml:space="preserve">Sentencia de </w:t>
      </w:r>
      <w:smartTag w:uri="urn:schemas-microsoft-com:office:smarttags" w:element="date">
        <w:smartTagPr>
          <w:attr w:name="ls" w:val="trans"/>
          <w:attr w:name="Month" w:val="2"/>
          <w:attr w:name="Day" w:val="24"/>
          <w:attr w:name="Year" w:val="2011"/>
        </w:smartTagPr>
        <w:r w:rsidRPr="00387212">
          <w:rPr>
            <w:rFonts w:ascii="Times New Roman" w:eastAsiaTheme="minorHAnsi" w:hAnsi="Times New Roman"/>
            <w:bCs/>
            <w:iCs/>
            <w:sz w:val="24"/>
            <w:szCs w:val="24"/>
            <w:lang w:val="es-MX" w:eastAsia="es-CR"/>
          </w:rPr>
          <w:t>24 de febrero de 2011</w:t>
        </w:r>
      </w:smartTag>
      <w:r w:rsidRPr="00387212">
        <w:rPr>
          <w:rFonts w:ascii="Times New Roman" w:eastAsiaTheme="minorHAnsi" w:hAnsi="Times New Roman"/>
          <w:bCs/>
          <w:iCs/>
          <w:sz w:val="24"/>
          <w:szCs w:val="24"/>
          <w:lang w:val="es-MX" w:eastAsia="es-CR"/>
        </w:rPr>
        <w:t>. Serie C No. 221.</w:t>
      </w:r>
    </w:p>
    <w:p w:rsidR="0099654D" w:rsidRPr="00387212" w:rsidRDefault="0099654D" w:rsidP="0099654D">
      <w:pPr>
        <w:spacing w:after="160" w:line="259" w:lineRule="auto"/>
        <w:jc w:val="both"/>
        <w:rPr>
          <w:rFonts w:ascii="Times New Roman" w:eastAsiaTheme="minorHAnsi" w:hAnsi="Times New Roman"/>
          <w:sz w:val="24"/>
          <w:szCs w:val="24"/>
          <w:lang w:val="es-MX" w:eastAsia="es-CR"/>
        </w:rPr>
      </w:pPr>
      <w:r w:rsidRPr="00387212">
        <w:rPr>
          <w:rFonts w:ascii="Times New Roman" w:eastAsiaTheme="minorHAnsi" w:hAnsi="Times New Roman"/>
          <w:i/>
          <w:iCs/>
          <w:sz w:val="24"/>
          <w:szCs w:val="24"/>
          <w:lang w:val="es-MX" w:eastAsia="es-CR"/>
        </w:rPr>
        <w:t>Caso Gudiel Álvarez y otros (Diario Militar) Vs. Guatemala. Fondo Reparaciones y Costas.</w:t>
      </w:r>
      <w:r w:rsidRPr="00387212">
        <w:rPr>
          <w:rFonts w:ascii="Times New Roman" w:eastAsiaTheme="minorHAnsi" w:hAnsi="Times New Roman"/>
          <w:sz w:val="24"/>
          <w:szCs w:val="24"/>
          <w:lang w:val="es-MX" w:eastAsia="es-CR"/>
        </w:rPr>
        <w:t xml:space="preserve"> Sentencia de 20 noviembre de 2012. Serie C No. 253.</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Masacre de Santo Domingo Vs. Colombia. Excepciones Preliminares, Fondo y Reparaciones</w:t>
      </w:r>
      <w:r w:rsidRPr="00387212">
        <w:rPr>
          <w:rFonts w:ascii="Times New Roman" w:eastAsiaTheme="minorHAnsi" w:hAnsi="Times New Roman"/>
          <w:sz w:val="24"/>
          <w:szCs w:val="24"/>
        </w:rPr>
        <w:t>, Sentencia de 30 de noviembre de 2012. Serie C No. 259.</w:t>
      </w:r>
    </w:p>
    <w:p w:rsidR="0099654D" w:rsidRPr="00387212" w:rsidRDefault="0099654D" w:rsidP="0099654D">
      <w:pPr>
        <w:spacing w:after="160" w:line="259" w:lineRule="auto"/>
        <w:jc w:val="both"/>
        <w:rPr>
          <w:rFonts w:ascii="Times New Roman" w:eastAsiaTheme="minorHAnsi" w:hAnsi="Times New Roman"/>
          <w:sz w:val="24"/>
          <w:szCs w:val="24"/>
          <w:lang w:val="es-MX" w:eastAsia="es-CR"/>
        </w:rPr>
      </w:pPr>
      <w:r w:rsidRPr="00387212">
        <w:rPr>
          <w:rFonts w:ascii="Times New Roman" w:eastAsiaTheme="minorHAnsi" w:hAnsi="Times New Roman"/>
          <w:i/>
          <w:spacing w:val="-4"/>
          <w:sz w:val="24"/>
          <w:szCs w:val="24"/>
          <w:lang w:val="es-PR"/>
        </w:rPr>
        <w:lastRenderedPageBreak/>
        <w:t>Caso Osorio Rivera y Familiares Vs. Perú. Excepciones Preliminares, Fondo, Reparaciones y Costas</w:t>
      </w:r>
      <w:r w:rsidRPr="00387212">
        <w:rPr>
          <w:rFonts w:ascii="Times New Roman" w:eastAsiaTheme="minorHAnsi" w:hAnsi="Times New Roman"/>
          <w:spacing w:val="-4"/>
          <w:sz w:val="24"/>
          <w:szCs w:val="24"/>
          <w:lang w:val="es-PR"/>
        </w:rPr>
        <w:t xml:space="preserve">. Sentencia de 26 de noviembre de 2013. Serie C. </w:t>
      </w:r>
      <w:r w:rsidRPr="00387212">
        <w:rPr>
          <w:rFonts w:ascii="Times New Roman" w:eastAsiaTheme="minorHAnsi" w:hAnsi="Times New Roman"/>
          <w:sz w:val="24"/>
          <w:szCs w:val="24"/>
          <w:lang w:val="es-MX" w:eastAsia="es-CR"/>
        </w:rPr>
        <w:t>No</w:t>
      </w:r>
      <w:r w:rsidRPr="00387212">
        <w:rPr>
          <w:rFonts w:ascii="Times New Roman" w:eastAsiaTheme="minorHAnsi" w:hAnsi="Times New Roman"/>
          <w:spacing w:val="-4"/>
          <w:sz w:val="24"/>
          <w:szCs w:val="24"/>
          <w:lang w:val="es-PR"/>
        </w:rPr>
        <w:t>. 274.</w:t>
      </w:r>
    </w:p>
    <w:p w:rsidR="0099654D" w:rsidRPr="00387212" w:rsidRDefault="0099654D" w:rsidP="0099654D">
      <w:pPr>
        <w:spacing w:after="160" w:line="259" w:lineRule="auto"/>
        <w:jc w:val="both"/>
        <w:rPr>
          <w:rFonts w:ascii="Times New Roman" w:eastAsiaTheme="minorHAnsi" w:hAnsi="Times New Roman"/>
          <w:sz w:val="24"/>
          <w:szCs w:val="24"/>
          <w:lang w:eastAsia="es-CR"/>
        </w:rPr>
      </w:pPr>
      <w:r w:rsidRPr="00387212">
        <w:rPr>
          <w:rFonts w:ascii="Times New Roman" w:eastAsiaTheme="minorHAnsi" w:hAnsi="Times New Roman"/>
          <w:i/>
          <w:sz w:val="24"/>
          <w:szCs w:val="24"/>
          <w:lang w:eastAsia="es-CR"/>
        </w:rPr>
        <w:t>Caso Veliz Franco y Otros Vs. Guatemala</w:t>
      </w:r>
      <w:r w:rsidRPr="00387212">
        <w:rPr>
          <w:rFonts w:ascii="Times New Roman" w:eastAsiaTheme="minorHAnsi" w:hAnsi="Times New Roman"/>
          <w:sz w:val="24"/>
          <w:szCs w:val="24"/>
          <w:lang w:eastAsia="es-CR"/>
        </w:rPr>
        <w:t xml:space="preserve">. </w:t>
      </w:r>
      <w:r w:rsidRPr="00387212">
        <w:rPr>
          <w:rFonts w:ascii="Times New Roman" w:eastAsiaTheme="minorHAnsi" w:hAnsi="Times New Roman"/>
          <w:i/>
          <w:sz w:val="24"/>
          <w:szCs w:val="24"/>
          <w:lang w:eastAsia="es-CR"/>
        </w:rPr>
        <w:t>Excepciones Preliminares, Fondo, Reparaciones y Costas</w:t>
      </w:r>
      <w:r w:rsidRPr="00387212">
        <w:rPr>
          <w:rFonts w:ascii="Times New Roman" w:eastAsiaTheme="minorHAnsi" w:hAnsi="Times New Roman"/>
          <w:sz w:val="24"/>
          <w:szCs w:val="24"/>
          <w:lang w:eastAsia="es-CR"/>
        </w:rPr>
        <w:t>. Sentencia de 19 de mayo de 2014.</w:t>
      </w:r>
      <w:r w:rsidRPr="00387212">
        <w:rPr>
          <w:rFonts w:ascii="Times New Roman" w:eastAsiaTheme="minorHAnsi" w:hAnsi="Times New Roman"/>
          <w:sz w:val="24"/>
          <w:szCs w:val="24"/>
        </w:rPr>
        <w:t xml:space="preserve"> </w:t>
      </w:r>
      <w:r w:rsidRPr="00387212">
        <w:rPr>
          <w:rFonts w:ascii="Times New Roman" w:eastAsiaTheme="minorHAnsi" w:hAnsi="Times New Roman"/>
          <w:sz w:val="24"/>
          <w:szCs w:val="24"/>
          <w:lang w:eastAsia="es-CR"/>
        </w:rPr>
        <w:t>Serie C No. 277.</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imes New Roman" w:hAnsi="Times New Roman"/>
          <w:i/>
          <w:sz w:val="24"/>
          <w:szCs w:val="24"/>
          <w:lang w:val="es-ES_tradnl"/>
        </w:rPr>
        <w:t>Caso Rochac Hernández y otros Vs. El Salvador. Fondo, Reparaciones y Costas</w:t>
      </w:r>
      <w:r w:rsidRPr="00387212">
        <w:rPr>
          <w:rFonts w:ascii="Times New Roman" w:eastAsia="Times New Roman" w:hAnsi="Times New Roman"/>
          <w:sz w:val="24"/>
          <w:szCs w:val="24"/>
          <w:lang w:val="es-ES_tradnl"/>
        </w:rPr>
        <w:t>. Sentencia de 14 de octubre de 2014.</w:t>
      </w:r>
      <w:r w:rsidRPr="00387212">
        <w:rPr>
          <w:rFonts w:ascii="Times New Roman" w:eastAsiaTheme="minorHAnsi" w:hAnsi="Times New Roman"/>
          <w:sz w:val="24"/>
          <w:szCs w:val="24"/>
        </w:rPr>
        <w:t xml:space="preserve"> </w:t>
      </w:r>
      <w:r w:rsidRPr="00387212">
        <w:rPr>
          <w:rFonts w:ascii="Times New Roman" w:eastAsia="Times New Roman" w:hAnsi="Times New Roman"/>
          <w:sz w:val="24"/>
          <w:szCs w:val="24"/>
          <w:lang w:val="es-ES_tradnl"/>
        </w:rPr>
        <w:t>Serie C No. 285.</w:t>
      </w:r>
    </w:p>
    <w:p w:rsidR="0099654D" w:rsidRPr="00387212" w:rsidRDefault="0099654D" w:rsidP="0099654D">
      <w:pPr>
        <w:spacing w:after="160" w:line="259" w:lineRule="auto"/>
        <w:jc w:val="both"/>
        <w:rPr>
          <w:rFonts w:ascii="Times New Roman" w:eastAsiaTheme="minorHAnsi" w:hAnsi="Times New Roman"/>
          <w:iCs/>
          <w:spacing w:val="-4"/>
          <w:sz w:val="24"/>
          <w:szCs w:val="24"/>
          <w:lang w:val="es-PR"/>
        </w:rPr>
      </w:pPr>
      <w:r w:rsidRPr="00387212">
        <w:rPr>
          <w:rFonts w:ascii="Times New Roman" w:eastAsiaTheme="minorHAnsi" w:hAnsi="Times New Roman"/>
          <w:i/>
          <w:iCs/>
          <w:spacing w:val="-4"/>
          <w:sz w:val="24"/>
          <w:szCs w:val="24"/>
          <w:lang w:val="es-PR"/>
        </w:rPr>
        <w:t>Caso Rodríguez Vera y otros (Desaparecidos del Palacio de Justicia) Vs. Colombia</w:t>
      </w:r>
      <w:r w:rsidRPr="00387212">
        <w:rPr>
          <w:rFonts w:ascii="Times New Roman" w:eastAsiaTheme="minorHAnsi" w:hAnsi="Times New Roman"/>
          <w:i/>
          <w:sz w:val="24"/>
          <w:szCs w:val="24"/>
        </w:rPr>
        <w:t>. Excepciones Preliminares, Fondo, Reparaciones y Costas</w:t>
      </w:r>
      <w:r w:rsidRPr="00387212">
        <w:rPr>
          <w:rFonts w:ascii="Times New Roman" w:eastAsiaTheme="minorHAnsi" w:hAnsi="Times New Roman"/>
          <w:sz w:val="24"/>
          <w:szCs w:val="24"/>
        </w:rPr>
        <w:t>.</w:t>
      </w:r>
      <w:r w:rsidRPr="00387212">
        <w:rPr>
          <w:rFonts w:ascii="Times New Roman" w:eastAsiaTheme="minorHAnsi" w:hAnsi="Times New Roman"/>
          <w:iCs/>
          <w:spacing w:val="-4"/>
          <w:sz w:val="24"/>
          <w:szCs w:val="24"/>
          <w:lang w:val="es-PR"/>
        </w:rPr>
        <w:t xml:space="preserve"> Sentencia de 14 de noviembre de 2014. Serie C </w:t>
      </w:r>
      <w:r w:rsidRPr="00387212">
        <w:rPr>
          <w:rFonts w:ascii="Times New Roman" w:eastAsiaTheme="minorHAnsi" w:hAnsi="Times New Roman"/>
          <w:sz w:val="24"/>
          <w:szCs w:val="24"/>
          <w:lang w:val="es-MX" w:eastAsia="es-CR"/>
        </w:rPr>
        <w:t>No</w:t>
      </w:r>
      <w:r w:rsidRPr="00387212">
        <w:rPr>
          <w:rFonts w:ascii="Times New Roman" w:eastAsiaTheme="minorHAnsi" w:hAnsi="Times New Roman"/>
          <w:iCs/>
          <w:spacing w:val="-4"/>
          <w:sz w:val="24"/>
          <w:szCs w:val="24"/>
          <w:lang w:val="es-PR"/>
        </w:rPr>
        <w:t>. 287.</w:t>
      </w:r>
    </w:p>
    <w:p w:rsidR="0099654D" w:rsidRPr="00387212" w:rsidRDefault="0099654D" w:rsidP="0099654D">
      <w:pPr>
        <w:spacing w:after="160" w:line="259" w:lineRule="auto"/>
        <w:jc w:val="both"/>
        <w:rPr>
          <w:rFonts w:ascii="Times New Roman" w:eastAsiaTheme="minorHAnsi" w:hAnsi="Times New Roman"/>
          <w:i/>
          <w:iCs/>
          <w:spacing w:val="-4"/>
          <w:sz w:val="24"/>
          <w:szCs w:val="24"/>
          <w:lang w:val="es-PR"/>
        </w:rPr>
      </w:pPr>
      <w:r w:rsidRPr="00387212">
        <w:rPr>
          <w:rFonts w:ascii="Times New Roman" w:eastAsiaTheme="minorHAnsi" w:hAnsi="Times New Roman"/>
          <w:i/>
          <w:sz w:val="24"/>
          <w:szCs w:val="24"/>
          <w:lang w:val="es-PR"/>
        </w:rPr>
        <w:t xml:space="preserve">Caso Cruz Sánchez y otros Vs. Perú. Excepciones preliminares, Fondo, Reparaciones y Costas. </w:t>
      </w:r>
      <w:r w:rsidRPr="00387212">
        <w:rPr>
          <w:rFonts w:ascii="Times New Roman" w:eastAsiaTheme="minorHAnsi" w:hAnsi="Times New Roman"/>
          <w:sz w:val="24"/>
          <w:szCs w:val="24"/>
          <w:lang w:val="es-PR"/>
        </w:rPr>
        <w:t>Sentencia de 17 de abril de 2015.</w:t>
      </w:r>
      <w:r w:rsidRPr="00387212">
        <w:rPr>
          <w:rFonts w:ascii="Times New Roman" w:eastAsiaTheme="minorHAnsi" w:hAnsi="Times New Roman"/>
          <w:sz w:val="24"/>
          <w:szCs w:val="24"/>
        </w:rPr>
        <w:t xml:space="preserve"> </w:t>
      </w:r>
      <w:r w:rsidRPr="00387212">
        <w:rPr>
          <w:rFonts w:ascii="Times New Roman" w:eastAsiaTheme="minorHAnsi" w:hAnsi="Times New Roman"/>
          <w:sz w:val="24"/>
          <w:szCs w:val="24"/>
          <w:lang w:val="es-PR"/>
        </w:rPr>
        <w:t>Serie C No. 292.</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iCs/>
          <w:spacing w:val="-4"/>
          <w:sz w:val="24"/>
          <w:szCs w:val="24"/>
          <w:lang w:val="es-PR"/>
        </w:rPr>
        <w:t xml:space="preserve">Caso Comunidad Campesina de Santa Bárbara Vs. Perú. Excepciones Preliminares, Fondo, Reparaciones y Costas. </w:t>
      </w:r>
      <w:r w:rsidRPr="00387212">
        <w:rPr>
          <w:rFonts w:ascii="Times New Roman" w:eastAsiaTheme="minorHAnsi" w:hAnsi="Times New Roman"/>
          <w:iCs/>
          <w:spacing w:val="-4"/>
          <w:sz w:val="24"/>
          <w:szCs w:val="24"/>
          <w:lang w:val="es-PR"/>
        </w:rPr>
        <w:t>Sentencia de 1 de septiembre de 2015. Serie C No. 299.</w:t>
      </w:r>
    </w:p>
    <w:p w:rsidR="0099654D" w:rsidRPr="00387212" w:rsidRDefault="0099654D" w:rsidP="0099654D">
      <w:pPr>
        <w:spacing w:after="160" w:line="259" w:lineRule="auto"/>
        <w:jc w:val="both"/>
        <w:rPr>
          <w:rFonts w:ascii="Times New Roman" w:eastAsiaTheme="minorHAnsi" w:hAnsi="Times New Roman"/>
          <w:i/>
          <w:sz w:val="24"/>
          <w:szCs w:val="24"/>
          <w:lang w:val="es-PR"/>
        </w:rPr>
      </w:pPr>
      <w:r w:rsidRPr="00387212">
        <w:rPr>
          <w:rFonts w:ascii="Times New Roman" w:eastAsiaTheme="minorHAnsi" w:hAnsi="Times New Roman"/>
          <w:i/>
          <w:sz w:val="24"/>
          <w:szCs w:val="24"/>
        </w:rPr>
        <w:t>Caso Velásquez Paiz y otros Vs. Guatemala. Excepciones Preliminares, Fondo, Reparaciones y Costas</w:t>
      </w:r>
      <w:r w:rsidRPr="00387212">
        <w:rPr>
          <w:rFonts w:ascii="Times New Roman" w:eastAsiaTheme="minorHAnsi" w:hAnsi="Times New Roman"/>
          <w:sz w:val="24"/>
          <w:szCs w:val="24"/>
        </w:rPr>
        <w:t>. Sentencia de 19 de noviembre de 2015. Serie C No. 307.</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iCs/>
          <w:spacing w:val="-4"/>
          <w:sz w:val="24"/>
          <w:szCs w:val="24"/>
        </w:rPr>
        <w:t>Caso V.R.P., V.P.C. y otros Vs. Nicaragua</w:t>
      </w:r>
      <w:r w:rsidRPr="00387212">
        <w:rPr>
          <w:rFonts w:ascii="Times New Roman" w:eastAsiaTheme="minorHAnsi" w:hAnsi="Times New Roman"/>
          <w:iCs/>
          <w:spacing w:val="-4"/>
          <w:sz w:val="24"/>
          <w:szCs w:val="24"/>
        </w:rPr>
        <w:t>. Excepciones Preliminares, Fondo, Reparaciones y Costas. Sentencia de 8 de marzo de 2018. Serie C No. 350.</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Ramírez Escobar y otros Vs. Guatemala</w:t>
      </w:r>
      <w:r w:rsidRPr="00387212">
        <w:rPr>
          <w:rFonts w:ascii="Times New Roman" w:eastAsiaTheme="minorHAnsi" w:hAnsi="Times New Roman"/>
          <w:sz w:val="24"/>
          <w:szCs w:val="24"/>
        </w:rPr>
        <w:t>. Fondo, Reparaciones y Costas. Sentencia de 9 de marzo de 2018. Serie C No. 351.</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Caso Carvajal y otros Vs. Colombia</w:t>
      </w:r>
      <w:r w:rsidRPr="00387212">
        <w:rPr>
          <w:rFonts w:ascii="Times New Roman" w:eastAsiaTheme="minorHAnsi" w:hAnsi="Times New Roman"/>
          <w:sz w:val="24"/>
          <w:szCs w:val="24"/>
        </w:rPr>
        <w:t>. Fondo, Reparaciones y Costas. Sentencia de 13 de marzo de 2018. Serie C No. 352.</w:t>
      </w:r>
    </w:p>
    <w:p w:rsidR="0099654D" w:rsidRPr="00387212" w:rsidRDefault="0099654D" w:rsidP="0099654D">
      <w:pPr>
        <w:spacing w:after="160" w:line="259" w:lineRule="auto"/>
        <w:jc w:val="both"/>
        <w:rPr>
          <w:rFonts w:ascii="Times New Roman" w:eastAsiaTheme="minorHAnsi" w:hAnsi="Times New Roman"/>
          <w:sz w:val="24"/>
          <w:szCs w:val="24"/>
        </w:rPr>
      </w:pP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Del Tribunal Europeo de Derechos Humanos</w:t>
      </w:r>
      <w:r w:rsidRPr="00387212">
        <w:rPr>
          <w:rFonts w:ascii="Times New Roman" w:eastAsiaTheme="minorHAnsi" w:hAnsi="Times New Roman"/>
          <w:sz w:val="24"/>
          <w:szCs w:val="24"/>
        </w:rPr>
        <w:t>:</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Kurt c. Turquía</w:t>
      </w:r>
      <w:r w:rsidRPr="00387212">
        <w:rPr>
          <w:rFonts w:ascii="Times New Roman" w:eastAsiaTheme="minorHAnsi" w:hAnsi="Times New Roman"/>
          <w:sz w:val="24"/>
          <w:szCs w:val="24"/>
          <w:lang w:val="es-ES_tradnl"/>
        </w:rPr>
        <w:t>, n. 24276/94, Sentencia de 25 de mayo de 1998.</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Çakici c. Turquía</w:t>
      </w:r>
      <w:r w:rsidRPr="00387212">
        <w:rPr>
          <w:rFonts w:ascii="Times New Roman" w:eastAsiaTheme="minorHAnsi" w:hAnsi="Times New Roman"/>
          <w:sz w:val="24"/>
          <w:szCs w:val="24"/>
          <w:lang w:val="es-ES_tradnl"/>
        </w:rPr>
        <w:t>, n. 23657/94, Sentencia de 8 de julio de 1999.</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Tekdag c. Turquía</w:t>
      </w:r>
      <w:r w:rsidRPr="00387212">
        <w:rPr>
          <w:rFonts w:ascii="Times New Roman" w:eastAsiaTheme="minorHAnsi" w:hAnsi="Times New Roman"/>
          <w:sz w:val="24"/>
          <w:szCs w:val="24"/>
          <w:lang w:val="es-ES_tradnl"/>
        </w:rPr>
        <w:t>, n. 27699/95, Sentencia de 15 de enero de 2004.</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Ipek c. Turquía</w:t>
      </w:r>
      <w:r w:rsidRPr="00387212">
        <w:rPr>
          <w:rFonts w:ascii="Times New Roman" w:eastAsiaTheme="minorHAnsi" w:hAnsi="Times New Roman"/>
          <w:sz w:val="24"/>
          <w:szCs w:val="24"/>
          <w:lang w:val="es-ES_tradnl"/>
        </w:rPr>
        <w:t>, n. 25760/94, Sentencia de 17 de febrero de 2004.</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rPr>
        <w:t>Kontrovà c. Eslovaquia</w:t>
      </w:r>
      <w:r w:rsidRPr="00387212">
        <w:rPr>
          <w:rFonts w:ascii="Times New Roman" w:eastAsiaTheme="minorHAnsi" w:hAnsi="Times New Roman"/>
          <w:sz w:val="24"/>
          <w:szCs w:val="24"/>
        </w:rPr>
        <w:t>, n. 7510/04,</w:t>
      </w:r>
      <w:r w:rsidRPr="00387212">
        <w:rPr>
          <w:rFonts w:ascii="Times New Roman" w:eastAsiaTheme="minorHAnsi" w:hAnsi="Times New Roman"/>
          <w:i/>
          <w:sz w:val="24"/>
          <w:szCs w:val="24"/>
        </w:rPr>
        <w:t xml:space="preserve"> </w:t>
      </w:r>
      <w:r w:rsidRPr="00387212">
        <w:rPr>
          <w:rFonts w:ascii="Times New Roman" w:eastAsiaTheme="minorHAnsi" w:hAnsi="Times New Roman"/>
          <w:sz w:val="24"/>
          <w:szCs w:val="24"/>
        </w:rPr>
        <w:t>Sentencia de 31 de mayo de 2007.</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lang w:eastAsia="es-ES"/>
        </w:rPr>
        <w:t>Branko Tomašić y otros c. Croacia</w:t>
      </w:r>
      <w:r w:rsidRPr="00387212">
        <w:rPr>
          <w:rFonts w:ascii="Times New Roman" w:eastAsiaTheme="minorHAnsi" w:hAnsi="Times New Roman"/>
          <w:sz w:val="24"/>
          <w:szCs w:val="24"/>
          <w:lang w:eastAsia="es-ES"/>
        </w:rPr>
        <w:t>,  n. 46598/06, Sentencia de 15 de enero de 2009.</w:t>
      </w:r>
    </w:p>
    <w:p w:rsidR="0099654D" w:rsidRPr="00387212" w:rsidRDefault="0099654D" w:rsidP="0099654D">
      <w:pPr>
        <w:spacing w:after="160" w:line="259" w:lineRule="auto"/>
        <w:jc w:val="both"/>
        <w:rPr>
          <w:rFonts w:ascii="Times New Roman" w:eastAsiaTheme="minorHAnsi" w:hAnsi="Times New Roman"/>
          <w:i/>
          <w:sz w:val="24"/>
          <w:szCs w:val="24"/>
        </w:rPr>
      </w:pPr>
      <w:r w:rsidRPr="00387212">
        <w:rPr>
          <w:rFonts w:ascii="Times New Roman" w:eastAsiaTheme="minorHAnsi" w:hAnsi="Times New Roman"/>
          <w:i/>
          <w:sz w:val="24"/>
          <w:szCs w:val="24"/>
        </w:rPr>
        <w:t xml:space="preserve">Opuz c. Turquía, </w:t>
      </w:r>
      <w:r w:rsidRPr="00387212">
        <w:rPr>
          <w:rFonts w:ascii="Times New Roman" w:eastAsiaTheme="minorHAnsi" w:hAnsi="Times New Roman"/>
          <w:sz w:val="24"/>
          <w:szCs w:val="24"/>
        </w:rPr>
        <w:t>n. 33401/02, Sentencia de 9 de junio de 2009.</w:t>
      </w:r>
    </w:p>
    <w:p w:rsidR="0099654D" w:rsidRPr="00387212" w:rsidRDefault="0099654D" w:rsidP="0099654D">
      <w:pPr>
        <w:spacing w:after="160" w:line="259" w:lineRule="auto"/>
        <w:jc w:val="both"/>
        <w:rPr>
          <w:rFonts w:ascii="Times New Roman" w:eastAsiaTheme="minorHAnsi" w:hAnsi="Times New Roman"/>
          <w:i/>
          <w:sz w:val="24"/>
          <w:szCs w:val="24"/>
          <w:lang w:val="es-ES_tradnl"/>
        </w:rPr>
      </w:pPr>
      <w:r w:rsidRPr="00387212">
        <w:rPr>
          <w:rFonts w:ascii="Times New Roman" w:eastAsiaTheme="minorHAnsi" w:hAnsi="Times New Roman"/>
          <w:i/>
          <w:sz w:val="24"/>
          <w:szCs w:val="24"/>
        </w:rPr>
        <w:t>Varnava y otros c. Turquía</w:t>
      </w:r>
      <w:r w:rsidRPr="00387212">
        <w:rPr>
          <w:rFonts w:ascii="Times New Roman" w:eastAsiaTheme="minorHAnsi" w:hAnsi="Times New Roman"/>
          <w:sz w:val="24"/>
          <w:szCs w:val="24"/>
        </w:rPr>
        <w:t>, ns. 16064/90, 16065/90, 16066/90, 16068/90, 16069/90, 16070/90, 16071/90, 16072/90, 16073/90, Sentencia de 19 de septiembre de 2009.</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El-Masri c. la ex-república yugoslava de Macedonia</w:t>
      </w:r>
      <w:r w:rsidRPr="00387212">
        <w:rPr>
          <w:rFonts w:ascii="Times New Roman" w:eastAsiaTheme="minorHAnsi" w:hAnsi="Times New Roman"/>
          <w:sz w:val="24"/>
          <w:szCs w:val="24"/>
          <w:lang w:val="es-ES_tradnl"/>
        </w:rPr>
        <w:t>, n. 39630/09, Sentencia de 13 de diciembre de 2012.</w:t>
      </w:r>
    </w:p>
    <w:p w:rsidR="0099654D" w:rsidRPr="00387212" w:rsidRDefault="0099654D" w:rsidP="0099654D">
      <w:pPr>
        <w:spacing w:after="160" w:line="259" w:lineRule="auto"/>
        <w:jc w:val="both"/>
        <w:rPr>
          <w:rFonts w:ascii="Times New Roman" w:eastAsiaTheme="minorHAnsi" w:hAnsi="Times New Roman"/>
          <w:i/>
          <w:sz w:val="24"/>
          <w:szCs w:val="24"/>
          <w:lang w:val="es-ES_tradnl"/>
        </w:rPr>
      </w:pPr>
      <w:r w:rsidRPr="00387212">
        <w:rPr>
          <w:rFonts w:ascii="Times New Roman" w:eastAsiaTheme="minorHAnsi" w:hAnsi="Times New Roman"/>
          <w:i/>
          <w:sz w:val="24"/>
          <w:szCs w:val="24"/>
        </w:rPr>
        <w:t>Erevia c. República de Moldavia</w:t>
      </w:r>
      <w:r w:rsidRPr="00387212">
        <w:rPr>
          <w:rFonts w:ascii="Times New Roman" w:eastAsiaTheme="minorHAnsi" w:hAnsi="Times New Roman"/>
          <w:sz w:val="24"/>
          <w:szCs w:val="24"/>
        </w:rPr>
        <w:t xml:space="preserve">, n. </w:t>
      </w:r>
      <w:hyperlink r:id="rId8" w:anchor="{%22appno%22:[%223564/11%22]}" w:tgtFrame="_blank" w:history="1">
        <w:r w:rsidRPr="00387212">
          <w:rPr>
            <w:rFonts w:ascii="Times New Roman" w:eastAsiaTheme="minorHAnsi" w:hAnsi="Times New Roman"/>
            <w:iCs/>
            <w:sz w:val="24"/>
            <w:szCs w:val="24"/>
          </w:rPr>
          <w:t>3564/11</w:t>
        </w:r>
      </w:hyperlink>
      <w:r w:rsidRPr="00387212">
        <w:rPr>
          <w:rFonts w:ascii="Times New Roman" w:eastAsiaTheme="minorHAnsi" w:hAnsi="Times New Roman"/>
          <w:sz w:val="24"/>
          <w:szCs w:val="24"/>
        </w:rPr>
        <w:t>, Sentencia de 28 de mayo de 2013.</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lastRenderedPageBreak/>
        <w:t>Husayn (Abu Zubaydah) c. Polonia</w:t>
      </w:r>
      <w:r w:rsidRPr="00387212">
        <w:rPr>
          <w:rFonts w:ascii="Times New Roman" w:eastAsiaTheme="minorHAnsi" w:hAnsi="Times New Roman"/>
          <w:sz w:val="24"/>
          <w:szCs w:val="24"/>
          <w:lang w:val="es-ES_tradnl"/>
        </w:rPr>
        <w:t>, n. 7511/13, Sentencia de 24 de julio de 2014.</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lang w:val="es-ES_tradnl"/>
        </w:rPr>
        <w:t>Al Nashiri c. Polonia</w:t>
      </w:r>
      <w:r w:rsidRPr="00387212">
        <w:rPr>
          <w:rFonts w:ascii="Times New Roman" w:eastAsiaTheme="minorHAnsi" w:hAnsi="Times New Roman"/>
          <w:sz w:val="24"/>
          <w:szCs w:val="24"/>
          <w:lang w:val="es-ES_tradnl"/>
        </w:rPr>
        <w:t>, n. 28761/11, Sentencia de 24 de julio de 2014.</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rPr>
        <w:t>Civek c. Turquía</w:t>
      </w:r>
      <w:r w:rsidRPr="00387212">
        <w:rPr>
          <w:rFonts w:ascii="Times New Roman" w:eastAsiaTheme="minorHAnsi" w:hAnsi="Times New Roman"/>
          <w:sz w:val="24"/>
          <w:szCs w:val="24"/>
        </w:rPr>
        <w:t>, n. 55354/11, Sentencia de 23 de febrero de 2016.</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M.G. c. Turquía</w:t>
      </w:r>
      <w:r w:rsidRPr="00387212">
        <w:rPr>
          <w:rFonts w:ascii="Times New Roman" w:eastAsiaTheme="minorHAnsi" w:hAnsi="Times New Roman"/>
          <w:sz w:val="24"/>
          <w:szCs w:val="24"/>
        </w:rPr>
        <w:t>, n. 646/10, Sentencia de 22 de marzo de 2016.</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i/>
          <w:sz w:val="24"/>
          <w:szCs w:val="24"/>
        </w:rPr>
        <w:t>H</w:t>
      </w:r>
      <w:r w:rsidRPr="00387212">
        <w:rPr>
          <w:rFonts w:ascii="Times New Roman" w:eastAsiaTheme="minorHAnsi" w:hAnsi="Times New Roman"/>
          <w:i/>
          <w:sz w:val="24"/>
          <w:szCs w:val="24"/>
          <w:lang w:val="fr-FR"/>
        </w:rPr>
        <w:t>alime Kiliç c. Turquía</w:t>
      </w:r>
      <w:r w:rsidRPr="00387212">
        <w:rPr>
          <w:rFonts w:ascii="Times New Roman" w:eastAsiaTheme="minorHAnsi" w:hAnsi="Times New Roman"/>
          <w:sz w:val="24"/>
          <w:szCs w:val="24"/>
          <w:lang w:val="fr-FR"/>
        </w:rPr>
        <w:t>, n. 63034/11, Sentencia de 28 de junio de 2016.</w:t>
      </w:r>
    </w:p>
    <w:p w:rsidR="0099654D" w:rsidRPr="00387212" w:rsidRDefault="0099654D" w:rsidP="0099654D">
      <w:pPr>
        <w:spacing w:after="160" w:line="259" w:lineRule="auto"/>
        <w:jc w:val="both"/>
        <w:rPr>
          <w:rFonts w:ascii="Times New Roman" w:eastAsiaTheme="minorHAnsi" w:hAnsi="Times New Roman"/>
          <w:sz w:val="24"/>
          <w:szCs w:val="24"/>
          <w:lang w:val="fr-FR"/>
        </w:rPr>
      </w:pPr>
      <w:r w:rsidRPr="00387212">
        <w:rPr>
          <w:rFonts w:ascii="Times New Roman" w:eastAsiaTheme="minorHAnsi" w:hAnsi="Times New Roman"/>
          <w:i/>
          <w:sz w:val="24"/>
          <w:szCs w:val="24"/>
        </w:rPr>
        <w:t>H</w:t>
      </w:r>
      <w:r w:rsidRPr="00387212">
        <w:rPr>
          <w:rFonts w:ascii="Times New Roman" w:eastAsiaTheme="minorHAnsi" w:hAnsi="Times New Roman"/>
          <w:i/>
          <w:sz w:val="24"/>
          <w:szCs w:val="24"/>
          <w:lang w:val="fr-FR"/>
        </w:rPr>
        <w:t>alime Kiliç c. Turquía</w:t>
      </w:r>
      <w:r w:rsidRPr="00387212">
        <w:rPr>
          <w:rFonts w:ascii="Times New Roman" w:eastAsiaTheme="minorHAnsi" w:hAnsi="Times New Roman"/>
          <w:sz w:val="24"/>
          <w:szCs w:val="24"/>
          <w:lang w:val="fr-FR"/>
        </w:rPr>
        <w:t>, n. 63034/11, Sentencia de 28 de junio de 2016.</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i/>
          <w:sz w:val="24"/>
          <w:szCs w:val="24"/>
        </w:rPr>
        <w:t>Buturugă c. Rumanía</w:t>
      </w:r>
      <w:r w:rsidRPr="00387212">
        <w:rPr>
          <w:rFonts w:ascii="Times New Roman" w:eastAsiaTheme="minorHAnsi" w:hAnsi="Times New Roman"/>
          <w:sz w:val="24"/>
          <w:szCs w:val="24"/>
        </w:rPr>
        <w:t>, n. 56867/15, Sentencia de 11 de febrero de 2020.</w:t>
      </w:r>
    </w:p>
    <w:p w:rsidR="0099654D" w:rsidRPr="00387212" w:rsidRDefault="0099654D" w:rsidP="0099654D">
      <w:pPr>
        <w:spacing w:after="160" w:line="259" w:lineRule="auto"/>
        <w:jc w:val="both"/>
        <w:rPr>
          <w:rFonts w:ascii="Times New Roman" w:eastAsiaTheme="minorHAnsi" w:hAnsi="Times New Roman"/>
          <w:sz w:val="24"/>
          <w:szCs w:val="24"/>
        </w:rPr>
      </w:pPr>
    </w:p>
    <w:p w:rsidR="0099654D" w:rsidRPr="00387212" w:rsidRDefault="0099654D" w:rsidP="0099654D">
      <w:pPr>
        <w:pStyle w:val="Prrafodelista"/>
        <w:numPr>
          <w:ilvl w:val="0"/>
          <w:numId w:val="1"/>
        </w:numPr>
        <w:spacing w:after="160" w:line="259" w:lineRule="auto"/>
        <w:jc w:val="both"/>
        <w:rPr>
          <w:rFonts w:ascii="Times New Roman" w:eastAsiaTheme="minorHAnsi" w:hAnsi="Times New Roman"/>
          <w:b/>
          <w:sz w:val="24"/>
          <w:szCs w:val="24"/>
        </w:rPr>
      </w:pPr>
      <w:r w:rsidRPr="00387212">
        <w:rPr>
          <w:rFonts w:ascii="Times New Roman" w:eastAsiaTheme="minorHAnsi" w:hAnsi="Times New Roman"/>
          <w:b/>
          <w:sz w:val="24"/>
          <w:szCs w:val="24"/>
        </w:rPr>
        <w:t>BIBLIOGRAFÍA CITADA</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hAnsi="Times New Roman"/>
          <w:sz w:val="24"/>
          <w:szCs w:val="24"/>
          <w:lang w:eastAsia="es-ES_tradnl"/>
        </w:rPr>
        <w:t xml:space="preserve">AMBOS, Kai, </w:t>
      </w:r>
      <w:r w:rsidRPr="00387212">
        <w:rPr>
          <w:rFonts w:ascii="Times New Roman" w:hAnsi="Times New Roman"/>
          <w:i/>
          <w:sz w:val="24"/>
          <w:szCs w:val="24"/>
          <w:lang w:eastAsia="es-ES_tradnl"/>
        </w:rPr>
        <w:t xml:space="preserve">Desaparición forzada de personas. </w:t>
      </w:r>
      <w:r w:rsidRPr="00387212">
        <w:rPr>
          <w:rFonts w:ascii="Times New Roman" w:hAnsi="Times New Roman"/>
          <w:i/>
          <w:sz w:val="24"/>
          <w:szCs w:val="24"/>
          <w:lang w:val="es-ES_tradnl" w:eastAsia="es-ES_tradnl"/>
        </w:rPr>
        <w:t>Análisis comparado e internacional</w:t>
      </w:r>
      <w:r w:rsidRPr="00387212">
        <w:rPr>
          <w:rFonts w:ascii="Times New Roman" w:hAnsi="Times New Roman"/>
          <w:sz w:val="24"/>
          <w:szCs w:val="24"/>
          <w:lang w:val="es-ES_tradnl" w:eastAsia="es-ES_tradnl"/>
        </w:rPr>
        <w:t>, Editorial Temis, Bogotá, 2009.</w:t>
      </w:r>
    </w:p>
    <w:p w:rsidR="0099654D" w:rsidRPr="00387212" w:rsidRDefault="0099654D" w:rsidP="0099654D">
      <w:pPr>
        <w:spacing w:after="160" w:line="259" w:lineRule="auto"/>
        <w:jc w:val="both"/>
        <w:rPr>
          <w:rFonts w:ascii="Times New Roman" w:hAnsi="Times New Roman"/>
          <w:sz w:val="24"/>
          <w:szCs w:val="24"/>
        </w:rPr>
      </w:pPr>
      <w:r w:rsidRPr="00387212">
        <w:rPr>
          <w:rFonts w:ascii="Times New Roman" w:hAnsi="Times New Roman"/>
          <w:sz w:val="24"/>
          <w:szCs w:val="24"/>
        </w:rPr>
        <w:t xml:space="preserve">BASSIOUNI, Mahmoud Cherif, </w:t>
      </w:r>
      <w:r w:rsidRPr="00387212">
        <w:rPr>
          <w:rFonts w:ascii="Times New Roman" w:hAnsi="Times New Roman"/>
          <w:i/>
          <w:sz w:val="24"/>
          <w:szCs w:val="24"/>
        </w:rPr>
        <w:t>The Institutionalization of Torture by the Bush Administration. Is Anyone Responsible?</w:t>
      </w:r>
      <w:r w:rsidRPr="00387212">
        <w:rPr>
          <w:rFonts w:ascii="Times New Roman" w:hAnsi="Times New Roman"/>
          <w:sz w:val="24"/>
          <w:szCs w:val="24"/>
        </w:rPr>
        <w:t xml:space="preserve">  Intersenetia, Oxford, 2010.</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hAnsi="Times New Roman"/>
          <w:sz w:val="24"/>
          <w:szCs w:val="24"/>
        </w:rPr>
        <w:t xml:space="preserve">BOYS, James D., (2011) “What's so extraordinary about rendition?”, </w:t>
      </w:r>
      <w:r w:rsidRPr="00387212">
        <w:rPr>
          <w:rFonts w:ascii="Times New Roman" w:hAnsi="Times New Roman"/>
          <w:i/>
          <w:sz w:val="24"/>
          <w:szCs w:val="24"/>
        </w:rPr>
        <w:t>The International Journal of Human Rights</w:t>
      </w:r>
      <w:r w:rsidRPr="00387212">
        <w:rPr>
          <w:rFonts w:ascii="Times New Roman" w:hAnsi="Times New Roman"/>
          <w:sz w:val="24"/>
          <w:szCs w:val="24"/>
        </w:rPr>
        <w:t>, Vol. 15, n. 4, 2011, pp. 589–604.</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t xml:space="preserve">DEWHIRST, Polly y KAPURJ, Amrita, </w:t>
      </w:r>
      <w:r w:rsidRPr="00387212">
        <w:rPr>
          <w:rFonts w:ascii="Times New Roman" w:eastAsiaTheme="minorHAnsi" w:hAnsi="Times New Roman"/>
          <w:i/>
          <w:sz w:val="24"/>
          <w:szCs w:val="24"/>
        </w:rPr>
        <w:t>Las desaparecidas y las invisibles. Repercusiones de la desaparición forzada en las mujeres</w:t>
      </w:r>
      <w:r w:rsidRPr="00387212">
        <w:rPr>
          <w:rFonts w:ascii="Times New Roman" w:eastAsiaTheme="minorHAnsi" w:hAnsi="Times New Roman"/>
          <w:sz w:val="24"/>
          <w:szCs w:val="24"/>
        </w:rPr>
        <w:t>, Centro Internacional para la Justicia Transicional. Justicia de género, marzo de 2015.</w:t>
      </w:r>
    </w:p>
    <w:p w:rsidR="0099654D" w:rsidRPr="00387212" w:rsidRDefault="0099654D" w:rsidP="0099654D">
      <w:pPr>
        <w:spacing w:after="160" w:line="259" w:lineRule="auto"/>
        <w:jc w:val="both"/>
        <w:rPr>
          <w:rFonts w:ascii="Times New Roman" w:eastAsiaTheme="minorHAnsi" w:hAnsi="Times New Roman"/>
          <w:sz w:val="24"/>
          <w:szCs w:val="24"/>
          <w:lang w:val="es-ES_tradnl"/>
        </w:rPr>
      </w:pPr>
      <w:r w:rsidRPr="00387212">
        <w:rPr>
          <w:rFonts w:ascii="Times New Roman" w:eastAsiaTheme="minorHAnsi" w:hAnsi="Times New Roman"/>
          <w:sz w:val="24"/>
          <w:szCs w:val="24"/>
          <w:lang w:val="es-ES_tradnl"/>
        </w:rPr>
        <w:t xml:space="preserve">FERNÁNDEZ, Encarnación: “Nuevos retos para el Tribunal Europeo de Derechos Humanos: la jurisprudencia sobre desapariciones forzadas”, </w:t>
      </w:r>
      <w:r w:rsidRPr="00387212">
        <w:rPr>
          <w:rFonts w:ascii="Times New Roman" w:eastAsiaTheme="minorHAnsi" w:hAnsi="Times New Roman"/>
          <w:i/>
          <w:sz w:val="24"/>
          <w:szCs w:val="24"/>
          <w:lang w:val="es-ES_tradnl"/>
        </w:rPr>
        <w:t>Persona y Derecho</w:t>
      </w:r>
      <w:r w:rsidRPr="00387212">
        <w:rPr>
          <w:rFonts w:ascii="Times New Roman" w:eastAsiaTheme="minorHAnsi" w:hAnsi="Times New Roman"/>
          <w:sz w:val="24"/>
          <w:szCs w:val="24"/>
          <w:lang w:val="es-ES_tradnl"/>
        </w:rPr>
        <w:t>, n. 61, 2009, pp. 195-226.</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t xml:space="preserve">LÓPEZ GUERRA, Luis, “El derecho a la verdad: ¿la emergencia de un nuevo derecho en la jurisprudencia del Tribunal Europeo de Derechos Humanos?”, </w:t>
      </w:r>
      <w:r w:rsidRPr="00387212">
        <w:rPr>
          <w:rFonts w:ascii="Times New Roman" w:eastAsiaTheme="minorHAnsi" w:hAnsi="Times New Roman"/>
          <w:i/>
          <w:sz w:val="24"/>
          <w:szCs w:val="24"/>
        </w:rPr>
        <w:t>Anuario Iberoamericano de Justicia Constitucional</w:t>
      </w:r>
      <w:r w:rsidRPr="00387212">
        <w:rPr>
          <w:rFonts w:ascii="Times New Roman" w:eastAsiaTheme="minorHAnsi" w:hAnsi="Times New Roman"/>
          <w:sz w:val="24"/>
          <w:szCs w:val="24"/>
        </w:rPr>
        <w:t>, n. 22, pp. 11-30.</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t xml:space="preserve">LÓPEZ ULLA, Juan Manuel, </w:t>
      </w:r>
      <w:r w:rsidRPr="00387212">
        <w:rPr>
          <w:rFonts w:ascii="Times New Roman" w:eastAsiaTheme="minorHAnsi" w:hAnsi="Times New Roman"/>
          <w:i/>
          <w:sz w:val="24"/>
          <w:szCs w:val="24"/>
        </w:rPr>
        <w:t>Derecho a la verdad y desapariciones forzadas</w:t>
      </w:r>
      <w:r w:rsidRPr="00387212">
        <w:rPr>
          <w:rFonts w:ascii="Times New Roman" w:eastAsiaTheme="minorHAnsi" w:hAnsi="Times New Roman"/>
          <w:sz w:val="24"/>
          <w:szCs w:val="24"/>
        </w:rPr>
        <w:t>, Thomson Reuters &amp; Aranzadi, 2015.</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t xml:space="preserve">LÓPEZ ULLA, Juan Manuel, </w:t>
      </w:r>
      <w:r w:rsidRPr="00387212">
        <w:rPr>
          <w:rFonts w:ascii="Times New Roman" w:eastAsiaTheme="minorHAnsi" w:hAnsi="Times New Roman"/>
          <w:sz w:val="24"/>
          <w:szCs w:val="24"/>
          <w:lang w:val="es-ES_tradnl"/>
        </w:rPr>
        <w:t xml:space="preserve">“El «derecho a la verdad» en la jurisprudencia del Tribunal Europeo de Derechos Humanos”, </w:t>
      </w:r>
      <w:r w:rsidRPr="00387212">
        <w:rPr>
          <w:rFonts w:ascii="Times New Roman" w:eastAsiaTheme="minorHAnsi" w:hAnsi="Times New Roman"/>
          <w:i/>
          <w:sz w:val="24"/>
          <w:szCs w:val="24"/>
          <w:lang w:val="es-ES_tradnl"/>
        </w:rPr>
        <w:t>Persona y Derecho</w:t>
      </w:r>
      <w:r w:rsidRPr="00387212">
        <w:rPr>
          <w:rFonts w:ascii="Times New Roman" w:eastAsiaTheme="minorHAnsi" w:hAnsi="Times New Roman"/>
          <w:sz w:val="24"/>
          <w:szCs w:val="24"/>
          <w:lang w:val="es-ES_tradnl"/>
        </w:rPr>
        <w:t>, n. 69, 2013, pp. 127-164.</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t xml:space="preserve">LÓPEZ ULLA, Juan Manuel, “La verdad sobre las «entregas extraordinarias». Caso El-Masri contra la República de Macedonia (Tribunal Europeo de Derechos Humanos)”, en la obra colectiva coordinada por Miguel Revenga Sánchez y Cristina García Pascual con el título </w:t>
      </w:r>
      <w:r w:rsidRPr="00387212">
        <w:rPr>
          <w:rFonts w:ascii="Times New Roman" w:eastAsiaTheme="minorHAnsi" w:hAnsi="Times New Roman"/>
          <w:i/>
          <w:sz w:val="24"/>
          <w:szCs w:val="24"/>
        </w:rPr>
        <w:t>Decisiones básicas en materia de violaciones de derechos humanos</w:t>
      </w:r>
      <w:r w:rsidRPr="00387212">
        <w:rPr>
          <w:rFonts w:ascii="Times New Roman" w:eastAsiaTheme="minorHAnsi" w:hAnsi="Times New Roman"/>
          <w:sz w:val="24"/>
          <w:szCs w:val="24"/>
        </w:rPr>
        <w:t>, Centro de Estudios Políticos y Constitucionales &amp; Boletín Oficial del Estado, Madrid, 2015.</w:t>
      </w:r>
    </w:p>
    <w:p w:rsidR="0099654D" w:rsidRPr="00387212" w:rsidRDefault="0099654D" w:rsidP="0099654D">
      <w:pPr>
        <w:spacing w:after="160" w:line="259" w:lineRule="auto"/>
        <w:jc w:val="both"/>
        <w:rPr>
          <w:rFonts w:ascii="Times New Roman" w:hAnsi="Times New Roman"/>
          <w:sz w:val="24"/>
          <w:szCs w:val="24"/>
          <w:lang w:val="en-US"/>
        </w:rPr>
      </w:pPr>
      <w:r w:rsidRPr="00387212">
        <w:rPr>
          <w:rFonts w:ascii="Times New Roman" w:hAnsi="Times New Roman"/>
          <w:sz w:val="24"/>
          <w:szCs w:val="24"/>
          <w:lang w:val="en-US"/>
        </w:rPr>
        <w:t xml:space="preserve">MACKLIN, Audrey, “From Cooperation, to Complicity, to Compensation: The War on Terror, Extraordinary Rendition, and the Cost of Torture”, </w:t>
      </w:r>
      <w:r w:rsidRPr="00387212">
        <w:rPr>
          <w:rFonts w:ascii="Times New Roman" w:hAnsi="Times New Roman"/>
          <w:i/>
          <w:sz w:val="24"/>
          <w:szCs w:val="24"/>
          <w:lang w:val="en-US"/>
        </w:rPr>
        <w:t>European Journal of Migration and Law</w:t>
      </w:r>
      <w:r w:rsidRPr="00387212">
        <w:rPr>
          <w:rFonts w:ascii="Times New Roman" w:hAnsi="Times New Roman"/>
          <w:sz w:val="24"/>
          <w:szCs w:val="24"/>
          <w:lang w:val="en-US"/>
        </w:rPr>
        <w:t>, n. 10, 2008, pp. 11-30.</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eastAsiaTheme="minorHAnsi" w:hAnsi="Times New Roman"/>
          <w:sz w:val="24"/>
          <w:szCs w:val="24"/>
        </w:rPr>
        <w:lastRenderedPageBreak/>
        <w:t xml:space="preserve">MCCRORY, S., "The International Convention for the Protection of all Persons from Enforced Disappearance", </w:t>
      </w:r>
      <w:r w:rsidRPr="00387212">
        <w:rPr>
          <w:rFonts w:ascii="Times New Roman" w:eastAsiaTheme="minorHAnsi" w:hAnsi="Times New Roman"/>
          <w:i/>
          <w:sz w:val="24"/>
          <w:szCs w:val="24"/>
        </w:rPr>
        <w:t>Human Rights Law Review</w:t>
      </w:r>
      <w:r w:rsidRPr="00387212">
        <w:rPr>
          <w:rFonts w:ascii="Times New Roman" w:eastAsiaTheme="minorHAnsi" w:hAnsi="Times New Roman"/>
          <w:sz w:val="24"/>
          <w:szCs w:val="24"/>
        </w:rPr>
        <w:t>, n. 7, 2007, p. 545.</w:t>
      </w:r>
    </w:p>
    <w:p w:rsidR="0099654D" w:rsidRPr="00387212" w:rsidRDefault="0099654D" w:rsidP="0099654D">
      <w:pPr>
        <w:spacing w:after="160" w:line="259" w:lineRule="auto"/>
        <w:jc w:val="both"/>
        <w:rPr>
          <w:rFonts w:ascii="Times New Roman" w:hAnsi="Times New Roman"/>
          <w:sz w:val="24"/>
          <w:szCs w:val="24"/>
          <w:lang w:val="es-ES_tradnl"/>
        </w:rPr>
      </w:pPr>
      <w:r w:rsidRPr="00387212">
        <w:rPr>
          <w:rFonts w:ascii="Times New Roman" w:hAnsi="Times New Roman"/>
          <w:sz w:val="24"/>
          <w:szCs w:val="24"/>
          <w:lang w:val="es-ES_tradnl"/>
        </w:rPr>
        <w:t xml:space="preserve">MÉNDEZ, Juan E., “Derecho a la verdad frente a las graves violaciones de los derechos humanos”, en ABREGUN, M., y COURTIS, C. (Comp.), </w:t>
      </w:r>
      <w:r w:rsidRPr="00387212">
        <w:rPr>
          <w:rFonts w:ascii="Times New Roman" w:hAnsi="Times New Roman"/>
          <w:i/>
          <w:sz w:val="24"/>
          <w:szCs w:val="24"/>
          <w:lang w:val="es-ES_tradnl"/>
        </w:rPr>
        <w:t>La aplicación de los tratados sobre derechos humanos por los tribunales locales</w:t>
      </w:r>
      <w:r w:rsidRPr="00387212">
        <w:rPr>
          <w:rFonts w:ascii="Times New Roman" w:hAnsi="Times New Roman"/>
          <w:sz w:val="24"/>
          <w:szCs w:val="24"/>
          <w:lang w:val="es-ES_tradnl"/>
        </w:rPr>
        <w:t xml:space="preserve">, Editores del Puerto-CELS, Buenos Aires, 2004. </w:t>
      </w:r>
    </w:p>
    <w:p w:rsidR="0099654D" w:rsidRPr="00387212" w:rsidRDefault="0099654D" w:rsidP="0099654D">
      <w:pPr>
        <w:spacing w:after="160" w:line="259" w:lineRule="auto"/>
        <w:jc w:val="both"/>
        <w:rPr>
          <w:rFonts w:ascii="Times New Roman" w:hAnsi="Times New Roman"/>
          <w:sz w:val="24"/>
          <w:szCs w:val="24"/>
          <w:lang w:val="en-GB"/>
        </w:rPr>
      </w:pPr>
      <w:r w:rsidRPr="00387212">
        <w:rPr>
          <w:rFonts w:ascii="Times New Roman" w:hAnsi="Times New Roman"/>
          <w:sz w:val="24"/>
          <w:szCs w:val="24"/>
          <w:lang w:val="en-GB"/>
        </w:rPr>
        <w:t xml:space="preserve">MÉNDEZ, Juan E., ‘‘The Right to Truth’’, en JOYNER, Christopher C. (ed.), </w:t>
      </w:r>
      <w:r w:rsidRPr="00387212">
        <w:rPr>
          <w:rFonts w:ascii="Times New Roman" w:hAnsi="Times New Roman"/>
          <w:i/>
          <w:sz w:val="24"/>
          <w:szCs w:val="24"/>
          <w:lang w:val="en-GB"/>
        </w:rPr>
        <w:t>Reining in Impunity for International Crimes and Serious Violations of Fundamental Human Rights: Proceedings of the Siracusa Conference</w:t>
      </w:r>
      <w:r w:rsidRPr="00387212">
        <w:rPr>
          <w:rFonts w:ascii="Times New Roman" w:hAnsi="Times New Roman"/>
          <w:sz w:val="24"/>
          <w:szCs w:val="24"/>
          <w:lang w:val="en-GB"/>
        </w:rPr>
        <w:t>, Ramonville, Eres, 17–21 de Septiembre, 1998, 255–78.</w:t>
      </w:r>
    </w:p>
    <w:p w:rsidR="0099654D" w:rsidRPr="00387212" w:rsidRDefault="0099654D" w:rsidP="0099654D">
      <w:pPr>
        <w:spacing w:after="160" w:line="259" w:lineRule="auto"/>
        <w:jc w:val="both"/>
        <w:rPr>
          <w:rFonts w:ascii="Times New Roman" w:hAnsi="Times New Roman"/>
          <w:sz w:val="24"/>
          <w:szCs w:val="24"/>
          <w:lang w:val="en-US"/>
        </w:rPr>
      </w:pPr>
      <w:r w:rsidRPr="00387212">
        <w:rPr>
          <w:rFonts w:ascii="Times New Roman" w:hAnsi="Times New Roman"/>
          <w:sz w:val="24"/>
          <w:szCs w:val="24"/>
          <w:lang w:val="en-US"/>
        </w:rPr>
        <w:t xml:space="preserve">MURRAY, Mark J., “Extraordinary Rendition and U.S. Counterterrorism Policy”, </w:t>
      </w:r>
      <w:r w:rsidRPr="00387212">
        <w:rPr>
          <w:rFonts w:ascii="Times New Roman" w:hAnsi="Times New Roman"/>
          <w:i/>
          <w:sz w:val="24"/>
          <w:szCs w:val="24"/>
          <w:lang w:val="en-US"/>
        </w:rPr>
        <w:t>Journal of Strategic Securtiy</w:t>
      </w:r>
      <w:r w:rsidRPr="00387212">
        <w:rPr>
          <w:rFonts w:ascii="Times New Roman" w:hAnsi="Times New Roman"/>
          <w:sz w:val="24"/>
          <w:szCs w:val="24"/>
          <w:lang w:val="en-US"/>
        </w:rPr>
        <w:t>, vol. 4, n. 3, 2011, pp. 15-28.</w:t>
      </w:r>
    </w:p>
    <w:p w:rsidR="0099654D" w:rsidRPr="00387212" w:rsidRDefault="0099654D" w:rsidP="0099654D">
      <w:pPr>
        <w:spacing w:after="160" w:line="259" w:lineRule="auto"/>
        <w:jc w:val="both"/>
        <w:rPr>
          <w:rFonts w:ascii="Times New Roman" w:eastAsia="Times New Roman" w:hAnsi="Times New Roman"/>
          <w:sz w:val="24"/>
          <w:szCs w:val="24"/>
          <w:lang w:val="en-GB"/>
        </w:rPr>
      </w:pPr>
      <w:r w:rsidRPr="00387212">
        <w:rPr>
          <w:rFonts w:ascii="Times New Roman" w:hAnsi="Times New Roman"/>
          <w:sz w:val="24"/>
          <w:szCs w:val="24"/>
          <w:lang w:val="es-ES_tradnl"/>
        </w:rPr>
        <w:t>N</w:t>
      </w:r>
      <w:r w:rsidRPr="00387212">
        <w:rPr>
          <w:rFonts w:ascii="Times New Roman" w:eastAsia="Times New Roman" w:hAnsi="Times New Roman"/>
          <w:sz w:val="24"/>
          <w:szCs w:val="24"/>
          <w:lang w:val="en-GB"/>
        </w:rPr>
        <w:t xml:space="preserve">APOLETANO, N., “Extraordinary renditions, tortura, sparizioni forzate e «diritto alla verità»: alcune riflessioni sul caso El-Masri”, </w:t>
      </w:r>
      <w:r w:rsidRPr="00387212">
        <w:rPr>
          <w:rFonts w:ascii="Times New Roman" w:eastAsia="Times New Roman" w:hAnsi="Times New Roman"/>
          <w:i/>
          <w:sz w:val="24"/>
          <w:szCs w:val="24"/>
          <w:lang w:val="en-GB"/>
        </w:rPr>
        <w:t>Diritti umani e diritto internazionale</w:t>
      </w:r>
      <w:r w:rsidRPr="00387212">
        <w:rPr>
          <w:rFonts w:ascii="Times New Roman" w:eastAsia="Times New Roman" w:hAnsi="Times New Roman"/>
          <w:sz w:val="24"/>
          <w:szCs w:val="24"/>
          <w:lang w:val="en-GB"/>
        </w:rPr>
        <w:t>, vol. 7, n. 2, 2013, pp. 331-364.</w:t>
      </w:r>
    </w:p>
    <w:p w:rsidR="0099654D" w:rsidRPr="00387212" w:rsidRDefault="0099654D" w:rsidP="0099654D">
      <w:pPr>
        <w:autoSpaceDE w:val="0"/>
        <w:autoSpaceDN w:val="0"/>
        <w:adjustRightInd w:val="0"/>
        <w:snapToGrid w:val="0"/>
        <w:spacing w:after="0" w:line="240" w:lineRule="auto"/>
        <w:jc w:val="both"/>
        <w:rPr>
          <w:rFonts w:ascii="Times New Roman" w:eastAsia="Times New Roman" w:hAnsi="Times New Roman"/>
          <w:sz w:val="24"/>
          <w:szCs w:val="24"/>
          <w:lang w:val="es-ES_tradnl"/>
        </w:rPr>
      </w:pPr>
      <w:r w:rsidRPr="00387212">
        <w:rPr>
          <w:rFonts w:ascii="Times New Roman" w:eastAsia="Times New Roman" w:hAnsi="Times New Roman"/>
          <w:sz w:val="24"/>
          <w:szCs w:val="24"/>
          <w:lang w:val="en-GB"/>
        </w:rPr>
        <w:t xml:space="preserve">NAQVI, Yasmin, “The right to the truth in international law: fact or fiction?” </w:t>
      </w:r>
      <w:r w:rsidRPr="00387212">
        <w:rPr>
          <w:rFonts w:ascii="Times New Roman" w:eastAsia="Times New Roman" w:hAnsi="Times New Roman"/>
          <w:i/>
          <w:sz w:val="24"/>
          <w:szCs w:val="24"/>
          <w:lang w:val="es-ES_tradnl"/>
        </w:rPr>
        <w:t>International Review of the Red Cross</w:t>
      </w:r>
      <w:r w:rsidRPr="00387212">
        <w:rPr>
          <w:rFonts w:ascii="Times New Roman" w:eastAsia="Times New Roman" w:hAnsi="Times New Roman"/>
          <w:sz w:val="24"/>
          <w:szCs w:val="24"/>
          <w:lang w:val="es-ES_tradnl"/>
        </w:rPr>
        <w:t>, vol. 88, n. 862, June 2006, pp 245 – 273 (publicado también en español).</w:t>
      </w:r>
    </w:p>
    <w:p w:rsidR="0099654D" w:rsidRPr="00387212" w:rsidRDefault="0099654D" w:rsidP="0099654D">
      <w:pPr>
        <w:autoSpaceDE w:val="0"/>
        <w:autoSpaceDN w:val="0"/>
        <w:adjustRightInd w:val="0"/>
        <w:snapToGrid w:val="0"/>
        <w:spacing w:after="0" w:line="240" w:lineRule="auto"/>
        <w:ind w:left="720"/>
        <w:jc w:val="both"/>
        <w:rPr>
          <w:rFonts w:ascii="Times New Roman" w:eastAsia="Times New Roman" w:hAnsi="Times New Roman"/>
          <w:sz w:val="24"/>
          <w:szCs w:val="24"/>
          <w:lang w:val="es-ES_tradnl"/>
        </w:rPr>
      </w:pPr>
    </w:p>
    <w:p w:rsidR="0099654D" w:rsidRPr="00387212" w:rsidRDefault="0099654D" w:rsidP="0099654D">
      <w:pPr>
        <w:spacing w:after="160" w:line="259" w:lineRule="auto"/>
        <w:jc w:val="both"/>
        <w:rPr>
          <w:rFonts w:ascii="Times New Roman" w:hAnsi="Times New Roman"/>
          <w:sz w:val="24"/>
          <w:szCs w:val="24"/>
        </w:rPr>
      </w:pPr>
      <w:r w:rsidRPr="00387212">
        <w:rPr>
          <w:rFonts w:ascii="Times New Roman" w:hAnsi="Times New Roman"/>
          <w:sz w:val="24"/>
          <w:szCs w:val="24"/>
        </w:rPr>
        <w:t xml:space="preserve">QUIÑONES ANDRADE, Rocío Guadalupe, “Impacto de las sentencias de la Corte Interamericana de Derechos Humanos sobre violencia contra la mujer en México”, </w:t>
      </w:r>
      <w:r w:rsidRPr="00387212">
        <w:rPr>
          <w:rFonts w:ascii="Times New Roman" w:hAnsi="Times New Roman"/>
          <w:i/>
          <w:sz w:val="24"/>
          <w:szCs w:val="24"/>
        </w:rPr>
        <w:t>Combatiendo la violencia contra la mujer: experiencias europeas y americanas</w:t>
      </w:r>
      <w:r w:rsidRPr="00387212">
        <w:rPr>
          <w:rFonts w:ascii="Times New Roman" w:hAnsi="Times New Roman"/>
          <w:sz w:val="24"/>
          <w:szCs w:val="24"/>
        </w:rPr>
        <w:t>, Aranzadi &amp; Thomson Reuters, Pamplona, 2020.</w:t>
      </w:r>
    </w:p>
    <w:p w:rsidR="0099654D" w:rsidRPr="00387212" w:rsidRDefault="0099654D" w:rsidP="0099654D">
      <w:pPr>
        <w:spacing w:after="160" w:line="259" w:lineRule="auto"/>
        <w:jc w:val="both"/>
        <w:rPr>
          <w:rFonts w:ascii="Times New Roman" w:eastAsiaTheme="minorHAnsi" w:hAnsi="Times New Roman"/>
          <w:sz w:val="24"/>
          <w:szCs w:val="24"/>
        </w:rPr>
      </w:pPr>
      <w:r w:rsidRPr="00387212">
        <w:rPr>
          <w:rFonts w:ascii="Times New Roman" w:hAnsi="Times New Roman"/>
          <w:sz w:val="24"/>
          <w:szCs w:val="24"/>
        </w:rPr>
        <w:t xml:space="preserve">SADAT, Leila Nadya, “Extraordinary Rendition and the Rule of Law”, </w:t>
      </w:r>
      <w:r w:rsidRPr="00387212">
        <w:rPr>
          <w:rFonts w:ascii="Times New Roman" w:hAnsi="Times New Roman"/>
          <w:i/>
          <w:sz w:val="24"/>
          <w:szCs w:val="24"/>
        </w:rPr>
        <w:t xml:space="preserve">George </w:t>
      </w:r>
      <w:r w:rsidRPr="00387212">
        <w:rPr>
          <w:rFonts w:ascii="Times New Roman" w:hAnsi="Times New Roman"/>
          <w:i/>
          <w:sz w:val="24"/>
          <w:szCs w:val="24"/>
          <w:lang w:val="en-US"/>
        </w:rPr>
        <w:t>Washington Law Review</w:t>
      </w:r>
      <w:r w:rsidRPr="00387212">
        <w:rPr>
          <w:rFonts w:ascii="Times New Roman" w:hAnsi="Times New Roman"/>
          <w:sz w:val="24"/>
          <w:szCs w:val="24"/>
          <w:lang w:val="en-US"/>
        </w:rPr>
        <w:t>, n. 75, 2007, pp. 1340-1342.</w:t>
      </w:r>
    </w:p>
    <w:p w:rsidR="0099654D" w:rsidRPr="00387212" w:rsidRDefault="0099654D" w:rsidP="0099654D">
      <w:pPr>
        <w:spacing w:after="160" w:line="259" w:lineRule="auto"/>
        <w:jc w:val="both"/>
        <w:rPr>
          <w:rFonts w:ascii="Times New Roman" w:hAnsi="Times New Roman"/>
          <w:sz w:val="24"/>
          <w:szCs w:val="24"/>
          <w:lang w:val="en-US"/>
        </w:rPr>
      </w:pPr>
      <w:r w:rsidRPr="00387212">
        <w:rPr>
          <w:rFonts w:ascii="Times New Roman" w:hAnsi="Times New Roman"/>
          <w:sz w:val="24"/>
          <w:szCs w:val="24"/>
          <w:lang w:val="en-US"/>
        </w:rPr>
        <w:t xml:space="preserve">SEPPER, Elizabeth, “The Ties that Bind: How the Constitution Limits the CIA’s Actions in the War on Terror”, </w:t>
      </w:r>
      <w:r w:rsidRPr="00387212">
        <w:rPr>
          <w:rFonts w:ascii="Times New Roman" w:hAnsi="Times New Roman"/>
          <w:i/>
          <w:sz w:val="24"/>
          <w:szCs w:val="24"/>
          <w:lang w:val="en-US"/>
        </w:rPr>
        <w:t>New York University Law Review</w:t>
      </w:r>
      <w:r w:rsidRPr="00387212">
        <w:rPr>
          <w:rFonts w:ascii="Times New Roman" w:hAnsi="Times New Roman"/>
          <w:sz w:val="24"/>
          <w:szCs w:val="24"/>
          <w:lang w:val="en-US"/>
        </w:rPr>
        <w:t xml:space="preserve">, n. 81, 2006, pp. 1805-1843. </w:t>
      </w:r>
    </w:p>
    <w:p w:rsidR="0099654D" w:rsidRPr="00387212" w:rsidRDefault="0099654D" w:rsidP="0099654D">
      <w:pPr>
        <w:autoSpaceDE w:val="0"/>
        <w:autoSpaceDN w:val="0"/>
        <w:adjustRightInd w:val="0"/>
        <w:snapToGrid w:val="0"/>
        <w:spacing w:after="0" w:line="240" w:lineRule="auto"/>
        <w:jc w:val="both"/>
        <w:rPr>
          <w:rFonts w:ascii="Times New Roman" w:eastAsia="Times New Roman" w:hAnsi="Times New Roman"/>
          <w:sz w:val="24"/>
          <w:szCs w:val="24"/>
          <w:lang w:val="es-ES_tradnl"/>
        </w:rPr>
      </w:pPr>
      <w:r w:rsidRPr="00387212">
        <w:rPr>
          <w:rFonts w:ascii="Times New Roman" w:eastAsia="Times New Roman" w:hAnsi="Times New Roman"/>
          <w:iCs/>
          <w:sz w:val="24"/>
          <w:szCs w:val="24"/>
          <w:lang w:val="es-ES_tradnl"/>
        </w:rPr>
        <w:t xml:space="preserve">TORREBLANCA GONZALES, Luis Giancarlo, “El derecho a la verdad en el ámbito Iberoamericano”, </w:t>
      </w:r>
      <w:r w:rsidRPr="00387212">
        <w:rPr>
          <w:rFonts w:ascii="Times New Roman" w:eastAsia="Times New Roman" w:hAnsi="Times New Roman"/>
          <w:i/>
          <w:iCs/>
          <w:sz w:val="24"/>
          <w:szCs w:val="24"/>
          <w:lang w:val="es-ES_tradnl"/>
        </w:rPr>
        <w:t>Ius Humani. Revista de Derecho</w:t>
      </w:r>
      <w:r w:rsidRPr="00387212">
        <w:rPr>
          <w:rFonts w:ascii="Times New Roman" w:eastAsia="Times New Roman" w:hAnsi="Times New Roman"/>
          <w:iCs/>
          <w:sz w:val="24"/>
          <w:szCs w:val="24"/>
          <w:lang w:val="es-ES_tradnl"/>
        </w:rPr>
        <w:t>, v</w:t>
      </w:r>
      <w:r w:rsidRPr="00387212">
        <w:rPr>
          <w:rFonts w:ascii="Times New Roman" w:eastAsia="Times New Roman" w:hAnsi="Times New Roman"/>
          <w:sz w:val="24"/>
          <w:szCs w:val="24"/>
          <w:lang w:val="es-ES_tradnl"/>
        </w:rPr>
        <w:t xml:space="preserve">ol. 3 (2012/2013), pp. 9-35. </w:t>
      </w:r>
    </w:p>
    <w:p w:rsidR="0099654D" w:rsidRPr="00387212" w:rsidRDefault="0099654D" w:rsidP="0099654D">
      <w:pPr>
        <w:autoSpaceDE w:val="0"/>
        <w:autoSpaceDN w:val="0"/>
        <w:adjustRightInd w:val="0"/>
        <w:snapToGrid w:val="0"/>
        <w:spacing w:after="0" w:line="240" w:lineRule="auto"/>
        <w:jc w:val="both"/>
        <w:rPr>
          <w:rFonts w:ascii="Times New Roman" w:eastAsia="Times New Roman" w:hAnsi="Times New Roman"/>
          <w:sz w:val="24"/>
          <w:szCs w:val="24"/>
          <w:lang w:val="es-ES_tradnl"/>
        </w:rPr>
      </w:pPr>
    </w:p>
    <w:p w:rsidR="0099654D" w:rsidRPr="00387212" w:rsidRDefault="0099654D" w:rsidP="0099654D">
      <w:pPr>
        <w:autoSpaceDE w:val="0"/>
        <w:autoSpaceDN w:val="0"/>
        <w:adjustRightInd w:val="0"/>
        <w:snapToGrid w:val="0"/>
        <w:spacing w:after="0" w:line="240" w:lineRule="auto"/>
        <w:jc w:val="both"/>
        <w:rPr>
          <w:rFonts w:ascii="Times New Roman" w:hAnsi="Times New Roman"/>
          <w:sz w:val="24"/>
          <w:szCs w:val="24"/>
          <w:lang w:val="en-US"/>
        </w:rPr>
      </w:pPr>
      <w:r w:rsidRPr="00387212">
        <w:rPr>
          <w:rFonts w:ascii="Times New Roman" w:hAnsi="Times New Roman"/>
          <w:sz w:val="24"/>
          <w:szCs w:val="24"/>
          <w:lang w:val="en-US"/>
        </w:rPr>
        <w:t>ÚBEDA DE TORRES, Amaya, “La desaparición forzada en el sistema interamericano. El caso Gelman c. Uruguay”, trabajo inédito que se corresponde con una conferencia pronunciada en el Consejo General del Poder Judicial,  el 7 de marzo de 2019.</w:t>
      </w:r>
    </w:p>
    <w:p w:rsidR="0099654D" w:rsidRPr="00387212" w:rsidRDefault="0099654D" w:rsidP="0099654D">
      <w:pPr>
        <w:autoSpaceDE w:val="0"/>
        <w:autoSpaceDN w:val="0"/>
        <w:adjustRightInd w:val="0"/>
        <w:snapToGrid w:val="0"/>
        <w:spacing w:after="0" w:line="240" w:lineRule="auto"/>
        <w:jc w:val="both"/>
        <w:rPr>
          <w:rFonts w:ascii="Times New Roman" w:hAnsi="Times New Roman"/>
          <w:sz w:val="24"/>
          <w:szCs w:val="24"/>
          <w:lang w:val="en-US"/>
        </w:rPr>
      </w:pPr>
    </w:p>
    <w:p w:rsidR="0042535B" w:rsidRDefault="0042535B"/>
    <w:sectPr w:rsidR="004253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7C8" w:rsidRDefault="00E957C8" w:rsidP="0099654D">
      <w:pPr>
        <w:spacing w:after="0" w:line="240" w:lineRule="auto"/>
      </w:pPr>
      <w:r>
        <w:separator/>
      </w:r>
    </w:p>
  </w:endnote>
  <w:endnote w:type="continuationSeparator" w:id="0">
    <w:p w:rsidR="00E957C8" w:rsidRDefault="00E957C8" w:rsidP="00996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7C8" w:rsidRDefault="00E957C8" w:rsidP="0099654D">
      <w:pPr>
        <w:spacing w:after="0" w:line="240" w:lineRule="auto"/>
      </w:pPr>
      <w:r>
        <w:separator/>
      </w:r>
    </w:p>
  </w:footnote>
  <w:footnote w:type="continuationSeparator" w:id="0">
    <w:p w:rsidR="00E957C8" w:rsidRDefault="00E957C8" w:rsidP="0099654D">
      <w:pPr>
        <w:spacing w:after="0" w:line="240" w:lineRule="auto"/>
      </w:pPr>
      <w:r>
        <w:continuationSeparator/>
      </w:r>
    </w:p>
  </w:footnote>
  <w:footnote w:id="1">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sym w:font="Symbol" w:char="F02A"/>
      </w:r>
      <w:r w:rsidRPr="00146807">
        <w:rPr>
          <w:rFonts w:ascii="Times New Roman" w:hAnsi="Times New Roman"/>
        </w:rPr>
        <w:t xml:space="preserve"> Profesor Titular de Derecho Constitucional </w:t>
      </w:r>
      <w:r>
        <w:rPr>
          <w:rFonts w:ascii="Times New Roman" w:hAnsi="Times New Roman"/>
        </w:rPr>
        <w:t xml:space="preserve">de la Universidad de Cádiz </w:t>
      </w:r>
      <w:r w:rsidRPr="00146807">
        <w:rPr>
          <w:rFonts w:ascii="Times New Roman" w:hAnsi="Times New Roman"/>
        </w:rPr>
        <w:t>(</w:t>
      </w:r>
      <w:hyperlink r:id="rId1" w:history="1">
        <w:r w:rsidRPr="0036662B">
          <w:rPr>
            <w:rStyle w:val="Hipervnculo"/>
            <w:rFonts w:ascii="Times New Roman" w:hAnsi="Times New Roman"/>
          </w:rPr>
          <w:t>juanmanuel.ulla@uca.es</w:t>
        </w:r>
      </w:hyperlink>
      <w:r w:rsidRPr="00146807">
        <w:rPr>
          <w:rFonts w:ascii="Times New Roman" w:hAnsi="Times New Roman"/>
        </w:rPr>
        <w:t>)</w:t>
      </w:r>
      <w:r>
        <w:rPr>
          <w:rFonts w:ascii="Times New Roman" w:hAnsi="Times New Roman"/>
        </w:rPr>
        <w:t>.</w:t>
      </w:r>
    </w:p>
  </w:footnote>
  <w:footnote w:id="2">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Tomamos este dato del voto concurrente del juez Eduardo Ferrer Mac-Gregor</w:t>
      </w:r>
      <w:r>
        <w:rPr>
          <w:rFonts w:ascii="Times New Roman" w:hAnsi="Times New Roman"/>
        </w:rPr>
        <w:t xml:space="preserve"> Poisot</w:t>
      </w:r>
      <w:r w:rsidRPr="00146807">
        <w:rPr>
          <w:rFonts w:ascii="Times New Roman" w:hAnsi="Times New Roman"/>
        </w:rPr>
        <w:t xml:space="preserve"> en el </w:t>
      </w:r>
      <w:r w:rsidRPr="00146807">
        <w:rPr>
          <w:rFonts w:ascii="Times New Roman" w:hAnsi="Times New Roman"/>
          <w:i/>
          <w:iCs/>
          <w:spacing w:val="-4"/>
          <w:lang w:val="es-PR"/>
        </w:rPr>
        <w:t>Caso Rodríguez Vera y otros (Desaparecidos del Palacio de Justicia) Vs. Colombia</w:t>
      </w:r>
      <w:r w:rsidRPr="00146807">
        <w:rPr>
          <w:rFonts w:ascii="Times New Roman" w:hAnsi="Times New Roman"/>
          <w:i/>
        </w:rPr>
        <w:t>. Excepciones Preliminares, Fondo, Reparaciones y Costas</w:t>
      </w:r>
      <w:r w:rsidRPr="00146807">
        <w:rPr>
          <w:rFonts w:ascii="Times New Roman" w:hAnsi="Times New Roman"/>
        </w:rPr>
        <w:t>.</w:t>
      </w:r>
      <w:r w:rsidRPr="00146807">
        <w:rPr>
          <w:rFonts w:ascii="Times New Roman" w:hAnsi="Times New Roman"/>
          <w:iCs/>
          <w:spacing w:val="-4"/>
          <w:lang w:val="es-PR"/>
        </w:rPr>
        <w:t xml:space="preserve"> Sentencia de 14 de noviembre de 2014. Serie C. </w:t>
      </w:r>
      <w:r>
        <w:rPr>
          <w:rFonts w:ascii="Times New Roman" w:hAnsi="Times New Roman"/>
          <w:iCs/>
          <w:spacing w:val="-4"/>
          <w:lang w:val="es-PR"/>
        </w:rPr>
        <w:t>No.</w:t>
      </w:r>
      <w:r w:rsidRPr="00146807">
        <w:rPr>
          <w:rFonts w:ascii="Times New Roman" w:hAnsi="Times New Roman"/>
          <w:iCs/>
          <w:spacing w:val="-4"/>
          <w:lang w:val="es-PR"/>
        </w:rPr>
        <w:t xml:space="preserve"> 287</w:t>
      </w:r>
      <w:r w:rsidRPr="00146807">
        <w:rPr>
          <w:rFonts w:ascii="Times New Roman" w:hAnsi="Times New Roman"/>
        </w:rPr>
        <w:t>, parágrafo 1, donde se relacionan las Sentencias dictadas.</w:t>
      </w:r>
    </w:p>
  </w:footnote>
  <w:footnote w:id="3">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lang w:val="es-ES_tradnl"/>
        </w:rPr>
        <w:t xml:space="preserve">  Por ejemplo, en los conflictos de Chipre, los Balcanes y el norte y el sur del Caucaso hubo más de 20.000 desaparecidos [así lo reconoce la Resolución 1956 (2013), debatida por la Asamblea Parlamentaria del Consejo de Europa el 3 de octubre de 2013 (35th Sitting), Final version: “Missing persons from Europe’s conflicts: the long road to finding humanitarian answers” (véase Doc. 13294, informe del Comité de Migración, Refugiados y Personas Desplazadas. Relator, Mr. Sheridan)]. </w:t>
      </w:r>
    </w:p>
  </w:footnote>
  <w:footnote w:id="4">
    <w:p w:rsidR="0099654D" w:rsidRPr="00146807" w:rsidRDefault="0099654D" w:rsidP="0099654D">
      <w:pPr>
        <w:pStyle w:val="Textonotapie"/>
        <w:jc w:val="both"/>
        <w:rPr>
          <w:rFonts w:ascii="Times New Roman" w:hAnsi="Times New Roman"/>
          <w:lang w:val="es-ES_tradnl"/>
        </w:rPr>
      </w:pPr>
      <w:r w:rsidRPr="00146807">
        <w:rPr>
          <w:rStyle w:val="Refdenotaalpie"/>
          <w:rFonts w:ascii="Times New Roman" w:hAnsi="Times New Roman"/>
        </w:rPr>
        <w:footnoteRef/>
      </w:r>
      <w:r w:rsidRPr="00146807">
        <w:rPr>
          <w:rFonts w:ascii="Times New Roman" w:hAnsi="Times New Roman"/>
          <w:lang w:val="es-ES_tradnl"/>
        </w:rPr>
        <w:t xml:space="preserve"> Al respecto, FERNÁNDEZ, Encarnación: “Nuevos retos para el Tribunal Europeo de Derechos Humanos: la jurisprudencia sobre desapariciones forzadas”, </w:t>
      </w:r>
      <w:r w:rsidRPr="00146807">
        <w:rPr>
          <w:rFonts w:ascii="Times New Roman" w:hAnsi="Times New Roman"/>
          <w:i/>
          <w:lang w:val="es-ES_tradnl"/>
        </w:rPr>
        <w:t>Persona y Derecho</w:t>
      </w:r>
      <w:r w:rsidRPr="00146807">
        <w:rPr>
          <w:rFonts w:ascii="Times New Roman" w:hAnsi="Times New Roman"/>
          <w:lang w:val="es-ES_tradnl"/>
        </w:rPr>
        <w:t>, n. 61, 2009, pp. 195-226.</w:t>
      </w:r>
    </w:p>
  </w:footnote>
  <w:footnote w:id="5">
    <w:p w:rsidR="0099654D" w:rsidRPr="00146807" w:rsidRDefault="0099654D" w:rsidP="0099654D">
      <w:pPr>
        <w:spacing w:after="0" w:line="240" w:lineRule="auto"/>
        <w:jc w:val="both"/>
        <w:rPr>
          <w:rFonts w:ascii="Times New Roman" w:hAnsi="Times New Roman"/>
          <w:sz w:val="20"/>
          <w:szCs w:val="20"/>
          <w:lang w:val="es-ES_tradnl"/>
        </w:rPr>
      </w:pPr>
      <w:r w:rsidRPr="00146807">
        <w:rPr>
          <w:rStyle w:val="Refdenotaalpie"/>
          <w:rFonts w:ascii="Times New Roman" w:hAnsi="Times New Roman"/>
          <w:sz w:val="20"/>
          <w:szCs w:val="20"/>
        </w:rPr>
        <w:footnoteRef/>
      </w:r>
      <w:r w:rsidRPr="00146807">
        <w:rPr>
          <w:rFonts w:ascii="Times New Roman" w:hAnsi="Times New Roman"/>
          <w:sz w:val="20"/>
          <w:szCs w:val="20"/>
          <w:lang w:val="es-ES_tradnl"/>
        </w:rPr>
        <w:t xml:space="preserve"> </w:t>
      </w:r>
      <w:r w:rsidRPr="00146807">
        <w:rPr>
          <w:rFonts w:ascii="Times New Roman" w:hAnsi="Times New Roman"/>
          <w:i/>
          <w:sz w:val="20"/>
          <w:szCs w:val="20"/>
          <w:lang w:val="es-ES_tradnl"/>
        </w:rPr>
        <w:t>Husayn (Abu Zubaydah) c. Polonia</w:t>
      </w:r>
      <w:r w:rsidRPr="00146807">
        <w:rPr>
          <w:rFonts w:ascii="Times New Roman" w:hAnsi="Times New Roman"/>
          <w:sz w:val="20"/>
          <w:szCs w:val="20"/>
          <w:lang w:val="es-ES_tradnl"/>
        </w:rPr>
        <w:t xml:space="preserve">, n. 7511/13, de 24 de julio de 2014, parágrafos 451 y 513; </w:t>
      </w:r>
      <w:r w:rsidRPr="00146807">
        <w:rPr>
          <w:rFonts w:ascii="Times New Roman" w:hAnsi="Times New Roman"/>
          <w:i/>
          <w:sz w:val="20"/>
          <w:szCs w:val="20"/>
          <w:lang w:val="es-ES_tradnl"/>
        </w:rPr>
        <w:t>Al Nashiri c. Polonia</w:t>
      </w:r>
      <w:r w:rsidRPr="00146807">
        <w:rPr>
          <w:rFonts w:ascii="Times New Roman" w:hAnsi="Times New Roman"/>
          <w:sz w:val="20"/>
          <w:szCs w:val="20"/>
          <w:lang w:val="es-ES_tradnl"/>
        </w:rPr>
        <w:t xml:space="preserve">, n. 28761/11, de 24 de julio de 2014, parágrafos 454, 518 y 588; </w:t>
      </w:r>
      <w:r w:rsidRPr="00146807">
        <w:rPr>
          <w:rFonts w:ascii="Times New Roman" w:hAnsi="Times New Roman"/>
          <w:i/>
          <w:sz w:val="20"/>
          <w:szCs w:val="20"/>
          <w:lang w:val="es-ES_tradnl"/>
        </w:rPr>
        <w:t>El-Masri c. la ex-república yugoslava de Macedonia</w:t>
      </w:r>
      <w:r w:rsidRPr="00146807">
        <w:rPr>
          <w:rFonts w:ascii="Times New Roman" w:hAnsi="Times New Roman"/>
          <w:sz w:val="20"/>
          <w:szCs w:val="20"/>
          <w:lang w:val="es-ES_tradnl"/>
        </w:rPr>
        <w:t>, n. 39630/09, de 13 de diciembre de 2012, parágrafo 221.</w:t>
      </w:r>
      <w:r w:rsidRPr="00146807">
        <w:rPr>
          <w:rFonts w:ascii="Times New Roman" w:hAnsi="Times New Roman"/>
          <w:sz w:val="20"/>
          <w:szCs w:val="20"/>
        </w:rPr>
        <w:t xml:space="preserve"> Quien suscribe ha tenido la oportunidad de publicar varios trabajos sobre el derecho a la verdad y las desapariciones forzadas en el ámbito del Consejo de Europa, y concretamente sobre las entregas extraordinarias: LÓPEZ ULLA, Juan Manuel, </w:t>
      </w:r>
      <w:r w:rsidRPr="00146807">
        <w:rPr>
          <w:rFonts w:ascii="Times New Roman" w:hAnsi="Times New Roman"/>
          <w:i/>
          <w:sz w:val="20"/>
          <w:szCs w:val="20"/>
        </w:rPr>
        <w:t>Derecho a la verdad y desapariciones forzadas</w:t>
      </w:r>
      <w:r w:rsidRPr="00146807">
        <w:rPr>
          <w:rFonts w:ascii="Times New Roman" w:hAnsi="Times New Roman"/>
          <w:sz w:val="20"/>
          <w:szCs w:val="20"/>
        </w:rPr>
        <w:t xml:space="preserve">, Thomson Reuters &amp; Aranzadi, 2015; “La verdad sobre las «entregas extraordinarias». Caso El-Masri contra la República de Macedonia (Tribunal Europeo de Derechos Humanos)”, en la obra colectiva coordinada por Miguel Revenga Sánchez y Cristina García Pascual con el título </w:t>
      </w:r>
      <w:r w:rsidRPr="00146807">
        <w:rPr>
          <w:rFonts w:ascii="Times New Roman" w:hAnsi="Times New Roman"/>
          <w:i/>
          <w:sz w:val="20"/>
          <w:szCs w:val="20"/>
        </w:rPr>
        <w:t>Decisiones básicas en materia de violaciones de derechos humanos</w:t>
      </w:r>
      <w:r w:rsidRPr="00146807">
        <w:rPr>
          <w:rFonts w:ascii="Times New Roman" w:hAnsi="Times New Roman"/>
          <w:sz w:val="20"/>
          <w:szCs w:val="20"/>
        </w:rPr>
        <w:t xml:space="preserve">, Centro de Estudios Políticos y Constitucionales &amp; Boletín Oficial del Estado, Madrid, 2015, pp. 135-166; y </w:t>
      </w:r>
      <w:r w:rsidRPr="00146807">
        <w:rPr>
          <w:rFonts w:ascii="Times New Roman" w:eastAsia="Times New Roman" w:hAnsi="Times New Roman"/>
          <w:sz w:val="20"/>
          <w:szCs w:val="20"/>
          <w:lang w:val="es-ES_tradnl"/>
        </w:rPr>
        <w:t xml:space="preserve">“El «derecho a la verdad» en la jurisprudencia del Tribunal Europeo de Derechos Humanos”, </w:t>
      </w:r>
      <w:r w:rsidRPr="00146807">
        <w:rPr>
          <w:rFonts w:ascii="Times New Roman" w:eastAsia="Times New Roman" w:hAnsi="Times New Roman"/>
          <w:i/>
          <w:sz w:val="20"/>
          <w:szCs w:val="20"/>
          <w:lang w:val="es-ES_tradnl"/>
        </w:rPr>
        <w:t>Persona y Derecho</w:t>
      </w:r>
      <w:r w:rsidRPr="00146807">
        <w:rPr>
          <w:rFonts w:ascii="Times New Roman" w:eastAsia="Times New Roman" w:hAnsi="Times New Roman"/>
          <w:sz w:val="20"/>
          <w:szCs w:val="20"/>
          <w:lang w:val="es-ES_tradnl"/>
        </w:rPr>
        <w:t xml:space="preserve">, n. 69, 2013, pp. 127-164. Véanse también, LÓPEZ GUERRA, Luis, “El derecho a la verdad: ¿la emergencia de un nuevo derecho en la jurisprudencia del Tribunal Europeo de Derechos Humanos?”, </w:t>
      </w:r>
      <w:r w:rsidRPr="00146807">
        <w:rPr>
          <w:rFonts w:ascii="Times New Roman" w:eastAsia="Times New Roman" w:hAnsi="Times New Roman"/>
          <w:i/>
          <w:sz w:val="20"/>
          <w:szCs w:val="20"/>
          <w:lang w:val="es-ES_tradnl"/>
        </w:rPr>
        <w:t>Anuario Iberoamericano de Justicia Constitucional</w:t>
      </w:r>
      <w:r w:rsidRPr="00146807">
        <w:rPr>
          <w:rFonts w:ascii="Times New Roman" w:eastAsia="Times New Roman" w:hAnsi="Times New Roman"/>
          <w:sz w:val="20"/>
          <w:szCs w:val="20"/>
          <w:lang w:val="es-ES_tradnl"/>
        </w:rPr>
        <w:t xml:space="preserve">, n. 22, pp. 11-30; </w:t>
      </w:r>
      <w:r w:rsidRPr="00146807">
        <w:rPr>
          <w:rFonts w:ascii="Times New Roman" w:eastAsia="Times New Roman" w:hAnsi="Times New Roman"/>
          <w:sz w:val="20"/>
          <w:szCs w:val="20"/>
          <w:lang w:val="en-GB"/>
        </w:rPr>
        <w:t xml:space="preserve">MÉNDEZ, Juan E., ‘‘The Right to Truth’’, en JOYNER, Christopher C. (ed.), </w:t>
      </w:r>
      <w:r w:rsidRPr="00146807">
        <w:rPr>
          <w:rFonts w:ascii="Times New Roman" w:eastAsia="Times New Roman" w:hAnsi="Times New Roman"/>
          <w:i/>
          <w:sz w:val="20"/>
          <w:szCs w:val="20"/>
          <w:lang w:val="en-GB"/>
        </w:rPr>
        <w:t>Reining in Impunity for International Crimes and Serious Violations of Fundamental Human Rights: Proceedings of the Siracusa Conference</w:t>
      </w:r>
      <w:r w:rsidRPr="00146807">
        <w:rPr>
          <w:rFonts w:ascii="Times New Roman" w:eastAsia="Times New Roman" w:hAnsi="Times New Roman"/>
          <w:sz w:val="20"/>
          <w:szCs w:val="20"/>
          <w:lang w:val="en-GB"/>
        </w:rPr>
        <w:t xml:space="preserve">, Ramonville, Eres, 17–21 de Septiembre, 1998, pp. 255-278; </w:t>
      </w:r>
      <w:r w:rsidRPr="00146807">
        <w:rPr>
          <w:rFonts w:ascii="Times New Roman" w:eastAsia="Times New Roman" w:hAnsi="Times New Roman"/>
          <w:sz w:val="20"/>
          <w:szCs w:val="20"/>
          <w:lang w:val="es-ES_tradnl"/>
        </w:rPr>
        <w:t xml:space="preserve">del mismo autor, también “Derecho a la verdad frente a las graves violaciones de los derechos humanos”, en ABREGUN, M., y COURTIS, C. (Comp.), </w:t>
      </w:r>
      <w:r w:rsidRPr="00146807">
        <w:rPr>
          <w:rFonts w:ascii="Times New Roman" w:eastAsia="Times New Roman" w:hAnsi="Times New Roman"/>
          <w:i/>
          <w:sz w:val="20"/>
          <w:szCs w:val="20"/>
          <w:lang w:val="es-ES_tradnl"/>
        </w:rPr>
        <w:t>La aplicación de los tratados sobre derechos humanos por los tribunales locales</w:t>
      </w:r>
      <w:r w:rsidRPr="00146807">
        <w:rPr>
          <w:rFonts w:ascii="Times New Roman" w:eastAsia="Times New Roman" w:hAnsi="Times New Roman"/>
          <w:sz w:val="20"/>
          <w:szCs w:val="20"/>
          <w:lang w:val="es-ES_tradnl"/>
        </w:rPr>
        <w:t xml:space="preserve">, Editores del Puerto-CELS, Buenos Aires, 2004; </w:t>
      </w:r>
      <w:r w:rsidRPr="00146807">
        <w:rPr>
          <w:rFonts w:ascii="Times New Roman" w:eastAsia="Times New Roman" w:hAnsi="Times New Roman"/>
          <w:iCs/>
          <w:sz w:val="20"/>
          <w:szCs w:val="20"/>
          <w:lang w:val="es-ES_tradnl"/>
        </w:rPr>
        <w:t xml:space="preserve">TORREBLANCA GONZALES, Luis Giancarlo, “El derecho a la verdad en el ámbito Iberoamericano”, </w:t>
      </w:r>
      <w:r w:rsidRPr="00146807">
        <w:rPr>
          <w:rFonts w:ascii="Times New Roman" w:eastAsia="Times New Roman" w:hAnsi="Times New Roman"/>
          <w:i/>
          <w:iCs/>
          <w:sz w:val="20"/>
          <w:szCs w:val="20"/>
          <w:lang w:val="es-ES_tradnl"/>
        </w:rPr>
        <w:t>Ius Humani. Revista de Derecho</w:t>
      </w:r>
      <w:r w:rsidRPr="00146807">
        <w:rPr>
          <w:rFonts w:ascii="Times New Roman" w:eastAsia="Times New Roman" w:hAnsi="Times New Roman"/>
          <w:iCs/>
          <w:sz w:val="20"/>
          <w:szCs w:val="20"/>
          <w:lang w:val="es-ES_tradnl"/>
        </w:rPr>
        <w:t>, v</w:t>
      </w:r>
      <w:r w:rsidRPr="00146807">
        <w:rPr>
          <w:rFonts w:ascii="Times New Roman" w:eastAsia="Times New Roman" w:hAnsi="Times New Roman"/>
          <w:sz w:val="20"/>
          <w:szCs w:val="20"/>
          <w:lang w:val="es-ES_tradnl"/>
        </w:rPr>
        <w:t>ol. 3 (2012/2013), pp. 9-35;</w:t>
      </w:r>
      <w:r w:rsidRPr="00146807">
        <w:rPr>
          <w:rFonts w:ascii="Times New Roman" w:hAnsi="Times New Roman"/>
          <w:sz w:val="20"/>
          <w:szCs w:val="20"/>
        </w:rPr>
        <w:t xml:space="preserve"> y </w:t>
      </w:r>
      <w:r w:rsidRPr="00146807">
        <w:rPr>
          <w:rFonts w:ascii="Times New Roman" w:eastAsia="Times New Roman" w:hAnsi="Times New Roman"/>
          <w:sz w:val="20"/>
          <w:szCs w:val="20"/>
          <w:lang w:val="es-ES_tradnl"/>
        </w:rPr>
        <w:t xml:space="preserve">NAQVI, Yasmin, “The right to the truth in international law: fact or fiction?” </w:t>
      </w:r>
      <w:r w:rsidRPr="00146807">
        <w:rPr>
          <w:rFonts w:ascii="Times New Roman" w:eastAsia="Times New Roman" w:hAnsi="Times New Roman"/>
          <w:i/>
          <w:sz w:val="20"/>
          <w:szCs w:val="20"/>
          <w:lang w:val="es-ES_tradnl"/>
        </w:rPr>
        <w:t>International Review of the Red Cross</w:t>
      </w:r>
      <w:r w:rsidRPr="00146807">
        <w:rPr>
          <w:rFonts w:ascii="Times New Roman" w:eastAsia="Times New Roman" w:hAnsi="Times New Roman"/>
          <w:sz w:val="20"/>
          <w:szCs w:val="20"/>
          <w:lang w:val="es-ES_tradnl"/>
        </w:rPr>
        <w:t>, vol. 88, n. 862, June 2006, pp. 245-273.</w:t>
      </w:r>
    </w:p>
  </w:footnote>
  <w:footnote w:id="6">
    <w:p w:rsidR="0099654D" w:rsidRPr="00146807" w:rsidRDefault="0099654D" w:rsidP="0099654D">
      <w:pPr>
        <w:autoSpaceDE w:val="0"/>
        <w:autoSpaceDN w:val="0"/>
        <w:adjustRightInd w:val="0"/>
        <w:spacing w:after="0" w:line="240" w:lineRule="auto"/>
        <w:jc w:val="both"/>
        <w:rPr>
          <w:rFonts w:ascii="Times New Roman" w:hAnsi="Times New Roman"/>
          <w:sz w:val="20"/>
          <w:szCs w:val="20"/>
        </w:rPr>
      </w:pPr>
      <w:r w:rsidRPr="00146807">
        <w:rPr>
          <w:rStyle w:val="Refdenotaalpie"/>
          <w:rFonts w:ascii="Times New Roman" w:hAnsi="Times New Roman"/>
          <w:sz w:val="20"/>
          <w:szCs w:val="20"/>
        </w:rPr>
        <w:footnoteRef/>
      </w:r>
      <w:r w:rsidRPr="00146807">
        <w:rPr>
          <w:rFonts w:ascii="Times New Roman" w:hAnsi="Times New Roman"/>
          <w:sz w:val="20"/>
          <w:szCs w:val="20"/>
        </w:rPr>
        <w:t xml:space="preserve"> La bibliografía sobre este programa de detenciones no es escasa. Véanse entre otros, BASSIOUNI, Mahmoud Cherif, </w:t>
      </w:r>
      <w:r w:rsidRPr="00146807">
        <w:rPr>
          <w:rFonts w:ascii="Times New Roman" w:hAnsi="Times New Roman"/>
          <w:i/>
          <w:sz w:val="20"/>
          <w:szCs w:val="20"/>
        </w:rPr>
        <w:t>The Institutionalization of Torture by the Bush Administration. Is Anyone Responsible?</w:t>
      </w:r>
      <w:r w:rsidRPr="00146807">
        <w:rPr>
          <w:rFonts w:ascii="Times New Roman" w:hAnsi="Times New Roman"/>
          <w:sz w:val="20"/>
          <w:szCs w:val="20"/>
        </w:rPr>
        <w:t xml:space="preserve">  Intersenetia, Oxford, 2010; BOYS, James D. (2011) “What's so extraordinary about rendition?”, </w:t>
      </w:r>
      <w:r w:rsidRPr="00146807">
        <w:rPr>
          <w:rFonts w:ascii="Times New Roman" w:hAnsi="Times New Roman"/>
          <w:i/>
          <w:sz w:val="20"/>
          <w:szCs w:val="20"/>
        </w:rPr>
        <w:t>The International Journal of Human Rights</w:t>
      </w:r>
      <w:r w:rsidRPr="00146807">
        <w:rPr>
          <w:rFonts w:ascii="Times New Roman" w:hAnsi="Times New Roman"/>
          <w:sz w:val="20"/>
          <w:szCs w:val="20"/>
        </w:rPr>
        <w:t xml:space="preserve">, Vol. 15, n. 4, 2011, pp. 589–604; </w:t>
      </w:r>
      <w:r w:rsidRPr="00146807">
        <w:rPr>
          <w:rFonts w:ascii="Times New Roman" w:hAnsi="Times New Roman"/>
          <w:sz w:val="20"/>
          <w:szCs w:val="20"/>
          <w:lang w:val="en-US"/>
        </w:rPr>
        <w:t xml:space="preserve">SEPPER, Elizabeth, “The Ties that Bind: How the Constitution Limits the CIA’s Actions in the War on Terror”, </w:t>
      </w:r>
      <w:r w:rsidRPr="00146807">
        <w:rPr>
          <w:rFonts w:ascii="Times New Roman" w:hAnsi="Times New Roman"/>
          <w:i/>
          <w:sz w:val="20"/>
          <w:szCs w:val="20"/>
          <w:lang w:val="en-US"/>
        </w:rPr>
        <w:t>New York University Law Review</w:t>
      </w:r>
      <w:r w:rsidRPr="00146807">
        <w:rPr>
          <w:rFonts w:ascii="Times New Roman" w:hAnsi="Times New Roman"/>
          <w:sz w:val="20"/>
          <w:szCs w:val="20"/>
          <w:lang w:val="en-US"/>
        </w:rPr>
        <w:t xml:space="preserve">, n. 81, 2006, pp. 1805-1843; </w:t>
      </w:r>
      <w:r w:rsidRPr="00146807">
        <w:rPr>
          <w:rFonts w:ascii="Times New Roman" w:hAnsi="Times New Roman"/>
          <w:sz w:val="20"/>
          <w:szCs w:val="20"/>
        </w:rPr>
        <w:t xml:space="preserve">SADAT, Leila Nadya, “Extraordinary Rendition and the Rule of Law”, </w:t>
      </w:r>
      <w:r w:rsidRPr="00146807">
        <w:rPr>
          <w:rFonts w:ascii="Times New Roman" w:hAnsi="Times New Roman"/>
          <w:i/>
          <w:sz w:val="20"/>
          <w:szCs w:val="20"/>
        </w:rPr>
        <w:t xml:space="preserve">George </w:t>
      </w:r>
      <w:r w:rsidRPr="00146807">
        <w:rPr>
          <w:rFonts w:ascii="Times New Roman" w:hAnsi="Times New Roman"/>
          <w:i/>
          <w:sz w:val="20"/>
          <w:szCs w:val="20"/>
          <w:lang w:val="en-US"/>
        </w:rPr>
        <w:t>Washington Law Review</w:t>
      </w:r>
      <w:r w:rsidRPr="00146807">
        <w:rPr>
          <w:rFonts w:ascii="Times New Roman" w:hAnsi="Times New Roman"/>
          <w:sz w:val="20"/>
          <w:szCs w:val="20"/>
          <w:lang w:val="en-US"/>
        </w:rPr>
        <w:t xml:space="preserve">, n. 75, 2007, pp. 1340-1342; MACKLIN, Audrey, “From Cooperation, to Complicity, to Compensation: The War on Terror, Extraordinary Rendition, and the Cost of Torture”, </w:t>
      </w:r>
      <w:r w:rsidRPr="00146807">
        <w:rPr>
          <w:rFonts w:ascii="Times New Roman" w:hAnsi="Times New Roman"/>
          <w:i/>
          <w:sz w:val="20"/>
          <w:szCs w:val="20"/>
          <w:lang w:val="en-US"/>
        </w:rPr>
        <w:t>European Journal of Migration and Law</w:t>
      </w:r>
      <w:r w:rsidRPr="00146807">
        <w:rPr>
          <w:rFonts w:ascii="Times New Roman" w:hAnsi="Times New Roman"/>
          <w:sz w:val="20"/>
          <w:szCs w:val="20"/>
          <w:lang w:val="en-US"/>
        </w:rPr>
        <w:t xml:space="preserve">, n. 10, 2008, pp. 11-30; MURRAY, Mark J., “Extraordinary Rendition and U.S. Counterterrorism Policy”, </w:t>
      </w:r>
      <w:r w:rsidRPr="00146807">
        <w:rPr>
          <w:rFonts w:ascii="Times New Roman" w:hAnsi="Times New Roman"/>
          <w:i/>
          <w:sz w:val="20"/>
          <w:szCs w:val="20"/>
          <w:lang w:val="en-US"/>
        </w:rPr>
        <w:t>Journal of Strategic Securtiy</w:t>
      </w:r>
      <w:r w:rsidRPr="00146807">
        <w:rPr>
          <w:rFonts w:ascii="Times New Roman" w:hAnsi="Times New Roman"/>
          <w:sz w:val="20"/>
          <w:szCs w:val="20"/>
          <w:lang w:val="en-US"/>
        </w:rPr>
        <w:t xml:space="preserve">, vol. 4, n. 3, 2011, pp. 15-28; </w:t>
      </w:r>
      <w:r w:rsidRPr="00146807">
        <w:rPr>
          <w:rFonts w:ascii="Times New Roman" w:hAnsi="Times New Roman"/>
          <w:sz w:val="20"/>
          <w:szCs w:val="20"/>
          <w:lang w:eastAsia="es-ES_tradnl"/>
        </w:rPr>
        <w:t xml:space="preserve">AMBOS, Kai, </w:t>
      </w:r>
      <w:r w:rsidRPr="00146807">
        <w:rPr>
          <w:rFonts w:ascii="Times New Roman" w:hAnsi="Times New Roman"/>
          <w:i/>
          <w:sz w:val="20"/>
          <w:szCs w:val="20"/>
          <w:lang w:eastAsia="es-ES_tradnl"/>
        </w:rPr>
        <w:t xml:space="preserve">Desaparición forzada de personas. </w:t>
      </w:r>
      <w:r w:rsidRPr="00146807">
        <w:rPr>
          <w:rFonts w:ascii="Times New Roman" w:hAnsi="Times New Roman"/>
          <w:i/>
          <w:sz w:val="20"/>
          <w:szCs w:val="20"/>
          <w:lang w:val="es-ES_tradnl" w:eastAsia="es-ES_tradnl"/>
        </w:rPr>
        <w:t>Análisis comparado e internacional</w:t>
      </w:r>
      <w:r w:rsidRPr="00146807">
        <w:rPr>
          <w:rFonts w:ascii="Times New Roman" w:hAnsi="Times New Roman"/>
          <w:sz w:val="20"/>
          <w:szCs w:val="20"/>
          <w:lang w:val="es-ES_tradnl" w:eastAsia="es-ES_tradnl"/>
        </w:rPr>
        <w:t>, Editorial Temis, Bogotá, 2009.</w:t>
      </w:r>
    </w:p>
  </w:footnote>
  <w:footnote w:id="7">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“Desde que comenzó a funcionar en 1980, el Grupo de Trabajo ha transmitido un total de 57.891 casos a 108 Estados. De ellos, 45.811 casos, atinentes a 92 Estados, continúan siendo examinados por no haber sido esclarecidos, cerrados o discontinuados</w:t>
      </w:r>
      <w:r>
        <w:rPr>
          <w:rFonts w:ascii="Times New Roman" w:hAnsi="Times New Roman"/>
        </w:rPr>
        <w:t>.</w:t>
      </w:r>
      <w:r w:rsidRPr="00146807">
        <w:rPr>
          <w:rFonts w:ascii="Times New Roman" w:hAnsi="Times New Roman"/>
        </w:rPr>
        <w:t xml:space="preserve"> (Consejo de Derechos Humanos. Grupo de Trabajo sobre las Desapariciones Forzadas o Involuntarias. A/HRC/42/40. Distr. General 30 de julio de 2019). Estas son cifras oficiales, pero dado el secretismo que rodea a este tipo de acciones, que se imputan al Estado o a las personas que actúan con su complacencia, la realidad, sin duda, es mucho más dura.</w:t>
      </w:r>
    </w:p>
  </w:footnote>
  <w:footnote w:id="8">
    <w:p w:rsidR="0099654D" w:rsidRPr="00146807" w:rsidRDefault="0099654D" w:rsidP="0099654D">
      <w:pPr>
        <w:autoSpaceDE w:val="0"/>
        <w:autoSpaceDN w:val="0"/>
        <w:adjustRightInd w:val="0"/>
        <w:snapToGrid w:val="0"/>
        <w:spacing w:after="0" w:line="240" w:lineRule="auto"/>
        <w:jc w:val="both"/>
        <w:rPr>
          <w:rFonts w:ascii="Times New Roman" w:hAnsi="Times New Roman"/>
          <w:sz w:val="20"/>
          <w:szCs w:val="20"/>
        </w:rPr>
      </w:pPr>
      <w:r w:rsidRPr="00146807">
        <w:rPr>
          <w:rStyle w:val="Refdenotaalpie"/>
          <w:rFonts w:ascii="Times New Roman" w:hAnsi="Times New Roman"/>
          <w:sz w:val="20"/>
          <w:szCs w:val="20"/>
        </w:rPr>
        <w:footnoteRef/>
      </w:r>
      <w:r w:rsidRPr="00146807">
        <w:rPr>
          <w:rFonts w:ascii="Times New Roman" w:hAnsi="Times New Roman"/>
          <w:sz w:val="20"/>
          <w:szCs w:val="20"/>
        </w:rPr>
        <w:t xml:space="preserve"> Artículos 4, 6 y 7.1. Esta Convención fue aprobada por la Asamblea General de las Naciones Unidas el 20 de diciembre de 2006 (Resolución 61/177, A/RES/61/177, 12 de enero de 2007). </w:t>
      </w:r>
    </w:p>
  </w:footnote>
  <w:footnote w:id="9">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Artículo 2 de la </w:t>
      </w:r>
      <w:r w:rsidRPr="00146807">
        <w:rPr>
          <w:rFonts w:ascii="Times New Roman" w:hAnsi="Times New Roman"/>
          <w:i/>
        </w:rPr>
        <w:t>Convención Internacional para la Protección de todas las Personas contra las Desapariciones Forzadas</w:t>
      </w:r>
      <w:r w:rsidRPr="00146807">
        <w:rPr>
          <w:rFonts w:ascii="Times New Roman" w:hAnsi="Times New Roman"/>
        </w:rPr>
        <w:t xml:space="preserve">. El Preámbulo de la </w:t>
      </w:r>
      <w:r w:rsidRPr="00146807">
        <w:rPr>
          <w:rFonts w:ascii="Times New Roman" w:hAnsi="Times New Roman"/>
          <w:i/>
        </w:rPr>
        <w:t xml:space="preserve">Declaración sobre la Protección de todas las Personas contra las Desapariciones Forzada </w:t>
      </w:r>
      <w:r w:rsidRPr="00146807">
        <w:rPr>
          <w:rFonts w:ascii="Times New Roman" w:hAnsi="Times New Roman"/>
        </w:rPr>
        <w:t>(</w:t>
      </w:r>
      <w:r w:rsidRPr="00146807">
        <w:rPr>
          <w:rFonts w:ascii="Times New Roman" w:hAnsi="Times New Roman"/>
          <w:lang w:val="es-ES_tradnl"/>
        </w:rPr>
        <w:t>adoptada por la Asamblea General de la ONU en Resolución 47/133, de 18 de diciembre de 1992</w:t>
      </w:r>
      <w:r w:rsidRPr="00146807">
        <w:rPr>
          <w:rFonts w:ascii="Times New Roman" w:hAnsi="Times New Roman"/>
        </w:rPr>
        <w:t xml:space="preserve">) señala que se produce una desaparición forzada siempre que "se arreste, detenga o traslade contra su voluntad a las personas, o que estas resulten privadas de su libertad de alguna otra forma por agentes gubernamentales de cualquier sector o nivel, por grupos organizados o por particulares que actúan en nombre del Gobierno o con su apoyo directo o indirecto, su autorización o su asentimiento, y que luego se niegan a revelar la suerte o el paradero de esas personas o a reconocer que están privadas de la libertad, sustrayéndolas así a la protección de la ley". Y el artículo 2 de la </w:t>
      </w:r>
      <w:r w:rsidRPr="00146807">
        <w:rPr>
          <w:rFonts w:ascii="Times New Roman" w:hAnsi="Times New Roman"/>
          <w:i/>
        </w:rPr>
        <w:t>Convención Interamericana sobre desaparición forzada de personas</w:t>
      </w:r>
      <w:r w:rsidRPr="00146807">
        <w:rPr>
          <w:rFonts w:ascii="Times New Roman" w:hAnsi="Times New Roman"/>
        </w:rPr>
        <w:t xml:space="preserve"> (adoptada</w:t>
      </w:r>
      <w:r w:rsidRPr="00146807">
        <w:rPr>
          <w:rFonts w:ascii="Times New Roman" w:hAnsi="Times New Roman"/>
          <w:lang w:val="es-ES_tradnl"/>
        </w:rPr>
        <w:t xml:space="preserve"> en Belém do Pará, Brasil, el 9 de junio de 1994) </w:t>
      </w:r>
      <w:r w:rsidRPr="00146807">
        <w:rPr>
          <w:rFonts w:ascii="Times New Roman" w:hAnsi="Times New Roman"/>
        </w:rPr>
        <w:t>define el concepto como: “la privación de la libertad a una o más personas, cualquiera que fuere su forma, cometida por agentes del Estado o por personas o grupos de personas que actúen con la autorización, el apoyo o la aquiescencia del Estado, seguida de la falta de información o de la negativa a reconocer dicha privación de libertad o de informar sobre el paradero de la persona, con lo cual se impide el ejercicio de los recursos legales y de las garantías procesales pertinentes”.</w:t>
      </w:r>
    </w:p>
  </w:footnote>
  <w:footnote w:id="10">
    <w:p w:rsidR="0099654D" w:rsidRPr="00146807" w:rsidRDefault="0099654D" w:rsidP="0099654D">
      <w:pPr>
        <w:pStyle w:val="Textonotapie"/>
        <w:jc w:val="both"/>
        <w:rPr>
          <w:rFonts w:ascii="Times New Roman" w:eastAsia="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Declaración sobre la Protección de todas las Personas contra las Desapariciones Forzadas</w:t>
      </w:r>
      <w:r w:rsidRPr="00146807">
        <w:rPr>
          <w:rFonts w:ascii="Times New Roman" w:hAnsi="Times New Roman"/>
        </w:rPr>
        <w:t>, cit.</w:t>
      </w:r>
    </w:p>
  </w:footnote>
  <w:footnote w:id="11">
    <w:p w:rsidR="0099654D" w:rsidRPr="00146807" w:rsidRDefault="0099654D" w:rsidP="0099654D">
      <w:pPr>
        <w:autoSpaceDE w:val="0"/>
        <w:autoSpaceDN w:val="0"/>
        <w:adjustRightInd w:val="0"/>
        <w:snapToGrid w:val="0"/>
        <w:spacing w:after="0" w:line="240" w:lineRule="auto"/>
        <w:jc w:val="both"/>
        <w:rPr>
          <w:rFonts w:ascii="Times New Roman" w:eastAsia="Times New Roman" w:hAnsi="Times New Roman"/>
          <w:sz w:val="20"/>
          <w:szCs w:val="20"/>
          <w:lang w:val="es-ES_tradnl"/>
        </w:rPr>
      </w:pPr>
      <w:r w:rsidRPr="00146807">
        <w:rPr>
          <w:rStyle w:val="Refdenotaalpie"/>
          <w:rFonts w:ascii="Times New Roman" w:hAnsi="Times New Roman"/>
          <w:sz w:val="20"/>
          <w:szCs w:val="20"/>
        </w:rPr>
        <w:footnoteRef/>
      </w:r>
      <w:r w:rsidRPr="00146807">
        <w:rPr>
          <w:rFonts w:ascii="Times New Roman" w:hAnsi="Times New Roman"/>
          <w:sz w:val="20"/>
          <w:szCs w:val="20"/>
        </w:rPr>
        <w:t xml:space="preserve"> La obligación de tipificar como delito con penas proporcionales a la gravedad de la acción criminal se recoge en los artículos 4, 6 y 7.1 de la </w:t>
      </w:r>
      <w:r w:rsidRPr="00146807">
        <w:rPr>
          <w:rFonts w:ascii="Times New Roman" w:hAnsi="Times New Roman"/>
          <w:i/>
          <w:sz w:val="20"/>
          <w:szCs w:val="20"/>
        </w:rPr>
        <w:t>Convención Internacional</w:t>
      </w:r>
      <w:r w:rsidRPr="00146807">
        <w:rPr>
          <w:rFonts w:ascii="Times New Roman" w:hAnsi="Times New Roman"/>
          <w:sz w:val="20"/>
          <w:szCs w:val="20"/>
        </w:rPr>
        <w:t xml:space="preserve"> </w:t>
      </w:r>
      <w:r w:rsidRPr="00146807">
        <w:rPr>
          <w:rFonts w:ascii="Times New Roman" w:hAnsi="Times New Roman"/>
          <w:i/>
          <w:sz w:val="20"/>
          <w:szCs w:val="20"/>
        </w:rPr>
        <w:t>sobre la Protección de todas las Personas contra las Desapariciones Forzadas</w:t>
      </w:r>
      <w:r w:rsidRPr="00146807">
        <w:rPr>
          <w:rFonts w:ascii="Times New Roman" w:hAnsi="Times New Roman"/>
          <w:sz w:val="20"/>
          <w:szCs w:val="20"/>
        </w:rPr>
        <w:t xml:space="preserve">; y en los artículos 1.b), 3 y 4 de la </w:t>
      </w:r>
      <w:r w:rsidRPr="00146807">
        <w:rPr>
          <w:rFonts w:ascii="Times New Roman" w:hAnsi="Times New Roman"/>
          <w:i/>
          <w:sz w:val="20"/>
          <w:szCs w:val="20"/>
          <w:lang w:val="es-ES_tradnl"/>
        </w:rPr>
        <w:t>Convención Interamericana sobre Desaparición Forzada de Personas</w:t>
      </w:r>
      <w:r w:rsidRPr="00146807">
        <w:rPr>
          <w:rFonts w:ascii="Times New Roman" w:hAnsi="Times New Roman"/>
          <w:sz w:val="20"/>
          <w:szCs w:val="20"/>
          <w:lang w:val="es-ES_tradnl"/>
        </w:rPr>
        <w:t xml:space="preserve">. </w:t>
      </w:r>
      <w:r w:rsidRPr="00146807">
        <w:rPr>
          <w:rFonts w:ascii="Times New Roman" w:eastAsia="Garamond" w:hAnsi="Times New Roman"/>
          <w:sz w:val="20"/>
          <w:szCs w:val="20"/>
          <w:lang w:eastAsia="es-ES"/>
        </w:rPr>
        <w:t xml:space="preserve">El sistema europeo de protección, a diferencia del interamericano, no ha aprobado ningún tratado específico sobre la materia, pero diversos documentos han abordado la cuestión siguiendo lo dispuesto en la </w:t>
      </w:r>
      <w:r w:rsidRPr="00463C32">
        <w:rPr>
          <w:rFonts w:ascii="Times New Roman" w:eastAsia="Garamond" w:hAnsi="Times New Roman"/>
          <w:i/>
          <w:sz w:val="20"/>
          <w:szCs w:val="20"/>
          <w:lang w:eastAsia="es-ES"/>
        </w:rPr>
        <w:t>Convención Internaciona</w:t>
      </w:r>
      <w:r w:rsidRPr="00146807">
        <w:rPr>
          <w:rFonts w:ascii="Times New Roman" w:eastAsia="Garamond" w:hAnsi="Times New Roman"/>
          <w:sz w:val="20"/>
          <w:szCs w:val="20"/>
          <w:lang w:eastAsia="es-ES"/>
        </w:rPr>
        <w:t xml:space="preserve">l y teniendo presente también la doctrina procedente del sistema interamericano. Entre otros, véanse los parágrafos </w:t>
      </w:r>
      <w:r w:rsidRPr="00146807">
        <w:rPr>
          <w:rFonts w:ascii="Times New Roman" w:eastAsia="Times New Roman" w:hAnsi="Times New Roman"/>
          <w:sz w:val="20"/>
          <w:szCs w:val="20"/>
          <w:lang w:val="es-ES_tradnl"/>
        </w:rPr>
        <w:t>8, 10.3.2 y 10.3.8 de</w:t>
      </w:r>
      <w:r w:rsidRPr="00146807">
        <w:rPr>
          <w:rFonts w:ascii="Times New Roman" w:hAnsi="Times New Roman"/>
          <w:sz w:val="20"/>
          <w:szCs w:val="20"/>
          <w:lang w:val="es-ES_tradnl"/>
        </w:rPr>
        <w:t xml:space="preserve"> la Resolución 1463 (2005) de la Asamblea Parlamentaria del Consejo de Europa</w:t>
      </w:r>
      <w:r w:rsidRPr="00146807">
        <w:rPr>
          <w:rFonts w:ascii="Times New Roman" w:eastAsia="Times New Roman" w:hAnsi="Times New Roman"/>
          <w:i/>
          <w:sz w:val="20"/>
          <w:szCs w:val="20"/>
        </w:rPr>
        <w:t xml:space="preserve"> sobre la cuestión de las desapariciones forzadas</w:t>
      </w:r>
      <w:r w:rsidRPr="00146807">
        <w:rPr>
          <w:rFonts w:ascii="Times New Roman" w:hAnsi="Times New Roman"/>
          <w:sz w:val="20"/>
          <w:szCs w:val="20"/>
          <w:lang w:val="es-ES_tradnl"/>
        </w:rPr>
        <w:t>. En estos tres sistemas se advierte que la desaparición forzada en ningún caso puede ser considerada</w:t>
      </w:r>
      <w:r w:rsidRPr="00146807">
        <w:rPr>
          <w:rFonts w:ascii="Times New Roman" w:eastAsia="Times New Roman" w:hAnsi="Times New Roman"/>
          <w:sz w:val="20"/>
          <w:szCs w:val="20"/>
          <w:lang w:val="es-ES_tradnl"/>
        </w:rPr>
        <w:t xml:space="preserve"> como un delito político a los efectos de una extradición.</w:t>
      </w:r>
    </w:p>
  </w:footnote>
  <w:footnote w:id="12">
    <w:p w:rsidR="0099654D" w:rsidRPr="00146807" w:rsidRDefault="0099654D" w:rsidP="0099654D">
      <w:pPr>
        <w:spacing w:after="0" w:line="259" w:lineRule="auto"/>
        <w:ind w:left="-5" w:right="47"/>
        <w:jc w:val="both"/>
        <w:rPr>
          <w:rFonts w:ascii="Times New Roman" w:hAnsi="Times New Roman"/>
          <w:sz w:val="20"/>
          <w:szCs w:val="20"/>
        </w:rPr>
      </w:pPr>
      <w:r w:rsidRPr="00146807">
        <w:rPr>
          <w:rStyle w:val="Refdenotaalpie"/>
          <w:rFonts w:ascii="Times New Roman" w:hAnsi="Times New Roman"/>
          <w:sz w:val="20"/>
          <w:szCs w:val="20"/>
        </w:rPr>
        <w:footnoteRef/>
      </w:r>
      <w:r w:rsidRPr="00146807">
        <w:rPr>
          <w:rFonts w:ascii="Times New Roman" w:hAnsi="Times New Roman"/>
          <w:sz w:val="20"/>
          <w:szCs w:val="20"/>
        </w:rPr>
        <w:t xml:space="preserve"> Recomendación General del Comité de expertas del MESECVI (nº 2). Mujeres y niñas desaparecidas en el hemisferio, OEA, MESECVI, 2018.</w:t>
      </w:r>
    </w:p>
  </w:footnote>
  <w:footnote w:id="13">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Señala el documento de la Comisión Interamericana de Derechos Humanos que l</w:t>
      </w:r>
      <w:r w:rsidRPr="00146807">
        <w:rPr>
          <w:rFonts w:ascii="Times New Roman" w:hAnsi="Times New Roman"/>
          <w:u w:color="000000"/>
        </w:rPr>
        <w:t xml:space="preserve">a Comisión de Derechos Humanos del Distrito Federal del Estado constata que durante el año 2016 hubo en dicha jurisdicción 930 niñas y adolescentes desaparecidas como consecuencia de la violencia asociada al narcotráfico. Por su parte, el Comité contra la Tortura de la ONU, en sus </w:t>
      </w:r>
      <w:r w:rsidRPr="00146807">
        <w:rPr>
          <w:rFonts w:ascii="Times New Roman" w:hAnsi="Times New Roman"/>
          <w:i/>
          <w:u w:color="000000"/>
        </w:rPr>
        <w:t xml:space="preserve">Observaciones finales sobre el </w:t>
      </w:r>
      <w:r w:rsidRPr="00146807">
        <w:rPr>
          <w:rFonts w:ascii="Times New Roman" w:hAnsi="Times New Roman"/>
          <w:i/>
          <w:u w:color="000000"/>
        </w:rPr>
        <w:fldChar w:fldCharType="begin"/>
      </w:r>
      <w:r w:rsidRPr="00146807">
        <w:rPr>
          <w:rFonts w:ascii="Times New Roman" w:hAnsi="Times New Roman"/>
          <w:i/>
          <w:u w:color="000000"/>
        </w:rPr>
        <w:instrText xml:space="preserve"> DOCPROPERTY  preps  \* MERGEFORMAT </w:instrText>
      </w:r>
      <w:r w:rsidRPr="00146807">
        <w:rPr>
          <w:rFonts w:ascii="Times New Roman" w:hAnsi="Times New Roman"/>
          <w:i/>
          <w:u w:color="000000"/>
        </w:rPr>
        <w:fldChar w:fldCharType="separate"/>
      </w:r>
      <w:r w:rsidRPr="00146807">
        <w:rPr>
          <w:rFonts w:ascii="Times New Roman" w:hAnsi="Times New Roman"/>
          <w:i/>
          <w:u w:color="000000"/>
        </w:rPr>
        <w:t>séptimo informe periódico de México</w:t>
      </w:r>
      <w:r w:rsidRPr="00146807">
        <w:rPr>
          <w:rFonts w:ascii="Times New Roman" w:hAnsi="Times New Roman"/>
          <w:i/>
          <w:u w:color="000000"/>
        </w:rPr>
        <w:fldChar w:fldCharType="end"/>
      </w:r>
      <w:r w:rsidRPr="00146807">
        <w:rPr>
          <w:rFonts w:ascii="Times New Roman" w:hAnsi="Times New Roman"/>
          <w:lang w:eastAsia="es-ES"/>
        </w:rPr>
        <w:t>, aprobadas en su 66º período de sesiones (</w:t>
      </w:r>
      <w:r w:rsidRPr="00146807">
        <w:rPr>
          <w:rFonts w:ascii="Times New Roman" w:hAnsi="Times New Roman"/>
          <w:lang w:eastAsia="es-ES"/>
        </w:rPr>
        <w:fldChar w:fldCharType="begin"/>
      </w:r>
      <w:r w:rsidRPr="00146807">
        <w:rPr>
          <w:rFonts w:ascii="Times New Roman" w:hAnsi="Times New Roman"/>
          <w:lang w:eastAsia="es-ES"/>
        </w:rPr>
        <w:instrText xml:space="preserve"> DOCPROPERTY  sdate  \* MERGEFORMAT </w:instrText>
      </w:r>
      <w:r w:rsidRPr="00146807">
        <w:rPr>
          <w:rFonts w:ascii="Times New Roman" w:hAnsi="Times New Roman"/>
          <w:lang w:eastAsia="es-ES"/>
        </w:rPr>
        <w:fldChar w:fldCharType="separate"/>
      </w:r>
      <w:r w:rsidRPr="00146807">
        <w:rPr>
          <w:rFonts w:ascii="Times New Roman" w:hAnsi="Times New Roman"/>
          <w:lang w:eastAsia="es-ES"/>
        </w:rPr>
        <w:t>23 de abril a 17 de mayo 2019</w:t>
      </w:r>
      <w:r w:rsidRPr="00146807">
        <w:rPr>
          <w:rFonts w:ascii="Times New Roman" w:hAnsi="Times New Roman"/>
          <w:lang w:eastAsia="es-ES"/>
        </w:rPr>
        <w:fldChar w:fldCharType="end"/>
      </w:r>
      <w:r w:rsidRPr="00146807">
        <w:rPr>
          <w:rFonts w:ascii="Times New Roman" w:hAnsi="Times New Roman"/>
          <w:lang w:eastAsia="es-ES"/>
        </w:rPr>
        <w:t>), Distr. general, 24 de julio de 2019,</w:t>
      </w:r>
      <w:r w:rsidRPr="00146807">
        <w:rPr>
          <w:rFonts w:ascii="Times New Roman" w:hAnsi="Times New Roman"/>
          <w:u w:color="000000"/>
        </w:rPr>
        <w:t xml:space="preserve"> insta a México a “a) Velar por que todos los casos de violencia de género, incluidos los casos de tortura sexual, los asesinatos y las desapariciones de mujeres y niñas, y en particular en aquellos casos en los que haya habido acciones u omisiones de autoridades del Estado u otras entidades que den lugar a la responsabilidad internacional del Estado parte con arreglo a la Convención, sean investigados exhaustivamente, que los presuntos autores sean enjuiciados y, de ser condenados, sancionados debidamente, y que   víctimas obtengan reparación, incluida una indemnización adecuada; b)Impartir formación obligatoria sobre el enjuiciamiento de la violencia de género a jueces, fiscales y miembros de las fuerzas del orden, y llevar a cabo campañas de sensibilización sobre todas las formas de violencia contra la mujer; c)Velar por que las víctimas de violencia de género reciban atención médica, apoyo psicológico y la asistencia jurídica que necesiten” (parágrafo 59).</w:t>
      </w:r>
    </w:p>
  </w:footnote>
  <w:footnote w:id="14">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Datos recabados del documento de la Comisión Interamericana de Derechos Humanos que lleva el título </w:t>
      </w:r>
      <w:r w:rsidRPr="00146807">
        <w:rPr>
          <w:rFonts w:ascii="Times New Roman" w:hAnsi="Times New Roman"/>
          <w:i/>
        </w:rPr>
        <w:t>Violencia y discriminación contra mujeres, niñas y adolescentes: Buenas prácticas y desafíos en América Latina y en el Caribe</w:t>
      </w:r>
      <w:r w:rsidRPr="00146807">
        <w:rPr>
          <w:rFonts w:ascii="Times New Roman" w:hAnsi="Times New Roman"/>
        </w:rPr>
        <w:t>. OEA/Ser.L/V/II. Doc. 233 14, noviembre 2019, parágrafos 165 a 168.</w:t>
      </w:r>
    </w:p>
  </w:footnote>
  <w:footnote w:id="15">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Al respecto</w:t>
      </w:r>
      <w:r w:rsidRPr="00DE2F69">
        <w:rPr>
          <w:rFonts w:ascii="Times New Roman" w:hAnsi="Times New Roman"/>
        </w:rPr>
        <w:t xml:space="preserve">, </w:t>
      </w:r>
      <w:hyperlink r:id="rId2" w:history="1">
        <w:r w:rsidRPr="00DE2F69">
          <w:rPr>
            <w:rStyle w:val="Hipervnculo"/>
            <w:rFonts w:ascii="Times New Roman" w:hAnsi="Times New Roman"/>
          </w:rPr>
          <w:t>https://www.ictj.org/es/our-work/transitional-justice-issues/justicia-de-genero</w:t>
        </w:r>
      </w:hyperlink>
    </w:p>
  </w:footnote>
  <w:footnote w:id="16">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Acceso a la justicia para las mujeres víctimas de violencia en las Américas</w:t>
      </w:r>
      <w:r w:rsidRPr="00146807">
        <w:rPr>
          <w:rFonts w:ascii="Times New Roman" w:hAnsi="Times New Roman"/>
        </w:rPr>
        <w:t xml:space="preserve"> (OEA/Ser.L/V/II. Doc. 68 20 enero 2007), parágrafo 74.</w:t>
      </w:r>
    </w:p>
  </w:footnote>
  <w:footnote w:id="17">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Convention on the Elimination of All Forms of Discrimination against Women</w:t>
      </w:r>
      <w:r w:rsidRPr="00146807">
        <w:rPr>
          <w:rFonts w:ascii="Times New Roman" w:hAnsi="Times New Roman"/>
        </w:rPr>
        <w:t xml:space="preserve"> (CEDAW), Resolución 34/180, de 18 de diciembre de 1979, de la Asamblea General de las Naciones Unidas. Entró en vigor el 3 de septiembre de 1981.</w:t>
      </w:r>
    </w:p>
  </w:footnote>
  <w:footnote w:id="18">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Se trata de una de las recomendaciones concretas [parágrafo 28.a)] de la </w:t>
      </w:r>
      <w:r w:rsidRPr="00146807">
        <w:rPr>
          <w:rFonts w:ascii="Times New Roman" w:hAnsi="Times New Roman"/>
          <w:i/>
        </w:rPr>
        <w:t>Recomendación General 19</w:t>
      </w:r>
      <w:r w:rsidRPr="00146807">
        <w:rPr>
          <w:rFonts w:ascii="Times New Roman" w:hAnsi="Times New Roman"/>
        </w:rPr>
        <w:t xml:space="preserve"> </w:t>
      </w:r>
      <w:r w:rsidRPr="00146807">
        <w:rPr>
          <w:rFonts w:ascii="Times New Roman" w:hAnsi="Times New Roman"/>
          <w:i/>
        </w:rPr>
        <w:t>CEDAW</w:t>
      </w:r>
      <w:r w:rsidRPr="00146807">
        <w:rPr>
          <w:rFonts w:ascii="Times New Roman" w:hAnsi="Times New Roman"/>
        </w:rPr>
        <w:t>, del Alto Comisionado de los Derechos Humanos</w:t>
      </w:r>
      <w:r w:rsidRPr="00146807">
        <w:rPr>
          <w:rFonts w:ascii="Times New Roman" w:hAnsi="Times New Roman"/>
          <w:i/>
        </w:rPr>
        <w:t>.</w:t>
      </w:r>
      <w:r w:rsidRPr="00146807">
        <w:rPr>
          <w:rFonts w:ascii="Times New Roman" w:hAnsi="Times New Roman"/>
        </w:rPr>
        <w:t xml:space="preserve"> Queremos advertir que la CIDH, en el parágrafo 207 del </w:t>
      </w:r>
      <w:r w:rsidRPr="00146807">
        <w:rPr>
          <w:rFonts w:ascii="Times New Roman" w:hAnsi="Times New Roman"/>
          <w:i/>
        </w:rPr>
        <w:t>Caso Veliz Franco y Otros Vs. Guatemala</w:t>
      </w:r>
      <w:r w:rsidRPr="00146807">
        <w:rPr>
          <w:rFonts w:ascii="Times New Roman" w:hAnsi="Times New Roman"/>
        </w:rPr>
        <w:t xml:space="preserve">, cit., señala que “el CEDAW (preámbulo) ha reconocido el vínculo existente entre la violencia contra las mujeres y la discriminación”, pero no es exactamente así. Como señalamos en el texto, es la </w:t>
      </w:r>
      <w:r w:rsidRPr="00146807">
        <w:rPr>
          <w:rFonts w:ascii="Times New Roman" w:hAnsi="Times New Roman"/>
          <w:i/>
        </w:rPr>
        <w:t>Recomendación General 19 CEDAW</w:t>
      </w:r>
      <w:r w:rsidRPr="00146807">
        <w:rPr>
          <w:rFonts w:ascii="Times New Roman" w:hAnsi="Times New Roman"/>
        </w:rPr>
        <w:t>, en los parágrafos 1 y 6, donde se realiza tal reconocimiento.</w:t>
      </w:r>
    </w:p>
  </w:footnote>
  <w:footnote w:id="19">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Aprobada el 9 de junio de 1994.</w:t>
      </w:r>
    </w:p>
  </w:footnote>
  <w:footnote w:id="20">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Preámbulo del </w:t>
      </w:r>
      <w:r w:rsidRPr="00146807">
        <w:rPr>
          <w:rFonts w:ascii="Times New Roman" w:hAnsi="Times New Roman"/>
          <w:i/>
        </w:rPr>
        <w:t>Convenio del Consejo de Europa sobre prevención y lucha contra la violencia contra las mujeres y la violencia doméstica</w:t>
      </w:r>
      <w:r>
        <w:rPr>
          <w:rFonts w:ascii="Times New Roman" w:hAnsi="Times New Roman"/>
        </w:rPr>
        <w:t>, conocido como Convenio de Estambul</w:t>
      </w:r>
      <w:r w:rsidRPr="00146807">
        <w:rPr>
          <w:rFonts w:ascii="Times New Roman" w:hAnsi="Times New Roman"/>
        </w:rPr>
        <w:t xml:space="preserve"> (Estambul, 11 de mayo de 2011). España lo ratifica el 18 de marzo de 2014. Hemos de advertir que el concepto “violencia doméstica” apela a la violencia dentro del hogar y en el marco de una relación familiar o de proximidad similar, sin distinguir por razón de sexo o de edad. Por tanto, las víctimas pueden ser hombres y mujeres, menores y personas de edad. Estos últimos con frecuencia son víctimas indirectas de la violencia en la pareja (al respecto </w:t>
      </w:r>
      <w:r w:rsidRPr="00146807">
        <w:rPr>
          <w:rFonts w:ascii="Times New Roman" w:hAnsi="Times New Roman"/>
          <w:i/>
        </w:rPr>
        <w:t>Opuz c. Turquía</w:t>
      </w:r>
      <w:r w:rsidRPr="00146807">
        <w:rPr>
          <w:rFonts w:ascii="Times New Roman" w:hAnsi="Times New Roman"/>
        </w:rPr>
        <w:t>, n. 33401/02, cit., parágrafo 132).</w:t>
      </w:r>
    </w:p>
  </w:footnote>
  <w:footnote w:id="21">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Si bien no existen cifras exactas, la mayoría de las denuncias por desaparición corresponden a hombres, entre el 70 y 94 por ciento. Véase al</w:t>
      </w:r>
      <w:r>
        <w:rPr>
          <w:rFonts w:ascii="Times New Roman" w:hAnsi="Times New Roman"/>
        </w:rPr>
        <w:t xml:space="preserve"> respecto</w:t>
      </w:r>
      <w:r w:rsidRPr="00146807">
        <w:rPr>
          <w:rFonts w:ascii="Times New Roman" w:hAnsi="Times New Roman"/>
        </w:rPr>
        <w:t xml:space="preserve">, </w:t>
      </w:r>
      <w:r w:rsidRPr="00146807">
        <w:rPr>
          <w:rFonts w:ascii="Times New Roman" w:hAnsi="Times New Roman"/>
          <w:i/>
        </w:rPr>
        <w:t xml:space="preserve">Observación general sobre las mujeres afectadas por las desapariciones forzadas, </w:t>
      </w:r>
      <w:r>
        <w:rPr>
          <w:rFonts w:ascii="Times New Roman" w:hAnsi="Times New Roman"/>
        </w:rPr>
        <w:t xml:space="preserve">cit., </w:t>
      </w:r>
      <w:r w:rsidRPr="00146807">
        <w:rPr>
          <w:rFonts w:ascii="Times New Roman" w:hAnsi="Times New Roman"/>
        </w:rPr>
        <w:t xml:space="preserve">parágrafo 4; DEWHIRST, Polly y KAPURJ, Amrita, </w:t>
      </w:r>
      <w:r w:rsidRPr="00146807">
        <w:rPr>
          <w:rFonts w:ascii="Times New Roman" w:hAnsi="Times New Roman"/>
          <w:i/>
        </w:rPr>
        <w:t>Las desaparecidas y las invisibles. Repercusiones de la desaparición forzada en las mujeres</w:t>
      </w:r>
      <w:r w:rsidRPr="00146807">
        <w:rPr>
          <w:rFonts w:ascii="Times New Roman" w:hAnsi="Times New Roman"/>
        </w:rPr>
        <w:t xml:space="preserve">, </w:t>
      </w:r>
      <w:r>
        <w:rPr>
          <w:rFonts w:ascii="Times New Roman" w:hAnsi="Times New Roman"/>
        </w:rPr>
        <w:t>cit.,</w:t>
      </w:r>
      <w:r w:rsidRPr="00146807">
        <w:rPr>
          <w:rFonts w:ascii="Times New Roman" w:hAnsi="Times New Roman"/>
        </w:rPr>
        <w:t xml:space="preserve"> p. 4.</w:t>
      </w:r>
    </w:p>
  </w:footnote>
  <w:footnote w:id="22">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A mayor abundamiento, el artículo 17.2 f) de la </w:t>
      </w:r>
      <w:r w:rsidRPr="00463C32">
        <w:rPr>
          <w:rFonts w:ascii="Times New Roman" w:hAnsi="Times New Roman"/>
          <w:i/>
        </w:rPr>
        <w:t>Convención Internacional</w:t>
      </w:r>
      <w:r w:rsidRPr="00146807">
        <w:rPr>
          <w:rFonts w:ascii="Times New Roman" w:hAnsi="Times New Roman"/>
        </w:rPr>
        <w:t xml:space="preserve"> reconoce el derecho a que un tribunal “determine sin demora la legalidad de la privación de libertad” o de una posible desaparición forzada, “a toda persona con un interés legítimo”, como “por ejemplo, los allegados de la persona privada de libertad, su representante o abogado”.</w:t>
      </w:r>
    </w:p>
  </w:footnote>
  <w:footnote w:id="23">
    <w:p w:rsidR="0099654D" w:rsidRPr="00146807" w:rsidRDefault="0099654D" w:rsidP="0099654D">
      <w:pPr>
        <w:autoSpaceDE w:val="0"/>
        <w:autoSpaceDN w:val="0"/>
        <w:adjustRightInd w:val="0"/>
        <w:spacing w:after="0" w:line="240" w:lineRule="auto"/>
        <w:jc w:val="both"/>
        <w:rPr>
          <w:rFonts w:ascii="Times New Roman" w:hAnsi="Times New Roman"/>
          <w:sz w:val="20"/>
          <w:szCs w:val="20"/>
          <w:lang w:eastAsia="es-ES"/>
        </w:rPr>
      </w:pPr>
      <w:r w:rsidRPr="00D1462F">
        <w:rPr>
          <w:rStyle w:val="Refdenotaalpie"/>
          <w:rFonts w:ascii="Times New Roman" w:hAnsi="Times New Roman"/>
          <w:sz w:val="20"/>
          <w:szCs w:val="20"/>
        </w:rPr>
        <w:footnoteRef/>
      </w:r>
      <w:r w:rsidRPr="00D1462F">
        <w:rPr>
          <w:rFonts w:ascii="Times New Roman" w:hAnsi="Times New Roman"/>
          <w:sz w:val="20"/>
          <w:szCs w:val="20"/>
        </w:rPr>
        <w:t xml:space="preserve"> </w:t>
      </w:r>
      <w:r w:rsidRPr="00D1462F">
        <w:rPr>
          <w:rFonts w:ascii="Times New Roman" w:eastAsia="Times New Roman" w:hAnsi="Times New Roman"/>
          <w:sz w:val="20"/>
          <w:szCs w:val="20"/>
          <w:lang w:val="es-ES_tradnl"/>
        </w:rPr>
        <w:t xml:space="preserve">Comité para la Eliminación de la Discriminación contra la Mujer, </w:t>
      </w:r>
      <w:r w:rsidRPr="00D1462F">
        <w:rPr>
          <w:rFonts w:ascii="Times New Roman" w:eastAsia="Times New Roman" w:hAnsi="Times New Roman"/>
          <w:i/>
          <w:sz w:val="20"/>
          <w:szCs w:val="20"/>
          <w:lang w:val="es-ES_tradnl"/>
        </w:rPr>
        <w:t>Observaciones finales sobre el noveno informe periódico de México</w:t>
      </w:r>
      <w:r w:rsidRPr="00D1462F">
        <w:rPr>
          <w:rFonts w:ascii="Times New Roman" w:eastAsia="Times New Roman" w:hAnsi="Times New Roman"/>
          <w:sz w:val="20"/>
          <w:szCs w:val="20"/>
          <w:lang w:val="es-ES_tradnl"/>
        </w:rPr>
        <w:t>, aprobadas por el Comité en su 70º período de sesiones (2 a 20 de julio de 2018),</w:t>
      </w:r>
      <w:r w:rsidRPr="00D1462F">
        <w:rPr>
          <w:rFonts w:ascii="Times New Roman" w:eastAsia="Cambria" w:hAnsi="Times New Roman"/>
          <w:sz w:val="20"/>
          <w:szCs w:val="20"/>
          <w:lang w:eastAsia="es-ES"/>
        </w:rPr>
        <w:t xml:space="preserve"> CEDAW/C/MEX/CO/9. Distr. general 25 de julio de 2018, </w:t>
      </w:r>
      <w:r w:rsidRPr="00146807">
        <w:rPr>
          <w:rFonts w:ascii="Times New Roman" w:eastAsia="Times New Roman" w:hAnsi="Times New Roman"/>
          <w:sz w:val="20"/>
          <w:szCs w:val="20"/>
          <w:lang w:val="es-ES_tradnl"/>
        </w:rPr>
        <w:t>parágrafo 23. Apartado d): califica de víctimas directas a las desaparecidas y de víctimas indirectas cuando quien desaparece es un familiar y la mujer queda “con la responsabilidad no solo de buscar a la persona desaparecida e iniciar las investigaciones sino también de servir de sostén principal de la familia”.</w:t>
      </w:r>
      <w:r>
        <w:rPr>
          <w:rFonts w:ascii="Times New Roman" w:eastAsia="Times New Roman" w:hAnsi="Times New Roman"/>
          <w:sz w:val="20"/>
          <w:szCs w:val="20"/>
          <w:lang w:val="es-ES_tradnl"/>
        </w:rPr>
        <w:t xml:space="preserve"> También, el</w:t>
      </w:r>
      <w:r w:rsidRPr="00146807">
        <w:rPr>
          <w:rFonts w:ascii="Times New Roman" w:eastAsia="Times New Roman" w:hAnsi="Times New Roman"/>
          <w:sz w:val="20"/>
          <w:szCs w:val="20"/>
          <w:lang w:val="es-ES_tradnl"/>
        </w:rPr>
        <w:t xml:space="preserve"> </w:t>
      </w:r>
      <w:r w:rsidRPr="00146807">
        <w:rPr>
          <w:rFonts w:ascii="Times New Roman" w:hAnsi="Times New Roman"/>
          <w:sz w:val="20"/>
          <w:szCs w:val="20"/>
          <w:lang w:eastAsia="es-ES"/>
        </w:rPr>
        <w:t>Comité contra la Tortura,</w:t>
      </w:r>
      <w:r>
        <w:rPr>
          <w:rFonts w:ascii="Times New Roman" w:hAnsi="Times New Roman"/>
          <w:sz w:val="20"/>
          <w:szCs w:val="20"/>
          <w:lang w:eastAsia="es-ES"/>
        </w:rPr>
        <w:t xml:space="preserve"> en sus</w:t>
      </w:r>
      <w:r w:rsidRPr="00146807">
        <w:rPr>
          <w:rFonts w:ascii="Times New Roman" w:hAnsi="Times New Roman"/>
          <w:sz w:val="20"/>
          <w:szCs w:val="20"/>
          <w:lang w:eastAsia="es-ES"/>
        </w:rPr>
        <w:t xml:space="preserve"> </w:t>
      </w:r>
      <w:r w:rsidRPr="00146807">
        <w:rPr>
          <w:rFonts w:ascii="Times New Roman" w:hAnsi="Times New Roman"/>
          <w:i/>
          <w:sz w:val="20"/>
          <w:szCs w:val="20"/>
          <w:lang w:eastAsia="es-ES"/>
        </w:rPr>
        <w:t xml:space="preserve">Observaciones finales sobre el </w:t>
      </w:r>
      <w:r w:rsidRPr="00146807">
        <w:rPr>
          <w:rFonts w:ascii="Times New Roman" w:hAnsi="Times New Roman"/>
          <w:i/>
          <w:sz w:val="20"/>
          <w:szCs w:val="20"/>
          <w:lang w:eastAsia="es-ES"/>
        </w:rPr>
        <w:fldChar w:fldCharType="begin"/>
      </w:r>
      <w:r w:rsidRPr="00146807">
        <w:rPr>
          <w:rFonts w:ascii="Times New Roman" w:hAnsi="Times New Roman"/>
          <w:i/>
          <w:sz w:val="20"/>
          <w:szCs w:val="20"/>
          <w:lang w:eastAsia="es-ES"/>
        </w:rPr>
        <w:instrText xml:space="preserve"> DOCPROPERTY  preps  \* MERGEFORMAT </w:instrText>
      </w:r>
      <w:r w:rsidRPr="00146807">
        <w:rPr>
          <w:rFonts w:ascii="Times New Roman" w:hAnsi="Times New Roman"/>
          <w:i/>
          <w:sz w:val="20"/>
          <w:szCs w:val="20"/>
          <w:lang w:eastAsia="es-ES"/>
        </w:rPr>
        <w:fldChar w:fldCharType="separate"/>
      </w:r>
      <w:r w:rsidRPr="00146807">
        <w:rPr>
          <w:rFonts w:ascii="Times New Roman" w:hAnsi="Times New Roman"/>
          <w:i/>
          <w:sz w:val="20"/>
          <w:szCs w:val="20"/>
          <w:lang w:eastAsia="es-ES"/>
        </w:rPr>
        <w:t>séptimo informe periódico de México</w:t>
      </w:r>
      <w:r w:rsidRPr="00146807">
        <w:rPr>
          <w:rFonts w:ascii="Times New Roman" w:hAnsi="Times New Roman"/>
          <w:i/>
          <w:sz w:val="20"/>
          <w:szCs w:val="20"/>
          <w:lang w:eastAsia="es-ES"/>
        </w:rPr>
        <w:fldChar w:fldCharType="end"/>
      </w:r>
      <w:r>
        <w:rPr>
          <w:rFonts w:ascii="Times New Roman" w:hAnsi="Times New Roman"/>
          <w:sz w:val="20"/>
          <w:szCs w:val="20"/>
          <w:lang w:eastAsia="es-ES"/>
        </w:rPr>
        <w:t>, cit.,</w:t>
      </w:r>
      <w:r w:rsidRPr="00146807">
        <w:rPr>
          <w:rFonts w:ascii="Times New Roman" w:hAnsi="Times New Roman"/>
          <w:sz w:val="20"/>
          <w:szCs w:val="20"/>
          <w:lang w:eastAsia="es-ES"/>
        </w:rPr>
        <w:t xml:space="preserve"> parágrafo 46, distingue entre víctimas directas e indirectas.</w:t>
      </w:r>
    </w:p>
  </w:footnote>
  <w:footnote w:id="24">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lang w:val="es-EC"/>
        </w:rPr>
        <w:t xml:space="preserve">Comisión Interamericana de Derechos Humanos, Relatoría sobre los derechos de la mujer, Informe temático sobre </w:t>
      </w:r>
      <w:r w:rsidRPr="00146807">
        <w:rPr>
          <w:rFonts w:ascii="Times New Roman" w:hAnsi="Times New Roman"/>
          <w:i/>
        </w:rPr>
        <w:t>Acceso a la justicia para las mujeres víctimas de violencia en las Américas</w:t>
      </w:r>
      <w:r w:rsidRPr="00146807">
        <w:rPr>
          <w:rFonts w:ascii="Times New Roman" w:hAnsi="Times New Roman"/>
        </w:rPr>
        <w:t>, OEA/Ser.L/V/II. Doc. 68, 20 enero 2007, parágrafo 155:</w:t>
      </w:r>
      <w:r w:rsidRPr="00146807">
        <w:rPr>
          <w:rFonts w:ascii="Times New Roman" w:hAnsi="Times New Roman"/>
          <w:color w:val="000000"/>
        </w:rPr>
        <w:t xml:space="preserve"> </w:t>
      </w:r>
      <w:r w:rsidRPr="00146807">
        <w:rPr>
          <w:rFonts w:ascii="Times New Roman" w:hAnsi="Times New Roman"/>
        </w:rPr>
        <w:t> “La influencia de patrones socioculturales discriminatorios puede dar como resultado una descalificación de la credibilidad de la víctima durante el proceso penal en casos de violencia y una asunción tácita de responsabilidad de ella por los hechos, ya sea por su forma de vestir, por su ocupación laboral, conducta sexual, relación o parentesco con el agresor, lo cual se traduce en inacción por parte de los fiscales, policías y jueces ante denuncias de hechos violentos.  Esta influencia también puede afectar en forma negativa la investigación de los casos y la valoración de la prueba subsiguiente, que puede verse marcada por nociones estereotipadas sobre cuál debe ser el comportamiento de las mujeres en sus relaciones interpersonales. Es así que, según determinadas pautas internacionales en materia de violencia contra la mujer y violencia sexual, las pruebas relativas a los antecedentes sexuales de la víctima son en principio inadmisibles, por lo que la apertura de líneas de investigación sobre el comportamiento social o sexual previo de las víctimas en casos de violencia de género no es más que la manifestación de políticas o actitudes basadas en estereotipos de género”. La CIDH cita este Informe en el parágrafo 400 de la Sentencia que resuelve el</w:t>
      </w:r>
      <w:r w:rsidRPr="00146807">
        <w:rPr>
          <w:rFonts w:ascii="Times New Roman" w:hAnsi="Times New Roman"/>
          <w:i/>
        </w:rPr>
        <w:t xml:space="preserve"> Caso González y otras (“Campo Algodonero”) Vs. México</w:t>
      </w:r>
      <w:r w:rsidRPr="00146807">
        <w:rPr>
          <w:rFonts w:ascii="Times New Roman" w:hAnsi="Times New Roman"/>
        </w:rPr>
        <w:t xml:space="preserve">, cit; y en el </w:t>
      </w:r>
      <w:r w:rsidRPr="00146807">
        <w:rPr>
          <w:rFonts w:ascii="Times New Roman" w:hAnsi="Times New Roman"/>
          <w:i/>
        </w:rPr>
        <w:t>Caso Veliz Franco y otros Vs. Guatemala</w:t>
      </w:r>
      <w:r w:rsidRPr="00146807">
        <w:rPr>
          <w:rFonts w:ascii="Times New Roman" w:hAnsi="Times New Roman"/>
        </w:rPr>
        <w:t>, cit., parágrafo 209.</w:t>
      </w:r>
    </w:p>
  </w:footnote>
  <w:footnote w:id="25">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eastAsia="Cambria" w:hAnsi="Times New Roman"/>
          <w:lang w:eastAsia="es-ES"/>
        </w:rPr>
        <w:t>Comité para la Eliminación de la Discriminación contra la Mujer. Observaciones finales sobre el noveno informe periódico de México. Aprobadas por el Comité en su 70º período de sesiones,</w:t>
      </w:r>
      <w:r>
        <w:rPr>
          <w:rFonts w:ascii="Times New Roman" w:eastAsia="Cambria" w:hAnsi="Times New Roman"/>
          <w:lang w:eastAsia="es-ES"/>
        </w:rPr>
        <w:t xml:space="preserve"> cit.,</w:t>
      </w:r>
      <w:r w:rsidRPr="00146807">
        <w:rPr>
          <w:rFonts w:ascii="Times New Roman" w:eastAsia="Cambria" w:hAnsi="Times New Roman"/>
          <w:lang w:eastAsia="es-ES"/>
        </w:rPr>
        <w:t xml:space="preserve"> parágrafo 166.</w:t>
      </w:r>
    </w:p>
  </w:footnote>
  <w:footnote w:id="26">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Veliz Franco y otros Vs. Guatemala</w:t>
      </w:r>
      <w:r w:rsidRPr="00146807">
        <w:rPr>
          <w:rFonts w:ascii="Times New Roman" w:hAnsi="Times New Roman"/>
        </w:rPr>
        <w:t xml:space="preserve">, cit., parágrafo 208, citando el </w:t>
      </w:r>
      <w:r w:rsidRPr="00146807">
        <w:rPr>
          <w:rFonts w:ascii="Times New Roman" w:hAnsi="Times New Roman"/>
          <w:i/>
        </w:rPr>
        <w:t>Caso González y otras (“Campo Algodonero”)</w:t>
      </w:r>
      <w:r w:rsidRPr="00146807">
        <w:rPr>
          <w:rFonts w:ascii="Times New Roman" w:hAnsi="Times New Roman"/>
        </w:rPr>
        <w:t xml:space="preserve"> </w:t>
      </w:r>
      <w:r w:rsidRPr="00146807">
        <w:rPr>
          <w:rFonts w:ascii="Times New Roman" w:hAnsi="Times New Roman"/>
          <w:i/>
        </w:rPr>
        <w:t>Vs. México</w:t>
      </w:r>
      <w:r w:rsidRPr="00146807">
        <w:rPr>
          <w:rFonts w:ascii="Times New Roman" w:hAnsi="Times New Roman"/>
        </w:rPr>
        <w:t>, cit., parágrafos 388 y 400.</w:t>
      </w:r>
    </w:p>
  </w:footnote>
  <w:footnote w:id="27">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González y otras (“Campo Algodonero”) Vs. México</w:t>
      </w:r>
      <w:r w:rsidRPr="00146807">
        <w:rPr>
          <w:rFonts w:ascii="Times New Roman" w:hAnsi="Times New Roman"/>
        </w:rPr>
        <w:t xml:space="preserve">, cit., parágrafo 400: “La impunidad de los delitos cometidos envía el mensaje de que la violencia contra la mujer es tolerada, lo que favorece su perpetuación y la aceptación social del fenómeno, el sentimiento y la sensación de inseguridad en las mujeres, así como una persistente desconfianza de éstas en el sistema de administración de justicia”. En el mismo sentido, </w:t>
      </w:r>
      <w:r w:rsidRPr="00146807">
        <w:rPr>
          <w:rFonts w:ascii="Times New Roman" w:hAnsi="Times New Roman"/>
          <w:i/>
        </w:rPr>
        <w:t>Caso Veliz Franco y otros Vs. Guatemala</w:t>
      </w:r>
      <w:r w:rsidRPr="00146807">
        <w:rPr>
          <w:rFonts w:ascii="Times New Roman" w:hAnsi="Times New Roman"/>
        </w:rPr>
        <w:t>, cit., parágrafo 208.</w:t>
      </w:r>
    </w:p>
  </w:footnote>
  <w:footnote w:id="28">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Veliz Franco y otros Vs. Guatemala</w:t>
      </w:r>
      <w:r w:rsidRPr="00146807">
        <w:rPr>
          <w:rFonts w:ascii="Times New Roman" w:hAnsi="Times New Roman"/>
        </w:rPr>
        <w:t xml:space="preserve"> cit., parágrafo 208.</w:t>
      </w:r>
    </w:p>
  </w:footnote>
  <w:footnote w:id="29">
    <w:p w:rsidR="0099654D" w:rsidRPr="00146807" w:rsidRDefault="0099654D" w:rsidP="0099654D">
      <w:pPr>
        <w:spacing w:after="0" w:line="240" w:lineRule="auto"/>
        <w:jc w:val="both"/>
        <w:rPr>
          <w:rFonts w:ascii="Times New Roman" w:hAnsi="Times New Roman"/>
          <w:sz w:val="20"/>
          <w:szCs w:val="20"/>
        </w:rPr>
      </w:pPr>
      <w:r w:rsidRPr="00146807">
        <w:rPr>
          <w:rStyle w:val="Refdenotaalpie"/>
          <w:rFonts w:ascii="Times New Roman" w:hAnsi="Times New Roman"/>
          <w:sz w:val="20"/>
          <w:szCs w:val="20"/>
        </w:rPr>
        <w:footnoteRef/>
      </w:r>
      <w:r w:rsidRPr="00146807">
        <w:rPr>
          <w:rFonts w:ascii="Times New Roman" w:hAnsi="Times New Roman"/>
          <w:sz w:val="20"/>
          <w:szCs w:val="20"/>
        </w:rPr>
        <w:t xml:space="preserve"> </w:t>
      </w:r>
      <w:r w:rsidRPr="00146807">
        <w:rPr>
          <w:rFonts w:ascii="Times New Roman" w:hAnsi="Times New Roman"/>
          <w:i/>
          <w:sz w:val="20"/>
          <w:szCs w:val="20"/>
        </w:rPr>
        <w:t>Caso González y otras (“Campo Algodonero”) Vs. México</w:t>
      </w:r>
      <w:r w:rsidRPr="00146807">
        <w:rPr>
          <w:rFonts w:ascii="Times New Roman" w:hAnsi="Times New Roman"/>
          <w:sz w:val="20"/>
          <w:szCs w:val="20"/>
        </w:rPr>
        <w:t>, cit., parágrafo 293. “La Corte considera que el deber de investigar efectivamente, siguiendo los estándares establecidos por el Tribunal (…) tiene alcances adicionales cuando se trata de una mujer que sufre una muerte, maltrato o afectación a su libertad personal en el marco de un contexto general de violencia contra las mujeres. En similar sentido, la Corte Europea ha dicho que cuando un ataque es motivado por razones de raza, es particularmente importante que la investigación sea realizada con vigor e imparcialidad, teniendo en cuenta la necesidad de reiterar continuamente la condena de racismo por parte de la sociedad y para mantener la confianza de las minorías en la habilidad de las autoridades de protegerlas de la amenaza de violencia racial. El criterio anterior es totalmente aplicable al analizarse los alcances del deber de debida diligencia en la investigación de casos de violencia por razón de género”.</w:t>
      </w:r>
    </w:p>
  </w:footnote>
  <w:footnote w:id="30">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González y otras (“Campo Algodonero”) Vs. México</w:t>
      </w:r>
      <w:r w:rsidRPr="00146807">
        <w:rPr>
          <w:rFonts w:ascii="Times New Roman" w:hAnsi="Times New Roman"/>
        </w:rPr>
        <w:t>, cit., parágrafo 164. Laura Berenice Ramos, estudiante de 17 años de edad, desapareció el 22 de setiembre de 2001; Claudia Ivette Gonzáles, trabajadora en una empresa maquilladora, de 20 años de edad, desapareció el 10 de octubre de 2001; y Esmeralda Herrera Monreal, empleada doméstica, de 15 años de edad, desapareció el lunes 29 de octubre de 2001. Las denuncias que sus familiares presentaron no dieron lugar a mayores investigaciones. Las autoridades se limitaron a elaborar los registros de desaparición, los carteles de búsqueda, la toma de declaraciones y el envío del oficio a la Policía Judicial. El 6 de noviembre de 2001 se encontraron los cuerpos de las tres, presentando signos de violencia sexual. De las diligencias practicadas se concluyó que las tres habían estado privadas de su libertad antes de su muerte. A pesar de los recursos interpuestos por sus familiares, no se investigó ni se sancionó a los responsables.</w:t>
      </w:r>
    </w:p>
  </w:footnote>
  <w:footnote w:id="31">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González y Otras (“Campo Algodonero”) Vs. México</w:t>
      </w:r>
      <w:r w:rsidRPr="00146807">
        <w:rPr>
          <w:rFonts w:ascii="Times New Roman" w:hAnsi="Times New Roman"/>
        </w:rPr>
        <w:t>,</w:t>
      </w:r>
      <w:r>
        <w:rPr>
          <w:rFonts w:ascii="Times New Roman" w:hAnsi="Times New Roman"/>
        </w:rPr>
        <w:t xml:space="preserve"> cit.,</w:t>
      </w:r>
      <w:r w:rsidRPr="00146807">
        <w:rPr>
          <w:rFonts w:ascii="Times New Roman" w:hAnsi="Times New Roman"/>
        </w:rPr>
        <w:t xml:space="preserve"> parágrafo 502. También, al respecto, Comité de Expertas del MESECVI, </w:t>
      </w:r>
      <w:r w:rsidRPr="00146807">
        <w:rPr>
          <w:rFonts w:ascii="Times New Roman" w:hAnsi="Times New Roman"/>
          <w:i/>
        </w:rPr>
        <w:t>Tercer Informe Hemisférico sobre la implementación de la Convención de Belém do Pará. Prevención de la Violencia contra las Mujeres en las Américas. Caminos por Recorrer</w:t>
      </w:r>
      <w:r w:rsidRPr="00146807">
        <w:rPr>
          <w:rFonts w:ascii="Times New Roman" w:hAnsi="Times New Roman"/>
        </w:rPr>
        <w:t xml:space="preserve">, Mecanismo de Seguimiento de la </w:t>
      </w:r>
      <w:r w:rsidRPr="00463C32">
        <w:rPr>
          <w:rFonts w:ascii="Times New Roman" w:hAnsi="Times New Roman"/>
          <w:i/>
        </w:rPr>
        <w:t>Convención de Belém do Pará</w:t>
      </w:r>
      <w:r w:rsidRPr="00146807">
        <w:rPr>
          <w:rFonts w:ascii="Times New Roman" w:hAnsi="Times New Roman"/>
        </w:rPr>
        <w:t xml:space="preserve"> (MESECVI), 2017, parágrafo 539.</w:t>
      </w:r>
    </w:p>
  </w:footnote>
  <w:footnote w:id="32">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El MESECVI (Mecanismo de Seguimiento de la </w:t>
      </w:r>
      <w:r w:rsidRPr="00463C32">
        <w:rPr>
          <w:rFonts w:ascii="Times New Roman" w:hAnsi="Times New Roman"/>
          <w:i/>
        </w:rPr>
        <w:t>Convención de Belém do Pará</w:t>
      </w:r>
      <w:r w:rsidRPr="00146807">
        <w:rPr>
          <w:rFonts w:ascii="Times New Roman" w:hAnsi="Times New Roman"/>
        </w:rPr>
        <w:t>)</w:t>
      </w:r>
      <w:r w:rsidRPr="00146807">
        <w:rPr>
          <w:rFonts w:ascii="Times New Roman" w:hAnsi="Times New Roman"/>
          <w:color w:val="333333"/>
          <w:shd w:val="clear" w:color="auto" w:fill="FFFFFF"/>
        </w:rPr>
        <w:t xml:space="preserve"> es un instrumento de la </w:t>
      </w:r>
      <w:r w:rsidRPr="00463C32">
        <w:rPr>
          <w:rFonts w:ascii="Times New Roman" w:hAnsi="Times New Roman"/>
          <w:i/>
        </w:rPr>
        <w:t>Convención Interamericana para Prevenir, Sancionar y Erradicar la Violencia contra la Mujer</w:t>
      </w:r>
      <w:r w:rsidRPr="00146807">
        <w:rPr>
          <w:rFonts w:ascii="Times New Roman" w:hAnsi="Times New Roman"/>
        </w:rPr>
        <w:t xml:space="preserve">, adoptada en Belém do Pará, Brasil, en 1994, que analiza los avances en la implementación de la Convención por </w:t>
      </w:r>
      <w:r>
        <w:rPr>
          <w:rFonts w:ascii="Times New Roman" w:hAnsi="Times New Roman"/>
        </w:rPr>
        <w:t>los</w:t>
      </w:r>
      <w:r w:rsidRPr="00146807">
        <w:rPr>
          <w:rFonts w:ascii="Times New Roman" w:hAnsi="Times New Roman"/>
        </w:rPr>
        <w:t xml:space="preserve"> Estados Parte, así como los desafíos </w:t>
      </w:r>
      <w:r>
        <w:rPr>
          <w:rFonts w:ascii="Times New Roman" w:hAnsi="Times New Roman"/>
        </w:rPr>
        <w:t>persistentes en las respuestas e</w:t>
      </w:r>
      <w:r w:rsidRPr="00146807">
        <w:rPr>
          <w:rFonts w:ascii="Times New Roman" w:hAnsi="Times New Roman"/>
        </w:rPr>
        <w:t>statales ante la violencia contra las mujeres.</w:t>
      </w:r>
    </w:p>
  </w:footnote>
  <w:footnote w:id="33">
    <w:p w:rsidR="0099654D" w:rsidRPr="00146807" w:rsidRDefault="0099654D" w:rsidP="0099654D">
      <w:pPr>
        <w:pStyle w:val="footnotedescription"/>
        <w:spacing w:line="240" w:lineRule="auto"/>
        <w:ind w:left="0" w:firstLine="0"/>
        <w:rPr>
          <w:rFonts w:ascii="Times New Roman" w:hAnsi="Times New Roman" w:cs="Times New Roman"/>
          <w:sz w:val="20"/>
          <w:szCs w:val="20"/>
        </w:rPr>
      </w:pPr>
      <w:r w:rsidRPr="00146807">
        <w:rPr>
          <w:rStyle w:val="Refdenotaalpie"/>
          <w:rFonts w:ascii="Times New Roman" w:hAnsi="Times New Roman"/>
          <w:sz w:val="20"/>
          <w:szCs w:val="20"/>
        </w:rPr>
        <w:footnoteRef/>
      </w:r>
      <w:r w:rsidRPr="00146807">
        <w:rPr>
          <w:rFonts w:ascii="Times New Roman" w:hAnsi="Times New Roman" w:cs="Times New Roman"/>
          <w:sz w:val="20"/>
          <w:szCs w:val="20"/>
        </w:rPr>
        <w:t xml:space="preserve"> Comité de Expertas del MESECVI, </w:t>
      </w:r>
      <w:r w:rsidRPr="00146807">
        <w:rPr>
          <w:rFonts w:ascii="Times New Roman" w:hAnsi="Times New Roman" w:cs="Times New Roman"/>
          <w:i/>
          <w:sz w:val="20"/>
          <w:szCs w:val="20"/>
        </w:rPr>
        <w:t>Tercer Informe Hemisférico sobre la implementación de la Convención de Belém do Pará. Prevención de la Violencia contra las Mujeres en las Américas. Caminos por Recorrer</w:t>
      </w:r>
      <w:r w:rsidRPr="00146807">
        <w:rPr>
          <w:rFonts w:ascii="Times New Roman" w:hAnsi="Times New Roman" w:cs="Times New Roman"/>
          <w:sz w:val="20"/>
          <w:szCs w:val="20"/>
        </w:rPr>
        <w:t xml:space="preserve">, 2017, parágrafos 51,52, 61, 82, 83. </w:t>
      </w:r>
    </w:p>
  </w:footnote>
  <w:footnote w:id="34">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rPr>
        <w:t>Caso González y otras (“Campo Algodonero”) Vs. México</w:t>
      </w:r>
      <w:r w:rsidRPr="00146807">
        <w:rPr>
          <w:rFonts w:ascii="Times New Roman" w:hAnsi="Times New Roman"/>
        </w:rPr>
        <w:t>, cit., parágrafo 283: “surge un deber de debida diligencia estricta (…) respecto a su búsqueda durante las primeras horas y los primeros días”. Esta obligación “exige la realización exhaustiva de actividades de búsqueda. En particular, es imprescindible la actuación pronta e inmediata de las autoridades policiales, fiscales y judiciales ordenando medidas oportunas y necesarias dirigidas a la determinación del paradero de las víctimas o el lugar donde puedan encontrarse privadas de libertad. Deben existir procedimientos adecuados para las denuncias y que éstas conlleven una investigación efectiva desde las primeras horas. Las autoridades deben presumir que la persona desaparecida está privada de libertad y sigue con vida hasta que se ponga fin a la incertidumbre sobre la suerte que ha corrido”.</w:t>
      </w:r>
    </w:p>
  </w:footnote>
  <w:footnote w:id="35">
    <w:p w:rsidR="0099654D" w:rsidRPr="00D53623" w:rsidRDefault="0099654D" w:rsidP="0099654D">
      <w:pPr>
        <w:pStyle w:val="Textonotapie"/>
        <w:jc w:val="both"/>
        <w:rPr>
          <w:rFonts w:ascii="Times New Roman" w:hAnsi="Times New Roman"/>
        </w:rPr>
      </w:pPr>
      <w:r w:rsidRPr="00D53623">
        <w:rPr>
          <w:rStyle w:val="Refdenotaalpie"/>
          <w:rFonts w:ascii="Times New Roman" w:hAnsi="Times New Roman"/>
        </w:rPr>
        <w:footnoteRef/>
      </w:r>
      <w:r w:rsidRPr="00D53623">
        <w:rPr>
          <w:rFonts w:ascii="Times New Roman" w:hAnsi="Times New Roman"/>
        </w:rPr>
        <w:t xml:space="preserve"> Véase, entre otras, la Sentencia dictada en el </w:t>
      </w:r>
      <w:r>
        <w:rPr>
          <w:rFonts w:ascii="Times New Roman" w:hAnsi="Times New Roman"/>
          <w:i/>
        </w:rPr>
        <w:t>c</w:t>
      </w:r>
      <w:r w:rsidRPr="00D53623">
        <w:rPr>
          <w:rFonts w:ascii="Times New Roman" w:hAnsi="Times New Roman"/>
          <w:i/>
        </w:rPr>
        <w:t>aso Carvajal y otros Vs. Colombia</w:t>
      </w:r>
      <w:r w:rsidRPr="00D53623">
        <w:rPr>
          <w:rFonts w:ascii="Times New Roman" w:hAnsi="Times New Roman"/>
        </w:rPr>
        <w:t>. Fondo, Reparaciones y Costas. Sentencia de 13 de marzo de 2018. Serie C No. 352, parágrafo 162</w:t>
      </w:r>
      <w:r>
        <w:rPr>
          <w:rFonts w:ascii="Times New Roman" w:hAnsi="Times New Roman"/>
        </w:rPr>
        <w:t xml:space="preserve">, en relación con la violación del derecho a la vida de un periodista (artículo 4.1 </w:t>
      </w:r>
      <w:r w:rsidRPr="00463C32">
        <w:rPr>
          <w:rFonts w:ascii="Times New Roman" w:hAnsi="Times New Roman"/>
          <w:i/>
        </w:rPr>
        <w:t>Convención Americana de Derechos Humanos</w:t>
      </w:r>
      <w:r>
        <w:rPr>
          <w:rFonts w:ascii="Times New Roman" w:hAnsi="Times New Roman"/>
        </w:rPr>
        <w:t>): aún cuando no quedó acreditada la participación de agentes estatales en el asesinato del Sr. Carvajal, la CIDH responsabilizó al Estado por el clima de impunidad reinante en Colombia por aquel entonces en relación con las ejecuciones de periodistas, 152 asesinados entre 1977 y 2015, situación que, ante la Corte, el propio Estado demandado había reconocido.</w:t>
      </w:r>
    </w:p>
  </w:footnote>
  <w:footnote w:id="36">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lang w:eastAsia="es-ES"/>
        </w:rPr>
        <w:t>Kontrovà c. Eslovaquia</w:t>
      </w:r>
      <w:r w:rsidRPr="00146807">
        <w:rPr>
          <w:rFonts w:ascii="Times New Roman" w:hAnsi="Times New Roman"/>
          <w:lang w:eastAsia="es-ES"/>
        </w:rPr>
        <w:t>, n. 7510/04, Sentencia de 31 de mayo de 2007. En esta Sentencia el TEDH también declaró la violación del artículo 13 (derecho a un recurso efectivo), al considerar que la demandante no pudo acceder a ninguna indemnización por no disponer de un recurso al efecto</w:t>
      </w:r>
      <w:r>
        <w:rPr>
          <w:rFonts w:ascii="Times New Roman" w:hAnsi="Times New Roman"/>
          <w:lang w:eastAsia="es-ES"/>
        </w:rPr>
        <w:t>.</w:t>
      </w:r>
    </w:p>
  </w:footnote>
  <w:footnote w:id="37">
    <w:p w:rsidR="0099654D" w:rsidRPr="00146807" w:rsidRDefault="0099654D" w:rsidP="0099654D">
      <w:pPr>
        <w:pStyle w:val="Textonotapie"/>
        <w:jc w:val="both"/>
        <w:rPr>
          <w:rFonts w:ascii="Times New Roman" w:hAnsi="Times New Roman"/>
          <w:lang w:eastAsia="es-ES"/>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hAnsi="Times New Roman"/>
          <w:i/>
          <w:lang w:eastAsia="es-ES"/>
        </w:rPr>
        <w:t>Branko Tomašić y otros c. Croacia</w:t>
      </w:r>
      <w:r>
        <w:rPr>
          <w:rFonts w:ascii="Times New Roman" w:hAnsi="Times New Roman"/>
          <w:lang w:eastAsia="es-ES"/>
        </w:rPr>
        <w:t xml:space="preserve">, </w:t>
      </w:r>
      <w:r w:rsidRPr="00146807">
        <w:rPr>
          <w:rFonts w:ascii="Times New Roman" w:hAnsi="Times New Roman"/>
          <w:lang w:eastAsia="es-ES"/>
        </w:rPr>
        <w:t>n. 46598/06, Sentencia de 15 de enero de 2009.</w:t>
      </w:r>
      <w:r w:rsidRPr="00146807">
        <w:rPr>
          <w:rFonts w:ascii="Times New Roman" w:hAnsi="Times New Roman"/>
        </w:rPr>
        <w:t xml:space="preserve"> </w:t>
      </w:r>
      <w:r w:rsidRPr="00146807">
        <w:rPr>
          <w:rFonts w:ascii="Times New Roman" w:hAnsi="Times New Roman"/>
          <w:lang w:eastAsia="es-ES"/>
        </w:rPr>
        <w:t>El TEDH estimó la demanda, declarando la violación del artículo 2, al entender que del informe psiquiátrico se derivaba la gravedad de las amenazas contra la madre y contra el niño, y que</w:t>
      </w:r>
      <w:r>
        <w:rPr>
          <w:rFonts w:ascii="Times New Roman" w:hAnsi="Times New Roman"/>
          <w:lang w:eastAsia="es-ES"/>
        </w:rPr>
        <w:t>,</w:t>
      </w:r>
      <w:r w:rsidRPr="00146807">
        <w:rPr>
          <w:rFonts w:ascii="Times New Roman" w:hAnsi="Times New Roman"/>
          <w:lang w:eastAsia="es-ES"/>
        </w:rPr>
        <w:t xml:space="preserve"> por lo tanto</w:t>
      </w:r>
      <w:r>
        <w:rPr>
          <w:rFonts w:ascii="Times New Roman" w:hAnsi="Times New Roman"/>
          <w:lang w:eastAsia="es-ES"/>
        </w:rPr>
        <w:t>,</w:t>
      </w:r>
      <w:r w:rsidRPr="00146807">
        <w:rPr>
          <w:rFonts w:ascii="Times New Roman" w:hAnsi="Times New Roman"/>
          <w:lang w:eastAsia="es-ES"/>
        </w:rPr>
        <w:t xml:space="preserve"> las autoridades croatas, conscientes del peligro, hubieron debido adoptar todas las medidas razonables para protegerlos.</w:t>
      </w:r>
    </w:p>
  </w:footnote>
  <w:footnote w:id="38">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eastAsia="Verdana" w:hAnsi="Times New Roman"/>
          <w:i/>
          <w:lang w:eastAsia="es-ES"/>
        </w:rPr>
        <w:t>Civek c. Turquía</w:t>
      </w:r>
      <w:r w:rsidRPr="00146807">
        <w:rPr>
          <w:rFonts w:ascii="Times New Roman" w:eastAsia="Verdana" w:hAnsi="Times New Roman"/>
          <w:lang w:eastAsia="es-ES"/>
        </w:rPr>
        <w:t>, n. 55354/11, Sentencia de 23 de febrero de 2016.</w:t>
      </w:r>
    </w:p>
  </w:footnote>
  <w:footnote w:id="39">
    <w:p w:rsidR="0099654D" w:rsidRPr="00146807" w:rsidRDefault="0099654D" w:rsidP="0099654D">
      <w:pPr>
        <w:tabs>
          <w:tab w:val="left" w:pos="426"/>
        </w:tabs>
        <w:spacing w:after="0" w:line="240" w:lineRule="auto"/>
        <w:jc w:val="both"/>
        <w:rPr>
          <w:rFonts w:ascii="Times New Roman" w:hAnsi="Times New Roman"/>
          <w:i/>
          <w:spacing w:val="-2"/>
          <w:sz w:val="20"/>
          <w:szCs w:val="20"/>
        </w:rPr>
      </w:pPr>
      <w:r w:rsidRPr="00146807">
        <w:rPr>
          <w:rStyle w:val="Refdenotaalpie"/>
          <w:rFonts w:ascii="Times New Roman" w:hAnsi="Times New Roman"/>
          <w:sz w:val="20"/>
          <w:szCs w:val="20"/>
        </w:rPr>
        <w:footnoteRef/>
      </w:r>
      <w:r>
        <w:rPr>
          <w:rFonts w:ascii="Times New Roman" w:hAnsi="Times New Roman"/>
          <w:sz w:val="20"/>
          <w:szCs w:val="20"/>
        </w:rPr>
        <w:t xml:space="preserve"> </w:t>
      </w:r>
      <w:r w:rsidRPr="00C12B82">
        <w:rPr>
          <w:rFonts w:ascii="Times New Roman" w:hAnsi="Times New Roman"/>
          <w:i/>
          <w:sz w:val="20"/>
          <w:szCs w:val="20"/>
        </w:rPr>
        <w:t>Caso Carvajal y otros Vs. Colombia</w:t>
      </w:r>
      <w:r w:rsidRPr="00C12B82">
        <w:rPr>
          <w:rFonts w:ascii="Times New Roman" w:hAnsi="Times New Roman"/>
          <w:sz w:val="20"/>
          <w:szCs w:val="20"/>
        </w:rPr>
        <w:t>,</w:t>
      </w:r>
      <w:r>
        <w:rPr>
          <w:rFonts w:ascii="Times New Roman" w:hAnsi="Times New Roman"/>
          <w:sz w:val="20"/>
          <w:szCs w:val="20"/>
        </w:rPr>
        <w:t xml:space="preserve"> cit.,</w:t>
      </w:r>
      <w:r w:rsidRPr="00C12B82">
        <w:rPr>
          <w:rFonts w:ascii="Times New Roman" w:hAnsi="Times New Roman"/>
          <w:sz w:val="20"/>
          <w:szCs w:val="20"/>
        </w:rPr>
        <w:t xml:space="preserve"> parágrafo 162. En el mismo sentido, </w:t>
      </w:r>
      <w:r w:rsidRPr="00146807">
        <w:rPr>
          <w:rFonts w:ascii="Times New Roman" w:hAnsi="Times New Roman"/>
          <w:i/>
          <w:sz w:val="20"/>
          <w:szCs w:val="20"/>
        </w:rPr>
        <w:t xml:space="preserve">Caso Velásquez Rodríguez Vs. Honduras. Fondo, </w:t>
      </w:r>
      <w:r>
        <w:rPr>
          <w:rFonts w:ascii="Times New Roman" w:eastAsia="Times New Roman" w:hAnsi="Times New Roman"/>
          <w:bCs/>
          <w:iCs/>
          <w:sz w:val="20"/>
          <w:szCs w:val="20"/>
          <w:lang w:val="es-GT" w:eastAsia="es-ES_tradnl"/>
        </w:rPr>
        <w:t>parágrafo</w:t>
      </w:r>
      <w:r w:rsidRPr="00146807">
        <w:rPr>
          <w:rFonts w:ascii="Times New Roman" w:eastAsia="Times New Roman" w:hAnsi="Times New Roman"/>
          <w:bCs/>
          <w:iCs/>
          <w:sz w:val="20"/>
          <w:szCs w:val="20"/>
          <w:lang w:val="es-GT" w:eastAsia="es-ES_tradnl"/>
        </w:rPr>
        <w:t xml:space="preserve"> 174, y </w:t>
      </w:r>
      <w:r w:rsidRPr="00146807">
        <w:rPr>
          <w:rFonts w:ascii="Times New Roman" w:eastAsia="Times New Roman" w:hAnsi="Times New Roman"/>
          <w:bCs/>
          <w:i/>
          <w:iCs/>
          <w:sz w:val="20"/>
          <w:szCs w:val="20"/>
          <w:lang w:eastAsia="es-ES_tradnl"/>
        </w:rPr>
        <w:t>Caso I.V. Vs. Bolivia</w:t>
      </w:r>
      <w:r w:rsidRPr="00146807">
        <w:rPr>
          <w:rFonts w:ascii="Times New Roman" w:eastAsia="Times New Roman" w:hAnsi="Times New Roman"/>
          <w:bCs/>
          <w:iCs/>
          <w:sz w:val="20"/>
          <w:szCs w:val="20"/>
          <w:lang w:eastAsia="es-ES_tradnl"/>
        </w:rPr>
        <w:t>. Excepciones Preliminares, Fondo, Reparaciones y Costas. Sentencia de 30 de noviembre</w:t>
      </w:r>
      <w:r>
        <w:rPr>
          <w:rFonts w:ascii="Times New Roman" w:eastAsia="Times New Roman" w:hAnsi="Times New Roman"/>
          <w:bCs/>
          <w:iCs/>
          <w:sz w:val="20"/>
          <w:szCs w:val="20"/>
          <w:lang w:eastAsia="es-ES_tradnl"/>
        </w:rPr>
        <w:t xml:space="preserve"> de 2016. Serie C No. 329, parágrafo 207.</w:t>
      </w:r>
    </w:p>
  </w:footnote>
  <w:footnote w:id="40">
    <w:p w:rsidR="0099654D" w:rsidRPr="00146807" w:rsidRDefault="0099654D" w:rsidP="0099654D">
      <w:pPr>
        <w:pStyle w:val="Textonotapie"/>
        <w:jc w:val="both"/>
        <w:rPr>
          <w:rFonts w:ascii="Times New Roman" w:hAnsi="Times New Roman"/>
        </w:rPr>
      </w:pPr>
      <w:r w:rsidRPr="00146807">
        <w:rPr>
          <w:rStyle w:val="Refdenotaalpie"/>
          <w:rFonts w:ascii="Times New Roman" w:hAnsi="Times New Roman"/>
        </w:rPr>
        <w:footnoteRef/>
      </w:r>
      <w:r w:rsidRPr="00146807">
        <w:rPr>
          <w:rFonts w:ascii="Times New Roman" w:hAnsi="Times New Roman"/>
        </w:rPr>
        <w:t xml:space="preserve"> </w:t>
      </w:r>
      <w:r w:rsidRPr="00146807">
        <w:rPr>
          <w:rFonts w:ascii="Times New Roman" w:eastAsia="Cambria" w:hAnsi="Times New Roman"/>
          <w:lang w:eastAsia="es-ES"/>
        </w:rPr>
        <w:t xml:space="preserve">Comité para la Eliminación de la Discriminación contra la Mujer de la ONU, en sus </w:t>
      </w:r>
      <w:r w:rsidRPr="00D1462F">
        <w:rPr>
          <w:rFonts w:ascii="Times New Roman" w:eastAsia="Cambria" w:hAnsi="Times New Roman"/>
          <w:i/>
          <w:lang w:eastAsia="es-ES"/>
        </w:rPr>
        <w:t>Observaciones finales sobre el noveno informe periódico de México</w:t>
      </w:r>
      <w:r w:rsidRPr="00146807">
        <w:rPr>
          <w:rFonts w:ascii="Times New Roman" w:eastAsia="Cambria" w:hAnsi="Times New Roman"/>
          <w:lang w:eastAsia="es-ES"/>
        </w:rPr>
        <w:t xml:space="preserve">, </w:t>
      </w:r>
      <w:r>
        <w:rPr>
          <w:rFonts w:ascii="Times New Roman" w:eastAsia="Cambria" w:hAnsi="Times New Roman"/>
          <w:lang w:eastAsia="es-ES"/>
        </w:rPr>
        <w:t>cit.</w:t>
      </w:r>
      <w:r w:rsidRPr="00146807">
        <w:rPr>
          <w:rFonts w:ascii="Times New Roman" w:eastAsia="Cambria" w:hAnsi="Times New Roman"/>
          <w:lang w:eastAsia="es-ES"/>
        </w:rPr>
        <w:t xml:space="preserve">. El Comité </w:t>
      </w:r>
      <w:r>
        <w:rPr>
          <w:rFonts w:ascii="Times New Roman" w:eastAsia="Cambria" w:hAnsi="Times New Roman"/>
          <w:lang w:eastAsia="es-ES"/>
        </w:rPr>
        <w:t>denuncia</w:t>
      </w:r>
      <w:r w:rsidRPr="00146807">
        <w:rPr>
          <w:rFonts w:ascii="Times New Roman" w:eastAsia="Cambria" w:hAnsi="Times New Roman"/>
          <w:lang w:eastAsia="es-ES"/>
        </w:rPr>
        <w:t xml:space="preserve"> </w:t>
      </w:r>
      <w:r w:rsidRPr="00146807">
        <w:rPr>
          <w:rFonts w:ascii="Times New Roman" w:eastAsia="Cambria" w:hAnsi="Times New Roman"/>
          <w:lang w:val="es-ES_tradnl" w:eastAsia="es-ES"/>
        </w:rPr>
        <w:t>esos delitos “a menudo son perpetrados por agentes estatales y no estatales, incluidos los grupos de delincuentes organizados”, advirtiendo “la alta incidencia de desapariciones forzadas que afectan a las mujeres, ya sean víctimas directas, cuando son ellas las desaparecidas, o indirectas, cuando quien desaparece es un familiar, en cuyo caso las mujeres suelen cargar con la responsabilidad no solo de buscar a la persona desaparecida e iniciar las investigaciones sino también de servir de sostén principal de la familia”, parágrafo 23.a), b), d) y parágrafo 24, apartados a), b), c) y g).</w:t>
      </w:r>
    </w:p>
  </w:footnote>
  <w:footnote w:id="41">
    <w:p w:rsidR="0099654D" w:rsidRPr="008D5C10" w:rsidRDefault="0099654D" w:rsidP="0099654D">
      <w:pPr>
        <w:pStyle w:val="Textonotapie"/>
        <w:jc w:val="both"/>
        <w:rPr>
          <w:rFonts w:ascii="Times New Roman" w:hAnsi="Times New Roman"/>
        </w:rPr>
      </w:pPr>
      <w:r w:rsidRPr="008D5C10">
        <w:rPr>
          <w:rStyle w:val="Refdenotaalpie"/>
          <w:rFonts w:ascii="Times New Roman" w:hAnsi="Times New Roman"/>
        </w:rPr>
        <w:footnoteRef/>
      </w:r>
      <w:r w:rsidRPr="008D5C10">
        <w:rPr>
          <w:rFonts w:ascii="Times New Roman" w:hAnsi="Times New Roman"/>
        </w:rPr>
        <w:t xml:space="preserve"> REINA, Elena, ARROYO, Lorena, y GALINDO, Jorge, “La doble pandemia de las víctimas de la violencia de género en México”, </w:t>
      </w:r>
      <w:r w:rsidRPr="008D5C10">
        <w:rPr>
          <w:rFonts w:ascii="Times New Roman" w:hAnsi="Times New Roman"/>
          <w:i/>
        </w:rPr>
        <w:t>El País</w:t>
      </w:r>
      <w:r w:rsidRPr="008D5C10">
        <w:rPr>
          <w:rFonts w:ascii="Times New Roman" w:hAnsi="Times New Roman"/>
        </w:rPr>
        <w:t>, 3 de julio de 2020.</w:t>
      </w:r>
    </w:p>
  </w:footnote>
  <w:footnote w:id="42">
    <w:p w:rsidR="0099654D" w:rsidRPr="008D5C10" w:rsidRDefault="0099654D" w:rsidP="0099654D">
      <w:pPr>
        <w:pStyle w:val="Textonotapie"/>
        <w:jc w:val="both"/>
        <w:rPr>
          <w:rFonts w:ascii="Times New Roman" w:hAnsi="Times New Roman"/>
        </w:rPr>
      </w:pPr>
      <w:r w:rsidRPr="008D5C10">
        <w:rPr>
          <w:rStyle w:val="Refdenotaalpie"/>
          <w:rFonts w:ascii="Times New Roman" w:hAnsi="Times New Roman"/>
        </w:rPr>
        <w:footnoteRef/>
      </w:r>
      <w:r w:rsidRPr="008D5C10">
        <w:rPr>
          <w:rFonts w:ascii="Times New Roman" w:hAnsi="Times New Roman"/>
        </w:rPr>
        <w:t xml:space="preserve"> Véase el capítulo de QUIÑONES ANDRADE, Rocío Guadalupe, </w:t>
      </w:r>
      <w:r w:rsidRPr="008D5C10">
        <w:rPr>
          <w:rFonts w:ascii="Times New Roman" w:hAnsi="Times New Roman"/>
          <w:i/>
        </w:rPr>
        <w:t>ob</w:t>
      </w:r>
      <w:r w:rsidRPr="008D5C10">
        <w:rPr>
          <w:rFonts w:ascii="Times New Roman" w:hAnsi="Times New Roman"/>
        </w:rPr>
        <w:t>. cit..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07C79"/>
    <w:multiLevelType w:val="hybridMultilevel"/>
    <w:tmpl w:val="83A24AE0"/>
    <w:lvl w:ilvl="0" w:tplc="F30E036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4D"/>
    <w:rsid w:val="000B409D"/>
    <w:rsid w:val="00195561"/>
    <w:rsid w:val="0042535B"/>
    <w:rsid w:val="004F0255"/>
    <w:rsid w:val="005E4DC8"/>
    <w:rsid w:val="007B69B7"/>
    <w:rsid w:val="008808BF"/>
    <w:rsid w:val="0099654D"/>
    <w:rsid w:val="00B44D6F"/>
    <w:rsid w:val="00E018E9"/>
    <w:rsid w:val="00E957C8"/>
    <w:rsid w:val="00F312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4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654D"/>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FA Fu?notente,Ca,C,ft"/>
    <w:basedOn w:val="Normal"/>
    <w:link w:val="TextonotapieCar"/>
    <w:uiPriority w:val="99"/>
    <w:unhideWhenUsed/>
    <w:qFormat/>
    <w:rsid w:val="0099654D"/>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uiPriority w:val="99"/>
    <w:rsid w:val="0099654D"/>
    <w:rPr>
      <w:rFonts w:ascii="Calibri" w:eastAsia="Calibri" w:hAnsi="Calibri" w:cs="Times New Roman"/>
      <w:sz w:val="20"/>
      <w:szCs w:val="20"/>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link w:val="4GChar"/>
    <w:uiPriority w:val="99"/>
    <w:qFormat/>
    <w:rsid w:val="0099654D"/>
    <w:rPr>
      <w:rFonts w:cs="Times New Roman"/>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99654D"/>
    <w:pPr>
      <w:spacing w:after="0" w:line="240" w:lineRule="auto"/>
      <w:jc w:val="both"/>
    </w:pPr>
    <w:rPr>
      <w:rFonts w:asciiTheme="minorHAnsi" w:eastAsiaTheme="minorHAnsi" w:hAnsiTheme="minorHAnsi"/>
      <w:vertAlign w:val="superscript"/>
    </w:rPr>
  </w:style>
  <w:style w:type="character" w:styleId="Hipervnculo">
    <w:name w:val="Hyperlink"/>
    <w:rsid w:val="0099654D"/>
    <w:rPr>
      <w:rFonts w:cs="Times New Roman"/>
      <w:color w:val="0000FF"/>
      <w:u w:val="single"/>
    </w:rPr>
  </w:style>
  <w:style w:type="character" w:styleId="Textoennegrita">
    <w:name w:val="Strong"/>
    <w:uiPriority w:val="22"/>
    <w:qFormat/>
    <w:rsid w:val="0099654D"/>
    <w:rPr>
      <w:rFonts w:cs="Times New Roman"/>
      <w:b/>
    </w:rPr>
  </w:style>
  <w:style w:type="paragraph" w:customStyle="1" w:styleId="footnotedescription">
    <w:name w:val="footnote description"/>
    <w:next w:val="Normal"/>
    <w:link w:val="footnotedescriptionChar"/>
    <w:hidden/>
    <w:rsid w:val="0099654D"/>
    <w:pPr>
      <w:spacing w:after="0" w:line="250" w:lineRule="auto"/>
      <w:ind w:left="360" w:hanging="360"/>
      <w:jc w:val="both"/>
    </w:pPr>
    <w:rPr>
      <w:rFonts w:ascii="Calibri" w:eastAsia="Calibri" w:hAnsi="Calibri" w:cs="Calibri"/>
      <w:color w:val="000000"/>
      <w:sz w:val="16"/>
      <w:lang w:eastAsia="es-ES"/>
    </w:rPr>
  </w:style>
  <w:style w:type="character" w:customStyle="1" w:styleId="footnotedescriptionChar">
    <w:name w:val="footnote description Char"/>
    <w:link w:val="footnotedescription"/>
    <w:rsid w:val="0099654D"/>
    <w:rPr>
      <w:rFonts w:ascii="Calibri" w:eastAsia="Calibri" w:hAnsi="Calibri" w:cs="Calibri"/>
      <w:color w:val="000000"/>
      <w:sz w:val="16"/>
      <w:lang w:eastAsia="es-ES"/>
    </w:rPr>
  </w:style>
  <w:style w:type="paragraph" w:customStyle="1" w:styleId="Default">
    <w:name w:val="Default"/>
    <w:rsid w:val="0099654D"/>
    <w:pPr>
      <w:autoSpaceDE w:val="0"/>
      <w:autoSpaceDN w:val="0"/>
      <w:adjustRightInd w:val="0"/>
      <w:spacing w:after="0" w:line="240" w:lineRule="auto"/>
    </w:pPr>
    <w:rPr>
      <w:rFonts w:ascii="Times New Roman" w:eastAsia="MS Mincho" w:hAnsi="Times New Roman" w:cs="Times New Roman"/>
      <w:color w:val="000000"/>
      <w:sz w:val="24"/>
      <w:szCs w:val="24"/>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4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654D"/>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FA Fu?notente,Ca,C,ft"/>
    <w:basedOn w:val="Normal"/>
    <w:link w:val="TextonotapieCar"/>
    <w:uiPriority w:val="99"/>
    <w:unhideWhenUsed/>
    <w:qFormat/>
    <w:rsid w:val="0099654D"/>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uiPriority w:val="99"/>
    <w:rsid w:val="0099654D"/>
    <w:rPr>
      <w:rFonts w:ascii="Calibri" w:eastAsia="Calibri" w:hAnsi="Calibri" w:cs="Times New Roman"/>
      <w:sz w:val="20"/>
      <w:szCs w:val="20"/>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link w:val="4GChar"/>
    <w:uiPriority w:val="99"/>
    <w:qFormat/>
    <w:rsid w:val="0099654D"/>
    <w:rPr>
      <w:rFonts w:cs="Times New Roman"/>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99654D"/>
    <w:pPr>
      <w:spacing w:after="0" w:line="240" w:lineRule="auto"/>
      <w:jc w:val="both"/>
    </w:pPr>
    <w:rPr>
      <w:rFonts w:asciiTheme="minorHAnsi" w:eastAsiaTheme="minorHAnsi" w:hAnsiTheme="minorHAnsi"/>
      <w:vertAlign w:val="superscript"/>
    </w:rPr>
  </w:style>
  <w:style w:type="character" w:styleId="Hipervnculo">
    <w:name w:val="Hyperlink"/>
    <w:rsid w:val="0099654D"/>
    <w:rPr>
      <w:rFonts w:cs="Times New Roman"/>
      <w:color w:val="0000FF"/>
      <w:u w:val="single"/>
    </w:rPr>
  </w:style>
  <w:style w:type="character" w:styleId="Textoennegrita">
    <w:name w:val="Strong"/>
    <w:uiPriority w:val="22"/>
    <w:qFormat/>
    <w:rsid w:val="0099654D"/>
    <w:rPr>
      <w:rFonts w:cs="Times New Roman"/>
      <w:b/>
    </w:rPr>
  </w:style>
  <w:style w:type="paragraph" w:customStyle="1" w:styleId="footnotedescription">
    <w:name w:val="footnote description"/>
    <w:next w:val="Normal"/>
    <w:link w:val="footnotedescriptionChar"/>
    <w:hidden/>
    <w:rsid w:val="0099654D"/>
    <w:pPr>
      <w:spacing w:after="0" w:line="250" w:lineRule="auto"/>
      <w:ind w:left="360" w:hanging="360"/>
      <w:jc w:val="both"/>
    </w:pPr>
    <w:rPr>
      <w:rFonts w:ascii="Calibri" w:eastAsia="Calibri" w:hAnsi="Calibri" w:cs="Calibri"/>
      <w:color w:val="000000"/>
      <w:sz w:val="16"/>
      <w:lang w:eastAsia="es-ES"/>
    </w:rPr>
  </w:style>
  <w:style w:type="character" w:customStyle="1" w:styleId="footnotedescriptionChar">
    <w:name w:val="footnote description Char"/>
    <w:link w:val="footnotedescription"/>
    <w:rsid w:val="0099654D"/>
    <w:rPr>
      <w:rFonts w:ascii="Calibri" w:eastAsia="Calibri" w:hAnsi="Calibri" w:cs="Calibri"/>
      <w:color w:val="000000"/>
      <w:sz w:val="16"/>
      <w:lang w:eastAsia="es-ES"/>
    </w:rPr>
  </w:style>
  <w:style w:type="paragraph" w:customStyle="1" w:styleId="Default">
    <w:name w:val="Default"/>
    <w:rsid w:val="0099654D"/>
    <w:pPr>
      <w:autoSpaceDE w:val="0"/>
      <w:autoSpaceDN w:val="0"/>
      <w:adjustRightInd w:val="0"/>
      <w:spacing w:after="0" w:line="240" w:lineRule="auto"/>
    </w:pPr>
    <w:rPr>
      <w:rFonts w:ascii="Times New Roman" w:eastAsia="MS Mincho" w:hAnsi="Times New Roman" w:cs="Times New Roman"/>
      <w:color w:val="000000"/>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ctj.org/es/our-work/transitional-justice-issues/justicia-de-genero" TargetMode="External"/><Relationship Id="rId1" Type="http://schemas.openxmlformats.org/officeDocument/2006/relationships/hyperlink" Target="mailto:juanmanuel.ulla@uca.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5868</Words>
  <Characters>32454</Characters>
  <Application>Microsoft Office Word</Application>
  <DocSecurity>0</DocSecurity>
  <Lines>601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2021-04-17T21:41:00Z</dcterms:created>
  <dcterms:modified xsi:type="dcterms:W3CDTF">2021-04-17T21:42:00Z</dcterms:modified>
</cp:coreProperties>
</file>