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3D2" w:rsidRPr="001B57B5" w:rsidRDefault="00ED13D2" w:rsidP="001F0E67">
      <w:pPr>
        <w:spacing w:line="276" w:lineRule="auto"/>
        <w:jc w:val="center"/>
        <w:rPr>
          <w:rFonts w:cs="Times New Roman"/>
          <w:b/>
          <w:bCs/>
          <w:color w:val="000000" w:themeColor="text1"/>
          <w:sz w:val="32"/>
          <w:szCs w:val="28"/>
        </w:rPr>
      </w:pPr>
      <w:r w:rsidRPr="001B57B5">
        <w:rPr>
          <w:b/>
          <w:sz w:val="32"/>
          <w:szCs w:val="28"/>
        </w:rPr>
        <w:t>Acoso predatorio (</w:t>
      </w:r>
      <w:r w:rsidRPr="001B57B5">
        <w:rPr>
          <w:b/>
          <w:i/>
          <w:sz w:val="32"/>
          <w:szCs w:val="28"/>
        </w:rPr>
        <w:t>stalking</w:t>
      </w:r>
      <w:r w:rsidRPr="001B57B5">
        <w:rPr>
          <w:b/>
          <w:sz w:val="32"/>
          <w:szCs w:val="28"/>
        </w:rPr>
        <w:t xml:space="preserve">) y violencia contra la mujer: a propósito del artículo 172 </w:t>
      </w:r>
      <w:r w:rsidRPr="001B57B5">
        <w:rPr>
          <w:b/>
          <w:i/>
          <w:sz w:val="32"/>
          <w:szCs w:val="28"/>
        </w:rPr>
        <w:t>ter</w:t>
      </w:r>
      <w:r w:rsidRPr="001B57B5">
        <w:rPr>
          <w:b/>
          <w:sz w:val="32"/>
          <w:szCs w:val="28"/>
        </w:rPr>
        <w:t xml:space="preserve"> del Código penal español</w:t>
      </w:r>
    </w:p>
    <w:p w:rsidR="00EE320B" w:rsidRDefault="00EE320B" w:rsidP="00EE320B">
      <w:pPr>
        <w:pStyle w:val="Sinespaciado"/>
      </w:pPr>
    </w:p>
    <w:p w:rsidR="00735E2A" w:rsidRPr="00EE320B" w:rsidRDefault="00735E2A" w:rsidP="00EE320B">
      <w:pPr>
        <w:spacing w:line="276" w:lineRule="auto"/>
        <w:jc w:val="center"/>
        <w:rPr>
          <w:rFonts w:cs="Times New Roman"/>
          <w:b/>
          <w:bCs/>
          <w:color w:val="000000" w:themeColor="text1"/>
          <w:sz w:val="28"/>
          <w:szCs w:val="24"/>
        </w:rPr>
      </w:pPr>
      <w:r w:rsidRPr="00EE320B">
        <w:rPr>
          <w:rFonts w:cs="Times New Roman"/>
          <w:b/>
          <w:bCs/>
          <w:color w:val="000000" w:themeColor="text1"/>
          <w:sz w:val="28"/>
          <w:szCs w:val="24"/>
        </w:rPr>
        <w:t>Cristian Sánchez Benítez</w:t>
      </w:r>
      <w:r w:rsidRPr="00EE320B">
        <w:rPr>
          <w:rStyle w:val="Refdenotaalpie"/>
          <w:rFonts w:cs="Times New Roman"/>
          <w:b/>
          <w:bCs/>
          <w:color w:val="000000" w:themeColor="text1"/>
          <w:sz w:val="28"/>
          <w:szCs w:val="24"/>
        </w:rPr>
        <w:footnoteReference w:id="1"/>
      </w:r>
    </w:p>
    <w:p w:rsidR="00EE320B" w:rsidRPr="006B0EE4" w:rsidRDefault="00EE320B" w:rsidP="00EE320B">
      <w:pPr>
        <w:pStyle w:val="Sinespaciado"/>
        <w:jc w:val="center"/>
        <w:rPr>
          <w:i/>
        </w:rPr>
      </w:pPr>
      <w:r w:rsidRPr="006B0EE4">
        <w:rPr>
          <w:i/>
        </w:rPr>
        <w:t>Doctor en Ciencias Sociales y Jurídicas (Derecho)</w:t>
      </w:r>
    </w:p>
    <w:p w:rsidR="00EE320B" w:rsidRPr="006B0EE4" w:rsidRDefault="00EE320B" w:rsidP="00EE320B">
      <w:pPr>
        <w:pStyle w:val="Sinespaciado"/>
        <w:jc w:val="center"/>
        <w:rPr>
          <w:i/>
          <w:szCs w:val="28"/>
        </w:rPr>
      </w:pPr>
      <w:r w:rsidRPr="006B0EE4">
        <w:rPr>
          <w:i/>
          <w:szCs w:val="28"/>
        </w:rPr>
        <w:t xml:space="preserve">Investigador </w:t>
      </w:r>
      <w:r w:rsidR="006B0EE4" w:rsidRPr="006B0EE4">
        <w:rPr>
          <w:rFonts w:cs="Times New Roman"/>
          <w:i/>
          <w:szCs w:val="28"/>
        </w:rPr>
        <w:t xml:space="preserve">del Área de Derecho penal de la Universidad de Cádiz </w:t>
      </w:r>
    </w:p>
    <w:p w:rsidR="001B57B5" w:rsidRDefault="001B57B5" w:rsidP="001B57B5">
      <w:pPr>
        <w:pStyle w:val="Sinespaciado"/>
      </w:pPr>
    </w:p>
    <w:p w:rsidR="00633451" w:rsidRPr="001F0E67" w:rsidRDefault="00ED13D2" w:rsidP="001F0E67">
      <w:pPr>
        <w:spacing w:line="276" w:lineRule="auto"/>
        <w:rPr>
          <w:szCs w:val="24"/>
        </w:rPr>
      </w:pPr>
      <w:r w:rsidRPr="001F0E67">
        <w:rPr>
          <w:rFonts w:cs="Times New Roman"/>
          <w:b/>
          <w:szCs w:val="24"/>
        </w:rPr>
        <w:t xml:space="preserve">Resumen: </w:t>
      </w:r>
      <w:r w:rsidRPr="001F0E67">
        <w:rPr>
          <w:rFonts w:cs="Times New Roman"/>
          <w:szCs w:val="24"/>
        </w:rPr>
        <w:t xml:space="preserve">En este </w:t>
      </w:r>
      <w:r w:rsidR="00772D56">
        <w:rPr>
          <w:rFonts w:cs="Times New Roman"/>
          <w:szCs w:val="24"/>
        </w:rPr>
        <w:t>trabajo</w:t>
      </w:r>
      <w:r w:rsidRPr="001F0E67">
        <w:rPr>
          <w:rFonts w:cs="Times New Roman"/>
          <w:szCs w:val="24"/>
        </w:rPr>
        <w:t xml:space="preserve"> se </w:t>
      </w:r>
      <w:r w:rsidR="005F6073" w:rsidRPr="001F0E67">
        <w:rPr>
          <w:rFonts w:cs="Times New Roman"/>
          <w:szCs w:val="24"/>
        </w:rPr>
        <w:t>estudia</w:t>
      </w:r>
      <w:r w:rsidRPr="001F0E67">
        <w:rPr>
          <w:rFonts w:cs="Times New Roman"/>
          <w:szCs w:val="24"/>
        </w:rPr>
        <w:t xml:space="preserve"> </w:t>
      </w:r>
      <w:r w:rsidR="005F6073" w:rsidRPr="001F0E67">
        <w:rPr>
          <w:szCs w:val="24"/>
        </w:rPr>
        <w:t xml:space="preserve">el delito de </w:t>
      </w:r>
      <w:r w:rsidR="005F6073" w:rsidRPr="001F0E67">
        <w:rPr>
          <w:i/>
          <w:szCs w:val="24"/>
        </w:rPr>
        <w:t>stalking</w:t>
      </w:r>
      <w:r w:rsidR="005F6073" w:rsidRPr="001F0E67">
        <w:rPr>
          <w:szCs w:val="24"/>
        </w:rPr>
        <w:t xml:space="preserve"> o acoso predatorio, </w:t>
      </w:r>
      <w:r w:rsidRPr="001F0E67">
        <w:rPr>
          <w:rFonts w:cs="Times New Roman"/>
          <w:szCs w:val="24"/>
        </w:rPr>
        <w:t xml:space="preserve">una de las novedades introducidas por la Ley </w:t>
      </w:r>
      <w:r w:rsidRPr="001F0E67">
        <w:rPr>
          <w:szCs w:val="24"/>
        </w:rPr>
        <w:t>Orgánica 1/2015 que modificó</w:t>
      </w:r>
      <w:r w:rsidR="005F6073" w:rsidRPr="001F0E67">
        <w:rPr>
          <w:szCs w:val="24"/>
        </w:rPr>
        <w:t xml:space="preserve"> el Código penal español. Esta Ley incluyó un nuevo artículo 172 </w:t>
      </w:r>
      <w:r w:rsidR="005F6073" w:rsidRPr="001F0E67">
        <w:rPr>
          <w:i/>
          <w:szCs w:val="24"/>
        </w:rPr>
        <w:t>ter</w:t>
      </w:r>
      <w:r w:rsidR="00772D56">
        <w:rPr>
          <w:szCs w:val="24"/>
        </w:rPr>
        <w:t xml:space="preserve"> en dicho </w:t>
      </w:r>
      <w:r w:rsidR="005F6073" w:rsidRPr="001F0E67">
        <w:rPr>
          <w:szCs w:val="24"/>
        </w:rPr>
        <w:t xml:space="preserve">Código para sancionar diversos comportamientos de hostigamiento cuando alteren gravemente </w:t>
      </w:r>
      <w:bookmarkStart w:id="0" w:name="_GoBack"/>
      <w:bookmarkEnd w:id="0"/>
      <w:r w:rsidR="005F6073" w:rsidRPr="001F0E67">
        <w:rPr>
          <w:szCs w:val="24"/>
        </w:rPr>
        <w:t xml:space="preserve">el desarrollo de la vida cotidiana de la víctima con penas de prisión y (alternativamente) de multa. En este estudio se lleva a cabo un análisis somero de </w:t>
      </w:r>
      <w:r w:rsidR="000F516E" w:rsidRPr="001F0E67">
        <w:rPr>
          <w:szCs w:val="24"/>
        </w:rPr>
        <w:t xml:space="preserve">algunos </w:t>
      </w:r>
      <w:r w:rsidR="005F6073" w:rsidRPr="001F0E67">
        <w:rPr>
          <w:szCs w:val="24"/>
        </w:rPr>
        <w:t>aspectos de</w:t>
      </w:r>
      <w:r w:rsidR="00750FBB" w:rsidRPr="001F0E67">
        <w:rPr>
          <w:szCs w:val="24"/>
        </w:rPr>
        <w:t xml:space="preserve"> los comportamientos</w:t>
      </w:r>
      <w:r w:rsidR="005F6073" w:rsidRPr="001F0E67">
        <w:rPr>
          <w:szCs w:val="24"/>
        </w:rPr>
        <w:t xml:space="preserve"> </w:t>
      </w:r>
      <w:r w:rsidR="00750FBB" w:rsidRPr="001F0E67">
        <w:rPr>
          <w:szCs w:val="24"/>
        </w:rPr>
        <w:t xml:space="preserve">de </w:t>
      </w:r>
      <w:r w:rsidR="00750FBB" w:rsidRPr="001F0E67">
        <w:rPr>
          <w:i/>
          <w:szCs w:val="24"/>
        </w:rPr>
        <w:t>stalking</w:t>
      </w:r>
      <w:r w:rsidR="00750FBB" w:rsidRPr="001F0E67">
        <w:rPr>
          <w:szCs w:val="24"/>
        </w:rPr>
        <w:t xml:space="preserve"> </w:t>
      </w:r>
      <w:r w:rsidR="005F6073" w:rsidRPr="001F0E67">
        <w:rPr>
          <w:szCs w:val="24"/>
        </w:rPr>
        <w:t xml:space="preserve">y de </w:t>
      </w:r>
      <w:r w:rsidR="000F516E" w:rsidRPr="001F0E67">
        <w:rPr>
          <w:szCs w:val="24"/>
        </w:rPr>
        <w:t>determinados</w:t>
      </w:r>
      <w:r w:rsidR="005F6073" w:rsidRPr="001F0E67">
        <w:rPr>
          <w:szCs w:val="24"/>
        </w:rPr>
        <w:t xml:space="preserve"> elementos del tipo</w:t>
      </w:r>
      <w:r w:rsidR="00327963">
        <w:rPr>
          <w:szCs w:val="24"/>
        </w:rPr>
        <w:t>,</w:t>
      </w:r>
      <w:r w:rsidR="005F6073" w:rsidRPr="001F0E67">
        <w:rPr>
          <w:szCs w:val="24"/>
        </w:rPr>
        <w:t xml:space="preserve"> </w:t>
      </w:r>
      <w:r w:rsidR="00FF7217" w:rsidRPr="001F0E67">
        <w:rPr>
          <w:szCs w:val="24"/>
        </w:rPr>
        <w:t>tomando en consideración su relación con la</w:t>
      </w:r>
      <w:r w:rsidR="005F6073" w:rsidRPr="001F0E67">
        <w:rPr>
          <w:szCs w:val="24"/>
        </w:rPr>
        <w:t xml:space="preserve"> violencia ejercida contra las mujeres. </w:t>
      </w:r>
      <w:r w:rsidR="00633451">
        <w:rPr>
          <w:szCs w:val="24"/>
        </w:rPr>
        <w:t xml:space="preserve">Asimismo, se analiza la propuesta de modificación del artículo 172 </w:t>
      </w:r>
      <w:r w:rsidR="00633451" w:rsidRPr="00633451">
        <w:rPr>
          <w:i/>
          <w:szCs w:val="24"/>
        </w:rPr>
        <w:t>ter</w:t>
      </w:r>
      <w:r w:rsidR="00633451">
        <w:rPr>
          <w:szCs w:val="24"/>
        </w:rPr>
        <w:t xml:space="preserve"> del Anteproyecto </w:t>
      </w:r>
      <w:r w:rsidR="00633451">
        <w:t>de Ley Orgánica de Garantía Integral de la Libertad Sexual.</w:t>
      </w:r>
    </w:p>
    <w:p w:rsidR="00ED13D2" w:rsidRPr="001F0E67" w:rsidRDefault="00ED13D2" w:rsidP="001F0E67">
      <w:pPr>
        <w:spacing w:line="276" w:lineRule="auto"/>
        <w:rPr>
          <w:rFonts w:cs="Times New Roman"/>
          <w:color w:val="000000" w:themeColor="text1"/>
          <w:szCs w:val="24"/>
          <w:lang w:val="en-US"/>
        </w:rPr>
      </w:pPr>
      <w:r w:rsidRPr="001F0E67">
        <w:rPr>
          <w:rFonts w:cs="Times New Roman"/>
          <w:b/>
          <w:color w:val="000000" w:themeColor="text1"/>
          <w:szCs w:val="24"/>
          <w:lang w:val="en-US"/>
        </w:rPr>
        <w:t xml:space="preserve">Abstract: </w:t>
      </w:r>
      <w:r w:rsidRPr="001F0E67">
        <w:rPr>
          <w:rFonts w:cs="Times New Roman"/>
          <w:color w:val="000000" w:themeColor="text1"/>
          <w:szCs w:val="24"/>
          <w:lang w:val="en-US"/>
        </w:rPr>
        <w:t xml:space="preserve">This </w:t>
      </w:r>
      <w:r w:rsidR="00772D56">
        <w:rPr>
          <w:rFonts w:cs="Times New Roman"/>
          <w:color w:val="000000" w:themeColor="text1"/>
          <w:szCs w:val="24"/>
          <w:lang w:val="en-US"/>
        </w:rPr>
        <w:t>work</w:t>
      </w:r>
      <w:r w:rsidRPr="001F0E67">
        <w:rPr>
          <w:rFonts w:cs="Times New Roman"/>
          <w:color w:val="000000" w:themeColor="text1"/>
          <w:szCs w:val="24"/>
          <w:lang w:val="en-US"/>
        </w:rPr>
        <w:t xml:space="preserve"> examines </w:t>
      </w:r>
      <w:r w:rsidR="00750FBB" w:rsidRPr="001F0E67">
        <w:rPr>
          <w:rFonts w:cs="Times New Roman"/>
          <w:color w:val="000000" w:themeColor="text1"/>
          <w:szCs w:val="24"/>
          <w:lang w:val="en-US"/>
        </w:rPr>
        <w:t xml:space="preserve">the crime of stalking, </w:t>
      </w:r>
      <w:r w:rsidRPr="001F0E67">
        <w:rPr>
          <w:rFonts w:cs="Times New Roman"/>
          <w:color w:val="000000" w:themeColor="text1"/>
          <w:szCs w:val="24"/>
          <w:lang w:val="en-US"/>
        </w:rPr>
        <w:t>one of the new inclusions introduced by Organic Law 1/2015, which mod</w:t>
      </w:r>
      <w:r w:rsidR="00750FBB" w:rsidRPr="001F0E67">
        <w:rPr>
          <w:rFonts w:cs="Times New Roman"/>
          <w:color w:val="000000" w:themeColor="text1"/>
          <w:szCs w:val="24"/>
          <w:lang w:val="en-US"/>
        </w:rPr>
        <w:t>ified the Spanish Criminal Code</w:t>
      </w:r>
      <w:r w:rsidR="00740160">
        <w:rPr>
          <w:rFonts w:cs="Times New Roman"/>
          <w:color w:val="000000" w:themeColor="text1"/>
          <w:szCs w:val="24"/>
          <w:lang w:val="en-US"/>
        </w:rPr>
        <w:t xml:space="preserve">. That </w:t>
      </w:r>
      <w:r w:rsidRPr="001F0E67">
        <w:rPr>
          <w:rFonts w:cs="Times New Roman"/>
          <w:color w:val="000000" w:themeColor="text1"/>
          <w:szCs w:val="24"/>
          <w:lang w:val="en-US"/>
        </w:rPr>
        <w:t xml:space="preserve">Law included a new article 172 </w:t>
      </w:r>
      <w:r w:rsidRPr="001F0E67">
        <w:rPr>
          <w:rFonts w:cs="Times New Roman"/>
          <w:i/>
          <w:color w:val="000000" w:themeColor="text1"/>
          <w:szCs w:val="24"/>
          <w:lang w:val="en-US"/>
        </w:rPr>
        <w:t>ter</w:t>
      </w:r>
      <w:r w:rsidRPr="001F0E67">
        <w:rPr>
          <w:rFonts w:cs="Times New Roman"/>
          <w:color w:val="000000" w:themeColor="text1"/>
          <w:szCs w:val="24"/>
          <w:lang w:val="en-US"/>
        </w:rPr>
        <w:t xml:space="preserve"> in said Code which came to punish various harassment behaviors when seriously altered the development of the victim's daily life</w:t>
      </w:r>
      <w:r w:rsidR="00750FBB" w:rsidRPr="001F0E67">
        <w:rPr>
          <w:rFonts w:cs="Times New Roman"/>
          <w:color w:val="000000" w:themeColor="text1"/>
          <w:szCs w:val="24"/>
          <w:lang w:val="en-US"/>
        </w:rPr>
        <w:t xml:space="preserve"> with prison sentences and (alternatively) fines</w:t>
      </w:r>
      <w:r w:rsidRPr="001F0E67">
        <w:rPr>
          <w:rFonts w:cs="Times New Roman"/>
          <w:color w:val="000000" w:themeColor="text1"/>
          <w:szCs w:val="24"/>
          <w:lang w:val="en-US"/>
        </w:rPr>
        <w:t xml:space="preserve">. </w:t>
      </w:r>
      <w:r w:rsidR="00750FBB" w:rsidRPr="001F0E67">
        <w:rPr>
          <w:rFonts w:cs="Times New Roman"/>
          <w:color w:val="000000" w:themeColor="text1"/>
          <w:szCs w:val="24"/>
          <w:lang w:val="en-US"/>
        </w:rPr>
        <w:t xml:space="preserve">In this study, a cursory analysis of </w:t>
      </w:r>
      <w:r w:rsidR="000F516E" w:rsidRPr="001F0E67">
        <w:rPr>
          <w:rFonts w:cs="Times New Roman"/>
          <w:color w:val="000000" w:themeColor="text1"/>
          <w:szCs w:val="24"/>
          <w:lang w:val="en-US"/>
        </w:rPr>
        <w:t xml:space="preserve">some </w:t>
      </w:r>
      <w:r w:rsidR="00750FBB" w:rsidRPr="001F0E67">
        <w:rPr>
          <w:rFonts w:cs="Times New Roman"/>
          <w:color w:val="000000" w:themeColor="text1"/>
          <w:szCs w:val="24"/>
          <w:lang w:val="en-US"/>
        </w:rPr>
        <w:t xml:space="preserve">aspects of stalking behaviors and of </w:t>
      </w:r>
      <w:r w:rsidR="000F516E" w:rsidRPr="001F0E67">
        <w:rPr>
          <w:rFonts w:cs="Times New Roman"/>
          <w:color w:val="000000" w:themeColor="text1"/>
          <w:szCs w:val="24"/>
          <w:lang w:val="en-US"/>
        </w:rPr>
        <w:t>certain</w:t>
      </w:r>
      <w:r w:rsidR="00750FBB" w:rsidRPr="001F0E67">
        <w:rPr>
          <w:rFonts w:cs="Times New Roman"/>
          <w:color w:val="000000" w:themeColor="text1"/>
          <w:szCs w:val="24"/>
          <w:lang w:val="en-US"/>
        </w:rPr>
        <w:t xml:space="preserve"> elements of the </w:t>
      </w:r>
      <w:r w:rsidR="000F516E" w:rsidRPr="001F0E67">
        <w:rPr>
          <w:rFonts w:cs="Times New Roman"/>
          <w:color w:val="000000" w:themeColor="text1"/>
          <w:szCs w:val="24"/>
          <w:lang w:val="en-US"/>
        </w:rPr>
        <w:t>precept</w:t>
      </w:r>
      <w:r w:rsidR="00750FBB" w:rsidRPr="001F0E67">
        <w:rPr>
          <w:rFonts w:cs="Times New Roman"/>
          <w:color w:val="000000" w:themeColor="text1"/>
          <w:szCs w:val="24"/>
          <w:lang w:val="en-US"/>
        </w:rPr>
        <w:t xml:space="preserve"> is carried out, taking into account their relationship with violence against women.</w:t>
      </w:r>
      <w:r w:rsidR="00633451">
        <w:rPr>
          <w:rFonts w:cs="Times New Roman"/>
          <w:color w:val="000000" w:themeColor="text1"/>
          <w:szCs w:val="24"/>
          <w:lang w:val="en-US"/>
        </w:rPr>
        <w:t xml:space="preserve"> </w:t>
      </w:r>
      <w:r w:rsidR="00633451" w:rsidRPr="00633451">
        <w:rPr>
          <w:rFonts w:cs="Times New Roman"/>
          <w:color w:val="000000" w:themeColor="text1"/>
          <w:szCs w:val="24"/>
          <w:lang w:val="en-US"/>
        </w:rPr>
        <w:t xml:space="preserve">Likewise, the proposed modification of article 172 </w:t>
      </w:r>
      <w:r w:rsidR="00633451" w:rsidRPr="00633451">
        <w:rPr>
          <w:rFonts w:cs="Times New Roman"/>
          <w:i/>
          <w:color w:val="000000" w:themeColor="text1"/>
          <w:szCs w:val="24"/>
          <w:lang w:val="en-US"/>
        </w:rPr>
        <w:t>ter</w:t>
      </w:r>
      <w:r w:rsidR="00633451" w:rsidRPr="00633451">
        <w:rPr>
          <w:rFonts w:cs="Times New Roman"/>
          <w:color w:val="000000" w:themeColor="text1"/>
          <w:szCs w:val="24"/>
          <w:lang w:val="en-US"/>
        </w:rPr>
        <w:t xml:space="preserve"> of the Draft Organic Law on the Total Guarantee of Sexual Freedom is analyzed.</w:t>
      </w:r>
    </w:p>
    <w:p w:rsidR="00ED13D2" w:rsidRDefault="00ED13D2" w:rsidP="001F0E67">
      <w:pPr>
        <w:spacing w:line="276" w:lineRule="auto"/>
        <w:rPr>
          <w:rFonts w:cs="Times New Roman"/>
          <w:color w:val="000000" w:themeColor="text1"/>
          <w:szCs w:val="24"/>
        </w:rPr>
      </w:pPr>
      <w:r w:rsidRPr="001F0E67">
        <w:rPr>
          <w:rFonts w:cs="Times New Roman"/>
          <w:b/>
          <w:color w:val="000000" w:themeColor="text1"/>
          <w:szCs w:val="24"/>
        </w:rPr>
        <w:t xml:space="preserve">Palabras Clave: </w:t>
      </w:r>
      <w:r w:rsidRPr="001F0E67">
        <w:rPr>
          <w:rFonts w:cs="Times New Roman"/>
          <w:i/>
          <w:color w:val="000000" w:themeColor="text1"/>
          <w:szCs w:val="24"/>
        </w:rPr>
        <w:t>stalking</w:t>
      </w:r>
      <w:r w:rsidRPr="001F0E67">
        <w:rPr>
          <w:rFonts w:cs="Times New Roman"/>
          <w:b/>
          <w:color w:val="000000" w:themeColor="text1"/>
          <w:szCs w:val="24"/>
        </w:rPr>
        <w:t xml:space="preserve"> </w:t>
      </w:r>
      <w:r w:rsidRPr="001F0E67">
        <w:rPr>
          <w:rFonts w:cs="Times New Roman"/>
          <w:color w:val="000000" w:themeColor="text1"/>
          <w:szCs w:val="24"/>
        </w:rPr>
        <w:t xml:space="preserve">– acoso – Ley Orgánica 1/2015 – </w:t>
      </w:r>
      <w:r w:rsidR="00D21F7D" w:rsidRPr="001F0E67">
        <w:rPr>
          <w:rFonts w:cs="Times New Roman"/>
          <w:color w:val="000000" w:themeColor="text1"/>
          <w:szCs w:val="24"/>
        </w:rPr>
        <w:t>violencia de género</w:t>
      </w:r>
      <w:r w:rsidR="00633451">
        <w:rPr>
          <w:rFonts w:cs="Times New Roman"/>
          <w:color w:val="000000" w:themeColor="text1"/>
          <w:szCs w:val="24"/>
        </w:rPr>
        <w:t xml:space="preserve"> </w:t>
      </w:r>
      <w:r w:rsidRPr="001F0E67">
        <w:rPr>
          <w:rFonts w:cs="Times New Roman"/>
          <w:b/>
          <w:color w:val="000000" w:themeColor="text1"/>
          <w:szCs w:val="24"/>
          <w:lang w:val="en-US"/>
        </w:rPr>
        <w:t xml:space="preserve">Keywords: </w:t>
      </w:r>
      <w:r w:rsidRPr="001F0E67">
        <w:rPr>
          <w:rFonts w:cs="Times New Roman"/>
          <w:color w:val="000000" w:themeColor="text1"/>
          <w:szCs w:val="24"/>
          <w:lang w:val="en-US"/>
        </w:rPr>
        <w:t>stalking</w:t>
      </w:r>
      <w:r w:rsidRPr="001F0E67">
        <w:rPr>
          <w:rFonts w:cs="Times New Roman"/>
          <w:b/>
          <w:color w:val="000000" w:themeColor="text1"/>
          <w:szCs w:val="24"/>
          <w:lang w:val="en-US"/>
        </w:rPr>
        <w:t xml:space="preserve"> </w:t>
      </w:r>
      <w:r w:rsidRPr="001F0E67">
        <w:rPr>
          <w:rFonts w:cs="Times New Roman"/>
          <w:color w:val="000000" w:themeColor="text1"/>
          <w:szCs w:val="24"/>
          <w:lang w:val="en-US"/>
        </w:rPr>
        <w:t xml:space="preserve">– harassment – Organic Law 1/2015 – </w:t>
      </w:r>
      <w:r w:rsidR="00D21F7D" w:rsidRPr="001F0E67">
        <w:rPr>
          <w:rFonts w:cs="Times New Roman"/>
          <w:color w:val="000000" w:themeColor="text1"/>
          <w:szCs w:val="24"/>
        </w:rPr>
        <w:t>gender violence</w:t>
      </w:r>
    </w:p>
    <w:p w:rsidR="001376E5" w:rsidRPr="00104043" w:rsidRDefault="001376E5" w:rsidP="00104043">
      <w:r w:rsidRPr="00104043">
        <w:rPr>
          <w:rFonts w:cs="Times New Roman"/>
          <w:b/>
          <w:color w:val="000000" w:themeColor="text1"/>
        </w:rPr>
        <w:t xml:space="preserve">Sumario: </w:t>
      </w:r>
      <w:r w:rsidR="00104043" w:rsidRPr="00104043">
        <w:rPr>
          <w:rFonts w:cs="Times New Roman"/>
          <w:color w:val="000000" w:themeColor="text1"/>
        </w:rPr>
        <w:t xml:space="preserve">I. Introducción. II. </w:t>
      </w:r>
      <w:r w:rsidR="00104043" w:rsidRPr="00104043">
        <w:rPr>
          <w:rFonts w:cs="Times New Roman"/>
          <w:i/>
          <w:color w:val="000000" w:themeColor="text1"/>
        </w:rPr>
        <w:t>Stalking</w:t>
      </w:r>
      <w:r w:rsidR="00104043" w:rsidRPr="00104043">
        <w:rPr>
          <w:rFonts w:cs="Times New Roman"/>
          <w:color w:val="000000" w:themeColor="text1"/>
        </w:rPr>
        <w:t xml:space="preserve"> y </w:t>
      </w:r>
      <w:r w:rsidR="00104043" w:rsidRPr="00104043">
        <w:t xml:space="preserve">violencia de género: consideraciones previas. III. El delito de acoso predatorio o </w:t>
      </w:r>
      <w:r w:rsidR="00104043" w:rsidRPr="00104043">
        <w:rPr>
          <w:i/>
        </w:rPr>
        <w:t>stalking</w:t>
      </w:r>
      <w:r w:rsidR="00104043" w:rsidRPr="00104043">
        <w:t xml:space="preserve"> en el ordenamiento jurídico español </w:t>
      </w:r>
      <w:r w:rsidR="004B2983">
        <w:t>como manifestación de</w:t>
      </w:r>
      <w:r w:rsidR="00104043" w:rsidRPr="00104043">
        <w:t xml:space="preserve"> violencia contra la mujer. A. Sujetos activo y pasivo del delito. B. S</w:t>
      </w:r>
      <w:r w:rsidR="00864609">
        <w:t>ubtipos agravados y penalidad. IV</w:t>
      </w:r>
      <w:r w:rsidR="00104043" w:rsidRPr="00104043">
        <w:t>. El artículo 172 ter del Código penal en el Anteproyecto de Ley Orgánica de Garantía Integral de la Libertad Sexual. IV. Conclusiones. V. Bibliografía.</w:t>
      </w:r>
    </w:p>
    <w:p w:rsidR="00513894" w:rsidRPr="001F0E67" w:rsidRDefault="00513894" w:rsidP="001F0E67">
      <w:pPr>
        <w:pStyle w:val="Ttulo1"/>
        <w:spacing w:line="276" w:lineRule="auto"/>
        <w:rPr>
          <w:szCs w:val="24"/>
        </w:rPr>
      </w:pPr>
      <w:r w:rsidRPr="001F0E67">
        <w:rPr>
          <w:szCs w:val="24"/>
        </w:rPr>
        <w:lastRenderedPageBreak/>
        <w:t>Introducción</w:t>
      </w:r>
    </w:p>
    <w:p w:rsidR="00466D2A" w:rsidRDefault="00466D2A" w:rsidP="00466D2A">
      <w:pPr>
        <w:pStyle w:val="Sinespaciado"/>
      </w:pPr>
    </w:p>
    <w:p w:rsidR="00AA1723" w:rsidRPr="00AA1723" w:rsidRDefault="00AA1723" w:rsidP="00AA1723">
      <w:pPr>
        <w:spacing w:line="276" w:lineRule="auto"/>
        <w:rPr>
          <w:rFonts w:cs="Times New Roman"/>
          <w:color w:val="000000"/>
          <w:szCs w:val="24"/>
        </w:rPr>
      </w:pPr>
      <w:r w:rsidRPr="00AA1723">
        <w:rPr>
          <w:rFonts w:cs="Times New Roman"/>
          <w:szCs w:val="24"/>
        </w:rPr>
        <w:t>El 30 de marzo de 2015 se aprobaba la Ley Orgánica 1/2015 de reforma del Código penal, entrando en vigor el 1 de julio de ese mismo año</w:t>
      </w:r>
      <w:r w:rsidR="00A84519">
        <w:rPr>
          <w:rFonts w:cs="Times New Roman"/>
          <w:szCs w:val="24"/>
        </w:rPr>
        <w:t>. Esta Ley</w:t>
      </w:r>
      <w:r w:rsidRPr="00AA1723">
        <w:rPr>
          <w:rFonts w:cs="Times New Roman"/>
          <w:szCs w:val="24"/>
        </w:rPr>
        <w:t xml:space="preserve"> introdujo un nuevo delito en el artículo 172 </w:t>
      </w:r>
      <w:r w:rsidRPr="00AA1723">
        <w:rPr>
          <w:rFonts w:cs="Times New Roman"/>
          <w:i/>
          <w:szCs w:val="24"/>
        </w:rPr>
        <w:t>ter</w:t>
      </w:r>
      <w:r w:rsidR="00A84519">
        <w:rPr>
          <w:rFonts w:cs="Times New Roman"/>
          <w:szCs w:val="24"/>
        </w:rPr>
        <w:t>,</w:t>
      </w:r>
      <w:r w:rsidRPr="00AA1723">
        <w:rPr>
          <w:rFonts w:cs="Times New Roman"/>
          <w:szCs w:val="24"/>
        </w:rPr>
        <w:t xml:space="preserve"> que en su apartado primero castiga con “</w:t>
      </w:r>
      <w:r w:rsidRPr="00AA1723">
        <w:rPr>
          <w:rFonts w:cs="Times New Roman"/>
          <w:color w:val="000000"/>
          <w:szCs w:val="24"/>
        </w:rPr>
        <w:t xml:space="preserve">la pena de prisión de tres meses a dos años o multa de seis a veinticuatro meses al que acose a una persona llevando a cabo de forma insistente y reiterada, y sin estar legítimamente autorizado, alguna de las conductas siguientes y, de este modo, altere gravemente el desarrollo de su vida cotidiana: 1.ª La vigile, la persiga o busque su cercanía física. 2.ª Establezca o intente establecer contacto con ella a través de cualquier medio de comunicación, o por medio de terceras personas. 3.ª Mediante el uso indebido de sus datos personales, adquiera productos o mercancías, o contrate servicios, o haga que terceras personas se pongan en contacto con ella. 4.ª Atente contra su libertad o contra su patrimonio, o contra la libertad o patrimonio de otra persona próxima a ella”. Se añade </w:t>
      </w:r>
      <w:r>
        <w:rPr>
          <w:rFonts w:cs="Times New Roman"/>
          <w:color w:val="000000"/>
          <w:szCs w:val="24"/>
        </w:rPr>
        <w:t xml:space="preserve">en el último párrafo de este apartado </w:t>
      </w:r>
      <w:r w:rsidRPr="00AA1723">
        <w:rPr>
          <w:rFonts w:cs="Times New Roman"/>
          <w:color w:val="000000"/>
          <w:szCs w:val="24"/>
        </w:rPr>
        <w:t>que “si se trata de una persona especialmente vulnerable por razón de su edad, enfermedad o situación, se impondrá la pena de prisión de seis meses a dos años</w:t>
      </w:r>
      <w:r w:rsidR="008F0EC3">
        <w:rPr>
          <w:rFonts w:cs="Times New Roman"/>
          <w:color w:val="000000"/>
          <w:szCs w:val="24"/>
        </w:rPr>
        <w:t>”</w:t>
      </w:r>
      <w:r w:rsidRPr="00AA1723">
        <w:rPr>
          <w:rFonts w:cs="Times New Roman"/>
          <w:color w:val="000000"/>
          <w:szCs w:val="24"/>
        </w:rPr>
        <w:t xml:space="preserve">. </w:t>
      </w:r>
    </w:p>
    <w:p w:rsidR="00AA1723" w:rsidRPr="00AA1723" w:rsidRDefault="00AA1723" w:rsidP="00AA1723">
      <w:pPr>
        <w:spacing w:line="276" w:lineRule="auto"/>
        <w:rPr>
          <w:rFonts w:cs="Times New Roman"/>
          <w:color w:val="000000"/>
          <w:szCs w:val="24"/>
        </w:rPr>
      </w:pPr>
      <w:r w:rsidRPr="00AA1723">
        <w:rPr>
          <w:rFonts w:cs="Times New Roman"/>
          <w:color w:val="000000"/>
          <w:szCs w:val="24"/>
        </w:rPr>
        <w:t>Por su parte, el apartado segundo contiene un subtipo agravado al establecer que “cuando el ofendido fuere alguna de las personas a las que se refiere el apartado 2 del artículo 173, se impondrá una pena de prisión de uno a dos años, o trabajos en beneficio de la comunidad de sesenta a ciento veinte días”. Además, se indica que “en este caso no será necesaria la denuncia a que se refiere el apartado 4 de este artículo”.</w:t>
      </w:r>
    </w:p>
    <w:p w:rsidR="00AA1723" w:rsidRDefault="00AA1723" w:rsidP="00AA1723">
      <w:pPr>
        <w:spacing w:line="276" w:lineRule="auto"/>
        <w:rPr>
          <w:rFonts w:cs="Times New Roman"/>
          <w:color w:val="000000"/>
          <w:szCs w:val="24"/>
        </w:rPr>
      </w:pPr>
      <w:r w:rsidRPr="00AA1723">
        <w:rPr>
          <w:rFonts w:cs="Times New Roman"/>
          <w:color w:val="000000"/>
          <w:szCs w:val="24"/>
        </w:rPr>
        <w:t xml:space="preserve">El apartado tercero contiene una regla concursal por cuanto señala que “las penas previstas en este artículo se impondrán sin perjuicio de las que pudieran corresponder a los delitos en que se hubieran concretado los actos de acoso” </w:t>
      </w:r>
      <w:r w:rsidR="008F4748" w:rsidRPr="00AA1723">
        <w:rPr>
          <w:rFonts w:cs="Times New Roman"/>
          <w:color w:val="000000"/>
          <w:szCs w:val="24"/>
        </w:rPr>
        <w:t>y,</w:t>
      </w:r>
      <w:r w:rsidRPr="00AA1723">
        <w:rPr>
          <w:rFonts w:cs="Times New Roman"/>
          <w:color w:val="000000"/>
          <w:szCs w:val="24"/>
        </w:rPr>
        <w:t xml:space="preserve"> por último, el apartado cuarto añade un requisito de perseguibilidad al disponer que “los hechos descritos en este artículo sólo serán perseguibles mediante denuncia de la persona agraviada o de su representante legal”.</w:t>
      </w:r>
    </w:p>
    <w:p w:rsidR="00130A45" w:rsidRPr="00AA1723" w:rsidRDefault="00130A45" w:rsidP="00130A45">
      <w:pPr>
        <w:pStyle w:val="Ttulo1"/>
      </w:pPr>
      <w:r w:rsidRPr="00130A45">
        <w:rPr>
          <w:i/>
        </w:rPr>
        <w:t>Stalking</w:t>
      </w:r>
      <w:r>
        <w:t xml:space="preserve"> y violencia de género: consideraciones previas</w:t>
      </w:r>
    </w:p>
    <w:p w:rsidR="004F4708" w:rsidRDefault="004F4708" w:rsidP="004F4708">
      <w:pPr>
        <w:pStyle w:val="Sinespaciado"/>
      </w:pPr>
    </w:p>
    <w:p w:rsidR="008F4748" w:rsidRDefault="00130A45" w:rsidP="00AA1723">
      <w:pPr>
        <w:spacing w:line="276" w:lineRule="auto"/>
        <w:rPr>
          <w:bCs/>
          <w:szCs w:val="24"/>
        </w:rPr>
      </w:pPr>
      <w:r>
        <w:rPr>
          <w:rFonts w:cs="Times New Roman"/>
          <w:szCs w:val="24"/>
        </w:rPr>
        <w:t>La penalización de las</w:t>
      </w:r>
      <w:r w:rsidR="00AA1723" w:rsidRPr="001F0E67">
        <w:rPr>
          <w:rFonts w:cs="Times New Roman"/>
          <w:szCs w:val="24"/>
        </w:rPr>
        <w:t xml:space="preserve"> conductas </w:t>
      </w:r>
      <w:r>
        <w:rPr>
          <w:rFonts w:cs="Times New Roman"/>
          <w:szCs w:val="24"/>
        </w:rPr>
        <w:t xml:space="preserve">de </w:t>
      </w:r>
      <w:r w:rsidRPr="00130A45">
        <w:rPr>
          <w:rFonts w:cs="Times New Roman"/>
          <w:i/>
          <w:szCs w:val="24"/>
        </w:rPr>
        <w:t>stalking</w:t>
      </w:r>
      <w:r>
        <w:rPr>
          <w:rFonts w:cs="Times New Roman"/>
          <w:szCs w:val="24"/>
        </w:rPr>
        <w:t xml:space="preserve"> </w:t>
      </w:r>
      <w:r w:rsidR="00AA1723" w:rsidRPr="001F0E67">
        <w:rPr>
          <w:rFonts w:cs="Times New Roman"/>
          <w:szCs w:val="24"/>
        </w:rPr>
        <w:t>surgió de la</w:t>
      </w:r>
      <w:r w:rsidR="00AA1723" w:rsidRPr="001F0E67">
        <w:rPr>
          <w:bCs/>
          <w:szCs w:val="24"/>
        </w:rPr>
        <w:t xml:space="preserve"> necesidad de adecuar la legislación española </w:t>
      </w:r>
      <w:r w:rsidR="00AA1723">
        <w:rPr>
          <w:bCs/>
          <w:szCs w:val="24"/>
        </w:rPr>
        <w:t xml:space="preserve">a </w:t>
      </w:r>
      <w:r w:rsidR="00AA1723" w:rsidRPr="001F0E67">
        <w:rPr>
          <w:bCs/>
          <w:szCs w:val="24"/>
        </w:rPr>
        <w:t>las recomendaciones nacidas de la ratificación del Convenio del Consejo de Europa sobre Prevención y lucha contra la violencia contra las mujeres y violencia doméstica, de 11 de mayo de 2011</w:t>
      </w:r>
      <w:r w:rsidR="00AA1723" w:rsidRPr="001F0E67">
        <w:rPr>
          <w:rStyle w:val="Refdenotaalpie"/>
          <w:bCs/>
          <w:szCs w:val="24"/>
        </w:rPr>
        <w:footnoteReference w:id="2"/>
      </w:r>
      <w:r w:rsidR="00AA1723" w:rsidRPr="001F0E67">
        <w:rPr>
          <w:bCs/>
          <w:szCs w:val="24"/>
        </w:rPr>
        <w:t xml:space="preserve"> (conocido como el Convenio de Estambul)</w:t>
      </w:r>
      <w:r w:rsidR="00AA1723" w:rsidRPr="001F0E67">
        <w:rPr>
          <w:rStyle w:val="Refdenotaalpie"/>
          <w:bCs/>
          <w:szCs w:val="24"/>
        </w:rPr>
        <w:footnoteReference w:id="3"/>
      </w:r>
      <w:r w:rsidR="00AA1723" w:rsidRPr="001F0E67">
        <w:rPr>
          <w:bCs/>
          <w:szCs w:val="24"/>
        </w:rPr>
        <w:t>, aunque este acuerdo no fue ratificado por España hasta junio de 2014, dos años después de la publicación el Anteproyecto</w:t>
      </w:r>
      <w:r w:rsidR="00466D2A">
        <w:rPr>
          <w:bCs/>
          <w:szCs w:val="24"/>
        </w:rPr>
        <w:t xml:space="preserve"> de reforma del Código penal de 2012, primer precedente prelegislativo de la Ley Orgánica 1/2015.</w:t>
      </w:r>
    </w:p>
    <w:p w:rsidR="00AA1723" w:rsidRDefault="00AA1723" w:rsidP="00AA1723">
      <w:pPr>
        <w:spacing w:line="276" w:lineRule="auto"/>
        <w:rPr>
          <w:bCs/>
          <w:szCs w:val="24"/>
        </w:rPr>
      </w:pPr>
      <w:r w:rsidRPr="001F0E67">
        <w:rPr>
          <w:bCs/>
          <w:szCs w:val="24"/>
        </w:rPr>
        <w:t>De este modo, la voluntad legislativa de su introducción en 2012 en aquel texto prelegislativo no deriva específicamente de ninguna obligación internacional asumida con anterioridad por el Reino de España, sino de las obligaciones que preveía asumir con posterioridad, esto es, con la ratificación futura y previsible del Convenio, que finalmente se produjo en 2014</w:t>
      </w:r>
      <w:r w:rsidRPr="001F0E67">
        <w:rPr>
          <w:rStyle w:val="Refdenotaalpie"/>
          <w:bCs/>
          <w:szCs w:val="24"/>
        </w:rPr>
        <w:footnoteReference w:id="4"/>
      </w:r>
      <w:r w:rsidRPr="001F0E67">
        <w:rPr>
          <w:bCs/>
          <w:szCs w:val="24"/>
        </w:rPr>
        <w:t>. No obstante, debe matizarse que el Convenio citado en su artículo 78 permite a los Estados no tipificar penalmente tales conductas siempre y cuando las sancionen civilmente</w:t>
      </w:r>
      <w:r w:rsidRPr="001F0E67">
        <w:rPr>
          <w:rStyle w:val="Refdenotaalpie"/>
          <w:bCs/>
          <w:szCs w:val="24"/>
        </w:rPr>
        <w:footnoteReference w:id="5"/>
      </w:r>
      <w:r w:rsidRPr="001F0E67">
        <w:rPr>
          <w:bCs/>
          <w:szCs w:val="24"/>
        </w:rPr>
        <w:t>.</w:t>
      </w:r>
    </w:p>
    <w:p w:rsidR="00197089" w:rsidRDefault="008F4748" w:rsidP="00E836D6">
      <w:pPr>
        <w:spacing w:line="276" w:lineRule="auto"/>
      </w:pPr>
      <w:r>
        <w:rPr>
          <w:szCs w:val="24"/>
        </w:rPr>
        <w:t>Que la penalización de estas conductas de hostigamiento se produzca como consecuencia de los compromisos asumidos por España contenidos en el</w:t>
      </w:r>
      <w:r w:rsidR="00AA1723" w:rsidRPr="008F4748">
        <w:rPr>
          <w:szCs w:val="24"/>
        </w:rPr>
        <w:t xml:space="preserve"> Convenio de Estambul </w:t>
      </w:r>
      <w:r>
        <w:rPr>
          <w:szCs w:val="24"/>
        </w:rPr>
        <w:t>resulta</w:t>
      </w:r>
      <w:r w:rsidR="00AA1723" w:rsidRPr="008F4748">
        <w:rPr>
          <w:szCs w:val="24"/>
        </w:rPr>
        <w:t xml:space="preserve"> un </w:t>
      </w:r>
      <w:r w:rsidR="00A30BA0">
        <w:rPr>
          <w:szCs w:val="24"/>
        </w:rPr>
        <w:t xml:space="preserve">claro </w:t>
      </w:r>
      <w:r w:rsidR="00AA1723" w:rsidRPr="008F4748">
        <w:rPr>
          <w:szCs w:val="24"/>
        </w:rPr>
        <w:t xml:space="preserve">indicio de que </w:t>
      </w:r>
      <w:r>
        <w:rPr>
          <w:szCs w:val="24"/>
        </w:rPr>
        <w:t xml:space="preserve">con aquella se persigue fundamentalmente el castigo de determinados comportamientos que sufren mayoritariamente mujeres a manos de hombres, entendiéndose así el </w:t>
      </w:r>
      <w:r w:rsidRPr="008F4748">
        <w:rPr>
          <w:i/>
          <w:szCs w:val="24"/>
        </w:rPr>
        <w:t>stalking</w:t>
      </w:r>
      <w:r>
        <w:rPr>
          <w:szCs w:val="24"/>
        </w:rPr>
        <w:t xml:space="preserve"> como una manifest</w:t>
      </w:r>
      <w:r w:rsidR="00466D2A">
        <w:rPr>
          <w:szCs w:val="24"/>
        </w:rPr>
        <w:t>ación de la violencia de género</w:t>
      </w:r>
      <w:r w:rsidR="00A84519">
        <w:rPr>
          <w:szCs w:val="24"/>
        </w:rPr>
        <w:t>,</w:t>
      </w:r>
      <w:r>
        <w:rPr>
          <w:szCs w:val="24"/>
        </w:rPr>
        <w:t xml:space="preserve"> en un sentido más amplio que el otorgado por el artículo 1.1 de la Ley Orgánica </w:t>
      </w:r>
      <w:r w:rsidR="00466D2A" w:rsidRPr="00466D2A">
        <w:rPr>
          <w:szCs w:val="24"/>
        </w:rPr>
        <w:t>1/2004, de 28 de dici</w:t>
      </w:r>
      <w:r w:rsidR="00466D2A">
        <w:rPr>
          <w:szCs w:val="24"/>
        </w:rPr>
        <w:t xml:space="preserve">embre, de Medidas de Protección </w:t>
      </w:r>
      <w:r w:rsidR="00466D2A" w:rsidRPr="00466D2A">
        <w:rPr>
          <w:szCs w:val="24"/>
        </w:rPr>
        <w:t>Integral contra la Violencia de Género</w:t>
      </w:r>
      <w:r w:rsidR="00466D2A">
        <w:rPr>
          <w:rStyle w:val="Refdenotaalpie"/>
          <w:szCs w:val="24"/>
        </w:rPr>
        <w:footnoteReference w:id="6"/>
      </w:r>
      <w:r>
        <w:rPr>
          <w:szCs w:val="24"/>
        </w:rPr>
        <w:t xml:space="preserve">. </w:t>
      </w:r>
      <w:r w:rsidR="003D3367">
        <w:rPr>
          <w:szCs w:val="24"/>
        </w:rPr>
        <w:t xml:space="preserve">Esto es, entendiendo por violencia de género la violencia ejercida sobre la </w:t>
      </w:r>
      <w:r w:rsidR="004D6CAC">
        <w:rPr>
          <w:szCs w:val="24"/>
        </w:rPr>
        <w:t xml:space="preserve">mujer </w:t>
      </w:r>
      <w:r w:rsidR="003D3367">
        <w:rPr>
          <w:szCs w:val="24"/>
        </w:rPr>
        <w:t>por el hecho de ser mujer</w:t>
      </w:r>
      <w:r w:rsidR="004D6CAC">
        <w:rPr>
          <w:szCs w:val="24"/>
        </w:rPr>
        <w:t xml:space="preserve"> y</w:t>
      </w:r>
      <w:r w:rsidR="003D3367">
        <w:rPr>
          <w:szCs w:val="24"/>
        </w:rPr>
        <w:t xml:space="preserve"> la que sufren de manera desproporcionada las mujeres</w:t>
      </w:r>
      <w:r w:rsidR="004D6CAC">
        <w:rPr>
          <w:szCs w:val="24"/>
        </w:rPr>
        <w:t xml:space="preserve"> (v. gr. conductas de </w:t>
      </w:r>
      <w:r w:rsidR="004D6CAC" w:rsidRPr="004D6CAC">
        <w:rPr>
          <w:i/>
          <w:szCs w:val="24"/>
        </w:rPr>
        <w:t>stalking</w:t>
      </w:r>
      <w:r w:rsidR="004D6CAC">
        <w:rPr>
          <w:szCs w:val="24"/>
        </w:rPr>
        <w:t>)</w:t>
      </w:r>
      <w:r w:rsidR="00F47B6F">
        <w:rPr>
          <w:rStyle w:val="Refdenotaalpie"/>
          <w:szCs w:val="24"/>
        </w:rPr>
        <w:footnoteReference w:id="7"/>
      </w:r>
      <w:r w:rsidR="004D6CAC">
        <w:rPr>
          <w:szCs w:val="24"/>
        </w:rPr>
        <w:t xml:space="preserve">. </w:t>
      </w:r>
      <w:r w:rsidR="00197089">
        <w:rPr>
          <w:szCs w:val="24"/>
        </w:rPr>
        <w:t>En este sentido,</w:t>
      </w:r>
      <w:r w:rsidR="00466D2A">
        <w:rPr>
          <w:szCs w:val="24"/>
        </w:rPr>
        <w:t xml:space="preserve"> como se indicará </w:t>
      </w:r>
      <w:r w:rsidR="00466D2A" w:rsidRPr="00466D2A">
        <w:rPr>
          <w:i/>
          <w:szCs w:val="24"/>
        </w:rPr>
        <w:t>infra</w:t>
      </w:r>
      <w:r w:rsidR="00466D2A">
        <w:rPr>
          <w:szCs w:val="24"/>
        </w:rPr>
        <w:t xml:space="preserve">, aunque las conductas de hostigamiento que sufren las mujeres son realizadas </w:t>
      </w:r>
      <w:r w:rsidR="00FF5AEC">
        <w:rPr>
          <w:szCs w:val="24"/>
        </w:rPr>
        <w:t xml:space="preserve">en buena medida por </w:t>
      </w:r>
      <w:r w:rsidR="00466D2A">
        <w:rPr>
          <w:szCs w:val="24"/>
        </w:rPr>
        <w:t>hombres que mantienen o mantuvieron una relación sentimental con aquellas</w:t>
      </w:r>
      <w:r w:rsidR="00FF5AEC">
        <w:rPr>
          <w:rStyle w:val="Refdenotaalpie"/>
          <w:szCs w:val="24"/>
        </w:rPr>
        <w:footnoteReference w:id="8"/>
      </w:r>
      <w:r w:rsidR="00466D2A">
        <w:rPr>
          <w:szCs w:val="24"/>
        </w:rPr>
        <w:t xml:space="preserve">, no son de ningún modo casos aislados los </w:t>
      </w:r>
      <w:r w:rsidR="00E278F7">
        <w:rPr>
          <w:szCs w:val="24"/>
        </w:rPr>
        <w:t xml:space="preserve">casos </w:t>
      </w:r>
      <w:r w:rsidR="00466D2A">
        <w:rPr>
          <w:szCs w:val="24"/>
        </w:rPr>
        <w:t>protagonizados por hombres desconocidos</w:t>
      </w:r>
      <w:r w:rsidR="00E278F7">
        <w:rPr>
          <w:szCs w:val="24"/>
        </w:rPr>
        <w:t xml:space="preserve"> por las víctimas</w:t>
      </w:r>
      <w:r w:rsidR="00466D2A">
        <w:rPr>
          <w:szCs w:val="24"/>
        </w:rPr>
        <w:t xml:space="preserve"> o que, aun siendo conocidos, no han mantenido ningún tipo de relación </w:t>
      </w:r>
      <w:r w:rsidR="00E278F7">
        <w:rPr>
          <w:szCs w:val="24"/>
        </w:rPr>
        <w:t xml:space="preserve">de afectividad </w:t>
      </w:r>
      <w:r w:rsidR="00466D2A">
        <w:rPr>
          <w:szCs w:val="24"/>
        </w:rPr>
        <w:t xml:space="preserve">con </w:t>
      </w:r>
      <w:r w:rsidR="00130A45">
        <w:rPr>
          <w:szCs w:val="24"/>
        </w:rPr>
        <w:t>ellas</w:t>
      </w:r>
      <w:r w:rsidR="00347503">
        <w:rPr>
          <w:szCs w:val="24"/>
        </w:rPr>
        <w:t xml:space="preserve">, como por ejemplo personas que intentan entablar una relación con aquellas o </w:t>
      </w:r>
      <w:r w:rsidR="00130A45">
        <w:rPr>
          <w:szCs w:val="24"/>
        </w:rPr>
        <w:t xml:space="preserve">meros </w:t>
      </w:r>
      <w:r w:rsidR="00347503">
        <w:rPr>
          <w:szCs w:val="24"/>
        </w:rPr>
        <w:t>admiradores</w:t>
      </w:r>
      <w:r w:rsidR="00347503">
        <w:rPr>
          <w:rStyle w:val="Refdenotaalpie"/>
          <w:szCs w:val="24"/>
        </w:rPr>
        <w:footnoteReference w:id="9"/>
      </w:r>
      <w:r w:rsidR="00466D2A">
        <w:rPr>
          <w:szCs w:val="24"/>
        </w:rPr>
        <w:t>.</w:t>
      </w:r>
      <w:r w:rsidR="00AD10B5">
        <w:rPr>
          <w:szCs w:val="24"/>
        </w:rPr>
        <w:t xml:space="preserve"> </w:t>
      </w:r>
      <w:r w:rsidR="00466D2A">
        <w:rPr>
          <w:szCs w:val="24"/>
        </w:rPr>
        <w:t xml:space="preserve"> Además, to</w:t>
      </w:r>
      <w:r>
        <w:rPr>
          <w:szCs w:val="24"/>
        </w:rPr>
        <w:t>do ello sin perjuicio de que, como se verá a continuación, el delito, en su actual configuración típica, permita que pueda ser cometido por mujeres</w:t>
      </w:r>
      <w:r w:rsidR="00466D2A">
        <w:rPr>
          <w:szCs w:val="24"/>
        </w:rPr>
        <w:t xml:space="preserve">. De hecho, existen pronunciamientos judiciales que condenan a mujeres como autoras de un delito de </w:t>
      </w:r>
      <w:r w:rsidR="00466D2A" w:rsidRPr="00466D2A">
        <w:rPr>
          <w:i/>
          <w:szCs w:val="24"/>
        </w:rPr>
        <w:t>stalking</w:t>
      </w:r>
      <w:r w:rsidR="00466D2A" w:rsidRPr="00466D2A">
        <w:rPr>
          <w:szCs w:val="24"/>
        </w:rPr>
        <w:t xml:space="preserve"> (</w:t>
      </w:r>
      <w:r w:rsidR="00466D2A">
        <w:rPr>
          <w:szCs w:val="24"/>
        </w:rPr>
        <w:t xml:space="preserve">v. gr. la </w:t>
      </w:r>
      <w:r w:rsidR="00466D2A" w:rsidRPr="00466D2A">
        <w:rPr>
          <w:rFonts w:cs="Times New Roman"/>
          <w:szCs w:val="24"/>
        </w:rPr>
        <w:t>Sentencia de la Audiencia Provincial de Madrid 344/2017, de 20 de junio)</w:t>
      </w:r>
      <w:r w:rsidR="00466D2A" w:rsidRPr="00466D2A">
        <w:rPr>
          <w:szCs w:val="24"/>
        </w:rPr>
        <w:t>.</w:t>
      </w:r>
      <w:r w:rsidR="00E836D6" w:rsidRPr="00E836D6">
        <w:t xml:space="preserve"> </w:t>
      </w:r>
      <w:r w:rsidR="00E836D6">
        <w:t>De este modo, e</w:t>
      </w:r>
      <w:r w:rsidR="00E836D6" w:rsidRPr="00E278F7">
        <w:t xml:space="preserve">l legislador español concibe el </w:t>
      </w:r>
      <w:r w:rsidR="00E836D6" w:rsidRPr="00E278F7">
        <w:rPr>
          <w:i/>
        </w:rPr>
        <w:t>stalking</w:t>
      </w:r>
      <w:r w:rsidR="00E836D6" w:rsidRPr="00E278F7">
        <w:t xml:space="preserve"> como un fenómeno </w:t>
      </w:r>
      <w:r w:rsidR="00E836D6">
        <w:t xml:space="preserve">muy relacionado con la violencia sobre la mujer. </w:t>
      </w:r>
    </w:p>
    <w:p w:rsidR="00E836D6" w:rsidRPr="00197089" w:rsidRDefault="00E836D6" w:rsidP="00E836D6">
      <w:pPr>
        <w:spacing w:line="276" w:lineRule="auto"/>
        <w:rPr>
          <w:szCs w:val="24"/>
        </w:rPr>
      </w:pPr>
      <w:r>
        <w:t xml:space="preserve">En trabajos previos aún no publicados he partido del estudio global del delito de </w:t>
      </w:r>
      <w:r w:rsidRPr="00731E48">
        <w:rPr>
          <w:i/>
        </w:rPr>
        <w:t>stalking</w:t>
      </w:r>
      <w:r>
        <w:t xml:space="preserve"> desde un punto de vista jurídico-penal para finalizar con una propuesta de modificación </w:t>
      </w:r>
      <w:r w:rsidR="008020D9">
        <w:t xml:space="preserve">completa </w:t>
      </w:r>
      <w:r>
        <w:t>del precepto, basada en buena parte en las críticas y en los planteamientos doctrinales previos coincidentes. En este artículo, por razones de espacio y por la temática del Congreso al que se adscribe, únicamente se analizan los aspectos del delito relacionados con la violencia sobre la mujer. En este sentido, son varios los elementos de la regulación que deben ser tomados en consideración. Así, se someten a examen las disposiciones relativas a los sujetos activo y pasivo</w:t>
      </w:r>
      <w:r w:rsidR="008020D9">
        <w:t xml:space="preserve"> del delito y</w:t>
      </w:r>
      <w:r>
        <w:t xml:space="preserve"> a </w:t>
      </w:r>
      <w:r w:rsidR="008020D9">
        <w:t>los subtipos agravados y</w:t>
      </w:r>
      <w:r>
        <w:t xml:space="preserve"> la penalidad y</w:t>
      </w:r>
      <w:r w:rsidR="008020D9">
        <w:t>,</w:t>
      </w:r>
      <w:r>
        <w:t xml:space="preserve"> por último, se comenta brevemente la propuesta de modificación del artículo referido contenida en el Anteproyecto de Ley Orgánica de Garantía Integral de la Libertad Sexual</w:t>
      </w:r>
      <w:r w:rsidR="008020D9">
        <w:t xml:space="preserve"> de 2020.</w:t>
      </w:r>
      <w:r>
        <w:t xml:space="preserve"> </w:t>
      </w:r>
    </w:p>
    <w:p w:rsidR="00E278F7" w:rsidRDefault="00513894" w:rsidP="001F0E67">
      <w:pPr>
        <w:pStyle w:val="Ttulo1"/>
        <w:spacing w:line="276" w:lineRule="auto"/>
        <w:rPr>
          <w:szCs w:val="24"/>
        </w:rPr>
      </w:pPr>
      <w:r w:rsidRPr="001F0E67">
        <w:rPr>
          <w:szCs w:val="24"/>
        </w:rPr>
        <w:t xml:space="preserve">El delito de acoso predatorio o </w:t>
      </w:r>
      <w:r w:rsidRPr="00130A45">
        <w:rPr>
          <w:i/>
          <w:szCs w:val="24"/>
        </w:rPr>
        <w:t>stalking</w:t>
      </w:r>
      <w:r w:rsidRPr="001F0E67">
        <w:rPr>
          <w:szCs w:val="24"/>
        </w:rPr>
        <w:t xml:space="preserve"> en el ordenamiento jurídico español</w:t>
      </w:r>
      <w:r w:rsidR="00AA1723">
        <w:rPr>
          <w:szCs w:val="24"/>
        </w:rPr>
        <w:t xml:space="preserve"> </w:t>
      </w:r>
      <w:r w:rsidR="004B2983">
        <w:rPr>
          <w:szCs w:val="24"/>
        </w:rPr>
        <w:t>como manifestación de</w:t>
      </w:r>
      <w:r w:rsidR="00AA1723">
        <w:rPr>
          <w:szCs w:val="24"/>
        </w:rPr>
        <w:t xml:space="preserve"> violencia contra la mujer</w:t>
      </w:r>
    </w:p>
    <w:p w:rsidR="00E278F7" w:rsidRPr="000932AA" w:rsidRDefault="00E278F7" w:rsidP="000932AA">
      <w:pPr>
        <w:pStyle w:val="Sinespaciado"/>
      </w:pPr>
    </w:p>
    <w:p w:rsidR="008020D9" w:rsidRDefault="008020D9" w:rsidP="008020D9">
      <w:pPr>
        <w:pStyle w:val="Ttulo2"/>
      </w:pPr>
      <w:r>
        <w:t>Sujetos activo y pasivo del delito</w:t>
      </w:r>
    </w:p>
    <w:p w:rsidR="00EE320B" w:rsidRDefault="00EE320B" w:rsidP="00EE320B">
      <w:pPr>
        <w:pStyle w:val="Sinespaciado"/>
      </w:pPr>
    </w:p>
    <w:p w:rsidR="008020D9" w:rsidRPr="001F0E67" w:rsidRDefault="008020D9" w:rsidP="008020D9">
      <w:pPr>
        <w:spacing w:line="276" w:lineRule="auto"/>
        <w:rPr>
          <w:szCs w:val="24"/>
        </w:rPr>
      </w:pPr>
      <w:r w:rsidRPr="001F0E67">
        <w:rPr>
          <w:szCs w:val="24"/>
        </w:rPr>
        <w:t xml:space="preserve">Como indica VILLACAMPA ESTIARTE, la lucha contra la violencia de género </w:t>
      </w:r>
      <w:r w:rsidR="00A30BA0">
        <w:rPr>
          <w:szCs w:val="24"/>
        </w:rPr>
        <w:t>fue la razón que justificó</w:t>
      </w:r>
      <w:r w:rsidRPr="001F0E67">
        <w:rPr>
          <w:szCs w:val="24"/>
        </w:rPr>
        <w:t xml:space="preserve"> la inclusión del precepto</w:t>
      </w:r>
      <w:r w:rsidRPr="001F0E67">
        <w:rPr>
          <w:rStyle w:val="Refdenotaalpie"/>
          <w:szCs w:val="24"/>
        </w:rPr>
        <w:footnoteReference w:id="10"/>
      </w:r>
      <w:r w:rsidRPr="001F0E67">
        <w:rPr>
          <w:szCs w:val="24"/>
        </w:rPr>
        <w:t xml:space="preserve">, pese a que el tipo del artículo 172 </w:t>
      </w:r>
      <w:r w:rsidRPr="001F0E67">
        <w:rPr>
          <w:i/>
          <w:szCs w:val="24"/>
        </w:rPr>
        <w:t>ter</w:t>
      </w:r>
      <w:r w:rsidRPr="001F0E67">
        <w:rPr>
          <w:szCs w:val="24"/>
        </w:rPr>
        <w:t xml:space="preserve"> no constituya una muestra de Derecho penal sexuado</w:t>
      </w:r>
      <w:r w:rsidRPr="001F0E67">
        <w:rPr>
          <w:rStyle w:val="Refdenotaalpie"/>
          <w:szCs w:val="24"/>
        </w:rPr>
        <w:footnoteReference w:id="11"/>
      </w:r>
      <w:r w:rsidRPr="001F0E67">
        <w:rPr>
          <w:szCs w:val="24"/>
        </w:rPr>
        <w:t>. Se trata por tanto de un delito común (se emplea la expresión “el que…” para referirse al sujeto pasivo y “persona” en relación con el sujeto pasivo</w:t>
      </w:r>
      <w:r w:rsidRPr="001F0E67">
        <w:rPr>
          <w:rStyle w:val="Refdenotaalpie"/>
          <w:szCs w:val="24"/>
        </w:rPr>
        <w:footnoteReference w:id="12"/>
      </w:r>
      <w:r w:rsidRPr="001F0E67">
        <w:rPr>
          <w:szCs w:val="24"/>
        </w:rPr>
        <w:t xml:space="preserve">). </w:t>
      </w:r>
    </w:p>
    <w:p w:rsidR="008020D9" w:rsidRPr="001F0E67" w:rsidRDefault="008020D9" w:rsidP="008020D9">
      <w:pPr>
        <w:spacing w:line="276" w:lineRule="auto"/>
        <w:rPr>
          <w:szCs w:val="24"/>
        </w:rPr>
      </w:pPr>
      <w:r w:rsidRPr="001F0E67">
        <w:rPr>
          <w:szCs w:val="24"/>
        </w:rPr>
        <w:t>El tipo no exige ninguna especial condición ni en el sujeto activo ni en el sujeto pasivo del delito</w:t>
      </w:r>
      <w:r w:rsidRPr="001F0E67">
        <w:rPr>
          <w:rStyle w:val="Refdenotaalpie"/>
          <w:szCs w:val="24"/>
        </w:rPr>
        <w:footnoteReference w:id="13"/>
      </w:r>
      <w:r w:rsidRPr="001F0E67">
        <w:rPr>
          <w:szCs w:val="24"/>
        </w:rPr>
        <w:t xml:space="preserve">, salvo en los dos subtipos agravados, que se basan precisamente en la vulnerabilidad del sujeto pasivo y en la especial relación de aquel con el autor (referencia al artículo 173.2 del Código penal), respectivamente. </w:t>
      </w:r>
    </w:p>
    <w:p w:rsidR="008020D9" w:rsidRPr="001F0E67" w:rsidRDefault="008020D9" w:rsidP="008020D9">
      <w:pPr>
        <w:spacing w:line="276" w:lineRule="auto"/>
        <w:rPr>
          <w:szCs w:val="24"/>
        </w:rPr>
      </w:pPr>
      <w:r w:rsidRPr="001F0E67">
        <w:rPr>
          <w:szCs w:val="24"/>
        </w:rPr>
        <w:t xml:space="preserve">No obstante, los estudios realizados en España y </w:t>
      </w:r>
      <w:r w:rsidR="00235C46">
        <w:rPr>
          <w:szCs w:val="24"/>
        </w:rPr>
        <w:t xml:space="preserve">en </w:t>
      </w:r>
      <w:r w:rsidRPr="001F0E67">
        <w:rPr>
          <w:szCs w:val="24"/>
        </w:rPr>
        <w:t>otros países</w:t>
      </w:r>
      <w:r w:rsidRPr="001F0E67">
        <w:rPr>
          <w:rStyle w:val="Refdenotaalpie"/>
          <w:szCs w:val="24"/>
        </w:rPr>
        <w:footnoteReference w:id="14"/>
      </w:r>
      <w:r w:rsidRPr="001F0E67">
        <w:rPr>
          <w:szCs w:val="24"/>
        </w:rPr>
        <w:t xml:space="preserve"> ponen de manifiesto que los sujetos activos del delito son por lo general hombres y los sujetos pasivos mujeres, si bie</w:t>
      </w:r>
      <w:r w:rsidR="00235C46">
        <w:rPr>
          <w:szCs w:val="24"/>
        </w:rPr>
        <w:t>n también se dan en la práctica</w:t>
      </w:r>
      <w:r w:rsidRPr="001F0E67">
        <w:rPr>
          <w:szCs w:val="24"/>
        </w:rPr>
        <w:t xml:space="preserve"> supuestos en sentido contrario. Por ejemplo, en</w:t>
      </w:r>
      <w:r w:rsidRPr="001F0E67">
        <w:rPr>
          <w:rFonts w:cs="Times New Roman"/>
          <w:szCs w:val="24"/>
        </w:rPr>
        <w:t xml:space="preserve"> la Sentencia de la Audiencia Provincial de Madrid 344/2017, de 20 de junio, la condenada es una mujer y la víctima su exmarido</w:t>
      </w:r>
      <w:r w:rsidRPr="001F0E67">
        <w:rPr>
          <w:rStyle w:val="Refdenotaalpie"/>
          <w:szCs w:val="24"/>
        </w:rPr>
        <w:footnoteReference w:id="15"/>
      </w:r>
      <w:r w:rsidRPr="001F0E67">
        <w:rPr>
          <w:szCs w:val="24"/>
        </w:rPr>
        <w:t>.</w:t>
      </w:r>
    </w:p>
    <w:p w:rsidR="008020D9" w:rsidRDefault="008020D9" w:rsidP="008020D9">
      <w:pPr>
        <w:spacing w:line="276" w:lineRule="auto"/>
        <w:rPr>
          <w:rFonts w:cs="Times New Roman"/>
          <w:i/>
          <w:szCs w:val="24"/>
        </w:rPr>
      </w:pPr>
      <w:r w:rsidRPr="001F0E67">
        <w:rPr>
          <w:szCs w:val="24"/>
        </w:rPr>
        <w:t>Así, según el trabajo de FERNÁNDEZ CRUZ y AGUSTINA sobre una muestra de 151 resoluciones judiciales en España, se obtiene que el 94,8% de los acosadores son hombres y el 89,7% de las víctimas son mujeres</w:t>
      </w:r>
      <w:r w:rsidRPr="001F0E67">
        <w:rPr>
          <w:rStyle w:val="Refdenotaalpie"/>
          <w:szCs w:val="24"/>
        </w:rPr>
        <w:footnoteReference w:id="16"/>
      </w:r>
      <w:r w:rsidRPr="001F0E67">
        <w:rPr>
          <w:szCs w:val="24"/>
        </w:rPr>
        <w:t xml:space="preserve">. En otro estudio realizado por PUJOLS PÉREZ y VILLACAMPA ESTIARTE sobre determinados aspectos victimológicos del </w:t>
      </w:r>
      <w:r w:rsidRPr="001F0E67">
        <w:rPr>
          <w:i/>
          <w:szCs w:val="24"/>
        </w:rPr>
        <w:t>stalking</w:t>
      </w:r>
      <w:r w:rsidR="00235C46">
        <w:rPr>
          <w:szCs w:val="24"/>
        </w:rPr>
        <w:t xml:space="preserve"> en España, se obtiene</w:t>
      </w:r>
      <w:r w:rsidRPr="001F0E67">
        <w:rPr>
          <w:szCs w:val="24"/>
        </w:rPr>
        <w:t xml:space="preserve"> que el 19,7% de las víctimas son hombres frente al 80,3% de mujeres víctimas</w:t>
      </w:r>
      <w:r w:rsidRPr="001F0E67">
        <w:rPr>
          <w:rStyle w:val="Refdenotaalpie"/>
          <w:szCs w:val="24"/>
        </w:rPr>
        <w:footnoteReference w:id="17"/>
      </w:r>
      <w:r w:rsidRPr="001F0E67">
        <w:rPr>
          <w:szCs w:val="24"/>
        </w:rPr>
        <w:t xml:space="preserve">. Por otra parte, en un estudio realizado sobre población universitaria española, VILLACAMPA ESTIARTE y PUJOLS PÉREZ encuentran “una fuerte asociación entre las variables sexo del </w:t>
      </w:r>
      <w:r w:rsidRPr="001F0E67">
        <w:rPr>
          <w:i/>
          <w:iCs/>
          <w:szCs w:val="24"/>
        </w:rPr>
        <w:t xml:space="preserve">stalker </w:t>
      </w:r>
      <w:r w:rsidRPr="001F0E67">
        <w:rPr>
          <w:szCs w:val="24"/>
        </w:rPr>
        <w:t xml:space="preserve">y relación víctima-ofensor, de manera que en acosos producidos por personas muy próximas a la víctima o por extraños la mayoría de </w:t>
      </w:r>
      <w:r w:rsidRPr="001F0E67">
        <w:rPr>
          <w:i/>
          <w:iCs/>
          <w:szCs w:val="24"/>
        </w:rPr>
        <w:t xml:space="preserve">stalkers </w:t>
      </w:r>
      <w:r w:rsidRPr="001F0E67">
        <w:rPr>
          <w:szCs w:val="24"/>
        </w:rPr>
        <w:t xml:space="preserve">son hombres, mientras en relaciones menos próximas la proporción de </w:t>
      </w:r>
      <w:r w:rsidRPr="001F0E67">
        <w:rPr>
          <w:i/>
          <w:iCs/>
          <w:szCs w:val="24"/>
        </w:rPr>
        <w:t xml:space="preserve">stalkers </w:t>
      </w:r>
      <w:r w:rsidRPr="001F0E67">
        <w:rPr>
          <w:szCs w:val="24"/>
        </w:rPr>
        <w:t>por sexos no está tan desequilibrada”</w:t>
      </w:r>
      <w:r w:rsidRPr="001F0E67">
        <w:rPr>
          <w:rStyle w:val="Refdenotaalpie"/>
          <w:szCs w:val="24"/>
        </w:rPr>
        <w:footnoteReference w:id="18"/>
      </w:r>
      <w:r w:rsidRPr="001F0E67">
        <w:rPr>
          <w:rFonts w:cs="Times New Roman"/>
          <w:szCs w:val="24"/>
        </w:rPr>
        <w:t>.</w:t>
      </w:r>
      <w:r w:rsidRPr="001F0E67">
        <w:rPr>
          <w:rFonts w:cs="Times New Roman"/>
          <w:i/>
          <w:szCs w:val="24"/>
        </w:rPr>
        <w:t xml:space="preserve"> </w:t>
      </w:r>
    </w:p>
    <w:p w:rsidR="008020D9" w:rsidRPr="001F0E67" w:rsidRDefault="000932AA" w:rsidP="008020D9">
      <w:pPr>
        <w:spacing w:line="276" w:lineRule="auto"/>
        <w:rPr>
          <w:szCs w:val="24"/>
        </w:rPr>
      </w:pPr>
      <w:r>
        <w:rPr>
          <w:szCs w:val="24"/>
        </w:rPr>
        <w:t>Asimismo, también resulta de especial interés</w:t>
      </w:r>
      <w:r w:rsidR="008020D9" w:rsidRPr="001F0E67">
        <w:rPr>
          <w:szCs w:val="24"/>
        </w:rPr>
        <w:t xml:space="preserve"> </w:t>
      </w:r>
      <w:r>
        <w:rPr>
          <w:szCs w:val="24"/>
        </w:rPr>
        <w:t xml:space="preserve">para este trabajo </w:t>
      </w:r>
      <w:r w:rsidR="008020D9" w:rsidRPr="001F0E67">
        <w:rPr>
          <w:szCs w:val="24"/>
        </w:rPr>
        <w:t>la Macroencues</w:t>
      </w:r>
      <w:r>
        <w:rPr>
          <w:szCs w:val="24"/>
        </w:rPr>
        <w:t>ta de violencia contra la mujer</w:t>
      </w:r>
      <w:r w:rsidR="008020D9" w:rsidRPr="001F0E67">
        <w:rPr>
          <w:szCs w:val="24"/>
        </w:rPr>
        <w:t xml:space="preserve"> realizada por la Delegación del Gobierno contra la Violencia de Género del Ministerio de Igualdad. Los últimos resultados publicados datan de 2019 e indican que “del total de mujeres de 16 o más años residentes en España, el 15,2% ha sufrido </w:t>
      </w:r>
      <w:r w:rsidR="008020D9" w:rsidRPr="000932AA">
        <w:rPr>
          <w:i/>
          <w:szCs w:val="24"/>
        </w:rPr>
        <w:t>stalking</w:t>
      </w:r>
      <w:r w:rsidR="008020D9" w:rsidRPr="001F0E67">
        <w:rPr>
          <w:szCs w:val="24"/>
        </w:rPr>
        <w:t xml:space="preserve"> en algún momento de su vida, el 6,5% en los últimos 4 años y el 3,0% han sufrido este acoso en los últimos 12 meses. Un 3,7% ha sufrido </w:t>
      </w:r>
      <w:r w:rsidR="008020D9" w:rsidRPr="000932AA">
        <w:rPr>
          <w:i/>
          <w:szCs w:val="24"/>
        </w:rPr>
        <w:t>stalking</w:t>
      </w:r>
      <w:r w:rsidR="008020D9" w:rsidRPr="001F0E67">
        <w:rPr>
          <w:szCs w:val="24"/>
        </w:rPr>
        <w:t xml:space="preserve"> antes de cumplir los 15 años de edad. Extrapolando estos resultados a la población, se estima que 3.095.357 mujeres residentes en España de 16 o más años han sufrido </w:t>
      </w:r>
      <w:r w:rsidR="008020D9" w:rsidRPr="000932AA">
        <w:rPr>
          <w:i/>
          <w:szCs w:val="24"/>
        </w:rPr>
        <w:t>stalking</w:t>
      </w:r>
      <w:r w:rsidR="008020D9" w:rsidRPr="001F0E67">
        <w:rPr>
          <w:szCs w:val="24"/>
        </w:rPr>
        <w:t xml:space="preserve"> en algún momento de sus vidas, 1.334.318 en los últimos 4 años y 613.917 en los últimos 12 meses, mientras que 759.577 han sufrido </w:t>
      </w:r>
      <w:r w:rsidR="008020D9" w:rsidRPr="000932AA">
        <w:rPr>
          <w:i/>
          <w:szCs w:val="24"/>
        </w:rPr>
        <w:t>stalking</w:t>
      </w:r>
      <w:r w:rsidR="008020D9" w:rsidRPr="001F0E67">
        <w:rPr>
          <w:szCs w:val="24"/>
        </w:rPr>
        <w:t xml:space="preserve"> en la infancia (antes de cumplir los 15 años de edad)”. En cuanto al sexo del agresor “el 80,1% de las mujeres que han manifestado haber sufrido </w:t>
      </w:r>
      <w:r w:rsidR="008020D9" w:rsidRPr="000932AA">
        <w:rPr>
          <w:i/>
          <w:szCs w:val="24"/>
        </w:rPr>
        <w:t>stalking</w:t>
      </w:r>
      <w:r w:rsidR="008020D9" w:rsidRPr="001F0E67">
        <w:rPr>
          <w:szCs w:val="24"/>
        </w:rPr>
        <w:t xml:space="preserve"> afirman que el agresor o agresores fueron exclusivamente hombres. Agregando los casos de agresor o agresores solo hombres con aquellos casos en los que participaron en la agresión tanto hombres como mujeres, se obtiene que el 87,9% de las mujeres que han sufrido </w:t>
      </w:r>
      <w:r w:rsidR="008020D9" w:rsidRPr="000932AA">
        <w:rPr>
          <w:i/>
          <w:szCs w:val="24"/>
        </w:rPr>
        <w:t>stalking</w:t>
      </w:r>
      <w:r w:rsidR="008020D9" w:rsidRPr="001F0E67">
        <w:rPr>
          <w:szCs w:val="24"/>
        </w:rPr>
        <w:t xml:space="preserve"> lo experimentaron por parte de un agresor hombre. El 5% de las mujeres que han sufrido </w:t>
      </w:r>
      <w:r w:rsidR="008020D9" w:rsidRPr="000932AA">
        <w:rPr>
          <w:i/>
          <w:szCs w:val="24"/>
        </w:rPr>
        <w:t>stalking</w:t>
      </w:r>
      <w:r w:rsidR="008020D9" w:rsidRPr="001F0E67">
        <w:rPr>
          <w:szCs w:val="24"/>
        </w:rPr>
        <w:t xml:space="preserve"> manifiestan que las agresoras fueron exclusivamente mujeres”. Con respecto a los vínculos existentes entre agresor y víctima, se muestra que “el 39,9% de las mujeres que han sufrido </w:t>
      </w:r>
      <w:r w:rsidR="008020D9" w:rsidRPr="000932AA">
        <w:rPr>
          <w:i/>
          <w:szCs w:val="24"/>
        </w:rPr>
        <w:t>stalking</w:t>
      </w:r>
      <w:r w:rsidR="008020D9" w:rsidRPr="001F0E67">
        <w:rPr>
          <w:szCs w:val="24"/>
        </w:rPr>
        <w:t xml:space="preserve"> y han respondido a la pregunta sobre el sexo del agresor, refieren que el agresor fue un amigo o conocido hombre, el 33,6% dicen que fue un hombre desconocido y el 21,3% dicen que el agresor fue su pareja actual o su expareja masculina. En el caso de agresoras mujeres, las más frecuentes son las compañeras de clase (el 3,1% de las mujeres que han sufrido stalking y han respondido a la pregunta sobre el sexo del agresor, refieren que la agresora fue una compañera de clase), aunque el porcentaje es muy inferior al de quienes citan como agresor a un compañero de clase del sexo masculino (6,7%)”</w:t>
      </w:r>
      <w:r w:rsidR="008020D9" w:rsidRPr="001F0E67">
        <w:rPr>
          <w:rStyle w:val="Refdenotaalpie"/>
          <w:szCs w:val="24"/>
        </w:rPr>
        <w:footnoteReference w:id="19"/>
      </w:r>
      <w:r w:rsidR="008020D9" w:rsidRPr="001F0E67">
        <w:rPr>
          <w:szCs w:val="24"/>
        </w:rPr>
        <w:t>. En Alemania, el 90% de las víctimas son mujeres, según las estadísticas, como advierte ROIG TORRES</w:t>
      </w:r>
      <w:r w:rsidR="008020D9" w:rsidRPr="001F0E67">
        <w:rPr>
          <w:rStyle w:val="Refdenotaalpie"/>
          <w:szCs w:val="24"/>
        </w:rPr>
        <w:footnoteReference w:id="20"/>
      </w:r>
      <w:r w:rsidR="008020D9" w:rsidRPr="001F0E67">
        <w:rPr>
          <w:szCs w:val="24"/>
        </w:rPr>
        <w:t>.</w:t>
      </w:r>
    </w:p>
    <w:p w:rsidR="008020D9" w:rsidRDefault="008020D9" w:rsidP="008020D9">
      <w:pPr>
        <w:spacing w:line="276" w:lineRule="auto"/>
        <w:rPr>
          <w:szCs w:val="24"/>
        </w:rPr>
      </w:pPr>
      <w:r w:rsidRPr="001F0E67">
        <w:rPr>
          <w:szCs w:val="24"/>
        </w:rPr>
        <w:t>Además, muchas de estas mujeres víctimas, como indica MAGRO SERVET, son acosadas por sus exparejas por la sencilla razón de que no aceptan un «no» por respuesta y tienen configurada su relación bajo la idea del sentimiento de propiedad</w:t>
      </w:r>
      <w:r w:rsidRPr="001F0E67">
        <w:rPr>
          <w:rStyle w:val="Refdenotaalpie"/>
          <w:szCs w:val="24"/>
        </w:rPr>
        <w:footnoteReference w:id="21"/>
      </w:r>
      <w:r w:rsidRPr="001F0E67">
        <w:rPr>
          <w:szCs w:val="24"/>
        </w:rPr>
        <w:t>. También ALONSO DE ESCAMILLA alude a este patrón cuando sostiene que “muchos casos el acosador persigue a otra persona con la que ha tenido una relación previa, negándose a reconocer que la misma ha terminado”</w:t>
      </w:r>
      <w:r w:rsidRPr="001F0E67">
        <w:rPr>
          <w:rStyle w:val="Refdenotaalpie"/>
          <w:szCs w:val="24"/>
        </w:rPr>
        <w:footnoteReference w:id="22"/>
      </w:r>
      <w:r w:rsidRPr="001F0E67">
        <w:rPr>
          <w:szCs w:val="24"/>
        </w:rPr>
        <w:t>. Coinciden también DE LA CUESTA ARZAMENDI y MAYORDOMO RODRIGO al indicar que “puede decirse que, con carácter general, el motivo más frecuente suele ser el de controlar a la expareja”</w:t>
      </w:r>
      <w:r w:rsidRPr="001F0E67">
        <w:rPr>
          <w:rStyle w:val="Refdenotaalpie"/>
          <w:szCs w:val="24"/>
        </w:rPr>
        <w:footnoteReference w:id="23"/>
      </w:r>
      <w:r w:rsidRPr="001F0E67">
        <w:rPr>
          <w:szCs w:val="24"/>
        </w:rPr>
        <w:t>. Al respecto, los hechos probados de las SSTS 554/2020, de 28 de octubre</w:t>
      </w:r>
      <w:r>
        <w:rPr>
          <w:rStyle w:val="Refdenotaalpie"/>
          <w:szCs w:val="24"/>
        </w:rPr>
        <w:footnoteReference w:id="24"/>
      </w:r>
      <w:r w:rsidRPr="001F0E67">
        <w:rPr>
          <w:szCs w:val="24"/>
        </w:rPr>
        <w:t xml:space="preserve"> y 717/2020, de 22 de diciembre</w:t>
      </w:r>
      <w:r>
        <w:rPr>
          <w:rStyle w:val="Refdenotaalpie"/>
          <w:szCs w:val="24"/>
        </w:rPr>
        <w:footnoteReference w:id="25"/>
      </w:r>
      <w:r w:rsidRPr="001F0E67">
        <w:rPr>
          <w:szCs w:val="24"/>
        </w:rPr>
        <w:t xml:space="preserve">, </w:t>
      </w:r>
      <w:r>
        <w:rPr>
          <w:szCs w:val="24"/>
        </w:rPr>
        <w:t xml:space="preserve">aun no constituyendo una muestra estadísticamente significativa de este fenómeno criminal, </w:t>
      </w:r>
      <w:r w:rsidRPr="001F0E67">
        <w:rPr>
          <w:szCs w:val="24"/>
        </w:rPr>
        <w:t>resultan bastante ilustrativos</w:t>
      </w:r>
      <w:r>
        <w:rPr>
          <w:szCs w:val="24"/>
        </w:rPr>
        <w:t xml:space="preserve">. </w:t>
      </w:r>
      <w:r w:rsidRPr="001F0E67">
        <w:rPr>
          <w:szCs w:val="24"/>
        </w:rPr>
        <w:t xml:space="preserve"> </w:t>
      </w:r>
    </w:p>
    <w:p w:rsidR="008020D9" w:rsidRPr="001F0E67" w:rsidRDefault="008020D9" w:rsidP="008020D9">
      <w:pPr>
        <w:spacing w:line="276" w:lineRule="auto"/>
        <w:rPr>
          <w:szCs w:val="24"/>
        </w:rPr>
      </w:pPr>
      <w:r w:rsidRPr="001F0E67">
        <w:rPr>
          <w:szCs w:val="24"/>
        </w:rPr>
        <w:t xml:space="preserve">La investigación cuantitativa al respecto confirma el patrón. Así, según el trabajo de FERNÁNDEZ CRUZ y AGUSTINA sobre una muestra de 151 resoluciones judiciales en España sobre </w:t>
      </w:r>
      <w:r w:rsidRPr="001F0E67">
        <w:rPr>
          <w:i/>
          <w:szCs w:val="24"/>
        </w:rPr>
        <w:t>stalking</w:t>
      </w:r>
      <w:r w:rsidRPr="001F0E67">
        <w:rPr>
          <w:szCs w:val="24"/>
        </w:rPr>
        <w:t>, “la víctima generalmente es una mujer (89,7%) mayor de edad y en el 74,1% de los casos hubo una relación sentimental previa”</w:t>
      </w:r>
      <w:r w:rsidRPr="001F0E67">
        <w:rPr>
          <w:rStyle w:val="Refdenotaalpie"/>
          <w:szCs w:val="24"/>
        </w:rPr>
        <w:footnoteReference w:id="26"/>
      </w:r>
      <w:r w:rsidRPr="001F0E67">
        <w:rPr>
          <w:szCs w:val="24"/>
        </w:rPr>
        <w:t xml:space="preserve">. De otro lado, el análisis realizado por el </w:t>
      </w:r>
      <w:r w:rsidRPr="001F0E67">
        <w:rPr>
          <w:i/>
          <w:szCs w:val="24"/>
        </w:rPr>
        <w:t>Centro Nazionale Stalking</w:t>
      </w:r>
      <w:r w:rsidRPr="001F0E67">
        <w:rPr>
          <w:szCs w:val="24"/>
        </w:rPr>
        <w:t xml:space="preserve"> italiano sobre las características de los </w:t>
      </w:r>
      <w:r w:rsidRPr="001F0E67">
        <w:rPr>
          <w:i/>
          <w:szCs w:val="24"/>
        </w:rPr>
        <w:t>stalkers</w:t>
      </w:r>
      <w:r w:rsidRPr="001F0E67">
        <w:rPr>
          <w:szCs w:val="24"/>
        </w:rPr>
        <w:t xml:space="preserve"> tratados por el propio centro entre enero de 2006 y septiembre de 2007 concluye que el 85% de los acosadores eran hombres y el 55% parejas o ex parejas de la víctima</w:t>
      </w:r>
      <w:r w:rsidRPr="001F0E67">
        <w:rPr>
          <w:rStyle w:val="Refdenotaalpie"/>
          <w:szCs w:val="24"/>
        </w:rPr>
        <w:footnoteReference w:id="27"/>
      </w:r>
      <w:r w:rsidRPr="001F0E67">
        <w:rPr>
          <w:szCs w:val="24"/>
        </w:rPr>
        <w:t xml:space="preserve">. </w:t>
      </w:r>
      <w:r w:rsidRPr="001F0E67">
        <w:rPr>
          <w:rStyle w:val="apple-converted-space"/>
          <w:rFonts w:cs="Times New Roman"/>
          <w:iCs/>
          <w:color w:val="000000" w:themeColor="text1"/>
          <w:szCs w:val="24"/>
        </w:rPr>
        <w:t xml:space="preserve">También “según los datos publicados por el ISTAT el 21 de febrero de 2007 en Italia, en el entorno de una investigación sobre la violencia y los malos tratos contra la mujer, dos millones setenta y siete mil mujeres han sufrido comportamientos persecutorios, por el </w:t>
      </w:r>
      <w:r w:rsidRPr="001F0E67">
        <w:rPr>
          <w:rStyle w:val="apple-converted-space"/>
          <w:rFonts w:cs="Times New Roman"/>
          <w:i/>
          <w:iCs/>
          <w:color w:val="000000" w:themeColor="text1"/>
          <w:szCs w:val="24"/>
        </w:rPr>
        <w:t>partner</w:t>
      </w:r>
      <w:r w:rsidRPr="001F0E67">
        <w:rPr>
          <w:rStyle w:val="apple-converted-space"/>
          <w:rFonts w:cs="Times New Roman"/>
          <w:iCs/>
          <w:color w:val="000000" w:themeColor="text1"/>
          <w:szCs w:val="24"/>
        </w:rPr>
        <w:t xml:space="preserve"> en el momento de la separación o después de que lo hubiesen dejado…”, de acuerdo con </w:t>
      </w:r>
      <w:r w:rsidRPr="001F0E67">
        <w:rPr>
          <w:szCs w:val="24"/>
        </w:rPr>
        <w:t>TERZI</w:t>
      </w:r>
      <w:r w:rsidRPr="001F0E67">
        <w:rPr>
          <w:rStyle w:val="Refdenotaalpie"/>
          <w:szCs w:val="24"/>
        </w:rPr>
        <w:footnoteReference w:id="28"/>
      </w:r>
      <w:r w:rsidRPr="001F0E67">
        <w:rPr>
          <w:szCs w:val="24"/>
        </w:rPr>
        <w:t>. Asimismo, conforme al estudio de AGUILAR RUÍZ, el acoso opera como un fuerte predictor del feminicidio en el contexto de la ruptura sentimental. Encuentra “un grado de violencia mayor contra la mujer y un aumento de las conductas de acoso meses antes del feminicidio”</w:t>
      </w:r>
      <w:r w:rsidRPr="001F0E67">
        <w:rPr>
          <w:rStyle w:val="Refdenotaalpie"/>
          <w:szCs w:val="24"/>
        </w:rPr>
        <w:footnoteReference w:id="29"/>
      </w:r>
      <w:r w:rsidRPr="001F0E67">
        <w:rPr>
          <w:szCs w:val="24"/>
        </w:rPr>
        <w:t>.</w:t>
      </w:r>
    </w:p>
    <w:p w:rsidR="008020D9" w:rsidRDefault="008020D9" w:rsidP="008020D9">
      <w:pPr>
        <w:pStyle w:val="Ttulo2"/>
      </w:pPr>
      <w:r>
        <w:t>Subtipos agravados y penalidad</w:t>
      </w:r>
    </w:p>
    <w:p w:rsidR="00EE320B" w:rsidRDefault="00EE320B" w:rsidP="00EE320B">
      <w:pPr>
        <w:pStyle w:val="Sinespaciado"/>
      </w:pPr>
    </w:p>
    <w:p w:rsidR="008020D9" w:rsidRPr="001F0E67" w:rsidRDefault="008020D9" w:rsidP="008020D9">
      <w:pPr>
        <w:spacing w:line="276" w:lineRule="auto"/>
        <w:rPr>
          <w:szCs w:val="24"/>
        </w:rPr>
      </w:pPr>
      <w:r w:rsidRPr="001F0E67">
        <w:rPr>
          <w:szCs w:val="24"/>
        </w:rPr>
        <w:t xml:space="preserve">El artículo 172 </w:t>
      </w:r>
      <w:r w:rsidRPr="00130A45">
        <w:rPr>
          <w:i/>
          <w:szCs w:val="24"/>
        </w:rPr>
        <w:t>ter</w:t>
      </w:r>
      <w:r w:rsidRPr="001F0E67">
        <w:rPr>
          <w:szCs w:val="24"/>
        </w:rPr>
        <w:t xml:space="preserve"> contempla dos subtipos agravados. El primero se establece en el párrafo final del apartado primero y se basa en la especial vulnerabilidad de la víctima por razón de su edad, enfermedad o situación</w:t>
      </w:r>
      <w:r w:rsidRPr="001F0E67">
        <w:rPr>
          <w:rStyle w:val="Refdenotaalpie"/>
          <w:szCs w:val="24"/>
        </w:rPr>
        <w:footnoteReference w:id="30"/>
      </w:r>
      <w:r w:rsidRPr="001F0E67">
        <w:rPr>
          <w:szCs w:val="24"/>
        </w:rPr>
        <w:t>. En estos supuestos se eleva el límite inferior de la pena prevista en el tipo básico de tres a seis meses, sin variación en cuanto al límite superior y, además, se suprime la posibilidad de imposición de la pena de multa, quedando como pena única la pena de prisión de seis a meses a dos años. Sostiene MATALLÍN EVANGELIO que esta agravación sería innecesaria por cuanto puede recurrirse a la agravante genérica de abuso de superioridad prevista en el artículo 22 del Código penal</w:t>
      </w:r>
      <w:r w:rsidRPr="001F0E67">
        <w:rPr>
          <w:rStyle w:val="Refdenotaalpie"/>
          <w:szCs w:val="24"/>
        </w:rPr>
        <w:footnoteReference w:id="31"/>
      </w:r>
      <w:r w:rsidRPr="001F0E67">
        <w:rPr>
          <w:szCs w:val="24"/>
        </w:rPr>
        <w:t xml:space="preserve">. </w:t>
      </w:r>
    </w:p>
    <w:p w:rsidR="008020D9" w:rsidRDefault="008020D9" w:rsidP="008020D9">
      <w:pPr>
        <w:spacing w:line="276" w:lineRule="auto"/>
        <w:rPr>
          <w:szCs w:val="24"/>
        </w:rPr>
      </w:pPr>
      <w:r w:rsidRPr="001F0E67">
        <w:rPr>
          <w:szCs w:val="24"/>
        </w:rPr>
        <w:t>Por otra parte, el apartado segundo del precepto analizado contempla la pena de prisión de uno a dos años (frente a la pena de tres meses a dos años contenida en el tipo básico) o la de trabajos en beneficio de la comunidad de sesenta a ciento veinte días cuando la víctima fuere algunas de las personas a las que se refiere el apartado segundo del artículo 173</w:t>
      </w:r>
      <w:r w:rsidRPr="001F0E67">
        <w:rPr>
          <w:rStyle w:val="Refdenotaalpie"/>
          <w:szCs w:val="24"/>
        </w:rPr>
        <w:footnoteReference w:id="32"/>
      </w:r>
      <w:r w:rsidRPr="001F0E67">
        <w:rPr>
          <w:szCs w:val="24"/>
        </w:rPr>
        <w:t xml:space="preserve">. </w:t>
      </w:r>
    </w:p>
    <w:p w:rsidR="008020D9" w:rsidRPr="001F0E67" w:rsidRDefault="00130A45" w:rsidP="008020D9">
      <w:pPr>
        <w:spacing w:line="276" w:lineRule="auto"/>
        <w:rPr>
          <w:szCs w:val="24"/>
        </w:rPr>
      </w:pPr>
      <w:r>
        <w:rPr>
          <w:szCs w:val="24"/>
        </w:rPr>
        <w:t>E</w:t>
      </w:r>
      <w:r w:rsidR="008020D9" w:rsidRPr="001F0E67">
        <w:rPr>
          <w:szCs w:val="24"/>
        </w:rPr>
        <w:t>n el Anteproyecto de 2012 se establecía que “cuando el ofendido fuere alguna de las personas a las que se refiere el artículo 173.2, la pena se impondrá en su mitad superior”, lo que implicaba la posibilidad de imponer la pena de multa prevista en el tipo básico en su mitad superior, posibilidad que como el Consejo General de Poder Judicial advirtió, puede afectar a la propia víctima, dada su relación con el autor</w:t>
      </w:r>
      <w:r w:rsidR="008020D9" w:rsidRPr="001F0E67">
        <w:rPr>
          <w:rStyle w:val="Refdenotaalpie"/>
          <w:szCs w:val="24"/>
        </w:rPr>
        <w:footnoteReference w:id="33"/>
      </w:r>
      <w:r w:rsidR="008020D9" w:rsidRPr="001F0E67">
        <w:rPr>
          <w:szCs w:val="24"/>
        </w:rPr>
        <w:t>, porque la pena de multa impuesta al acosador puede comprometer el abono de una pensión de alimentos en favor de los hijos que este tenga con la víctima o el pago de una pensión compensatoria que este tenga que afrontar en favor de la víctima, por ejemplo</w:t>
      </w:r>
      <w:r w:rsidR="008020D9" w:rsidRPr="001F0E67">
        <w:rPr>
          <w:rStyle w:val="Refdenotaalpie"/>
          <w:szCs w:val="24"/>
        </w:rPr>
        <w:footnoteReference w:id="34"/>
      </w:r>
      <w:r w:rsidR="008020D9" w:rsidRPr="001F0E67">
        <w:rPr>
          <w:szCs w:val="24"/>
        </w:rPr>
        <w:t>.</w:t>
      </w:r>
    </w:p>
    <w:p w:rsidR="00130A45" w:rsidRDefault="008020D9" w:rsidP="008020D9">
      <w:pPr>
        <w:pStyle w:val="parrafo"/>
        <w:shd w:val="clear" w:color="auto" w:fill="FFFFFF"/>
        <w:spacing w:before="180" w:beforeAutospacing="0" w:after="180" w:afterAutospacing="0" w:line="276" w:lineRule="auto"/>
        <w:jc w:val="both"/>
        <w:rPr>
          <w:color w:val="000000"/>
        </w:rPr>
      </w:pPr>
      <w:r w:rsidRPr="008020D9">
        <w:t xml:space="preserve">Ambas agravantes específicas, tanto la referida a la especial vulnerabilidad como la relativa a las personas a las que se refiere el artículo 173.2, tienen su origen en el artículo 46 del Convenio de Estambul, que exige tomar en consideración </w:t>
      </w:r>
      <w:r w:rsidRPr="008020D9">
        <w:rPr>
          <w:color w:val="000000"/>
        </w:rPr>
        <w:t xml:space="preserve">como circunstancias agravantes, entre otras, </w:t>
      </w:r>
      <w:r w:rsidRPr="008020D9">
        <w:rPr>
          <w:color w:val="000000"/>
          <w:shd w:val="clear" w:color="auto" w:fill="FFFFFF"/>
        </w:rPr>
        <w:t xml:space="preserve">“que el delito se haya cometido contra un cónyuge o pareja de hecho actual o antiguo, de conformidad con el derecho interno, por un miembro de la familia, una persona que conviva con la víctima o una persona que haya abusado de su autoridad” (letra a); </w:t>
      </w:r>
      <w:r w:rsidRPr="008020D9">
        <w:rPr>
          <w:color w:val="000000"/>
        </w:rPr>
        <w:t xml:space="preserve">“que el delito se haya cometido contra una persona que se encuentre en situación de vulnerabilidad por la concurrencia de particulares circunstancias” (letra c) y “que el delito se haya cometido contra o en presencia de un menor” (letra d). </w:t>
      </w:r>
    </w:p>
    <w:p w:rsidR="008020D9" w:rsidRDefault="008020D9" w:rsidP="008020D9">
      <w:pPr>
        <w:pStyle w:val="parrafo"/>
        <w:shd w:val="clear" w:color="auto" w:fill="FFFFFF"/>
        <w:spacing w:before="180" w:beforeAutospacing="0" w:after="180" w:afterAutospacing="0" w:line="276" w:lineRule="auto"/>
        <w:jc w:val="both"/>
        <w:rPr>
          <w:color w:val="000000"/>
        </w:rPr>
      </w:pPr>
      <w:r w:rsidRPr="008020D9">
        <w:t>No obstante, la regulación española excluye la circunstancia relativa a la presencia de menores, a diferencia de los artículos 222.33.2.1 y 222.33.22.2 del Código penal francés. Además, como indica CASTELLÓ FOZ, se trata de una circunstancia que sí se contempla en el resto de delitos de violencia doméstica y de género del Código penal español</w:t>
      </w:r>
      <w:r w:rsidR="00CD60BA" w:rsidRPr="008020D9">
        <w:rPr>
          <w:rStyle w:val="Refdenotaalpie"/>
          <w:rFonts w:eastAsiaTheme="majorEastAsia"/>
          <w:color w:val="000000"/>
        </w:rPr>
        <w:footnoteReference w:id="35"/>
      </w:r>
      <w:r w:rsidRPr="008020D9">
        <w:rPr>
          <w:color w:val="000000"/>
        </w:rPr>
        <w:t>.</w:t>
      </w:r>
    </w:p>
    <w:p w:rsidR="000932AA" w:rsidRDefault="00531BE7" w:rsidP="00864609">
      <w:pPr>
        <w:pStyle w:val="Ttulo1"/>
      </w:pPr>
      <w:r>
        <w:t xml:space="preserve">El </w:t>
      </w:r>
      <w:r w:rsidR="00CE4874" w:rsidRPr="00CE4874">
        <w:t>artículo 172</w:t>
      </w:r>
      <w:r w:rsidR="00CE4874">
        <w:rPr>
          <w:i/>
        </w:rPr>
        <w:t xml:space="preserve"> ter </w:t>
      </w:r>
      <w:r w:rsidR="00CE4874" w:rsidRPr="00CE4874">
        <w:t>del Código penal</w:t>
      </w:r>
      <w:r w:rsidR="000932AA">
        <w:t xml:space="preserve"> en el Anteproyecto</w:t>
      </w:r>
      <w:r w:rsidR="000932AA" w:rsidRPr="000932AA">
        <w:t xml:space="preserve"> </w:t>
      </w:r>
      <w:r w:rsidR="000932AA">
        <w:t>de Ley Orgánica de Garantía Integral de la Libertad Sexual</w:t>
      </w:r>
    </w:p>
    <w:p w:rsidR="00EE320B" w:rsidRDefault="00EE320B" w:rsidP="00EE320B">
      <w:pPr>
        <w:pStyle w:val="Sinespaciado"/>
        <w:rPr>
          <w:lang w:eastAsia="es-ES"/>
        </w:rPr>
      </w:pPr>
    </w:p>
    <w:p w:rsidR="00F43BD3" w:rsidRDefault="00A30BA0" w:rsidP="00D15728">
      <w:pPr>
        <w:spacing w:line="276" w:lineRule="auto"/>
        <w:rPr>
          <w:rFonts w:eastAsia="Times New Roman"/>
          <w:szCs w:val="24"/>
          <w:lang w:eastAsia="es-ES"/>
        </w:rPr>
      </w:pPr>
      <w:r>
        <w:rPr>
          <w:rFonts w:eastAsia="Times New Roman"/>
          <w:szCs w:val="24"/>
          <w:lang w:eastAsia="es-ES"/>
        </w:rPr>
        <w:t xml:space="preserve">En relación con la adecuación del artículo 172 </w:t>
      </w:r>
      <w:r w:rsidRPr="00A30BA0">
        <w:rPr>
          <w:rFonts w:eastAsia="Times New Roman"/>
          <w:i/>
          <w:szCs w:val="24"/>
          <w:lang w:eastAsia="es-ES"/>
        </w:rPr>
        <w:t>ter</w:t>
      </w:r>
      <w:r>
        <w:rPr>
          <w:rFonts w:eastAsia="Times New Roman"/>
          <w:szCs w:val="24"/>
          <w:lang w:eastAsia="es-ES"/>
        </w:rPr>
        <w:t xml:space="preserve"> al Convenio de Estambul, el</w:t>
      </w:r>
      <w:r w:rsidRPr="001F0E67">
        <w:rPr>
          <w:rFonts w:eastAsia="Times New Roman"/>
          <w:szCs w:val="24"/>
          <w:lang w:eastAsia="es-ES"/>
        </w:rPr>
        <w:t xml:space="preserve"> GREVIO (</w:t>
      </w:r>
      <w:r w:rsidRPr="001F0E67">
        <w:rPr>
          <w:rFonts w:eastAsia="Times New Roman"/>
          <w:i/>
          <w:szCs w:val="24"/>
          <w:lang w:eastAsia="es-ES"/>
        </w:rPr>
        <w:t>Group of Experts on Action against Violence against Women and Domestic Violence</w:t>
      </w:r>
      <w:r>
        <w:rPr>
          <w:rFonts w:eastAsia="Times New Roman"/>
          <w:szCs w:val="24"/>
          <w:lang w:eastAsia="es-ES"/>
        </w:rPr>
        <w:t>), en su informe de 15 de octubre de 2020, publicado el 25 de noviembre del mismo año, acogió</w:t>
      </w:r>
      <w:r w:rsidRPr="00130A45">
        <w:rPr>
          <w:rFonts w:eastAsia="Times New Roman"/>
          <w:szCs w:val="24"/>
          <w:lang w:eastAsia="es-ES"/>
        </w:rPr>
        <w:t xml:space="preserve"> con satisfacción que España fue</w:t>
      </w:r>
      <w:r>
        <w:rPr>
          <w:rFonts w:eastAsia="Times New Roman"/>
          <w:szCs w:val="24"/>
          <w:lang w:eastAsia="es-ES"/>
        </w:rPr>
        <w:t>ra</w:t>
      </w:r>
      <w:r w:rsidRPr="00130A45">
        <w:rPr>
          <w:rFonts w:eastAsia="Times New Roman"/>
          <w:szCs w:val="24"/>
          <w:lang w:eastAsia="es-ES"/>
        </w:rPr>
        <w:t xml:space="preserve"> uno de los primeros países europeos en </w:t>
      </w:r>
      <w:r>
        <w:rPr>
          <w:rFonts w:eastAsia="Times New Roman"/>
          <w:szCs w:val="24"/>
          <w:lang w:eastAsia="es-ES"/>
        </w:rPr>
        <w:t>tipificar</w:t>
      </w:r>
      <w:r w:rsidRPr="00130A45">
        <w:rPr>
          <w:rFonts w:eastAsia="Times New Roman"/>
          <w:szCs w:val="24"/>
          <w:lang w:eastAsia="es-ES"/>
        </w:rPr>
        <w:t xml:space="preserve"> e</w:t>
      </w:r>
      <w:r>
        <w:rPr>
          <w:rFonts w:eastAsia="Times New Roman"/>
          <w:szCs w:val="24"/>
          <w:lang w:eastAsia="es-ES"/>
        </w:rPr>
        <w:t>xpresamente</w:t>
      </w:r>
      <w:r w:rsidRPr="00130A45">
        <w:rPr>
          <w:rFonts w:eastAsia="Times New Roman"/>
          <w:szCs w:val="24"/>
          <w:lang w:eastAsia="es-ES"/>
        </w:rPr>
        <w:t xml:space="preserve"> el </w:t>
      </w:r>
      <w:r w:rsidRPr="00130A45">
        <w:rPr>
          <w:rFonts w:eastAsia="Times New Roman"/>
          <w:i/>
          <w:szCs w:val="24"/>
          <w:lang w:eastAsia="es-ES"/>
        </w:rPr>
        <w:t>stalking</w:t>
      </w:r>
      <w:r>
        <w:rPr>
          <w:rFonts w:eastAsia="Times New Roman"/>
          <w:szCs w:val="24"/>
          <w:lang w:eastAsia="es-ES"/>
        </w:rPr>
        <w:t xml:space="preserve"> cometido</w:t>
      </w:r>
      <w:r w:rsidRPr="00130A45">
        <w:rPr>
          <w:rFonts w:eastAsia="Times New Roman"/>
          <w:szCs w:val="24"/>
          <w:lang w:eastAsia="es-ES"/>
        </w:rPr>
        <w:t xml:space="preserve"> a través de me</w:t>
      </w:r>
      <w:r>
        <w:rPr>
          <w:rFonts w:eastAsia="Times New Roman"/>
          <w:szCs w:val="24"/>
          <w:lang w:eastAsia="es-ES"/>
        </w:rPr>
        <w:t xml:space="preserve">dios de comunicación digitales y </w:t>
      </w:r>
      <w:r w:rsidRPr="00130A45">
        <w:rPr>
          <w:rFonts w:eastAsia="Times New Roman"/>
          <w:szCs w:val="24"/>
          <w:lang w:eastAsia="es-ES"/>
        </w:rPr>
        <w:t>el hecho de que</w:t>
      </w:r>
      <w:r>
        <w:rPr>
          <w:rFonts w:eastAsia="Times New Roman"/>
          <w:szCs w:val="24"/>
          <w:lang w:eastAsia="es-ES"/>
        </w:rPr>
        <w:t xml:space="preserve"> el tipo</w:t>
      </w:r>
      <w:r w:rsidRPr="00130A45">
        <w:rPr>
          <w:rFonts w:eastAsia="Times New Roman"/>
          <w:szCs w:val="24"/>
          <w:lang w:eastAsia="es-ES"/>
        </w:rPr>
        <w:t xml:space="preserve"> </w:t>
      </w:r>
      <w:r>
        <w:rPr>
          <w:rFonts w:eastAsia="Times New Roman"/>
          <w:szCs w:val="24"/>
          <w:lang w:eastAsia="es-ES"/>
        </w:rPr>
        <w:t>incluya como circunstancia agravante</w:t>
      </w:r>
      <w:r w:rsidRPr="00130A45">
        <w:rPr>
          <w:rFonts w:eastAsia="Times New Roman"/>
          <w:szCs w:val="24"/>
          <w:lang w:eastAsia="es-ES"/>
        </w:rPr>
        <w:t xml:space="preserve"> </w:t>
      </w:r>
      <w:r>
        <w:rPr>
          <w:rFonts w:eastAsia="Times New Roman"/>
          <w:szCs w:val="24"/>
          <w:lang w:eastAsia="es-ES"/>
        </w:rPr>
        <w:t>la relación de afectividad (incluyendo a exparejas) o familiar entre el acosador</w:t>
      </w:r>
      <w:r w:rsidRPr="00130A45">
        <w:rPr>
          <w:rFonts w:eastAsia="Times New Roman"/>
          <w:szCs w:val="24"/>
          <w:lang w:eastAsia="es-ES"/>
        </w:rPr>
        <w:t xml:space="preserve"> </w:t>
      </w:r>
      <w:r>
        <w:rPr>
          <w:rFonts w:eastAsia="Times New Roman"/>
          <w:szCs w:val="24"/>
          <w:lang w:eastAsia="es-ES"/>
        </w:rPr>
        <w:t>y la víctima</w:t>
      </w:r>
      <w:r w:rsidRPr="00130A45">
        <w:rPr>
          <w:rFonts w:eastAsia="Times New Roman"/>
          <w:szCs w:val="24"/>
          <w:lang w:eastAsia="es-ES"/>
        </w:rPr>
        <w:t xml:space="preserve">. </w:t>
      </w:r>
    </w:p>
    <w:p w:rsidR="00D15728" w:rsidRDefault="00A30BA0" w:rsidP="00D15728">
      <w:pPr>
        <w:spacing w:line="276" w:lineRule="auto"/>
        <w:rPr>
          <w:rFonts w:eastAsia="Times New Roman"/>
          <w:szCs w:val="24"/>
          <w:lang w:eastAsia="es-ES"/>
        </w:rPr>
      </w:pPr>
      <w:r>
        <w:rPr>
          <w:rFonts w:eastAsia="Times New Roman"/>
          <w:szCs w:val="24"/>
          <w:lang w:eastAsia="es-ES"/>
        </w:rPr>
        <w:t>Por otra parte, reclamó</w:t>
      </w:r>
      <w:r w:rsidRPr="00130A45">
        <w:rPr>
          <w:rFonts w:eastAsia="Times New Roman"/>
          <w:szCs w:val="24"/>
          <w:lang w:eastAsia="es-ES"/>
        </w:rPr>
        <w:t xml:space="preserve"> </w:t>
      </w:r>
      <w:r w:rsidRPr="00C67AF3">
        <w:rPr>
          <w:rFonts w:eastAsia="Times New Roman"/>
          <w:szCs w:val="24"/>
          <w:lang w:eastAsia="es-ES"/>
        </w:rPr>
        <w:t>la importancia de garantizar que el acecho en presencia de niños también constituya una circunstancia agravante, de acuerdo con el artículo 46.d) del Convenio de Estambul. También entendía que es preocupante que el tipo exija la producción del resultado consistente en la grave alteración d</w:t>
      </w:r>
      <w:r w:rsidRPr="00C67AF3">
        <w:rPr>
          <w:rFonts w:cs="Times New Roman"/>
          <w:color w:val="000000"/>
          <w:szCs w:val="24"/>
        </w:rPr>
        <w:t>el desarrollo de la vida cotidiana</w:t>
      </w:r>
      <w:r w:rsidRPr="00C67AF3">
        <w:rPr>
          <w:rFonts w:eastAsia="Times New Roman"/>
          <w:szCs w:val="24"/>
          <w:lang w:eastAsia="es-ES"/>
        </w:rPr>
        <w:t xml:space="preserve"> de la víctima porque invierte la carga de la prueba, ya que la víctima debe demostrar que las conductas del acosador produjeron ese resultado. Por ello, solicitó, entre otras modificaciones, que se revisara el nivel de gravedad exigido</w:t>
      </w:r>
      <w:r w:rsidRPr="00C67AF3">
        <w:rPr>
          <w:rStyle w:val="Refdenotaalpie"/>
          <w:rFonts w:eastAsia="Times New Roman"/>
          <w:szCs w:val="24"/>
          <w:lang w:eastAsia="es-ES"/>
        </w:rPr>
        <w:footnoteReference w:id="36"/>
      </w:r>
      <w:r w:rsidRPr="00C67AF3">
        <w:rPr>
          <w:rFonts w:eastAsia="Times New Roman"/>
          <w:szCs w:val="24"/>
          <w:lang w:eastAsia="es-ES"/>
        </w:rPr>
        <w:t>.</w:t>
      </w:r>
    </w:p>
    <w:p w:rsidR="00A730D3" w:rsidRPr="00F43BD3" w:rsidRDefault="006949C3" w:rsidP="00D15728">
      <w:pPr>
        <w:spacing w:line="276" w:lineRule="auto"/>
        <w:rPr>
          <w:rFonts w:eastAsia="Times New Roman"/>
          <w:szCs w:val="24"/>
          <w:lang w:eastAsia="es-ES"/>
        </w:rPr>
      </w:pPr>
      <w:r w:rsidRPr="00C67AF3">
        <w:rPr>
          <w:rFonts w:eastAsia="Times New Roman" w:cs="Times New Roman"/>
          <w:szCs w:val="24"/>
          <w:lang w:eastAsia="es-ES"/>
        </w:rPr>
        <w:t xml:space="preserve">La </w:t>
      </w:r>
      <w:r w:rsidRPr="00C67AF3">
        <w:rPr>
          <w:rFonts w:cs="Times New Roman"/>
          <w:bCs/>
          <w:szCs w:val="24"/>
        </w:rPr>
        <w:t>Disposición final quinta del Anteproyecto de</w:t>
      </w:r>
      <w:r w:rsidRPr="00C67AF3">
        <w:rPr>
          <w:rFonts w:cs="Times New Roman"/>
          <w:szCs w:val="24"/>
        </w:rPr>
        <w:t xml:space="preserve"> </w:t>
      </w:r>
      <w:r w:rsidRPr="00C67AF3">
        <w:rPr>
          <w:rFonts w:cs="Times New Roman"/>
          <w:bCs/>
          <w:szCs w:val="24"/>
        </w:rPr>
        <w:t>Ley Orgánica de Garantía Integral de la Libertad Sexual en su apartado cuatro prevé dos modificaciones sobre el precepto estudiado. La primera</w:t>
      </w:r>
      <w:r w:rsidR="00F43BD3">
        <w:rPr>
          <w:rFonts w:cs="Times New Roman"/>
          <w:bCs/>
          <w:szCs w:val="24"/>
        </w:rPr>
        <w:t>, muy transcendente,</w:t>
      </w:r>
      <w:r w:rsidRPr="00C67AF3">
        <w:rPr>
          <w:rFonts w:cs="Times New Roman"/>
          <w:bCs/>
          <w:szCs w:val="24"/>
        </w:rPr>
        <w:t xml:space="preserve"> en relación con el resultado típico exigido en el apartado primero, en la línea con lo solicitado por el GREVIO. De tal manera, la modificación consistiría en sustituir la expresión “</w:t>
      </w:r>
      <w:r w:rsidR="00A730D3" w:rsidRPr="0058586C">
        <w:rPr>
          <w:rFonts w:cs="Times New Roman"/>
          <w:color w:val="000000"/>
          <w:szCs w:val="24"/>
        </w:rPr>
        <w:t xml:space="preserve">altere gravemente el desarrollo </w:t>
      </w:r>
      <w:r w:rsidR="00A730D3" w:rsidRPr="0058586C">
        <w:rPr>
          <w:rFonts w:eastAsia="Times New Roman"/>
          <w:szCs w:val="24"/>
          <w:lang w:eastAsia="es-ES"/>
        </w:rPr>
        <w:t>de su vida cotidiana</w:t>
      </w:r>
      <w:r w:rsidR="00A730D3" w:rsidRPr="00D15728">
        <w:rPr>
          <w:rFonts w:eastAsia="Times New Roman"/>
          <w:szCs w:val="24"/>
          <w:lang w:eastAsia="es-ES"/>
        </w:rPr>
        <w:t>” por “</w:t>
      </w:r>
      <w:r w:rsidR="00A730D3" w:rsidRPr="0058586C">
        <w:rPr>
          <w:rFonts w:eastAsia="Times New Roman"/>
          <w:szCs w:val="24"/>
          <w:lang w:eastAsia="es-ES"/>
        </w:rPr>
        <w:t>altere de cualquier modo el desarrollo de su vida cotidiana</w:t>
      </w:r>
      <w:r w:rsidR="00A730D3" w:rsidRPr="00F43BD3">
        <w:rPr>
          <w:rFonts w:eastAsia="Times New Roman"/>
          <w:szCs w:val="24"/>
          <w:lang w:eastAsia="es-ES"/>
        </w:rPr>
        <w:t>”.</w:t>
      </w:r>
    </w:p>
    <w:p w:rsidR="001F43B1" w:rsidRPr="00F43BD3" w:rsidRDefault="00A730D3" w:rsidP="00D15728">
      <w:pPr>
        <w:spacing w:line="276" w:lineRule="auto"/>
        <w:rPr>
          <w:rFonts w:eastAsia="Times New Roman"/>
          <w:szCs w:val="24"/>
          <w:lang w:eastAsia="es-ES"/>
        </w:rPr>
      </w:pPr>
      <w:r w:rsidRPr="00F43BD3">
        <w:rPr>
          <w:rFonts w:eastAsia="Times New Roman"/>
          <w:szCs w:val="24"/>
          <w:lang w:eastAsia="es-ES"/>
        </w:rPr>
        <w:t>Si bien el resultado exigido por la redacción vi</w:t>
      </w:r>
      <w:r w:rsidR="00C67AF3" w:rsidRPr="00F43BD3">
        <w:rPr>
          <w:rFonts w:eastAsia="Times New Roman"/>
          <w:szCs w:val="24"/>
          <w:lang w:eastAsia="es-ES"/>
        </w:rPr>
        <w:t xml:space="preserve">gente debe ser reemplazado, en tanto que en la actualidad la consumación del delito depende de la reacción que haya tenido cada víctima individual, </w:t>
      </w:r>
      <w:r w:rsidRPr="00F43BD3">
        <w:rPr>
          <w:rFonts w:eastAsia="Times New Roman"/>
          <w:szCs w:val="24"/>
          <w:lang w:eastAsia="es-ES"/>
        </w:rPr>
        <w:t xml:space="preserve">la fórmula elegida por el prelegislador </w:t>
      </w:r>
      <w:r w:rsidR="00C67AF3" w:rsidRPr="00F43BD3">
        <w:rPr>
          <w:rFonts w:eastAsia="Times New Roman"/>
          <w:szCs w:val="24"/>
          <w:lang w:eastAsia="es-ES"/>
        </w:rPr>
        <w:t>tampoco</w:t>
      </w:r>
      <w:r w:rsidRPr="00F43BD3">
        <w:rPr>
          <w:rFonts w:eastAsia="Times New Roman"/>
          <w:szCs w:val="24"/>
          <w:lang w:eastAsia="es-ES"/>
        </w:rPr>
        <w:t xml:space="preserve"> parece la más adecuada, en la medida en que implica una excesiva ampliación del tipo que en la práctica permitirá incriminar conductas reiteradas y molestas pero inidóneas</w:t>
      </w:r>
      <w:r w:rsidR="00C67AF3" w:rsidRPr="00F43BD3">
        <w:rPr>
          <w:rFonts w:eastAsia="Times New Roman"/>
          <w:szCs w:val="24"/>
          <w:lang w:eastAsia="es-ES"/>
        </w:rPr>
        <w:t xml:space="preserve"> para atentar gravemente contra el bien jurídico protegido, lo que</w:t>
      </w:r>
      <w:r w:rsidRPr="00F43BD3">
        <w:rPr>
          <w:rFonts w:eastAsia="Times New Roman"/>
          <w:szCs w:val="24"/>
          <w:lang w:eastAsia="es-ES"/>
        </w:rPr>
        <w:t xml:space="preserve"> podría contravenir el principio penal de </w:t>
      </w:r>
      <w:r w:rsidR="001F43B1" w:rsidRPr="00F43BD3">
        <w:rPr>
          <w:rFonts w:eastAsia="Times New Roman"/>
          <w:szCs w:val="24"/>
          <w:lang w:eastAsia="es-ES"/>
        </w:rPr>
        <w:t xml:space="preserve">intervención mínima. </w:t>
      </w:r>
      <w:r w:rsidR="00BA3868" w:rsidRPr="00F43BD3">
        <w:rPr>
          <w:rFonts w:eastAsia="Times New Roman"/>
          <w:szCs w:val="24"/>
          <w:lang w:eastAsia="es-ES"/>
        </w:rPr>
        <w:t>Por esta misma razón, porque “</w:t>
      </w:r>
      <w:r w:rsidR="00BA3868" w:rsidRPr="00F43BD3">
        <w:rPr>
          <w:szCs w:val="24"/>
        </w:rPr>
        <w:t>corremos el riesgo de caer en una criminalización generalizada de actos que podrían no tener relevancia suficiente para integrar un delito”</w:t>
      </w:r>
      <w:r w:rsidR="00F43BD3">
        <w:rPr>
          <w:rStyle w:val="Refdenotaalpie"/>
          <w:szCs w:val="24"/>
        </w:rPr>
        <w:footnoteReference w:id="37"/>
      </w:r>
      <w:r w:rsidR="00BA3868" w:rsidRPr="00F43BD3">
        <w:rPr>
          <w:szCs w:val="24"/>
        </w:rPr>
        <w:t>, l</w:t>
      </w:r>
      <w:r w:rsidR="00852E04" w:rsidRPr="00F43BD3">
        <w:rPr>
          <w:rFonts w:eastAsia="Times New Roman"/>
          <w:szCs w:val="24"/>
          <w:lang w:eastAsia="es-ES"/>
        </w:rPr>
        <w:t>a Asociación de Mujeres Juezas de España propuso la expresión “altere de forma significativa”</w:t>
      </w:r>
      <w:r w:rsidR="00852E04" w:rsidRPr="00F43BD3">
        <w:rPr>
          <w:rStyle w:val="Refdenotaalpie"/>
          <w:rFonts w:eastAsia="Times New Roman"/>
          <w:szCs w:val="24"/>
          <w:lang w:eastAsia="es-ES"/>
        </w:rPr>
        <w:footnoteReference w:id="38"/>
      </w:r>
      <w:r w:rsidR="00852E04" w:rsidRPr="00F43BD3">
        <w:rPr>
          <w:rFonts w:eastAsia="Times New Roman"/>
          <w:szCs w:val="24"/>
          <w:lang w:eastAsia="es-ES"/>
        </w:rPr>
        <w:t>. Por su parte, para</w:t>
      </w:r>
      <w:r w:rsidR="001F43B1" w:rsidRPr="00F43BD3">
        <w:rPr>
          <w:szCs w:val="24"/>
        </w:rPr>
        <w:t xml:space="preserve"> el CONSEJO GENERAL DEL PODER JUDICIAL, “debería seguir exigiéndose en el tipo un nivel de intensidad suficiente de la acción para afectar el libre desenvolvimiento del sujeto pasivo”</w:t>
      </w:r>
      <w:r w:rsidR="001F43B1" w:rsidRPr="00F43BD3">
        <w:rPr>
          <w:rStyle w:val="Refdenotaalpie"/>
          <w:szCs w:val="24"/>
        </w:rPr>
        <w:footnoteReference w:id="39"/>
      </w:r>
      <w:r w:rsidR="001F43B1" w:rsidRPr="00F43BD3">
        <w:rPr>
          <w:rFonts w:eastAsia="Times New Roman"/>
          <w:szCs w:val="24"/>
          <w:lang w:eastAsia="es-ES"/>
        </w:rPr>
        <w:t xml:space="preserve">. </w:t>
      </w:r>
    </w:p>
    <w:p w:rsidR="007E34F4" w:rsidRDefault="001F43B1" w:rsidP="00D15728">
      <w:pPr>
        <w:spacing w:line="276" w:lineRule="auto"/>
        <w:rPr>
          <w:rFonts w:cs="Times New Roman"/>
          <w:szCs w:val="24"/>
        </w:rPr>
      </w:pPr>
      <w:r w:rsidRPr="00F43BD3">
        <w:rPr>
          <w:rFonts w:eastAsia="Times New Roman"/>
          <w:szCs w:val="24"/>
          <w:lang w:eastAsia="es-ES"/>
        </w:rPr>
        <w:t>Por ello</w:t>
      </w:r>
      <w:r w:rsidR="00C67AF3" w:rsidRPr="00F43BD3">
        <w:rPr>
          <w:rFonts w:eastAsia="Times New Roman"/>
          <w:szCs w:val="24"/>
          <w:lang w:eastAsia="es-ES"/>
        </w:rPr>
        <w:t xml:space="preserve">, </w:t>
      </w:r>
      <w:r w:rsidRPr="00F43BD3">
        <w:rPr>
          <w:rFonts w:eastAsia="Times New Roman"/>
          <w:szCs w:val="24"/>
          <w:lang w:eastAsia="es-ES"/>
        </w:rPr>
        <w:t xml:space="preserve">y como he planteado en trabajos previos, </w:t>
      </w:r>
      <w:r w:rsidR="00C67AF3" w:rsidRPr="00F43BD3">
        <w:rPr>
          <w:rFonts w:eastAsia="Times New Roman"/>
          <w:szCs w:val="24"/>
          <w:lang w:eastAsia="es-ES"/>
        </w:rPr>
        <w:t>p</w:t>
      </w:r>
      <w:r w:rsidR="00A730D3" w:rsidRPr="00F43BD3">
        <w:rPr>
          <w:rFonts w:eastAsia="Times New Roman"/>
          <w:szCs w:val="24"/>
          <w:lang w:eastAsia="es-ES"/>
        </w:rPr>
        <w:t>arece más oportuna la sustitución de la cláusula de resultado vigente “altere gravemente</w:t>
      </w:r>
      <w:r w:rsidR="00A730D3" w:rsidRPr="00F458BE">
        <w:rPr>
          <w:rFonts w:eastAsia="Times New Roman"/>
          <w:szCs w:val="24"/>
          <w:lang w:eastAsia="es-ES"/>
        </w:rPr>
        <w:t xml:space="preserve"> el desarrollo</w:t>
      </w:r>
      <w:r w:rsidR="00A730D3" w:rsidRPr="00D15728">
        <w:rPr>
          <w:rFonts w:eastAsia="Times New Roman"/>
          <w:szCs w:val="24"/>
          <w:lang w:eastAsia="es-ES"/>
        </w:rPr>
        <w:t xml:space="preserve"> de su vida cotidiana” por “… de las mismas se derive una situación objetiva de grave alteración del desarrollo de su vida cotidiana”. </w:t>
      </w:r>
      <w:r w:rsidR="00C67AF3" w:rsidRPr="00D15728">
        <w:rPr>
          <w:rFonts w:eastAsia="Times New Roman"/>
          <w:szCs w:val="24"/>
          <w:lang w:eastAsia="es-ES"/>
        </w:rPr>
        <w:t xml:space="preserve">De esta manera, el delito no </w:t>
      </w:r>
      <w:r w:rsidR="00745F61" w:rsidRPr="00D15728">
        <w:rPr>
          <w:rFonts w:eastAsia="Times New Roman"/>
          <w:szCs w:val="24"/>
          <w:lang w:eastAsia="es-ES"/>
        </w:rPr>
        <w:t>sería concebido</w:t>
      </w:r>
      <w:r w:rsidR="00C67AF3" w:rsidRPr="00D15728">
        <w:rPr>
          <w:rFonts w:eastAsia="Times New Roman"/>
          <w:szCs w:val="24"/>
          <w:lang w:eastAsia="es-ES"/>
        </w:rPr>
        <w:t xml:space="preserve"> c</w:t>
      </w:r>
      <w:r w:rsidR="00235C46">
        <w:rPr>
          <w:rFonts w:eastAsia="Times New Roman"/>
          <w:szCs w:val="24"/>
          <w:lang w:eastAsia="es-ES"/>
        </w:rPr>
        <w:t xml:space="preserve">omo un delito </w:t>
      </w:r>
      <w:r w:rsidR="00E52C61">
        <w:rPr>
          <w:rFonts w:eastAsia="Times New Roman"/>
          <w:szCs w:val="24"/>
          <w:lang w:eastAsia="es-ES"/>
        </w:rPr>
        <w:t xml:space="preserve">puro de resultado, </w:t>
      </w:r>
      <w:r w:rsidR="00C67AF3" w:rsidRPr="00D15728">
        <w:rPr>
          <w:rFonts w:eastAsia="Times New Roman"/>
          <w:szCs w:val="24"/>
          <w:lang w:eastAsia="es-ES"/>
        </w:rPr>
        <w:t xml:space="preserve">sino como </w:t>
      </w:r>
      <w:r w:rsidR="005409AD">
        <w:rPr>
          <w:rFonts w:eastAsia="Times New Roman"/>
          <w:szCs w:val="24"/>
          <w:lang w:eastAsia="es-ES"/>
        </w:rPr>
        <w:t>un delito de</w:t>
      </w:r>
      <w:r w:rsidR="00C67AF3" w:rsidRPr="00D15728">
        <w:rPr>
          <w:rFonts w:eastAsia="Times New Roman"/>
          <w:szCs w:val="24"/>
          <w:lang w:eastAsia="es-ES"/>
        </w:rPr>
        <w:t xml:space="preserve"> idoneidad. Se e</w:t>
      </w:r>
      <w:r w:rsidR="00C67AF3" w:rsidRPr="00C67AF3">
        <w:rPr>
          <w:rFonts w:cs="Times New Roman"/>
          <w:szCs w:val="24"/>
        </w:rPr>
        <w:t xml:space="preserve">xigiría por tanto un plus en la conducta en relación con su capacidad para alterar gravemente el desarrollo de la vida cotidiana del hombre medio. </w:t>
      </w:r>
    </w:p>
    <w:p w:rsidR="00D15728" w:rsidRPr="001F43B1" w:rsidRDefault="005409AD" w:rsidP="00D15728">
      <w:pPr>
        <w:spacing w:line="276" w:lineRule="auto"/>
        <w:rPr>
          <w:rFonts w:eastAsia="Times New Roman"/>
          <w:szCs w:val="24"/>
          <w:lang w:eastAsia="es-ES"/>
        </w:rPr>
      </w:pPr>
      <w:r>
        <w:rPr>
          <w:rFonts w:cs="Times New Roman"/>
          <w:szCs w:val="24"/>
        </w:rPr>
        <w:t xml:space="preserve">Además, bajo el precepto vigente, el dolo debe abarcar el resultado </w:t>
      </w:r>
      <w:r w:rsidR="007E34F4">
        <w:rPr>
          <w:rFonts w:cs="Times New Roman"/>
          <w:szCs w:val="24"/>
        </w:rPr>
        <w:t xml:space="preserve">consistente en esa grave alteración de la vida cotidiana de la víctima </w:t>
      </w:r>
      <w:r>
        <w:rPr>
          <w:rFonts w:cs="Times New Roman"/>
          <w:szCs w:val="24"/>
        </w:rPr>
        <w:t xml:space="preserve">y ello puede dar lugar en la práctica a considerar atípicas conductas de acoso por la dificultad de que el dolo abarque </w:t>
      </w:r>
      <w:r w:rsidR="007E34F4">
        <w:rPr>
          <w:rFonts w:cs="Times New Roman"/>
          <w:szCs w:val="24"/>
        </w:rPr>
        <w:t>un</w:t>
      </w:r>
      <w:r>
        <w:rPr>
          <w:rFonts w:cs="Times New Roman"/>
          <w:szCs w:val="24"/>
        </w:rPr>
        <w:t xml:space="preserve"> resultado</w:t>
      </w:r>
      <w:r w:rsidR="007E34F4">
        <w:rPr>
          <w:rFonts w:cs="Times New Roman"/>
          <w:szCs w:val="24"/>
        </w:rPr>
        <w:t xml:space="preserve"> difícilmente contemplable por el autor, </w:t>
      </w:r>
      <w:r>
        <w:rPr>
          <w:rFonts w:cs="Times New Roman"/>
          <w:szCs w:val="24"/>
        </w:rPr>
        <w:t>esto es, por que no se dé el tipo subjetivo</w:t>
      </w:r>
      <w:r>
        <w:rPr>
          <w:rStyle w:val="Refdenotaalpie"/>
          <w:rFonts w:cs="Times New Roman"/>
          <w:szCs w:val="24"/>
        </w:rPr>
        <w:footnoteReference w:id="40"/>
      </w:r>
      <w:r>
        <w:rPr>
          <w:rFonts w:cs="Times New Roman"/>
          <w:szCs w:val="24"/>
        </w:rPr>
        <w:t>. Con la modificación planteada ese escollo sería solventado, puesto que bastaría para apreciar la tipicidad de la conducta que aquella fuera idónea para provocar ese resultado, pero no</w:t>
      </w:r>
      <w:r w:rsidR="007E34F4">
        <w:rPr>
          <w:rFonts w:cs="Times New Roman"/>
          <w:szCs w:val="24"/>
        </w:rPr>
        <w:t xml:space="preserve"> su</w:t>
      </w:r>
      <w:r>
        <w:rPr>
          <w:rFonts w:cs="Times New Roman"/>
          <w:szCs w:val="24"/>
        </w:rPr>
        <w:t xml:space="preserve"> efectiva </w:t>
      </w:r>
      <w:r w:rsidR="007E34F4">
        <w:rPr>
          <w:rFonts w:cs="Times New Roman"/>
          <w:szCs w:val="24"/>
        </w:rPr>
        <w:t>producción</w:t>
      </w:r>
      <w:r>
        <w:rPr>
          <w:rFonts w:cs="Times New Roman"/>
          <w:szCs w:val="24"/>
        </w:rPr>
        <w:t>.</w:t>
      </w:r>
    </w:p>
    <w:p w:rsidR="00C67AF3" w:rsidRPr="00D15728" w:rsidRDefault="00745F61" w:rsidP="00D15728">
      <w:pPr>
        <w:spacing w:line="276" w:lineRule="auto"/>
        <w:rPr>
          <w:rFonts w:eastAsia="Times New Roman"/>
          <w:szCs w:val="24"/>
          <w:lang w:eastAsia="es-ES"/>
        </w:rPr>
      </w:pPr>
      <w:r>
        <w:rPr>
          <w:rFonts w:cs="Times New Roman"/>
          <w:szCs w:val="24"/>
        </w:rPr>
        <w:t xml:space="preserve">En este sentido, </w:t>
      </w:r>
      <w:r w:rsidR="00C67AF3" w:rsidRPr="00C67AF3">
        <w:rPr>
          <w:rFonts w:cs="Times New Roman"/>
          <w:szCs w:val="24"/>
        </w:rPr>
        <w:t xml:space="preserve">en Alemania el tipo contenido en el parágrafo 238 del StGB se modificó </w:t>
      </w:r>
      <w:r>
        <w:rPr>
          <w:rFonts w:cs="Times New Roman"/>
          <w:szCs w:val="24"/>
        </w:rPr>
        <w:t>e</w:t>
      </w:r>
      <w:r w:rsidRPr="00C67AF3">
        <w:rPr>
          <w:rFonts w:cs="Times New Roman"/>
          <w:szCs w:val="24"/>
        </w:rPr>
        <w:t>n 2017</w:t>
      </w:r>
      <w:r>
        <w:rPr>
          <w:rFonts w:cs="Times New Roman"/>
          <w:szCs w:val="24"/>
        </w:rPr>
        <w:t xml:space="preserve"> </w:t>
      </w:r>
      <w:r w:rsidR="00C67AF3" w:rsidRPr="00C67AF3">
        <w:rPr>
          <w:rFonts w:cs="Times New Roman"/>
          <w:szCs w:val="24"/>
        </w:rPr>
        <w:t xml:space="preserve">por la </w:t>
      </w:r>
      <w:r w:rsidR="00C67AF3" w:rsidRPr="00C67AF3">
        <w:rPr>
          <w:rFonts w:cs="Times New Roman"/>
          <w:i/>
          <w:iCs/>
          <w:szCs w:val="24"/>
        </w:rPr>
        <w:t>Gesetz zur Verbesserung des Schutzes gegen Nachstellungen</w:t>
      </w:r>
      <w:r w:rsidR="00C67AF3" w:rsidRPr="00C67AF3">
        <w:rPr>
          <w:rFonts w:cs="Times New Roman"/>
          <w:szCs w:val="24"/>
        </w:rPr>
        <w:t xml:space="preserve"> y la expresión pasó de “… </w:t>
      </w:r>
      <w:r w:rsidR="00C67AF3" w:rsidRPr="003809E0">
        <w:rPr>
          <w:rFonts w:cs="Times New Roman"/>
          <w:i/>
          <w:szCs w:val="24"/>
        </w:rPr>
        <w:t>dadurch seine Lebensgestaltung schwerwiegenden beeinträchtigen</w:t>
      </w:r>
      <w:r w:rsidR="00C67AF3" w:rsidRPr="00C67AF3">
        <w:rPr>
          <w:rFonts w:cs="Times New Roman"/>
          <w:szCs w:val="24"/>
        </w:rPr>
        <w:t xml:space="preserve">…”. a “… </w:t>
      </w:r>
      <w:r w:rsidR="00C67AF3" w:rsidRPr="003809E0">
        <w:rPr>
          <w:rFonts w:cs="Times New Roman"/>
          <w:i/>
          <w:szCs w:val="24"/>
        </w:rPr>
        <w:t>deren Lebensgestaltung schwerwiegend zu beeinträchtigen</w:t>
      </w:r>
      <w:r w:rsidR="00C67AF3" w:rsidRPr="00C67AF3">
        <w:rPr>
          <w:rFonts w:cs="Times New Roman"/>
          <w:szCs w:val="24"/>
        </w:rPr>
        <w:t xml:space="preserve"> …”, de manera que ya no se concibe como un delito de resultado, sino como delito de idoneidad. Así, como advierte ROIG TORRES, “ya no se requiere que la persona acechada efectivamente haya realizado modificaciones </w:t>
      </w:r>
      <w:r w:rsidR="00C67AF3" w:rsidRPr="00D15728">
        <w:rPr>
          <w:rFonts w:eastAsia="Times New Roman"/>
          <w:szCs w:val="24"/>
          <w:lang w:eastAsia="es-ES"/>
        </w:rPr>
        <w:t>trascendentes en su actividad cotidiana, sino que basta que la conducta del autor sea adecuada para provocar esos cambios”</w:t>
      </w:r>
      <w:r w:rsidR="00C67AF3" w:rsidRPr="00D15728">
        <w:rPr>
          <w:rFonts w:eastAsia="Times New Roman"/>
          <w:lang w:eastAsia="es-ES"/>
        </w:rPr>
        <w:footnoteReference w:id="41"/>
      </w:r>
      <w:r w:rsidR="00C67AF3" w:rsidRPr="00D15728">
        <w:rPr>
          <w:rFonts w:eastAsia="Times New Roman"/>
          <w:szCs w:val="24"/>
          <w:lang w:eastAsia="es-ES"/>
        </w:rPr>
        <w:t xml:space="preserve">. </w:t>
      </w:r>
      <w:r w:rsidR="00D15728">
        <w:rPr>
          <w:rFonts w:eastAsia="Times New Roman"/>
          <w:szCs w:val="24"/>
          <w:lang w:eastAsia="es-ES"/>
        </w:rPr>
        <w:t>Además, l</w:t>
      </w:r>
      <w:r w:rsidRPr="00D15728">
        <w:rPr>
          <w:rFonts w:eastAsia="Times New Roman"/>
          <w:szCs w:val="24"/>
          <w:lang w:eastAsia="es-ES"/>
        </w:rPr>
        <w:t>os</w:t>
      </w:r>
      <w:r w:rsidR="00C67AF3" w:rsidRPr="00D15728">
        <w:rPr>
          <w:rFonts w:eastAsia="Times New Roman"/>
          <w:szCs w:val="24"/>
          <w:lang w:eastAsia="es-ES"/>
        </w:rPr>
        <w:t xml:space="preserve"> </w:t>
      </w:r>
      <w:r w:rsidRPr="00D15728">
        <w:rPr>
          <w:rFonts w:eastAsia="Times New Roman"/>
          <w:szCs w:val="24"/>
          <w:lang w:eastAsia="es-ES"/>
        </w:rPr>
        <w:t xml:space="preserve">artículos 612 bis y 154.A </w:t>
      </w:r>
      <w:r w:rsidR="00D15728">
        <w:rPr>
          <w:rFonts w:eastAsia="Times New Roman"/>
          <w:szCs w:val="24"/>
          <w:lang w:eastAsia="es-ES"/>
        </w:rPr>
        <w:t>de los C</w:t>
      </w:r>
      <w:r w:rsidRPr="00D15728">
        <w:rPr>
          <w:rFonts w:eastAsia="Times New Roman"/>
          <w:szCs w:val="24"/>
          <w:lang w:eastAsia="es-ES"/>
        </w:rPr>
        <w:t xml:space="preserve">ódigos penales </w:t>
      </w:r>
      <w:r w:rsidR="00C67AF3" w:rsidRPr="00D15728">
        <w:rPr>
          <w:rFonts w:eastAsia="Times New Roman"/>
          <w:szCs w:val="24"/>
          <w:lang w:eastAsia="es-ES"/>
        </w:rPr>
        <w:t xml:space="preserve">italiano </w:t>
      </w:r>
      <w:r w:rsidRPr="00D15728">
        <w:rPr>
          <w:rFonts w:eastAsia="Times New Roman"/>
          <w:szCs w:val="24"/>
          <w:lang w:eastAsia="es-ES"/>
        </w:rPr>
        <w:t xml:space="preserve">y portugués, respectivamente, </w:t>
      </w:r>
      <w:r w:rsidR="00C67AF3" w:rsidRPr="00D15728">
        <w:rPr>
          <w:rFonts w:eastAsia="Times New Roman"/>
          <w:szCs w:val="24"/>
          <w:lang w:eastAsia="es-ES"/>
        </w:rPr>
        <w:t>también contempla</w:t>
      </w:r>
      <w:r w:rsidRPr="00D15728">
        <w:rPr>
          <w:rFonts w:eastAsia="Times New Roman"/>
          <w:szCs w:val="24"/>
          <w:lang w:eastAsia="es-ES"/>
        </w:rPr>
        <w:t>n</w:t>
      </w:r>
      <w:r w:rsidR="00C67AF3" w:rsidRPr="00D15728">
        <w:rPr>
          <w:rFonts w:eastAsia="Times New Roman"/>
          <w:szCs w:val="24"/>
          <w:lang w:eastAsia="es-ES"/>
        </w:rPr>
        <w:t xml:space="preserve"> una expresión similar: “… </w:t>
      </w:r>
      <w:r w:rsidR="00C67AF3" w:rsidRPr="0058586C">
        <w:rPr>
          <w:rFonts w:eastAsia="Times New Roman"/>
          <w:i/>
          <w:szCs w:val="24"/>
          <w:lang w:eastAsia="es-ES"/>
        </w:rPr>
        <w:t>costringere lo stesso ad alterare le proprie abitudini di vita</w:t>
      </w:r>
      <w:r w:rsidRPr="00D15728">
        <w:rPr>
          <w:rFonts w:eastAsia="Times New Roman"/>
          <w:szCs w:val="24"/>
          <w:lang w:eastAsia="es-ES"/>
        </w:rPr>
        <w:t>” y</w:t>
      </w:r>
      <w:r w:rsidR="00C67AF3" w:rsidRPr="00D15728">
        <w:rPr>
          <w:rFonts w:eastAsia="Times New Roman"/>
          <w:szCs w:val="24"/>
          <w:lang w:eastAsia="es-ES"/>
        </w:rPr>
        <w:t xml:space="preserve"> “</w:t>
      </w:r>
      <w:r w:rsidR="00C67AF3" w:rsidRPr="0058586C">
        <w:rPr>
          <w:rFonts w:eastAsia="Times New Roman"/>
          <w:i/>
          <w:szCs w:val="24"/>
          <w:lang w:eastAsia="es-ES"/>
        </w:rPr>
        <w:t>provocar-lhe medo ou inquietação ou a prejudicar a sua liberdade de determinação</w:t>
      </w:r>
      <w:r w:rsidR="00C67AF3" w:rsidRPr="00D15728">
        <w:rPr>
          <w:rFonts w:eastAsia="Times New Roman"/>
          <w:szCs w:val="24"/>
          <w:lang w:eastAsia="es-ES"/>
        </w:rPr>
        <w:t>”.</w:t>
      </w:r>
    </w:p>
    <w:p w:rsidR="00AF7E99" w:rsidRPr="003D3367" w:rsidRDefault="00D15728" w:rsidP="003D3367">
      <w:pPr>
        <w:spacing w:line="276" w:lineRule="auto"/>
        <w:rPr>
          <w:rFonts w:eastAsia="Times New Roman"/>
          <w:szCs w:val="24"/>
          <w:lang w:eastAsia="es-ES"/>
        </w:rPr>
      </w:pPr>
      <w:r w:rsidRPr="00AF7E99">
        <w:rPr>
          <w:rFonts w:cs="Times New Roman"/>
          <w:szCs w:val="24"/>
        </w:rPr>
        <w:t>La segunda de las modificaciones planteadas por el Anteproyecto se refiere al último párrafo del apartado primero del precepto vigente, el cual establece que “</w:t>
      </w:r>
      <w:r w:rsidR="00AF7E99">
        <w:rPr>
          <w:rFonts w:cs="Times New Roman"/>
          <w:color w:val="000000"/>
          <w:szCs w:val="24"/>
          <w:shd w:val="clear" w:color="auto" w:fill="FFFFFF"/>
        </w:rPr>
        <w:t>s</w:t>
      </w:r>
      <w:r w:rsidRPr="00AF7E99">
        <w:rPr>
          <w:rFonts w:cs="Times New Roman"/>
          <w:color w:val="000000"/>
          <w:szCs w:val="24"/>
          <w:shd w:val="clear" w:color="auto" w:fill="FFFFFF"/>
        </w:rPr>
        <w:t>i se trata de una persona especialmente vulnerable por razón de su edad, enfermedad o situación, se impondrá la pena de prisión de seis meses a dos años”</w:t>
      </w:r>
      <w:r w:rsidR="00AF7E99">
        <w:rPr>
          <w:rFonts w:cs="Times New Roman"/>
          <w:szCs w:val="24"/>
        </w:rPr>
        <w:t>. La modificación</w:t>
      </w:r>
      <w:r w:rsidRPr="00AF7E99">
        <w:rPr>
          <w:rFonts w:cs="Times New Roman"/>
          <w:szCs w:val="24"/>
        </w:rPr>
        <w:t xml:space="preserve"> consiste en sustituir el término “situación” por “discapacidad o por</w:t>
      </w:r>
      <w:r w:rsidR="00AF7E99">
        <w:rPr>
          <w:rFonts w:cs="Times New Roman"/>
          <w:szCs w:val="24"/>
        </w:rPr>
        <w:t xml:space="preserve"> cualquier otra circunstancia”, de manera que el párrafo quedaría redactado en los siguientes términos</w:t>
      </w:r>
      <w:r w:rsidR="00F458BE">
        <w:rPr>
          <w:rFonts w:cs="Times New Roman"/>
          <w:szCs w:val="24"/>
        </w:rPr>
        <w:t>:</w:t>
      </w:r>
      <w:r w:rsidR="00AF7E99">
        <w:rPr>
          <w:rFonts w:cs="Times New Roman"/>
          <w:szCs w:val="24"/>
        </w:rPr>
        <w:t xml:space="preserve"> “</w:t>
      </w:r>
      <w:r w:rsidR="00AF7E99" w:rsidRPr="00AF7E99">
        <w:rPr>
          <w:rFonts w:cs="Times New Roman"/>
          <w:szCs w:val="24"/>
        </w:rPr>
        <w:t>Cuando la víctima se hal</w:t>
      </w:r>
      <w:r w:rsidR="00AF7E99">
        <w:rPr>
          <w:rFonts w:cs="Times New Roman"/>
          <w:szCs w:val="24"/>
        </w:rPr>
        <w:t xml:space="preserve">le en una situación de especial </w:t>
      </w:r>
      <w:r w:rsidR="00AF7E99" w:rsidRPr="00AF7E99">
        <w:rPr>
          <w:rFonts w:cs="Times New Roman"/>
          <w:szCs w:val="24"/>
        </w:rPr>
        <w:t>vulnerabilidad por razón de su edad, enferme</w:t>
      </w:r>
      <w:r w:rsidR="00AF7E99">
        <w:rPr>
          <w:rFonts w:cs="Times New Roman"/>
          <w:szCs w:val="24"/>
        </w:rPr>
        <w:t xml:space="preserve">dad, discapacidad </w:t>
      </w:r>
      <w:r w:rsidR="00AF7E99" w:rsidRPr="00AF7E99">
        <w:rPr>
          <w:rFonts w:cs="Times New Roman"/>
          <w:szCs w:val="24"/>
        </w:rPr>
        <w:t xml:space="preserve">o por cualquier otra </w:t>
      </w:r>
      <w:r w:rsidR="00AF7E99" w:rsidRPr="000E2A03">
        <w:rPr>
          <w:rFonts w:cs="Times New Roman"/>
          <w:szCs w:val="24"/>
        </w:rPr>
        <w:t>circunstancia se impondrá la pena de prisión de seis meses a dos años”. Al respecto, sostiene el CONSEJO GENERAL DEL PODER JUDICIAL que</w:t>
      </w:r>
      <w:r w:rsidR="000E2A03" w:rsidRPr="000E2A03">
        <w:rPr>
          <w:rFonts w:cs="Times New Roman"/>
          <w:szCs w:val="24"/>
        </w:rPr>
        <w:t xml:space="preserve"> “</w:t>
      </w:r>
      <w:r w:rsidR="000E2A03" w:rsidRPr="000E2A03">
        <w:rPr>
          <w:szCs w:val="24"/>
        </w:rPr>
        <w:t>mejora técnicamente la redacción, además de incorporar a la circunstancia agravante la situación de especial vulnerabilidad por razón de discapacidad”. Entiende el Órgano que “la adición de una cláusula abierta que permite apreciar la situación de especial vulnerabilidad «</w:t>
      </w:r>
      <w:r w:rsidR="000E2A03" w:rsidRPr="000E2A03">
        <w:rPr>
          <w:i/>
          <w:iCs/>
          <w:szCs w:val="24"/>
        </w:rPr>
        <w:t>por cualquier otra circunstancia</w:t>
      </w:r>
      <w:r w:rsidR="000E2A03" w:rsidRPr="000E2A03">
        <w:rPr>
          <w:szCs w:val="24"/>
        </w:rPr>
        <w:t xml:space="preserve">» precisará de una interpretación estricta que haga previsible la apreciación de cuando </w:t>
      </w:r>
      <w:r w:rsidR="000E2A03" w:rsidRPr="003D3367">
        <w:rPr>
          <w:rFonts w:eastAsia="Times New Roman"/>
          <w:szCs w:val="24"/>
          <w:lang w:eastAsia="es-ES"/>
        </w:rPr>
        <w:t>concurre la agravación del delito”</w:t>
      </w:r>
      <w:r w:rsidR="000E2A03" w:rsidRPr="003D3367">
        <w:rPr>
          <w:rFonts w:eastAsia="Times New Roman"/>
          <w:vertAlign w:val="superscript"/>
          <w:lang w:eastAsia="es-ES"/>
        </w:rPr>
        <w:footnoteReference w:id="42"/>
      </w:r>
      <w:r w:rsidR="000E2A03" w:rsidRPr="003D3367">
        <w:rPr>
          <w:rFonts w:eastAsia="Times New Roman"/>
          <w:szCs w:val="24"/>
          <w:lang w:eastAsia="es-ES"/>
        </w:rPr>
        <w:t>.</w:t>
      </w:r>
    </w:p>
    <w:p w:rsidR="00130A45" w:rsidRDefault="000E2A03" w:rsidP="003D3367">
      <w:pPr>
        <w:spacing w:line="276" w:lineRule="auto"/>
        <w:rPr>
          <w:rFonts w:eastAsia="Times New Roman" w:cs="Times New Roman"/>
          <w:szCs w:val="24"/>
          <w:lang w:eastAsia="es-ES"/>
        </w:rPr>
      </w:pPr>
      <w:r w:rsidRPr="003D3367">
        <w:rPr>
          <w:rFonts w:eastAsia="Times New Roman"/>
          <w:szCs w:val="24"/>
          <w:lang w:eastAsia="es-ES"/>
        </w:rPr>
        <w:t>Sin embargo</w:t>
      </w:r>
      <w:r w:rsidR="00D15728" w:rsidRPr="003D3367">
        <w:rPr>
          <w:rFonts w:eastAsia="Times New Roman"/>
          <w:szCs w:val="24"/>
          <w:lang w:eastAsia="es-ES"/>
        </w:rPr>
        <w:t xml:space="preserve">, </w:t>
      </w:r>
      <w:r w:rsidRPr="003D3367">
        <w:rPr>
          <w:rFonts w:eastAsia="Times New Roman"/>
          <w:szCs w:val="24"/>
          <w:lang w:eastAsia="es-ES"/>
        </w:rPr>
        <w:t>resulta criticable</w:t>
      </w:r>
      <w:r w:rsidR="00D15728" w:rsidRPr="003D3367">
        <w:rPr>
          <w:rFonts w:eastAsia="Times New Roman"/>
          <w:szCs w:val="24"/>
          <w:lang w:eastAsia="es-ES"/>
        </w:rPr>
        <w:t xml:space="preserve"> que una propuesta de modificación que se basa en el Convenio</w:t>
      </w:r>
      <w:r w:rsidR="00D15728" w:rsidRPr="00AF7E99">
        <w:rPr>
          <w:rFonts w:eastAsia="Times New Roman" w:cs="Times New Roman"/>
          <w:szCs w:val="24"/>
          <w:lang w:eastAsia="es-ES"/>
        </w:rPr>
        <w:t xml:space="preserve"> de Estambul (que se cita varias veces en la Expo</w:t>
      </w:r>
      <w:r w:rsidR="00235C46">
        <w:rPr>
          <w:rFonts w:eastAsia="Times New Roman" w:cs="Times New Roman"/>
          <w:szCs w:val="24"/>
          <w:lang w:eastAsia="es-ES"/>
        </w:rPr>
        <w:t>sición de Motivos del referido A</w:t>
      </w:r>
      <w:r w:rsidR="00D15728" w:rsidRPr="00AF7E99">
        <w:rPr>
          <w:rFonts w:eastAsia="Times New Roman" w:cs="Times New Roman"/>
          <w:szCs w:val="24"/>
          <w:lang w:eastAsia="es-ES"/>
        </w:rPr>
        <w:t>nteproy</w:t>
      </w:r>
      <w:r w:rsidR="00AF7E99">
        <w:rPr>
          <w:rFonts w:eastAsia="Times New Roman" w:cs="Times New Roman"/>
          <w:szCs w:val="24"/>
          <w:lang w:eastAsia="es-ES"/>
        </w:rPr>
        <w:t>ecto)</w:t>
      </w:r>
      <w:r w:rsidR="00AF7E99" w:rsidRPr="00AF7E99">
        <w:rPr>
          <w:rFonts w:eastAsia="Times New Roman" w:cs="Times New Roman"/>
          <w:szCs w:val="24"/>
          <w:lang w:eastAsia="es-ES"/>
        </w:rPr>
        <w:t xml:space="preserve"> </w:t>
      </w:r>
      <w:r w:rsidR="00852E04">
        <w:rPr>
          <w:rFonts w:eastAsia="Times New Roman" w:cs="Times New Roman"/>
          <w:szCs w:val="24"/>
          <w:lang w:eastAsia="es-ES"/>
        </w:rPr>
        <w:t>no añada</w:t>
      </w:r>
      <w:r w:rsidR="00AF7E99" w:rsidRPr="00AF7E99">
        <w:rPr>
          <w:rFonts w:eastAsia="Times New Roman" w:cs="Times New Roman"/>
          <w:szCs w:val="24"/>
          <w:lang w:eastAsia="es-ES"/>
        </w:rPr>
        <w:t xml:space="preserve"> </w:t>
      </w:r>
      <w:r w:rsidR="00AF7E99" w:rsidRPr="00AF7E99">
        <w:rPr>
          <w:rFonts w:cs="Times New Roman"/>
          <w:szCs w:val="24"/>
        </w:rPr>
        <w:t xml:space="preserve">la </w:t>
      </w:r>
      <w:r w:rsidR="00852E04" w:rsidRPr="00AF7E99">
        <w:rPr>
          <w:rFonts w:eastAsia="Times New Roman" w:cs="Times New Roman"/>
          <w:szCs w:val="24"/>
          <w:lang w:eastAsia="es-ES"/>
        </w:rPr>
        <w:t>circunstancia agravante</w:t>
      </w:r>
      <w:r w:rsidR="00852E04" w:rsidRPr="00AF7E99">
        <w:rPr>
          <w:rFonts w:cs="Times New Roman"/>
          <w:szCs w:val="24"/>
        </w:rPr>
        <w:t xml:space="preserve"> </w:t>
      </w:r>
      <w:r w:rsidR="00852E04">
        <w:rPr>
          <w:rFonts w:cs="Times New Roman"/>
          <w:szCs w:val="24"/>
        </w:rPr>
        <w:t xml:space="preserve">relativa a </w:t>
      </w:r>
      <w:r w:rsidR="00AF7E99" w:rsidRPr="00AF7E99">
        <w:rPr>
          <w:rFonts w:cs="Times New Roman"/>
          <w:szCs w:val="24"/>
        </w:rPr>
        <w:t>realización del delito en presencia de menores</w:t>
      </w:r>
      <w:r w:rsidR="00AF7E99" w:rsidRPr="00AF7E99">
        <w:rPr>
          <w:rFonts w:eastAsia="Times New Roman" w:cs="Times New Roman"/>
          <w:szCs w:val="24"/>
          <w:lang w:eastAsia="es-ES"/>
        </w:rPr>
        <w:t xml:space="preserve">, </w:t>
      </w:r>
      <w:r w:rsidR="00AF7E99">
        <w:rPr>
          <w:rFonts w:eastAsia="Times New Roman" w:cs="Times New Roman"/>
          <w:szCs w:val="24"/>
          <w:lang w:eastAsia="es-ES"/>
        </w:rPr>
        <w:t xml:space="preserve">reclamada </w:t>
      </w:r>
      <w:r w:rsidR="00D15728" w:rsidRPr="00AF7E99">
        <w:rPr>
          <w:rFonts w:eastAsia="Times New Roman" w:cs="Times New Roman"/>
          <w:szCs w:val="24"/>
          <w:lang w:eastAsia="es-ES"/>
        </w:rPr>
        <w:t>por el GREVIO.</w:t>
      </w:r>
      <w:r w:rsidR="00852E04">
        <w:rPr>
          <w:rFonts w:eastAsia="Times New Roman" w:cs="Times New Roman"/>
          <w:szCs w:val="24"/>
          <w:lang w:eastAsia="es-ES"/>
        </w:rPr>
        <w:t xml:space="preserve"> Por ello, e</w:t>
      </w:r>
      <w:r w:rsidR="00AF7E99">
        <w:rPr>
          <w:rFonts w:eastAsia="Times New Roman" w:cs="Times New Roman"/>
          <w:szCs w:val="24"/>
          <w:lang w:eastAsia="es-ES"/>
        </w:rPr>
        <w:t>l Proyecto resultante debiera incluir esta circunstancia contenida en el artículo 46.d) del Convenio.</w:t>
      </w:r>
    </w:p>
    <w:p w:rsidR="00513894" w:rsidRPr="001F0E67" w:rsidRDefault="00513894" w:rsidP="001F0E67">
      <w:pPr>
        <w:pStyle w:val="Ttulo1"/>
        <w:spacing w:line="276" w:lineRule="auto"/>
        <w:rPr>
          <w:szCs w:val="24"/>
        </w:rPr>
      </w:pPr>
      <w:r w:rsidRPr="001F0E67">
        <w:rPr>
          <w:szCs w:val="24"/>
        </w:rPr>
        <w:t>Conclusiones</w:t>
      </w:r>
    </w:p>
    <w:p w:rsidR="00EE320B" w:rsidRDefault="00EE320B" w:rsidP="00EE320B">
      <w:pPr>
        <w:pStyle w:val="Sinespaciado"/>
      </w:pPr>
    </w:p>
    <w:p w:rsidR="00892678" w:rsidRDefault="00474D90" w:rsidP="001F0E67">
      <w:pPr>
        <w:spacing w:line="276" w:lineRule="auto"/>
        <w:rPr>
          <w:szCs w:val="24"/>
        </w:rPr>
      </w:pPr>
      <w:r>
        <w:rPr>
          <w:szCs w:val="24"/>
        </w:rPr>
        <w:t>En trabajos previos, todavía no publicados por encontrarse aún en proceso de revisión, planteé</w:t>
      </w:r>
      <w:r w:rsidRPr="00474D90">
        <w:rPr>
          <w:szCs w:val="24"/>
        </w:rPr>
        <w:t xml:space="preserve"> una breve propuesta </w:t>
      </w:r>
      <w:r w:rsidRPr="00474D90">
        <w:rPr>
          <w:i/>
          <w:szCs w:val="24"/>
        </w:rPr>
        <w:t>de lege ferenda</w:t>
      </w:r>
      <w:r w:rsidRPr="00474D90">
        <w:rPr>
          <w:szCs w:val="24"/>
        </w:rPr>
        <w:t xml:space="preserve"> consistente en la realización de una serie de modificaciones sobre el </w:t>
      </w:r>
      <w:r>
        <w:rPr>
          <w:szCs w:val="24"/>
        </w:rPr>
        <w:t xml:space="preserve">artículo 172 </w:t>
      </w:r>
      <w:r w:rsidRPr="00474D90">
        <w:rPr>
          <w:i/>
          <w:szCs w:val="24"/>
        </w:rPr>
        <w:t>ter</w:t>
      </w:r>
      <w:r w:rsidRPr="00474D90">
        <w:rPr>
          <w:szCs w:val="24"/>
        </w:rPr>
        <w:t xml:space="preserve"> vigente, que seguiría ubicándose en los delitos contra la libertad</w:t>
      </w:r>
      <w:r>
        <w:rPr>
          <w:szCs w:val="24"/>
        </w:rPr>
        <w:t>. E</w:t>
      </w:r>
      <w:r>
        <w:t>l precepto quedaría redactado en los siguientes términos:</w:t>
      </w:r>
    </w:p>
    <w:p w:rsidR="00474D90" w:rsidRDefault="00474D90" w:rsidP="00E66851">
      <w:pPr>
        <w:spacing w:line="276" w:lineRule="auto"/>
        <w:ind w:firstLine="708"/>
      </w:pPr>
      <w:r>
        <w:t xml:space="preserve">“Artículo 172 </w:t>
      </w:r>
      <w:r w:rsidRPr="0010601C">
        <w:rPr>
          <w:i/>
        </w:rPr>
        <w:t>ter</w:t>
      </w:r>
    </w:p>
    <w:p w:rsidR="00474D90" w:rsidRDefault="00474D90" w:rsidP="00E66851">
      <w:pPr>
        <w:spacing w:line="276" w:lineRule="auto"/>
        <w:ind w:firstLine="708"/>
      </w:pPr>
      <w:r>
        <w:t>1. Salvo que los</w:t>
      </w:r>
      <w:r w:rsidRPr="00EB3F9B">
        <w:t xml:space="preserve"> hecho</w:t>
      </w:r>
      <w:r>
        <w:t>s</w:t>
      </w:r>
      <w:r w:rsidRPr="00EB3F9B">
        <w:t xml:space="preserve"> tuviera</w:t>
      </w:r>
      <w:r>
        <w:t>n</w:t>
      </w:r>
      <w:r w:rsidRPr="00EB3F9B">
        <w:t xml:space="preserve"> señalada mayor pena en otro precepto de este Código</w:t>
      </w:r>
      <w:r>
        <w:t>, será castigado con la pena de prisión de tres meses a dos años o multa de seis a veinticuatro meses el que acose a una persona de forma insistente llevando a cabo cualquiera de las conductas siguientes y, de las mismas se derive una situación objetiva de grave alteración d</w:t>
      </w:r>
      <w:r w:rsidRPr="00526E4D">
        <w:t>el desarrollo de su vida cotidiana</w:t>
      </w:r>
      <w:r>
        <w:t>:</w:t>
      </w:r>
    </w:p>
    <w:p w:rsidR="00474D90" w:rsidRDefault="00474D90" w:rsidP="00AD166F">
      <w:pPr>
        <w:spacing w:line="276" w:lineRule="auto"/>
      </w:pPr>
      <w:r>
        <w:t xml:space="preserve">1.ª La vigile, la persiga o </w:t>
      </w:r>
      <w:r w:rsidRPr="0040672F">
        <w:t>se aproxime a ella</w:t>
      </w:r>
      <w:r>
        <w:t>.</w:t>
      </w:r>
    </w:p>
    <w:p w:rsidR="00474D90" w:rsidRDefault="00474D90" w:rsidP="00AD166F">
      <w:pPr>
        <w:spacing w:line="276" w:lineRule="auto"/>
      </w:pPr>
      <w:r>
        <w:t>2.ª Establezca contacto con ella a través de cualquier medio de comunicación, o por medio de terceras personas.</w:t>
      </w:r>
    </w:p>
    <w:p w:rsidR="00474D90" w:rsidRDefault="00474D90" w:rsidP="00AD166F">
      <w:pPr>
        <w:spacing w:line="276" w:lineRule="auto"/>
      </w:pPr>
      <w:r>
        <w:t>3.ª Mediante el uso indebido de sus datos personales, adquiera productos o mercancías, o contrate servicios, o haga que terceras personas se pongan en contacto con ella.</w:t>
      </w:r>
    </w:p>
    <w:p w:rsidR="00474D90" w:rsidRDefault="00474D90" w:rsidP="00AD166F">
      <w:pPr>
        <w:spacing w:line="276" w:lineRule="auto"/>
      </w:pPr>
      <w:r>
        <w:t>4.ª Atente contra su libertad o contra su patrimonio, o contra la libertad o patrimonio de otra persona próxima a ella.</w:t>
      </w:r>
    </w:p>
    <w:p w:rsidR="00474D90" w:rsidRDefault="00474D90" w:rsidP="00AD166F">
      <w:pPr>
        <w:spacing w:line="276" w:lineRule="auto"/>
      </w:pPr>
      <w:r>
        <w:t xml:space="preserve">2. Cuando se realice el hecho en presencia de menores o el ofendido sea un menor de edad, una persona especialmente vulnerable o alguna de las personas a las que se refiere el apartado 2 del artículo 173, se impondrá la pena de prisión de uno a dos años. </w:t>
      </w:r>
    </w:p>
    <w:p w:rsidR="00474D90" w:rsidRDefault="00474D90" w:rsidP="00AD166F">
      <w:pPr>
        <w:spacing w:line="276" w:lineRule="auto"/>
      </w:pPr>
      <w:r>
        <w:t>3. Los hechos descritos en este artículo sólo serán perseguibles mediante denuncia de la persona agraviada o de su representante legal, salvo en los casos en los que el ofendido sea una de las personas a las que se refiere el apartado 2 de este artículo o los hechos se realicen en presencia de menores.”.</w:t>
      </w:r>
    </w:p>
    <w:p w:rsidR="00403154" w:rsidRDefault="00474D90" w:rsidP="00E66851">
      <w:pPr>
        <w:spacing w:line="276" w:lineRule="auto"/>
        <w:rPr>
          <w:szCs w:val="24"/>
        </w:rPr>
      </w:pPr>
      <w:r>
        <w:rPr>
          <w:szCs w:val="24"/>
        </w:rPr>
        <w:t xml:space="preserve">Por razones de espacio únicamente se procederá en los </w:t>
      </w:r>
      <w:r w:rsidR="00E66851">
        <w:rPr>
          <w:szCs w:val="24"/>
        </w:rPr>
        <w:t xml:space="preserve">dos </w:t>
      </w:r>
      <w:r>
        <w:rPr>
          <w:szCs w:val="24"/>
        </w:rPr>
        <w:t xml:space="preserve">párrafos </w:t>
      </w:r>
      <w:r w:rsidR="00E66851">
        <w:rPr>
          <w:szCs w:val="24"/>
        </w:rPr>
        <w:t xml:space="preserve">siguientes </w:t>
      </w:r>
      <w:r>
        <w:rPr>
          <w:szCs w:val="24"/>
        </w:rPr>
        <w:t xml:space="preserve">a justificar </w:t>
      </w:r>
      <w:r w:rsidR="0058586C">
        <w:rPr>
          <w:szCs w:val="24"/>
        </w:rPr>
        <w:t>someramente</w:t>
      </w:r>
      <w:r>
        <w:rPr>
          <w:szCs w:val="24"/>
        </w:rPr>
        <w:t xml:space="preserve">, con base en lo expresado en los epígrafes anteriores, las modificaciones </w:t>
      </w:r>
      <w:r w:rsidR="003E0078">
        <w:rPr>
          <w:szCs w:val="24"/>
        </w:rPr>
        <w:t xml:space="preserve">planteadas </w:t>
      </w:r>
      <w:r w:rsidR="00BB7F1F">
        <w:rPr>
          <w:szCs w:val="24"/>
        </w:rPr>
        <w:t>relativas</w:t>
      </w:r>
      <w:r w:rsidR="00235C46">
        <w:rPr>
          <w:szCs w:val="24"/>
        </w:rPr>
        <w:t xml:space="preserve"> a</w:t>
      </w:r>
      <w:r>
        <w:rPr>
          <w:szCs w:val="24"/>
        </w:rPr>
        <w:t xml:space="preserve"> los aspectos analizados en este trabajo, en tanto que </w:t>
      </w:r>
      <w:r w:rsidR="00BB7F1F">
        <w:rPr>
          <w:szCs w:val="24"/>
        </w:rPr>
        <w:t xml:space="preserve">relacionadas con el </w:t>
      </w:r>
      <w:r w:rsidR="00BB7F1F" w:rsidRPr="00BB7F1F">
        <w:rPr>
          <w:i/>
          <w:szCs w:val="24"/>
        </w:rPr>
        <w:t>stalking</w:t>
      </w:r>
      <w:r w:rsidR="00BB7F1F">
        <w:rPr>
          <w:szCs w:val="24"/>
        </w:rPr>
        <w:t xml:space="preserve"> como manifestación de violencia ejercida sobre la mujer.</w:t>
      </w:r>
      <w:r w:rsidR="0058586C">
        <w:rPr>
          <w:szCs w:val="24"/>
        </w:rPr>
        <w:t xml:space="preserve"> </w:t>
      </w:r>
    </w:p>
    <w:p w:rsidR="00E66851" w:rsidRPr="00E66851" w:rsidRDefault="008F51ED" w:rsidP="00E66851">
      <w:pPr>
        <w:spacing w:line="276" w:lineRule="auto"/>
        <w:rPr>
          <w:szCs w:val="24"/>
        </w:rPr>
      </w:pPr>
      <w:r>
        <w:rPr>
          <w:szCs w:val="24"/>
        </w:rPr>
        <w:t>Primeramente,</w:t>
      </w:r>
      <w:r w:rsidR="0058586C">
        <w:rPr>
          <w:szCs w:val="24"/>
        </w:rPr>
        <w:t xml:space="preserve"> se propone el reemplazo del resultado típico concretado en la grave </w:t>
      </w:r>
      <w:r w:rsidR="0058586C" w:rsidRPr="00E66851">
        <w:rPr>
          <w:szCs w:val="24"/>
        </w:rPr>
        <w:t>alteración del desarrollo de la vida cotidiana de la víctima por la expresión “de las mismas se derive una situación objetiva de grave alteración del desarrollo de su vida cotidiana”</w:t>
      </w:r>
      <w:r w:rsidRPr="00E66851">
        <w:rPr>
          <w:szCs w:val="24"/>
        </w:rPr>
        <w:t xml:space="preserve">. </w:t>
      </w:r>
      <w:r w:rsidR="00E66851">
        <w:rPr>
          <w:szCs w:val="24"/>
        </w:rPr>
        <w:t>C</w:t>
      </w:r>
      <w:r w:rsidRPr="00E66851">
        <w:rPr>
          <w:szCs w:val="24"/>
        </w:rPr>
        <w:t xml:space="preserve">on la conversión en delito de idoneidad, ya no se invierte </w:t>
      </w:r>
      <w:r w:rsidRPr="00E66851">
        <w:rPr>
          <w:rFonts w:eastAsia="Times New Roman"/>
          <w:szCs w:val="24"/>
          <w:lang w:eastAsia="es-ES"/>
        </w:rPr>
        <w:t>la carga de la prueba. La víctima ya no debe demostrar que las conductas del acosador produjeron ese resultado</w:t>
      </w:r>
      <w:r w:rsidRPr="00E66851">
        <w:rPr>
          <w:szCs w:val="24"/>
        </w:rPr>
        <w:t xml:space="preserve">. Basta con que las mismas sean idóneas para provocarlo. </w:t>
      </w:r>
      <w:r w:rsidR="00E66851">
        <w:rPr>
          <w:szCs w:val="24"/>
        </w:rPr>
        <w:t xml:space="preserve">De esta manera, ni se cae en una excesiva amplitud típica que permita una excesiva criminalización incompatible con el principio de intervención mínima (tal y como sucede con la propuesta de modificación del Anteproyecto), ni se supedita la consumación del delito al concreto umbral de resistencia de cada víctima (tal y como sucede con el precepto vigente). </w:t>
      </w:r>
    </w:p>
    <w:p w:rsidR="00E66851" w:rsidRDefault="007857C7" w:rsidP="00E66851">
      <w:pPr>
        <w:pStyle w:val="Textonotapie"/>
        <w:spacing w:line="276" w:lineRule="auto"/>
        <w:rPr>
          <w:sz w:val="24"/>
          <w:szCs w:val="24"/>
        </w:rPr>
      </w:pPr>
      <w:r>
        <w:rPr>
          <w:sz w:val="24"/>
          <w:szCs w:val="24"/>
        </w:rPr>
        <w:t>En segundo lugar</w:t>
      </w:r>
      <w:r w:rsidR="00E66851" w:rsidRPr="00E66851">
        <w:rPr>
          <w:sz w:val="24"/>
          <w:szCs w:val="24"/>
        </w:rPr>
        <w:t xml:space="preserve">, para evitar problemas derivados de solapamientos entre </w:t>
      </w:r>
      <w:r w:rsidR="00E66851">
        <w:rPr>
          <w:sz w:val="24"/>
          <w:szCs w:val="24"/>
        </w:rPr>
        <w:t>los dos</w:t>
      </w:r>
      <w:r w:rsidR="00E66851" w:rsidRPr="00E66851">
        <w:rPr>
          <w:sz w:val="24"/>
          <w:szCs w:val="24"/>
        </w:rPr>
        <w:t xml:space="preserve"> subtipos </w:t>
      </w:r>
      <w:r w:rsidR="00E66851">
        <w:rPr>
          <w:sz w:val="24"/>
          <w:szCs w:val="24"/>
        </w:rPr>
        <w:t xml:space="preserve">agravados vigentes </w:t>
      </w:r>
      <w:r w:rsidR="00E66851" w:rsidRPr="00E66851">
        <w:rPr>
          <w:sz w:val="24"/>
          <w:szCs w:val="24"/>
        </w:rPr>
        <w:t>(</w:t>
      </w:r>
      <w:r w:rsidR="00E66851">
        <w:rPr>
          <w:sz w:val="24"/>
          <w:szCs w:val="24"/>
        </w:rPr>
        <w:t>p</w:t>
      </w:r>
      <w:r w:rsidR="00E66851" w:rsidRPr="00E66851">
        <w:rPr>
          <w:sz w:val="24"/>
          <w:szCs w:val="24"/>
        </w:rPr>
        <w:t xml:space="preserve">iénsese en una víctima especialmente vulnerable que además sea descendiente del autor), se propone la unificación de ambos en un único apartado (apartado </w:t>
      </w:r>
      <w:r w:rsidR="00FE6EC8">
        <w:rPr>
          <w:sz w:val="24"/>
          <w:szCs w:val="24"/>
        </w:rPr>
        <w:t>2</w:t>
      </w:r>
      <w:r w:rsidR="00E66851" w:rsidRPr="00E66851">
        <w:rPr>
          <w:sz w:val="24"/>
          <w:szCs w:val="24"/>
        </w:rPr>
        <w:t xml:space="preserve">) que prevea penas de prisión de uno a dos años, con supresión de la pena de trabajos en beneficio de la comunidad, por constituir una sanción que en algunos casos puede ser más beneficiosa que la pena de prisión, </w:t>
      </w:r>
      <w:r w:rsidR="00E66851">
        <w:rPr>
          <w:sz w:val="24"/>
          <w:szCs w:val="24"/>
        </w:rPr>
        <w:t>pudiendo resultar</w:t>
      </w:r>
      <w:r w:rsidR="00E66851" w:rsidRPr="00E66851">
        <w:rPr>
          <w:sz w:val="24"/>
          <w:szCs w:val="24"/>
        </w:rPr>
        <w:t xml:space="preserve"> el tipo agravado en la práctica un tipo privilegiado</w:t>
      </w:r>
      <w:r w:rsidR="00E66851">
        <w:rPr>
          <w:sz w:val="24"/>
          <w:szCs w:val="24"/>
        </w:rPr>
        <w:t xml:space="preserve"> en algunos casos</w:t>
      </w:r>
      <w:r w:rsidR="00E66851" w:rsidRPr="00E66851">
        <w:rPr>
          <w:sz w:val="24"/>
          <w:szCs w:val="24"/>
        </w:rPr>
        <w:t xml:space="preserve">. También se plantea la adición en este apartado </w:t>
      </w:r>
      <w:r w:rsidR="00FE6EC8">
        <w:rPr>
          <w:sz w:val="24"/>
          <w:szCs w:val="24"/>
        </w:rPr>
        <w:t xml:space="preserve">segundo </w:t>
      </w:r>
      <w:r w:rsidR="00E66851" w:rsidRPr="00E66851">
        <w:rPr>
          <w:sz w:val="24"/>
          <w:szCs w:val="24"/>
        </w:rPr>
        <w:t>de la realización del delito en presencia de menores, de acuerdo con el artículo 46 del Convenio de Estambul.</w:t>
      </w:r>
      <w:r w:rsidR="00E66851">
        <w:rPr>
          <w:sz w:val="24"/>
          <w:szCs w:val="24"/>
        </w:rPr>
        <w:t xml:space="preserve"> </w:t>
      </w:r>
    </w:p>
    <w:p w:rsidR="00513894" w:rsidRPr="0077686A" w:rsidRDefault="00513894" w:rsidP="00E66851">
      <w:pPr>
        <w:pStyle w:val="Ttulo1"/>
        <w:rPr>
          <w:szCs w:val="22"/>
        </w:rPr>
      </w:pPr>
      <w:r w:rsidRPr="001F0E67">
        <w:t>Bibliografía</w:t>
      </w:r>
    </w:p>
    <w:p w:rsidR="00513894" w:rsidRPr="001F0E67" w:rsidRDefault="00513894" w:rsidP="00EE320B">
      <w:pPr>
        <w:pStyle w:val="Sinespaciado"/>
      </w:pPr>
    </w:p>
    <w:p w:rsidR="002F13E2" w:rsidRPr="001376E5" w:rsidRDefault="002F13E2" w:rsidP="001376E5">
      <w:pPr>
        <w:spacing w:line="276" w:lineRule="auto"/>
        <w:ind w:left="709" w:hanging="709"/>
        <w:rPr>
          <w:szCs w:val="24"/>
        </w:rPr>
      </w:pPr>
      <w:r w:rsidRPr="001376E5">
        <w:rPr>
          <w:szCs w:val="24"/>
        </w:rPr>
        <w:t xml:space="preserve">AGUILAR RUÍZ, Raúl: “Diferencias entre feminicidios precedidos y no precedidos por la separación de la pareja”, </w:t>
      </w:r>
      <w:r w:rsidRPr="001376E5">
        <w:rPr>
          <w:i/>
          <w:szCs w:val="24"/>
        </w:rPr>
        <w:t>Revista española de investigación criminológica</w:t>
      </w:r>
      <w:r w:rsidRPr="001376E5">
        <w:rPr>
          <w:szCs w:val="24"/>
        </w:rPr>
        <w:t>, número 7, 2019.</w:t>
      </w:r>
    </w:p>
    <w:p w:rsidR="002F13E2" w:rsidRPr="001376E5" w:rsidRDefault="002F13E2" w:rsidP="001376E5">
      <w:pPr>
        <w:spacing w:line="276" w:lineRule="auto"/>
        <w:ind w:left="709" w:hanging="709"/>
        <w:rPr>
          <w:szCs w:val="24"/>
        </w:rPr>
      </w:pPr>
      <w:r w:rsidRPr="001376E5">
        <w:rPr>
          <w:szCs w:val="24"/>
        </w:rPr>
        <w:t xml:space="preserve">ALONSO DE ESCAMILLA, Avelina: “El delito de stalking como nueva forma de acoso. Cyberstalking y nuevas realidades”, </w:t>
      </w:r>
      <w:r w:rsidRPr="001376E5">
        <w:rPr>
          <w:i/>
          <w:szCs w:val="24"/>
        </w:rPr>
        <w:t>La ley penal (los ciberdelitos)</w:t>
      </w:r>
      <w:r w:rsidRPr="001376E5">
        <w:rPr>
          <w:szCs w:val="24"/>
        </w:rPr>
        <w:t>, número 105, 2013.</w:t>
      </w:r>
    </w:p>
    <w:p w:rsidR="00783934" w:rsidRPr="001376E5" w:rsidRDefault="00783934" w:rsidP="001376E5">
      <w:pPr>
        <w:spacing w:line="276" w:lineRule="auto"/>
        <w:ind w:left="709" w:hanging="709"/>
        <w:rPr>
          <w:szCs w:val="24"/>
        </w:rPr>
      </w:pPr>
      <w:r w:rsidRPr="001376E5">
        <w:rPr>
          <w:szCs w:val="24"/>
        </w:rPr>
        <w:t xml:space="preserve">ASOCIACIÓN DE MUJERES JUEZAS DE ESPAÑA (Grupo de Trabajo de la Asociación de Mujeres Juezas de España (AMJE)), </w:t>
      </w:r>
      <w:r w:rsidRPr="001376E5">
        <w:rPr>
          <w:i/>
          <w:szCs w:val="24"/>
        </w:rPr>
        <w:t>Propuestas de enmiendas al Proyecto de ley Orgánica de Garantía Integral de la Libertad Sexual</w:t>
      </w:r>
      <w:r w:rsidRPr="001376E5">
        <w:rPr>
          <w:szCs w:val="24"/>
        </w:rPr>
        <w:t>, de 22 de marzo de 2021.</w:t>
      </w:r>
    </w:p>
    <w:p w:rsidR="002F13E2" w:rsidRPr="001376E5" w:rsidRDefault="002F13E2" w:rsidP="001376E5">
      <w:pPr>
        <w:spacing w:line="276" w:lineRule="auto"/>
        <w:ind w:left="709" w:hanging="709"/>
        <w:rPr>
          <w:szCs w:val="24"/>
        </w:rPr>
      </w:pPr>
      <w:r w:rsidRPr="001376E5">
        <w:rPr>
          <w:szCs w:val="24"/>
        </w:rPr>
        <w:t xml:space="preserve">BAUCELLS LLADÓ, Joan: “La irreflexiva criminalización del hostigamiento en el proyecto de código penal”, </w:t>
      </w:r>
      <w:r w:rsidRPr="001376E5">
        <w:rPr>
          <w:i/>
          <w:iCs/>
          <w:szCs w:val="24"/>
        </w:rPr>
        <w:t>Revista General de Derecho Penal</w:t>
      </w:r>
      <w:r w:rsidRPr="001376E5">
        <w:rPr>
          <w:iCs/>
          <w:szCs w:val="24"/>
        </w:rPr>
        <w:t xml:space="preserve">, número </w:t>
      </w:r>
      <w:r w:rsidRPr="001376E5">
        <w:rPr>
          <w:szCs w:val="24"/>
        </w:rPr>
        <w:t>21, 2014.</w:t>
      </w:r>
    </w:p>
    <w:p w:rsidR="00783934" w:rsidRPr="001376E5" w:rsidRDefault="00783934" w:rsidP="001376E5">
      <w:pPr>
        <w:spacing w:line="276" w:lineRule="auto"/>
        <w:ind w:left="709" w:hanging="709"/>
        <w:rPr>
          <w:szCs w:val="24"/>
        </w:rPr>
      </w:pPr>
      <w:r w:rsidRPr="001376E5">
        <w:rPr>
          <w:rFonts w:cs="Times New Roman"/>
          <w:szCs w:val="24"/>
        </w:rPr>
        <w:t xml:space="preserve">CASTELLÓ FOZ, Marisa: “El tipo de stalking o acoso del artículo 172 ter CP”, </w:t>
      </w:r>
      <w:r w:rsidRPr="001376E5">
        <w:rPr>
          <w:rFonts w:cs="Times New Roman"/>
          <w:i/>
          <w:szCs w:val="24"/>
        </w:rPr>
        <w:t>La ley penal</w:t>
      </w:r>
      <w:r w:rsidRPr="001376E5">
        <w:rPr>
          <w:rFonts w:cs="Times New Roman"/>
          <w:szCs w:val="24"/>
        </w:rPr>
        <w:t>, número 135, 2018.</w:t>
      </w:r>
    </w:p>
    <w:p w:rsidR="00783934" w:rsidRPr="001376E5" w:rsidRDefault="00783934" w:rsidP="001376E5">
      <w:pPr>
        <w:spacing w:line="276" w:lineRule="auto"/>
        <w:ind w:left="709" w:hanging="709"/>
        <w:rPr>
          <w:rFonts w:cs="Times New Roman"/>
          <w:szCs w:val="24"/>
        </w:rPr>
      </w:pPr>
      <w:r w:rsidRPr="001376E5">
        <w:rPr>
          <w:szCs w:val="24"/>
        </w:rPr>
        <w:t xml:space="preserve">CONSEJO GENERAL DEL PODER JUDICIAL: </w:t>
      </w:r>
      <w:r w:rsidRPr="001376E5">
        <w:rPr>
          <w:i/>
          <w:szCs w:val="24"/>
        </w:rPr>
        <w:t>Informe al Anteproyecto de Ley Orgánica por la que se modifica la Ley Orgánica 10/1995, de 23 de noviembre, del Código Penal</w:t>
      </w:r>
      <w:r w:rsidRPr="001376E5">
        <w:rPr>
          <w:szCs w:val="24"/>
        </w:rPr>
        <w:t>, de 16 de enero de 2013.</w:t>
      </w:r>
    </w:p>
    <w:p w:rsidR="00783934" w:rsidRPr="001376E5" w:rsidRDefault="00783934" w:rsidP="001376E5">
      <w:pPr>
        <w:spacing w:line="276" w:lineRule="auto"/>
        <w:ind w:left="709" w:hanging="709"/>
        <w:rPr>
          <w:rFonts w:cs="Times New Roman"/>
          <w:szCs w:val="24"/>
        </w:rPr>
      </w:pPr>
      <w:r w:rsidRPr="001376E5">
        <w:rPr>
          <w:szCs w:val="24"/>
        </w:rPr>
        <w:t xml:space="preserve">CONSEJO GENERAL DEL PODER JUDICIAL, </w:t>
      </w:r>
      <w:r w:rsidRPr="001376E5">
        <w:rPr>
          <w:i/>
          <w:szCs w:val="24"/>
        </w:rPr>
        <w:t>Informe sobre el Anteproyecto de Ley Orgánica de Garantía Integral de la Libertad Sexual</w:t>
      </w:r>
      <w:r w:rsidRPr="001376E5">
        <w:rPr>
          <w:szCs w:val="24"/>
        </w:rPr>
        <w:t>, de 25 de febrero de 2021.</w:t>
      </w:r>
    </w:p>
    <w:p w:rsidR="002F13E2" w:rsidRPr="001376E5" w:rsidRDefault="002F13E2" w:rsidP="001376E5">
      <w:pPr>
        <w:spacing w:line="276" w:lineRule="auto"/>
        <w:ind w:left="709" w:hanging="709"/>
        <w:rPr>
          <w:szCs w:val="24"/>
        </w:rPr>
      </w:pPr>
      <w:r w:rsidRPr="001376E5">
        <w:rPr>
          <w:rFonts w:cs="Times New Roman"/>
          <w:szCs w:val="24"/>
        </w:rPr>
        <w:t xml:space="preserve">DE LA CUESTA ARZAMENDI, José Luis – MAYORDOMO RODRIGO, Virginia: “Acoso y Derecho penal”, </w:t>
      </w:r>
      <w:r w:rsidRPr="001376E5">
        <w:rPr>
          <w:i/>
          <w:szCs w:val="24"/>
        </w:rPr>
        <w:t>Eguzkilore</w:t>
      </w:r>
      <w:r w:rsidRPr="001376E5">
        <w:rPr>
          <w:szCs w:val="24"/>
        </w:rPr>
        <w:t>, número 25, diciembre de 2011.</w:t>
      </w:r>
    </w:p>
    <w:p w:rsidR="002F13E2" w:rsidRPr="001376E5" w:rsidRDefault="002F13E2" w:rsidP="001376E5">
      <w:pPr>
        <w:spacing w:line="276" w:lineRule="auto"/>
        <w:ind w:left="709" w:hanging="709"/>
        <w:rPr>
          <w:szCs w:val="24"/>
        </w:rPr>
      </w:pPr>
      <w:r w:rsidRPr="001376E5">
        <w:rPr>
          <w:szCs w:val="24"/>
        </w:rPr>
        <w:t xml:space="preserve">DELEGACIÓN DEL GOBIERNO CONTRA LA VIOLENCIA DE GÉNERO DEL MINISTERIO DE IGUALDAD: </w:t>
      </w:r>
      <w:r w:rsidRPr="001376E5">
        <w:rPr>
          <w:i/>
          <w:szCs w:val="24"/>
        </w:rPr>
        <w:t>Macroencuesta de violencia contra la mujer</w:t>
      </w:r>
      <w:r w:rsidRPr="001376E5">
        <w:rPr>
          <w:szCs w:val="24"/>
        </w:rPr>
        <w:t>, 2019.</w:t>
      </w:r>
    </w:p>
    <w:p w:rsidR="002F13E2" w:rsidRPr="001376E5" w:rsidRDefault="002F13E2" w:rsidP="001376E5">
      <w:pPr>
        <w:spacing w:line="276" w:lineRule="auto"/>
        <w:ind w:left="709" w:hanging="709"/>
        <w:rPr>
          <w:szCs w:val="24"/>
        </w:rPr>
      </w:pPr>
      <w:r w:rsidRPr="001376E5">
        <w:rPr>
          <w:szCs w:val="24"/>
        </w:rPr>
        <w:t xml:space="preserve">FERNÁNDEZ CRUZ, Victoria – AGUSTINA, José R.: “Análisis jurídico-criminológico del stalking a partir de un estudio de sentencias”, </w:t>
      </w:r>
      <w:r w:rsidRPr="001376E5">
        <w:rPr>
          <w:i/>
          <w:szCs w:val="24"/>
        </w:rPr>
        <w:t>International e-Journal of Criminal Sciences</w:t>
      </w:r>
      <w:r w:rsidRPr="001376E5">
        <w:rPr>
          <w:szCs w:val="24"/>
        </w:rPr>
        <w:t>, número 14, 2019.</w:t>
      </w:r>
    </w:p>
    <w:p w:rsidR="00783934" w:rsidRPr="001376E5" w:rsidRDefault="00783934" w:rsidP="001376E5">
      <w:pPr>
        <w:spacing w:line="276" w:lineRule="auto"/>
        <w:ind w:left="709" w:hanging="709"/>
        <w:rPr>
          <w:szCs w:val="24"/>
        </w:rPr>
      </w:pPr>
      <w:r w:rsidRPr="001376E5">
        <w:rPr>
          <w:rFonts w:cs="Times New Roman"/>
          <w:color w:val="000000" w:themeColor="text1"/>
          <w:szCs w:val="24"/>
        </w:rPr>
        <w:t xml:space="preserve">GREVIO: </w:t>
      </w:r>
      <w:r w:rsidRPr="001376E5">
        <w:rPr>
          <w:rFonts w:cs="Times New Roman"/>
          <w:i/>
          <w:color w:val="000000" w:themeColor="text1"/>
          <w:szCs w:val="24"/>
        </w:rPr>
        <w:t>GREVIO’s (Baseline) Evaluation Report on legislative and other measures giving effect to the provisions of the Council of Europe Convention on Preventing and Combating Violence against Women and Domestic Violence (Istanbul Convention) SPAIN</w:t>
      </w:r>
      <w:r w:rsidRPr="001376E5">
        <w:rPr>
          <w:rFonts w:cs="Times New Roman"/>
          <w:color w:val="000000" w:themeColor="text1"/>
          <w:szCs w:val="24"/>
        </w:rPr>
        <w:t>, 2020.</w:t>
      </w:r>
    </w:p>
    <w:p w:rsidR="001376E5" w:rsidRPr="001376E5" w:rsidRDefault="001376E5" w:rsidP="001376E5">
      <w:pPr>
        <w:spacing w:line="276" w:lineRule="auto"/>
        <w:ind w:left="709" w:hanging="709"/>
        <w:rPr>
          <w:rFonts w:cs="Times New Roman"/>
          <w:szCs w:val="24"/>
        </w:rPr>
      </w:pPr>
      <w:r w:rsidRPr="001376E5">
        <w:rPr>
          <w:szCs w:val="24"/>
        </w:rPr>
        <w:t xml:space="preserve">MAGRO SERVET, Vicente: </w:t>
      </w:r>
      <w:r w:rsidRPr="001376E5">
        <w:rPr>
          <w:rFonts w:cs="Times New Roman"/>
          <w:szCs w:val="24"/>
        </w:rPr>
        <w:t xml:space="preserve">“El delito de stalking o acoso en la violencia de género”, </w:t>
      </w:r>
      <w:r w:rsidRPr="001376E5">
        <w:rPr>
          <w:rFonts w:cs="Times New Roman"/>
          <w:i/>
          <w:szCs w:val="24"/>
        </w:rPr>
        <w:t>La ley penal</w:t>
      </w:r>
      <w:r w:rsidRPr="001376E5">
        <w:rPr>
          <w:rFonts w:cs="Times New Roman"/>
          <w:szCs w:val="24"/>
        </w:rPr>
        <w:t>, número 139, 2019.</w:t>
      </w:r>
    </w:p>
    <w:p w:rsidR="002F13E2" w:rsidRPr="001376E5" w:rsidRDefault="002F13E2" w:rsidP="001376E5">
      <w:pPr>
        <w:spacing w:line="276" w:lineRule="auto"/>
        <w:ind w:left="709" w:hanging="709"/>
        <w:rPr>
          <w:szCs w:val="24"/>
        </w:rPr>
      </w:pPr>
      <w:r w:rsidRPr="001376E5">
        <w:rPr>
          <w:szCs w:val="24"/>
        </w:rPr>
        <w:t xml:space="preserve">MAGRO SERVET, Vicente: “Reforma del Código Penal afectante a la violencia de género”, </w:t>
      </w:r>
      <w:r w:rsidRPr="001376E5">
        <w:rPr>
          <w:i/>
          <w:szCs w:val="24"/>
        </w:rPr>
        <w:t>Diario La Ley</w:t>
      </w:r>
      <w:r w:rsidRPr="001376E5">
        <w:rPr>
          <w:szCs w:val="24"/>
        </w:rPr>
        <w:t>, número 8539, Sección Tribuna, 14 de mayo de 2015.</w:t>
      </w:r>
    </w:p>
    <w:p w:rsidR="00783934" w:rsidRPr="001376E5" w:rsidRDefault="00783934" w:rsidP="001376E5">
      <w:pPr>
        <w:spacing w:line="276" w:lineRule="auto"/>
        <w:ind w:left="709" w:hanging="709"/>
        <w:rPr>
          <w:szCs w:val="24"/>
        </w:rPr>
      </w:pPr>
      <w:r w:rsidRPr="001376E5">
        <w:rPr>
          <w:szCs w:val="24"/>
        </w:rPr>
        <w:t xml:space="preserve">MATALLÍN EVANGELIO, Ángela: “Delito de Acoso (art. 172 ter CP)”, en GONZALEZ CUSSAC, José Luis (Director) - MATALLIN EVANGELIO, Ángela - GORRIZ ROYO, Elena (Coordinadoras): </w:t>
      </w:r>
      <w:r w:rsidRPr="001376E5">
        <w:rPr>
          <w:i/>
          <w:szCs w:val="24"/>
        </w:rPr>
        <w:t>Comentarios al Código Penal de 19</w:t>
      </w:r>
      <w:r w:rsidRPr="001376E5">
        <w:rPr>
          <w:szCs w:val="24"/>
        </w:rPr>
        <w:t>95, Tirant lo Blanch, Valencia, 2015.</w:t>
      </w:r>
    </w:p>
    <w:p w:rsidR="00E03E4B" w:rsidRDefault="002F13E2" w:rsidP="00E03E4B">
      <w:pPr>
        <w:spacing w:line="276" w:lineRule="auto"/>
        <w:ind w:left="709" w:hanging="709"/>
        <w:rPr>
          <w:szCs w:val="24"/>
        </w:rPr>
      </w:pPr>
      <w:r w:rsidRPr="001376E5">
        <w:rPr>
          <w:szCs w:val="24"/>
        </w:rPr>
        <w:t xml:space="preserve">PUJOLS PÉREZ, Alejandra: “Consecuencias y mecanismos de afrontamiento en víctimas de acoso predatorio: una mirada cuantitativa”, en CASTRO TOLEDO, Francisco – GÓMEZ BELLVÍS, Ana Belén – BUIL-GIL, David (Editores): </w:t>
      </w:r>
      <w:r w:rsidRPr="001376E5">
        <w:rPr>
          <w:i/>
          <w:szCs w:val="24"/>
        </w:rPr>
        <w:t>La criminología que viene. Resultados del I Encuentro de Jóvenes Investigadores en Criminología</w:t>
      </w:r>
      <w:r w:rsidRPr="001376E5">
        <w:rPr>
          <w:szCs w:val="24"/>
        </w:rPr>
        <w:t>, Red española de jóvenes investigadores en criminología, España, 2019.</w:t>
      </w:r>
    </w:p>
    <w:p w:rsidR="00E03E4B" w:rsidRPr="00E03E4B" w:rsidRDefault="00E03E4B" w:rsidP="00E03E4B">
      <w:pPr>
        <w:spacing w:line="276" w:lineRule="auto"/>
        <w:ind w:left="709" w:hanging="709"/>
        <w:rPr>
          <w:szCs w:val="24"/>
        </w:rPr>
      </w:pPr>
      <w:r>
        <w:t xml:space="preserve">RIBAS, Eduardo Ramón: “El delito de acoso del art. 172 ter CP (Stalking)”, en VILLACAMPA ESTIARTE, Carolina (Coordinadora): </w:t>
      </w:r>
      <w:r w:rsidRPr="00FF5AEC">
        <w:rPr>
          <w:i/>
        </w:rPr>
        <w:t>Stalking: análisis jurídico, fenomenológico y victimológico</w:t>
      </w:r>
      <w:r>
        <w:t>, T</w:t>
      </w:r>
      <w:r w:rsidR="00B76F07">
        <w:t>homson</w:t>
      </w:r>
      <w:r>
        <w:t xml:space="preserve"> Reuters Aranzadi, Pamplona, 2018.</w:t>
      </w:r>
    </w:p>
    <w:p w:rsidR="002F13E2" w:rsidRPr="001376E5" w:rsidRDefault="002F13E2" w:rsidP="001376E5">
      <w:pPr>
        <w:spacing w:line="276" w:lineRule="auto"/>
        <w:ind w:left="709" w:hanging="709"/>
        <w:rPr>
          <w:szCs w:val="24"/>
        </w:rPr>
      </w:pPr>
      <w:r w:rsidRPr="001376E5">
        <w:rPr>
          <w:szCs w:val="24"/>
        </w:rPr>
        <w:t xml:space="preserve">ROIG TORRES, Margarita: “El delito de acoso (art. 172 ter CP) como modalidad de violencia de género. Comparativa con el «Nachstellung» del derecho alemán”, </w:t>
      </w:r>
      <w:r w:rsidRPr="001376E5">
        <w:rPr>
          <w:i/>
          <w:szCs w:val="24"/>
        </w:rPr>
        <w:t>Estudios penales y criminológicos</w:t>
      </w:r>
      <w:r w:rsidRPr="001376E5">
        <w:rPr>
          <w:szCs w:val="24"/>
        </w:rPr>
        <w:t>, vol. XXXVIII, 2018.</w:t>
      </w:r>
    </w:p>
    <w:p w:rsidR="002F13E2" w:rsidRPr="001376E5" w:rsidRDefault="002F13E2" w:rsidP="001376E5">
      <w:pPr>
        <w:spacing w:line="276" w:lineRule="auto"/>
        <w:ind w:left="709" w:hanging="709"/>
        <w:rPr>
          <w:szCs w:val="24"/>
        </w:rPr>
      </w:pPr>
      <w:r w:rsidRPr="001376E5">
        <w:rPr>
          <w:szCs w:val="24"/>
        </w:rPr>
        <w:t xml:space="preserve">ROIG TORRES, Margarita: “Regulación del stalking en Alemania: la reciente reforma del delito de persecución (Nachstellung) del § 238 StGB”, </w:t>
      </w:r>
      <w:r w:rsidRPr="001376E5">
        <w:rPr>
          <w:i/>
          <w:szCs w:val="24"/>
        </w:rPr>
        <w:t>Revista General de Derecho Penal</w:t>
      </w:r>
      <w:r w:rsidRPr="001376E5">
        <w:rPr>
          <w:szCs w:val="24"/>
        </w:rPr>
        <w:t>, número 29, 2018.</w:t>
      </w:r>
    </w:p>
    <w:p w:rsidR="002F13E2" w:rsidRPr="001376E5" w:rsidRDefault="002F13E2" w:rsidP="001376E5">
      <w:pPr>
        <w:spacing w:line="276" w:lineRule="auto"/>
        <w:ind w:left="709" w:hanging="709"/>
        <w:rPr>
          <w:szCs w:val="24"/>
        </w:rPr>
      </w:pPr>
      <w:r w:rsidRPr="001376E5">
        <w:rPr>
          <w:szCs w:val="24"/>
        </w:rPr>
        <w:t xml:space="preserve">TERZI, Laura: “El nuevo delito de stalking: primeras consideraciones”, </w:t>
      </w:r>
      <w:r w:rsidRPr="001376E5">
        <w:rPr>
          <w:i/>
          <w:szCs w:val="24"/>
        </w:rPr>
        <w:t>Revista General de Derecho Penal</w:t>
      </w:r>
      <w:r w:rsidRPr="001376E5">
        <w:rPr>
          <w:szCs w:val="24"/>
        </w:rPr>
        <w:t>, número 11, 2009.</w:t>
      </w:r>
    </w:p>
    <w:p w:rsidR="00783934" w:rsidRPr="001376E5" w:rsidRDefault="00783934" w:rsidP="001376E5">
      <w:pPr>
        <w:spacing w:line="276" w:lineRule="auto"/>
        <w:ind w:left="709" w:hanging="709"/>
        <w:rPr>
          <w:szCs w:val="24"/>
        </w:rPr>
      </w:pPr>
      <w:r w:rsidRPr="001376E5">
        <w:rPr>
          <w:rFonts w:cs="Times New Roman"/>
          <w:szCs w:val="24"/>
          <w:lang w:eastAsia="es-ES"/>
        </w:rPr>
        <w:t xml:space="preserve">VILLACAMPA ESTIARTE, Carolina: “Capítulo XX. El delito de stalking”, en QUINTERO OLIVARES, Gonzalo: </w:t>
      </w:r>
      <w:r w:rsidRPr="001376E5">
        <w:rPr>
          <w:rFonts w:cs="Times New Roman"/>
          <w:i/>
          <w:szCs w:val="24"/>
          <w:lang w:eastAsia="es-ES"/>
        </w:rPr>
        <w:t>Comentario a la reforma penal de 2015</w:t>
      </w:r>
      <w:r w:rsidRPr="001376E5">
        <w:rPr>
          <w:rFonts w:cs="Times New Roman"/>
          <w:szCs w:val="24"/>
          <w:lang w:eastAsia="es-ES"/>
        </w:rPr>
        <w:t>, 1ª edición, Aranzadi T</w:t>
      </w:r>
      <w:r w:rsidR="001376E5">
        <w:rPr>
          <w:rFonts w:cs="Times New Roman"/>
          <w:szCs w:val="24"/>
          <w:lang w:eastAsia="es-ES"/>
        </w:rPr>
        <w:t>homson Reuters, Pamplona, 2015.</w:t>
      </w:r>
      <w:r w:rsidRPr="001376E5">
        <w:rPr>
          <w:rFonts w:cs="Times New Roman"/>
          <w:szCs w:val="24"/>
          <w:lang w:eastAsia="es-ES"/>
        </w:rPr>
        <w:t xml:space="preserve"> </w:t>
      </w:r>
    </w:p>
    <w:p w:rsidR="002F13E2" w:rsidRPr="001376E5" w:rsidRDefault="002F13E2" w:rsidP="001376E5">
      <w:pPr>
        <w:spacing w:line="276" w:lineRule="auto"/>
        <w:ind w:left="709" w:hanging="709"/>
        <w:rPr>
          <w:szCs w:val="24"/>
        </w:rPr>
      </w:pPr>
      <w:r w:rsidRPr="001376E5">
        <w:rPr>
          <w:szCs w:val="24"/>
        </w:rPr>
        <w:t xml:space="preserve">VILLACAMPA ESTIARTE, Carolina: “El proyectado delito de acecho: incriminación del stalking en Derecho penal español”, </w:t>
      </w:r>
      <w:r w:rsidRPr="001376E5">
        <w:rPr>
          <w:i/>
          <w:szCs w:val="24"/>
        </w:rPr>
        <w:t>Cuadernos de Política Criminal</w:t>
      </w:r>
      <w:r w:rsidRPr="001376E5">
        <w:rPr>
          <w:szCs w:val="24"/>
        </w:rPr>
        <w:t>, número 109, época II, mayo de 2013.</w:t>
      </w:r>
    </w:p>
    <w:p w:rsidR="002F13E2" w:rsidRPr="001376E5" w:rsidRDefault="002F13E2" w:rsidP="001376E5">
      <w:pPr>
        <w:spacing w:line="276" w:lineRule="auto"/>
        <w:ind w:left="709" w:hanging="709"/>
        <w:rPr>
          <w:rFonts w:cs="Times New Roman"/>
          <w:iCs/>
          <w:color w:val="000000" w:themeColor="text1"/>
          <w:szCs w:val="24"/>
        </w:rPr>
      </w:pPr>
      <w:r w:rsidRPr="001376E5">
        <w:rPr>
          <w:rFonts w:cs="Times New Roman"/>
          <w:iCs/>
          <w:color w:val="000000" w:themeColor="text1"/>
          <w:szCs w:val="24"/>
        </w:rPr>
        <w:t xml:space="preserve">VILLACAMPA ESTIARTE, Carolina: “La introducción del delito de atti persecutori en el Código penal italiano”, </w:t>
      </w:r>
      <w:r w:rsidRPr="001376E5">
        <w:rPr>
          <w:rFonts w:cs="Times New Roman"/>
          <w:i/>
          <w:iCs/>
          <w:color w:val="000000" w:themeColor="text1"/>
          <w:szCs w:val="24"/>
        </w:rPr>
        <w:t>InDret</w:t>
      </w:r>
      <w:r w:rsidRPr="001376E5">
        <w:rPr>
          <w:rFonts w:cs="Times New Roman"/>
          <w:iCs/>
          <w:color w:val="000000" w:themeColor="text1"/>
          <w:szCs w:val="24"/>
        </w:rPr>
        <w:t>, número 3, 2009.</w:t>
      </w:r>
    </w:p>
    <w:p w:rsidR="001376E5" w:rsidRPr="001376E5" w:rsidRDefault="002F13E2" w:rsidP="001376E5">
      <w:pPr>
        <w:spacing w:line="276" w:lineRule="auto"/>
        <w:ind w:left="709" w:hanging="709"/>
        <w:rPr>
          <w:rFonts w:cs="Times New Roman"/>
          <w:iCs/>
          <w:color w:val="000000" w:themeColor="text1"/>
          <w:szCs w:val="24"/>
        </w:rPr>
      </w:pPr>
      <w:r w:rsidRPr="001376E5">
        <w:rPr>
          <w:szCs w:val="24"/>
        </w:rPr>
        <w:t xml:space="preserve">VILLACAMPA ESTIARTE, Carolina – PUJOLS PÉREZ, Alejandra: “El tratamiento jurídico del </w:t>
      </w:r>
      <w:r w:rsidRPr="001376E5">
        <w:rPr>
          <w:i/>
          <w:szCs w:val="24"/>
        </w:rPr>
        <w:t>stalking</w:t>
      </w:r>
      <w:r w:rsidRPr="001376E5">
        <w:rPr>
          <w:szCs w:val="24"/>
        </w:rPr>
        <w:t xml:space="preserve"> desde el prisma de las víctimas y los profesionales implicados: </w:t>
      </w:r>
      <w:r w:rsidRPr="001376E5">
        <w:rPr>
          <w:rFonts w:cs="Times New Roman"/>
          <w:iCs/>
          <w:color w:val="000000" w:themeColor="text1"/>
          <w:szCs w:val="24"/>
        </w:rPr>
        <w:t xml:space="preserve">resultados de un análisis cualitativo”, </w:t>
      </w:r>
      <w:r w:rsidRPr="00A852FD">
        <w:rPr>
          <w:rFonts w:cs="Times New Roman"/>
          <w:i/>
          <w:iCs/>
          <w:color w:val="000000" w:themeColor="text1"/>
          <w:szCs w:val="24"/>
        </w:rPr>
        <w:t>Estudios penales y criminológicos</w:t>
      </w:r>
      <w:r w:rsidR="001376E5" w:rsidRPr="001376E5">
        <w:rPr>
          <w:rFonts w:cs="Times New Roman"/>
          <w:iCs/>
          <w:color w:val="000000" w:themeColor="text1"/>
          <w:szCs w:val="24"/>
        </w:rPr>
        <w:t>, vol. XXXIX, 2019.</w:t>
      </w:r>
    </w:p>
    <w:p w:rsidR="001376E5" w:rsidRDefault="002F13E2" w:rsidP="001376E5">
      <w:pPr>
        <w:spacing w:line="276" w:lineRule="auto"/>
        <w:ind w:left="709" w:hanging="709"/>
        <w:rPr>
          <w:szCs w:val="24"/>
        </w:rPr>
      </w:pPr>
      <w:r w:rsidRPr="001376E5">
        <w:rPr>
          <w:rFonts w:cs="Times New Roman"/>
          <w:iCs/>
          <w:color w:val="000000" w:themeColor="text1"/>
          <w:szCs w:val="24"/>
        </w:rPr>
        <w:t xml:space="preserve">VILLACAMPA ESTIARTE, Carolina – PUJOLS PÉREZ, Alejandra: “Prevalencia y dinámica de la victimización por stalking en población universitaria”, </w:t>
      </w:r>
      <w:r w:rsidRPr="00A852FD">
        <w:rPr>
          <w:rFonts w:cs="Times New Roman"/>
          <w:i/>
          <w:iCs/>
          <w:color w:val="000000" w:themeColor="text1"/>
          <w:szCs w:val="24"/>
        </w:rPr>
        <w:t>Revista española de investigación</w:t>
      </w:r>
      <w:r w:rsidRPr="00A852FD">
        <w:rPr>
          <w:rFonts w:cs="Times New Roman"/>
          <w:i/>
          <w:szCs w:val="24"/>
        </w:rPr>
        <w:t xml:space="preserve"> criminológica</w:t>
      </w:r>
      <w:r w:rsidRPr="001376E5">
        <w:rPr>
          <w:rFonts w:cs="Times New Roman"/>
          <w:szCs w:val="24"/>
        </w:rPr>
        <w:t>, número 15, 2017.</w:t>
      </w:r>
    </w:p>
    <w:p w:rsidR="00FF5AEC" w:rsidRDefault="002F13E2" w:rsidP="00FF5AEC">
      <w:pPr>
        <w:spacing w:line="276" w:lineRule="auto"/>
        <w:ind w:left="709" w:hanging="709"/>
        <w:rPr>
          <w:szCs w:val="24"/>
        </w:rPr>
      </w:pPr>
      <w:r w:rsidRPr="001376E5">
        <w:rPr>
          <w:szCs w:val="24"/>
        </w:rPr>
        <w:t xml:space="preserve">VILLACAMPA ESTIARTE, Carolina – PUJOLS PÉREZ, Alejandra: “Stalking: efectos en las víctimas, estrategias de afrontamiento y propuestas legislativas derivadas”, </w:t>
      </w:r>
      <w:r w:rsidRPr="001376E5">
        <w:rPr>
          <w:i/>
          <w:szCs w:val="24"/>
        </w:rPr>
        <w:t>Indret</w:t>
      </w:r>
      <w:r w:rsidRPr="001376E5">
        <w:rPr>
          <w:szCs w:val="24"/>
        </w:rPr>
        <w:t>, número 2, 2017.</w:t>
      </w:r>
    </w:p>
    <w:p w:rsidR="00BE7B66" w:rsidRPr="00FF5AEC" w:rsidRDefault="00FF5AEC" w:rsidP="00FF5AEC">
      <w:pPr>
        <w:spacing w:line="276" w:lineRule="auto"/>
        <w:ind w:left="709" w:hanging="709"/>
        <w:rPr>
          <w:szCs w:val="24"/>
        </w:rPr>
      </w:pPr>
      <w:r>
        <w:t xml:space="preserve">VILLACAMPA ESTIARTE, Carolina – PUJOLS PÉREZ, Alejandra: “Victimización, fenomenología y efectos del stalking: resultados en una muestra de estudiantes universitarios en España”, en VILLACAMPA ESTIARTE, Carolina (Coordinadora): </w:t>
      </w:r>
      <w:r w:rsidRPr="00FF5AEC">
        <w:rPr>
          <w:i/>
        </w:rPr>
        <w:t>Stalking: análisis jurídico, fenomenológico y victimológico</w:t>
      </w:r>
      <w:r>
        <w:t>, T</w:t>
      </w:r>
      <w:r w:rsidR="00B76F07">
        <w:t>homson</w:t>
      </w:r>
      <w:r>
        <w:t xml:space="preserve"> Reuters Aranzadi, Pamplona, 2018.</w:t>
      </w:r>
    </w:p>
    <w:sectPr w:rsidR="00BE7B66" w:rsidRPr="00FF5AEC">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728" w:rsidRDefault="00D15728" w:rsidP="00735E2A">
      <w:pPr>
        <w:spacing w:after="0" w:line="240" w:lineRule="auto"/>
      </w:pPr>
      <w:r>
        <w:separator/>
      </w:r>
    </w:p>
  </w:endnote>
  <w:endnote w:type="continuationSeparator" w:id="0">
    <w:p w:rsidR="00D15728" w:rsidRDefault="00D15728" w:rsidP="0073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013120"/>
      <w:docPartObj>
        <w:docPartGallery w:val="Page Numbers (Bottom of Page)"/>
        <w:docPartUnique/>
      </w:docPartObj>
    </w:sdtPr>
    <w:sdtEndPr/>
    <w:sdtContent>
      <w:p w:rsidR="00EE320B" w:rsidRDefault="00EE320B">
        <w:pPr>
          <w:pStyle w:val="Piedepgina"/>
          <w:jc w:val="center"/>
        </w:pPr>
        <w:r>
          <w:fldChar w:fldCharType="begin"/>
        </w:r>
        <w:r>
          <w:instrText>PAGE   \* MERGEFORMAT</w:instrText>
        </w:r>
        <w:r>
          <w:fldChar w:fldCharType="separate"/>
        </w:r>
        <w:r w:rsidR="00D8501E">
          <w:rPr>
            <w:noProof/>
          </w:rPr>
          <w:t>1</w:t>
        </w:r>
        <w:r>
          <w:fldChar w:fldCharType="end"/>
        </w:r>
      </w:p>
    </w:sdtContent>
  </w:sdt>
  <w:p w:rsidR="00EE320B" w:rsidRDefault="00EE320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728" w:rsidRDefault="00D15728" w:rsidP="00735E2A">
      <w:pPr>
        <w:spacing w:after="0" w:line="240" w:lineRule="auto"/>
      </w:pPr>
      <w:r>
        <w:separator/>
      </w:r>
    </w:p>
  </w:footnote>
  <w:footnote w:type="continuationSeparator" w:id="0">
    <w:p w:rsidR="00D15728" w:rsidRDefault="00D15728" w:rsidP="00735E2A">
      <w:pPr>
        <w:spacing w:after="0" w:line="240" w:lineRule="auto"/>
      </w:pPr>
      <w:r>
        <w:continuationSeparator/>
      </w:r>
    </w:p>
  </w:footnote>
  <w:footnote w:id="1">
    <w:p w:rsidR="00D15728" w:rsidRPr="00ED13D2" w:rsidRDefault="00D15728" w:rsidP="00ED13D2">
      <w:pPr>
        <w:pStyle w:val="Default"/>
        <w:jc w:val="both"/>
        <w:rPr>
          <w:rFonts w:ascii="Times New Roman" w:hAnsi="Times New Roman" w:cs="Times New Roman"/>
          <w:sz w:val="20"/>
          <w:szCs w:val="20"/>
        </w:rPr>
      </w:pPr>
      <w:r w:rsidRPr="00ED13D2">
        <w:rPr>
          <w:rStyle w:val="Refdenotaalpie"/>
          <w:rFonts w:ascii="Times New Roman" w:hAnsi="Times New Roman" w:cs="Times New Roman"/>
          <w:sz w:val="20"/>
          <w:szCs w:val="20"/>
        </w:rPr>
        <w:footnoteRef/>
      </w:r>
      <w:r w:rsidRPr="00ED13D2">
        <w:rPr>
          <w:rFonts w:ascii="Times New Roman" w:hAnsi="Times New Roman" w:cs="Times New Roman"/>
        </w:rPr>
        <w:t xml:space="preserve"> </w:t>
      </w:r>
      <w:r w:rsidRPr="00ED13D2">
        <w:rPr>
          <w:rFonts w:ascii="Times New Roman" w:hAnsi="Times New Roman" w:cs="Times New Roman"/>
          <w:sz w:val="20"/>
          <w:szCs w:val="20"/>
        </w:rPr>
        <w:t xml:space="preserve">Email: </w:t>
      </w:r>
      <w:r w:rsidRPr="00794C13">
        <w:rPr>
          <w:rFonts w:ascii="Times New Roman" w:hAnsi="Times New Roman" w:cs="Times New Roman"/>
          <w:sz w:val="20"/>
          <w:szCs w:val="20"/>
        </w:rPr>
        <w:t>cristian.sanchez@uca.es</w:t>
      </w:r>
      <w:r w:rsidRPr="00794C13">
        <w:rPr>
          <w:rStyle w:val="Hipervnculo"/>
          <w:rFonts w:ascii="Times New Roman" w:hAnsi="Times New Roman" w:cs="Times New Roman"/>
          <w:color w:val="000000" w:themeColor="text1"/>
          <w:sz w:val="20"/>
          <w:szCs w:val="20"/>
          <w:u w:val="none"/>
        </w:rPr>
        <w:t xml:space="preserve">. </w:t>
      </w:r>
      <w:r w:rsidRPr="00ED13D2">
        <w:rPr>
          <w:rFonts w:ascii="Times New Roman" w:hAnsi="Times New Roman" w:cs="Times New Roman"/>
          <w:sz w:val="20"/>
          <w:szCs w:val="20"/>
        </w:rPr>
        <w:t xml:space="preserve">Investigador del Proyecto I+D Análisis jurídico penal y criminológico del acoso laboral generado en la Universidad: los programas de compliance como mecanismo preventivo (FEDER-UCA18-106438). Este trabajo ha sido cofinanciado por la Unión Europea en el marco del Programa Operativo FEDER 2014-2020 y por la Consejería de Economía, Conocimiento, Empresas y Universidad de la Junta de Andalucía. </w:t>
      </w:r>
      <w:r w:rsidRPr="00ED13D2">
        <w:rPr>
          <w:rFonts w:ascii="Times New Roman" w:hAnsi="Times New Roman" w:cs="Times New Roman"/>
          <w:sz w:val="20"/>
          <w:szCs w:val="20"/>
          <w:lang w:val="en-US"/>
        </w:rPr>
        <w:t xml:space="preserve">Referencia del proyecto: FEDER-UCA18-106438. This work has been co-financed by the European Union under the 2014-2020 ERDF Operational Programme and by the Department of Economy, Knowledge, Business and University of the Regional Government of Andalusia. </w:t>
      </w:r>
      <w:r w:rsidRPr="00ED13D2">
        <w:rPr>
          <w:rFonts w:ascii="Times New Roman" w:hAnsi="Times New Roman" w:cs="Times New Roman"/>
          <w:sz w:val="20"/>
          <w:szCs w:val="20"/>
        </w:rPr>
        <w:t>Project reference: FEDER-UCA18-106438.</w:t>
      </w:r>
    </w:p>
  </w:footnote>
  <w:footnote w:id="2">
    <w:p w:rsidR="00D15728" w:rsidRPr="00207531" w:rsidRDefault="00D15728" w:rsidP="00AA1723">
      <w:pPr>
        <w:pStyle w:val="Sinespaciado"/>
        <w:rPr>
          <w:sz w:val="20"/>
          <w:szCs w:val="20"/>
        </w:rPr>
      </w:pPr>
      <w:r w:rsidRPr="00207531">
        <w:rPr>
          <w:rStyle w:val="Refdenotaalpie"/>
          <w:sz w:val="20"/>
          <w:szCs w:val="20"/>
        </w:rPr>
        <w:footnoteRef/>
      </w:r>
      <w:r w:rsidRPr="00207531">
        <w:rPr>
          <w:sz w:val="20"/>
          <w:szCs w:val="20"/>
        </w:rPr>
        <w:t xml:space="preserve"> El texto puede consultarse a través del siguiente enlace (última consulta: el 11 de enero de 2021): </w:t>
      </w:r>
    </w:p>
    <w:p w:rsidR="00D15728" w:rsidRPr="00207531" w:rsidRDefault="00D8501E" w:rsidP="00AA1723">
      <w:pPr>
        <w:pStyle w:val="Sinespaciado"/>
        <w:rPr>
          <w:sz w:val="20"/>
          <w:szCs w:val="20"/>
        </w:rPr>
      </w:pPr>
      <w:hyperlink r:id="rId1" w:history="1">
        <w:r w:rsidR="00D15728" w:rsidRPr="00207531">
          <w:rPr>
            <w:rStyle w:val="Hipervnculo"/>
            <w:sz w:val="20"/>
            <w:szCs w:val="20"/>
          </w:rPr>
          <w:t>https://www.boe.es/diario_boe/txt.php?id=BOE-A-2014-5947</w:t>
        </w:r>
      </w:hyperlink>
      <w:r w:rsidR="00D15728" w:rsidRPr="00207531">
        <w:rPr>
          <w:sz w:val="20"/>
          <w:szCs w:val="20"/>
        </w:rPr>
        <w:t xml:space="preserve"> </w:t>
      </w:r>
    </w:p>
  </w:footnote>
  <w:footnote w:id="3">
    <w:p w:rsidR="00D15728" w:rsidRPr="00207531" w:rsidRDefault="00D15728" w:rsidP="00AA1723">
      <w:pPr>
        <w:pStyle w:val="Sinespaciado"/>
        <w:rPr>
          <w:rFonts w:cs="Times New Roman"/>
          <w:sz w:val="20"/>
          <w:szCs w:val="20"/>
        </w:rPr>
      </w:pPr>
      <w:r w:rsidRPr="00207531">
        <w:rPr>
          <w:rStyle w:val="Refdenotaalpie"/>
          <w:rFonts w:cs="Times New Roman"/>
          <w:sz w:val="20"/>
          <w:szCs w:val="20"/>
        </w:rPr>
        <w:footnoteRef/>
      </w:r>
      <w:r w:rsidRPr="00207531">
        <w:rPr>
          <w:rFonts w:cs="Times New Roman"/>
          <w:sz w:val="20"/>
          <w:szCs w:val="20"/>
        </w:rPr>
        <w:t xml:space="preserve"> Que en su artículo 34 dispone que “las Partes adoptarán las medidas legislativas o de otro tipo necesarias para tipificar como delito el hecho, cuando se cometa intencionadamente, de adoptar, en varias ocasiones, un comportamiento amenazador contra otra persona que lleve a esta a temer por su seguridad”. </w:t>
      </w:r>
    </w:p>
  </w:footnote>
  <w:footnote w:id="4">
    <w:p w:rsidR="00D15728" w:rsidRPr="00207531" w:rsidRDefault="00D15728" w:rsidP="00AA1723">
      <w:pPr>
        <w:pStyle w:val="Sinespaciado"/>
        <w:rPr>
          <w:sz w:val="20"/>
          <w:szCs w:val="20"/>
        </w:rPr>
      </w:pPr>
      <w:r w:rsidRPr="00207531">
        <w:rPr>
          <w:rStyle w:val="Refdenotaalpie"/>
          <w:rFonts w:cs="Times New Roman"/>
          <w:sz w:val="20"/>
          <w:szCs w:val="20"/>
        </w:rPr>
        <w:footnoteRef/>
      </w:r>
      <w:r w:rsidRPr="00207531">
        <w:rPr>
          <w:sz w:val="20"/>
          <w:szCs w:val="20"/>
        </w:rPr>
        <w:t xml:space="preserve"> En el mismo sentido, VILLACAMPA ESTIARTE, Carolina: “El proyectado delito de acecho: incriminación del stalking en Derecho penal español”, </w:t>
      </w:r>
      <w:r w:rsidR="002F13E2" w:rsidRPr="002F13E2">
        <w:rPr>
          <w:bCs/>
          <w:i/>
          <w:sz w:val="20"/>
          <w:szCs w:val="20"/>
        </w:rPr>
        <w:t>Cuadernos de Política Criminal</w:t>
      </w:r>
      <w:r w:rsidR="002F13E2" w:rsidRPr="002F13E2">
        <w:rPr>
          <w:bCs/>
          <w:sz w:val="20"/>
          <w:szCs w:val="20"/>
        </w:rPr>
        <w:t>, número 109, época II, mayo de 2013</w:t>
      </w:r>
      <w:r w:rsidRPr="00207531">
        <w:rPr>
          <w:bCs/>
          <w:sz w:val="20"/>
          <w:szCs w:val="20"/>
        </w:rPr>
        <w:t xml:space="preserve">, </w:t>
      </w:r>
      <w:r w:rsidRPr="00207531">
        <w:rPr>
          <w:sz w:val="20"/>
          <w:szCs w:val="20"/>
        </w:rPr>
        <w:t>p. 10, al sostener en 2011 que “Mediante la inclusión del art. 172 ter CP el legislador español pretende, a la vez que llenar el vacío punitivo que puede generar para la relevancia penal de conductas severamente atentatorias contra la libertad de obrar la actual dicción e interpretación jurisprudencial de los delitos de coacciones y amenazas, adelantarse al cumplimiento de obligaciones internacionales de incriminación asumidas por nuestro Estado relacionadas con la violencia de género que previsiblemente le afectarán en un futuro más o menos inmediato”.</w:t>
      </w:r>
    </w:p>
  </w:footnote>
  <w:footnote w:id="5">
    <w:p w:rsidR="00D15728" w:rsidRPr="00207531" w:rsidRDefault="00D15728" w:rsidP="00AA1723">
      <w:pPr>
        <w:pStyle w:val="Sinespaciado"/>
        <w:rPr>
          <w:sz w:val="20"/>
          <w:szCs w:val="20"/>
        </w:rPr>
      </w:pPr>
      <w:r w:rsidRPr="00207531">
        <w:rPr>
          <w:rStyle w:val="Refdenotaalpie"/>
          <w:rFonts w:cs="Times New Roman"/>
          <w:sz w:val="20"/>
          <w:szCs w:val="20"/>
        </w:rPr>
        <w:footnoteRef/>
      </w:r>
      <w:r w:rsidRPr="00207531">
        <w:rPr>
          <w:sz w:val="20"/>
          <w:szCs w:val="20"/>
        </w:rPr>
        <w:t xml:space="preserve"> Como recuerdan BAUCELLS LLADÓ, Joan: “La irreflexiva criminalización del hostigamiento en el proyecto de código penal”, </w:t>
      </w:r>
      <w:r w:rsidR="002F13E2" w:rsidRPr="008F3CD1">
        <w:rPr>
          <w:i/>
          <w:iCs/>
          <w:sz w:val="20"/>
          <w:szCs w:val="20"/>
        </w:rPr>
        <w:t>Revista General de Derecho Penal</w:t>
      </w:r>
      <w:r w:rsidR="002F13E2" w:rsidRPr="000C5237">
        <w:rPr>
          <w:iCs/>
          <w:sz w:val="20"/>
          <w:szCs w:val="20"/>
        </w:rPr>
        <w:t xml:space="preserve">, número </w:t>
      </w:r>
      <w:r w:rsidR="002F13E2">
        <w:rPr>
          <w:sz w:val="20"/>
          <w:szCs w:val="20"/>
        </w:rPr>
        <w:t>21, 2014</w:t>
      </w:r>
      <w:r w:rsidRPr="00207531">
        <w:rPr>
          <w:sz w:val="20"/>
          <w:szCs w:val="20"/>
        </w:rPr>
        <w:t xml:space="preserve">, p. 13 y ROIG TORRES, Margarita: “El delito de acoso (art. 172 ter CP) como modalidad de violencia de género. Comparativa con el «Nachstellung» del derecho alemán”, </w:t>
      </w:r>
      <w:r w:rsidRPr="00207531">
        <w:rPr>
          <w:i/>
          <w:sz w:val="20"/>
          <w:szCs w:val="20"/>
        </w:rPr>
        <w:t>Estudios penales y criminológicos</w:t>
      </w:r>
      <w:r w:rsidRPr="00207531">
        <w:rPr>
          <w:sz w:val="20"/>
          <w:szCs w:val="20"/>
        </w:rPr>
        <w:t>, vol. XXXVIII, 2018, p. 307.</w:t>
      </w:r>
    </w:p>
  </w:footnote>
  <w:footnote w:id="6">
    <w:p w:rsidR="00D15728" w:rsidRDefault="00D15728" w:rsidP="00466D2A">
      <w:pPr>
        <w:pStyle w:val="Textonotapie"/>
      </w:pPr>
      <w:r>
        <w:rPr>
          <w:rStyle w:val="Refdenotaalpie"/>
        </w:rPr>
        <w:footnoteRef/>
      </w:r>
      <w:r>
        <w:t xml:space="preserve"> “Artículo 1. Objeto de la Ley. 1. La presente Ley tiene por objeto actuar contra la violencia que, como manifestación de la discriminación, la situación de desigualdad y las relaciones de poder de los hombres sobre las mujeres, se ejerce sobre éstas por parte de quienes sean o hayan sido sus cónyuges o de quienes estén o hayan estado ligados a ellas por relaciones similares de afectividad, aun sin convivencia”.</w:t>
      </w:r>
    </w:p>
  </w:footnote>
  <w:footnote w:id="7">
    <w:p w:rsidR="00F47B6F" w:rsidRPr="00FF5AEC" w:rsidRDefault="00F47B6F" w:rsidP="00F47B6F">
      <w:pPr>
        <w:pStyle w:val="Textonotapie"/>
      </w:pPr>
      <w:r>
        <w:rPr>
          <w:rStyle w:val="Refdenotaalpie"/>
        </w:rPr>
        <w:footnoteRef/>
      </w:r>
      <w:r>
        <w:t xml:space="preserve"> El artículo 3.d) del Convenio de Estambul entiende por “violencia contra las mujeres por razones de género” </w:t>
      </w:r>
      <w:r w:rsidRPr="00FF5AEC">
        <w:t>“toda violencia contra una mujer porque es una mujer o que afecte a las mujeres de manera desproporcionada”.</w:t>
      </w:r>
    </w:p>
  </w:footnote>
  <w:footnote w:id="8">
    <w:p w:rsidR="00FF5AEC" w:rsidRDefault="00FF5AEC">
      <w:pPr>
        <w:pStyle w:val="Textonotapie"/>
      </w:pPr>
      <w:r>
        <w:rPr>
          <w:rStyle w:val="Refdenotaalpie"/>
        </w:rPr>
        <w:footnoteRef/>
      </w:r>
      <w:r>
        <w:t xml:space="preserve"> Sobre ello, véase el trabajo de VILLACAMPA ESTIARTE, Carolina – PUJOLS PÉREZ, Alejandra: “Victimización, fenomenología y efectos del stalking: resultados en una muestra de estudiantes universitarios en España”, en VILLACAMPA ESTIARTE, Carolina (Coordinadora): </w:t>
      </w:r>
      <w:r w:rsidRPr="00FF5AEC">
        <w:rPr>
          <w:i/>
        </w:rPr>
        <w:t>Stalking: análisis jurídico, fenomenológico y victimológico</w:t>
      </w:r>
      <w:r>
        <w:t>, T</w:t>
      </w:r>
      <w:r w:rsidR="00B76F07">
        <w:t>homson</w:t>
      </w:r>
      <w:r>
        <w:t xml:space="preserve"> Reuters Aranzadi, Pamplona, 2018, pp. 144-145.</w:t>
      </w:r>
    </w:p>
  </w:footnote>
  <w:footnote w:id="9">
    <w:p w:rsidR="00D15728" w:rsidRPr="00FF5AEC" w:rsidRDefault="00D15728" w:rsidP="00FF5AEC">
      <w:pPr>
        <w:autoSpaceDE w:val="0"/>
        <w:autoSpaceDN w:val="0"/>
        <w:adjustRightInd w:val="0"/>
        <w:spacing w:after="0" w:line="240" w:lineRule="auto"/>
        <w:rPr>
          <w:rFonts w:cs="Times New Roman"/>
          <w:sz w:val="20"/>
          <w:szCs w:val="20"/>
        </w:rPr>
      </w:pPr>
      <w:r w:rsidRPr="00FF5AEC">
        <w:rPr>
          <w:rStyle w:val="Refdenotaalpie"/>
          <w:sz w:val="20"/>
          <w:szCs w:val="20"/>
        </w:rPr>
        <w:footnoteRef/>
      </w:r>
      <w:r w:rsidRPr="00FF5AEC">
        <w:rPr>
          <w:sz w:val="20"/>
          <w:szCs w:val="20"/>
        </w:rPr>
        <w:t xml:space="preserve"> De hecho, </w:t>
      </w:r>
      <w:r w:rsidRPr="00FF5AEC">
        <w:rPr>
          <w:rFonts w:cs="Times New Roman"/>
          <w:sz w:val="20"/>
          <w:szCs w:val="20"/>
        </w:rPr>
        <w:t xml:space="preserve">advierte VILLACAMPA ESTIARTE que la tipificación del </w:t>
      </w:r>
      <w:r w:rsidRPr="00FF5AEC">
        <w:rPr>
          <w:rFonts w:cs="Times New Roman"/>
          <w:i/>
          <w:sz w:val="20"/>
          <w:szCs w:val="20"/>
        </w:rPr>
        <w:t>stalking</w:t>
      </w:r>
      <w:r w:rsidRPr="00FF5AEC">
        <w:rPr>
          <w:rFonts w:cs="Times New Roman"/>
          <w:sz w:val="20"/>
          <w:szCs w:val="20"/>
        </w:rPr>
        <w:t xml:space="preserve"> comenzó a producirse a principios de los años noventa en los Estados Unidos tras el asesinato en 1989 de una actriz de televisión (Rebecca Schaeffer) a manos de un supuesto admirador (</w:t>
      </w:r>
      <w:r w:rsidRPr="00FF5AEC">
        <w:rPr>
          <w:rFonts w:cs="Times New Roman"/>
          <w:iCs/>
          <w:color w:val="000000" w:themeColor="text1"/>
          <w:sz w:val="20"/>
          <w:szCs w:val="20"/>
        </w:rPr>
        <w:t xml:space="preserve">VILLACAMPA ESTIARTE, Carolina: “La introducción del delito de atti persecutori en el Código penal italiano”, </w:t>
      </w:r>
      <w:r w:rsidRPr="00FF5AEC">
        <w:rPr>
          <w:rFonts w:cs="Times New Roman"/>
          <w:i/>
          <w:iCs/>
          <w:color w:val="000000" w:themeColor="text1"/>
          <w:sz w:val="20"/>
          <w:szCs w:val="20"/>
        </w:rPr>
        <w:t>InDret</w:t>
      </w:r>
      <w:r w:rsidRPr="00FF5AEC">
        <w:rPr>
          <w:rFonts w:cs="Times New Roman"/>
          <w:iCs/>
          <w:color w:val="000000" w:themeColor="text1"/>
          <w:sz w:val="20"/>
          <w:szCs w:val="20"/>
        </w:rPr>
        <w:t xml:space="preserve">, número 3, 2009, p. 6). DE LA CUESTA ARZAMENDI y MAYORDOMO RODRIGO aluden a “… </w:t>
      </w:r>
      <w:r w:rsidRPr="00FF5AEC">
        <w:rPr>
          <w:rFonts w:cs="Times New Roman"/>
          <w:sz w:val="20"/>
          <w:szCs w:val="20"/>
        </w:rPr>
        <w:t>diversos sucesos que atrajeron la atención de los medios de comunicación y de la policía por afectar a personas famosas: junto al asesinato de John Lennon (1980), el intento de asesinato de la actriz Theresa Saldana (1982), la masacre protagonizada por</w:t>
      </w:r>
      <w:r w:rsidRPr="00347503">
        <w:rPr>
          <w:rFonts w:cs="Times New Roman"/>
          <w:sz w:val="20"/>
          <w:szCs w:val="20"/>
        </w:rPr>
        <w:t xml:space="preserve"> Richard Farley (1988), el asesinato de la también actriz Rebecca Schaeffer (1989), al que se unieron otros cinco asesinatos más ese mismo año”. Añaden que “todos ellos tuvieron lugar tras varios años de acoso por parte de sus obsesivos admiradores” y que “al mismo tiempo, con el estreno de películas como </w:t>
      </w:r>
      <w:r w:rsidRPr="00347503">
        <w:rPr>
          <w:rFonts w:cs="Times New Roman"/>
          <w:i/>
          <w:iCs/>
          <w:sz w:val="20"/>
          <w:szCs w:val="20"/>
        </w:rPr>
        <w:t>Fatal Attraction</w:t>
      </w:r>
      <w:r w:rsidRPr="00347503">
        <w:rPr>
          <w:rFonts w:cs="Times New Roman"/>
          <w:sz w:val="20"/>
          <w:szCs w:val="20"/>
        </w:rPr>
        <w:t xml:space="preserve">, </w:t>
      </w:r>
      <w:r w:rsidRPr="00347503">
        <w:rPr>
          <w:rFonts w:cs="Times New Roman"/>
          <w:i/>
          <w:iCs/>
          <w:sz w:val="20"/>
          <w:szCs w:val="20"/>
        </w:rPr>
        <w:t xml:space="preserve">Cape Fear </w:t>
      </w:r>
      <w:r w:rsidRPr="00347503">
        <w:rPr>
          <w:rFonts w:cs="Times New Roman"/>
          <w:sz w:val="20"/>
          <w:szCs w:val="20"/>
        </w:rPr>
        <w:t xml:space="preserve">y </w:t>
      </w:r>
      <w:r w:rsidRPr="00347503">
        <w:rPr>
          <w:rFonts w:cs="Times New Roman"/>
          <w:i/>
          <w:iCs/>
          <w:sz w:val="20"/>
          <w:szCs w:val="20"/>
        </w:rPr>
        <w:t xml:space="preserve">Sleeping with the Enemy </w:t>
      </w:r>
      <w:r w:rsidRPr="00347503">
        <w:rPr>
          <w:rFonts w:cs="Times New Roman"/>
          <w:sz w:val="20"/>
          <w:szCs w:val="20"/>
        </w:rPr>
        <w:t xml:space="preserve">y su cobertura por los medios, el fenómeno de </w:t>
      </w:r>
      <w:r w:rsidRPr="00347503">
        <w:rPr>
          <w:rFonts w:cs="Times New Roman"/>
          <w:i/>
          <w:iCs/>
          <w:sz w:val="20"/>
          <w:szCs w:val="20"/>
        </w:rPr>
        <w:t xml:space="preserve">stalking </w:t>
      </w:r>
      <w:r w:rsidRPr="00347503">
        <w:rPr>
          <w:rFonts w:cs="Times New Roman"/>
          <w:sz w:val="20"/>
          <w:szCs w:val="20"/>
        </w:rPr>
        <w:t xml:space="preserve">(acoso) comenzó a ser muy conocido” (DE LA CUESTA ARZAMENDI, José Luis – MAYORDOMO RODRIGO, Virginia: “Acoso y Derecho penal”, </w:t>
      </w:r>
      <w:r w:rsidR="002F13E2" w:rsidRPr="009D5EC4">
        <w:rPr>
          <w:i/>
          <w:sz w:val="20"/>
          <w:szCs w:val="20"/>
        </w:rPr>
        <w:t>Eguzkilore</w:t>
      </w:r>
      <w:r w:rsidR="002F13E2" w:rsidRPr="000C5237">
        <w:rPr>
          <w:sz w:val="20"/>
          <w:szCs w:val="20"/>
        </w:rPr>
        <w:t>, número 25, diciembre de 2011</w:t>
      </w:r>
      <w:r w:rsidRPr="00347503">
        <w:rPr>
          <w:rFonts w:cs="Times New Roman"/>
          <w:sz w:val="20"/>
          <w:szCs w:val="20"/>
        </w:rPr>
        <w:t>, p. 27).</w:t>
      </w:r>
    </w:p>
  </w:footnote>
  <w:footnote w:id="10">
    <w:p w:rsidR="00D15728" w:rsidRPr="00207531" w:rsidRDefault="00D15728" w:rsidP="008020D9">
      <w:pPr>
        <w:pStyle w:val="Sinespaciado"/>
        <w:rPr>
          <w:sz w:val="20"/>
          <w:szCs w:val="20"/>
        </w:rPr>
      </w:pPr>
      <w:r w:rsidRPr="00207531">
        <w:rPr>
          <w:rStyle w:val="Refdenotaalpie"/>
          <w:sz w:val="20"/>
          <w:szCs w:val="20"/>
        </w:rPr>
        <w:footnoteRef/>
      </w:r>
      <w:r w:rsidRPr="00207531">
        <w:rPr>
          <w:sz w:val="20"/>
          <w:szCs w:val="20"/>
        </w:rPr>
        <w:t xml:space="preserve"> En el mismo sentido, ROIG TORRES, Margarita: “El delito de acoso (art. 172 ter CP) como modalidad de violencia de género. Comparativa con el «Nachstellung» del derecho alemán”, </w:t>
      </w:r>
      <w:r w:rsidRPr="00207531">
        <w:rPr>
          <w:i/>
          <w:sz w:val="20"/>
          <w:szCs w:val="20"/>
        </w:rPr>
        <w:t>cit</w:t>
      </w:r>
      <w:r w:rsidRPr="00207531">
        <w:rPr>
          <w:sz w:val="20"/>
          <w:szCs w:val="20"/>
        </w:rPr>
        <w:t>., p. 310.</w:t>
      </w:r>
    </w:p>
  </w:footnote>
  <w:footnote w:id="11">
    <w:p w:rsidR="00D15728" w:rsidRPr="00207531" w:rsidRDefault="00D15728" w:rsidP="008020D9">
      <w:pPr>
        <w:pStyle w:val="Sinespaciado"/>
        <w:rPr>
          <w:sz w:val="20"/>
          <w:szCs w:val="20"/>
        </w:rPr>
      </w:pPr>
      <w:r w:rsidRPr="00207531">
        <w:rPr>
          <w:rStyle w:val="Refdenotaalpie"/>
          <w:sz w:val="20"/>
          <w:szCs w:val="20"/>
        </w:rPr>
        <w:footnoteRef/>
      </w:r>
      <w:r w:rsidRPr="00207531">
        <w:rPr>
          <w:sz w:val="20"/>
          <w:szCs w:val="20"/>
        </w:rPr>
        <w:t xml:space="preserve"> VILLACAMPA ESTIARTE, Carolina: “El proyectado delito de acecho: incriminación del stalking en Derecho penal español”, </w:t>
      </w:r>
      <w:r w:rsidRPr="00207531">
        <w:rPr>
          <w:bCs/>
          <w:i/>
          <w:sz w:val="20"/>
          <w:szCs w:val="20"/>
        </w:rPr>
        <w:t>cit</w:t>
      </w:r>
      <w:r w:rsidRPr="00207531">
        <w:rPr>
          <w:bCs/>
          <w:sz w:val="20"/>
          <w:szCs w:val="20"/>
        </w:rPr>
        <w:t xml:space="preserve">., </w:t>
      </w:r>
      <w:r w:rsidRPr="00207531">
        <w:rPr>
          <w:sz w:val="20"/>
          <w:szCs w:val="20"/>
        </w:rPr>
        <w:t xml:space="preserve">p. 8. En los mismos términos, GARCÍA SEDANO, Tania: “El </w:t>
      </w:r>
      <w:r w:rsidRPr="00207531">
        <w:rPr>
          <w:i/>
          <w:sz w:val="20"/>
          <w:szCs w:val="20"/>
        </w:rPr>
        <w:t>stalking</w:t>
      </w:r>
      <w:r w:rsidRPr="00207531">
        <w:rPr>
          <w:sz w:val="20"/>
          <w:szCs w:val="20"/>
        </w:rPr>
        <w:t>”,</w:t>
      </w:r>
      <w:r w:rsidRPr="00207531">
        <w:rPr>
          <w:i/>
          <w:sz w:val="20"/>
          <w:szCs w:val="20"/>
        </w:rPr>
        <w:t xml:space="preserve"> cit</w:t>
      </w:r>
      <w:r w:rsidRPr="00207531">
        <w:rPr>
          <w:sz w:val="20"/>
          <w:szCs w:val="20"/>
        </w:rPr>
        <w:t>., p. 3.</w:t>
      </w:r>
    </w:p>
  </w:footnote>
  <w:footnote w:id="12">
    <w:p w:rsidR="00D15728" w:rsidRPr="00207531" w:rsidRDefault="00D15728" w:rsidP="008020D9">
      <w:pPr>
        <w:pStyle w:val="Sinespaciado"/>
        <w:rPr>
          <w:sz w:val="20"/>
          <w:szCs w:val="20"/>
        </w:rPr>
      </w:pPr>
      <w:r w:rsidRPr="00207531">
        <w:rPr>
          <w:rStyle w:val="Refdenotaalpie"/>
          <w:rFonts w:cs="Times New Roman"/>
          <w:sz w:val="20"/>
          <w:szCs w:val="20"/>
        </w:rPr>
        <w:footnoteRef/>
      </w:r>
      <w:r w:rsidRPr="00207531">
        <w:rPr>
          <w:sz w:val="20"/>
          <w:szCs w:val="20"/>
        </w:rPr>
        <w:t xml:space="preserve"> ALONSO DE ESCAMILLA, Avelina: “El delito de stalking como nueva forma de acoso. Cyberstalking y nuevas realidades”, </w:t>
      </w:r>
      <w:r w:rsidR="002F13E2" w:rsidRPr="009D5EC4">
        <w:rPr>
          <w:i/>
          <w:sz w:val="20"/>
          <w:szCs w:val="20"/>
        </w:rPr>
        <w:t xml:space="preserve">La </w:t>
      </w:r>
      <w:r w:rsidR="002F13E2">
        <w:rPr>
          <w:i/>
          <w:sz w:val="20"/>
          <w:szCs w:val="20"/>
        </w:rPr>
        <w:t>ley penal (los ciberdelitos</w:t>
      </w:r>
      <w:r w:rsidR="002F13E2" w:rsidRPr="009D5EC4">
        <w:rPr>
          <w:i/>
          <w:sz w:val="20"/>
          <w:szCs w:val="20"/>
        </w:rPr>
        <w:t>)</w:t>
      </w:r>
      <w:r w:rsidR="002F13E2" w:rsidRPr="000C5237">
        <w:rPr>
          <w:sz w:val="20"/>
          <w:szCs w:val="20"/>
        </w:rPr>
        <w:t>, número 105, 2013</w:t>
      </w:r>
      <w:r w:rsidR="002F13E2">
        <w:rPr>
          <w:sz w:val="20"/>
          <w:szCs w:val="20"/>
        </w:rPr>
        <w:t xml:space="preserve">, </w:t>
      </w:r>
      <w:r w:rsidRPr="00207531">
        <w:rPr>
          <w:sz w:val="20"/>
          <w:szCs w:val="20"/>
        </w:rPr>
        <w:t>p. 5.</w:t>
      </w:r>
    </w:p>
  </w:footnote>
  <w:footnote w:id="13">
    <w:p w:rsidR="00D15728" w:rsidRPr="00207531" w:rsidRDefault="00D15728" w:rsidP="008020D9">
      <w:pPr>
        <w:pStyle w:val="Sinespaciado"/>
        <w:rPr>
          <w:sz w:val="20"/>
          <w:szCs w:val="20"/>
        </w:rPr>
      </w:pPr>
      <w:r w:rsidRPr="00207531">
        <w:rPr>
          <w:rStyle w:val="Refdenotaalpie"/>
          <w:sz w:val="20"/>
          <w:szCs w:val="20"/>
        </w:rPr>
        <w:footnoteRef/>
      </w:r>
      <w:r w:rsidRPr="00207531">
        <w:rPr>
          <w:sz w:val="20"/>
          <w:szCs w:val="20"/>
        </w:rPr>
        <w:t xml:space="preserve"> Sobre el </w:t>
      </w:r>
      <w:r w:rsidRPr="00207531">
        <w:rPr>
          <w:i/>
          <w:sz w:val="20"/>
          <w:szCs w:val="20"/>
        </w:rPr>
        <w:t>stalking</w:t>
      </w:r>
      <w:r w:rsidRPr="00207531">
        <w:rPr>
          <w:sz w:val="20"/>
          <w:szCs w:val="20"/>
        </w:rPr>
        <w:t xml:space="preserve"> en España desde una perspectiva victimológica, véase el trabajo de VILLACAMPA ESTIARTE, Carolina – PUJOLS PÉREZ, Alejandra: “El tratamiento jurídico del </w:t>
      </w:r>
      <w:r w:rsidRPr="00207531">
        <w:rPr>
          <w:i/>
          <w:sz w:val="20"/>
          <w:szCs w:val="20"/>
        </w:rPr>
        <w:t>stalking</w:t>
      </w:r>
      <w:r w:rsidRPr="00207531">
        <w:rPr>
          <w:sz w:val="20"/>
          <w:szCs w:val="20"/>
        </w:rPr>
        <w:t xml:space="preserve"> desde el prisma de las víctimas y los profesionales implicados: resultados de un análisis cualitativo”, </w:t>
      </w:r>
      <w:r w:rsidRPr="00207531">
        <w:rPr>
          <w:i/>
          <w:sz w:val="20"/>
          <w:szCs w:val="20"/>
        </w:rPr>
        <w:t>Estudios penales y criminológicos</w:t>
      </w:r>
      <w:r w:rsidRPr="00207531">
        <w:rPr>
          <w:sz w:val="20"/>
          <w:szCs w:val="20"/>
        </w:rPr>
        <w:t>, vol. XXXIX, 2019.</w:t>
      </w:r>
    </w:p>
  </w:footnote>
  <w:footnote w:id="14">
    <w:p w:rsidR="00D15728" w:rsidRPr="00207531" w:rsidRDefault="00D15728" w:rsidP="008020D9">
      <w:pPr>
        <w:pStyle w:val="Sinespaciado"/>
        <w:rPr>
          <w:sz w:val="20"/>
          <w:szCs w:val="20"/>
        </w:rPr>
      </w:pPr>
      <w:r w:rsidRPr="00207531">
        <w:rPr>
          <w:rStyle w:val="Refdenotaalpie"/>
          <w:sz w:val="20"/>
          <w:szCs w:val="20"/>
        </w:rPr>
        <w:footnoteRef/>
      </w:r>
      <w:r w:rsidRPr="00207531">
        <w:rPr>
          <w:sz w:val="20"/>
          <w:szCs w:val="20"/>
        </w:rPr>
        <w:t xml:space="preserve"> Sobre ello, véase </w:t>
      </w:r>
      <w:r w:rsidRPr="00207531">
        <w:rPr>
          <w:rStyle w:val="apple-converted-space"/>
          <w:iCs/>
          <w:color w:val="000000" w:themeColor="text1"/>
          <w:sz w:val="20"/>
          <w:szCs w:val="20"/>
        </w:rPr>
        <w:t xml:space="preserve">VILLACAMPA ESTIARTE, Carolina: “La introducción del delito de atti persecutori en el Código penal italiano”, </w:t>
      </w:r>
      <w:r w:rsidRPr="00207531">
        <w:rPr>
          <w:rStyle w:val="apple-converted-space"/>
          <w:i/>
          <w:iCs/>
          <w:color w:val="000000" w:themeColor="text1"/>
          <w:sz w:val="20"/>
          <w:szCs w:val="20"/>
        </w:rPr>
        <w:t>cit</w:t>
      </w:r>
      <w:r w:rsidRPr="00207531">
        <w:rPr>
          <w:rStyle w:val="apple-converted-space"/>
          <w:iCs/>
          <w:color w:val="000000" w:themeColor="text1"/>
          <w:sz w:val="20"/>
          <w:szCs w:val="20"/>
        </w:rPr>
        <w:t>., pp. 12 y ss.</w:t>
      </w:r>
    </w:p>
  </w:footnote>
  <w:footnote w:id="15">
    <w:p w:rsidR="00D15728" w:rsidRPr="00207531" w:rsidRDefault="00D15728" w:rsidP="008020D9">
      <w:pPr>
        <w:pStyle w:val="Sinespaciado"/>
        <w:rPr>
          <w:sz w:val="20"/>
          <w:szCs w:val="20"/>
        </w:rPr>
      </w:pPr>
      <w:r w:rsidRPr="00207531">
        <w:rPr>
          <w:rStyle w:val="Refdenotaalpie"/>
          <w:rFonts w:cs="Times New Roman"/>
          <w:sz w:val="20"/>
          <w:szCs w:val="20"/>
        </w:rPr>
        <w:footnoteRef/>
      </w:r>
      <w:r w:rsidRPr="00207531">
        <w:rPr>
          <w:sz w:val="20"/>
          <w:szCs w:val="20"/>
        </w:rPr>
        <w:t xml:space="preserve"> VILLACAMPA ESTIARTE, Carolina: “El proyectado delito de acecho: incriminación del stalking en Derecho penal español”, </w:t>
      </w:r>
      <w:r w:rsidRPr="00207531">
        <w:rPr>
          <w:bCs/>
          <w:i/>
          <w:sz w:val="20"/>
          <w:szCs w:val="20"/>
        </w:rPr>
        <w:t>cit</w:t>
      </w:r>
      <w:r w:rsidRPr="00207531">
        <w:rPr>
          <w:bCs/>
          <w:sz w:val="20"/>
          <w:szCs w:val="20"/>
        </w:rPr>
        <w:t xml:space="preserve">., </w:t>
      </w:r>
      <w:r w:rsidRPr="00207531">
        <w:rPr>
          <w:sz w:val="20"/>
          <w:szCs w:val="20"/>
        </w:rPr>
        <w:t xml:space="preserve">p. 36. </w:t>
      </w:r>
    </w:p>
  </w:footnote>
  <w:footnote w:id="16">
    <w:p w:rsidR="00D15728" w:rsidRDefault="00D15728" w:rsidP="008020D9">
      <w:pPr>
        <w:pStyle w:val="Sinespaciado"/>
      </w:pPr>
      <w:r w:rsidRPr="00207531">
        <w:rPr>
          <w:rStyle w:val="Refdenotaalpie"/>
          <w:sz w:val="20"/>
          <w:szCs w:val="20"/>
        </w:rPr>
        <w:footnoteRef/>
      </w:r>
      <w:r w:rsidRPr="00207531">
        <w:rPr>
          <w:sz w:val="20"/>
          <w:szCs w:val="20"/>
        </w:rPr>
        <w:t xml:space="preserve"> FERNÁNDEZ CRUZ, Victoria – AGUSTINA, José R.: “Análisis jurídico-criminológico del stalking a partir de un estudio de sentencias”, </w:t>
      </w:r>
      <w:r w:rsidRPr="00207531">
        <w:rPr>
          <w:i/>
          <w:sz w:val="20"/>
          <w:szCs w:val="20"/>
        </w:rPr>
        <w:t>International e-Journal of Criminal Sciences</w:t>
      </w:r>
      <w:r w:rsidRPr="00207531">
        <w:rPr>
          <w:sz w:val="20"/>
          <w:szCs w:val="20"/>
        </w:rPr>
        <w:t>, número 14, 2019, p. 12.</w:t>
      </w:r>
    </w:p>
  </w:footnote>
  <w:footnote w:id="17">
    <w:p w:rsidR="00D15728" w:rsidRDefault="00D15728" w:rsidP="008020D9">
      <w:pPr>
        <w:pStyle w:val="Sinespaciado"/>
      </w:pPr>
      <w:r>
        <w:rPr>
          <w:rStyle w:val="Refdenotaalpie"/>
        </w:rPr>
        <w:footnoteRef/>
      </w:r>
      <w:r>
        <w:t xml:space="preserve"> </w:t>
      </w:r>
      <w:r w:rsidRPr="0048381D">
        <w:rPr>
          <w:sz w:val="20"/>
        </w:rPr>
        <w:t xml:space="preserve">VILLACAMPA ESTIARTE, </w:t>
      </w:r>
      <w:r w:rsidRPr="004C280A">
        <w:rPr>
          <w:sz w:val="20"/>
          <w:szCs w:val="20"/>
        </w:rPr>
        <w:t xml:space="preserve">Carolina – PUJOLS PÉREZ, Alejandra: “Stalking: efectos en las víctimas, estrategias de afrontamiento y propuestas legislativas derivadas”, </w:t>
      </w:r>
      <w:r w:rsidRPr="004C280A">
        <w:rPr>
          <w:i/>
          <w:sz w:val="20"/>
          <w:szCs w:val="20"/>
        </w:rPr>
        <w:t>Indret</w:t>
      </w:r>
      <w:r w:rsidRPr="004C280A">
        <w:rPr>
          <w:sz w:val="20"/>
          <w:szCs w:val="20"/>
        </w:rPr>
        <w:t>, número 2, 2017, p. 10 y PUJOLS PÉREZ, Alejandra: “Consecuencias y mecanismos de afrontamiento en víctimas de acoso predatorio: una mirada cuantitativa”, en CASTRO TOLEDO, Francisco</w:t>
      </w:r>
      <w:r>
        <w:rPr>
          <w:sz w:val="20"/>
          <w:szCs w:val="20"/>
        </w:rPr>
        <w:t xml:space="preserve"> </w:t>
      </w:r>
      <w:r w:rsidRPr="009072BD">
        <w:rPr>
          <w:szCs w:val="24"/>
        </w:rPr>
        <w:t>–</w:t>
      </w:r>
      <w:r>
        <w:rPr>
          <w:sz w:val="20"/>
          <w:szCs w:val="20"/>
        </w:rPr>
        <w:t xml:space="preserve"> GÓMEZ BELLVÍS, Ana Belén</w:t>
      </w:r>
      <w:r w:rsidRPr="004C280A">
        <w:rPr>
          <w:sz w:val="20"/>
          <w:szCs w:val="20"/>
        </w:rPr>
        <w:t xml:space="preserve"> – BUIL-GIL, David (Editores): </w:t>
      </w:r>
      <w:r w:rsidRPr="004C280A">
        <w:rPr>
          <w:i/>
          <w:sz w:val="20"/>
          <w:szCs w:val="20"/>
        </w:rPr>
        <w:t>La criminología que viene. Resultados del I Encuentro de Jóvenes Investigadores en Criminología</w:t>
      </w:r>
      <w:r w:rsidRPr="004C280A">
        <w:rPr>
          <w:sz w:val="20"/>
          <w:szCs w:val="20"/>
        </w:rPr>
        <w:t>, Red española de jóvenes investigadores en criminología, España, 2019, p. 102</w:t>
      </w:r>
      <w:r>
        <w:t>.</w:t>
      </w:r>
    </w:p>
  </w:footnote>
  <w:footnote w:id="18">
    <w:p w:rsidR="00D15728" w:rsidRDefault="00D15728" w:rsidP="008020D9">
      <w:pPr>
        <w:pStyle w:val="Textonotapie"/>
      </w:pPr>
      <w:r>
        <w:rPr>
          <w:rStyle w:val="Refdenotaalpie"/>
        </w:rPr>
        <w:footnoteRef/>
      </w:r>
      <w:r>
        <w:t xml:space="preserve"> </w:t>
      </w:r>
      <w:r w:rsidRPr="004C280A">
        <w:rPr>
          <w:rFonts w:cs="Times New Roman"/>
        </w:rPr>
        <w:t xml:space="preserve">VILLACAMPA ESTIARTE, Carolina </w:t>
      </w:r>
      <w:r w:rsidRPr="004C280A">
        <w:t xml:space="preserve">– </w:t>
      </w:r>
      <w:r w:rsidRPr="004C280A">
        <w:rPr>
          <w:rFonts w:cs="Times New Roman"/>
        </w:rPr>
        <w:t xml:space="preserve">PUJOLS PÉREZ, Alejandra: “Prevalencia y dinámica de la victimización por stalking en población universitaria”, </w:t>
      </w:r>
      <w:r w:rsidRPr="004C280A">
        <w:rPr>
          <w:rFonts w:cs="Times New Roman"/>
          <w:i/>
        </w:rPr>
        <w:t>Revista española de investigación criminológica</w:t>
      </w:r>
      <w:r w:rsidRPr="004C280A">
        <w:rPr>
          <w:rFonts w:cs="Times New Roman"/>
        </w:rPr>
        <w:t>, número 15, 2017, p. 16</w:t>
      </w:r>
      <w:r>
        <w:rPr>
          <w:rFonts w:cs="Times New Roman"/>
        </w:rPr>
        <w:t>.</w:t>
      </w:r>
    </w:p>
  </w:footnote>
  <w:footnote w:id="19">
    <w:p w:rsidR="00D15728" w:rsidRPr="00585502" w:rsidRDefault="00D15728" w:rsidP="008020D9">
      <w:pPr>
        <w:pStyle w:val="Sinespaciado"/>
        <w:rPr>
          <w:sz w:val="20"/>
          <w:szCs w:val="20"/>
        </w:rPr>
      </w:pPr>
      <w:r w:rsidRPr="00585502">
        <w:rPr>
          <w:rStyle w:val="Refdenotaalpie"/>
          <w:sz w:val="20"/>
          <w:szCs w:val="20"/>
        </w:rPr>
        <w:footnoteRef/>
      </w:r>
      <w:r w:rsidRPr="00585502">
        <w:rPr>
          <w:sz w:val="20"/>
          <w:szCs w:val="20"/>
        </w:rPr>
        <w:t xml:space="preserve"> DELEGACIÓN DEL GOBIERNO CONTRA LA VIOLENCIA DE GÉ</w:t>
      </w:r>
      <w:r w:rsidR="002F13E2">
        <w:rPr>
          <w:sz w:val="20"/>
          <w:szCs w:val="20"/>
        </w:rPr>
        <w:t>NERO DEL MINISTERIO DE IGUALDAD:</w:t>
      </w:r>
      <w:r w:rsidRPr="00585502">
        <w:rPr>
          <w:sz w:val="20"/>
          <w:szCs w:val="20"/>
        </w:rPr>
        <w:t xml:space="preserve"> </w:t>
      </w:r>
      <w:r w:rsidRPr="00585502">
        <w:rPr>
          <w:i/>
          <w:sz w:val="20"/>
          <w:szCs w:val="20"/>
        </w:rPr>
        <w:t>Macroencuesta de violencia contra la mujer</w:t>
      </w:r>
      <w:r w:rsidRPr="00585502">
        <w:rPr>
          <w:sz w:val="20"/>
          <w:szCs w:val="20"/>
        </w:rPr>
        <w:t>, 2019, pp. 192 y ss.</w:t>
      </w:r>
    </w:p>
  </w:footnote>
  <w:footnote w:id="20">
    <w:p w:rsidR="00D15728" w:rsidRPr="00585502" w:rsidRDefault="00D15728" w:rsidP="008020D9">
      <w:pPr>
        <w:pStyle w:val="Sinespaciado"/>
        <w:rPr>
          <w:szCs w:val="24"/>
        </w:rPr>
      </w:pPr>
      <w:r w:rsidRPr="00585502">
        <w:rPr>
          <w:rStyle w:val="Refdenotaalpie"/>
          <w:sz w:val="20"/>
          <w:szCs w:val="20"/>
        </w:rPr>
        <w:footnoteRef/>
      </w:r>
      <w:r w:rsidRPr="00585502">
        <w:rPr>
          <w:sz w:val="20"/>
          <w:szCs w:val="20"/>
        </w:rPr>
        <w:t xml:space="preserve"> ROIG TORRES, Margarita: “Regulación del stalking en Alemania: la reciente reforma del delito de persecución (Nachstellung) del § 238 StGB”, </w:t>
      </w:r>
      <w:r w:rsidRPr="00585502">
        <w:rPr>
          <w:i/>
          <w:sz w:val="20"/>
          <w:szCs w:val="20"/>
        </w:rPr>
        <w:t>Revista General de Derecho Penal</w:t>
      </w:r>
      <w:r w:rsidRPr="00585502">
        <w:rPr>
          <w:sz w:val="20"/>
          <w:szCs w:val="20"/>
        </w:rPr>
        <w:t>, número 29, 2018, p. 2.</w:t>
      </w:r>
    </w:p>
  </w:footnote>
  <w:footnote w:id="21">
    <w:p w:rsidR="00D15728" w:rsidRPr="00AB1DBF" w:rsidRDefault="00D15728" w:rsidP="008020D9">
      <w:pPr>
        <w:autoSpaceDE w:val="0"/>
        <w:autoSpaceDN w:val="0"/>
        <w:adjustRightInd w:val="0"/>
        <w:spacing w:after="0" w:line="240" w:lineRule="auto"/>
        <w:rPr>
          <w:rFonts w:cs="Times New Roman"/>
          <w:sz w:val="20"/>
          <w:szCs w:val="20"/>
        </w:rPr>
      </w:pPr>
      <w:r w:rsidRPr="00D3498D">
        <w:rPr>
          <w:rStyle w:val="Refdenotaalpie"/>
          <w:sz w:val="20"/>
          <w:szCs w:val="20"/>
        </w:rPr>
        <w:footnoteRef/>
      </w:r>
      <w:r w:rsidRPr="00D3498D">
        <w:rPr>
          <w:sz w:val="20"/>
          <w:szCs w:val="20"/>
        </w:rPr>
        <w:t xml:space="preserve"> MAGRO </w:t>
      </w:r>
      <w:r w:rsidRPr="00AB1DBF">
        <w:rPr>
          <w:sz w:val="20"/>
          <w:szCs w:val="20"/>
        </w:rPr>
        <w:t xml:space="preserve">SERVET, Vicente: “Reforma del Código Penal afectante a la violencia de género”, </w:t>
      </w:r>
      <w:r w:rsidRPr="00AB1DBF">
        <w:rPr>
          <w:i/>
          <w:sz w:val="20"/>
          <w:szCs w:val="20"/>
        </w:rPr>
        <w:t>Diario La Ley</w:t>
      </w:r>
      <w:r w:rsidRPr="00AB1DBF">
        <w:rPr>
          <w:sz w:val="20"/>
          <w:szCs w:val="20"/>
        </w:rPr>
        <w:t xml:space="preserve">, número 8539, Sección Tribuna, 14 de mayo de 2015, p. 7 y </w:t>
      </w:r>
      <w:r w:rsidRPr="00AB1DBF">
        <w:rPr>
          <w:rFonts w:cs="Times New Roman"/>
          <w:sz w:val="20"/>
          <w:szCs w:val="20"/>
        </w:rPr>
        <w:t xml:space="preserve">“El delito de stalking o acoso en la violencia de género”, </w:t>
      </w:r>
      <w:r w:rsidRPr="00AB1DBF">
        <w:rPr>
          <w:rFonts w:cs="Times New Roman"/>
          <w:i/>
          <w:sz w:val="20"/>
          <w:szCs w:val="20"/>
        </w:rPr>
        <w:t>La ley penal</w:t>
      </w:r>
      <w:r w:rsidRPr="00AB1DBF">
        <w:rPr>
          <w:rFonts w:cs="Times New Roman"/>
          <w:sz w:val="20"/>
          <w:szCs w:val="20"/>
        </w:rPr>
        <w:t>, número 139, 2019, p. 8.</w:t>
      </w:r>
      <w:r w:rsidRPr="00AB1DBF">
        <w:rPr>
          <w:sz w:val="20"/>
          <w:szCs w:val="20"/>
        </w:rPr>
        <w:t xml:space="preserve"> En el mismo sentido, ROIG TORRES, Margarita: “El delito de acoso (</w:t>
      </w:r>
      <w:r>
        <w:rPr>
          <w:sz w:val="20"/>
          <w:szCs w:val="20"/>
        </w:rPr>
        <w:t>art. 172 ter CP</w:t>
      </w:r>
      <w:r w:rsidRPr="00AB1DBF">
        <w:rPr>
          <w:sz w:val="20"/>
          <w:szCs w:val="20"/>
        </w:rPr>
        <w:t>) como modalidad de violencia de género. Comparativa con el «</w:t>
      </w:r>
      <w:r w:rsidRPr="00CA04DC">
        <w:rPr>
          <w:sz w:val="20"/>
          <w:szCs w:val="20"/>
        </w:rPr>
        <w:t xml:space="preserve">Nachstellung» del derecho alemán”, </w:t>
      </w:r>
      <w:r w:rsidRPr="00CA04DC">
        <w:rPr>
          <w:i/>
          <w:sz w:val="20"/>
          <w:szCs w:val="20"/>
        </w:rPr>
        <w:t>cit</w:t>
      </w:r>
      <w:r w:rsidRPr="00CA04DC">
        <w:rPr>
          <w:sz w:val="20"/>
          <w:szCs w:val="20"/>
        </w:rPr>
        <w:t xml:space="preserve">., p. 308. </w:t>
      </w:r>
    </w:p>
  </w:footnote>
  <w:footnote w:id="22">
    <w:p w:rsidR="00D15728" w:rsidRDefault="00D15728" w:rsidP="008020D9">
      <w:pPr>
        <w:pStyle w:val="Textonotapie"/>
      </w:pPr>
      <w:r>
        <w:rPr>
          <w:rStyle w:val="Refdenotaalpie"/>
        </w:rPr>
        <w:footnoteRef/>
      </w:r>
      <w:r>
        <w:t xml:space="preserve"> </w:t>
      </w:r>
      <w:r w:rsidRPr="00AB1DBF">
        <w:t>ALONSO DE ESCAMILLA, Avelina:</w:t>
      </w:r>
      <w:r w:rsidRPr="00AB1DBF">
        <w:rPr>
          <w:b/>
          <w:i/>
        </w:rPr>
        <w:t xml:space="preserve"> </w:t>
      </w:r>
      <w:r w:rsidRPr="00D93EEA">
        <w:t>“El delito de stalking como nueva forma de acoso. Cyberstalking y nuevas realidades”</w:t>
      </w:r>
      <w:r w:rsidRPr="00AB1DBF">
        <w:t xml:space="preserve">, </w:t>
      </w:r>
      <w:r w:rsidRPr="009D5EC4">
        <w:rPr>
          <w:i/>
        </w:rPr>
        <w:t>cit</w:t>
      </w:r>
      <w:r w:rsidRPr="009D5EC4">
        <w:t>.,</w:t>
      </w:r>
      <w:r w:rsidRPr="00FF2EE0">
        <w:t xml:space="preserve"> </w:t>
      </w:r>
      <w:r w:rsidRPr="00AB1DBF">
        <w:t>p. 2</w:t>
      </w:r>
      <w:r>
        <w:t>.</w:t>
      </w:r>
    </w:p>
  </w:footnote>
  <w:footnote w:id="23">
    <w:p w:rsidR="00D15728" w:rsidRDefault="00D15728" w:rsidP="008020D9">
      <w:pPr>
        <w:pStyle w:val="Textonotapie"/>
      </w:pPr>
      <w:r>
        <w:rPr>
          <w:rStyle w:val="Refdenotaalpie"/>
        </w:rPr>
        <w:footnoteRef/>
      </w:r>
      <w:r>
        <w:t xml:space="preserve"> </w:t>
      </w:r>
      <w:r w:rsidRPr="00AB1DBF">
        <w:t xml:space="preserve">DE LA CUESTA ARZAMENDI, José Luis – MAYORDOMO RODRIGO, Virginia: “Acoso y Derecho penal”, </w:t>
      </w:r>
      <w:r>
        <w:rPr>
          <w:rFonts w:cs="Times New Roman"/>
          <w:i/>
        </w:rPr>
        <w:t>cit.</w:t>
      </w:r>
      <w:r w:rsidRPr="00717B7A">
        <w:rPr>
          <w:rFonts w:cs="Times New Roman"/>
        </w:rPr>
        <w:t xml:space="preserve">, </w:t>
      </w:r>
      <w:r w:rsidRPr="00AB1DBF">
        <w:t>p. 25</w:t>
      </w:r>
      <w:r>
        <w:t>.</w:t>
      </w:r>
    </w:p>
  </w:footnote>
  <w:footnote w:id="24">
    <w:p w:rsidR="00D15728" w:rsidRPr="001D5CE1" w:rsidRDefault="00D15728" w:rsidP="008020D9">
      <w:pPr>
        <w:autoSpaceDE w:val="0"/>
        <w:autoSpaceDN w:val="0"/>
        <w:adjustRightInd w:val="0"/>
        <w:spacing w:after="0" w:line="240" w:lineRule="auto"/>
        <w:rPr>
          <w:rFonts w:cs="Times New Roman"/>
          <w:sz w:val="20"/>
          <w:szCs w:val="20"/>
        </w:rPr>
      </w:pPr>
      <w:r w:rsidRPr="001D5CE1">
        <w:rPr>
          <w:rStyle w:val="Refdenotaalpie"/>
          <w:rFonts w:cs="Times New Roman"/>
          <w:sz w:val="20"/>
          <w:szCs w:val="20"/>
        </w:rPr>
        <w:footnoteRef/>
      </w:r>
      <w:r w:rsidRPr="001D5CE1">
        <w:rPr>
          <w:rFonts w:cs="Times New Roman"/>
          <w:sz w:val="20"/>
          <w:szCs w:val="20"/>
        </w:rPr>
        <w:t xml:space="preserve"> Los hechos probados de la primera de las resoluciones citada son los siguientes: “</w:t>
      </w:r>
      <w:r>
        <w:rPr>
          <w:rFonts w:cs="Times New Roman"/>
          <w:sz w:val="20"/>
          <w:szCs w:val="20"/>
        </w:rPr>
        <w:t xml:space="preserve">[…] </w:t>
      </w:r>
      <w:r w:rsidRPr="001D5CE1">
        <w:rPr>
          <w:rFonts w:cs="Times New Roman"/>
          <w:sz w:val="20"/>
          <w:szCs w:val="20"/>
        </w:rPr>
        <w:t xml:space="preserve">el acusado, Pedro, español, mayor de edad en cuanto nacido el NUM000 de 1975 y sin antecedentes penales, mantuvo una relación sentimental con María Luisa con convivencia durante 4 años, habiendo cesado la misma en abril de 2014. Fruto de la relación nació un hijo, que en la actualidad tiene 5 años. Ambos son funcionarios del Cuerpo Nacional de Policía. No asumiendo la ruptura de la relación y con la finalidad de conocer los movimientos, viajes y desplazamientos, así como los posibles alojamientos en cualquier establecimiento hotelero de España y con quien pudiera encontrarse su expareja, el acusado, aprovechando su condición de funcionario del Cuerpo de Policía Nacional y utilizando la clave de acceso que le autorizaba como usuario, entró desde abril de 2016 hasta enero de 2017 en las Bases de Datos de la Dirección General de la Policía, realizando diversas consultas sobre María Luisa , accediendo para ello a los datos personales de ella registrados en el sistema ARGOS y el fichero de CONTROL respecto de determinados datos personales y Hospederías, sin que existiera causa ni investigación policial que amparara dichas consultas. […] </w:t>
      </w:r>
    </w:p>
    <w:p w:rsidR="00D15728" w:rsidRPr="001D5CE1" w:rsidRDefault="00D15728" w:rsidP="008020D9">
      <w:pPr>
        <w:autoSpaceDE w:val="0"/>
        <w:autoSpaceDN w:val="0"/>
        <w:adjustRightInd w:val="0"/>
        <w:spacing w:after="0" w:line="240" w:lineRule="auto"/>
        <w:rPr>
          <w:rFonts w:cs="Times New Roman"/>
          <w:sz w:val="20"/>
          <w:szCs w:val="20"/>
        </w:rPr>
      </w:pPr>
      <w:r w:rsidRPr="001D5CE1">
        <w:rPr>
          <w:rFonts w:cs="Times New Roman"/>
          <w:sz w:val="20"/>
          <w:szCs w:val="20"/>
        </w:rPr>
        <w:t xml:space="preserve">El día 16 de abril de 2016, cuando se encontraba a solas en el domicilio de María Luisa, cuidando al hijo menor común, el acusado, desde el Ipad de ella, accedió a la cuenta de correo de Dª. María Luisa, sin su autorización, leyendo un correo íntimo y personal enviado por ésta a su pareja, Eulalio, sin que haya quedado acreditado si para ello debió introducir alguna contraseña o si la página que lo contenía se abrió directamente. </w:t>
      </w:r>
    </w:p>
    <w:p w:rsidR="00D15728" w:rsidRPr="001F0E67" w:rsidRDefault="00D15728" w:rsidP="008020D9">
      <w:pPr>
        <w:autoSpaceDE w:val="0"/>
        <w:autoSpaceDN w:val="0"/>
        <w:adjustRightInd w:val="0"/>
        <w:spacing w:after="0" w:line="240" w:lineRule="auto"/>
        <w:rPr>
          <w:rFonts w:ascii="Roboto-Regular" w:hAnsi="Roboto-Regular" w:cs="Roboto-Regular"/>
          <w:sz w:val="20"/>
          <w:szCs w:val="20"/>
        </w:rPr>
      </w:pPr>
      <w:r w:rsidRPr="001D5CE1">
        <w:rPr>
          <w:rFonts w:cs="Times New Roman"/>
          <w:sz w:val="20"/>
          <w:szCs w:val="20"/>
        </w:rPr>
        <w:t>El acusado y María Luisa han venido manteniendo numerosas comunicaciones telefónicas, a través de la aplicación Whatsapp, para tratar o consultarse respecto de las diferentes cuestiones relativas al cuidado y atención del hijo común de ambos, y aprovechando las realizadas, en primer lugar, el día 17 de abril de 2016, y, posteriormente, entre las fechas comprendidas desde el día 2 de junio de 2016 hasta el 17 de febrero de 2017, el acusado dirigía a su ex mujer ingentes y extensos mensajes en los que le dirigía quejas y reiterados y continuos reproches sobre el contenido de las que fueron sus relaciones de pareja, así como sobre aspectos relativos a la vida íntima que ella pudiera mantener con su nueva pareja, haciendo en ellas reiteradas referencias al contenido de los resultados de las búsquedas antes citadas, y dirigiéndose a su ex pareja con diversos apelativos como "mentirosilla", "ridícula" y, sobre todo, y de forma reiterada y constante con el de "subcampeona", a pesar de que, también de forma continua y reiterada, ella le pedía que no la llamara así, porque sabía lo mucho que la molestaba, y que la dejara vivir en paz y limitara la comunicación únicamente a los temas relacionados con el niño […]”.</w:t>
      </w:r>
    </w:p>
  </w:footnote>
  <w:footnote w:id="25">
    <w:p w:rsidR="00D15728" w:rsidRPr="001D5CE1" w:rsidRDefault="00D15728" w:rsidP="008020D9">
      <w:pPr>
        <w:autoSpaceDE w:val="0"/>
        <w:autoSpaceDN w:val="0"/>
        <w:adjustRightInd w:val="0"/>
        <w:spacing w:after="0" w:line="240" w:lineRule="auto"/>
        <w:rPr>
          <w:rFonts w:cs="Times New Roman"/>
          <w:sz w:val="20"/>
          <w:szCs w:val="20"/>
        </w:rPr>
      </w:pPr>
      <w:r w:rsidRPr="001D5CE1">
        <w:rPr>
          <w:rStyle w:val="Refdenotaalpie"/>
          <w:rFonts w:cs="Times New Roman"/>
          <w:sz w:val="20"/>
          <w:szCs w:val="20"/>
        </w:rPr>
        <w:footnoteRef/>
      </w:r>
      <w:r w:rsidRPr="001D5CE1">
        <w:rPr>
          <w:rFonts w:cs="Times New Roman"/>
          <w:sz w:val="20"/>
          <w:szCs w:val="20"/>
        </w:rPr>
        <w:t xml:space="preserve"> Los hechos probados de la citada sentencia son los siguientes: […] Jacinta, comenzó a trabajar en la empresa CABLERÍAS AUTO, con sede en Porriño, provincia de Pontevedra. En esta empresa conoció a Juan Pablo, que ya venía trabajando en la misma con anterioridad.</w:t>
      </w:r>
    </w:p>
    <w:p w:rsidR="00D15728" w:rsidRPr="001D5CE1" w:rsidRDefault="00D15728" w:rsidP="008020D9">
      <w:pPr>
        <w:autoSpaceDE w:val="0"/>
        <w:autoSpaceDN w:val="0"/>
        <w:adjustRightInd w:val="0"/>
        <w:spacing w:after="0" w:line="240" w:lineRule="auto"/>
        <w:rPr>
          <w:rFonts w:cs="Times New Roman"/>
          <w:sz w:val="20"/>
          <w:szCs w:val="20"/>
        </w:rPr>
      </w:pPr>
      <w:r w:rsidRPr="001D5CE1">
        <w:rPr>
          <w:rFonts w:cs="Times New Roman"/>
          <w:sz w:val="20"/>
          <w:szCs w:val="20"/>
        </w:rPr>
        <w:t>Entre los meses de diciembre de 2015 y enero de 2016, Jacinta y Juan Pablo comenzaron una relación sentimental, que mantenían oculta tanto en el entorno laboral como en el personal. Como consecuencia de esta relación, ambos decidieron convivir juntos, en un domicilio situado en la CALLE000, de esta ciudad de Vigo. Esta convivencia cesó en el mes de Julio de ese año 2016. Juan Pablo, que no aceptó esta ruptura, inició a partir de entonces una conducta de hostigamiento y control sobre Jacinta, insistiendo en que volviera con él.</w:t>
      </w:r>
    </w:p>
    <w:p w:rsidR="00D15728" w:rsidRPr="001D5CE1" w:rsidRDefault="00D15728" w:rsidP="008020D9">
      <w:pPr>
        <w:autoSpaceDE w:val="0"/>
        <w:autoSpaceDN w:val="0"/>
        <w:adjustRightInd w:val="0"/>
        <w:spacing w:after="0" w:line="240" w:lineRule="auto"/>
        <w:rPr>
          <w:rFonts w:cs="Times New Roman"/>
          <w:sz w:val="20"/>
          <w:szCs w:val="20"/>
        </w:rPr>
      </w:pPr>
      <w:r w:rsidRPr="001D5CE1">
        <w:rPr>
          <w:rFonts w:cs="Times New Roman"/>
          <w:sz w:val="20"/>
          <w:szCs w:val="20"/>
        </w:rPr>
        <w:t>En esta actitud de control y de querer imponer su presencia a Jacinta, el acusado, por ejemplo, en la mañana del día 23 de agosto de 2016, cuando Jacinta se disponía a salir con su coche, que tenía estacionado en la calle Venezuela de esta ciudad, se presentó el acusado, que portaba un test de embarazo, y situándose delante del vehículo de Jacinta, le impedía salir del estacionamiento, reteniéndola durante unos instantes, teniendo Jacinta que llamar a una pareja de la Policía Local, logrando así que el acusado dejara de obstaculizarle salir del lugar con su vehículo. Igualmente, y dado que, con ocasión de un viaje que habían hecho ambos a Portugal, Juan Pablo se había apoderado del teléfono móvil de Jacinta, con la ayuda de un compañero de trabajo, y sin que éste supiera nada de la finalidad que perseguía Juan Pablo, el acusado colocó una aplicación en la tarjeta de Jacinta, que permitía el seguimiento de la misma, que, tras pensar que había extraviado en su móvil, efectuó un duplicado de la misma. En esta conducta obsesiva de seguimiento a Jacinta, en una ocasión, Juan Pablo estaba dentro del portal del edificio de la CALLE000, esperando a Jacinta, que salía para encontrarse con Baldomero, que la esperaba en la calle, abordándola el acusado que le dijo que si ella no estaba con él, tampoco iba a estar con Baldomero. Así mismo, en varias ocasiones, Juan Pablo se presentaba en el edificio de la Avenida de Madrid, donde vivía Jacinta, montando un escándalo desde la calle, obligando a Jacinta a bajar para que cesara en esa actitud.</w:t>
      </w:r>
    </w:p>
    <w:p w:rsidR="00D15728" w:rsidRPr="001D5CE1" w:rsidRDefault="00D15728" w:rsidP="008020D9">
      <w:pPr>
        <w:autoSpaceDE w:val="0"/>
        <w:autoSpaceDN w:val="0"/>
        <w:adjustRightInd w:val="0"/>
        <w:spacing w:after="0" w:line="240" w:lineRule="auto"/>
        <w:rPr>
          <w:rFonts w:cs="Times New Roman"/>
          <w:sz w:val="20"/>
          <w:szCs w:val="20"/>
        </w:rPr>
      </w:pPr>
      <w:r w:rsidRPr="001D5CE1">
        <w:rPr>
          <w:rFonts w:cs="Times New Roman"/>
          <w:sz w:val="20"/>
          <w:szCs w:val="20"/>
        </w:rPr>
        <w:t>En esta conducta de obsesión que mostraba el acusado hacia Jacinta, y ante la reanudación de los contactos de ésta con su anterior Pareja, Baldomero, el acusado, una vez que se había apoderado del teléfono de Jacinta, envió a Baldomero una foto que tenía Jacinta en su teléfono, y en la que aparecían Juan Pablo y ella en la cama, mostrando que estaban sin ropa de cintura para arriba.</w:t>
      </w:r>
    </w:p>
    <w:p w:rsidR="00D15728" w:rsidRPr="001D5CE1" w:rsidRDefault="00D15728" w:rsidP="008020D9">
      <w:pPr>
        <w:autoSpaceDE w:val="0"/>
        <w:autoSpaceDN w:val="0"/>
        <w:adjustRightInd w:val="0"/>
        <w:spacing w:after="0" w:line="240" w:lineRule="auto"/>
        <w:rPr>
          <w:rFonts w:cs="Times New Roman"/>
          <w:sz w:val="20"/>
          <w:szCs w:val="20"/>
        </w:rPr>
      </w:pPr>
      <w:r w:rsidRPr="001D5CE1">
        <w:rPr>
          <w:rFonts w:cs="Times New Roman"/>
          <w:sz w:val="20"/>
          <w:szCs w:val="20"/>
        </w:rPr>
        <w:t>El día 16 de diciembre de 2016, tuvo lugar en el hotel NH de esta ciudad de Vigo, la cena de los empleados de CABLERIAS AUTO, a la que asistieron Jacinta y Juan Pablo. Tras finalizar a la misma, y ya fuera del hotel, siendo ya la madrugada del día 17, Jacinta, en compañía de sus compañeros Mónica, Pilar y Armando, ante el estado en el que se hallaba la citada Pilar, dieron un paseo por el centro de la ciudad, formando parte de ese grupo Juan Pablo, que, en un momento dado, se marchó. Sobre las 5:00 horas de esa madrugada, en el vehículo de Pilar, yendo ésta en su interior, y pilotando Mónica, llevaron a su domicilio a Jacinta, en la Avenida de Madrid, de esta ciudad, y en las proximidades del portal del mismo, dejaron a Jacinta, descendiendo también en ese momento Armando, que vivía en las inmediaciones. En el portal de su domicilio, Jacinta fue abordada por Juan Pablo, que no hizo caso a los requerimientos de Jacinta, para que se fuera.</w:t>
      </w:r>
    </w:p>
    <w:p w:rsidR="00D15728" w:rsidRPr="001D5CE1" w:rsidRDefault="00D15728" w:rsidP="008020D9">
      <w:pPr>
        <w:autoSpaceDE w:val="0"/>
        <w:autoSpaceDN w:val="0"/>
        <w:adjustRightInd w:val="0"/>
        <w:spacing w:after="0" w:line="240" w:lineRule="auto"/>
        <w:rPr>
          <w:rFonts w:cs="Times New Roman"/>
          <w:sz w:val="20"/>
          <w:szCs w:val="20"/>
        </w:rPr>
      </w:pPr>
      <w:r w:rsidRPr="001D5CE1">
        <w:rPr>
          <w:rFonts w:cs="Times New Roman"/>
          <w:sz w:val="20"/>
          <w:szCs w:val="20"/>
        </w:rPr>
        <w:t>En estas circunstancias, tanto por la hora avanzada de la madrugada, sin presencia de vecinos en el portal ni en las inmediaciones, que pudieran socorrer o prestar ayuda a Jacinta , ésta, que por la relación habida con el acusado, no esperaba que su vida pudiera estar en peligro, dentro del portal, fue atacada por Juan Pablo, que era consciente que Jacinta no podía oponerle defensa alguna, con un cuchillo o arma blanca que portaba y que no ha sido encontrada, con el que agredió repetidamente a Jacinta con la intención de acabar con su vida, pero, además, de aumentar el sufrimiento de la víctima, a la que pasó el arma blanca por el escote, ejerciendo una presión sobre la piel, pero sin llegar a cortársela, para clavársela finalmente, y de forma reiterada, en el cuello en el cuerpo de Jacinta , ocasionándole 28 heridas corto punzantes, de las que 21 de ellas fueron en la mama izquierda, alcanzando 12 el corazón, que fue atravesado en 6 ocasiones. Este número y entidad de las heridas ocasionó a la víctima un shock hipovolémico, que le causó la muerte.</w:t>
      </w:r>
    </w:p>
    <w:p w:rsidR="00D15728" w:rsidRPr="001D5CE1" w:rsidRDefault="00D15728" w:rsidP="008020D9">
      <w:pPr>
        <w:autoSpaceDE w:val="0"/>
        <w:autoSpaceDN w:val="0"/>
        <w:adjustRightInd w:val="0"/>
        <w:spacing w:after="0" w:line="240" w:lineRule="auto"/>
        <w:rPr>
          <w:rFonts w:ascii="Roboto-Regular" w:hAnsi="Roboto-Regular" w:cs="Roboto-Regular"/>
          <w:sz w:val="20"/>
          <w:szCs w:val="20"/>
        </w:rPr>
      </w:pPr>
      <w:r w:rsidRPr="001D5CE1">
        <w:rPr>
          <w:rFonts w:cs="Times New Roman"/>
          <w:sz w:val="20"/>
          <w:szCs w:val="20"/>
        </w:rPr>
        <w:t>El acusado acabó con la vida de Jacinta por su sentimiento de machismo y de dominación sobre ella, mujer que, si no iba a estar con él, no estaría con ningún otro. Jacinta, que había nacido el NUM000 de 1991, tenía por lo tanto 25 años de edad, estaba soltera. Era hija de Fátima y de Alberto, y tenía un hermano mayor de edad, Carlos Francisco, no dependiendo ninguno de ellos de Jacinta”.</w:t>
      </w:r>
    </w:p>
  </w:footnote>
  <w:footnote w:id="26">
    <w:p w:rsidR="00D15728" w:rsidRDefault="00D15728" w:rsidP="008020D9">
      <w:pPr>
        <w:pStyle w:val="Textonotapie"/>
      </w:pPr>
      <w:r>
        <w:rPr>
          <w:rStyle w:val="Refdenotaalpie"/>
        </w:rPr>
        <w:footnoteRef/>
      </w:r>
      <w:r>
        <w:t xml:space="preserve"> </w:t>
      </w:r>
      <w:r w:rsidRPr="00AB1DBF">
        <w:t xml:space="preserve">FERNÁNDEZ CRUZ, Victoria – AGUSTINA, José R.: “Análisis jurídico-criminológico del stalking a partir de un estudio de sentencias”, </w:t>
      </w:r>
      <w:r>
        <w:rPr>
          <w:i/>
        </w:rPr>
        <w:t>cit</w:t>
      </w:r>
      <w:r>
        <w:t>.</w:t>
      </w:r>
      <w:r w:rsidRPr="00AB1DBF">
        <w:t>, p. 12</w:t>
      </w:r>
      <w:r>
        <w:t>.</w:t>
      </w:r>
    </w:p>
  </w:footnote>
  <w:footnote w:id="27">
    <w:p w:rsidR="00D15728" w:rsidRDefault="00D15728" w:rsidP="008020D9">
      <w:pPr>
        <w:pStyle w:val="Textonotapie"/>
      </w:pPr>
      <w:r>
        <w:rPr>
          <w:rStyle w:val="Refdenotaalpie"/>
        </w:rPr>
        <w:footnoteRef/>
      </w:r>
      <w:r>
        <w:t xml:space="preserve"> </w:t>
      </w:r>
      <w:r w:rsidRPr="00AB1DBF">
        <w:t xml:space="preserve">Sobre ello, véase </w:t>
      </w:r>
      <w:r w:rsidRPr="00AB1DBF">
        <w:rPr>
          <w:rStyle w:val="apple-converted-space"/>
          <w:rFonts w:cs="Times New Roman"/>
          <w:iCs/>
          <w:color w:val="000000" w:themeColor="text1"/>
        </w:rPr>
        <w:t xml:space="preserve">VILLACAMPA ESTIARTE, Carolina: “La introducción </w:t>
      </w:r>
      <w:r>
        <w:rPr>
          <w:rStyle w:val="apple-converted-space"/>
          <w:rFonts w:cs="Times New Roman"/>
          <w:iCs/>
          <w:color w:val="000000" w:themeColor="text1"/>
        </w:rPr>
        <w:t>del delito de atti persecutori</w:t>
      </w:r>
      <w:r w:rsidRPr="00AB1DBF">
        <w:rPr>
          <w:rStyle w:val="apple-converted-space"/>
          <w:rFonts w:cs="Times New Roman"/>
          <w:iCs/>
          <w:color w:val="000000" w:themeColor="text1"/>
        </w:rPr>
        <w:t xml:space="preserve"> en el Código penal italiano”, </w:t>
      </w:r>
      <w:r w:rsidRPr="00CA04DC">
        <w:rPr>
          <w:rStyle w:val="apple-converted-space"/>
          <w:i/>
          <w:iCs/>
          <w:color w:val="000000" w:themeColor="text1"/>
        </w:rPr>
        <w:t>cit</w:t>
      </w:r>
      <w:r>
        <w:rPr>
          <w:rStyle w:val="apple-converted-space"/>
          <w:iCs/>
          <w:color w:val="000000" w:themeColor="text1"/>
        </w:rPr>
        <w:t xml:space="preserve">., </w:t>
      </w:r>
      <w:r w:rsidRPr="00AB1DBF">
        <w:rPr>
          <w:rStyle w:val="apple-converted-space"/>
          <w:rFonts w:cs="Times New Roman"/>
          <w:iCs/>
          <w:color w:val="000000" w:themeColor="text1"/>
        </w:rPr>
        <w:t>p. 14.</w:t>
      </w:r>
    </w:p>
  </w:footnote>
  <w:footnote w:id="28">
    <w:p w:rsidR="00D15728" w:rsidRDefault="00D15728" w:rsidP="008020D9">
      <w:pPr>
        <w:pStyle w:val="Textonotapie"/>
      </w:pPr>
      <w:r>
        <w:rPr>
          <w:rStyle w:val="Refdenotaalpie"/>
        </w:rPr>
        <w:footnoteRef/>
      </w:r>
      <w:r>
        <w:t xml:space="preserve"> TERZI</w:t>
      </w:r>
      <w:r w:rsidRPr="00AB1DBF">
        <w:t xml:space="preserve">, Laura: “El nuevo delito de stalking: primeras consideraciones”, </w:t>
      </w:r>
      <w:r w:rsidR="002F13E2" w:rsidRPr="00350A3F">
        <w:rPr>
          <w:i/>
        </w:rPr>
        <w:t>Revista General de Derecho Penal</w:t>
      </w:r>
      <w:r w:rsidR="002F13E2" w:rsidRPr="00350A3F">
        <w:t>, número 11, 2009</w:t>
      </w:r>
      <w:r w:rsidR="002F13E2">
        <w:rPr>
          <w:bCs/>
        </w:rPr>
        <w:t xml:space="preserve">, </w:t>
      </w:r>
      <w:r w:rsidRPr="00CA04DC">
        <w:t>p</w:t>
      </w:r>
      <w:r w:rsidRPr="00AB1DBF">
        <w:t>. 2, nota 5.</w:t>
      </w:r>
    </w:p>
  </w:footnote>
  <w:footnote w:id="29">
    <w:p w:rsidR="00D15728" w:rsidRDefault="00D15728" w:rsidP="008020D9">
      <w:pPr>
        <w:pStyle w:val="Textonotapie"/>
      </w:pPr>
      <w:r>
        <w:rPr>
          <w:rStyle w:val="Refdenotaalpie"/>
        </w:rPr>
        <w:footnoteRef/>
      </w:r>
      <w:r>
        <w:t xml:space="preserve"> </w:t>
      </w:r>
      <w:r w:rsidRPr="00AB1DBF">
        <w:t xml:space="preserve">AGUILAR RUÍZ, Raúl: “Diferencias entre feminicidios precedidos y no precedidos por la separación de la pareja”, </w:t>
      </w:r>
      <w:r w:rsidRPr="00AB1DBF">
        <w:rPr>
          <w:i/>
        </w:rPr>
        <w:t>Revista española de investigación criminológica</w:t>
      </w:r>
      <w:r>
        <w:t xml:space="preserve">, número </w:t>
      </w:r>
      <w:r w:rsidRPr="00AB1DBF">
        <w:t>7, 2019, pp. 17-18</w:t>
      </w:r>
      <w:r>
        <w:t>.</w:t>
      </w:r>
    </w:p>
  </w:footnote>
  <w:footnote w:id="30">
    <w:p w:rsidR="00D15728" w:rsidRDefault="00D15728" w:rsidP="008020D9">
      <w:pPr>
        <w:pStyle w:val="Textonotapie"/>
      </w:pPr>
      <w:r>
        <w:rPr>
          <w:rStyle w:val="Refdenotaalpie"/>
        </w:rPr>
        <w:footnoteRef/>
      </w:r>
      <w:r>
        <w:t xml:space="preserve"> El Código penal italiano (tercer párrafo) también contempla un subtipo similar en su artículo 612 </w:t>
      </w:r>
      <w:r w:rsidRPr="00B52ED1">
        <w:rPr>
          <w:i/>
        </w:rPr>
        <w:t>bis</w:t>
      </w:r>
      <w:r>
        <w:t>: “</w:t>
      </w:r>
      <w:r w:rsidRPr="00B52ED1">
        <w:t xml:space="preserve">La pena è aumentata fino alla metà se il fatto è commesso a danno di un minore, di una donna in stato di gravidanza o di una persona con disabilità di cui all'articolo 3 della legge 5 febbraio 1992, n. 104, ovvero </w:t>
      </w:r>
      <w:r>
        <w:t>con armi o da persona travisata”.</w:t>
      </w:r>
    </w:p>
  </w:footnote>
  <w:footnote w:id="31">
    <w:p w:rsidR="00D15728" w:rsidRDefault="00D15728" w:rsidP="008020D9">
      <w:pPr>
        <w:pStyle w:val="Textonotapie"/>
      </w:pPr>
      <w:r>
        <w:rPr>
          <w:rStyle w:val="Refdenotaalpie"/>
        </w:rPr>
        <w:footnoteRef/>
      </w:r>
      <w:r>
        <w:t xml:space="preserve"> MATALLÍN EVANGELIO, Ángela: “Delito de Acoso (art. 172 ter CP)”, </w:t>
      </w:r>
      <w:r w:rsidR="00783934" w:rsidRPr="000C5237">
        <w:t xml:space="preserve">en GONZALEZ CUSSAC, José Luis (Director) - MATALLIN EVANGELIO, Ángela - GORRIZ ROYO, Elena (Coordinadoras): </w:t>
      </w:r>
      <w:r w:rsidR="00783934" w:rsidRPr="000C5237">
        <w:rPr>
          <w:i/>
        </w:rPr>
        <w:t>Comentarios al Código Penal de 19</w:t>
      </w:r>
      <w:r w:rsidR="00783934" w:rsidRPr="000C5237">
        <w:t>95, Tirant lo Blanch, Valencia, 2015</w:t>
      </w:r>
      <w:r>
        <w:t>, p. 562.</w:t>
      </w:r>
    </w:p>
  </w:footnote>
  <w:footnote w:id="32">
    <w:p w:rsidR="00D15728" w:rsidRPr="008E61A5" w:rsidRDefault="00D15728" w:rsidP="008020D9">
      <w:pPr>
        <w:pStyle w:val="Textonotapie"/>
      </w:pPr>
      <w:r>
        <w:rPr>
          <w:rStyle w:val="Refdenotaalpie"/>
        </w:rPr>
        <w:footnoteRef/>
      </w:r>
      <w:r>
        <w:t xml:space="preserve"> Q</w:t>
      </w:r>
      <w:r w:rsidRPr="00A37328">
        <w:t>uien sea o haya sido su cónyuge o sobre persona que esté o haya estado ligada a él por una análoga relación de afectividad aun</w:t>
      </w:r>
      <w:r>
        <w:t xml:space="preserve"> sin convivencia;</w:t>
      </w:r>
      <w:r w:rsidRPr="00A37328">
        <w:t xml:space="preserve"> los descendientes, ascendientes o hermanos por naturaleza, adopción o afinidad, propios o de</w:t>
      </w:r>
      <w:r>
        <w:t>l cónyuge o conviviente;</w:t>
      </w:r>
      <w:r w:rsidRPr="00A37328">
        <w:t xml:space="preserve"> los menores o personas con discapacidad necesitadas de especial protección que con él convivan o que se hallen sujetos a la potestad, tutela, curatela, acogimiento o guarda de hecho del</w:t>
      </w:r>
      <w:r>
        <w:t xml:space="preserve"> cónyuge o conviviente; </w:t>
      </w:r>
      <w:r w:rsidRPr="00A37328">
        <w:t xml:space="preserve">persona amparada en cualquier otra relación por la que se encuentre integrada en el núcleo de su convivencia familiar, así como sobre las personas que por su especial vulnerabilidad se encuentran sometidas a custodia o guarda </w:t>
      </w:r>
      <w:r>
        <w:t xml:space="preserve">en centros públicos o privados. </w:t>
      </w:r>
    </w:p>
  </w:footnote>
  <w:footnote w:id="33">
    <w:p w:rsidR="00D15728" w:rsidRDefault="00D15728" w:rsidP="008020D9">
      <w:pPr>
        <w:pStyle w:val="Textonotapie"/>
      </w:pPr>
      <w:r>
        <w:rPr>
          <w:rStyle w:val="Refdenotaalpie"/>
        </w:rPr>
        <w:footnoteRef/>
      </w:r>
      <w:r>
        <w:t xml:space="preserve"> </w:t>
      </w:r>
      <w:r w:rsidRPr="00B4378D">
        <w:t>CONSEJO GENERAL DEL PODER J</w:t>
      </w:r>
      <w:r>
        <w:t xml:space="preserve">UDICIAL: </w:t>
      </w:r>
      <w:r w:rsidRPr="00CC5454">
        <w:rPr>
          <w:i/>
        </w:rPr>
        <w:t>Informe al Anteproyecto de Ley Orgánica por la que se modifica la Ley Orgánica 10/1995, de 23 de noviembre, del Código Penal</w:t>
      </w:r>
      <w:r>
        <w:t>, de 16 de enero de 2013, p. 169.</w:t>
      </w:r>
    </w:p>
  </w:footnote>
  <w:footnote w:id="34">
    <w:p w:rsidR="00D15728" w:rsidRPr="00B658DF" w:rsidRDefault="00D15728" w:rsidP="008020D9">
      <w:pPr>
        <w:pStyle w:val="Textonotapie"/>
        <w:rPr>
          <w:rFonts w:cs="Times New Roman"/>
          <w:color w:val="000000" w:themeColor="text1"/>
        </w:rPr>
      </w:pPr>
      <w:r>
        <w:rPr>
          <w:rStyle w:val="Refdenotaalpie"/>
        </w:rPr>
        <w:footnoteRef/>
      </w:r>
      <w:r>
        <w:t xml:space="preserve"> Para MATALLÍN EVANGELIO, esta agravante también resulta innecesaria, por su posible solapamiento con el delito de violencia doméstica del propio artículo 173.2 (MATALLÍN EVANGELIO, Ángela: “Delito de Acoso (art. 172 ter CP)”, </w:t>
      </w:r>
      <w:r w:rsidRPr="009D5EC4">
        <w:rPr>
          <w:rFonts w:cs="Times New Roman"/>
          <w:i/>
        </w:rPr>
        <w:t>cit</w:t>
      </w:r>
      <w:r>
        <w:t xml:space="preserve">., </w:t>
      </w:r>
      <w:r w:rsidRPr="00B658DF">
        <w:rPr>
          <w:rFonts w:cs="Times New Roman"/>
          <w:color w:val="000000" w:themeColor="text1"/>
        </w:rPr>
        <w:t>p. 562).</w:t>
      </w:r>
    </w:p>
  </w:footnote>
  <w:footnote w:id="35">
    <w:p w:rsidR="00D15728" w:rsidRPr="0063507E" w:rsidRDefault="00D15728" w:rsidP="00783934">
      <w:pPr>
        <w:pStyle w:val="Sinespaciado"/>
        <w:rPr>
          <w:rFonts w:cs="Times New Roman"/>
          <w:sz w:val="20"/>
          <w:szCs w:val="20"/>
        </w:rPr>
      </w:pPr>
      <w:r w:rsidRPr="00D4070D">
        <w:rPr>
          <w:rStyle w:val="Refdenotaalpie"/>
          <w:rFonts w:cs="Times New Roman"/>
          <w:sz w:val="20"/>
          <w:szCs w:val="20"/>
        </w:rPr>
        <w:footnoteRef/>
      </w:r>
      <w:r w:rsidRPr="00D4070D">
        <w:rPr>
          <w:rFonts w:cs="Times New Roman"/>
          <w:sz w:val="20"/>
          <w:szCs w:val="20"/>
        </w:rPr>
        <w:t xml:space="preserve"> </w:t>
      </w:r>
      <w:r>
        <w:rPr>
          <w:rFonts w:cs="Times New Roman"/>
          <w:sz w:val="20"/>
          <w:szCs w:val="20"/>
        </w:rPr>
        <w:t xml:space="preserve">CASTELLÓ FOZ, Marisa: “El tipo de stalking o acoso del artículo 172 ter CP”, </w:t>
      </w:r>
      <w:r w:rsidRPr="003A6136">
        <w:rPr>
          <w:rFonts w:cs="Times New Roman"/>
          <w:i/>
          <w:sz w:val="20"/>
          <w:szCs w:val="20"/>
        </w:rPr>
        <w:t>La ley penal</w:t>
      </w:r>
      <w:r>
        <w:rPr>
          <w:rFonts w:cs="Times New Roman"/>
          <w:sz w:val="20"/>
          <w:szCs w:val="20"/>
        </w:rPr>
        <w:t xml:space="preserve">, número 135, 2018, p. 6. </w:t>
      </w:r>
      <w:r w:rsidRPr="00D4070D">
        <w:rPr>
          <w:rFonts w:cs="Times New Roman"/>
          <w:sz w:val="20"/>
          <w:szCs w:val="20"/>
        </w:rPr>
        <w:t>Al respecto, ALONSO DE ESCAMILLA sugiere incluir dentro de este mismo apartado tal circunstancia (ALONSO DE ESCAMILLA, Avelina:</w:t>
      </w:r>
      <w:r w:rsidRPr="00D4070D">
        <w:rPr>
          <w:rFonts w:cs="Times New Roman"/>
          <w:b/>
          <w:i/>
          <w:sz w:val="20"/>
          <w:szCs w:val="20"/>
        </w:rPr>
        <w:t xml:space="preserve"> </w:t>
      </w:r>
      <w:r w:rsidRPr="00D93EEA">
        <w:rPr>
          <w:rFonts w:cs="Times New Roman"/>
          <w:sz w:val="20"/>
          <w:szCs w:val="20"/>
        </w:rPr>
        <w:t>“El delito de stalking como nueva forma de acoso. Cyberstalking y nuevas realidades”,</w:t>
      </w:r>
      <w:r w:rsidRPr="00D4070D">
        <w:rPr>
          <w:rFonts w:cs="Times New Roman"/>
          <w:sz w:val="20"/>
          <w:szCs w:val="20"/>
        </w:rPr>
        <w:t xml:space="preserve"> </w:t>
      </w:r>
      <w:r w:rsidRPr="009D5EC4">
        <w:rPr>
          <w:i/>
          <w:sz w:val="20"/>
          <w:szCs w:val="20"/>
        </w:rPr>
        <w:t>cit</w:t>
      </w:r>
      <w:r w:rsidRPr="009D5EC4">
        <w:rPr>
          <w:sz w:val="20"/>
          <w:szCs w:val="20"/>
        </w:rPr>
        <w:t>.,</w:t>
      </w:r>
      <w:r w:rsidRPr="00FF2EE0">
        <w:rPr>
          <w:sz w:val="20"/>
          <w:szCs w:val="20"/>
        </w:rPr>
        <w:t xml:space="preserve"> </w:t>
      </w:r>
      <w:r w:rsidRPr="00D4070D">
        <w:rPr>
          <w:rFonts w:cs="Times New Roman"/>
          <w:sz w:val="20"/>
          <w:szCs w:val="20"/>
        </w:rPr>
        <w:t xml:space="preserve">p. 7). También </w:t>
      </w:r>
      <w:r w:rsidRPr="00D4070D">
        <w:rPr>
          <w:rFonts w:cs="Times New Roman"/>
          <w:sz w:val="20"/>
          <w:szCs w:val="20"/>
          <w:lang w:eastAsia="es-ES"/>
        </w:rPr>
        <w:t xml:space="preserve">VILLACAMPA ESTIARTE, Carolina: “Capítulo XX. El delito de stalking”, </w:t>
      </w:r>
      <w:r w:rsidR="00783934" w:rsidRPr="008F3CD1">
        <w:rPr>
          <w:rFonts w:cs="Times New Roman"/>
          <w:sz w:val="20"/>
          <w:szCs w:val="20"/>
          <w:lang w:eastAsia="es-ES"/>
        </w:rPr>
        <w:t xml:space="preserve">en QUINTERO OLIVARES, Gonzalo: </w:t>
      </w:r>
      <w:r w:rsidR="00783934" w:rsidRPr="008F3CD1">
        <w:rPr>
          <w:rFonts w:cs="Times New Roman"/>
          <w:i/>
          <w:sz w:val="20"/>
          <w:szCs w:val="20"/>
          <w:lang w:eastAsia="es-ES"/>
        </w:rPr>
        <w:t>Comentario a la reforma penal de 2015</w:t>
      </w:r>
      <w:r w:rsidR="00783934" w:rsidRPr="008F3CD1">
        <w:rPr>
          <w:rFonts w:cs="Times New Roman"/>
          <w:sz w:val="20"/>
          <w:szCs w:val="20"/>
          <w:lang w:eastAsia="es-ES"/>
        </w:rPr>
        <w:t xml:space="preserve">, 1ª edición, Aranzadi Thomson Reuters, Pamplona, 2015 (online, sin numeración).  </w:t>
      </w:r>
    </w:p>
  </w:footnote>
  <w:footnote w:id="36">
    <w:p w:rsidR="00D15728" w:rsidRPr="00207531" w:rsidRDefault="00D15728" w:rsidP="00A30BA0">
      <w:pPr>
        <w:pStyle w:val="Sinespaciado"/>
        <w:rPr>
          <w:rFonts w:cs="Times New Roman"/>
          <w:color w:val="000000" w:themeColor="text1"/>
          <w:sz w:val="20"/>
          <w:szCs w:val="20"/>
        </w:rPr>
      </w:pPr>
      <w:r w:rsidRPr="00207531">
        <w:rPr>
          <w:rStyle w:val="Refdenotaalpie"/>
          <w:rFonts w:cs="Times New Roman"/>
          <w:sz w:val="20"/>
          <w:szCs w:val="20"/>
        </w:rPr>
        <w:footnoteRef/>
      </w:r>
      <w:r w:rsidRPr="00207531">
        <w:rPr>
          <w:rFonts w:cs="Times New Roman"/>
          <w:color w:val="000000" w:themeColor="text1"/>
          <w:sz w:val="20"/>
          <w:szCs w:val="20"/>
        </w:rPr>
        <w:t xml:space="preserve"> GREVIO: </w:t>
      </w:r>
      <w:r w:rsidRPr="00207531">
        <w:rPr>
          <w:rFonts w:cs="Times New Roman"/>
          <w:i/>
          <w:color w:val="000000" w:themeColor="text1"/>
          <w:sz w:val="20"/>
          <w:szCs w:val="20"/>
        </w:rPr>
        <w:t>GREVIO’s (Baseline) Evaluation Report on legislative and other measures giving effect to the provisions of the Council of Europe Convention on Preventing and Combating Violence against Women and Domestic Violence (Istanbul Convention) SPAIN</w:t>
      </w:r>
      <w:r w:rsidRPr="00207531">
        <w:rPr>
          <w:rFonts w:cs="Times New Roman"/>
          <w:color w:val="000000" w:themeColor="text1"/>
          <w:sz w:val="20"/>
          <w:szCs w:val="20"/>
        </w:rPr>
        <w:t>, 2020, pp. 56-57.</w:t>
      </w:r>
    </w:p>
  </w:footnote>
  <w:footnote w:id="37">
    <w:p w:rsidR="00F43BD3" w:rsidRPr="005409AD" w:rsidRDefault="00F43BD3" w:rsidP="005409AD">
      <w:pPr>
        <w:pStyle w:val="Sinespaciado"/>
        <w:rPr>
          <w:sz w:val="20"/>
          <w:szCs w:val="20"/>
        </w:rPr>
      </w:pPr>
      <w:r w:rsidRPr="005409AD">
        <w:rPr>
          <w:rStyle w:val="Refdenotaalpie"/>
          <w:sz w:val="20"/>
          <w:szCs w:val="20"/>
        </w:rPr>
        <w:footnoteRef/>
      </w:r>
      <w:r w:rsidRPr="005409AD">
        <w:rPr>
          <w:sz w:val="20"/>
          <w:szCs w:val="20"/>
        </w:rPr>
        <w:t xml:space="preserve"> ASOCIACIÓN DE MUJERES JUEZAS DE ESPAÑA (Grupo de Trabajo de la Asociación de Mujeres Juezas de España (AMJE)), </w:t>
      </w:r>
      <w:r w:rsidRPr="005409AD">
        <w:rPr>
          <w:i/>
          <w:sz w:val="20"/>
          <w:szCs w:val="20"/>
        </w:rPr>
        <w:t>Propuestas de enmiendas al Proyecto de ley Orgánica de Garantía Integral de la Libertad Sexual</w:t>
      </w:r>
      <w:r w:rsidRPr="005409AD">
        <w:rPr>
          <w:sz w:val="20"/>
          <w:szCs w:val="20"/>
        </w:rPr>
        <w:t>, de 22 de marzo de 2021, p. 41.</w:t>
      </w:r>
    </w:p>
  </w:footnote>
  <w:footnote w:id="38">
    <w:p w:rsidR="00852E04" w:rsidRPr="005409AD" w:rsidRDefault="00852E04" w:rsidP="005409AD">
      <w:pPr>
        <w:pStyle w:val="Sinespaciado"/>
        <w:rPr>
          <w:sz w:val="20"/>
          <w:szCs w:val="20"/>
        </w:rPr>
      </w:pPr>
      <w:r w:rsidRPr="005409AD">
        <w:rPr>
          <w:rStyle w:val="Refdenotaalpie"/>
          <w:sz w:val="20"/>
          <w:szCs w:val="20"/>
        </w:rPr>
        <w:footnoteRef/>
      </w:r>
      <w:r w:rsidRPr="005409AD">
        <w:rPr>
          <w:sz w:val="20"/>
          <w:szCs w:val="20"/>
        </w:rPr>
        <w:t xml:space="preserve"> </w:t>
      </w:r>
      <w:r w:rsidR="00783934" w:rsidRPr="005409AD">
        <w:rPr>
          <w:sz w:val="20"/>
          <w:szCs w:val="20"/>
        </w:rPr>
        <w:t>Ibídem</w:t>
      </w:r>
      <w:r w:rsidRPr="005409AD">
        <w:rPr>
          <w:sz w:val="20"/>
          <w:szCs w:val="20"/>
        </w:rPr>
        <w:t>, p. 39.</w:t>
      </w:r>
    </w:p>
  </w:footnote>
  <w:footnote w:id="39">
    <w:p w:rsidR="001F43B1" w:rsidRPr="005409AD" w:rsidRDefault="001F43B1" w:rsidP="005409AD">
      <w:pPr>
        <w:pStyle w:val="Sinespaciado"/>
        <w:rPr>
          <w:sz w:val="20"/>
          <w:szCs w:val="20"/>
        </w:rPr>
      </w:pPr>
      <w:r w:rsidRPr="005409AD">
        <w:rPr>
          <w:rStyle w:val="Refdenotaalpie"/>
          <w:sz w:val="20"/>
          <w:szCs w:val="20"/>
        </w:rPr>
        <w:footnoteRef/>
      </w:r>
      <w:r w:rsidRPr="005409AD">
        <w:rPr>
          <w:sz w:val="20"/>
          <w:szCs w:val="20"/>
        </w:rPr>
        <w:t xml:space="preserve"> CONSEJO GENERAL DEL PODER JUDICIAL, </w:t>
      </w:r>
      <w:r w:rsidRPr="005409AD">
        <w:rPr>
          <w:i/>
          <w:sz w:val="20"/>
          <w:szCs w:val="20"/>
        </w:rPr>
        <w:t>Informe sobre el Anteproyecto de Ley Orgánica de Garantía Integral de la Libertad Sexual</w:t>
      </w:r>
      <w:r w:rsidR="00F458BE" w:rsidRPr="005409AD">
        <w:rPr>
          <w:sz w:val="20"/>
          <w:szCs w:val="20"/>
        </w:rPr>
        <w:t xml:space="preserve">, </w:t>
      </w:r>
      <w:r w:rsidR="00783934" w:rsidRPr="005409AD">
        <w:rPr>
          <w:sz w:val="20"/>
          <w:szCs w:val="20"/>
        </w:rPr>
        <w:t>de 25 de febrero de 2021</w:t>
      </w:r>
      <w:r w:rsidR="00F458BE" w:rsidRPr="005409AD">
        <w:rPr>
          <w:sz w:val="20"/>
          <w:szCs w:val="20"/>
        </w:rPr>
        <w:t>, p. 72.</w:t>
      </w:r>
    </w:p>
  </w:footnote>
  <w:footnote w:id="40">
    <w:p w:rsidR="005409AD" w:rsidRPr="005409AD" w:rsidRDefault="005409AD" w:rsidP="005409AD">
      <w:pPr>
        <w:pStyle w:val="Sinespaciado"/>
        <w:rPr>
          <w:sz w:val="20"/>
          <w:szCs w:val="20"/>
        </w:rPr>
      </w:pPr>
      <w:r w:rsidRPr="005409AD">
        <w:rPr>
          <w:rStyle w:val="Refdenotaalpie"/>
          <w:sz w:val="20"/>
          <w:szCs w:val="20"/>
        </w:rPr>
        <w:footnoteRef/>
      </w:r>
      <w:r w:rsidRPr="005409AD">
        <w:rPr>
          <w:sz w:val="20"/>
          <w:szCs w:val="20"/>
        </w:rPr>
        <w:t xml:space="preserve"> Como advierte RIBAS, Eduardo Ramón: “El delito de acoso del art. 172 ter CP (Stalking)”, en VILLACAMPA ESTIARTE, Carolina (Coordinadora): </w:t>
      </w:r>
      <w:r w:rsidRPr="005409AD">
        <w:rPr>
          <w:i/>
          <w:sz w:val="20"/>
          <w:szCs w:val="20"/>
        </w:rPr>
        <w:t>Stalking: análisis jurídico, fenomenológico y victimológico</w:t>
      </w:r>
      <w:r w:rsidRPr="005409AD">
        <w:rPr>
          <w:sz w:val="20"/>
          <w:szCs w:val="20"/>
        </w:rPr>
        <w:t xml:space="preserve">, </w:t>
      </w:r>
      <w:r w:rsidR="00B76F07" w:rsidRPr="00B76F07">
        <w:rPr>
          <w:i/>
          <w:sz w:val="20"/>
          <w:szCs w:val="20"/>
        </w:rPr>
        <w:t>cit</w:t>
      </w:r>
      <w:r w:rsidR="00B76F07">
        <w:rPr>
          <w:sz w:val="20"/>
          <w:szCs w:val="20"/>
        </w:rPr>
        <w:t>.</w:t>
      </w:r>
      <w:r>
        <w:rPr>
          <w:sz w:val="20"/>
          <w:szCs w:val="20"/>
        </w:rPr>
        <w:t>, p</w:t>
      </w:r>
      <w:r w:rsidR="007E34F4">
        <w:rPr>
          <w:sz w:val="20"/>
          <w:szCs w:val="20"/>
        </w:rPr>
        <w:t>p. 237-239.</w:t>
      </w:r>
    </w:p>
  </w:footnote>
  <w:footnote w:id="41">
    <w:p w:rsidR="00D15728" w:rsidRDefault="00D15728" w:rsidP="005409AD">
      <w:pPr>
        <w:pStyle w:val="Sinespaciado"/>
      </w:pPr>
      <w:r w:rsidRPr="005409AD">
        <w:rPr>
          <w:rStyle w:val="Refdenotaalpie"/>
          <w:sz w:val="20"/>
          <w:szCs w:val="20"/>
        </w:rPr>
        <w:footnoteRef/>
      </w:r>
      <w:r w:rsidRPr="005409AD">
        <w:rPr>
          <w:sz w:val="20"/>
          <w:szCs w:val="20"/>
        </w:rPr>
        <w:t xml:space="preserve"> ROIG TORRES, Margarita: “El delito de acoso (art. 172 ter CP) como modalidad de violencia de género. Comparativa con el «Nachstellung» del derecho alemán”, </w:t>
      </w:r>
      <w:r w:rsidRPr="005409AD">
        <w:rPr>
          <w:i/>
          <w:sz w:val="20"/>
          <w:szCs w:val="20"/>
        </w:rPr>
        <w:t>cit</w:t>
      </w:r>
      <w:r w:rsidRPr="005409AD">
        <w:rPr>
          <w:sz w:val="20"/>
          <w:szCs w:val="20"/>
        </w:rPr>
        <w:t>., p. 315.</w:t>
      </w:r>
    </w:p>
  </w:footnote>
  <w:footnote w:id="42">
    <w:p w:rsidR="000E2A03" w:rsidRDefault="000E2A03">
      <w:pPr>
        <w:pStyle w:val="Textonotapie"/>
      </w:pPr>
      <w:r>
        <w:rPr>
          <w:rStyle w:val="Refdenotaalpie"/>
        </w:rPr>
        <w:footnoteRef/>
      </w:r>
      <w:r>
        <w:t xml:space="preserve"> CONSEJO GENERAL DEL PODER JUDICIAL, </w:t>
      </w:r>
      <w:r w:rsidRPr="00F458BE">
        <w:rPr>
          <w:i/>
        </w:rPr>
        <w:t>Informe sobre el Anteproyecto de Ley Orgánica de Garantía Integral de la Libertad Sexual</w:t>
      </w:r>
      <w:r>
        <w:t xml:space="preserve">, </w:t>
      </w:r>
      <w:r w:rsidR="00783934" w:rsidRPr="00783934">
        <w:rPr>
          <w:i/>
        </w:rPr>
        <w:t>cit</w:t>
      </w:r>
      <w:r w:rsidR="00783934">
        <w:t>.</w:t>
      </w:r>
      <w:r>
        <w:t>, p. 72.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212CC"/>
    <w:multiLevelType w:val="hybridMultilevel"/>
    <w:tmpl w:val="D27097F0"/>
    <w:lvl w:ilvl="0" w:tplc="2ABA7E18">
      <w:start w:val="1"/>
      <w:numFmt w:val="upperRoman"/>
      <w:pStyle w:val="Ttulo1"/>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68647F90"/>
    <w:multiLevelType w:val="hybridMultilevel"/>
    <w:tmpl w:val="FEC0DA4C"/>
    <w:lvl w:ilvl="0" w:tplc="52D87C58">
      <w:start w:val="1"/>
      <w:numFmt w:val="upperLetter"/>
      <w:pStyle w:val="Ttulo2"/>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C792FCE"/>
    <w:multiLevelType w:val="hybridMultilevel"/>
    <w:tmpl w:val="5980F6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66"/>
    <w:rsid w:val="000069FB"/>
    <w:rsid w:val="00030E40"/>
    <w:rsid w:val="00047B24"/>
    <w:rsid w:val="0009109A"/>
    <w:rsid w:val="000932AA"/>
    <w:rsid w:val="00095125"/>
    <w:rsid w:val="000A7105"/>
    <w:rsid w:val="000D6A26"/>
    <w:rsid w:val="000E2A03"/>
    <w:rsid w:val="000F1293"/>
    <w:rsid w:val="000F516E"/>
    <w:rsid w:val="00101E62"/>
    <w:rsid w:val="00104043"/>
    <w:rsid w:val="00120557"/>
    <w:rsid w:val="00130A45"/>
    <w:rsid w:val="001376E5"/>
    <w:rsid w:val="00197089"/>
    <w:rsid w:val="001A124F"/>
    <w:rsid w:val="001B57B5"/>
    <w:rsid w:val="001C0A8B"/>
    <w:rsid w:val="001D5CE1"/>
    <w:rsid w:val="001F0E67"/>
    <w:rsid w:val="001F2E08"/>
    <w:rsid w:val="001F43B1"/>
    <w:rsid w:val="00207531"/>
    <w:rsid w:val="00235C46"/>
    <w:rsid w:val="0028657E"/>
    <w:rsid w:val="002F13E2"/>
    <w:rsid w:val="00327963"/>
    <w:rsid w:val="00347503"/>
    <w:rsid w:val="003809E0"/>
    <w:rsid w:val="00385B81"/>
    <w:rsid w:val="00391164"/>
    <w:rsid w:val="003D3367"/>
    <w:rsid w:val="003D4A30"/>
    <w:rsid w:val="003E0078"/>
    <w:rsid w:val="003F5643"/>
    <w:rsid w:val="00403154"/>
    <w:rsid w:val="00405E17"/>
    <w:rsid w:val="004355D4"/>
    <w:rsid w:val="0046629A"/>
    <w:rsid w:val="00466D2A"/>
    <w:rsid w:val="00474D90"/>
    <w:rsid w:val="004B2983"/>
    <w:rsid w:val="004D6CAC"/>
    <w:rsid w:val="004F4708"/>
    <w:rsid w:val="004F687B"/>
    <w:rsid w:val="00513894"/>
    <w:rsid w:val="00531BE7"/>
    <w:rsid w:val="005409AD"/>
    <w:rsid w:val="00547C60"/>
    <w:rsid w:val="00585502"/>
    <w:rsid w:val="0058586C"/>
    <w:rsid w:val="005E78A0"/>
    <w:rsid w:val="005F6073"/>
    <w:rsid w:val="00616DE2"/>
    <w:rsid w:val="00633451"/>
    <w:rsid w:val="00647BEC"/>
    <w:rsid w:val="006949C3"/>
    <w:rsid w:val="006B0EE4"/>
    <w:rsid w:val="006C18A4"/>
    <w:rsid w:val="006D22CB"/>
    <w:rsid w:val="006D4EAE"/>
    <w:rsid w:val="006E42B9"/>
    <w:rsid w:val="00731E48"/>
    <w:rsid w:val="00732EFB"/>
    <w:rsid w:val="00735E2A"/>
    <w:rsid w:val="00740160"/>
    <w:rsid w:val="00745F61"/>
    <w:rsid w:val="00750FBB"/>
    <w:rsid w:val="00772D56"/>
    <w:rsid w:val="0077686A"/>
    <w:rsid w:val="00783934"/>
    <w:rsid w:val="007857C7"/>
    <w:rsid w:val="00794C13"/>
    <w:rsid w:val="007C0685"/>
    <w:rsid w:val="007D2096"/>
    <w:rsid w:val="007E34F4"/>
    <w:rsid w:val="008020D9"/>
    <w:rsid w:val="008258AC"/>
    <w:rsid w:val="00852E04"/>
    <w:rsid w:val="00857335"/>
    <w:rsid w:val="00864609"/>
    <w:rsid w:val="00892678"/>
    <w:rsid w:val="008F0EC3"/>
    <w:rsid w:val="008F4748"/>
    <w:rsid w:val="008F51ED"/>
    <w:rsid w:val="00922F7F"/>
    <w:rsid w:val="009449E5"/>
    <w:rsid w:val="009576AA"/>
    <w:rsid w:val="00A30BA0"/>
    <w:rsid w:val="00A730D3"/>
    <w:rsid w:val="00A84519"/>
    <w:rsid w:val="00A852FD"/>
    <w:rsid w:val="00AA1723"/>
    <w:rsid w:val="00AD10B5"/>
    <w:rsid w:val="00AD166F"/>
    <w:rsid w:val="00AF7E99"/>
    <w:rsid w:val="00B60B76"/>
    <w:rsid w:val="00B76F07"/>
    <w:rsid w:val="00B81CCE"/>
    <w:rsid w:val="00BA3868"/>
    <w:rsid w:val="00BB7F1F"/>
    <w:rsid w:val="00BD54E0"/>
    <w:rsid w:val="00BE7B66"/>
    <w:rsid w:val="00C352B1"/>
    <w:rsid w:val="00C67AF3"/>
    <w:rsid w:val="00C93F41"/>
    <w:rsid w:val="00CD60BA"/>
    <w:rsid w:val="00CE4874"/>
    <w:rsid w:val="00D12E46"/>
    <w:rsid w:val="00D15728"/>
    <w:rsid w:val="00D21F7D"/>
    <w:rsid w:val="00D3062C"/>
    <w:rsid w:val="00D4524C"/>
    <w:rsid w:val="00D63854"/>
    <w:rsid w:val="00D8501E"/>
    <w:rsid w:val="00DB3106"/>
    <w:rsid w:val="00DB7366"/>
    <w:rsid w:val="00DF6126"/>
    <w:rsid w:val="00E03E4B"/>
    <w:rsid w:val="00E07F6D"/>
    <w:rsid w:val="00E278F7"/>
    <w:rsid w:val="00E353E9"/>
    <w:rsid w:val="00E52C61"/>
    <w:rsid w:val="00E5371A"/>
    <w:rsid w:val="00E66851"/>
    <w:rsid w:val="00E836D6"/>
    <w:rsid w:val="00E853E2"/>
    <w:rsid w:val="00E90A72"/>
    <w:rsid w:val="00E918F5"/>
    <w:rsid w:val="00EA71D9"/>
    <w:rsid w:val="00ED13D2"/>
    <w:rsid w:val="00EE320B"/>
    <w:rsid w:val="00EE5008"/>
    <w:rsid w:val="00EF1D32"/>
    <w:rsid w:val="00F27401"/>
    <w:rsid w:val="00F43BD3"/>
    <w:rsid w:val="00F458BE"/>
    <w:rsid w:val="00F47B6F"/>
    <w:rsid w:val="00F71A8A"/>
    <w:rsid w:val="00FA475A"/>
    <w:rsid w:val="00FC0C30"/>
    <w:rsid w:val="00FE6EC8"/>
    <w:rsid w:val="00FF5AEC"/>
    <w:rsid w:val="00FF7217"/>
    <w:rsid w:val="00FF77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0D6E5-8EAB-4F83-A651-D86220E5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F7F"/>
    <w:pPr>
      <w:jc w:val="both"/>
    </w:pPr>
    <w:rPr>
      <w:rFonts w:ascii="Times New Roman" w:hAnsi="Times New Roman"/>
      <w:sz w:val="24"/>
    </w:rPr>
  </w:style>
  <w:style w:type="paragraph" w:styleId="Ttulo1">
    <w:name w:val="heading 1"/>
    <w:basedOn w:val="Normal"/>
    <w:next w:val="Normal"/>
    <w:link w:val="Ttulo1Car"/>
    <w:uiPriority w:val="9"/>
    <w:qFormat/>
    <w:rsid w:val="00922F7F"/>
    <w:pPr>
      <w:keepNext/>
      <w:keepLines/>
      <w:numPr>
        <w:numId w:val="1"/>
      </w:numPr>
      <w:spacing w:before="240" w:after="0"/>
      <w:outlineLvl w:val="0"/>
    </w:pPr>
    <w:rPr>
      <w:rFonts w:eastAsiaTheme="majorEastAsia" w:cstheme="majorBidi"/>
      <w:b/>
      <w:color w:val="000000" w:themeColor="text1"/>
      <w:szCs w:val="32"/>
    </w:rPr>
  </w:style>
  <w:style w:type="paragraph" w:styleId="Ttulo2">
    <w:name w:val="heading 2"/>
    <w:basedOn w:val="Normal"/>
    <w:next w:val="Normal"/>
    <w:link w:val="Ttulo2Car"/>
    <w:uiPriority w:val="9"/>
    <w:unhideWhenUsed/>
    <w:qFormat/>
    <w:rsid w:val="00922F7F"/>
    <w:pPr>
      <w:keepNext/>
      <w:keepLines/>
      <w:numPr>
        <w:numId w:val="2"/>
      </w:numPr>
      <w:spacing w:before="40" w:after="0"/>
      <w:outlineLvl w:val="1"/>
    </w:pPr>
    <w:rPr>
      <w:rFonts w:eastAsiaTheme="majorEastAsia" w:cstheme="majorBidi"/>
      <w:b/>
      <w:color w:val="000000" w:themeColor="text1"/>
      <w:szCs w:val="26"/>
    </w:rPr>
  </w:style>
  <w:style w:type="paragraph" w:styleId="Ttulo5">
    <w:name w:val="heading 5"/>
    <w:basedOn w:val="Normal"/>
    <w:next w:val="Normal"/>
    <w:link w:val="Ttulo5Car"/>
    <w:uiPriority w:val="9"/>
    <w:semiHidden/>
    <w:unhideWhenUsed/>
    <w:qFormat/>
    <w:rsid w:val="00AA172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2F7F"/>
    <w:rPr>
      <w:rFonts w:ascii="Times New Roman" w:eastAsiaTheme="majorEastAsia" w:hAnsi="Times New Roman" w:cstheme="majorBidi"/>
      <w:b/>
      <w:color w:val="000000" w:themeColor="text1"/>
      <w:sz w:val="24"/>
      <w:szCs w:val="32"/>
    </w:rPr>
  </w:style>
  <w:style w:type="character" w:customStyle="1" w:styleId="Ttulo2Car">
    <w:name w:val="Título 2 Car"/>
    <w:basedOn w:val="Fuentedeprrafopredeter"/>
    <w:link w:val="Ttulo2"/>
    <w:uiPriority w:val="9"/>
    <w:rsid w:val="00922F7F"/>
    <w:rPr>
      <w:rFonts w:ascii="Times New Roman" w:eastAsiaTheme="majorEastAsia" w:hAnsi="Times New Roman" w:cstheme="majorBidi"/>
      <w:b/>
      <w:color w:val="000000" w:themeColor="text1"/>
      <w:sz w:val="24"/>
      <w:szCs w:val="26"/>
    </w:rPr>
  </w:style>
  <w:style w:type="character" w:styleId="Hipervnculo">
    <w:name w:val="Hyperlink"/>
    <w:basedOn w:val="Fuentedeprrafopredeter"/>
    <w:uiPriority w:val="99"/>
    <w:unhideWhenUsed/>
    <w:rsid w:val="00735E2A"/>
    <w:rPr>
      <w:color w:val="0563C1" w:themeColor="hyperlink"/>
      <w:u w:val="single"/>
    </w:rPr>
  </w:style>
  <w:style w:type="paragraph" w:styleId="Textonotapie">
    <w:name w:val="footnote text"/>
    <w:basedOn w:val="Normal"/>
    <w:link w:val="TextonotapieCar"/>
    <w:unhideWhenUsed/>
    <w:rsid w:val="00735E2A"/>
    <w:pPr>
      <w:spacing w:after="0" w:line="240" w:lineRule="auto"/>
    </w:pPr>
    <w:rPr>
      <w:sz w:val="20"/>
      <w:szCs w:val="20"/>
    </w:rPr>
  </w:style>
  <w:style w:type="character" w:customStyle="1" w:styleId="TextonotapieCar">
    <w:name w:val="Texto nota pie Car"/>
    <w:basedOn w:val="Fuentedeprrafopredeter"/>
    <w:link w:val="Textonotapie"/>
    <w:uiPriority w:val="99"/>
    <w:rsid w:val="00735E2A"/>
    <w:rPr>
      <w:rFonts w:ascii="Times New Roman" w:hAnsi="Times New Roman"/>
      <w:sz w:val="20"/>
      <w:szCs w:val="20"/>
    </w:rPr>
  </w:style>
  <w:style w:type="character" w:styleId="Refdenotaalpie">
    <w:name w:val="footnote reference"/>
    <w:basedOn w:val="Fuentedeprrafopredeter"/>
    <w:unhideWhenUsed/>
    <w:rsid w:val="00735E2A"/>
    <w:rPr>
      <w:vertAlign w:val="superscript"/>
    </w:rPr>
  </w:style>
  <w:style w:type="paragraph" w:styleId="Sinespaciado">
    <w:name w:val="No Spacing"/>
    <w:uiPriority w:val="1"/>
    <w:qFormat/>
    <w:rsid w:val="00585502"/>
    <w:pPr>
      <w:spacing w:after="0" w:line="240" w:lineRule="auto"/>
      <w:jc w:val="both"/>
    </w:pPr>
    <w:rPr>
      <w:rFonts w:ascii="Times New Roman" w:hAnsi="Times New Roman"/>
      <w:sz w:val="24"/>
    </w:rPr>
  </w:style>
  <w:style w:type="character" w:customStyle="1" w:styleId="apple-converted-space">
    <w:name w:val="apple-converted-space"/>
    <w:basedOn w:val="Fuentedeprrafopredeter"/>
    <w:rsid w:val="00585502"/>
  </w:style>
  <w:style w:type="paragraph" w:customStyle="1" w:styleId="parrafo">
    <w:name w:val="parrafo"/>
    <w:basedOn w:val="Normal"/>
    <w:rsid w:val="00E5371A"/>
    <w:pPr>
      <w:spacing w:before="100" w:beforeAutospacing="1" w:after="100" w:afterAutospacing="1" w:line="240" w:lineRule="auto"/>
      <w:jc w:val="left"/>
    </w:pPr>
    <w:rPr>
      <w:rFonts w:eastAsia="Times New Roman" w:cs="Times New Roman"/>
      <w:szCs w:val="24"/>
      <w:lang w:eastAsia="es-ES"/>
    </w:rPr>
  </w:style>
  <w:style w:type="paragraph" w:customStyle="1" w:styleId="Default">
    <w:name w:val="Default"/>
    <w:rsid w:val="00ED13D2"/>
    <w:pPr>
      <w:autoSpaceDE w:val="0"/>
      <w:autoSpaceDN w:val="0"/>
      <w:adjustRightInd w:val="0"/>
      <w:spacing w:after="0" w:line="240" w:lineRule="auto"/>
    </w:pPr>
    <w:rPr>
      <w:rFonts w:ascii="Calibri" w:hAnsi="Calibri" w:cs="Calibri"/>
      <w:color w:val="000000"/>
      <w:sz w:val="24"/>
      <w:szCs w:val="24"/>
    </w:rPr>
  </w:style>
  <w:style w:type="character" w:customStyle="1" w:styleId="Ttulo5Car">
    <w:name w:val="Título 5 Car"/>
    <w:basedOn w:val="Fuentedeprrafopredeter"/>
    <w:link w:val="Ttulo5"/>
    <w:uiPriority w:val="9"/>
    <w:semiHidden/>
    <w:rsid w:val="00AA1723"/>
    <w:rPr>
      <w:rFonts w:asciiTheme="majorHAnsi" w:eastAsiaTheme="majorEastAsia" w:hAnsiTheme="majorHAnsi" w:cstheme="majorBidi"/>
      <w:color w:val="2E74B5" w:themeColor="accent1" w:themeShade="BF"/>
      <w:sz w:val="24"/>
    </w:rPr>
  </w:style>
  <w:style w:type="paragraph" w:customStyle="1" w:styleId="parrafo2">
    <w:name w:val="parrafo_2"/>
    <w:basedOn w:val="Normal"/>
    <w:rsid w:val="00AA1723"/>
    <w:pPr>
      <w:spacing w:before="100" w:beforeAutospacing="1" w:after="100" w:afterAutospacing="1" w:line="240" w:lineRule="auto"/>
      <w:jc w:val="left"/>
    </w:pPr>
    <w:rPr>
      <w:rFonts w:eastAsia="Times New Roman" w:cs="Times New Roman"/>
      <w:szCs w:val="24"/>
      <w:lang w:eastAsia="es-ES"/>
    </w:rPr>
  </w:style>
  <w:style w:type="paragraph" w:styleId="Prrafodelista">
    <w:name w:val="List Paragraph"/>
    <w:basedOn w:val="Normal"/>
    <w:uiPriority w:val="34"/>
    <w:qFormat/>
    <w:rsid w:val="00AF7E99"/>
    <w:pPr>
      <w:ind w:left="720"/>
      <w:contextualSpacing/>
    </w:pPr>
  </w:style>
  <w:style w:type="paragraph" w:styleId="Encabezado">
    <w:name w:val="header"/>
    <w:basedOn w:val="Normal"/>
    <w:link w:val="EncabezadoCar"/>
    <w:uiPriority w:val="99"/>
    <w:unhideWhenUsed/>
    <w:rsid w:val="00EE320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320B"/>
    <w:rPr>
      <w:rFonts w:ascii="Times New Roman" w:hAnsi="Times New Roman"/>
      <w:sz w:val="24"/>
    </w:rPr>
  </w:style>
  <w:style w:type="paragraph" w:styleId="Piedepgina">
    <w:name w:val="footer"/>
    <w:basedOn w:val="Normal"/>
    <w:link w:val="PiedepginaCar"/>
    <w:uiPriority w:val="99"/>
    <w:unhideWhenUsed/>
    <w:rsid w:val="00EE320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320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44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boe.es/diario_boe/txt.php?id=BOE-A-2014-594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F3548-900A-4B61-B6A2-4E541CDCB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5066</Words>
  <Characters>27868</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 de Windows</cp:lastModifiedBy>
  <cp:revision>2</cp:revision>
  <dcterms:created xsi:type="dcterms:W3CDTF">2021-04-12T14:00:00Z</dcterms:created>
  <dcterms:modified xsi:type="dcterms:W3CDTF">2021-04-12T14:00:00Z</dcterms:modified>
</cp:coreProperties>
</file>