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61C21" w14:textId="3C64D6F7" w:rsidR="00E37041" w:rsidRPr="00433F7F" w:rsidRDefault="0053347B" w:rsidP="00433F7F">
      <w:pPr>
        <w:spacing w:line="360" w:lineRule="auto"/>
        <w:ind w:left="720" w:right="720"/>
        <w:jc w:val="center"/>
        <w:rPr>
          <w:rFonts w:ascii="Arial" w:hAnsi="Arial" w:cs="Arial"/>
          <w:bCs/>
          <w:sz w:val="24"/>
          <w:szCs w:val="24"/>
          <w:lang w:val="es-MX"/>
        </w:rPr>
      </w:pPr>
      <w:r w:rsidRPr="00433F7F">
        <w:rPr>
          <w:rFonts w:ascii="Arial" w:hAnsi="Arial" w:cs="Arial"/>
          <w:bCs/>
          <w:sz w:val="24"/>
          <w:szCs w:val="24"/>
          <w:lang w:val="es-MX"/>
        </w:rPr>
        <w:t>PRESUNCIÓN DE INOCENCIA Y OTROS DERECHOS PROTEGIDOS POR LA JURISPRUDENCIA CONSTITUCIONAL</w:t>
      </w:r>
    </w:p>
    <w:p w14:paraId="4C18D02E" w14:textId="77777777" w:rsidR="004976B0" w:rsidRPr="00433F7F" w:rsidRDefault="004976B0" w:rsidP="00433F7F">
      <w:pPr>
        <w:spacing w:line="360" w:lineRule="auto"/>
        <w:ind w:left="720" w:right="720"/>
        <w:jc w:val="right"/>
        <w:rPr>
          <w:rFonts w:ascii="Arial" w:hAnsi="Arial" w:cs="Arial"/>
          <w:bCs/>
          <w:sz w:val="24"/>
          <w:szCs w:val="24"/>
          <w:lang w:val="es-MX"/>
        </w:rPr>
      </w:pPr>
    </w:p>
    <w:p w14:paraId="1EEE4446" w14:textId="0AB9F4BA" w:rsidR="00080E65" w:rsidRPr="00433F7F" w:rsidRDefault="00080E65" w:rsidP="00433F7F">
      <w:pPr>
        <w:spacing w:line="360" w:lineRule="auto"/>
        <w:ind w:left="720" w:right="720"/>
        <w:jc w:val="right"/>
        <w:rPr>
          <w:rFonts w:ascii="Arial" w:hAnsi="Arial" w:cs="Arial"/>
          <w:bCs/>
          <w:sz w:val="24"/>
          <w:szCs w:val="24"/>
          <w:lang w:val="es-MX"/>
        </w:rPr>
      </w:pPr>
      <w:r w:rsidRPr="00433F7F">
        <w:rPr>
          <w:rFonts w:ascii="Arial" w:hAnsi="Arial" w:cs="Arial"/>
          <w:bCs/>
          <w:sz w:val="24"/>
          <w:szCs w:val="24"/>
          <w:lang w:val="es-MX"/>
        </w:rPr>
        <w:t xml:space="preserve">Ariadna </w:t>
      </w:r>
      <w:r w:rsidR="00D708A7" w:rsidRPr="00433F7F">
        <w:rPr>
          <w:rFonts w:ascii="Arial" w:hAnsi="Arial" w:cs="Arial"/>
          <w:bCs/>
          <w:sz w:val="24"/>
          <w:szCs w:val="24"/>
          <w:lang w:val="es-MX"/>
        </w:rPr>
        <w:t>SALAZAR QUIÑÓNEZ</w:t>
      </w:r>
      <w:r w:rsidRPr="00433F7F">
        <w:rPr>
          <w:rStyle w:val="Refdenotaalpie"/>
          <w:rFonts w:ascii="Arial" w:hAnsi="Arial" w:cs="Arial"/>
          <w:bCs/>
          <w:sz w:val="24"/>
          <w:szCs w:val="24"/>
          <w:lang w:val="es-MX"/>
        </w:rPr>
        <w:footnoteReference w:id="1"/>
      </w:r>
    </w:p>
    <w:p w14:paraId="1B0F1D81" w14:textId="769CE2BF" w:rsidR="004D67E9" w:rsidRPr="00433F7F" w:rsidRDefault="00D708A7" w:rsidP="00433F7F">
      <w:pPr>
        <w:spacing w:line="360" w:lineRule="auto"/>
        <w:ind w:left="720" w:right="720"/>
        <w:jc w:val="both"/>
        <w:rPr>
          <w:rFonts w:ascii="Arial" w:hAnsi="Arial" w:cs="Arial"/>
          <w:sz w:val="24"/>
          <w:szCs w:val="24"/>
          <w:lang w:val="es-ES"/>
        </w:rPr>
      </w:pPr>
      <w:r w:rsidRPr="00433F7F">
        <w:rPr>
          <w:rFonts w:ascii="Arial" w:hAnsi="Arial" w:cs="Arial"/>
          <w:bCs/>
          <w:sz w:val="24"/>
          <w:szCs w:val="24"/>
          <w:lang w:val="es-MX"/>
        </w:rPr>
        <w:t>SUMARIO:</w:t>
      </w:r>
      <w:r w:rsidR="00A968A9" w:rsidRPr="00433F7F">
        <w:rPr>
          <w:rFonts w:ascii="Arial" w:hAnsi="Arial" w:cs="Arial"/>
          <w:bCs/>
          <w:sz w:val="24"/>
          <w:szCs w:val="24"/>
          <w:lang w:val="es-MX"/>
        </w:rPr>
        <w:t xml:space="preserve"> I. </w:t>
      </w:r>
      <w:r w:rsidR="00B45BE4" w:rsidRPr="00433F7F">
        <w:rPr>
          <w:rFonts w:ascii="Arial" w:hAnsi="Arial" w:cs="Arial"/>
          <w:bCs/>
          <w:sz w:val="24"/>
          <w:szCs w:val="24"/>
          <w:lang w:val="es-MX"/>
        </w:rPr>
        <w:t xml:space="preserve">Introducción. II. Reconocimiento normativo y convencional de la Presunción de inocencia. </w:t>
      </w:r>
      <w:r w:rsidR="00B45BE4" w:rsidRPr="00433F7F">
        <w:rPr>
          <w:rFonts w:ascii="Arial" w:hAnsi="Arial" w:cs="Arial"/>
          <w:sz w:val="24"/>
          <w:szCs w:val="24"/>
          <w:lang w:val="es-ES"/>
        </w:rPr>
        <w:t>III.</w:t>
      </w:r>
      <w:r w:rsidR="00B45BE4" w:rsidRPr="00433F7F">
        <w:rPr>
          <w:rFonts w:ascii="Arial" w:hAnsi="Arial" w:cs="Arial"/>
          <w:bCs/>
          <w:sz w:val="24"/>
          <w:szCs w:val="24"/>
          <w:lang w:val="es-MX"/>
        </w:rPr>
        <w:t>Análisis de la protección de presunción de inocencia. IV. Conclusiones. V. Bibliografía.</w:t>
      </w:r>
    </w:p>
    <w:p w14:paraId="02610C72" w14:textId="77777777" w:rsidR="00A968A9" w:rsidRPr="00433F7F" w:rsidRDefault="00A968A9" w:rsidP="00433F7F">
      <w:pPr>
        <w:spacing w:line="360" w:lineRule="auto"/>
        <w:ind w:left="720" w:right="720"/>
        <w:jc w:val="both"/>
        <w:rPr>
          <w:rFonts w:ascii="Arial" w:hAnsi="Arial" w:cs="Arial"/>
          <w:bCs/>
          <w:sz w:val="24"/>
          <w:szCs w:val="24"/>
          <w:lang w:val="es-MX"/>
        </w:rPr>
      </w:pPr>
    </w:p>
    <w:p w14:paraId="42014BF0" w14:textId="78020A2D" w:rsidR="00CA3FE0" w:rsidRPr="00433F7F" w:rsidRDefault="00A968A9" w:rsidP="00433F7F">
      <w:pPr>
        <w:spacing w:line="360" w:lineRule="auto"/>
        <w:ind w:left="720" w:right="720"/>
        <w:jc w:val="both"/>
        <w:rPr>
          <w:rFonts w:ascii="Arial" w:hAnsi="Arial" w:cs="Arial"/>
          <w:bCs/>
          <w:sz w:val="24"/>
          <w:szCs w:val="24"/>
          <w:lang w:val="es-MX"/>
        </w:rPr>
      </w:pPr>
      <w:r w:rsidRPr="00433F7F">
        <w:rPr>
          <w:rFonts w:ascii="Arial" w:hAnsi="Arial" w:cs="Arial"/>
          <w:bCs/>
          <w:sz w:val="24"/>
          <w:szCs w:val="24"/>
          <w:lang w:val="es-MX"/>
        </w:rPr>
        <w:t>I.INTRODUCCIÓN</w:t>
      </w:r>
    </w:p>
    <w:p w14:paraId="302749DC" w14:textId="626A648B" w:rsidR="000F5371" w:rsidRPr="00433F7F" w:rsidRDefault="00287A61" w:rsidP="00433F7F">
      <w:pPr>
        <w:spacing w:after="200" w:line="360" w:lineRule="auto"/>
        <w:ind w:left="720" w:right="720" w:hanging="436"/>
        <w:jc w:val="both"/>
        <w:rPr>
          <w:rFonts w:ascii="Arial" w:hAnsi="Arial" w:cs="Arial"/>
          <w:sz w:val="24"/>
          <w:szCs w:val="24"/>
          <w:lang w:val="es-MX"/>
        </w:rPr>
      </w:pPr>
      <w:r w:rsidRPr="00433F7F">
        <w:rPr>
          <w:rFonts w:ascii="Arial" w:hAnsi="Arial" w:cs="Arial"/>
          <w:sz w:val="24"/>
          <w:szCs w:val="24"/>
          <w:lang w:val="es-MX"/>
        </w:rPr>
        <w:t xml:space="preserve">      </w:t>
      </w:r>
      <w:r w:rsidR="00433F7F" w:rsidRPr="00433F7F">
        <w:rPr>
          <w:rFonts w:ascii="Arial" w:hAnsi="Arial" w:cs="Arial"/>
          <w:sz w:val="24"/>
          <w:szCs w:val="24"/>
          <w:lang w:val="es-MX"/>
        </w:rPr>
        <w:t xml:space="preserve"> </w:t>
      </w:r>
      <w:r w:rsidR="005C58C1" w:rsidRPr="00433F7F">
        <w:rPr>
          <w:rFonts w:ascii="Arial" w:hAnsi="Arial" w:cs="Arial"/>
          <w:sz w:val="24"/>
          <w:szCs w:val="24"/>
          <w:lang w:val="es-MX"/>
        </w:rPr>
        <w:t>El objeto del presente trabajo es reflexionar sobre el reconocimiento normativo y convencional</w:t>
      </w:r>
      <w:r w:rsidR="000F5371" w:rsidRPr="00433F7F">
        <w:rPr>
          <w:rFonts w:ascii="Arial" w:hAnsi="Arial" w:cs="Arial"/>
          <w:sz w:val="24"/>
          <w:szCs w:val="24"/>
          <w:lang w:val="es-MX"/>
        </w:rPr>
        <w:t xml:space="preserve"> de la protección</w:t>
      </w:r>
      <w:r w:rsidR="005C58C1" w:rsidRPr="00433F7F">
        <w:rPr>
          <w:rFonts w:ascii="Arial" w:hAnsi="Arial" w:cs="Arial"/>
          <w:sz w:val="24"/>
          <w:szCs w:val="24"/>
          <w:lang w:val="es-MX"/>
        </w:rPr>
        <w:t xml:space="preserve"> del derecho de presunción de inocencia</w:t>
      </w:r>
      <w:r w:rsidR="0007635A" w:rsidRPr="00433F7F">
        <w:rPr>
          <w:rFonts w:ascii="Arial" w:hAnsi="Arial" w:cs="Arial"/>
          <w:sz w:val="24"/>
          <w:szCs w:val="24"/>
          <w:lang w:val="es-MX"/>
        </w:rPr>
        <w:t xml:space="preserve">. </w:t>
      </w:r>
      <w:r w:rsidR="000F5371" w:rsidRPr="00433F7F">
        <w:rPr>
          <w:rFonts w:ascii="Arial" w:hAnsi="Arial" w:cs="Arial"/>
          <w:sz w:val="24"/>
          <w:szCs w:val="24"/>
          <w:lang w:val="es-MX"/>
        </w:rPr>
        <w:t xml:space="preserve">Aunado a ello, se estudian </w:t>
      </w:r>
      <w:r w:rsidR="00557235" w:rsidRPr="00433F7F">
        <w:rPr>
          <w:rFonts w:ascii="Arial" w:hAnsi="Arial" w:cs="Arial"/>
          <w:sz w:val="24"/>
          <w:szCs w:val="24"/>
          <w:lang w:val="es-MX"/>
        </w:rPr>
        <w:t xml:space="preserve">algunos </w:t>
      </w:r>
      <w:r w:rsidR="005C58C1" w:rsidRPr="00433F7F">
        <w:rPr>
          <w:rFonts w:ascii="Arial" w:hAnsi="Arial" w:cs="Arial"/>
          <w:sz w:val="24"/>
          <w:szCs w:val="24"/>
          <w:lang w:val="es-MX"/>
        </w:rPr>
        <w:t>casos</w:t>
      </w:r>
      <w:r w:rsidR="00973BCB" w:rsidRPr="00433F7F">
        <w:rPr>
          <w:rFonts w:ascii="Arial" w:hAnsi="Arial" w:cs="Arial"/>
          <w:sz w:val="24"/>
          <w:szCs w:val="24"/>
          <w:lang w:val="es-MX"/>
        </w:rPr>
        <w:t xml:space="preserve"> resueltos por </w:t>
      </w:r>
      <w:r w:rsidR="005C58C1" w:rsidRPr="00433F7F">
        <w:rPr>
          <w:rFonts w:ascii="Arial" w:hAnsi="Arial" w:cs="Arial"/>
          <w:sz w:val="24"/>
          <w:szCs w:val="24"/>
          <w:lang w:val="es-MX"/>
        </w:rPr>
        <w:t>l</w:t>
      </w:r>
      <w:r w:rsidR="00205154" w:rsidRPr="00433F7F">
        <w:rPr>
          <w:rFonts w:ascii="Arial" w:hAnsi="Arial" w:cs="Arial"/>
          <w:sz w:val="24"/>
          <w:szCs w:val="24"/>
          <w:lang w:val="es-MX"/>
        </w:rPr>
        <w:t>a</w:t>
      </w:r>
      <w:r w:rsidR="005C58C1" w:rsidRPr="00433F7F">
        <w:rPr>
          <w:rFonts w:ascii="Arial" w:hAnsi="Arial" w:cs="Arial"/>
          <w:sz w:val="24"/>
          <w:szCs w:val="24"/>
          <w:lang w:val="es-MX"/>
        </w:rPr>
        <w:t xml:space="preserve"> Suprema Corte de Justicia de la Nación (</w:t>
      </w:r>
      <w:r w:rsidR="005C58C1" w:rsidRPr="00433F7F">
        <w:rPr>
          <w:rFonts w:ascii="Arial" w:hAnsi="Arial" w:cs="Arial"/>
          <w:i/>
          <w:iCs/>
          <w:sz w:val="24"/>
          <w:szCs w:val="24"/>
          <w:lang w:val="es-MX"/>
        </w:rPr>
        <w:t>en adelante SCJN</w:t>
      </w:r>
      <w:r w:rsidR="005C58C1" w:rsidRPr="00433F7F">
        <w:rPr>
          <w:rFonts w:ascii="Arial" w:hAnsi="Arial" w:cs="Arial"/>
          <w:sz w:val="24"/>
          <w:szCs w:val="24"/>
          <w:lang w:val="es-MX"/>
        </w:rPr>
        <w:t xml:space="preserve">) </w:t>
      </w:r>
      <w:r w:rsidR="00A84BF0" w:rsidRPr="00433F7F">
        <w:rPr>
          <w:rFonts w:ascii="Arial" w:hAnsi="Arial" w:cs="Arial"/>
          <w:sz w:val="24"/>
          <w:szCs w:val="24"/>
          <w:lang w:val="es-MX"/>
        </w:rPr>
        <w:t>y por</w:t>
      </w:r>
      <w:r w:rsidR="000F5371" w:rsidRPr="00433F7F">
        <w:rPr>
          <w:rFonts w:ascii="Arial" w:hAnsi="Arial" w:cs="Arial"/>
          <w:sz w:val="24"/>
          <w:szCs w:val="24"/>
          <w:lang w:val="es-MX"/>
        </w:rPr>
        <w:t xml:space="preserve"> la Corte Interamericana de Derecho</w:t>
      </w:r>
      <w:r w:rsidR="00A84BF0" w:rsidRPr="00433F7F">
        <w:rPr>
          <w:rFonts w:ascii="Arial" w:hAnsi="Arial" w:cs="Arial"/>
          <w:sz w:val="24"/>
          <w:szCs w:val="24"/>
          <w:lang w:val="es-MX"/>
        </w:rPr>
        <w:t>s</w:t>
      </w:r>
      <w:r w:rsidR="000F5371" w:rsidRPr="00433F7F">
        <w:rPr>
          <w:rFonts w:ascii="Arial" w:hAnsi="Arial" w:cs="Arial"/>
          <w:sz w:val="24"/>
          <w:szCs w:val="24"/>
          <w:lang w:val="es-MX"/>
        </w:rPr>
        <w:t xml:space="preserve"> Humanos (</w:t>
      </w:r>
      <w:r w:rsidR="000F5371" w:rsidRPr="00433F7F">
        <w:rPr>
          <w:rFonts w:ascii="Arial" w:hAnsi="Arial" w:cs="Arial"/>
          <w:i/>
          <w:sz w:val="24"/>
          <w:szCs w:val="24"/>
          <w:lang w:val="es-MX"/>
        </w:rPr>
        <w:t>en adelante Co</w:t>
      </w:r>
      <w:r w:rsidR="00D5491A" w:rsidRPr="00433F7F">
        <w:rPr>
          <w:rFonts w:ascii="Arial" w:hAnsi="Arial" w:cs="Arial"/>
          <w:i/>
          <w:sz w:val="24"/>
          <w:szCs w:val="24"/>
          <w:lang w:val="es-MX"/>
        </w:rPr>
        <w:t>rte I</w:t>
      </w:r>
      <w:r w:rsidR="000F5371" w:rsidRPr="00433F7F">
        <w:rPr>
          <w:rFonts w:ascii="Arial" w:hAnsi="Arial" w:cs="Arial"/>
          <w:i/>
          <w:sz w:val="24"/>
          <w:szCs w:val="24"/>
          <w:lang w:val="es-MX"/>
        </w:rPr>
        <w:t>DH</w:t>
      </w:r>
      <w:r w:rsidR="000F5371" w:rsidRPr="00433F7F">
        <w:rPr>
          <w:rFonts w:ascii="Arial" w:hAnsi="Arial" w:cs="Arial"/>
          <w:sz w:val="24"/>
          <w:szCs w:val="24"/>
          <w:lang w:val="es-MX"/>
        </w:rPr>
        <w:t xml:space="preserve">) </w:t>
      </w:r>
      <w:r w:rsidR="00973BCB" w:rsidRPr="00433F7F">
        <w:rPr>
          <w:rFonts w:ascii="Arial" w:hAnsi="Arial" w:cs="Arial"/>
          <w:sz w:val="24"/>
          <w:szCs w:val="24"/>
          <w:lang w:val="es-MX"/>
        </w:rPr>
        <w:t xml:space="preserve">donde se </w:t>
      </w:r>
      <w:r w:rsidR="005C58C1" w:rsidRPr="00433F7F">
        <w:rPr>
          <w:rFonts w:ascii="Arial" w:hAnsi="Arial" w:cs="Arial"/>
          <w:sz w:val="24"/>
          <w:szCs w:val="24"/>
          <w:lang w:val="es-MX"/>
        </w:rPr>
        <w:t>ha</w:t>
      </w:r>
      <w:r w:rsidR="00A84BF0" w:rsidRPr="00433F7F">
        <w:rPr>
          <w:rFonts w:ascii="Arial" w:hAnsi="Arial" w:cs="Arial"/>
          <w:sz w:val="24"/>
          <w:szCs w:val="24"/>
          <w:lang w:val="es-MX"/>
        </w:rPr>
        <w:t xml:space="preserve"> ampliado</w:t>
      </w:r>
      <w:r w:rsidR="005C58C1" w:rsidRPr="00433F7F">
        <w:rPr>
          <w:rFonts w:ascii="Arial" w:hAnsi="Arial" w:cs="Arial"/>
          <w:sz w:val="24"/>
          <w:szCs w:val="24"/>
          <w:lang w:val="es-MX"/>
        </w:rPr>
        <w:t xml:space="preserve"> la protección de dicho</w:t>
      </w:r>
      <w:r w:rsidR="002E3D90" w:rsidRPr="00433F7F">
        <w:rPr>
          <w:rFonts w:ascii="Arial" w:hAnsi="Arial" w:cs="Arial"/>
          <w:sz w:val="24"/>
          <w:szCs w:val="24"/>
          <w:lang w:val="es-MX"/>
        </w:rPr>
        <w:t xml:space="preserve"> derecho</w:t>
      </w:r>
      <w:r w:rsidR="00A84BF0" w:rsidRPr="00433F7F">
        <w:rPr>
          <w:rFonts w:ascii="Arial" w:hAnsi="Arial" w:cs="Arial"/>
          <w:sz w:val="24"/>
          <w:szCs w:val="24"/>
          <w:lang w:val="es-MX"/>
        </w:rPr>
        <w:t xml:space="preserve"> </w:t>
      </w:r>
      <w:r w:rsidR="00830A62">
        <w:rPr>
          <w:rFonts w:ascii="Arial" w:hAnsi="Arial" w:cs="Arial"/>
          <w:sz w:val="24"/>
          <w:szCs w:val="24"/>
          <w:lang w:val="es-MX"/>
        </w:rPr>
        <w:t>debido a las interpretaciones judiciales</w:t>
      </w:r>
      <w:r w:rsidR="005C58C1" w:rsidRPr="00433F7F">
        <w:rPr>
          <w:rFonts w:ascii="Arial" w:hAnsi="Arial" w:cs="Arial"/>
          <w:sz w:val="24"/>
          <w:szCs w:val="24"/>
          <w:lang w:val="es-MX"/>
        </w:rPr>
        <w:t xml:space="preserve">, </w:t>
      </w:r>
      <w:r w:rsidR="00557235" w:rsidRPr="00433F7F">
        <w:rPr>
          <w:rFonts w:ascii="Arial" w:hAnsi="Arial" w:cs="Arial"/>
          <w:sz w:val="24"/>
          <w:szCs w:val="24"/>
          <w:lang w:val="es-MX"/>
        </w:rPr>
        <w:t xml:space="preserve">todo ello </w:t>
      </w:r>
      <w:r w:rsidR="005C58C1" w:rsidRPr="00433F7F">
        <w:rPr>
          <w:rFonts w:ascii="Arial" w:hAnsi="Arial" w:cs="Arial"/>
          <w:sz w:val="24"/>
          <w:szCs w:val="24"/>
          <w:lang w:val="es-MX"/>
        </w:rPr>
        <w:t xml:space="preserve">con el fin de </w:t>
      </w:r>
      <w:r w:rsidR="00557235" w:rsidRPr="00433F7F">
        <w:rPr>
          <w:rFonts w:ascii="Arial" w:hAnsi="Arial" w:cs="Arial"/>
          <w:sz w:val="24"/>
          <w:szCs w:val="24"/>
          <w:lang w:val="es-MX"/>
        </w:rPr>
        <w:t>difundir</w:t>
      </w:r>
      <w:r w:rsidR="005C58C1" w:rsidRPr="00433F7F">
        <w:rPr>
          <w:rFonts w:ascii="Arial" w:hAnsi="Arial" w:cs="Arial"/>
          <w:sz w:val="24"/>
          <w:szCs w:val="24"/>
          <w:lang w:val="es-MX"/>
        </w:rPr>
        <w:t xml:space="preserve"> alguno</w:t>
      </w:r>
      <w:r w:rsidR="00557235" w:rsidRPr="00433F7F">
        <w:rPr>
          <w:rFonts w:ascii="Arial" w:hAnsi="Arial" w:cs="Arial"/>
          <w:sz w:val="24"/>
          <w:szCs w:val="24"/>
          <w:lang w:val="es-MX"/>
        </w:rPr>
        <w:t>s</w:t>
      </w:r>
      <w:r w:rsidR="005C58C1" w:rsidRPr="00433F7F">
        <w:rPr>
          <w:rFonts w:ascii="Arial" w:hAnsi="Arial" w:cs="Arial"/>
          <w:sz w:val="24"/>
          <w:szCs w:val="24"/>
          <w:lang w:val="es-MX"/>
        </w:rPr>
        <w:t xml:space="preserve"> de los criterios contemporáneos.</w:t>
      </w:r>
      <w:r w:rsidR="00B42B95" w:rsidRPr="00433F7F">
        <w:rPr>
          <w:rFonts w:ascii="Arial" w:hAnsi="Arial" w:cs="Arial"/>
          <w:sz w:val="24"/>
          <w:szCs w:val="24"/>
          <w:lang w:val="es-MX"/>
        </w:rPr>
        <w:t xml:space="preserve"> </w:t>
      </w:r>
    </w:p>
    <w:p w14:paraId="2CC04C5B" w14:textId="0BA058E8" w:rsidR="00973BCB" w:rsidRPr="00433F7F" w:rsidRDefault="00973BCB" w:rsidP="00433F7F">
      <w:pPr>
        <w:spacing w:after="200" w:line="360" w:lineRule="auto"/>
        <w:ind w:left="720" w:right="720"/>
        <w:jc w:val="both"/>
        <w:rPr>
          <w:rFonts w:ascii="Arial" w:hAnsi="Arial" w:cs="Arial"/>
          <w:bCs/>
          <w:sz w:val="24"/>
          <w:szCs w:val="24"/>
          <w:lang w:val="es-MX"/>
        </w:rPr>
      </w:pPr>
      <w:r w:rsidRPr="00433F7F">
        <w:rPr>
          <w:rFonts w:ascii="Arial" w:hAnsi="Arial" w:cs="Arial"/>
          <w:sz w:val="24"/>
          <w:szCs w:val="24"/>
          <w:lang w:val="es-MX"/>
        </w:rPr>
        <w:t xml:space="preserve">Este </w:t>
      </w:r>
      <w:r w:rsidR="000F5371" w:rsidRPr="00433F7F">
        <w:rPr>
          <w:rFonts w:ascii="Arial" w:hAnsi="Arial" w:cs="Arial"/>
          <w:sz w:val="24"/>
          <w:szCs w:val="24"/>
          <w:lang w:val="es-MX"/>
        </w:rPr>
        <w:t xml:space="preserve">análisis </w:t>
      </w:r>
      <w:r w:rsidRPr="00433F7F">
        <w:rPr>
          <w:rFonts w:ascii="Arial" w:hAnsi="Arial" w:cs="Arial"/>
          <w:sz w:val="24"/>
          <w:szCs w:val="24"/>
          <w:lang w:val="es-MX"/>
        </w:rPr>
        <w:t>atiende</w:t>
      </w:r>
      <w:r w:rsidR="000F5371" w:rsidRPr="00433F7F">
        <w:rPr>
          <w:rFonts w:ascii="Arial" w:hAnsi="Arial" w:cs="Arial"/>
          <w:sz w:val="24"/>
          <w:szCs w:val="24"/>
          <w:lang w:val="es-MX"/>
        </w:rPr>
        <w:t xml:space="preserve"> dos grandes supuestos: </w:t>
      </w:r>
      <w:r w:rsidR="00E51ACD" w:rsidRPr="00433F7F">
        <w:rPr>
          <w:rFonts w:ascii="Arial" w:hAnsi="Arial" w:cs="Arial"/>
          <w:sz w:val="24"/>
          <w:szCs w:val="24"/>
          <w:lang w:val="es-MX"/>
        </w:rPr>
        <w:t>1) la protección de la presunción durante el desarrollo del proceso penal</w:t>
      </w:r>
      <w:r w:rsidR="00830A62">
        <w:rPr>
          <w:rFonts w:ascii="Arial" w:hAnsi="Arial" w:cs="Arial"/>
          <w:sz w:val="24"/>
          <w:szCs w:val="24"/>
          <w:lang w:val="es-MX"/>
        </w:rPr>
        <w:t>, advertida tanto en el</w:t>
      </w:r>
      <w:r w:rsidR="00E51ACD" w:rsidRPr="00433F7F">
        <w:rPr>
          <w:rFonts w:ascii="Arial" w:hAnsi="Arial" w:cs="Arial"/>
          <w:sz w:val="24"/>
          <w:szCs w:val="24"/>
          <w:lang w:val="es-MX"/>
        </w:rPr>
        <w:t xml:space="preserve"> </w:t>
      </w:r>
      <w:r w:rsidR="00D5491A" w:rsidRPr="00433F7F">
        <w:rPr>
          <w:rFonts w:ascii="Arial" w:hAnsi="Arial" w:cs="Arial"/>
          <w:sz w:val="24"/>
          <w:szCs w:val="24"/>
          <w:lang w:val="es-MX"/>
        </w:rPr>
        <w:t>t</w:t>
      </w:r>
      <w:r w:rsidR="00E51ACD" w:rsidRPr="00433F7F">
        <w:rPr>
          <w:rFonts w:ascii="Arial" w:hAnsi="Arial" w:cs="Arial"/>
          <w:sz w:val="24"/>
          <w:szCs w:val="24"/>
          <w:lang w:val="es-MX"/>
        </w:rPr>
        <w:t xml:space="preserve">rato procesal </w:t>
      </w:r>
      <w:r w:rsidR="00830A62">
        <w:rPr>
          <w:rFonts w:ascii="Arial" w:hAnsi="Arial" w:cs="Arial"/>
          <w:sz w:val="24"/>
          <w:szCs w:val="24"/>
          <w:lang w:val="es-MX"/>
        </w:rPr>
        <w:t>como en el</w:t>
      </w:r>
      <w:r w:rsidR="00D5491A" w:rsidRPr="00433F7F">
        <w:rPr>
          <w:rFonts w:ascii="Arial" w:hAnsi="Arial" w:cs="Arial"/>
          <w:sz w:val="24"/>
          <w:szCs w:val="24"/>
          <w:lang w:val="es-MX"/>
        </w:rPr>
        <w:t xml:space="preserve"> </w:t>
      </w:r>
      <w:r w:rsidR="00B26EEF" w:rsidRPr="00433F7F">
        <w:rPr>
          <w:rFonts w:ascii="Arial" w:hAnsi="Arial" w:cs="Arial"/>
          <w:sz w:val="24"/>
          <w:szCs w:val="24"/>
          <w:lang w:val="es-MX"/>
        </w:rPr>
        <w:t>valor probatorio</w:t>
      </w:r>
      <w:r w:rsidR="00433F7F" w:rsidRPr="00433F7F">
        <w:rPr>
          <w:rFonts w:ascii="Arial" w:hAnsi="Arial" w:cs="Arial"/>
          <w:sz w:val="24"/>
          <w:szCs w:val="24"/>
          <w:lang w:val="es-MX"/>
        </w:rPr>
        <w:t>;</w:t>
      </w:r>
      <w:r w:rsidR="00E51ACD" w:rsidRPr="00433F7F">
        <w:rPr>
          <w:rFonts w:ascii="Arial" w:hAnsi="Arial" w:cs="Arial"/>
          <w:sz w:val="24"/>
          <w:szCs w:val="24"/>
          <w:lang w:val="es-MX"/>
        </w:rPr>
        <w:t xml:space="preserve"> 2) la protección de la presunción se extiende con posterioridad al desarrollo proceso penal; esta se resguarda una vez que se hizo el juzgamiento en contra de la persona</w:t>
      </w:r>
      <w:r w:rsidR="00FE3C34" w:rsidRPr="00433F7F">
        <w:rPr>
          <w:rFonts w:ascii="Arial" w:hAnsi="Arial" w:cs="Arial"/>
          <w:sz w:val="24"/>
          <w:szCs w:val="24"/>
          <w:lang w:val="es-MX"/>
        </w:rPr>
        <w:t>,</w:t>
      </w:r>
      <w:r w:rsidR="00E51ACD" w:rsidRPr="00433F7F">
        <w:rPr>
          <w:rFonts w:ascii="Arial" w:hAnsi="Arial" w:cs="Arial"/>
          <w:sz w:val="24"/>
          <w:szCs w:val="24"/>
          <w:lang w:val="es-MX"/>
        </w:rPr>
        <w:t xml:space="preserve"> y </w:t>
      </w:r>
      <w:r w:rsidR="00FE3C34" w:rsidRPr="00433F7F">
        <w:rPr>
          <w:rFonts w:ascii="Arial" w:hAnsi="Arial" w:cs="Arial"/>
          <w:sz w:val="24"/>
          <w:szCs w:val="24"/>
          <w:lang w:val="es-MX"/>
        </w:rPr>
        <w:lastRenderedPageBreak/>
        <w:t>ésta última</w:t>
      </w:r>
      <w:r w:rsidR="00E51ACD" w:rsidRPr="00433F7F">
        <w:rPr>
          <w:rFonts w:ascii="Arial" w:hAnsi="Arial" w:cs="Arial"/>
          <w:sz w:val="24"/>
          <w:szCs w:val="24"/>
          <w:lang w:val="es-MX"/>
        </w:rPr>
        <w:t xml:space="preserve"> ha cumplido condena</w:t>
      </w:r>
      <w:r w:rsidR="00FE3C34" w:rsidRPr="00433F7F">
        <w:rPr>
          <w:rFonts w:ascii="Arial" w:hAnsi="Arial" w:cs="Arial"/>
          <w:sz w:val="24"/>
          <w:szCs w:val="24"/>
          <w:lang w:val="es-MX"/>
        </w:rPr>
        <w:t>,</w:t>
      </w:r>
      <w:r w:rsidR="00E51ACD" w:rsidRPr="00433F7F">
        <w:rPr>
          <w:rFonts w:ascii="Arial" w:hAnsi="Arial" w:cs="Arial"/>
          <w:sz w:val="24"/>
          <w:szCs w:val="24"/>
          <w:lang w:val="es-MX"/>
        </w:rPr>
        <w:t xml:space="preserve"> o</w:t>
      </w:r>
      <w:r w:rsidR="00FE3C34" w:rsidRPr="00433F7F">
        <w:rPr>
          <w:rFonts w:ascii="Arial" w:hAnsi="Arial" w:cs="Arial"/>
          <w:sz w:val="24"/>
          <w:szCs w:val="24"/>
          <w:lang w:val="es-MX"/>
        </w:rPr>
        <w:t xml:space="preserve"> bien, se encuentra </w:t>
      </w:r>
      <w:r w:rsidR="00E51ACD" w:rsidRPr="00433F7F">
        <w:rPr>
          <w:rFonts w:ascii="Arial" w:hAnsi="Arial" w:cs="Arial"/>
          <w:sz w:val="24"/>
          <w:szCs w:val="24"/>
          <w:lang w:val="es-MX"/>
        </w:rPr>
        <w:t>libre de cargos</w:t>
      </w:r>
      <w:r w:rsidR="00FE3C34" w:rsidRPr="00433F7F">
        <w:rPr>
          <w:rFonts w:ascii="Arial" w:hAnsi="Arial" w:cs="Arial"/>
          <w:sz w:val="24"/>
          <w:szCs w:val="24"/>
          <w:lang w:val="es-MX"/>
        </w:rPr>
        <w:t xml:space="preserve"> y se </w:t>
      </w:r>
      <w:r w:rsidR="00E51ACD" w:rsidRPr="00433F7F">
        <w:rPr>
          <w:rFonts w:ascii="Arial" w:hAnsi="Arial" w:cs="Arial"/>
          <w:sz w:val="24"/>
          <w:szCs w:val="24"/>
          <w:lang w:val="es-MX"/>
        </w:rPr>
        <w:t>presenta afectación a las libertades que debe de gozar</w:t>
      </w:r>
      <w:r w:rsidR="00E51ACD" w:rsidRPr="00433F7F">
        <w:rPr>
          <w:rStyle w:val="Refdenotaalpie"/>
          <w:rFonts w:ascii="Arial" w:hAnsi="Arial" w:cs="Arial"/>
          <w:sz w:val="24"/>
          <w:szCs w:val="24"/>
          <w:lang w:val="es-MX"/>
        </w:rPr>
        <w:footnoteReference w:id="2"/>
      </w:r>
      <w:r w:rsidR="00E51ACD" w:rsidRPr="00433F7F">
        <w:rPr>
          <w:rFonts w:ascii="Arial" w:hAnsi="Arial" w:cs="Arial"/>
          <w:sz w:val="24"/>
          <w:szCs w:val="24"/>
          <w:lang w:val="es-MX"/>
        </w:rPr>
        <w:t xml:space="preserve">. </w:t>
      </w:r>
    </w:p>
    <w:p w14:paraId="7C41ADBC" w14:textId="77F3F8B2" w:rsidR="001066FC" w:rsidRPr="00433F7F" w:rsidRDefault="00A44AAB" w:rsidP="00433F7F">
      <w:pPr>
        <w:spacing w:after="200" w:line="360" w:lineRule="auto"/>
        <w:ind w:left="720" w:right="720"/>
        <w:jc w:val="both"/>
        <w:rPr>
          <w:rFonts w:ascii="Arial" w:hAnsi="Arial" w:cs="Arial"/>
          <w:bCs/>
          <w:sz w:val="24"/>
          <w:szCs w:val="24"/>
          <w:lang w:val="es-MX"/>
        </w:rPr>
      </w:pPr>
      <w:r w:rsidRPr="00433F7F">
        <w:rPr>
          <w:rFonts w:ascii="Arial" w:hAnsi="Arial" w:cs="Arial"/>
          <w:bCs/>
          <w:sz w:val="24"/>
          <w:szCs w:val="24"/>
          <w:lang w:val="es-MX"/>
        </w:rPr>
        <w:t>Desafortunadamente, el trato</w:t>
      </w:r>
      <w:r w:rsidR="00FE3C34" w:rsidRPr="00433F7F">
        <w:rPr>
          <w:rFonts w:ascii="Arial" w:hAnsi="Arial" w:cs="Arial"/>
          <w:bCs/>
          <w:sz w:val="24"/>
          <w:szCs w:val="24"/>
          <w:lang w:val="es-MX"/>
        </w:rPr>
        <w:t xml:space="preserve"> procesal</w:t>
      </w:r>
      <w:r w:rsidRPr="00433F7F">
        <w:rPr>
          <w:rFonts w:ascii="Arial" w:hAnsi="Arial" w:cs="Arial"/>
          <w:bCs/>
          <w:sz w:val="24"/>
          <w:szCs w:val="24"/>
          <w:lang w:val="es-MX"/>
        </w:rPr>
        <w:t xml:space="preserve"> que recibe</w:t>
      </w:r>
      <w:r w:rsidR="001066FC" w:rsidRPr="00433F7F">
        <w:rPr>
          <w:rFonts w:ascii="Arial" w:hAnsi="Arial" w:cs="Arial"/>
          <w:bCs/>
          <w:sz w:val="24"/>
          <w:szCs w:val="24"/>
          <w:lang w:val="es-MX"/>
        </w:rPr>
        <w:t xml:space="preserve"> la persona debe ser protegido </w:t>
      </w:r>
      <w:r w:rsidR="00830A62">
        <w:rPr>
          <w:rFonts w:ascii="Arial" w:hAnsi="Arial" w:cs="Arial"/>
          <w:bCs/>
          <w:sz w:val="24"/>
          <w:szCs w:val="24"/>
          <w:lang w:val="es-MX"/>
        </w:rPr>
        <w:t xml:space="preserve">al momento </w:t>
      </w:r>
      <w:r w:rsidR="001066FC" w:rsidRPr="00433F7F">
        <w:rPr>
          <w:rFonts w:ascii="Arial" w:hAnsi="Arial" w:cs="Arial"/>
          <w:bCs/>
          <w:sz w:val="24"/>
          <w:szCs w:val="24"/>
          <w:lang w:val="es-MX"/>
        </w:rPr>
        <w:t>de investigar, acusar, juzgar y después de cumplir condena.</w:t>
      </w:r>
      <w:r w:rsidR="002348A8" w:rsidRPr="00433F7F">
        <w:rPr>
          <w:rFonts w:ascii="Arial" w:hAnsi="Arial" w:cs="Arial"/>
          <w:bCs/>
          <w:sz w:val="24"/>
          <w:szCs w:val="24"/>
          <w:lang w:val="es-MX"/>
        </w:rPr>
        <w:t xml:space="preserve"> </w:t>
      </w:r>
      <w:r w:rsidR="001066FC" w:rsidRPr="00433F7F">
        <w:rPr>
          <w:rFonts w:ascii="Arial" w:hAnsi="Arial" w:cs="Arial"/>
          <w:bCs/>
          <w:sz w:val="24"/>
          <w:szCs w:val="24"/>
          <w:lang w:val="es-MX"/>
        </w:rPr>
        <w:t>Tiene como fin establecer límites al Estado</w:t>
      </w:r>
      <w:r w:rsidR="00FE3C34" w:rsidRPr="00433F7F">
        <w:rPr>
          <w:rFonts w:ascii="Arial" w:hAnsi="Arial" w:cs="Arial"/>
          <w:bCs/>
          <w:sz w:val="24"/>
          <w:szCs w:val="24"/>
          <w:lang w:val="es-MX"/>
        </w:rPr>
        <w:t>,</w:t>
      </w:r>
      <w:r w:rsidR="001066FC" w:rsidRPr="00433F7F">
        <w:rPr>
          <w:rFonts w:ascii="Arial" w:hAnsi="Arial" w:cs="Arial"/>
          <w:bCs/>
          <w:sz w:val="24"/>
          <w:szCs w:val="24"/>
          <w:lang w:val="es-MX"/>
        </w:rPr>
        <w:t xml:space="preserve"> de lo contrario, se podrían establecer decisiones arbitrarias que exced</w:t>
      </w:r>
      <w:r w:rsidR="00830A62">
        <w:rPr>
          <w:rFonts w:ascii="Arial" w:hAnsi="Arial" w:cs="Arial"/>
          <w:bCs/>
          <w:sz w:val="24"/>
          <w:szCs w:val="24"/>
          <w:lang w:val="es-MX"/>
        </w:rPr>
        <w:t>erían</w:t>
      </w:r>
      <w:r w:rsidR="001066FC" w:rsidRPr="00433F7F">
        <w:rPr>
          <w:rFonts w:ascii="Arial" w:hAnsi="Arial" w:cs="Arial"/>
          <w:bCs/>
          <w:sz w:val="24"/>
          <w:szCs w:val="24"/>
          <w:lang w:val="es-MX"/>
        </w:rPr>
        <w:t xml:space="preserve"> los límites establecidos por el Estado de Derecho. </w:t>
      </w:r>
      <w:r w:rsidR="00830A62">
        <w:rPr>
          <w:rFonts w:ascii="Arial" w:hAnsi="Arial" w:cs="Arial"/>
          <w:bCs/>
          <w:sz w:val="24"/>
          <w:szCs w:val="24"/>
          <w:lang w:val="es-MX"/>
        </w:rPr>
        <w:t>De tod</w:t>
      </w:r>
      <w:r w:rsidR="001F6698">
        <w:rPr>
          <w:rFonts w:ascii="Arial" w:hAnsi="Arial" w:cs="Arial"/>
          <w:bCs/>
          <w:sz w:val="24"/>
          <w:szCs w:val="24"/>
          <w:lang w:val="es-MX"/>
        </w:rPr>
        <w:t>as</w:t>
      </w:r>
      <w:r w:rsidR="00830A62">
        <w:rPr>
          <w:rFonts w:ascii="Arial" w:hAnsi="Arial" w:cs="Arial"/>
          <w:bCs/>
          <w:sz w:val="24"/>
          <w:szCs w:val="24"/>
          <w:lang w:val="es-MX"/>
        </w:rPr>
        <w:t xml:space="preserve"> aquellas</w:t>
      </w:r>
      <w:r w:rsidR="001066FC" w:rsidRPr="00433F7F">
        <w:rPr>
          <w:rFonts w:ascii="Arial" w:hAnsi="Arial" w:cs="Arial"/>
          <w:bCs/>
          <w:sz w:val="24"/>
          <w:szCs w:val="24"/>
          <w:lang w:val="es-MX"/>
        </w:rPr>
        <w:t xml:space="preserve"> garantías judiciales que se deben vigilar</w:t>
      </w:r>
      <w:r w:rsidR="00433F7F" w:rsidRPr="00433F7F">
        <w:rPr>
          <w:rFonts w:ascii="Arial" w:hAnsi="Arial" w:cs="Arial"/>
          <w:bCs/>
          <w:sz w:val="24"/>
          <w:szCs w:val="24"/>
          <w:lang w:val="es-MX"/>
        </w:rPr>
        <w:t xml:space="preserve"> </w:t>
      </w:r>
      <w:r w:rsidR="001066FC" w:rsidRPr="00433F7F">
        <w:rPr>
          <w:rFonts w:ascii="Arial" w:hAnsi="Arial" w:cs="Arial"/>
          <w:bCs/>
          <w:sz w:val="24"/>
          <w:szCs w:val="24"/>
          <w:lang w:val="es-MX"/>
        </w:rPr>
        <w:t xml:space="preserve">y </w:t>
      </w:r>
      <w:r w:rsidR="00830A62">
        <w:rPr>
          <w:rFonts w:ascii="Arial" w:hAnsi="Arial" w:cs="Arial"/>
          <w:bCs/>
          <w:sz w:val="24"/>
          <w:szCs w:val="24"/>
          <w:lang w:val="es-MX"/>
        </w:rPr>
        <w:t xml:space="preserve">respetar, de lo contrario, </w:t>
      </w:r>
      <w:r w:rsidR="001066FC" w:rsidRPr="00433F7F">
        <w:rPr>
          <w:rFonts w:ascii="Arial" w:hAnsi="Arial" w:cs="Arial"/>
          <w:bCs/>
          <w:sz w:val="24"/>
          <w:szCs w:val="24"/>
          <w:lang w:val="es-MX"/>
        </w:rPr>
        <w:t>estaríamos ante la presencia de un órgano acusador arbitrario sin contrapeso en sus acciones.</w:t>
      </w:r>
    </w:p>
    <w:p w14:paraId="55BAAE84" w14:textId="24785289" w:rsidR="00A44AAB" w:rsidRPr="00433F7F" w:rsidRDefault="001066FC" w:rsidP="00433F7F">
      <w:pPr>
        <w:spacing w:after="200" w:line="360" w:lineRule="auto"/>
        <w:ind w:left="720" w:right="720"/>
        <w:jc w:val="both"/>
        <w:rPr>
          <w:rFonts w:ascii="Arial" w:hAnsi="Arial" w:cs="Arial"/>
          <w:sz w:val="24"/>
          <w:szCs w:val="24"/>
          <w:lang w:val="es-MX"/>
        </w:rPr>
      </w:pPr>
      <w:r w:rsidRPr="00433F7F">
        <w:rPr>
          <w:rFonts w:ascii="Arial" w:hAnsi="Arial" w:cs="Arial"/>
          <w:bCs/>
          <w:sz w:val="24"/>
          <w:szCs w:val="24"/>
          <w:lang w:val="es-MX"/>
        </w:rPr>
        <w:t xml:space="preserve">Además de la afectación de la protección de inocencia, se pueden dar supuestos que </w:t>
      </w:r>
      <w:r w:rsidR="00A44AAB" w:rsidRPr="00433F7F">
        <w:rPr>
          <w:rFonts w:ascii="Arial" w:hAnsi="Arial" w:cs="Arial"/>
          <w:bCs/>
          <w:sz w:val="24"/>
          <w:szCs w:val="24"/>
          <w:lang w:val="es-MX"/>
        </w:rPr>
        <w:t>afect</w:t>
      </w:r>
      <w:r w:rsidRPr="00433F7F">
        <w:rPr>
          <w:rFonts w:ascii="Arial" w:hAnsi="Arial" w:cs="Arial"/>
          <w:bCs/>
          <w:sz w:val="24"/>
          <w:szCs w:val="24"/>
          <w:lang w:val="es-MX"/>
        </w:rPr>
        <w:t>en</w:t>
      </w:r>
      <w:r w:rsidR="00A44AAB" w:rsidRPr="00433F7F">
        <w:rPr>
          <w:rFonts w:ascii="Arial" w:hAnsi="Arial" w:cs="Arial"/>
          <w:bCs/>
          <w:sz w:val="24"/>
          <w:szCs w:val="24"/>
          <w:lang w:val="es-MX"/>
        </w:rPr>
        <w:t xml:space="preserve"> otros derechos como la no discriminación, la igualdad, la vida privada, el honor, derecho a laborar, </w:t>
      </w:r>
      <w:r w:rsidR="00A70257" w:rsidRPr="00433F7F">
        <w:rPr>
          <w:rFonts w:ascii="Arial" w:hAnsi="Arial" w:cs="Arial"/>
          <w:bCs/>
          <w:sz w:val="24"/>
          <w:szCs w:val="24"/>
          <w:lang w:val="es-MX"/>
        </w:rPr>
        <w:t>derechos políticos como son</w:t>
      </w:r>
      <w:r w:rsidR="00A70257" w:rsidRPr="00433F7F">
        <w:rPr>
          <w:rFonts w:ascii="Arial" w:hAnsi="Arial" w:cs="Arial"/>
          <w:sz w:val="24"/>
          <w:szCs w:val="24"/>
          <w:lang w:val="es-MX"/>
        </w:rPr>
        <w:t>: el derecho al acceso a cargos públicos, el derecho al sufragio pasivo, el derecho al voto, en general, a los derechos potestativos en los que se manifiesta la autonomía política y sobre los que se fundan la representación y la democracia política</w:t>
      </w:r>
      <w:r w:rsidR="00FE3C34" w:rsidRPr="00433F7F">
        <w:rPr>
          <w:rStyle w:val="Refdenotaalpie"/>
          <w:rFonts w:ascii="Arial" w:hAnsi="Arial" w:cs="Arial"/>
          <w:sz w:val="24"/>
          <w:szCs w:val="24"/>
          <w:lang w:val="es-MX"/>
        </w:rPr>
        <w:footnoteReference w:id="3"/>
      </w:r>
      <w:r w:rsidR="00A70257" w:rsidRPr="00433F7F">
        <w:rPr>
          <w:rFonts w:ascii="Arial" w:hAnsi="Arial" w:cs="Arial"/>
          <w:sz w:val="24"/>
          <w:szCs w:val="24"/>
          <w:lang w:val="es-MX"/>
        </w:rPr>
        <w:t>.</w:t>
      </w:r>
      <w:r w:rsidR="00B42B95" w:rsidRPr="00433F7F">
        <w:rPr>
          <w:rFonts w:ascii="Arial" w:hAnsi="Arial" w:cs="Arial"/>
          <w:bCs/>
          <w:sz w:val="24"/>
          <w:szCs w:val="24"/>
          <w:lang w:val="es-MX"/>
        </w:rPr>
        <w:t xml:space="preserve"> </w:t>
      </w:r>
    </w:p>
    <w:p w14:paraId="4480ABD3" w14:textId="6AEF3B97" w:rsidR="00B26EEF" w:rsidRPr="00433F7F" w:rsidRDefault="0001110D" w:rsidP="00433F7F">
      <w:pPr>
        <w:pStyle w:val="Textonotapie"/>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Según Stumer, los antecedentes de la presunción de inocencia provienen de tiempos de los romanos</w:t>
      </w:r>
      <w:r w:rsidR="00433F7F" w:rsidRPr="00433F7F">
        <w:rPr>
          <w:rFonts w:ascii="Arial" w:hAnsi="Arial" w:cs="Arial"/>
          <w:color w:val="000000"/>
          <w:sz w:val="24"/>
          <w:szCs w:val="24"/>
          <w:lang w:val="es-MX"/>
        </w:rPr>
        <w:t xml:space="preserve"> </w:t>
      </w:r>
      <w:r w:rsidR="00433F7F" w:rsidRPr="000514FA">
        <w:rPr>
          <w:rFonts w:ascii="Arial" w:hAnsi="Arial" w:cs="Arial"/>
          <w:color w:val="000000"/>
          <w:sz w:val="24"/>
          <w:szCs w:val="24"/>
          <w:lang w:val="es-MX"/>
        </w:rPr>
        <w:t>y, desde entonces,</w:t>
      </w:r>
      <w:r w:rsidR="00433F7F" w:rsidRPr="00433F7F">
        <w:rPr>
          <w:rFonts w:ascii="Arial" w:hAnsi="Arial" w:cs="Arial"/>
          <w:color w:val="000000"/>
          <w:sz w:val="24"/>
          <w:szCs w:val="24"/>
          <w:lang w:val="es-MX"/>
        </w:rPr>
        <w:t xml:space="preserve"> </w:t>
      </w:r>
      <w:r w:rsidRPr="00433F7F">
        <w:rPr>
          <w:rFonts w:ascii="Arial" w:hAnsi="Arial" w:cs="Arial"/>
          <w:color w:val="000000"/>
          <w:sz w:val="24"/>
          <w:szCs w:val="24"/>
          <w:lang w:val="es-MX"/>
        </w:rPr>
        <w:t xml:space="preserve">la idea de la acusación iba ligada a probar las afirmaciones vertidas, asimismo, en el Código Justiniano, </w:t>
      </w:r>
      <w:r w:rsidRPr="000514FA">
        <w:rPr>
          <w:rFonts w:ascii="Arial" w:hAnsi="Arial" w:cs="Arial"/>
          <w:color w:val="000000"/>
          <w:sz w:val="24"/>
          <w:szCs w:val="24"/>
          <w:lang w:val="es-MX"/>
        </w:rPr>
        <w:t xml:space="preserve">se </w:t>
      </w:r>
      <w:r w:rsidR="000514FA" w:rsidRPr="000514FA">
        <w:rPr>
          <w:rFonts w:ascii="Arial" w:hAnsi="Arial" w:cs="Arial"/>
          <w:color w:val="000000"/>
          <w:sz w:val="24"/>
          <w:szCs w:val="24"/>
          <w:lang w:val="es-MX"/>
        </w:rPr>
        <w:t xml:space="preserve">estableció </w:t>
      </w:r>
      <w:r w:rsidRPr="000514FA">
        <w:rPr>
          <w:rFonts w:ascii="Arial" w:hAnsi="Arial" w:cs="Arial"/>
          <w:color w:val="000000"/>
          <w:sz w:val="24"/>
          <w:szCs w:val="24"/>
          <w:lang w:val="es-MX"/>
        </w:rPr>
        <w:t xml:space="preserve">que los </w:t>
      </w:r>
      <w:r w:rsidR="000514FA" w:rsidRPr="000514FA">
        <w:rPr>
          <w:rFonts w:ascii="Arial" w:hAnsi="Arial" w:cs="Arial"/>
          <w:color w:val="000000"/>
          <w:sz w:val="24"/>
          <w:szCs w:val="24"/>
          <w:lang w:val="es-MX"/>
        </w:rPr>
        <w:t xml:space="preserve">cargos debían ser presentados por los </w:t>
      </w:r>
      <w:r w:rsidR="000514FA" w:rsidRPr="000514FA">
        <w:rPr>
          <w:rFonts w:ascii="Arial" w:hAnsi="Arial" w:cs="Arial"/>
          <w:color w:val="000000"/>
          <w:sz w:val="24"/>
          <w:szCs w:val="24"/>
          <w:lang w:val="es-MX"/>
        </w:rPr>
        <w:lastRenderedPageBreak/>
        <w:t>acusad</w:t>
      </w:r>
      <w:r w:rsidRPr="000514FA">
        <w:rPr>
          <w:rFonts w:ascii="Arial" w:hAnsi="Arial" w:cs="Arial"/>
          <w:color w:val="000000"/>
          <w:sz w:val="24"/>
          <w:szCs w:val="24"/>
          <w:lang w:val="es-MX"/>
        </w:rPr>
        <w:t xml:space="preserve">ores </w:t>
      </w:r>
      <w:r w:rsidR="000514FA" w:rsidRPr="000514FA">
        <w:rPr>
          <w:rFonts w:ascii="Arial" w:hAnsi="Arial" w:cs="Arial"/>
          <w:color w:val="000000"/>
          <w:sz w:val="24"/>
          <w:szCs w:val="24"/>
          <w:lang w:val="es-MX"/>
        </w:rPr>
        <w:t xml:space="preserve">y había presunción hasta que se probara </w:t>
      </w:r>
      <w:r w:rsidR="000514FA">
        <w:rPr>
          <w:rFonts w:ascii="Arial" w:hAnsi="Arial" w:cs="Arial"/>
          <w:color w:val="000000"/>
          <w:sz w:val="24"/>
          <w:szCs w:val="24"/>
          <w:lang w:val="es-MX"/>
        </w:rPr>
        <w:t>culpabilidad mediante</w:t>
      </w:r>
      <w:r w:rsidRPr="00433F7F">
        <w:rPr>
          <w:rFonts w:ascii="Arial" w:hAnsi="Arial" w:cs="Arial"/>
          <w:color w:val="000000"/>
          <w:sz w:val="24"/>
          <w:szCs w:val="24"/>
          <w:lang w:val="es-MX"/>
        </w:rPr>
        <w:t xml:space="preserve"> testigos, documentos</w:t>
      </w:r>
      <w:r w:rsidR="000514FA">
        <w:rPr>
          <w:rFonts w:ascii="Arial" w:hAnsi="Arial" w:cs="Arial"/>
          <w:color w:val="000000"/>
          <w:sz w:val="24"/>
          <w:szCs w:val="24"/>
          <w:lang w:val="es-MX"/>
        </w:rPr>
        <w:t xml:space="preserve"> y </w:t>
      </w:r>
      <w:r w:rsidRPr="00433F7F">
        <w:rPr>
          <w:rFonts w:ascii="Arial" w:hAnsi="Arial" w:cs="Arial"/>
          <w:color w:val="000000"/>
          <w:sz w:val="24"/>
          <w:szCs w:val="24"/>
          <w:lang w:val="es-MX"/>
        </w:rPr>
        <w:t>evidencias indubitables</w:t>
      </w:r>
      <w:r w:rsidRPr="00433F7F">
        <w:rPr>
          <w:rStyle w:val="Refdenotaalpie"/>
          <w:rFonts w:ascii="Arial" w:hAnsi="Arial" w:cs="Arial"/>
          <w:color w:val="000000"/>
          <w:sz w:val="24"/>
          <w:szCs w:val="24"/>
          <w:lang w:val="es-MX"/>
        </w:rPr>
        <w:footnoteReference w:id="4"/>
      </w:r>
      <w:r w:rsidRPr="00433F7F">
        <w:rPr>
          <w:rFonts w:ascii="Arial" w:hAnsi="Arial" w:cs="Arial"/>
          <w:color w:val="000000"/>
          <w:sz w:val="24"/>
          <w:szCs w:val="24"/>
          <w:lang w:val="es-MX"/>
        </w:rPr>
        <w:t xml:space="preserve">. </w:t>
      </w:r>
    </w:p>
    <w:p w14:paraId="6F821845" w14:textId="46F259D4" w:rsidR="00B26EEF" w:rsidRPr="00433F7F" w:rsidRDefault="00B26EEF" w:rsidP="00433F7F">
      <w:pPr>
        <w:pStyle w:val="Textonotapie"/>
        <w:spacing w:line="360" w:lineRule="auto"/>
        <w:ind w:left="720" w:right="720"/>
        <w:jc w:val="both"/>
        <w:rPr>
          <w:rFonts w:ascii="Arial" w:hAnsi="Arial" w:cs="Arial"/>
          <w:sz w:val="24"/>
          <w:szCs w:val="24"/>
          <w:lang w:val="es-MX"/>
        </w:rPr>
      </w:pPr>
    </w:p>
    <w:p w14:paraId="420D9DA7" w14:textId="3DA904EB" w:rsidR="00433F7F" w:rsidRPr="00433F7F" w:rsidRDefault="009932F8"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E</w:t>
      </w:r>
      <w:r w:rsidR="003D7A87" w:rsidRPr="00433F7F">
        <w:rPr>
          <w:rFonts w:ascii="Arial" w:hAnsi="Arial" w:cs="Arial"/>
          <w:sz w:val="24"/>
          <w:szCs w:val="24"/>
          <w:lang w:val="es-MX"/>
        </w:rPr>
        <w:t>n México, e</w:t>
      </w:r>
      <w:r w:rsidRPr="00433F7F">
        <w:rPr>
          <w:rFonts w:ascii="Arial" w:hAnsi="Arial" w:cs="Arial"/>
          <w:sz w:val="24"/>
          <w:szCs w:val="24"/>
          <w:lang w:val="es-MX"/>
        </w:rPr>
        <w:t xml:space="preserve">l derecho a la presunción de inocencia está reconocido en el art. </w:t>
      </w:r>
      <w:r w:rsidR="0086732C" w:rsidRPr="00433F7F">
        <w:rPr>
          <w:rFonts w:ascii="Arial" w:hAnsi="Arial" w:cs="Arial"/>
          <w:sz w:val="24"/>
          <w:szCs w:val="24"/>
          <w:lang w:val="es-MX"/>
        </w:rPr>
        <w:t>20</w:t>
      </w:r>
      <w:r w:rsidRPr="00433F7F">
        <w:rPr>
          <w:rFonts w:ascii="Arial" w:hAnsi="Arial" w:cs="Arial"/>
          <w:sz w:val="24"/>
          <w:szCs w:val="24"/>
          <w:lang w:val="es-MX"/>
        </w:rPr>
        <w:t xml:space="preserve"> de la C</w:t>
      </w:r>
      <w:r w:rsidR="00286DF4">
        <w:rPr>
          <w:rFonts w:ascii="Arial" w:hAnsi="Arial" w:cs="Arial"/>
          <w:sz w:val="24"/>
          <w:szCs w:val="24"/>
          <w:lang w:val="es-MX"/>
        </w:rPr>
        <w:t>PEUM</w:t>
      </w:r>
      <w:r w:rsidRPr="00433F7F">
        <w:rPr>
          <w:rFonts w:ascii="Arial" w:hAnsi="Arial" w:cs="Arial"/>
          <w:sz w:val="24"/>
          <w:szCs w:val="24"/>
          <w:lang w:val="es-MX"/>
        </w:rPr>
        <w:t>, establece que hasta que se declare la culpabilidad la persona</w:t>
      </w:r>
      <w:r w:rsidR="00433F7F" w:rsidRPr="00433F7F">
        <w:rPr>
          <w:rFonts w:ascii="Arial" w:hAnsi="Arial" w:cs="Arial"/>
          <w:sz w:val="24"/>
          <w:szCs w:val="24"/>
          <w:lang w:val="es-MX"/>
        </w:rPr>
        <w:t>, esta</w:t>
      </w:r>
      <w:r w:rsidRPr="00433F7F">
        <w:rPr>
          <w:rFonts w:ascii="Arial" w:hAnsi="Arial" w:cs="Arial"/>
          <w:sz w:val="24"/>
          <w:szCs w:val="24"/>
          <w:lang w:val="es-MX"/>
        </w:rPr>
        <w:t xml:space="preserve"> debe ser considerada como inocente. Y</w:t>
      </w:r>
      <w:r w:rsidR="00433F7F" w:rsidRPr="00433F7F">
        <w:rPr>
          <w:rFonts w:ascii="Arial" w:hAnsi="Arial" w:cs="Arial"/>
          <w:sz w:val="24"/>
          <w:szCs w:val="24"/>
          <w:lang w:val="es-MX"/>
        </w:rPr>
        <w:t>,</w:t>
      </w:r>
      <w:r w:rsidRPr="00433F7F">
        <w:rPr>
          <w:rFonts w:ascii="Arial" w:hAnsi="Arial" w:cs="Arial"/>
          <w:sz w:val="24"/>
          <w:szCs w:val="24"/>
          <w:lang w:val="es-MX"/>
        </w:rPr>
        <w:t xml:space="preserve"> a la espera de tener la resolución judicial, es decir, durante el </w:t>
      </w:r>
      <w:r w:rsidR="00BD1441" w:rsidRPr="00433F7F">
        <w:rPr>
          <w:rFonts w:ascii="Arial" w:hAnsi="Arial" w:cs="Arial"/>
          <w:sz w:val="24"/>
          <w:szCs w:val="24"/>
          <w:lang w:val="es-MX"/>
        </w:rPr>
        <w:t xml:space="preserve">desarrollo del </w:t>
      </w:r>
      <w:r w:rsidRPr="00433F7F">
        <w:rPr>
          <w:rFonts w:ascii="Arial" w:hAnsi="Arial" w:cs="Arial"/>
          <w:sz w:val="24"/>
          <w:szCs w:val="24"/>
          <w:lang w:val="es-MX"/>
        </w:rPr>
        <w:t>proceso, la persona debe recibir trato de inocente. Esto</w:t>
      </w:r>
      <w:r w:rsidR="00FE3C34" w:rsidRPr="00433F7F">
        <w:rPr>
          <w:rFonts w:ascii="Arial" w:hAnsi="Arial" w:cs="Arial"/>
          <w:sz w:val="24"/>
          <w:szCs w:val="24"/>
          <w:lang w:val="es-MX"/>
        </w:rPr>
        <w:t>, puede</w:t>
      </w:r>
      <w:r w:rsidRPr="00433F7F">
        <w:rPr>
          <w:rFonts w:ascii="Arial" w:hAnsi="Arial" w:cs="Arial"/>
          <w:sz w:val="24"/>
          <w:szCs w:val="24"/>
          <w:lang w:val="es-MX"/>
        </w:rPr>
        <w:t xml:space="preserve"> supone</w:t>
      </w:r>
      <w:r w:rsidR="00FE3C34" w:rsidRPr="00433F7F">
        <w:rPr>
          <w:rFonts w:ascii="Arial" w:hAnsi="Arial" w:cs="Arial"/>
          <w:sz w:val="24"/>
          <w:szCs w:val="24"/>
          <w:lang w:val="es-MX"/>
        </w:rPr>
        <w:t>r</w:t>
      </w:r>
      <w:r w:rsidRPr="00433F7F">
        <w:rPr>
          <w:rFonts w:ascii="Arial" w:hAnsi="Arial" w:cs="Arial"/>
          <w:sz w:val="24"/>
          <w:szCs w:val="24"/>
          <w:lang w:val="es-MX"/>
        </w:rPr>
        <w:t xml:space="preserve"> </w:t>
      </w:r>
      <w:r w:rsidR="00BD1441" w:rsidRPr="00433F7F">
        <w:rPr>
          <w:rFonts w:ascii="Arial" w:hAnsi="Arial" w:cs="Arial"/>
          <w:sz w:val="24"/>
          <w:szCs w:val="24"/>
          <w:lang w:val="es-MX"/>
        </w:rPr>
        <w:t>el constreñimiento de</w:t>
      </w:r>
      <w:r w:rsidRPr="00433F7F">
        <w:rPr>
          <w:rFonts w:ascii="Arial" w:hAnsi="Arial" w:cs="Arial"/>
          <w:sz w:val="24"/>
          <w:szCs w:val="24"/>
          <w:lang w:val="es-MX"/>
        </w:rPr>
        <w:t xml:space="preserve"> </w:t>
      </w:r>
      <w:r w:rsidR="00A63B33" w:rsidRPr="00433F7F">
        <w:rPr>
          <w:rFonts w:ascii="Arial" w:hAnsi="Arial" w:cs="Arial"/>
          <w:sz w:val="24"/>
          <w:szCs w:val="24"/>
          <w:lang w:val="es-MX"/>
        </w:rPr>
        <w:t>algunos</w:t>
      </w:r>
      <w:r w:rsidRPr="00433F7F">
        <w:rPr>
          <w:rFonts w:ascii="Arial" w:hAnsi="Arial" w:cs="Arial"/>
          <w:sz w:val="24"/>
          <w:szCs w:val="24"/>
          <w:lang w:val="es-MX"/>
        </w:rPr>
        <w:t xml:space="preserve"> derechos civiles, políticos, sociales</w:t>
      </w:r>
      <w:r w:rsidR="00433F7F" w:rsidRPr="00433F7F">
        <w:rPr>
          <w:rFonts w:ascii="Arial" w:hAnsi="Arial" w:cs="Arial"/>
          <w:sz w:val="24"/>
          <w:szCs w:val="24"/>
          <w:lang w:val="es-MX"/>
        </w:rPr>
        <w:t xml:space="preserve"> y</w:t>
      </w:r>
      <w:r w:rsidR="00BD1441" w:rsidRPr="00433F7F">
        <w:rPr>
          <w:rFonts w:ascii="Arial" w:hAnsi="Arial" w:cs="Arial"/>
          <w:sz w:val="24"/>
          <w:szCs w:val="24"/>
          <w:lang w:val="es-MX"/>
        </w:rPr>
        <w:t xml:space="preserve"> laborales</w:t>
      </w:r>
      <w:r w:rsidR="00433F7F" w:rsidRPr="00433F7F">
        <w:rPr>
          <w:rFonts w:ascii="Arial" w:hAnsi="Arial" w:cs="Arial"/>
          <w:sz w:val="24"/>
          <w:szCs w:val="24"/>
          <w:lang w:val="es-MX"/>
        </w:rPr>
        <w:t>,</w:t>
      </w:r>
      <w:r w:rsidRPr="00433F7F">
        <w:rPr>
          <w:rFonts w:ascii="Arial" w:hAnsi="Arial" w:cs="Arial"/>
          <w:sz w:val="24"/>
          <w:szCs w:val="24"/>
          <w:lang w:val="es-MX"/>
        </w:rPr>
        <w:t xml:space="preserve"> entre otros</w:t>
      </w:r>
      <w:r w:rsidR="00433F7F" w:rsidRPr="00433F7F">
        <w:rPr>
          <w:rFonts w:ascii="Arial" w:hAnsi="Arial" w:cs="Arial"/>
          <w:sz w:val="24"/>
          <w:szCs w:val="24"/>
          <w:lang w:val="es-MX"/>
        </w:rPr>
        <w:t>, que</w:t>
      </w:r>
      <w:r w:rsidRPr="00433F7F">
        <w:rPr>
          <w:rFonts w:ascii="Arial" w:hAnsi="Arial" w:cs="Arial"/>
          <w:sz w:val="24"/>
          <w:szCs w:val="24"/>
          <w:lang w:val="es-MX"/>
        </w:rPr>
        <w:t xml:space="preserve"> pueden ser limitados si se somete al proceso</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e</w:t>
      </w:r>
      <w:r w:rsidRPr="00433F7F">
        <w:rPr>
          <w:rFonts w:ascii="Arial" w:hAnsi="Arial" w:cs="Arial"/>
          <w:sz w:val="24"/>
          <w:szCs w:val="24"/>
          <w:lang w:val="es-MX"/>
        </w:rPr>
        <w:t>n virtud de que</w:t>
      </w:r>
      <w:r w:rsidR="00BD1441" w:rsidRPr="00433F7F">
        <w:rPr>
          <w:rFonts w:ascii="Arial" w:hAnsi="Arial" w:cs="Arial"/>
          <w:sz w:val="24"/>
          <w:szCs w:val="24"/>
          <w:lang w:val="es-MX"/>
        </w:rPr>
        <w:t>, como</w:t>
      </w:r>
      <w:r w:rsidRPr="00433F7F">
        <w:rPr>
          <w:rFonts w:ascii="Arial" w:hAnsi="Arial" w:cs="Arial"/>
          <w:sz w:val="24"/>
          <w:szCs w:val="24"/>
          <w:lang w:val="es-MX"/>
        </w:rPr>
        <w:t xml:space="preserve"> se cuenta con indicios que sugieran una posible probabilidad en la comisión de hechos delictivos</w:t>
      </w:r>
      <w:r w:rsidR="00433F7F" w:rsidRPr="00433F7F">
        <w:rPr>
          <w:rFonts w:ascii="Arial" w:hAnsi="Arial" w:cs="Arial"/>
          <w:sz w:val="24"/>
          <w:szCs w:val="24"/>
          <w:lang w:val="es-MX"/>
        </w:rPr>
        <w:t>. S</w:t>
      </w:r>
      <w:r w:rsidR="00BD1441" w:rsidRPr="00433F7F">
        <w:rPr>
          <w:rFonts w:ascii="Arial" w:hAnsi="Arial" w:cs="Arial"/>
          <w:sz w:val="24"/>
          <w:szCs w:val="24"/>
          <w:lang w:val="es-MX"/>
        </w:rPr>
        <w:t>in embargo, esto no se puede convertir en una regla que exceda la proporcionalidad y razonabilidad en el trato de la persona en cuestión.</w:t>
      </w:r>
    </w:p>
    <w:p w14:paraId="37ED2BC9" w14:textId="4737C857" w:rsidR="00B63237" w:rsidRPr="00433F7F" w:rsidRDefault="00B63237"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 </w:t>
      </w:r>
    </w:p>
    <w:p w14:paraId="0EDA76F1" w14:textId="41BB18CE" w:rsidR="00B63237" w:rsidRPr="00433F7F" w:rsidRDefault="00B63237" w:rsidP="00433F7F">
      <w:pPr>
        <w:spacing w:line="360" w:lineRule="auto"/>
        <w:ind w:left="720" w:right="720"/>
        <w:jc w:val="both"/>
        <w:rPr>
          <w:rFonts w:ascii="Arial" w:hAnsi="Arial" w:cs="Arial"/>
          <w:b/>
          <w:sz w:val="24"/>
          <w:szCs w:val="24"/>
          <w:lang w:val="es-MX"/>
        </w:rPr>
      </w:pPr>
      <w:r w:rsidRPr="00433F7F">
        <w:rPr>
          <w:rFonts w:ascii="Arial" w:hAnsi="Arial" w:cs="Arial"/>
          <w:sz w:val="24"/>
          <w:szCs w:val="24"/>
          <w:lang w:val="es-MX"/>
        </w:rPr>
        <w:t>En este sentido, se debe cumplir con el debido proceso</w:t>
      </w:r>
      <w:r w:rsidR="00433F7F" w:rsidRPr="00433F7F">
        <w:rPr>
          <w:rFonts w:ascii="Arial" w:hAnsi="Arial" w:cs="Arial"/>
          <w:sz w:val="24"/>
          <w:szCs w:val="24"/>
          <w:lang w:val="es-MX"/>
        </w:rPr>
        <w:t>.</w:t>
      </w:r>
      <w:r w:rsidR="006D15B4">
        <w:rPr>
          <w:rFonts w:ascii="Arial" w:hAnsi="Arial" w:cs="Arial"/>
          <w:sz w:val="24"/>
          <w:szCs w:val="24"/>
          <w:lang w:val="es-MX"/>
        </w:rPr>
        <w:t xml:space="preserve"> </w:t>
      </w:r>
      <w:r w:rsidR="00433F7F" w:rsidRPr="00433F7F">
        <w:rPr>
          <w:rFonts w:ascii="Arial" w:hAnsi="Arial" w:cs="Arial"/>
          <w:sz w:val="24"/>
          <w:szCs w:val="24"/>
          <w:lang w:val="es-MX"/>
        </w:rPr>
        <w:t>Y,</w:t>
      </w:r>
      <w:r w:rsidRPr="00433F7F">
        <w:rPr>
          <w:rFonts w:ascii="Arial" w:hAnsi="Arial" w:cs="Arial"/>
          <w:sz w:val="24"/>
          <w:szCs w:val="24"/>
          <w:lang w:val="es-MX"/>
        </w:rPr>
        <w:t xml:space="preserve"> esto es, que la ejecución de medidas penales y disciplinarias sean impuestas mediante </w:t>
      </w:r>
      <w:r w:rsidR="00433F7F" w:rsidRPr="00433F7F">
        <w:rPr>
          <w:rFonts w:ascii="Arial" w:hAnsi="Arial" w:cs="Arial"/>
          <w:sz w:val="24"/>
          <w:szCs w:val="24"/>
          <w:lang w:val="es-MX"/>
        </w:rPr>
        <w:t xml:space="preserve">la </w:t>
      </w:r>
      <w:r w:rsidRPr="00433F7F">
        <w:rPr>
          <w:rFonts w:ascii="Arial" w:hAnsi="Arial" w:cs="Arial"/>
          <w:sz w:val="24"/>
          <w:szCs w:val="24"/>
          <w:lang w:val="es-MX"/>
        </w:rPr>
        <w:t xml:space="preserve">resolución emitida por un órgano </w:t>
      </w:r>
      <w:r w:rsidR="00433F7F" w:rsidRPr="00433F7F">
        <w:rPr>
          <w:rFonts w:ascii="Arial" w:hAnsi="Arial" w:cs="Arial"/>
          <w:sz w:val="24"/>
          <w:szCs w:val="24"/>
          <w:lang w:val="es-MX"/>
        </w:rPr>
        <w:t>j</w:t>
      </w:r>
      <w:r w:rsidRPr="00433F7F">
        <w:rPr>
          <w:rFonts w:ascii="Arial" w:hAnsi="Arial" w:cs="Arial"/>
          <w:sz w:val="24"/>
          <w:szCs w:val="24"/>
          <w:lang w:val="es-MX"/>
        </w:rPr>
        <w:t xml:space="preserve">urisdiccional, el </w:t>
      </w:r>
      <w:r w:rsidR="00433F7F" w:rsidRPr="00433F7F">
        <w:rPr>
          <w:rFonts w:ascii="Arial" w:hAnsi="Arial" w:cs="Arial"/>
          <w:sz w:val="24"/>
          <w:szCs w:val="24"/>
          <w:lang w:val="es-MX"/>
        </w:rPr>
        <w:t>j</w:t>
      </w:r>
      <w:r w:rsidRPr="00433F7F">
        <w:rPr>
          <w:rFonts w:ascii="Arial" w:hAnsi="Arial" w:cs="Arial"/>
          <w:sz w:val="24"/>
          <w:szCs w:val="24"/>
          <w:lang w:val="es-MX"/>
        </w:rPr>
        <w:t xml:space="preserve">uez de </w:t>
      </w:r>
      <w:r w:rsidR="00433F7F" w:rsidRPr="00433F7F">
        <w:rPr>
          <w:rFonts w:ascii="Arial" w:hAnsi="Arial" w:cs="Arial"/>
          <w:sz w:val="24"/>
          <w:szCs w:val="24"/>
          <w:lang w:val="es-MX"/>
        </w:rPr>
        <w:t>e</w:t>
      </w:r>
      <w:r w:rsidRPr="00433F7F">
        <w:rPr>
          <w:rFonts w:ascii="Arial" w:hAnsi="Arial" w:cs="Arial"/>
          <w:sz w:val="24"/>
          <w:szCs w:val="24"/>
          <w:lang w:val="es-MX"/>
        </w:rPr>
        <w:t>jecución o la autoridad administrativa de conformidad con la legislación aplicable, a través de procedimientos que permitan a las personas</w:t>
      </w:r>
      <w:r w:rsidR="00433F7F" w:rsidRPr="00433F7F">
        <w:rPr>
          <w:rFonts w:ascii="Arial" w:hAnsi="Arial" w:cs="Arial"/>
          <w:sz w:val="24"/>
          <w:szCs w:val="24"/>
          <w:lang w:val="es-MX"/>
        </w:rPr>
        <w:t>,</w:t>
      </w:r>
      <w:r w:rsidRPr="00433F7F">
        <w:rPr>
          <w:rFonts w:ascii="Arial" w:hAnsi="Arial" w:cs="Arial"/>
          <w:sz w:val="24"/>
          <w:szCs w:val="24"/>
          <w:lang w:val="es-MX"/>
        </w:rPr>
        <w:t xml:space="preserve"> sujetas a una medida penal</w:t>
      </w:r>
      <w:r w:rsidR="00433F7F" w:rsidRPr="00433F7F">
        <w:rPr>
          <w:rFonts w:ascii="Arial" w:hAnsi="Arial" w:cs="Arial"/>
          <w:sz w:val="24"/>
          <w:szCs w:val="24"/>
          <w:lang w:val="es-MX"/>
        </w:rPr>
        <w:t>,</w:t>
      </w:r>
      <w:r w:rsidRPr="00433F7F">
        <w:rPr>
          <w:rFonts w:ascii="Arial" w:hAnsi="Arial" w:cs="Arial"/>
          <w:sz w:val="24"/>
          <w:szCs w:val="24"/>
          <w:lang w:val="es-MX"/>
        </w:rPr>
        <w:t xml:space="preserve"> ejercer debidamente sus derechos ante la instancia competente</w:t>
      </w:r>
      <w:r w:rsidRPr="00433F7F">
        <w:rPr>
          <w:rStyle w:val="Refdenotaalpie"/>
          <w:rFonts w:ascii="Arial" w:hAnsi="Arial" w:cs="Arial"/>
          <w:sz w:val="24"/>
          <w:szCs w:val="24"/>
          <w:lang w:val="es-MX"/>
        </w:rPr>
        <w:footnoteReference w:id="5"/>
      </w:r>
      <w:r w:rsidRPr="00433F7F">
        <w:rPr>
          <w:rFonts w:ascii="Arial" w:hAnsi="Arial" w:cs="Arial"/>
          <w:sz w:val="24"/>
          <w:szCs w:val="24"/>
          <w:lang w:val="es-MX"/>
        </w:rPr>
        <w:t xml:space="preserve">. </w:t>
      </w:r>
    </w:p>
    <w:p w14:paraId="6461D4DF" w14:textId="3FFDEF29" w:rsidR="00B63237" w:rsidRPr="00433F7F" w:rsidRDefault="00B63237" w:rsidP="00433F7F">
      <w:pPr>
        <w:spacing w:line="360" w:lineRule="auto"/>
        <w:ind w:left="720" w:right="720"/>
        <w:jc w:val="both"/>
        <w:rPr>
          <w:rFonts w:ascii="Arial" w:hAnsi="Arial" w:cs="Arial"/>
          <w:sz w:val="24"/>
          <w:szCs w:val="24"/>
          <w:lang w:val="es-MX"/>
        </w:rPr>
      </w:pPr>
      <w:r w:rsidRPr="00433F7F">
        <w:rPr>
          <w:rFonts w:ascii="Arial" w:hAnsi="Arial" w:cs="Arial"/>
          <w:bCs/>
          <w:sz w:val="24"/>
          <w:szCs w:val="24"/>
          <w:lang w:val="es-MX"/>
        </w:rPr>
        <w:lastRenderedPageBreak/>
        <w:t>Y</w:t>
      </w:r>
      <w:r w:rsidR="00433F7F" w:rsidRPr="00433F7F">
        <w:rPr>
          <w:rFonts w:ascii="Arial" w:hAnsi="Arial" w:cs="Arial"/>
          <w:bCs/>
          <w:sz w:val="24"/>
          <w:szCs w:val="24"/>
          <w:lang w:val="es-MX"/>
        </w:rPr>
        <w:t>,</w:t>
      </w:r>
      <w:r w:rsidRPr="00433F7F">
        <w:rPr>
          <w:rFonts w:ascii="Arial" w:hAnsi="Arial" w:cs="Arial"/>
          <w:sz w:val="24"/>
          <w:szCs w:val="24"/>
          <w:lang w:val="es-MX"/>
        </w:rPr>
        <w:t xml:space="preserve"> por lo tanto</w:t>
      </w:r>
      <w:r w:rsidR="00563DFF" w:rsidRPr="00433F7F">
        <w:rPr>
          <w:rFonts w:ascii="Arial" w:hAnsi="Arial" w:cs="Arial"/>
          <w:sz w:val="24"/>
          <w:szCs w:val="24"/>
          <w:lang w:val="es-MX"/>
        </w:rPr>
        <w:t>,</w:t>
      </w:r>
      <w:r w:rsidRPr="00433F7F">
        <w:rPr>
          <w:rFonts w:ascii="Arial" w:hAnsi="Arial" w:cs="Arial"/>
          <w:sz w:val="24"/>
          <w:szCs w:val="24"/>
          <w:lang w:val="es-MX"/>
        </w:rPr>
        <w:t xml:space="preserve"> se debe</w:t>
      </w:r>
      <w:r w:rsidR="00433F7F" w:rsidRPr="00433F7F">
        <w:rPr>
          <w:rFonts w:ascii="Arial" w:hAnsi="Arial" w:cs="Arial"/>
          <w:sz w:val="24"/>
          <w:szCs w:val="24"/>
          <w:lang w:val="es-MX"/>
        </w:rPr>
        <w:t xml:space="preserve"> </w:t>
      </w:r>
      <w:r w:rsidRPr="00433F7F">
        <w:rPr>
          <w:rFonts w:ascii="Arial" w:hAnsi="Arial" w:cs="Arial"/>
          <w:sz w:val="24"/>
          <w:szCs w:val="24"/>
          <w:lang w:val="es-MX"/>
        </w:rPr>
        <w:t xml:space="preserve">dar acceso formal de los actos, </w:t>
      </w:r>
      <w:r w:rsidR="008C40CF" w:rsidRPr="00433F7F">
        <w:rPr>
          <w:rFonts w:ascii="Arial" w:hAnsi="Arial" w:cs="Arial"/>
          <w:sz w:val="24"/>
          <w:szCs w:val="24"/>
          <w:lang w:val="es-MX"/>
        </w:rPr>
        <w:t>p</w:t>
      </w:r>
      <w:r w:rsidRPr="00433F7F">
        <w:rPr>
          <w:rFonts w:ascii="Arial" w:hAnsi="Arial" w:cs="Arial"/>
          <w:sz w:val="24"/>
          <w:szCs w:val="24"/>
          <w:lang w:val="es-MX"/>
        </w:rPr>
        <w:t>robar los hechos y</w:t>
      </w:r>
      <w:r w:rsidR="00433F7F" w:rsidRPr="00433F7F">
        <w:rPr>
          <w:rFonts w:ascii="Arial" w:hAnsi="Arial" w:cs="Arial"/>
          <w:sz w:val="24"/>
          <w:szCs w:val="24"/>
          <w:lang w:val="es-MX"/>
        </w:rPr>
        <w:t>,</w:t>
      </w:r>
      <w:r w:rsidRPr="00433F7F">
        <w:rPr>
          <w:rFonts w:ascii="Arial" w:hAnsi="Arial" w:cs="Arial"/>
          <w:sz w:val="24"/>
          <w:szCs w:val="24"/>
          <w:lang w:val="es-MX"/>
        </w:rPr>
        <w:t xml:space="preserve"> a su vez</w:t>
      </w:r>
      <w:r w:rsidR="00C00657" w:rsidRPr="00433F7F">
        <w:rPr>
          <w:rFonts w:ascii="Arial" w:hAnsi="Arial" w:cs="Arial"/>
          <w:sz w:val="24"/>
          <w:szCs w:val="24"/>
          <w:lang w:val="es-MX"/>
        </w:rPr>
        <w:t>,</w:t>
      </w:r>
      <w:r w:rsidRPr="00433F7F">
        <w:rPr>
          <w:rFonts w:ascii="Arial" w:hAnsi="Arial" w:cs="Arial"/>
          <w:sz w:val="24"/>
          <w:szCs w:val="24"/>
          <w:lang w:val="es-MX"/>
        </w:rPr>
        <w:t xml:space="preserve"> respetar las garantías judiciales. </w:t>
      </w:r>
      <w:r w:rsidR="00433F7F" w:rsidRPr="00433F7F">
        <w:rPr>
          <w:rFonts w:ascii="Arial" w:hAnsi="Arial" w:cs="Arial"/>
          <w:sz w:val="24"/>
          <w:szCs w:val="24"/>
          <w:lang w:val="es-MX"/>
        </w:rPr>
        <w:t>Ahora</w:t>
      </w:r>
      <w:r w:rsidRPr="00433F7F">
        <w:rPr>
          <w:rFonts w:ascii="Arial" w:hAnsi="Arial" w:cs="Arial"/>
          <w:sz w:val="24"/>
          <w:szCs w:val="24"/>
          <w:lang w:val="es-MX"/>
        </w:rPr>
        <w:t xml:space="preserve">, en cuanto al acceso material a la justicia </w:t>
      </w:r>
      <w:r w:rsidR="00563DFF" w:rsidRPr="00433F7F">
        <w:rPr>
          <w:rFonts w:ascii="Arial" w:hAnsi="Arial" w:cs="Arial"/>
          <w:sz w:val="24"/>
          <w:szCs w:val="24"/>
          <w:lang w:val="es-MX"/>
        </w:rPr>
        <w:t>es necesario</w:t>
      </w:r>
      <w:r w:rsidRPr="00433F7F">
        <w:rPr>
          <w:rFonts w:ascii="Arial" w:hAnsi="Arial" w:cs="Arial"/>
          <w:sz w:val="24"/>
          <w:szCs w:val="24"/>
          <w:lang w:val="es-MX"/>
        </w:rPr>
        <w:t xml:space="preserve"> </w:t>
      </w:r>
      <w:r w:rsidR="00563DFF" w:rsidRPr="00433F7F">
        <w:rPr>
          <w:rFonts w:ascii="Arial" w:hAnsi="Arial" w:cs="Arial"/>
          <w:sz w:val="24"/>
          <w:szCs w:val="24"/>
          <w:lang w:val="es-MX"/>
        </w:rPr>
        <w:t>resolver</w:t>
      </w:r>
      <w:r w:rsidR="00433F7F" w:rsidRPr="00433F7F">
        <w:rPr>
          <w:rFonts w:ascii="Arial" w:hAnsi="Arial" w:cs="Arial"/>
          <w:sz w:val="24"/>
          <w:szCs w:val="24"/>
          <w:lang w:val="es-MX"/>
        </w:rPr>
        <w:t xml:space="preserve"> </w:t>
      </w:r>
      <w:r w:rsidR="00433F7F" w:rsidRPr="008A4B55">
        <w:rPr>
          <w:rFonts w:ascii="Arial" w:hAnsi="Arial" w:cs="Arial"/>
          <w:sz w:val="24"/>
          <w:szCs w:val="24"/>
          <w:lang w:val="es-MX"/>
        </w:rPr>
        <w:t>en</w:t>
      </w:r>
      <w:r w:rsidRPr="00433F7F">
        <w:rPr>
          <w:rFonts w:ascii="Arial" w:hAnsi="Arial" w:cs="Arial"/>
          <w:sz w:val="24"/>
          <w:szCs w:val="24"/>
          <w:lang w:val="es-MX"/>
        </w:rPr>
        <w:t xml:space="preserve"> sentencia </w:t>
      </w:r>
      <w:r w:rsidR="00563DFF" w:rsidRPr="00433F7F">
        <w:rPr>
          <w:rFonts w:ascii="Arial" w:hAnsi="Arial" w:cs="Arial"/>
          <w:sz w:val="24"/>
          <w:szCs w:val="24"/>
          <w:lang w:val="es-MX"/>
        </w:rPr>
        <w:t>la</w:t>
      </w:r>
      <w:r w:rsidRPr="00433F7F">
        <w:rPr>
          <w:rFonts w:ascii="Arial" w:hAnsi="Arial" w:cs="Arial"/>
          <w:sz w:val="24"/>
          <w:szCs w:val="24"/>
          <w:lang w:val="es-MX"/>
        </w:rPr>
        <w:t xml:space="preserve"> culpabilidad o absolución</w:t>
      </w:r>
      <w:r w:rsidRPr="00433F7F">
        <w:rPr>
          <w:rStyle w:val="Refdenotaalpie"/>
          <w:rFonts w:ascii="Arial" w:hAnsi="Arial" w:cs="Arial"/>
          <w:sz w:val="24"/>
          <w:szCs w:val="24"/>
          <w:lang w:val="es-MX"/>
        </w:rPr>
        <w:footnoteReference w:id="6"/>
      </w:r>
      <w:r w:rsidRPr="00433F7F">
        <w:rPr>
          <w:rFonts w:ascii="Arial" w:hAnsi="Arial" w:cs="Arial"/>
          <w:sz w:val="24"/>
          <w:szCs w:val="24"/>
          <w:lang w:val="es-MX"/>
        </w:rPr>
        <w:t>.</w:t>
      </w:r>
    </w:p>
    <w:p w14:paraId="651895B9" w14:textId="23BA8AE0" w:rsidR="00455CD6" w:rsidRPr="00433F7F" w:rsidRDefault="00A63B33"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cuanto a</w:t>
      </w:r>
      <w:r w:rsidR="009932F8" w:rsidRPr="00433F7F">
        <w:rPr>
          <w:rFonts w:ascii="Arial" w:hAnsi="Arial" w:cs="Arial"/>
          <w:sz w:val="24"/>
          <w:szCs w:val="24"/>
          <w:lang w:val="es-MX"/>
        </w:rPr>
        <w:t>l reconocimiento de este derecho</w:t>
      </w:r>
      <w:r w:rsidR="003D7A87" w:rsidRPr="00433F7F">
        <w:rPr>
          <w:rFonts w:ascii="Arial" w:hAnsi="Arial" w:cs="Arial"/>
          <w:sz w:val="24"/>
          <w:szCs w:val="24"/>
          <w:lang w:val="es-MX"/>
        </w:rPr>
        <w:t>,</w:t>
      </w:r>
      <w:r w:rsidR="009932F8" w:rsidRPr="00433F7F">
        <w:rPr>
          <w:rFonts w:ascii="Arial" w:hAnsi="Arial" w:cs="Arial"/>
          <w:sz w:val="24"/>
          <w:szCs w:val="24"/>
          <w:lang w:val="es-MX"/>
        </w:rPr>
        <w:t xml:space="preserve"> cabe destacar que</w:t>
      </w:r>
      <w:r w:rsidR="00557235" w:rsidRPr="00433F7F">
        <w:rPr>
          <w:rFonts w:ascii="Arial" w:hAnsi="Arial" w:cs="Arial"/>
          <w:sz w:val="24"/>
          <w:szCs w:val="24"/>
          <w:lang w:val="es-MX"/>
        </w:rPr>
        <w:t xml:space="preserve"> l</w:t>
      </w:r>
      <w:r w:rsidR="00761704" w:rsidRPr="00433F7F">
        <w:rPr>
          <w:rFonts w:ascii="Arial" w:hAnsi="Arial" w:cs="Arial"/>
          <w:sz w:val="24"/>
          <w:szCs w:val="24"/>
          <w:lang w:val="es-MX"/>
        </w:rPr>
        <w:t>as reformas constitucionales en materia de justicia penal</w:t>
      </w:r>
      <w:r w:rsidR="00433F7F" w:rsidRPr="00433F7F">
        <w:rPr>
          <w:rFonts w:ascii="Arial" w:hAnsi="Arial" w:cs="Arial"/>
          <w:sz w:val="24"/>
          <w:szCs w:val="24"/>
          <w:lang w:val="es-MX"/>
        </w:rPr>
        <w:t xml:space="preserve">, </w:t>
      </w:r>
      <w:r w:rsidR="00561550" w:rsidRPr="00433F7F">
        <w:rPr>
          <w:rFonts w:ascii="Arial" w:hAnsi="Arial" w:cs="Arial"/>
          <w:sz w:val="24"/>
          <w:szCs w:val="24"/>
          <w:lang w:val="es-MX"/>
        </w:rPr>
        <w:t>de seguridad pública</w:t>
      </w:r>
      <w:r w:rsidR="008C1552" w:rsidRPr="00433F7F">
        <w:rPr>
          <w:rStyle w:val="Refdenotaalpie"/>
          <w:rFonts w:ascii="Arial" w:hAnsi="Arial" w:cs="Arial"/>
          <w:sz w:val="24"/>
          <w:szCs w:val="24"/>
          <w:lang w:val="es-MX"/>
        </w:rPr>
        <w:footnoteReference w:id="7"/>
      </w:r>
      <w:r w:rsidR="00761704" w:rsidRPr="00433F7F">
        <w:rPr>
          <w:rFonts w:ascii="Arial" w:hAnsi="Arial" w:cs="Arial"/>
          <w:sz w:val="24"/>
          <w:szCs w:val="24"/>
          <w:lang w:val="es-MX"/>
        </w:rPr>
        <w:t xml:space="preserve"> y </w:t>
      </w:r>
      <w:r w:rsidR="00561550" w:rsidRPr="00433F7F">
        <w:rPr>
          <w:rFonts w:ascii="Arial" w:hAnsi="Arial" w:cs="Arial"/>
          <w:sz w:val="24"/>
          <w:szCs w:val="24"/>
          <w:lang w:val="es-MX"/>
        </w:rPr>
        <w:t xml:space="preserve">en materia </w:t>
      </w:r>
      <w:r w:rsidR="00761704" w:rsidRPr="00433F7F">
        <w:rPr>
          <w:rFonts w:ascii="Arial" w:hAnsi="Arial" w:cs="Arial"/>
          <w:sz w:val="24"/>
          <w:szCs w:val="24"/>
          <w:lang w:val="es-MX"/>
        </w:rPr>
        <w:t>de derechos humanos</w:t>
      </w:r>
      <w:r w:rsidR="00761704" w:rsidRPr="00433F7F">
        <w:rPr>
          <w:rStyle w:val="Refdenotaalpie"/>
          <w:rFonts w:ascii="Arial" w:hAnsi="Arial" w:cs="Arial"/>
          <w:sz w:val="24"/>
          <w:szCs w:val="24"/>
          <w:lang w:val="es-MX"/>
        </w:rPr>
        <w:footnoteReference w:id="8"/>
      </w:r>
      <w:r w:rsidR="00761704" w:rsidRPr="00433F7F">
        <w:rPr>
          <w:rFonts w:ascii="Arial" w:hAnsi="Arial" w:cs="Arial"/>
          <w:sz w:val="24"/>
          <w:szCs w:val="24"/>
          <w:lang w:val="es-MX"/>
        </w:rPr>
        <w:t xml:space="preserve"> marcaron cambio</w:t>
      </w:r>
      <w:r w:rsidR="00557235" w:rsidRPr="00433F7F">
        <w:rPr>
          <w:rFonts w:ascii="Arial" w:hAnsi="Arial" w:cs="Arial"/>
          <w:sz w:val="24"/>
          <w:szCs w:val="24"/>
          <w:lang w:val="es-MX"/>
        </w:rPr>
        <w:t>s</w:t>
      </w:r>
      <w:r w:rsidR="00761704" w:rsidRPr="00433F7F">
        <w:rPr>
          <w:rFonts w:ascii="Arial" w:hAnsi="Arial" w:cs="Arial"/>
          <w:sz w:val="24"/>
          <w:szCs w:val="24"/>
          <w:lang w:val="es-MX"/>
        </w:rPr>
        <w:t xml:space="preserve"> importante</w:t>
      </w:r>
      <w:r w:rsidR="00557235" w:rsidRPr="00433F7F">
        <w:rPr>
          <w:rFonts w:ascii="Arial" w:hAnsi="Arial" w:cs="Arial"/>
          <w:sz w:val="24"/>
          <w:szCs w:val="24"/>
          <w:lang w:val="es-MX"/>
        </w:rPr>
        <w:t>s en el diseño del modelo normativo mexicano; la primera</w:t>
      </w:r>
      <w:r w:rsidR="00433F7F" w:rsidRPr="00433F7F">
        <w:rPr>
          <w:rFonts w:ascii="Arial" w:hAnsi="Arial" w:cs="Arial"/>
          <w:sz w:val="24"/>
          <w:szCs w:val="24"/>
          <w:lang w:val="es-MX"/>
        </w:rPr>
        <w:t>,</w:t>
      </w:r>
      <w:r w:rsidR="00557235" w:rsidRPr="00433F7F">
        <w:rPr>
          <w:rFonts w:ascii="Arial" w:hAnsi="Arial" w:cs="Arial"/>
          <w:sz w:val="24"/>
          <w:szCs w:val="24"/>
          <w:lang w:val="es-MX"/>
        </w:rPr>
        <w:t xml:space="preserve"> en cuanto al modelo de justicia penal y la segund</w:t>
      </w:r>
      <w:r w:rsidR="00435773" w:rsidRPr="00433F7F">
        <w:rPr>
          <w:rFonts w:ascii="Arial" w:hAnsi="Arial" w:cs="Arial"/>
          <w:sz w:val="24"/>
          <w:szCs w:val="24"/>
          <w:lang w:val="es-MX"/>
        </w:rPr>
        <w:t>a</w:t>
      </w:r>
      <w:r w:rsidR="00557235" w:rsidRPr="00433F7F">
        <w:rPr>
          <w:rFonts w:ascii="Arial" w:hAnsi="Arial" w:cs="Arial"/>
          <w:sz w:val="24"/>
          <w:szCs w:val="24"/>
          <w:lang w:val="es-MX"/>
        </w:rPr>
        <w:t xml:space="preserve"> en cuanto a</w:t>
      </w:r>
      <w:r w:rsidR="00761704" w:rsidRPr="00433F7F">
        <w:rPr>
          <w:rFonts w:ascii="Arial" w:hAnsi="Arial" w:cs="Arial"/>
          <w:sz w:val="24"/>
          <w:szCs w:val="24"/>
          <w:lang w:val="es-MX"/>
        </w:rPr>
        <w:t xml:space="preserve">l </w:t>
      </w:r>
      <w:r w:rsidR="00455CD6" w:rsidRPr="00433F7F">
        <w:rPr>
          <w:rFonts w:ascii="Arial" w:hAnsi="Arial" w:cs="Arial"/>
          <w:sz w:val="24"/>
          <w:szCs w:val="24"/>
          <w:lang w:val="es-MX"/>
        </w:rPr>
        <w:t>reconocimiento</w:t>
      </w:r>
      <w:r w:rsidR="0070589B" w:rsidRPr="00433F7F">
        <w:rPr>
          <w:rFonts w:ascii="Arial" w:hAnsi="Arial" w:cs="Arial"/>
          <w:sz w:val="24"/>
          <w:szCs w:val="24"/>
          <w:lang w:val="es-MX"/>
        </w:rPr>
        <w:t xml:space="preserve"> amplio en el</w:t>
      </w:r>
      <w:r w:rsidR="00455CD6" w:rsidRPr="00433F7F">
        <w:rPr>
          <w:rFonts w:ascii="Arial" w:hAnsi="Arial" w:cs="Arial"/>
          <w:sz w:val="24"/>
          <w:szCs w:val="24"/>
          <w:lang w:val="es-MX"/>
        </w:rPr>
        <w:t xml:space="preserve"> respeto de los derechos humanos</w:t>
      </w:r>
      <w:r w:rsidR="00557235" w:rsidRPr="00433F7F">
        <w:rPr>
          <w:rFonts w:ascii="Arial" w:hAnsi="Arial" w:cs="Arial"/>
          <w:sz w:val="24"/>
          <w:szCs w:val="24"/>
          <w:lang w:val="es-MX"/>
        </w:rPr>
        <w:t>.</w:t>
      </w:r>
      <w:r w:rsidR="003629D7" w:rsidRPr="00433F7F">
        <w:rPr>
          <w:rFonts w:ascii="Arial" w:hAnsi="Arial" w:cs="Arial"/>
          <w:sz w:val="24"/>
          <w:szCs w:val="24"/>
          <w:lang w:val="es-MX"/>
        </w:rPr>
        <w:t xml:space="preserve"> </w:t>
      </w:r>
    </w:p>
    <w:p w14:paraId="023AC7B6" w14:textId="032F48C1" w:rsidR="00673FCF" w:rsidRPr="00433F7F" w:rsidRDefault="00455CD6"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Por su parte, e</w:t>
      </w:r>
      <w:r w:rsidR="003629D7" w:rsidRPr="00433F7F">
        <w:rPr>
          <w:rFonts w:ascii="Arial" w:hAnsi="Arial" w:cs="Arial"/>
          <w:sz w:val="24"/>
          <w:szCs w:val="24"/>
          <w:lang w:val="es-MX"/>
        </w:rPr>
        <w:t>l sistema de justicia penal reco</w:t>
      </w:r>
      <w:r w:rsidR="00557235" w:rsidRPr="00433F7F">
        <w:rPr>
          <w:rFonts w:ascii="Arial" w:hAnsi="Arial" w:cs="Arial"/>
          <w:sz w:val="24"/>
          <w:szCs w:val="24"/>
          <w:lang w:val="es-MX"/>
        </w:rPr>
        <w:t>noce</w:t>
      </w:r>
      <w:r w:rsidR="003629D7" w:rsidRPr="00433F7F">
        <w:rPr>
          <w:rFonts w:ascii="Arial" w:hAnsi="Arial" w:cs="Arial"/>
          <w:sz w:val="24"/>
          <w:szCs w:val="24"/>
          <w:lang w:val="es-MX"/>
        </w:rPr>
        <w:t xml:space="preserve"> como eje central </w:t>
      </w:r>
      <w:r w:rsidR="00557235" w:rsidRPr="00433F7F">
        <w:rPr>
          <w:rFonts w:ascii="Arial" w:hAnsi="Arial" w:cs="Arial"/>
          <w:sz w:val="24"/>
          <w:szCs w:val="24"/>
          <w:lang w:val="es-MX"/>
        </w:rPr>
        <w:t xml:space="preserve">a </w:t>
      </w:r>
      <w:r w:rsidR="003629D7" w:rsidRPr="00433F7F">
        <w:rPr>
          <w:rFonts w:ascii="Arial" w:hAnsi="Arial" w:cs="Arial"/>
          <w:sz w:val="24"/>
          <w:szCs w:val="24"/>
          <w:lang w:val="es-MX"/>
        </w:rPr>
        <w:t>la presunción de inocencia</w:t>
      </w:r>
      <w:r w:rsidR="00B548DA" w:rsidRPr="00433F7F">
        <w:rPr>
          <w:rFonts w:ascii="Arial" w:hAnsi="Arial" w:cs="Arial"/>
          <w:sz w:val="24"/>
          <w:szCs w:val="24"/>
          <w:lang w:val="es-MX"/>
        </w:rPr>
        <w:t>.</w:t>
      </w:r>
      <w:r w:rsidR="00C00657" w:rsidRPr="00433F7F">
        <w:rPr>
          <w:rFonts w:ascii="Arial" w:hAnsi="Arial" w:cs="Arial"/>
          <w:sz w:val="24"/>
          <w:szCs w:val="24"/>
          <w:lang w:val="es-MX"/>
        </w:rPr>
        <w:t xml:space="preserve"> Con este, s</w:t>
      </w:r>
      <w:r w:rsidR="00557235" w:rsidRPr="00433F7F">
        <w:rPr>
          <w:rFonts w:ascii="Arial" w:hAnsi="Arial" w:cs="Arial"/>
          <w:sz w:val="24"/>
          <w:szCs w:val="24"/>
          <w:lang w:val="es-MX"/>
        </w:rPr>
        <w:t>e introdujo un modelo garantista más respetuoso de los derechos humanos</w:t>
      </w:r>
      <w:r w:rsidR="00A63B33" w:rsidRPr="00433F7F">
        <w:rPr>
          <w:rFonts w:ascii="Arial" w:hAnsi="Arial" w:cs="Arial"/>
          <w:sz w:val="24"/>
          <w:szCs w:val="24"/>
          <w:lang w:val="es-MX"/>
        </w:rPr>
        <w:t>. Y</w:t>
      </w:r>
      <w:r w:rsidR="00433F7F" w:rsidRPr="00433F7F">
        <w:rPr>
          <w:rFonts w:ascii="Arial" w:hAnsi="Arial" w:cs="Arial"/>
          <w:sz w:val="24"/>
          <w:szCs w:val="24"/>
          <w:lang w:val="es-MX"/>
        </w:rPr>
        <w:t>,</w:t>
      </w:r>
      <w:r w:rsidR="00A63B33" w:rsidRPr="00433F7F">
        <w:rPr>
          <w:rFonts w:ascii="Arial" w:hAnsi="Arial" w:cs="Arial"/>
          <w:sz w:val="24"/>
          <w:szCs w:val="24"/>
          <w:lang w:val="es-MX"/>
        </w:rPr>
        <w:t xml:space="preserve"> </w:t>
      </w:r>
      <w:r w:rsidR="00673FCF" w:rsidRPr="00433F7F">
        <w:rPr>
          <w:rFonts w:ascii="Arial" w:hAnsi="Arial" w:cs="Arial"/>
          <w:sz w:val="24"/>
          <w:szCs w:val="24"/>
          <w:lang w:val="es-MX"/>
        </w:rPr>
        <w:t xml:space="preserve">aunque durante el proceso se </w:t>
      </w:r>
      <w:r w:rsidR="00673FCF" w:rsidRPr="00433F7F">
        <w:rPr>
          <w:rFonts w:ascii="Arial" w:hAnsi="Arial" w:cs="Arial"/>
          <w:sz w:val="24"/>
          <w:szCs w:val="24"/>
          <w:lang w:val="es-MX"/>
        </w:rPr>
        <w:lastRenderedPageBreak/>
        <w:t>contraponen los principios de culpabilidad</w:t>
      </w:r>
      <w:r w:rsidR="00673FCF" w:rsidRPr="00433F7F">
        <w:rPr>
          <w:rStyle w:val="Refdenotaalpie"/>
          <w:rFonts w:ascii="Arial" w:hAnsi="Arial" w:cs="Arial"/>
          <w:sz w:val="24"/>
          <w:szCs w:val="24"/>
          <w:lang w:val="es-MX"/>
        </w:rPr>
        <w:footnoteReference w:id="9"/>
      </w:r>
      <w:r w:rsidR="00673FCF" w:rsidRPr="00433F7F">
        <w:rPr>
          <w:rFonts w:ascii="Arial" w:hAnsi="Arial" w:cs="Arial"/>
          <w:sz w:val="24"/>
          <w:szCs w:val="24"/>
          <w:lang w:val="es-MX"/>
        </w:rPr>
        <w:t xml:space="preserve"> y presunción de inocencia, </w:t>
      </w:r>
      <w:r w:rsidR="00E233C9" w:rsidRPr="00433F7F">
        <w:rPr>
          <w:rFonts w:ascii="Arial" w:hAnsi="Arial" w:cs="Arial"/>
          <w:sz w:val="24"/>
          <w:szCs w:val="24"/>
          <w:lang w:val="es-MX"/>
        </w:rPr>
        <w:t>el trato de inocente</w:t>
      </w:r>
      <w:r w:rsidR="00B905BD" w:rsidRPr="00433F7F">
        <w:rPr>
          <w:rFonts w:ascii="Arial" w:hAnsi="Arial" w:cs="Arial"/>
          <w:sz w:val="24"/>
          <w:szCs w:val="24"/>
          <w:lang w:val="es-MX"/>
        </w:rPr>
        <w:t xml:space="preserve"> debe de prevalecer</w:t>
      </w:r>
      <w:r w:rsidR="00E233C9" w:rsidRPr="00433F7F">
        <w:rPr>
          <w:rFonts w:ascii="Arial" w:hAnsi="Arial" w:cs="Arial"/>
          <w:sz w:val="24"/>
          <w:szCs w:val="24"/>
          <w:lang w:val="es-MX"/>
        </w:rPr>
        <w:t xml:space="preserve"> en diferentes etapas</w:t>
      </w:r>
      <w:r w:rsidR="00C00657" w:rsidRPr="00433F7F">
        <w:rPr>
          <w:rFonts w:ascii="Arial" w:hAnsi="Arial" w:cs="Arial"/>
          <w:sz w:val="24"/>
          <w:szCs w:val="24"/>
          <w:lang w:val="es-MX"/>
        </w:rPr>
        <w:t xml:space="preserve"> y actos</w:t>
      </w:r>
      <w:r w:rsidR="00E233C9" w:rsidRPr="00433F7F">
        <w:rPr>
          <w:rFonts w:ascii="Arial" w:hAnsi="Arial" w:cs="Arial"/>
          <w:sz w:val="24"/>
          <w:szCs w:val="24"/>
          <w:lang w:val="es-MX"/>
        </w:rPr>
        <w:t xml:space="preserve"> del proceso</w:t>
      </w:r>
      <w:r w:rsidR="00433F7F" w:rsidRPr="00433F7F">
        <w:rPr>
          <w:rFonts w:ascii="Arial" w:hAnsi="Arial" w:cs="Arial"/>
          <w:sz w:val="24"/>
          <w:szCs w:val="24"/>
          <w:lang w:val="es-MX"/>
        </w:rPr>
        <w:t>:</w:t>
      </w:r>
      <w:r w:rsidR="00E233C9" w:rsidRPr="00433F7F">
        <w:rPr>
          <w:rFonts w:ascii="Arial" w:hAnsi="Arial" w:cs="Arial"/>
          <w:sz w:val="24"/>
          <w:szCs w:val="24"/>
          <w:lang w:val="es-MX"/>
        </w:rPr>
        <w:t xml:space="preserve"> investigación, imposición de medidas cautelares, etapa intermedia</w:t>
      </w:r>
      <w:r w:rsidR="00433F7F" w:rsidRPr="00433F7F">
        <w:rPr>
          <w:rFonts w:ascii="Arial" w:hAnsi="Arial" w:cs="Arial"/>
          <w:sz w:val="24"/>
          <w:szCs w:val="24"/>
          <w:lang w:val="es-MX"/>
        </w:rPr>
        <w:t>,</w:t>
      </w:r>
      <w:r w:rsidR="00E233C9" w:rsidRPr="00433F7F">
        <w:rPr>
          <w:rFonts w:ascii="Arial" w:hAnsi="Arial" w:cs="Arial"/>
          <w:sz w:val="24"/>
          <w:szCs w:val="24"/>
          <w:lang w:val="es-MX"/>
        </w:rPr>
        <w:t xml:space="preserve"> durante el juicio</w:t>
      </w:r>
      <w:r w:rsidR="00433F7F" w:rsidRPr="00433F7F">
        <w:rPr>
          <w:rFonts w:ascii="Arial" w:hAnsi="Arial" w:cs="Arial"/>
          <w:sz w:val="24"/>
          <w:szCs w:val="24"/>
          <w:lang w:val="es-MX"/>
        </w:rPr>
        <w:t xml:space="preserve"> y</w:t>
      </w:r>
      <w:r w:rsidR="00E233C9" w:rsidRPr="00433F7F">
        <w:rPr>
          <w:rFonts w:ascii="Arial" w:hAnsi="Arial" w:cs="Arial"/>
          <w:sz w:val="24"/>
          <w:szCs w:val="24"/>
          <w:lang w:val="es-MX"/>
        </w:rPr>
        <w:t xml:space="preserve"> hasta la emisión de la resolución judicial </w:t>
      </w:r>
      <w:r w:rsidR="00433F7F" w:rsidRPr="00433F7F">
        <w:rPr>
          <w:rFonts w:ascii="Arial" w:hAnsi="Arial" w:cs="Arial"/>
          <w:sz w:val="24"/>
          <w:szCs w:val="24"/>
          <w:lang w:val="es-MX"/>
        </w:rPr>
        <w:t xml:space="preserve">de </w:t>
      </w:r>
      <w:r w:rsidR="00E233C9" w:rsidRPr="00433F7F">
        <w:rPr>
          <w:rFonts w:ascii="Arial" w:hAnsi="Arial" w:cs="Arial"/>
          <w:sz w:val="24"/>
          <w:szCs w:val="24"/>
          <w:lang w:val="es-MX"/>
        </w:rPr>
        <w:t>dicho derecho</w:t>
      </w:r>
      <w:r w:rsidR="00997E6B" w:rsidRPr="00433F7F">
        <w:rPr>
          <w:rFonts w:ascii="Arial" w:hAnsi="Arial" w:cs="Arial"/>
          <w:sz w:val="24"/>
          <w:szCs w:val="24"/>
          <w:lang w:val="es-MX"/>
        </w:rPr>
        <w:t xml:space="preserve">. </w:t>
      </w:r>
    </w:p>
    <w:p w14:paraId="1AABC043" w14:textId="68AC816E" w:rsidR="00673FCF" w:rsidRPr="00433F7F" w:rsidRDefault="0004580F" w:rsidP="00433F7F">
      <w:pPr>
        <w:spacing w:line="360" w:lineRule="auto"/>
        <w:ind w:left="720" w:right="720"/>
        <w:jc w:val="both"/>
        <w:rPr>
          <w:rFonts w:ascii="Arial" w:hAnsi="Arial" w:cs="Arial"/>
          <w:sz w:val="24"/>
          <w:szCs w:val="24"/>
          <w:lang w:val="es-MX"/>
        </w:rPr>
      </w:pPr>
      <w:r>
        <w:rPr>
          <w:rFonts w:ascii="Arial" w:hAnsi="Arial" w:cs="Arial"/>
          <w:sz w:val="24"/>
          <w:szCs w:val="24"/>
          <w:lang w:val="es-MX"/>
        </w:rPr>
        <w:t xml:space="preserve">Se deben de preservar los derechos humanos </w:t>
      </w:r>
      <w:r w:rsidR="00673FCF" w:rsidRPr="00433F7F">
        <w:rPr>
          <w:rFonts w:ascii="Arial" w:hAnsi="Arial" w:cs="Arial"/>
          <w:sz w:val="24"/>
          <w:szCs w:val="24"/>
          <w:lang w:val="es-MX"/>
        </w:rPr>
        <w:t xml:space="preserve">durante </w:t>
      </w:r>
      <w:r>
        <w:rPr>
          <w:rFonts w:ascii="Arial" w:hAnsi="Arial" w:cs="Arial"/>
          <w:sz w:val="24"/>
          <w:szCs w:val="24"/>
          <w:lang w:val="es-MX"/>
        </w:rPr>
        <w:t xml:space="preserve">todos los </w:t>
      </w:r>
      <w:r w:rsidR="00673FCF" w:rsidRPr="00433F7F">
        <w:rPr>
          <w:rFonts w:ascii="Arial" w:hAnsi="Arial" w:cs="Arial"/>
          <w:sz w:val="24"/>
          <w:szCs w:val="24"/>
          <w:lang w:val="es-MX"/>
        </w:rPr>
        <w:t>actos procesales</w:t>
      </w:r>
      <w:r>
        <w:rPr>
          <w:rFonts w:ascii="Arial" w:hAnsi="Arial" w:cs="Arial"/>
          <w:sz w:val="24"/>
          <w:szCs w:val="24"/>
          <w:lang w:val="es-MX"/>
        </w:rPr>
        <w:t>, sin excepción alguna. B</w:t>
      </w:r>
      <w:r w:rsidR="00A63B33" w:rsidRPr="00433F7F">
        <w:rPr>
          <w:rFonts w:ascii="Arial" w:hAnsi="Arial" w:cs="Arial"/>
          <w:sz w:val="24"/>
          <w:szCs w:val="24"/>
          <w:lang w:val="es-MX"/>
        </w:rPr>
        <w:t>ajo el respeto de la presunción de inocencia, la prisión preventiva debería ser la última opción</w:t>
      </w:r>
      <w:r w:rsidR="00563DFF" w:rsidRPr="00433F7F">
        <w:rPr>
          <w:rFonts w:ascii="Arial" w:hAnsi="Arial" w:cs="Arial"/>
          <w:sz w:val="24"/>
          <w:szCs w:val="24"/>
          <w:lang w:val="es-MX"/>
        </w:rPr>
        <w:t xml:space="preserve"> conforme a nuestra normativa</w:t>
      </w:r>
      <w:r w:rsidR="002A6731" w:rsidRPr="00433F7F">
        <w:rPr>
          <w:rStyle w:val="Refdenotaalpie"/>
          <w:rFonts w:ascii="Arial" w:hAnsi="Arial" w:cs="Arial"/>
          <w:sz w:val="24"/>
          <w:szCs w:val="24"/>
          <w:lang w:val="es-MX"/>
        </w:rPr>
        <w:footnoteReference w:id="10"/>
      </w:r>
      <w:r w:rsidR="00A63B33" w:rsidRPr="00433F7F">
        <w:rPr>
          <w:rFonts w:ascii="Arial" w:hAnsi="Arial" w:cs="Arial"/>
          <w:sz w:val="24"/>
          <w:szCs w:val="24"/>
          <w:lang w:val="es-MX"/>
        </w:rPr>
        <w:t xml:space="preserve">. </w:t>
      </w:r>
      <w:r>
        <w:rPr>
          <w:rFonts w:ascii="Arial" w:hAnsi="Arial" w:cs="Arial"/>
          <w:sz w:val="24"/>
          <w:szCs w:val="24"/>
          <w:lang w:val="es-MX"/>
        </w:rPr>
        <w:t>Sin embargo, la</w:t>
      </w:r>
      <w:r w:rsidR="00E73388">
        <w:rPr>
          <w:rFonts w:ascii="Arial" w:hAnsi="Arial" w:cs="Arial"/>
          <w:sz w:val="24"/>
          <w:szCs w:val="24"/>
          <w:lang w:val="es-MX"/>
        </w:rPr>
        <w:t xml:space="preserve"> imposición de la prisión preventiva sin previo debate (art. 19 de la CPEUM)</w:t>
      </w:r>
      <w:r w:rsidR="00B34948">
        <w:rPr>
          <w:rStyle w:val="Refdenotaalpie"/>
          <w:rFonts w:ascii="Arial" w:hAnsi="Arial" w:cs="Arial"/>
          <w:sz w:val="24"/>
          <w:szCs w:val="24"/>
          <w:lang w:val="es-MX"/>
        </w:rPr>
        <w:footnoteReference w:id="11"/>
      </w:r>
      <w:r w:rsidR="00E73388">
        <w:rPr>
          <w:rFonts w:ascii="Arial" w:hAnsi="Arial" w:cs="Arial"/>
          <w:sz w:val="24"/>
          <w:szCs w:val="24"/>
          <w:lang w:val="es-MX"/>
        </w:rPr>
        <w:t xml:space="preserve"> y la</w:t>
      </w:r>
      <w:r>
        <w:rPr>
          <w:rFonts w:ascii="Arial" w:hAnsi="Arial" w:cs="Arial"/>
          <w:sz w:val="24"/>
          <w:szCs w:val="24"/>
          <w:lang w:val="es-MX"/>
        </w:rPr>
        <w:t xml:space="preserve"> tendencia de la imposición de prisión preventiva como medida cautelar</w:t>
      </w:r>
      <w:r w:rsidR="00B34948">
        <w:rPr>
          <w:rFonts w:ascii="Arial" w:hAnsi="Arial" w:cs="Arial"/>
          <w:sz w:val="24"/>
          <w:szCs w:val="24"/>
          <w:lang w:val="es-MX"/>
        </w:rPr>
        <w:t xml:space="preserve"> favorita</w:t>
      </w:r>
      <w:r w:rsidR="00E73388">
        <w:rPr>
          <w:rFonts w:ascii="Arial" w:hAnsi="Arial" w:cs="Arial"/>
          <w:sz w:val="24"/>
          <w:szCs w:val="24"/>
          <w:lang w:val="es-MX"/>
        </w:rPr>
        <w:t>,</w:t>
      </w:r>
      <w:r>
        <w:rPr>
          <w:rFonts w:ascii="Arial" w:hAnsi="Arial" w:cs="Arial"/>
          <w:sz w:val="24"/>
          <w:szCs w:val="24"/>
          <w:lang w:val="es-MX"/>
        </w:rPr>
        <w:t xml:space="preserve"> </w:t>
      </w:r>
      <w:r w:rsidR="00E73388">
        <w:rPr>
          <w:rFonts w:ascii="Arial" w:hAnsi="Arial" w:cs="Arial"/>
          <w:sz w:val="24"/>
          <w:szCs w:val="24"/>
          <w:lang w:val="es-MX"/>
        </w:rPr>
        <w:t xml:space="preserve">demuestra </w:t>
      </w:r>
      <w:r>
        <w:rPr>
          <w:rFonts w:ascii="Arial" w:hAnsi="Arial" w:cs="Arial"/>
          <w:sz w:val="24"/>
          <w:szCs w:val="24"/>
          <w:lang w:val="es-MX"/>
        </w:rPr>
        <w:t xml:space="preserve">no va en ese </w:t>
      </w:r>
      <w:r>
        <w:rPr>
          <w:rFonts w:ascii="Arial" w:hAnsi="Arial" w:cs="Arial"/>
          <w:sz w:val="24"/>
          <w:szCs w:val="24"/>
          <w:lang w:val="es-MX"/>
        </w:rPr>
        <w:lastRenderedPageBreak/>
        <w:t>sentido</w:t>
      </w:r>
      <w:r w:rsidR="00E73388">
        <w:rPr>
          <w:rFonts w:ascii="Arial" w:hAnsi="Arial" w:cs="Arial"/>
          <w:sz w:val="24"/>
          <w:szCs w:val="24"/>
          <w:lang w:val="es-MX"/>
        </w:rPr>
        <w:t xml:space="preserve"> el respeto a la presunción de inocencia</w:t>
      </w:r>
      <w:r>
        <w:rPr>
          <w:rStyle w:val="Refdenotaalpie"/>
          <w:rFonts w:ascii="Arial" w:hAnsi="Arial" w:cs="Arial"/>
          <w:sz w:val="24"/>
          <w:szCs w:val="24"/>
          <w:lang w:val="es-MX"/>
        </w:rPr>
        <w:footnoteReference w:id="12"/>
      </w:r>
      <w:r>
        <w:rPr>
          <w:rFonts w:ascii="Arial" w:hAnsi="Arial" w:cs="Arial"/>
          <w:sz w:val="24"/>
          <w:szCs w:val="24"/>
          <w:lang w:val="es-MX"/>
        </w:rPr>
        <w:t>.</w:t>
      </w:r>
      <w:r w:rsidR="0070555A">
        <w:rPr>
          <w:rFonts w:ascii="Arial" w:hAnsi="Arial" w:cs="Arial"/>
          <w:sz w:val="24"/>
          <w:szCs w:val="24"/>
          <w:lang w:val="es-MX"/>
        </w:rPr>
        <w:t xml:space="preserve"> </w:t>
      </w:r>
      <w:r w:rsidR="000C5E57">
        <w:rPr>
          <w:rFonts w:ascii="Arial" w:hAnsi="Arial" w:cs="Arial"/>
          <w:sz w:val="24"/>
          <w:szCs w:val="24"/>
          <w:lang w:val="es-MX"/>
        </w:rPr>
        <w:t>Según México Evalúa, e</w:t>
      </w:r>
      <w:r w:rsidR="0070555A">
        <w:rPr>
          <w:rFonts w:ascii="Arial" w:hAnsi="Arial" w:cs="Arial"/>
          <w:sz w:val="24"/>
          <w:szCs w:val="24"/>
          <w:lang w:val="es-MX"/>
        </w:rPr>
        <w:t>n 2021 se incrementaron un 28 porciento los casos que acudieron a prisión automática sin previo debate</w:t>
      </w:r>
      <w:r w:rsidR="0070555A">
        <w:rPr>
          <w:rStyle w:val="Refdenotaalpie"/>
          <w:rFonts w:ascii="Arial" w:hAnsi="Arial" w:cs="Arial"/>
          <w:sz w:val="24"/>
          <w:szCs w:val="24"/>
          <w:lang w:val="es-MX"/>
        </w:rPr>
        <w:footnoteReference w:id="13"/>
      </w:r>
      <w:r w:rsidR="0070555A">
        <w:rPr>
          <w:rFonts w:ascii="Arial" w:hAnsi="Arial" w:cs="Arial"/>
          <w:sz w:val="24"/>
          <w:szCs w:val="24"/>
          <w:lang w:val="es-MX"/>
        </w:rPr>
        <w:t>.</w:t>
      </w:r>
    </w:p>
    <w:p w14:paraId="60715AFB" w14:textId="15605E8F" w:rsidR="00433F7F" w:rsidRPr="00433F7F" w:rsidRDefault="002A6731"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C</w:t>
      </w:r>
      <w:r w:rsidR="00E233C9" w:rsidRPr="00433F7F">
        <w:rPr>
          <w:rFonts w:ascii="Arial" w:hAnsi="Arial" w:cs="Arial"/>
          <w:sz w:val="24"/>
          <w:szCs w:val="24"/>
          <w:lang w:val="es-MX"/>
        </w:rPr>
        <w:t>abe destacar que</w:t>
      </w:r>
      <w:r w:rsidR="00B548DA" w:rsidRPr="00433F7F">
        <w:rPr>
          <w:rFonts w:ascii="Arial" w:hAnsi="Arial" w:cs="Arial"/>
          <w:sz w:val="24"/>
          <w:szCs w:val="24"/>
          <w:lang w:val="es-MX"/>
        </w:rPr>
        <w:t xml:space="preserve">, </w:t>
      </w:r>
      <w:r w:rsidRPr="00433F7F">
        <w:rPr>
          <w:rFonts w:ascii="Arial" w:hAnsi="Arial" w:cs="Arial"/>
          <w:sz w:val="24"/>
          <w:szCs w:val="24"/>
          <w:lang w:val="es-MX"/>
        </w:rPr>
        <w:t xml:space="preserve">dentro de los cambios del modelo de justicia penal, </w:t>
      </w:r>
      <w:r w:rsidR="00997E6B" w:rsidRPr="00433F7F">
        <w:rPr>
          <w:rFonts w:ascii="Arial" w:hAnsi="Arial" w:cs="Arial"/>
          <w:sz w:val="24"/>
          <w:szCs w:val="24"/>
          <w:lang w:val="es-MX"/>
        </w:rPr>
        <w:t>se estableció</w:t>
      </w:r>
      <w:r w:rsidR="00433F7F" w:rsidRPr="00433F7F">
        <w:rPr>
          <w:rFonts w:ascii="Arial" w:hAnsi="Arial" w:cs="Arial"/>
          <w:sz w:val="24"/>
          <w:szCs w:val="24"/>
          <w:lang w:val="es-MX"/>
        </w:rPr>
        <w:t>,</w:t>
      </w:r>
      <w:r w:rsidR="00997E6B" w:rsidRPr="00433F7F">
        <w:rPr>
          <w:rFonts w:ascii="Arial" w:hAnsi="Arial" w:cs="Arial"/>
          <w:sz w:val="24"/>
          <w:szCs w:val="24"/>
          <w:lang w:val="es-MX"/>
        </w:rPr>
        <w:t xml:space="preserve"> </w:t>
      </w:r>
      <w:r w:rsidR="00B548DA" w:rsidRPr="00433F7F">
        <w:rPr>
          <w:rFonts w:ascii="Arial" w:hAnsi="Arial" w:cs="Arial"/>
          <w:sz w:val="24"/>
          <w:szCs w:val="24"/>
          <w:lang w:val="es-MX"/>
        </w:rPr>
        <w:t>como</w:t>
      </w:r>
      <w:r w:rsidR="00997E6B" w:rsidRPr="00433F7F">
        <w:rPr>
          <w:rFonts w:ascii="Arial" w:hAnsi="Arial" w:cs="Arial"/>
          <w:sz w:val="24"/>
          <w:szCs w:val="24"/>
          <w:lang w:val="es-MX"/>
        </w:rPr>
        <w:t xml:space="preserve"> nueva figura </w:t>
      </w:r>
      <w:r w:rsidR="00B548DA" w:rsidRPr="00433F7F">
        <w:rPr>
          <w:rFonts w:ascii="Arial" w:hAnsi="Arial" w:cs="Arial"/>
          <w:sz w:val="24"/>
          <w:szCs w:val="24"/>
          <w:lang w:val="es-MX"/>
        </w:rPr>
        <w:t>para controlar el respeto de garantías</w:t>
      </w:r>
      <w:r w:rsidR="003D7A87" w:rsidRPr="00433F7F">
        <w:rPr>
          <w:rFonts w:ascii="Arial" w:hAnsi="Arial" w:cs="Arial"/>
          <w:sz w:val="24"/>
          <w:szCs w:val="24"/>
          <w:lang w:val="es-MX"/>
        </w:rPr>
        <w:t>,</w:t>
      </w:r>
      <w:r w:rsidR="00B548DA" w:rsidRPr="00433F7F">
        <w:rPr>
          <w:rFonts w:ascii="Arial" w:hAnsi="Arial" w:cs="Arial"/>
          <w:sz w:val="24"/>
          <w:szCs w:val="24"/>
          <w:lang w:val="es-MX"/>
        </w:rPr>
        <w:t xml:space="preserve"> la</w:t>
      </w:r>
      <w:r w:rsidR="00433F7F" w:rsidRPr="00433F7F">
        <w:rPr>
          <w:rFonts w:ascii="Arial" w:hAnsi="Arial" w:cs="Arial"/>
          <w:sz w:val="24"/>
          <w:szCs w:val="24"/>
          <w:lang w:val="es-MX"/>
        </w:rPr>
        <w:t xml:space="preserve"> figura</w:t>
      </w:r>
      <w:r w:rsidR="00B548DA" w:rsidRPr="00433F7F">
        <w:rPr>
          <w:rFonts w:ascii="Arial" w:hAnsi="Arial" w:cs="Arial"/>
          <w:sz w:val="24"/>
          <w:szCs w:val="24"/>
          <w:lang w:val="es-MX"/>
        </w:rPr>
        <w:t xml:space="preserve"> </w:t>
      </w:r>
      <w:r w:rsidR="003629D7" w:rsidRPr="00433F7F">
        <w:rPr>
          <w:rFonts w:ascii="Arial" w:hAnsi="Arial" w:cs="Arial"/>
          <w:sz w:val="24"/>
          <w:szCs w:val="24"/>
          <w:lang w:val="es-MX"/>
        </w:rPr>
        <w:t xml:space="preserve">de juzgadores </w:t>
      </w:r>
      <w:r w:rsidR="00B548DA" w:rsidRPr="00433F7F">
        <w:rPr>
          <w:rFonts w:ascii="Arial" w:hAnsi="Arial" w:cs="Arial"/>
          <w:sz w:val="24"/>
          <w:szCs w:val="24"/>
          <w:lang w:val="es-MX"/>
        </w:rPr>
        <w:t>de control</w:t>
      </w:r>
      <w:r w:rsidR="00433F7F" w:rsidRPr="00433F7F">
        <w:rPr>
          <w:rFonts w:ascii="Arial" w:hAnsi="Arial" w:cs="Arial"/>
          <w:sz w:val="24"/>
          <w:szCs w:val="24"/>
          <w:lang w:val="es-MX"/>
        </w:rPr>
        <w:t xml:space="preserve"> que </w:t>
      </w:r>
      <w:r w:rsidR="00A21A17" w:rsidRPr="00433F7F">
        <w:rPr>
          <w:rFonts w:ascii="Arial" w:hAnsi="Arial" w:cs="Arial"/>
          <w:i/>
          <w:sz w:val="24"/>
          <w:szCs w:val="24"/>
          <w:lang w:val="es-MX"/>
        </w:rPr>
        <w:t>pertenece al órgano Jurisdiccional del fuero federal o del fuero común que interviene desde el principio del procedimiento y hasta el dictado del auto de apertura a juicio</w:t>
      </w:r>
      <w:r w:rsidR="00B63237" w:rsidRPr="00433F7F">
        <w:rPr>
          <w:rStyle w:val="Refdenotaalpie"/>
          <w:rFonts w:ascii="Arial" w:hAnsi="Arial" w:cs="Arial"/>
          <w:sz w:val="24"/>
          <w:szCs w:val="24"/>
          <w:lang w:val="es-MX"/>
        </w:rPr>
        <w:footnoteReference w:id="14"/>
      </w:r>
      <w:r w:rsidR="00433F7F" w:rsidRPr="00433F7F">
        <w:rPr>
          <w:rFonts w:ascii="Arial" w:hAnsi="Arial" w:cs="Arial"/>
          <w:sz w:val="24"/>
          <w:szCs w:val="24"/>
          <w:lang w:val="es-MX"/>
        </w:rPr>
        <w:t xml:space="preserve">. </w:t>
      </w:r>
    </w:p>
    <w:p w14:paraId="691D0C8A" w14:textId="0B89AA3B" w:rsidR="00C00657" w:rsidRPr="00433F7F" w:rsidRDefault="00433F7F"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Ahora bien,</w:t>
      </w:r>
      <w:r w:rsidR="00B548DA" w:rsidRPr="00433F7F">
        <w:rPr>
          <w:rFonts w:ascii="Arial" w:hAnsi="Arial" w:cs="Arial"/>
          <w:sz w:val="24"/>
          <w:szCs w:val="24"/>
          <w:lang w:val="es-MX"/>
        </w:rPr>
        <w:t xml:space="preserve"> se hizo este </w:t>
      </w:r>
      <w:r w:rsidRPr="00433F7F">
        <w:rPr>
          <w:rFonts w:ascii="Arial" w:hAnsi="Arial" w:cs="Arial"/>
          <w:sz w:val="24"/>
          <w:szCs w:val="24"/>
          <w:lang w:val="es-MX"/>
        </w:rPr>
        <w:t xml:space="preserve">relevante </w:t>
      </w:r>
      <w:r w:rsidR="00B548DA" w:rsidRPr="00433F7F">
        <w:rPr>
          <w:rFonts w:ascii="Arial" w:hAnsi="Arial" w:cs="Arial"/>
          <w:sz w:val="24"/>
          <w:szCs w:val="24"/>
          <w:lang w:val="es-MX"/>
        </w:rPr>
        <w:t>cambio para frenar</w:t>
      </w:r>
      <w:r w:rsidRPr="00433F7F">
        <w:rPr>
          <w:rFonts w:ascii="Arial" w:hAnsi="Arial" w:cs="Arial"/>
          <w:sz w:val="24"/>
          <w:szCs w:val="24"/>
          <w:lang w:val="es-MX"/>
        </w:rPr>
        <w:t xml:space="preserve"> los</w:t>
      </w:r>
      <w:r w:rsidR="00B548DA" w:rsidRPr="00433F7F">
        <w:rPr>
          <w:rFonts w:ascii="Arial" w:hAnsi="Arial" w:cs="Arial"/>
          <w:sz w:val="24"/>
          <w:szCs w:val="24"/>
          <w:lang w:val="es-MX"/>
        </w:rPr>
        <w:t xml:space="preserve"> </w:t>
      </w:r>
      <w:r w:rsidR="003629D7" w:rsidRPr="00433F7F">
        <w:rPr>
          <w:rFonts w:ascii="Arial" w:hAnsi="Arial" w:cs="Arial"/>
          <w:sz w:val="24"/>
          <w:szCs w:val="24"/>
          <w:lang w:val="es-MX"/>
        </w:rPr>
        <w:t xml:space="preserve">abusos que llevaban ocurriendo desde </w:t>
      </w:r>
      <w:r w:rsidR="00B548DA" w:rsidRPr="00433F7F">
        <w:rPr>
          <w:rFonts w:ascii="Arial" w:hAnsi="Arial" w:cs="Arial"/>
          <w:sz w:val="24"/>
          <w:szCs w:val="24"/>
          <w:lang w:val="es-MX"/>
        </w:rPr>
        <w:t>que opera la justicia penal</w:t>
      </w:r>
      <w:r w:rsidR="00B26EEF" w:rsidRPr="00433F7F">
        <w:rPr>
          <w:rFonts w:ascii="Arial" w:hAnsi="Arial" w:cs="Arial"/>
          <w:sz w:val="24"/>
          <w:szCs w:val="24"/>
          <w:lang w:val="es-MX"/>
        </w:rPr>
        <w:t xml:space="preserve"> en México</w:t>
      </w:r>
      <w:r w:rsidR="003629D7" w:rsidRPr="00E73388">
        <w:rPr>
          <w:rFonts w:ascii="Arial" w:hAnsi="Arial" w:cs="Arial"/>
          <w:sz w:val="24"/>
          <w:szCs w:val="24"/>
          <w:lang w:val="es-MX"/>
        </w:rPr>
        <w:t xml:space="preserve">. </w:t>
      </w:r>
      <w:r w:rsidRPr="00E73388">
        <w:rPr>
          <w:rFonts w:ascii="Arial" w:hAnsi="Arial" w:cs="Arial"/>
          <w:sz w:val="24"/>
          <w:szCs w:val="24"/>
          <w:lang w:val="es-MX"/>
        </w:rPr>
        <w:t xml:space="preserve">El </w:t>
      </w:r>
      <w:r w:rsidR="00464C3E">
        <w:rPr>
          <w:rFonts w:ascii="Arial" w:hAnsi="Arial" w:cs="Arial"/>
          <w:sz w:val="24"/>
          <w:szCs w:val="24"/>
          <w:lang w:val="es-MX"/>
        </w:rPr>
        <w:t xml:space="preserve">órgano </w:t>
      </w:r>
      <w:r w:rsidRPr="00E73388">
        <w:rPr>
          <w:rFonts w:ascii="Arial" w:hAnsi="Arial" w:cs="Arial"/>
          <w:sz w:val="24"/>
          <w:szCs w:val="24"/>
          <w:lang w:val="es-MX"/>
        </w:rPr>
        <w:t>juz</w:t>
      </w:r>
      <w:r w:rsidR="00464C3E">
        <w:rPr>
          <w:rFonts w:ascii="Arial" w:hAnsi="Arial" w:cs="Arial"/>
          <w:sz w:val="24"/>
          <w:szCs w:val="24"/>
          <w:lang w:val="es-MX"/>
        </w:rPr>
        <w:t>gador</w:t>
      </w:r>
      <w:r w:rsidRPr="00E73388">
        <w:rPr>
          <w:rFonts w:ascii="Arial" w:hAnsi="Arial" w:cs="Arial"/>
          <w:sz w:val="24"/>
          <w:szCs w:val="24"/>
          <w:lang w:val="es-MX"/>
        </w:rPr>
        <w:t xml:space="preserve"> de control</w:t>
      </w:r>
      <w:r w:rsidRPr="00433F7F">
        <w:rPr>
          <w:rFonts w:ascii="Arial" w:hAnsi="Arial" w:cs="Arial"/>
          <w:sz w:val="24"/>
          <w:szCs w:val="24"/>
          <w:lang w:val="es-MX"/>
        </w:rPr>
        <w:t xml:space="preserve"> s</w:t>
      </w:r>
      <w:r w:rsidR="00C00657" w:rsidRPr="00433F7F">
        <w:rPr>
          <w:rFonts w:ascii="Arial" w:hAnsi="Arial" w:cs="Arial"/>
          <w:sz w:val="24"/>
          <w:szCs w:val="24"/>
          <w:lang w:val="es-MX"/>
        </w:rPr>
        <w:t>e presenta como un órgano de control de garantías que protege los derechos de las personas a través de autorización, fiscalización y denegación de peticiones. Interviene en las medidas de allanamiento de arraigo, en restringir o autorizar la libertad de la persona, autorizar cateos, medidas cautelar</w:t>
      </w:r>
      <w:r w:rsidRPr="00433F7F">
        <w:rPr>
          <w:rFonts w:ascii="Arial" w:hAnsi="Arial" w:cs="Arial"/>
          <w:sz w:val="24"/>
          <w:szCs w:val="24"/>
          <w:lang w:val="es-MX"/>
        </w:rPr>
        <w:t>es</w:t>
      </w:r>
      <w:r w:rsidR="00C00657" w:rsidRPr="00433F7F">
        <w:rPr>
          <w:rFonts w:ascii="Arial" w:hAnsi="Arial" w:cs="Arial"/>
          <w:sz w:val="24"/>
          <w:szCs w:val="24"/>
          <w:lang w:val="es-MX"/>
        </w:rPr>
        <w:t>, o autorizar comunicaciones privadas, entre muchas otras. También actúa durante la etapa intermedia del proceso en la revisión de la legalidad de las pruebas que se van a introducir en el juicio.</w:t>
      </w:r>
    </w:p>
    <w:p w14:paraId="1AFF0875" w14:textId="1162B63B" w:rsidR="00761704" w:rsidRPr="00433F7F" w:rsidRDefault="00365D24"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Por su parte, </w:t>
      </w:r>
      <w:r w:rsidR="00997E6B" w:rsidRPr="00433F7F">
        <w:rPr>
          <w:rFonts w:ascii="Arial" w:hAnsi="Arial" w:cs="Arial"/>
          <w:sz w:val="24"/>
          <w:szCs w:val="24"/>
          <w:lang w:val="es-MX"/>
        </w:rPr>
        <w:t>la reforma en materia de derecho</w:t>
      </w:r>
      <w:r w:rsidR="00563DFF" w:rsidRPr="00433F7F">
        <w:rPr>
          <w:rFonts w:ascii="Arial" w:hAnsi="Arial" w:cs="Arial"/>
          <w:sz w:val="24"/>
          <w:szCs w:val="24"/>
          <w:lang w:val="es-MX"/>
        </w:rPr>
        <w:t>s</w:t>
      </w:r>
      <w:r w:rsidR="00997E6B" w:rsidRPr="00433F7F">
        <w:rPr>
          <w:rFonts w:ascii="Arial" w:hAnsi="Arial" w:cs="Arial"/>
          <w:sz w:val="24"/>
          <w:szCs w:val="24"/>
          <w:lang w:val="es-MX"/>
        </w:rPr>
        <w:t xml:space="preserve"> humanos</w:t>
      </w:r>
      <w:r w:rsidRPr="00433F7F">
        <w:rPr>
          <w:rFonts w:ascii="Arial" w:hAnsi="Arial" w:cs="Arial"/>
          <w:sz w:val="24"/>
          <w:szCs w:val="24"/>
          <w:lang w:val="es-MX"/>
        </w:rPr>
        <w:t xml:space="preserve"> </w:t>
      </w:r>
      <w:r w:rsidR="00563DFF" w:rsidRPr="00433F7F">
        <w:rPr>
          <w:rFonts w:ascii="Arial" w:hAnsi="Arial" w:cs="Arial"/>
          <w:sz w:val="24"/>
          <w:szCs w:val="24"/>
          <w:lang w:val="es-MX"/>
        </w:rPr>
        <w:t xml:space="preserve">determinó </w:t>
      </w:r>
      <w:r w:rsidR="002E3D90" w:rsidRPr="00433F7F">
        <w:rPr>
          <w:rFonts w:ascii="Arial" w:hAnsi="Arial" w:cs="Arial"/>
          <w:sz w:val="24"/>
          <w:szCs w:val="24"/>
          <w:lang w:val="es-MX"/>
        </w:rPr>
        <w:t>que</w:t>
      </w:r>
      <w:r w:rsidR="00563DFF" w:rsidRPr="00433F7F">
        <w:rPr>
          <w:rFonts w:ascii="Arial" w:hAnsi="Arial" w:cs="Arial"/>
          <w:sz w:val="24"/>
          <w:szCs w:val="24"/>
          <w:lang w:val="es-MX"/>
        </w:rPr>
        <w:t>,</w:t>
      </w:r>
      <w:r w:rsidR="002E3D90" w:rsidRPr="00433F7F">
        <w:rPr>
          <w:rFonts w:ascii="Arial" w:hAnsi="Arial" w:cs="Arial"/>
          <w:sz w:val="24"/>
          <w:szCs w:val="24"/>
          <w:lang w:val="es-MX"/>
        </w:rPr>
        <w:t xml:space="preserve"> conforme</w:t>
      </w:r>
      <w:r w:rsidR="00563DFF" w:rsidRPr="00433F7F">
        <w:rPr>
          <w:rFonts w:ascii="Arial" w:hAnsi="Arial" w:cs="Arial"/>
          <w:sz w:val="24"/>
          <w:szCs w:val="24"/>
          <w:lang w:val="es-MX"/>
        </w:rPr>
        <w:t xml:space="preserve"> a</w:t>
      </w:r>
      <w:r w:rsidR="002E3D90" w:rsidRPr="00433F7F">
        <w:rPr>
          <w:rFonts w:ascii="Arial" w:hAnsi="Arial" w:cs="Arial"/>
          <w:sz w:val="24"/>
          <w:szCs w:val="24"/>
          <w:lang w:val="es-MX"/>
        </w:rPr>
        <w:t xml:space="preserve"> </w:t>
      </w:r>
      <w:r w:rsidR="00C829AF" w:rsidRPr="00433F7F">
        <w:rPr>
          <w:rFonts w:ascii="Arial" w:hAnsi="Arial" w:cs="Arial"/>
          <w:sz w:val="24"/>
          <w:szCs w:val="24"/>
          <w:lang w:val="es-MX"/>
        </w:rPr>
        <w:t xml:space="preserve">las normas relativas a los derechos humanos se deben interpretar de conformidad a la Carta </w:t>
      </w:r>
      <w:r w:rsidR="00455CD6" w:rsidRPr="00433F7F">
        <w:rPr>
          <w:rFonts w:ascii="Arial" w:hAnsi="Arial" w:cs="Arial"/>
          <w:sz w:val="24"/>
          <w:szCs w:val="24"/>
          <w:lang w:val="es-MX"/>
        </w:rPr>
        <w:t>M</w:t>
      </w:r>
      <w:r w:rsidR="00C829AF" w:rsidRPr="00433F7F">
        <w:rPr>
          <w:rFonts w:ascii="Arial" w:hAnsi="Arial" w:cs="Arial"/>
          <w:sz w:val="24"/>
          <w:szCs w:val="24"/>
          <w:lang w:val="es-MX"/>
        </w:rPr>
        <w:t>agna y los tratados</w:t>
      </w:r>
      <w:r w:rsidR="00455CD6" w:rsidRPr="00433F7F">
        <w:rPr>
          <w:rFonts w:ascii="Arial" w:hAnsi="Arial" w:cs="Arial"/>
          <w:sz w:val="24"/>
          <w:szCs w:val="24"/>
          <w:lang w:val="es-MX"/>
        </w:rPr>
        <w:t xml:space="preserve"> internacionales</w:t>
      </w:r>
      <w:r w:rsidR="00C829AF" w:rsidRPr="00433F7F">
        <w:rPr>
          <w:rFonts w:ascii="Arial" w:hAnsi="Arial" w:cs="Arial"/>
          <w:sz w:val="24"/>
          <w:szCs w:val="24"/>
          <w:lang w:val="es-MX"/>
        </w:rPr>
        <w:t xml:space="preserve"> favoreciendo en todo momento a las personas de la manera más amplia</w:t>
      </w:r>
      <w:r w:rsidRPr="00433F7F">
        <w:rPr>
          <w:rFonts w:ascii="Arial" w:hAnsi="Arial" w:cs="Arial"/>
          <w:sz w:val="24"/>
          <w:szCs w:val="24"/>
          <w:lang w:val="es-MX"/>
        </w:rPr>
        <w:t xml:space="preserve"> y </w:t>
      </w:r>
      <w:r w:rsidRPr="00433F7F">
        <w:rPr>
          <w:rFonts w:ascii="Arial" w:hAnsi="Arial" w:cs="Arial"/>
          <w:sz w:val="24"/>
          <w:szCs w:val="24"/>
          <w:lang w:val="es-MX"/>
        </w:rPr>
        <w:lastRenderedPageBreak/>
        <w:t>que</w:t>
      </w:r>
      <w:r w:rsidR="00433F7F" w:rsidRPr="00433F7F">
        <w:rPr>
          <w:rFonts w:ascii="Arial" w:hAnsi="Arial" w:cs="Arial"/>
          <w:sz w:val="24"/>
          <w:szCs w:val="24"/>
          <w:lang w:val="es-MX"/>
        </w:rPr>
        <w:t xml:space="preserve"> </w:t>
      </w:r>
      <w:r w:rsidRPr="00433F7F">
        <w:rPr>
          <w:rFonts w:ascii="Arial" w:hAnsi="Arial" w:cs="Arial"/>
          <w:sz w:val="24"/>
          <w:szCs w:val="24"/>
          <w:lang w:val="es-MX"/>
        </w:rPr>
        <w:t>las autoridades cuentan con</w:t>
      </w:r>
      <w:r w:rsidR="00C829AF" w:rsidRPr="00433F7F">
        <w:rPr>
          <w:rFonts w:ascii="Arial" w:hAnsi="Arial" w:cs="Arial"/>
          <w:sz w:val="24"/>
          <w:szCs w:val="24"/>
          <w:lang w:val="es-MX"/>
        </w:rPr>
        <w:t xml:space="preserve"> la obligación de promover, respetar, proteger y garantizar los derechos humanos</w:t>
      </w:r>
      <w:r w:rsidR="00433F7F" w:rsidRPr="00433F7F">
        <w:rPr>
          <w:rFonts w:ascii="Arial" w:hAnsi="Arial" w:cs="Arial"/>
          <w:sz w:val="24"/>
          <w:szCs w:val="24"/>
          <w:lang w:val="es-MX"/>
        </w:rPr>
        <w:t>. Y, en la misma línea,</w:t>
      </w:r>
      <w:r w:rsidR="00C829AF" w:rsidRPr="00433F7F">
        <w:rPr>
          <w:rFonts w:ascii="Arial" w:hAnsi="Arial" w:cs="Arial"/>
          <w:sz w:val="24"/>
          <w:szCs w:val="24"/>
          <w:lang w:val="es-MX"/>
        </w:rPr>
        <w:t xml:space="preserve"> el Estado debe prevenir, investigar, sancionar y reparar las violaciones a estos derechos</w:t>
      </w:r>
      <w:r w:rsidR="00D279E6" w:rsidRPr="00433F7F">
        <w:rPr>
          <w:rStyle w:val="Refdenotaalpie"/>
          <w:rFonts w:ascii="Arial" w:hAnsi="Arial" w:cs="Arial"/>
          <w:sz w:val="24"/>
          <w:szCs w:val="24"/>
          <w:lang w:val="es-MX"/>
        </w:rPr>
        <w:footnoteReference w:id="15"/>
      </w:r>
      <w:r w:rsidR="00C829AF" w:rsidRPr="00433F7F">
        <w:rPr>
          <w:rFonts w:ascii="Arial" w:hAnsi="Arial" w:cs="Arial"/>
          <w:sz w:val="24"/>
          <w:szCs w:val="24"/>
          <w:lang w:val="es-MX"/>
        </w:rPr>
        <w:t xml:space="preserve">. </w:t>
      </w:r>
      <w:r w:rsidR="00B548DA" w:rsidRPr="00433F7F">
        <w:rPr>
          <w:rFonts w:ascii="Arial" w:hAnsi="Arial" w:cs="Arial"/>
          <w:sz w:val="24"/>
          <w:szCs w:val="24"/>
          <w:lang w:val="es-MX"/>
        </w:rPr>
        <w:t>Por lo tanto, se da un giro muy importante en cuanto a la protección de derechos humanos</w:t>
      </w:r>
      <w:r w:rsidRPr="00433F7F">
        <w:rPr>
          <w:rFonts w:ascii="Arial" w:hAnsi="Arial" w:cs="Arial"/>
          <w:sz w:val="24"/>
          <w:szCs w:val="24"/>
          <w:lang w:val="es-MX"/>
        </w:rPr>
        <w:t xml:space="preserve"> de manera integral</w:t>
      </w:r>
      <w:r w:rsidR="00B548DA" w:rsidRPr="00433F7F">
        <w:rPr>
          <w:rFonts w:ascii="Arial" w:hAnsi="Arial" w:cs="Arial"/>
          <w:sz w:val="24"/>
          <w:szCs w:val="24"/>
          <w:lang w:val="es-MX"/>
        </w:rPr>
        <w:t>.</w:t>
      </w:r>
    </w:p>
    <w:p w14:paraId="0B71A8F0" w14:textId="12F5BA98" w:rsidR="00433F7F" w:rsidRDefault="005A458A"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Por su parte, ante el nuevo escenario normativo </w:t>
      </w:r>
      <w:r w:rsidR="00563DFF" w:rsidRPr="00433F7F">
        <w:rPr>
          <w:rFonts w:ascii="Arial" w:hAnsi="Arial" w:cs="Arial"/>
          <w:sz w:val="24"/>
          <w:szCs w:val="24"/>
          <w:lang w:val="es-MX"/>
        </w:rPr>
        <w:t>fue</w:t>
      </w:r>
      <w:r w:rsidR="00433F7F" w:rsidRPr="00433F7F">
        <w:rPr>
          <w:rFonts w:ascii="Arial" w:hAnsi="Arial" w:cs="Arial"/>
          <w:sz w:val="24"/>
          <w:szCs w:val="24"/>
          <w:lang w:val="es-MX"/>
        </w:rPr>
        <w:t>,</w:t>
      </w:r>
      <w:r w:rsidR="00563DFF" w:rsidRPr="00433F7F">
        <w:rPr>
          <w:rFonts w:ascii="Arial" w:hAnsi="Arial" w:cs="Arial"/>
          <w:sz w:val="24"/>
          <w:szCs w:val="24"/>
          <w:lang w:val="es-MX"/>
        </w:rPr>
        <w:t xml:space="preserve"> precisamente</w:t>
      </w:r>
      <w:r w:rsidR="00433F7F" w:rsidRPr="00433F7F">
        <w:rPr>
          <w:rFonts w:ascii="Arial" w:hAnsi="Arial" w:cs="Arial"/>
          <w:sz w:val="24"/>
          <w:szCs w:val="24"/>
          <w:lang w:val="es-MX"/>
        </w:rPr>
        <w:t>,</w:t>
      </w:r>
      <w:r w:rsidR="00563DFF" w:rsidRPr="00433F7F">
        <w:rPr>
          <w:rFonts w:ascii="Arial" w:hAnsi="Arial" w:cs="Arial"/>
          <w:sz w:val="24"/>
          <w:szCs w:val="24"/>
          <w:lang w:val="es-MX"/>
        </w:rPr>
        <w:t xml:space="preserve"> </w:t>
      </w:r>
      <w:r w:rsidRPr="00433F7F">
        <w:rPr>
          <w:rFonts w:ascii="Arial" w:hAnsi="Arial" w:cs="Arial"/>
          <w:sz w:val="24"/>
          <w:szCs w:val="24"/>
          <w:lang w:val="es-MX"/>
        </w:rPr>
        <w:t xml:space="preserve">la SCJN </w:t>
      </w:r>
      <w:r w:rsidR="00563DFF" w:rsidRPr="00433F7F">
        <w:rPr>
          <w:rFonts w:ascii="Arial" w:hAnsi="Arial" w:cs="Arial"/>
          <w:sz w:val="24"/>
          <w:szCs w:val="24"/>
          <w:lang w:val="es-MX"/>
        </w:rPr>
        <w:t xml:space="preserve">quien </w:t>
      </w:r>
      <w:r w:rsidRPr="00433F7F">
        <w:rPr>
          <w:rFonts w:ascii="Arial" w:hAnsi="Arial" w:cs="Arial"/>
          <w:sz w:val="24"/>
          <w:szCs w:val="24"/>
          <w:lang w:val="es-MX"/>
        </w:rPr>
        <w:t>reivindicó el sentido respetuoso de derechos humanos mediante jurisprudencia, en noviembre del año 2018</w:t>
      </w:r>
      <w:r w:rsidR="00433F7F" w:rsidRPr="00433F7F">
        <w:rPr>
          <w:rFonts w:ascii="Arial" w:hAnsi="Arial" w:cs="Arial"/>
          <w:sz w:val="24"/>
          <w:szCs w:val="24"/>
          <w:lang w:val="es-MX"/>
        </w:rPr>
        <w:t>,</w:t>
      </w:r>
      <w:r w:rsidRPr="00433F7F">
        <w:rPr>
          <w:rFonts w:ascii="Arial" w:hAnsi="Arial" w:cs="Arial"/>
          <w:sz w:val="24"/>
          <w:szCs w:val="24"/>
          <w:lang w:val="es-MX"/>
        </w:rPr>
        <w:t xml:space="preserve"> que</w:t>
      </w:r>
      <w:r w:rsidR="00433F7F" w:rsidRPr="00433F7F">
        <w:rPr>
          <w:rFonts w:ascii="Arial" w:hAnsi="Arial" w:cs="Arial"/>
          <w:sz w:val="24"/>
          <w:szCs w:val="24"/>
          <w:lang w:val="es-MX"/>
        </w:rPr>
        <w:t xml:space="preserve"> </w:t>
      </w:r>
    </w:p>
    <w:p w14:paraId="1E0457B4" w14:textId="780425CB" w:rsidR="005A458A" w:rsidRPr="00433F7F" w:rsidRDefault="005A458A" w:rsidP="006D15B4">
      <w:pPr>
        <w:spacing w:line="360" w:lineRule="auto"/>
        <w:ind w:left="1440" w:right="720"/>
        <w:jc w:val="both"/>
        <w:rPr>
          <w:rFonts w:ascii="Arial" w:hAnsi="Arial" w:cs="Arial"/>
          <w:color w:val="000000"/>
          <w:sz w:val="24"/>
          <w:szCs w:val="24"/>
          <w:lang w:val="es-MX"/>
        </w:rPr>
      </w:pPr>
      <w:r w:rsidRPr="00433F7F">
        <w:rPr>
          <w:rFonts w:ascii="Arial" w:hAnsi="Arial" w:cs="Arial"/>
          <w:color w:val="000000"/>
          <w:sz w:val="24"/>
          <w:szCs w:val="24"/>
          <w:lang w:val="es-MX"/>
        </w:rPr>
        <w:t>se constata a partir de una nueva dinámica no sólo legislativa sino también jurisprudencial, caracterizada por tener un aspecto preponderantemente garantista, en el que la dignidad humana se ubica como eje de este nuevo sistema, privilegiando tanto</w:t>
      </w:r>
      <w:r w:rsidRPr="00433F7F">
        <w:rPr>
          <w:rFonts w:ascii="Arial" w:hAnsi="Arial" w:cs="Arial"/>
          <w:i/>
          <w:iCs/>
          <w:color w:val="000000"/>
          <w:sz w:val="24"/>
          <w:szCs w:val="24"/>
          <w:lang w:val="es-MX"/>
        </w:rPr>
        <w:t xml:space="preserve"> </w:t>
      </w:r>
      <w:r w:rsidRPr="00433F7F">
        <w:rPr>
          <w:rFonts w:ascii="Arial" w:hAnsi="Arial" w:cs="Arial"/>
          <w:color w:val="000000"/>
          <w:sz w:val="24"/>
          <w:szCs w:val="24"/>
          <w:lang w:val="es-MX"/>
        </w:rPr>
        <w:t>la presunción de inocencia, como la reparación del daño a las víctimas</w:t>
      </w:r>
      <w:r w:rsidRPr="00433F7F">
        <w:rPr>
          <w:rFonts w:ascii="Arial" w:hAnsi="Arial" w:cs="Arial"/>
          <w:i/>
          <w:iCs/>
          <w:color w:val="000000"/>
          <w:sz w:val="24"/>
          <w:szCs w:val="24"/>
          <w:lang w:val="es-MX"/>
        </w:rPr>
        <w:t>.</w:t>
      </w:r>
      <w:r w:rsidRPr="00433F7F">
        <w:rPr>
          <w:rFonts w:ascii="Arial" w:hAnsi="Arial" w:cs="Arial"/>
          <w:color w:val="000000"/>
          <w:sz w:val="24"/>
          <w:szCs w:val="24"/>
          <w:lang w:val="es-MX"/>
        </w:rPr>
        <w:t xml:space="preserve"> </w:t>
      </w:r>
      <w:r w:rsidRPr="00433F7F">
        <w:rPr>
          <w:rStyle w:val="Refdenotaalpie"/>
          <w:rFonts w:ascii="Arial" w:hAnsi="Arial" w:cs="Arial"/>
          <w:color w:val="000000"/>
          <w:sz w:val="24"/>
          <w:szCs w:val="24"/>
          <w:lang w:val="es-MX"/>
        </w:rPr>
        <w:footnoteReference w:id="16"/>
      </w:r>
    </w:p>
    <w:p w14:paraId="03A9465C" w14:textId="54B16E6F" w:rsidR="006A6B3E" w:rsidRPr="00433F7F" w:rsidRDefault="00761704"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Surgen varios cuestionamientos en cuanto a que la forma de medir el trato adecuado de inocencia, </w:t>
      </w:r>
      <w:r w:rsidR="002A6731" w:rsidRPr="00433F7F">
        <w:rPr>
          <w:rFonts w:ascii="Arial" w:hAnsi="Arial" w:cs="Arial"/>
          <w:sz w:val="24"/>
          <w:szCs w:val="24"/>
          <w:lang w:val="es-MX"/>
        </w:rPr>
        <w:t>¿</w:t>
      </w:r>
      <w:r w:rsidRPr="00433F7F">
        <w:rPr>
          <w:rFonts w:ascii="Arial" w:hAnsi="Arial" w:cs="Arial"/>
          <w:sz w:val="24"/>
          <w:szCs w:val="24"/>
          <w:lang w:val="es-MX"/>
        </w:rPr>
        <w:t xml:space="preserve">cuál </w:t>
      </w:r>
      <w:r w:rsidR="001574B9" w:rsidRPr="00433F7F">
        <w:rPr>
          <w:rFonts w:ascii="Arial" w:hAnsi="Arial" w:cs="Arial"/>
          <w:sz w:val="24"/>
          <w:szCs w:val="24"/>
          <w:lang w:val="es-MX"/>
        </w:rPr>
        <w:t>es</w:t>
      </w:r>
      <w:r w:rsidRPr="00433F7F">
        <w:rPr>
          <w:rFonts w:ascii="Arial" w:hAnsi="Arial" w:cs="Arial"/>
          <w:sz w:val="24"/>
          <w:szCs w:val="24"/>
          <w:lang w:val="es-MX"/>
        </w:rPr>
        <w:t xml:space="preserve"> la brecha</w:t>
      </w:r>
      <w:r w:rsidR="002A6731" w:rsidRPr="00433F7F">
        <w:rPr>
          <w:rFonts w:ascii="Arial" w:hAnsi="Arial" w:cs="Arial"/>
          <w:sz w:val="24"/>
          <w:szCs w:val="24"/>
          <w:lang w:val="es-MX"/>
        </w:rPr>
        <w:t xml:space="preserve"> o resquicio por donde dicho trato no </w:t>
      </w:r>
      <w:r w:rsidR="002E3D74">
        <w:rPr>
          <w:rFonts w:ascii="Arial" w:hAnsi="Arial" w:cs="Arial"/>
          <w:sz w:val="24"/>
          <w:szCs w:val="24"/>
          <w:lang w:val="es-MX"/>
        </w:rPr>
        <w:t>se considera</w:t>
      </w:r>
      <w:r w:rsidR="002A6731" w:rsidRPr="00433F7F">
        <w:rPr>
          <w:rFonts w:ascii="Arial" w:hAnsi="Arial" w:cs="Arial"/>
          <w:sz w:val="24"/>
          <w:szCs w:val="24"/>
          <w:lang w:val="es-MX"/>
        </w:rPr>
        <w:t xml:space="preserve"> adecuado?</w:t>
      </w:r>
      <w:r w:rsidRPr="00433F7F">
        <w:rPr>
          <w:rFonts w:ascii="Arial" w:hAnsi="Arial" w:cs="Arial"/>
          <w:sz w:val="24"/>
          <w:szCs w:val="24"/>
          <w:lang w:val="es-MX"/>
        </w:rPr>
        <w:t xml:space="preserve">, </w:t>
      </w:r>
      <w:r w:rsidR="002A6731" w:rsidRPr="00433F7F">
        <w:rPr>
          <w:rFonts w:ascii="Arial" w:hAnsi="Arial" w:cs="Arial"/>
          <w:sz w:val="24"/>
          <w:szCs w:val="24"/>
          <w:lang w:val="es-MX"/>
        </w:rPr>
        <w:t>¿</w:t>
      </w:r>
      <w:r w:rsidR="00220323" w:rsidRPr="00433F7F">
        <w:rPr>
          <w:rFonts w:ascii="Arial" w:hAnsi="Arial" w:cs="Arial"/>
          <w:sz w:val="24"/>
          <w:szCs w:val="24"/>
          <w:lang w:val="es-MX"/>
        </w:rPr>
        <w:t xml:space="preserve">cuál es </w:t>
      </w:r>
      <w:r w:rsidRPr="00433F7F">
        <w:rPr>
          <w:rFonts w:ascii="Arial" w:hAnsi="Arial" w:cs="Arial"/>
          <w:sz w:val="24"/>
          <w:szCs w:val="24"/>
          <w:lang w:val="es-MX"/>
        </w:rPr>
        <w:t>el estándar para proteger</w:t>
      </w:r>
      <w:r w:rsidR="002A6731" w:rsidRPr="00433F7F">
        <w:rPr>
          <w:rFonts w:ascii="Arial" w:hAnsi="Arial" w:cs="Arial"/>
          <w:sz w:val="24"/>
          <w:szCs w:val="24"/>
          <w:lang w:val="es-MX"/>
        </w:rPr>
        <w:t xml:space="preserve"> dicho trato?</w:t>
      </w:r>
      <w:r w:rsidRPr="00433F7F">
        <w:rPr>
          <w:rFonts w:ascii="Arial" w:hAnsi="Arial" w:cs="Arial"/>
          <w:sz w:val="24"/>
          <w:szCs w:val="24"/>
          <w:lang w:val="es-MX"/>
        </w:rPr>
        <w:t xml:space="preserve"> </w:t>
      </w:r>
      <w:r w:rsidR="00433F7F" w:rsidRPr="00433F7F">
        <w:rPr>
          <w:rFonts w:ascii="Arial" w:hAnsi="Arial" w:cs="Arial"/>
          <w:sz w:val="24"/>
          <w:szCs w:val="24"/>
          <w:lang w:val="es-MX"/>
        </w:rPr>
        <w:t>Y,</w:t>
      </w:r>
      <w:r w:rsidR="002A6731" w:rsidRPr="00433F7F">
        <w:rPr>
          <w:rFonts w:ascii="Arial" w:hAnsi="Arial" w:cs="Arial"/>
          <w:sz w:val="24"/>
          <w:szCs w:val="24"/>
          <w:lang w:val="es-MX"/>
        </w:rPr>
        <w:t xml:space="preserve"> </w:t>
      </w:r>
      <w:r w:rsidR="001574B9" w:rsidRPr="00433F7F">
        <w:rPr>
          <w:rFonts w:ascii="Arial" w:hAnsi="Arial" w:cs="Arial"/>
          <w:sz w:val="24"/>
          <w:szCs w:val="24"/>
          <w:lang w:val="es-MX"/>
        </w:rPr>
        <w:t xml:space="preserve">en caso de </w:t>
      </w:r>
      <w:r w:rsidR="006A6B3E" w:rsidRPr="00433F7F">
        <w:rPr>
          <w:rFonts w:ascii="Arial" w:hAnsi="Arial" w:cs="Arial"/>
          <w:sz w:val="24"/>
          <w:szCs w:val="24"/>
          <w:lang w:val="es-MX"/>
        </w:rPr>
        <w:t xml:space="preserve">colisión </w:t>
      </w:r>
      <w:r w:rsidRPr="00433F7F">
        <w:rPr>
          <w:rFonts w:ascii="Arial" w:hAnsi="Arial" w:cs="Arial"/>
          <w:sz w:val="24"/>
          <w:szCs w:val="24"/>
          <w:lang w:val="es-MX"/>
        </w:rPr>
        <w:t xml:space="preserve">de </w:t>
      </w:r>
      <w:r w:rsidR="002A6731" w:rsidRPr="00433F7F">
        <w:rPr>
          <w:rFonts w:ascii="Arial" w:hAnsi="Arial" w:cs="Arial"/>
          <w:sz w:val="24"/>
          <w:szCs w:val="24"/>
          <w:lang w:val="es-MX"/>
        </w:rPr>
        <w:t xml:space="preserve">presunción de inocencia </w:t>
      </w:r>
      <w:r w:rsidR="006A6B3E" w:rsidRPr="00433F7F">
        <w:rPr>
          <w:rFonts w:ascii="Arial" w:hAnsi="Arial" w:cs="Arial"/>
          <w:sz w:val="24"/>
          <w:szCs w:val="24"/>
          <w:lang w:val="es-MX"/>
        </w:rPr>
        <w:t xml:space="preserve">con otros derechos como libertad, dignidad humana, intimidad, el honor, </w:t>
      </w:r>
      <w:r w:rsidR="00ED1BBF" w:rsidRPr="00433F7F">
        <w:rPr>
          <w:rFonts w:ascii="Arial" w:hAnsi="Arial" w:cs="Arial"/>
          <w:sz w:val="24"/>
          <w:szCs w:val="24"/>
          <w:lang w:val="es-MX"/>
        </w:rPr>
        <w:t xml:space="preserve">derechos políticos, </w:t>
      </w:r>
      <w:r w:rsidR="006A6B3E" w:rsidRPr="00433F7F">
        <w:rPr>
          <w:rFonts w:ascii="Arial" w:hAnsi="Arial" w:cs="Arial"/>
          <w:sz w:val="24"/>
          <w:szCs w:val="24"/>
          <w:lang w:val="es-MX"/>
        </w:rPr>
        <w:t xml:space="preserve">entre otros, </w:t>
      </w:r>
      <w:r w:rsidR="00E73388">
        <w:rPr>
          <w:rFonts w:ascii="Arial" w:hAnsi="Arial" w:cs="Arial"/>
          <w:sz w:val="24"/>
          <w:szCs w:val="24"/>
          <w:lang w:val="es-MX"/>
        </w:rPr>
        <w:t xml:space="preserve">se deben </w:t>
      </w:r>
      <w:r w:rsidR="006A6B3E" w:rsidRPr="00433F7F">
        <w:rPr>
          <w:rFonts w:ascii="Arial" w:hAnsi="Arial" w:cs="Arial"/>
          <w:sz w:val="24"/>
          <w:szCs w:val="24"/>
          <w:lang w:val="es-MX"/>
        </w:rPr>
        <w:t>realizar</w:t>
      </w:r>
      <w:r w:rsidR="00E73388">
        <w:rPr>
          <w:rFonts w:ascii="Arial" w:hAnsi="Arial" w:cs="Arial"/>
          <w:sz w:val="24"/>
          <w:szCs w:val="24"/>
          <w:lang w:val="es-MX"/>
        </w:rPr>
        <w:t xml:space="preserve"> el ejercicio de</w:t>
      </w:r>
      <w:r w:rsidR="006A6B3E" w:rsidRPr="00433F7F">
        <w:rPr>
          <w:rFonts w:ascii="Arial" w:hAnsi="Arial" w:cs="Arial"/>
          <w:sz w:val="24"/>
          <w:szCs w:val="24"/>
          <w:lang w:val="es-MX"/>
        </w:rPr>
        <w:t xml:space="preserve"> ponderación </w:t>
      </w:r>
      <w:r w:rsidR="005F5A59">
        <w:rPr>
          <w:rFonts w:ascii="Arial" w:hAnsi="Arial" w:cs="Arial"/>
          <w:sz w:val="24"/>
          <w:szCs w:val="24"/>
          <w:lang w:val="es-MX"/>
        </w:rPr>
        <w:t xml:space="preserve">para tomar una decisión más adecuada, no se debe emitir nunca sin que exista previo </w:t>
      </w:r>
      <w:r w:rsidR="005F5A59">
        <w:rPr>
          <w:rFonts w:ascii="Arial" w:hAnsi="Arial" w:cs="Arial"/>
          <w:sz w:val="24"/>
          <w:szCs w:val="24"/>
          <w:lang w:val="es-MX"/>
        </w:rPr>
        <w:lastRenderedPageBreak/>
        <w:t xml:space="preserve">debate. </w:t>
      </w:r>
      <w:r w:rsidR="006A6B3E" w:rsidRPr="00433F7F">
        <w:rPr>
          <w:rFonts w:ascii="Arial" w:hAnsi="Arial" w:cs="Arial"/>
          <w:sz w:val="24"/>
          <w:szCs w:val="24"/>
          <w:lang w:val="es-MX"/>
        </w:rPr>
        <w:t xml:space="preserve">En este sentido, </w:t>
      </w:r>
      <w:r w:rsidR="00563DFF" w:rsidRPr="00433F7F">
        <w:rPr>
          <w:rFonts w:ascii="Arial" w:hAnsi="Arial" w:cs="Arial"/>
          <w:sz w:val="24"/>
          <w:szCs w:val="24"/>
          <w:lang w:val="es-MX"/>
        </w:rPr>
        <w:t xml:space="preserve">se han emitido </w:t>
      </w:r>
      <w:r w:rsidR="006A6B3E" w:rsidRPr="00433F7F">
        <w:rPr>
          <w:rFonts w:ascii="Arial" w:hAnsi="Arial" w:cs="Arial"/>
          <w:sz w:val="24"/>
          <w:szCs w:val="24"/>
          <w:lang w:val="es-MX"/>
        </w:rPr>
        <w:t>resoluciones que ampl</w:t>
      </w:r>
      <w:r w:rsidR="00563DFF" w:rsidRPr="00433F7F">
        <w:rPr>
          <w:rFonts w:ascii="Arial" w:hAnsi="Arial" w:cs="Arial"/>
          <w:sz w:val="24"/>
          <w:szCs w:val="24"/>
          <w:lang w:val="es-MX"/>
        </w:rPr>
        <w:t>í</w:t>
      </w:r>
      <w:r w:rsidR="006A6B3E" w:rsidRPr="00433F7F">
        <w:rPr>
          <w:rFonts w:ascii="Arial" w:hAnsi="Arial" w:cs="Arial"/>
          <w:sz w:val="24"/>
          <w:szCs w:val="24"/>
          <w:lang w:val="es-MX"/>
        </w:rPr>
        <w:t>a</w:t>
      </w:r>
      <w:r w:rsidR="00563DFF" w:rsidRPr="00433F7F">
        <w:rPr>
          <w:rFonts w:ascii="Arial" w:hAnsi="Arial" w:cs="Arial"/>
          <w:sz w:val="24"/>
          <w:szCs w:val="24"/>
          <w:lang w:val="es-MX"/>
        </w:rPr>
        <w:t>n la protección de este derecho</w:t>
      </w:r>
      <w:r w:rsidR="006A6B3E" w:rsidRPr="00433F7F">
        <w:rPr>
          <w:rFonts w:ascii="Arial" w:hAnsi="Arial" w:cs="Arial"/>
          <w:sz w:val="24"/>
          <w:szCs w:val="24"/>
          <w:lang w:val="es-MX"/>
        </w:rPr>
        <w:t>.</w:t>
      </w:r>
    </w:p>
    <w:p w14:paraId="4272A5E3" w14:textId="77777777" w:rsidR="007828BF" w:rsidRPr="00433F7F" w:rsidRDefault="007828BF" w:rsidP="00433F7F">
      <w:pPr>
        <w:spacing w:line="360" w:lineRule="auto"/>
        <w:ind w:left="720" w:right="720"/>
        <w:rPr>
          <w:rFonts w:ascii="Arial" w:hAnsi="Arial" w:cs="Arial"/>
          <w:b/>
          <w:sz w:val="24"/>
          <w:szCs w:val="24"/>
          <w:lang w:val="es-MX"/>
        </w:rPr>
      </w:pPr>
    </w:p>
    <w:p w14:paraId="080BBBC2" w14:textId="6A3B2F3E" w:rsidR="0095546C" w:rsidRPr="00433F7F" w:rsidRDefault="00A968A9" w:rsidP="00433F7F">
      <w:pPr>
        <w:spacing w:line="360" w:lineRule="auto"/>
        <w:ind w:left="810" w:right="720"/>
        <w:jc w:val="both"/>
        <w:rPr>
          <w:rFonts w:ascii="Arial" w:hAnsi="Arial" w:cs="Arial"/>
          <w:bCs/>
          <w:sz w:val="24"/>
          <w:szCs w:val="24"/>
          <w:lang w:val="es-MX"/>
        </w:rPr>
      </w:pPr>
      <w:r w:rsidRPr="00433F7F">
        <w:rPr>
          <w:rFonts w:ascii="Arial" w:hAnsi="Arial" w:cs="Arial"/>
          <w:bCs/>
          <w:sz w:val="24"/>
          <w:szCs w:val="24"/>
          <w:lang w:val="es-MX"/>
        </w:rPr>
        <w:t>II. RECONOCIMIENTO NORMATIVO Y CONVENCIONAL DE LA PRESUNCIÓN DE INOCENCIA</w:t>
      </w:r>
    </w:p>
    <w:p w14:paraId="5FDF9E11" w14:textId="77777777" w:rsidR="0095546C" w:rsidRPr="00433F7F" w:rsidRDefault="0095546C" w:rsidP="00433F7F">
      <w:pPr>
        <w:pStyle w:val="Prrafodelista"/>
        <w:spacing w:line="360" w:lineRule="auto"/>
        <w:ind w:right="720"/>
        <w:rPr>
          <w:rFonts w:ascii="Arial" w:hAnsi="Arial" w:cs="Arial"/>
          <w:b/>
          <w:sz w:val="24"/>
          <w:szCs w:val="24"/>
          <w:lang w:val="es-MX"/>
        </w:rPr>
      </w:pPr>
    </w:p>
    <w:p w14:paraId="255E4F3F" w14:textId="6B65233A" w:rsidR="007828BF" w:rsidRPr="00433F7F" w:rsidRDefault="007828BF" w:rsidP="00433F7F">
      <w:pPr>
        <w:pStyle w:val="Prrafodelista"/>
        <w:numPr>
          <w:ilvl w:val="0"/>
          <w:numId w:val="33"/>
        </w:numPr>
        <w:spacing w:line="360" w:lineRule="auto"/>
        <w:ind w:right="720"/>
        <w:rPr>
          <w:rFonts w:ascii="Arial" w:hAnsi="Arial" w:cs="Arial"/>
          <w:bCs/>
          <w:sz w:val="24"/>
          <w:szCs w:val="24"/>
          <w:lang w:val="es-MX"/>
        </w:rPr>
      </w:pPr>
      <w:r w:rsidRPr="00433F7F">
        <w:rPr>
          <w:rFonts w:ascii="Arial" w:hAnsi="Arial" w:cs="Arial"/>
          <w:bCs/>
          <w:sz w:val="24"/>
          <w:szCs w:val="24"/>
          <w:lang w:val="es-MX"/>
        </w:rPr>
        <w:t>Aspectos normativos</w:t>
      </w:r>
    </w:p>
    <w:p w14:paraId="2E12E35A" w14:textId="3A476C4A" w:rsidR="007828BF" w:rsidRPr="00433F7F" w:rsidRDefault="007828BF" w:rsidP="00433F7F">
      <w:pPr>
        <w:spacing w:line="360" w:lineRule="auto"/>
        <w:ind w:left="720" w:right="720"/>
        <w:jc w:val="both"/>
        <w:rPr>
          <w:rFonts w:ascii="Arial" w:eastAsia="Times New Roman" w:hAnsi="Arial" w:cs="Arial"/>
          <w:iCs/>
          <w:sz w:val="24"/>
          <w:szCs w:val="24"/>
          <w:lang w:val="es-MX"/>
        </w:rPr>
      </w:pPr>
      <w:r w:rsidRPr="00433F7F">
        <w:rPr>
          <w:rFonts w:ascii="Arial" w:hAnsi="Arial" w:cs="Arial"/>
          <w:sz w:val="24"/>
          <w:szCs w:val="24"/>
          <w:lang w:val="es-MX"/>
        </w:rPr>
        <w:t>El derecho a la presunción de inocencia no fue reconocido de manera expresa en la Constitución mexicana del 5 de febrero de 1917,</w:t>
      </w:r>
      <w:r w:rsidR="00433F7F" w:rsidRPr="00433F7F">
        <w:rPr>
          <w:rFonts w:ascii="Arial" w:hAnsi="Arial" w:cs="Arial"/>
          <w:sz w:val="24"/>
          <w:szCs w:val="24"/>
          <w:lang w:val="es-MX"/>
        </w:rPr>
        <w:t xml:space="preserve"> sino que</w:t>
      </w:r>
      <w:r w:rsidRPr="00433F7F">
        <w:rPr>
          <w:rFonts w:ascii="Arial" w:hAnsi="Arial" w:cs="Arial"/>
          <w:sz w:val="24"/>
          <w:szCs w:val="24"/>
          <w:lang w:val="es-MX"/>
        </w:rPr>
        <w:t xml:space="preserve"> debido a las interpretaciones jurisprudenciales se fue perfila</w:t>
      </w:r>
      <w:r w:rsidR="00A21A17" w:rsidRPr="00433F7F">
        <w:rPr>
          <w:rFonts w:ascii="Arial" w:hAnsi="Arial" w:cs="Arial"/>
          <w:sz w:val="24"/>
          <w:szCs w:val="24"/>
          <w:lang w:val="es-MX"/>
        </w:rPr>
        <w:t>n</w:t>
      </w:r>
      <w:r w:rsidRPr="00433F7F">
        <w:rPr>
          <w:rFonts w:ascii="Arial" w:hAnsi="Arial" w:cs="Arial"/>
          <w:sz w:val="24"/>
          <w:szCs w:val="24"/>
          <w:lang w:val="es-MX"/>
        </w:rPr>
        <w:t xml:space="preserve">do el reconocimiento de dicho derecho. En el año 2002, la SCJN </w:t>
      </w:r>
      <w:r w:rsidR="002348A8" w:rsidRPr="00433F7F">
        <w:rPr>
          <w:rFonts w:ascii="Arial" w:hAnsi="Arial" w:cs="Arial"/>
          <w:sz w:val="24"/>
          <w:szCs w:val="24"/>
          <w:lang w:val="es-MX"/>
        </w:rPr>
        <w:t>determinó</w:t>
      </w:r>
      <w:r w:rsidRPr="00433F7F">
        <w:rPr>
          <w:rFonts w:ascii="Arial" w:eastAsia="Times New Roman" w:hAnsi="Arial" w:cs="Arial"/>
          <w:iCs/>
          <w:sz w:val="24"/>
          <w:szCs w:val="24"/>
          <w:lang w:val="es-MX"/>
        </w:rPr>
        <w:t xml:space="preserve"> que la Constitución lo reconocía</w:t>
      </w:r>
      <w:r w:rsidR="002348A8" w:rsidRPr="00433F7F">
        <w:rPr>
          <w:rFonts w:ascii="Arial" w:eastAsia="Times New Roman" w:hAnsi="Arial" w:cs="Arial"/>
          <w:iCs/>
          <w:sz w:val="24"/>
          <w:szCs w:val="24"/>
          <w:lang w:val="es-MX"/>
        </w:rPr>
        <w:t>, pero</w:t>
      </w:r>
      <w:r w:rsidRPr="00433F7F">
        <w:rPr>
          <w:rFonts w:ascii="Arial" w:eastAsia="Times New Roman" w:hAnsi="Arial" w:cs="Arial"/>
          <w:iCs/>
          <w:sz w:val="24"/>
          <w:szCs w:val="24"/>
          <w:lang w:val="es-MX"/>
        </w:rPr>
        <w:t xml:space="preserve"> de manera implícita y que</w:t>
      </w:r>
      <w:r w:rsidR="00433F7F" w:rsidRPr="00433F7F">
        <w:rPr>
          <w:rFonts w:ascii="Arial" w:eastAsia="Times New Roman" w:hAnsi="Arial" w:cs="Arial"/>
          <w:iCs/>
          <w:sz w:val="24"/>
          <w:szCs w:val="24"/>
          <w:lang w:val="es-MX"/>
        </w:rPr>
        <w:t>,</w:t>
      </w:r>
      <w:r w:rsidRPr="00433F7F">
        <w:rPr>
          <w:rFonts w:ascii="Arial" w:eastAsia="Times New Roman" w:hAnsi="Arial" w:cs="Arial"/>
          <w:iCs/>
          <w:sz w:val="24"/>
          <w:szCs w:val="24"/>
          <w:lang w:val="es-MX"/>
        </w:rPr>
        <w:t xml:space="preserve"> debido a la interpretación armónica y sistemática de algunos preceptos constitucionales</w:t>
      </w:r>
      <w:r w:rsidR="00433F7F" w:rsidRPr="00433F7F">
        <w:rPr>
          <w:rFonts w:ascii="Arial" w:eastAsia="Times New Roman" w:hAnsi="Arial" w:cs="Arial"/>
          <w:iCs/>
          <w:sz w:val="24"/>
          <w:szCs w:val="24"/>
          <w:lang w:val="es-MX"/>
        </w:rPr>
        <w:t>,</w:t>
      </w:r>
      <w:r w:rsidRPr="00433F7F">
        <w:rPr>
          <w:rStyle w:val="Refdenotaalpie"/>
          <w:rFonts w:ascii="Arial" w:eastAsia="Times New Roman" w:hAnsi="Arial" w:cs="Arial"/>
          <w:iCs/>
          <w:sz w:val="24"/>
          <w:szCs w:val="24"/>
          <w:lang w:val="es-MX"/>
        </w:rPr>
        <w:footnoteReference w:id="17"/>
      </w:r>
      <w:r w:rsidRPr="00433F7F">
        <w:rPr>
          <w:rFonts w:ascii="Arial" w:eastAsia="Times New Roman" w:hAnsi="Arial" w:cs="Arial"/>
          <w:iCs/>
          <w:sz w:val="24"/>
          <w:szCs w:val="24"/>
          <w:lang w:val="es-MX"/>
        </w:rPr>
        <w:t xml:space="preserve"> se desprendían el principio de debido proceso y acusatorio y que ambos resguardaban el principio de presunción de inocencia. </w:t>
      </w:r>
    </w:p>
    <w:p w14:paraId="25A8C7C4" w14:textId="4053821F" w:rsidR="007828BF" w:rsidRPr="00433F7F" w:rsidRDefault="007828BF" w:rsidP="00433F7F">
      <w:pPr>
        <w:spacing w:line="360" w:lineRule="auto"/>
        <w:ind w:left="720" w:right="720"/>
        <w:jc w:val="both"/>
        <w:rPr>
          <w:rFonts w:ascii="Arial" w:hAnsi="Arial" w:cs="Arial"/>
          <w:iCs/>
          <w:sz w:val="24"/>
          <w:szCs w:val="24"/>
          <w:lang w:val="es-MX"/>
        </w:rPr>
      </w:pPr>
      <w:r w:rsidRPr="00433F7F">
        <w:rPr>
          <w:rFonts w:ascii="Arial" w:eastAsia="Times New Roman" w:hAnsi="Arial" w:cs="Arial"/>
          <w:iCs/>
          <w:sz w:val="24"/>
          <w:szCs w:val="24"/>
          <w:lang w:val="es-MX"/>
        </w:rPr>
        <w:t xml:space="preserve">Ante la limitación de dicho reconocimiento, la Alta Corte determinó que </w:t>
      </w:r>
      <w:r w:rsidR="00825920">
        <w:rPr>
          <w:rFonts w:ascii="Arial" w:eastAsia="Times New Roman" w:hAnsi="Arial" w:cs="Arial"/>
          <w:iCs/>
          <w:sz w:val="24"/>
          <w:szCs w:val="24"/>
          <w:lang w:val="es-MX"/>
        </w:rPr>
        <w:t>la persona</w:t>
      </w:r>
      <w:r w:rsidRPr="00433F7F">
        <w:rPr>
          <w:rFonts w:ascii="Arial" w:eastAsia="Times New Roman" w:hAnsi="Arial" w:cs="Arial"/>
          <w:iCs/>
          <w:sz w:val="24"/>
          <w:szCs w:val="24"/>
          <w:lang w:val="es-MX"/>
        </w:rPr>
        <w:t xml:space="preserve"> no est</w:t>
      </w:r>
      <w:r w:rsidR="00825920">
        <w:rPr>
          <w:rFonts w:ascii="Arial" w:eastAsia="Times New Roman" w:hAnsi="Arial" w:cs="Arial"/>
          <w:iCs/>
          <w:sz w:val="24"/>
          <w:szCs w:val="24"/>
          <w:lang w:val="es-MX"/>
        </w:rPr>
        <w:t>aba</w:t>
      </w:r>
      <w:r w:rsidRPr="00433F7F">
        <w:rPr>
          <w:rFonts w:ascii="Arial" w:eastAsia="Times New Roman" w:hAnsi="Arial" w:cs="Arial"/>
          <w:iCs/>
          <w:sz w:val="24"/>
          <w:szCs w:val="24"/>
          <w:lang w:val="es-MX"/>
        </w:rPr>
        <w:t xml:space="preserve"> obligado a probar la licitud de su conducta cuando se le imputaba la comisión del delito, se concluyó que la persona acusada no tenía la carga de la prueba</w:t>
      </w:r>
      <w:r w:rsidR="00433F7F" w:rsidRPr="00433F7F">
        <w:rPr>
          <w:rFonts w:ascii="Arial" w:eastAsia="Times New Roman" w:hAnsi="Arial" w:cs="Arial"/>
          <w:iCs/>
          <w:sz w:val="24"/>
          <w:szCs w:val="24"/>
          <w:lang w:val="es-MX"/>
        </w:rPr>
        <w:t>,</w:t>
      </w:r>
      <w:r w:rsidRPr="00433F7F">
        <w:rPr>
          <w:rFonts w:ascii="Arial" w:eastAsia="Times New Roman" w:hAnsi="Arial" w:cs="Arial"/>
          <w:iCs/>
          <w:sz w:val="24"/>
          <w:szCs w:val="24"/>
          <w:lang w:val="es-MX"/>
        </w:rPr>
        <w:t xml:space="preserve"> sino que era función del </w:t>
      </w:r>
      <w:r w:rsidR="00433F7F" w:rsidRPr="00433F7F">
        <w:rPr>
          <w:rFonts w:ascii="Arial" w:eastAsia="Times New Roman" w:hAnsi="Arial" w:cs="Arial"/>
          <w:iCs/>
          <w:sz w:val="24"/>
          <w:szCs w:val="24"/>
          <w:lang w:val="es-MX"/>
        </w:rPr>
        <w:t>M</w:t>
      </w:r>
      <w:r w:rsidRPr="00433F7F">
        <w:rPr>
          <w:rFonts w:ascii="Arial" w:eastAsia="Times New Roman" w:hAnsi="Arial" w:cs="Arial"/>
          <w:iCs/>
          <w:sz w:val="24"/>
          <w:szCs w:val="24"/>
          <w:lang w:val="es-MX"/>
        </w:rPr>
        <w:t xml:space="preserve">inisterio </w:t>
      </w:r>
      <w:r w:rsidR="00433F7F" w:rsidRPr="00433F7F">
        <w:rPr>
          <w:rFonts w:ascii="Arial" w:eastAsia="Times New Roman" w:hAnsi="Arial" w:cs="Arial"/>
          <w:iCs/>
          <w:sz w:val="24"/>
          <w:szCs w:val="24"/>
          <w:lang w:val="es-MX"/>
        </w:rPr>
        <w:t>P</w:t>
      </w:r>
      <w:r w:rsidRPr="00433F7F">
        <w:rPr>
          <w:rFonts w:ascii="Arial" w:eastAsia="Times New Roman" w:hAnsi="Arial" w:cs="Arial"/>
          <w:iCs/>
          <w:sz w:val="24"/>
          <w:szCs w:val="24"/>
          <w:lang w:val="es-MX"/>
        </w:rPr>
        <w:t>úblico.</w:t>
      </w:r>
      <w:r w:rsidRPr="00433F7F">
        <w:rPr>
          <w:rStyle w:val="Refdenotaalpie"/>
          <w:rFonts w:ascii="Arial" w:eastAsia="Times New Roman" w:hAnsi="Arial" w:cs="Arial"/>
          <w:iCs/>
          <w:color w:val="333333"/>
          <w:sz w:val="24"/>
          <w:szCs w:val="24"/>
          <w:lang w:val="es-MX"/>
        </w:rPr>
        <w:footnoteReference w:id="18"/>
      </w:r>
      <w:r w:rsidRPr="00433F7F">
        <w:rPr>
          <w:rFonts w:ascii="Arial" w:eastAsia="Times New Roman" w:hAnsi="Arial" w:cs="Arial"/>
          <w:iCs/>
          <w:sz w:val="24"/>
          <w:szCs w:val="24"/>
          <w:lang w:val="es-MX"/>
        </w:rPr>
        <w:t xml:space="preserve"> </w:t>
      </w:r>
      <w:r w:rsidRPr="00433F7F">
        <w:rPr>
          <w:rFonts w:ascii="Arial" w:eastAsia="Times New Roman" w:hAnsi="Arial" w:cs="Arial"/>
          <w:iCs/>
          <w:sz w:val="24"/>
          <w:szCs w:val="24"/>
          <w:lang w:val="es-MX"/>
        </w:rPr>
        <w:lastRenderedPageBreak/>
        <w:t xml:space="preserve">De esta manera, </w:t>
      </w:r>
      <w:r w:rsidR="00A21A17" w:rsidRPr="00433F7F">
        <w:rPr>
          <w:rFonts w:ascii="Arial" w:eastAsia="Times New Roman" w:hAnsi="Arial" w:cs="Arial"/>
          <w:iCs/>
          <w:sz w:val="24"/>
          <w:szCs w:val="24"/>
          <w:lang w:val="es-MX"/>
        </w:rPr>
        <w:t xml:space="preserve">gracias a esta decisión de la Corte, se </w:t>
      </w:r>
      <w:r w:rsidRPr="00433F7F">
        <w:rPr>
          <w:rFonts w:ascii="Arial" w:eastAsia="Times New Roman" w:hAnsi="Arial" w:cs="Arial"/>
          <w:iCs/>
          <w:sz w:val="24"/>
          <w:szCs w:val="24"/>
          <w:lang w:val="es-MX"/>
        </w:rPr>
        <w:t>fue contrarrestando el trato de vulneración de la presunción de inocencia de las personas que tenía cargos en su contra</w:t>
      </w:r>
      <w:r w:rsidR="00433F7F" w:rsidRPr="00433F7F">
        <w:rPr>
          <w:rFonts w:ascii="Arial" w:eastAsia="Times New Roman" w:hAnsi="Arial" w:cs="Arial"/>
          <w:iCs/>
          <w:sz w:val="24"/>
          <w:szCs w:val="24"/>
          <w:lang w:val="es-MX"/>
        </w:rPr>
        <w:t>;</w:t>
      </w:r>
      <w:r w:rsidRPr="00433F7F">
        <w:rPr>
          <w:rFonts w:ascii="Arial" w:eastAsia="Times New Roman" w:hAnsi="Arial" w:cs="Arial"/>
          <w:iCs/>
          <w:sz w:val="24"/>
          <w:szCs w:val="24"/>
          <w:lang w:val="es-MX"/>
        </w:rPr>
        <w:t xml:space="preserve"> era la forma en que el anterior modelo de justicia operaba en contra de los ciudadanos</w:t>
      </w:r>
      <w:r w:rsidR="00A21A17" w:rsidRPr="00433F7F">
        <w:rPr>
          <w:rFonts w:ascii="Arial" w:eastAsia="Times New Roman" w:hAnsi="Arial" w:cs="Arial"/>
          <w:iCs/>
          <w:sz w:val="24"/>
          <w:szCs w:val="24"/>
          <w:lang w:val="es-MX"/>
        </w:rPr>
        <w:t xml:space="preserve"> y donde el órgano persecutor tenía grandes poderes para administrar justicia contrarios a dicho principio.</w:t>
      </w:r>
    </w:p>
    <w:p w14:paraId="57047C66" w14:textId="2DDE60E5" w:rsidR="007828BF" w:rsidRPr="00433F7F" w:rsidRDefault="007828BF"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Afortunadamente, </w:t>
      </w:r>
      <w:r w:rsidR="00076FB5" w:rsidRPr="00433F7F">
        <w:rPr>
          <w:rFonts w:ascii="Arial" w:hAnsi="Arial" w:cs="Arial"/>
          <w:sz w:val="24"/>
          <w:szCs w:val="24"/>
          <w:lang w:val="es-MX"/>
        </w:rPr>
        <w:t xml:space="preserve">aunque de forma tardía, </w:t>
      </w:r>
      <w:r w:rsidRPr="00433F7F">
        <w:rPr>
          <w:rFonts w:ascii="Arial" w:hAnsi="Arial" w:cs="Arial"/>
          <w:sz w:val="24"/>
          <w:szCs w:val="24"/>
          <w:lang w:val="es-MX"/>
        </w:rPr>
        <w:t xml:space="preserve">el reconocimiento normativo de la presunción de inocencia </w:t>
      </w:r>
      <w:r w:rsidR="00076FB5" w:rsidRPr="00433F7F">
        <w:rPr>
          <w:rFonts w:ascii="Arial" w:hAnsi="Arial" w:cs="Arial"/>
          <w:sz w:val="24"/>
          <w:szCs w:val="24"/>
          <w:lang w:val="es-MX"/>
        </w:rPr>
        <w:t>llegó</w:t>
      </w:r>
      <w:r w:rsidRPr="00433F7F">
        <w:rPr>
          <w:rFonts w:ascii="Arial" w:hAnsi="Arial" w:cs="Arial"/>
          <w:sz w:val="24"/>
          <w:szCs w:val="24"/>
          <w:lang w:val="es-MX"/>
        </w:rPr>
        <w:t xml:space="preserve"> con motivo de la reforma constitucional del 18 de junio de 2008, se le reconoció de manera expresa en el art. 20; I) Dentro de los principios generales por los que se debe de regir el proceso penal acusatorio y adversarial, se estableció que el proceso tiene como objeto proteger al inocente y procurar que el culpable no quede impune</w:t>
      </w:r>
      <w:r w:rsidRPr="00433F7F">
        <w:rPr>
          <w:rStyle w:val="Refdenotaalpie"/>
          <w:rFonts w:ascii="Arial" w:hAnsi="Arial" w:cs="Arial"/>
          <w:sz w:val="24"/>
          <w:szCs w:val="24"/>
          <w:lang w:val="es-MX"/>
        </w:rPr>
        <w:footnoteReference w:id="19"/>
      </w:r>
      <w:r w:rsidRPr="00433F7F">
        <w:rPr>
          <w:rFonts w:ascii="Arial" w:hAnsi="Arial" w:cs="Arial"/>
          <w:sz w:val="24"/>
          <w:szCs w:val="24"/>
          <w:lang w:val="es-MX"/>
        </w:rPr>
        <w:t>, 2) Como parte de los derechos de la persona imputada “</w:t>
      </w:r>
      <w:r w:rsidR="00433F7F" w:rsidRPr="00433F7F">
        <w:rPr>
          <w:rFonts w:ascii="Arial" w:hAnsi="Arial" w:cs="Arial"/>
          <w:sz w:val="24"/>
          <w:szCs w:val="24"/>
          <w:lang w:val="es-MX"/>
        </w:rPr>
        <w:t>a</w:t>
      </w:r>
      <w:r w:rsidRPr="00433F7F">
        <w:rPr>
          <w:rFonts w:ascii="Arial" w:hAnsi="Arial" w:cs="Arial"/>
          <w:sz w:val="24"/>
          <w:szCs w:val="24"/>
          <w:lang w:val="es-MX"/>
        </w:rPr>
        <w:t xml:space="preserve"> que se presuma su inocencia mientras no se declare su responsabilidad mediante sentencia emitida por el juez de la causa</w:t>
      </w:r>
      <w:r w:rsidRPr="00433F7F">
        <w:rPr>
          <w:rStyle w:val="Refdenotaalpie"/>
          <w:rFonts w:ascii="Arial" w:hAnsi="Arial" w:cs="Arial"/>
          <w:sz w:val="24"/>
          <w:szCs w:val="24"/>
          <w:lang w:val="es-MX"/>
        </w:rPr>
        <w:footnoteReference w:id="20"/>
      </w:r>
      <w:r w:rsidRPr="00433F7F">
        <w:rPr>
          <w:rFonts w:ascii="Arial" w:hAnsi="Arial" w:cs="Arial"/>
          <w:sz w:val="24"/>
          <w:szCs w:val="24"/>
          <w:lang w:val="es-MX"/>
        </w:rPr>
        <w:t>”</w:t>
      </w:r>
    </w:p>
    <w:p w14:paraId="622538DB" w14:textId="77777777" w:rsidR="007828BF" w:rsidRPr="00433F7F" w:rsidRDefault="007828BF"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w:t>
      </w:r>
    </w:p>
    <w:p w14:paraId="490327AA" w14:textId="31CB1C8A" w:rsidR="007828BF" w:rsidRPr="00433F7F" w:rsidRDefault="007828BF" w:rsidP="00433F7F">
      <w:pPr>
        <w:spacing w:line="360" w:lineRule="auto"/>
        <w:ind w:left="720" w:right="720"/>
        <w:jc w:val="both"/>
        <w:rPr>
          <w:rFonts w:ascii="Arial" w:hAnsi="Arial" w:cs="Arial"/>
          <w:sz w:val="24"/>
          <w:szCs w:val="24"/>
          <w:lang w:val="es-ES"/>
        </w:rPr>
      </w:pPr>
      <w:r w:rsidRPr="00433F7F">
        <w:rPr>
          <w:rFonts w:ascii="Arial" w:hAnsi="Arial" w:cs="Arial"/>
          <w:color w:val="000000"/>
          <w:sz w:val="24"/>
          <w:szCs w:val="24"/>
          <w:lang w:val="es-MX"/>
        </w:rPr>
        <w:t xml:space="preserve">Por </w:t>
      </w:r>
      <w:r w:rsidR="00076FB5" w:rsidRPr="00433F7F">
        <w:rPr>
          <w:rFonts w:ascii="Arial" w:hAnsi="Arial" w:cs="Arial"/>
          <w:color w:val="000000"/>
          <w:sz w:val="24"/>
          <w:szCs w:val="24"/>
          <w:lang w:val="es-MX"/>
        </w:rPr>
        <w:t>su</w:t>
      </w:r>
      <w:r w:rsidRPr="00433F7F">
        <w:rPr>
          <w:rFonts w:ascii="Arial" w:hAnsi="Arial" w:cs="Arial"/>
          <w:color w:val="000000"/>
          <w:sz w:val="24"/>
          <w:szCs w:val="24"/>
          <w:lang w:val="es-MX"/>
        </w:rPr>
        <w:t xml:space="preserve"> parte, la construcción normativa en materia procesal, destaca que, </w:t>
      </w:r>
      <w:r w:rsidR="00B14969" w:rsidRPr="00433F7F">
        <w:rPr>
          <w:rFonts w:ascii="Arial" w:hAnsi="Arial" w:cs="Arial"/>
          <w:color w:val="000000"/>
          <w:sz w:val="24"/>
          <w:szCs w:val="24"/>
          <w:lang w:val="es-MX"/>
        </w:rPr>
        <w:t>el título II Principios y derechos en el procedimiento perteneciente a</w:t>
      </w:r>
      <w:r w:rsidRPr="00433F7F">
        <w:rPr>
          <w:rFonts w:ascii="Arial" w:hAnsi="Arial" w:cs="Arial"/>
          <w:color w:val="000000"/>
          <w:sz w:val="24"/>
          <w:szCs w:val="24"/>
          <w:lang w:val="es-MX"/>
        </w:rPr>
        <w:t xml:space="preserve">l Código Nacional de Procedimientos Penales </w:t>
      </w:r>
      <w:r w:rsidR="00C4228B" w:rsidRPr="00433F7F">
        <w:rPr>
          <w:rFonts w:ascii="Arial" w:hAnsi="Arial" w:cs="Arial"/>
          <w:color w:val="000000"/>
          <w:sz w:val="24"/>
          <w:szCs w:val="24"/>
          <w:lang w:val="es-MX"/>
        </w:rPr>
        <w:t>(</w:t>
      </w:r>
      <w:r w:rsidR="00C4228B" w:rsidRPr="00433F7F">
        <w:rPr>
          <w:rFonts w:ascii="Arial" w:hAnsi="Arial" w:cs="Arial"/>
          <w:i/>
          <w:color w:val="000000"/>
          <w:sz w:val="24"/>
          <w:szCs w:val="24"/>
          <w:lang w:val="es-MX"/>
        </w:rPr>
        <w:t>en adelante</w:t>
      </w:r>
      <w:r w:rsidR="00BA5717" w:rsidRPr="00433F7F">
        <w:rPr>
          <w:rFonts w:ascii="Arial" w:hAnsi="Arial" w:cs="Arial"/>
          <w:i/>
          <w:color w:val="000000"/>
          <w:sz w:val="24"/>
          <w:szCs w:val="24"/>
          <w:lang w:val="es-MX"/>
        </w:rPr>
        <w:t xml:space="preserve"> CNPP</w:t>
      </w:r>
      <w:r w:rsidR="00C4228B" w:rsidRPr="00433F7F">
        <w:rPr>
          <w:rFonts w:ascii="Arial" w:hAnsi="Arial" w:cs="Arial"/>
          <w:color w:val="000000"/>
          <w:sz w:val="24"/>
          <w:szCs w:val="24"/>
          <w:lang w:val="es-MX"/>
        </w:rPr>
        <w:t xml:space="preserve">) </w:t>
      </w:r>
      <w:r w:rsidRPr="00433F7F">
        <w:rPr>
          <w:rFonts w:ascii="Arial" w:hAnsi="Arial" w:cs="Arial"/>
          <w:color w:val="000000"/>
          <w:sz w:val="24"/>
          <w:szCs w:val="24"/>
          <w:lang w:val="es-MX"/>
        </w:rPr>
        <w:t>divide en principios y derechos</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en el procedimiento</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 inserta como principio a la presunción de inocencia. Determina que esta forma de trato se debe </w:t>
      </w:r>
      <w:r w:rsidRPr="00433F7F">
        <w:rPr>
          <w:rFonts w:ascii="Arial" w:hAnsi="Arial" w:cs="Arial"/>
          <w:color w:val="000000"/>
          <w:sz w:val="24"/>
          <w:szCs w:val="24"/>
          <w:lang w:val="es-MX"/>
        </w:rPr>
        <w:lastRenderedPageBreak/>
        <w:t>respetar en todas las etapas del procedimiento, mientras no se declare su responsabilidad mediante sentencia emitida por el órgano jurisdiccional</w:t>
      </w:r>
      <w:r w:rsidRPr="00433F7F">
        <w:rPr>
          <w:rStyle w:val="Refdenotaalpie"/>
          <w:rFonts w:ascii="Arial" w:hAnsi="Arial" w:cs="Arial"/>
          <w:color w:val="000000"/>
          <w:sz w:val="24"/>
          <w:szCs w:val="24"/>
          <w:lang w:val="es-MX"/>
        </w:rPr>
        <w:footnoteReference w:id="21"/>
      </w:r>
      <w:r w:rsidRPr="00433F7F">
        <w:rPr>
          <w:rFonts w:ascii="Arial" w:hAnsi="Arial" w:cs="Arial"/>
          <w:color w:val="000000"/>
          <w:sz w:val="24"/>
          <w:szCs w:val="24"/>
          <w:lang w:val="es-MX"/>
        </w:rPr>
        <w:t xml:space="preserve">. </w:t>
      </w:r>
      <w:r w:rsidRPr="00433F7F">
        <w:rPr>
          <w:rFonts w:ascii="Arial" w:hAnsi="Arial" w:cs="Arial"/>
          <w:sz w:val="24"/>
          <w:szCs w:val="24"/>
          <w:lang w:val="es-ES"/>
        </w:rPr>
        <w:t>Puede observarse el reconocimiento tanto de principio como</w:t>
      </w:r>
      <w:r w:rsidR="00433F7F" w:rsidRPr="00433F7F">
        <w:rPr>
          <w:rFonts w:ascii="Arial" w:hAnsi="Arial" w:cs="Arial"/>
          <w:sz w:val="24"/>
          <w:szCs w:val="24"/>
          <w:lang w:val="es-ES"/>
        </w:rPr>
        <w:t xml:space="preserve"> de</w:t>
      </w:r>
      <w:r w:rsidRPr="00433F7F">
        <w:rPr>
          <w:rFonts w:ascii="Arial" w:hAnsi="Arial" w:cs="Arial"/>
          <w:sz w:val="24"/>
          <w:szCs w:val="24"/>
          <w:lang w:val="es-ES"/>
        </w:rPr>
        <w:t xml:space="preserve"> derecho, sin duda</w:t>
      </w:r>
      <w:r w:rsidR="00433F7F" w:rsidRPr="00433F7F">
        <w:rPr>
          <w:rFonts w:ascii="Arial" w:hAnsi="Arial" w:cs="Arial"/>
          <w:sz w:val="24"/>
          <w:szCs w:val="24"/>
          <w:lang w:val="es-ES"/>
        </w:rPr>
        <w:t>,</w:t>
      </w:r>
      <w:r w:rsidRPr="00433F7F">
        <w:rPr>
          <w:rFonts w:ascii="Arial" w:hAnsi="Arial" w:cs="Arial"/>
          <w:sz w:val="24"/>
          <w:szCs w:val="24"/>
          <w:lang w:val="es-ES"/>
        </w:rPr>
        <w:t xml:space="preserve"> el peso que aporta considerarlo como derecho concede rigor en su protección.</w:t>
      </w:r>
    </w:p>
    <w:p w14:paraId="3778744A" w14:textId="5147D16D" w:rsidR="005C0B12" w:rsidRPr="00433F7F" w:rsidRDefault="005C0B12" w:rsidP="00433F7F">
      <w:pPr>
        <w:spacing w:line="360" w:lineRule="auto"/>
        <w:ind w:left="720" w:right="720"/>
        <w:jc w:val="both"/>
        <w:rPr>
          <w:rFonts w:ascii="Arial" w:hAnsi="Arial" w:cs="Arial"/>
          <w:sz w:val="24"/>
          <w:szCs w:val="24"/>
          <w:lang w:val="es-ES"/>
        </w:rPr>
      </w:pPr>
      <w:r w:rsidRPr="00433F7F">
        <w:rPr>
          <w:rFonts w:ascii="Arial" w:hAnsi="Arial" w:cs="Arial"/>
          <w:sz w:val="24"/>
          <w:szCs w:val="24"/>
          <w:lang w:val="es-ES"/>
        </w:rPr>
        <w:t xml:space="preserve">Por último, </w:t>
      </w:r>
      <w:r w:rsidR="00433F7F" w:rsidRPr="00433F7F">
        <w:rPr>
          <w:rFonts w:ascii="Arial" w:hAnsi="Arial" w:cs="Arial"/>
          <w:sz w:val="24"/>
          <w:szCs w:val="24"/>
          <w:lang w:val="es-ES"/>
        </w:rPr>
        <w:t>hay que destacar</w:t>
      </w:r>
      <w:r w:rsidRPr="00433F7F">
        <w:rPr>
          <w:rFonts w:ascii="Arial" w:hAnsi="Arial" w:cs="Arial"/>
          <w:sz w:val="24"/>
          <w:szCs w:val="24"/>
          <w:lang w:val="es-ES"/>
        </w:rPr>
        <w:t xml:space="preserve"> que la presunción de inocencia es un derecho humano relativo a la administración de justicia y su protección no solo recae en el ámbito interno</w:t>
      </w:r>
      <w:r w:rsidR="00433F7F" w:rsidRPr="00433F7F">
        <w:rPr>
          <w:rFonts w:ascii="Arial" w:hAnsi="Arial" w:cs="Arial"/>
          <w:sz w:val="24"/>
          <w:szCs w:val="24"/>
          <w:lang w:val="es-ES"/>
        </w:rPr>
        <w:t>,</w:t>
      </w:r>
      <w:r w:rsidRPr="00433F7F">
        <w:rPr>
          <w:rFonts w:ascii="Arial" w:hAnsi="Arial" w:cs="Arial"/>
          <w:sz w:val="24"/>
          <w:szCs w:val="24"/>
          <w:lang w:val="es-ES"/>
        </w:rPr>
        <w:t xml:space="preserve"> sino que también en el internacional, en donde se han extraído resoluciones importantes. Como lo veremos a continuación.</w:t>
      </w:r>
    </w:p>
    <w:p w14:paraId="4B8A7B73" w14:textId="77777777" w:rsidR="00D5491A" w:rsidRPr="00433F7F" w:rsidRDefault="00D5491A" w:rsidP="00433F7F">
      <w:pPr>
        <w:spacing w:line="360" w:lineRule="auto"/>
        <w:ind w:left="720" w:right="720"/>
        <w:jc w:val="both"/>
        <w:rPr>
          <w:rFonts w:ascii="Arial" w:hAnsi="Arial" w:cs="Arial"/>
          <w:sz w:val="24"/>
          <w:szCs w:val="24"/>
          <w:lang w:val="es-ES"/>
        </w:rPr>
      </w:pPr>
    </w:p>
    <w:p w14:paraId="19157323" w14:textId="26169072" w:rsidR="007828BF" w:rsidRPr="00433F7F" w:rsidRDefault="007828BF" w:rsidP="00433F7F">
      <w:pPr>
        <w:pStyle w:val="Prrafodelista"/>
        <w:numPr>
          <w:ilvl w:val="0"/>
          <w:numId w:val="33"/>
        </w:numPr>
        <w:spacing w:line="360" w:lineRule="auto"/>
        <w:ind w:right="720"/>
        <w:jc w:val="both"/>
        <w:rPr>
          <w:rFonts w:ascii="Arial" w:hAnsi="Arial" w:cs="Arial"/>
          <w:color w:val="000000"/>
          <w:sz w:val="24"/>
          <w:szCs w:val="24"/>
          <w:lang w:val="es-MX"/>
        </w:rPr>
      </w:pPr>
      <w:r w:rsidRPr="00433F7F">
        <w:rPr>
          <w:rFonts w:ascii="Arial" w:hAnsi="Arial" w:cs="Arial"/>
          <w:sz w:val="24"/>
          <w:szCs w:val="24"/>
          <w:lang w:val="es-MX"/>
        </w:rPr>
        <w:t>A</w:t>
      </w:r>
      <w:r w:rsidR="0095546C" w:rsidRPr="00433F7F">
        <w:rPr>
          <w:rFonts w:ascii="Arial" w:hAnsi="Arial" w:cs="Arial"/>
          <w:sz w:val="24"/>
          <w:szCs w:val="24"/>
          <w:lang w:val="es-MX"/>
        </w:rPr>
        <w:t>s</w:t>
      </w:r>
      <w:r w:rsidRPr="00433F7F">
        <w:rPr>
          <w:rFonts w:ascii="Arial" w:hAnsi="Arial" w:cs="Arial"/>
          <w:sz w:val="24"/>
          <w:szCs w:val="24"/>
          <w:lang w:val="es-MX"/>
        </w:rPr>
        <w:t>pectos convencionales</w:t>
      </w:r>
    </w:p>
    <w:p w14:paraId="632E75AC" w14:textId="2A066D46" w:rsidR="0095546C" w:rsidRPr="00433F7F" w:rsidRDefault="007828BF"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Tras el reconocimiento normativo </w:t>
      </w:r>
      <w:r w:rsidR="002348A8" w:rsidRPr="00433F7F">
        <w:rPr>
          <w:rFonts w:ascii="Arial" w:hAnsi="Arial" w:cs="Arial"/>
          <w:sz w:val="24"/>
          <w:szCs w:val="24"/>
          <w:lang w:val="es-MX"/>
        </w:rPr>
        <w:t xml:space="preserve">explícito </w:t>
      </w:r>
      <w:r w:rsidRPr="00433F7F">
        <w:rPr>
          <w:rFonts w:ascii="Arial" w:hAnsi="Arial" w:cs="Arial"/>
          <w:sz w:val="24"/>
          <w:szCs w:val="24"/>
          <w:lang w:val="es-MX"/>
        </w:rPr>
        <w:t xml:space="preserve">de la presunción de inocencia, nuestra </w:t>
      </w:r>
      <w:r w:rsidR="00076FB5" w:rsidRPr="00433F7F">
        <w:rPr>
          <w:rFonts w:ascii="Arial" w:hAnsi="Arial" w:cs="Arial"/>
          <w:sz w:val="24"/>
          <w:szCs w:val="24"/>
          <w:lang w:val="es-MX"/>
        </w:rPr>
        <w:t>C</w:t>
      </w:r>
      <w:r w:rsidRPr="00433F7F">
        <w:rPr>
          <w:rFonts w:ascii="Arial" w:hAnsi="Arial" w:cs="Arial"/>
          <w:sz w:val="24"/>
          <w:szCs w:val="24"/>
          <w:lang w:val="es-MX"/>
        </w:rPr>
        <w:t>onstitución se alineó a lo establecido en tratados internacionales</w:t>
      </w:r>
      <w:r w:rsidR="002C42A1" w:rsidRPr="00433F7F">
        <w:rPr>
          <w:rFonts w:ascii="Arial" w:hAnsi="Arial" w:cs="Arial"/>
          <w:sz w:val="24"/>
          <w:szCs w:val="24"/>
          <w:lang w:val="es-MX"/>
        </w:rPr>
        <w:t xml:space="preserve"> en materia de derechos humanos</w:t>
      </w:r>
      <w:r w:rsidRPr="00433F7F">
        <w:rPr>
          <w:rFonts w:ascii="Arial" w:hAnsi="Arial" w:cs="Arial"/>
          <w:sz w:val="24"/>
          <w:szCs w:val="24"/>
          <w:lang w:val="es-MX"/>
        </w:rPr>
        <w:t xml:space="preserve"> como son</w:t>
      </w:r>
      <w:r w:rsidR="002348A8" w:rsidRPr="00433F7F">
        <w:rPr>
          <w:rFonts w:ascii="Arial" w:hAnsi="Arial" w:cs="Arial"/>
          <w:sz w:val="24"/>
          <w:szCs w:val="24"/>
          <w:lang w:val="es-MX"/>
        </w:rPr>
        <w:t xml:space="preserve"> los siguientes</w:t>
      </w:r>
      <w:r w:rsidRPr="00433F7F">
        <w:rPr>
          <w:rFonts w:ascii="Arial" w:hAnsi="Arial" w:cs="Arial"/>
          <w:sz w:val="24"/>
          <w:szCs w:val="24"/>
          <w:lang w:val="es-MX"/>
        </w:rPr>
        <w:t xml:space="preserve">: </w:t>
      </w:r>
    </w:p>
    <w:p w14:paraId="7AB36920" w14:textId="77777777" w:rsidR="00C33E82" w:rsidRPr="00433F7F" w:rsidRDefault="007828BF" w:rsidP="00433F7F">
      <w:pPr>
        <w:pStyle w:val="Prrafodelista"/>
        <w:numPr>
          <w:ilvl w:val="2"/>
          <w:numId w:val="33"/>
        </w:numPr>
        <w:spacing w:line="360" w:lineRule="auto"/>
        <w:ind w:left="1530" w:right="720"/>
        <w:jc w:val="both"/>
        <w:rPr>
          <w:rFonts w:ascii="Arial" w:hAnsi="Arial" w:cs="Arial"/>
          <w:sz w:val="24"/>
          <w:szCs w:val="24"/>
          <w:lang w:val="es-MX"/>
        </w:rPr>
      </w:pPr>
      <w:r w:rsidRPr="00433F7F">
        <w:rPr>
          <w:rFonts w:ascii="Arial" w:hAnsi="Arial" w:cs="Arial"/>
          <w:sz w:val="24"/>
          <w:szCs w:val="24"/>
          <w:lang w:val="es-MX"/>
        </w:rPr>
        <w:t>L</w:t>
      </w:r>
      <w:r w:rsidRPr="00433F7F">
        <w:rPr>
          <w:rFonts w:ascii="Arial" w:hAnsi="Arial" w:cs="Arial"/>
          <w:color w:val="000000"/>
          <w:sz w:val="24"/>
          <w:szCs w:val="24"/>
          <w:lang w:val="es-MX"/>
        </w:rPr>
        <w:t>a Declaración de los Derechos del Hombre y del Ciudadano</w:t>
      </w:r>
      <w:r w:rsidRPr="00433F7F">
        <w:rPr>
          <w:rStyle w:val="Refdenotaalpie"/>
          <w:rFonts w:ascii="Arial" w:hAnsi="Arial" w:cs="Arial"/>
          <w:color w:val="000000"/>
          <w:sz w:val="24"/>
          <w:szCs w:val="24"/>
          <w:lang w:val="es-MX"/>
        </w:rPr>
        <w:footnoteReference w:id="22"/>
      </w:r>
      <w:r w:rsidRPr="00433F7F">
        <w:rPr>
          <w:rFonts w:ascii="Arial" w:hAnsi="Arial" w:cs="Arial"/>
          <w:color w:val="000000"/>
          <w:sz w:val="24"/>
          <w:szCs w:val="24"/>
          <w:lang w:val="es-MX"/>
        </w:rPr>
        <w:t xml:space="preserve">, posteriormente, otros instrumentos de carácter universal como la </w:t>
      </w:r>
      <w:r w:rsidRPr="00433F7F">
        <w:rPr>
          <w:rFonts w:ascii="Arial" w:hAnsi="Arial" w:cs="Arial"/>
          <w:i/>
          <w:iCs/>
          <w:color w:val="000000"/>
          <w:sz w:val="24"/>
          <w:szCs w:val="24"/>
          <w:lang w:val="es-MX"/>
        </w:rPr>
        <w:lastRenderedPageBreak/>
        <w:t xml:space="preserve">Declaración Universal de Derechos Humanos </w:t>
      </w:r>
      <w:r w:rsidRPr="00433F7F">
        <w:rPr>
          <w:rFonts w:ascii="Arial" w:hAnsi="Arial" w:cs="Arial"/>
          <w:color w:val="000000"/>
          <w:sz w:val="24"/>
          <w:szCs w:val="24"/>
          <w:lang w:val="es-MX"/>
        </w:rPr>
        <w:t>(</w:t>
      </w:r>
      <w:r w:rsidR="00495561" w:rsidRPr="00433F7F">
        <w:rPr>
          <w:rFonts w:ascii="Arial" w:hAnsi="Arial" w:cs="Arial"/>
          <w:i/>
          <w:color w:val="000000"/>
          <w:sz w:val="24"/>
          <w:szCs w:val="24"/>
          <w:lang w:val="es-MX"/>
        </w:rPr>
        <w:t xml:space="preserve">en adelante </w:t>
      </w:r>
      <w:r w:rsidRPr="00433F7F">
        <w:rPr>
          <w:rFonts w:ascii="Arial" w:hAnsi="Arial" w:cs="Arial"/>
          <w:i/>
          <w:color w:val="000000"/>
          <w:sz w:val="24"/>
          <w:szCs w:val="24"/>
          <w:lang w:val="es-MX"/>
        </w:rPr>
        <w:t>DUDH</w:t>
      </w:r>
      <w:r w:rsidRPr="00433F7F">
        <w:rPr>
          <w:rFonts w:ascii="Arial" w:hAnsi="Arial" w:cs="Arial"/>
          <w:i/>
          <w:iCs/>
          <w:color w:val="000000"/>
          <w:sz w:val="24"/>
          <w:szCs w:val="24"/>
          <w:lang w:val="es-MX"/>
        </w:rPr>
        <w:t>)</w:t>
      </w:r>
      <w:r w:rsidRPr="00433F7F">
        <w:rPr>
          <w:rFonts w:ascii="Arial" w:hAnsi="Arial" w:cs="Arial"/>
          <w:color w:val="000000"/>
          <w:sz w:val="24"/>
          <w:szCs w:val="24"/>
          <w:lang w:val="es-MX"/>
        </w:rPr>
        <w:t>, reconoció en el artículo 11.1. que, “toda persona acusada de delito tiene derecho a que se presuma su inocencia mientras no se pruebe su culpabilidad, conforme a la ley y en juicio público en el que se le hayan asegurado todas las garantías necesarias para su defensa</w:t>
      </w:r>
      <w:r w:rsidRPr="00433F7F">
        <w:rPr>
          <w:rFonts w:ascii="Arial" w:hAnsi="Arial" w:cs="Arial"/>
          <w:i/>
          <w:iCs/>
          <w:color w:val="000000"/>
          <w:sz w:val="24"/>
          <w:szCs w:val="24"/>
          <w:lang w:val="es-MX"/>
        </w:rPr>
        <w:t>”.</w:t>
      </w:r>
      <w:r w:rsidRPr="00433F7F">
        <w:rPr>
          <w:rStyle w:val="Refdenotaalpie"/>
          <w:rFonts w:ascii="Arial" w:hAnsi="Arial" w:cs="Arial"/>
          <w:i/>
          <w:iCs/>
          <w:color w:val="000000"/>
          <w:sz w:val="24"/>
          <w:szCs w:val="24"/>
          <w:lang w:val="es-MX"/>
        </w:rPr>
        <w:footnoteReference w:id="23"/>
      </w:r>
      <w:r w:rsidRPr="00433F7F">
        <w:rPr>
          <w:rFonts w:ascii="Arial" w:hAnsi="Arial" w:cs="Arial"/>
          <w:i/>
          <w:iCs/>
          <w:color w:val="000000"/>
          <w:sz w:val="24"/>
          <w:szCs w:val="24"/>
          <w:lang w:val="es-MX"/>
        </w:rPr>
        <w:t xml:space="preserve"> </w:t>
      </w:r>
      <w:r w:rsidRPr="00433F7F">
        <w:rPr>
          <w:rFonts w:ascii="Arial" w:hAnsi="Arial" w:cs="Arial"/>
          <w:color w:val="000000"/>
          <w:sz w:val="24"/>
          <w:szCs w:val="24"/>
          <w:lang w:val="es-MX"/>
        </w:rPr>
        <w:t xml:space="preserve">Dicho dispositivo, va seguido en el siguiente apartado de la prohibición a ser </w:t>
      </w:r>
      <w:r w:rsidRPr="00433F7F">
        <w:rPr>
          <w:rFonts w:ascii="Arial" w:hAnsi="Arial" w:cs="Arial"/>
          <w:sz w:val="24"/>
          <w:szCs w:val="24"/>
          <w:lang w:val="es-MX"/>
        </w:rPr>
        <w:t xml:space="preserve">condenado </w:t>
      </w:r>
      <w:r w:rsidRPr="00433F7F">
        <w:rPr>
          <w:rFonts w:ascii="Arial" w:hAnsi="Arial" w:cs="Arial"/>
          <w:sz w:val="24"/>
          <w:szCs w:val="24"/>
          <w:shd w:val="clear" w:color="auto" w:fill="FFFFFF"/>
          <w:lang w:val="es-MX"/>
        </w:rPr>
        <w:t>por actos u omisiones que en el momento de cometerse no fueron delictivos según el Derecho nacional o internacional. Así como de vedar la imposición de la pena más grave que la aplicable en el momento de la comisión del delito.</w:t>
      </w:r>
      <w:r w:rsidRPr="00433F7F">
        <w:rPr>
          <w:rStyle w:val="Refdenotaalpie"/>
          <w:rFonts w:ascii="Arial" w:hAnsi="Arial" w:cs="Arial"/>
          <w:sz w:val="24"/>
          <w:szCs w:val="24"/>
          <w:shd w:val="clear" w:color="auto" w:fill="FFFFFF"/>
          <w:lang w:val="es-MX"/>
        </w:rPr>
        <w:footnoteReference w:id="24"/>
      </w:r>
    </w:p>
    <w:p w14:paraId="5D82071F" w14:textId="77777777" w:rsidR="00C33E82" w:rsidRPr="00433F7F" w:rsidRDefault="007828BF" w:rsidP="00433F7F">
      <w:pPr>
        <w:pStyle w:val="Prrafodelista"/>
        <w:numPr>
          <w:ilvl w:val="2"/>
          <w:numId w:val="33"/>
        </w:numPr>
        <w:spacing w:line="360" w:lineRule="auto"/>
        <w:ind w:left="1530" w:right="720"/>
        <w:jc w:val="both"/>
        <w:rPr>
          <w:rFonts w:ascii="Arial" w:hAnsi="Arial" w:cs="Arial"/>
          <w:sz w:val="24"/>
          <w:szCs w:val="24"/>
          <w:lang w:val="es-MX"/>
        </w:rPr>
      </w:pPr>
      <w:r w:rsidRPr="00433F7F">
        <w:rPr>
          <w:rFonts w:ascii="Arial" w:hAnsi="Arial" w:cs="Arial"/>
          <w:sz w:val="24"/>
          <w:szCs w:val="24"/>
          <w:lang w:val="es-MX"/>
        </w:rPr>
        <w:t xml:space="preserve">El </w:t>
      </w:r>
      <w:r w:rsidRPr="00433F7F">
        <w:rPr>
          <w:rFonts w:ascii="Arial" w:hAnsi="Arial" w:cs="Arial"/>
          <w:i/>
          <w:iCs/>
          <w:sz w:val="24"/>
          <w:szCs w:val="24"/>
          <w:lang w:val="es-MX"/>
        </w:rPr>
        <w:t xml:space="preserve">Pacto Internacional de Derechos Civiles y Políticos </w:t>
      </w:r>
      <w:r w:rsidRPr="00433F7F">
        <w:rPr>
          <w:rFonts w:ascii="Arial" w:hAnsi="Arial" w:cs="Arial"/>
          <w:sz w:val="24"/>
          <w:szCs w:val="24"/>
          <w:lang w:val="es-MX"/>
        </w:rPr>
        <w:t>(</w:t>
      </w:r>
      <w:r w:rsidR="00495561" w:rsidRPr="00433F7F">
        <w:rPr>
          <w:rFonts w:ascii="Arial" w:hAnsi="Arial" w:cs="Arial"/>
          <w:i/>
          <w:color w:val="000000"/>
          <w:sz w:val="24"/>
          <w:szCs w:val="24"/>
          <w:lang w:val="es-MX"/>
        </w:rPr>
        <w:t xml:space="preserve">en adelante </w:t>
      </w:r>
      <w:r w:rsidRPr="00433F7F">
        <w:rPr>
          <w:rFonts w:ascii="Arial" w:hAnsi="Arial" w:cs="Arial"/>
          <w:i/>
          <w:color w:val="000000"/>
          <w:sz w:val="24"/>
          <w:szCs w:val="24"/>
          <w:lang w:val="es-MX"/>
        </w:rPr>
        <w:t>PIDCP</w:t>
      </w:r>
      <w:r w:rsidRPr="00433F7F">
        <w:rPr>
          <w:rFonts w:ascii="Arial" w:hAnsi="Arial" w:cs="Arial"/>
          <w:color w:val="000000"/>
          <w:sz w:val="24"/>
          <w:szCs w:val="24"/>
          <w:lang w:val="es-MX"/>
        </w:rPr>
        <w:t>)</w:t>
      </w:r>
      <w:r w:rsidRPr="00433F7F">
        <w:rPr>
          <w:rStyle w:val="Refdenotaalpie"/>
          <w:rFonts w:ascii="Arial" w:hAnsi="Arial" w:cs="Arial"/>
          <w:sz w:val="24"/>
          <w:szCs w:val="24"/>
          <w:lang w:val="es-MX"/>
        </w:rPr>
        <w:footnoteReference w:id="25"/>
      </w:r>
      <w:r w:rsidRPr="00433F7F">
        <w:rPr>
          <w:rFonts w:ascii="Arial" w:hAnsi="Arial" w:cs="Arial"/>
          <w:i/>
          <w:iCs/>
          <w:sz w:val="24"/>
          <w:szCs w:val="24"/>
          <w:lang w:val="es-MX"/>
        </w:rPr>
        <w:t xml:space="preserve">, </w:t>
      </w:r>
      <w:r w:rsidRPr="00433F7F">
        <w:rPr>
          <w:rFonts w:ascii="Arial" w:hAnsi="Arial" w:cs="Arial"/>
          <w:sz w:val="24"/>
          <w:szCs w:val="24"/>
          <w:lang w:val="es-MX"/>
        </w:rPr>
        <w:t>determinó en el apartado 2 del art. 14, “</w:t>
      </w:r>
      <w:r w:rsidRPr="00433F7F">
        <w:rPr>
          <w:rFonts w:ascii="Arial" w:hAnsi="Arial" w:cs="Arial"/>
          <w:color w:val="000000"/>
          <w:sz w:val="24"/>
          <w:szCs w:val="24"/>
          <w:lang w:val="es-MX"/>
        </w:rPr>
        <w:t>Toda persona acusada de un delito tiene derecho a que se presuma su inocencia mientras no se pruebe su culpabilidad conforme a la ley.</w:t>
      </w:r>
      <w:r w:rsidRPr="00433F7F">
        <w:rPr>
          <w:rFonts w:ascii="Arial" w:hAnsi="Arial" w:cs="Arial"/>
          <w:sz w:val="24"/>
          <w:szCs w:val="24"/>
          <w:lang w:val="es-MX"/>
        </w:rPr>
        <w:t>” De manera previa, dicho instrumento, reconoce</w:t>
      </w:r>
      <w:r w:rsidRPr="00433F7F">
        <w:rPr>
          <w:rFonts w:ascii="Arial" w:hAnsi="Arial" w:cs="Arial"/>
          <w:i/>
          <w:iCs/>
          <w:sz w:val="24"/>
          <w:szCs w:val="24"/>
          <w:lang w:val="es-MX"/>
        </w:rPr>
        <w:t xml:space="preserve"> </w:t>
      </w:r>
      <w:r w:rsidRPr="00433F7F">
        <w:rPr>
          <w:rFonts w:ascii="Arial" w:hAnsi="Arial" w:cs="Arial"/>
          <w:sz w:val="24"/>
          <w:szCs w:val="24"/>
          <w:lang w:val="es-MX"/>
        </w:rPr>
        <w:t xml:space="preserve">en el apartado 1 del numeral 14, derechos como el de igualdad entre las partes, a que se substancie la acusación de carácter penal formuladas o para la determinación de sus derechos u obligaciones de carácter civil, se reconoce el derecho a ser oído de manera pública ante un tribunal, atendiendo a las restricciones del principio de publicidad.  </w:t>
      </w:r>
    </w:p>
    <w:p w14:paraId="424F813A" w14:textId="053F03D0" w:rsidR="007828BF" w:rsidRPr="00433F7F" w:rsidRDefault="007828BF" w:rsidP="00433F7F">
      <w:pPr>
        <w:pStyle w:val="Prrafodelista"/>
        <w:numPr>
          <w:ilvl w:val="2"/>
          <w:numId w:val="33"/>
        </w:numPr>
        <w:spacing w:line="360" w:lineRule="auto"/>
        <w:ind w:left="1530" w:right="720"/>
        <w:jc w:val="both"/>
        <w:rPr>
          <w:rFonts w:ascii="Arial" w:hAnsi="Arial" w:cs="Arial"/>
          <w:sz w:val="24"/>
          <w:szCs w:val="24"/>
          <w:lang w:val="es-MX"/>
        </w:rPr>
      </w:pPr>
      <w:r w:rsidRPr="00433F7F">
        <w:rPr>
          <w:rFonts w:ascii="Arial" w:hAnsi="Arial" w:cs="Arial"/>
          <w:sz w:val="24"/>
          <w:szCs w:val="24"/>
          <w:lang w:val="es-MX"/>
        </w:rPr>
        <w:lastRenderedPageBreak/>
        <w:t xml:space="preserve">La </w:t>
      </w:r>
      <w:r w:rsidRPr="00433F7F">
        <w:rPr>
          <w:rFonts w:ascii="Arial" w:hAnsi="Arial" w:cs="Arial"/>
          <w:i/>
          <w:iCs/>
          <w:sz w:val="24"/>
          <w:szCs w:val="24"/>
          <w:lang w:val="es-MX"/>
        </w:rPr>
        <w:t>Convención Americana de Derechos Humanos</w:t>
      </w:r>
      <w:r w:rsidRPr="00433F7F">
        <w:rPr>
          <w:rFonts w:ascii="Arial" w:hAnsi="Arial" w:cs="Arial"/>
          <w:sz w:val="24"/>
          <w:szCs w:val="24"/>
          <w:lang w:val="es-MX"/>
        </w:rPr>
        <w:t xml:space="preserve"> (Pacto de San José)</w:t>
      </w:r>
      <w:r w:rsidRPr="00433F7F">
        <w:rPr>
          <w:rStyle w:val="Refdenotaalpie"/>
          <w:rFonts w:ascii="Arial" w:hAnsi="Arial" w:cs="Arial"/>
          <w:sz w:val="24"/>
          <w:szCs w:val="24"/>
          <w:lang w:val="es-MX"/>
        </w:rPr>
        <w:footnoteReference w:id="26"/>
      </w:r>
      <w:r w:rsidRPr="00433F7F">
        <w:rPr>
          <w:rFonts w:ascii="Arial" w:hAnsi="Arial" w:cs="Arial"/>
          <w:sz w:val="24"/>
          <w:szCs w:val="24"/>
          <w:lang w:val="es-MX"/>
        </w:rPr>
        <w:t>, recoge en el apartado 2</w:t>
      </w:r>
      <w:r w:rsidR="006356C5" w:rsidRPr="00433F7F">
        <w:rPr>
          <w:rFonts w:ascii="Arial" w:hAnsi="Arial" w:cs="Arial"/>
          <w:sz w:val="24"/>
          <w:szCs w:val="24"/>
          <w:lang w:val="es-MX"/>
        </w:rPr>
        <w:t xml:space="preserve"> </w:t>
      </w:r>
      <w:r w:rsidRPr="00433F7F">
        <w:rPr>
          <w:rFonts w:ascii="Arial" w:hAnsi="Arial" w:cs="Arial"/>
          <w:sz w:val="24"/>
          <w:szCs w:val="24"/>
          <w:lang w:val="es-MX"/>
        </w:rPr>
        <w:t>del art.8</w:t>
      </w:r>
      <w:r w:rsidR="006356C5" w:rsidRPr="00433F7F">
        <w:rPr>
          <w:rFonts w:ascii="Arial" w:hAnsi="Arial" w:cs="Arial"/>
          <w:sz w:val="24"/>
          <w:szCs w:val="24"/>
          <w:lang w:val="es-MX"/>
        </w:rPr>
        <w:t>.2 ”</w:t>
      </w:r>
      <w:r w:rsidR="006356C5" w:rsidRPr="00433F7F">
        <w:rPr>
          <w:rFonts w:ascii="Arial" w:hAnsi="Arial" w:cs="Arial"/>
          <w:i/>
          <w:sz w:val="24"/>
          <w:szCs w:val="24"/>
          <w:lang w:val="es-MX"/>
        </w:rPr>
        <w:t>Toda persona inculpada de delito tiene derecho a que se presuma su inocencia mientras no se establezca legalmente su culpabilidad</w:t>
      </w:r>
      <w:r w:rsidR="006356C5" w:rsidRPr="00433F7F">
        <w:rPr>
          <w:rFonts w:ascii="Arial" w:hAnsi="Arial" w:cs="Arial"/>
          <w:sz w:val="24"/>
          <w:szCs w:val="24"/>
          <w:lang w:val="es-MX"/>
        </w:rPr>
        <w:t xml:space="preserve">”. El citado </w:t>
      </w:r>
      <w:r w:rsidRPr="00433F7F">
        <w:rPr>
          <w:rFonts w:ascii="Arial" w:hAnsi="Arial" w:cs="Arial"/>
          <w:sz w:val="24"/>
          <w:szCs w:val="24"/>
          <w:lang w:val="es-MX"/>
        </w:rPr>
        <w:t>dispositivo que comprende garantías judiciales en el proceso</w:t>
      </w:r>
      <w:r w:rsidRPr="00433F7F">
        <w:rPr>
          <w:rStyle w:val="Refdenotaalpie"/>
          <w:rFonts w:ascii="Arial" w:hAnsi="Arial" w:cs="Arial"/>
          <w:sz w:val="24"/>
          <w:szCs w:val="24"/>
          <w:lang w:val="es-MX"/>
        </w:rPr>
        <w:footnoteReference w:id="27"/>
      </w:r>
      <w:r w:rsidRPr="00433F7F">
        <w:rPr>
          <w:rFonts w:ascii="Arial" w:hAnsi="Arial" w:cs="Arial"/>
          <w:sz w:val="24"/>
          <w:szCs w:val="24"/>
          <w:lang w:val="es-MX"/>
        </w:rPr>
        <w:t xml:space="preserve">. </w:t>
      </w:r>
    </w:p>
    <w:p w14:paraId="009C04A6" w14:textId="1CBE83B2" w:rsidR="0095546C" w:rsidRPr="00433F7F" w:rsidRDefault="002E3D74" w:rsidP="00433F7F">
      <w:pPr>
        <w:spacing w:line="360" w:lineRule="auto"/>
        <w:ind w:left="720" w:right="720"/>
        <w:jc w:val="both"/>
        <w:rPr>
          <w:rFonts w:ascii="Arial" w:hAnsi="Arial" w:cs="Arial"/>
          <w:sz w:val="24"/>
          <w:szCs w:val="24"/>
          <w:lang w:val="es-ES"/>
        </w:rPr>
      </w:pPr>
      <w:r>
        <w:rPr>
          <w:rFonts w:ascii="Arial" w:hAnsi="Arial" w:cs="Arial"/>
          <w:sz w:val="24"/>
          <w:szCs w:val="24"/>
          <w:lang w:val="es-ES"/>
        </w:rPr>
        <w:t>Como sabemos, el Estado mexicano al adquirir obligaciones a través de los instrumentos internacionales,</w:t>
      </w:r>
      <w:r w:rsidR="00870376" w:rsidRPr="00433F7F">
        <w:rPr>
          <w:rFonts w:ascii="Arial" w:hAnsi="Arial" w:cs="Arial"/>
          <w:sz w:val="24"/>
          <w:szCs w:val="24"/>
          <w:lang w:val="es-ES"/>
        </w:rPr>
        <w:t xml:space="preserve"> </w:t>
      </w:r>
      <w:r w:rsidR="002C42A1" w:rsidRPr="00433F7F">
        <w:rPr>
          <w:rFonts w:ascii="Arial" w:hAnsi="Arial" w:cs="Arial"/>
          <w:sz w:val="24"/>
          <w:szCs w:val="24"/>
          <w:lang w:val="es-ES"/>
        </w:rPr>
        <w:t>est</w:t>
      </w:r>
      <w:r>
        <w:rPr>
          <w:rFonts w:ascii="Arial" w:hAnsi="Arial" w:cs="Arial"/>
          <w:sz w:val="24"/>
          <w:szCs w:val="24"/>
          <w:lang w:val="es-ES"/>
        </w:rPr>
        <w:t>á</w:t>
      </w:r>
      <w:r w:rsidR="00870376" w:rsidRPr="00433F7F">
        <w:rPr>
          <w:rFonts w:ascii="Arial" w:hAnsi="Arial" w:cs="Arial"/>
          <w:sz w:val="24"/>
          <w:szCs w:val="24"/>
          <w:lang w:val="es-ES"/>
        </w:rPr>
        <w:t xml:space="preserve"> obligado a respetar</w:t>
      </w:r>
      <w:r w:rsidR="0032433F">
        <w:rPr>
          <w:rFonts w:ascii="Arial" w:hAnsi="Arial" w:cs="Arial"/>
          <w:sz w:val="24"/>
          <w:szCs w:val="24"/>
          <w:lang w:val="es-ES"/>
        </w:rPr>
        <w:t xml:space="preserve"> y a incorporarlo en su normativa con el fin de garantizar su cumplimiento. Sin embargo, fue hasta el</w:t>
      </w:r>
      <w:r w:rsidR="00870376" w:rsidRPr="00433F7F">
        <w:rPr>
          <w:rFonts w:ascii="Arial" w:hAnsi="Arial" w:cs="Arial"/>
          <w:sz w:val="24"/>
          <w:szCs w:val="24"/>
          <w:lang w:val="es-ES"/>
        </w:rPr>
        <w:t xml:space="preserve"> año 2008 y 2011, </w:t>
      </w:r>
      <w:r w:rsidR="0032433F">
        <w:rPr>
          <w:rFonts w:ascii="Arial" w:hAnsi="Arial" w:cs="Arial"/>
          <w:sz w:val="24"/>
          <w:szCs w:val="24"/>
          <w:lang w:val="es-ES"/>
        </w:rPr>
        <w:t xml:space="preserve">donde se </w:t>
      </w:r>
      <w:r w:rsidR="00076FB5" w:rsidRPr="00433F7F">
        <w:rPr>
          <w:rFonts w:ascii="Arial" w:hAnsi="Arial" w:cs="Arial"/>
          <w:sz w:val="24"/>
          <w:szCs w:val="24"/>
          <w:lang w:val="es-ES"/>
        </w:rPr>
        <w:t>armoniz</w:t>
      </w:r>
      <w:r w:rsidR="0032433F">
        <w:rPr>
          <w:rFonts w:ascii="Arial" w:hAnsi="Arial" w:cs="Arial"/>
          <w:sz w:val="24"/>
          <w:szCs w:val="24"/>
          <w:lang w:val="es-ES"/>
        </w:rPr>
        <w:t>ó en</w:t>
      </w:r>
      <w:r w:rsidR="00076FB5" w:rsidRPr="00433F7F">
        <w:rPr>
          <w:rFonts w:ascii="Arial" w:hAnsi="Arial" w:cs="Arial"/>
          <w:sz w:val="24"/>
          <w:szCs w:val="24"/>
          <w:lang w:val="es-ES"/>
        </w:rPr>
        <w:t xml:space="preserve"> nuestra norm</w:t>
      </w:r>
      <w:r w:rsidR="005C0B12" w:rsidRPr="00433F7F">
        <w:rPr>
          <w:rFonts w:ascii="Arial" w:hAnsi="Arial" w:cs="Arial"/>
          <w:sz w:val="24"/>
          <w:szCs w:val="24"/>
          <w:lang w:val="es-ES"/>
        </w:rPr>
        <w:t>a</w:t>
      </w:r>
      <w:r w:rsidR="00076FB5" w:rsidRPr="00433F7F">
        <w:rPr>
          <w:rFonts w:ascii="Arial" w:hAnsi="Arial" w:cs="Arial"/>
          <w:sz w:val="24"/>
          <w:szCs w:val="24"/>
          <w:lang w:val="es-ES"/>
        </w:rPr>
        <w:t>tiva el</w:t>
      </w:r>
      <w:r w:rsidR="0032433F">
        <w:rPr>
          <w:rFonts w:ascii="Arial" w:hAnsi="Arial" w:cs="Arial"/>
          <w:sz w:val="24"/>
          <w:szCs w:val="24"/>
          <w:lang w:val="es-ES"/>
        </w:rPr>
        <w:t xml:space="preserve"> reconocimiento del</w:t>
      </w:r>
      <w:r w:rsidR="00076FB5" w:rsidRPr="00433F7F">
        <w:rPr>
          <w:rFonts w:ascii="Arial" w:hAnsi="Arial" w:cs="Arial"/>
          <w:sz w:val="24"/>
          <w:szCs w:val="24"/>
          <w:lang w:val="es-ES"/>
        </w:rPr>
        <w:t xml:space="preserve"> derecho</w:t>
      </w:r>
      <w:r w:rsidR="0032433F">
        <w:rPr>
          <w:rFonts w:ascii="Arial" w:hAnsi="Arial" w:cs="Arial"/>
          <w:sz w:val="24"/>
          <w:szCs w:val="24"/>
          <w:lang w:val="es-ES"/>
        </w:rPr>
        <w:t xml:space="preserve"> a la presunción de inocencia, ni </w:t>
      </w:r>
      <w:r w:rsidR="00076FB5" w:rsidRPr="00433F7F">
        <w:rPr>
          <w:rFonts w:ascii="Arial" w:hAnsi="Arial" w:cs="Arial"/>
          <w:sz w:val="24"/>
          <w:szCs w:val="24"/>
          <w:lang w:val="es-ES"/>
        </w:rPr>
        <w:t>la Constitución como otras normas</w:t>
      </w:r>
      <w:r w:rsidR="0032433F">
        <w:rPr>
          <w:rFonts w:ascii="Arial" w:hAnsi="Arial" w:cs="Arial"/>
          <w:sz w:val="24"/>
          <w:szCs w:val="24"/>
          <w:lang w:val="es-ES"/>
        </w:rPr>
        <w:t>,</w:t>
      </w:r>
      <w:r w:rsidR="00076FB5" w:rsidRPr="00433F7F">
        <w:rPr>
          <w:rFonts w:ascii="Arial" w:hAnsi="Arial" w:cs="Arial"/>
          <w:sz w:val="24"/>
          <w:szCs w:val="24"/>
          <w:lang w:val="es-ES"/>
        </w:rPr>
        <w:t xml:space="preserve"> reglamentos</w:t>
      </w:r>
      <w:r w:rsidR="0032433F">
        <w:rPr>
          <w:rFonts w:ascii="Arial" w:hAnsi="Arial" w:cs="Arial"/>
          <w:sz w:val="24"/>
          <w:szCs w:val="24"/>
          <w:lang w:val="es-ES"/>
        </w:rPr>
        <w:t xml:space="preserve"> y protocolos de actuación lo</w:t>
      </w:r>
      <w:r w:rsidR="00076FB5" w:rsidRPr="00433F7F">
        <w:rPr>
          <w:rFonts w:ascii="Arial" w:hAnsi="Arial" w:cs="Arial"/>
          <w:sz w:val="24"/>
          <w:szCs w:val="24"/>
          <w:lang w:val="es-ES"/>
        </w:rPr>
        <w:t xml:space="preserve"> respeta</w:t>
      </w:r>
      <w:r w:rsidR="0032433F">
        <w:rPr>
          <w:rFonts w:ascii="Arial" w:hAnsi="Arial" w:cs="Arial"/>
          <w:sz w:val="24"/>
          <w:szCs w:val="24"/>
          <w:lang w:val="es-ES"/>
        </w:rPr>
        <w:t>ban</w:t>
      </w:r>
      <w:r w:rsidR="00433F7F" w:rsidRPr="00433F7F">
        <w:rPr>
          <w:rFonts w:ascii="Arial" w:hAnsi="Arial" w:cs="Arial"/>
          <w:sz w:val="24"/>
          <w:szCs w:val="24"/>
          <w:lang w:val="es-ES"/>
        </w:rPr>
        <w:t>.</w:t>
      </w:r>
      <w:r w:rsidR="00076FB5" w:rsidRPr="00433F7F">
        <w:rPr>
          <w:rFonts w:ascii="Arial" w:hAnsi="Arial" w:cs="Arial"/>
          <w:sz w:val="24"/>
          <w:szCs w:val="24"/>
          <w:lang w:val="es-ES"/>
        </w:rPr>
        <w:t xml:space="preserve"> </w:t>
      </w:r>
      <w:r w:rsidR="00433F7F" w:rsidRPr="00433F7F">
        <w:rPr>
          <w:rFonts w:ascii="Arial" w:hAnsi="Arial" w:cs="Arial"/>
          <w:sz w:val="24"/>
          <w:szCs w:val="24"/>
          <w:lang w:val="es-ES"/>
        </w:rPr>
        <w:t>D</w:t>
      </w:r>
      <w:r w:rsidR="00076FB5" w:rsidRPr="00433F7F">
        <w:rPr>
          <w:rFonts w:ascii="Arial" w:hAnsi="Arial" w:cs="Arial"/>
          <w:sz w:val="24"/>
          <w:szCs w:val="24"/>
          <w:lang w:val="es-ES"/>
        </w:rPr>
        <w:t>e hecho</w:t>
      </w:r>
      <w:r w:rsidR="00433F7F" w:rsidRPr="00433F7F">
        <w:rPr>
          <w:rFonts w:ascii="Arial" w:hAnsi="Arial" w:cs="Arial"/>
          <w:sz w:val="24"/>
          <w:szCs w:val="24"/>
          <w:lang w:val="es-ES"/>
        </w:rPr>
        <w:t>,</w:t>
      </w:r>
      <w:r w:rsidR="00076FB5" w:rsidRPr="00433F7F">
        <w:rPr>
          <w:rFonts w:ascii="Arial" w:hAnsi="Arial" w:cs="Arial"/>
          <w:sz w:val="24"/>
          <w:szCs w:val="24"/>
          <w:lang w:val="es-ES"/>
        </w:rPr>
        <w:t xml:space="preserve"> </w:t>
      </w:r>
      <w:r w:rsidR="0032433F">
        <w:rPr>
          <w:rFonts w:ascii="Arial" w:hAnsi="Arial" w:cs="Arial"/>
          <w:sz w:val="24"/>
          <w:szCs w:val="24"/>
          <w:lang w:val="es-ES"/>
        </w:rPr>
        <w:t xml:space="preserve">ni siquiera </w:t>
      </w:r>
      <w:r w:rsidR="00076FB5" w:rsidRPr="00433F7F">
        <w:rPr>
          <w:rFonts w:ascii="Arial" w:hAnsi="Arial" w:cs="Arial"/>
          <w:sz w:val="24"/>
          <w:szCs w:val="24"/>
          <w:lang w:val="es-ES"/>
        </w:rPr>
        <w:t>el propio modelo de justicia penal lo hacía, tuvimos que esperar a las citadas reformas constitucionales para hacerlo</w:t>
      </w:r>
      <w:r w:rsidR="005C0B12" w:rsidRPr="00433F7F">
        <w:rPr>
          <w:rFonts w:ascii="Arial" w:hAnsi="Arial" w:cs="Arial"/>
          <w:sz w:val="24"/>
          <w:szCs w:val="24"/>
          <w:lang w:val="es-ES"/>
        </w:rPr>
        <w:t xml:space="preserve">, y lo que se hacía como forma paralela para garantizarlo, era el trabajo realizado por la Alta Corte </w:t>
      </w:r>
      <w:r w:rsidR="00870376" w:rsidRPr="00433F7F">
        <w:rPr>
          <w:rFonts w:ascii="Arial" w:hAnsi="Arial" w:cs="Arial"/>
          <w:sz w:val="24"/>
          <w:szCs w:val="24"/>
          <w:lang w:val="es-ES"/>
        </w:rPr>
        <w:t>y la Co</w:t>
      </w:r>
      <w:r w:rsidR="00B26EEF" w:rsidRPr="00433F7F">
        <w:rPr>
          <w:rFonts w:ascii="Arial" w:hAnsi="Arial" w:cs="Arial"/>
          <w:sz w:val="24"/>
          <w:szCs w:val="24"/>
          <w:lang w:val="es-ES"/>
        </w:rPr>
        <w:t>rte I</w:t>
      </w:r>
      <w:r w:rsidR="00870376" w:rsidRPr="00433F7F">
        <w:rPr>
          <w:rFonts w:ascii="Arial" w:hAnsi="Arial" w:cs="Arial"/>
          <w:sz w:val="24"/>
          <w:szCs w:val="24"/>
          <w:lang w:val="es-ES"/>
        </w:rPr>
        <w:t xml:space="preserve">DH </w:t>
      </w:r>
      <w:r w:rsidR="005C0B12" w:rsidRPr="00433F7F">
        <w:rPr>
          <w:rFonts w:ascii="Arial" w:hAnsi="Arial" w:cs="Arial"/>
          <w:sz w:val="24"/>
          <w:szCs w:val="24"/>
          <w:lang w:val="es-ES"/>
        </w:rPr>
        <w:t>en sus resoluciones.</w:t>
      </w:r>
      <w:r w:rsidR="00FB4031" w:rsidRPr="00433F7F">
        <w:rPr>
          <w:rFonts w:ascii="Arial" w:hAnsi="Arial" w:cs="Arial"/>
          <w:sz w:val="24"/>
          <w:szCs w:val="24"/>
          <w:lang w:val="es-ES"/>
        </w:rPr>
        <w:t xml:space="preserve"> El reconocimiento normativo es la base para el respeto de los derechos, también el modelo de justicia debe de</w:t>
      </w:r>
      <w:r w:rsidR="00773EA2" w:rsidRPr="00433F7F">
        <w:rPr>
          <w:rFonts w:ascii="Arial" w:hAnsi="Arial" w:cs="Arial"/>
          <w:sz w:val="24"/>
          <w:szCs w:val="24"/>
          <w:lang w:val="es-ES"/>
        </w:rPr>
        <w:t xml:space="preserve"> respetarlo en sus actuaciones y la carga de la prueba siempre debe tenerla quien acusa, de lo contrario estaremos reconociendo </w:t>
      </w:r>
      <w:r w:rsidR="00773EA2" w:rsidRPr="00433F7F">
        <w:rPr>
          <w:rFonts w:ascii="Arial" w:hAnsi="Arial" w:cs="Arial"/>
          <w:sz w:val="24"/>
          <w:szCs w:val="24"/>
          <w:lang w:val="es-ES"/>
        </w:rPr>
        <w:lastRenderedPageBreak/>
        <w:t xml:space="preserve">simulando el respeto de </w:t>
      </w:r>
      <w:r w:rsidR="00433F7F" w:rsidRPr="00433F7F">
        <w:rPr>
          <w:rFonts w:ascii="Arial" w:hAnsi="Arial" w:cs="Arial"/>
          <w:sz w:val="24"/>
          <w:szCs w:val="24"/>
          <w:lang w:val="es-ES"/>
        </w:rPr>
        <w:t>e</w:t>
      </w:r>
      <w:r w:rsidR="00773EA2" w:rsidRPr="00433F7F">
        <w:rPr>
          <w:rFonts w:ascii="Arial" w:hAnsi="Arial" w:cs="Arial"/>
          <w:sz w:val="24"/>
          <w:szCs w:val="24"/>
          <w:lang w:val="es-ES"/>
        </w:rPr>
        <w:t>stos.</w:t>
      </w:r>
      <w:r w:rsidR="00402906">
        <w:rPr>
          <w:rFonts w:ascii="Arial" w:hAnsi="Arial" w:cs="Arial"/>
          <w:sz w:val="24"/>
          <w:szCs w:val="24"/>
          <w:lang w:val="es-ES"/>
        </w:rPr>
        <w:t xml:space="preserve"> De aquí la importancia que adquirieron las decisiones judiciales para proteger dicho derecho.</w:t>
      </w:r>
    </w:p>
    <w:p w14:paraId="24AFCF77" w14:textId="07B6C7B3" w:rsidR="00DE7627" w:rsidRPr="00433F7F" w:rsidRDefault="00DE7627" w:rsidP="00433F7F">
      <w:pPr>
        <w:spacing w:line="360" w:lineRule="auto"/>
        <w:ind w:left="720" w:right="720"/>
        <w:jc w:val="both"/>
        <w:rPr>
          <w:rFonts w:ascii="Arial" w:hAnsi="Arial" w:cs="Arial"/>
          <w:sz w:val="24"/>
          <w:szCs w:val="24"/>
          <w:lang w:val="es-ES"/>
        </w:rPr>
      </w:pPr>
    </w:p>
    <w:p w14:paraId="2808A697" w14:textId="304DE235" w:rsidR="00410D35" w:rsidRPr="00433F7F" w:rsidRDefault="004D67E9" w:rsidP="00433F7F">
      <w:pPr>
        <w:spacing w:line="360" w:lineRule="auto"/>
        <w:ind w:left="720" w:right="720"/>
        <w:jc w:val="both"/>
        <w:rPr>
          <w:rFonts w:ascii="Arial" w:hAnsi="Arial" w:cs="Arial"/>
          <w:sz w:val="24"/>
          <w:szCs w:val="24"/>
          <w:lang w:val="es-ES"/>
        </w:rPr>
      </w:pPr>
      <w:r w:rsidRPr="00433F7F">
        <w:rPr>
          <w:rFonts w:ascii="Arial" w:hAnsi="Arial" w:cs="Arial"/>
          <w:sz w:val="24"/>
          <w:szCs w:val="24"/>
          <w:lang w:val="es-ES"/>
        </w:rPr>
        <w:t xml:space="preserve"> III.</w:t>
      </w:r>
      <w:r w:rsidRPr="00433F7F">
        <w:rPr>
          <w:rFonts w:ascii="Arial" w:hAnsi="Arial" w:cs="Arial"/>
          <w:bCs/>
          <w:sz w:val="24"/>
          <w:szCs w:val="24"/>
          <w:lang w:val="es-MX"/>
        </w:rPr>
        <w:t xml:space="preserve">ANÁLISIS DE LA PROTECCIÓN DE PRESUNCIÓN DE INOCENCIA </w:t>
      </w:r>
    </w:p>
    <w:p w14:paraId="741B836D" w14:textId="2EA45D9C" w:rsidR="00870376" w:rsidRPr="00433F7F" w:rsidRDefault="00870376" w:rsidP="00433F7F">
      <w:pPr>
        <w:spacing w:line="360" w:lineRule="auto"/>
        <w:ind w:left="720" w:right="720"/>
        <w:jc w:val="both"/>
        <w:rPr>
          <w:rFonts w:ascii="Arial" w:hAnsi="Arial" w:cs="Arial"/>
          <w:bCs/>
          <w:sz w:val="24"/>
          <w:szCs w:val="24"/>
          <w:lang w:val="es-MX"/>
        </w:rPr>
      </w:pPr>
      <w:r w:rsidRPr="00433F7F">
        <w:rPr>
          <w:rFonts w:ascii="Arial" w:hAnsi="Arial" w:cs="Arial"/>
          <w:bCs/>
          <w:sz w:val="24"/>
          <w:szCs w:val="24"/>
          <w:lang w:val="es-MX"/>
        </w:rPr>
        <w:t>Como se mencionó anteriormente, en relación a</w:t>
      </w:r>
      <w:r w:rsidR="001877D0" w:rsidRPr="00433F7F">
        <w:rPr>
          <w:rFonts w:ascii="Arial" w:hAnsi="Arial" w:cs="Arial"/>
          <w:bCs/>
          <w:sz w:val="24"/>
          <w:szCs w:val="24"/>
          <w:lang w:val="es-MX"/>
        </w:rPr>
        <w:t xml:space="preserve"> los momentos en que se activa l</w:t>
      </w:r>
      <w:r w:rsidR="00DC6525" w:rsidRPr="00433F7F">
        <w:rPr>
          <w:rFonts w:ascii="Arial" w:hAnsi="Arial" w:cs="Arial"/>
          <w:bCs/>
          <w:sz w:val="24"/>
          <w:szCs w:val="24"/>
          <w:lang w:val="es-MX"/>
        </w:rPr>
        <w:t>a protección del derecho de presunción de inocencia</w:t>
      </w:r>
      <w:r w:rsidR="001877D0" w:rsidRPr="00433F7F">
        <w:rPr>
          <w:rFonts w:ascii="Arial" w:hAnsi="Arial" w:cs="Arial"/>
          <w:bCs/>
          <w:sz w:val="24"/>
          <w:szCs w:val="24"/>
          <w:lang w:val="es-MX"/>
        </w:rPr>
        <w:t xml:space="preserve">, </w:t>
      </w:r>
      <w:r w:rsidR="00B20DEC" w:rsidRPr="00433F7F">
        <w:rPr>
          <w:rFonts w:ascii="Arial" w:hAnsi="Arial" w:cs="Arial"/>
          <w:bCs/>
          <w:sz w:val="24"/>
          <w:szCs w:val="24"/>
          <w:lang w:val="es-MX"/>
        </w:rPr>
        <w:t>consideramos</w:t>
      </w:r>
      <w:r w:rsidR="00DE7627" w:rsidRPr="00433F7F">
        <w:rPr>
          <w:rFonts w:ascii="Arial" w:hAnsi="Arial" w:cs="Arial"/>
          <w:bCs/>
          <w:sz w:val="24"/>
          <w:szCs w:val="24"/>
          <w:lang w:val="es-MX"/>
        </w:rPr>
        <w:t xml:space="preserve"> </w:t>
      </w:r>
      <w:r w:rsidR="00B20DEC" w:rsidRPr="00433F7F">
        <w:rPr>
          <w:rFonts w:ascii="Arial" w:hAnsi="Arial" w:cs="Arial"/>
          <w:bCs/>
          <w:sz w:val="24"/>
          <w:szCs w:val="24"/>
          <w:lang w:val="es-MX"/>
        </w:rPr>
        <w:t xml:space="preserve">que se presentan en </w:t>
      </w:r>
      <w:r w:rsidR="00DE7627" w:rsidRPr="00433F7F">
        <w:rPr>
          <w:rFonts w:ascii="Arial" w:hAnsi="Arial" w:cs="Arial"/>
          <w:bCs/>
          <w:sz w:val="24"/>
          <w:szCs w:val="24"/>
          <w:lang w:val="es-MX"/>
        </w:rPr>
        <w:t>dos momentos</w:t>
      </w:r>
      <w:r w:rsidR="00B20DEC" w:rsidRPr="00433F7F">
        <w:rPr>
          <w:rFonts w:ascii="Arial" w:hAnsi="Arial" w:cs="Arial"/>
          <w:bCs/>
          <w:sz w:val="24"/>
          <w:szCs w:val="24"/>
          <w:lang w:val="es-MX"/>
        </w:rPr>
        <w:t xml:space="preserve">: </w:t>
      </w:r>
      <w:r w:rsidR="00C33E82" w:rsidRPr="00433F7F">
        <w:rPr>
          <w:rFonts w:ascii="Arial" w:hAnsi="Arial" w:cs="Arial"/>
          <w:bCs/>
          <w:sz w:val="24"/>
          <w:szCs w:val="24"/>
          <w:lang w:val="es-MX"/>
        </w:rPr>
        <w:t>I</w:t>
      </w:r>
      <w:r w:rsidR="00B20DEC" w:rsidRPr="00433F7F">
        <w:rPr>
          <w:rFonts w:ascii="Arial" w:hAnsi="Arial" w:cs="Arial"/>
          <w:bCs/>
          <w:sz w:val="24"/>
          <w:szCs w:val="24"/>
          <w:lang w:val="es-MX"/>
        </w:rPr>
        <w:t>) Durante el desarrollo del proceso penal</w:t>
      </w:r>
      <w:r w:rsidR="00655C6D" w:rsidRPr="00433F7F">
        <w:rPr>
          <w:rFonts w:ascii="Arial" w:hAnsi="Arial" w:cs="Arial"/>
          <w:bCs/>
          <w:sz w:val="24"/>
          <w:szCs w:val="24"/>
          <w:lang w:val="es-MX"/>
        </w:rPr>
        <w:t xml:space="preserve">. </w:t>
      </w:r>
      <w:r w:rsidR="00C33E82" w:rsidRPr="00433F7F">
        <w:rPr>
          <w:rFonts w:ascii="Arial" w:hAnsi="Arial" w:cs="Arial"/>
          <w:bCs/>
          <w:sz w:val="24"/>
          <w:szCs w:val="24"/>
          <w:lang w:val="es-MX"/>
        </w:rPr>
        <w:t>II</w:t>
      </w:r>
      <w:r w:rsidR="00BB4BC9" w:rsidRPr="00433F7F">
        <w:rPr>
          <w:rFonts w:ascii="Arial" w:hAnsi="Arial" w:cs="Arial"/>
          <w:bCs/>
          <w:sz w:val="24"/>
          <w:szCs w:val="24"/>
          <w:lang w:val="es-MX"/>
        </w:rPr>
        <w:t xml:space="preserve">) </w:t>
      </w:r>
      <w:r w:rsidR="005864E8" w:rsidRPr="00433F7F">
        <w:rPr>
          <w:rFonts w:ascii="Arial" w:hAnsi="Arial" w:cs="Arial"/>
          <w:bCs/>
          <w:sz w:val="24"/>
          <w:szCs w:val="24"/>
          <w:lang w:val="es-MX"/>
        </w:rPr>
        <w:t xml:space="preserve">Se extiende con posterioridad </w:t>
      </w:r>
      <w:r w:rsidR="00BB4BC9" w:rsidRPr="00433F7F">
        <w:rPr>
          <w:rFonts w:ascii="Arial" w:hAnsi="Arial" w:cs="Arial"/>
          <w:bCs/>
          <w:sz w:val="24"/>
          <w:szCs w:val="24"/>
          <w:lang w:val="es-MX"/>
        </w:rPr>
        <w:t xml:space="preserve">al desarrollo del proceso. </w:t>
      </w:r>
      <w:r w:rsidR="00B20DEC" w:rsidRPr="00433F7F">
        <w:rPr>
          <w:rFonts w:ascii="Arial" w:hAnsi="Arial" w:cs="Arial"/>
          <w:bCs/>
          <w:sz w:val="24"/>
          <w:szCs w:val="24"/>
          <w:lang w:val="es-MX"/>
        </w:rPr>
        <w:t xml:space="preserve">Atendiendo a esos dos grandes </w:t>
      </w:r>
      <w:r w:rsidR="006356C5" w:rsidRPr="00433F7F">
        <w:rPr>
          <w:rFonts w:ascii="Arial" w:hAnsi="Arial" w:cs="Arial"/>
          <w:bCs/>
          <w:sz w:val="24"/>
          <w:szCs w:val="24"/>
          <w:lang w:val="es-MX"/>
        </w:rPr>
        <w:t xml:space="preserve">supuestos que, a continuación, </w:t>
      </w:r>
      <w:r w:rsidR="007A498C">
        <w:rPr>
          <w:rFonts w:ascii="Arial" w:hAnsi="Arial" w:cs="Arial"/>
          <w:bCs/>
          <w:sz w:val="24"/>
          <w:szCs w:val="24"/>
          <w:lang w:val="es-MX"/>
        </w:rPr>
        <w:t xml:space="preserve">se </w:t>
      </w:r>
      <w:r w:rsidR="00B20DEC" w:rsidRPr="00433F7F">
        <w:rPr>
          <w:rFonts w:ascii="Arial" w:hAnsi="Arial" w:cs="Arial"/>
          <w:bCs/>
          <w:sz w:val="24"/>
          <w:szCs w:val="24"/>
          <w:lang w:val="es-MX"/>
        </w:rPr>
        <w:t>an</w:t>
      </w:r>
      <w:r w:rsidR="007A498C">
        <w:rPr>
          <w:rFonts w:ascii="Arial" w:hAnsi="Arial" w:cs="Arial"/>
          <w:bCs/>
          <w:sz w:val="24"/>
          <w:szCs w:val="24"/>
          <w:lang w:val="es-MX"/>
        </w:rPr>
        <w:t>a</w:t>
      </w:r>
      <w:r w:rsidR="00B20DEC" w:rsidRPr="00433F7F">
        <w:rPr>
          <w:rFonts w:ascii="Arial" w:hAnsi="Arial" w:cs="Arial"/>
          <w:bCs/>
          <w:sz w:val="24"/>
          <w:szCs w:val="24"/>
          <w:lang w:val="es-MX"/>
        </w:rPr>
        <w:t>li</w:t>
      </w:r>
      <w:r w:rsidR="007A498C">
        <w:rPr>
          <w:rFonts w:ascii="Arial" w:hAnsi="Arial" w:cs="Arial"/>
          <w:bCs/>
          <w:sz w:val="24"/>
          <w:szCs w:val="24"/>
          <w:lang w:val="es-MX"/>
        </w:rPr>
        <w:t>zan</w:t>
      </w:r>
      <w:r w:rsidR="00B20DEC" w:rsidRPr="00433F7F">
        <w:rPr>
          <w:rFonts w:ascii="Arial" w:hAnsi="Arial" w:cs="Arial"/>
          <w:bCs/>
          <w:sz w:val="24"/>
          <w:szCs w:val="24"/>
          <w:lang w:val="es-MX"/>
        </w:rPr>
        <w:t xml:space="preserve"> las diferentes resoluciones judiciales en cuanto a la protección de dicho derecho:</w:t>
      </w:r>
    </w:p>
    <w:p w14:paraId="15494B18" w14:textId="24F65430" w:rsidR="00BB4BC9" w:rsidRPr="00433F7F" w:rsidRDefault="005864E8" w:rsidP="00433F7F">
      <w:pPr>
        <w:pStyle w:val="Prrafodelista"/>
        <w:numPr>
          <w:ilvl w:val="0"/>
          <w:numId w:val="34"/>
        </w:numPr>
        <w:spacing w:line="360" w:lineRule="auto"/>
        <w:ind w:right="720"/>
        <w:jc w:val="both"/>
        <w:rPr>
          <w:rFonts w:ascii="Arial" w:hAnsi="Arial" w:cs="Arial"/>
          <w:bCs/>
          <w:sz w:val="24"/>
          <w:szCs w:val="24"/>
          <w:lang w:val="es-MX"/>
        </w:rPr>
      </w:pPr>
      <w:r w:rsidRPr="00433F7F">
        <w:rPr>
          <w:rFonts w:ascii="Arial" w:hAnsi="Arial" w:cs="Arial"/>
          <w:bCs/>
          <w:sz w:val="24"/>
          <w:szCs w:val="24"/>
          <w:lang w:val="es-MX"/>
        </w:rPr>
        <w:t>Protección d</w:t>
      </w:r>
      <w:r w:rsidR="00BB4BC9" w:rsidRPr="00433F7F">
        <w:rPr>
          <w:rFonts w:ascii="Arial" w:hAnsi="Arial" w:cs="Arial"/>
          <w:bCs/>
          <w:sz w:val="24"/>
          <w:szCs w:val="24"/>
          <w:lang w:val="es-MX"/>
        </w:rPr>
        <w:t>urante el desarrollo del proceso penal</w:t>
      </w:r>
    </w:p>
    <w:p w14:paraId="0E01ABED" w14:textId="5217EAAB" w:rsidR="00252815" w:rsidRPr="00433F7F" w:rsidRDefault="00305CCC" w:rsidP="00433F7F">
      <w:pPr>
        <w:spacing w:line="360" w:lineRule="auto"/>
        <w:ind w:left="720" w:right="720"/>
        <w:jc w:val="both"/>
        <w:rPr>
          <w:rFonts w:ascii="Arial" w:hAnsi="Arial" w:cs="Arial"/>
          <w:sz w:val="24"/>
          <w:szCs w:val="24"/>
          <w:lang w:val="es-MX"/>
        </w:rPr>
      </w:pPr>
      <w:r w:rsidRPr="00433F7F">
        <w:rPr>
          <w:rFonts w:ascii="Arial" w:hAnsi="Arial" w:cs="Arial"/>
          <w:bCs/>
          <w:sz w:val="24"/>
          <w:szCs w:val="24"/>
          <w:lang w:val="es-MX"/>
        </w:rPr>
        <w:t>E</w:t>
      </w:r>
      <w:r w:rsidR="00433F7F" w:rsidRPr="00433F7F">
        <w:rPr>
          <w:rFonts w:ascii="Arial" w:hAnsi="Arial" w:cs="Arial"/>
          <w:bCs/>
          <w:sz w:val="24"/>
          <w:szCs w:val="24"/>
          <w:lang w:val="es-MX"/>
        </w:rPr>
        <w:t>l</w:t>
      </w:r>
      <w:r w:rsidRPr="00433F7F">
        <w:rPr>
          <w:rFonts w:ascii="Arial" w:hAnsi="Arial" w:cs="Arial"/>
          <w:bCs/>
          <w:sz w:val="24"/>
          <w:szCs w:val="24"/>
          <w:lang w:val="es-MX"/>
        </w:rPr>
        <w:t xml:space="preserve"> actual sistema de justicia penal cuenta con múltiples </w:t>
      </w:r>
      <w:r w:rsidR="00252815" w:rsidRPr="00433F7F">
        <w:rPr>
          <w:rFonts w:ascii="Arial" w:hAnsi="Arial" w:cs="Arial"/>
          <w:bCs/>
          <w:sz w:val="24"/>
          <w:szCs w:val="24"/>
          <w:lang w:val="es-MX"/>
        </w:rPr>
        <w:t xml:space="preserve">rasgos </w:t>
      </w:r>
      <w:r w:rsidRPr="00433F7F">
        <w:rPr>
          <w:rFonts w:ascii="Arial" w:hAnsi="Arial" w:cs="Arial"/>
          <w:bCs/>
          <w:sz w:val="24"/>
          <w:szCs w:val="24"/>
          <w:lang w:val="es-MX"/>
        </w:rPr>
        <w:t>garantistas</w:t>
      </w:r>
      <w:r w:rsidR="00433F7F" w:rsidRPr="00433F7F">
        <w:rPr>
          <w:rFonts w:ascii="Arial" w:hAnsi="Arial" w:cs="Arial"/>
          <w:bCs/>
          <w:sz w:val="24"/>
          <w:szCs w:val="24"/>
          <w:lang w:val="es-MX"/>
        </w:rPr>
        <w:t xml:space="preserve"> </w:t>
      </w:r>
      <w:r w:rsidR="00402906">
        <w:rPr>
          <w:rFonts w:ascii="Arial" w:hAnsi="Arial" w:cs="Arial"/>
          <w:bCs/>
          <w:sz w:val="24"/>
          <w:szCs w:val="24"/>
          <w:lang w:val="es-MX"/>
        </w:rPr>
        <w:t xml:space="preserve"> que protegen</w:t>
      </w:r>
      <w:r w:rsidRPr="00433F7F">
        <w:rPr>
          <w:rFonts w:ascii="Arial" w:hAnsi="Arial" w:cs="Arial"/>
          <w:bCs/>
          <w:sz w:val="24"/>
          <w:szCs w:val="24"/>
          <w:lang w:val="es-MX"/>
        </w:rPr>
        <w:t xml:space="preserve"> e</w:t>
      </w:r>
      <w:r w:rsidR="00252815" w:rsidRPr="00433F7F">
        <w:rPr>
          <w:rFonts w:ascii="Arial" w:hAnsi="Arial" w:cs="Arial"/>
          <w:sz w:val="24"/>
          <w:szCs w:val="24"/>
          <w:lang w:val="es-MX"/>
        </w:rPr>
        <w:t>l derecho a la pr</w:t>
      </w:r>
      <w:r w:rsidRPr="00433F7F">
        <w:rPr>
          <w:rFonts w:ascii="Arial" w:hAnsi="Arial" w:cs="Arial"/>
          <w:sz w:val="24"/>
          <w:szCs w:val="24"/>
          <w:lang w:val="es-MX"/>
        </w:rPr>
        <w:t>esunción de</w:t>
      </w:r>
      <w:r w:rsidR="00252815" w:rsidRPr="00433F7F">
        <w:rPr>
          <w:rFonts w:ascii="Arial" w:hAnsi="Arial" w:cs="Arial"/>
          <w:sz w:val="24"/>
          <w:szCs w:val="24"/>
          <w:lang w:val="es-MX"/>
        </w:rPr>
        <w:t xml:space="preserve"> inocencia </w:t>
      </w:r>
    </w:p>
    <w:p w14:paraId="00F96BFC" w14:textId="77777777" w:rsidR="00433F7F" w:rsidRPr="00433F7F" w:rsidRDefault="00224725"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Existen múltiples conductas o determinaciones propias de los operadores de justicia que pueden vulnerar en dicho trato</w:t>
      </w:r>
      <w:r w:rsidRPr="00433F7F">
        <w:rPr>
          <w:rStyle w:val="Refdenotaalpie"/>
          <w:rFonts w:ascii="Arial" w:hAnsi="Arial" w:cs="Arial"/>
          <w:color w:val="000000"/>
          <w:sz w:val="24"/>
          <w:szCs w:val="24"/>
          <w:lang w:val="es-MX"/>
        </w:rPr>
        <w:footnoteReference w:id="28"/>
      </w:r>
      <w:r w:rsidRPr="00433F7F">
        <w:rPr>
          <w:rFonts w:ascii="Arial" w:hAnsi="Arial" w:cs="Arial"/>
          <w:color w:val="000000"/>
          <w:sz w:val="24"/>
          <w:szCs w:val="24"/>
          <w:lang w:val="es-MX"/>
        </w:rPr>
        <w:t xml:space="preserve">; en cuanto a las primeras, el dar a conocer la identidad de una persona detenida o procesada, vulnera su derecho a presunción de inocencia y tiene repercusiones en su persona. </w:t>
      </w:r>
    </w:p>
    <w:p w14:paraId="03E259F2" w14:textId="3C2FD282" w:rsidR="00433F7F" w:rsidRPr="00433F7F" w:rsidRDefault="00224725"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 xml:space="preserve">La segunda, está relacionada con actuaciones </w:t>
      </w:r>
      <w:r w:rsidR="00137C0D" w:rsidRPr="00433F7F">
        <w:rPr>
          <w:rFonts w:ascii="Arial" w:hAnsi="Arial" w:cs="Arial"/>
          <w:color w:val="000000"/>
          <w:sz w:val="24"/>
          <w:szCs w:val="24"/>
          <w:lang w:val="es-MX"/>
        </w:rPr>
        <w:t xml:space="preserve">por parte </w:t>
      </w:r>
      <w:r w:rsidRPr="00433F7F">
        <w:rPr>
          <w:rFonts w:ascii="Arial" w:hAnsi="Arial" w:cs="Arial"/>
          <w:color w:val="000000"/>
          <w:sz w:val="24"/>
          <w:szCs w:val="24"/>
          <w:lang w:val="es-MX"/>
        </w:rPr>
        <w:t>de operadores</w:t>
      </w:r>
      <w:r w:rsidR="007A498C">
        <w:rPr>
          <w:rFonts w:ascii="Arial" w:hAnsi="Arial" w:cs="Arial"/>
          <w:color w:val="000000"/>
          <w:sz w:val="24"/>
          <w:szCs w:val="24"/>
          <w:lang w:val="es-MX"/>
        </w:rPr>
        <w:t xml:space="preserve"> de justicia</w:t>
      </w:r>
      <w:r w:rsidRPr="00433F7F">
        <w:rPr>
          <w:rFonts w:ascii="Arial" w:hAnsi="Arial" w:cs="Arial"/>
          <w:color w:val="000000"/>
          <w:sz w:val="24"/>
          <w:szCs w:val="24"/>
          <w:lang w:val="es-MX"/>
        </w:rPr>
        <w:t xml:space="preserve"> como la policía, el órgano acusador o el órgano juzgador</w:t>
      </w:r>
      <w:r w:rsidR="00433F7F" w:rsidRPr="00433F7F">
        <w:rPr>
          <w:rFonts w:ascii="Arial" w:hAnsi="Arial" w:cs="Arial"/>
          <w:color w:val="000000"/>
          <w:sz w:val="24"/>
          <w:szCs w:val="24"/>
          <w:lang w:val="es-MX"/>
        </w:rPr>
        <w:t>.</w:t>
      </w:r>
      <w:r w:rsidR="00137C0D" w:rsidRPr="00433F7F">
        <w:rPr>
          <w:rFonts w:ascii="Arial" w:hAnsi="Arial" w:cs="Arial"/>
          <w:color w:val="000000"/>
          <w:sz w:val="24"/>
          <w:szCs w:val="24"/>
          <w:lang w:val="es-MX"/>
        </w:rPr>
        <w:t xml:space="preserve"> </w:t>
      </w:r>
      <w:r w:rsidR="00433F7F" w:rsidRPr="00433F7F">
        <w:rPr>
          <w:rFonts w:ascii="Arial" w:hAnsi="Arial" w:cs="Arial"/>
          <w:color w:val="000000"/>
          <w:sz w:val="24"/>
          <w:szCs w:val="24"/>
          <w:lang w:val="es-MX"/>
        </w:rPr>
        <w:t>E</w:t>
      </w:r>
      <w:r w:rsidR="00137C0D" w:rsidRPr="00433F7F">
        <w:rPr>
          <w:rFonts w:ascii="Arial" w:hAnsi="Arial" w:cs="Arial"/>
          <w:color w:val="000000"/>
          <w:sz w:val="24"/>
          <w:szCs w:val="24"/>
          <w:lang w:val="es-MX"/>
        </w:rPr>
        <w:t xml:space="preserve">s necesario que se respeten las formalidades establecidas por la norma en cuanto a </w:t>
      </w:r>
      <w:r w:rsidR="00305CCC" w:rsidRPr="00433F7F">
        <w:rPr>
          <w:rFonts w:ascii="Arial" w:hAnsi="Arial" w:cs="Arial"/>
          <w:color w:val="000000"/>
          <w:sz w:val="24"/>
          <w:szCs w:val="24"/>
          <w:lang w:val="es-MX"/>
        </w:rPr>
        <w:t xml:space="preserve">cumplir obligaciones como </w:t>
      </w:r>
      <w:r w:rsidR="00137C0D" w:rsidRPr="00433F7F">
        <w:rPr>
          <w:rFonts w:ascii="Arial" w:hAnsi="Arial" w:cs="Arial"/>
          <w:color w:val="000000"/>
          <w:sz w:val="24"/>
          <w:szCs w:val="24"/>
          <w:lang w:val="es-MX"/>
        </w:rPr>
        <w:t>respetar plazos, entregar información, dar acceso a sus derechos</w:t>
      </w:r>
      <w:r w:rsidR="00305CCC" w:rsidRPr="00433F7F">
        <w:rPr>
          <w:rFonts w:ascii="Arial" w:hAnsi="Arial" w:cs="Arial"/>
          <w:color w:val="000000"/>
          <w:sz w:val="24"/>
          <w:szCs w:val="24"/>
          <w:lang w:val="es-MX"/>
        </w:rPr>
        <w:t>, protegerle</w:t>
      </w:r>
      <w:r w:rsidRPr="00433F7F">
        <w:rPr>
          <w:rFonts w:ascii="Arial" w:hAnsi="Arial" w:cs="Arial"/>
          <w:color w:val="000000"/>
          <w:sz w:val="24"/>
          <w:szCs w:val="24"/>
          <w:lang w:val="es-MX"/>
        </w:rPr>
        <w:t xml:space="preserve">. </w:t>
      </w:r>
    </w:p>
    <w:p w14:paraId="24F33BDB" w14:textId="7D0394A8" w:rsidR="00224725" w:rsidRPr="00433F7F" w:rsidRDefault="00224725"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lastRenderedPageBreak/>
        <w:t xml:space="preserve">En suma, en virtud de que todas estas conductas se dan sin que previamente exista una decisión judicial que determine la culpabilidad, atenta de manera directa </w:t>
      </w:r>
      <w:r w:rsidRPr="007A498C">
        <w:rPr>
          <w:rFonts w:ascii="Arial" w:hAnsi="Arial" w:cs="Arial"/>
          <w:color w:val="000000"/>
          <w:sz w:val="24"/>
          <w:szCs w:val="24"/>
          <w:lang w:val="es-MX"/>
        </w:rPr>
        <w:t>con</w:t>
      </w:r>
      <w:r w:rsidR="00433F7F" w:rsidRPr="007A498C">
        <w:rPr>
          <w:rFonts w:ascii="Arial" w:hAnsi="Arial" w:cs="Arial"/>
          <w:color w:val="000000"/>
          <w:sz w:val="24"/>
          <w:szCs w:val="24"/>
          <w:lang w:val="es-MX"/>
        </w:rPr>
        <w:t>tra</w:t>
      </w:r>
      <w:r w:rsidRPr="00433F7F">
        <w:rPr>
          <w:rFonts w:ascii="Arial" w:hAnsi="Arial" w:cs="Arial"/>
          <w:color w:val="000000"/>
          <w:sz w:val="24"/>
          <w:szCs w:val="24"/>
          <w:lang w:val="es-MX"/>
        </w:rPr>
        <w:t xml:space="preserve"> la inocencia que debe ser protegida, se refiere a un trato que no corresponde pues, a lo propio de un Estado de Derecho que es el estricto apego de lo que determinan sus normas. </w:t>
      </w:r>
    </w:p>
    <w:p w14:paraId="1668AA51" w14:textId="58C412FE" w:rsidR="00433F7F" w:rsidRPr="00433F7F" w:rsidRDefault="00252815"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Como sabemos, cada persona debe recibir un juicio justo, y esto lleva aparejado el derecho a trato de inocente hasta que se demuestre su culpabilidad. Los derechos humanos y</w:t>
      </w:r>
      <w:r w:rsidR="00433F7F" w:rsidRPr="00433F7F">
        <w:rPr>
          <w:rFonts w:ascii="Arial" w:hAnsi="Arial" w:cs="Arial"/>
          <w:sz w:val="24"/>
          <w:szCs w:val="24"/>
          <w:lang w:val="es-MX"/>
        </w:rPr>
        <w:t>,</w:t>
      </w:r>
      <w:r w:rsidRPr="00433F7F">
        <w:rPr>
          <w:rFonts w:ascii="Arial" w:hAnsi="Arial" w:cs="Arial"/>
          <w:sz w:val="24"/>
          <w:szCs w:val="24"/>
          <w:lang w:val="es-MX"/>
        </w:rPr>
        <w:t xml:space="preserve"> en este caso, la importancia del estudio de este derecho a lo largo del proceso, tiene como fundamento que no se anticipe o suponga la culpabilidad de </w:t>
      </w:r>
      <w:r w:rsidR="00433F7F" w:rsidRPr="00433F7F">
        <w:rPr>
          <w:rFonts w:ascii="Arial" w:hAnsi="Arial" w:cs="Arial"/>
          <w:sz w:val="24"/>
          <w:szCs w:val="24"/>
          <w:lang w:val="es-MX"/>
        </w:rPr>
        <w:t xml:space="preserve">la </w:t>
      </w:r>
      <w:r w:rsidRPr="00433F7F">
        <w:rPr>
          <w:rFonts w:ascii="Arial" w:hAnsi="Arial" w:cs="Arial"/>
          <w:sz w:val="24"/>
          <w:szCs w:val="24"/>
          <w:lang w:val="es-MX"/>
        </w:rPr>
        <w:t>persona</w:t>
      </w:r>
      <w:r w:rsidR="00433F7F" w:rsidRPr="00433F7F">
        <w:rPr>
          <w:rFonts w:ascii="Arial" w:hAnsi="Arial" w:cs="Arial"/>
          <w:sz w:val="24"/>
          <w:szCs w:val="24"/>
          <w:lang w:val="es-MX"/>
        </w:rPr>
        <w:t>,</w:t>
      </w:r>
      <w:r w:rsidRPr="00433F7F">
        <w:rPr>
          <w:rFonts w:ascii="Arial" w:hAnsi="Arial" w:cs="Arial"/>
          <w:sz w:val="24"/>
          <w:szCs w:val="24"/>
          <w:lang w:val="es-MX"/>
        </w:rPr>
        <w:t xml:space="preserve"> hasta que exista una sentencia condenatoria. </w:t>
      </w:r>
    </w:p>
    <w:p w14:paraId="1470D781" w14:textId="089DDD3B" w:rsidR="00252815" w:rsidRPr="00433F7F" w:rsidRDefault="00252815"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La aplicación estricta de este derecho se concibe como mandato a respetar; nos lleva a que las determinaciones judiciales se conviertan</w:t>
      </w:r>
      <w:r w:rsidR="008C49FB" w:rsidRPr="00433F7F">
        <w:rPr>
          <w:rFonts w:ascii="Arial" w:hAnsi="Arial" w:cs="Arial"/>
          <w:sz w:val="24"/>
          <w:szCs w:val="24"/>
          <w:lang w:val="es-MX"/>
        </w:rPr>
        <w:t xml:space="preserve"> en</w:t>
      </w:r>
      <w:r w:rsidRPr="00433F7F">
        <w:rPr>
          <w:rFonts w:ascii="Arial" w:hAnsi="Arial" w:cs="Arial"/>
          <w:sz w:val="24"/>
          <w:szCs w:val="24"/>
          <w:lang w:val="es-MX"/>
        </w:rPr>
        <w:t xml:space="preserve"> meras intenciones de proteger dicho derecho</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L</w:t>
      </w:r>
      <w:r w:rsidRPr="00433F7F">
        <w:rPr>
          <w:rFonts w:ascii="Arial" w:hAnsi="Arial" w:cs="Arial"/>
          <w:sz w:val="24"/>
          <w:szCs w:val="24"/>
          <w:lang w:val="es-MX"/>
        </w:rPr>
        <w:t>o que se busca es que éstas vayan encaminadas a la preservación</w:t>
      </w:r>
      <w:r w:rsidR="00433F7F" w:rsidRPr="00433F7F">
        <w:rPr>
          <w:rFonts w:ascii="Arial" w:hAnsi="Arial" w:cs="Arial"/>
          <w:sz w:val="24"/>
          <w:szCs w:val="24"/>
          <w:lang w:val="es-MX"/>
        </w:rPr>
        <w:t xml:space="preserve"> y</w:t>
      </w:r>
      <w:r w:rsidRPr="00433F7F">
        <w:rPr>
          <w:rFonts w:ascii="Arial" w:hAnsi="Arial" w:cs="Arial"/>
          <w:sz w:val="24"/>
          <w:szCs w:val="24"/>
          <w:lang w:val="es-MX"/>
        </w:rPr>
        <w:t xml:space="preserve"> la protección del mismo</w:t>
      </w:r>
      <w:r w:rsidR="00697FD5">
        <w:rPr>
          <w:rFonts w:ascii="Arial" w:hAnsi="Arial" w:cs="Arial"/>
          <w:sz w:val="24"/>
          <w:szCs w:val="24"/>
          <w:lang w:val="es-MX"/>
        </w:rPr>
        <w:t>.</w:t>
      </w:r>
    </w:p>
    <w:p w14:paraId="2DA8BD45" w14:textId="0DBB02FD" w:rsidR="00A018AC" w:rsidRDefault="00252815"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La protección de este derecho se encuentra vigente durante todo el proceso y se conforma por dos grandes vertientes; </w:t>
      </w:r>
      <w:r w:rsidR="004D67E9" w:rsidRPr="00433F7F">
        <w:rPr>
          <w:rFonts w:ascii="Arial" w:hAnsi="Arial" w:cs="Arial"/>
          <w:sz w:val="24"/>
          <w:szCs w:val="24"/>
          <w:lang w:val="es-MX"/>
        </w:rPr>
        <w:t>A</w:t>
      </w:r>
      <w:r w:rsidRPr="00433F7F">
        <w:rPr>
          <w:rFonts w:ascii="Arial" w:hAnsi="Arial" w:cs="Arial"/>
          <w:sz w:val="24"/>
          <w:szCs w:val="24"/>
          <w:lang w:val="es-MX"/>
        </w:rPr>
        <w:t xml:space="preserve">) respetar </w:t>
      </w:r>
      <w:r w:rsidR="00433F7F" w:rsidRPr="00433F7F">
        <w:rPr>
          <w:rFonts w:ascii="Arial" w:hAnsi="Arial" w:cs="Arial"/>
          <w:sz w:val="24"/>
          <w:szCs w:val="24"/>
          <w:lang w:val="es-MX"/>
        </w:rPr>
        <w:t xml:space="preserve">que </w:t>
      </w:r>
      <w:r w:rsidRPr="00433F7F">
        <w:rPr>
          <w:rFonts w:ascii="Arial" w:hAnsi="Arial" w:cs="Arial"/>
          <w:sz w:val="24"/>
          <w:szCs w:val="24"/>
          <w:lang w:val="es-MX"/>
        </w:rPr>
        <w:t>el trato procesal de la persona detenida, investigada, imputada y acusada</w:t>
      </w:r>
      <w:r w:rsidR="00433F7F" w:rsidRPr="00433F7F">
        <w:rPr>
          <w:rFonts w:ascii="Arial" w:hAnsi="Arial" w:cs="Arial"/>
          <w:sz w:val="24"/>
          <w:szCs w:val="24"/>
          <w:lang w:val="es-MX"/>
        </w:rPr>
        <w:t>,</w:t>
      </w:r>
      <w:r w:rsidRPr="00433F7F">
        <w:rPr>
          <w:rFonts w:ascii="Arial" w:hAnsi="Arial" w:cs="Arial"/>
          <w:sz w:val="24"/>
          <w:szCs w:val="24"/>
          <w:lang w:val="es-MX"/>
        </w:rPr>
        <w:t xml:space="preserve"> sea de inocente</w:t>
      </w:r>
      <w:r w:rsidR="00697FD5">
        <w:rPr>
          <w:rStyle w:val="Refdenotaalpie"/>
          <w:rFonts w:ascii="Arial" w:hAnsi="Arial" w:cs="Arial"/>
          <w:sz w:val="24"/>
          <w:szCs w:val="24"/>
          <w:lang w:val="es-MX"/>
        </w:rPr>
        <w:footnoteReference w:id="29"/>
      </w:r>
      <w:r w:rsidRPr="00433F7F">
        <w:rPr>
          <w:rFonts w:ascii="Arial" w:hAnsi="Arial" w:cs="Arial"/>
          <w:sz w:val="24"/>
          <w:szCs w:val="24"/>
          <w:lang w:val="es-MX"/>
        </w:rPr>
        <w:t xml:space="preserve">, </w:t>
      </w:r>
      <w:r w:rsidR="004D67E9" w:rsidRPr="00433F7F">
        <w:rPr>
          <w:rFonts w:ascii="Arial" w:hAnsi="Arial" w:cs="Arial"/>
          <w:sz w:val="24"/>
          <w:szCs w:val="24"/>
          <w:lang w:val="es-MX"/>
        </w:rPr>
        <w:t>B</w:t>
      </w:r>
      <w:r w:rsidRPr="00433F7F">
        <w:rPr>
          <w:rFonts w:ascii="Arial" w:hAnsi="Arial" w:cs="Arial"/>
          <w:sz w:val="24"/>
          <w:szCs w:val="24"/>
          <w:lang w:val="es-MX"/>
        </w:rPr>
        <w:t xml:space="preserve">) atender al valor </w:t>
      </w:r>
      <w:r w:rsidR="00B26EEF" w:rsidRPr="00433F7F">
        <w:rPr>
          <w:rFonts w:ascii="Arial" w:hAnsi="Arial" w:cs="Arial"/>
          <w:sz w:val="24"/>
          <w:szCs w:val="24"/>
          <w:lang w:val="es-MX"/>
        </w:rPr>
        <w:t xml:space="preserve">y estándar </w:t>
      </w:r>
      <w:r w:rsidRPr="00433F7F">
        <w:rPr>
          <w:rFonts w:ascii="Arial" w:hAnsi="Arial" w:cs="Arial"/>
          <w:sz w:val="24"/>
          <w:szCs w:val="24"/>
          <w:lang w:val="es-MX"/>
        </w:rPr>
        <w:t xml:space="preserve">probatorio en las etapas de investigación, intermedia y juicio. </w:t>
      </w:r>
      <w:r w:rsidR="00A018AC">
        <w:rPr>
          <w:rFonts w:ascii="Arial" w:hAnsi="Arial" w:cs="Arial"/>
          <w:sz w:val="24"/>
          <w:szCs w:val="24"/>
          <w:lang w:val="es-MX"/>
        </w:rPr>
        <w:t xml:space="preserve">Sobre esto último, </w:t>
      </w:r>
      <w:r w:rsidR="00A018AC" w:rsidRPr="00433F7F">
        <w:rPr>
          <w:rFonts w:ascii="Arial" w:hAnsi="Arial" w:cs="Arial"/>
          <w:color w:val="000000"/>
          <w:sz w:val="24"/>
          <w:szCs w:val="24"/>
          <w:lang w:val="es-MX"/>
        </w:rPr>
        <w:t>se trata de dar a conocer, presentar y valorar los datos de prueba, medios de prueba y pruebas en el orden determinado por las reglas del proceso y cubriendo con los objetivos de las diferentes etapas del mismo.</w:t>
      </w:r>
    </w:p>
    <w:p w14:paraId="48081B79" w14:textId="5A6E5A62" w:rsidR="00252815" w:rsidRPr="00433F7F" w:rsidRDefault="00252815"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En suma, se requiere que, de principio a fin del proceso, la persona involucrada en la comisión de los hechos se suponga su inocencia y que las pruebas aportadas</w:t>
      </w:r>
      <w:r w:rsidR="00433F7F" w:rsidRPr="00433F7F">
        <w:rPr>
          <w:rFonts w:ascii="Arial" w:hAnsi="Arial" w:cs="Arial"/>
          <w:sz w:val="24"/>
          <w:szCs w:val="24"/>
          <w:lang w:val="es-MX"/>
        </w:rPr>
        <w:t>,</w:t>
      </w:r>
      <w:r w:rsidRPr="00433F7F">
        <w:rPr>
          <w:rFonts w:ascii="Arial" w:hAnsi="Arial" w:cs="Arial"/>
          <w:sz w:val="24"/>
          <w:szCs w:val="24"/>
          <w:lang w:val="es-MX"/>
        </w:rPr>
        <w:t xml:space="preserve"> conforme a la ley, sean valoradas por el órgano juzgador</w:t>
      </w:r>
      <w:r w:rsidR="00433F7F" w:rsidRPr="00433F7F">
        <w:rPr>
          <w:rFonts w:ascii="Arial" w:hAnsi="Arial" w:cs="Arial"/>
          <w:sz w:val="24"/>
          <w:szCs w:val="24"/>
          <w:lang w:val="es-MX"/>
        </w:rPr>
        <w:t>,</w:t>
      </w:r>
      <w:r w:rsidRPr="00433F7F">
        <w:rPr>
          <w:rFonts w:ascii="Arial" w:hAnsi="Arial" w:cs="Arial"/>
          <w:sz w:val="24"/>
          <w:szCs w:val="24"/>
          <w:lang w:val="es-MX"/>
        </w:rPr>
        <w:t xml:space="preserve"> de acuerdo al objeto de cada uno de los actos y fases. De lo contrario, estaremos adelantando una condena, sin haber llevado a cabo un juicio justo y apegado a derecho.</w:t>
      </w:r>
      <w:r w:rsidR="00A018AC">
        <w:rPr>
          <w:rFonts w:ascii="Arial" w:hAnsi="Arial" w:cs="Arial"/>
          <w:sz w:val="24"/>
          <w:szCs w:val="24"/>
          <w:lang w:val="es-MX"/>
        </w:rPr>
        <w:t xml:space="preserve"> </w:t>
      </w:r>
    </w:p>
    <w:p w14:paraId="186C36F5" w14:textId="3EFC9F8A" w:rsidR="004C7E52"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Para conocer la forma que ha tomado el derecho es cuestión de acudi</w:t>
      </w:r>
      <w:r w:rsidR="00433F7F" w:rsidRPr="00433F7F">
        <w:rPr>
          <w:rFonts w:ascii="Arial" w:hAnsi="Arial" w:cs="Arial"/>
          <w:color w:val="000000"/>
          <w:sz w:val="24"/>
          <w:szCs w:val="24"/>
          <w:lang w:val="es-MX"/>
        </w:rPr>
        <w:t>r</w:t>
      </w:r>
      <w:r w:rsidRPr="00433F7F">
        <w:rPr>
          <w:rFonts w:ascii="Arial" w:hAnsi="Arial" w:cs="Arial"/>
          <w:color w:val="000000"/>
          <w:sz w:val="24"/>
          <w:szCs w:val="24"/>
          <w:lang w:val="es-MX"/>
        </w:rPr>
        <w:t xml:space="preserve"> a</w:t>
      </w:r>
      <w:r w:rsidRPr="00433F7F">
        <w:rPr>
          <w:rFonts w:ascii="Arial" w:hAnsi="Arial" w:cs="Arial"/>
          <w:sz w:val="24"/>
          <w:szCs w:val="24"/>
          <w:lang w:val="es-MX"/>
        </w:rPr>
        <w:t xml:space="preserve"> la jurisprudencia de la SCJN (</w:t>
      </w:r>
      <w:r w:rsidRPr="00433F7F">
        <w:rPr>
          <w:rFonts w:ascii="Arial" w:hAnsi="Arial" w:cs="Arial"/>
          <w:i/>
          <w:iCs/>
          <w:sz w:val="24"/>
          <w:szCs w:val="24"/>
          <w:lang w:val="es-MX"/>
        </w:rPr>
        <w:t>a la</w:t>
      </w:r>
      <w:r w:rsidR="00EA754A" w:rsidRPr="00433F7F">
        <w:rPr>
          <w:rFonts w:ascii="Arial" w:hAnsi="Arial" w:cs="Arial"/>
          <w:i/>
          <w:iCs/>
          <w:sz w:val="24"/>
          <w:szCs w:val="24"/>
          <w:lang w:val="es-MX"/>
        </w:rPr>
        <w:t xml:space="preserve"> Und</w:t>
      </w:r>
      <w:r w:rsidRPr="00433F7F">
        <w:rPr>
          <w:rFonts w:ascii="Arial" w:hAnsi="Arial" w:cs="Arial"/>
          <w:i/>
          <w:iCs/>
          <w:sz w:val="24"/>
          <w:szCs w:val="24"/>
          <w:lang w:val="es-MX"/>
        </w:rPr>
        <w:t xml:space="preserve">écima Época, </w:t>
      </w:r>
      <w:r w:rsidR="00EA754A" w:rsidRPr="00433F7F">
        <w:rPr>
          <w:rFonts w:ascii="Arial" w:hAnsi="Arial" w:cs="Arial"/>
          <w:i/>
          <w:iCs/>
          <w:sz w:val="24"/>
          <w:szCs w:val="24"/>
          <w:lang w:val="es-MX"/>
        </w:rPr>
        <w:t>10</w:t>
      </w:r>
      <w:r w:rsidRPr="00433F7F">
        <w:rPr>
          <w:rFonts w:ascii="Arial" w:hAnsi="Arial" w:cs="Arial"/>
          <w:i/>
          <w:iCs/>
          <w:sz w:val="24"/>
          <w:szCs w:val="24"/>
          <w:lang w:val="es-MX"/>
        </w:rPr>
        <w:t>-</w:t>
      </w:r>
      <w:r w:rsidR="00EA754A" w:rsidRPr="00433F7F">
        <w:rPr>
          <w:rFonts w:ascii="Arial" w:hAnsi="Arial" w:cs="Arial"/>
          <w:i/>
          <w:iCs/>
          <w:sz w:val="24"/>
          <w:szCs w:val="24"/>
          <w:lang w:val="es-MX"/>
        </w:rPr>
        <w:t>02</w:t>
      </w:r>
      <w:r w:rsidRPr="00433F7F">
        <w:rPr>
          <w:rFonts w:ascii="Arial" w:hAnsi="Arial" w:cs="Arial"/>
          <w:i/>
          <w:iCs/>
          <w:sz w:val="24"/>
          <w:szCs w:val="24"/>
          <w:lang w:val="es-MX"/>
        </w:rPr>
        <w:t>-20</w:t>
      </w:r>
      <w:r w:rsidR="00EA754A" w:rsidRPr="00433F7F">
        <w:rPr>
          <w:rFonts w:ascii="Arial" w:hAnsi="Arial" w:cs="Arial"/>
          <w:i/>
          <w:iCs/>
          <w:sz w:val="24"/>
          <w:szCs w:val="24"/>
          <w:lang w:val="es-MX"/>
        </w:rPr>
        <w:t>22</w:t>
      </w:r>
      <w:r w:rsidRPr="00433F7F">
        <w:rPr>
          <w:rFonts w:ascii="Arial" w:hAnsi="Arial" w:cs="Arial"/>
          <w:sz w:val="24"/>
          <w:szCs w:val="24"/>
          <w:lang w:val="es-MX"/>
        </w:rPr>
        <w:t xml:space="preserve">) con el fin de abarcar un periodo posterior a las reformas constitucionales en materia penal y seguridad pública y en materia de derechos humanos </w:t>
      </w:r>
      <w:r w:rsidR="00433F7F" w:rsidRPr="00433F7F">
        <w:rPr>
          <w:rFonts w:ascii="Arial" w:hAnsi="Arial" w:cs="Arial"/>
          <w:sz w:val="24"/>
          <w:szCs w:val="24"/>
          <w:lang w:val="es-MX"/>
        </w:rPr>
        <w:t>para</w:t>
      </w:r>
      <w:r w:rsidRPr="00433F7F">
        <w:rPr>
          <w:rFonts w:ascii="Arial" w:hAnsi="Arial" w:cs="Arial"/>
          <w:sz w:val="24"/>
          <w:szCs w:val="24"/>
          <w:lang w:val="es-MX"/>
        </w:rPr>
        <w:t xml:space="preserve"> conocer las interpretaciones hechas.</w:t>
      </w:r>
    </w:p>
    <w:p w14:paraId="0A850436" w14:textId="359FBFAB" w:rsidR="004C7E52"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A continuación, se procede a mencionar jurisprudencia que a m</w:t>
      </w:r>
      <w:r w:rsidR="00433F7F" w:rsidRPr="00433F7F">
        <w:rPr>
          <w:rFonts w:ascii="Arial" w:hAnsi="Arial" w:cs="Arial"/>
          <w:color w:val="000000"/>
          <w:sz w:val="24"/>
          <w:szCs w:val="24"/>
          <w:lang w:val="es-MX"/>
        </w:rPr>
        <w:t>i</w:t>
      </w:r>
      <w:r w:rsidRPr="00433F7F">
        <w:rPr>
          <w:rFonts w:ascii="Arial" w:hAnsi="Arial" w:cs="Arial"/>
          <w:color w:val="000000"/>
          <w:sz w:val="24"/>
          <w:szCs w:val="24"/>
          <w:lang w:val="es-MX"/>
        </w:rPr>
        <w:t xml:space="preserve"> consideración abonan en el tema que tratamos en el presente trabajo: </w:t>
      </w:r>
    </w:p>
    <w:p w14:paraId="2BFF4FBB" w14:textId="77777777" w:rsidR="004C7E52" w:rsidRPr="00433F7F" w:rsidRDefault="004C7E52" w:rsidP="00433F7F">
      <w:pPr>
        <w:spacing w:line="360" w:lineRule="auto"/>
        <w:ind w:left="720" w:right="720"/>
        <w:jc w:val="both"/>
        <w:rPr>
          <w:rFonts w:ascii="Arial" w:hAnsi="Arial" w:cs="Arial"/>
          <w:color w:val="000000"/>
          <w:sz w:val="24"/>
          <w:szCs w:val="24"/>
          <w:lang w:val="es-MX"/>
        </w:rPr>
      </w:pPr>
    </w:p>
    <w:p w14:paraId="7CA270AD" w14:textId="1EA238DB" w:rsidR="004C7E52" w:rsidRPr="00433F7F" w:rsidRDefault="004D67E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A.</w:t>
      </w:r>
      <w:r w:rsidR="004C7E52" w:rsidRPr="00433F7F">
        <w:rPr>
          <w:rFonts w:ascii="Arial" w:hAnsi="Arial" w:cs="Arial"/>
          <w:sz w:val="24"/>
          <w:szCs w:val="24"/>
          <w:lang w:val="es-MX"/>
        </w:rPr>
        <w:t xml:space="preserve">Trato procesal </w:t>
      </w:r>
      <w:r w:rsidR="00EA754A" w:rsidRPr="00433F7F">
        <w:rPr>
          <w:rFonts w:ascii="Arial" w:hAnsi="Arial" w:cs="Arial"/>
          <w:sz w:val="24"/>
          <w:szCs w:val="24"/>
          <w:lang w:val="es-MX"/>
        </w:rPr>
        <w:t xml:space="preserve">y </w:t>
      </w:r>
      <w:r w:rsidR="00B26EEF" w:rsidRPr="00433F7F">
        <w:rPr>
          <w:rFonts w:ascii="Arial" w:hAnsi="Arial" w:cs="Arial"/>
          <w:sz w:val="24"/>
          <w:szCs w:val="24"/>
          <w:lang w:val="es-MX"/>
        </w:rPr>
        <w:t>valor probatorio</w:t>
      </w:r>
    </w:p>
    <w:p w14:paraId="7EC9A271" w14:textId="1D01F90E"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Se considera presumiblemente inocente hasta que se juzgue y se determine si es culpable o no y</w:t>
      </w:r>
      <w:r w:rsidR="00433F7F" w:rsidRPr="00433F7F">
        <w:rPr>
          <w:rFonts w:ascii="Arial" w:hAnsi="Arial" w:cs="Arial"/>
          <w:sz w:val="24"/>
          <w:szCs w:val="24"/>
          <w:lang w:val="es-MX"/>
        </w:rPr>
        <w:t>,</w:t>
      </w:r>
      <w:r w:rsidRPr="00433F7F">
        <w:rPr>
          <w:rFonts w:ascii="Arial" w:hAnsi="Arial" w:cs="Arial"/>
          <w:sz w:val="24"/>
          <w:szCs w:val="24"/>
          <w:lang w:val="es-MX"/>
        </w:rPr>
        <w:t xml:space="preserve"> por tanto, el trato de no culpable debe respetarse. La apariencia de inocente requiere que se dejen de lado consideraciones previas, hasta que llegue a su final el proceso.  Se determinaron los siguientes criterios para profundizar en el presente punto a tratar</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85079" w:rsidRPr="00433F7F">
        <w:rPr>
          <w:rFonts w:ascii="Arial" w:hAnsi="Arial" w:cs="Arial"/>
          <w:sz w:val="24"/>
          <w:szCs w:val="24"/>
          <w:lang w:val="es-MX"/>
        </w:rPr>
        <w:t>a</w:t>
      </w:r>
      <w:r w:rsidR="004D67E9" w:rsidRPr="00433F7F">
        <w:rPr>
          <w:rFonts w:ascii="Arial" w:hAnsi="Arial" w:cs="Arial"/>
          <w:sz w:val="24"/>
          <w:szCs w:val="24"/>
          <w:lang w:val="es-MX"/>
        </w:rPr>
        <w:t xml:space="preserve">. </w:t>
      </w:r>
      <w:r w:rsidR="00655411" w:rsidRPr="00433F7F">
        <w:rPr>
          <w:rFonts w:ascii="Arial" w:hAnsi="Arial" w:cs="Arial"/>
          <w:sz w:val="24"/>
          <w:szCs w:val="24"/>
          <w:lang w:val="es-MX"/>
        </w:rPr>
        <w:t>Trato procesal</w:t>
      </w:r>
      <w:r w:rsidR="004D67E9" w:rsidRPr="00433F7F">
        <w:rPr>
          <w:rFonts w:ascii="Arial" w:hAnsi="Arial" w:cs="Arial"/>
          <w:sz w:val="24"/>
          <w:szCs w:val="24"/>
          <w:lang w:val="es-MX"/>
        </w:rPr>
        <w:t>,</w:t>
      </w:r>
      <w:r w:rsidR="00655411" w:rsidRPr="00433F7F">
        <w:rPr>
          <w:rFonts w:ascii="Arial" w:hAnsi="Arial" w:cs="Arial"/>
          <w:sz w:val="24"/>
          <w:szCs w:val="24"/>
          <w:lang w:val="es-MX"/>
        </w:rPr>
        <w:t xml:space="preserve"> b</w:t>
      </w:r>
      <w:r w:rsidR="004D67E9" w:rsidRPr="00433F7F">
        <w:rPr>
          <w:rFonts w:ascii="Arial" w:hAnsi="Arial" w:cs="Arial"/>
          <w:sz w:val="24"/>
          <w:szCs w:val="24"/>
          <w:lang w:val="es-MX"/>
        </w:rPr>
        <w:t>.</w:t>
      </w:r>
      <w:r w:rsidR="007B6B36">
        <w:rPr>
          <w:rFonts w:ascii="Arial" w:hAnsi="Arial" w:cs="Arial"/>
          <w:sz w:val="24"/>
          <w:szCs w:val="24"/>
          <w:lang w:val="es-MX"/>
        </w:rPr>
        <w:t xml:space="preserve"> </w:t>
      </w:r>
      <w:r w:rsidRPr="00433F7F">
        <w:rPr>
          <w:rFonts w:ascii="Arial" w:hAnsi="Arial" w:cs="Arial"/>
          <w:sz w:val="24"/>
          <w:szCs w:val="24"/>
          <w:lang w:val="es-MX"/>
        </w:rPr>
        <w:t xml:space="preserve">Tipo de delito cometido, </w:t>
      </w:r>
      <w:r w:rsidR="00655411" w:rsidRPr="00433F7F">
        <w:rPr>
          <w:rFonts w:ascii="Arial" w:hAnsi="Arial" w:cs="Arial"/>
          <w:sz w:val="24"/>
          <w:szCs w:val="24"/>
          <w:lang w:val="es-MX"/>
        </w:rPr>
        <w:t>c</w:t>
      </w:r>
      <w:r w:rsidR="004D67E9" w:rsidRPr="00433F7F">
        <w:rPr>
          <w:rFonts w:ascii="Arial" w:hAnsi="Arial" w:cs="Arial"/>
          <w:sz w:val="24"/>
          <w:szCs w:val="24"/>
          <w:lang w:val="es-MX"/>
        </w:rPr>
        <w:t xml:space="preserve">. </w:t>
      </w:r>
      <w:r w:rsidRPr="00433F7F">
        <w:rPr>
          <w:rFonts w:ascii="Arial" w:hAnsi="Arial" w:cs="Arial"/>
          <w:sz w:val="24"/>
          <w:szCs w:val="24"/>
          <w:lang w:val="es-MX"/>
        </w:rPr>
        <w:t xml:space="preserve">Imposición de medida cautelar, </w:t>
      </w:r>
      <w:r w:rsidR="00655411" w:rsidRPr="00433F7F">
        <w:rPr>
          <w:rFonts w:ascii="Arial" w:hAnsi="Arial" w:cs="Arial"/>
          <w:sz w:val="24"/>
          <w:szCs w:val="24"/>
          <w:lang w:val="es-MX"/>
        </w:rPr>
        <w:t>d</w:t>
      </w:r>
      <w:r w:rsidR="004D67E9" w:rsidRPr="00433F7F">
        <w:rPr>
          <w:rFonts w:ascii="Arial" w:hAnsi="Arial" w:cs="Arial"/>
          <w:sz w:val="24"/>
          <w:szCs w:val="24"/>
          <w:lang w:val="es-MX"/>
        </w:rPr>
        <w:t>.</w:t>
      </w:r>
      <w:r w:rsidR="007B6B36">
        <w:rPr>
          <w:rFonts w:ascii="Arial" w:hAnsi="Arial" w:cs="Arial"/>
          <w:sz w:val="24"/>
          <w:szCs w:val="24"/>
          <w:lang w:val="es-MX"/>
        </w:rPr>
        <w:t xml:space="preserve"> </w:t>
      </w:r>
      <w:r w:rsidRPr="00433F7F">
        <w:rPr>
          <w:rFonts w:ascii="Arial" w:hAnsi="Arial" w:cs="Arial"/>
          <w:sz w:val="24"/>
          <w:szCs w:val="24"/>
          <w:lang w:val="es-MX"/>
        </w:rPr>
        <w:t xml:space="preserve">Vinculación a proceso y </w:t>
      </w:r>
      <w:r w:rsidR="004D67E9" w:rsidRPr="00433F7F">
        <w:rPr>
          <w:rFonts w:ascii="Arial" w:hAnsi="Arial" w:cs="Arial"/>
          <w:sz w:val="24"/>
          <w:szCs w:val="24"/>
          <w:lang w:val="es-MX"/>
        </w:rPr>
        <w:t>e.</w:t>
      </w:r>
      <w:r w:rsidRPr="00433F7F">
        <w:rPr>
          <w:rFonts w:ascii="Arial" w:hAnsi="Arial" w:cs="Arial"/>
          <w:sz w:val="24"/>
          <w:szCs w:val="24"/>
          <w:lang w:val="es-MX"/>
        </w:rPr>
        <w:t xml:space="preserve"> Material probatorio</w:t>
      </w:r>
      <w:r w:rsidR="009D434C" w:rsidRPr="00433F7F">
        <w:rPr>
          <w:rFonts w:ascii="Arial" w:hAnsi="Arial" w:cs="Arial"/>
          <w:sz w:val="24"/>
          <w:szCs w:val="24"/>
          <w:lang w:val="es-MX"/>
        </w:rPr>
        <w:t xml:space="preserve"> y estándar de prueba</w:t>
      </w:r>
    </w:p>
    <w:p w14:paraId="1869C429" w14:textId="69A01375" w:rsidR="004C7E52" w:rsidRPr="00433F7F" w:rsidRDefault="004C7E52" w:rsidP="00433F7F">
      <w:pPr>
        <w:spacing w:line="360" w:lineRule="auto"/>
        <w:ind w:left="720" w:right="720"/>
        <w:jc w:val="both"/>
        <w:rPr>
          <w:rFonts w:ascii="Arial" w:hAnsi="Arial" w:cs="Arial"/>
          <w:sz w:val="24"/>
          <w:szCs w:val="24"/>
          <w:lang w:val="es-MX"/>
        </w:rPr>
      </w:pPr>
    </w:p>
    <w:p w14:paraId="06A97715" w14:textId="12869926" w:rsidR="00655411" w:rsidRPr="00433F7F" w:rsidRDefault="004D67E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a.</w:t>
      </w:r>
      <w:r w:rsidR="004C7E52" w:rsidRPr="00433F7F">
        <w:rPr>
          <w:rFonts w:ascii="Arial" w:hAnsi="Arial" w:cs="Arial"/>
          <w:sz w:val="24"/>
          <w:szCs w:val="24"/>
          <w:lang w:val="es-MX"/>
        </w:rPr>
        <w:t>T</w:t>
      </w:r>
      <w:r w:rsidR="00655411" w:rsidRPr="00433F7F">
        <w:rPr>
          <w:rFonts w:ascii="Arial" w:hAnsi="Arial" w:cs="Arial"/>
          <w:sz w:val="24"/>
          <w:szCs w:val="24"/>
          <w:lang w:val="es-MX"/>
        </w:rPr>
        <w:t>rato procesal</w:t>
      </w:r>
    </w:p>
    <w:p w14:paraId="1768C152" w14:textId="518CDB44" w:rsidR="009F104F" w:rsidRPr="00433F7F" w:rsidRDefault="00D835B3" w:rsidP="00433F7F">
      <w:pPr>
        <w:pStyle w:val="NormalWeb"/>
        <w:shd w:val="clear" w:color="auto" w:fill="FFFFFF"/>
        <w:spacing w:before="0" w:beforeAutospacing="0" w:after="0" w:afterAutospacing="0" w:line="360" w:lineRule="auto"/>
        <w:ind w:left="720" w:right="720"/>
        <w:jc w:val="both"/>
        <w:textAlignment w:val="top"/>
        <w:rPr>
          <w:rFonts w:ascii="Arial" w:hAnsi="Arial" w:cs="Arial"/>
          <w:lang w:val="es-MX"/>
        </w:rPr>
      </w:pPr>
      <w:r w:rsidRPr="00433F7F">
        <w:rPr>
          <w:rFonts w:ascii="Arial" w:hAnsi="Arial" w:cs="Arial"/>
          <w:lang w:val="es-MX"/>
        </w:rPr>
        <w:lastRenderedPageBreak/>
        <w:t>La regla de trato procesal, ha sido interpretada por la SCJN, en el sentido de que la persona sea tratada como inocente y que no se trate de una anticipación de la condena</w:t>
      </w:r>
      <w:r w:rsidRPr="00433F7F">
        <w:rPr>
          <w:rStyle w:val="Refdenotaalpie"/>
          <w:rFonts w:ascii="Arial" w:hAnsi="Arial" w:cs="Arial"/>
          <w:lang w:val="es-MX"/>
        </w:rPr>
        <w:footnoteReference w:id="30"/>
      </w:r>
      <w:r w:rsidRPr="00433F7F">
        <w:rPr>
          <w:rFonts w:ascii="Arial" w:hAnsi="Arial" w:cs="Arial"/>
          <w:lang w:val="es-MX"/>
        </w:rPr>
        <w:t>.</w:t>
      </w:r>
      <w:r w:rsidR="00F936E5" w:rsidRPr="00433F7F">
        <w:rPr>
          <w:rFonts w:ascii="Arial" w:hAnsi="Arial" w:cs="Arial"/>
          <w:lang w:val="es-MX"/>
        </w:rPr>
        <w:t xml:space="preserve"> </w:t>
      </w:r>
      <w:r w:rsidR="00EF0BE5" w:rsidRPr="00433F7F">
        <w:rPr>
          <w:rFonts w:ascii="Arial" w:hAnsi="Arial" w:cs="Arial"/>
          <w:lang w:val="es-MX"/>
        </w:rPr>
        <w:t xml:space="preserve">Como se mencionó, el proceso está </w:t>
      </w:r>
      <w:r w:rsidR="009F104F" w:rsidRPr="00433F7F">
        <w:rPr>
          <w:rFonts w:ascii="Arial" w:hAnsi="Arial" w:cs="Arial"/>
          <w:lang w:val="es-MX"/>
        </w:rPr>
        <w:t>conformado por una serie de normas que deben de respetar el trato de la persona de manera física</w:t>
      </w:r>
      <w:r w:rsidR="00A60C2E" w:rsidRPr="00433F7F">
        <w:rPr>
          <w:rFonts w:ascii="Arial" w:hAnsi="Arial" w:cs="Arial"/>
          <w:lang w:val="es-MX"/>
        </w:rPr>
        <w:t xml:space="preserve"> sin afectar su dignidad</w:t>
      </w:r>
      <w:r w:rsidR="008C49FB" w:rsidRPr="00433F7F">
        <w:rPr>
          <w:rFonts w:ascii="Arial" w:hAnsi="Arial" w:cs="Arial"/>
          <w:lang w:val="es-MX"/>
        </w:rPr>
        <w:t xml:space="preserve"> o integridad</w:t>
      </w:r>
      <w:r w:rsidR="00A60C2E" w:rsidRPr="00433F7F">
        <w:rPr>
          <w:rFonts w:ascii="Arial" w:hAnsi="Arial" w:cs="Arial"/>
          <w:lang w:val="es-MX"/>
        </w:rPr>
        <w:t xml:space="preserve">, </w:t>
      </w:r>
      <w:r w:rsidR="008C49FB" w:rsidRPr="00433F7F">
        <w:rPr>
          <w:rFonts w:ascii="Arial" w:hAnsi="Arial" w:cs="Arial"/>
          <w:lang w:val="es-MX"/>
        </w:rPr>
        <w:t>atender conforme a derecho</w:t>
      </w:r>
      <w:r w:rsidR="009F104F" w:rsidRPr="00433F7F">
        <w:rPr>
          <w:rFonts w:ascii="Arial" w:hAnsi="Arial" w:cs="Arial"/>
          <w:lang w:val="es-MX"/>
        </w:rPr>
        <w:t xml:space="preserve"> la forma</w:t>
      </w:r>
      <w:r w:rsidR="008C49FB" w:rsidRPr="00433F7F">
        <w:rPr>
          <w:rFonts w:ascii="Arial" w:hAnsi="Arial" w:cs="Arial"/>
          <w:lang w:val="es-MX"/>
        </w:rPr>
        <w:t xml:space="preserve"> en que se ejecuta la</w:t>
      </w:r>
      <w:r w:rsidR="009F104F" w:rsidRPr="00433F7F">
        <w:rPr>
          <w:rFonts w:ascii="Arial" w:hAnsi="Arial" w:cs="Arial"/>
          <w:lang w:val="es-MX"/>
        </w:rPr>
        <w:t xml:space="preserve"> detención</w:t>
      </w:r>
      <w:r w:rsidR="0027309F" w:rsidRPr="00433F7F">
        <w:rPr>
          <w:rStyle w:val="Refdenotaalpie"/>
          <w:rFonts w:ascii="Arial" w:hAnsi="Arial" w:cs="Arial"/>
          <w:lang w:val="es-MX"/>
        </w:rPr>
        <w:footnoteReference w:id="31"/>
      </w:r>
      <w:r w:rsidR="008C49FB" w:rsidRPr="00433F7F">
        <w:rPr>
          <w:rFonts w:ascii="Arial" w:hAnsi="Arial" w:cs="Arial"/>
          <w:lang w:val="es-MX"/>
        </w:rPr>
        <w:t xml:space="preserve"> o aprehensión</w:t>
      </w:r>
      <w:r w:rsidR="009F104F" w:rsidRPr="00433F7F">
        <w:rPr>
          <w:rFonts w:ascii="Arial" w:hAnsi="Arial" w:cs="Arial"/>
          <w:lang w:val="es-MX"/>
        </w:rPr>
        <w:t xml:space="preserve">, </w:t>
      </w:r>
      <w:r w:rsidR="008C49FB" w:rsidRPr="00433F7F">
        <w:rPr>
          <w:rFonts w:ascii="Arial" w:hAnsi="Arial" w:cs="Arial"/>
          <w:lang w:val="es-MX"/>
        </w:rPr>
        <w:t>dar acceso a</w:t>
      </w:r>
      <w:r w:rsidR="009F104F" w:rsidRPr="00433F7F">
        <w:rPr>
          <w:rFonts w:ascii="Arial" w:hAnsi="Arial" w:cs="Arial"/>
          <w:lang w:val="es-MX"/>
        </w:rPr>
        <w:t xml:space="preserve">l lugar en donde </w:t>
      </w:r>
      <w:r w:rsidR="008C49FB" w:rsidRPr="00433F7F">
        <w:rPr>
          <w:rFonts w:ascii="Arial" w:hAnsi="Arial" w:cs="Arial"/>
          <w:lang w:val="es-MX"/>
        </w:rPr>
        <w:t>le corresponde estar según su condición de detenido, procesado, sentenciado</w:t>
      </w:r>
      <w:r w:rsidR="009F104F" w:rsidRPr="00433F7F">
        <w:rPr>
          <w:rFonts w:ascii="Arial" w:hAnsi="Arial" w:cs="Arial"/>
          <w:lang w:val="es-MX"/>
        </w:rPr>
        <w:t xml:space="preserve">, así como </w:t>
      </w:r>
      <w:r w:rsidR="008C49FB" w:rsidRPr="00433F7F">
        <w:rPr>
          <w:rFonts w:ascii="Arial" w:hAnsi="Arial" w:cs="Arial"/>
          <w:lang w:val="es-MX"/>
        </w:rPr>
        <w:t xml:space="preserve">respetar </w:t>
      </w:r>
      <w:r w:rsidR="009F104F" w:rsidRPr="00433F7F">
        <w:rPr>
          <w:rFonts w:ascii="Arial" w:hAnsi="Arial" w:cs="Arial"/>
          <w:lang w:val="es-MX"/>
        </w:rPr>
        <w:t>la</w:t>
      </w:r>
      <w:r w:rsidR="00A60C2E" w:rsidRPr="00433F7F">
        <w:rPr>
          <w:rFonts w:ascii="Arial" w:hAnsi="Arial" w:cs="Arial"/>
          <w:lang w:val="es-MX"/>
        </w:rPr>
        <w:t>s</w:t>
      </w:r>
      <w:r w:rsidR="009F104F" w:rsidRPr="00433F7F">
        <w:rPr>
          <w:rFonts w:ascii="Arial" w:hAnsi="Arial" w:cs="Arial"/>
          <w:lang w:val="es-MX"/>
        </w:rPr>
        <w:t xml:space="preserve"> </w:t>
      </w:r>
      <w:r w:rsidR="008C49FB" w:rsidRPr="00433F7F">
        <w:rPr>
          <w:rFonts w:ascii="Arial" w:hAnsi="Arial" w:cs="Arial"/>
          <w:lang w:val="es-MX"/>
        </w:rPr>
        <w:t xml:space="preserve">formalidades y obligaciones </w:t>
      </w:r>
      <w:r w:rsidR="009F104F" w:rsidRPr="00433F7F">
        <w:rPr>
          <w:rFonts w:ascii="Arial" w:hAnsi="Arial" w:cs="Arial"/>
          <w:lang w:val="es-MX"/>
        </w:rPr>
        <w:t>establecidas p</w:t>
      </w:r>
      <w:r w:rsidR="008C49FB" w:rsidRPr="00433F7F">
        <w:rPr>
          <w:rFonts w:ascii="Arial" w:hAnsi="Arial" w:cs="Arial"/>
          <w:lang w:val="es-MX"/>
        </w:rPr>
        <w:t>or</w:t>
      </w:r>
      <w:r w:rsidR="009F104F" w:rsidRPr="00433F7F">
        <w:rPr>
          <w:rFonts w:ascii="Arial" w:hAnsi="Arial" w:cs="Arial"/>
          <w:lang w:val="es-MX"/>
        </w:rPr>
        <w:t xml:space="preserve"> el proceso </w:t>
      </w:r>
      <w:r w:rsidR="008C49FB" w:rsidRPr="00433F7F">
        <w:rPr>
          <w:rFonts w:ascii="Arial" w:hAnsi="Arial" w:cs="Arial"/>
          <w:lang w:val="es-MX"/>
        </w:rPr>
        <w:t xml:space="preserve">por parte de </w:t>
      </w:r>
      <w:r w:rsidR="009F104F" w:rsidRPr="00433F7F">
        <w:rPr>
          <w:rFonts w:ascii="Arial" w:hAnsi="Arial" w:cs="Arial"/>
          <w:lang w:val="es-MX"/>
        </w:rPr>
        <w:t>los operadores de justicia</w:t>
      </w:r>
      <w:r w:rsidR="00433F7F" w:rsidRPr="00433F7F">
        <w:rPr>
          <w:rFonts w:ascii="Arial" w:hAnsi="Arial" w:cs="Arial"/>
          <w:lang w:val="es-MX"/>
        </w:rPr>
        <w:t>:</w:t>
      </w:r>
      <w:r w:rsidR="009F104F" w:rsidRPr="00433F7F">
        <w:rPr>
          <w:rFonts w:ascii="Arial" w:hAnsi="Arial" w:cs="Arial"/>
          <w:lang w:val="es-MX"/>
        </w:rPr>
        <w:t xml:space="preserve"> el órgano policial, el juzgador de garantía</w:t>
      </w:r>
      <w:r w:rsidR="008C49FB" w:rsidRPr="00433F7F">
        <w:rPr>
          <w:rFonts w:ascii="Arial" w:hAnsi="Arial" w:cs="Arial"/>
          <w:lang w:val="es-MX"/>
        </w:rPr>
        <w:t>,</w:t>
      </w:r>
      <w:r w:rsidR="009F104F" w:rsidRPr="00433F7F">
        <w:rPr>
          <w:rFonts w:ascii="Arial" w:hAnsi="Arial" w:cs="Arial"/>
          <w:lang w:val="es-MX"/>
        </w:rPr>
        <w:t xml:space="preserve"> el juzgador del juicio</w:t>
      </w:r>
      <w:r w:rsidR="008C49FB" w:rsidRPr="00433F7F">
        <w:rPr>
          <w:rFonts w:ascii="Arial" w:hAnsi="Arial" w:cs="Arial"/>
          <w:lang w:val="es-MX"/>
        </w:rPr>
        <w:t xml:space="preserve"> así como el resto de funcionarios que administran justicia</w:t>
      </w:r>
      <w:r w:rsidR="009F104F" w:rsidRPr="00433F7F">
        <w:rPr>
          <w:rFonts w:ascii="Arial" w:hAnsi="Arial" w:cs="Arial"/>
          <w:lang w:val="es-MX"/>
        </w:rPr>
        <w:t>.</w:t>
      </w:r>
    </w:p>
    <w:p w14:paraId="5E6FE024" w14:textId="08B1DBAB" w:rsidR="009F104F" w:rsidRPr="00433F7F" w:rsidRDefault="009F104F" w:rsidP="00433F7F">
      <w:pPr>
        <w:pStyle w:val="NormalWeb"/>
        <w:shd w:val="clear" w:color="auto" w:fill="FFFFFF"/>
        <w:spacing w:before="0" w:beforeAutospacing="0" w:after="0" w:afterAutospacing="0" w:line="360" w:lineRule="auto"/>
        <w:ind w:left="720" w:right="720"/>
        <w:jc w:val="both"/>
        <w:textAlignment w:val="top"/>
        <w:rPr>
          <w:rFonts w:ascii="Arial" w:hAnsi="Arial" w:cs="Arial"/>
          <w:lang w:val="es-MX"/>
        </w:rPr>
      </w:pPr>
    </w:p>
    <w:p w14:paraId="2A44D69C" w14:textId="6FDBCBB5" w:rsidR="00C434DD" w:rsidRPr="00433F7F" w:rsidRDefault="00C434DD" w:rsidP="00433F7F">
      <w:pPr>
        <w:pStyle w:val="NormalWeb"/>
        <w:shd w:val="clear" w:color="auto" w:fill="FFFFFF"/>
        <w:spacing w:before="0" w:beforeAutospacing="0" w:after="0" w:afterAutospacing="0" w:line="360" w:lineRule="auto"/>
        <w:ind w:left="720" w:right="720"/>
        <w:jc w:val="both"/>
        <w:textAlignment w:val="top"/>
        <w:rPr>
          <w:rFonts w:ascii="Arial" w:hAnsi="Arial" w:cs="Arial"/>
          <w:lang w:val="es-MX"/>
        </w:rPr>
      </w:pPr>
      <w:r w:rsidRPr="00433F7F">
        <w:rPr>
          <w:rFonts w:ascii="Arial" w:hAnsi="Arial" w:cs="Arial"/>
          <w:lang w:val="es-MX"/>
        </w:rPr>
        <w:lastRenderedPageBreak/>
        <w:t>Destaca</w:t>
      </w:r>
      <w:r w:rsidR="00433F7F" w:rsidRPr="00433F7F">
        <w:rPr>
          <w:rFonts w:ascii="Arial" w:hAnsi="Arial" w:cs="Arial"/>
          <w:lang w:val="es-MX"/>
        </w:rPr>
        <w:t>,</w:t>
      </w:r>
      <w:r w:rsidRPr="00433F7F">
        <w:rPr>
          <w:rFonts w:ascii="Arial" w:hAnsi="Arial" w:cs="Arial"/>
          <w:lang w:val="es-MX"/>
        </w:rPr>
        <w:t xml:space="preserve"> en primer lugar, el caso Caso Cantoral Benavides Vs. Perú</w:t>
      </w:r>
      <w:r w:rsidRPr="00433F7F">
        <w:rPr>
          <w:rStyle w:val="Refdenotaalpie"/>
          <w:rFonts w:ascii="Arial" w:hAnsi="Arial" w:cs="Arial"/>
          <w:lang w:val="es-MX"/>
        </w:rPr>
        <w:footnoteReference w:id="32"/>
      </w:r>
      <w:r w:rsidRPr="00433F7F">
        <w:rPr>
          <w:rFonts w:ascii="Arial" w:hAnsi="Arial" w:cs="Arial"/>
          <w:lang w:val="es-MX"/>
        </w:rPr>
        <w:t>, donde la Co</w:t>
      </w:r>
      <w:r w:rsidR="00C479BF" w:rsidRPr="00433F7F">
        <w:rPr>
          <w:rFonts w:ascii="Arial" w:hAnsi="Arial" w:cs="Arial"/>
          <w:lang w:val="es-MX"/>
        </w:rPr>
        <w:t>rte I</w:t>
      </w:r>
      <w:r w:rsidRPr="00433F7F">
        <w:rPr>
          <w:rFonts w:ascii="Arial" w:hAnsi="Arial" w:cs="Arial"/>
          <w:lang w:val="es-MX"/>
        </w:rPr>
        <w:t>DH determin</w:t>
      </w:r>
      <w:r w:rsidR="00433F7F" w:rsidRPr="00433F7F">
        <w:rPr>
          <w:rFonts w:ascii="Arial" w:hAnsi="Arial" w:cs="Arial"/>
          <w:lang w:val="es-MX"/>
        </w:rPr>
        <w:t>ó</w:t>
      </w:r>
      <w:r w:rsidRPr="00433F7F">
        <w:rPr>
          <w:rFonts w:ascii="Arial" w:hAnsi="Arial" w:cs="Arial"/>
          <w:lang w:val="es-MX"/>
        </w:rPr>
        <w:t xml:space="preserve"> que se había vulnerado la </w:t>
      </w:r>
      <w:r w:rsidR="007B6B36" w:rsidRPr="00433F7F">
        <w:rPr>
          <w:rFonts w:ascii="Arial" w:hAnsi="Arial" w:cs="Arial"/>
          <w:lang w:val="es-MX"/>
        </w:rPr>
        <w:t>presunción</w:t>
      </w:r>
      <w:r w:rsidRPr="00433F7F">
        <w:rPr>
          <w:rFonts w:ascii="Arial" w:hAnsi="Arial" w:cs="Arial"/>
          <w:lang w:val="es-MX"/>
        </w:rPr>
        <w:t xml:space="preserve"> de </w:t>
      </w:r>
      <w:r w:rsidR="00433F7F" w:rsidRPr="00433F7F">
        <w:rPr>
          <w:rFonts w:ascii="Arial" w:hAnsi="Arial" w:cs="Arial"/>
          <w:lang w:val="es-MX"/>
        </w:rPr>
        <w:t>i</w:t>
      </w:r>
      <w:r w:rsidRPr="00433F7F">
        <w:rPr>
          <w:rFonts w:ascii="Arial" w:hAnsi="Arial" w:cs="Arial"/>
          <w:lang w:val="es-MX"/>
        </w:rPr>
        <w:t>nocencia</w:t>
      </w:r>
      <w:r w:rsidR="00433F7F" w:rsidRPr="00433F7F">
        <w:rPr>
          <w:rFonts w:ascii="Arial" w:hAnsi="Arial" w:cs="Arial"/>
          <w:lang w:val="es-MX"/>
        </w:rPr>
        <w:t>.</w:t>
      </w:r>
      <w:r w:rsidRPr="00433F7F">
        <w:rPr>
          <w:rFonts w:ascii="Arial" w:hAnsi="Arial" w:cs="Arial"/>
          <w:lang w:val="es-MX"/>
        </w:rPr>
        <w:t xml:space="preserve"> </w:t>
      </w:r>
      <w:r w:rsidR="00433F7F" w:rsidRPr="00433F7F">
        <w:rPr>
          <w:rFonts w:ascii="Arial" w:hAnsi="Arial" w:cs="Arial"/>
          <w:lang w:val="es-MX"/>
        </w:rPr>
        <w:t>S</w:t>
      </w:r>
      <w:r w:rsidRPr="00433F7F">
        <w:rPr>
          <w:rFonts w:ascii="Arial" w:hAnsi="Arial" w:cs="Arial"/>
          <w:lang w:val="es-MX"/>
        </w:rPr>
        <w:t>e probó que el señor Cantoral Benavides fue exhibido ante los medios de comunicación, vestido con un traje infamante como autor del delito de traición a la patria, cuando aún no había sido legalmente procesado ni condenado (…)</w:t>
      </w:r>
      <w:r w:rsidRPr="00433F7F">
        <w:rPr>
          <w:rStyle w:val="Refdenotaalpie"/>
          <w:rFonts w:ascii="Arial" w:hAnsi="Arial" w:cs="Arial"/>
        </w:rPr>
        <w:footnoteReference w:id="33"/>
      </w:r>
      <w:r w:rsidRPr="006D15B4">
        <w:rPr>
          <w:rFonts w:ascii="Arial" w:hAnsi="Arial" w:cs="Arial"/>
          <w:lang w:val="es-MX"/>
        </w:rPr>
        <w:t xml:space="preserve">. </w:t>
      </w:r>
      <w:r w:rsidR="001F54B1" w:rsidRPr="00433F7F">
        <w:rPr>
          <w:rFonts w:ascii="Arial" w:hAnsi="Arial" w:cs="Arial"/>
          <w:lang w:val="es-MX"/>
        </w:rPr>
        <w:t>Y que</w:t>
      </w:r>
      <w:r w:rsidR="00433F7F" w:rsidRPr="00433F7F">
        <w:rPr>
          <w:rFonts w:ascii="Arial" w:hAnsi="Arial" w:cs="Arial"/>
          <w:lang w:val="es-MX"/>
        </w:rPr>
        <w:t xml:space="preserve">, </w:t>
      </w:r>
      <w:r w:rsidR="001F54B1" w:rsidRPr="00433F7F">
        <w:rPr>
          <w:rFonts w:ascii="Arial" w:hAnsi="Arial" w:cs="Arial"/>
          <w:lang w:val="es-MX"/>
        </w:rPr>
        <w:t>conforme establece el Pacto San José “</w:t>
      </w:r>
      <w:r w:rsidRPr="00433F7F">
        <w:rPr>
          <w:rFonts w:ascii="Arial" w:hAnsi="Arial" w:cs="Arial"/>
          <w:lang w:val="es-MX"/>
        </w:rPr>
        <w:t>una persona no pueda ser condenada mientras no exista prueba plena de su responsabilidad penal. Si obra contra ella prueba incompleta o insuficiente, no es procedente condenarla, sino absolverla</w:t>
      </w:r>
      <w:r w:rsidR="001F54B1" w:rsidRPr="00433F7F">
        <w:rPr>
          <w:rFonts w:ascii="Arial" w:hAnsi="Arial" w:cs="Arial"/>
          <w:lang w:val="es-MX"/>
        </w:rPr>
        <w:t>”</w:t>
      </w:r>
      <w:r w:rsidR="001F54B1" w:rsidRPr="00433F7F">
        <w:rPr>
          <w:rStyle w:val="Refdenotaalpie"/>
          <w:rFonts w:ascii="Arial" w:hAnsi="Arial" w:cs="Arial"/>
        </w:rPr>
        <w:footnoteReference w:id="34"/>
      </w:r>
      <w:r w:rsidRPr="00433F7F">
        <w:rPr>
          <w:rFonts w:ascii="Arial" w:hAnsi="Arial" w:cs="Arial"/>
          <w:lang w:val="es-MX"/>
        </w:rPr>
        <w:t xml:space="preserve">. </w:t>
      </w:r>
      <w:r w:rsidR="001F54B1" w:rsidRPr="00433F7F">
        <w:rPr>
          <w:rFonts w:ascii="Arial" w:hAnsi="Arial" w:cs="Arial"/>
          <w:lang w:val="es-MX"/>
        </w:rPr>
        <w:t xml:space="preserve">Desafortunadamente, en el presente caso, </w:t>
      </w:r>
      <w:r w:rsidRPr="00433F7F">
        <w:rPr>
          <w:rFonts w:ascii="Arial" w:hAnsi="Arial" w:cs="Arial"/>
          <w:lang w:val="es-MX"/>
        </w:rPr>
        <w:t>no se reuni</w:t>
      </w:r>
      <w:r w:rsidR="001F54B1" w:rsidRPr="00433F7F">
        <w:rPr>
          <w:rFonts w:ascii="Arial" w:hAnsi="Arial" w:cs="Arial"/>
          <w:lang w:val="es-MX"/>
        </w:rPr>
        <w:t>ó</w:t>
      </w:r>
      <w:r w:rsidRPr="00433F7F">
        <w:rPr>
          <w:rFonts w:ascii="Arial" w:hAnsi="Arial" w:cs="Arial"/>
          <w:lang w:val="es-MX"/>
        </w:rPr>
        <w:t xml:space="preserve"> prueba plena de su responsabilidad </w:t>
      </w:r>
      <w:r w:rsidR="001F54B1" w:rsidRPr="00433F7F">
        <w:rPr>
          <w:rFonts w:ascii="Arial" w:hAnsi="Arial" w:cs="Arial"/>
          <w:lang w:val="es-MX"/>
        </w:rPr>
        <w:t xml:space="preserve"> y</w:t>
      </w:r>
      <w:r w:rsidRPr="00433F7F">
        <w:rPr>
          <w:rFonts w:ascii="Arial" w:hAnsi="Arial" w:cs="Arial"/>
          <w:lang w:val="es-MX"/>
        </w:rPr>
        <w:t xml:space="preserve"> los jueces del fuero ordinario lo condenaron a 20 años de pena privativa de la libertad</w:t>
      </w:r>
      <w:r w:rsidR="001F54B1" w:rsidRPr="00433F7F">
        <w:rPr>
          <w:rStyle w:val="Refdenotaalpie"/>
          <w:rFonts w:ascii="Arial" w:hAnsi="Arial" w:cs="Arial"/>
        </w:rPr>
        <w:footnoteReference w:id="35"/>
      </w:r>
      <w:r w:rsidRPr="00433F7F">
        <w:rPr>
          <w:rFonts w:ascii="Arial" w:hAnsi="Arial" w:cs="Arial"/>
          <w:lang w:val="es-MX"/>
        </w:rPr>
        <w:t xml:space="preserve">. </w:t>
      </w:r>
    </w:p>
    <w:p w14:paraId="404954A4" w14:textId="77777777" w:rsidR="00C434DD" w:rsidRPr="00433F7F" w:rsidRDefault="00C434DD" w:rsidP="00433F7F">
      <w:pPr>
        <w:pStyle w:val="NormalWeb"/>
        <w:shd w:val="clear" w:color="auto" w:fill="FFFFFF"/>
        <w:spacing w:before="0" w:beforeAutospacing="0" w:after="0" w:afterAutospacing="0" w:line="360" w:lineRule="auto"/>
        <w:ind w:left="720" w:right="720"/>
        <w:jc w:val="both"/>
        <w:textAlignment w:val="top"/>
        <w:rPr>
          <w:rFonts w:ascii="Arial" w:hAnsi="Arial" w:cs="Arial"/>
          <w:lang w:val="es-MX"/>
        </w:rPr>
      </w:pPr>
    </w:p>
    <w:p w14:paraId="61F7CF8B" w14:textId="4D84EAF3" w:rsidR="00433F7F" w:rsidRPr="00433F7F" w:rsidRDefault="00EF0BE5"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lang w:val="es-MX"/>
        </w:rPr>
        <w:t>Por su parte, destaca la decisión de la Corte I</w:t>
      </w:r>
      <w:r w:rsidR="0011370F">
        <w:rPr>
          <w:rFonts w:ascii="Arial" w:hAnsi="Arial" w:cs="Arial"/>
          <w:lang w:val="es-MX"/>
        </w:rPr>
        <w:t>DH</w:t>
      </w:r>
      <w:r w:rsidR="009F104F" w:rsidRPr="00433F7F">
        <w:rPr>
          <w:rFonts w:ascii="Arial" w:hAnsi="Arial" w:cs="Arial"/>
          <w:lang w:val="es-MX"/>
        </w:rPr>
        <w:t xml:space="preserve"> en Caso Cabrera García y Montiel Flores vs México</w:t>
      </w:r>
      <w:r w:rsidR="009F104F" w:rsidRPr="00433F7F">
        <w:rPr>
          <w:rStyle w:val="Refdenotaalpie"/>
          <w:rFonts w:ascii="Arial" w:hAnsi="Arial" w:cs="Arial"/>
          <w:lang w:val="es-MX"/>
        </w:rPr>
        <w:t xml:space="preserve"> </w:t>
      </w:r>
      <w:r w:rsidRPr="00433F7F">
        <w:rPr>
          <w:rStyle w:val="Refdenotaalpie"/>
          <w:rFonts w:ascii="Arial" w:hAnsi="Arial" w:cs="Arial"/>
          <w:lang w:val="es-MX"/>
        </w:rPr>
        <w:footnoteReference w:id="36"/>
      </w:r>
      <w:r w:rsidRPr="00433F7F">
        <w:rPr>
          <w:rFonts w:ascii="Arial" w:hAnsi="Arial" w:cs="Arial"/>
          <w:lang w:val="es-MX"/>
        </w:rPr>
        <w:t xml:space="preserve"> </w:t>
      </w:r>
      <w:r w:rsidR="009F104F" w:rsidRPr="00433F7F">
        <w:rPr>
          <w:rFonts w:ascii="Arial" w:hAnsi="Arial" w:cs="Arial"/>
          <w:lang w:val="es-MX"/>
        </w:rPr>
        <w:t xml:space="preserve"> </w:t>
      </w:r>
      <w:r w:rsidR="00433F7F" w:rsidRPr="00433F7F">
        <w:rPr>
          <w:rFonts w:ascii="Arial" w:hAnsi="Arial" w:cs="Arial"/>
          <w:lang w:val="es-MX"/>
        </w:rPr>
        <w:t xml:space="preserve">en el que </w:t>
      </w:r>
      <w:r w:rsidR="009F104F" w:rsidRPr="00433F7F">
        <w:rPr>
          <w:rFonts w:ascii="Arial" w:hAnsi="Arial" w:cs="Arial"/>
          <w:lang w:val="es-MX"/>
        </w:rPr>
        <w:t xml:space="preserve">se </w:t>
      </w:r>
      <w:r w:rsidRPr="00433F7F">
        <w:rPr>
          <w:rFonts w:ascii="Arial" w:hAnsi="Arial" w:cs="Arial"/>
          <w:lang w:val="es-MX"/>
        </w:rPr>
        <w:t>establec</w:t>
      </w:r>
      <w:r w:rsidR="00C479BF" w:rsidRPr="00433F7F">
        <w:rPr>
          <w:rFonts w:ascii="Arial" w:hAnsi="Arial" w:cs="Arial"/>
          <w:lang w:val="es-MX"/>
        </w:rPr>
        <w:t>ió</w:t>
      </w:r>
      <w:r w:rsidR="00433F7F" w:rsidRPr="00433F7F">
        <w:rPr>
          <w:rFonts w:ascii="Arial" w:hAnsi="Arial" w:cs="Arial"/>
          <w:lang w:val="es-MX"/>
        </w:rPr>
        <w:t>,</w:t>
      </w:r>
      <w:r w:rsidRPr="00433F7F">
        <w:rPr>
          <w:rFonts w:ascii="Arial" w:hAnsi="Arial" w:cs="Arial"/>
          <w:lang w:val="es-MX"/>
        </w:rPr>
        <w:t xml:space="preserve"> en cuanto al d</w:t>
      </w:r>
      <w:r w:rsidRPr="00433F7F">
        <w:rPr>
          <w:rStyle w:val="Textoennegrita"/>
          <w:rFonts w:ascii="Arial" w:hAnsi="Arial" w:cs="Arial"/>
          <w:b w:val="0"/>
          <w:bCs w:val="0"/>
          <w:color w:val="000000"/>
          <w:lang w:val="es-MX"/>
        </w:rPr>
        <w:t xml:space="preserve">erecho </w:t>
      </w:r>
      <w:r w:rsidRPr="00433F7F">
        <w:rPr>
          <w:rStyle w:val="Textoennegrita"/>
          <w:rFonts w:ascii="Arial" w:hAnsi="Arial" w:cs="Arial"/>
          <w:b w:val="0"/>
          <w:bCs w:val="0"/>
          <w:color w:val="000000"/>
          <w:lang w:val="es-MX"/>
        </w:rPr>
        <w:lastRenderedPageBreak/>
        <w:t>a la libertad personal</w:t>
      </w:r>
      <w:r w:rsidR="00433F7F" w:rsidRPr="00433F7F">
        <w:rPr>
          <w:rStyle w:val="Textoennegrita"/>
          <w:rFonts w:ascii="Arial" w:hAnsi="Arial" w:cs="Arial"/>
          <w:b w:val="0"/>
          <w:bCs w:val="0"/>
          <w:color w:val="000000"/>
          <w:lang w:val="es-MX"/>
        </w:rPr>
        <w:t>,</w:t>
      </w:r>
      <w:r w:rsidRPr="00433F7F">
        <w:rPr>
          <w:rStyle w:val="Textoennegrita"/>
          <w:rFonts w:ascii="Arial" w:hAnsi="Arial" w:cs="Arial"/>
          <w:b w:val="0"/>
          <w:bCs w:val="0"/>
          <w:color w:val="000000"/>
          <w:lang w:val="es-MX"/>
        </w:rPr>
        <w:t xml:space="preserve"> en relación con las obligaciones de respetar y garantizar los derechos, en este sentido “</w:t>
      </w:r>
      <w:r w:rsidRPr="00433F7F">
        <w:rPr>
          <w:rFonts w:ascii="Arial" w:hAnsi="Arial" w:cs="Arial"/>
          <w:color w:val="000000"/>
          <w:lang w:val="es-MX"/>
        </w:rPr>
        <w:t>[E]l Tribunal recuerda que la parte inicial del artículo 7.5 de la Convención dispone que la detención de una persona debe ser sometida sin demora a revisión judicial”.</w:t>
      </w:r>
    </w:p>
    <w:p w14:paraId="31E2D78C" w14:textId="77777777" w:rsidR="00433F7F" w:rsidRPr="00433F7F" w:rsidRDefault="00433F7F"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p>
    <w:p w14:paraId="3F3ED89E" w14:textId="7E5862DA" w:rsidR="00EF0BE5" w:rsidRPr="00433F7F" w:rsidRDefault="00EF0BE5"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xml:space="preserve">La Corte </w:t>
      </w:r>
      <w:r w:rsidR="00C479BF" w:rsidRPr="00433F7F">
        <w:rPr>
          <w:rFonts w:ascii="Arial" w:hAnsi="Arial" w:cs="Arial"/>
          <w:color w:val="000000"/>
          <w:lang w:val="es-MX"/>
        </w:rPr>
        <w:t>señaló</w:t>
      </w:r>
      <w:r w:rsidRPr="00433F7F">
        <w:rPr>
          <w:rFonts w:ascii="Arial" w:hAnsi="Arial" w:cs="Arial"/>
          <w:color w:val="000000"/>
          <w:lang w:val="es-MX"/>
        </w:rPr>
        <w:t xml:space="preserve"> que el control judicial inmediato es una medida tendiente a evitar la arbitrariedad o ilegalidad de las detenciones, tomando en cuenta que</w:t>
      </w:r>
      <w:r w:rsidR="00433F7F" w:rsidRPr="00433F7F">
        <w:rPr>
          <w:rFonts w:ascii="Arial" w:hAnsi="Arial" w:cs="Arial"/>
          <w:color w:val="000000"/>
          <w:lang w:val="es-MX"/>
        </w:rPr>
        <w:t>,</w:t>
      </w:r>
      <w:r w:rsidRPr="00433F7F">
        <w:rPr>
          <w:rFonts w:ascii="Arial" w:hAnsi="Arial" w:cs="Arial"/>
          <w:color w:val="000000"/>
          <w:lang w:val="es-MX"/>
        </w:rPr>
        <w:t xml:space="preserve"> en un Estado de Derecho</w:t>
      </w:r>
      <w:r w:rsidR="00433F7F" w:rsidRPr="00433F7F">
        <w:rPr>
          <w:rFonts w:ascii="Arial" w:hAnsi="Arial" w:cs="Arial"/>
          <w:color w:val="000000"/>
          <w:lang w:val="es-MX"/>
        </w:rPr>
        <w:t>,</w:t>
      </w:r>
      <w:r w:rsidRPr="00433F7F">
        <w:rPr>
          <w:rFonts w:ascii="Arial" w:hAnsi="Arial" w:cs="Arial"/>
          <w:color w:val="000000"/>
          <w:lang w:val="es-MX"/>
        </w:rPr>
        <w:t> corresponde al juzgador garantizar los derechos del detenido, autorizar la adopción de medidas cautelares o de coerción cuando sea estrictamente necesario y procurar, en general, que se trate al inculpado de manera consecuente con la presunción de inocencia.</w:t>
      </w:r>
    </w:p>
    <w:p w14:paraId="50AE0691" w14:textId="77777777" w:rsidR="00EF0BE5" w:rsidRPr="00433F7F" w:rsidRDefault="00EF0BE5" w:rsidP="00433F7F">
      <w:pPr>
        <w:pStyle w:val="Prrafodelista"/>
        <w:spacing w:line="360" w:lineRule="auto"/>
        <w:ind w:right="720"/>
        <w:jc w:val="both"/>
        <w:rPr>
          <w:rFonts w:ascii="Arial" w:hAnsi="Arial" w:cs="Arial"/>
          <w:sz w:val="24"/>
          <w:szCs w:val="24"/>
          <w:lang w:val="es-MX"/>
        </w:rPr>
      </w:pPr>
    </w:p>
    <w:p w14:paraId="6E6036FB" w14:textId="77777777" w:rsidR="00EB399F" w:rsidRPr="00433F7F" w:rsidRDefault="00EB399F" w:rsidP="00433F7F">
      <w:pPr>
        <w:pStyle w:val="Prrafodelista"/>
        <w:spacing w:line="360" w:lineRule="auto"/>
        <w:ind w:right="720"/>
        <w:jc w:val="both"/>
        <w:rPr>
          <w:rFonts w:ascii="Arial" w:hAnsi="Arial" w:cs="Arial"/>
          <w:sz w:val="24"/>
          <w:szCs w:val="24"/>
          <w:lang w:val="es-MX"/>
        </w:rPr>
      </w:pPr>
    </w:p>
    <w:p w14:paraId="14239020" w14:textId="7851F91B" w:rsidR="004C7E52" w:rsidRPr="00433F7F" w:rsidRDefault="004D67E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b.</w:t>
      </w:r>
      <w:r w:rsidR="00655411" w:rsidRPr="00433F7F">
        <w:rPr>
          <w:rFonts w:ascii="Arial" w:hAnsi="Arial" w:cs="Arial"/>
          <w:sz w:val="24"/>
          <w:szCs w:val="24"/>
          <w:lang w:val="es-MX"/>
        </w:rPr>
        <w:t>T</w:t>
      </w:r>
      <w:r w:rsidR="004C7E52" w:rsidRPr="00433F7F">
        <w:rPr>
          <w:rFonts w:ascii="Arial" w:hAnsi="Arial" w:cs="Arial"/>
          <w:sz w:val="24"/>
          <w:szCs w:val="24"/>
          <w:lang w:val="es-MX"/>
        </w:rPr>
        <w:t xml:space="preserve">ipo de delito cometido </w:t>
      </w:r>
    </w:p>
    <w:p w14:paraId="335CD10D" w14:textId="1FD546D3"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De igual forma, el recurrir al argumento de que la persona cometió determinado delito y</w:t>
      </w:r>
      <w:r w:rsidR="00433F7F" w:rsidRPr="00433F7F">
        <w:rPr>
          <w:rFonts w:ascii="Arial" w:hAnsi="Arial" w:cs="Arial"/>
          <w:sz w:val="24"/>
          <w:szCs w:val="24"/>
          <w:lang w:val="es-MX"/>
        </w:rPr>
        <w:t>,</w:t>
      </w:r>
      <w:r w:rsidRPr="00433F7F">
        <w:rPr>
          <w:rFonts w:ascii="Arial" w:hAnsi="Arial" w:cs="Arial"/>
          <w:sz w:val="24"/>
          <w:szCs w:val="24"/>
          <w:lang w:val="es-MX"/>
        </w:rPr>
        <w:t xml:space="preserve"> por tanto, se presuma de que pudo haber cometido más delitos, no se puede admitir, sería atribuir de manera arbitraria hecho</w:t>
      </w:r>
      <w:r w:rsidR="00433F7F" w:rsidRPr="00433F7F">
        <w:rPr>
          <w:rFonts w:ascii="Arial" w:hAnsi="Arial" w:cs="Arial"/>
          <w:sz w:val="24"/>
          <w:szCs w:val="24"/>
          <w:lang w:val="es-MX"/>
        </w:rPr>
        <w:t>s</w:t>
      </w:r>
      <w:r w:rsidRPr="00433F7F">
        <w:rPr>
          <w:rFonts w:ascii="Arial" w:hAnsi="Arial" w:cs="Arial"/>
          <w:sz w:val="24"/>
          <w:szCs w:val="24"/>
          <w:lang w:val="es-MX"/>
        </w:rPr>
        <w:t xml:space="preserve"> delictivos</w:t>
      </w:r>
      <w:r w:rsidR="00433F7F" w:rsidRPr="00433F7F">
        <w:rPr>
          <w:rFonts w:ascii="Arial" w:hAnsi="Arial" w:cs="Arial"/>
          <w:sz w:val="24"/>
          <w:szCs w:val="24"/>
          <w:lang w:val="es-MX"/>
        </w:rPr>
        <w:t>,</w:t>
      </w:r>
      <w:r w:rsidRPr="00433F7F">
        <w:rPr>
          <w:rFonts w:ascii="Arial" w:hAnsi="Arial" w:cs="Arial"/>
          <w:sz w:val="24"/>
          <w:szCs w:val="24"/>
          <w:lang w:val="es-MX"/>
        </w:rPr>
        <w:t xml:space="preserve"> sin justificación alguna, acudiendo al llamado de la duda y desconfianza, contrario a que lo que conforma la aplicación en un Estado de Derecho</w:t>
      </w:r>
      <w:r w:rsidR="00433F7F" w:rsidRPr="00433F7F">
        <w:rPr>
          <w:rFonts w:ascii="Arial" w:hAnsi="Arial" w:cs="Arial"/>
          <w:sz w:val="24"/>
          <w:szCs w:val="24"/>
          <w:lang w:val="es-MX"/>
        </w:rPr>
        <w:t>,</w:t>
      </w:r>
      <w:r w:rsidRPr="00433F7F">
        <w:rPr>
          <w:rFonts w:ascii="Arial" w:hAnsi="Arial" w:cs="Arial"/>
          <w:sz w:val="24"/>
          <w:szCs w:val="24"/>
          <w:lang w:val="es-MX"/>
        </w:rPr>
        <w:t xml:space="preserve"> donde existe previa acusación, derecho a la defensa, presentación de pruebas por ambas partes y valoración judicial de </w:t>
      </w:r>
      <w:r w:rsidR="00433F7F" w:rsidRPr="00433F7F">
        <w:rPr>
          <w:rFonts w:ascii="Arial" w:hAnsi="Arial" w:cs="Arial"/>
          <w:sz w:val="24"/>
          <w:szCs w:val="24"/>
          <w:lang w:val="es-MX"/>
        </w:rPr>
        <w:t>e</w:t>
      </w:r>
      <w:r w:rsidRPr="00433F7F">
        <w:rPr>
          <w:rFonts w:ascii="Arial" w:hAnsi="Arial" w:cs="Arial"/>
          <w:sz w:val="24"/>
          <w:szCs w:val="24"/>
          <w:lang w:val="es-MX"/>
        </w:rPr>
        <w:t>stas mediante un juicio oral y público, entre otros derechos.</w:t>
      </w:r>
    </w:p>
    <w:p w14:paraId="4EE9E16C" w14:textId="77777777" w:rsid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En el caso del delito de portación de arma de fuego, se detectó que la SCJN determinó respecto al juzgamiento y la individualización de la pena en dicho delito, elevar el grado de culpabilidad debido a la presencia de que</w:t>
      </w:r>
      <w:r w:rsidR="00433F7F" w:rsidRPr="00433F7F">
        <w:rPr>
          <w:rFonts w:ascii="Arial" w:hAnsi="Arial" w:cs="Arial"/>
          <w:sz w:val="24"/>
          <w:szCs w:val="24"/>
          <w:lang w:val="es-MX"/>
        </w:rPr>
        <w:t>,</w:t>
      </w:r>
      <w:r w:rsidRPr="00433F7F">
        <w:rPr>
          <w:rFonts w:ascii="Arial" w:hAnsi="Arial" w:cs="Arial"/>
          <w:sz w:val="24"/>
          <w:szCs w:val="24"/>
          <w:lang w:val="es-MX"/>
        </w:rPr>
        <w:t xml:space="preserve"> por el tipo de delito</w:t>
      </w:r>
      <w:r w:rsidR="00433F7F" w:rsidRPr="00433F7F">
        <w:rPr>
          <w:rFonts w:ascii="Arial" w:hAnsi="Arial" w:cs="Arial"/>
          <w:sz w:val="24"/>
          <w:szCs w:val="24"/>
          <w:lang w:val="es-MX"/>
        </w:rPr>
        <w:t>,</w:t>
      </w:r>
      <w:r w:rsidRPr="00433F7F">
        <w:rPr>
          <w:rFonts w:ascii="Arial" w:hAnsi="Arial" w:cs="Arial"/>
          <w:sz w:val="24"/>
          <w:szCs w:val="24"/>
          <w:lang w:val="es-MX"/>
        </w:rPr>
        <w:t xml:space="preserve"> se considere que la persona podría haber cometido más actividades ilícitas con el arma en cuestión rebasa el margen de decisión del juzgador aunado a la ausencia de respeto del derecho objeto de estudio. De manera acertada, la Corte interpretó que</w:t>
      </w:r>
    </w:p>
    <w:p w14:paraId="0ACCA6C2" w14:textId="540AC96B" w:rsidR="004C7E52" w:rsidRPr="00433F7F" w:rsidRDefault="004C7E52" w:rsidP="00433F7F">
      <w:pPr>
        <w:spacing w:line="360" w:lineRule="auto"/>
        <w:ind w:left="1440" w:right="720"/>
        <w:jc w:val="both"/>
        <w:rPr>
          <w:rFonts w:ascii="Arial" w:hAnsi="Arial" w:cs="Arial"/>
          <w:sz w:val="24"/>
          <w:szCs w:val="24"/>
          <w:lang w:val="es-MX"/>
        </w:rPr>
      </w:pPr>
      <w:r w:rsidRPr="00433F7F">
        <w:rPr>
          <w:rFonts w:ascii="Arial" w:hAnsi="Arial" w:cs="Arial"/>
          <w:sz w:val="24"/>
          <w:szCs w:val="24"/>
          <w:lang w:val="es-MX"/>
        </w:rPr>
        <w:t xml:space="preserve"> </w:t>
      </w:r>
      <w:r w:rsidRPr="00433F7F">
        <w:rPr>
          <w:rFonts w:ascii="Arial" w:hAnsi="Arial" w:cs="Arial"/>
          <w:color w:val="000000"/>
          <w:sz w:val="24"/>
          <w:szCs w:val="24"/>
          <w:lang w:val="es-MX"/>
        </w:rPr>
        <w:t>en el marco de la individualización de la pena, es inválido reprochar a la persona por la supuesta comisión de hechos delictivos que no han sido ventilados en el juicio penal del que resulta su condena. Tales principios bastan por sí mismos para explicar por qué la autoridad judicial, facultada para graduar la culpabilidad de una persona, no puede hacer referencia a datos cuya veracidad u objetividad no le consta, por no haber sido sometidos al proceso del cual le compete conocer...</w:t>
      </w:r>
      <w:r w:rsidRPr="00433F7F">
        <w:rPr>
          <w:rStyle w:val="Refdenotaalpie"/>
          <w:rFonts w:ascii="Arial" w:hAnsi="Arial" w:cs="Arial"/>
          <w:sz w:val="24"/>
          <w:szCs w:val="24"/>
          <w:lang w:val="es-MX"/>
        </w:rPr>
        <w:t xml:space="preserve"> </w:t>
      </w:r>
      <w:r w:rsidRPr="00433F7F">
        <w:rPr>
          <w:rStyle w:val="Refdenotaalpie"/>
          <w:rFonts w:ascii="Arial" w:hAnsi="Arial" w:cs="Arial"/>
          <w:sz w:val="24"/>
          <w:szCs w:val="24"/>
          <w:lang w:val="es-MX"/>
        </w:rPr>
        <w:footnoteReference w:id="37"/>
      </w:r>
      <w:r w:rsidRPr="00433F7F">
        <w:rPr>
          <w:rFonts w:ascii="Arial" w:hAnsi="Arial" w:cs="Arial"/>
          <w:i/>
          <w:iCs/>
          <w:color w:val="000000"/>
          <w:sz w:val="24"/>
          <w:szCs w:val="24"/>
          <w:lang w:val="es-MX"/>
        </w:rPr>
        <w:t xml:space="preserve"> </w:t>
      </w:r>
    </w:p>
    <w:p w14:paraId="13D9E4D0" w14:textId="29D80E3A" w:rsid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El argumento de culpabilizar</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sin ningún tipo de elementos que constaten que existieron más hechos delictivos, vulnera el derecho a presunción de inocencia, por lo que, no se debe poner bajo ningún concepto sin previo desarrollo del proceso que se juzgue sobre el delito en cuestión y</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menos</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sin la posibilidad de defenderse. Precisamente</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en este trato procesal de inocente, la persona debe ser escuchada y vencida en el juicio. Y el </w:t>
      </w:r>
      <w:r w:rsidRPr="00433F7F">
        <w:rPr>
          <w:rFonts w:ascii="Arial" w:hAnsi="Arial" w:cs="Arial"/>
          <w:color w:val="000000"/>
          <w:sz w:val="24"/>
          <w:szCs w:val="24"/>
          <w:lang w:val="es-MX"/>
        </w:rPr>
        <w:lastRenderedPageBreak/>
        <w:t xml:space="preserve">derecho a la defensa se materializa como determinó la Corte con las siguientes acciones: </w:t>
      </w:r>
    </w:p>
    <w:p w14:paraId="68261B71" w14:textId="5C4B9FA3" w:rsidR="004C7E52" w:rsidRPr="00433F7F" w:rsidRDefault="004C7E52" w:rsidP="00433F7F">
      <w:pPr>
        <w:spacing w:line="360" w:lineRule="auto"/>
        <w:ind w:left="1440" w:right="720"/>
        <w:jc w:val="both"/>
        <w:rPr>
          <w:rFonts w:ascii="Arial" w:hAnsi="Arial" w:cs="Arial"/>
          <w:sz w:val="24"/>
          <w:szCs w:val="24"/>
          <w:lang w:val="es-MX"/>
        </w:rPr>
      </w:pPr>
      <w:r w:rsidRPr="006D15B4">
        <w:rPr>
          <w:rFonts w:ascii="Arial" w:hAnsi="Arial" w:cs="Arial"/>
          <w:color w:val="000000"/>
          <w:sz w:val="24"/>
          <w:szCs w:val="24"/>
          <w:lang w:val="es-MX"/>
        </w:rPr>
        <w:t>ofreciendo testigos de descargo, interrogando a los testigos de cargo y proporcionando pruebas dirigidas a probar su inocencia. Cuando nada de eso ha ocurrido y, por ende, la autoridad judicial sólo tiene conocimiento de meros alegatos asociados con la información que somete</w:t>
      </w:r>
      <w:r w:rsidRPr="00433F7F">
        <w:rPr>
          <w:rFonts w:ascii="Arial" w:hAnsi="Arial" w:cs="Arial"/>
          <w:i/>
          <w:iCs/>
          <w:color w:val="000000"/>
          <w:sz w:val="24"/>
          <w:szCs w:val="24"/>
          <w:lang w:val="es-MX"/>
        </w:rPr>
        <w:t xml:space="preserve"> </w:t>
      </w:r>
      <w:r w:rsidRPr="006D15B4">
        <w:rPr>
          <w:rFonts w:ascii="Arial" w:hAnsi="Arial" w:cs="Arial"/>
          <w:color w:val="000000"/>
          <w:sz w:val="24"/>
          <w:szCs w:val="24"/>
          <w:lang w:val="es-MX"/>
        </w:rPr>
        <w:t>a valoración en el proceso, ella no puede darles efecto alguno. De otorgarles veracidad y reprocharlos en el marco de la individualización de la pena, la autoridad judicial estaría dejando a la persona sentenciada en franco estado de indefensión con respecto a ellos</w:t>
      </w:r>
      <w:r w:rsidRPr="00433F7F">
        <w:rPr>
          <w:rFonts w:ascii="Arial" w:hAnsi="Arial" w:cs="Arial"/>
          <w:color w:val="000000"/>
          <w:sz w:val="24"/>
          <w:szCs w:val="24"/>
          <w:lang w:val="es-MX"/>
        </w:rPr>
        <w:t>.</w:t>
      </w:r>
      <w:r w:rsidRPr="00433F7F">
        <w:rPr>
          <w:rStyle w:val="Refdenotaalpie"/>
          <w:rFonts w:ascii="Arial" w:hAnsi="Arial" w:cs="Arial"/>
          <w:sz w:val="24"/>
          <w:szCs w:val="24"/>
          <w:lang w:val="es-MX"/>
        </w:rPr>
        <w:footnoteReference w:id="38"/>
      </w:r>
      <w:r w:rsidRPr="00433F7F">
        <w:rPr>
          <w:rFonts w:ascii="Arial" w:hAnsi="Arial" w:cs="Arial"/>
          <w:sz w:val="24"/>
          <w:szCs w:val="24"/>
          <w:lang w:val="es-MX"/>
        </w:rPr>
        <w:t xml:space="preserve"> </w:t>
      </w:r>
    </w:p>
    <w:p w14:paraId="18F7BC62" w14:textId="3FA67B02" w:rsidR="004C7E52" w:rsidRPr="00433F7F" w:rsidRDefault="000D556F" w:rsidP="00433F7F">
      <w:pPr>
        <w:spacing w:line="360" w:lineRule="auto"/>
        <w:ind w:left="720" w:right="720"/>
        <w:jc w:val="both"/>
        <w:rPr>
          <w:rFonts w:ascii="Arial" w:eastAsia="Times New Roman" w:hAnsi="Arial" w:cs="Arial"/>
          <w:b/>
          <w:bCs/>
          <w:color w:val="444444"/>
          <w:sz w:val="24"/>
          <w:szCs w:val="24"/>
          <w:lang w:val="es-MX"/>
        </w:rPr>
      </w:pPr>
      <w:r>
        <w:rPr>
          <w:rFonts w:ascii="Arial" w:hAnsi="Arial" w:cs="Arial"/>
          <w:sz w:val="24"/>
          <w:szCs w:val="24"/>
          <w:lang w:val="es-MX"/>
        </w:rPr>
        <w:t>Se hace evidente que</w:t>
      </w:r>
      <w:r w:rsidR="004C7E52" w:rsidRPr="00433F7F">
        <w:rPr>
          <w:rFonts w:ascii="Arial" w:hAnsi="Arial" w:cs="Arial"/>
          <w:sz w:val="24"/>
          <w:szCs w:val="24"/>
          <w:lang w:val="es-MX"/>
        </w:rPr>
        <w:t xml:space="preserve">, </w:t>
      </w:r>
      <w:r>
        <w:rPr>
          <w:rFonts w:ascii="Arial" w:hAnsi="Arial" w:cs="Arial"/>
          <w:sz w:val="24"/>
          <w:szCs w:val="24"/>
          <w:lang w:val="es-MX"/>
        </w:rPr>
        <w:t xml:space="preserve">la presencia de </w:t>
      </w:r>
      <w:r w:rsidRPr="00433F7F">
        <w:rPr>
          <w:rFonts w:ascii="Arial" w:hAnsi="Arial" w:cs="Arial"/>
          <w:sz w:val="24"/>
          <w:szCs w:val="24"/>
          <w:lang w:val="es-MX"/>
        </w:rPr>
        <w:t>argumentos infundados sin aportar ningún tipo de pruebas no debe</w:t>
      </w:r>
      <w:r w:rsidR="004C7E52" w:rsidRPr="00433F7F">
        <w:rPr>
          <w:rFonts w:ascii="Arial" w:hAnsi="Arial" w:cs="Arial"/>
          <w:sz w:val="24"/>
          <w:szCs w:val="24"/>
          <w:lang w:val="es-MX"/>
        </w:rPr>
        <w:t xml:space="preserve"> tener efecto, en virtud de que se trata de meras suposiciones que no tienen cabida en un proceso conforme al estricto apego del derecho.</w:t>
      </w:r>
    </w:p>
    <w:p w14:paraId="7302B884" w14:textId="77777777" w:rsidR="004C7E52" w:rsidRPr="00433F7F" w:rsidRDefault="004C7E52" w:rsidP="00433F7F">
      <w:pPr>
        <w:spacing w:line="360" w:lineRule="auto"/>
        <w:ind w:left="720" w:right="720"/>
        <w:jc w:val="both"/>
        <w:rPr>
          <w:rFonts w:ascii="Arial" w:hAnsi="Arial" w:cs="Arial"/>
          <w:sz w:val="24"/>
          <w:szCs w:val="24"/>
          <w:lang w:val="es-MX"/>
        </w:rPr>
      </w:pPr>
    </w:p>
    <w:p w14:paraId="4A6D93A4" w14:textId="38EC334D" w:rsidR="004C7E52" w:rsidRPr="000D556F" w:rsidRDefault="004C7E52" w:rsidP="000D556F">
      <w:pPr>
        <w:pStyle w:val="Prrafodelista"/>
        <w:numPr>
          <w:ilvl w:val="0"/>
          <w:numId w:val="37"/>
        </w:numPr>
        <w:spacing w:line="360" w:lineRule="auto"/>
        <w:ind w:left="720" w:right="720" w:firstLine="0"/>
        <w:jc w:val="both"/>
        <w:rPr>
          <w:rFonts w:ascii="Arial" w:hAnsi="Arial" w:cs="Arial"/>
          <w:sz w:val="24"/>
          <w:szCs w:val="24"/>
          <w:lang w:val="es-MX"/>
        </w:rPr>
      </w:pPr>
      <w:r w:rsidRPr="000D556F">
        <w:rPr>
          <w:rFonts w:ascii="Arial" w:hAnsi="Arial" w:cs="Arial"/>
          <w:sz w:val="24"/>
          <w:szCs w:val="24"/>
          <w:lang w:val="es-MX"/>
        </w:rPr>
        <w:t xml:space="preserve">Imposición de medida cautelar </w:t>
      </w:r>
    </w:p>
    <w:p w14:paraId="41C6C517" w14:textId="3050505C" w:rsidR="00D835B3" w:rsidRPr="00433F7F" w:rsidRDefault="000D556F" w:rsidP="00433F7F">
      <w:pPr>
        <w:spacing w:line="360" w:lineRule="auto"/>
        <w:ind w:left="720" w:right="720"/>
        <w:jc w:val="both"/>
        <w:rPr>
          <w:rFonts w:ascii="Arial" w:eastAsia="Times New Roman" w:hAnsi="Arial" w:cs="Arial"/>
          <w:sz w:val="24"/>
          <w:szCs w:val="24"/>
          <w:lang w:val="es-MX"/>
        </w:rPr>
      </w:pPr>
      <w:r>
        <w:rPr>
          <w:rFonts w:ascii="Arial" w:eastAsia="Times New Roman" w:hAnsi="Arial" w:cs="Arial"/>
          <w:sz w:val="24"/>
          <w:szCs w:val="24"/>
          <w:lang w:val="es-MX"/>
        </w:rPr>
        <w:t xml:space="preserve">Ante </w:t>
      </w:r>
      <w:r w:rsidR="004C7E52" w:rsidRPr="00433F7F">
        <w:rPr>
          <w:rFonts w:ascii="Arial" w:eastAsia="Times New Roman" w:hAnsi="Arial" w:cs="Arial"/>
          <w:sz w:val="24"/>
          <w:szCs w:val="24"/>
          <w:lang w:val="es-MX"/>
        </w:rPr>
        <w:t>las formas de conducción del imputado del proceso destaca que para emitir la orden aprehensión se requiere advertir necesidad de cautela</w:t>
      </w:r>
      <w:r w:rsidR="00D835B3" w:rsidRPr="00433F7F">
        <w:rPr>
          <w:rFonts w:ascii="Arial" w:eastAsia="Times New Roman" w:hAnsi="Arial" w:cs="Arial"/>
          <w:sz w:val="24"/>
          <w:szCs w:val="24"/>
          <w:lang w:val="es-MX"/>
        </w:rPr>
        <w:t>.</w:t>
      </w:r>
    </w:p>
    <w:p w14:paraId="679474C0" w14:textId="72F0C264" w:rsidR="00433F7F" w:rsidRDefault="00D835B3" w:rsidP="00433F7F">
      <w:pPr>
        <w:spacing w:line="360" w:lineRule="auto"/>
        <w:ind w:left="720" w:right="720"/>
        <w:jc w:val="both"/>
        <w:rPr>
          <w:rFonts w:ascii="Arial" w:eastAsia="Times New Roman" w:hAnsi="Arial" w:cs="Arial"/>
          <w:sz w:val="24"/>
          <w:szCs w:val="24"/>
          <w:lang w:val="es-MX"/>
        </w:rPr>
      </w:pPr>
      <w:r w:rsidRPr="00433F7F">
        <w:rPr>
          <w:rFonts w:ascii="Arial" w:eastAsia="Times New Roman" w:hAnsi="Arial" w:cs="Arial"/>
          <w:sz w:val="24"/>
          <w:szCs w:val="24"/>
          <w:lang w:val="es-MX"/>
        </w:rPr>
        <w:t>El carácter excepcional de la medida cautelar de prisión preventiva limita que todo se resuelva con prisión y de la necesidad de que el Min</w:t>
      </w:r>
      <w:r w:rsidR="00F936E5" w:rsidRPr="00433F7F">
        <w:rPr>
          <w:rFonts w:ascii="Arial" w:eastAsia="Times New Roman" w:hAnsi="Arial" w:cs="Arial"/>
          <w:sz w:val="24"/>
          <w:szCs w:val="24"/>
          <w:lang w:val="es-MX"/>
        </w:rPr>
        <w:t>i</w:t>
      </w:r>
      <w:r w:rsidRPr="00433F7F">
        <w:rPr>
          <w:rFonts w:ascii="Arial" w:eastAsia="Times New Roman" w:hAnsi="Arial" w:cs="Arial"/>
          <w:sz w:val="24"/>
          <w:szCs w:val="24"/>
          <w:lang w:val="es-MX"/>
        </w:rPr>
        <w:t>sterio P</w:t>
      </w:r>
      <w:r w:rsidR="00F936E5" w:rsidRPr="00433F7F">
        <w:rPr>
          <w:rFonts w:ascii="Arial" w:eastAsia="Times New Roman" w:hAnsi="Arial" w:cs="Arial"/>
          <w:sz w:val="24"/>
          <w:szCs w:val="24"/>
          <w:lang w:val="es-MX"/>
        </w:rPr>
        <w:t>ú</w:t>
      </w:r>
      <w:r w:rsidRPr="00433F7F">
        <w:rPr>
          <w:rFonts w:ascii="Arial" w:eastAsia="Times New Roman" w:hAnsi="Arial" w:cs="Arial"/>
          <w:sz w:val="24"/>
          <w:szCs w:val="24"/>
          <w:lang w:val="es-MX"/>
        </w:rPr>
        <w:t>blico la solicite cuando otras medias no sean sufic</w:t>
      </w:r>
      <w:r w:rsidR="00F936E5" w:rsidRPr="00433F7F">
        <w:rPr>
          <w:rFonts w:ascii="Arial" w:eastAsia="Times New Roman" w:hAnsi="Arial" w:cs="Arial"/>
          <w:sz w:val="24"/>
          <w:szCs w:val="24"/>
          <w:lang w:val="es-MX"/>
        </w:rPr>
        <w:t>i</w:t>
      </w:r>
      <w:r w:rsidRPr="00433F7F">
        <w:rPr>
          <w:rFonts w:ascii="Arial" w:eastAsia="Times New Roman" w:hAnsi="Arial" w:cs="Arial"/>
          <w:sz w:val="24"/>
          <w:szCs w:val="24"/>
          <w:lang w:val="es-MX"/>
        </w:rPr>
        <w:t>entes</w:t>
      </w:r>
      <w:r w:rsidR="00F936E5" w:rsidRPr="00433F7F">
        <w:rPr>
          <w:rFonts w:ascii="Arial" w:eastAsia="Times New Roman" w:hAnsi="Arial" w:cs="Arial"/>
          <w:sz w:val="24"/>
          <w:szCs w:val="24"/>
          <w:lang w:val="es-MX"/>
        </w:rPr>
        <w:t>. En este sentido el órgano juzgador interpreta que el argumento de que</w:t>
      </w:r>
    </w:p>
    <w:p w14:paraId="6316105F" w14:textId="4CEFF21F" w:rsidR="00097107" w:rsidRPr="00433F7F" w:rsidRDefault="00F936E5" w:rsidP="00433F7F">
      <w:pPr>
        <w:spacing w:line="360" w:lineRule="auto"/>
        <w:ind w:left="1440" w:right="720"/>
        <w:jc w:val="both"/>
        <w:rPr>
          <w:rFonts w:ascii="Arial" w:eastAsia="Times New Roman" w:hAnsi="Arial" w:cs="Arial"/>
          <w:sz w:val="24"/>
          <w:szCs w:val="24"/>
          <w:lang w:val="es-MX"/>
        </w:rPr>
      </w:pPr>
      <w:r w:rsidRPr="00433F7F">
        <w:rPr>
          <w:rFonts w:ascii="Arial" w:eastAsia="Times New Roman" w:hAnsi="Arial" w:cs="Arial"/>
          <w:sz w:val="24"/>
          <w:szCs w:val="24"/>
          <w:lang w:val="es-MX"/>
        </w:rPr>
        <w:lastRenderedPageBreak/>
        <w:t xml:space="preserve"> </w:t>
      </w:r>
      <w:r w:rsidRPr="006D15B4">
        <w:rPr>
          <w:rFonts w:ascii="Arial" w:hAnsi="Arial" w:cs="Arial"/>
          <w:color w:val="000000"/>
          <w:sz w:val="24"/>
          <w:szCs w:val="24"/>
          <w:shd w:val="clear" w:color="auto" w:fill="FFFFFF"/>
          <w:lang w:val="es-MX"/>
        </w:rPr>
        <w:t>por la pena de prisión que merece el hecho delictuoso que se imputa al acusado, éste podría sustraerse de la acción de la justicia y no comparecer a juicio, por no tener derecho a la justicia restaurativa ni a que se le conceda beneficio o sustitutivo penal alguno, viola el mencionado principio de presunción de inocencia, pues dicho pronunciamiento presupone de suyo la anticipación de la pena, lo cual constitucionalmente está proscrito en el actuar de los juzgadores, en atención a la vertiente regla de trato procesal</w:t>
      </w:r>
      <w:r w:rsidR="00433F7F">
        <w:rPr>
          <w:rFonts w:ascii="Arial" w:hAnsi="Arial" w:cs="Arial"/>
          <w:color w:val="000000"/>
          <w:sz w:val="24"/>
          <w:szCs w:val="24"/>
          <w:shd w:val="clear" w:color="auto" w:fill="FFFFFF"/>
          <w:lang w:val="es-MX"/>
        </w:rPr>
        <w:t>.</w:t>
      </w:r>
      <w:r w:rsidR="00D835B3" w:rsidRPr="00433F7F">
        <w:rPr>
          <w:rStyle w:val="Refdenotaalpie"/>
          <w:rFonts w:ascii="Arial" w:eastAsia="Times New Roman" w:hAnsi="Arial" w:cs="Arial"/>
          <w:sz w:val="24"/>
          <w:szCs w:val="24"/>
          <w:lang w:val="es-MX"/>
        </w:rPr>
        <w:footnoteReference w:id="39"/>
      </w:r>
      <w:r w:rsidR="004C7E52" w:rsidRPr="00433F7F">
        <w:rPr>
          <w:rFonts w:ascii="Arial" w:eastAsia="Times New Roman" w:hAnsi="Arial" w:cs="Arial"/>
          <w:sz w:val="24"/>
          <w:szCs w:val="24"/>
          <w:lang w:val="es-MX"/>
        </w:rPr>
        <w:t xml:space="preserve"> </w:t>
      </w:r>
    </w:p>
    <w:p w14:paraId="68C5E5CC" w14:textId="3748CB36" w:rsidR="004C7E52" w:rsidRPr="00433F7F" w:rsidRDefault="004C7E52" w:rsidP="00433F7F">
      <w:pPr>
        <w:spacing w:line="360" w:lineRule="auto"/>
        <w:ind w:left="720" w:right="720"/>
        <w:jc w:val="both"/>
        <w:rPr>
          <w:rFonts w:ascii="Arial" w:eastAsia="Times New Roman" w:hAnsi="Arial" w:cs="Arial"/>
          <w:sz w:val="24"/>
          <w:szCs w:val="24"/>
          <w:lang w:val="es-MX"/>
        </w:rPr>
      </w:pPr>
      <w:r w:rsidRPr="00433F7F">
        <w:rPr>
          <w:rFonts w:ascii="Arial" w:eastAsia="Times New Roman" w:hAnsi="Arial" w:cs="Arial"/>
          <w:sz w:val="24"/>
          <w:szCs w:val="24"/>
          <w:lang w:val="es-MX"/>
        </w:rPr>
        <w:t>En los hechos delictivos relacionados con la obtención de recursos ilícitos, la SCJN determinó en febrero de 2020 que, vulnera</w:t>
      </w:r>
      <w:r w:rsidR="00A018AC">
        <w:rPr>
          <w:rFonts w:ascii="Arial" w:eastAsia="Times New Roman" w:hAnsi="Arial" w:cs="Arial"/>
          <w:sz w:val="24"/>
          <w:szCs w:val="24"/>
          <w:lang w:val="es-MX"/>
        </w:rPr>
        <w:t>ba</w:t>
      </w:r>
      <w:r w:rsidRPr="00433F7F">
        <w:rPr>
          <w:rFonts w:ascii="Arial" w:eastAsia="Times New Roman" w:hAnsi="Arial" w:cs="Arial"/>
          <w:sz w:val="24"/>
          <w:szCs w:val="24"/>
          <w:lang w:val="es-MX"/>
        </w:rPr>
        <w:t xml:space="preserve"> la presunción de inocencia, que el </w:t>
      </w:r>
      <w:r w:rsidR="00433F7F" w:rsidRPr="00433F7F">
        <w:rPr>
          <w:rFonts w:ascii="Arial" w:eastAsia="Times New Roman" w:hAnsi="Arial" w:cs="Arial"/>
          <w:sz w:val="24"/>
          <w:szCs w:val="24"/>
          <w:lang w:val="es-MX"/>
        </w:rPr>
        <w:t>M</w:t>
      </w:r>
      <w:r w:rsidRPr="00433F7F">
        <w:rPr>
          <w:rFonts w:ascii="Arial" w:eastAsia="Times New Roman" w:hAnsi="Arial" w:cs="Arial"/>
          <w:sz w:val="24"/>
          <w:szCs w:val="24"/>
          <w:lang w:val="es-MX"/>
        </w:rPr>
        <w:t xml:space="preserve">inisterio </w:t>
      </w:r>
      <w:r w:rsidR="00433F7F" w:rsidRPr="00433F7F">
        <w:rPr>
          <w:rFonts w:ascii="Arial" w:eastAsia="Times New Roman" w:hAnsi="Arial" w:cs="Arial"/>
          <w:sz w:val="24"/>
          <w:szCs w:val="24"/>
          <w:lang w:val="es-MX"/>
        </w:rPr>
        <w:t>P</w:t>
      </w:r>
      <w:r w:rsidRPr="00433F7F">
        <w:rPr>
          <w:rFonts w:ascii="Arial" w:eastAsia="Times New Roman" w:hAnsi="Arial" w:cs="Arial"/>
          <w:sz w:val="24"/>
          <w:szCs w:val="24"/>
          <w:lang w:val="es-MX"/>
        </w:rPr>
        <w:t>úblico justifi</w:t>
      </w:r>
      <w:r w:rsidR="00A018AC">
        <w:rPr>
          <w:rFonts w:ascii="Arial" w:eastAsia="Times New Roman" w:hAnsi="Arial" w:cs="Arial"/>
          <w:sz w:val="24"/>
          <w:szCs w:val="24"/>
          <w:lang w:val="es-MX"/>
        </w:rPr>
        <w:t>cara</w:t>
      </w:r>
      <w:r w:rsidRPr="00433F7F">
        <w:rPr>
          <w:rFonts w:ascii="Arial" w:eastAsia="Times New Roman" w:hAnsi="Arial" w:cs="Arial"/>
          <w:sz w:val="24"/>
          <w:szCs w:val="24"/>
          <w:lang w:val="es-MX"/>
        </w:rPr>
        <w:t xml:space="preserve"> cautela para la emisión de orden de aprehensión, en virtud de estim</w:t>
      </w:r>
      <w:r w:rsidR="00A018AC">
        <w:rPr>
          <w:rFonts w:ascii="Arial" w:eastAsia="Times New Roman" w:hAnsi="Arial" w:cs="Arial"/>
          <w:sz w:val="24"/>
          <w:szCs w:val="24"/>
          <w:lang w:val="es-MX"/>
        </w:rPr>
        <w:t>ar</w:t>
      </w:r>
      <w:r w:rsidRPr="00433F7F">
        <w:rPr>
          <w:rFonts w:ascii="Arial" w:eastAsia="Times New Roman" w:hAnsi="Arial" w:cs="Arial"/>
          <w:sz w:val="24"/>
          <w:szCs w:val="24"/>
          <w:lang w:val="es-MX"/>
        </w:rPr>
        <w:t xml:space="preserve"> el monto económico obtenido de manera ilícita por </w:t>
      </w:r>
      <w:r w:rsidR="00A018AC">
        <w:rPr>
          <w:rFonts w:ascii="Arial" w:eastAsia="Times New Roman" w:hAnsi="Arial" w:cs="Arial"/>
          <w:sz w:val="24"/>
          <w:szCs w:val="24"/>
          <w:lang w:val="es-MX"/>
        </w:rPr>
        <w:t>la persona</w:t>
      </w:r>
      <w:r w:rsidRPr="00433F7F">
        <w:rPr>
          <w:rFonts w:ascii="Arial" w:eastAsia="Times New Roman" w:hAnsi="Arial" w:cs="Arial"/>
          <w:sz w:val="24"/>
          <w:szCs w:val="24"/>
          <w:lang w:val="es-MX"/>
        </w:rPr>
        <w:t xml:space="preserve"> imputad</w:t>
      </w:r>
      <w:r w:rsidR="00A018AC">
        <w:rPr>
          <w:rFonts w:ascii="Arial" w:eastAsia="Times New Roman" w:hAnsi="Arial" w:cs="Arial"/>
          <w:sz w:val="24"/>
          <w:szCs w:val="24"/>
          <w:lang w:val="es-MX"/>
        </w:rPr>
        <w:t>a</w:t>
      </w:r>
      <w:r w:rsidRPr="00433F7F">
        <w:rPr>
          <w:rFonts w:ascii="Arial" w:eastAsia="Times New Roman" w:hAnsi="Arial" w:cs="Arial"/>
          <w:sz w:val="24"/>
          <w:szCs w:val="24"/>
          <w:lang w:val="es-MX"/>
        </w:rPr>
        <w:t xml:space="preserve">. </w:t>
      </w:r>
    </w:p>
    <w:p w14:paraId="48EE3A8F" w14:textId="7DC14A9E" w:rsidR="00433F7F" w:rsidRDefault="00A018AC" w:rsidP="00433F7F">
      <w:pPr>
        <w:spacing w:line="360" w:lineRule="auto"/>
        <w:ind w:left="720" w:right="720"/>
        <w:jc w:val="both"/>
        <w:rPr>
          <w:rFonts w:ascii="Arial" w:eastAsia="Times New Roman" w:hAnsi="Arial" w:cs="Arial"/>
          <w:sz w:val="24"/>
          <w:szCs w:val="24"/>
          <w:lang w:val="es-MX"/>
        </w:rPr>
      </w:pPr>
      <w:r>
        <w:rPr>
          <w:rFonts w:ascii="Arial" w:eastAsia="Times New Roman" w:hAnsi="Arial" w:cs="Arial"/>
          <w:sz w:val="24"/>
          <w:szCs w:val="24"/>
          <w:lang w:val="es-MX"/>
        </w:rPr>
        <w:t>La Corte debido a su razonamiento interpretó</w:t>
      </w:r>
      <w:r w:rsidR="004C7E52" w:rsidRPr="00433F7F">
        <w:rPr>
          <w:rFonts w:ascii="Arial" w:eastAsia="Times New Roman" w:hAnsi="Arial" w:cs="Arial"/>
          <w:sz w:val="24"/>
          <w:szCs w:val="24"/>
          <w:lang w:val="es-MX"/>
        </w:rPr>
        <w:t xml:space="preserve"> que de considerarse se convertiría</w:t>
      </w:r>
    </w:p>
    <w:p w14:paraId="0B0DC08B" w14:textId="6397BAAE" w:rsidR="004C7E52" w:rsidRPr="000D556F" w:rsidRDefault="004C7E52" w:rsidP="00433F7F">
      <w:pPr>
        <w:spacing w:line="360" w:lineRule="auto"/>
        <w:ind w:left="1440" w:right="720"/>
        <w:jc w:val="both"/>
        <w:rPr>
          <w:rFonts w:ascii="Arial" w:hAnsi="Arial" w:cs="Arial"/>
          <w:sz w:val="24"/>
          <w:szCs w:val="24"/>
          <w:lang w:val="es-MX"/>
        </w:rPr>
      </w:pPr>
      <w:r w:rsidRPr="00433F7F">
        <w:rPr>
          <w:rFonts w:ascii="Arial" w:eastAsia="Times New Roman" w:hAnsi="Arial" w:cs="Arial"/>
          <w:sz w:val="24"/>
          <w:szCs w:val="24"/>
          <w:lang w:val="es-MX"/>
        </w:rPr>
        <w:lastRenderedPageBreak/>
        <w:t xml:space="preserve"> </w:t>
      </w:r>
      <w:r w:rsidRPr="00433F7F">
        <w:rPr>
          <w:rFonts w:ascii="Arial" w:hAnsi="Arial" w:cs="Arial"/>
          <w:sz w:val="24"/>
          <w:szCs w:val="24"/>
          <w:lang w:val="es-MX"/>
        </w:rPr>
        <w:t>en un elemento que justifica la orden de captura, pues al considerarlo así, todos los casos en que se investigue un hecho relacionado con la obtención indebida de recursos económicos, se acreditaría la necesidad de emitir una orden de aprehensión, en contravención con los principios de presunción de inocencia y mínima intervención, bases fundamentales del sistema de justicia penal acusatorio</w:t>
      </w:r>
      <w:r w:rsidR="000D556F">
        <w:rPr>
          <w:rFonts w:ascii="Arial" w:hAnsi="Arial" w:cs="Arial"/>
          <w:sz w:val="24"/>
          <w:szCs w:val="24"/>
          <w:lang w:val="es-MX"/>
        </w:rPr>
        <w:t>.</w:t>
      </w:r>
    </w:p>
    <w:p w14:paraId="29A04A85" w14:textId="77777777" w:rsidR="004C7E52" w:rsidRPr="00433F7F" w:rsidRDefault="004C7E52" w:rsidP="00433F7F">
      <w:pPr>
        <w:spacing w:line="360" w:lineRule="auto"/>
        <w:ind w:left="720" w:right="720"/>
        <w:jc w:val="both"/>
        <w:rPr>
          <w:rFonts w:ascii="Arial" w:eastAsia="Times New Roman" w:hAnsi="Arial" w:cs="Arial"/>
          <w:b/>
          <w:bCs/>
          <w:color w:val="444444"/>
          <w:sz w:val="24"/>
          <w:szCs w:val="24"/>
          <w:lang w:val="es-MX"/>
        </w:rPr>
      </w:pPr>
      <w:r w:rsidRPr="00433F7F">
        <w:rPr>
          <w:rFonts w:ascii="Arial" w:hAnsi="Arial" w:cs="Arial"/>
          <w:sz w:val="24"/>
          <w:szCs w:val="24"/>
          <w:lang w:val="es-MX"/>
        </w:rPr>
        <w:t>Al hilo de esto, recordemos que la privación de la libertad se convierte en la última opción para la selección del abanico de posibilidades que enlista el art. 155 del CNPP, aunado a ello, debe estar debidamente justificada la necesidad de imposición de dicha medida. Para ello, el diseño del modelo de justicia cuenta con la UMECA (Unidad de Medidas Cautelares y Suspensión Provisional de con procedimiento) con atribuciones para evaluar el riesgo y supervisarlo, no se debe acudir directamente a la privación de la libertad, sin que previamente se justifique su necesidad</w:t>
      </w:r>
      <w:r w:rsidRPr="00433F7F">
        <w:rPr>
          <w:rStyle w:val="Refdenotaalpie"/>
          <w:rFonts w:ascii="Arial" w:hAnsi="Arial" w:cs="Arial"/>
          <w:sz w:val="24"/>
          <w:szCs w:val="24"/>
          <w:lang w:val="es-MX"/>
        </w:rPr>
        <w:footnoteReference w:id="40"/>
      </w:r>
      <w:r w:rsidRPr="00433F7F">
        <w:rPr>
          <w:rFonts w:ascii="Arial" w:hAnsi="Arial" w:cs="Arial"/>
          <w:sz w:val="24"/>
          <w:szCs w:val="24"/>
          <w:lang w:val="es-MX"/>
        </w:rPr>
        <w:t xml:space="preserve">. </w:t>
      </w:r>
    </w:p>
    <w:p w14:paraId="0557A8BC" w14:textId="28B4DA15"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color w:val="000000"/>
          <w:sz w:val="24"/>
          <w:szCs w:val="24"/>
          <w:lang w:val="es-MX"/>
        </w:rPr>
        <w:t xml:space="preserve">La SCJN </w:t>
      </w:r>
      <w:r w:rsidR="00E36366">
        <w:rPr>
          <w:rFonts w:ascii="Arial" w:hAnsi="Arial" w:cs="Arial"/>
          <w:color w:val="000000"/>
          <w:sz w:val="24"/>
          <w:szCs w:val="24"/>
          <w:lang w:val="es-MX"/>
        </w:rPr>
        <w:t>expresó</w:t>
      </w:r>
      <w:r w:rsidRPr="00433F7F">
        <w:rPr>
          <w:rFonts w:ascii="Arial" w:hAnsi="Arial" w:cs="Arial"/>
          <w:color w:val="000000"/>
          <w:sz w:val="24"/>
          <w:szCs w:val="24"/>
          <w:lang w:val="es-MX"/>
        </w:rPr>
        <w:t xml:space="preserve"> que, se debe impedir, en gran medida que </w:t>
      </w:r>
      <w:r w:rsidRPr="00433F7F">
        <w:rPr>
          <w:rFonts w:ascii="Arial" w:hAnsi="Arial" w:cs="Arial"/>
          <w:sz w:val="24"/>
          <w:szCs w:val="24"/>
          <w:lang w:val="es-MX"/>
        </w:rPr>
        <w:t>“</w:t>
      </w:r>
      <w:r w:rsidRPr="00433F7F">
        <w:rPr>
          <w:rFonts w:ascii="Arial" w:hAnsi="Arial" w:cs="Arial"/>
          <w:i/>
          <w:iCs/>
          <w:sz w:val="24"/>
          <w:szCs w:val="24"/>
          <w:lang w:val="es-MX"/>
        </w:rPr>
        <w:t xml:space="preserve">la aplicación de medidas que impliquen una equiparación de hecho entre imputado y culpable, es decir, conlleva la prohibición de cualquier tipo de resolución </w:t>
      </w:r>
      <w:r w:rsidRPr="00433F7F">
        <w:rPr>
          <w:rFonts w:ascii="Arial" w:hAnsi="Arial" w:cs="Arial"/>
          <w:i/>
          <w:iCs/>
          <w:sz w:val="24"/>
          <w:szCs w:val="24"/>
          <w:lang w:val="es-MX"/>
        </w:rPr>
        <w:lastRenderedPageBreak/>
        <w:t>judicial que suponga la anticipación de la pena</w:t>
      </w:r>
      <w:r w:rsidRPr="00433F7F">
        <w:rPr>
          <w:rFonts w:ascii="Arial" w:hAnsi="Arial" w:cs="Arial"/>
          <w:sz w:val="24"/>
          <w:szCs w:val="24"/>
          <w:lang w:val="es-MX"/>
        </w:rPr>
        <w:t>”</w:t>
      </w:r>
      <w:r w:rsidRPr="00433F7F">
        <w:rPr>
          <w:rStyle w:val="Refdenotaalpie"/>
          <w:rFonts w:ascii="Arial" w:hAnsi="Arial" w:cs="Arial"/>
          <w:sz w:val="24"/>
          <w:szCs w:val="24"/>
          <w:lang w:val="es-MX"/>
        </w:rPr>
        <w:t xml:space="preserve"> </w:t>
      </w:r>
      <w:r w:rsidRPr="00433F7F">
        <w:rPr>
          <w:rStyle w:val="Refdenotaalpie"/>
          <w:rFonts w:ascii="Arial" w:hAnsi="Arial" w:cs="Arial"/>
          <w:sz w:val="24"/>
          <w:szCs w:val="24"/>
          <w:lang w:val="es-MX"/>
        </w:rPr>
        <w:footnoteReference w:id="41"/>
      </w:r>
      <w:r w:rsidRPr="00433F7F">
        <w:rPr>
          <w:rFonts w:ascii="Arial" w:hAnsi="Arial" w:cs="Arial"/>
          <w:sz w:val="24"/>
          <w:szCs w:val="24"/>
          <w:lang w:val="es-MX"/>
        </w:rPr>
        <w:t>. De no justificarse la imposición de la medida y el acudir a la más rigurosa sin previo debate, sin duda, se acude a la vulneración de la presunción de inocencia. En contra de lo establecido por la CPEUM y los tratados firmados por México en materia de derechos humanos.</w:t>
      </w:r>
    </w:p>
    <w:p w14:paraId="0EF0F4AA" w14:textId="77777777" w:rsidR="004C7E52" w:rsidRPr="00433F7F" w:rsidRDefault="004C7E52" w:rsidP="00433F7F">
      <w:pPr>
        <w:spacing w:line="360" w:lineRule="auto"/>
        <w:ind w:left="720" w:right="720"/>
        <w:jc w:val="both"/>
        <w:rPr>
          <w:rFonts w:ascii="Arial" w:hAnsi="Arial" w:cs="Arial"/>
          <w:sz w:val="24"/>
          <w:szCs w:val="24"/>
          <w:lang w:val="es-MX"/>
        </w:rPr>
      </w:pPr>
    </w:p>
    <w:p w14:paraId="4CE6D25B" w14:textId="49C07B75" w:rsidR="004C7E52" w:rsidRPr="00433F7F" w:rsidRDefault="0011370F" w:rsidP="0011370F">
      <w:pPr>
        <w:spacing w:line="360" w:lineRule="auto"/>
        <w:ind w:right="720" w:firstLine="720"/>
        <w:jc w:val="both"/>
        <w:rPr>
          <w:rFonts w:ascii="Arial" w:hAnsi="Arial" w:cs="Arial"/>
          <w:sz w:val="24"/>
          <w:szCs w:val="24"/>
          <w:lang w:val="es-MX"/>
        </w:rPr>
      </w:pPr>
      <w:r>
        <w:rPr>
          <w:rFonts w:ascii="Arial" w:hAnsi="Arial" w:cs="Arial"/>
          <w:sz w:val="24"/>
          <w:szCs w:val="24"/>
          <w:lang w:val="es-MX"/>
        </w:rPr>
        <w:t>d.</w:t>
      </w:r>
      <w:r w:rsidR="004C7E52" w:rsidRPr="00433F7F">
        <w:rPr>
          <w:rFonts w:ascii="Arial" w:hAnsi="Arial" w:cs="Arial"/>
          <w:sz w:val="24"/>
          <w:szCs w:val="24"/>
          <w:lang w:val="es-MX"/>
        </w:rPr>
        <w:t xml:space="preserve"> Vinculación a proceso.</w:t>
      </w:r>
    </w:p>
    <w:p w14:paraId="4E20DA87" w14:textId="364EF4B1"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Este acto forma parte de la audiencia inicial, se resuelve la solicitud del </w:t>
      </w:r>
      <w:r w:rsidR="00433F7F" w:rsidRPr="00433F7F">
        <w:rPr>
          <w:rFonts w:ascii="Arial" w:hAnsi="Arial" w:cs="Arial"/>
          <w:sz w:val="24"/>
          <w:szCs w:val="24"/>
          <w:lang w:val="es-MX"/>
        </w:rPr>
        <w:t>M</w:t>
      </w:r>
      <w:r w:rsidRPr="00433F7F">
        <w:rPr>
          <w:rFonts w:ascii="Arial" w:hAnsi="Arial" w:cs="Arial"/>
          <w:sz w:val="24"/>
          <w:szCs w:val="24"/>
          <w:lang w:val="es-MX"/>
        </w:rPr>
        <w:t xml:space="preserve">inisterio </w:t>
      </w:r>
      <w:r w:rsidR="00433F7F" w:rsidRPr="00433F7F">
        <w:rPr>
          <w:rFonts w:ascii="Arial" w:hAnsi="Arial" w:cs="Arial"/>
          <w:sz w:val="24"/>
          <w:szCs w:val="24"/>
          <w:lang w:val="es-MX"/>
        </w:rPr>
        <w:t>P</w:t>
      </w:r>
      <w:r w:rsidRPr="00433F7F">
        <w:rPr>
          <w:rFonts w:ascii="Arial" w:hAnsi="Arial" w:cs="Arial"/>
          <w:sz w:val="24"/>
          <w:szCs w:val="24"/>
          <w:lang w:val="es-MX"/>
        </w:rPr>
        <w:t>úblico para vinculación a proceso de la persona imputada</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E</w:t>
      </w:r>
      <w:r w:rsidRPr="00433F7F">
        <w:rPr>
          <w:rFonts w:ascii="Arial" w:hAnsi="Arial" w:cs="Arial"/>
          <w:sz w:val="24"/>
          <w:szCs w:val="24"/>
          <w:lang w:val="es-MX"/>
        </w:rPr>
        <w:t>n este acto procesal se debe ejercer el derecho de defensa, acoger el plazo constitucional, incorporar datos o medios de prueba que consideren necesarios para presentar al juez de control y</w:t>
      </w:r>
      <w:r w:rsidR="00433F7F" w:rsidRPr="00433F7F">
        <w:rPr>
          <w:rFonts w:ascii="Arial" w:hAnsi="Arial" w:cs="Arial"/>
          <w:sz w:val="24"/>
          <w:szCs w:val="24"/>
          <w:lang w:val="es-MX"/>
        </w:rPr>
        <w:t>,</w:t>
      </w:r>
      <w:r w:rsidRPr="00433F7F">
        <w:rPr>
          <w:rFonts w:ascii="Arial" w:hAnsi="Arial" w:cs="Arial"/>
          <w:sz w:val="24"/>
          <w:szCs w:val="24"/>
          <w:lang w:val="es-MX"/>
        </w:rPr>
        <w:t xml:space="preserve"> éste último, de manera posterior al debate, resuelve si a la persona imputada somete o no al proceso penal</w:t>
      </w:r>
      <w:r w:rsidRPr="00433F7F">
        <w:rPr>
          <w:rStyle w:val="Refdenotaalpie"/>
          <w:rFonts w:ascii="Arial" w:hAnsi="Arial" w:cs="Arial"/>
          <w:sz w:val="24"/>
          <w:szCs w:val="24"/>
          <w:lang w:val="es-MX"/>
        </w:rPr>
        <w:footnoteReference w:id="42"/>
      </w:r>
      <w:r w:rsidRPr="00433F7F">
        <w:rPr>
          <w:rFonts w:ascii="Arial" w:hAnsi="Arial" w:cs="Arial"/>
          <w:sz w:val="24"/>
          <w:szCs w:val="24"/>
          <w:lang w:val="es-MX"/>
        </w:rPr>
        <w:t>. La importancia de dicho acto no es menor, Dagdoug Kalife apunta que</w:t>
      </w:r>
      <w:r w:rsidR="00433F7F" w:rsidRPr="00433F7F">
        <w:rPr>
          <w:rFonts w:ascii="Arial" w:hAnsi="Arial" w:cs="Arial"/>
          <w:sz w:val="24"/>
          <w:szCs w:val="24"/>
          <w:lang w:val="es-MX"/>
        </w:rPr>
        <w:t xml:space="preserve"> </w:t>
      </w:r>
      <w:r w:rsidRPr="00433F7F">
        <w:rPr>
          <w:rFonts w:ascii="Arial" w:hAnsi="Arial" w:cs="Arial"/>
          <w:sz w:val="24"/>
          <w:szCs w:val="24"/>
          <w:lang w:val="es-MX"/>
        </w:rPr>
        <w:t>“</w:t>
      </w:r>
      <w:r w:rsidRPr="006D15B4">
        <w:rPr>
          <w:rFonts w:ascii="Arial" w:hAnsi="Arial" w:cs="Arial"/>
          <w:sz w:val="24"/>
          <w:szCs w:val="24"/>
          <w:lang w:val="es-MX"/>
        </w:rPr>
        <w:t>el juez de control con base en los datos que obran hasta ese momento hará un juicio de probabilidad</w:t>
      </w:r>
      <w:r w:rsidRPr="00433F7F">
        <w:rPr>
          <w:rFonts w:ascii="Arial" w:hAnsi="Arial" w:cs="Arial"/>
          <w:sz w:val="24"/>
          <w:szCs w:val="24"/>
          <w:lang w:val="es-MX"/>
        </w:rPr>
        <w:t>”</w:t>
      </w:r>
      <w:r w:rsidRPr="00433F7F">
        <w:rPr>
          <w:rStyle w:val="Refdenotaalpie"/>
          <w:rFonts w:ascii="Arial" w:hAnsi="Arial" w:cs="Arial"/>
          <w:sz w:val="24"/>
          <w:szCs w:val="24"/>
          <w:lang w:val="es-MX"/>
        </w:rPr>
        <w:footnoteReference w:id="43"/>
      </w:r>
      <w:r w:rsidRPr="00433F7F">
        <w:rPr>
          <w:rFonts w:ascii="Arial" w:hAnsi="Arial" w:cs="Arial"/>
          <w:sz w:val="24"/>
          <w:szCs w:val="24"/>
          <w:lang w:val="es-MX"/>
        </w:rPr>
        <w:t xml:space="preserve"> Por lo tanto, en principio</w:t>
      </w:r>
      <w:r w:rsidR="00433F7F" w:rsidRPr="00433F7F">
        <w:rPr>
          <w:rFonts w:ascii="Arial" w:hAnsi="Arial" w:cs="Arial"/>
          <w:sz w:val="24"/>
          <w:szCs w:val="24"/>
          <w:lang w:val="es-MX"/>
        </w:rPr>
        <w:t>,</w:t>
      </w:r>
      <w:r w:rsidRPr="00433F7F">
        <w:rPr>
          <w:rFonts w:ascii="Arial" w:hAnsi="Arial" w:cs="Arial"/>
          <w:sz w:val="24"/>
          <w:szCs w:val="24"/>
          <w:lang w:val="es-MX"/>
        </w:rPr>
        <w:t xml:space="preserve"> el órgano juzgador de control determina que vincula</w:t>
      </w:r>
      <w:r w:rsidR="00494BE1">
        <w:rPr>
          <w:rFonts w:ascii="Arial" w:hAnsi="Arial" w:cs="Arial"/>
          <w:sz w:val="24"/>
          <w:szCs w:val="24"/>
          <w:lang w:val="es-MX"/>
        </w:rPr>
        <w:t>r</w:t>
      </w:r>
      <w:r w:rsidRPr="00433F7F">
        <w:rPr>
          <w:rFonts w:ascii="Arial" w:hAnsi="Arial" w:cs="Arial"/>
          <w:sz w:val="24"/>
          <w:szCs w:val="24"/>
          <w:lang w:val="es-MX"/>
        </w:rPr>
        <w:t xml:space="preserve"> a proceso se debe a que los datos o medios de prueba presentados de que la persona posiblemente cometió el delito que se le confiere. </w:t>
      </w:r>
    </w:p>
    <w:p w14:paraId="5D6C5557" w14:textId="085B5CDA"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este sentido, la Corte interpretó que, en el auto de vinculación, “</w:t>
      </w:r>
      <w:r w:rsidRPr="006D15B4">
        <w:rPr>
          <w:rFonts w:ascii="Arial" w:hAnsi="Arial" w:cs="Arial"/>
          <w:sz w:val="24"/>
          <w:szCs w:val="24"/>
          <w:lang w:val="es-MX"/>
        </w:rPr>
        <w:t xml:space="preserve">el Juez de control podrá otorgarles una clasificación jurídica distinta a la asignada por el Ministerio Público misma que deberá hacerse saber al imputado para </w:t>
      </w:r>
      <w:r w:rsidRPr="006D15B4">
        <w:rPr>
          <w:rFonts w:ascii="Arial" w:hAnsi="Arial" w:cs="Arial"/>
          <w:sz w:val="24"/>
          <w:szCs w:val="24"/>
          <w:lang w:val="es-MX"/>
        </w:rPr>
        <w:lastRenderedPageBreak/>
        <w:t>los efectos de su defensa. El proceso se seguirá forzosamente por el hecho o hechos delictivos señalados en el auto de vinculación a proceso</w:t>
      </w:r>
      <w:r w:rsidR="00433F7F" w:rsidRPr="00433F7F">
        <w:rPr>
          <w:rFonts w:ascii="Arial" w:hAnsi="Arial" w:cs="Arial"/>
          <w:sz w:val="24"/>
          <w:szCs w:val="24"/>
          <w:lang w:val="es-MX"/>
        </w:rPr>
        <w:t>”</w:t>
      </w:r>
      <w:r w:rsidRPr="00433F7F">
        <w:rPr>
          <w:rFonts w:ascii="Arial" w:hAnsi="Arial" w:cs="Arial"/>
          <w:sz w:val="24"/>
          <w:szCs w:val="24"/>
          <w:lang w:val="es-MX"/>
        </w:rPr>
        <w:t>.</w:t>
      </w:r>
      <w:r w:rsidRPr="00433F7F">
        <w:rPr>
          <w:rStyle w:val="Refdenotaalpie"/>
          <w:rFonts w:ascii="Arial" w:hAnsi="Arial" w:cs="Arial"/>
          <w:sz w:val="24"/>
          <w:szCs w:val="24"/>
          <w:lang w:val="es-MX"/>
        </w:rPr>
        <w:footnoteReference w:id="44"/>
      </w:r>
    </w:p>
    <w:p w14:paraId="4335ABDC" w14:textId="77777777" w:rsid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Cabe destacar que la citada jurisprudencia determina que dicha reclasificación puede ser</w:t>
      </w:r>
    </w:p>
    <w:p w14:paraId="2012E4D1" w14:textId="5B6DD8B4" w:rsidR="004C7E52" w:rsidRPr="00433F7F" w:rsidRDefault="004C7E52" w:rsidP="00433F7F">
      <w:pPr>
        <w:spacing w:line="360" w:lineRule="auto"/>
        <w:ind w:left="1440" w:right="720"/>
        <w:jc w:val="both"/>
        <w:rPr>
          <w:rFonts w:ascii="Arial" w:hAnsi="Arial" w:cs="Arial"/>
          <w:i/>
          <w:iCs/>
          <w:color w:val="000000"/>
          <w:sz w:val="24"/>
          <w:szCs w:val="24"/>
          <w:lang w:val="es-MX"/>
        </w:rPr>
      </w:pPr>
      <w:r w:rsidRPr="00433F7F">
        <w:rPr>
          <w:rFonts w:ascii="Arial" w:hAnsi="Arial" w:cs="Arial"/>
          <w:sz w:val="24"/>
          <w:szCs w:val="24"/>
          <w:lang w:val="es-MX"/>
        </w:rPr>
        <w:t xml:space="preserve"> </w:t>
      </w:r>
      <w:r w:rsidRPr="006D15B4">
        <w:rPr>
          <w:rFonts w:ascii="Arial" w:hAnsi="Arial" w:cs="Arial"/>
          <w:color w:val="000000"/>
          <w:sz w:val="24"/>
          <w:szCs w:val="24"/>
          <w:lang w:val="es-MX"/>
        </w:rPr>
        <w:t>aun si tal circunstancia no beneficia al imputado, pues con ello no se invaden las atribuciones conferidas al órgano investigador, en virtud de que se rectifica el estudio de tipicidad que realizó, lo que resulta necesario para resolver acertadamente la litis y cumplir con una de las finalidades del sistema de justicia penal acusatorio, consistente en la adecuada impartición de justicia, traducida en que la investigación se siga por el delito o delitos que guarden relación con los hechos denunciados, para que no queden impunes y se repare el daño ocasionado a la víctima o parte ofendida</w:t>
      </w:r>
      <w:r w:rsidRPr="00433F7F">
        <w:rPr>
          <w:rFonts w:ascii="Arial" w:hAnsi="Arial" w:cs="Arial"/>
          <w:i/>
          <w:iCs/>
          <w:color w:val="000000"/>
          <w:sz w:val="24"/>
          <w:szCs w:val="24"/>
          <w:lang w:val="es-MX"/>
        </w:rPr>
        <w:t>.</w:t>
      </w:r>
      <w:r w:rsidRPr="00433F7F">
        <w:rPr>
          <w:rStyle w:val="Refdenotaalpie"/>
          <w:rFonts w:ascii="Arial" w:hAnsi="Arial" w:cs="Arial"/>
          <w:sz w:val="24"/>
          <w:szCs w:val="24"/>
          <w:lang w:val="es-MX"/>
        </w:rPr>
        <w:t xml:space="preserve"> </w:t>
      </w:r>
      <w:r w:rsidRPr="00433F7F">
        <w:rPr>
          <w:rStyle w:val="Refdenotaalpie"/>
          <w:rFonts w:ascii="Arial" w:hAnsi="Arial" w:cs="Arial"/>
          <w:sz w:val="24"/>
          <w:szCs w:val="24"/>
          <w:lang w:val="es-MX"/>
        </w:rPr>
        <w:footnoteReference w:id="45"/>
      </w:r>
      <w:r w:rsidRPr="00433F7F">
        <w:rPr>
          <w:rFonts w:ascii="Arial" w:hAnsi="Arial" w:cs="Arial"/>
          <w:i/>
          <w:iCs/>
          <w:color w:val="000000"/>
          <w:sz w:val="24"/>
          <w:szCs w:val="24"/>
          <w:lang w:val="es-MX"/>
        </w:rPr>
        <w:t xml:space="preserve"> </w:t>
      </w:r>
    </w:p>
    <w:p w14:paraId="0FE0E338" w14:textId="4801999B" w:rsidR="004C7E52"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 xml:space="preserve">En mi opinión, es necesario precisar que </w:t>
      </w:r>
      <w:r w:rsidR="00F855EB">
        <w:rPr>
          <w:rFonts w:ascii="Arial" w:hAnsi="Arial" w:cs="Arial"/>
          <w:color w:val="000000"/>
          <w:sz w:val="24"/>
          <w:szCs w:val="24"/>
          <w:lang w:val="es-MX"/>
        </w:rPr>
        <w:t>se trata de</w:t>
      </w:r>
      <w:r w:rsidRPr="00433F7F">
        <w:rPr>
          <w:rFonts w:ascii="Arial" w:hAnsi="Arial" w:cs="Arial"/>
          <w:color w:val="000000"/>
          <w:sz w:val="24"/>
          <w:szCs w:val="24"/>
          <w:lang w:val="es-MX"/>
        </w:rPr>
        <w:t xml:space="preserve"> la etapa de investigación y</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por tanto, los hechos delictivos siguen siendo investigados hasta que se determine el cierre de dicha etapa. Por su parte, el tipo penal puede modificarse hasta que se emita la acusación en la etapa intermedia. Por lo tanto, el juez podría utilizar su criterio jurídico con base en las fuentes del derecho ya sea</w:t>
      </w:r>
      <w:r w:rsidR="00433F7F" w:rsidRPr="00433F7F">
        <w:rPr>
          <w:rFonts w:ascii="Arial" w:hAnsi="Arial" w:cs="Arial"/>
          <w:color w:val="000000"/>
          <w:sz w:val="24"/>
          <w:szCs w:val="24"/>
          <w:lang w:val="es-MX"/>
        </w:rPr>
        <w:t xml:space="preserve"> de</w:t>
      </w:r>
      <w:r w:rsidRPr="00433F7F">
        <w:rPr>
          <w:rFonts w:ascii="Arial" w:hAnsi="Arial" w:cs="Arial"/>
          <w:color w:val="000000"/>
          <w:sz w:val="24"/>
          <w:szCs w:val="24"/>
          <w:lang w:val="es-MX"/>
        </w:rPr>
        <w:t xml:space="preserve"> criterios jurisprudenciales y </w:t>
      </w:r>
      <w:r w:rsidR="00433F7F" w:rsidRPr="00433F7F">
        <w:rPr>
          <w:rFonts w:ascii="Arial" w:hAnsi="Arial" w:cs="Arial"/>
          <w:color w:val="000000"/>
          <w:sz w:val="24"/>
          <w:szCs w:val="24"/>
          <w:lang w:val="es-MX"/>
        </w:rPr>
        <w:t xml:space="preserve">de </w:t>
      </w:r>
      <w:r w:rsidRPr="00433F7F">
        <w:rPr>
          <w:rFonts w:ascii="Arial" w:hAnsi="Arial" w:cs="Arial"/>
          <w:color w:val="000000"/>
          <w:sz w:val="24"/>
          <w:szCs w:val="24"/>
          <w:lang w:val="es-MX"/>
        </w:rPr>
        <w:t>doctrina.</w:t>
      </w:r>
    </w:p>
    <w:p w14:paraId="4929E18A" w14:textId="382C34B0" w:rsidR="00433F7F"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lastRenderedPageBreak/>
        <w:t xml:space="preserve">El </w:t>
      </w:r>
      <w:r w:rsidRPr="00433F7F">
        <w:rPr>
          <w:rFonts w:ascii="Arial" w:hAnsi="Arial" w:cs="Arial"/>
          <w:i/>
          <w:iCs/>
          <w:color w:val="000000"/>
          <w:sz w:val="24"/>
          <w:szCs w:val="24"/>
          <w:lang w:val="es-MX"/>
        </w:rPr>
        <w:t>quid</w:t>
      </w:r>
      <w:r w:rsidRPr="00433F7F">
        <w:rPr>
          <w:rFonts w:ascii="Arial" w:hAnsi="Arial" w:cs="Arial"/>
          <w:color w:val="000000"/>
          <w:sz w:val="24"/>
          <w:szCs w:val="24"/>
          <w:lang w:val="es-MX"/>
        </w:rPr>
        <w:t xml:space="preserve"> de la cuestión estaría en que la reclasificación no beneficie al acusado y que</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además</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se afectara el derecho de defensa. En cuanto a esto último, el momento procesal en que se presente es muy importante</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porque en la acusación</w:t>
      </w:r>
      <w:r w:rsidR="00433F7F" w:rsidRPr="00433F7F">
        <w:rPr>
          <w:rFonts w:ascii="Arial" w:hAnsi="Arial" w:cs="Arial"/>
          <w:color w:val="000000"/>
          <w:sz w:val="24"/>
          <w:szCs w:val="24"/>
          <w:lang w:val="es-MX"/>
        </w:rPr>
        <w:t xml:space="preserve">, </w:t>
      </w:r>
      <w:r w:rsidRPr="00433F7F">
        <w:rPr>
          <w:rFonts w:ascii="Arial" w:hAnsi="Arial" w:cs="Arial"/>
          <w:color w:val="000000"/>
          <w:sz w:val="24"/>
          <w:szCs w:val="24"/>
          <w:lang w:val="es-MX"/>
        </w:rPr>
        <w:t>es decir</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en la etapa intermedia, si el juzgador reclasificara en la etapa intermedia no debería aplicarse en virtud de que se traduce en que la investigación complementaria está cerrada, entonces</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sí</w:t>
      </w:r>
      <w:r w:rsidRPr="00433F7F">
        <w:rPr>
          <w:rFonts w:ascii="Arial" w:hAnsi="Arial" w:cs="Arial"/>
          <w:i/>
          <w:iCs/>
          <w:color w:val="000000"/>
          <w:sz w:val="24"/>
          <w:szCs w:val="24"/>
          <w:lang w:val="es-MX"/>
        </w:rPr>
        <w:t xml:space="preserve"> </w:t>
      </w:r>
      <w:r w:rsidRPr="00433F7F">
        <w:rPr>
          <w:rFonts w:ascii="Arial" w:hAnsi="Arial" w:cs="Arial"/>
          <w:color w:val="000000"/>
          <w:sz w:val="24"/>
          <w:szCs w:val="24"/>
          <w:lang w:val="es-MX"/>
        </w:rPr>
        <w:t>se estaría atentando contra su derecho de defensa adecuada.</w:t>
      </w:r>
    </w:p>
    <w:p w14:paraId="4179A526" w14:textId="12EE080D" w:rsidR="004C7E52"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 xml:space="preserve">En este sentido, no se debería pasar el límite en cuanto a las atribuciones del juzgador para reclasificar y más si puede causar agravio a la persona acusada. </w:t>
      </w:r>
    </w:p>
    <w:p w14:paraId="72C1796B" w14:textId="48D6AF2C" w:rsidR="004C7E52" w:rsidRPr="00433F7F" w:rsidRDefault="004C7E52" w:rsidP="00433F7F">
      <w:pPr>
        <w:spacing w:line="360" w:lineRule="auto"/>
        <w:ind w:left="720" w:right="720"/>
        <w:jc w:val="both"/>
        <w:rPr>
          <w:rFonts w:ascii="Arial" w:hAnsi="Arial" w:cs="Arial"/>
          <w:color w:val="000000"/>
          <w:sz w:val="24"/>
          <w:szCs w:val="24"/>
          <w:lang w:val="es-MX"/>
        </w:rPr>
      </w:pPr>
      <w:r w:rsidRPr="00433F7F">
        <w:rPr>
          <w:rFonts w:ascii="Arial" w:hAnsi="Arial" w:cs="Arial"/>
          <w:color w:val="000000"/>
          <w:sz w:val="24"/>
          <w:szCs w:val="24"/>
          <w:lang w:val="es-MX"/>
        </w:rPr>
        <w:t>Por citar un ejemplo, si se acusa por homicidio</w:t>
      </w:r>
      <w:r w:rsidR="00433F7F" w:rsidRPr="00433F7F">
        <w:rPr>
          <w:rFonts w:ascii="Arial" w:hAnsi="Arial" w:cs="Arial"/>
          <w:color w:val="000000"/>
          <w:sz w:val="24"/>
          <w:szCs w:val="24"/>
          <w:lang w:val="es-MX"/>
        </w:rPr>
        <w:t xml:space="preserve"> de una mujer,</w:t>
      </w:r>
      <w:r w:rsidRPr="00433F7F">
        <w:rPr>
          <w:rFonts w:ascii="Arial" w:hAnsi="Arial" w:cs="Arial"/>
          <w:color w:val="000000"/>
          <w:sz w:val="24"/>
          <w:szCs w:val="24"/>
          <w:lang w:val="es-MX"/>
        </w:rPr>
        <w:t xml:space="preserve"> con una pena de 20 a 50 años, sin embargo, porque no se encontraron elementos para acreditar el feminicidio, el juz</w:t>
      </w:r>
      <w:r w:rsidR="00F855EB">
        <w:rPr>
          <w:rFonts w:ascii="Arial" w:hAnsi="Arial" w:cs="Arial"/>
          <w:color w:val="000000"/>
          <w:sz w:val="24"/>
          <w:szCs w:val="24"/>
          <w:lang w:val="es-MX"/>
        </w:rPr>
        <w:t>gador</w:t>
      </w:r>
      <w:r w:rsidRPr="00433F7F">
        <w:rPr>
          <w:rFonts w:ascii="Arial" w:hAnsi="Arial" w:cs="Arial"/>
          <w:color w:val="000000"/>
          <w:sz w:val="24"/>
          <w:szCs w:val="24"/>
          <w:lang w:val="es-MX"/>
        </w:rPr>
        <w:t xml:space="preserve"> reclasifica a feminicidio (la pena es mucho más alta) en la etapa de la acusación</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en este sentido</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lo deja en estado en </w:t>
      </w:r>
      <w:r w:rsidR="007E3E90">
        <w:rPr>
          <w:rFonts w:ascii="Arial" w:hAnsi="Arial" w:cs="Arial"/>
          <w:color w:val="000000"/>
          <w:sz w:val="24"/>
          <w:szCs w:val="24"/>
          <w:lang w:val="es-MX"/>
        </w:rPr>
        <w:t>in</w:t>
      </w:r>
      <w:r w:rsidRPr="00433F7F">
        <w:rPr>
          <w:rFonts w:ascii="Arial" w:hAnsi="Arial" w:cs="Arial"/>
          <w:color w:val="000000"/>
          <w:sz w:val="24"/>
          <w:szCs w:val="24"/>
          <w:lang w:val="es-MX"/>
        </w:rPr>
        <w:t>defensión</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porque ya se cerró la investigación complementaria. No podrá acreditarse</w:t>
      </w:r>
      <w:r w:rsidR="00433F7F" w:rsidRPr="00433F7F">
        <w:rPr>
          <w:rFonts w:ascii="Arial" w:hAnsi="Arial" w:cs="Arial"/>
          <w:color w:val="000000"/>
          <w:sz w:val="24"/>
          <w:szCs w:val="24"/>
          <w:lang w:val="es-MX"/>
        </w:rPr>
        <w:t xml:space="preserve">, </w:t>
      </w:r>
      <w:r w:rsidRPr="00433F7F">
        <w:rPr>
          <w:rFonts w:ascii="Arial" w:hAnsi="Arial" w:cs="Arial"/>
          <w:color w:val="000000"/>
          <w:sz w:val="24"/>
          <w:szCs w:val="24"/>
          <w:lang w:val="es-MX"/>
        </w:rPr>
        <w:t>posiblemente</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el vínculo de género con la víctima que se requiere. En este caso, la etapa para hacer la reclasificación es muy importante, porque en una auto vinculación, no se causa mayor problema aun causando perjuicio para el imputado, ya sea por el tipo penal o la pena implícita, porque todavía están en etapa de investigación, pero la reclasificación</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ya en la etapa intermedia</w:t>
      </w:r>
      <w:r w:rsidR="00433F7F" w:rsidRPr="00433F7F">
        <w:rPr>
          <w:rFonts w:ascii="Arial" w:hAnsi="Arial" w:cs="Arial"/>
          <w:color w:val="000000"/>
          <w:sz w:val="24"/>
          <w:szCs w:val="24"/>
          <w:lang w:val="es-MX"/>
        </w:rPr>
        <w:t>,</w:t>
      </w:r>
      <w:r w:rsidRPr="00433F7F">
        <w:rPr>
          <w:rFonts w:ascii="Arial" w:hAnsi="Arial" w:cs="Arial"/>
          <w:color w:val="000000"/>
          <w:sz w:val="24"/>
          <w:szCs w:val="24"/>
          <w:lang w:val="es-MX"/>
        </w:rPr>
        <w:t xml:space="preserve"> no se debe exceder el límite de la función del juez para poder reclasificar siempre y cuando no cause agravio al acusado.</w:t>
      </w:r>
    </w:p>
    <w:p w14:paraId="035BFD2E" w14:textId="77777777" w:rsidR="004C7E52" w:rsidRPr="00433F7F" w:rsidRDefault="004C7E52" w:rsidP="00433F7F">
      <w:pPr>
        <w:spacing w:line="360" w:lineRule="auto"/>
        <w:ind w:left="720" w:right="720"/>
        <w:jc w:val="both"/>
        <w:rPr>
          <w:rFonts w:ascii="Arial" w:hAnsi="Arial" w:cs="Arial"/>
          <w:color w:val="000000"/>
          <w:sz w:val="24"/>
          <w:szCs w:val="24"/>
          <w:lang w:val="es-MX"/>
        </w:rPr>
      </w:pPr>
    </w:p>
    <w:p w14:paraId="7B0C7233" w14:textId="29F09E5E" w:rsidR="004C7E52" w:rsidRPr="00433F7F" w:rsidRDefault="0011370F" w:rsidP="0011370F">
      <w:pPr>
        <w:pStyle w:val="Prrafodelista"/>
        <w:spacing w:line="360" w:lineRule="auto"/>
        <w:ind w:right="720"/>
        <w:jc w:val="both"/>
        <w:rPr>
          <w:rFonts w:ascii="Arial" w:hAnsi="Arial" w:cs="Arial"/>
          <w:sz w:val="24"/>
          <w:szCs w:val="24"/>
          <w:lang w:val="es-MX"/>
        </w:rPr>
      </w:pPr>
      <w:r>
        <w:rPr>
          <w:rFonts w:ascii="Arial" w:hAnsi="Arial" w:cs="Arial"/>
          <w:sz w:val="24"/>
          <w:szCs w:val="24"/>
          <w:lang w:val="es-MX"/>
        </w:rPr>
        <w:t xml:space="preserve">e. </w:t>
      </w:r>
      <w:r w:rsidR="004C7E52" w:rsidRPr="00433F7F">
        <w:rPr>
          <w:rFonts w:ascii="Arial" w:hAnsi="Arial" w:cs="Arial"/>
          <w:sz w:val="24"/>
          <w:szCs w:val="24"/>
          <w:lang w:val="es-MX"/>
        </w:rPr>
        <w:t>Material probatorio</w:t>
      </w:r>
      <w:r w:rsidR="009D434C" w:rsidRPr="00433F7F">
        <w:rPr>
          <w:rFonts w:ascii="Arial" w:hAnsi="Arial" w:cs="Arial"/>
          <w:sz w:val="24"/>
          <w:szCs w:val="24"/>
          <w:lang w:val="es-MX"/>
        </w:rPr>
        <w:t xml:space="preserve"> y estándar de prueba</w:t>
      </w:r>
    </w:p>
    <w:p w14:paraId="48A03366" w14:textId="1D672409" w:rsid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La afectación al derecho a la presunción de inocencia también se detecta en el material probatorio considerado nulo. En este sentido, la SCJN se ha </w:t>
      </w:r>
      <w:r w:rsidRPr="00433F7F">
        <w:rPr>
          <w:rFonts w:ascii="Arial" w:hAnsi="Arial" w:cs="Arial"/>
          <w:sz w:val="24"/>
          <w:szCs w:val="24"/>
          <w:lang w:val="es-MX"/>
        </w:rPr>
        <w:lastRenderedPageBreak/>
        <w:t>pronunciado en cuanto a la eficacia de las pruebas en el procedimiento penal y la nulidad debido a casos en que la norma transgredida establezca garantías procesales. La forma en que se practica la diligencia, derechos sustantivos en favor de la persona. Estableció que en virtud de que son pruebas que deben ser anuladas</w:t>
      </w:r>
      <w:r w:rsidR="00433F7F" w:rsidRPr="00433F7F">
        <w:rPr>
          <w:rFonts w:ascii="Arial" w:hAnsi="Arial" w:cs="Arial"/>
          <w:sz w:val="24"/>
          <w:szCs w:val="24"/>
          <w:lang w:val="es-MX"/>
        </w:rPr>
        <w:t>,</w:t>
      </w:r>
      <w:r w:rsidRPr="00433F7F">
        <w:rPr>
          <w:rFonts w:ascii="Arial" w:hAnsi="Arial" w:cs="Arial"/>
          <w:sz w:val="24"/>
          <w:szCs w:val="24"/>
          <w:lang w:val="es-MX"/>
        </w:rPr>
        <w:t xml:space="preserve"> en virtud de su calidad inconstitucional, aunque sea lícitas en sí mismas, debido a que trastoca la presunción de inocencia consideró que </w:t>
      </w:r>
    </w:p>
    <w:p w14:paraId="2785F9FA" w14:textId="6EFFB4A3" w:rsidR="004C7E52" w:rsidRPr="00433F7F" w:rsidRDefault="004C7E52" w:rsidP="00433F7F">
      <w:pPr>
        <w:spacing w:line="360" w:lineRule="auto"/>
        <w:ind w:left="1440" w:right="720"/>
        <w:jc w:val="both"/>
        <w:rPr>
          <w:rFonts w:ascii="Arial" w:hAnsi="Arial" w:cs="Arial"/>
          <w:sz w:val="24"/>
          <w:szCs w:val="24"/>
          <w:lang w:val="es-MX"/>
        </w:rPr>
      </w:pPr>
      <w:r w:rsidRPr="006D15B4">
        <w:rPr>
          <w:rFonts w:ascii="Arial" w:hAnsi="Arial" w:cs="Arial"/>
          <w:sz w:val="24"/>
          <w:szCs w:val="24"/>
          <w:lang w:val="es-MX"/>
        </w:rPr>
        <w:t>nadie puede ser condenado si no se compruebe plenamente el delito que se le imputa y la responsabilidad penal en su comisión, circunstancias que necesariamente implica que las pruebas con las cuales se acrediten tales extremos, deben haber sido obtenidas lícitamente</w:t>
      </w:r>
      <w:r w:rsidRPr="00433F7F">
        <w:rPr>
          <w:rStyle w:val="Refdenotaalpie"/>
          <w:rFonts w:ascii="Arial" w:hAnsi="Arial" w:cs="Arial"/>
          <w:sz w:val="24"/>
          <w:szCs w:val="24"/>
          <w:lang w:val="es-MX"/>
        </w:rPr>
        <w:footnoteReference w:id="46"/>
      </w:r>
    </w:p>
    <w:p w14:paraId="6FD3FB48" w14:textId="18DE2C36" w:rsidR="00433F7F" w:rsidRDefault="004C7E52"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este sentido, cabe mencionar</w:t>
      </w:r>
      <w:r w:rsidR="00433F7F" w:rsidRPr="00433F7F">
        <w:rPr>
          <w:rFonts w:ascii="Arial" w:hAnsi="Arial" w:cs="Arial"/>
          <w:sz w:val="24"/>
          <w:szCs w:val="24"/>
          <w:lang w:val="es-MX"/>
        </w:rPr>
        <w:t>,</w:t>
      </w:r>
      <w:r w:rsidRPr="00433F7F">
        <w:rPr>
          <w:rFonts w:ascii="Arial" w:hAnsi="Arial" w:cs="Arial"/>
          <w:sz w:val="24"/>
          <w:szCs w:val="24"/>
          <w:lang w:val="es-MX"/>
        </w:rPr>
        <w:t xml:space="preserve"> de la interpretación jurídica</w:t>
      </w:r>
      <w:r w:rsidR="00433F7F" w:rsidRPr="00433F7F">
        <w:rPr>
          <w:rFonts w:ascii="Arial" w:hAnsi="Arial" w:cs="Arial"/>
          <w:sz w:val="24"/>
          <w:szCs w:val="24"/>
          <w:lang w:val="es-MX"/>
        </w:rPr>
        <w:t>,</w:t>
      </w:r>
      <w:r w:rsidRPr="00433F7F">
        <w:rPr>
          <w:rFonts w:ascii="Arial" w:hAnsi="Arial" w:cs="Arial"/>
          <w:sz w:val="24"/>
          <w:szCs w:val="24"/>
          <w:lang w:val="es-MX"/>
        </w:rPr>
        <w:t xml:space="preserve"> sobre el principio </w:t>
      </w:r>
      <w:r w:rsidRPr="00433F7F">
        <w:rPr>
          <w:rFonts w:ascii="Arial" w:hAnsi="Arial" w:cs="Arial"/>
          <w:i/>
          <w:iCs/>
          <w:sz w:val="24"/>
          <w:szCs w:val="24"/>
          <w:lang w:val="es-MX"/>
        </w:rPr>
        <w:t xml:space="preserve">In dubio pro reo, </w:t>
      </w:r>
      <w:r w:rsidRPr="00433F7F">
        <w:rPr>
          <w:rFonts w:ascii="Arial" w:hAnsi="Arial" w:cs="Arial"/>
          <w:sz w:val="24"/>
          <w:szCs w:val="24"/>
          <w:lang w:val="es-MX"/>
        </w:rPr>
        <w:t>se considera que dicho principio goza de jerarquía constitucional</w:t>
      </w:r>
      <w:r w:rsidR="00433F7F" w:rsidRPr="00433F7F">
        <w:rPr>
          <w:rFonts w:ascii="Arial" w:hAnsi="Arial" w:cs="Arial"/>
          <w:sz w:val="24"/>
          <w:szCs w:val="24"/>
          <w:lang w:val="es-MX"/>
        </w:rPr>
        <w:t>,</w:t>
      </w:r>
      <w:r w:rsidRPr="00433F7F">
        <w:rPr>
          <w:rFonts w:ascii="Arial" w:hAnsi="Arial" w:cs="Arial"/>
          <w:sz w:val="24"/>
          <w:szCs w:val="24"/>
          <w:lang w:val="es-MX"/>
        </w:rPr>
        <w:t xml:space="preserve"> una regla implícita de la presunción de inocencia</w:t>
      </w:r>
      <w:r w:rsidR="00433F7F" w:rsidRPr="00433F7F">
        <w:rPr>
          <w:rFonts w:ascii="Arial" w:hAnsi="Arial" w:cs="Arial"/>
          <w:sz w:val="24"/>
          <w:szCs w:val="24"/>
          <w:lang w:val="es-MX"/>
        </w:rPr>
        <w:t>,</w:t>
      </w:r>
      <w:r w:rsidRPr="00433F7F">
        <w:rPr>
          <w:rFonts w:ascii="Arial" w:hAnsi="Arial" w:cs="Arial"/>
          <w:i/>
          <w:iCs/>
          <w:sz w:val="24"/>
          <w:szCs w:val="24"/>
          <w:lang w:val="es-MX"/>
        </w:rPr>
        <w:t xml:space="preserve"> </w:t>
      </w:r>
      <w:r w:rsidRPr="00433F7F">
        <w:rPr>
          <w:rFonts w:ascii="Arial" w:hAnsi="Arial" w:cs="Arial"/>
          <w:sz w:val="24"/>
          <w:szCs w:val="24"/>
          <w:lang w:val="es-MX"/>
        </w:rPr>
        <w:t xml:space="preserve">cuenta con una estrecha relación con el principio de presunción de </w:t>
      </w:r>
      <w:r w:rsidRPr="00433F7F">
        <w:rPr>
          <w:rFonts w:ascii="Arial" w:hAnsi="Arial" w:cs="Arial"/>
          <w:sz w:val="24"/>
          <w:szCs w:val="24"/>
          <w:lang w:val="es-MX"/>
        </w:rPr>
        <w:lastRenderedPageBreak/>
        <w:t xml:space="preserve">inocencia, sin embargo, la SCJN ha expresado que no debe de ser interpretado en clave psicológica </w:t>
      </w:r>
    </w:p>
    <w:p w14:paraId="59D3B194" w14:textId="714F2E83" w:rsidR="004C7E52" w:rsidRPr="00433F7F" w:rsidRDefault="004C7E52" w:rsidP="00433F7F">
      <w:pPr>
        <w:spacing w:line="360" w:lineRule="auto"/>
        <w:ind w:left="1440" w:right="720"/>
        <w:jc w:val="both"/>
        <w:rPr>
          <w:rFonts w:ascii="Arial" w:eastAsia="Times New Roman" w:hAnsi="Arial" w:cs="Arial"/>
          <w:color w:val="000000"/>
          <w:sz w:val="24"/>
          <w:szCs w:val="24"/>
          <w:lang w:val="es-MX"/>
        </w:rPr>
      </w:pPr>
      <w:r w:rsidRPr="006D15B4">
        <w:rPr>
          <w:rFonts w:ascii="Arial" w:eastAsia="Times New Roman" w:hAnsi="Arial" w:cs="Arial"/>
          <w:color w:val="000000"/>
          <w:sz w:val="24"/>
          <w:szCs w:val="24"/>
          <w:lang w:val="es-MX"/>
        </w:rPr>
        <w:t>es decir, como la "falta de convicción" o la "indeterminación del ánimo o del pensamiento" del juez, toda vez que sería una interpretación contraria a un entendimiento garantista de la </w:t>
      </w:r>
      <w:r w:rsidRPr="006D15B4">
        <w:rPr>
          <w:rFonts w:ascii="Arial" w:hAnsi="Arial" w:cs="Arial"/>
          <w:color w:val="000000"/>
          <w:sz w:val="24"/>
          <w:szCs w:val="24"/>
          <w:lang w:val="es-MX"/>
        </w:rPr>
        <w:t>presunción de inocencia</w:t>
      </w:r>
      <w:r w:rsidRPr="006D15B4">
        <w:rPr>
          <w:rFonts w:ascii="Arial" w:eastAsia="Times New Roman" w:hAnsi="Arial" w:cs="Arial"/>
          <w:color w:val="000000"/>
          <w:sz w:val="24"/>
          <w:szCs w:val="24"/>
          <w:lang w:val="es-MX"/>
        </w:rPr>
        <w:t>. En efecto, asumir que la "duda" hace referencia al "estado psicológico" que las pruebas practicadas en el proceso pueden suscitar en el juez es algo propio de las concepciones que utilizan la idea de "íntima convicción" como estándar de prueba</w:t>
      </w:r>
      <w:r w:rsidRPr="00433F7F">
        <w:rPr>
          <w:rFonts w:ascii="Arial" w:eastAsia="Times New Roman" w:hAnsi="Arial" w:cs="Arial"/>
          <w:i/>
          <w:iCs/>
          <w:color w:val="000000"/>
          <w:sz w:val="24"/>
          <w:szCs w:val="24"/>
          <w:lang w:val="es-MX"/>
        </w:rPr>
        <w:t>.</w:t>
      </w:r>
      <w:r w:rsidRPr="00433F7F">
        <w:rPr>
          <w:rStyle w:val="Refdenotaalpie"/>
          <w:rFonts w:ascii="Arial" w:hAnsi="Arial" w:cs="Arial"/>
          <w:sz w:val="24"/>
          <w:szCs w:val="24"/>
          <w:lang w:val="es-MX"/>
        </w:rPr>
        <w:footnoteReference w:id="47"/>
      </w:r>
      <w:r w:rsidRPr="00433F7F">
        <w:rPr>
          <w:rFonts w:ascii="Arial" w:eastAsia="Times New Roman" w:hAnsi="Arial" w:cs="Arial"/>
          <w:color w:val="000000"/>
          <w:sz w:val="24"/>
          <w:szCs w:val="24"/>
          <w:lang w:val="es-MX"/>
        </w:rPr>
        <w:t xml:space="preserve"> </w:t>
      </w:r>
    </w:p>
    <w:p w14:paraId="295058BA" w14:textId="4622065B" w:rsidR="004C7E52" w:rsidRPr="00433F7F" w:rsidRDefault="004C7E52"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Es necesario destacar que la Corte interpreta que se trata de concepciones subjetivistas y eso impide establecer objetivamente cuándo existe evidencia suficiente para tener por acreditada una hipótesis probatoria y que, aunado a ello, se traducen en incompatibles con los principios que rigen la valoración racional de las pruebas.</w:t>
      </w:r>
      <w:r w:rsidRPr="00433F7F">
        <w:rPr>
          <w:rFonts w:ascii="Arial" w:eastAsia="Times New Roman" w:hAnsi="Arial" w:cs="Arial"/>
          <w:i/>
          <w:iCs/>
          <w:color w:val="000000"/>
          <w:sz w:val="24"/>
          <w:szCs w:val="24"/>
          <w:lang w:val="es-MX"/>
        </w:rPr>
        <w:t xml:space="preserve"> </w:t>
      </w:r>
      <w:r w:rsidRPr="00433F7F">
        <w:rPr>
          <w:rFonts w:ascii="Arial" w:eastAsia="Times New Roman" w:hAnsi="Arial" w:cs="Arial"/>
          <w:color w:val="000000"/>
          <w:sz w:val="24"/>
          <w:szCs w:val="24"/>
          <w:lang w:val="es-MX"/>
        </w:rPr>
        <w:t>Determina que</w:t>
      </w:r>
      <w:r w:rsidR="00433F7F" w:rsidRPr="00433F7F">
        <w:rPr>
          <w:rFonts w:ascii="Arial" w:eastAsia="Times New Roman" w:hAnsi="Arial" w:cs="Arial"/>
          <w:color w:val="000000"/>
          <w:sz w:val="24"/>
          <w:szCs w:val="24"/>
          <w:lang w:val="es-MX"/>
        </w:rPr>
        <w:t xml:space="preserve"> </w:t>
      </w:r>
      <w:r w:rsidRPr="006D15B4">
        <w:rPr>
          <w:rFonts w:ascii="Arial" w:eastAsia="Times New Roman" w:hAnsi="Arial" w:cs="Arial"/>
          <w:color w:val="000000"/>
          <w:sz w:val="24"/>
          <w:szCs w:val="24"/>
          <w:lang w:val="es-MX"/>
        </w:rPr>
        <w:t>“se abre la puerta a la irracionalidad porque esos estados de convicción pueden emerger en el juzgador sin que haya una conexión entre éstos y la evidencia disponible</w:t>
      </w:r>
      <w:r w:rsidRPr="00433F7F">
        <w:rPr>
          <w:rFonts w:ascii="Arial" w:hAnsi="Arial" w:cs="Arial"/>
          <w:sz w:val="24"/>
          <w:szCs w:val="24"/>
          <w:lang w:val="es-MX"/>
        </w:rPr>
        <w:t>”.</w:t>
      </w:r>
      <w:r w:rsidRPr="00433F7F">
        <w:rPr>
          <w:rStyle w:val="Refdenotaalpie"/>
          <w:rFonts w:ascii="Arial" w:hAnsi="Arial" w:cs="Arial"/>
          <w:sz w:val="24"/>
          <w:szCs w:val="24"/>
          <w:lang w:val="es-MX"/>
        </w:rPr>
        <w:footnoteReference w:id="48"/>
      </w:r>
    </w:p>
    <w:p w14:paraId="14D93BAF" w14:textId="6EC3C4DE" w:rsidR="00433F7F" w:rsidRDefault="004C7E52" w:rsidP="00433F7F">
      <w:pPr>
        <w:spacing w:line="360" w:lineRule="auto"/>
        <w:ind w:left="720" w:right="720"/>
        <w:jc w:val="both"/>
        <w:rPr>
          <w:rFonts w:ascii="Arial" w:hAnsi="Arial" w:cs="Arial"/>
          <w:sz w:val="24"/>
          <w:szCs w:val="24"/>
          <w:lang w:val="es-MX"/>
        </w:rPr>
      </w:pPr>
      <w:r w:rsidRPr="00433F7F">
        <w:rPr>
          <w:rFonts w:ascii="Arial" w:eastAsia="Times New Roman" w:hAnsi="Arial" w:cs="Arial"/>
          <w:sz w:val="24"/>
          <w:szCs w:val="24"/>
          <w:lang w:val="es-MX"/>
        </w:rPr>
        <w:t xml:space="preserve">Por último, quiero </w:t>
      </w:r>
      <w:r w:rsidR="00F855EB">
        <w:rPr>
          <w:rFonts w:ascii="Arial" w:eastAsia="Times New Roman" w:hAnsi="Arial" w:cs="Arial"/>
          <w:sz w:val="24"/>
          <w:szCs w:val="24"/>
          <w:lang w:val="es-MX"/>
        </w:rPr>
        <w:t xml:space="preserve">agregar que, sobre </w:t>
      </w:r>
      <w:r w:rsidRPr="00433F7F">
        <w:rPr>
          <w:rFonts w:ascii="Arial" w:eastAsia="Times New Roman" w:hAnsi="Arial" w:cs="Arial"/>
          <w:sz w:val="24"/>
          <w:szCs w:val="24"/>
          <w:lang w:val="es-MX"/>
        </w:rPr>
        <w:t xml:space="preserve">la interpretación hecha sobre el vínculo entre presunción de inocencia y duda razonable para </w:t>
      </w:r>
      <w:r w:rsidRPr="00433F7F">
        <w:rPr>
          <w:rFonts w:ascii="Arial" w:hAnsi="Arial" w:cs="Arial"/>
          <w:sz w:val="24"/>
          <w:szCs w:val="24"/>
          <w:lang w:val="es-MX"/>
        </w:rPr>
        <w:t xml:space="preserve">valor al </w:t>
      </w:r>
      <w:r w:rsidRPr="00433F7F">
        <w:rPr>
          <w:rFonts w:ascii="Arial" w:hAnsi="Arial" w:cs="Arial"/>
          <w:sz w:val="24"/>
          <w:szCs w:val="24"/>
          <w:lang w:val="es-MX"/>
        </w:rPr>
        <w:lastRenderedPageBreak/>
        <w:t>material probatorio y satisfacer el estándar de prueba para condenar cuando coexisten pruebas de cargo y de descargo</w:t>
      </w:r>
      <w:r w:rsidR="00433F7F" w:rsidRPr="00433F7F">
        <w:rPr>
          <w:rFonts w:ascii="Arial" w:hAnsi="Arial" w:cs="Arial"/>
          <w:sz w:val="24"/>
          <w:szCs w:val="24"/>
          <w:lang w:val="es-MX"/>
        </w:rPr>
        <w:t>. L</w:t>
      </w:r>
      <w:r w:rsidRPr="00433F7F">
        <w:rPr>
          <w:rFonts w:ascii="Arial" w:hAnsi="Arial" w:cs="Arial"/>
          <w:sz w:val="24"/>
          <w:szCs w:val="24"/>
          <w:lang w:val="es-MX"/>
        </w:rPr>
        <w:t>a SCJN interpretó que</w:t>
      </w:r>
    </w:p>
    <w:p w14:paraId="0A68A8DF" w14:textId="466E7783" w:rsidR="004C7E52" w:rsidRPr="00433F7F" w:rsidRDefault="004C7E52" w:rsidP="00433F7F">
      <w:pPr>
        <w:spacing w:line="360" w:lineRule="auto"/>
        <w:ind w:left="1440" w:right="720"/>
        <w:jc w:val="both"/>
        <w:rPr>
          <w:rFonts w:ascii="Arial" w:eastAsia="Times New Roman" w:hAnsi="Arial" w:cs="Arial"/>
          <w:color w:val="000000"/>
          <w:sz w:val="24"/>
          <w:szCs w:val="24"/>
          <w:lang w:val="es-MX"/>
        </w:rPr>
      </w:pPr>
      <w:r w:rsidRPr="006D15B4">
        <w:rPr>
          <w:rFonts w:ascii="Arial" w:eastAsia="Times New Roman" w:hAnsi="Arial" w:cs="Arial"/>
          <w:color w:val="000000"/>
          <w:sz w:val="24"/>
          <w:szCs w:val="24"/>
          <w:lang w:val="es-MX"/>
        </w:rPr>
        <w:t>cuando en un proceso penal coexisten tanto pruebas de cargo como de descargo, la hipótesis de culpabilidad formulada por el Ministerio Público sólo puede estar probada suficientemente si al momento de valorar el material probatorio se analizan conjuntamente los niveles de corroboración tanto de la hipótesis de culpabilidad como de la hipótesis de inocencia alegada por la defensa. Así, no puede restarse valor probatorio a las pruebas de descargo simplemente con el argumento de que ya existen pruebas de cargo suficientes para condenar.</w:t>
      </w:r>
      <w:r w:rsidRPr="00433F7F">
        <w:rPr>
          <w:rStyle w:val="Refdenotaalpie"/>
          <w:rFonts w:ascii="Arial" w:hAnsi="Arial" w:cs="Arial"/>
          <w:sz w:val="24"/>
          <w:szCs w:val="24"/>
          <w:lang w:val="es-MX"/>
        </w:rPr>
        <w:t xml:space="preserve"> </w:t>
      </w:r>
      <w:r w:rsidRPr="00433F7F">
        <w:rPr>
          <w:rStyle w:val="Refdenotaalpie"/>
          <w:rFonts w:ascii="Arial" w:hAnsi="Arial" w:cs="Arial"/>
          <w:sz w:val="24"/>
          <w:szCs w:val="24"/>
          <w:lang w:val="es-MX"/>
        </w:rPr>
        <w:footnoteReference w:id="49"/>
      </w:r>
      <w:r w:rsidRPr="00433F7F">
        <w:rPr>
          <w:rFonts w:ascii="Arial" w:eastAsia="Times New Roman" w:hAnsi="Arial" w:cs="Arial"/>
          <w:color w:val="000000"/>
          <w:sz w:val="24"/>
          <w:szCs w:val="24"/>
          <w:lang w:val="es-MX"/>
        </w:rPr>
        <w:t xml:space="preserve"> </w:t>
      </w:r>
    </w:p>
    <w:p w14:paraId="6C23298F" w14:textId="7AE0C454" w:rsidR="004C7E52" w:rsidRPr="00433F7F" w:rsidRDefault="004C7E52" w:rsidP="00433F7F">
      <w:pPr>
        <w:spacing w:line="360" w:lineRule="auto"/>
        <w:ind w:left="720" w:right="720"/>
        <w:jc w:val="both"/>
        <w:rPr>
          <w:rFonts w:ascii="Arial" w:eastAsia="Times New Roman" w:hAnsi="Arial" w:cs="Arial"/>
          <w:color w:val="000000"/>
          <w:sz w:val="24"/>
          <w:szCs w:val="24"/>
          <w:lang w:val="es-MX"/>
        </w:rPr>
      </w:pPr>
      <w:r w:rsidRPr="00433F7F">
        <w:rPr>
          <w:rFonts w:ascii="Arial" w:eastAsia="Times New Roman" w:hAnsi="Arial" w:cs="Arial"/>
          <w:color w:val="000000"/>
          <w:sz w:val="24"/>
          <w:szCs w:val="24"/>
          <w:lang w:val="es-MX"/>
        </w:rPr>
        <w:t>En cuanto a la suficiencia de las pruebas de cargo, la SCJN</w:t>
      </w:r>
      <w:r w:rsidR="00433F7F" w:rsidRPr="00433F7F">
        <w:rPr>
          <w:rFonts w:ascii="Arial" w:eastAsia="Times New Roman" w:hAnsi="Arial" w:cs="Arial"/>
          <w:color w:val="000000"/>
          <w:sz w:val="24"/>
          <w:szCs w:val="24"/>
          <w:lang w:val="es-MX"/>
        </w:rPr>
        <w:t xml:space="preserve"> determinó</w:t>
      </w:r>
      <w:r w:rsidRPr="00433F7F">
        <w:rPr>
          <w:rFonts w:ascii="Arial" w:eastAsia="Times New Roman" w:hAnsi="Arial" w:cs="Arial"/>
          <w:color w:val="000000"/>
          <w:sz w:val="24"/>
          <w:szCs w:val="24"/>
          <w:lang w:val="es-MX"/>
        </w:rPr>
        <w:t xml:space="preserve"> que únicamente se puede establecer en confrontación con las pruebas de descargo</w:t>
      </w:r>
      <w:r w:rsidR="00433F7F" w:rsidRPr="00433F7F">
        <w:rPr>
          <w:rFonts w:ascii="Arial" w:eastAsia="Times New Roman" w:hAnsi="Arial" w:cs="Arial"/>
          <w:color w:val="000000"/>
          <w:sz w:val="24"/>
          <w:szCs w:val="24"/>
          <w:lang w:val="es-MX"/>
        </w:rPr>
        <w:t xml:space="preserve"> e</w:t>
      </w:r>
      <w:r w:rsidRPr="00433F7F">
        <w:rPr>
          <w:rFonts w:ascii="Arial" w:eastAsia="Times New Roman" w:hAnsi="Arial" w:cs="Arial"/>
          <w:color w:val="000000"/>
          <w:sz w:val="24"/>
          <w:szCs w:val="24"/>
          <w:lang w:val="es-MX"/>
        </w:rPr>
        <w:t xml:space="preserve"> interpretó que </w:t>
      </w:r>
      <w:r w:rsidRPr="00F855EB">
        <w:rPr>
          <w:rFonts w:ascii="Arial" w:eastAsia="Times New Roman" w:hAnsi="Arial" w:cs="Arial"/>
          <w:color w:val="000000"/>
          <w:sz w:val="24"/>
          <w:szCs w:val="24"/>
          <w:lang w:val="es-MX"/>
        </w:rPr>
        <w:t>“las</w:t>
      </w:r>
      <w:r w:rsidRPr="003641C8">
        <w:rPr>
          <w:rFonts w:ascii="Arial" w:eastAsia="Times New Roman" w:hAnsi="Arial" w:cs="Arial"/>
          <w:color w:val="000000"/>
          <w:sz w:val="24"/>
          <w:szCs w:val="24"/>
          <w:lang w:val="es-MX"/>
        </w:rPr>
        <w:t xml:space="preserve"> pruebas de descargo pueden dar lugar a una duda razonable tanto cuando cuestionen la fiabilidad de las pruebas de cargo, como en el supuesto en que la hipótesis de inocencia efectivamente alegada por la defensa esté corroborada por esos elementos </w:t>
      </w:r>
      <w:r w:rsidRPr="003641C8">
        <w:rPr>
          <w:rFonts w:ascii="Arial" w:eastAsia="Times New Roman" w:hAnsi="Arial" w:cs="Arial"/>
          <w:color w:val="000000"/>
          <w:sz w:val="24"/>
          <w:szCs w:val="24"/>
          <w:lang w:val="es-MX"/>
        </w:rPr>
        <w:lastRenderedPageBreak/>
        <w:t>exculpatorios</w:t>
      </w:r>
      <w:r w:rsidR="00F855EB">
        <w:rPr>
          <w:rFonts w:ascii="Arial" w:eastAsia="Times New Roman" w:hAnsi="Arial" w:cs="Arial"/>
          <w:color w:val="000000"/>
          <w:sz w:val="24"/>
          <w:szCs w:val="24"/>
          <w:lang w:val="es-MX"/>
        </w:rPr>
        <w:t>”</w:t>
      </w:r>
      <w:r w:rsidRPr="003641C8">
        <w:rPr>
          <w:rFonts w:ascii="Arial" w:eastAsia="Times New Roman" w:hAnsi="Arial" w:cs="Arial"/>
          <w:color w:val="000000"/>
          <w:sz w:val="24"/>
          <w:szCs w:val="24"/>
          <w:lang w:val="es-MX"/>
        </w:rPr>
        <w:t>.</w:t>
      </w:r>
      <w:r w:rsidRPr="00433F7F">
        <w:rPr>
          <w:rStyle w:val="Refdenotaalpie"/>
          <w:rFonts w:ascii="Arial" w:hAnsi="Arial" w:cs="Arial"/>
          <w:sz w:val="24"/>
          <w:szCs w:val="24"/>
          <w:lang w:val="es-MX"/>
        </w:rPr>
        <w:t xml:space="preserve"> </w:t>
      </w:r>
      <w:r w:rsidRPr="00433F7F">
        <w:rPr>
          <w:rStyle w:val="Refdenotaalpie"/>
          <w:rFonts w:ascii="Arial" w:hAnsi="Arial" w:cs="Arial"/>
          <w:sz w:val="24"/>
          <w:szCs w:val="24"/>
          <w:lang w:val="es-MX"/>
        </w:rPr>
        <w:footnoteReference w:id="50"/>
      </w:r>
      <w:r w:rsidRPr="003641C8">
        <w:rPr>
          <w:rFonts w:ascii="Arial" w:eastAsia="Times New Roman" w:hAnsi="Arial" w:cs="Arial"/>
          <w:color w:val="000000"/>
          <w:sz w:val="24"/>
          <w:szCs w:val="24"/>
          <w:lang w:val="es-MX"/>
        </w:rPr>
        <w:t xml:space="preserve"> </w:t>
      </w:r>
      <w:r w:rsidRPr="00433F7F">
        <w:rPr>
          <w:rFonts w:ascii="Arial" w:eastAsia="Times New Roman" w:hAnsi="Arial" w:cs="Arial"/>
          <w:color w:val="000000"/>
          <w:sz w:val="24"/>
          <w:szCs w:val="24"/>
          <w:lang w:val="es-MX"/>
        </w:rPr>
        <w:t>En mi opinión, acertadamente se interpretó que,</w:t>
      </w:r>
      <w:r w:rsidRPr="003641C8">
        <w:rPr>
          <w:rFonts w:ascii="Arial" w:eastAsia="Times New Roman" w:hAnsi="Arial" w:cs="Arial"/>
          <w:color w:val="000000"/>
          <w:sz w:val="24"/>
          <w:szCs w:val="24"/>
          <w:lang w:val="es-MX"/>
        </w:rPr>
        <w:t xml:space="preserve"> “la actualización de una duda razonable por cualquiera de estas dos razones impide considerar que las pruebas de cargo son suficientes para condenar</w:t>
      </w:r>
      <w:r w:rsidRPr="00433F7F">
        <w:rPr>
          <w:rFonts w:ascii="Arial" w:hAnsi="Arial" w:cs="Arial"/>
          <w:sz w:val="24"/>
          <w:szCs w:val="24"/>
          <w:lang w:val="es-MX"/>
        </w:rPr>
        <w:t>”.</w:t>
      </w:r>
      <w:r w:rsidRPr="00433F7F">
        <w:rPr>
          <w:rStyle w:val="Refdenotaalpie"/>
          <w:rFonts w:ascii="Arial" w:hAnsi="Arial" w:cs="Arial"/>
          <w:sz w:val="24"/>
          <w:szCs w:val="24"/>
          <w:lang w:val="es-MX"/>
        </w:rPr>
        <w:footnoteReference w:id="51"/>
      </w:r>
    </w:p>
    <w:p w14:paraId="566C1AED" w14:textId="51FE13F0" w:rsidR="00C97199" w:rsidRPr="00433F7F" w:rsidRDefault="00A60C2E"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lang w:val="es-MX"/>
        </w:rPr>
        <w:t>También</w:t>
      </w:r>
      <w:r w:rsidR="00433F7F" w:rsidRPr="00433F7F">
        <w:rPr>
          <w:rFonts w:ascii="Arial" w:hAnsi="Arial" w:cs="Arial"/>
          <w:lang w:val="es-MX"/>
        </w:rPr>
        <w:t xml:space="preserve">, </w:t>
      </w:r>
      <w:r w:rsidRPr="00433F7F">
        <w:rPr>
          <w:rFonts w:ascii="Arial" w:hAnsi="Arial" w:cs="Arial"/>
          <w:lang w:val="es-MX"/>
        </w:rPr>
        <w:t>en este sentido, la Co</w:t>
      </w:r>
      <w:r w:rsidR="00C479BF" w:rsidRPr="00433F7F">
        <w:rPr>
          <w:rFonts w:ascii="Arial" w:hAnsi="Arial" w:cs="Arial"/>
          <w:lang w:val="es-MX"/>
        </w:rPr>
        <w:t>rte I</w:t>
      </w:r>
      <w:r w:rsidRPr="00433F7F">
        <w:rPr>
          <w:rFonts w:ascii="Arial" w:hAnsi="Arial" w:cs="Arial"/>
          <w:lang w:val="es-MX"/>
        </w:rPr>
        <w:t xml:space="preserve">DH, </w:t>
      </w:r>
      <w:r w:rsidR="00433F7F" w:rsidRPr="00433F7F">
        <w:rPr>
          <w:rFonts w:ascii="Arial" w:hAnsi="Arial" w:cs="Arial"/>
          <w:color w:val="000000"/>
          <w:lang w:val="es-MX"/>
        </w:rPr>
        <w:t xml:space="preserve">señaló </w:t>
      </w:r>
      <w:r w:rsidRPr="00433F7F">
        <w:rPr>
          <w:rFonts w:ascii="Arial" w:hAnsi="Arial" w:cs="Arial"/>
          <w:lang w:val="es-MX"/>
        </w:rPr>
        <w:t>e</w:t>
      </w:r>
      <w:r w:rsidR="00C97199" w:rsidRPr="00433F7F">
        <w:rPr>
          <w:rFonts w:ascii="Arial" w:hAnsi="Arial" w:cs="Arial"/>
          <w:lang w:val="es-MX"/>
        </w:rPr>
        <w:t>n e</w:t>
      </w:r>
      <w:r w:rsidRPr="00433F7F">
        <w:rPr>
          <w:rFonts w:ascii="Arial" w:hAnsi="Arial" w:cs="Arial"/>
          <w:lang w:val="es-MX"/>
        </w:rPr>
        <w:t xml:space="preserve">l caso Cabrera </w:t>
      </w:r>
      <w:r w:rsidR="00C97199" w:rsidRPr="00433F7F">
        <w:rPr>
          <w:rFonts w:ascii="Arial" w:hAnsi="Arial" w:cs="Arial"/>
          <w:color w:val="000000"/>
          <w:lang w:val="es-MX"/>
        </w:rPr>
        <w:t xml:space="preserve">que el principio de presunción de inocencia </w:t>
      </w:r>
      <w:r w:rsidR="00F855EB" w:rsidRPr="00433F7F">
        <w:rPr>
          <w:rFonts w:ascii="Arial" w:hAnsi="Arial" w:cs="Arial"/>
          <w:color w:val="000000"/>
          <w:lang w:val="es-MX"/>
        </w:rPr>
        <w:t>constituye un</w:t>
      </w:r>
      <w:r w:rsidR="00C97199" w:rsidRPr="00433F7F">
        <w:rPr>
          <w:rFonts w:ascii="Arial" w:hAnsi="Arial" w:cs="Arial"/>
          <w:color w:val="000000"/>
          <w:lang w:val="es-MX"/>
        </w:rPr>
        <w:t xml:space="preserve"> fundamento de las garantías judiciales. Y que la presunción de inocencia implica  que el acusado no debe demostrar que no ha cometido el delito que se le  atribuye, ya que el </w:t>
      </w:r>
      <w:r w:rsidR="00C97199" w:rsidRPr="00433F7F">
        <w:rPr>
          <w:rStyle w:val="nfasis"/>
          <w:rFonts w:ascii="Arial" w:hAnsi="Arial" w:cs="Arial"/>
          <w:color w:val="000000"/>
          <w:lang w:val="es-MX"/>
        </w:rPr>
        <w:t>onus probando</w:t>
      </w:r>
      <w:r w:rsidR="00C97199" w:rsidRPr="00433F7F">
        <w:rPr>
          <w:rFonts w:ascii="Arial" w:hAnsi="Arial" w:cs="Arial"/>
          <w:color w:val="000000"/>
          <w:lang w:val="es-MX"/>
        </w:rPr>
        <w:t> corresponde a quien acusa. Y que, la demostración fehaciente de la culpabilidad constituye un requisito indispensable para la sanción penal, de modo que la carga de la prueba recae en la parte acusadora y no en el acusado</w:t>
      </w:r>
      <w:r w:rsidR="00C97199" w:rsidRPr="00433F7F">
        <w:rPr>
          <w:rStyle w:val="Refdenotaalpie"/>
          <w:rFonts w:ascii="Arial" w:hAnsi="Arial" w:cs="Arial"/>
          <w:color w:val="000000"/>
          <w:lang w:val="es-MX"/>
        </w:rPr>
        <w:footnoteReference w:id="52"/>
      </w:r>
      <w:r w:rsidR="00C97199" w:rsidRPr="00433F7F">
        <w:rPr>
          <w:rFonts w:ascii="Arial" w:hAnsi="Arial" w:cs="Arial"/>
          <w:color w:val="000000"/>
          <w:lang w:val="es-MX"/>
        </w:rPr>
        <w:t>.</w:t>
      </w:r>
    </w:p>
    <w:p w14:paraId="0C51DFFA" w14:textId="77777777" w:rsidR="00C97199" w:rsidRPr="00433F7F" w:rsidRDefault="00C97199"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w:t>
      </w:r>
    </w:p>
    <w:p w14:paraId="3C0A202F" w14:textId="06C4598B" w:rsidR="00C97199" w:rsidRPr="00433F7F" w:rsidRDefault="00C97199"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Asimismo, el mismo Tribunal</w:t>
      </w:r>
      <w:r w:rsidR="00433F7F" w:rsidRPr="00433F7F">
        <w:rPr>
          <w:rFonts w:ascii="Arial" w:hAnsi="Arial" w:cs="Arial"/>
          <w:color w:val="000000"/>
          <w:lang w:val="es-MX"/>
        </w:rPr>
        <w:t>,</w:t>
      </w:r>
      <w:r w:rsidRPr="00433F7F">
        <w:rPr>
          <w:rFonts w:ascii="Arial" w:hAnsi="Arial" w:cs="Arial"/>
          <w:color w:val="000000"/>
          <w:lang w:val="es-MX"/>
        </w:rPr>
        <w:t xml:space="preserve"> sostuvo que tal y como se desprende del artículo 8.2  de la Convención, dicho principio exige que una persona no pueda ser condenada mientras no exista prueba plena de su responsabilidad penal.</w:t>
      </w:r>
      <w:r w:rsidR="00433F7F" w:rsidRPr="00433F7F">
        <w:rPr>
          <w:rFonts w:ascii="Arial" w:hAnsi="Arial" w:cs="Arial"/>
          <w:color w:val="000000"/>
          <w:lang w:val="es-MX"/>
        </w:rPr>
        <w:t xml:space="preserve"> </w:t>
      </w:r>
      <w:r w:rsidRPr="00433F7F">
        <w:rPr>
          <w:rFonts w:ascii="Arial" w:hAnsi="Arial" w:cs="Arial"/>
          <w:color w:val="000000"/>
          <w:lang w:val="es-MX"/>
        </w:rPr>
        <w:t xml:space="preserve">(…) Consideró que ante la falta de prueba plena de la responsabilidad penal en una sentencia condenatoria constituye una violación al principio de presunción de inocencia, el cual es un elemento </w:t>
      </w:r>
      <w:r w:rsidRPr="00433F7F">
        <w:rPr>
          <w:rFonts w:ascii="Arial" w:hAnsi="Arial" w:cs="Arial"/>
          <w:color w:val="000000"/>
          <w:lang w:val="es-MX"/>
        </w:rPr>
        <w:lastRenderedPageBreak/>
        <w:t>esencial para la realización efectiva del derecho a la defensa y acompaña al acusado durante toda la tramitación del proceso hasta que una sentencia condenatoria que determine su culpabilidad quede firme. (…)</w:t>
      </w:r>
      <w:r w:rsidRPr="00433F7F">
        <w:rPr>
          <w:rStyle w:val="Refdenotaalpie"/>
          <w:rFonts w:ascii="Arial" w:hAnsi="Arial" w:cs="Arial"/>
          <w:color w:val="000000"/>
          <w:lang w:val="es-MX"/>
        </w:rPr>
        <w:footnoteReference w:id="53"/>
      </w:r>
    </w:p>
    <w:p w14:paraId="6B8184E9" w14:textId="77777777" w:rsidR="00C97199" w:rsidRPr="00433F7F" w:rsidRDefault="00C97199"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w:t>
      </w:r>
    </w:p>
    <w:p w14:paraId="62D4D6AE" w14:textId="46FC8AA0" w:rsidR="00C97199" w:rsidRPr="00433F7F" w:rsidRDefault="00C97199"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La Corte observó que no encuentra</w:t>
      </w:r>
      <w:r w:rsidR="004210EF">
        <w:rPr>
          <w:rFonts w:ascii="Arial" w:hAnsi="Arial" w:cs="Arial"/>
          <w:color w:val="000000"/>
          <w:lang w:val="es-MX"/>
        </w:rPr>
        <w:t>ba</w:t>
      </w:r>
      <w:r w:rsidRPr="00433F7F">
        <w:rPr>
          <w:rFonts w:ascii="Arial" w:hAnsi="Arial" w:cs="Arial"/>
          <w:color w:val="000000"/>
          <w:lang w:val="es-MX"/>
        </w:rPr>
        <w:t xml:space="preserve"> prueba suficiente para considerar que a las  víctimas se les haya tratado como culpables. En efecto, a pesar de que se les asoció con una situación de flagrancia, en términos generales, las instancias judiciales internas actuaron respecto a ellos como si fuesen personas cuya responsabilidad penal estaba aún pendiente de determinación clara y suficiente.  Por ello, esta Corte estimó que no se</w:t>
      </w:r>
      <w:r w:rsidR="00C479BF" w:rsidRPr="00433F7F">
        <w:rPr>
          <w:rFonts w:ascii="Arial" w:hAnsi="Arial" w:cs="Arial"/>
          <w:color w:val="000000"/>
          <w:lang w:val="es-MX"/>
        </w:rPr>
        <w:t xml:space="preserve"> comprobó</w:t>
      </w:r>
      <w:r w:rsidRPr="00433F7F">
        <w:rPr>
          <w:rFonts w:ascii="Arial" w:hAnsi="Arial" w:cs="Arial"/>
          <w:color w:val="000000"/>
          <w:lang w:val="es-MX"/>
        </w:rPr>
        <w:t xml:space="preserve"> que el Estado violó el artículo 8.2 de la Convención, en perjuicio de las víctimas, en relación con el juicio seguido en su contra</w:t>
      </w:r>
      <w:r w:rsidRPr="00433F7F">
        <w:rPr>
          <w:rStyle w:val="Refdenotaalpie"/>
          <w:rFonts w:ascii="Arial" w:hAnsi="Arial" w:cs="Arial"/>
          <w:color w:val="000000"/>
          <w:lang w:val="es-MX"/>
        </w:rPr>
        <w:footnoteReference w:id="54"/>
      </w:r>
      <w:r w:rsidRPr="00433F7F">
        <w:rPr>
          <w:rFonts w:ascii="Arial" w:hAnsi="Arial" w:cs="Arial"/>
          <w:color w:val="000000"/>
          <w:lang w:val="es-MX"/>
        </w:rPr>
        <w:t>.</w:t>
      </w:r>
    </w:p>
    <w:p w14:paraId="7CB741FF" w14:textId="6DDA699F" w:rsidR="00C90B61" w:rsidRPr="00433F7F" w:rsidRDefault="00C90B61" w:rsidP="00433F7F">
      <w:pPr>
        <w:spacing w:line="360" w:lineRule="auto"/>
        <w:ind w:left="720" w:right="720"/>
        <w:rPr>
          <w:rFonts w:ascii="Arial" w:hAnsi="Arial" w:cs="Arial"/>
          <w:b/>
          <w:sz w:val="24"/>
          <w:szCs w:val="24"/>
          <w:lang w:val="es-MX"/>
        </w:rPr>
      </w:pPr>
    </w:p>
    <w:p w14:paraId="7D540633" w14:textId="7CD80D5F" w:rsidR="00433F7F" w:rsidRPr="00433F7F" w:rsidRDefault="0037441E"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Por último, quiero </w:t>
      </w:r>
      <w:r w:rsidR="00F855EB">
        <w:rPr>
          <w:rFonts w:ascii="Arial" w:hAnsi="Arial" w:cs="Arial"/>
          <w:sz w:val="24"/>
          <w:szCs w:val="24"/>
          <w:lang w:val="es-MX"/>
        </w:rPr>
        <w:t>poner de relieve</w:t>
      </w:r>
      <w:r w:rsidRPr="00433F7F">
        <w:rPr>
          <w:rFonts w:ascii="Arial" w:hAnsi="Arial" w:cs="Arial"/>
          <w:sz w:val="24"/>
          <w:szCs w:val="24"/>
          <w:lang w:val="es-MX"/>
        </w:rPr>
        <w:t xml:space="preserve"> el caso Zegarra Marín vs. Perú,</w:t>
      </w:r>
      <w:r w:rsidRPr="00433F7F">
        <w:rPr>
          <w:rFonts w:ascii="Arial" w:hAnsi="Arial" w:cs="Arial"/>
          <w:b/>
          <w:sz w:val="24"/>
          <w:szCs w:val="24"/>
          <w:lang w:val="es-MX"/>
        </w:rPr>
        <w:t xml:space="preserve"> </w:t>
      </w:r>
      <w:r w:rsidRPr="003641C8">
        <w:rPr>
          <w:rFonts w:ascii="Arial" w:hAnsi="Arial" w:cs="Arial"/>
          <w:sz w:val="24"/>
          <w:szCs w:val="24"/>
          <w:lang w:val="es-MX"/>
        </w:rPr>
        <w:t>la Corte I</w:t>
      </w:r>
      <w:r w:rsidR="0011370F">
        <w:rPr>
          <w:rFonts w:ascii="Arial" w:hAnsi="Arial" w:cs="Arial"/>
          <w:sz w:val="24"/>
          <w:szCs w:val="24"/>
          <w:lang w:val="es-MX"/>
        </w:rPr>
        <w:t>DH</w:t>
      </w:r>
      <w:r w:rsidRPr="003641C8">
        <w:rPr>
          <w:rFonts w:ascii="Arial" w:hAnsi="Arial" w:cs="Arial"/>
          <w:sz w:val="24"/>
          <w:szCs w:val="24"/>
          <w:lang w:val="es-MX"/>
        </w:rPr>
        <w:t xml:space="preserve"> reiteró que la presunción de inocencia es un eje rector en el juicio y un estándar fundamental en la apreciación probatoria que establece límites a la subjetividad y discrecionalidad de la actividad judicial. </w:t>
      </w:r>
      <w:r w:rsidR="00C479BF" w:rsidRPr="003641C8">
        <w:rPr>
          <w:rFonts w:ascii="Arial" w:hAnsi="Arial" w:cs="Arial"/>
          <w:sz w:val="24"/>
          <w:szCs w:val="24"/>
          <w:lang w:val="es-MX"/>
        </w:rPr>
        <w:t>Apuntó</w:t>
      </w:r>
      <w:r w:rsidRPr="003641C8">
        <w:rPr>
          <w:rFonts w:ascii="Arial" w:hAnsi="Arial" w:cs="Arial"/>
          <w:sz w:val="24"/>
          <w:szCs w:val="24"/>
          <w:lang w:val="es-MX"/>
        </w:rPr>
        <w:t xml:space="preserve"> que</w:t>
      </w:r>
      <w:r w:rsidR="00433F7F" w:rsidRPr="00433F7F">
        <w:rPr>
          <w:rFonts w:ascii="Arial" w:hAnsi="Arial" w:cs="Arial"/>
          <w:sz w:val="24"/>
          <w:szCs w:val="24"/>
          <w:lang w:val="es-MX"/>
        </w:rPr>
        <w:t>,</w:t>
      </w:r>
      <w:r w:rsidRPr="003641C8">
        <w:rPr>
          <w:rFonts w:ascii="Arial" w:hAnsi="Arial" w:cs="Arial"/>
          <w:sz w:val="24"/>
          <w:szCs w:val="24"/>
          <w:lang w:val="es-MX"/>
        </w:rPr>
        <w:t xml:space="preserve"> en procesos penales</w:t>
      </w:r>
      <w:r w:rsidR="00433F7F" w:rsidRPr="00433F7F">
        <w:rPr>
          <w:rFonts w:ascii="Arial" w:hAnsi="Arial" w:cs="Arial"/>
          <w:sz w:val="24"/>
          <w:szCs w:val="24"/>
          <w:lang w:val="es-MX"/>
        </w:rPr>
        <w:t>,</w:t>
      </w:r>
      <w:r w:rsidRPr="003641C8">
        <w:rPr>
          <w:rFonts w:ascii="Arial" w:hAnsi="Arial" w:cs="Arial"/>
          <w:sz w:val="24"/>
          <w:szCs w:val="24"/>
          <w:lang w:val="es-MX"/>
        </w:rPr>
        <w:t xml:space="preserve"> la carga probatoria recae en el Estado. En este caso en particular, en la sentencia condenatoria se señaló expresamente que Zegarra Marín no había llegado a desvirtuar en su totalidad las imputaciones en su contra, invirtiéndose</w:t>
      </w:r>
      <w:r w:rsidR="00433F7F" w:rsidRPr="00433F7F">
        <w:rPr>
          <w:rFonts w:ascii="Arial" w:hAnsi="Arial" w:cs="Arial"/>
          <w:sz w:val="24"/>
          <w:szCs w:val="24"/>
          <w:lang w:val="es-MX"/>
        </w:rPr>
        <w:t>,</w:t>
      </w:r>
      <w:r w:rsidRPr="003641C8">
        <w:rPr>
          <w:rFonts w:ascii="Arial" w:hAnsi="Arial" w:cs="Arial"/>
          <w:sz w:val="24"/>
          <w:szCs w:val="24"/>
          <w:lang w:val="es-MX"/>
        </w:rPr>
        <w:t xml:space="preserve"> de esta manera</w:t>
      </w:r>
      <w:r w:rsidR="00433F7F" w:rsidRPr="00433F7F">
        <w:rPr>
          <w:rFonts w:ascii="Arial" w:hAnsi="Arial" w:cs="Arial"/>
          <w:sz w:val="24"/>
          <w:szCs w:val="24"/>
          <w:lang w:val="es-MX"/>
        </w:rPr>
        <w:t>,</w:t>
      </w:r>
      <w:r w:rsidRPr="003641C8">
        <w:rPr>
          <w:rFonts w:ascii="Arial" w:hAnsi="Arial" w:cs="Arial"/>
          <w:sz w:val="24"/>
          <w:szCs w:val="24"/>
          <w:lang w:val="es-MX"/>
        </w:rPr>
        <w:t xml:space="preserve"> la carga de la prueba en su contra. Además, la condena se basó en las declaraciones de los coimputados, que no fueron corroboradas ni analizadas con la prueba en su conjunto, a fin de determinar la responsabilidad penal más allá de toda duda razonable. La Corte resaltó que las declaraciones de los coimputado</w:t>
      </w:r>
      <w:r w:rsidR="00433F7F" w:rsidRPr="00433F7F">
        <w:rPr>
          <w:rFonts w:ascii="Arial" w:hAnsi="Arial" w:cs="Arial"/>
          <w:sz w:val="24"/>
          <w:szCs w:val="24"/>
          <w:lang w:val="es-MX"/>
        </w:rPr>
        <w:t>s</w:t>
      </w:r>
      <w:r w:rsidRPr="003641C8">
        <w:rPr>
          <w:rFonts w:ascii="Arial" w:hAnsi="Arial" w:cs="Arial"/>
          <w:sz w:val="24"/>
          <w:szCs w:val="24"/>
          <w:lang w:val="es-MX"/>
        </w:rPr>
        <w:t xml:space="preserve"> revisten</w:t>
      </w:r>
      <w:r w:rsidR="00433F7F" w:rsidRPr="00433F7F">
        <w:rPr>
          <w:rFonts w:ascii="Arial" w:hAnsi="Arial" w:cs="Arial"/>
          <w:sz w:val="24"/>
          <w:szCs w:val="24"/>
          <w:lang w:val="es-MX"/>
        </w:rPr>
        <w:t xml:space="preserve"> el</w:t>
      </w:r>
      <w:r w:rsidRPr="003641C8">
        <w:rPr>
          <w:rFonts w:ascii="Arial" w:hAnsi="Arial" w:cs="Arial"/>
          <w:sz w:val="24"/>
          <w:szCs w:val="24"/>
          <w:lang w:val="es-MX"/>
        </w:rPr>
        <w:t xml:space="preserve"> valor indiciario y, por consiguiente, forman parte de </w:t>
      </w:r>
      <w:r w:rsidRPr="003641C8">
        <w:rPr>
          <w:rFonts w:ascii="Arial" w:hAnsi="Arial" w:cs="Arial"/>
          <w:sz w:val="24"/>
          <w:szCs w:val="24"/>
          <w:lang w:val="es-MX"/>
        </w:rPr>
        <w:lastRenderedPageBreak/>
        <w:t>la prueba indirecta, debiendo valorar sus contenidos conforme a los principios de la sana crítica.</w:t>
      </w:r>
    </w:p>
    <w:p w14:paraId="6F12F271" w14:textId="72C65FDD" w:rsidR="0037441E" w:rsidRPr="00433F7F" w:rsidRDefault="0037441E" w:rsidP="00433F7F">
      <w:pPr>
        <w:spacing w:line="360" w:lineRule="auto"/>
        <w:ind w:left="720" w:right="720"/>
        <w:jc w:val="both"/>
        <w:rPr>
          <w:rFonts w:ascii="Arial" w:hAnsi="Arial" w:cs="Arial"/>
          <w:b/>
          <w:sz w:val="24"/>
          <w:szCs w:val="24"/>
          <w:lang w:val="es-MX"/>
        </w:rPr>
      </w:pPr>
      <w:r w:rsidRPr="003641C8">
        <w:rPr>
          <w:rFonts w:ascii="Arial" w:hAnsi="Arial" w:cs="Arial"/>
          <w:sz w:val="24"/>
          <w:szCs w:val="24"/>
          <w:lang w:val="es-MX"/>
        </w:rPr>
        <w:t xml:space="preserve"> La Corte subrayó la relevancia de la motivación a fin de garantizar la presunción de inocencia, principalmente en un proceso penal</w:t>
      </w:r>
      <w:r w:rsidR="004210EF">
        <w:rPr>
          <w:rFonts w:ascii="Arial" w:hAnsi="Arial" w:cs="Arial"/>
          <w:sz w:val="24"/>
          <w:szCs w:val="24"/>
          <w:lang w:val="es-MX"/>
        </w:rPr>
        <w:t>, que l</w:t>
      </w:r>
      <w:r w:rsidRPr="003641C8">
        <w:rPr>
          <w:rFonts w:ascii="Arial" w:hAnsi="Arial" w:cs="Arial"/>
          <w:sz w:val="24"/>
          <w:szCs w:val="24"/>
          <w:lang w:val="es-MX"/>
        </w:rPr>
        <w:t>as sentencias deben reflejar las razones por las que fue posible obtener la convicción sobre la imputación y la responsabilidad penal, así como la apreciación de las pruebas para desvirtuar cualquier hipótesis de inocencia y, sólo así, poder confirmar o refutar la hipótesis acusatoria</w:t>
      </w:r>
      <w:r w:rsidRPr="00433F7F">
        <w:rPr>
          <w:rStyle w:val="Refdenotaalpie"/>
          <w:rFonts w:ascii="Arial" w:hAnsi="Arial" w:cs="Arial"/>
          <w:sz w:val="24"/>
          <w:szCs w:val="24"/>
        </w:rPr>
        <w:footnoteReference w:id="55"/>
      </w:r>
      <w:r w:rsidRPr="003641C8">
        <w:rPr>
          <w:rFonts w:ascii="Arial" w:hAnsi="Arial" w:cs="Arial"/>
          <w:sz w:val="24"/>
          <w:szCs w:val="24"/>
          <w:lang w:val="es-MX"/>
        </w:rPr>
        <w:t>.</w:t>
      </w:r>
    </w:p>
    <w:p w14:paraId="528ADF80" w14:textId="77777777" w:rsidR="00461370" w:rsidRPr="00433F7F" w:rsidRDefault="00461370" w:rsidP="00433F7F">
      <w:pPr>
        <w:pStyle w:val="NormalWeb"/>
        <w:shd w:val="clear" w:color="auto" w:fill="FFFFFF"/>
        <w:spacing w:before="0" w:beforeAutospacing="0" w:after="0" w:afterAutospacing="0" w:line="360" w:lineRule="auto"/>
        <w:ind w:left="720" w:right="720"/>
        <w:jc w:val="both"/>
        <w:textAlignment w:val="top"/>
        <w:rPr>
          <w:rFonts w:ascii="Arial" w:hAnsi="Arial" w:cs="Arial"/>
          <w:color w:val="000000"/>
          <w:lang w:val="es-MX"/>
        </w:rPr>
      </w:pPr>
      <w:r w:rsidRPr="00433F7F">
        <w:rPr>
          <w:rFonts w:ascii="Arial" w:hAnsi="Arial" w:cs="Arial"/>
          <w:color w:val="000000"/>
          <w:lang w:val="es-MX"/>
        </w:rPr>
        <w:t> </w:t>
      </w:r>
    </w:p>
    <w:p w14:paraId="2FEC6122" w14:textId="7A10F9D0" w:rsidR="005864E8" w:rsidRPr="00433F7F" w:rsidRDefault="005864E8" w:rsidP="00433F7F">
      <w:pPr>
        <w:pStyle w:val="Prrafodelista"/>
        <w:numPr>
          <w:ilvl w:val="0"/>
          <w:numId w:val="28"/>
        </w:numPr>
        <w:shd w:val="clear" w:color="auto" w:fill="FFFFFF"/>
        <w:spacing w:after="0" w:line="360" w:lineRule="auto"/>
        <w:ind w:right="720"/>
        <w:rPr>
          <w:rFonts w:ascii="Arial" w:hAnsi="Arial" w:cs="Arial"/>
          <w:sz w:val="24"/>
          <w:szCs w:val="24"/>
          <w:lang w:val="es-MX"/>
        </w:rPr>
      </w:pPr>
      <w:r w:rsidRPr="00433F7F">
        <w:rPr>
          <w:rFonts w:ascii="Arial" w:eastAsia="Times New Roman" w:hAnsi="Arial" w:cs="Arial"/>
          <w:color w:val="000000"/>
          <w:sz w:val="24"/>
          <w:szCs w:val="24"/>
          <w:lang w:val="es-MX"/>
        </w:rPr>
        <w:t>P</w:t>
      </w:r>
      <w:r w:rsidRPr="00433F7F">
        <w:rPr>
          <w:rFonts w:ascii="Arial" w:hAnsi="Arial" w:cs="Arial"/>
          <w:sz w:val="24"/>
          <w:szCs w:val="24"/>
          <w:lang w:val="es-MX"/>
        </w:rPr>
        <w:t>rotección de la presunción con posterioridad al desarrollo proceso penal</w:t>
      </w:r>
    </w:p>
    <w:p w14:paraId="4AC77654" w14:textId="77777777" w:rsidR="005864E8" w:rsidRPr="00433F7F" w:rsidRDefault="005864E8" w:rsidP="00433F7F">
      <w:pPr>
        <w:spacing w:line="360" w:lineRule="auto"/>
        <w:ind w:left="720" w:right="720"/>
        <w:jc w:val="both"/>
        <w:rPr>
          <w:rFonts w:ascii="Arial" w:hAnsi="Arial" w:cs="Arial"/>
          <w:bCs/>
          <w:sz w:val="24"/>
          <w:szCs w:val="24"/>
          <w:lang w:val="es-MX"/>
        </w:rPr>
      </w:pPr>
    </w:p>
    <w:p w14:paraId="0824F576" w14:textId="091935B5" w:rsidR="00BB4BC9" w:rsidRPr="00433F7F" w:rsidRDefault="00BB4BC9" w:rsidP="00433F7F">
      <w:pPr>
        <w:spacing w:line="360" w:lineRule="auto"/>
        <w:ind w:left="720" w:right="720"/>
        <w:jc w:val="both"/>
        <w:rPr>
          <w:rFonts w:ascii="Arial" w:hAnsi="Arial" w:cs="Arial"/>
          <w:bCs/>
          <w:sz w:val="24"/>
          <w:szCs w:val="24"/>
          <w:lang w:val="es-MX"/>
        </w:rPr>
      </w:pPr>
      <w:r w:rsidRPr="00433F7F">
        <w:rPr>
          <w:rFonts w:ascii="Arial" w:hAnsi="Arial" w:cs="Arial"/>
          <w:bCs/>
          <w:sz w:val="24"/>
          <w:szCs w:val="24"/>
          <w:lang w:val="es-MX"/>
        </w:rPr>
        <w:t xml:space="preserve">Una vez que se termina el proceso en contra de una persona, se cuenta con el derecho a reinsertarse a la sociedad conforme al art. 18 </w:t>
      </w:r>
      <w:r w:rsidR="0008360D">
        <w:rPr>
          <w:rFonts w:ascii="Arial" w:hAnsi="Arial" w:cs="Arial"/>
          <w:bCs/>
          <w:sz w:val="24"/>
          <w:szCs w:val="24"/>
          <w:lang w:val="es-MX"/>
        </w:rPr>
        <w:lastRenderedPageBreak/>
        <w:t>c</w:t>
      </w:r>
      <w:r w:rsidRPr="00433F7F">
        <w:rPr>
          <w:rFonts w:ascii="Arial" w:hAnsi="Arial" w:cs="Arial"/>
          <w:bCs/>
          <w:sz w:val="24"/>
          <w:szCs w:val="24"/>
          <w:lang w:val="es-MX"/>
        </w:rPr>
        <w:t>onstitucional</w:t>
      </w:r>
      <w:r w:rsidRPr="00433F7F">
        <w:rPr>
          <w:rStyle w:val="Refdenotaalpie"/>
          <w:rFonts w:ascii="Arial" w:hAnsi="Arial" w:cs="Arial"/>
          <w:bCs/>
          <w:sz w:val="24"/>
          <w:szCs w:val="24"/>
          <w:lang w:val="es-MX"/>
        </w:rPr>
        <w:footnoteReference w:id="56"/>
      </w:r>
      <w:r w:rsidRPr="00433F7F">
        <w:rPr>
          <w:rFonts w:ascii="Arial" w:hAnsi="Arial" w:cs="Arial"/>
          <w:bCs/>
          <w:sz w:val="24"/>
          <w:szCs w:val="24"/>
          <w:lang w:val="es-MX"/>
        </w:rPr>
        <w:t xml:space="preserve"> con todo lo que implica dicha obligación por parte de los servicios penitenciarios del Estado</w:t>
      </w:r>
      <w:r w:rsidR="000C5E57">
        <w:rPr>
          <w:rStyle w:val="Refdenotaalpie"/>
          <w:rFonts w:ascii="Arial" w:hAnsi="Arial" w:cs="Arial"/>
          <w:bCs/>
          <w:sz w:val="24"/>
          <w:szCs w:val="24"/>
          <w:lang w:val="es-MX"/>
        </w:rPr>
        <w:footnoteReference w:id="57"/>
      </w:r>
      <w:r w:rsidR="0011370F">
        <w:rPr>
          <w:rFonts w:ascii="Arial" w:hAnsi="Arial" w:cs="Arial"/>
          <w:bCs/>
          <w:sz w:val="24"/>
          <w:szCs w:val="24"/>
          <w:lang w:val="es-MX"/>
        </w:rPr>
        <w:t>.</w:t>
      </w:r>
    </w:p>
    <w:p w14:paraId="0AAC7C87" w14:textId="02682781" w:rsidR="00433F7F" w:rsidRPr="00433F7F" w:rsidRDefault="00BB4BC9" w:rsidP="00433F7F">
      <w:pPr>
        <w:pStyle w:val="Prrafodelista"/>
        <w:spacing w:line="360" w:lineRule="auto"/>
        <w:ind w:right="720"/>
        <w:jc w:val="both"/>
        <w:rPr>
          <w:rFonts w:ascii="Arial" w:hAnsi="Arial" w:cs="Arial"/>
          <w:bCs/>
          <w:sz w:val="24"/>
          <w:szCs w:val="24"/>
          <w:lang w:val="es-MX"/>
        </w:rPr>
      </w:pPr>
      <w:r w:rsidRPr="00433F7F">
        <w:rPr>
          <w:rFonts w:ascii="Arial" w:hAnsi="Arial" w:cs="Arial"/>
          <w:bCs/>
          <w:sz w:val="24"/>
          <w:szCs w:val="24"/>
          <w:lang w:val="es-MX"/>
        </w:rPr>
        <w:t xml:space="preserve">Tras cumplir </w:t>
      </w:r>
      <w:r w:rsidR="00433F7F" w:rsidRPr="00433F7F">
        <w:rPr>
          <w:rFonts w:ascii="Arial" w:hAnsi="Arial" w:cs="Arial"/>
          <w:bCs/>
          <w:sz w:val="24"/>
          <w:szCs w:val="24"/>
          <w:lang w:val="es-MX"/>
        </w:rPr>
        <w:t xml:space="preserve">la </w:t>
      </w:r>
      <w:r w:rsidRPr="00433F7F">
        <w:rPr>
          <w:rFonts w:ascii="Arial" w:hAnsi="Arial" w:cs="Arial"/>
          <w:bCs/>
          <w:sz w:val="24"/>
          <w:szCs w:val="24"/>
          <w:lang w:val="es-MX"/>
        </w:rPr>
        <w:t xml:space="preserve">condena también se puede presentar el supuesto de afectación de derechos humanos como la igualdad, la no discriminación, acceso a </w:t>
      </w:r>
      <w:r w:rsidR="00433F7F" w:rsidRPr="00433F7F">
        <w:rPr>
          <w:rFonts w:ascii="Arial" w:hAnsi="Arial" w:cs="Arial"/>
          <w:bCs/>
          <w:sz w:val="24"/>
          <w:szCs w:val="24"/>
          <w:lang w:val="es-MX"/>
        </w:rPr>
        <w:t>los</w:t>
      </w:r>
      <w:r w:rsidRPr="00433F7F">
        <w:rPr>
          <w:rFonts w:ascii="Arial" w:hAnsi="Arial" w:cs="Arial"/>
          <w:bCs/>
          <w:sz w:val="24"/>
          <w:szCs w:val="24"/>
          <w:lang w:val="es-MX"/>
        </w:rPr>
        <w:t xml:space="preserve"> derechos labores, acceso a cargos públicos</w:t>
      </w:r>
      <w:r w:rsidR="00433F7F" w:rsidRPr="00433F7F">
        <w:rPr>
          <w:rFonts w:ascii="Arial" w:hAnsi="Arial" w:cs="Arial"/>
          <w:bCs/>
          <w:sz w:val="24"/>
          <w:szCs w:val="24"/>
          <w:lang w:val="es-MX"/>
        </w:rPr>
        <w:t>, entre otros</w:t>
      </w:r>
      <w:r w:rsidR="003D59D4">
        <w:rPr>
          <w:rStyle w:val="Refdenotaalpie"/>
          <w:rFonts w:ascii="Arial" w:hAnsi="Arial" w:cs="Arial"/>
          <w:bCs/>
          <w:sz w:val="24"/>
          <w:szCs w:val="24"/>
          <w:lang w:val="es-MX"/>
        </w:rPr>
        <w:footnoteReference w:id="58"/>
      </w:r>
      <w:r w:rsidRPr="00433F7F">
        <w:rPr>
          <w:rFonts w:ascii="Arial" w:hAnsi="Arial" w:cs="Arial"/>
          <w:bCs/>
          <w:sz w:val="24"/>
          <w:szCs w:val="24"/>
          <w:lang w:val="es-MX"/>
        </w:rPr>
        <w:t>.</w:t>
      </w:r>
    </w:p>
    <w:p w14:paraId="5568FE10" w14:textId="77777777" w:rsidR="00433F7F" w:rsidRPr="00433F7F" w:rsidRDefault="00433F7F" w:rsidP="00433F7F">
      <w:pPr>
        <w:pStyle w:val="Prrafodelista"/>
        <w:spacing w:line="360" w:lineRule="auto"/>
        <w:ind w:right="720"/>
        <w:jc w:val="both"/>
        <w:rPr>
          <w:rFonts w:ascii="Arial" w:hAnsi="Arial" w:cs="Arial"/>
          <w:bCs/>
          <w:sz w:val="24"/>
          <w:szCs w:val="24"/>
          <w:lang w:val="es-MX"/>
        </w:rPr>
      </w:pPr>
    </w:p>
    <w:p w14:paraId="1A62B50A" w14:textId="77777777" w:rsidR="004C16A1" w:rsidRDefault="00BB4BC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Sobre esto último, en ocasiones, se solicita carta de no antecedentes penales para acceder a empleos o</w:t>
      </w:r>
      <w:r w:rsidR="00433F7F" w:rsidRPr="00433F7F">
        <w:rPr>
          <w:rFonts w:ascii="Arial" w:hAnsi="Arial" w:cs="Arial"/>
          <w:sz w:val="24"/>
          <w:szCs w:val="24"/>
          <w:lang w:val="es-MX"/>
        </w:rPr>
        <w:t>,</w:t>
      </w:r>
      <w:r w:rsidRPr="00433F7F">
        <w:rPr>
          <w:rFonts w:ascii="Arial" w:hAnsi="Arial" w:cs="Arial"/>
          <w:sz w:val="24"/>
          <w:szCs w:val="24"/>
          <w:lang w:val="es-MX"/>
        </w:rPr>
        <w:t xml:space="preserve"> también</w:t>
      </w:r>
      <w:r w:rsidR="00433F7F" w:rsidRPr="00433F7F">
        <w:rPr>
          <w:rFonts w:ascii="Arial" w:hAnsi="Arial" w:cs="Arial"/>
          <w:sz w:val="24"/>
          <w:szCs w:val="24"/>
          <w:lang w:val="es-MX"/>
        </w:rPr>
        <w:t>,</w:t>
      </w:r>
      <w:r w:rsidRPr="00433F7F">
        <w:rPr>
          <w:rFonts w:ascii="Arial" w:hAnsi="Arial" w:cs="Arial"/>
          <w:sz w:val="24"/>
          <w:szCs w:val="24"/>
          <w:lang w:val="es-MX"/>
        </w:rPr>
        <w:t xml:space="preserve"> se vulnera la presunción de inocencia en personas que han cumplido condena y se considera una restricción contar con antecedentes penales que</w:t>
      </w:r>
      <w:r w:rsidR="00433F7F" w:rsidRPr="00433F7F">
        <w:rPr>
          <w:rFonts w:ascii="Arial" w:hAnsi="Arial" w:cs="Arial"/>
          <w:sz w:val="24"/>
          <w:szCs w:val="24"/>
          <w:lang w:val="es-MX"/>
        </w:rPr>
        <w:t>,</w:t>
      </w:r>
      <w:r w:rsidRPr="00433F7F">
        <w:rPr>
          <w:rFonts w:ascii="Arial" w:hAnsi="Arial" w:cs="Arial"/>
          <w:sz w:val="24"/>
          <w:szCs w:val="24"/>
          <w:lang w:val="es-MX"/>
        </w:rPr>
        <w:t xml:space="preserve"> en mi opinión, al margen de ser cancelados se convierten en una especie de pesadilla muy alejada de la restitución de libertades a la que el Estado está obligado de cumplir</w:t>
      </w:r>
      <w:r w:rsidR="00D23A00">
        <w:rPr>
          <w:rFonts w:ascii="Arial" w:hAnsi="Arial" w:cs="Arial"/>
          <w:sz w:val="24"/>
          <w:szCs w:val="24"/>
          <w:lang w:val="es-MX"/>
        </w:rPr>
        <w:t xml:space="preserve"> y que victimiza a la persona que ya estuvo en situación de vulnerabilidad y que no tendría razón de ser porque ya cumplió condena</w:t>
      </w:r>
      <w:r w:rsidRPr="00433F7F">
        <w:rPr>
          <w:rFonts w:ascii="Arial" w:hAnsi="Arial" w:cs="Arial"/>
          <w:sz w:val="24"/>
          <w:szCs w:val="24"/>
          <w:lang w:val="es-MX"/>
        </w:rPr>
        <w:t>.</w:t>
      </w:r>
      <w:r w:rsidR="00433F7F" w:rsidRPr="00433F7F">
        <w:rPr>
          <w:rFonts w:ascii="Arial" w:hAnsi="Arial" w:cs="Arial"/>
          <w:sz w:val="24"/>
          <w:szCs w:val="24"/>
          <w:lang w:val="es-MX"/>
        </w:rPr>
        <w:t xml:space="preserve"> </w:t>
      </w:r>
      <w:r w:rsidRPr="003641C8">
        <w:rPr>
          <w:rFonts w:ascii="Arial" w:hAnsi="Arial" w:cs="Arial"/>
          <w:sz w:val="24"/>
          <w:szCs w:val="24"/>
          <w:lang w:val="es-MX"/>
        </w:rPr>
        <w:t>Si</w:t>
      </w:r>
      <w:r w:rsidR="00433F7F" w:rsidRPr="003641C8">
        <w:rPr>
          <w:rFonts w:ascii="Arial" w:hAnsi="Arial" w:cs="Arial"/>
          <w:sz w:val="24"/>
          <w:szCs w:val="24"/>
          <w:lang w:val="es-MX"/>
        </w:rPr>
        <w:t>n</w:t>
      </w:r>
      <w:r w:rsidRPr="003641C8">
        <w:rPr>
          <w:rFonts w:ascii="Arial" w:hAnsi="Arial" w:cs="Arial"/>
          <w:sz w:val="24"/>
          <w:szCs w:val="24"/>
          <w:lang w:val="es-MX"/>
        </w:rPr>
        <w:t xml:space="preserve"> e</w:t>
      </w:r>
      <w:r w:rsidR="00FB2A06">
        <w:rPr>
          <w:rFonts w:ascii="Arial" w:hAnsi="Arial" w:cs="Arial"/>
          <w:sz w:val="24"/>
          <w:szCs w:val="24"/>
          <w:lang w:val="es-MX"/>
        </w:rPr>
        <w:t>l</w:t>
      </w:r>
      <w:r w:rsidRPr="003641C8">
        <w:rPr>
          <w:rFonts w:ascii="Arial" w:hAnsi="Arial" w:cs="Arial"/>
          <w:sz w:val="24"/>
          <w:szCs w:val="24"/>
          <w:lang w:val="es-MX"/>
        </w:rPr>
        <w:t xml:space="preserve"> afán de generalizar y</w:t>
      </w:r>
      <w:r w:rsidR="00433F7F" w:rsidRPr="003641C8">
        <w:rPr>
          <w:rFonts w:ascii="Arial" w:hAnsi="Arial" w:cs="Arial"/>
          <w:sz w:val="24"/>
          <w:szCs w:val="24"/>
          <w:lang w:val="es-MX"/>
        </w:rPr>
        <w:t>,</w:t>
      </w:r>
      <w:r w:rsidRPr="003641C8">
        <w:rPr>
          <w:rFonts w:ascii="Arial" w:hAnsi="Arial" w:cs="Arial"/>
          <w:sz w:val="24"/>
          <w:szCs w:val="24"/>
          <w:lang w:val="es-MX"/>
        </w:rPr>
        <w:t xml:space="preserve"> en algunos casos</w:t>
      </w:r>
      <w:r w:rsidR="00433F7F" w:rsidRPr="003641C8">
        <w:rPr>
          <w:rFonts w:ascii="Arial" w:hAnsi="Arial" w:cs="Arial"/>
          <w:sz w:val="24"/>
          <w:szCs w:val="24"/>
          <w:lang w:val="es-MX"/>
        </w:rPr>
        <w:t>,</w:t>
      </w:r>
      <w:r w:rsidRPr="003641C8">
        <w:rPr>
          <w:rFonts w:ascii="Arial" w:hAnsi="Arial" w:cs="Arial"/>
          <w:sz w:val="24"/>
          <w:szCs w:val="24"/>
          <w:lang w:val="es-MX"/>
        </w:rPr>
        <w:t xml:space="preserve"> con cierto cuidado y atendiendo a las </w:t>
      </w:r>
      <w:r w:rsidRPr="003641C8">
        <w:rPr>
          <w:rFonts w:ascii="Arial" w:hAnsi="Arial" w:cs="Arial"/>
          <w:sz w:val="24"/>
          <w:szCs w:val="24"/>
          <w:lang w:val="es-MX"/>
        </w:rPr>
        <w:lastRenderedPageBreak/>
        <w:t>situaciones en particular que fuera necesario estudiar de manera especializada.</w:t>
      </w:r>
      <w:r w:rsidR="00D23A00">
        <w:rPr>
          <w:rFonts w:ascii="Arial" w:hAnsi="Arial" w:cs="Arial"/>
          <w:sz w:val="24"/>
          <w:szCs w:val="24"/>
          <w:lang w:val="es-MX"/>
        </w:rPr>
        <w:t xml:space="preserve"> </w:t>
      </w:r>
    </w:p>
    <w:p w14:paraId="2E59B76C" w14:textId="77777777" w:rsidR="004C16A1" w:rsidRDefault="004C16A1" w:rsidP="00433F7F">
      <w:pPr>
        <w:pStyle w:val="Prrafodelista"/>
        <w:spacing w:line="360" w:lineRule="auto"/>
        <w:ind w:right="720"/>
        <w:jc w:val="both"/>
        <w:rPr>
          <w:rFonts w:ascii="Arial" w:hAnsi="Arial" w:cs="Arial"/>
          <w:sz w:val="24"/>
          <w:szCs w:val="24"/>
          <w:lang w:val="es-MX"/>
        </w:rPr>
      </w:pPr>
    </w:p>
    <w:p w14:paraId="1C4D51B8" w14:textId="422A1FDB" w:rsidR="00D23A00" w:rsidRPr="003641C8" w:rsidRDefault="00D23A00" w:rsidP="00433F7F">
      <w:pPr>
        <w:pStyle w:val="Prrafodelista"/>
        <w:spacing w:line="360" w:lineRule="auto"/>
        <w:ind w:right="720"/>
        <w:jc w:val="both"/>
        <w:rPr>
          <w:rFonts w:ascii="Arial" w:hAnsi="Arial" w:cs="Arial"/>
          <w:sz w:val="24"/>
          <w:szCs w:val="24"/>
          <w:lang w:val="es-MX"/>
        </w:rPr>
      </w:pPr>
      <w:r>
        <w:rPr>
          <w:rFonts w:ascii="Arial" w:hAnsi="Arial" w:cs="Arial"/>
          <w:sz w:val="24"/>
          <w:szCs w:val="24"/>
          <w:lang w:val="es-MX"/>
        </w:rPr>
        <w:t xml:space="preserve">Por su parte, el art. 27.IV de la LNEP, </w:t>
      </w:r>
      <w:r w:rsidR="004C16A1">
        <w:rPr>
          <w:rFonts w:ascii="Arial" w:hAnsi="Arial" w:cs="Arial"/>
          <w:sz w:val="24"/>
          <w:szCs w:val="24"/>
          <w:lang w:val="es-MX"/>
        </w:rPr>
        <w:t xml:space="preserve">reconoce que se debe dar </w:t>
      </w:r>
      <w:r>
        <w:rPr>
          <w:rFonts w:ascii="Arial" w:hAnsi="Arial" w:cs="Arial"/>
          <w:sz w:val="24"/>
          <w:szCs w:val="24"/>
          <w:lang w:val="es-MX"/>
        </w:rPr>
        <w:t>la</w:t>
      </w:r>
      <w:r>
        <w:t xml:space="preserve"> </w:t>
      </w:r>
      <w:r w:rsidRPr="00D23A00">
        <w:rPr>
          <w:rFonts w:ascii="Arial" w:hAnsi="Arial" w:cs="Arial"/>
          <w:sz w:val="24"/>
          <w:szCs w:val="24"/>
          <w:lang w:val="es-MX"/>
        </w:rPr>
        <w:t>constancia relativa a los antecedentes penales podrá extender</w:t>
      </w:r>
      <w:r>
        <w:rPr>
          <w:rFonts w:ascii="Arial" w:hAnsi="Arial" w:cs="Arial"/>
          <w:sz w:val="24"/>
          <w:szCs w:val="24"/>
          <w:lang w:val="es-MX"/>
        </w:rPr>
        <w:t>se</w:t>
      </w:r>
      <w:r w:rsidRPr="00D23A00">
        <w:rPr>
          <w:rFonts w:ascii="Arial" w:hAnsi="Arial" w:cs="Arial"/>
          <w:sz w:val="24"/>
          <w:szCs w:val="24"/>
          <w:lang w:val="es-MX"/>
        </w:rPr>
        <w:t xml:space="preserve"> en supuestos</w:t>
      </w:r>
      <w:r>
        <w:rPr>
          <w:rFonts w:ascii="Arial" w:hAnsi="Arial" w:cs="Arial"/>
          <w:sz w:val="24"/>
          <w:szCs w:val="24"/>
          <w:lang w:val="es-MX"/>
        </w:rPr>
        <w:t xml:space="preserve"> como</w:t>
      </w:r>
      <w:r w:rsidRPr="00D23A00">
        <w:rPr>
          <w:rFonts w:ascii="Arial" w:hAnsi="Arial" w:cs="Arial"/>
          <w:sz w:val="24"/>
          <w:szCs w:val="24"/>
          <w:lang w:val="es-MX"/>
        </w:rPr>
        <w:t xml:space="preserve">: </w:t>
      </w:r>
      <w:r>
        <w:rPr>
          <w:rFonts w:ascii="Arial" w:hAnsi="Arial" w:cs="Arial"/>
          <w:sz w:val="24"/>
          <w:szCs w:val="24"/>
          <w:lang w:val="es-MX"/>
        </w:rPr>
        <w:t>-sol</w:t>
      </w:r>
      <w:r w:rsidRPr="00D23A00">
        <w:rPr>
          <w:rFonts w:ascii="Arial" w:hAnsi="Arial" w:cs="Arial"/>
          <w:sz w:val="24"/>
          <w:szCs w:val="24"/>
          <w:lang w:val="es-MX"/>
        </w:rPr>
        <w:t>icit</w:t>
      </w:r>
      <w:r>
        <w:rPr>
          <w:rFonts w:ascii="Arial" w:hAnsi="Arial" w:cs="Arial"/>
          <w:sz w:val="24"/>
          <w:szCs w:val="24"/>
          <w:lang w:val="es-MX"/>
        </w:rPr>
        <w:t>ud de</w:t>
      </w:r>
      <w:r w:rsidRPr="00D23A00">
        <w:rPr>
          <w:rFonts w:ascii="Arial" w:hAnsi="Arial" w:cs="Arial"/>
          <w:sz w:val="24"/>
          <w:szCs w:val="24"/>
          <w:lang w:val="es-MX"/>
        </w:rPr>
        <w:t xml:space="preserve"> autoridades administrativas y judiciales competentes, para fines de investigación criminal, procesales o por requerimiento de autoridad judicial; </w:t>
      </w:r>
      <w:r>
        <w:rPr>
          <w:rFonts w:ascii="Arial" w:hAnsi="Arial" w:cs="Arial"/>
          <w:sz w:val="24"/>
          <w:szCs w:val="24"/>
          <w:lang w:val="es-MX"/>
        </w:rPr>
        <w:t xml:space="preserve">-solicitud </w:t>
      </w:r>
      <w:r w:rsidRPr="00D23A00">
        <w:rPr>
          <w:rFonts w:ascii="Arial" w:hAnsi="Arial" w:cs="Arial"/>
          <w:sz w:val="24"/>
          <w:szCs w:val="24"/>
          <w:lang w:val="es-MX"/>
        </w:rPr>
        <w:t xml:space="preserve">para ejercitar un derecho o cumplir un deber legalmente previstos; </w:t>
      </w:r>
      <w:r>
        <w:rPr>
          <w:rFonts w:ascii="Arial" w:hAnsi="Arial" w:cs="Arial"/>
          <w:sz w:val="24"/>
          <w:szCs w:val="24"/>
          <w:lang w:val="es-MX"/>
        </w:rPr>
        <w:t>-</w:t>
      </w:r>
      <w:r w:rsidR="004C16A1">
        <w:rPr>
          <w:rFonts w:ascii="Arial" w:hAnsi="Arial" w:cs="Arial"/>
          <w:sz w:val="24"/>
          <w:szCs w:val="24"/>
          <w:lang w:val="es-MX"/>
        </w:rPr>
        <w:t>s</w:t>
      </w:r>
      <w:r>
        <w:rPr>
          <w:rFonts w:ascii="Arial" w:hAnsi="Arial" w:cs="Arial"/>
          <w:sz w:val="24"/>
          <w:szCs w:val="24"/>
          <w:lang w:val="es-MX"/>
        </w:rPr>
        <w:t>ea</w:t>
      </w:r>
      <w:r w:rsidRPr="00D23A00">
        <w:rPr>
          <w:rFonts w:ascii="Arial" w:hAnsi="Arial" w:cs="Arial"/>
          <w:sz w:val="24"/>
          <w:szCs w:val="24"/>
          <w:lang w:val="es-MX"/>
        </w:rPr>
        <w:t xml:space="preserve"> requisito para desempeñar un empleo, cargo o comisión en el servicio público, o para el ingreso a instituciones de seguridad pública o privada, así como cuando por la naturaleza del empleo o por razones de interés público se considere exigible; </w:t>
      </w:r>
      <w:r w:rsidR="004C16A1">
        <w:rPr>
          <w:rFonts w:ascii="Arial" w:hAnsi="Arial" w:cs="Arial"/>
          <w:sz w:val="24"/>
          <w:szCs w:val="24"/>
          <w:lang w:val="es-MX"/>
        </w:rPr>
        <w:t>petición de</w:t>
      </w:r>
      <w:r w:rsidRPr="00D23A00">
        <w:rPr>
          <w:rFonts w:ascii="Arial" w:hAnsi="Arial" w:cs="Arial"/>
          <w:sz w:val="24"/>
          <w:szCs w:val="24"/>
          <w:lang w:val="es-MX"/>
        </w:rPr>
        <w:t xml:space="preserve"> una embajada o consulado extranjero en México, o bien, a través de una embajada o consulado de México en el extranjero</w:t>
      </w:r>
      <w:r w:rsidR="004C16A1">
        <w:rPr>
          <w:rFonts w:ascii="Arial" w:hAnsi="Arial" w:cs="Arial"/>
          <w:sz w:val="24"/>
          <w:szCs w:val="24"/>
          <w:lang w:val="es-MX"/>
        </w:rPr>
        <w:t xml:space="preserve">. Se aprecia que en caso del desempeño de un empleo, cargo o comisión pública se </w:t>
      </w:r>
      <w:r w:rsidR="00922EB8">
        <w:rPr>
          <w:rFonts w:ascii="Arial" w:hAnsi="Arial" w:cs="Arial"/>
          <w:sz w:val="24"/>
          <w:szCs w:val="24"/>
          <w:lang w:val="es-MX"/>
        </w:rPr>
        <w:t>restringe</w:t>
      </w:r>
      <w:r w:rsidR="004C16A1">
        <w:rPr>
          <w:rFonts w:ascii="Arial" w:hAnsi="Arial" w:cs="Arial"/>
          <w:sz w:val="24"/>
          <w:szCs w:val="24"/>
          <w:lang w:val="es-MX"/>
        </w:rPr>
        <w:t xml:space="preserve"> el derecho al</w:t>
      </w:r>
      <w:r w:rsidR="00922EB8">
        <w:rPr>
          <w:rFonts w:ascii="Arial" w:hAnsi="Arial" w:cs="Arial"/>
          <w:sz w:val="24"/>
          <w:szCs w:val="24"/>
          <w:lang w:val="es-MX"/>
        </w:rPr>
        <w:t xml:space="preserve"> acceso a</w:t>
      </w:r>
      <w:r w:rsidR="004C16A1">
        <w:rPr>
          <w:rFonts w:ascii="Arial" w:hAnsi="Arial" w:cs="Arial"/>
          <w:sz w:val="24"/>
          <w:szCs w:val="24"/>
          <w:lang w:val="es-MX"/>
        </w:rPr>
        <w:t xml:space="preserve"> empleo, donde la presunción de inocencia se vulnera</w:t>
      </w:r>
      <w:r w:rsidR="00922EB8">
        <w:rPr>
          <w:rFonts w:ascii="Arial" w:hAnsi="Arial" w:cs="Arial"/>
          <w:sz w:val="24"/>
          <w:szCs w:val="24"/>
          <w:lang w:val="es-MX"/>
        </w:rPr>
        <w:t>, los antecedentes penales quedan registrados y desafortunadamente no hay un plazo de tiempo para su cancelación, lo cual es muy grave</w:t>
      </w:r>
      <w:r w:rsidR="004C16A1">
        <w:rPr>
          <w:rFonts w:ascii="Arial" w:hAnsi="Arial" w:cs="Arial"/>
          <w:sz w:val="24"/>
          <w:szCs w:val="24"/>
          <w:lang w:val="es-MX"/>
        </w:rPr>
        <w:t>. En este sentido es necesario precisar que la SCJN se ha pronunciado declarando la inconstitucionalidad de normas que exigían no contar con antecedentes penales para realizar actividades comerciales y gubernamentales</w:t>
      </w:r>
      <w:r w:rsidR="004C16A1">
        <w:rPr>
          <w:rStyle w:val="Refdenotaalpie"/>
          <w:rFonts w:ascii="Arial" w:hAnsi="Arial" w:cs="Arial"/>
          <w:sz w:val="24"/>
          <w:szCs w:val="24"/>
          <w:lang w:val="es-MX"/>
        </w:rPr>
        <w:footnoteReference w:id="59"/>
      </w:r>
      <w:r w:rsidR="004C16A1">
        <w:rPr>
          <w:rFonts w:ascii="Arial" w:hAnsi="Arial" w:cs="Arial"/>
          <w:sz w:val="24"/>
          <w:szCs w:val="24"/>
          <w:lang w:val="es-MX"/>
        </w:rPr>
        <w:t>.</w:t>
      </w:r>
    </w:p>
    <w:p w14:paraId="0BC1597B" w14:textId="77777777" w:rsidR="00433F7F" w:rsidRPr="00433F7F" w:rsidRDefault="00433F7F" w:rsidP="00433F7F">
      <w:pPr>
        <w:pStyle w:val="Prrafodelista"/>
        <w:spacing w:line="360" w:lineRule="auto"/>
        <w:ind w:right="720"/>
        <w:jc w:val="both"/>
        <w:rPr>
          <w:rFonts w:ascii="Arial" w:hAnsi="Arial" w:cs="Arial"/>
          <w:bCs/>
          <w:sz w:val="24"/>
          <w:szCs w:val="24"/>
          <w:lang w:val="es-MX"/>
        </w:rPr>
      </w:pPr>
    </w:p>
    <w:p w14:paraId="738786B1" w14:textId="318208F0" w:rsidR="00BB4BC9" w:rsidRPr="00433F7F" w:rsidRDefault="004037FD" w:rsidP="00433F7F">
      <w:pPr>
        <w:pStyle w:val="Prrafodelista"/>
        <w:spacing w:line="360" w:lineRule="auto"/>
        <w:ind w:right="720"/>
        <w:jc w:val="both"/>
        <w:rPr>
          <w:rFonts w:ascii="Arial" w:hAnsi="Arial" w:cs="Arial"/>
          <w:sz w:val="24"/>
          <w:szCs w:val="24"/>
          <w:lang w:val="es-MX"/>
        </w:rPr>
      </w:pPr>
      <w:r>
        <w:rPr>
          <w:rFonts w:ascii="Arial" w:hAnsi="Arial" w:cs="Arial"/>
          <w:bCs/>
          <w:sz w:val="24"/>
          <w:szCs w:val="24"/>
          <w:lang w:val="es-MX"/>
        </w:rPr>
        <w:lastRenderedPageBreak/>
        <w:t>C</w:t>
      </w:r>
      <w:r w:rsidRPr="00433F7F">
        <w:rPr>
          <w:rFonts w:ascii="Arial" w:hAnsi="Arial" w:cs="Arial"/>
          <w:bCs/>
          <w:sz w:val="24"/>
          <w:szCs w:val="24"/>
          <w:lang w:val="es-MX"/>
        </w:rPr>
        <w:t>onforme al art. 27</w:t>
      </w:r>
      <w:r>
        <w:rPr>
          <w:rFonts w:ascii="Arial" w:hAnsi="Arial" w:cs="Arial"/>
          <w:bCs/>
          <w:sz w:val="24"/>
          <w:szCs w:val="24"/>
          <w:lang w:val="es-MX"/>
        </w:rPr>
        <w:t>.</w:t>
      </w:r>
      <w:r w:rsidRPr="00433F7F">
        <w:rPr>
          <w:rFonts w:ascii="Arial" w:hAnsi="Arial" w:cs="Arial"/>
          <w:bCs/>
          <w:sz w:val="24"/>
          <w:szCs w:val="24"/>
          <w:lang w:val="es-MX"/>
        </w:rPr>
        <w:t xml:space="preserve"> V de la </w:t>
      </w:r>
      <w:r w:rsidRPr="00433F7F">
        <w:rPr>
          <w:rFonts w:ascii="Arial" w:hAnsi="Arial" w:cs="Arial"/>
          <w:sz w:val="24"/>
          <w:szCs w:val="24"/>
          <w:lang w:val="es-MX"/>
        </w:rPr>
        <w:t>LNEP</w:t>
      </w:r>
      <w:r w:rsidRPr="00433F7F">
        <w:rPr>
          <w:rFonts w:ascii="Arial" w:hAnsi="Arial" w:cs="Arial"/>
          <w:bCs/>
          <w:sz w:val="24"/>
          <w:szCs w:val="24"/>
          <w:lang w:val="es-MX"/>
        </w:rPr>
        <w:t>,</w:t>
      </w:r>
      <w:r>
        <w:rPr>
          <w:rFonts w:ascii="Arial" w:hAnsi="Arial" w:cs="Arial"/>
          <w:bCs/>
          <w:sz w:val="24"/>
          <w:szCs w:val="24"/>
          <w:lang w:val="es-MX"/>
        </w:rPr>
        <w:t xml:space="preserve"> se requiere cancelación de los datos de antecedentes penales, e</w:t>
      </w:r>
      <w:r w:rsidR="00BB4BC9" w:rsidRPr="00433F7F">
        <w:rPr>
          <w:rFonts w:ascii="Arial" w:hAnsi="Arial" w:cs="Arial"/>
          <w:bCs/>
          <w:sz w:val="24"/>
          <w:szCs w:val="24"/>
          <w:lang w:val="es-MX"/>
        </w:rPr>
        <w:t xml:space="preserve">n el supuesto de </w:t>
      </w:r>
      <w:r w:rsidR="00433F7F" w:rsidRPr="00433F7F">
        <w:rPr>
          <w:rFonts w:ascii="Arial" w:hAnsi="Arial" w:cs="Arial"/>
          <w:bCs/>
          <w:sz w:val="24"/>
          <w:szCs w:val="24"/>
          <w:lang w:val="es-MX"/>
        </w:rPr>
        <w:t xml:space="preserve">que una persona </w:t>
      </w:r>
      <w:r w:rsidR="00A4751A">
        <w:rPr>
          <w:rFonts w:ascii="Arial" w:hAnsi="Arial" w:cs="Arial"/>
          <w:bCs/>
          <w:sz w:val="24"/>
          <w:szCs w:val="24"/>
          <w:lang w:val="es-MX"/>
        </w:rPr>
        <w:t>esté sometida bajo proceso</w:t>
      </w:r>
      <w:r w:rsidR="00433F7F" w:rsidRPr="00433F7F">
        <w:rPr>
          <w:rFonts w:ascii="Arial" w:hAnsi="Arial" w:cs="Arial"/>
          <w:bCs/>
          <w:sz w:val="24"/>
          <w:szCs w:val="24"/>
          <w:lang w:val="es-MX"/>
        </w:rPr>
        <w:t>,</w:t>
      </w:r>
      <w:r w:rsidR="00A4751A">
        <w:rPr>
          <w:rFonts w:ascii="Arial" w:hAnsi="Arial" w:cs="Arial"/>
          <w:bCs/>
          <w:sz w:val="24"/>
          <w:szCs w:val="24"/>
          <w:lang w:val="es-MX"/>
        </w:rPr>
        <w:t xml:space="preserve"> o que</w:t>
      </w:r>
      <w:r w:rsidR="00BB4BC9" w:rsidRPr="00433F7F">
        <w:rPr>
          <w:rFonts w:ascii="Arial" w:hAnsi="Arial" w:cs="Arial"/>
          <w:bCs/>
          <w:sz w:val="24"/>
          <w:szCs w:val="24"/>
          <w:lang w:val="es-MX"/>
        </w:rPr>
        <w:t xml:space="preserve"> se determin</w:t>
      </w:r>
      <w:r w:rsidR="00433F7F" w:rsidRPr="00433F7F">
        <w:rPr>
          <w:rFonts w:ascii="Arial" w:hAnsi="Arial" w:cs="Arial"/>
          <w:bCs/>
          <w:sz w:val="24"/>
          <w:szCs w:val="24"/>
          <w:lang w:val="es-MX"/>
        </w:rPr>
        <w:t xml:space="preserve">e </w:t>
      </w:r>
      <w:r w:rsidR="00C4585C">
        <w:rPr>
          <w:rFonts w:ascii="Arial" w:hAnsi="Arial" w:cs="Arial"/>
          <w:bCs/>
          <w:sz w:val="24"/>
          <w:szCs w:val="24"/>
          <w:lang w:val="es-MX"/>
        </w:rPr>
        <w:t>l</w:t>
      </w:r>
      <w:r w:rsidR="00433F7F" w:rsidRPr="00433F7F">
        <w:rPr>
          <w:rFonts w:ascii="Arial" w:hAnsi="Arial" w:cs="Arial"/>
          <w:bCs/>
          <w:sz w:val="24"/>
          <w:szCs w:val="24"/>
          <w:lang w:val="es-MX"/>
        </w:rPr>
        <w:t>a</w:t>
      </w:r>
      <w:r w:rsidR="00BB4BC9" w:rsidRPr="00433F7F">
        <w:rPr>
          <w:rFonts w:ascii="Arial" w:hAnsi="Arial" w:cs="Arial"/>
          <w:bCs/>
          <w:sz w:val="24"/>
          <w:szCs w:val="24"/>
          <w:lang w:val="es-MX"/>
        </w:rPr>
        <w:t xml:space="preserve"> libertad de la persona detenida</w:t>
      </w:r>
      <w:r w:rsidR="00A4751A">
        <w:rPr>
          <w:rFonts w:ascii="Arial" w:hAnsi="Arial" w:cs="Arial"/>
          <w:bCs/>
          <w:sz w:val="24"/>
          <w:szCs w:val="24"/>
          <w:lang w:val="es-MX"/>
        </w:rPr>
        <w:t xml:space="preserve"> en virtud de</w:t>
      </w:r>
      <w:r w:rsidR="00433F7F" w:rsidRPr="00433F7F">
        <w:rPr>
          <w:rFonts w:ascii="Arial" w:hAnsi="Arial" w:cs="Arial"/>
          <w:bCs/>
          <w:sz w:val="24"/>
          <w:szCs w:val="24"/>
          <w:lang w:val="es-MX"/>
        </w:rPr>
        <w:t xml:space="preserve"> que</w:t>
      </w:r>
      <w:r w:rsidR="00BB4BC9" w:rsidRPr="00433F7F">
        <w:rPr>
          <w:rFonts w:ascii="Arial" w:hAnsi="Arial" w:cs="Arial"/>
          <w:bCs/>
          <w:sz w:val="24"/>
          <w:szCs w:val="24"/>
          <w:lang w:val="es-MX"/>
        </w:rPr>
        <w:t xml:space="preserve"> no se haya ejercido acción penal en su contra</w:t>
      </w:r>
      <w:r w:rsidR="00433F7F" w:rsidRPr="00433F7F">
        <w:rPr>
          <w:rFonts w:ascii="Arial" w:hAnsi="Arial" w:cs="Arial"/>
          <w:bCs/>
          <w:sz w:val="24"/>
          <w:szCs w:val="24"/>
          <w:lang w:val="es-MX"/>
        </w:rPr>
        <w:t>,</w:t>
      </w:r>
      <w:r w:rsidR="00BB4BC9" w:rsidRPr="00433F7F">
        <w:rPr>
          <w:rFonts w:ascii="Arial" w:hAnsi="Arial" w:cs="Arial"/>
          <w:bCs/>
          <w:sz w:val="24"/>
          <w:szCs w:val="24"/>
          <w:lang w:val="es-MX"/>
        </w:rPr>
        <w:t xml:space="preserve"> </w:t>
      </w:r>
      <w:r w:rsidR="00C4585C">
        <w:rPr>
          <w:rFonts w:ascii="Arial" w:hAnsi="Arial" w:cs="Arial"/>
          <w:bCs/>
          <w:sz w:val="24"/>
          <w:szCs w:val="24"/>
          <w:lang w:val="es-MX"/>
        </w:rPr>
        <w:t xml:space="preserve">también en caso de que </w:t>
      </w:r>
      <w:r w:rsidR="00BB4BC9" w:rsidRPr="00433F7F">
        <w:rPr>
          <w:rFonts w:ascii="Arial" w:hAnsi="Arial" w:cs="Arial"/>
          <w:bCs/>
          <w:sz w:val="24"/>
          <w:szCs w:val="24"/>
          <w:lang w:val="es-MX"/>
        </w:rPr>
        <w:t>se haya determinado</w:t>
      </w:r>
      <w:r w:rsidR="00433F7F" w:rsidRPr="00433F7F">
        <w:rPr>
          <w:rFonts w:ascii="Arial" w:hAnsi="Arial" w:cs="Arial"/>
          <w:bCs/>
          <w:sz w:val="24"/>
          <w:szCs w:val="24"/>
          <w:lang w:val="es-MX"/>
        </w:rPr>
        <w:t xml:space="preserve"> su</w:t>
      </w:r>
      <w:r w:rsidR="00BB4BC9" w:rsidRPr="00433F7F">
        <w:rPr>
          <w:rFonts w:ascii="Arial" w:hAnsi="Arial" w:cs="Arial"/>
          <w:bCs/>
          <w:sz w:val="24"/>
          <w:szCs w:val="24"/>
          <w:lang w:val="es-MX"/>
        </w:rPr>
        <w:t xml:space="preserve"> inocencia, haya sido absuelta de cargos en su contra o que haya sido declarada inocente por resolución dictada en recurso de revisión</w:t>
      </w:r>
      <w:r>
        <w:rPr>
          <w:rFonts w:ascii="Arial" w:hAnsi="Arial" w:cs="Arial"/>
          <w:bCs/>
          <w:sz w:val="24"/>
          <w:szCs w:val="24"/>
          <w:lang w:val="es-MX"/>
        </w:rPr>
        <w:t>.</w:t>
      </w:r>
      <w:r w:rsidR="004C16A1">
        <w:rPr>
          <w:rFonts w:ascii="Arial" w:hAnsi="Arial" w:cs="Arial"/>
          <w:bCs/>
          <w:sz w:val="24"/>
          <w:szCs w:val="24"/>
          <w:lang w:val="es-MX"/>
        </w:rPr>
        <w:t xml:space="preserve"> Es decir que mientras la persona está sometida a proceso los antecedentes penales se activan </w:t>
      </w:r>
      <w:r w:rsidR="00884F87">
        <w:rPr>
          <w:rFonts w:ascii="Arial" w:hAnsi="Arial" w:cs="Arial"/>
          <w:bCs/>
          <w:sz w:val="24"/>
          <w:szCs w:val="24"/>
          <w:lang w:val="es-MX"/>
        </w:rPr>
        <w:t>sin contar con una sentencia, el tratamiento que se le da es de culpable sin esperar a que resuelva el órgano juzgador.</w:t>
      </w:r>
    </w:p>
    <w:p w14:paraId="31471945" w14:textId="77777777"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este sentido, veremos algunos supuestos de cómo reconoce la jurisprudencia la protección de la presunción de inocencia ante la cancelación de datos de antecedentes penales.</w:t>
      </w:r>
    </w:p>
    <w:p w14:paraId="0FA12996" w14:textId="77777777" w:rsidR="00BB4BC9" w:rsidRPr="00433F7F" w:rsidRDefault="00BB4BC9" w:rsidP="00433F7F">
      <w:pPr>
        <w:spacing w:line="360" w:lineRule="auto"/>
        <w:ind w:left="720" w:right="720"/>
        <w:jc w:val="both"/>
        <w:rPr>
          <w:rFonts w:ascii="Arial" w:hAnsi="Arial" w:cs="Arial"/>
          <w:sz w:val="24"/>
          <w:szCs w:val="24"/>
          <w:lang w:val="es-MX"/>
        </w:rPr>
      </w:pPr>
    </w:p>
    <w:p w14:paraId="34C517D7" w14:textId="758C8A71" w:rsidR="00BB4BC9" w:rsidRPr="00433F7F" w:rsidRDefault="00BB4BC9" w:rsidP="00433F7F">
      <w:pPr>
        <w:pStyle w:val="Prrafodelista"/>
        <w:numPr>
          <w:ilvl w:val="0"/>
          <w:numId w:val="35"/>
        </w:numPr>
        <w:spacing w:line="360" w:lineRule="auto"/>
        <w:ind w:right="720"/>
        <w:jc w:val="both"/>
        <w:rPr>
          <w:rFonts w:ascii="Arial" w:hAnsi="Arial" w:cs="Arial"/>
          <w:bCs/>
          <w:sz w:val="24"/>
          <w:szCs w:val="24"/>
          <w:lang w:val="es-MX"/>
        </w:rPr>
      </w:pPr>
      <w:r w:rsidRPr="00433F7F">
        <w:rPr>
          <w:rFonts w:ascii="Arial" w:hAnsi="Arial" w:cs="Arial"/>
          <w:bCs/>
          <w:sz w:val="24"/>
          <w:szCs w:val="24"/>
          <w:lang w:val="es-MX"/>
        </w:rPr>
        <w:t>Discriminación y antecedentes penales</w:t>
      </w:r>
    </w:p>
    <w:p w14:paraId="08305D5D" w14:textId="77777777" w:rsidR="00BB4BC9" w:rsidRPr="00433F7F" w:rsidRDefault="00BB4BC9" w:rsidP="00433F7F">
      <w:pPr>
        <w:pStyle w:val="Prrafodelista"/>
        <w:spacing w:line="360" w:lineRule="auto"/>
        <w:ind w:right="720"/>
        <w:jc w:val="both"/>
        <w:rPr>
          <w:rFonts w:ascii="Arial" w:hAnsi="Arial" w:cs="Arial"/>
          <w:sz w:val="24"/>
          <w:szCs w:val="24"/>
          <w:lang w:val="es-MX"/>
        </w:rPr>
      </w:pPr>
    </w:p>
    <w:p w14:paraId="427A6C7C" w14:textId="15F4214F" w:rsidR="00BB4BC9" w:rsidRPr="00433F7F" w:rsidRDefault="00BB4BC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E</w:t>
      </w:r>
      <w:r w:rsidR="004037FD">
        <w:rPr>
          <w:rFonts w:ascii="Arial" w:hAnsi="Arial" w:cs="Arial"/>
          <w:sz w:val="24"/>
          <w:szCs w:val="24"/>
          <w:lang w:val="es-MX"/>
        </w:rPr>
        <w:t>l</w:t>
      </w:r>
      <w:r w:rsidRPr="00433F7F">
        <w:rPr>
          <w:rFonts w:ascii="Arial" w:hAnsi="Arial" w:cs="Arial"/>
          <w:sz w:val="24"/>
          <w:szCs w:val="24"/>
          <w:lang w:val="es-MX"/>
        </w:rPr>
        <w:t xml:space="preserve"> requisito</w:t>
      </w:r>
      <w:r w:rsidR="004037FD">
        <w:rPr>
          <w:rFonts w:ascii="Arial" w:hAnsi="Arial" w:cs="Arial"/>
          <w:sz w:val="24"/>
          <w:szCs w:val="24"/>
          <w:lang w:val="es-MX"/>
        </w:rPr>
        <w:t xml:space="preserve"> de</w:t>
      </w:r>
      <w:r w:rsidRPr="00433F7F">
        <w:rPr>
          <w:rFonts w:ascii="Arial" w:hAnsi="Arial" w:cs="Arial"/>
          <w:sz w:val="24"/>
          <w:szCs w:val="24"/>
          <w:lang w:val="es-MX"/>
        </w:rPr>
        <w:t xml:space="preserve"> presentar </w:t>
      </w:r>
      <w:r w:rsidR="00433F7F" w:rsidRPr="00433F7F">
        <w:rPr>
          <w:rFonts w:ascii="Arial" w:hAnsi="Arial" w:cs="Arial"/>
          <w:sz w:val="24"/>
          <w:szCs w:val="24"/>
          <w:lang w:val="es-MX"/>
        </w:rPr>
        <w:t xml:space="preserve">una </w:t>
      </w:r>
      <w:r w:rsidRPr="00433F7F">
        <w:rPr>
          <w:rFonts w:ascii="Arial" w:hAnsi="Arial" w:cs="Arial"/>
          <w:sz w:val="24"/>
          <w:szCs w:val="24"/>
          <w:lang w:val="es-MX"/>
        </w:rPr>
        <w:t xml:space="preserve">carta de </w:t>
      </w:r>
      <w:r w:rsidR="004037FD">
        <w:rPr>
          <w:rFonts w:ascii="Arial" w:hAnsi="Arial" w:cs="Arial"/>
          <w:sz w:val="24"/>
          <w:szCs w:val="24"/>
          <w:lang w:val="es-MX"/>
        </w:rPr>
        <w:t xml:space="preserve">no </w:t>
      </w:r>
      <w:r w:rsidRPr="00433F7F">
        <w:rPr>
          <w:rFonts w:ascii="Arial" w:hAnsi="Arial" w:cs="Arial"/>
          <w:sz w:val="24"/>
          <w:szCs w:val="24"/>
          <w:lang w:val="es-MX"/>
        </w:rPr>
        <w:t>antecedentes penales</w:t>
      </w:r>
      <w:r w:rsidR="004037FD">
        <w:rPr>
          <w:rFonts w:ascii="Arial" w:hAnsi="Arial" w:cs="Arial"/>
          <w:sz w:val="24"/>
          <w:szCs w:val="24"/>
          <w:lang w:val="es-MX"/>
        </w:rPr>
        <w:t>,</w:t>
      </w:r>
      <w:r w:rsidR="00433F7F" w:rsidRPr="00433F7F">
        <w:rPr>
          <w:rFonts w:ascii="Arial" w:hAnsi="Arial" w:cs="Arial"/>
          <w:sz w:val="24"/>
          <w:szCs w:val="24"/>
          <w:lang w:val="es-MX"/>
        </w:rPr>
        <w:t xml:space="preserve"> se ha</w:t>
      </w:r>
      <w:r w:rsidRPr="00433F7F">
        <w:rPr>
          <w:rFonts w:ascii="Arial" w:hAnsi="Arial" w:cs="Arial"/>
          <w:sz w:val="24"/>
          <w:szCs w:val="24"/>
          <w:lang w:val="es-MX"/>
        </w:rPr>
        <w:t xml:space="preserve"> conv</w:t>
      </w:r>
      <w:r w:rsidR="00433F7F" w:rsidRPr="00433F7F">
        <w:rPr>
          <w:rFonts w:ascii="Arial" w:hAnsi="Arial" w:cs="Arial"/>
          <w:sz w:val="24"/>
          <w:szCs w:val="24"/>
          <w:lang w:val="es-MX"/>
        </w:rPr>
        <w:t>ertido</w:t>
      </w:r>
      <w:r w:rsidRPr="00433F7F">
        <w:rPr>
          <w:rFonts w:ascii="Arial" w:hAnsi="Arial" w:cs="Arial"/>
          <w:sz w:val="24"/>
          <w:szCs w:val="24"/>
          <w:lang w:val="es-MX"/>
        </w:rPr>
        <w:t xml:space="preserve"> en una práctica muy normalizada en nuestro país para</w:t>
      </w:r>
      <w:r w:rsidR="00433F7F" w:rsidRPr="00433F7F">
        <w:rPr>
          <w:rFonts w:ascii="Arial" w:hAnsi="Arial" w:cs="Arial"/>
          <w:sz w:val="24"/>
          <w:szCs w:val="24"/>
          <w:lang w:val="es-MX"/>
        </w:rPr>
        <w:t xml:space="preserve"> tener</w:t>
      </w:r>
      <w:r w:rsidRPr="00433F7F">
        <w:rPr>
          <w:rFonts w:ascii="Arial" w:hAnsi="Arial" w:cs="Arial"/>
          <w:sz w:val="24"/>
          <w:szCs w:val="24"/>
          <w:lang w:val="es-MX"/>
        </w:rPr>
        <w:t xml:space="preserve"> acceso a</w:t>
      </w:r>
      <w:r w:rsidR="00433F7F" w:rsidRPr="00433F7F">
        <w:rPr>
          <w:rFonts w:ascii="Arial" w:hAnsi="Arial" w:cs="Arial"/>
          <w:sz w:val="24"/>
          <w:szCs w:val="24"/>
          <w:lang w:val="es-MX"/>
        </w:rPr>
        <w:t xml:space="preserve"> </w:t>
      </w:r>
      <w:r w:rsidR="004037FD">
        <w:rPr>
          <w:rFonts w:ascii="Arial" w:hAnsi="Arial" w:cs="Arial"/>
          <w:sz w:val="24"/>
          <w:szCs w:val="24"/>
          <w:lang w:val="es-MX"/>
        </w:rPr>
        <w:t>ciertos</w:t>
      </w:r>
      <w:r w:rsidRPr="00433F7F">
        <w:rPr>
          <w:rFonts w:ascii="Arial" w:hAnsi="Arial" w:cs="Arial"/>
          <w:sz w:val="24"/>
          <w:szCs w:val="24"/>
          <w:lang w:val="es-MX"/>
        </w:rPr>
        <w:t xml:space="preserve"> empleo</w:t>
      </w:r>
      <w:r w:rsidR="004037FD">
        <w:rPr>
          <w:rFonts w:ascii="Arial" w:hAnsi="Arial" w:cs="Arial"/>
          <w:sz w:val="24"/>
          <w:szCs w:val="24"/>
          <w:lang w:val="es-MX"/>
        </w:rPr>
        <w:t>s</w:t>
      </w:r>
      <w:r w:rsidRPr="00433F7F">
        <w:rPr>
          <w:rFonts w:ascii="Arial" w:hAnsi="Arial" w:cs="Arial"/>
          <w:sz w:val="24"/>
          <w:szCs w:val="24"/>
          <w:lang w:val="es-MX"/>
        </w:rPr>
        <w:t>. Por su parte, el art. 1</w:t>
      </w:r>
      <w:r w:rsidR="004037FD">
        <w:rPr>
          <w:rFonts w:ascii="Arial" w:hAnsi="Arial" w:cs="Arial"/>
          <w:sz w:val="24"/>
          <w:szCs w:val="24"/>
          <w:lang w:val="es-MX"/>
        </w:rPr>
        <w:t xml:space="preserve"> de la CPEUM</w:t>
      </w:r>
      <w:r w:rsidRPr="00433F7F">
        <w:rPr>
          <w:rFonts w:ascii="Arial" w:hAnsi="Arial" w:cs="Arial"/>
          <w:sz w:val="24"/>
          <w:szCs w:val="24"/>
          <w:lang w:val="es-MX"/>
        </w:rPr>
        <w:t xml:space="preserve"> prohíbe todo tipo de discriminación que atente a la dignidad humana de la persona y que tenga por objeto menoscabar los derechos y libertades de las personas. </w:t>
      </w:r>
    </w:p>
    <w:p w14:paraId="6DA0B79F" w14:textId="0300EF32"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El fin de dejar atrás rasgos inquisitivos en el modelo de justicia era necesario</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C</w:t>
      </w:r>
      <w:r w:rsidRPr="00433F7F">
        <w:rPr>
          <w:rFonts w:ascii="Arial" w:hAnsi="Arial" w:cs="Arial"/>
          <w:sz w:val="24"/>
          <w:szCs w:val="24"/>
          <w:lang w:val="es-MX"/>
        </w:rPr>
        <w:t>on esto se buscaba dejar atrás el trato ritualista, formalista</w:t>
      </w:r>
      <w:r w:rsidR="00433F7F" w:rsidRPr="00433F7F">
        <w:rPr>
          <w:rFonts w:ascii="Arial" w:hAnsi="Arial" w:cs="Arial"/>
          <w:sz w:val="24"/>
          <w:szCs w:val="24"/>
          <w:lang w:val="es-MX"/>
        </w:rPr>
        <w:t>,</w:t>
      </w:r>
      <w:r w:rsidRPr="00433F7F">
        <w:rPr>
          <w:rFonts w:ascii="Arial" w:hAnsi="Arial" w:cs="Arial"/>
          <w:sz w:val="24"/>
          <w:szCs w:val="24"/>
          <w:lang w:val="es-MX"/>
        </w:rPr>
        <w:t xml:space="preserve"> incomprensible, poco respetuoso de los derechos de la persona procesada, convirtiéndola en objeto del procedimiento y no en sujeto de un proceso que deberá resolverse cumpliendo con el derecho a la seguridad jurídica.</w:t>
      </w:r>
    </w:p>
    <w:p w14:paraId="49B14227" w14:textId="25D47BFB" w:rsidR="00BB4BC9" w:rsidRPr="00433F7F" w:rsidRDefault="00BB4BC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lastRenderedPageBreak/>
        <w:t>Quiero puntualizar que sería interesante entrar en supuestos en donde</w:t>
      </w:r>
      <w:r w:rsidR="00433F7F" w:rsidRPr="00433F7F">
        <w:rPr>
          <w:rFonts w:ascii="Arial" w:hAnsi="Arial" w:cs="Arial"/>
          <w:sz w:val="24"/>
          <w:szCs w:val="24"/>
          <w:lang w:val="es-MX"/>
        </w:rPr>
        <w:t>,</w:t>
      </w:r>
      <w:r w:rsidRPr="00433F7F">
        <w:rPr>
          <w:rFonts w:ascii="Arial" w:hAnsi="Arial" w:cs="Arial"/>
          <w:sz w:val="24"/>
          <w:szCs w:val="24"/>
          <w:lang w:val="es-MX"/>
        </w:rPr>
        <w:t xml:space="preserve"> dependiendo de la gravedad </w:t>
      </w:r>
      <w:r w:rsidR="004210EF">
        <w:rPr>
          <w:rFonts w:ascii="Arial" w:hAnsi="Arial" w:cs="Arial"/>
          <w:sz w:val="24"/>
          <w:szCs w:val="24"/>
          <w:lang w:val="es-MX"/>
        </w:rPr>
        <w:t>y d</w:t>
      </w:r>
      <w:r w:rsidRPr="00433F7F">
        <w:rPr>
          <w:rFonts w:ascii="Arial" w:hAnsi="Arial" w:cs="Arial"/>
          <w:sz w:val="24"/>
          <w:szCs w:val="24"/>
          <w:lang w:val="es-MX"/>
        </w:rPr>
        <w:t>el tipo de delito</w:t>
      </w:r>
      <w:r w:rsidR="00433F7F" w:rsidRPr="00433F7F">
        <w:rPr>
          <w:rFonts w:ascii="Arial" w:hAnsi="Arial" w:cs="Arial"/>
          <w:sz w:val="24"/>
          <w:szCs w:val="24"/>
          <w:lang w:val="es-MX"/>
        </w:rPr>
        <w:t>,</w:t>
      </w:r>
      <w:r w:rsidRPr="00433F7F">
        <w:rPr>
          <w:rFonts w:ascii="Arial" w:hAnsi="Arial" w:cs="Arial"/>
          <w:sz w:val="24"/>
          <w:szCs w:val="24"/>
          <w:lang w:val="es-MX"/>
        </w:rPr>
        <w:t xml:space="preserve"> se pudiera tener que considerar</w:t>
      </w:r>
      <w:r w:rsidR="00433F7F" w:rsidRPr="00433F7F">
        <w:rPr>
          <w:rFonts w:ascii="Arial" w:hAnsi="Arial" w:cs="Arial"/>
          <w:sz w:val="24"/>
          <w:szCs w:val="24"/>
          <w:lang w:val="es-MX"/>
        </w:rPr>
        <w:t>,</w:t>
      </w:r>
      <w:r w:rsidRPr="00433F7F">
        <w:rPr>
          <w:rFonts w:ascii="Arial" w:hAnsi="Arial" w:cs="Arial"/>
          <w:sz w:val="24"/>
          <w:szCs w:val="24"/>
          <w:lang w:val="es-MX"/>
        </w:rPr>
        <w:t xml:space="preserve"> por si existe riesgo</w:t>
      </w:r>
      <w:r w:rsidR="00433F7F" w:rsidRPr="00433F7F">
        <w:rPr>
          <w:rFonts w:ascii="Arial" w:hAnsi="Arial" w:cs="Arial"/>
          <w:sz w:val="24"/>
          <w:szCs w:val="24"/>
          <w:lang w:val="es-MX"/>
        </w:rPr>
        <w:t>,</w:t>
      </w:r>
      <w:r w:rsidRPr="00433F7F">
        <w:rPr>
          <w:rFonts w:ascii="Arial" w:hAnsi="Arial" w:cs="Arial"/>
          <w:sz w:val="24"/>
          <w:szCs w:val="24"/>
          <w:lang w:val="es-MX"/>
        </w:rPr>
        <w:t xml:space="preserve"> en cuanto a la seguridad o integridad de las personas. Supongamos que se trata de un delito sexual contra una persona menor de edad y la persona </w:t>
      </w:r>
      <w:r w:rsidR="004210EF">
        <w:rPr>
          <w:rFonts w:ascii="Arial" w:hAnsi="Arial" w:cs="Arial"/>
          <w:sz w:val="24"/>
          <w:szCs w:val="24"/>
          <w:lang w:val="es-MX"/>
        </w:rPr>
        <w:t>busque</w:t>
      </w:r>
      <w:r w:rsidRPr="00433F7F">
        <w:rPr>
          <w:rFonts w:ascii="Arial" w:hAnsi="Arial" w:cs="Arial"/>
          <w:sz w:val="24"/>
          <w:szCs w:val="24"/>
          <w:lang w:val="es-MX"/>
        </w:rPr>
        <w:t xml:space="preserve"> trabajo en una guardería, escuela o centros </w:t>
      </w:r>
      <w:r w:rsidR="004210EF">
        <w:rPr>
          <w:rFonts w:ascii="Arial" w:hAnsi="Arial" w:cs="Arial"/>
          <w:sz w:val="24"/>
          <w:szCs w:val="24"/>
          <w:lang w:val="es-MX"/>
        </w:rPr>
        <w:t>que reúna a menores de edad</w:t>
      </w:r>
      <w:r w:rsidRPr="00433F7F">
        <w:rPr>
          <w:rFonts w:ascii="Arial" w:hAnsi="Arial" w:cs="Arial"/>
          <w:sz w:val="24"/>
          <w:szCs w:val="24"/>
          <w:lang w:val="es-MX"/>
        </w:rPr>
        <w:t xml:space="preserve">. Situaciones muy puntuales en donde cabría tenerlo en consideración. Sin embargo, si se trata de una situación </w:t>
      </w:r>
      <w:r w:rsidR="00433F7F" w:rsidRPr="00433F7F">
        <w:rPr>
          <w:rFonts w:ascii="Arial" w:hAnsi="Arial" w:cs="Arial"/>
          <w:sz w:val="24"/>
          <w:szCs w:val="24"/>
          <w:lang w:val="es-MX"/>
        </w:rPr>
        <w:t>en</w:t>
      </w:r>
      <w:r w:rsidRPr="00433F7F">
        <w:rPr>
          <w:rFonts w:ascii="Arial" w:hAnsi="Arial" w:cs="Arial"/>
          <w:sz w:val="24"/>
          <w:szCs w:val="24"/>
          <w:lang w:val="es-MX"/>
        </w:rPr>
        <w:t xml:space="preserve"> la </w:t>
      </w:r>
      <w:r w:rsidR="00433F7F" w:rsidRPr="00433F7F">
        <w:rPr>
          <w:rFonts w:ascii="Arial" w:hAnsi="Arial" w:cs="Arial"/>
          <w:sz w:val="24"/>
          <w:szCs w:val="24"/>
          <w:lang w:val="es-MX"/>
        </w:rPr>
        <w:t xml:space="preserve">que la </w:t>
      </w:r>
      <w:r w:rsidRPr="00433F7F">
        <w:rPr>
          <w:rFonts w:ascii="Arial" w:hAnsi="Arial" w:cs="Arial"/>
          <w:sz w:val="24"/>
          <w:szCs w:val="24"/>
          <w:lang w:val="es-MX"/>
        </w:rPr>
        <w:t>persona cumplió condena por una estafa, un puesto relacionado con el acceso a documentación relacionada con finanzas, pagos, entre otras de la empresa. Pero</w:t>
      </w:r>
      <w:r w:rsidR="00433F7F" w:rsidRPr="00433F7F">
        <w:rPr>
          <w:rFonts w:ascii="Arial" w:hAnsi="Arial" w:cs="Arial"/>
          <w:sz w:val="24"/>
          <w:szCs w:val="24"/>
          <w:lang w:val="es-MX"/>
        </w:rPr>
        <w:t>,</w:t>
      </w:r>
      <w:r w:rsidRPr="00433F7F">
        <w:rPr>
          <w:rFonts w:ascii="Arial" w:hAnsi="Arial" w:cs="Arial"/>
          <w:sz w:val="24"/>
          <w:szCs w:val="24"/>
          <w:lang w:val="es-MX"/>
        </w:rPr>
        <w:t xml:space="preserve"> en otros cargos sí podría acceder</w:t>
      </w:r>
      <w:r w:rsidR="00433F7F" w:rsidRPr="00433F7F">
        <w:rPr>
          <w:rFonts w:ascii="Arial" w:hAnsi="Arial" w:cs="Arial"/>
          <w:sz w:val="24"/>
          <w:szCs w:val="24"/>
          <w:lang w:val="es-MX"/>
        </w:rPr>
        <w:t xml:space="preserve">, </w:t>
      </w:r>
      <w:r w:rsidRPr="00433F7F">
        <w:rPr>
          <w:rFonts w:ascii="Arial" w:hAnsi="Arial" w:cs="Arial"/>
          <w:sz w:val="24"/>
          <w:szCs w:val="24"/>
          <w:lang w:val="es-MX"/>
        </w:rPr>
        <w:t>de lo contrario, la presunción de inocencia sería mera simulación</w:t>
      </w:r>
      <w:r w:rsidR="00433F7F" w:rsidRPr="00433F7F">
        <w:rPr>
          <w:rFonts w:ascii="Arial" w:hAnsi="Arial" w:cs="Arial"/>
          <w:sz w:val="24"/>
          <w:szCs w:val="24"/>
          <w:lang w:val="es-MX"/>
        </w:rPr>
        <w:t xml:space="preserve">. </w:t>
      </w:r>
      <w:r w:rsidRPr="00433F7F">
        <w:rPr>
          <w:rFonts w:ascii="Arial" w:hAnsi="Arial" w:cs="Arial"/>
          <w:sz w:val="24"/>
          <w:szCs w:val="24"/>
          <w:lang w:val="es-MX"/>
        </w:rPr>
        <w:t xml:space="preserve"> </w:t>
      </w:r>
      <w:r w:rsidR="00433F7F" w:rsidRPr="00433F7F">
        <w:rPr>
          <w:rFonts w:ascii="Arial" w:hAnsi="Arial" w:cs="Arial"/>
          <w:sz w:val="24"/>
          <w:szCs w:val="24"/>
          <w:lang w:val="es-MX"/>
        </w:rPr>
        <w:t>Y, en el mismo sentido,</w:t>
      </w:r>
      <w:r w:rsidRPr="00433F7F">
        <w:rPr>
          <w:rFonts w:ascii="Arial" w:hAnsi="Arial" w:cs="Arial"/>
          <w:sz w:val="24"/>
          <w:szCs w:val="24"/>
          <w:lang w:val="es-MX"/>
        </w:rPr>
        <w:t xml:space="preserve"> que quien fue condenado nunca podrá quitarse el estigma. </w:t>
      </w:r>
    </w:p>
    <w:p w14:paraId="3043A185" w14:textId="77777777" w:rsidR="00BB4BC9" w:rsidRPr="00433F7F" w:rsidRDefault="00BB4BC9" w:rsidP="00433F7F">
      <w:pPr>
        <w:pStyle w:val="Prrafodelista"/>
        <w:spacing w:line="360" w:lineRule="auto"/>
        <w:ind w:right="720"/>
        <w:jc w:val="both"/>
        <w:rPr>
          <w:rFonts w:ascii="Arial" w:hAnsi="Arial" w:cs="Arial"/>
          <w:sz w:val="24"/>
          <w:szCs w:val="24"/>
          <w:lang w:val="es-MX"/>
        </w:rPr>
      </w:pPr>
    </w:p>
    <w:p w14:paraId="2D982C81" w14:textId="1A73E451" w:rsidR="00BB4BC9" w:rsidRPr="00433F7F" w:rsidRDefault="00BB4BC9" w:rsidP="00433F7F">
      <w:pPr>
        <w:pStyle w:val="Prrafodelista"/>
        <w:spacing w:line="360" w:lineRule="auto"/>
        <w:ind w:right="720"/>
        <w:jc w:val="both"/>
        <w:rPr>
          <w:rFonts w:ascii="Arial" w:hAnsi="Arial" w:cs="Arial"/>
          <w:sz w:val="24"/>
          <w:szCs w:val="24"/>
          <w:lang w:val="es-MX"/>
        </w:rPr>
      </w:pPr>
      <w:r w:rsidRPr="00433F7F">
        <w:rPr>
          <w:rFonts w:ascii="Arial" w:hAnsi="Arial" w:cs="Arial"/>
          <w:sz w:val="24"/>
          <w:szCs w:val="24"/>
          <w:lang w:val="es-MX"/>
        </w:rPr>
        <w:t>Recordemos que para el acceso al empleo, el sentido de no discriminación por parte de la Ley Federal del Trabajo</w:t>
      </w:r>
      <w:r w:rsidR="00433F7F" w:rsidRPr="00433F7F">
        <w:rPr>
          <w:rFonts w:ascii="Arial" w:hAnsi="Arial" w:cs="Arial"/>
          <w:sz w:val="24"/>
          <w:szCs w:val="24"/>
          <w:lang w:val="es-MX"/>
        </w:rPr>
        <w:t>,</w:t>
      </w:r>
      <w:r w:rsidRPr="00433F7F">
        <w:rPr>
          <w:rFonts w:ascii="Arial" w:hAnsi="Arial" w:cs="Arial"/>
          <w:sz w:val="24"/>
          <w:szCs w:val="24"/>
          <w:lang w:val="es-MX"/>
        </w:rPr>
        <w:t xml:space="preserve"> señala en su artículo 133, fracción I</w:t>
      </w:r>
      <w:r w:rsidR="00433F7F" w:rsidRPr="00433F7F">
        <w:rPr>
          <w:rFonts w:ascii="Arial" w:hAnsi="Arial" w:cs="Arial"/>
          <w:sz w:val="24"/>
          <w:szCs w:val="24"/>
          <w:lang w:val="es-MX"/>
        </w:rPr>
        <w:t xml:space="preserve"> </w:t>
      </w:r>
      <w:r w:rsidRPr="00433F7F">
        <w:rPr>
          <w:rFonts w:ascii="Arial" w:hAnsi="Arial" w:cs="Arial"/>
          <w:sz w:val="24"/>
          <w:szCs w:val="24"/>
          <w:lang w:val="es-MX"/>
        </w:rPr>
        <w:t>que se prohíbe a los patrones o a sus representantes "Negarse a aceptar trabajadores por razón de origen étnico o nacional, género, edad, discapacidad, condición social, condiciones de salud, religión, opiniones, preferencias sexuales, estado civil o cualquier otro criterio que pueda dar lugar a un acto discriminatorio;(…)” el cual puede materializarse al solicitar la constancia de antecedentes penales. Una vez que se cumple condena, la persona tiene derecho a reinsertarse a la sociedad, sin embargo, es difícil quitar la afrenta de haber pasado por prisión con el fin de proteger a la persona y evitar que sea discriminada y victimizada por el propio Estado que es quien debería garantizar</w:t>
      </w:r>
      <w:r w:rsidR="00433F7F" w:rsidRPr="00433F7F">
        <w:rPr>
          <w:rFonts w:ascii="Arial" w:hAnsi="Arial" w:cs="Arial"/>
          <w:sz w:val="24"/>
          <w:szCs w:val="24"/>
          <w:lang w:val="es-MX"/>
        </w:rPr>
        <w:t xml:space="preserve"> el cumplimiento de sus derechos</w:t>
      </w:r>
      <w:r w:rsidRPr="00433F7F">
        <w:rPr>
          <w:rFonts w:ascii="Arial" w:hAnsi="Arial" w:cs="Arial"/>
          <w:sz w:val="24"/>
          <w:szCs w:val="24"/>
          <w:lang w:val="es-MX"/>
        </w:rPr>
        <w:t>.</w:t>
      </w:r>
    </w:p>
    <w:p w14:paraId="41F02BC0" w14:textId="77777777" w:rsidR="00BB4BC9" w:rsidRPr="00433F7F" w:rsidRDefault="00BB4BC9" w:rsidP="00433F7F">
      <w:pPr>
        <w:spacing w:line="360" w:lineRule="auto"/>
        <w:ind w:left="720" w:right="720" w:hanging="54"/>
        <w:jc w:val="both"/>
        <w:rPr>
          <w:rFonts w:ascii="Arial" w:hAnsi="Arial" w:cs="Arial"/>
          <w:color w:val="000000"/>
          <w:sz w:val="24"/>
          <w:szCs w:val="24"/>
          <w:lang w:val="es-MX"/>
        </w:rPr>
      </w:pPr>
      <w:r w:rsidRPr="00433F7F">
        <w:rPr>
          <w:rFonts w:ascii="Arial" w:hAnsi="Arial" w:cs="Arial"/>
          <w:color w:val="000000"/>
          <w:sz w:val="24"/>
          <w:szCs w:val="24"/>
          <w:lang w:val="es-MX"/>
        </w:rPr>
        <w:t xml:space="preserve">Cabe recordar que es necesario acudir a la cancelación del registro de antecedentes penales, para ello, está previsto por la LNEP diferentes supuestos en donde se debe cancelar la emisión de constancia de dichos antecedentes penales en los siguientes casos: </w:t>
      </w:r>
    </w:p>
    <w:p w14:paraId="35CB4B41" w14:textId="6C6BD88C" w:rsidR="00BB4BC9" w:rsidRPr="00433F7F" w:rsidRDefault="00BB4BC9" w:rsidP="00433F7F">
      <w:pPr>
        <w:spacing w:line="360" w:lineRule="auto"/>
        <w:ind w:left="720" w:right="720" w:hanging="54"/>
        <w:jc w:val="both"/>
        <w:rPr>
          <w:rFonts w:ascii="Arial" w:hAnsi="Arial" w:cs="Arial"/>
          <w:color w:val="000000"/>
          <w:sz w:val="24"/>
          <w:szCs w:val="24"/>
          <w:lang w:val="es-MX"/>
        </w:rPr>
      </w:pPr>
      <w:r w:rsidRPr="00433F7F">
        <w:rPr>
          <w:rFonts w:ascii="Arial" w:hAnsi="Arial" w:cs="Arial"/>
          <w:color w:val="000000"/>
          <w:sz w:val="24"/>
          <w:szCs w:val="24"/>
          <w:lang w:val="es-MX"/>
        </w:rPr>
        <w:lastRenderedPageBreak/>
        <w:t xml:space="preserve">A.  </w:t>
      </w:r>
      <w:r w:rsidR="004037FD">
        <w:rPr>
          <w:rFonts w:ascii="Arial" w:hAnsi="Arial" w:cs="Arial"/>
          <w:sz w:val="24"/>
          <w:szCs w:val="24"/>
          <w:lang w:val="es-MX"/>
        </w:rPr>
        <w:t>s</w:t>
      </w:r>
      <w:r w:rsidRPr="00433F7F">
        <w:rPr>
          <w:rFonts w:ascii="Arial" w:hAnsi="Arial" w:cs="Arial"/>
          <w:sz w:val="24"/>
          <w:szCs w:val="24"/>
          <w:lang w:val="es-MX"/>
        </w:rPr>
        <w:t xml:space="preserve">e resuelva la libertad del detenido; </w:t>
      </w:r>
    </w:p>
    <w:p w14:paraId="5312C2AC" w14:textId="6B0AA4D4" w:rsidR="00BB4BC9" w:rsidRPr="00433F7F" w:rsidRDefault="00BB4BC9" w:rsidP="00433F7F">
      <w:pPr>
        <w:spacing w:line="360" w:lineRule="auto"/>
        <w:ind w:left="720" w:right="720" w:hanging="54"/>
        <w:jc w:val="both"/>
        <w:rPr>
          <w:rFonts w:ascii="Arial" w:hAnsi="Arial" w:cs="Arial"/>
          <w:color w:val="000000"/>
          <w:sz w:val="24"/>
          <w:szCs w:val="24"/>
          <w:lang w:val="es-MX"/>
        </w:rPr>
      </w:pPr>
      <w:r w:rsidRPr="00433F7F">
        <w:rPr>
          <w:rFonts w:ascii="Arial" w:hAnsi="Arial" w:cs="Arial"/>
          <w:sz w:val="24"/>
          <w:szCs w:val="24"/>
          <w:lang w:val="es-MX"/>
        </w:rPr>
        <w:t xml:space="preserve">B. </w:t>
      </w:r>
      <w:r w:rsidR="00433F7F" w:rsidRPr="00433F7F">
        <w:rPr>
          <w:rFonts w:ascii="Arial" w:hAnsi="Arial" w:cs="Arial"/>
          <w:sz w:val="24"/>
          <w:szCs w:val="24"/>
          <w:lang w:val="es-MX"/>
        </w:rPr>
        <w:t>e</w:t>
      </w:r>
      <w:r w:rsidRPr="00433F7F">
        <w:rPr>
          <w:rFonts w:ascii="Arial" w:hAnsi="Arial" w:cs="Arial"/>
          <w:sz w:val="24"/>
          <w:szCs w:val="24"/>
          <w:lang w:val="es-MX"/>
        </w:rPr>
        <w:t xml:space="preserve">n la investigación no se hayan reunido los elementos necesarios para ejercer la acción penal; </w:t>
      </w:r>
    </w:p>
    <w:p w14:paraId="11C313F5" w14:textId="12625C11" w:rsidR="00BB4BC9" w:rsidRPr="00433F7F" w:rsidRDefault="00BB4BC9" w:rsidP="00433F7F">
      <w:pPr>
        <w:spacing w:line="360" w:lineRule="auto"/>
        <w:ind w:left="720" w:right="720" w:hanging="54"/>
        <w:jc w:val="both"/>
        <w:rPr>
          <w:rFonts w:ascii="Arial" w:hAnsi="Arial" w:cs="Arial"/>
          <w:sz w:val="24"/>
          <w:szCs w:val="24"/>
          <w:lang w:val="es-MX"/>
        </w:rPr>
      </w:pPr>
      <w:r w:rsidRPr="00433F7F">
        <w:rPr>
          <w:rFonts w:ascii="Arial" w:hAnsi="Arial" w:cs="Arial"/>
          <w:sz w:val="24"/>
          <w:szCs w:val="24"/>
          <w:lang w:val="es-MX"/>
        </w:rPr>
        <w:t xml:space="preserve">C. </w:t>
      </w:r>
      <w:r w:rsidR="00433F7F" w:rsidRPr="00433F7F">
        <w:rPr>
          <w:rFonts w:ascii="Arial" w:hAnsi="Arial" w:cs="Arial"/>
          <w:sz w:val="24"/>
          <w:szCs w:val="24"/>
          <w:lang w:val="es-MX"/>
        </w:rPr>
        <w:t>s</w:t>
      </w:r>
      <w:r w:rsidRPr="00433F7F">
        <w:rPr>
          <w:rFonts w:ascii="Arial" w:hAnsi="Arial" w:cs="Arial"/>
          <w:sz w:val="24"/>
          <w:szCs w:val="24"/>
          <w:lang w:val="es-MX"/>
        </w:rPr>
        <w:t xml:space="preserve">e haya determinado la inocencia de la persona imputada; </w:t>
      </w:r>
    </w:p>
    <w:p w14:paraId="09D797E3" w14:textId="6272C62D" w:rsidR="00433F7F" w:rsidRPr="00433F7F" w:rsidRDefault="00BB4BC9" w:rsidP="00433F7F">
      <w:pPr>
        <w:spacing w:line="360" w:lineRule="auto"/>
        <w:ind w:left="720" w:right="720" w:hanging="54"/>
        <w:jc w:val="both"/>
        <w:rPr>
          <w:rFonts w:ascii="Arial" w:hAnsi="Arial" w:cs="Arial"/>
          <w:sz w:val="24"/>
          <w:szCs w:val="24"/>
          <w:lang w:val="es-MX"/>
        </w:rPr>
      </w:pPr>
      <w:r w:rsidRPr="00433F7F">
        <w:rPr>
          <w:rFonts w:ascii="Arial" w:hAnsi="Arial" w:cs="Arial"/>
          <w:sz w:val="24"/>
          <w:szCs w:val="24"/>
          <w:lang w:val="es-MX"/>
        </w:rPr>
        <w:t xml:space="preserve">D. </w:t>
      </w:r>
      <w:r w:rsidR="00433F7F" w:rsidRPr="00433F7F">
        <w:rPr>
          <w:rFonts w:ascii="Arial" w:hAnsi="Arial" w:cs="Arial"/>
          <w:sz w:val="24"/>
          <w:szCs w:val="24"/>
          <w:lang w:val="es-MX"/>
        </w:rPr>
        <w:t>e</w:t>
      </w:r>
      <w:r w:rsidRPr="00433F7F">
        <w:rPr>
          <w:rFonts w:ascii="Arial" w:hAnsi="Arial" w:cs="Arial"/>
          <w:sz w:val="24"/>
          <w:szCs w:val="24"/>
          <w:lang w:val="es-MX"/>
        </w:rPr>
        <w:t>l proceso penal haya concluido con una sentencia absolutoria que cause estado;</w:t>
      </w:r>
    </w:p>
    <w:p w14:paraId="03E15ED2" w14:textId="1C8F0B4B" w:rsidR="00BB4BC9" w:rsidRPr="00433F7F" w:rsidRDefault="00BB4BC9" w:rsidP="00433F7F">
      <w:pPr>
        <w:spacing w:line="360" w:lineRule="auto"/>
        <w:ind w:left="720" w:right="720" w:hanging="54"/>
        <w:jc w:val="both"/>
        <w:rPr>
          <w:rFonts w:ascii="Arial" w:hAnsi="Arial" w:cs="Arial"/>
          <w:sz w:val="24"/>
          <w:szCs w:val="24"/>
          <w:lang w:val="es-MX"/>
        </w:rPr>
      </w:pPr>
      <w:r w:rsidRPr="00433F7F">
        <w:rPr>
          <w:rFonts w:ascii="Arial" w:hAnsi="Arial" w:cs="Arial"/>
          <w:sz w:val="24"/>
          <w:szCs w:val="24"/>
          <w:lang w:val="es-MX"/>
        </w:rPr>
        <w:t xml:space="preserve">E. </w:t>
      </w:r>
      <w:r w:rsidR="00433F7F" w:rsidRPr="00433F7F">
        <w:rPr>
          <w:rFonts w:ascii="Arial" w:hAnsi="Arial" w:cs="Arial"/>
          <w:sz w:val="24"/>
          <w:szCs w:val="24"/>
          <w:lang w:val="es-MX"/>
        </w:rPr>
        <w:t>e</w:t>
      </w:r>
      <w:r w:rsidRPr="00433F7F">
        <w:rPr>
          <w:rFonts w:ascii="Arial" w:hAnsi="Arial" w:cs="Arial"/>
          <w:sz w:val="24"/>
          <w:szCs w:val="24"/>
          <w:lang w:val="es-MX"/>
        </w:rPr>
        <w:t xml:space="preserve">n el caso de que el sobreseimiento recayera sobre la totalidad de los delitos a que se refiere la causa que se le sigue a la persona imputada; </w:t>
      </w:r>
    </w:p>
    <w:p w14:paraId="77FF5655" w14:textId="36B0F5A4" w:rsidR="00BB4BC9" w:rsidRPr="00433F7F" w:rsidRDefault="00BB4BC9" w:rsidP="00433F7F">
      <w:pPr>
        <w:spacing w:line="360" w:lineRule="auto"/>
        <w:ind w:left="720" w:right="720" w:hanging="54"/>
        <w:jc w:val="both"/>
        <w:rPr>
          <w:rFonts w:ascii="Arial" w:hAnsi="Arial" w:cs="Arial"/>
          <w:sz w:val="24"/>
          <w:szCs w:val="24"/>
          <w:lang w:val="es-MX"/>
        </w:rPr>
      </w:pPr>
      <w:r w:rsidRPr="00433F7F">
        <w:rPr>
          <w:rFonts w:ascii="Arial" w:hAnsi="Arial" w:cs="Arial"/>
          <w:sz w:val="24"/>
          <w:szCs w:val="24"/>
          <w:lang w:val="es-MX"/>
        </w:rPr>
        <w:t xml:space="preserve">F. </w:t>
      </w:r>
      <w:r w:rsidR="00433F7F" w:rsidRPr="00433F7F">
        <w:rPr>
          <w:rFonts w:ascii="Arial" w:hAnsi="Arial" w:cs="Arial"/>
          <w:sz w:val="24"/>
          <w:szCs w:val="24"/>
          <w:lang w:val="es-MX"/>
        </w:rPr>
        <w:t>l</w:t>
      </w:r>
      <w:r w:rsidRPr="00433F7F">
        <w:rPr>
          <w:rFonts w:ascii="Arial" w:hAnsi="Arial" w:cs="Arial"/>
          <w:sz w:val="24"/>
          <w:szCs w:val="24"/>
          <w:lang w:val="es-MX"/>
        </w:rPr>
        <w:t>a persona sentenciada sea declarada inocente por resolución dictada en recurso de revisión correspondiente</w:t>
      </w:r>
      <w:r w:rsidRPr="00433F7F">
        <w:rPr>
          <w:rStyle w:val="Refdenotaalpie"/>
          <w:rFonts w:ascii="Arial" w:hAnsi="Arial" w:cs="Arial"/>
          <w:sz w:val="24"/>
          <w:szCs w:val="24"/>
          <w:lang w:val="es-MX"/>
        </w:rPr>
        <w:footnoteReference w:id="60"/>
      </w:r>
      <w:r w:rsidRPr="00433F7F">
        <w:rPr>
          <w:rFonts w:ascii="Arial" w:hAnsi="Arial" w:cs="Arial"/>
          <w:sz w:val="24"/>
          <w:szCs w:val="24"/>
          <w:lang w:val="es-MX"/>
        </w:rPr>
        <w:t xml:space="preserve">. </w:t>
      </w:r>
    </w:p>
    <w:p w14:paraId="199FF5FD" w14:textId="3DCC73AA"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todos estos supuestos la persona estuvo sometida al proceso o</w:t>
      </w:r>
      <w:r w:rsidR="00433F7F" w:rsidRPr="00433F7F">
        <w:rPr>
          <w:rFonts w:ascii="Arial" w:hAnsi="Arial" w:cs="Arial"/>
          <w:sz w:val="24"/>
          <w:szCs w:val="24"/>
          <w:lang w:val="es-MX"/>
        </w:rPr>
        <w:t>,</w:t>
      </w:r>
      <w:r w:rsidRPr="00433F7F">
        <w:rPr>
          <w:rFonts w:ascii="Arial" w:hAnsi="Arial" w:cs="Arial"/>
          <w:sz w:val="24"/>
          <w:szCs w:val="24"/>
          <w:lang w:val="es-MX"/>
        </w:rPr>
        <w:t xml:space="preserve"> al menos</w:t>
      </w:r>
      <w:r w:rsidR="00433F7F" w:rsidRPr="00433F7F">
        <w:rPr>
          <w:rFonts w:ascii="Arial" w:hAnsi="Arial" w:cs="Arial"/>
          <w:sz w:val="24"/>
          <w:szCs w:val="24"/>
          <w:lang w:val="es-MX"/>
        </w:rPr>
        <w:t>,</w:t>
      </w:r>
      <w:r w:rsidRPr="00433F7F">
        <w:rPr>
          <w:rFonts w:ascii="Arial" w:hAnsi="Arial" w:cs="Arial"/>
          <w:sz w:val="24"/>
          <w:szCs w:val="24"/>
          <w:lang w:val="es-MX"/>
        </w:rPr>
        <w:t xml:space="preserve"> a parte de este o</w:t>
      </w:r>
      <w:r w:rsidR="00433F7F" w:rsidRPr="00433F7F">
        <w:rPr>
          <w:rFonts w:ascii="Arial" w:hAnsi="Arial" w:cs="Arial"/>
          <w:sz w:val="24"/>
          <w:szCs w:val="24"/>
          <w:lang w:val="es-MX"/>
        </w:rPr>
        <w:t>,</w:t>
      </w:r>
      <w:r w:rsidRPr="00433F7F">
        <w:rPr>
          <w:rFonts w:ascii="Arial" w:hAnsi="Arial" w:cs="Arial"/>
          <w:sz w:val="24"/>
          <w:szCs w:val="24"/>
          <w:lang w:val="es-MX"/>
        </w:rPr>
        <w:t xml:space="preserve"> en su defecto</w:t>
      </w:r>
      <w:r w:rsidR="00433F7F" w:rsidRPr="00433F7F">
        <w:rPr>
          <w:rFonts w:ascii="Arial" w:hAnsi="Arial" w:cs="Arial"/>
          <w:sz w:val="24"/>
          <w:szCs w:val="24"/>
          <w:lang w:val="es-MX"/>
        </w:rPr>
        <w:t>,</w:t>
      </w:r>
      <w:r w:rsidRPr="00433F7F">
        <w:rPr>
          <w:rFonts w:ascii="Arial" w:hAnsi="Arial" w:cs="Arial"/>
          <w:sz w:val="24"/>
          <w:szCs w:val="24"/>
          <w:lang w:val="es-MX"/>
        </w:rPr>
        <w:t xml:space="preserve"> el proceso concluyó y se determinó la absolución por los cargos que se la acusó, desafortunadamente</w:t>
      </w:r>
      <w:r w:rsidR="00433F7F" w:rsidRPr="00433F7F">
        <w:rPr>
          <w:rFonts w:ascii="Arial" w:hAnsi="Arial" w:cs="Arial"/>
          <w:sz w:val="24"/>
          <w:szCs w:val="24"/>
          <w:lang w:val="es-MX"/>
        </w:rPr>
        <w:t>,</w:t>
      </w:r>
      <w:r w:rsidRPr="00433F7F">
        <w:rPr>
          <w:rFonts w:ascii="Arial" w:hAnsi="Arial" w:cs="Arial"/>
          <w:sz w:val="24"/>
          <w:szCs w:val="24"/>
          <w:lang w:val="es-MX"/>
        </w:rPr>
        <w:t xml:space="preserve"> esta cancelación en muchos casos no se realizaba o no se garantizaba que se terminaran cancelando de los registros del en el Sistema Nacional de Información Penitenciaria del Sistema Único de Información Criminal.</w:t>
      </w:r>
    </w:p>
    <w:p w14:paraId="65428D05" w14:textId="68F2323B" w:rsidR="00433F7F" w:rsidRDefault="00BB4BC9" w:rsidP="00433F7F">
      <w:pPr>
        <w:spacing w:line="360" w:lineRule="auto"/>
        <w:ind w:left="720" w:right="720"/>
        <w:jc w:val="both"/>
        <w:rPr>
          <w:rFonts w:ascii="Arial" w:hAnsi="Arial" w:cs="Arial"/>
          <w:color w:val="000000"/>
          <w:sz w:val="24"/>
          <w:szCs w:val="24"/>
          <w:lang w:val="es-MX"/>
        </w:rPr>
      </w:pPr>
      <w:r w:rsidRPr="00433F7F">
        <w:rPr>
          <w:rFonts w:ascii="Arial" w:hAnsi="Arial" w:cs="Arial"/>
          <w:sz w:val="24"/>
          <w:szCs w:val="24"/>
          <w:lang w:val="es-MX"/>
        </w:rPr>
        <w:t>Y</w:t>
      </w:r>
      <w:r w:rsidR="00433F7F" w:rsidRPr="00433F7F">
        <w:rPr>
          <w:rFonts w:ascii="Arial" w:hAnsi="Arial" w:cs="Arial"/>
          <w:sz w:val="24"/>
          <w:szCs w:val="24"/>
          <w:lang w:val="es-MX"/>
        </w:rPr>
        <w:t>,</w:t>
      </w:r>
      <w:r w:rsidRPr="00433F7F">
        <w:rPr>
          <w:rFonts w:ascii="Arial" w:hAnsi="Arial" w:cs="Arial"/>
          <w:sz w:val="24"/>
          <w:szCs w:val="24"/>
          <w:lang w:val="es-MX"/>
        </w:rPr>
        <w:t xml:space="preserve"> aunque estas obligaciones</w:t>
      </w:r>
      <w:r w:rsidR="00433F7F" w:rsidRPr="00433F7F">
        <w:rPr>
          <w:rFonts w:ascii="Arial" w:hAnsi="Arial" w:cs="Arial"/>
          <w:sz w:val="24"/>
          <w:szCs w:val="24"/>
          <w:lang w:val="es-MX"/>
        </w:rPr>
        <w:t xml:space="preserve">, </w:t>
      </w:r>
      <w:r w:rsidRPr="00433F7F">
        <w:rPr>
          <w:rFonts w:ascii="Arial" w:hAnsi="Arial" w:cs="Arial"/>
          <w:sz w:val="24"/>
          <w:szCs w:val="24"/>
          <w:lang w:val="es-MX"/>
        </w:rPr>
        <w:t>como mencioné, las recoge la LNEP en su art. 27, la contribución hecha por la Corte y</w:t>
      </w:r>
      <w:r w:rsidR="00433F7F" w:rsidRPr="00433F7F">
        <w:rPr>
          <w:rFonts w:ascii="Arial" w:hAnsi="Arial" w:cs="Arial"/>
          <w:sz w:val="24"/>
          <w:szCs w:val="24"/>
          <w:lang w:val="es-MX"/>
        </w:rPr>
        <w:t>,</w:t>
      </w:r>
      <w:r w:rsidRPr="00433F7F">
        <w:rPr>
          <w:rFonts w:ascii="Arial" w:hAnsi="Arial" w:cs="Arial"/>
          <w:sz w:val="24"/>
          <w:szCs w:val="24"/>
          <w:lang w:val="es-MX"/>
        </w:rPr>
        <w:t xml:space="preserve"> con el fin de evitar la vulneración a la presunción de inocencia</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Pr="00433F7F">
        <w:rPr>
          <w:rFonts w:ascii="Arial" w:hAnsi="Arial" w:cs="Arial"/>
          <w:color w:val="000000"/>
          <w:sz w:val="24"/>
          <w:szCs w:val="24"/>
          <w:lang w:val="es-MX"/>
        </w:rPr>
        <w:t>se determinó que</w:t>
      </w:r>
    </w:p>
    <w:p w14:paraId="57EB8C2A" w14:textId="77777777" w:rsidR="00433F7F" w:rsidRDefault="00433F7F" w:rsidP="00433F7F">
      <w:pPr>
        <w:spacing w:line="360" w:lineRule="auto"/>
        <w:ind w:left="720" w:right="720"/>
        <w:jc w:val="both"/>
        <w:rPr>
          <w:rFonts w:ascii="Arial" w:hAnsi="Arial" w:cs="Arial"/>
          <w:color w:val="000000"/>
          <w:sz w:val="24"/>
          <w:szCs w:val="24"/>
          <w:lang w:val="es-MX"/>
        </w:rPr>
      </w:pPr>
    </w:p>
    <w:p w14:paraId="28ACAF2C" w14:textId="2E7DE9E3" w:rsidR="00BB4BC9" w:rsidRPr="00433F7F" w:rsidRDefault="00BB4BC9" w:rsidP="00433F7F">
      <w:pPr>
        <w:spacing w:line="360" w:lineRule="auto"/>
        <w:ind w:left="1440" w:right="720"/>
        <w:jc w:val="both"/>
        <w:rPr>
          <w:rFonts w:ascii="Arial" w:hAnsi="Arial" w:cs="Arial"/>
          <w:sz w:val="24"/>
          <w:szCs w:val="24"/>
          <w:lang w:val="es-MX"/>
        </w:rPr>
      </w:pPr>
      <w:r w:rsidRPr="00433F7F">
        <w:rPr>
          <w:rFonts w:ascii="Arial" w:hAnsi="Arial" w:cs="Arial"/>
          <w:color w:val="000000"/>
          <w:sz w:val="24"/>
          <w:szCs w:val="24"/>
          <w:lang w:val="es-MX"/>
        </w:rPr>
        <w:t xml:space="preserve"> </w:t>
      </w:r>
      <w:r w:rsidRPr="003641C8">
        <w:rPr>
          <w:rFonts w:ascii="Arial" w:hAnsi="Arial" w:cs="Arial"/>
          <w:color w:val="000000"/>
          <w:sz w:val="24"/>
          <w:szCs w:val="24"/>
          <w:lang w:val="es-MX"/>
        </w:rPr>
        <w:t xml:space="preserve">está la posibilidad de que la persona sentenciada que cumpla con la pena que le fue impuesta, acceda a la cancelación del registro de antecedentes penales; lo anterior, siempre que no se trate de delitos graves previstos en la ley. Bajo ese tenor, cuando se solicita la </w:t>
      </w:r>
      <w:r w:rsidRPr="003641C8">
        <w:rPr>
          <w:rFonts w:ascii="Arial" w:hAnsi="Arial" w:cs="Arial"/>
          <w:color w:val="000000"/>
          <w:sz w:val="24"/>
          <w:szCs w:val="24"/>
          <w:lang w:val="es-MX"/>
        </w:rPr>
        <w:lastRenderedPageBreak/>
        <w:t>expedición de la constancia correspondiente, el Juez de Ejecución debe realizar un ejercicio oficioso en relación con el soporte informativo contenido en la base de datos relativa y expresarlo en el documento en cuestión, pues no hacerlo, da pauta para que se produzca una discriminación estructural contra el sentenciado, lo que propicia, además, su estigmatización.</w:t>
      </w:r>
      <w:r w:rsidRPr="00433F7F">
        <w:rPr>
          <w:rFonts w:ascii="Arial" w:hAnsi="Arial" w:cs="Arial"/>
          <w:sz w:val="24"/>
          <w:szCs w:val="24"/>
          <w:lang w:val="es-MX"/>
        </w:rPr>
        <w:t xml:space="preserve"> </w:t>
      </w:r>
      <w:r w:rsidRPr="00433F7F">
        <w:rPr>
          <w:rStyle w:val="Refdenotaalpie"/>
          <w:rFonts w:ascii="Arial" w:hAnsi="Arial" w:cs="Arial"/>
          <w:sz w:val="24"/>
          <w:szCs w:val="24"/>
          <w:lang w:val="es-MX"/>
        </w:rPr>
        <w:footnoteReference w:id="61"/>
      </w:r>
    </w:p>
    <w:p w14:paraId="03C8F0AC" w14:textId="2F8264E2"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Sin duda, esta decisión jurisprudencial viene a contribuir en que el registro de datos se cancele de manera oficiosa, con excepción de los delitos graves</w:t>
      </w:r>
      <w:r w:rsidR="00433F7F" w:rsidRPr="00433F7F">
        <w:rPr>
          <w:rFonts w:ascii="Arial" w:hAnsi="Arial" w:cs="Arial"/>
          <w:sz w:val="24"/>
          <w:szCs w:val="24"/>
          <w:lang w:val="es-MX"/>
        </w:rPr>
        <w:t xml:space="preserve"> </w:t>
      </w:r>
      <w:r w:rsidRPr="00433F7F">
        <w:rPr>
          <w:rFonts w:ascii="Arial" w:hAnsi="Arial" w:cs="Arial"/>
          <w:sz w:val="24"/>
          <w:szCs w:val="24"/>
          <w:lang w:val="es-MX"/>
        </w:rPr>
        <w:t>y</w:t>
      </w:r>
      <w:r w:rsidR="00433F7F" w:rsidRPr="00433F7F">
        <w:rPr>
          <w:rFonts w:ascii="Arial" w:hAnsi="Arial" w:cs="Arial"/>
          <w:sz w:val="24"/>
          <w:szCs w:val="24"/>
          <w:lang w:val="es-MX"/>
        </w:rPr>
        <w:t>,</w:t>
      </w:r>
      <w:r w:rsidRPr="00433F7F">
        <w:rPr>
          <w:rFonts w:ascii="Arial" w:hAnsi="Arial" w:cs="Arial"/>
          <w:sz w:val="24"/>
          <w:szCs w:val="24"/>
          <w:lang w:val="es-MX"/>
        </w:rPr>
        <w:t xml:space="preserve"> por tanto, no se vulnere el derecho objeto del presente texto, estigmatizando a la persona y excediendo de los límites establecidos al cumplir condena.</w:t>
      </w:r>
    </w:p>
    <w:p w14:paraId="77963D42" w14:textId="7DFE199A" w:rsidR="00433F7F"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el mismo sentido, la Corte I</w:t>
      </w:r>
      <w:r w:rsidR="0011370F">
        <w:rPr>
          <w:rFonts w:ascii="Arial" w:hAnsi="Arial" w:cs="Arial"/>
          <w:sz w:val="24"/>
          <w:szCs w:val="24"/>
          <w:lang w:val="es-MX"/>
        </w:rPr>
        <w:t xml:space="preserve">DH </w:t>
      </w:r>
      <w:r w:rsidRPr="00433F7F">
        <w:rPr>
          <w:rFonts w:ascii="Arial" w:hAnsi="Arial" w:cs="Arial"/>
          <w:sz w:val="24"/>
          <w:szCs w:val="24"/>
          <w:lang w:val="es-MX"/>
        </w:rPr>
        <w:t xml:space="preserve">resolvió en el Caso Chaparro Álvarez y Lapo Íñiguez Vs. Ecuador resolvió que el Estado debía eliminar inmediatamente el nombre de los señores Juan Carlos Chaparro Álvarez y Freddy Hernán Lapo Íñiguez de los registros públicos en los que todavía aparecieran con antecedentes penales, en los términos establecidos en la sentencia. </w:t>
      </w:r>
    </w:p>
    <w:p w14:paraId="4EC5A71D" w14:textId="4A605391"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Se solicitó comunicar a las instituciones privadas concernientes a suprimir de sus registros toda referencia a los referidos señores como autores o sospechosos del ilícito que se les imputó en este caso. Se ordenó adoptar medidas legislativas o de otro carácter para asegurar que se elimin</w:t>
      </w:r>
      <w:r w:rsidR="00433F7F" w:rsidRPr="00433F7F">
        <w:rPr>
          <w:rFonts w:ascii="Arial" w:hAnsi="Arial" w:cs="Arial"/>
          <w:sz w:val="24"/>
          <w:szCs w:val="24"/>
          <w:lang w:val="es-MX"/>
        </w:rPr>
        <w:t>aran</w:t>
      </w:r>
      <w:r w:rsidRPr="00433F7F">
        <w:rPr>
          <w:rFonts w:ascii="Arial" w:hAnsi="Arial" w:cs="Arial"/>
          <w:sz w:val="24"/>
          <w:szCs w:val="24"/>
          <w:lang w:val="es-MX"/>
        </w:rPr>
        <w:t xml:space="preserve"> los </w:t>
      </w:r>
      <w:r w:rsidRPr="00433F7F">
        <w:rPr>
          <w:rFonts w:ascii="Arial" w:hAnsi="Arial" w:cs="Arial"/>
          <w:sz w:val="24"/>
          <w:szCs w:val="24"/>
          <w:lang w:val="es-MX"/>
        </w:rPr>
        <w:lastRenderedPageBreak/>
        <w:t>antecedentes penales de las personas sobreseídas o absueltas</w:t>
      </w:r>
      <w:r w:rsidR="00433F7F" w:rsidRPr="00433F7F">
        <w:rPr>
          <w:rFonts w:ascii="Arial" w:hAnsi="Arial" w:cs="Arial"/>
          <w:sz w:val="24"/>
          <w:szCs w:val="24"/>
          <w:lang w:val="es-MX"/>
        </w:rPr>
        <w:t>. Además,</w:t>
      </w:r>
      <w:r w:rsidRPr="00433F7F">
        <w:rPr>
          <w:rFonts w:ascii="Arial" w:hAnsi="Arial" w:cs="Arial"/>
          <w:sz w:val="24"/>
          <w:szCs w:val="24"/>
          <w:lang w:val="es-MX"/>
        </w:rPr>
        <w:t xml:space="preserve"> dicha sentencia se debía difundir por radio y televisión</w:t>
      </w:r>
      <w:r w:rsidRPr="00433F7F">
        <w:rPr>
          <w:rStyle w:val="Refdenotaalpie"/>
          <w:rFonts w:ascii="Arial" w:hAnsi="Arial" w:cs="Arial"/>
          <w:sz w:val="24"/>
          <w:szCs w:val="24"/>
          <w:lang w:val="es-MX"/>
        </w:rPr>
        <w:footnoteReference w:id="62"/>
      </w:r>
      <w:r w:rsidRPr="00433F7F">
        <w:rPr>
          <w:rFonts w:ascii="Arial" w:hAnsi="Arial" w:cs="Arial"/>
          <w:sz w:val="24"/>
          <w:szCs w:val="24"/>
          <w:lang w:val="es-MX"/>
        </w:rPr>
        <w:t>.</w:t>
      </w:r>
    </w:p>
    <w:p w14:paraId="0FA8D8F5" w14:textId="62B5966E"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La no cancelación inmediata de los antecedentes penales supone un perjuicio grave para la persona</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S</w:t>
      </w:r>
      <w:r w:rsidRPr="00433F7F">
        <w:rPr>
          <w:rFonts w:ascii="Arial" w:hAnsi="Arial" w:cs="Arial"/>
          <w:sz w:val="24"/>
          <w:szCs w:val="24"/>
          <w:lang w:val="es-MX"/>
        </w:rPr>
        <w:t>e debe atender de oficio y</w:t>
      </w:r>
      <w:r w:rsidR="00433F7F" w:rsidRPr="00433F7F">
        <w:rPr>
          <w:rFonts w:ascii="Arial" w:hAnsi="Arial" w:cs="Arial"/>
          <w:sz w:val="24"/>
          <w:szCs w:val="24"/>
          <w:lang w:val="es-MX"/>
        </w:rPr>
        <w:t>,</w:t>
      </w:r>
      <w:r w:rsidRPr="00433F7F">
        <w:rPr>
          <w:rFonts w:ascii="Arial" w:hAnsi="Arial" w:cs="Arial"/>
          <w:sz w:val="24"/>
          <w:szCs w:val="24"/>
          <w:lang w:val="es-MX"/>
        </w:rPr>
        <w:t xml:space="preserve"> de manera inmediata, en virtud de que la afectación que se hace en contra de las personas y el efecto que tiene alarga su situación de vulnerabilidad; sin acceso a laborar, a recibir un trato digno, a contar con trato de igualdad</w:t>
      </w:r>
      <w:r w:rsidR="00433F7F" w:rsidRPr="00433F7F">
        <w:rPr>
          <w:rFonts w:ascii="Arial" w:hAnsi="Arial" w:cs="Arial"/>
          <w:sz w:val="24"/>
          <w:szCs w:val="24"/>
          <w:lang w:val="es-MX"/>
        </w:rPr>
        <w:t>. En ese sentido,</w:t>
      </w:r>
      <w:r w:rsidRPr="00433F7F">
        <w:rPr>
          <w:rFonts w:ascii="Arial" w:hAnsi="Arial" w:cs="Arial"/>
          <w:sz w:val="24"/>
          <w:szCs w:val="24"/>
          <w:lang w:val="es-MX"/>
        </w:rPr>
        <w:t xml:space="preserve"> bajo ningún concepto se debe tener que esperar a que esa cancelación surt</w:t>
      </w:r>
      <w:r w:rsidR="00433F7F" w:rsidRPr="00433F7F">
        <w:rPr>
          <w:rFonts w:ascii="Arial" w:hAnsi="Arial" w:cs="Arial"/>
          <w:sz w:val="24"/>
          <w:szCs w:val="24"/>
          <w:lang w:val="es-MX"/>
        </w:rPr>
        <w:t>a</w:t>
      </w:r>
      <w:r w:rsidRPr="00433F7F">
        <w:rPr>
          <w:rFonts w:ascii="Arial" w:hAnsi="Arial" w:cs="Arial"/>
          <w:sz w:val="24"/>
          <w:szCs w:val="24"/>
          <w:lang w:val="es-MX"/>
        </w:rPr>
        <w:t xml:space="preserve"> efectos,</w:t>
      </w:r>
      <w:r w:rsidR="00433F7F" w:rsidRPr="00433F7F">
        <w:rPr>
          <w:rFonts w:ascii="Arial" w:hAnsi="Arial" w:cs="Arial"/>
          <w:sz w:val="24"/>
          <w:szCs w:val="24"/>
          <w:lang w:val="es-MX"/>
        </w:rPr>
        <w:t xml:space="preserve"> sino que</w:t>
      </w:r>
      <w:r w:rsidRPr="00433F7F">
        <w:rPr>
          <w:rFonts w:ascii="Arial" w:hAnsi="Arial" w:cs="Arial"/>
          <w:sz w:val="24"/>
          <w:szCs w:val="24"/>
          <w:lang w:val="es-MX"/>
        </w:rPr>
        <w:t xml:space="preserve"> debe hacerse de manera oficiosa e inmediata.</w:t>
      </w:r>
    </w:p>
    <w:p w14:paraId="5B97E52D" w14:textId="77777777" w:rsidR="00BB4BC9" w:rsidRPr="00433F7F" w:rsidRDefault="00BB4BC9" w:rsidP="00433F7F">
      <w:pPr>
        <w:spacing w:line="360" w:lineRule="auto"/>
        <w:ind w:left="720" w:right="720"/>
        <w:jc w:val="both"/>
        <w:rPr>
          <w:rFonts w:ascii="Arial" w:hAnsi="Arial" w:cs="Arial"/>
          <w:sz w:val="24"/>
          <w:szCs w:val="24"/>
          <w:lang w:val="es-MX"/>
        </w:rPr>
      </w:pPr>
    </w:p>
    <w:p w14:paraId="6D3FD5B3" w14:textId="2ADEF897" w:rsidR="00BB4BC9" w:rsidRPr="00433F7F" w:rsidRDefault="00BB4BC9" w:rsidP="00433F7F">
      <w:pPr>
        <w:pStyle w:val="Prrafodelista"/>
        <w:numPr>
          <w:ilvl w:val="0"/>
          <w:numId w:val="35"/>
        </w:numPr>
        <w:spacing w:line="360" w:lineRule="auto"/>
        <w:ind w:right="720"/>
        <w:jc w:val="both"/>
        <w:rPr>
          <w:rFonts w:ascii="Arial" w:hAnsi="Arial" w:cs="Arial"/>
          <w:sz w:val="24"/>
          <w:szCs w:val="24"/>
          <w:lang w:val="es-MX"/>
        </w:rPr>
      </w:pPr>
      <w:r w:rsidRPr="00433F7F">
        <w:rPr>
          <w:rFonts w:ascii="Arial" w:hAnsi="Arial" w:cs="Arial"/>
          <w:sz w:val="24"/>
          <w:szCs w:val="24"/>
          <w:lang w:val="es-MX"/>
        </w:rPr>
        <w:t>Derechos políticos; igualdad, no discriminación y acceso a cargos públicos</w:t>
      </w:r>
    </w:p>
    <w:p w14:paraId="31C4598A" w14:textId="6B58E2A2" w:rsidR="00433F7F"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También se han presentado afectaciones a la presunción de inocencia vinculadas a los derechos políticos como son el derecho al acceso a cargos públicos, el derecho al sufragio pasivo, el derecho al voto</w:t>
      </w:r>
      <w:r w:rsidR="00433F7F" w:rsidRPr="00433F7F">
        <w:rPr>
          <w:rFonts w:ascii="Arial" w:hAnsi="Arial" w:cs="Arial"/>
          <w:sz w:val="24"/>
          <w:szCs w:val="24"/>
          <w:lang w:val="es-MX"/>
        </w:rPr>
        <w:t xml:space="preserve"> y</w:t>
      </w:r>
      <w:r w:rsidRPr="00433F7F">
        <w:rPr>
          <w:rFonts w:ascii="Arial" w:hAnsi="Arial" w:cs="Arial"/>
          <w:sz w:val="24"/>
          <w:szCs w:val="24"/>
          <w:lang w:val="es-MX"/>
        </w:rPr>
        <w:t>, en general, a los derechos potestativos en los que se manifiesta la autonomía política y sobre los que se fundan la representación y la democracia política</w:t>
      </w:r>
      <w:r w:rsidR="00C479BF" w:rsidRPr="00433F7F">
        <w:rPr>
          <w:rStyle w:val="Refdenotaalpie"/>
          <w:rFonts w:ascii="Arial" w:hAnsi="Arial" w:cs="Arial"/>
          <w:sz w:val="24"/>
          <w:szCs w:val="24"/>
          <w:lang w:val="es-MX"/>
        </w:rPr>
        <w:footnoteReference w:id="63"/>
      </w:r>
      <w:r w:rsidR="00C479BF" w:rsidRPr="00433F7F">
        <w:rPr>
          <w:rFonts w:ascii="Arial" w:hAnsi="Arial" w:cs="Arial"/>
          <w:sz w:val="24"/>
          <w:szCs w:val="24"/>
          <w:lang w:val="es-MX"/>
        </w:rPr>
        <w:t>.</w:t>
      </w:r>
      <w:r w:rsidRPr="00433F7F">
        <w:rPr>
          <w:rFonts w:ascii="Arial" w:hAnsi="Arial" w:cs="Arial"/>
          <w:sz w:val="24"/>
          <w:szCs w:val="24"/>
          <w:lang w:val="es-MX"/>
        </w:rPr>
        <w:t xml:space="preserve"> </w:t>
      </w:r>
    </w:p>
    <w:p w14:paraId="44F61283" w14:textId="3997471F"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Además de la vulneración mencionada, el efecto se extiende a otros derechos civiles como la igualdad, la no discriminación, la privacidad, entre otros.</w:t>
      </w:r>
    </w:p>
    <w:p w14:paraId="7FCCB3F0" w14:textId="77777777" w:rsid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La restricción al acceso a los cargos públicos </w:t>
      </w:r>
      <w:r w:rsidR="00433F7F" w:rsidRPr="00433F7F">
        <w:rPr>
          <w:rFonts w:ascii="Arial" w:hAnsi="Arial" w:cs="Arial"/>
          <w:sz w:val="24"/>
          <w:szCs w:val="24"/>
          <w:lang w:val="es-MX"/>
        </w:rPr>
        <w:t xml:space="preserve">que </w:t>
      </w:r>
      <w:r w:rsidRPr="00433F7F">
        <w:rPr>
          <w:rFonts w:ascii="Arial" w:hAnsi="Arial" w:cs="Arial"/>
          <w:sz w:val="24"/>
          <w:szCs w:val="24"/>
          <w:lang w:val="es-MX"/>
        </w:rPr>
        <w:t>se ha presentado como un requisito para postularse a cargos públicos</w:t>
      </w:r>
      <w:r w:rsidR="00433F7F" w:rsidRPr="00433F7F">
        <w:rPr>
          <w:rFonts w:ascii="Arial" w:hAnsi="Arial" w:cs="Arial"/>
          <w:sz w:val="24"/>
          <w:szCs w:val="24"/>
          <w:lang w:val="es-MX"/>
        </w:rPr>
        <w:t>,</w:t>
      </w:r>
      <w:r w:rsidRPr="00433F7F">
        <w:rPr>
          <w:rFonts w:ascii="Arial" w:hAnsi="Arial" w:cs="Arial"/>
          <w:sz w:val="24"/>
          <w:szCs w:val="24"/>
          <w:lang w:val="es-MX"/>
        </w:rPr>
        <w:t xml:space="preserve"> según normativa de las entidades federativas. Este tipo de restricciones puede utilizarse como arma política para restringir libertades de otras personas, en este sentido, coincido con Torres del Mora</w:t>
      </w:r>
      <w:r w:rsidR="00C479BF" w:rsidRPr="00433F7F">
        <w:rPr>
          <w:rFonts w:ascii="Arial" w:hAnsi="Arial" w:cs="Arial"/>
          <w:sz w:val="24"/>
          <w:szCs w:val="24"/>
          <w:lang w:val="es-MX"/>
        </w:rPr>
        <w:t>l</w:t>
      </w:r>
      <w:r w:rsidRPr="00433F7F">
        <w:rPr>
          <w:rFonts w:ascii="Arial" w:hAnsi="Arial" w:cs="Arial"/>
          <w:sz w:val="24"/>
          <w:szCs w:val="24"/>
          <w:lang w:val="es-MX"/>
        </w:rPr>
        <w:t xml:space="preserve"> en que </w:t>
      </w:r>
    </w:p>
    <w:p w14:paraId="2F310761" w14:textId="19DAAEE2" w:rsidR="00BB4BC9" w:rsidRPr="00433F7F" w:rsidRDefault="00BB4BC9" w:rsidP="00433F7F">
      <w:pPr>
        <w:spacing w:after="200" w:line="360" w:lineRule="auto"/>
        <w:ind w:left="1440" w:right="720"/>
        <w:jc w:val="both"/>
        <w:rPr>
          <w:rFonts w:ascii="Arial" w:hAnsi="Arial" w:cs="Arial"/>
          <w:sz w:val="24"/>
          <w:szCs w:val="24"/>
          <w:lang w:val="es-MX"/>
        </w:rPr>
      </w:pPr>
      <w:r w:rsidRPr="00433F7F">
        <w:rPr>
          <w:rFonts w:ascii="Arial" w:hAnsi="Arial" w:cs="Arial"/>
          <w:sz w:val="24"/>
          <w:szCs w:val="24"/>
          <w:lang w:val="es-MX"/>
        </w:rPr>
        <w:t>[…] en un régimen representativo, la elegibilidad debe tender a la universalidad de los ciudadanos, como el derecho de voto. Las limitaciones, cualesquier que sean, deben responder sólo a consideraciones prácticas, sin segundas intenciones políticas. Sin embargo, de hecho, no es inusual establecer algunas condiciones más exigentes que para el sufragio activo</w:t>
      </w:r>
      <w:r w:rsidR="00D5491A" w:rsidRPr="00433F7F">
        <w:rPr>
          <w:rStyle w:val="Refdenotaalpie"/>
          <w:rFonts w:ascii="Arial" w:hAnsi="Arial" w:cs="Arial"/>
          <w:sz w:val="24"/>
          <w:szCs w:val="24"/>
          <w:lang w:val="es-MX"/>
        </w:rPr>
        <w:footnoteReference w:id="64"/>
      </w:r>
      <w:r w:rsidR="00D5491A" w:rsidRPr="00433F7F">
        <w:rPr>
          <w:rFonts w:ascii="Arial" w:hAnsi="Arial" w:cs="Arial"/>
          <w:sz w:val="24"/>
          <w:szCs w:val="24"/>
          <w:lang w:val="es-MX"/>
        </w:rPr>
        <w:t>.</w:t>
      </w:r>
    </w:p>
    <w:p w14:paraId="06F4DB46" w14:textId="3DACF0F8"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En el presente caso, se trata de la </w:t>
      </w:r>
      <w:r w:rsidR="004F4178" w:rsidRPr="00433F7F">
        <w:rPr>
          <w:rFonts w:ascii="Arial" w:hAnsi="Arial" w:cs="Arial"/>
          <w:sz w:val="24"/>
          <w:szCs w:val="24"/>
          <w:lang w:val="es-MX"/>
        </w:rPr>
        <w:t>acción de inconstitucionalidad</w:t>
      </w:r>
      <w:r w:rsidRPr="00433F7F">
        <w:rPr>
          <w:rFonts w:ascii="Arial" w:hAnsi="Arial" w:cs="Arial"/>
          <w:sz w:val="24"/>
          <w:szCs w:val="24"/>
          <w:lang w:val="es-MX"/>
        </w:rPr>
        <w:t xml:space="preserve"> 86/2018</w:t>
      </w:r>
      <w:r w:rsidR="00E95781">
        <w:rPr>
          <w:rFonts w:ascii="Arial" w:hAnsi="Arial" w:cs="Arial"/>
          <w:sz w:val="24"/>
          <w:szCs w:val="24"/>
          <w:lang w:val="es-MX"/>
        </w:rPr>
        <w:t xml:space="preserve"> </w:t>
      </w:r>
      <w:r w:rsidRPr="00433F7F">
        <w:rPr>
          <w:rStyle w:val="Refdenotaalpie"/>
          <w:rFonts w:ascii="Arial" w:hAnsi="Arial" w:cs="Arial"/>
          <w:sz w:val="24"/>
          <w:szCs w:val="24"/>
          <w:lang w:val="es-MX"/>
        </w:rPr>
        <w:footnoteReference w:id="65"/>
      </w:r>
      <w:r w:rsidR="00E95781">
        <w:rPr>
          <w:rFonts w:ascii="Arial" w:hAnsi="Arial" w:cs="Arial"/>
          <w:sz w:val="24"/>
          <w:szCs w:val="24"/>
          <w:lang w:val="es-MX"/>
        </w:rPr>
        <w:t xml:space="preserve"> promovida en virtud de que </w:t>
      </w:r>
      <w:r w:rsidRPr="00433F7F">
        <w:rPr>
          <w:rFonts w:ascii="Arial" w:hAnsi="Arial" w:cs="Arial"/>
          <w:sz w:val="24"/>
          <w:szCs w:val="24"/>
          <w:lang w:val="es-MX"/>
        </w:rPr>
        <w:t xml:space="preserve">como requisito para acceder al cargo, estaba incluido no contar con antecedentes penales para el acceso a un cargo </w:t>
      </w:r>
      <w:r w:rsidRPr="00433F7F">
        <w:rPr>
          <w:rFonts w:ascii="Arial" w:hAnsi="Arial" w:cs="Arial"/>
          <w:sz w:val="24"/>
          <w:szCs w:val="24"/>
          <w:lang w:val="es-MX"/>
        </w:rPr>
        <w:lastRenderedPageBreak/>
        <w:t>público en el estado de Sonora</w:t>
      </w:r>
      <w:r w:rsidR="00AF1972">
        <w:rPr>
          <w:rStyle w:val="Refdenotaalpie"/>
          <w:rFonts w:ascii="Arial" w:hAnsi="Arial" w:cs="Arial"/>
          <w:sz w:val="24"/>
          <w:szCs w:val="24"/>
          <w:lang w:val="es-MX"/>
        </w:rPr>
        <w:footnoteReference w:id="66"/>
      </w:r>
      <w:r w:rsidRPr="00433F7F">
        <w:rPr>
          <w:rFonts w:ascii="Arial" w:hAnsi="Arial" w:cs="Arial"/>
          <w:sz w:val="24"/>
          <w:szCs w:val="24"/>
          <w:lang w:val="es-MX"/>
        </w:rPr>
        <w:t xml:space="preserve">. Fue promovido por </w:t>
      </w:r>
      <w:r w:rsidRPr="00433F7F">
        <w:rPr>
          <w:rFonts w:ascii="Arial" w:hAnsi="Arial" w:cs="Arial"/>
          <w:color w:val="444444"/>
          <w:sz w:val="24"/>
          <w:szCs w:val="24"/>
          <w:lang w:val="es-MX"/>
        </w:rPr>
        <w:t>l</w:t>
      </w:r>
      <w:r w:rsidRPr="00433F7F">
        <w:rPr>
          <w:rFonts w:ascii="Arial" w:hAnsi="Arial" w:cs="Arial"/>
          <w:sz w:val="24"/>
          <w:szCs w:val="24"/>
          <w:lang w:val="es-MX"/>
        </w:rPr>
        <w:t>a Comisión Nacional de los Derechos Humanos (</w:t>
      </w:r>
      <w:r w:rsidRPr="00433F7F">
        <w:rPr>
          <w:rFonts w:ascii="Arial" w:hAnsi="Arial" w:cs="Arial"/>
          <w:i/>
          <w:sz w:val="24"/>
          <w:szCs w:val="24"/>
          <w:lang w:val="es-MX"/>
        </w:rPr>
        <w:t>en adelante CNDH</w:t>
      </w:r>
      <w:r w:rsidRPr="00433F7F">
        <w:rPr>
          <w:rFonts w:ascii="Arial" w:hAnsi="Arial" w:cs="Arial"/>
          <w:sz w:val="24"/>
          <w:szCs w:val="24"/>
          <w:lang w:val="es-MX"/>
        </w:rPr>
        <w:t>), y se reclamó la invalidez del artículo 108, fracción VI, párrafo segundo, de la Ley de Gobierno y Administración Municipal del Estado de Sonora, la cual establec</w:t>
      </w:r>
      <w:r w:rsidR="00C479BF" w:rsidRPr="00433F7F">
        <w:rPr>
          <w:rFonts w:ascii="Arial" w:hAnsi="Arial" w:cs="Arial"/>
          <w:sz w:val="24"/>
          <w:szCs w:val="24"/>
          <w:lang w:val="es-MX"/>
        </w:rPr>
        <w:t>ía</w:t>
      </w:r>
      <w:r w:rsidRPr="00433F7F">
        <w:rPr>
          <w:rFonts w:ascii="Arial" w:hAnsi="Arial" w:cs="Arial"/>
          <w:sz w:val="24"/>
          <w:szCs w:val="24"/>
          <w:lang w:val="es-MX"/>
        </w:rPr>
        <w:t xml:space="preserve"> no contar con antecedentes penales</w:t>
      </w:r>
      <w:r w:rsidR="00433F7F" w:rsidRPr="00433F7F">
        <w:rPr>
          <w:rFonts w:ascii="Arial" w:hAnsi="Arial" w:cs="Arial"/>
          <w:sz w:val="24"/>
          <w:szCs w:val="24"/>
          <w:lang w:val="es-MX"/>
        </w:rPr>
        <w:t>,</w:t>
      </w:r>
      <w:r w:rsidRPr="00433F7F">
        <w:rPr>
          <w:rStyle w:val="Refdenotaalpie"/>
          <w:rFonts w:ascii="Arial" w:hAnsi="Arial" w:cs="Arial"/>
          <w:sz w:val="24"/>
          <w:szCs w:val="24"/>
          <w:lang w:val="es-MX"/>
        </w:rPr>
        <w:footnoteReference w:id="67"/>
      </w:r>
      <w:r w:rsidRPr="00433F7F">
        <w:rPr>
          <w:rFonts w:ascii="Arial" w:hAnsi="Arial" w:cs="Arial"/>
          <w:sz w:val="24"/>
          <w:szCs w:val="24"/>
          <w:lang w:val="es-MX"/>
        </w:rPr>
        <w:t xml:space="preserve"> en virtud de</w:t>
      </w:r>
      <w:r w:rsidR="00433F7F" w:rsidRPr="00433F7F">
        <w:rPr>
          <w:rFonts w:ascii="Arial" w:hAnsi="Arial" w:cs="Arial"/>
          <w:sz w:val="24"/>
          <w:szCs w:val="24"/>
          <w:lang w:val="es-MX"/>
        </w:rPr>
        <w:t xml:space="preserve"> que</w:t>
      </w:r>
      <w:r w:rsidRPr="00433F7F">
        <w:rPr>
          <w:rFonts w:ascii="Arial" w:hAnsi="Arial" w:cs="Arial"/>
          <w:sz w:val="24"/>
          <w:szCs w:val="24"/>
          <w:lang w:val="es-MX"/>
        </w:rPr>
        <w:t xml:space="preserve"> transgredía el principio constitucional de reinserción social, y se vulneraba los derechos humanos de igualdad y no discriminación</w:t>
      </w:r>
      <w:r w:rsidR="00433F7F" w:rsidRPr="00433F7F">
        <w:rPr>
          <w:rFonts w:ascii="Arial" w:hAnsi="Arial" w:cs="Arial"/>
          <w:sz w:val="24"/>
          <w:szCs w:val="24"/>
          <w:lang w:val="es-MX"/>
        </w:rPr>
        <w:t>;</w:t>
      </w:r>
      <w:r w:rsidRPr="00433F7F">
        <w:rPr>
          <w:rFonts w:ascii="Arial" w:hAnsi="Arial" w:cs="Arial"/>
          <w:sz w:val="24"/>
          <w:szCs w:val="24"/>
          <w:lang w:val="es-MX"/>
        </w:rPr>
        <w:t xml:space="preserve"> así como de trabajo y de acceso a ocupar un empleo dentro del servicio público. Lo anterior, al exigir no contar con antecedentes penales como requisito para ocupar el cargo de director general en Organismos Descentralizados Operadores de Agua Potable en los Municipios de dicha entidad federativa.</w:t>
      </w:r>
    </w:p>
    <w:p w14:paraId="7A8CC765" w14:textId="77777777"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Dentro de los argumentos aportados por la CNDH se dijo que dicha norma vulnera el derecho de igualdad y no discriminación reconocidos por el artículo 1o. constitucional. Al impedir el acceso al cargo mencionado en el servicio público, a todas aquellas personas que compurgaron una pena con motivo de la comisión de delito, establecía un trato diferenciado excluyente de un sector de la población, que no está justificado en función del acceso al empleo. Argumentó que se trataba de una situación que forma parte de la vida privada de la persona en relación con su pasado y su proyección </w:t>
      </w:r>
      <w:r w:rsidRPr="00433F7F">
        <w:rPr>
          <w:rFonts w:ascii="Arial" w:hAnsi="Arial" w:cs="Arial"/>
          <w:sz w:val="24"/>
          <w:szCs w:val="24"/>
          <w:lang w:val="es-MX"/>
        </w:rPr>
        <w:lastRenderedPageBreak/>
        <w:t>social; por lo que, al excluirla de la posibilidad de acceder al referido cargo en el servicio público por tener antecedentes penales, ello se traducía en una estigmatización de la persona, posicionándola en un estado de vulnerabilidad ante el escrutinio social y obstaculizando sus opciones de vida.</w:t>
      </w:r>
    </w:p>
    <w:p w14:paraId="1F5E136B" w14:textId="3039206A" w:rsid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La parte accionante propuso realizar escrutinio bajo las directrices que estableció el Tribunal Pleno de la S</w:t>
      </w:r>
      <w:r w:rsidR="0011370F">
        <w:rPr>
          <w:rFonts w:ascii="Arial" w:hAnsi="Arial" w:cs="Arial"/>
          <w:sz w:val="24"/>
          <w:szCs w:val="24"/>
          <w:lang w:val="es-MX"/>
        </w:rPr>
        <w:t>CJN</w:t>
      </w:r>
      <w:r w:rsidRPr="00433F7F">
        <w:rPr>
          <w:rFonts w:ascii="Arial" w:hAnsi="Arial" w:cs="Arial"/>
          <w:sz w:val="24"/>
          <w:szCs w:val="24"/>
          <w:lang w:val="es-MX"/>
        </w:rPr>
        <w:t xml:space="preserve"> al resolver la acción de inconstitucionalidad 8/2014</w:t>
      </w:r>
      <w:r w:rsidR="00C479BF" w:rsidRPr="00433F7F">
        <w:rPr>
          <w:rStyle w:val="Refdenotaalpie"/>
          <w:rFonts w:ascii="Arial" w:hAnsi="Arial" w:cs="Arial"/>
          <w:sz w:val="24"/>
          <w:szCs w:val="24"/>
          <w:lang w:val="es-MX"/>
        </w:rPr>
        <w:footnoteReference w:id="68"/>
      </w:r>
      <w:r w:rsidRPr="00433F7F">
        <w:rPr>
          <w:rFonts w:ascii="Arial" w:hAnsi="Arial" w:cs="Arial"/>
          <w:sz w:val="24"/>
          <w:szCs w:val="24"/>
          <w:lang w:val="es-MX"/>
        </w:rPr>
        <w:t xml:space="preserve"> consideró que la norma impugnada no cumplía con la medición de proporcionalidad y razonabilidad sugerida</w:t>
      </w:r>
      <w:r w:rsidR="0005632C" w:rsidRPr="00433F7F">
        <w:rPr>
          <w:rFonts w:ascii="Arial" w:hAnsi="Arial" w:cs="Arial"/>
          <w:sz w:val="24"/>
          <w:szCs w:val="24"/>
          <w:lang w:val="es-MX"/>
        </w:rPr>
        <w:t>.</w:t>
      </w:r>
      <w:r w:rsidR="00433F7F" w:rsidRPr="00433F7F">
        <w:rPr>
          <w:rFonts w:ascii="Arial" w:hAnsi="Arial" w:cs="Arial"/>
          <w:sz w:val="24"/>
          <w:szCs w:val="24"/>
          <w:lang w:val="es-MX"/>
        </w:rPr>
        <w:t xml:space="preserve"> </w:t>
      </w:r>
      <w:r w:rsidRPr="00433F7F">
        <w:rPr>
          <w:rFonts w:ascii="Arial" w:hAnsi="Arial" w:cs="Arial"/>
          <w:sz w:val="24"/>
          <w:szCs w:val="24"/>
          <w:lang w:val="es-MX"/>
        </w:rPr>
        <w:t>Determinó que</w:t>
      </w:r>
    </w:p>
    <w:p w14:paraId="05CA6C06" w14:textId="2699F891" w:rsidR="00BB4BC9" w:rsidRPr="00433F7F" w:rsidRDefault="00BB4BC9" w:rsidP="00433F7F">
      <w:pPr>
        <w:spacing w:after="200" w:line="360" w:lineRule="auto"/>
        <w:ind w:left="1440" w:right="720"/>
        <w:jc w:val="both"/>
        <w:rPr>
          <w:rFonts w:ascii="Arial" w:hAnsi="Arial" w:cs="Arial"/>
          <w:sz w:val="24"/>
          <w:szCs w:val="24"/>
          <w:lang w:val="es-MX"/>
        </w:rPr>
      </w:pPr>
      <w:r w:rsidRPr="00433F7F">
        <w:rPr>
          <w:rFonts w:ascii="Arial" w:hAnsi="Arial" w:cs="Arial"/>
          <w:sz w:val="24"/>
          <w:szCs w:val="24"/>
          <w:lang w:val="es-MX"/>
        </w:rPr>
        <w:t>la disposición es discriminatoria por generar una distinción, exclusión, restricción o preferencia arbitraria e injusta para el acceso al citado cargo público dentro de la mencionada entidad federativa, obstaculizando el ejercicio de derechos en igualdad de condiciones de aquellas personas que buscan reintegrarse socialmente.</w:t>
      </w:r>
    </w:p>
    <w:p w14:paraId="06E74F27" w14:textId="5DA2635E"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Asimismo, hizo referencia al pronunciamiento de la Organización de la Naciones Unidas, en el documento denominado </w:t>
      </w:r>
      <w:r w:rsidRPr="003641C8">
        <w:rPr>
          <w:rFonts w:ascii="Arial" w:hAnsi="Arial" w:cs="Arial"/>
          <w:i/>
          <w:iCs/>
          <w:sz w:val="24"/>
          <w:szCs w:val="24"/>
          <w:lang w:val="es-MX"/>
        </w:rPr>
        <w:t>Reglas Mínimas para el Tratamiento de los Reclusos</w:t>
      </w:r>
      <w:r w:rsidRPr="00433F7F">
        <w:rPr>
          <w:rStyle w:val="Refdenotaalpie"/>
          <w:rFonts w:ascii="Arial" w:hAnsi="Arial" w:cs="Arial"/>
          <w:sz w:val="24"/>
          <w:szCs w:val="24"/>
          <w:lang w:val="es-MX"/>
        </w:rPr>
        <w:footnoteReference w:id="69"/>
      </w:r>
      <w:r w:rsidRPr="00433F7F">
        <w:rPr>
          <w:rFonts w:ascii="Arial" w:hAnsi="Arial" w:cs="Arial"/>
          <w:sz w:val="24"/>
          <w:szCs w:val="24"/>
          <w:lang w:val="es-MX"/>
        </w:rPr>
        <w:t xml:space="preserve"> o Reglas Nelson Mandela</w:t>
      </w:r>
      <w:r w:rsidR="00433F7F" w:rsidRPr="00433F7F">
        <w:rPr>
          <w:rFonts w:ascii="Arial" w:hAnsi="Arial" w:cs="Arial"/>
          <w:sz w:val="24"/>
          <w:szCs w:val="24"/>
          <w:lang w:val="es-MX"/>
        </w:rPr>
        <w:t>;</w:t>
      </w:r>
      <w:r w:rsidRPr="00433F7F">
        <w:rPr>
          <w:rFonts w:ascii="Arial" w:hAnsi="Arial" w:cs="Arial"/>
          <w:sz w:val="24"/>
          <w:szCs w:val="24"/>
          <w:lang w:val="es-MX"/>
        </w:rPr>
        <w:t xml:space="preserve"> en relación con </w:t>
      </w:r>
      <w:r w:rsidRPr="00433F7F">
        <w:rPr>
          <w:rFonts w:ascii="Arial" w:hAnsi="Arial" w:cs="Arial"/>
          <w:sz w:val="24"/>
          <w:szCs w:val="24"/>
          <w:lang w:val="es-MX"/>
        </w:rPr>
        <w:lastRenderedPageBreak/>
        <w:t>el derecho a la reinserción social, donde se sugirió lo siguiente: los objetivos de las penas y medidas privativas de libertad son principalmente proteger a la sociedad contra el delito y reducir la reincidencia. Esos objetivos sólo podían alcanzarse si se aprovechara el periodo de privación de libertad para lograr, en lo posible, la reinserción de los exreclusos en la sociedad</w:t>
      </w:r>
      <w:r w:rsidR="00433F7F" w:rsidRPr="00433F7F">
        <w:rPr>
          <w:rFonts w:ascii="Arial" w:hAnsi="Arial" w:cs="Arial"/>
          <w:sz w:val="24"/>
          <w:szCs w:val="24"/>
          <w:lang w:val="es-MX"/>
        </w:rPr>
        <w:t>,</w:t>
      </w:r>
      <w:r w:rsidRPr="00433F7F">
        <w:rPr>
          <w:rFonts w:ascii="Arial" w:hAnsi="Arial" w:cs="Arial"/>
          <w:sz w:val="24"/>
          <w:szCs w:val="24"/>
          <w:lang w:val="es-MX"/>
        </w:rPr>
        <w:t xml:space="preserve"> tras su puesta en libertad</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433F7F" w:rsidRPr="00433F7F">
        <w:rPr>
          <w:rFonts w:ascii="Arial" w:hAnsi="Arial" w:cs="Arial"/>
          <w:sz w:val="24"/>
          <w:szCs w:val="24"/>
          <w:lang w:val="es-MX"/>
        </w:rPr>
        <w:t>D</w:t>
      </w:r>
      <w:r w:rsidRPr="00433F7F">
        <w:rPr>
          <w:rFonts w:ascii="Arial" w:hAnsi="Arial" w:cs="Arial"/>
          <w:sz w:val="24"/>
          <w:szCs w:val="24"/>
          <w:lang w:val="es-MX"/>
        </w:rPr>
        <w:t>e modo que puedan vivir conforme a la ley y mantenerse con el producto de su trabajo.</w:t>
      </w:r>
    </w:p>
    <w:p w14:paraId="13AC57E8" w14:textId="3CE611B7" w:rsid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Por su parte, tanto el Legislativo</w:t>
      </w:r>
      <w:r w:rsidR="0005632C" w:rsidRPr="00433F7F">
        <w:rPr>
          <w:rFonts w:ascii="Arial" w:hAnsi="Arial" w:cs="Arial"/>
          <w:sz w:val="24"/>
          <w:szCs w:val="24"/>
          <w:lang w:val="es-MX"/>
        </w:rPr>
        <w:t xml:space="preserve"> no se pronunció y el Ejecutivo expuso</w:t>
      </w:r>
      <w:r w:rsidRPr="00433F7F">
        <w:rPr>
          <w:rFonts w:ascii="Arial" w:hAnsi="Arial" w:cs="Arial"/>
          <w:sz w:val="24"/>
          <w:szCs w:val="24"/>
          <w:lang w:val="es-MX"/>
        </w:rPr>
        <w:t xml:space="preserve"> que no se vulneraba la libertad de trabajo, el derecho a la igualdad o la garantía a no ser discriminado </w:t>
      </w:r>
    </w:p>
    <w:p w14:paraId="59B8026B" w14:textId="77777777" w:rsidR="00433F7F" w:rsidRDefault="00BB4BC9" w:rsidP="00433F7F">
      <w:pPr>
        <w:spacing w:after="200" w:line="360" w:lineRule="auto"/>
        <w:ind w:left="1440" w:right="720"/>
        <w:jc w:val="both"/>
        <w:rPr>
          <w:rFonts w:ascii="Arial" w:hAnsi="Arial" w:cs="Arial"/>
          <w:sz w:val="24"/>
          <w:szCs w:val="24"/>
          <w:lang w:val="es-MX"/>
        </w:rPr>
      </w:pPr>
      <w:r w:rsidRPr="00433F7F">
        <w:rPr>
          <w:rFonts w:ascii="Arial" w:hAnsi="Arial" w:cs="Arial"/>
          <w:sz w:val="24"/>
          <w:szCs w:val="24"/>
          <w:lang w:val="es-MX"/>
        </w:rPr>
        <w:t>que las personas a cargo de operar el servicio no han incurrido previamente en la comisión de conductas delictuosas contrarias a la seguridad pública, sino que sean personas de probada solidez moral, que gocen de buena reputación, para la eficiencia, salud presupuestal y transparencia del organismo (entre otras muchas manifestaciones)</w:t>
      </w:r>
      <w:r w:rsidR="0005632C" w:rsidRPr="00433F7F">
        <w:rPr>
          <w:rFonts w:ascii="Arial" w:hAnsi="Arial" w:cs="Arial"/>
          <w:sz w:val="24"/>
          <w:szCs w:val="24"/>
          <w:lang w:val="es-MX"/>
        </w:rPr>
        <w:t xml:space="preserve"> </w:t>
      </w:r>
      <w:r w:rsidRPr="00433F7F">
        <w:rPr>
          <w:rFonts w:ascii="Arial" w:hAnsi="Arial" w:cs="Arial"/>
          <w:sz w:val="24"/>
          <w:szCs w:val="24"/>
          <w:lang w:val="es-MX"/>
        </w:rPr>
        <w:t>…</w:t>
      </w:r>
    </w:p>
    <w:p w14:paraId="3C4339B1" w14:textId="643FE156" w:rsidR="00433F7F" w:rsidRDefault="00E95781" w:rsidP="00433F7F">
      <w:pPr>
        <w:spacing w:after="200" w:line="360" w:lineRule="auto"/>
        <w:ind w:left="720" w:right="720"/>
        <w:jc w:val="both"/>
        <w:rPr>
          <w:rFonts w:ascii="Arial" w:hAnsi="Arial" w:cs="Arial"/>
          <w:sz w:val="24"/>
          <w:szCs w:val="24"/>
          <w:lang w:val="es-MX"/>
        </w:rPr>
      </w:pPr>
      <w:r>
        <w:rPr>
          <w:rFonts w:ascii="Arial" w:hAnsi="Arial" w:cs="Arial"/>
          <w:sz w:val="24"/>
          <w:szCs w:val="24"/>
          <w:lang w:val="es-MX"/>
        </w:rPr>
        <w:t xml:space="preserve">Se determinó </w:t>
      </w:r>
      <w:r w:rsidR="00BB4BC9" w:rsidRPr="00433F7F">
        <w:rPr>
          <w:rFonts w:ascii="Arial" w:hAnsi="Arial" w:cs="Arial"/>
          <w:sz w:val="24"/>
          <w:szCs w:val="24"/>
          <w:lang w:val="es-MX"/>
        </w:rPr>
        <w:t xml:space="preserve">que </w:t>
      </w:r>
      <w:r>
        <w:rPr>
          <w:rFonts w:ascii="Arial" w:hAnsi="Arial" w:cs="Arial"/>
          <w:sz w:val="24"/>
          <w:szCs w:val="24"/>
          <w:lang w:val="es-MX"/>
        </w:rPr>
        <w:t>la</w:t>
      </w:r>
      <w:r w:rsidR="00BB4BC9" w:rsidRPr="00433F7F">
        <w:rPr>
          <w:rFonts w:ascii="Arial" w:hAnsi="Arial" w:cs="Arial"/>
          <w:sz w:val="24"/>
          <w:szCs w:val="24"/>
          <w:lang w:val="es-MX"/>
        </w:rPr>
        <w:t xml:space="preserve"> norma impugnada no contraviene la reinserción social de los individuos con antecedentes penales, </w:t>
      </w:r>
      <w:r w:rsidR="005E3975">
        <w:rPr>
          <w:rFonts w:ascii="Arial" w:hAnsi="Arial" w:cs="Arial"/>
          <w:sz w:val="24"/>
          <w:szCs w:val="24"/>
          <w:lang w:val="es-MX"/>
        </w:rPr>
        <w:t xml:space="preserve">en virtud de que, </w:t>
      </w:r>
      <w:r w:rsidR="00BB4BC9" w:rsidRPr="00433F7F">
        <w:rPr>
          <w:rFonts w:ascii="Arial" w:hAnsi="Arial" w:cs="Arial"/>
          <w:sz w:val="24"/>
          <w:szCs w:val="24"/>
          <w:lang w:val="es-MX"/>
        </w:rPr>
        <w:t xml:space="preserve">protege el derecho a dar y contar con servicios públicos de calidad, </w:t>
      </w:r>
      <w:r w:rsidR="005E3975">
        <w:rPr>
          <w:rFonts w:ascii="Arial" w:hAnsi="Arial" w:cs="Arial"/>
          <w:sz w:val="24"/>
          <w:szCs w:val="24"/>
          <w:lang w:val="es-MX"/>
        </w:rPr>
        <w:t>y que postularse a los puestos que</w:t>
      </w:r>
      <w:r w:rsidR="00BB4BC9" w:rsidRPr="00433F7F">
        <w:rPr>
          <w:rFonts w:ascii="Arial" w:hAnsi="Arial" w:cs="Arial"/>
          <w:sz w:val="24"/>
          <w:szCs w:val="24"/>
          <w:lang w:val="es-MX"/>
        </w:rPr>
        <w:t xml:space="preserve"> referencia</w:t>
      </w:r>
      <w:r w:rsidR="005E3975">
        <w:rPr>
          <w:rFonts w:ascii="Arial" w:hAnsi="Arial" w:cs="Arial"/>
          <w:sz w:val="24"/>
          <w:szCs w:val="24"/>
          <w:lang w:val="es-MX"/>
        </w:rPr>
        <w:t>,</w:t>
      </w:r>
      <w:r w:rsidR="00BB4BC9" w:rsidRPr="00433F7F">
        <w:rPr>
          <w:rFonts w:ascii="Arial" w:hAnsi="Arial" w:cs="Arial"/>
          <w:sz w:val="24"/>
          <w:szCs w:val="24"/>
          <w:lang w:val="es-MX"/>
        </w:rPr>
        <w:t xml:space="preserve"> no le impide desempeñarse en otras áreas  laborales  y que</w:t>
      </w:r>
    </w:p>
    <w:p w14:paraId="091E292B" w14:textId="77777777" w:rsidR="00433F7F" w:rsidRDefault="00BB4BC9" w:rsidP="00433F7F">
      <w:pPr>
        <w:spacing w:after="200" w:line="360" w:lineRule="auto"/>
        <w:ind w:left="1440" w:right="720"/>
        <w:jc w:val="both"/>
        <w:rPr>
          <w:rFonts w:ascii="Arial" w:hAnsi="Arial" w:cs="Arial"/>
          <w:sz w:val="24"/>
          <w:szCs w:val="24"/>
          <w:lang w:val="es-MX"/>
        </w:rPr>
      </w:pPr>
      <w:r w:rsidRPr="00433F7F">
        <w:rPr>
          <w:rFonts w:ascii="Arial" w:hAnsi="Arial" w:cs="Arial"/>
          <w:sz w:val="24"/>
          <w:szCs w:val="24"/>
          <w:lang w:val="es-MX"/>
        </w:rPr>
        <w:t xml:space="preserve"> aunque la norma no especifique el tipo de delitos y de pena compurgada, es claro que se refiere a delitos que impidan o restrinjan el quehacer inherente al cargo de que se trata, que impliquen la pérdida de confianza en el manejo de los recursos.</w:t>
      </w:r>
    </w:p>
    <w:p w14:paraId="72D447C8" w14:textId="0691A457"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 xml:space="preserve"> </w:t>
      </w:r>
      <w:r w:rsidR="0005632C" w:rsidRPr="00433F7F">
        <w:rPr>
          <w:rFonts w:ascii="Arial" w:hAnsi="Arial" w:cs="Arial"/>
          <w:sz w:val="24"/>
          <w:szCs w:val="24"/>
          <w:lang w:val="es-MX"/>
        </w:rPr>
        <w:t>Muy lamentable la postura del ejecutivo y a todas luces inconstitucional e inconvencional</w:t>
      </w:r>
      <w:r w:rsidR="005E3975">
        <w:rPr>
          <w:rFonts w:ascii="Arial" w:hAnsi="Arial" w:cs="Arial"/>
          <w:sz w:val="24"/>
          <w:szCs w:val="24"/>
          <w:lang w:val="es-MX"/>
        </w:rPr>
        <w:t xml:space="preserve">, una práctica generalizada y constante con el paso del tiempo. </w:t>
      </w:r>
    </w:p>
    <w:p w14:paraId="54D2C1D6" w14:textId="61426348"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El Pleno de la SCJN resolvió que era procedente y fundada la presente acción de inconstitucionalidad y declaró la invalidez del artículo</w:t>
      </w:r>
      <w:r w:rsidR="0005632C" w:rsidRPr="00433F7F">
        <w:rPr>
          <w:rFonts w:ascii="Arial" w:hAnsi="Arial" w:cs="Arial"/>
          <w:sz w:val="24"/>
          <w:szCs w:val="24"/>
          <w:lang w:val="es-MX"/>
        </w:rPr>
        <w:t xml:space="preserve"> en cuestión.</w:t>
      </w:r>
      <w:r w:rsidRPr="00433F7F">
        <w:rPr>
          <w:rStyle w:val="Refdenotaalpie"/>
          <w:rFonts w:ascii="Arial" w:hAnsi="Arial" w:cs="Arial"/>
          <w:sz w:val="24"/>
          <w:szCs w:val="24"/>
          <w:lang w:val="es-MX"/>
        </w:rPr>
        <w:footnoteReference w:id="70"/>
      </w:r>
    </w:p>
    <w:p w14:paraId="02CE4E47" w14:textId="77777777" w:rsidR="002C3DE4"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En cuanto al derecho a la igualdad y no discriminación se pronunció de la siguiente manera, "Así, se ha considerado que el derecho humano de igualdad y la prohibición de discriminación, obligan a toda clase de autoridades en el ámbito de sus competencias, pues su observancia debe ser un criterio básico para la producción normativa, para su interpretación y para su aplicación”.</w:t>
      </w:r>
    </w:p>
    <w:p w14:paraId="34630416" w14:textId="4AE7BE23" w:rsidR="00BB4BC9" w:rsidRPr="00433F7F" w:rsidRDefault="00BB4BC9" w:rsidP="00433F7F">
      <w:pPr>
        <w:spacing w:after="200" w:line="360" w:lineRule="auto"/>
        <w:ind w:left="720" w:right="720"/>
        <w:jc w:val="both"/>
        <w:rPr>
          <w:rFonts w:ascii="Arial" w:hAnsi="Arial" w:cs="Arial"/>
          <w:sz w:val="24"/>
          <w:szCs w:val="24"/>
          <w:lang w:val="es-MX"/>
        </w:rPr>
      </w:pPr>
      <w:r w:rsidRPr="00433F7F">
        <w:rPr>
          <w:rFonts w:ascii="Arial" w:hAnsi="Arial" w:cs="Arial"/>
          <w:sz w:val="24"/>
          <w:szCs w:val="24"/>
          <w:lang w:val="es-MX"/>
        </w:rPr>
        <w:t>Amplió su razonamiento y precisó que "… que si bien el verdadero sentido de la igualdad, es colocar a las personas en condiciones de poder acceder a los demás derechos constitucionalmente reconocidos, lo cual implica eliminar situaciones de desigualdad manifiesta, ello no significa que todos los individuos deban ser iguales en todo siempre, en cualquier momento y circunstancia, en condiciones absolutas, sino que debe traducirse en la seguridad de no tener que soportar un perjuicio o privarse de un beneficio, en forma injustificada; por tanto, tal principio exige tratar igual a los iguales y desigual a los desiguales, de manera que habrá ocasiones en que hacer distinciones estará vedado, y habrá otras en las que no sólo estará permitido sino que será constitucionalmente exigido.(19)</w:t>
      </w:r>
      <w:r w:rsidRPr="00433F7F">
        <w:rPr>
          <w:rStyle w:val="Refdenotaalpie"/>
          <w:rFonts w:ascii="Arial" w:hAnsi="Arial" w:cs="Arial"/>
          <w:sz w:val="24"/>
          <w:szCs w:val="24"/>
          <w:lang w:val="es-MX"/>
        </w:rPr>
        <w:footnoteReference w:id="71"/>
      </w:r>
      <w:r w:rsidRPr="00433F7F">
        <w:rPr>
          <w:rFonts w:ascii="Arial" w:hAnsi="Arial" w:cs="Arial"/>
          <w:sz w:val="24"/>
          <w:szCs w:val="24"/>
          <w:lang w:val="es-MX"/>
        </w:rPr>
        <w:t xml:space="preserve">” </w:t>
      </w:r>
    </w:p>
    <w:p w14:paraId="03BD0259" w14:textId="77777777" w:rsidR="00BB4BC9" w:rsidRPr="00433F7F" w:rsidRDefault="00BB4BC9" w:rsidP="00433F7F">
      <w:pPr>
        <w:pStyle w:val="Prrafodelista"/>
        <w:numPr>
          <w:ilvl w:val="0"/>
          <w:numId w:val="35"/>
        </w:numPr>
        <w:spacing w:after="260"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Derecho al sufragio activo y privación de libertad</w:t>
      </w:r>
    </w:p>
    <w:p w14:paraId="050FC935" w14:textId="5375FE61"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En cuanto a</w:t>
      </w:r>
      <w:r w:rsidR="00C6077F">
        <w:rPr>
          <w:rFonts w:ascii="Arial" w:hAnsi="Arial" w:cs="Arial"/>
          <w:sz w:val="24"/>
          <w:szCs w:val="24"/>
          <w:lang w:val="es-MX"/>
        </w:rPr>
        <w:t>l ejercicio de</w:t>
      </w:r>
      <w:r w:rsidRPr="00433F7F">
        <w:rPr>
          <w:rFonts w:ascii="Arial" w:hAnsi="Arial" w:cs="Arial"/>
          <w:sz w:val="24"/>
          <w:szCs w:val="24"/>
          <w:lang w:val="es-MX"/>
        </w:rPr>
        <w:t xml:space="preserve"> l</w:t>
      </w:r>
      <w:r w:rsidR="00C6077F">
        <w:rPr>
          <w:rFonts w:ascii="Arial" w:hAnsi="Arial" w:cs="Arial"/>
          <w:sz w:val="24"/>
          <w:szCs w:val="24"/>
          <w:lang w:val="es-MX"/>
        </w:rPr>
        <w:t>os</w:t>
      </w:r>
      <w:r w:rsidRPr="00433F7F">
        <w:rPr>
          <w:rFonts w:ascii="Arial" w:hAnsi="Arial" w:cs="Arial"/>
          <w:sz w:val="24"/>
          <w:szCs w:val="24"/>
          <w:lang w:val="es-MX"/>
        </w:rPr>
        <w:t xml:space="preserve"> derecho</w:t>
      </w:r>
      <w:r w:rsidR="00C6077F">
        <w:rPr>
          <w:rFonts w:ascii="Arial" w:hAnsi="Arial" w:cs="Arial"/>
          <w:sz w:val="24"/>
          <w:szCs w:val="24"/>
          <w:lang w:val="es-MX"/>
        </w:rPr>
        <w:t>s</w:t>
      </w:r>
      <w:r w:rsidRPr="00433F7F">
        <w:rPr>
          <w:rFonts w:ascii="Arial" w:hAnsi="Arial" w:cs="Arial"/>
          <w:sz w:val="24"/>
          <w:szCs w:val="24"/>
          <w:lang w:val="es-MX"/>
        </w:rPr>
        <w:t xml:space="preserve"> políticos como es el sufragio activo</w:t>
      </w:r>
      <w:r w:rsidR="00433F7F" w:rsidRPr="00433F7F">
        <w:rPr>
          <w:rFonts w:ascii="Arial" w:hAnsi="Arial" w:cs="Arial"/>
          <w:sz w:val="24"/>
          <w:szCs w:val="24"/>
          <w:lang w:val="es-MX"/>
        </w:rPr>
        <w:t>,</w:t>
      </w:r>
      <w:r w:rsidRPr="00433F7F">
        <w:rPr>
          <w:rFonts w:ascii="Arial" w:hAnsi="Arial" w:cs="Arial"/>
          <w:sz w:val="24"/>
          <w:szCs w:val="24"/>
          <w:lang w:val="es-MX"/>
        </w:rPr>
        <w:t xml:space="preserve"> </w:t>
      </w:r>
      <w:r w:rsidR="00C6077F">
        <w:rPr>
          <w:rFonts w:ascii="Arial" w:hAnsi="Arial" w:cs="Arial"/>
          <w:sz w:val="24"/>
          <w:szCs w:val="24"/>
          <w:lang w:val="es-MX"/>
        </w:rPr>
        <w:t xml:space="preserve">éstos se restringen </w:t>
      </w:r>
      <w:r w:rsidRPr="00433F7F">
        <w:rPr>
          <w:rFonts w:ascii="Arial" w:hAnsi="Arial" w:cs="Arial"/>
          <w:sz w:val="24"/>
          <w:szCs w:val="24"/>
          <w:lang w:val="es-MX"/>
        </w:rPr>
        <w:t xml:space="preserve">cuando una persona está privada de la libertad por estar sujeta a un proceso en su contra. En este sentido, se ha pronunciado la SCJN, </w:t>
      </w:r>
      <w:r w:rsidR="00C6077F">
        <w:rPr>
          <w:rFonts w:ascii="Arial" w:hAnsi="Arial" w:cs="Arial"/>
          <w:sz w:val="24"/>
          <w:szCs w:val="24"/>
          <w:lang w:val="es-MX"/>
        </w:rPr>
        <w:t>de</w:t>
      </w:r>
      <w:r w:rsidRPr="00433F7F">
        <w:rPr>
          <w:rFonts w:ascii="Arial" w:hAnsi="Arial" w:cs="Arial"/>
          <w:sz w:val="24"/>
          <w:szCs w:val="24"/>
          <w:lang w:val="es-MX"/>
        </w:rPr>
        <w:t>limitando</w:t>
      </w:r>
      <w:r w:rsidR="00433F7F" w:rsidRPr="00433F7F">
        <w:rPr>
          <w:rFonts w:ascii="Arial" w:hAnsi="Arial" w:cs="Arial"/>
          <w:sz w:val="24"/>
          <w:szCs w:val="24"/>
          <w:lang w:val="es-MX"/>
        </w:rPr>
        <w:t>,</w:t>
      </w:r>
      <w:r w:rsidRPr="00433F7F">
        <w:rPr>
          <w:rFonts w:ascii="Arial" w:hAnsi="Arial" w:cs="Arial"/>
          <w:sz w:val="24"/>
          <w:szCs w:val="24"/>
          <w:lang w:val="es-MX"/>
        </w:rPr>
        <w:t xml:space="preserve"> en cuanto al momento procesal en que se encuentra, dado que no es lo mismo que la persona sea condenada a que se esté llevando un proceso en su contra. </w:t>
      </w:r>
    </w:p>
    <w:p w14:paraId="49A6A48F" w14:textId="6CB87AA8" w:rsidR="00BB4BC9" w:rsidRPr="00433F7F" w:rsidRDefault="00BB4BC9" w:rsidP="00433F7F">
      <w:pPr>
        <w:spacing w:line="360" w:lineRule="auto"/>
        <w:ind w:left="720" w:right="720"/>
        <w:jc w:val="both"/>
        <w:rPr>
          <w:rFonts w:ascii="Arial" w:eastAsia="Times New Roman" w:hAnsi="Arial" w:cs="Arial"/>
          <w:color w:val="000000"/>
          <w:sz w:val="24"/>
          <w:szCs w:val="24"/>
          <w:lang w:val="es-MX"/>
        </w:rPr>
      </w:pPr>
      <w:r w:rsidRPr="00433F7F">
        <w:rPr>
          <w:rFonts w:ascii="Arial" w:hAnsi="Arial" w:cs="Arial"/>
          <w:sz w:val="24"/>
          <w:szCs w:val="24"/>
          <w:lang w:val="es-MX"/>
        </w:rPr>
        <w:t xml:space="preserve">Se trata de la </w:t>
      </w:r>
      <w:r w:rsidR="006551A8" w:rsidRPr="00433F7F">
        <w:rPr>
          <w:rFonts w:ascii="Arial" w:hAnsi="Arial" w:cs="Arial"/>
          <w:sz w:val="24"/>
          <w:szCs w:val="24"/>
          <w:lang w:val="es-MX"/>
        </w:rPr>
        <w:t>contradicción de tesis</w:t>
      </w:r>
      <w:r w:rsidRPr="00433F7F">
        <w:rPr>
          <w:rFonts w:ascii="Arial" w:eastAsia="Times New Roman" w:hAnsi="Arial" w:cs="Arial"/>
          <w:color w:val="000000"/>
          <w:sz w:val="24"/>
          <w:szCs w:val="24"/>
          <w:lang w:val="es-MX"/>
        </w:rPr>
        <w:t xml:space="preserve"> 6/2008-PL y versa la “Suspensión del derecho a votar cuando se está privado de la libertad”</w:t>
      </w:r>
      <w:r w:rsidRPr="00433F7F">
        <w:rPr>
          <w:rStyle w:val="Refdenotaalpie"/>
          <w:rFonts w:ascii="Arial" w:eastAsia="Times New Roman" w:hAnsi="Arial" w:cs="Arial"/>
          <w:color w:val="000000"/>
          <w:sz w:val="24"/>
          <w:szCs w:val="24"/>
          <w:lang w:val="es-MX"/>
        </w:rPr>
        <w:footnoteReference w:id="72"/>
      </w:r>
      <w:r w:rsidRPr="00433F7F">
        <w:rPr>
          <w:rFonts w:ascii="Arial" w:eastAsia="Times New Roman" w:hAnsi="Arial" w:cs="Arial"/>
          <w:color w:val="000000"/>
          <w:sz w:val="24"/>
          <w:szCs w:val="24"/>
          <w:lang w:val="es-MX"/>
        </w:rPr>
        <w:t>. En el presente asunto el Tribunal Pleno de la Alta Corte determinó si la suspensión de los derechos de los ciudadanos por estar sujeto a un proceso criminal por delito que merezca pena corporal, a partir de la fecha del auto de formal prisión, que prevista en el artículo 38, fracción II, de la Constitución Federal, conlleva la suspensión del derecho a votar sin excepción alguna, o si dicha suspensión sólo se produce cuando existe privación de la libertad.</w:t>
      </w:r>
    </w:p>
    <w:p w14:paraId="157F21B5" w14:textId="495C80CF" w:rsidR="00433F7F" w:rsidRPr="00433F7F" w:rsidRDefault="00BB4BC9" w:rsidP="00433F7F">
      <w:pPr>
        <w:spacing w:line="360" w:lineRule="auto"/>
        <w:ind w:left="720" w:right="720"/>
        <w:jc w:val="both"/>
        <w:rPr>
          <w:rFonts w:ascii="Arial" w:eastAsia="Times New Roman" w:hAnsi="Arial" w:cs="Arial"/>
          <w:color w:val="000000"/>
          <w:sz w:val="24"/>
          <w:szCs w:val="24"/>
          <w:lang w:val="es-MX"/>
        </w:rPr>
      </w:pPr>
      <w:r w:rsidRPr="00433F7F">
        <w:rPr>
          <w:rFonts w:ascii="Arial" w:eastAsia="Times New Roman" w:hAnsi="Arial" w:cs="Arial"/>
          <w:color w:val="000000"/>
          <w:sz w:val="24"/>
          <w:szCs w:val="24"/>
          <w:lang w:val="es-MX"/>
        </w:rPr>
        <w:lastRenderedPageBreak/>
        <w:t xml:space="preserve">Cabe destacar que la Primera Sala de esta SCJN y la Sala Superior del Tribunal Electoral del Poder Judicial de la Federación sostuvieron criterios diferentes en ese tema; en cuanto a la </w:t>
      </w:r>
      <w:r w:rsidR="00433F7F" w:rsidRPr="003641C8">
        <w:rPr>
          <w:rFonts w:ascii="Arial" w:eastAsia="Times New Roman" w:hAnsi="Arial" w:cs="Arial"/>
          <w:color w:val="000000"/>
          <w:sz w:val="24"/>
          <w:szCs w:val="24"/>
          <w:lang w:val="es-MX"/>
        </w:rPr>
        <w:t>P</w:t>
      </w:r>
      <w:r w:rsidRPr="00433F7F">
        <w:rPr>
          <w:rFonts w:ascii="Arial" w:eastAsia="Times New Roman" w:hAnsi="Arial" w:cs="Arial"/>
          <w:color w:val="000000"/>
          <w:sz w:val="24"/>
          <w:szCs w:val="24"/>
          <w:lang w:val="es-MX"/>
        </w:rPr>
        <w:t>rim</w:t>
      </w:r>
      <w:r w:rsidR="00433F7F" w:rsidRPr="003641C8">
        <w:rPr>
          <w:rFonts w:ascii="Arial" w:eastAsia="Times New Roman" w:hAnsi="Arial" w:cs="Arial"/>
          <w:color w:val="000000"/>
          <w:sz w:val="24"/>
          <w:szCs w:val="24"/>
          <w:lang w:val="es-MX"/>
        </w:rPr>
        <w:t>e</w:t>
      </w:r>
      <w:r w:rsidRPr="00433F7F">
        <w:rPr>
          <w:rFonts w:ascii="Arial" w:eastAsia="Times New Roman" w:hAnsi="Arial" w:cs="Arial"/>
          <w:color w:val="000000"/>
          <w:sz w:val="24"/>
          <w:szCs w:val="24"/>
          <w:lang w:val="es-MX"/>
        </w:rPr>
        <w:t>r</w:t>
      </w:r>
      <w:r w:rsidR="00433F7F" w:rsidRPr="00433F7F">
        <w:rPr>
          <w:rFonts w:ascii="Arial" w:eastAsia="Times New Roman" w:hAnsi="Arial" w:cs="Arial"/>
          <w:color w:val="000000"/>
          <w:sz w:val="24"/>
          <w:szCs w:val="24"/>
          <w:lang w:val="es-MX"/>
        </w:rPr>
        <w:t>a</w:t>
      </w:r>
      <w:r w:rsidRPr="00433F7F">
        <w:rPr>
          <w:rFonts w:ascii="Arial" w:eastAsia="Times New Roman" w:hAnsi="Arial" w:cs="Arial"/>
          <w:color w:val="000000"/>
          <w:sz w:val="24"/>
          <w:szCs w:val="24"/>
          <w:lang w:val="es-MX"/>
        </w:rPr>
        <w:t xml:space="preserve"> determinó que se deben declarar suspendidos los derechos políticos del ciudadano</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desde el dictado del auto de formal prisión por un delito que merezca pena corporal, en términos del artículo 38, fracción II, de la Constitución Federal.</w:t>
      </w:r>
    </w:p>
    <w:p w14:paraId="1903E588" w14:textId="07444A34"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 xml:space="preserve">En sentido contrario, la </w:t>
      </w:r>
      <w:r w:rsidR="00433F7F" w:rsidRPr="00433F7F">
        <w:rPr>
          <w:rFonts w:ascii="Arial" w:eastAsia="Times New Roman" w:hAnsi="Arial" w:cs="Arial"/>
          <w:color w:val="000000"/>
          <w:sz w:val="24"/>
          <w:szCs w:val="24"/>
          <w:lang w:val="es-MX"/>
        </w:rPr>
        <w:t>S</w:t>
      </w:r>
      <w:r w:rsidRPr="00433F7F">
        <w:rPr>
          <w:rFonts w:ascii="Arial" w:eastAsia="Times New Roman" w:hAnsi="Arial" w:cs="Arial"/>
          <w:color w:val="000000"/>
          <w:sz w:val="24"/>
          <w:szCs w:val="24"/>
          <w:lang w:val="es-MX"/>
        </w:rPr>
        <w:t>egunda</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afirmó que la suspensión de los derechos del ciudadano</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por estar sujeto a un proceso criminal por delito que merezca pena corporal, a contar</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desde la fecha del auto de formal prisión, no es absoluta, considera que, aún cuando el ciudadano haya sido sujeto a un proceso penal</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si</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en el mismo</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se le otorgó la libertad caucional y materialmente no se le recluyó en prisión, no hay razones que justifiquen la suspensión de sus derechos políticos electorales, en virtud de que al no haberse privado la libertad personal del sujeto y al operar en su favor la presunción de inocencia, debe continuar en el uso y goce de sus derechos.</w:t>
      </w:r>
    </w:p>
    <w:p w14:paraId="4589553E" w14:textId="49B17C9B"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Cabe resaltar que el proyecto propuso que la contradicción de tesis no queda</w:t>
      </w:r>
      <w:r w:rsidR="005E3975">
        <w:rPr>
          <w:rFonts w:ascii="Arial" w:eastAsia="Times New Roman" w:hAnsi="Arial" w:cs="Arial"/>
          <w:color w:val="000000"/>
          <w:sz w:val="24"/>
          <w:szCs w:val="24"/>
          <w:lang w:val="es-MX"/>
        </w:rPr>
        <w:t>ba</w:t>
      </w:r>
      <w:r w:rsidRPr="00433F7F">
        <w:rPr>
          <w:rFonts w:ascii="Arial" w:eastAsia="Times New Roman" w:hAnsi="Arial" w:cs="Arial"/>
          <w:color w:val="000000"/>
          <w:sz w:val="24"/>
          <w:szCs w:val="24"/>
          <w:lang w:val="es-MX"/>
        </w:rPr>
        <w:t xml:space="preserve"> sin materia como consecuencia de lo resuelto por el Tribunal Pleno en las acciones de inconstitucionalidad 33/2009 y sus acumuladas 34/2009 y 35/2009, toda vez que las consideraciones sustentadas</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en dicho asunto</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no dan respuesta exacta al punto jurídico a resolver. Lo anterior, ya que se interpretó la fracción II del artículo 38 constitucional, en términos similares a lo considerado por la Primera Sala de esta SCJN. Esto es, no se hizo referencia a cómo opera la suspensión de derechos políticos electorales (concretamente el derecho a votar) cuando la persona sujeta a proceso se encuentra libre bajo caución.</w:t>
      </w:r>
    </w:p>
    <w:p w14:paraId="40980643" w14:textId="77777777"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 xml:space="preserve">Ahora bien, el proyecto sostuvo que la restricción de garantías y prerrogativas del ciudadano en materia electoral, concretamente el derecho a votar, sólo tiene lugar cuando el auto de formal prisión produce como </w:t>
      </w:r>
      <w:r w:rsidRPr="00433F7F">
        <w:rPr>
          <w:rFonts w:ascii="Arial" w:eastAsia="Times New Roman" w:hAnsi="Arial" w:cs="Arial"/>
          <w:color w:val="000000"/>
          <w:sz w:val="24"/>
          <w:szCs w:val="24"/>
          <w:lang w:val="es-MX"/>
        </w:rPr>
        <w:lastRenderedPageBreak/>
        <w:t>consecuencia la privación de la libertad del indiciado. Supuesto que implica la imposibilidad de desarrollar o ejercer esos derechos con plena libertad.</w:t>
      </w:r>
    </w:p>
    <w:p w14:paraId="233510E8" w14:textId="13F61AC4"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Lo anterior, no se presenta cuando el auto de formal prisión no trae</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por consecuencia</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la restricción de ese derecho. Hipótesis en la cual</w:t>
      </w:r>
      <w:r w:rsidR="00433F7F" w:rsidRPr="00433F7F">
        <w:rPr>
          <w:rFonts w:ascii="Arial" w:eastAsia="Times New Roman" w:hAnsi="Arial" w:cs="Arial"/>
          <w:color w:val="000000"/>
          <w:sz w:val="24"/>
          <w:szCs w:val="24"/>
          <w:lang w:val="es-MX"/>
        </w:rPr>
        <w:t>,</w:t>
      </w:r>
      <w:r w:rsidRPr="00433F7F">
        <w:rPr>
          <w:rFonts w:ascii="Arial" w:eastAsia="Times New Roman" w:hAnsi="Arial" w:cs="Arial"/>
          <w:color w:val="000000"/>
          <w:sz w:val="24"/>
          <w:szCs w:val="24"/>
          <w:lang w:val="es-MX"/>
        </w:rPr>
        <w:t xml:space="preserve"> mientras no exista una sentencia ejecutoriada, no impide el ejercicio de las prerrogativas o derechos del ciudadano en materia electoral. Conclusión orientada en el principio de presunción de inocencia y el relativo a la maximización de los derechos fundamentales</w:t>
      </w:r>
      <w:r w:rsidR="002C3DE4" w:rsidRPr="00433F7F">
        <w:rPr>
          <w:rStyle w:val="Refdenotaalpie"/>
          <w:rFonts w:ascii="Arial" w:eastAsia="Times New Roman" w:hAnsi="Arial" w:cs="Arial"/>
          <w:color w:val="000000"/>
          <w:sz w:val="24"/>
          <w:szCs w:val="24"/>
          <w:lang w:val="es-MX"/>
        </w:rPr>
        <w:footnoteReference w:id="73"/>
      </w:r>
      <w:r w:rsidRPr="00433F7F">
        <w:rPr>
          <w:rFonts w:ascii="Arial" w:eastAsia="Times New Roman" w:hAnsi="Arial" w:cs="Arial"/>
          <w:color w:val="000000"/>
          <w:sz w:val="24"/>
          <w:szCs w:val="24"/>
          <w:lang w:val="es-MX"/>
        </w:rPr>
        <w:t>.</w:t>
      </w:r>
    </w:p>
    <w:p w14:paraId="4C90C0D9" w14:textId="77777777"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t>Además, se determinó que dicho artículo 43 establece un sistema de precedentes (consideraciones de las sentencias), que no guarda relación con el sistema de jurisprudencia en el Estado mexicano, es decir, de otros medios de control de constitucionalidad</w:t>
      </w:r>
      <w:r w:rsidRPr="00433F7F">
        <w:rPr>
          <w:rStyle w:val="Refdenotaalpie"/>
          <w:rFonts w:ascii="Arial" w:eastAsia="Times New Roman" w:hAnsi="Arial" w:cs="Arial"/>
          <w:color w:val="000000"/>
          <w:sz w:val="24"/>
          <w:szCs w:val="24"/>
          <w:lang w:val="es-MX"/>
        </w:rPr>
        <w:footnoteReference w:id="74"/>
      </w:r>
      <w:r w:rsidRPr="00433F7F">
        <w:rPr>
          <w:rFonts w:ascii="Arial" w:eastAsia="Times New Roman" w:hAnsi="Arial" w:cs="Arial"/>
          <w:color w:val="000000"/>
          <w:sz w:val="24"/>
          <w:szCs w:val="24"/>
          <w:lang w:val="es-MX"/>
        </w:rPr>
        <w:t>.</w:t>
      </w:r>
    </w:p>
    <w:p w14:paraId="6843330D" w14:textId="342A58C2"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color w:val="000000"/>
          <w:sz w:val="24"/>
          <w:szCs w:val="24"/>
          <w:lang w:val="es-MX"/>
        </w:rPr>
        <w:lastRenderedPageBreak/>
        <w:t>Se resolvió de fondo que</w:t>
      </w:r>
      <w:r w:rsidR="002C3DE4" w:rsidRPr="00433F7F">
        <w:rPr>
          <w:rFonts w:ascii="Arial" w:eastAsia="Times New Roman" w:hAnsi="Arial" w:cs="Arial"/>
          <w:color w:val="000000"/>
          <w:sz w:val="24"/>
          <w:szCs w:val="24"/>
          <w:lang w:val="es-MX"/>
        </w:rPr>
        <w:t xml:space="preserve"> “el </w:t>
      </w:r>
      <w:hyperlink r:id="rId8" w:history="1">
        <w:r w:rsidR="002C3DE4" w:rsidRPr="00433F7F">
          <w:rPr>
            <w:rFonts w:ascii="Arial" w:eastAsia="Times New Roman" w:hAnsi="Arial" w:cs="Arial"/>
            <w:sz w:val="24"/>
            <w:szCs w:val="24"/>
            <w:lang w:val="es-MX"/>
          </w:rPr>
          <w:t>derecho al voto. se suspende por el dictado del auto de formal prisión o de vinculación a proceso, sólo cuando el procesado esté efectivamente privado de su libertad”.</w:t>
        </w:r>
      </w:hyperlink>
    </w:p>
    <w:p w14:paraId="750A5AFA" w14:textId="57CC27CC" w:rsidR="00BB4BC9" w:rsidRPr="00433F7F" w:rsidRDefault="00BB4BC9" w:rsidP="00433F7F">
      <w:pPr>
        <w:spacing w:line="360" w:lineRule="auto"/>
        <w:ind w:left="720" w:right="720"/>
        <w:jc w:val="both"/>
        <w:rPr>
          <w:rFonts w:ascii="Arial" w:hAnsi="Arial" w:cs="Arial"/>
          <w:sz w:val="24"/>
          <w:szCs w:val="24"/>
          <w:lang w:val="es-MX"/>
        </w:rPr>
      </w:pPr>
      <w:r w:rsidRPr="00433F7F">
        <w:rPr>
          <w:rFonts w:ascii="Arial" w:eastAsia="Times New Roman" w:hAnsi="Arial" w:cs="Arial"/>
          <w:sz w:val="24"/>
          <w:szCs w:val="24"/>
          <w:lang w:val="es-MX"/>
        </w:rPr>
        <w:t>Existe la contradicción de tesis denunciada. Por tanto, debe prevalecer con carácter de jurisprudencia, el criterio sustentado por el Tribunal Pleno de la SCJN.</w:t>
      </w:r>
    </w:p>
    <w:p w14:paraId="2951202F" w14:textId="77777777" w:rsidR="00BB4BC9" w:rsidRPr="00433F7F" w:rsidRDefault="00BB4BC9" w:rsidP="00433F7F">
      <w:pPr>
        <w:shd w:val="clear" w:color="auto" w:fill="FFFFFF"/>
        <w:spacing w:after="0" w:line="360" w:lineRule="auto"/>
        <w:ind w:left="720" w:right="720"/>
        <w:rPr>
          <w:rFonts w:ascii="Arial" w:eastAsia="Times New Roman" w:hAnsi="Arial" w:cs="Arial"/>
          <w:sz w:val="24"/>
          <w:szCs w:val="24"/>
          <w:lang w:val="es-MX"/>
        </w:rPr>
      </w:pPr>
    </w:p>
    <w:p w14:paraId="04DE655F" w14:textId="62E3A7F4" w:rsidR="006B6FD7" w:rsidRPr="00433F7F" w:rsidRDefault="006B6FD7" w:rsidP="00433F7F">
      <w:pPr>
        <w:spacing w:line="360" w:lineRule="auto"/>
        <w:ind w:left="720" w:right="720"/>
        <w:rPr>
          <w:rFonts w:ascii="Arial" w:hAnsi="Arial" w:cs="Arial"/>
          <w:sz w:val="24"/>
          <w:szCs w:val="24"/>
          <w:lang w:val="es-MX"/>
        </w:rPr>
      </w:pPr>
      <w:r w:rsidRPr="00433F7F">
        <w:rPr>
          <w:rFonts w:ascii="Arial" w:hAnsi="Arial" w:cs="Arial"/>
          <w:b/>
          <w:sz w:val="24"/>
          <w:szCs w:val="24"/>
          <w:lang w:val="es-MX"/>
        </w:rPr>
        <w:t>Conclusiones</w:t>
      </w:r>
    </w:p>
    <w:p w14:paraId="5D63F59B" w14:textId="3D1C0D8F" w:rsidR="001A47AC" w:rsidRPr="00433F7F" w:rsidRDefault="0040567E" w:rsidP="00545EA4">
      <w:pPr>
        <w:spacing w:line="360" w:lineRule="auto"/>
        <w:ind w:left="720" w:right="720"/>
        <w:jc w:val="both"/>
        <w:rPr>
          <w:rFonts w:ascii="Arial" w:hAnsi="Arial" w:cs="Arial"/>
          <w:sz w:val="24"/>
          <w:szCs w:val="24"/>
          <w:lang w:val="es-MX"/>
        </w:rPr>
      </w:pPr>
      <w:r>
        <w:rPr>
          <w:rFonts w:ascii="Arial" w:hAnsi="Arial" w:cs="Arial"/>
          <w:sz w:val="24"/>
          <w:szCs w:val="24"/>
          <w:lang w:val="es-MX"/>
        </w:rPr>
        <w:t>L</w:t>
      </w:r>
      <w:r w:rsidR="00C6077F">
        <w:rPr>
          <w:rFonts w:ascii="Arial" w:hAnsi="Arial" w:cs="Arial"/>
          <w:sz w:val="24"/>
          <w:szCs w:val="24"/>
          <w:lang w:val="es-MX"/>
        </w:rPr>
        <w:t xml:space="preserve">a participación permanente de la SCJN </w:t>
      </w:r>
      <w:r w:rsidR="000B27F5">
        <w:rPr>
          <w:rFonts w:ascii="Arial" w:hAnsi="Arial" w:cs="Arial"/>
          <w:sz w:val="24"/>
          <w:szCs w:val="24"/>
          <w:lang w:val="es-MX"/>
        </w:rPr>
        <w:t xml:space="preserve">ha </w:t>
      </w:r>
      <w:r w:rsidR="00DD6805">
        <w:rPr>
          <w:rFonts w:ascii="Arial" w:hAnsi="Arial" w:cs="Arial"/>
          <w:sz w:val="24"/>
          <w:szCs w:val="24"/>
          <w:lang w:val="es-MX"/>
        </w:rPr>
        <w:t>contribui</w:t>
      </w:r>
      <w:r w:rsidR="000B27F5">
        <w:rPr>
          <w:rFonts w:ascii="Arial" w:hAnsi="Arial" w:cs="Arial"/>
          <w:sz w:val="24"/>
          <w:szCs w:val="24"/>
          <w:lang w:val="es-MX"/>
        </w:rPr>
        <w:t>do</w:t>
      </w:r>
      <w:r w:rsidR="008D43C0">
        <w:rPr>
          <w:rFonts w:ascii="Arial" w:hAnsi="Arial" w:cs="Arial"/>
          <w:sz w:val="24"/>
          <w:szCs w:val="24"/>
          <w:lang w:val="es-MX"/>
        </w:rPr>
        <w:t xml:space="preserve"> no solo en garantizar el derecho a la presunción de inocencia sino también en ampliar</w:t>
      </w:r>
      <w:r w:rsidR="00115DE6">
        <w:rPr>
          <w:rFonts w:ascii="Arial" w:hAnsi="Arial" w:cs="Arial"/>
          <w:sz w:val="24"/>
          <w:szCs w:val="24"/>
          <w:lang w:val="es-MX"/>
        </w:rPr>
        <w:t xml:space="preserve"> </w:t>
      </w:r>
      <w:r w:rsidR="008D43C0">
        <w:rPr>
          <w:rFonts w:ascii="Arial" w:hAnsi="Arial" w:cs="Arial"/>
          <w:sz w:val="24"/>
          <w:szCs w:val="24"/>
          <w:lang w:val="es-MX"/>
        </w:rPr>
        <w:t xml:space="preserve">lo </w:t>
      </w:r>
      <w:r w:rsidR="00A7673B">
        <w:rPr>
          <w:rFonts w:ascii="Arial" w:hAnsi="Arial" w:cs="Arial"/>
          <w:sz w:val="24"/>
          <w:szCs w:val="24"/>
          <w:lang w:val="es-MX"/>
        </w:rPr>
        <w:t xml:space="preserve">regulado por </w:t>
      </w:r>
      <w:r w:rsidR="008D43C0">
        <w:rPr>
          <w:rFonts w:ascii="Arial" w:hAnsi="Arial" w:cs="Arial"/>
          <w:sz w:val="24"/>
          <w:szCs w:val="24"/>
          <w:lang w:val="es-MX"/>
        </w:rPr>
        <w:t>el</w:t>
      </w:r>
      <w:r w:rsidR="00A7673B">
        <w:rPr>
          <w:rFonts w:ascii="Arial" w:hAnsi="Arial" w:cs="Arial"/>
          <w:sz w:val="24"/>
          <w:szCs w:val="24"/>
          <w:lang w:val="es-MX"/>
        </w:rPr>
        <w:t xml:space="preserve"> órgano</w:t>
      </w:r>
      <w:r w:rsidR="008D43C0">
        <w:rPr>
          <w:rFonts w:ascii="Arial" w:hAnsi="Arial" w:cs="Arial"/>
          <w:sz w:val="24"/>
          <w:szCs w:val="24"/>
          <w:lang w:val="es-MX"/>
        </w:rPr>
        <w:t xml:space="preserve"> legislador</w:t>
      </w:r>
      <w:r w:rsidR="00C6077F">
        <w:rPr>
          <w:rFonts w:ascii="Arial" w:hAnsi="Arial" w:cs="Arial"/>
          <w:sz w:val="24"/>
          <w:szCs w:val="24"/>
          <w:lang w:val="es-MX"/>
        </w:rPr>
        <w:t>.</w:t>
      </w:r>
      <w:r w:rsidR="001A47AC">
        <w:rPr>
          <w:rFonts w:ascii="Arial" w:hAnsi="Arial" w:cs="Arial"/>
          <w:sz w:val="24"/>
          <w:szCs w:val="24"/>
          <w:lang w:val="es-MX"/>
        </w:rPr>
        <w:t xml:space="preserve"> </w:t>
      </w:r>
      <w:r w:rsidR="00DD6805">
        <w:rPr>
          <w:rFonts w:ascii="Arial" w:hAnsi="Arial" w:cs="Arial"/>
          <w:sz w:val="24"/>
          <w:szCs w:val="24"/>
          <w:lang w:val="es-MX"/>
        </w:rPr>
        <w:t>Está claro que, d</w:t>
      </w:r>
      <w:r w:rsidR="001A47AC">
        <w:rPr>
          <w:rFonts w:ascii="Arial" w:hAnsi="Arial" w:cs="Arial"/>
          <w:sz w:val="24"/>
          <w:szCs w:val="24"/>
          <w:lang w:val="es-MX"/>
        </w:rPr>
        <w:t xml:space="preserve">e nada sirve reconocer los derechos humanos sin protegerlos, </w:t>
      </w:r>
      <w:r w:rsidR="008D43C0">
        <w:rPr>
          <w:rFonts w:ascii="Arial" w:hAnsi="Arial" w:cs="Arial"/>
          <w:sz w:val="24"/>
          <w:szCs w:val="24"/>
          <w:lang w:val="es-MX"/>
        </w:rPr>
        <w:t xml:space="preserve">y en México </w:t>
      </w:r>
      <w:r w:rsidR="001A47AC">
        <w:rPr>
          <w:rFonts w:ascii="Arial" w:hAnsi="Arial" w:cs="Arial"/>
          <w:sz w:val="24"/>
          <w:szCs w:val="24"/>
          <w:lang w:val="es-MX"/>
        </w:rPr>
        <w:t xml:space="preserve">poco se ha comprendido </w:t>
      </w:r>
      <w:r w:rsidR="00DD6805">
        <w:rPr>
          <w:rFonts w:ascii="Arial" w:hAnsi="Arial" w:cs="Arial"/>
          <w:sz w:val="24"/>
          <w:szCs w:val="24"/>
          <w:lang w:val="es-MX"/>
        </w:rPr>
        <w:t xml:space="preserve">sobre </w:t>
      </w:r>
      <w:r w:rsidR="008D43C0">
        <w:rPr>
          <w:rFonts w:ascii="Arial" w:hAnsi="Arial" w:cs="Arial"/>
          <w:sz w:val="24"/>
          <w:szCs w:val="24"/>
          <w:lang w:val="es-MX"/>
        </w:rPr>
        <w:t>su</w:t>
      </w:r>
      <w:r w:rsidR="00DD6805">
        <w:rPr>
          <w:rFonts w:ascii="Arial" w:hAnsi="Arial" w:cs="Arial"/>
          <w:sz w:val="24"/>
          <w:szCs w:val="24"/>
          <w:lang w:val="es-MX"/>
        </w:rPr>
        <w:t xml:space="preserve"> protección </w:t>
      </w:r>
      <w:r w:rsidR="00DD6805" w:rsidRPr="00DD6805">
        <w:rPr>
          <w:rFonts w:ascii="Arial" w:hAnsi="Arial" w:cs="Arial"/>
          <w:i/>
          <w:sz w:val="24"/>
          <w:szCs w:val="24"/>
          <w:lang w:val="es-MX"/>
        </w:rPr>
        <w:t>in stricto sensu</w:t>
      </w:r>
      <w:r w:rsidR="00545EA4">
        <w:rPr>
          <w:rFonts w:ascii="Arial" w:hAnsi="Arial" w:cs="Arial"/>
          <w:sz w:val="24"/>
          <w:szCs w:val="24"/>
          <w:lang w:val="es-MX"/>
        </w:rPr>
        <w:t>, y por ende</w:t>
      </w:r>
      <w:r w:rsidR="005E3975">
        <w:rPr>
          <w:rFonts w:ascii="Arial" w:hAnsi="Arial" w:cs="Arial"/>
          <w:sz w:val="24"/>
          <w:szCs w:val="24"/>
          <w:lang w:val="es-MX"/>
        </w:rPr>
        <w:t>,</w:t>
      </w:r>
      <w:r w:rsidR="00545EA4">
        <w:rPr>
          <w:rFonts w:ascii="Arial" w:hAnsi="Arial" w:cs="Arial"/>
          <w:sz w:val="24"/>
          <w:szCs w:val="24"/>
          <w:lang w:val="es-MX"/>
        </w:rPr>
        <w:t xml:space="preserve"> su respeto ha sido parcial. </w:t>
      </w:r>
    </w:p>
    <w:p w14:paraId="101510F9" w14:textId="5C15C402" w:rsidR="00E576AC" w:rsidRDefault="00C6077F" w:rsidP="005E3975">
      <w:pPr>
        <w:spacing w:line="360" w:lineRule="auto"/>
        <w:ind w:left="720" w:right="720"/>
        <w:jc w:val="both"/>
        <w:rPr>
          <w:rFonts w:ascii="Arial" w:hAnsi="Arial" w:cs="Arial"/>
          <w:sz w:val="24"/>
          <w:szCs w:val="24"/>
          <w:lang w:val="es-MX"/>
        </w:rPr>
      </w:pPr>
      <w:r>
        <w:rPr>
          <w:rFonts w:ascii="Arial" w:hAnsi="Arial" w:cs="Arial"/>
          <w:sz w:val="24"/>
          <w:szCs w:val="24"/>
          <w:lang w:val="es-MX"/>
        </w:rPr>
        <w:t xml:space="preserve">Si bien, aunque el compromiso por parte del Estado Mexicano en firmar </w:t>
      </w:r>
      <w:r w:rsidR="00E576AC">
        <w:rPr>
          <w:rFonts w:ascii="Arial" w:hAnsi="Arial" w:cs="Arial"/>
          <w:sz w:val="24"/>
          <w:szCs w:val="24"/>
          <w:lang w:val="es-MX"/>
        </w:rPr>
        <w:t xml:space="preserve">instrumentos internacionales </w:t>
      </w:r>
      <w:r>
        <w:rPr>
          <w:rFonts w:ascii="Arial" w:hAnsi="Arial" w:cs="Arial"/>
          <w:sz w:val="24"/>
          <w:szCs w:val="24"/>
          <w:lang w:val="es-MX"/>
        </w:rPr>
        <w:t>en materia de derechos humanos ha s</w:t>
      </w:r>
      <w:r w:rsidR="005E3975">
        <w:rPr>
          <w:rFonts w:ascii="Arial" w:hAnsi="Arial" w:cs="Arial"/>
          <w:sz w:val="24"/>
          <w:szCs w:val="24"/>
          <w:lang w:val="es-MX"/>
        </w:rPr>
        <w:t xml:space="preserve">ido </w:t>
      </w:r>
      <w:r w:rsidR="00E576AC">
        <w:rPr>
          <w:rFonts w:ascii="Arial" w:hAnsi="Arial" w:cs="Arial"/>
          <w:sz w:val="24"/>
          <w:szCs w:val="24"/>
          <w:lang w:val="es-MX"/>
        </w:rPr>
        <w:t xml:space="preserve">una </w:t>
      </w:r>
      <w:r w:rsidR="005E3975">
        <w:rPr>
          <w:rFonts w:ascii="Arial" w:hAnsi="Arial" w:cs="Arial"/>
          <w:sz w:val="24"/>
          <w:szCs w:val="24"/>
          <w:lang w:val="es-MX"/>
        </w:rPr>
        <w:t>práctica co</w:t>
      </w:r>
      <w:r w:rsidR="00A7673B">
        <w:rPr>
          <w:rFonts w:ascii="Arial" w:hAnsi="Arial" w:cs="Arial"/>
          <w:sz w:val="24"/>
          <w:szCs w:val="24"/>
          <w:lang w:val="es-MX"/>
        </w:rPr>
        <w:t>nstante</w:t>
      </w:r>
      <w:r w:rsidR="005E3975">
        <w:rPr>
          <w:rFonts w:ascii="Arial" w:hAnsi="Arial" w:cs="Arial"/>
          <w:sz w:val="24"/>
          <w:szCs w:val="24"/>
          <w:lang w:val="es-MX"/>
        </w:rPr>
        <w:t xml:space="preserve"> </w:t>
      </w:r>
      <w:r>
        <w:rPr>
          <w:rFonts w:ascii="Arial" w:hAnsi="Arial" w:cs="Arial"/>
          <w:sz w:val="24"/>
          <w:szCs w:val="24"/>
          <w:lang w:val="es-MX"/>
        </w:rPr>
        <w:t>a lo largo de la historia de nuestro país</w:t>
      </w:r>
      <w:r w:rsidR="00B37901">
        <w:rPr>
          <w:rFonts w:ascii="Arial" w:hAnsi="Arial" w:cs="Arial"/>
          <w:sz w:val="24"/>
          <w:szCs w:val="24"/>
          <w:lang w:val="es-MX"/>
        </w:rPr>
        <w:t xml:space="preserve">, </w:t>
      </w:r>
      <w:r w:rsidR="00115DE6">
        <w:rPr>
          <w:rFonts w:ascii="Arial" w:hAnsi="Arial" w:cs="Arial"/>
          <w:sz w:val="24"/>
          <w:szCs w:val="24"/>
          <w:lang w:val="es-MX"/>
        </w:rPr>
        <w:t xml:space="preserve">sin embargo, </w:t>
      </w:r>
      <w:r w:rsidR="00E576AC">
        <w:rPr>
          <w:rFonts w:ascii="Arial" w:hAnsi="Arial" w:cs="Arial"/>
          <w:sz w:val="24"/>
          <w:szCs w:val="24"/>
          <w:lang w:val="es-MX"/>
        </w:rPr>
        <w:t>la incorporación</w:t>
      </w:r>
      <w:r w:rsidR="00D27F67">
        <w:rPr>
          <w:rFonts w:ascii="Arial" w:hAnsi="Arial" w:cs="Arial"/>
          <w:sz w:val="24"/>
          <w:szCs w:val="24"/>
          <w:lang w:val="es-MX"/>
        </w:rPr>
        <w:t xml:space="preserve"> </w:t>
      </w:r>
      <w:r w:rsidR="00E576AC">
        <w:rPr>
          <w:rFonts w:ascii="Arial" w:hAnsi="Arial" w:cs="Arial"/>
          <w:sz w:val="24"/>
          <w:szCs w:val="24"/>
          <w:lang w:val="es-MX"/>
        </w:rPr>
        <w:t>del contenido de los mismos</w:t>
      </w:r>
      <w:r w:rsidR="008D43C0">
        <w:rPr>
          <w:rFonts w:ascii="Arial" w:hAnsi="Arial" w:cs="Arial"/>
          <w:sz w:val="24"/>
          <w:szCs w:val="24"/>
          <w:lang w:val="es-MX"/>
        </w:rPr>
        <w:t xml:space="preserve"> en el ámbito interno </w:t>
      </w:r>
      <w:r w:rsidR="00D27F67">
        <w:rPr>
          <w:rFonts w:ascii="Arial" w:hAnsi="Arial" w:cs="Arial"/>
          <w:sz w:val="24"/>
          <w:szCs w:val="24"/>
          <w:lang w:val="es-MX"/>
        </w:rPr>
        <w:t xml:space="preserve">como el reconocimiento más amplio de los mismos, </w:t>
      </w:r>
      <w:r w:rsidR="00E576AC">
        <w:rPr>
          <w:rFonts w:ascii="Arial" w:hAnsi="Arial" w:cs="Arial"/>
          <w:sz w:val="24"/>
          <w:szCs w:val="24"/>
          <w:lang w:val="es-MX"/>
        </w:rPr>
        <w:t xml:space="preserve">no ha tenido la misma suerte. </w:t>
      </w:r>
    </w:p>
    <w:p w14:paraId="41935D50" w14:textId="396D9F55" w:rsidR="00C6077F" w:rsidRDefault="00745ACF" w:rsidP="005E3975">
      <w:pPr>
        <w:spacing w:line="360" w:lineRule="auto"/>
        <w:ind w:left="720" w:right="720"/>
        <w:jc w:val="both"/>
        <w:rPr>
          <w:rFonts w:ascii="Arial" w:hAnsi="Arial" w:cs="Arial"/>
          <w:sz w:val="24"/>
          <w:szCs w:val="24"/>
          <w:lang w:val="es-MX"/>
        </w:rPr>
      </w:pPr>
      <w:r>
        <w:rPr>
          <w:rFonts w:ascii="Arial" w:hAnsi="Arial" w:cs="Arial"/>
          <w:sz w:val="24"/>
          <w:szCs w:val="24"/>
          <w:lang w:val="es-MX"/>
        </w:rPr>
        <w:t xml:space="preserve">Por su parte, </w:t>
      </w:r>
      <w:r w:rsidR="00C6077F">
        <w:rPr>
          <w:rFonts w:ascii="Arial" w:hAnsi="Arial" w:cs="Arial"/>
          <w:sz w:val="24"/>
          <w:szCs w:val="24"/>
          <w:lang w:val="es-MX"/>
        </w:rPr>
        <w:t xml:space="preserve">las reformas constitucionales de 2008 y 2011, marcaron el nuevo rumbo que </w:t>
      </w:r>
      <w:r w:rsidR="008D43C0">
        <w:rPr>
          <w:rFonts w:ascii="Arial" w:hAnsi="Arial" w:cs="Arial"/>
          <w:sz w:val="24"/>
          <w:szCs w:val="24"/>
          <w:lang w:val="es-MX"/>
        </w:rPr>
        <w:t>debe</w:t>
      </w:r>
      <w:r w:rsidR="00C6077F">
        <w:rPr>
          <w:rFonts w:ascii="Arial" w:hAnsi="Arial" w:cs="Arial"/>
          <w:sz w:val="24"/>
          <w:szCs w:val="24"/>
          <w:lang w:val="es-MX"/>
        </w:rPr>
        <w:t xml:space="preserve"> llevar</w:t>
      </w:r>
      <w:r w:rsidR="008D43C0">
        <w:rPr>
          <w:rFonts w:ascii="Arial" w:hAnsi="Arial" w:cs="Arial"/>
          <w:sz w:val="24"/>
          <w:szCs w:val="24"/>
          <w:lang w:val="es-MX"/>
        </w:rPr>
        <w:t xml:space="preserve"> e</w:t>
      </w:r>
      <w:r w:rsidR="00C6077F">
        <w:rPr>
          <w:rFonts w:ascii="Arial" w:hAnsi="Arial" w:cs="Arial"/>
          <w:sz w:val="24"/>
          <w:szCs w:val="24"/>
          <w:lang w:val="es-MX"/>
        </w:rPr>
        <w:t>l modelo de just</w:t>
      </w:r>
      <w:r>
        <w:rPr>
          <w:rFonts w:ascii="Arial" w:hAnsi="Arial" w:cs="Arial"/>
          <w:sz w:val="24"/>
          <w:szCs w:val="24"/>
          <w:lang w:val="es-MX"/>
        </w:rPr>
        <w:t>i</w:t>
      </w:r>
      <w:r w:rsidR="00C6077F">
        <w:rPr>
          <w:rFonts w:ascii="Arial" w:hAnsi="Arial" w:cs="Arial"/>
          <w:sz w:val="24"/>
          <w:szCs w:val="24"/>
          <w:lang w:val="es-MX"/>
        </w:rPr>
        <w:t>cia penal</w:t>
      </w:r>
      <w:r w:rsidR="008D43C0">
        <w:rPr>
          <w:rFonts w:ascii="Arial" w:hAnsi="Arial" w:cs="Arial"/>
          <w:sz w:val="24"/>
          <w:szCs w:val="24"/>
          <w:lang w:val="es-MX"/>
        </w:rPr>
        <w:t>, con absoluto</w:t>
      </w:r>
      <w:r w:rsidR="00C6077F">
        <w:rPr>
          <w:rFonts w:ascii="Arial" w:hAnsi="Arial" w:cs="Arial"/>
          <w:sz w:val="24"/>
          <w:szCs w:val="24"/>
          <w:lang w:val="es-MX"/>
        </w:rPr>
        <w:t xml:space="preserve"> respeto de los derechos humanos, y </w:t>
      </w:r>
      <w:r w:rsidR="008D43C0">
        <w:rPr>
          <w:rFonts w:ascii="Arial" w:hAnsi="Arial" w:cs="Arial"/>
          <w:sz w:val="24"/>
          <w:szCs w:val="24"/>
          <w:lang w:val="es-MX"/>
        </w:rPr>
        <w:t xml:space="preserve">con un eje central </w:t>
      </w:r>
      <w:r w:rsidR="00115DE6">
        <w:rPr>
          <w:rFonts w:ascii="Arial" w:hAnsi="Arial" w:cs="Arial"/>
          <w:sz w:val="24"/>
          <w:szCs w:val="24"/>
          <w:lang w:val="es-MX"/>
        </w:rPr>
        <w:t>como</w:t>
      </w:r>
      <w:r w:rsidR="008D43C0">
        <w:rPr>
          <w:rFonts w:ascii="Arial" w:hAnsi="Arial" w:cs="Arial"/>
          <w:sz w:val="24"/>
          <w:szCs w:val="24"/>
          <w:lang w:val="es-MX"/>
        </w:rPr>
        <w:t xml:space="preserve"> es el derecho a la presunción de inocencia.</w:t>
      </w:r>
    </w:p>
    <w:p w14:paraId="5762DDCC" w14:textId="6C106080" w:rsidR="00B37901" w:rsidRDefault="008D43C0"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Está claro que, n</w:t>
      </w:r>
      <w:r w:rsidR="00B37901">
        <w:rPr>
          <w:rFonts w:ascii="Arial" w:hAnsi="Arial" w:cs="Arial"/>
          <w:sz w:val="24"/>
          <w:szCs w:val="24"/>
          <w:lang w:val="es-MX"/>
        </w:rPr>
        <w:t xml:space="preserve">i el reconocimiento implícito, y tampoco </w:t>
      </w:r>
      <w:r>
        <w:rPr>
          <w:rFonts w:ascii="Arial" w:hAnsi="Arial" w:cs="Arial"/>
          <w:sz w:val="24"/>
          <w:szCs w:val="24"/>
          <w:lang w:val="es-MX"/>
        </w:rPr>
        <w:t xml:space="preserve">el reconocimiento </w:t>
      </w:r>
      <w:r w:rsidR="00B37901">
        <w:rPr>
          <w:rFonts w:ascii="Arial" w:hAnsi="Arial" w:cs="Arial"/>
          <w:sz w:val="24"/>
          <w:szCs w:val="24"/>
          <w:lang w:val="es-MX"/>
        </w:rPr>
        <w:t>expreso en 2008, ha valido de mucho para que prevalezca el respeto de la presunción de inocencia</w:t>
      </w:r>
      <w:r>
        <w:rPr>
          <w:rFonts w:ascii="Arial" w:hAnsi="Arial" w:cs="Arial"/>
          <w:sz w:val="24"/>
          <w:szCs w:val="24"/>
          <w:lang w:val="es-MX"/>
        </w:rPr>
        <w:t xml:space="preserve"> en cuanto al trato procesal</w:t>
      </w:r>
      <w:r w:rsidR="00A7673B">
        <w:rPr>
          <w:rFonts w:ascii="Arial" w:hAnsi="Arial" w:cs="Arial"/>
          <w:sz w:val="24"/>
          <w:szCs w:val="24"/>
          <w:lang w:val="es-MX"/>
        </w:rPr>
        <w:t>, a</w:t>
      </w:r>
      <w:r>
        <w:rPr>
          <w:rFonts w:ascii="Arial" w:hAnsi="Arial" w:cs="Arial"/>
          <w:sz w:val="24"/>
          <w:szCs w:val="24"/>
          <w:lang w:val="es-MX"/>
        </w:rPr>
        <w:t>l valor probatorio</w:t>
      </w:r>
      <w:r w:rsidR="00A7673B">
        <w:rPr>
          <w:rFonts w:ascii="Arial" w:hAnsi="Arial" w:cs="Arial"/>
          <w:sz w:val="24"/>
          <w:szCs w:val="24"/>
          <w:lang w:val="es-MX"/>
        </w:rPr>
        <w:t xml:space="preserve"> ni tampoco de forma posterior al desarrollo del proceso</w:t>
      </w:r>
      <w:r w:rsidR="00B37901">
        <w:rPr>
          <w:rFonts w:ascii="Arial" w:hAnsi="Arial" w:cs="Arial"/>
          <w:sz w:val="24"/>
          <w:szCs w:val="24"/>
          <w:lang w:val="es-MX"/>
        </w:rPr>
        <w:t>.</w:t>
      </w:r>
      <w:r>
        <w:rPr>
          <w:rFonts w:ascii="Arial" w:hAnsi="Arial" w:cs="Arial"/>
          <w:sz w:val="24"/>
          <w:szCs w:val="24"/>
          <w:lang w:val="es-MX"/>
        </w:rPr>
        <w:t xml:space="preserve"> </w:t>
      </w:r>
      <w:r w:rsidR="00A7673B">
        <w:rPr>
          <w:rFonts w:ascii="Arial" w:hAnsi="Arial" w:cs="Arial"/>
          <w:sz w:val="24"/>
          <w:szCs w:val="24"/>
          <w:lang w:val="es-MX"/>
        </w:rPr>
        <w:t xml:space="preserve">En el año 2016 </w:t>
      </w:r>
      <w:r w:rsidR="00171B9C">
        <w:rPr>
          <w:rFonts w:ascii="Arial" w:hAnsi="Arial" w:cs="Arial"/>
          <w:sz w:val="24"/>
          <w:szCs w:val="24"/>
          <w:lang w:val="es-MX"/>
        </w:rPr>
        <w:t>tras</w:t>
      </w:r>
      <w:r w:rsidR="00A7673B">
        <w:rPr>
          <w:rFonts w:ascii="Arial" w:hAnsi="Arial" w:cs="Arial"/>
          <w:sz w:val="24"/>
          <w:szCs w:val="24"/>
          <w:lang w:val="es-MX"/>
        </w:rPr>
        <w:t xml:space="preserve"> </w:t>
      </w:r>
      <w:r w:rsidR="00A7673B">
        <w:rPr>
          <w:rFonts w:ascii="Arial" w:hAnsi="Arial" w:cs="Arial"/>
          <w:sz w:val="24"/>
          <w:szCs w:val="24"/>
          <w:lang w:val="es-MX"/>
        </w:rPr>
        <w:lastRenderedPageBreak/>
        <w:t>a la entrada en vigor integral de</w:t>
      </w:r>
      <w:r w:rsidR="00171B9C">
        <w:rPr>
          <w:rFonts w:ascii="Arial" w:hAnsi="Arial" w:cs="Arial"/>
          <w:sz w:val="24"/>
          <w:szCs w:val="24"/>
          <w:lang w:val="es-MX"/>
        </w:rPr>
        <w:t>l modelo de justicia penal</w:t>
      </w:r>
      <w:r w:rsidR="00A7673B">
        <w:rPr>
          <w:rFonts w:ascii="Arial" w:hAnsi="Arial" w:cs="Arial"/>
          <w:sz w:val="24"/>
          <w:szCs w:val="24"/>
          <w:lang w:val="es-MX"/>
        </w:rPr>
        <w:t xml:space="preserve">, la tendencia </w:t>
      </w:r>
      <w:r w:rsidR="00115DE6">
        <w:rPr>
          <w:rFonts w:ascii="Arial" w:hAnsi="Arial" w:cs="Arial"/>
          <w:sz w:val="24"/>
          <w:szCs w:val="24"/>
          <w:lang w:val="es-MX"/>
        </w:rPr>
        <w:t xml:space="preserve">en </w:t>
      </w:r>
      <w:r w:rsidR="00A7673B">
        <w:rPr>
          <w:rFonts w:ascii="Arial" w:hAnsi="Arial" w:cs="Arial"/>
          <w:sz w:val="24"/>
          <w:szCs w:val="24"/>
          <w:lang w:val="es-MX"/>
        </w:rPr>
        <w:t>gran parte de las</w:t>
      </w:r>
      <w:r w:rsidR="00115DE6">
        <w:rPr>
          <w:rFonts w:ascii="Arial" w:hAnsi="Arial" w:cs="Arial"/>
          <w:sz w:val="24"/>
          <w:szCs w:val="24"/>
          <w:lang w:val="es-MX"/>
        </w:rPr>
        <w:t xml:space="preserve"> entidades federativas </w:t>
      </w:r>
      <w:r w:rsidR="00A7673B">
        <w:rPr>
          <w:rFonts w:ascii="Arial" w:hAnsi="Arial" w:cs="Arial"/>
          <w:sz w:val="24"/>
          <w:szCs w:val="24"/>
          <w:lang w:val="es-MX"/>
        </w:rPr>
        <w:t xml:space="preserve">fue </w:t>
      </w:r>
      <w:r w:rsidR="00115DE6">
        <w:rPr>
          <w:rFonts w:ascii="Arial" w:hAnsi="Arial" w:cs="Arial"/>
          <w:sz w:val="24"/>
          <w:szCs w:val="24"/>
          <w:lang w:val="es-MX"/>
        </w:rPr>
        <w:t>a la baja</w:t>
      </w:r>
      <w:r w:rsidR="00A7673B">
        <w:rPr>
          <w:rFonts w:ascii="Arial" w:hAnsi="Arial" w:cs="Arial"/>
          <w:sz w:val="24"/>
          <w:szCs w:val="24"/>
          <w:lang w:val="es-MX"/>
        </w:rPr>
        <w:t>,</w:t>
      </w:r>
      <w:r w:rsidR="00115DE6">
        <w:rPr>
          <w:rFonts w:ascii="Arial" w:hAnsi="Arial" w:cs="Arial"/>
          <w:sz w:val="24"/>
          <w:szCs w:val="24"/>
          <w:lang w:val="es-MX"/>
        </w:rPr>
        <w:t xml:space="preserve"> sin embargo, en el año</w:t>
      </w:r>
      <w:r w:rsidR="00A7673B">
        <w:rPr>
          <w:rFonts w:ascii="Arial" w:hAnsi="Arial" w:cs="Arial"/>
          <w:sz w:val="24"/>
          <w:szCs w:val="24"/>
          <w:lang w:val="es-MX"/>
        </w:rPr>
        <w:t xml:space="preserve"> 2018</w:t>
      </w:r>
      <w:r w:rsidR="00115DE6">
        <w:rPr>
          <w:rFonts w:ascii="Arial" w:hAnsi="Arial" w:cs="Arial"/>
          <w:sz w:val="24"/>
          <w:szCs w:val="24"/>
          <w:lang w:val="es-MX"/>
        </w:rPr>
        <w:t xml:space="preserve"> se </w:t>
      </w:r>
      <w:r w:rsidR="00A7673B">
        <w:rPr>
          <w:rFonts w:ascii="Arial" w:hAnsi="Arial" w:cs="Arial"/>
          <w:sz w:val="24"/>
          <w:szCs w:val="24"/>
          <w:lang w:val="es-MX"/>
        </w:rPr>
        <w:t xml:space="preserve">incrementó </w:t>
      </w:r>
      <w:r w:rsidR="000B198B">
        <w:rPr>
          <w:rFonts w:ascii="Arial" w:hAnsi="Arial" w:cs="Arial"/>
          <w:sz w:val="24"/>
          <w:szCs w:val="24"/>
          <w:lang w:val="es-MX"/>
        </w:rPr>
        <w:t xml:space="preserve">la práctica de </w:t>
      </w:r>
      <w:r w:rsidR="00115DE6">
        <w:rPr>
          <w:rFonts w:ascii="Arial" w:hAnsi="Arial" w:cs="Arial"/>
          <w:sz w:val="24"/>
          <w:szCs w:val="24"/>
          <w:lang w:val="es-MX"/>
        </w:rPr>
        <w:t xml:space="preserve">acudir a </w:t>
      </w:r>
      <w:r w:rsidR="00B37901">
        <w:rPr>
          <w:rFonts w:ascii="Arial" w:hAnsi="Arial" w:cs="Arial"/>
          <w:sz w:val="24"/>
          <w:szCs w:val="24"/>
          <w:lang w:val="es-MX"/>
        </w:rPr>
        <w:t>la prisión preventiva como medida cautelar</w:t>
      </w:r>
      <w:r w:rsidR="000B198B">
        <w:rPr>
          <w:rFonts w:ascii="Arial" w:hAnsi="Arial" w:cs="Arial"/>
          <w:sz w:val="24"/>
          <w:szCs w:val="24"/>
          <w:lang w:val="es-MX"/>
        </w:rPr>
        <w:t xml:space="preserve"> hasta la actualidad. Esto en virtud de que, </w:t>
      </w:r>
      <w:r>
        <w:rPr>
          <w:rFonts w:ascii="Arial" w:hAnsi="Arial" w:cs="Arial"/>
          <w:sz w:val="24"/>
          <w:szCs w:val="24"/>
          <w:lang w:val="es-MX"/>
        </w:rPr>
        <w:t>sigue siendo</w:t>
      </w:r>
      <w:r w:rsidR="00B37901">
        <w:rPr>
          <w:rFonts w:ascii="Arial" w:hAnsi="Arial" w:cs="Arial"/>
          <w:sz w:val="24"/>
          <w:szCs w:val="24"/>
          <w:lang w:val="es-MX"/>
        </w:rPr>
        <w:t xml:space="preserve"> la medida que meno</w:t>
      </w:r>
      <w:r w:rsidR="00115DE6">
        <w:rPr>
          <w:rFonts w:ascii="Arial" w:hAnsi="Arial" w:cs="Arial"/>
          <w:sz w:val="24"/>
          <w:szCs w:val="24"/>
          <w:lang w:val="es-MX"/>
        </w:rPr>
        <w:t>r</w:t>
      </w:r>
      <w:r w:rsidR="00B37901">
        <w:rPr>
          <w:rFonts w:ascii="Arial" w:hAnsi="Arial" w:cs="Arial"/>
          <w:sz w:val="24"/>
          <w:szCs w:val="24"/>
          <w:lang w:val="es-MX"/>
        </w:rPr>
        <w:t xml:space="preserve"> problema da a los operadores de justicia, </w:t>
      </w:r>
      <w:r>
        <w:rPr>
          <w:rFonts w:ascii="Arial" w:hAnsi="Arial" w:cs="Arial"/>
          <w:sz w:val="24"/>
          <w:szCs w:val="24"/>
          <w:lang w:val="es-MX"/>
        </w:rPr>
        <w:t xml:space="preserve">desafortunadamente, </w:t>
      </w:r>
      <w:r w:rsidR="00B37901">
        <w:rPr>
          <w:rFonts w:ascii="Arial" w:hAnsi="Arial" w:cs="Arial"/>
          <w:sz w:val="24"/>
          <w:szCs w:val="24"/>
          <w:lang w:val="es-MX"/>
        </w:rPr>
        <w:t>s</w:t>
      </w:r>
      <w:r w:rsidR="00115DE6">
        <w:rPr>
          <w:rFonts w:ascii="Arial" w:hAnsi="Arial" w:cs="Arial"/>
          <w:sz w:val="24"/>
          <w:szCs w:val="24"/>
          <w:lang w:val="es-MX"/>
        </w:rPr>
        <w:t xml:space="preserve">e convirtió en una especie de práctica de </w:t>
      </w:r>
      <w:r w:rsidR="00B37901">
        <w:rPr>
          <w:rFonts w:ascii="Arial" w:hAnsi="Arial" w:cs="Arial"/>
          <w:sz w:val="24"/>
          <w:szCs w:val="24"/>
          <w:lang w:val="es-MX"/>
        </w:rPr>
        <w:t>política de seguridad</w:t>
      </w:r>
      <w:r w:rsidR="00115DE6">
        <w:rPr>
          <w:rFonts w:ascii="Arial" w:hAnsi="Arial" w:cs="Arial"/>
          <w:sz w:val="24"/>
          <w:szCs w:val="24"/>
          <w:lang w:val="es-MX"/>
        </w:rPr>
        <w:t xml:space="preserve"> ciudadana</w:t>
      </w:r>
      <w:r w:rsidR="00B37901">
        <w:rPr>
          <w:rFonts w:ascii="Arial" w:hAnsi="Arial" w:cs="Arial"/>
          <w:sz w:val="24"/>
          <w:szCs w:val="24"/>
          <w:lang w:val="es-MX"/>
        </w:rPr>
        <w:t xml:space="preserve"> </w:t>
      </w:r>
      <w:r w:rsidR="00115DE6">
        <w:rPr>
          <w:rFonts w:ascii="Arial" w:hAnsi="Arial" w:cs="Arial"/>
          <w:sz w:val="24"/>
          <w:szCs w:val="24"/>
          <w:lang w:val="es-MX"/>
        </w:rPr>
        <w:t>del</w:t>
      </w:r>
      <w:r w:rsidR="00B37901">
        <w:rPr>
          <w:rFonts w:ascii="Arial" w:hAnsi="Arial" w:cs="Arial"/>
          <w:sz w:val="24"/>
          <w:szCs w:val="24"/>
          <w:lang w:val="es-MX"/>
        </w:rPr>
        <w:t xml:space="preserve"> Estado</w:t>
      </w:r>
      <w:r w:rsidR="00115DE6">
        <w:rPr>
          <w:rFonts w:ascii="Arial" w:hAnsi="Arial" w:cs="Arial"/>
          <w:sz w:val="24"/>
          <w:szCs w:val="24"/>
          <w:lang w:val="es-MX"/>
        </w:rPr>
        <w:t xml:space="preserve"> </w:t>
      </w:r>
      <w:r w:rsidR="000B198B">
        <w:rPr>
          <w:rFonts w:ascii="Arial" w:hAnsi="Arial" w:cs="Arial"/>
          <w:sz w:val="24"/>
          <w:szCs w:val="24"/>
          <w:lang w:val="es-MX"/>
        </w:rPr>
        <w:t>donde se asegura que la persona esté privada de la libertad para evitar mayores riesgos en lugar de acudir a las herramientas con las que se cuenta, por lo tanto</w:t>
      </w:r>
      <w:r w:rsidR="00115DE6">
        <w:rPr>
          <w:rFonts w:ascii="Arial" w:hAnsi="Arial" w:cs="Arial"/>
          <w:sz w:val="24"/>
          <w:szCs w:val="24"/>
          <w:lang w:val="es-MX"/>
        </w:rPr>
        <w:t>, se</w:t>
      </w:r>
      <w:r w:rsidR="00B37901">
        <w:rPr>
          <w:rFonts w:ascii="Arial" w:hAnsi="Arial" w:cs="Arial"/>
          <w:sz w:val="24"/>
          <w:szCs w:val="24"/>
          <w:lang w:val="es-MX"/>
        </w:rPr>
        <w:t xml:space="preserve"> debe de atender</w:t>
      </w:r>
      <w:r w:rsidR="00115DE6">
        <w:rPr>
          <w:rFonts w:ascii="Arial" w:hAnsi="Arial" w:cs="Arial"/>
          <w:sz w:val="24"/>
          <w:szCs w:val="24"/>
          <w:lang w:val="es-MX"/>
        </w:rPr>
        <w:t xml:space="preserve"> urgentemente</w:t>
      </w:r>
      <w:r w:rsidR="000B198B">
        <w:rPr>
          <w:rFonts w:ascii="Arial" w:hAnsi="Arial" w:cs="Arial"/>
          <w:sz w:val="24"/>
          <w:szCs w:val="24"/>
          <w:lang w:val="es-MX"/>
        </w:rPr>
        <w:t>.</w:t>
      </w:r>
    </w:p>
    <w:p w14:paraId="06E3B627" w14:textId="1575F178" w:rsidR="00B37901" w:rsidRDefault="00B37901"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Asimismo, la mal llamada prisión preventiva oficiosa</w:t>
      </w:r>
      <w:r w:rsidR="008D43C0">
        <w:rPr>
          <w:rFonts w:ascii="Arial" w:hAnsi="Arial" w:cs="Arial"/>
          <w:sz w:val="24"/>
          <w:szCs w:val="24"/>
          <w:lang w:val="es-MX"/>
        </w:rPr>
        <w:t>,</w:t>
      </w:r>
      <w:r>
        <w:rPr>
          <w:rFonts w:ascii="Arial" w:hAnsi="Arial" w:cs="Arial"/>
          <w:sz w:val="24"/>
          <w:szCs w:val="24"/>
          <w:lang w:val="es-MX"/>
        </w:rPr>
        <w:t xml:space="preserve"> reconocida por la Constitución mexicana, absolutamente inconvencional y contraria a derechos humanos, es el reflejo de la no comprensión de proteger este derecho</w:t>
      </w:r>
      <w:r w:rsidR="00966077">
        <w:rPr>
          <w:rFonts w:ascii="Arial" w:hAnsi="Arial" w:cs="Arial"/>
          <w:sz w:val="24"/>
          <w:szCs w:val="24"/>
          <w:lang w:val="es-MX"/>
        </w:rPr>
        <w:t xml:space="preserve">, es gravísima </w:t>
      </w:r>
      <w:r>
        <w:rPr>
          <w:rFonts w:ascii="Arial" w:hAnsi="Arial" w:cs="Arial"/>
          <w:sz w:val="24"/>
          <w:szCs w:val="24"/>
          <w:lang w:val="es-MX"/>
        </w:rPr>
        <w:t>la ausencia de debate sobre la pertinencia de</w:t>
      </w:r>
      <w:r w:rsidR="00966077">
        <w:rPr>
          <w:rFonts w:ascii="Arial" w:hAnsi="Arial" w:cs="Arial"/>
          <w:sz w:val="24"/>
          <w:szCs w:val="24"/>
          <w:lang w:val="es-MX"/>
        </w:rPr>
        <w:t xml:space="preserve"> imponer la </w:t>
      </w:r>
      <w:r>
        <w:rPr>
          <w:rFonts w:ascii="Arial" w:hAnsi="Arial" w:cs="Arial"/>
          <w:sz w:val="24"/>
          <w:szCs w:val="24"/>
          <w:lang w:val="es-MX"/>
        </w:rPr>
        <w:t>prisión preventiva</w:t>
      </w:r>
      <w:r w:rsidR="00966077">
        <w:rPr>
          <w:rFonts w:ascii="Arial" w:hAnsi="Arial" w:cs="Arial"/>
          <w:sz w:val="24"/>
          <w:szCs w:val="24"/>
          <w:lang w:val="es-MX"/>
        </w:rPr>
        <w:t>,</w:t>
      </w:r>
      <w:r>
        <w:rPr>
          <w:rFonts w:ascii="Arial" w:hAnsi="Arial" w:cs="Arial"/>
          <w:sz w:val="24"/>
          <w:szCs w:val="24"/>
          <w:lang w:val="es-MX"/>
        </w:rPr>
        <w:t xml:space="preserve"> urge eliminar </w:t>
      </w:r>
      <w:r w:rsidR="00966077">
        <w:rPr>
          <w:rFonts w:ascii="Arial" w:hAnsi="Arial" w:cs="Arial"/>
          <w:sz w:val="24"/>
          <w:szCs w:val="24"/>
          <w:lang w:val="es-MX"/>
        </w:rPr>
        <w:t xml:space="preserve">las excepciones al respeto a la presunción de inocencia contenidas en </w:t>
      </w:r>
      <w:r>
        <w:rPr>
          <w:rFonts w:ascii="Arial" w:hAnsi="Arial" w:cs="Arial"/>
          <w:sz w:val="24"/>
          <w:szCs w:val="24"/>
          <w:lang w:val="es-MX"/>
        </w:rPr>
        <w:t>el art. 19 de la CPEUM</w:t>
      </w:r>
      <w:r w:rsidR="00966077">
        <w:rPr>
          <w:rFonts w:ascii="Arial" w:hAnsi="Arial" w:cs="Arial"/>
          <w:sz w:val="24"/>
          <w:szCs w:val="24"/>
          <w:lang w:val="es-MX"/>
        </w:rPr>
        <w:t>.</w:t>
      </w:r>
      <w:r>
        <w:rPr>
          <w:rFonts w:ascii="Arial" w:hAnsi="Arial" w:cs="Arial"/>
          <w:sz w:val="24"/>
          <w:szCs w:val="24"/>
          <w:lang w:val="es-MX"/>
        </w:rPr>
        <w:t xml:space="preserve"> </w:t>
      </w:r>
      <w:r w:rsidR="00966077">
        <w:rPr>
          <w:rFonts w:ascii="Arial" w:hAnsi="Arial" w:cs="Arial"/>
          <w:sz w:val="24"/>
          <w:szCs w:val="24"/>
          <w:lang w:val="es-MX"/>
        </w:rPr>
        <w:t>L</w:t>
      </w:r>
      <w:r>
        <w:rPr>
          <w:rFonts w:ascii="Arial" w:hAnsi="Arial" w:cs="Arial"/>
          <w:sz w:val="24"/>
          <w:szCs w:val="24"/>
          <w:lang w:val="es-MX"/>
        </w:rPr>
        <w:t xml:space="preserve">a necesidad de prisión no solo se debe discutir </w:t>
      </w:r>
      <w:r w:rsidR="00115DE6">
        <w:rPr>
          <w:rFonts w:ascii="Arial" w:hAnsi="Arial" w:cs="Arial"/>
          <w:sz w:val="24"/>
          <w:szCs w:val="24"/>
          <w:lang w:val="es-MX"/>
        </w:rPr>
        <w:t xml:space="preserve">en sede judicial </w:t>
      </w:r>
      <w:r>
        <w:rPr>
          <w:rFonts w:ascii="Arial" w:hAnsi="Arial" w:cs="Arial"/>
          <w:sz w:val="24"/>
          <w:szCs w:val="24"/>
          <w:lang w:val="es-MX"/>
        </w:rPr>
        <w:t>sino</w:t>
      </w:r>
      <w:r w:rsidR="00115DE6">
        <w:rPr>
          <w:rFonts w:ascii="Arial" w:hAnsi="Arial" w:cs="Arial"/>
          <w:sz w:val="24"/>
          <w:szCs w:val="24"/>
          <w:lang w:val="es-MX"/>
        </w:rPr>
        <w:t xml:space="preserve"> que</w:t>
      </w:r>
      <w:r>
        <w:rPr>
          <w:rFonts w:ascii="Arial" w:hAnsi="Arial" w:cs="Arial"/>
          <w:sz w:val="24"/>
          <w:szCs w:val="24"/>
          <w:lang w:val="es-MX"/>
        </w:rPr>
        <w:t xml:space="preserve"> también debe ser la última opción de medida cautelar para acudir, </w:t>
      </w:r>
      <w:r w:rsidR="00115DE6">
        <w:rPr>
          <w:rFonts w:ascii="Arial" w:hAnsi="Arial" w:cs="Arial"/>
          <w:sz w:val="24"/>
          <w:szCs w:val="24"/>
          <w:lang w:val="es-MX"/>
        </w:rPr>
        <w:t xml:space="preserve">ya que </w:t>
      </w:r>
      <w:r>
        <w:rPr>
          <w:rFonts w:ascii="Arial" w:hAnsi="Arial" w:cs="Arial"/>
          <w:sz w:val="24"/>
          <w:szCs w:val="24"/>
          <w:lang w:val="es-MX"/>
        </w:rPr>
        <w:t xml:space="preserve">contamos con más de una decena de </w:t>
      </w:r>
      <w:r w:rsidR="00115DE6">
        <w:rPr>
          <w:rFonts w:ascii="Arial" w:hAnsi="Arial" w:cs="Arial"/>
          <w:sz w:val="24"/>
          <w:szCs w:val="24"/>
          <w:lang w:val="es-MX"/>
        </w:rPr>
        <w:t xml:space="preserve">estas </w:t>
      </w:r>
      <w:r>
        <w:rPr>
          <w:rFonts w:ascii="Arial" w:hAnsi="Arial" w:cs="Arial"/>
          <w:sz w:val="24"/>
          <w:szCs w:val="24"/>
          <w:lang w:val="es-MX"/>
        </w:rPr>
        <w:t>medidas</w:t>
      </w:r>
      <w:r w:rsidR="00966077">
        <w:rPr>
          <w:rFonts w:ascii="Arial" w:hAnsi="Arial" w:cs="Arial"/>
          <w:sz w:val="24"/>
          <w:szCs w:val="24"/>
          <w:lang w:val="es-MX"/>
        </w:rPr>
        <w:t xml:space="preserve"> en la norma adjetiva</w:t>
      </w:r>
      <w:r>
        <w:rPr>
          <w:rFonts w:ascii="Arial" w:hAnsi="Arial" w:cs="Arial"/>
          <w:sz w:val="24"/>
          <w:szCs w:val="24"/>
          <w:lang w:val="es-MX"/>
        </w:rPr>
        <w:t xml:space="preserve">. </w:t>
      </w:r>
    </w:p>
    <w:p w14:paraId="719D0735" w14:textId="422959B3" w:rsidR="00D51943" w:rsidRDefault="00745ACF"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 xml:space="preserve">Por su parte, destaca </w:t>
      </w:r>
      <w:r w:rsidR="00966077">
        <w:rPr>
          <w:rFonts w:ascii="Arial" w:hAnsi="Arial" w:cs="Arial"/>
          <w:sz w:val="24"/>
          <w:szCs w:val="24"/>
          <w:lang w:val="es-MX"/>
        </w:rPr>
        <w:t xml:space="preserve">el papel de </w:t>
      </w:r>
      <w:r>
        <w:rPr>
          <w:rFonts w:ascii="Arial" w:hAnsi="Arial" w:cs="Arial"/>
          <w:sz w:val="24"/>
          <w:szCs w:val="24"/>
          <w:lang w:val="es-MX"/>
        </w:rPr>
        <w:t>l</w:t>
      </w:r>
      <w:r w:rsidR="00C6077F">
        <w:rPr>
          <w:rFonts w:ascii="Arial" w:hAnsi="Arial" w:cs="Arial"/>
          <w:sz w:val="24"/>
          <w:szCs w:val="24"/>
          <w:lang w:val="es-MX"/>
        </w:rPr>
        <w:t>as resoluciones judiciales</w:t>
      </w:r>
      <w:r w:rsidR="00D51943">
        <w:rPr>
          <w:rFonts w:ascii="Arial" w:hAnsi="Arial" w:cs="Arial"/>
          <w:sz w:val="24"/>
          <w:szCs w:val="24"/>
          <w:lang w:val="es-MX"/>
        </w:rPr>
        <w:t xml:space="preserve"> durante el desarrollo del proceso penal</w:t>
      </w:r>
      <w:r w:rsidR="00115DE6">
        <w:rPr>
          <w:rFonts w:ascii="Arial" w:hAnsi="Arial" w:cs="Arial"/>
          <w:sz w:val="24"/>
          <w:szCs w:val="24"/>
          <w:lang w:val="es-MX"/>
        </w:rPr>
        <w:t>,</w:t>
      </w:r>
      <w:r w:rsidR="00D51943">
        <w:rPr>
          <w:rFonts w:ascii="Arial" w:hAnsi="Arial" w:cs="Arial"/>
          <w:sz w:val="24"/>
          <w:szCs w:val="24"/>
          <w:lang w:val="es-MX"/>
        </w:rPr>
        <w:t xml:space="preserve"> y de manera posterior</w:t>
      </w:r>
      <w:r w:rsidR="00115DE6">
        <w:rPr>
          <w:rFonts w:ascii="Arial" w:hAnsi="Arial" w:cs="Arial"/>
          <w:sz w:val="24"/>
          <w:szCs w:val="24"/>
          <w:lang w:val="es-MX"/>
        </w:rPr>
        <w:t xml:space="preserve"> a éste</w:t>
      </w:r>
      <w:r w:rsidR="00D51943">
        <w:rPr>
          <w:rFonts w:ascii="Arial" w:hAnsi="Arial" w:cs="Arial"/>
          <w:sz w:val="24"/>
          <w:szCs w:val="24"/>
          <w:lang w:val="es-MX"/>
        </w:rPr>
        <w:t>. En cuanto al primer</w:t>
      </w:r>
      <w:r w:rsidR="00115DE6">
        <w:rPr>
          <w:rFonts w:ascii="Arial" w:hAnsi="Arial" w:cs="Arial"/>
          <w:sz w:val="24"/>
          <w:szCs w:val="24"/>
          <w:lang w:val="es-MX"/>
        </w:rPr>
        <w:t>o,</w:t>
      </w:r>
      <w:r w:rsidR="00D51943">
        <w:rPr>
          <w:rFonts w:ascii="Arial" w:hAnsi="Arial" w:cs="Arial"/>
          <w:sz w:val="24"/>
          <w:szCs w:val="24"/>
          <w:lang w:val="es-MX"/>
        </w:rPr>
        <w:t xml:space="preserve"> se pudo comprobar que dichas decisiones de la SCJN y de la Corte Interamericana ha</w:t>
      </w:r>
      <w:r w:rsidR="00115DE6">
        <w:rPr>
          <w:rFonts w:ascii="Arial" w:hAnsi="Arial" w:cs="Arial"/>
          <w:sz w:val="24"/>
          <w:szCs w:val="24"/>
          <w:lang w:val="es-MX"/>
        </w:rPr>
        <w:t>n</w:t>
      </w:r>
      <w:r w:rsidR="00D51943">
        <w:rPr>
          <w:rFonts w:ascii="Arial" w:hAnsi="Arial" w:cs="Arial"/>
          <w:sz w:val="24"/>
          <w:szCs w:val="24"/>
          <w:lang w:val="es-MX"/>
        </w:rPr>
        <w:t xml:space="preserve"> contribuido en el respeto de la presunción de inocencia en cuanto a; el trato procesal</w:t>
      </w:r>
      <w:r w:rsidR="00966077">
        <w:rPr>
          <w:rFonts w:ascii="Arial" w:hAnsi="Arial" w:cs="Arial"/>
          <w:sz w:val="24"/>
          <w:szCs w:val="24"/>
          <w:lang w:val="es-MX"/>
        </w:rPr>
        <w:t>,</w:t>
      </w:r>
      <w:r>
        <w:rPr>
          <w:rFonts w:ascii="Arial" w:hAnsi="Arial" w:cs="Arial"/>
          <w:sz w:val="24"/>
          <w:szCs w:val="24"/>
          <w:lang w:val="es-MX"/>
        </w:rPr>
        <w:t xml:space="preserve"> </w:t>
      </w:r>
      <w:r w:rsidR="00115DE6">
        <w:rPr>
          <w:rFonts w:ascii="Arial" w:hAnsi="Arial" w:cs="Arial"/>
          <w:sz w:val="24"/>
          <w:szCs w:val="24"/>
          <w:lang w:val="es-MX"/>
        </w:rPr>
        <w:t xml:space="preserve">el </w:t>
      </w:r>
      <w:r w:rsidR="00D51943">
        <w:rPr>
          <w:rFonts w:ascii="Arial" w:hAnsi="Arial" w:cs="Arial"/>
          <w:sz w:val="24"/>
          <w:szCs w:val="24"/>
          <w:lang w:val="es-MX"/>
        </w:rPr>
        <w:t>tipo de del</w:t>
      </w:r>
      <w:r w:rsidR="00071BAF">
        <w:rPr>
          <w:rFonts w:ascii="Arial" w:hAnsi="Arial" w:cs="Arial"/>
          <w:sz w:val="24"/>
          <w:szCs w:val="24"/>
          <w:lang w:val="es-MX"/>
        </w:rPr>
        <w:t>i</w:t>
      </w:r>
      <w:r w:rsidR="00D51943">
        <w:rPr>
          <w:rFonts w:ascii="Arial" w:hAnsi="Arial" w:cs="Arial"/>
          <w:sz w:val="24"/>
          <w:szCs w:val="24"/>
          <w:lang w:val="es-MX"/>
        </w:rPr>
        <w:t xml:space="preserve">to </w:t>
      </w:r>
      <w:r w:rsidR="00115DE6">
        <w:rPr>
          <w:rFonts w:ascii="Arial" w:hAnsi="Arial" w:cs="Arial"/>
          <w:sz w:val="24"/>
          <w:szCs w:val="24"/>
          <w:lang w:val="es-MX"/>
        </w:rPr>
        <w:t xml:space="preserve">supuestamente </w:t>
      </w:r>
      <w:r w:rsidR="00D51943">
        <w:rPr>
          <w:rFonts w:ascii="Arial" w:hAnsi="Arial" w:cs="Arial"/>
          <w:sz w:val="24"/>
          <w:szCs w:val="24"/>
          <w:lang w:val="es-MX"/>
        </w:rPr>
        <w:t>cometido, el momento de imposición de medidas cautelares, así como en la repercusión que tiene en la vinculación a proceso</w:t>
      </w:r>
      <w:r w:rsidR="00115DE6">
        <w:rPr>
          <w:rFonts w:ascii="Arial" w:hAnsi="Arial" w:cs="Arial"/>
          <w:sz w:val="24"/>
          <w:szCs w:val="24"/>
          <w:lang w:val="es-MX"/>
        </w:rPr>
        <w:t xml:space="preserve"> en el entendido que no se ha juzgado aún</w:t>
      </w:r>
      <w:r w:rsidR="00D51943">
        <w:rPr>
          <w:rFonts w:ascii="Arial" w:hAnsi="Arial" w:cs="Arial"/>
          <w:sz w:val="24"/>
          <w:szCs w:val="24"/>
          <w:lang w:val="es-MX"/>
        </w:rPr>
        <w:t xml:space="preserve">. Aunado a ello, la presunción de inocencia y el </w:t>
      </w:r>
      <w:r w:rsidR="00115DE6">
        <w:rPr>
          <w:rFonts w:ascii="Arial" w:hAnsi="Arial" w:cs="Arial"/>
          <w:sz w:val="24"/>
          <w:szCs w:val="24"/>
          <w:lang w:val="es-MX"/>
        </w:rPr>
        <w:t>vínculo</w:t>
      </w:r>
      <w:r w:rsidR="00D51943">
        <w:rPr>
          <w:rFonts w:ascii="Arial" w:hAnsi="Arial" w:cs="Arial"/>
          <w:sz w:val="24"/>
          <w:szCs w:val="24"/>
          <w:lang w:val="es-MX"/>
        </w:rPr>
        <w:t xml:space="preserve"> </w:t>
      </w:r>
      <w:r w:rsidR="00D51943">
        <w:rPr>
          <w:rFonts w:ascii="Arial" w:hAnsi="Arial" w:cs="Arial"/>
          <w:sz w:val="24"/>
          <w:szCs w:val="24"/>
          <w:lang w:val="es-MX"/>
        </w:rPr>
        <w:lastRenderedPageBreak/>
        <w:t xml:space="preserve">que se establece en el material probatorio es una cuestión clave para el grado de la carga procesal. </w:t>
      </w:r>
    </w:p>
    <w:p w14:paraId="40985B12" w14:textId="2977703A" w:rsidR="00D27F67" w:rsidRDefault="00D51943"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Por lo que respecta al trato de manera posterior al desarrollo del proceso penal, también ha</w:t>
      </w:r>
      <w:r w:rsidR="00115DE6">
        <w:rPr>
          <w:rFonts w:ascii="Arial" w:hAnsi="Arial" w:cs="Arial"/>
          <w:sz w:val="24"/>
          <w:szCs w:val="24"/>
          <w:lang w:val="es-MX"/>
        </w:rPr>
        <w:t>n</w:t>
      </w:r>
      <w:r>
        <w:rPr>
          <w:rFonts w:ascii="Arial" w:hAnsi="Arial" w:cs="Arial"/>
          <w:sz w:val="24"/>
          <w:szCs w:val="24"/>
          <w:lang w:val="es-MX"/>
        </w:rPr>
        <w:t xml:space="preserve"> contribuido las decisiones de los órganos juzgadores de la Alta Corte mexicana </w:t>
      </w:r>
      <w:r w:rsidR="00071BAF">
        <w:rPr>
          <w:rFonts w:ascii="Arial" w:hAnsi="Arial" w:cs="Arial"/>
          <w:sz w:val="24"/>
          <w:szCs w:val="24"/>
          <w:lang w:val="es-MX"/>
        </w:rPr>
        <w:t xml:space="preserve">e interamericana. Debido a la constante discriminación que se presenta </w:t>
      </w:r>
      <w:r w:rsidR="00A935E4">
        <w:rPr>
          <w:rFonts w:ascii="Arial" w:hAnsi="Arial" w:cs="Arial"/>
          <w:sz w:val="24"/>
          <w:szCs w:val="24"/>
          <w:lang w:val="es-MX"/>
        </w:rPr>
        <w:t xml:space="preserve">entorno </w:t>
      </w:r>
      <w:r w:rsidR="00922EB8">
        <w:rPr>
          <w:rFonts w:ascii="Arial" w:hAnsi="Arial" w:cs="Arial"/>
          <w:sz w:val="24"/>
          <w:szCs w:val="24"/>
          <w:lang w:val="es-MX"/>
        </w:rPr>
        <w:t>a</w:t>
      </w:r>
      <w:r w:rsidR="00433F27">
        <w:rPr>
          <w:rFonts w:ascii="Arial" w:hAnsi="Arial" w:cs="Arial"/>
          <w:sz w:val="24"/>
          <w:szCs w:val="24"/>
          <w:lang w:val="es-MX"/>
        </w:rPr>
        <w:t>l registro de antecedentes penales</w:t>
      </w:r>
      <w:r w:rsidR="00D27F67">
        <w:rPr>
          <w:rFonts w:ascii="Arial" w:hAnsi="Arial" w:cs="Arial"/>
          <w:sz w:val="24"/>
          <w:szCs w:val="24"/>
          <w:lang w:val="es-MX"/>
        </w:rPr>
        <w:t>, destaca que,</w:t>
      </w:r>
      <w:r w:rsidR="00433F27">
        <w:rPr>
          <w:rFonts w:ascii="Arial" w:hAnsi="Arial" w:cs="Arial"/>
          <w:sz w:val="24"/>
          <w:szCs w:val="24"/>
          <w:lang w:val="es-MX"/>
        </w:rPr>
        <w:t xml:space="preserve"> tras cumplir condena no existe límite de tiempo </w:t>
      </w:r>
      <w:r w:rsidR="00D27F67">
        <w:rPr>
          <w:rFonts w:ascii="Arial" w:hAnsi="Arial" w:cs="Arial"/>
          <w:sz w:val="24"/>
          <w:szCs w:val="24"/>
          <w:lang w:val="es-MX"/>
        </w:rPr>
        <w:t xml:space="preserve">para su cancelación, </w:t>
      </w:r>
      <w:r w:rsidR="00433F27">
        <w:rPr>
          <w:rFonts w:ascii="Arial" w:hAnsi="Arial" w:cs="Arial"/>
          <w:sz w:val="24"/>
          <w:szCs w:val="24"/>
          <w:lang w:val="es-MX"/>
        </w:rPr>
        <w:t>ni algún tratamiento especial debido al tipo de delito</w:t>
      </w:r>
      <w:r w:rsidR="00D27F67">
        <w:rPr>
          <w:rFonts w:ascii="Arial" w:hAnsi="Arial" w:cs="Arial"/>
          <w:sz w:val="24"/>
          <w:szCs w:val="24"/>
          <w:lang w:val="es-MX"/>
        </w:rPr>
        <w:t>, esto se convierte en un aspecto muy grave y de urgente atención, es contrario no solo a la presunción de inocencia sino inconvencional e inconstitucional.</w:t>
      </w:r>
    </w:p>
    <w:p w14:paraId="1C9BE8A3" w14:textId="729105CC" w:rsidR="00A935E4" w:rsidRDefault="00433F27"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Aunado a ello, l</w:t>
      </w:r>
      <w:r w:rsidR="00A935E4">
        <w:rPr>
          <w:rFonts w:ascii="Arial" w:hAnsi="Arial" w:cs="Arial"/>
          <w:sz w:val="24"/>
          <w:szCs w:val="24"/>
          <w:lang w:val="es-MX"/>
        </w:rPr>
        <w:t>a petición de</w:t>
      </w:r>
      <w:r w:rsidR="00071BAF">
        <w:rPr>
          <w:rFonts w:ascii="Arial" w:hAnsi="Arial" w:cs="Arial"/>
          <w:sz w:val="24"/>
          <w:szCs w:val="24"/>
          <w:lang w:val="es-MX"/>
        </w:rPr>
        <w:t xml:space="preserve"> la carta de no antecedentes penales</w:t>
      </w:r>
      <w:r>
        <w:rPr>
          <w:rFonts w:ascii="Arial" w:hAnsi="Arial" w:cs="Arial"/>
          <w:sz w:val="24"/>
          <w:szCs w:val="24"/>
          <w:lang w:val="es-MX"/>
        </w:rPr>
        <w:t xml:space="preserve"> </w:t>
      </w:r>
      <w:r w:rsidR="00A935E4">
        <w:rPr>
          <w:rFonts w:ascii="Arial" w:hAnsi="Arial" w:cs="Arial"/>
          <w:sz w:val="24"/>
          <w:szCs w:val="24"/>
          <w:lang w:val="es-MX"/>
        </w:rPr>
        <w:t>también se detecta</w:t>
      </w:r>
      <w:r>
        <w:rPr>
          <w:rFonts w:ascii="Arial" w:hAnsi="Arial" w:cs="Arial"/>
          <w:sz w:val="24"/>
          <w:szCs w:val="24"/>
          <w:lang w:val="es-MX"/>
        </w:rPr>
        <w:t xml:space="preserve"> como una</w:t>
      </w:r>
      <w:r w:rsidR="00071BAF">
        <w:rPr>
          <w:rFonts w:ascii="Arial" w:hAnsi="Arial" w:cs="Arial"/>
          <w:sz w:val="24"/>
          <w:szCs w:val="24"/>
          <w:lang w:val="es-MX"/>
        </w:rPr>
        <w:t xml:space="preserve"> </w:t>
      </w:r>
      <w:r w:rsidR="00A935E4">
        <w:rPr>
          <w:rFonts w:ascii="Arial" w:hAnsi="Arial" w:cs="Arial"/>
          <w:sz w:val="24"/>
          <w:szCs w:val="24"/>
          <w:lang w:val="es-MX"/>
        </w:rPr>
        <w:t xml:space="preserve">grave </w:t>
      </w:r>
      <w:r w:rsidR="00071BAF">
        <w:rPr>
          <w:rFonts w:ascii="Arial" w:hAnsi="Arial" w:cs="Arial"/>
          <w:sz w:val="24"/>
          <w:szCs w:val="24"/>
          <w:lang w:val="es-MX"/>
        </w:rPr>
        <w:t>problemática</w:t>
      </w:r>
      <w:r>
        <w:rPr>
          <w:rFonts w:ascii="Arial" w:hAnsi="Arial" w:cs="Arial"/>
          <w:sz w:val="24"/>
          <w:szCs w:val="24"/>
          <w:lang w:val="es-MX"/>
        </w:rPr>
        <w:t xml:space="preserve"> que atender, en virtud de que </w:t>
      </w:r>
      <w:r w:rsidR="00071BAF">
        <w:rPr>
          <w:rFonts w:ascii="Arial" w:hAnsi="Arial" w:cs="Arial"/>
          <w:sz w:val="24"/>
          <w:szCs w:val="24"/>
          <w:lang w:val="es-MX"/>
        </w:rPr>
        <w:t>al momento de cancelar</w:t>
      </w:r>
      <w:r>
        <w:rPr>
          <w:rFonts w:ascii="Arial" w:hAnsi="Arial" w:cs="Arial"/>
          <w:sz w:val="24"/>
          <w:szCs w:val="24"/>
          <w:lang w:val="es-MX"/>
        </w:rPr>
        <w:t xml:space="preserve"> el registro de antecedentes penales en los diferentes supuesto que reconoce la LNEP (detención y posterior liberación, </w:t>
      </w:r>
      <w:r w:rsidR="00A935E4">
        <w:rPr>
          <w:rFonts w:ascii="Arial" w:hAnsi="Arial" w:cs="Arial"/>
          <w:sz w:val="24"/>
          <w:szCs w:val="24"/>
          <w:lang w:val="es-MX"/>
        </w:rPr>
        <w:t>procesa</w:t>
      </w:r>
      <w:r>
        <w:rPr>
          <w:rFonts w:ascii="Arial" w:hAnsi="Arial" w:cs="Arial"/>
          <w:sz w:val="24"/>
          <w:szCs w:val="24"/>
          <w:lang w:val="es-MX"/>
        </w:rPr>
        <w:t>miento</w:t>
      </w:r>
      <w:r w:rsidR="00A935E4">
        <w:rPr>
          <w:rFonts w:ascii="Arial" w:hAnsi="Arial" w:cs="Arial"/>
          <w:sz w:val="24"/>
          <w:szCs w:val="24"/>
          <w:lang w:val="es-MX"/>
        </w:rPr>
        <w:t xml:space="preserve"> sin encontrar elementos necesarios en su contra, de</w:t>
      </w:r>
      <w:r>
        <w:rPr>
          <w:rFonts w:ascii="Arial" w:hAnsi="Arial" w:cs="Arial"/>
          <w:sz w:val="24"/>
          <w:szCs w:val="24"/>
          <w:lang w:val="es-MX"/>
        </w:rPr>
        <w:t>terminación de</w:t>
      </w:r>
      <w:r w:rsidR="00A935E4">
        <w:rPr>
          <w:rFonts w:ascii="Arial" w:hAnsi="Arial" w:cs="Arial"/>
          <w:sz w:val="24"/>
          <w:szCs w:val="24"/>
          <w:lang w:val="es-MX"/>
        </w:rPr>
        <w:t xml:space="preserve"> inocencia, o </w:t>
      </w:r>
      <w:r>
        <w:rPr>
          <w:rFonts w:ascii="Arial" w:hAnsi="Arial" w:cs="Arial"/>
          <w:sz w:val="24"/>
          <w:szCs w:val="24"/>
          <w:lang w:val="es-MX"/>
        </w:rPr>
        <w:t xml:space="preserve">mediante resolución </w:t>
      </w:r>
      <w:r w:rsidR="00A935E4">
        <w:rPr>
          <w:rFonts w:ascii="Arial" w:hAnsi="Arial" w:cs="Arial"/>
          <w:sz w:val="24"/>
          <w:szCs w:val="24"/>
          <w:lang w:val="es-MX"/>
        </w:rPr>
        <w:t>mediante sentencia absolutoria</w:t>
      </w:r>
      <w:r>
        <w:rPr>
          <w:rFonts w:ascii="Arial" w:hAnsi="Arial" w:cs="Arial"/>
          <w:sz w:val="24"/>
          <w:szCs w:val="24"/>
          <w:lang w:val="es-MX"/>
        </w:rPr>
        <w:t>) en ocasiones no se cancelan de manera automática y las personas se ven afectadas por ello</w:t>
      </w:r>
      <w:r w:rsidR="00A935E4">
        <w:rPr>
          <w:rFonts w:ascii="Arial" w:hAnsi="Arial" w:cs="Arial"/>
          <w:sz w:val="24"/>
          <w:szCs w:val="24"/>
          <w:lang w:val="es-MX"/>
        </w:rPr>
        <w:t>.</w:t>
      </w:r>
    </w:p>
    <w:p w14:paraId="58A0E90C" w14:textId="1D4B77BF" w:rsidR="001A47AC" w:rsidRDefault="00433F27" w:rsidP="00B37901">
      <w:pPr>
        <w:spacing w:line="360" w:lineRule="auto"/>
        <w:ind w:left="720" w:right="720"/>
        <w:jc w:val="both"/>
        <w:rPr>
          <w:rFonts w:ascii="Arial" w:hAnsi="Arial" w:cs="Arial"/>
          <w:sz w:val="24"/>
          <w:szCs w:val="24"/>
          <w:lang w:val="es-MX"/>
        </w:rPr>
      </w:pPr>
      <w:r>
        <w:rPr>
          <w:rFonts w:ascii="Arial" w:hAnsi="Arial" w:cs="Arial"/>
          <w:sz w:val="24"/>
          <w:szCs w:val="24"/>
          <w:lang w:val="es-MX"/>
        </w:rPr>
        <w:t>Por ende, la ausencia de</w:t>
      </w:r>
      <w:r w:rsidR="00A935E4">
        <w:rPr>
          <w:rFonts w:ascii="Arial" w:hAnsi="Arial" w:cs="Arial"/>
          <w:sz w:val="24"/>
          <w:szCs w:val="24"/>
          <w:lang w:val="es-MX"/>
        </w:rPr>
        <w:t xml:space="preserve"> respeto a dicho derecho ha afectado seriamente en el respeto al</w:t>
      </w:r>
      <w:r w:rsidR="00071BAF">
        <w:rPr>
          <w:rFonts w:ascii="Arial" w:hAnsi="Arial" w:cs="Arial"/>
          <w:sz w:val="24"/>
          <w:szCs w:val="24"/>
          <w:lang w:val="es-MX"/>
        </w:rPr>
        <w:t xml:space="preserve"> derecho a la dignidad, a la intimidad, al acceso al empleo, al sufragio pasivo e incluso al acceso a un cargo público</w:t>
      </w:r>
      <w:r w:rsidR="00A935E4">
        <w:rPr>
          <w:rFonts w:ascii="Arial" w:hAnsi="Arial" w:cs="Arial"/>
          <w:sz w:val="24"/>
          <w:szCs w:val="24"/>
          <w:lang w:val="es-MX"/>
        </w:rPr>
        <w:t xml:space="preserve">. Para ello, se </w:t>
      </w:r>
      <w:r w:rsidR="00071BAF">
        <w:rPr>
          <w:rFonts w:ascii="Arial" w:hAnsi="Arial" w:cs="Arial"/>
          <w:sz w:val="24"/>
          <w:szCs w:val="24"/>
          <w:lang w:val="es-MX"/>
        </w:rPr>
        <w:t xml:space="preserve">ha tenido que acudir a </w:t>
      </w:r>
      <w:r w:rsidR="000B198B">
        <w:rPr>
          <w:rFonts w:ascii="Arial" w:hAnsi="Arial" w:cs="Arial"/>
          <w:sz w:val="24"/>
          <w:szCs w:val="24"/>
          <w:lang w:val="es-MX"/>
        </w:rPr>
        <w:t>ambas</w:t>
      </w:r>
      <w:r w:rsidR="00071BAF">
        <w:rPr>
          <w:rFonts w:ascii="Arial" w:hAnsi="Arial" w:cs="Arial"/>
          <w:sz w:val="24"/>
          <w:szCs w:val="24"/>
          <w:lang w:val="es-MX"/>
        </w:rPr>
        <w:t xml:space="preserve"> Cortes</w:t>
      </w:r>
      <w:r w:rsidR="00A935E4">
        <w:rPr>
          <w:rFonts w:ascii="Arial" w:hAnsi="Arial" w:cs="Arial"/>
          <w:sz w:val="24"/>
          <w:szCs w:val="24"/>
          <w:lang w:val="es-MX"/>
        </w:rPr>
        <w:t>, y</w:t>
      </w:r>
      <w:r w:rsidR="00071BAF">
        <w:rPr>
          <w:rFonts w:ascii="Arial" w:hAnsi="Arial" w:cs="Arial"/>
          <w:sz w:val="24"/>
          <w:szCs w:val="24"/>
          <w:lang w:val="es-MX"/>
        </w:rPr>
        <w:t xml:space="preserve"> encontrar protección en cuanto al respeto a la condición de</w:t>
      </w:r>
      <w:r w:rsidR="00966077">
        <w:rPr>
          <w:rFonts w:ascii="Arial" w:hAnsi="Arial" w:cs="Arial"/>
          <w:sz w:val="24"/>
          <w:szCs w:val="24"/>
          <w:lang w:val="es-MX"/>
        </w:rPr>
        <w:t xml:space="preserve"> inocente</w:t>
      </w:r>
      <w:r w:rsidR="00071BAF">
        <w:rPr>
          <w:rFonts w:ascii="Arial" w:hAnsi="Arial" w:cs="Arial"/>
          <w:sz w:val="24"/>
          <w:szCs w:val="24"/>
          <w:lang w:val="es-MX"/>
        </w:rPr>
        <w:t>. Como se dijo anteriormente</w:t>
      </w:r>
      <w:r w:rsidR="000B198B">
        <w:rPr>
          <w:rFonts w:ascii="Arial" w:hAnsi="Arial" w:cs="Arial"/>
          <w:sz w:val="24"/>
          <w:szCs w:val="24"/>
          <w:lang w:val="es-MX"/>
        </w:rPr>
        <w:t>,</w:t>
      </w:r>
      <w:r w:rsidR="00071BAF">
        <w:rPr>
          <w:rFonts w:ascii="Arial" w:hAnsi="Arial" w:cs="Arial"/>
          <w:sz w:val="24"/>
          <w:szCs w:val="24"/>
          <w:lang w:val="es-MX"/>
        </w:rPr>
        <w:t xml:space="preserve"> la no comprensión de dicho derecho ha derivado en su vulneración repetida debido al diseño tanto normativo como operativo en la administración de justicia que requiere </w:t>
      </w:r>
      <w:r w:rsidR="00A935E4">
        <w:rPr>
          <w:rFonts w:ascii="Arial" w:hAnsi="Arial" w:cs="Arial"/>
          <w:sz w:val="24"/>
          <w:szCs w:val="24"/>
          <w:lang w:val="es-MX"/>
        </w:rPr>
        <w:t>transitar a asegurar por completo en el respeto sin excepciones.</w:t>
      </w:r>
    </w:p>
    <w:p w14:paraId="55FBABCD" w14:textId="1722F5F9" w:rsidR="00451BD1" w:rsidRPr="00433F7F" w:rsidRDefault="00451BD1" w:rsidP="00433F7F">
      <w:pPr>
        <w:spacing w:line="360" w:lineRule="auto"/>
        <w:ind w:left="720" w:right="720"/>
        <w:rPr>
          <w:rFonts w:ascii="Arial" w:hAnsi="Arial" w:cs="Arial"/>
          <w:sz w:val="24"/>
          <w:szCs w:val="24"/>
          <w:lang w:val="es-MX"/>
        </w:rPr>
      </w:pPr>
      <w:r w:rsidRPr="00433F7F">
        <w:rPr>
          <w:rFonts w:ascii="Arial" w:hAnsi="Arial" w:cs="Arial"/>
          <w:sz w:val="24"/>
          <w:szCs w:val="24"/>
          <w:lang w:val="es-MX"/>
        </w:rPr>
        <w:lastRenderedPageBreak/>
        <w:t>Bibliografia</w:t>
      </w:r>
    </w:p>
    <w:p w14:paraId="484C6723" w14:textId="77777777" w:rsidR="00451BD1" w:rsidRPr="00433F7F"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Bastida Freijedo, F. J., </w:t>
      </w:r>
      <w:r w:rsidRPr="00433F7F">
        <w:rPr>
          <w:rFonts w:ascii="Arial" w:hAnsi="Arial" w:cs="Arial"/>
          <w:i/>
          <w:iCs/>
          <w:sz w:val="24"/>
          <w:szCs w:val="24"/>
          <w:lang w:val="es-MX"/>
        </w:rPr>
        <w:t xml:space="preserve">Teoría General de los Derechos Fundamentales en la Constitución Española de 1978, </w:t>
      </w:r>
      <w:r w:rsidRPr="00433F7F">
        <w:rPr>
          <w:rFonts w:ascii="Arial" w:hAnsi="Arial" w:cs="Arial"/>
          <w:sz w:val="24"/>
          <w:szCs w:val="24"/>
          <w:lang w:val="es-MX"/>
        </w:rPr>
        <w:t>Editorial Tecnos, Madrid, 2004</w:t>
      </w:r>
      <w:r w:rsidRPr="00433F7F">
        <w:rPr>
          <w:rFonts w:ascii="Arial" w:hAnsi="Arial" w:cs="Arial"/>
          <w:i/>
          <w:iCs/>
          <w:sz w:val="24"/>
          <w:szCs w:val="24"/>
          <w:lang w:val="es-MX"/>
        </w:rPr>
        <w:t xml:space="preserve">, </w:t>
      </w:r>
      <w:r w:rsidRPr="00433F7F">
        <w:rPr>
          <w:rFonts w:ascii="Arial" w:hAnsi="Arial" w:cs="Arial"/>
          <w:sz w:val="24"/>
          <w:szCs w:val="24"/>
          <w:lang w:val="es-MX"/>
        </w:rPr>
        <w:t>pp, 13-37.</w:t>
      </w:r>
    </w:p>
    <w:p w14:paraId="673C2E0B"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380C4F49" w14:textId="760E3E10" w:rsidR="00E8702B" w:rsidRPr="00E8702B" w:rsidRDefault="00E8702B" w:rsidP="00E8702B">
      <w:pPr>
        <w:pStyle w:val="Textonotapie"/>
        <w:spacing w:line="360" w:lineRule="auto"/>
        <w:ind w:left="709" w:right="713"/>
        <w:jc w:val="both"/>
        <w:rPr>
          <w:rFonts w:ascii="Arial" w:hAnsi="Arial" w:cs="Arial"/>
          <w:sz w:val="24"/>
          <w:szCs w:val="24"/>
          <w:lang w:val="es-MX"/>
        </w:rPr>
      </w:pPr>
      <w:r w:rsidRPr="00E8702B">
        <w:rPr>
          <w:rFonts w:ascii="Arial" w:hAnsi="Arial" w:cs="Arial"/>
          <w:sz w:val="24"/>
          <w:szCs w:val="24"/>
          <w:lang w:val="es-MX"/>
        </w:rPr>
        <w:t>Caballero Ochoa, José Luis, “Del bloque de constitucionalidad a la interpretación conforme. Una reflexión sobre el artículo primero en la Constitución a diez años</w:t>
      </w:r>
      <w:r>
        <w:rPr>
          <w:rFonts w:ascii="Arial" w:hAnsi="Arial" w:cs="Arial"/>
          <w:sz w:val="24"/>
          <w:szCs w:val="24"/>
          <w:lang w:val="es-MX"/>
        </w:rPr>
        <w:t xml:space="preserve">”, </w:t>
      </w:r>
      <w:r w:rsidRPr="00E8702B">
        <w:rPr>
          <w:rFonts w:ascii="Arial" w:hAnsi="Arial" w:cs="Arial"/>
          <w:i/>
          <w:sz w:val="24"/>
          <w:szCs w:val="24"/>
          <w:lang w:val="es-MX"/>
        </w:rPr>
        <w:t>La reforma constitucional sobre derechos humanos en México. Una evaluación con perspectiva de futuro</w:t>
      </w:r>
      <w:r w:rsidRPr="00E8702B">
        <w:rPr>
          <w:rFonts w:ascii="Arial" w:hAnsi="Arial" w:cs="Arial"/>
          <w:sz w:val="24"/>
          <w:szCs w:val="24"/>
          <w:lang w:val="es-MX"/>
        </w:rPr>
        <w:t>,</w:t>
      </w:r>
      <w:r w:rsidRPr="00AF1972">
        <w:rPr>
          <w:rFonts w:ascii="Arial" w:hAnsi="Arial" w:cs="Arial"/>
          <w:sz w:val="24"/>
          <w:szCs w:val="24"/>
          <w:lang w:val="es-MX"/>
        </w:rPr>
        <w:t xml:space="preserve"> </w:t>
      </w:r>
      <w:r>
        <w:rPr>
          <w:rFonts w:ascii="Arial" w:hAnsi="Arial" w:cs="Arial"/>
          <w:sz w:val="24"/>
          <w:szCs w:val="24"/>
          <w:lang w:val="es-MX"/>
        </w:rPr>
        <w:t>Editorial Tirant lo blanch, Justicia interamericana 11, México, 2022.</w:t>
      </w:r>
    </w:p>
    <w:p w14:paraId="2F032277" w14:textId="77777777" w:rsidR="00773CE4" w:rsidRDefault="00773CE4" w:rsidP="00433F7F">
      <w:pPr>
        <w:pStyle w:val="Textonotapie"/>
        <w:spacing w:line="360" w:lineRule="auto"/>
        <w:ind w:left="720" w:right="720"/>
        <w:jc w:val="both"/>
        <w:rPr>
          <w:rFonts w:ascii="Arial" w:hAnsi="Arial" w:cs="Arial"/>
          <w:sz w:val="24"/>
          <w:szCs w:val="24"/>
          <w:lang w:val="es-MX"/>
        </w:rPr>
      </w:pPr>
    </w:p>
    <w:p w14:paraId="236B9D61" w14:textId="515ADB10" w:rsidR="004C6EA3" w:rsidRPr="00433F7F" w:rsidRDefault="004C6EA3"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Dagdoug Kalife, A</w:t>
      </w:r>
      <w:r w:rsidRPr="00433F7F">
        <w:rPr>
          <w:rFonts w:ascii="Arial" w:hAnsi="Arial" w:cs="Arial"/>
          <w:i/>
          <w:iCs/>
          <w:sz w:val="24"/>
          <w:szCs w:val="24"/>
          <w:lang w:val="es-MX"/>
        </w:rPr>
        <w:t>., Manual de Derecho Procesal, Teoría y Práctica</w:t>
      </w:r>
      <w:r w:rsidRPr="00433F7F">
        <w:rPr>
          <w:rFonts w:ascii="Arial" w:hAnsi="Arial" w:cs="Arial"/>
          <w:sz w:val="24"/>
          <w:szCs w:val="24"/>
          <w:lang w:val="es-MX"/>
        </w:rPr>
        <w:t>, INACIPE, Editorial IBJUS, 2016, p. 372.</w:t>
      </w:r>
    </w:p>
    <w:p w14:paraId="74AD4FE3" w14:textId="45D71FE6" w:rsidR="00451BD1" w:rsidRDefault="00451BD1" w:rsidP="00433F7F">
      <w:pPr>
        <w:spacing w:before="200" w:line="360" w:lineRule="auto"/>
        <w:ind w:left="720" w:right="720"/>
        <w:jc w:val="both"/>
        <w:rPr>
          <w:rFonts w:ascii="Arial" w:hAnsi="Arial" w:cs="Arial"/>
          <w:sz w:val="24"/>
          <w:szCs w:val="24"/>
          <w:lang w:val="es-MX"/>
        </w:rPr>
      </w:pPr>
      <w:r w:rsidRPr="00433F7F">
        <w:rPr>
          <w:rFonts w:ascii="Arial" w:hAnsi="Arial" w:cs="Arial"/>
          <w:sz w:val="24"/>
          <w:szCs w:val="24"/>
          <w:lang w:val="es-MX"/>
        </w:rPr>
        <w:t>Ferrajoli, Luigi</w:t>
      </w:r>
      <w:r w:rsidR="00152CED">
        <w:rPr>
          <w:rFonts w:ascii="Arial" w:hAnsi="Arial" w:cs="Arial"/>
          <w:sz w:val="24"/>
          <w:szCs w:val="24"/>
          <w:lang w:val="es-MX"/>
        </w:rPr>
        <w:t xml:space="preserve">, </w:t>
      </w:r>
      <w:r w:rsidRPr="00433F7F">
        <w:rPr>
          <w:rFonts w:ascii="Arial" w:hAnsi="Arial" w:cs="Arial"/>
          <w:i/>
          <w:iCs/>
          <w:sz w:val="24"/>
          <w:szCs w:val="24"/>
          <w:lang w:val="es-MX"/>
        </w:rPr>
        <w:t>Manifiesto por la igualdad</w:t>
      </w:r>
      <w:r w:rsidRPr="00433F7F">
        <w:rPr>
          <w:rFonts w:ascii="Arial" w:hAnsi="Arial" w:cs="Arial"/>
          <w:sz w:val="24"/>
          <w:szCs w:val="24"/>
          <w:lang w:val="es-MX"/>
        </w:rPr>
        <w:t>, Editorial Trotta, Madrid</w:t>
      </w:r>
      <w:r w:rsidR="00152CED">
        <w:rPr>
          <w:rFonts w:ascii="Arial" w:hAnsi="Arial" w:cs="Arial"/>
          <w:sz w:val="24"/>
          <w:szCs w:val="24"/>
          <w:lang w:val="es-MX"/>
        </w:rPr>
        <w:t>, 2019.</w:t>
      </w:r>
    </w:p>
    <w:p w14:paraId="2E1194EC" w14:textId="570BF077" w:rsidR="00AF1972" w:rsidRDefault="00AF1972" w:rsidP="00B35277">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Figueroa Mejía, Giovanni A., “Incidencia de la reforma constitucional sobre derechos humanos en la justicia constitucional de las entidades federativas”, </w:t>
      </w:r>
      <w:r w:rsidRPr="00AF1972">
        <w:rPr>
          <w:rFonts w:ascii="Arial" w:hAnsi="Arial" w:cs="Arial"/>
          <w:i/>
          <w:sz w:val="24"/>
          <w:szCs w:val="24"/>
          <w:lang w:val="es-MX"/>
        </w:rPr>
        <w:t>La reforma constitucional sobre derechos humanos en México. Una evaluación con perspectiva de futuro</w:t>
      </w:r>
      <w:r>
        <w:rPr>
          <w:rFonts w:ascii="Arial" w:hAnsi="Arial" w:cs="Arial"/>
          <w:sz w:val="24"/>
          <w:szCs w:val="24"/>
          <w:lang w:val="es-MX"/>
        </w:rPr>
        <w:t>, Editorial Tirant lo blanch, Justicia interamericana 11, México, 2022.</w:t>
      </w:r>
    </w:p>
    <w:p w14:paraId="0014EBF6" w14:textId="77777777" w:rsidR="00AF1972" w:rsidRDefault="00AF1972" w:rsidP="00B35277">
      <w:pPr>
        <w:pStyle w:val="Textonotapie"/>
        <w:spacing w:line="360" w:lineRule="auto"/>
        <w:ind w:left="720" w:right="720"/>
        <w:jc w:val="both"/>
        <w:rPr>
          <w:rFonts w:ascii="Arial" w:hAnsi="Arial" w:cs="Arial"/>
          <w:sz w:val="24"/>
          <w:szCs w:val="24"/>
          <w:lang w:val="es-MX"/>
        </w:rPr>
      </w:pPr>
    </w:p>
    <w:p w14:paraId="0388CBCD" w14:textId="6BFEEE87" w:rsidR="00D90682" w:rsidRDefault="00D90682" w:rsidP="00B35277">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García Ramírez, Sergio, </w:t>
      </w:r>
      <w:r w:rsidRPr="00D90682">
        <w:rPr>
          <w:rFonts w:ascii="Arial" w:hAnsi="Arial" w:cs="Arial"/>
          <w:i/>
          <w:sz w:val="24"/>
          <w:szCs w:val="24"/>
          <w:lang w:val="es-MX"/>
        </w:rPr>
        <w:t>Debido proceso</w:t>
      </w:r>
      <w:r>
        <w:rPr>
          <w:rFonts w:ascii="Arial" w:hAnsi="Arial" w:cs="Arial"/>
          <w:i/>
          <w:sz w:val="24"/>
          <w:szCs w:val="24"/>
          <w:lang w:val="es-MX"/>
        </w:rPr>
        <w:t xml:space="preserve">. Criterios de la Jurisprudencia Interamericana, </w:t>
      </w:r>
      <w:r w:rsidRPr="00D90682">
        <w:rPr>
          <w:rFonts w:ascii="Arial" w:hAnsi="Arial" w:cs="Arial"/>
          <w:sz w:val="24"/>
          <w:szCs w:val="24"/>
          <w:lang w:val="es-MX"/>
        </w:rPr>
        <w:t>Editorial Porrúa</w:t>
      </w:r>
      <w:r w:rsidR="00152CED">
        <w:rPr>
          <w:rFonts w:ascii="Arial" w:hAnsi="Arial" w:cs="Arial"/>
          <w:sz w:val="24"/>
          <w:szCs w:val="24"/>
          <w:lang w:val="es-MX"/>
        </w:rPr>
        <w:t>, México, 2014</w:t>
      </w:r>
      <w:r w:rsidRPr="00D90682">
        <w:rPr>
          <w:rFonts w:ascii="Arial" w:hAnsi="Arial" w:cs="Arial"/>
          <w:sz w:val="24"/>
          <w:szCs w:val="24"/>
          <w:lang w:val="es-MX"/>
        </w:rPr>
        <w:t>.</w:t>
      </w:r>
    </w:p>
    <w:p w14:paraId="58D57501" w14:textId="77777777" w:rsidR="00D90682" w:rsidRDefault="00D90682" w:rsidP="00B35277">
      <w:pPr>
        <w:pStyle w:val="Textonotapie"/>
        <w:spacing w:line="360" w:lineRule="auto"/>
        <w:ind w:left="720" w:right="720"/>
        <w:jc w:val="both"/>
        <w:rPr>
          <w:rFonts w:ascii="Arial" w:hAnsi="Arial" w:cs="Arial"/>
          <w:sz w:val="24"/>
          <w:szCs w:val="24"/>
          <w:lang w:val="es-MX"/>
        </w:rPr>
      </w:pPr>
    </w:p>
    <w:p w14:paraId="0FAA475E" w14:textId="62D79555" w:rsidR="00B35277" w:rsidRPr="00B35277" w:rsidRDefault="00B35277" w:rsidP="00B35277">
      <w:pPr>
        <w:pStyle w:val="Textonotapie"/>
        <w:spacing w:line="360" w:lineRule="auto"/>
        <w:ind w:left="720" w:right="720"/>
        <w:jc w:val="both"/>
        <w:rPr>
          <w:rFonts w:ascii="Arial" w:hAnsi="Arial" w:cs="Arial"/>
          <w:sz w:val="24"/>
          <w:szCs w:val="24"/>
          <w:lang w:val="es-MX"/>
        </w:rPr>
      </w:pPr>
      <w:r w:rsidRPr="00B35277">
        <w:rPr>
          <w:rFonts w:ascii="Arial" w:hAnsi="Arial" w:cs="Arial"/>
          <w:sz w:val="24"/>
          <w:szCs w:val="24"/>
          <w:lang w:val="es-MX"/>
        </w:rPr>
        <w:t xml:space="preserve">García Ramírez, Sergio y Martínez Breña Laura, </w:t>
      </w:r>
      <w:r w:rsidRPr="00D90682">
        <w:rPr>
          <w:rFonts w:ascii="Arial" w:hAnsi="Arial" w:cs="Arial"/>
          <w:i/>
          <w:sz w:val="24"/>
          <w:szCs w:val="24"/>
          <w:lang w:val="es-MX"/>
        </w:rPr>
        <w:t>Presos y Prisiones. El sistema penitenciario desde la perspectiva de los derechos humanos</w:t>
      </w:r>
      <w:r w:rsidRPr="00B35277">
        <w:rPr>
          <w:rFonts w:ascii="Arial" w:hAnsi="Arial" w:cs="Arial"/>
          <w:sz w:val="24"/>
          <w:szCs w:val="24"/>
          <w:lang w:val="es-MX"/>
        </w:rPr>
        <w:t>, UNAM, Editorial Porrúa y PUDH, México, 2014.</w:t>
      </w:r>
    </w:p>
    <w:p w14:paraId="6D564751" w14:textId="77777777" w:rsidR="00B35277" w:rsidRDefault="00B35277" w:rsidP="00433F7F">
      <w:pPr>
        <w:pStyle w:val="Textonotapie"/>
        <w:spacing w:line="360" w:lineRule="auto"/>
        <w:ind w:left="720" w:right="720"/>
        <w:jc w:val="both"/>
        <w:rPr>
          <w:rFonts w:ascii="Arial" w:hAnsi="Arial" w:cs="Arial"/>
          <w:sz w:val="24"/>
          <w:szCs w:val="24"/>
          <w:shd w:val="clear" w:color="auto" w:fill="FFFFFF"/>
          <w:lang w:val="es-MX"/>
        </w:rPr>
      </w:pPr>
    </w:p>
    <w:p w14:paraId="690F76F5" w14:textId="603BF14D" w:rsidR="00451BD1" w:rsidRPr="00433F7F"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shd w:val="clear" w:color="auto" w:fill="FFFFFF"/>
          <w:lang w:val="es-MX"/>
        </w:rPr>
        <w:lastRenderedPageBreak/>
        <w:t xml:space="preserve">Mercado Morales, M.A., </w:t>
      </w:r>
      <w:r w:rsidR="00152CED">
        <w:rPr>
          <w:rFonts w:ascii="Arial" w:hAnsi="Arial" w:cs="Arial"/>
          <w:sz w:val="24"/>
          <w:szCs w:val="24"/>
          <w:shd w:val="clear" w:color="auto" w:fill="FFFFFF"/>
          <w:lang w:val="es-MX"/>
        </w:rPr>
        <w:t>“</w:t>
      </w:r>
      <w:r w:rsidRPr="00433F7F">
        <w:rPr>
          <w:rFonts w:ascii="Arial" w:hAnsi="Arial" w:cs="Arial"/>
          <w:sz w:val="24"/>
          <w:szCs w:val="24"/>
          <w:shd w:val="clear" w:color="auto" w:fill="FFFFFF"/>
          <w:lang w:val="es-MX"/>
        </w:rPr>
        <w:t>La presunción de inocencia como un derecho fundamental</w:t>
      </w:r>
      <w:r w:rsidR="00152CED">
        <w:rPr>
          <w:rFonts w:ascii="Arial" w:hAnsi="Arial" w:cs="Arial"/>
          <w:sz w:val="24"/>
          <w:szCs w:val="24"/>
          <w:shd w:val="clear" w:color="auto" w:fill="FFFFFF"/>
          <w:lang w:val="es-MX"/>
        </w:rPr>
        <w:t>”</w:t>
      </w:r>
      <w:r w:rsidRPr="00433F7F">
        <w:rPr>
          <w:rFonts w:ascii="Arial" w:hAnsi="Arial" w:cs="Arial"/>
          <w:sz w:val="24"/>
          <w:szCs w:val="24"/>
          <w:shd w:val="clear" w:color="auto" w:fill="FFFFFF"/>
          <w:lang w:val="es-MX"/>
        </w:rPr>
        <w:t xml:space="preserve">, </w:t>
      </w:r>
      <w:r w:rsidRPr="00152CED">
        <w:rPr>
          <w:rFonts w:ascii="Arial" w:hAnsi="Arial" w:cs="Arial"/>
          <w:i/>
          <w:sz w:val="24"/>
          <w:szCs w:val="24"/>
          <w:shd w:val="clear" w:color="auto" w:fill="FFFFFF"/>
          <w:lang w:val="es-MX"/>
        </w:rPr>
        <w:t>Revista del IIJ, Hechos y derechos</w:t>
      </w:r>
      <w:r w:rsidRPr="00433F7F">
        <w:rPr>
          <w:rFonts w:ascii="Arial" w:hAnsi="Arial" w:cs="Arial"/>
          <w:sz w:val="24"/>
          <w:szCs w:val="24"/>
          <w:shd w:val="clear" w:color="auto" w:fill="FFFFFF"/>
          <w:lang w:val="es-MX"/>
        </w:rPr>
        <w:t xml:space="preserve">, núm. 29, México, 2015, recuperado de: </w:t>
      </w:r>
      <w:hyperlink r:id="rId9" w:history="1">
        <w:r w:rsidRPr="00433F7F">
          <w:rPr>
            <w:rStyle w:val="Hipervnculo"/>
            <w:rFonts w:ascii="Arial" w:hAnsi="Arial" w:cs="Arial"/>
            <w:sz w:val="24"/>
            <w:szCs w:val="24"/>
            <w:lang w:val="es-MX"/>
          </w:rPr>
          <w:t>https://revistas.juridicas.unam.mx/index.php/hechos-y-derechos/article/view/7322/9258</w:t>
        </w:r>
      </w:hyperlink>
    </w:p>
    <w:p w14:paraId="57B7A9EB"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68F44818" w14:textId="690599BB" w:rsidR="004C6EA3" w:rsidRPr="00433F7F" w:rsidRDefault="004C6EA3"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Presno Linera, M.A., </w:t>
      </w:r>
      <w:r w:rsidR="00ED1BBF" w:rsidRPr="00433F7F">
        <w:rPr>
          <w:rFonts w:ascii="Arial" w:hAnsi="Arial" w:cs="Arial"/>
          <w:i/>
          <w:iCs/>
          <w:sz w:val="24"/>
          <w:szCs w:val="24"/>
          <w:lang w:val="es-MX"/>
        </w:rPr>
        <w:t>Teoría General de los Derechos Fundamentales en la Constitución Española de 1978</w:t>
      </w:r>
      <w:r w:rsidR="00ED1BBF" w:rsidRPr="00433F7F">
        <w:rPr>
          <w:rFonts w:ascii="Arial" w:hAnsi="Arial" w:cs="Arial"/>
          <w:sz w:val="24"/>
          <w:szCs w:val="24"/>
          <w:lang w:val="es-MX"/>
        </w:rPr>
        <w:t>, Madrid, Editorial Tecnos, 2004.</w:t>
      </w:r>
    </w:p>
    <w:p w14:paraId="2DDC7509" w14:textId="77777777" w:rsidR="00D51A13" w:rsidRDefault="00D51A13" w:rsidP="00433F7F">
      <w:pPr>
        <w:pStyle w:val="Textonotapie"/>
        <w:spacing w:line="360" w:lineRule="auto"/>
        <w:ind w:left="720" w:right="720"/>
        <w:jc w:val="both"/>
        <w:rPr>
          <w:rFonts w:ascii="Arial" w:hAnsi="Arial" w:cs="Arial"/>
          <w:sz w:val="24"/>
          <w:szCs w:val="24"/>
          <w:lang w:val="es-MX"/>
        </w:rPr>
      </w:pPr>
    </w:p>
    <w:p w14:paraId="2AED3418" w14:textId="65D85143" w:rsidR="004C6EA3" w:rsidRDefault="00D51A13" w:rsidP="00433F7F">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Silva García, Fernando, </w:t>
      </w:r>
      <w:r w:rsidRPr="00D51A13">
        <w:rPr>
          <w:rFonts w:ascii="Arial" w:hAnsi="Arial" w:cs="Arial"/>
          <w:i/>
          <w:iCs/>
          <w:sz w:val="24"/>
          <w:szCs w:val="24"/>
          <w:lang w:val="es-MX"/>
        </w:rPr>
        <w:t>Principio Pro Homine vs.</w:t>
      </w:r>
      <w:r>
        <w:rPr>
          <w:rFonts w:ascii="Arial" w:hAnsi="Arial" w:cs="Arial"/>
          <w:i/>
          <w:iCs/>
          <w:sz w:val="24"/>
          <w:szCs w:val="24"/>
          <w:lang w:val="es-MX"/>
        </w:rPr>
        <w:t xml:space="preserve"> </w:t>
      </w:r>
      <w:r w:rsidRPr="00D51A13">
        <w:rPr>
          <w:rFonts w:ascii="Arial" w:hAnsi="Arial" w:cs="Arial"/>
          <w:i/>
          <w:iCs/>
          <w:sz w:val="24"/>
          <w:szCs w:val="24"/>
          <w:lang w:val="es-MX"/>
        </w:rPr>
        <w:t>Restricciones constitucionales ¿es posible constitucionalizar el autoritarismo?</w:t>
      </w:r>
      <w:r>
        <w:rPr>
          <w:rFonts w:ascii="Arial" w:hAnsi="Arial" w:cs="Arial"/>
          <w:sz w:val="24"/>
          <w:szCs w:val="24"/>
          <w:lang w:val="es-MX"/>
        </w:rPr>
        <w:t xml:space="preserve"> Editorial Porrúa, IMPDC</w:t>
      </w:r>
      <w:r w:rsidR="00773CE4">
        <w:rPr>
          <w:rFonts w:ascii="Arial" w:hAnsi="Arial" w:cs="Arial"/>
          <w:sz w:val="24"/>
          <w:szCs w:val="24"/>
          <w:lang w:val="es-MX"/>
        </w:rPr>
        <w:t xml:space="preserve"> 120</w:t>
      </w:r>
      <w:r>
        <w:rPr>
          <w:rFonts w:ascii="Arial" w:hAnsi="Arial" w:cs="Arial"/>
          <w:sz w:val="24"/>
          <w:szCs w:val="24"/>
          <w:lang w:val="es-MX"/>
        </w:rPr>
        <w:t>, México, 2016.</w:t>
      </w:r>
    </w:p>
    <w:p w14:paraId="45EBB15C" w14:textId="77777777" w:rsidR="00D51A13" w:rsidRPr="00433F7F" w:rsidRDefault="00D51A13" w:rsidP="00433F7F">
      <w:pPr>
        <w:pStyle w:val="Textonotapie"/>
        <w:spacing w:line="360" w:lineRule="auto"/>
        <w:ind w:left="720" w:right="720"/>
        <w:jc w:val="both"/>
        <w:rPr>
          <w:rFonts w:ascii="Arial" w:hAnsi="Arial" w:cs="Arial"/>
          <w:sz w:val="24"/>
          <w:szCs w:val="24"/>
          <w:lang w:val="es-MX"/>
        </w:rPr>
      </w:pPr>
    </w:p>
    <w:p w14:paraId="446EAE93" w14:textId="3BFE6ECB" w:rsidR="00451BD1" w:rsidRPr="00433F7F"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Stumer, A., </w:t>
      </w:r>
      <w:r w:rsidRPr="00433F7F">
        <w:rPr>
          <w:rFonts w:ascii="Arial" w:hAnsi="Arial" w:cs="Arial"/>
          <w:i/>
          <w:iCs/>
          <w:sz w:val="24"/>
          <w:szCs w:val="24"/>
          <w:lang w:val="es-MX"/>
        </w:rPr>
        <w:t xml:space="preserve">La presunción de inocencia. Perspectiva desde el Derecho probatorio y los derechos humanos. </w:t>
      </w:r>
      <w:r w:rsidRPr="00433F7F">
        <w:rPr>
          <w:rFonts w:ascii="Arial" w:hAnsi="Arial" w:cs="Arial"/>
          <w:sz w:val="24"/>
          <w:szCs w:val="24"/>
          <w:lang w:val="es-MX"/>
        </w:rPr>
        <w:t>Marcial Pons, Madrid, 2018, pp.21-22.</w:t>
      </w:r>
    </w:p>
    <w:p w14:paraId="21CB6A61" w14:textId="03328452" w:rsidR="00451BD1" w:rsidRPr="00433F7F" w:rsidRDefault="00451BD1" w:rsidP="00433F7F">
      <w:pPr>
        <w:spacing w:before="200" w:after="0"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Torres del Moral, Antonio (2007): ”Lección 10. Derecho de participación política: (I) Derecho de sufragio, desempeño de los cargos públicos y mandatos representativo ” </w:t>
      </w:r>
      <w:r w:rsidRPr="00433F7F" w:rsidDel="00D84259">
        <w:rPr>
          <w:rFonts w:ascii="Arial" w:hAnsi="Arial" w:cs="Arial"/>
          <w:sz w:val="24"/>
          <w:szCs w:val="24"/>
          <w:lang w:val="es-MX"/>
        </w:rPr>
        <w:t xml:space="preserve"> </w:t>
      </w:r>
      <w:r w:rsidRPr="00433F7F">
        <w:rPr>
          <w:rFonts w:ascii="Arial" w:hAnsi="Arial" w:cs="Arial"/>
          <w:sz w:val="24"/>
          <w:szCs w:val="24"/>
          <w:lang w:val="es-MX"/>
        </w:rPr>
        <w:t xml:space="preserve">en </w:t>
      </w:r>
      <w:r w:rsidRPr="00433F7F">
        <w:rPr>
          <w:rFonts w:ascii="Arial" w:hAnsi="Arial" w:cs="Arial"/>
          <w:i/>
          <w:iCs/>
          <w:sz w:val="24"/>
          <w:szCs w:val="24"/>
          <w:lang w:val="es-MX"/>
        </w:rPr>
        <w:t>Los Derechos Fundamentales y su Protección jurisdiccional</w:t>
      </w:r>
      <w:r w:rsidRPr="00433F7F">
        <w:rPr>
          <w:rFonts w:ascii="Arial" w:hAnsi="Arial" w:cs="Arial"/>
          <w:sz w:val="24"/>
          <w:szCs w:val="24"/>
          <w:lang w:val="es-MX"/>
        </w:rPr>
        <w:t xml:space="preserve">, 1ª Edición, </w:t>
      </w:r>
      <w:r w:rsidRPr="00433F7F" w:rsidDel="00D84259">
        <w:rPr>
          <w:rFonts w:ascii="Arial" w:hAnsi="Arial" w:cs="Arial"/>
          <w:smallCaps/>
          <w:sz w:val="24"/>
          <w:szCs w:val="24"/>
          <w:lang w:val="es-MX"/>
        </w:rPr>
        <w:t>C</w:t>
      </w:r>
      <w:r w:rsidRPr="00433F7F">
        <w:rPr>
          <w:rFonts w:ascii="Arial" w:hAnsi="Arial" w:cs="Arial"/>
          <w:smallCaps/>
          <w:sz w:val="24"/>
          <w:szCs w:val="24"/>
          <w:lang w:val="es-MX"/>
        </w:rPr>
        <w:t>olex</w:t>
      </w:r>
      <w:r w:rsidRPr="00433F7F" w:rsidDel="00D84259">
        <w:rPr>
          <w:rFonts w:ascii="Arial" w:hAnsi="Arial" w:cs="Arial"/>
          <w:sz w:val="24"/>
          <w:szCs w:val="24"/>
          <w:lang w:val="es-MX"/>
        </w:rPr>
        <w:t xml:space="preserve">, </w:t>
      </w:r>
      <w:r w:rsidRPr="00433F7F">
        <w:rPr>
          <w:rFonts w:ascii="Arial" w:hAnsi="Arial" w:cs="Arial"/>
          <w:sz w:val="24"/>
          <w:szCs w:val="24"/>
          <w:lang w:val="es-MX"/>
        </w:rPr>
        <w:t>Madrid, 255-275.</w:t>
      </w:r>
    </w:p>
    <w:p w14:paraId="71B43C70" w14:textId="6E8B258C" w:rsidR="001E08F0" w:rsidRDefault="001E08F0" w:rsidP="00433F7F">
      <w:pPr>
        <w:spacing w:before="200" w:after="0" w:line="360" w:lineRule="auto"/>
        <w:ind w:left="709"/>
        <w:jc w:val="both"/>
        <w:rPr>
          <w:rFonts w:ascii="Arial" w:hAnsi="Arial" w:cs="Arial"/>
          <w:color w:val="000000" w:themeColor="text1"/>
          <w:sz w:val="24"/>
          <w:szCs w:val="24"/>
          <w:lang w:val="es-MX"/>
        </w:rPr>
      </w:pPr>
      <w:r w:rsidRPr="00433F7F">
        <w:rPr>
          <w:rFonts w:ascii="Arial" w:hAnsi="Arial" w:cs="Arial"/>
          <w:color w:val="000000" w:themeColor="text1"/>
          <w:sz w:val="24"/>
          <w:szCs w:val="24"/>
          <w:lang w:val="es-MX"/>
        </w:rPr>
        <w:t>Martín de la Vega, Augusto</w:t>
      </w:r>
      <w:r w:rsidR="004A7BB5">
        <w:rPr>
          <w:rFonts w:ascii="Arial" w:hAnsi="Arial" w:cs="Arial"/>
          <w:color w:val="000000" w:themeColor="text1"/>
          <w:sz w:val="24"/>
          <w:szCs w:val="24"/>
          <w:lang w:val="es-MX"/>
        </w:rPr>
        <w:t>,</w:t>
      </w:r>
      <w:r w:rsidRPr="00433F7F">
        <w:rPr>
          <w:rFonts w:ascii="Arial" w:hAnsi="Arial" w:cs="Arial"/>
          <w:color w:val="000000" w:themeColor="text1"/>
          <w:sz w:val="24"/>
          <w:szCs w:val="24"/>
          <w:lang w:val="es-MX"/>
        </w:rPr>
        <w:t xml:space="preserve"> </w:t>
      </w:r>
      <w:r w:rsidRPr="00433F7F">
        <w:rPr>
          <w:rFonts w:ascii="Arial" w:hAnsi="Arial" w:cs="Arial"/>
          <w:i/>
          <w:iCs/>
          <w:color w:val="000000" w:themeColor="text1"/>
          <w:sz w:val="24"/>
          <w:szCs w:val="24"/>
          <w:lang w:val="es-MX"/>
        </w:rPr>
        <w:t>La sentencia constitucional en Italia. Tipología y efectos de las sentencias en la jurisdicción constitucional italiana: medio siglo de debate doctrinal</w:t>
      </w:r>
      <w:r w:rsidRPr="00433F7F">
        <w:rPr>
          <w:rFonts w:ascii="Arial" w:hAnsi="Arial" w:cs="Arial"/>
          <w:color w:val="000000" w:themeColor="text1"/>
          <w:sz w:val="24"/>
          <w:szCs w:val="24"/>
          <w:lang w:val="es-MX"/>
        </w:rPr>
        <w:t>, Centro de Estudios Políticos y Constitucionales, Madrid</w:t>
      </w:r>
      <w:r w:rsidR="004A7BB5">
        <w:rPr>
          <w:rFonts w:ascii="Arial" w:hAnsi="Arial" w:cs="Arial"/>
          <w:color w:val="000000" w:themeColor="text1"/>
          <w:sz w:val="24"/>
          <w:szCs w:val="24"/>
          <w:lang w:val="es-MX"/>
        </w:rPr>
        <w:t>, 2003.</w:t>
      </w:r>
    </w:p>
    <w:p w14:paraId="6B2C62EB" w14:textId="638E94CC" w:rsidR="004A7BB5" w:rsidRDefault="004A7BB5" w:rsidP="00433F7F">
      <w:pPr>
        <w:spacing w:before="200" w:after="0" w:line="360" w:lineRule="auto"/>
        <w:ind w:left="709"/>
        <w:jc w:val="both"/>
        <w:rPr>
          <w:rFonts w:ascii="Arial" w:hAnsi="Arial" w:cs="Arial"/>
          <w:color w:val="000000" w:themeColor="text1"/>
          <w:sz w:val="24"/>
          <w:szCs w:val="24"/>
          <w:lang w:val="es-MX"/>
        </w:rPr>
      </w:pPr>
      <w:r>
        <w:rPr>
          <w:rFonts w:ascii="Arial" w:hAnsi="Arial" w:cs="Arial"/>
          <w:color w:val="000000" w:themeColor="text1"/>
          <w:sz w:val="24"/>
          <w:szCs w:val="24"/>
          <w:lang w:val="es-MX"/>
        </w:rPr>
        <w:t xml:space="preserve">Meléndez, Florentín, El debido proceso en el derechos internacional de los derechos humanos, </w:t>
      </w:r>
      <w:r w:rsidRPr="00922EB8">
        <w:rPr>
          <w:rFonts w:ascii="Arial" w:hAnsi="Arial" w:cs="Arial"/>
          <w:i/>
          <w:color w:val="000000" w:themeColor="text1"/>
          <w:sz w:val="24"/>
          <w:szCs w:val="24"/>
          <w:lang w:val="es-MX"/>
        </w:rPr>
        <w:t>La ciencia del estudio del derecho procesal constitucional</w:t>
      </w:r>
      <w:r>
        <w:rPr>
          <w:rFonts w:ascii="Arial" w:hAnsi="Arial" w:cs="Arial"/>
          <w:color w:val="000000" w:themeColor="text1"/>
          <w:sz w:val="24"/>
          <w:szCs w:val="24"/>
          <w:lang w:val="es-MX"/>
        </w:rPr>
        <w:t xml:space="preserve"> </w:t>
      </w:r>
      <w:r w:rsidRPr="004A7BB5">
        <w:rPr>
          <w:rFonts w:ascii="Arial" w:hAnsi="Arial" w:cs="Arial"/>
          <w:i/>
          <w:color w:val="000000" w:themeColor="text1"/>
          <w:sz w:val="24"/>
          <w:szCs w:val="24"/>
          <w:lang w:val="es-MX"/>
        </w:rPr>
        <w:t>Estudios en Homenaje al Dr. Fix-Zamudio</w:t>
      </w:r>
      <w:r w:rsidR="00922EB8">
        <w:rPr>
          <w:rFonts w:ascii="Arial" w:hAnsi="Arial" w:cs="Arial"/>
          <w:i/>
          <w:color w:val="000000" w:themeColor="text1"/>
          <w:sz w:val="24"/>
          <w:szCs w:val="24"/>
          <w:lang w:val="es-MX"/>
        </w:rPr>
        <w:t xml:space="preserve"> en sus cincuenta años como investigador del derecho (Coords. Ferrer Mac Gregor, Eduardo, Zaldivar Lelo de Larrea Arturo) Tomo IX Derechos humanos y tribunales internacional, Instituto de Investigaciones Jurídicas, Serie doctrina jurídica num. 444, México, 2008,</w:t>
      </w:r>
      <w:r>
        <w:rPr>
          <w:rFonts w:ascii="Arial" w:hAnsi="Arial" w:cs="Arial"/>
          <w:color w:val="000000" w:themeColor="text1"/>
          <w:sz w:val="24"/>
          <w:szCs w:val="24"/>
          <w:lang w:val="es-MX"/>
        </w:rPr>
        <w:t xml:space="preserve"> </w:t>
      </w:r>
      <w:hyperlink r:id="rId10" w:history="1">
        <w:r w:rsidRPr="003E75B4">
          <w:rPr>
            <w:rStyle w:val="Hipervnculo"/>
            <w:rFonts w:ascii="Arial" w:hAnsi="Arial" w:cs="Arial"/>
            <w:sz w:val="24"/>
            <w:szCs w:val="24"/>
            <w:lang w:val="es-MX"/>
          </w:rPr>
          <w:t>https://archivos.juridicas.unam.mx/www/bjv/libros/6/2562/15.pdf</w:t>
        </w:r>
      </w:hyperlink>
    </w:p>
    <w:p w14:paraId="2A7F7F50" w14:textId="523CB2D6" w:rsidR="001E08F0" w:rsidRPr="00433F7F" w:rsidRDefault="001E08F0" w:rsidP="00433F7F">
      <w:pPr>
        <w:spacing w:before="200" w:after="0" w:line="360" w:lineRule="auto"/>
        <w:ind w:left="709"/>
        <w:jc w:val="both"/>
        <w:rPr>
          <w:rFonts w:ascii="Arial" w:hAnsi="Arial" w:cs="Arial"/>
          <w:sz w:val="24"/>
          <w:szCs w:val="24"/>
          <w:lang w:val="es-MX"/>
        </w:rPr>
      </w:pPr>
      <w:r w:rsidRPr="00433F7F">
        <w:rPr>
          <w:rFonts w:ascii="Arial" w:hAnsi="Arial" w:cs="Arial"/>
          <w:sz w:val="24"/>
          <w:szCs w:val="24"/>
          <w:lang w:val="es-MX"/>
        </w:rPr>
        <w:lastRenderedPageBreak/>
        <w:t>Peces-Barba, Gregorio</w:t>
      </w:r>
      <w:r w:rsidR="004A7BB5">
        <w:rPr>
          <w:rFonts w:ascii="Arial" w:hAnsi="Arial" w:cs="Arial"/>
          <w:sz w:val="24"/>
          <w:szCs w:val="24"/>
          <w:lang w:val="es-MX"/>
        </w:rPr>
        <w:t xml:space="preserve">, </w:t>
      </w:r>
      <w:r w:rsidRPr="00433F7F">
        <w:rPr>
          <w:rFonts w:ascii="Arial" w:hAnsi="Arial" w:cs="Arial"/>
          <w:i/>
          <w:iCs/>
          <w:sz w:val="24"/>
          <w:szCs w:val="24"/>
          <w:lang w:val="es-MX"/>
        </w:rPr>
        <w:t>L</w:t>
      </w:r>
      <w:r w:rsidRPr="004A7BB5">
        <w:rPr>
          <w:rFonts w:ascii="Arial" w:hAnsi="Arial" w:cs="Arial"/>
          <w:color w:val="000000" w:themeColor="text1"/>
          <w:sz w:val="24"/>
          <w:szCs w:val="24"/>
          <w:lang w:val="es-MX"/>
        </w:rPr>
        <w:t>ecci</w:t>
      </w:r>
      <w:r w:rsidRPr="00433F7F">
        <w:rPr>
          <w:rFonts w:ascii="Arial" w:hAnsi="Arial" w:cs="Arial"/>
          <w:i/>
          <w:iCs/>
          <w:sz w:val="24"/>
          <w:szCs w:val="24"/>
          <w:lang w:val="es-MX"/>
        </w:rPr>
        <w:t>ones de Derechos Fundamentales,</w:t>
      </w:r>
      <w:r w:rsidRPr="00433F7F" w:rsidDel="00D84259">
        <w:rPr>
          <w:rFonts w:ascii="Arial" w:hAnsi="Arial" w:cs="Arial"/>
          <w:i/>
          <w:iCs/>
          <w:sz w:val="24"/>
          <w:szCs w:val="24"/>
          <w:lang w:val="es-MX"/>
        </w:rPr>
        <w:t xml:space="preserve"> </w:t>
      </w:r>
      <w:r w:rsidRPr="00433F7F" w:rsidDel="00D84259">
        <w:rPr>
          <w:rFonts w:ascii="Arial" w:hAnsi="Arial" w:cs="Arial"/>
          <w:sz w:val="24"/>
          <w:szCs w:val="24"/>
          <w:lang w:val="es-MX"/>
        </w:rPr>
        <w:t>Colección de Derechos Humanos y Filosofía del Derecho,</w:t>
      </w:r>
      <w:r w:rsidRPr="00433F7F">
        <w:rPr>
          <w:rFonts w:ascii="Arial" w:hAnsi="Arial" w:cs="Arial"/>
          <w:sz w:val="24"/>
          <w:szCs w:val="24"/>
          <w:lang w:val="es-MX"/>
        </w:rPr>
        <w:t xml:space="preserve"> Dykinson, Madrid</w:t>
      </w:r>
      <w:r w:rsidR="004A7BB5">
        <w:rPr>
          <w:rFonts w:ascii="Arial" w:hAnsi="Arial" w:cs="Arial"/>
          <w:sz w:val="24"/>
          <w:szCs w:val="24"/>
          <w:lang w:val="es-MX"/>
        </w:rPr>
        <w:t>, 2004.</w:t>
      </w:r>
    </w:p>
    <w:p w14:paraId="7843E5D1" w14:textId="005B035B" w:rsidR="001E08F0" w:rsidRPr="00433F7F" w:rsidDel="00D84259" w:rsidRDefault="001E08F0" w:rsidP="00433F7F">
      <w:pPr>
        <w:spacing w:before="200" w:after="0" w:line="360" w:lineRule="auto"/>
        <w:ind w:left="709"/>
        <w:jc w:val="both"/>
        <w:rPr>
          <w:rFonts w:ascii="Arial" w:hAnsi="Arial" w:cs="Arial"/>
          <w:i/>
          <w:iCs/>
          <w:sz w:val="24"/>
          <w:szCs w:val="24"/>
          <w:lang w:val="es-MX"/>
        </w:rPr>
      </w:pPr>
      <w:r w:rsidRPr="00433F7F">
        <w:rPr>
          <w:rFonts w:ascii="Arial" w:hAnsi="Arial" w:cs="Arial"/>
          <w:sz w:val="24"/>
          <w:szCs w:val="24"/>
          <w:lang w:val="es-MX"/>
        </w:rPr>
        <w:t>Prieto, Luis</w:t>
      </w:r>
      <w:r w:rsidR="004A7BB5">
        <w:rPr>
          <w:rFonts w:ascii="Arial" w:hAnsi="Arial" w:cs="Arial"/>
          <w:sz w:val="24"/>
          <w:szCs w:val="24"/>
          <w:lang w:val="es-MX"/>
        </w:rPr>
        <w:t>,</w:t>
      </w:r>
      <w:r w:rsidRPr="00433F7F">
        <w:rPr>
          <w:rFonts w:ascii="Arial" w:hAnsi="Arial" w:cs="Arial"/>
          <w:sz w:val="24"/>
          <w:szCs w:val="24"/>
          <w:lang w:val="es-MX"/>
        </w:rPr>
        <w:t xml:space="preserve"> </w:t>
      </w:r>
      <w:r w:rsidRPr="00433F7F">
        <w:rPr>
          <w:rFonts w:ascii="Arial" w:hAnsi="Arial" w:cs="Arial"/>
          <w:i/>
          <w:iCs/>
          <w:sz w:val="24"/>
          <w:szCs w:val="24"/>
          <w:lang w:val="es-MX"/>
        </w:rPr>
        <w:t>Justicia constitucional y derechos fundamentales</w:t>
      </w:r>
      <w:r w:rsidRPr="00433F7F">
        <w:rPr>
          <w:rFonts w:ascii="Arial" w:hAnsi="Arial" w:cs="Arial"/>
          <w:sz w:val="24"/>
          <w:szCs w:val="24"/>
          <w:lang w:val="es-MX"/>
        </w:rPr>
        <w:t>, Editorial Trotta</w:t>
      </w:r>
      <w:r w:rsidR="004A7BB5">
        <w:rPr>
          <w:rFonts w:ascii="Arial" w:hAnsi="Arial" w:cs="Arial"/>
          <w:sz w:val="24"/>
          <w:szCs w:val="24"/>
          <w:lang w:val="es-MX"/>
        </w:rPr>
        <w:t>, España, 2015.</w:t>
      </w:r>
    </w:p>
    <w:p w14:paraId="5FD4873F" w14:textId="7AC1DAB2" w:rsidR="001E08F0" w:rsidRDefault="001E08F0" w:rsidP="00433F7F">
      <w:pPr>
        <w:spacing w:before="200" w:after="0" w:line="360" w:lineRule="auto"/>
        <w:ind w:left="709"/>
        <w:jc w:val="both"/>
        <w:rPr>
          <w:rFonts w:ascii="Arial" w:hAnsi="Arial" w:cs="Arial"/>
          <w:sz w:val="24"/>
          <w:szCs w:val="24"/>
          <w:lang w:val="es-MX"/>
        </w:rPr>
      </w:pPr>
      <w:r w:rsidRPr="00433F7F">
        <w:rPr>
          <w:rFonts w:ascii="Arial" w:hAnsi="Arial" w:cs="Arial"/>
          <w:sz w:val="24"/>
          <w:szCs w:val="24"/>
          <w:lang w:val="es-MX"/>
        </w:rPr>
        <w:t>Rawls, John</w:t>
      </w:r>
      <w:r w:rsidR="004A7BB5">
        <w:rPr>
          <w:rFonts w:ascii="Arial" w:hAnsi="Arial" w:cs="Arial"/>
          <w:sz w:val="24"/>
          <w:szCs w:val="24"/>
          <w:lang w:val="es-MX"/>
        </w:rPr>
        <w:t>,</w:t>
      </w:r>
      <w:r w:rsidRPr="00433F7F">
        <w:rPr>
          <w:rFonts w:ascii="Arial" w:hAnsi="Arial" w:cs="Arial"/>
          <w:sz w:val="24"/>
          <w:szCs w:val="24"/>
          <w:lang w:val="es-MX"/>
        </w:rPr>
        <w:t xml:space="preserve"> </w:t>
      </w:r>
      <w:r w:rsidRPr="00433F7F">
        <w:rPr>
          <w:rFonts w:ascii="Arial" w:hAnsi="Arial" w:cs="Arial"/>
          <w:i/>
          <w:iCs/>
          <w:sz w:val="24"/>
          <w:szCs w:val="24"/>
          <w:lang w:val="es-MX"/>
        </w:rPr>
        <w:t>Teoría de la justicia</w:t>
      </w:r>
      <w:r w:rsidRPr="00433F7F">
        <w:rPr>
          <w:rFonts w:ascii="Arial" w:hAnsi="Arial" w:cs="Arial"/>
          <w:sz w:val="24"/>
          <w:szCs w:val="24"/>
          <w:lang w:val="es-MX"/>
        </w:rPr>
        <w:t>, Fondo de Cultura Económica</w:t>
      </w:r>
      <w:r w:rsidR="004A7BB5">
        <w:rPr>
          <w:rFonts w:ascii="Arial" w:hAnsi="Arial" w:cs="Arial"/>
          <w:sz w:val="24"/>
          <w:szCs w:val="24"/>
          <w:lang w:val="es-MX"/>
        </w:rPr>
        <w:t>, México, 2015.</w:t>
      </w:r>
    </w:p>
    <w:p w14:paraId="3D55A3CA" w14:textId="19794272" w:rsidR="004A7BB5" w:rsidRDefault="004A7BB5" w:rsidP="00433F7F">
      <w:pPr>
        <w:spacing w:before="200" w:after="0" w:line="360" w:lineRule="auto"/>
        <w:ind w:left="709"/>
        <w:jc w:val="both"/>
        <w:rPr>
          <w:rFonts w:ascii="Arial" w:hAnsi="Arial" w:cs="Arial"/>
          <w:sz w:val="24"/>
          <w:szCs w:val="24"/>
          <w:lang w:val="es-MX"/>
        </w:rPr>
      </w:pPr>
      <w:r>
        <w:rPr>
          <w:rFonts w:ascii="Arial" w:hAnsi="Arial" w:cs="Arial"/>
          <w:sz w:val="24"/>
          <w:szCs w:val="24"/>
          <w:lang w:val="es-MX"/>
        </w:rPr>
        <w:t xml:space="preserve">Rodríguez Rescia, Víctor Manuel, </w:t>
      </w:r>
      <w:r w:rsidRPr="004A7BB5">
        <w:rPr>
          <w:rFonts w:ascii="Arial" w:hAnsi="Arial" w:cs="Arial"/>
          <w:i/>
          <w:sz w:val="24"/>
          <w:szCs w:val="24"/>
          <w:lang w:val="es-MX"/>
        </w:rPr>
        <w:t>El debido proceso legal y la Convención Americana sobre Derechos Humanos</w:t>
      </w:r>
      <w:r>
        <w:rPr>
          <w:rFonts w:ascii="Arial" w:hAnsi="Arial" w:cs="Arial"/>
          <w:sz w:val="24"/>
          <w:szCs w:val="24"/>
          <w:lang w:val="es-MX"/>
        </w:rPr>
        <w:t xml:space="preserve">, p. 1311 y ss. Ver en </w:t>
      </w:r>
      <w:hyperlink r:id="rId11" w:history="1">
        <w:r w:rsidRPr="003E75B4">
          <w:rPr>
            <w:rStyle w:val="Hipervnculo"/>
            <w:rFonts w:ascii="Arial" w:hAnsi="Arial" w:cs="Arial"/>
            <w:sz w:val="24"/>
            <w:szCs w:val="24"/>
            <w:lang w:val="es-MX"/>
          </w:rPr>
          <w:t>https://www.corteidh.or.cr/tablas/a17762.pdf</w:t>
        </w:r>
      </w:hyperlink>
    </w:p>
    <w:p w14:paraId="7C6F8745" w14:textId="77777777" w:rsidR="00B35277" w:rsidRPr="00433F7F" w:rsidDel="00D84259" w:rsidRDefault="00B35277" w:rsidP="00B35277">
      <w:pPr>
        <w:spacing w:before="200" w:after="0" w:line="360" w:lineRule="auto"/>
        <w:ind w:left="709"/>
        <w:jc w:val="both"/>
        <w:rPr>
          <w:rFonts w:ascii="Arial" w:hAnsi="Arial" w:cs="Arial"/>
          <w:color w:val="000000" w:themeColor="text1"/>
          <w:sz w:val="24"/>
          <w:szCs w:val="24"/>
          <w:lang w:val="es-MX"/>
        </w:rPr>
      </w:pPr>
      <w:r>
        <w:rPr>
          <w:rFonts w:ascii="Arial" w:hAnsi="Arial" w:cs="Arial"/>
          <w:sz w:val="24"/>
          <w:szCs w:val="24"/>
          <w:lang w:val="es-MX"/>
        </w:rPr>
        <w:t xml:space="preserve">Rosales, Chrístel, </w:t>
      </w:r>
      <w:r w:rsidRPr="0070555A">
        <w:rPr>
          <w:rFonts w:ascii="Arial" w:hAnsi="Arial" w:cs="Arial"/>
          <w:sz w:val="24"/>
          <w:szCs w:val="24"/>
          <w:lang w:val="es-MX"/>
        </w:rPr>
        <w:t xml:space="preserve">México Evalúa, </w:t>
      </w:r>
      <w:r w:rsidRPr="0070555A">
        <w:rPr>
          <w:rFonts w:ascii="Arial" w:hAnsi="Arial" w:cs="Arial"/>
          <w:i/>
          <w:iCs/>
          <w:sz w:val="24"/>
          <w:szCs w:val="24"/>
          <w:lang w:val="es-MX"/>
        </w:rPr>
        <w:t>2022: Justicia o ficción</w:t>
      </w:r>
      <w:r w:rsidRPr="0070555A">
        <w:rPr>
          <w:rFonts w:ascii="Arial" w:hAnsi="Arial" w:cs="Arial"/>
          <w:sz w:val="24"/>
          <w:szCs w:val="24"/>
          <w:lang w:val="es-MX"/>
        </w:rPr>
        <w:t xml:space="preserve">, ver en </w:t>
      </w:r>
      <w:hyperlink r:id="rId12" w:history="1">
        <w:r w:rsidRPr="001C263D">
          <w:rPr>
            <w:rStyle w:val="Hipervnculo"/>
            <w:rFonts w:ascii="Arial" w:hAnsi="Arial" w:cs="Arial"/>
            <w:sz w:val="24"/>
            <w:szCs w:val="24"/>
            <w:lang w:val="es-MX"/>
          </w:rPr>
          <w:t>https://www.mexicoevalua.org/2022-justicia-o-ficcion/</w:t>
        </w:r>
      </w:hyperlink>
    </w:p>
    <w:p w14:paraId="777552B3" w14:textId="1C3A8C14" w:rsidR="00E73388" w:rsidRDefault="00E73388" w:rsidP="00433F7F">
      <w:pPr>
        <w:spacing w:before="200" w:after="0" w:line="360" w:lineRule="auto"/>
        <w:ind w:left="709"/>
        <w:jc w:val="both"/>
        <w:rPr>
          <w:rFonts w:ascii="Arial" w:hAnsi="Arial" w:cs="Arial"/>
          <w:sz w:val="24"/>
          <w:szCs w:val="24"/>
          <w:lang w:val="es-MX"/>
        </w:rPr>
      </w:pPr>
      <w:r w:rsidRPr="0004580F">
        <w:rPr>
          <w:rFonts w:ascii="Arial" w:hAnsi="Arial" w:cs="Arial"/>
          <w:sz w:val="24"/>
          <w:szCs w:val="24"/>
          <w:lang w:val="es-MX"/>
        </w:rPr>
        <w:t>Salazar</w:t>
      </w:r>
      <w:r>
        <w:rPr>
          <w:rFonts w:ascii="Arial" w:hAnsi="Arial" w:cs="Arial"/>
          <w:sz w:val="24"/>
          <w:szCs w:val="24"/>
          <w:lang w:val="es-MX"/>
        </w:rPr>
        <w:t xml:space="preserve"> Quiñonez</w:t>
      </w:r>
      <w:r w:rsidRPr="0004580F">
        <w:rPr>
          <w:rFonts w:ascii="Arial" w:hAnsi="Arial" w:cs="Arial"/>
          <w:sz w:val="24"/>
          <w:szCs w:val="24"/>
          <w:lang w:val="es-MX"/>
        </w:rPr>
        <w:t xml:space="preserve">, </w:t>
      </w:r>
      <w:r>
        <w:rPr>
          <w:rFonts w:ascii="Arial" w:hAnsi="Arial" w:cs="Arial"/>
          <w:sz w:val="24"/>
          <w:szCs w:val="24"/>
          <w:lang w:val="es-MX"/>
        </w:rPr>
        <w:t xml:space="preserve">A., </w:t>
      </w:r>
      <w:r w:rsidRPr="00E73388">
        <w:rPr>
          <w:rFonts w:ascii="Arial" w:hAnsi="Arial" w:cs="Arial"/>
          <w:i/>
          <w:iCs/>
          <w:sz w:val="24"/>
          <w:szCs w:val="24"/>
          <w:lang w:val="es-MX"/>
        </w:rPr>
        <w:t>Medidas cautelares en materia penal. Retos y perspectivas</w:t>
      </w:r>
      <w:r>
        <w:rPr>
          <w:rFonts w:ascii="Arial" w:hAnsi="Arial" w:cs="Arial"/>
          <w:sz w:val="24"/>
          <w:szCs w:val="24"/>
          <w:lang w:val="es-MX"/>
        </w:rPr>
        <w:t>, Colección investigación 44, INACIPE, México, 2021.</w:t>
      </w:r>
    </w:p>
    <w:p w14:paraId="0D1C92DE" w14:textId="4A7A98E3" w:rsidR="00F33FD2" w:rsidRDefault="00F33FD2" w:rsidP="00433F7F">
      <w:pPr>
        <w:spacing w:before="200" w:after="0" w:line="360" w:lineRule="auto"/>
        <w:ind w:left="709"/>
        <w:jc w:val="both"/>
        <w:rPr>
          <w:rFonts w:ascii="Arial" w:hAnsi="Arial" w:cs="Arial"/>
          <w:sz w:val="24"/>
          <w:szCs w:val="24"/>
          <w:lang w:val="es-MX"/>
        </w:rPr>
      </w:pPr>
      <w:r>
        <w:rPr>
          <w:rFonts w:ascii="Arial" w:hAnsi="Arial" w:cs="Arial"/>
          <w:sz w:val="24"/>
          <w:szCs w:val="24"/>
          <w:lang w:val="es-MX"/>
        </w:rPr>
        <w:t xml:space="preserve">Soberanes Diez, José María, “Los ámbitos de aplicación del principio de presunción de inocencia”, </w:t>
      </w:r>
      <w:r w:rsidRPr="00F33FD2">
        <w:rPr>
          <w:rFonts w:ascii="Arial" w:hAnsi="Arial" w:cs="Arial"/>
          <w:i/>
          <w:sz w:val="24"/>
          <w:szCs w:val="24"/>
          <w:lang w:val="es-MX"/>
        </w:rPr>
        <w:t>Cuestiones constitucionales</w:t>
      </w:r>
      <w:r>
        <w:rPr>
          <w:rFonts w:ascii="Arial" w:hAnsi="Arial" w:cs="Arial"/>
          <w:sz w:val="24"/>
          <w:szCs w:val="24"/>
          <w:lang w:val="es-MX"/>
        </w:rPr>
        <w:t xml:space="preserve">, </w:t>
      </w:r>
      <w:r w:rsidRPr="00F33FD2">
        <w:rPr>
          <w:rFonts w:ascii="Arial" w:hAnsi="Arial" w:cs="Arial"/>
          <w:i/>
          <w:sz w:val="24"/>
          <w:szCs w:val="24"/>
          <w:lang w:val="es-MX"/>
        </w:rPr>
        <w:t>Revista Mexicana de Derecho Constitucional,</w:t>
      </w:r>
      <w:r>
        <w:rPr>
          <w:rFonts w:ascii="Arial" w:hAnsi="Arial" w:cs="Arial"/>
          <w:sz w:val="24"/>
          <w:szCs w:val="24"/>
          <w:lang w:val="es-MX"/>
        </w:rPr>
        <w:t xml:space="preserve"> UNAM, núm. 19, julio-diciembre 2008. </w:t>
      </w:r>
      <w:hyperlink r:id="rId13" w:history="1">
        <w:r w:rsidRPr="003E75B4">
          <w:rPr>
            <w:rStyle w:val="Hipervnculo"/>
            <w:rFonts w:ascii="Arial" w:hAnsi="Arial" w:cs="Arial"/>
            <w:sz w:val="24"/>
            <w:szCs w:val="24"/>
            <w:lang w:val="es-MX"/>
          </w:rPr>
          <w:t>https://revistas.juridicas.unam.mx/index.php/cuestiones-constitucionales/article/view/5855</w:t>
        </w:r>
      </w:hyperlink>
    </w:p>
    <w:p w14:paraId="440AE9B2" w14:textId="77777777" w:rsidR="001E08F0" w:rsidRPr="00433F7F" w:rsidRDefault="001E08F0" w:rsidP="00433F7F">
      <w:pPr>
        <w:spacing w:before="200" w:after="0" w:line="360" w:lineRule="auto"/>
        <w:ind w:left="720" w:right="720"/>
        <w:jc w:val="both"/>
        <w:rPr>
          <w:rFonts w:ascii="Arial" w:hAnsi="Arial" w:cs="Arial"/>
          <w:i/>
          <w:iCs/>
          <w:sz w:val="24"/>
          <w:szCs w:val="24"/>
          <w:lang w:val="es-MX"/>
        </w:rPr>
      </w:pPr>
    </w:p>
    <w:p w14:paraId="71FA1812" w14:textId="77777777" w:rsidR="004C6EA3" w:rsidRPr="00433F7F" w:rsidRDefault="004C6EA3" w:rsidP="00433F7F">
      <w:pPr>
        <w:spacing w:line="360" w:lineRule="auto"/>
        <w:ind w:left="720" w:right="720"/>
        <w:jc w:val="center"/>
        <w:rPr>
          <w:rFonts w:ascii="Arial" w:hAnsi="Arial" w:cs="Arial"/>
          <w:b/>
          <w:bCs/>
          <w:smallCaps/>
          <w:sz w:val="24"/>
          <w:szCs w:val="24"/>
          <w:lang w:val="es-MX"/>
        </w:rPr>
      </w:pPr>
      <w:r w:rsidRPr="00433F7F">
        <w:rPr>
          <w:rFonts w:ascii="Arial" w:hAnsi="Arial" w:cs="Arial"/>
          <w:b/>
          <w:bCs/>
          <w:smallCaps/>
          <w:sz w:val="24"/>
          <w:szCs w:val="24"/>
          <w:lang w:val="es-MX"/>
        </w:rPr>
        <w:t>Tabla de Legislación</w:t>
      </w:r>
    </w:p>
    <w:p w14:paraId="4C79A6A0"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69753621" w14:textId="4627C955" w:rsidR="00451BD1"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Ley Nacional de Ejecución Penal, 16-06-2016, modificaciones 09-05-2018.</w:t>
      </w:r>
      <w:r w:rsidR="00D90682">
        <w:rPr>
          <w:rFonts w:ascii="Arial" w:hAnsi="Arial" w:cs="Arial"/>
          <w:sz w:val="24"/>
          <w:szCs w:val="24"/>
          <w:lang w:val="es-MX"/>
        </w:rPr>
        <w:t xml:space="preserve"> </w:t>
      </w:r>
      <w:hyperlink r:id="rId14" w:history="1">
        <w:r w:rsidR="00D90682" w:rsidRPr="003E75B4">
          <w:rPr>
            <w:rStyle w:val="Hipervnculo"/>
            <w:rFonts w:ascii="Arial" w:hAnsi="Arial" w:cs="Arial"/>
            <w:sz w:val="24"/>
            <w:szCs w:val="24"/>
            <w:lang w:val="es-MX"/>
          </w:rPr>
          <w:t>https://www.diputados.gob.mx/LeyesBiblio/ref/lnep.htm</w:t>
        </w:r>
      </w:hyperlink>
    </w:p>
    <w:p w14:paraId="5E045954" w14:textId="77777777" w:rsidR="003F06AE" w:rsidRDefault="003F06AE" w:rsidP="00433F7F">
      <w:pPr>
        <w:pStyle w:val="Textonotapie"/>
        <w:spacing w:line="360" w:lineRule="auto"/>
        <w:ind w:left="720" w:right="720"/>
        <w:rPr>
          <w:rFonts w:ascii="Arial" w:hAnsi="Arial" w:cs="Arial"/>
          <w:sz w:val="24"/>
          <w:szCs w:val="24"/>
          <w:lang w:val="es-MX"/>
        </w:rPr>
      </w:pPr>
    </w:p>
    <w:p w14:paraId="79B35F42" w14:textId="22E76795" w:rsidR="003F06AE" w:rsidRDefault="00451BD1" w:rsidP="003F06AE">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Convención Americana sobre Derechos Humanos</w:t>
      </w:r>
      <w:r w:rsidR="003F06AE" w:rsidRPr="00433F7F">
        <w:rPr>
          <w:rFonts w:ascii="Arial" w:hAnsi="Arial" w:cs="Arial"/>
          <w:sz w:val="24"/>
          <w:szCs w:val="24"/>
          <w:lang w:val="es-MX"/>
        </w:rPr>
        <w:t>. Firmado el 22 de noviembre de 1916, entrada en vigor el 18 de julio de 1978.</w:t>
      </w:r>
      <w:r w:rsidR="003F06AE">
        <w:rPr>
          <w:rFonts w:ascii="Arial" w:hAnsi="Arial" w:cs="Arial"/>
          <w:sz w:val="24"/>
          <w:szCs w:val="24"/>
          <w:lang w:val="es-MX"/>
        </w:rPr>
        <w:t xml:space="preserve"> </w:t>
      </w:r>
      <w:hyperlink r:id="rId15" w:history="1">
        <w:r w:rsidR="00D90682" w:rsidRPr="003E75B4">
          <w:rPr>
            <w:rStyle w:val="Hipervnculo"/>
            <w:rFonts w:ascii="Arial" w:hAnsi="Arial" w:cs="Arial"/>
            <w:sz w:val="24"/>
            <w:szCs w:val="24"/>
            <w:lang w:val="es-MX"/>
          </w:rPr>
          <w:t>https://www.oas.org/dil/esp/tratados_b32_convencion_americana_sobre_derechos_humanos.htm</w:t>
        </w:r>
      </w:hyperlink>
    </w:p>
    <w:p w14:paraId="371A7FA0" w14:textId="027265AD" w:rsidR="00451BD1" w:rsidRPr="00433F7F" w:rsidRDefault="00451BD1" w:rsidP="00433F7F">
      <w:pPr>
        <w:pStyle w:val="Textonotapie"/>
        <w:spacing w:line="360" w:lineRule="auto"/>
        <w:ind w:left="720" w:right="720"/>
        <w:rPr>
          <w:rFonts w:ascii="Arial" w:hAnsi="Arial" w:cs="Arial"/>
          <w:sz w:val="24"/>
          <w:szCs w:val="24"/>
          <w:lang w:val="es-MX"/>
        </w:rPr>
      </w:pPr>
    </w:p>
    <w:p w14:paraId="2EDF8FD9" w14:textId="6A3F5F41" w:rsidR="00451BD1"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Constitución Política de los Estados Unidos Mexicanos</w:t>
      </w:r>
      <w:r w:rsidR="00D90682">
        <w:rPr>
          <w:rFonts w:ascii="Arial" w:hAnsi="Arial" w:cs="Arial"/>
          <w:sz w:val="24"/>
          <w:szCs w:val="24"/>
          <w:lang w:val="es-MX"/>
        </w:rPr>
        <w:t xml:space="preserve">, 05-02-1917, modificaciones, 28-05-2021, </w:t>
      </w:r>
      <w:hyperlink r:id="rId16" w:history="1">
        <w:r w:rsidR="00D90682" w:rsidRPr="003E75B4">
          <w:rPr>
            <w:rStyle w:val="Hipervnculo"/>
            <w:rFonts w:ascii="Arial" w:hAnsi="Arial" w:cs="Arial"/>
            <w:sz w:val="24"/>
            <w:szCs w:val="24"/>
            <w:lang w:val="es-MX"/>
          </w:rPr>
          <w:t>https://www.diputados.gob.mx/LeyesBiblio/ref/cpeum.htm</w:t>
        </w:r>
      </w:hyperlink>
    </w:p>
    <w:p w14:paraId="72A4D1AA" w14:textId="77777777" w:rsidR="00E8702B" w:rsidRDefault="00E8702B" w:rsidP="00433F7F">
      <w:pPr>
        <w:pStyle w:val="NormalWeb"/>
        <w:shd w:val="clear" w:color="auto" w:fill="FFFFFF"/>
        <w:spacing w:before="120" w:beforeAutospacing="0" w:after="120" w:afterAutospacing="0" w:line="360" w:lineRule="auto"/>
        <w:ind w:left="720" w:right="720"/>
        <w:jc w:val="both"/>
        <w:rPr>
          <w:rFonts w:ascii="Arial" w:hAnsi="Arial" w:cs="Arial"/>
          <w:lang w:val="es-MX"/>
        </w:rPr>
      </w:pPr>
    </w:p>
    <w:p w14:paraId="38EA236B" w14:textId="23CC60A8" w:rsidR="00705F8F" w:rsidRPr="00433F7F" w:rsidRDefault="00705F8F" w:rsidP="00433F7F">
      <w:pPr>
        <w:pStyle w:val="NormalWeb"/>
        <w:shd w:val="clear" w:color="auto" w:fill="FFFFFF"/>
        <w:spacing w:before="120" w:beforeAutospacing="0" w:after="120" w:afterAutospacing="0" w:line="360" w:lineRule="auto"/>
        <w:ind w:left="720" w:right="720"/>
        <w:jc w:val="both"/>
        <w:rPr>
          <w:rFonts w:ascii="Arial" w:hAnsi="Arial" w:cs="Arial"/>
          <w:lang w:val="es-MX"/>
        </w:rPr>
      </w:pPr>
      <w:r w:rsidRPr="00433F7F">
        <w:rPr>
          <w:rFonts w:ascii="Arial" w:hAnsi="Arial" w:cs="Arial"/>
          <w:lang w:val="es-MX"/>
        </w:rPr>
        <w:t xml:space="preserve">DUDH. </w:t>
      </w:r>
      <w:r w:rsidRPr="00433F7F">
        <w:rPr>
          <w:rFonts w:ascii="Arial" w:hAnsi="Arial" w:cs="Arial"/>
          <w:shd w:val="clear" w:color="auto" w:fill="FFFFFF"/>
          <w:lang w:val="es-MX"/>
        </w:rPr>
        <w:t>Proclamada por la Asamblea General de las Naciones Unidas en París, el 10 de diciembre de 1948. </w:t>
      </w:r>
      <w:r w:rsidRPr="00433F7F">
        <w:rPr>
          <w:rFonts w:ascii="Arial" w:hAnsi="Arial" w:cs="Arial"/>
          <w:lang w:val="es-MX"/>
        </w:rPr>
        <w:t xml:space="preserve">Recuperado de: </w:t>
      </w:r>
      <w:hyperlink r:id="rId17" w:history="1">
        <w:r w:rsidRPr="00433F7F">
          <w:rPr>
            <w:rStyle w:val="Hipervnculo"/>
            <w:rFonts w:ascii="Arial" w:hAnsi="Arial" w:cs="Arial"/>
            <w:lang w:val="es-MX"/>
          </w:rPr>
          <w:t>https://www.un.org/es/universal-declaration-human-rights/</w:t>
        </w:r>
      </w:hyperlink>
    </w:p>
    <w:p w14:paraId="095D82F0" w14:textId="77777777" w:rsidR="00705F8F" w:rsidRPr="00433F7F" w:rsidRDefault="00705F8F" w:rsidP="00433F7F">
      <w:pPr>
        <w:pStyle w:val="Ttulo3"/>
        <w:shd w:val="clear" w:color="auto" w:fill="FFFFFF"/>
        <w:spacing w:line="360" w:lineRule="auto"/>
        <w:ind w:left="720" w:right="720"/>
        <w:jc w:val="both"/>
        <w:rPr>
          <w:rFonts w:ascii="Arial" w:hAnsi="Arial" w:cs="Arial"/>
          <w:color w:val="auto"/>
          <w:lang w:val="es-MX"/>
        </w:rPr>
      </w:pPr>
    </w:p>
    <w:p w14:paraId="6374D41A" w14:textId="21CC9C3A" w:rsidR="00705F8F" w:rsidRPr="00D90682" w:rsidRDefault="0005632C" w:rsidP="00D90682">
      <w:pPr>
        <w:pStyle w:val="Ttulo3"/>
        <w:shd w:val="clear" w:color="auto" w:fill="FFFFFF"/>
        <w:spacing w:line="360" w:lineRule="auto"/>
        <w:ind w:left="720" w:right="720"/>
        <w:jc w:val="both"/>
        <w:rPr>
          <w:rStyle w:val="Textoennegrita"/>
          <w:b w:val="0"/>
          <w:bCs w:val="0"/>
        </w:rPr>
      </w:pPr>
      <w:r w:rsidRPr="00433F7F">
        <w:rPr>
          <w:rFonts w:ascii="Arial" w:hAnsi="Arial" w:cs="Arial"/>
          <w:color w:val="auto"/>
          <w:lang w:val="es-MX"/>
        </w:rPr>
        <w:t xml:space="preserve">Pacto internacional de derechos civiles y políticos. </w:t>
      </w:r>
      <w:r w:rsidR="00705F8F" w:rsidRPr="00433F7F">
        <w:rPr>
          <w:rFonts w:ascii="Arial" w:hAnsi="Arial" w:cs="Arial"/>
          <w:color w:val="auto"/>
          <w:lang w:val="es-MX"/>
        </w:rPr>
        <w:t xml:space="preserve">Adoptado y abierto a la firma, ratificación y adhesión por la Asamblea General en su resolución 2200 A (XXI), de 16 de diciembre de 1966. </w:t>
      </w:r>
      <w:r w:rsidR="00705F8F" w:rsidRPr="00433F7F">
        <w:rPr>
          <w:rStyle w:val="Textoennegrita"/>
          <w:rFonts w:ascii="Arial" w:hAnsi="Arial" w:cs="Arial"/>
          <w:b w:val="0"/>
          <w:bCs w:val="0"/>
          <w:color w:val="auto"/>
          <w:lang w:val="es-MX"/>
        </w:rPr>
        <w:t>Entrada en vigor: 23 de marzo de 1976, de conformidad con el artículo 49.</w:t>
      </w:r>
      <w:r w:rsidR="00D90682">
        <w:rPr>
          <w:rStyle w:val="Textoennegrita"/>
          <w:rFonts w:ascii="Arial" w:hAnsi="Arial" w:cs="Arial"/>
          <w:b w:val="0"/>
          <w:bCs w:val="0"/>
          <w:color w:val="auto"/>
          <w:lang w:val="es-MX"/>
        </w:rPr>
        <w:t xml:space="preserve"> </w:t>
      </w:r>
      <w:r w:rsidR="00D90682" w:rsidRPr="00D90682">
        <w:rPr>
          <w:rStyle w:val="Textoennegrita"/>
          <w:rFonts w:ascii="Arial" w:hAnsi="Arial" w:cs="Arial"/>
          <w:b w:val="0"/>
          <w:color w:val="auto"/>
          <w:lang w:val="es-MX"/>
        </w:rPr>
        <w:t>Adhesión de México: 24 de marzo de 1981</w:t>
      </w:r>
      <w:r w:rsidR="00D90682">
        <w:t xml:space="preserve"> </w:t>
      </w:r>
      <w:hyperlink r:id="rId18" w:history="1">
        <w:r w:rsidR="00D90682" w:rsidRPr="003E75B4">
          <w:rPr>
            <w:rStyle w:val="Hipervnculo"/>
            <w:rFonts w:ascii="Arial" w:hAnsi="Arial" w:cs="Arial"/>
            <w:lang w:val="es-MX"/>
          </w:rPr>
          <w:t>http://www.ordenjuridico.gob.mx/TratInt/Derechos%20Humanos/D47.pdf</w:t>
        </w:r>
      </w:hyperlink>
    </w:p>
    <w:p w14:paraId="0E3A2F4F" w14:textId="77777777" w:rsidR="00D90682" w:rsidRPr="00D90682" w:rsidRDefault="00D90682" w:rsidP="00D90682">
      <w:pPr>
        <w:rPr>
          <w:lang w:val="es-MX"/>
        </w:rPr>
      </w:pPr>
    </w:p>
    <w:p w14:paraId="71B6720E" w14:textId="70A41C1E" w:rsidR="001E08F0" w:rsidRPr="00433F7F" w:rsidRDefault="00D90682" w:rsidP="00433F7F">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Reglas mínimas de las </w:t>
      </w:r>
      <w:r w:rsidR="001E08F0" w:rsidRPr="00433F7F">
        <w:rPr>
          <w:rFonts w:ascii="Arial" w:hAnsi="Arial" w:cs="Arial"/>
          <w:sz w:val="24"/>
          <w:szCs w:val="24"/>
          <w:lang w:val="es-MX"/>
        </w:rPr>
        <w:t>Naciones Unidas</w:t>
      </w:r>
      <w:r>
        <w:rPr>
          <w:rFonts w:ascii="Arial" w:hAnsi="Arial" w:cs="Arial"/>
          <w:sz w:val="24"/>
          <w:szCs w:val="24"/>
          <w:lang w:val="es-MX"/>
        </w:rPr>
        <w:t xml:space="preserve"> para el tratamiento de reclusos</w:t>
      </w:r>
      <w:r w:rsidR="001E08F0" w:rsidRPr="00433F7F">
        <w:rPr>
          <w:rFonts w:ascii="Arial" w:hAnsi="Arial" w:cs="Arial"/>
          <w:sz w:val="24"/>
          <w:szCs w:val="24"/>
          <w:lang w:val="es-MX"/>
        </w:rPr>
        <w:t>,</w:t>
      </w:r>
      <w:r>
        <w:rPr>
          <w:rFonts w:ascii="Arial" w:hAnsi="Arial" w:cs="Arial"/>
          <w:sz w:val="24"/>
          <w:szCs w:val="24"/>
          <w:lang w:val="es-MX"/>
        </w:rPr>
        <w:t xml:space="preserve"> Oficina de las Naciones Unidas contra las drogas y el delito</w:t>
      </w:r>
      <w:r w:rsidR="003F06AE">
        <w:rPr>
          <w:rFonts w:ascii="Arial" w:hAnsi="Arial" w:cs="Arial"/>
          <w:sz w:val="24"/>
          <w:szCs w:val="24"/>
          <w:lang w:val="es-MX"/>
        </w:rPr>
        <w:t>.</w:t>
      </w:r>
      <w:r w:rsidR="001E08F0" w:rsidRPr="00433F7F">
        <w:rPr>
          <w:rFonts w:ascii="Arial" w:hAnsi="Arial" w:cs="Arial"/>
          <w:sz w:val="24"/>
          <w:szCs w:val="24"/>
          <w:lang w:val="es-MX"/>
        </w:rPr>
        <w:t xml:space="preserve"> </w:t>
      </w:r>
      <w:hyperlink r:id="rId19" w:history="1">
        <w:r w:rsidR="001E08F0" w:rsidRPr="00433F7F">
          <w:rPr>
            <w:rStyle w:val="Hipervnculo"/>
            <w:rFonts w:ascii="Arial" w:hAnsi="Arial" w:cs="Arial"/>
            <w:sz w:val="24"/>
            <w:szCs w:val="24"/>
            <w:lang w:val="es-MX"/>
          </w:rPr>
          <w:t>https://www.unodc.org/documents/justice-and-prison-reform/Nelson_Mandela_Rules-S-ebook.pdf</w:t>
        </w:r>
      </w:hyperlink>
    </w:p>
    <w:p w14:paraId="7F92E978" w14:textId="77777777" w:rsidR="00394D43" w:rsidRDefault="00394D43" w:rsidP="00433F7F">
      <w:pPr>
        <w:spacing w:line="360" w:lineRule="auto"/>
        <w:ind w:left="720" w:right="720"/>
        <w:jc w:val="center"/>
        <w:rPr>
          <w:rFonts w:ascii="Arial" w:hAnsi="Arial" w:cs="Arial"/>
          <w:b/>
          <w:bCs/>
          <w:smallCaps/>
          <w:sz w:val="24"/>
          <w:szCs w:val="24"/>
          <w:lang w:val="es-MX"/>
        </w:rPr>
      </w:pPr>
    </w:p>
    <w:p w14:paraId="4B278BA1" w14:textId="3E4BDE10" w:rsidR="004C6EA3" w:rsidRPr="00433F7F" w:rsidRDefault="004C6EA3" w:rsidP="00433F7F">
      <w:pPr>
        <w:spacing w:line="360" w:lineRule="auto"/>
        <w:ind w:left="720" w:right="720"/>
        <w:jc w:val="center"/>
        <w:rPr>
          <w:rFonts w:ascii="Arial" w:hAnsi="Arial" w:cs="Arial"/>
          <w:b/>
          <w:bCs/>
          <w:smallCaps/>
          <w:sz w:val="24"/>
          <w:szCs w:val="24"/>
          <w:lang w:val="es-MX"/>
        </w:rPr>
      </w:pPr>
      <w:r w:rsidRPr="00433F7F">
        <w:rPr>
          <w:rFonts w:ascii="Arial" w:hAnsi="Arial" w:cs="Arial"/>
          <w:b/>
          <w:bCs/>
          <w:smallCaps/>
          <w:sz w:val="24"/>
          <w:szCs w:val="24"/>
          <w:lang w:val="es-MX"/>
        </w:rPr>
        <w:t>Tabla de Casos</w:t>
      </w:r>
    </w:p>
    <w:p w14:paraId="18BAA3B8" w14:textId="1DE82FC7" w:rsidR="004C6EA3" w:rsidRPr="00433F7F" w:rsidRDefault="004C6EA3" w:rsidP="00433F7F">
      <w:pPr>
        <w:pStyle w:val="Textonotapie"/>
        <w:spacing w:line="360" w:lineRule="auto"/>
        <w:ind w:left="720" w:right="720"/>
        <w:jc w:val="center"/>
        <w:rPr>
          <w:rFonts w:ascii="Arial" w:hAnsi="Arial" w:cs="Arial"/>
          <w:smallCaps/>
          <w:sz w:val="24"/>
          <w:szCs w:val="24"/>
          <w:lang w:val="es-MX"/>
        </w:rPr>
      </w:pPr>
      <w:r w:rsidRPr="00433F7F">
        <w:rPr>
          <w:rFonts w:ascii="Arial" w:hAnsi="Arial" w:cs="Arial"/>
          <w:smallCaps/>
          <w:sz w:val="24"/>
          <w:szCs w:val="24"/>
          <w:lang w:val="es-MX"/>
        </w:rPr>
        <w:t>Suprema Corte de Justicia de la Nación</w:t>
      </w:r>
    </w:p>
    <w:p w14:paraId="6F7DA02F" w14:textId="4177226F" w:rsidR="004C6EA3" w:rsidRPr="00433F7F" w:rsidRDefault="004C6EA3" w:rsidP="00433F7F">
      <w:pPr>
        <w:pStyle w:val="Textonotapie"/>
        <w:spacing w:line="360" w:lineRule="auto"/>
        <w:ind w:left="720" w:right="720"/>
        <w:jc w:val="center"/>
        <w:rPr>
          <w:rFonts w:ascii="Arial" w:hAnsi="Arial" w:cs="Arial"/>
          <w:smallCaps/>
          <w:sz w:val="24"/>
          <w:szCs w:val="24"/>
          <w:lang w:val="es-MX"/>
        </w:rPr>
      </w:pPr>
    </w:p>
    <w:p w14:paraId="1270E3CE" w14:textId="77777777" w:rsidR="004C6EA3" w:rsidRPr="00433F7F" w:rsidRDefault="004C6EA3" w:rsidP="00433F7F">
      <w:pPr>
        <w:pStyle w:val="Textonotapie"/>
        <w:spacing w:line="360" w:lineRule="auto"/>
        <w:ind w:left="720" w:right="720"/>
        <w:jc w:val="center"/>
        <w:rPr>
          <w:rFonts w:ascii="Arial" w:eastAsia="Times New Roman" w:hAnsi="Arial" w:cs="Arial"/>
          <w:color w:val="000000"/>
          <w:sz w:val="24"/>
          <w:szCs w:val="24"/>
          <w:lang w:val="es-MX"/>
        </w:rPr>
      </w:pPr>
    </w:p>
    <w:p w14:paraId="707ED417" w14:textId="119EEB6E" w:rsidR="00451BD1" w:rsidRPr="00433F7F" w:rsidRDefault="00451BD1" w:rsidP="00433F7F">
      <w:pPr>
        <w:pStyle w:val="Textonotapie"/>
        <w:spacing w:line="360" w:lineRule="auto"/>
        <w:ind w:left="720" w:right="720"/>
        <w:jc w:val="both"/>
        <w:rPr>
          <w:rFonts w:ascii="Arial" w:eastAsia="Times New Roman" w:hAnsi="Arial" w:cs="Arial"/>
          <w:color w:val="000000"/>
          <w:sz w:val="24"/>
          <w:szCs w:val="24"/>
          <w:lang w:val="es-MX"/>
        </w:rPr>
      </w:pPr>
      <w:r w:rsidRPr="00433F7F">
        <w:rPr>
          <w:rFonts w:ascii="Arial" w:eastAsia="Times New Roman" w:hAnsi="Arial" w:cs="Arial"/>
          <w:color w:val="000000"/>
          <w:sz w:val="24"/>
          <w:szCs w:val="24"/>
          <w:lang w:val="es-MX"/>
        </w:rPr>
        <w:lastRenderedPageBreak/>
        <w:t xml:space="preserve">Tesis: P. XXXV/2002,TA, 10ª Época, Pleno, </w:t>
      </w:r>
      <w:r w:rsidRPr="00433F7F">
        <w:rPr>
          <w:rFonts w:ascii="Arial" w:eastAsia="Times New Roman" w:hAnsi="Arial" w:cs="Arial"/>
          <w:i/>
          <w:iCs/>
          <w:color w:val="000000"/>
          <w:sz w:val="24"/>
          <w:szCs w:val="24"/>
          <w:lang w:val="es-MX"/>
        </w:rPr>
        <w:t>Semanario Judicial de la Federación y su Gaceta</w:t>
      </w:r>
      <w:r w:rsidRPr="00433F7F">
        <w:rPr>
          <w:rFonts w:ascii="Arial" w:eastAsia="Times New Roman" w:hAnsi="Arial" w:cs="Arial"/>
          <w:color w:val="000000"/>
          <w:sz w:val="24"/>
          <w:szCs w:val="24"/>
          <w:lang w:val="es-MX"/>
        </w:rPr>
        <w:t>, Tomo XVI, Agosto de 2002, Novena Época, p. 14, “</w:t>
      </w:r>
      <w:r w:rsidRPr="00433F7F">
        <w:rPr>
          <w:rFonts w:ascii="Arial" w:hAnsi="Arial" w:cs="Arial"/>
          <w:color w:val="000000"/>
          <w:sz w:val="24"/>
          <w:szCs w:val="24"/>
          <w:lang w:val="es-MX"/>
        </w:rPr>
        <w:t>PRESUNCIÓN DE INOCENCIA. EL PRINCIPIO RELATIVO SE CONTIENE DE MANERA IMPLÍCITA EN LA CONSTITUCIÓN FEDERAL”.</w:t>
      </w:r>
      <w:r w:rsidRPr="00433F7F">
        <w:rPr>
          <w:rFonts w:ascii="Arial" w:eastAsia="Times New Roman" w:hAnsi="Arial" w:cs="Arial"/>
          <w:color w:val="000000"/>
          <w:sz w:val="24"/>
          <w:szCs w:val="24"/>
          <w:lang w:val="es-MX"/>
        </w:rPr>
        <w:t xml:space="preserve"> </w:t>
      </w:r>
    </w:p>
    <w:p w14:paraId="2788B686" w14:textId="6A6D109D" w:rsidR="00451BD1" w:rsidRPr="00433F7F" w:rsidRDefault="00451BD1" w:rsidP="00433F7F">
      <w:pPr>
        <w:spacing w:line="360" w:lineRule="auto"/>
        <w:ind w:left="720" w:right="720"/>
        <w:jc w:val="both"/>
        <w:rPr>
          <w:rFonts w:ascii="Arial" w:hAnsi="Arial" w:cs="Arial"/>
          <w:sz w:val="24"/>
          <w:szCs w:val="24"/>
          <w:lang w:val="es-MX"/>
        </w:rPr>
      </w:pPr>
    </w:p>
    <w:p w14:paraId="425AA860" w14:textId="24445E84" w:rsidR="00451BD1" w:rsidRPr="00433F7F" w:rsidRDefault="00451BD1"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Localización: [TA]; 10a. Época; T.C.C.; Gaceta S.J.F.; Libro 60, Noviembre de 2018; Tomo III; Pág. 2197. </w:t>
      </w:r>
      <w:r w:rsidRPr="00814128">
        <w:rPr>
          <w:rFonts w:ascii="Arial" w:hAnsi="Arial" w:cs="Arial"/>
          <w:sz w:val="24"/>
          <w:szCs w:val="24"/>
          <w:lang w:val="es-MX"/>
        </w:rPr>
        <w:t>“</w:t>
      </w:r>
      <w:hyperlink r:id="rId20" w:tgtFrame="_self" w:history="1">
        <w:r w:rsidRPr="00814128">
          <w:rPr>
            <w:rStyle w:val="Hipervnculo"/>
            <w:rFonts w:ascii="Arial" w:hAnsi="Arial" w:cs="Arial"/>
            <w:color w:val="auto"/>
            <w:sz w:val="24"/>
            <w:szCs w:val="24"/>
            <w:u w:val="none"/>
            <w:lang w:val="es-MX"/>
          </w:rPr>
          <w:t>CONSTANCIA DE ANTECEDENTES PENALES. SI SE EXPIDE SIN VERIFICAR LA INFORMACIÓN QUE LE SUBYACE NI EXPONE LAS RAZONES QUE LA SUSTENTAN, ELLO CONSTITUYE UNA PRÁCTICA DISCRIMINATORIA QUE PROPICIA LA ESTIGMATIZACIÓN DEL SENTENCIADO”.</w:t>
        </w:r>
      </w:hyperlink>
      <w:r w:rsidRPr="00433F7F">
        <w:rPr>
          <w:rFonts w:ascii="Arial" w:hAnsi="Arial" w:cs="Arial"/>
          <w:sz w:val="24"/>
          <w:szCs w:val="24"/>
          <w:lang w:val="es-MX"/>
        </w:rPr>
        <w:t xml:space="preserve"> </w:t>
      </w:r>
    </w:p>
    <w:p w14:paraId="150074E2"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177BF524" w14:textId="50562CC5" w:rsidR="00451BD1" w:rsidRPr="00433F7F"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L</w:t>
      </w:r>
      <w:r w:rsidRPr="00433F7F">
        <w:rPr>
          <w:rFonts w:ascii="Arial" w:eastAsia="Times New Roman" w:hAnsi="Arial" w:cs="Arial"/>
          <w:sz w:val="24"/>
          <w:szCs w:val="24"/>
          <w:lang w:val="es-MX"/>
        </w:rPr>
        <w:t>ocalización: [J]; 10a. Época; 1a. Sala; Gaceta S.J.F.; Libro 69, Agosto de 2019; Tomo II; Pág. 1170. 1a./J. 24/2019 (10a.).</w:t>
      </w:r>
      <w:r w:rsidRPr="00433F7F">
        <w:rPr>
          <w:rFonts w:ascii="Arial" w:hAnsi="Arial" w:cs="Arial"/>
          <w:sz w:val="24"/>
          <w:szCs w:val="24"/>
          <w:lang w:val="es-MX"/>
        </w:rPr>
        <w:t xml:space="preserve"> “PORTACIÓN DE ARMA DE FUEGO. ES INADMISIBLE ELEVAR EL GRADO DE CULPABILIDAD POR ESTE DELITO, CON BASE EN ALEGATOS QUE SUGIEREN QUE LA PERSONA HABRÍA COMETIDO OTRAS ACTIVIDADES ILÍCITAS CON EL ARMA EN CUESTIÓN”. </w:t>
      </w:r>
    </w:p>
    <w:p w14:paraId="46B4BC5B"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604B04D1" w14:textId="1EAAC993" w:rsidR="00451BD1" w:rsidRPr="00433F7F" w:rsidRDefault="00451BD1" w:rsidP="00433F7F">
      <w:pPr>
        <w:pStyle w:val="Textonotapie"/>
        <w:spacing w:line="360" w:lineRule="auto"/>
        <w:ind w:left="720" w:right="720"/>
        <w:jc w:val="both"/>
        <w:rPr>
          <w:rFonts w:ascii="Arial" w:hAnsi="Arial" w:cs="Arial"/>
          <w:sz w:val="24"/>
          <w:szCs w:val="24"/>
          <w:lang w:val="es-MX"/>
        </w:rPr>
      </w:pPr>
      <w:r w:rsidRPr="00433F7F">
        <w:rPr>
          <w:rFonts w:ascii="Arial" w:eastAsia="Times New Roman" w:hAnsi="Arial" w:cs="Arial"/>
          <w:sz w:val="24"/>
          <w:szCs w:val="24"/>
          <w:lang w:val="es-MX"/>
        </w:rPr>
        <w:t>Localización [TA]; 10a. Época; T.C.C.; Gaceta S.J.F.; Libro 75, Febrero de 2020; Tomo III; Pág. 2338. I.6o.P.159 P (10.).</w:t>
      </w:r>
      <w:r w:rsidRPr="00433F7F">
        <w:rPr>
          <w:rFonts w:ascii="Arial" w:hAnsi="Arial" w:cs="Arial"/>
          <w:sz w:val="24"/>
          <w:szCs w:val="24"/>
          <w:lang w:val="es-MX"/>
        </w:rPr>
        <w:t xml:space="preserve"> “</w:t>
      </w:r>
      <w:r w:rsidRPr="00433F7F">
        <w:rPr>
          <w:rFonts w:ascii="Arial" w:eastAsia="Times New Roman" w:hAnsi="Arial" w:cs="Arial"/>
          <w:sz w:val="24"/>
          <w:szCs w:val="24"/>
          <w:lang w:val="es-MX"/>
        </w:rPr>
        <w:t xml:space="preserve">ORDEN DE APREHENSIÓN EN EL SISTEMA PENAL ACUSATORIO. EL SEÑALAMIENTO DEL MONTO ECONÓMICO DE LO QUE ESTIMA EL MINISTERIO PÚBLICO OBTUVO EL IMPUTADO ILÍCITAMENTE POR ELHECHO QUE LA LEY SEÑALA COMO DELITO NO PUEDE CONSIDERARSE PARA JUSTIFICAR LA NECESIDAD DE CAUTELA PARA LA EMISIÓN DE AQUÉLLA, PUES DE LO CONTRARIO, SE VIOLA EL PRINCIPIO DE PRESUNCIÓN DE INOCENCIA”. </w:t>
      </w:r>
    </w:p>
    <w:p w14:paraId="5E2F4140" w14:textId="77777777" w:rsidR="004C6EA3" w:rsidRPr="00433F7F" w:rsidRDefault="004C6EA3" w:rsidP="00433F7F">
      <w:pPr>
        <w:pStyle w:val="Textonotapie"/>
        <w:spacing w:line="360" w:lineRule="auto"/>
        <w:ind w:left="720" w:right="720"/>
        <w:jc w:val="both"/>
        <w:rPr>
          <w:rFonts w:ascii="Arial" w:hAnsi="Arial" w:cs="Arial"/>
          <w:sz w:val="24"/>
          <w:szCs w:val="24"/>
          <w:lang w:val="es-MX"/>
        </w:rPr>
      </w:pPr>
    </w:p>
    <w:p w14:paraId="65FCF9A3" w14:textId="063AAA74" w:rsidR="00451BD1" w:rsidRPr="00814128" w:rsidRDefault="00451BD1"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Localización: [J]; 10a. Época; Plenos de Circuito; Gaceta S.J.F.; Libro 75, Febrero de 2020; Tomo II; Pág. 1283. PC.I.P. J/69 P (10a.). “</w:t>
      </w:r>
      <w:hyperlink r:id="rId21" w:tgtFrame="_self" w:history="1">
        <w:r w:rsidRPr="00814128">
          <w:rPr>
            <w:rStyle w:val="Hipervnculo"/>
            <w:rFonts w:ascii="Arial" w:hAnsi="Arial" w:cs="Arial"/>
            <w:color w:val="auto"/>
            <w:sz w:val="24"/>
            <w:szCs w:val="24"/>
            <w:u w:val="none"/>
            <w:lang w:val="es-MX"/>
          </w:rPr>
          <w:t>AUTO DE VINCULACIÓN A PROCESO. AL DICTARLO, EL JUEZ DE CONTROL PUEDE MODIFICAR LA CLASIFICACIÓN JURÍDICA DE LOS HECHOS CON APARIENCIA DE DELITO EFECTUADA POR EL ÓRGANO MINISTERIAL, AUN CUANDO NO BENEFICIE AL IMPUTADO”.</w:t>
        </w:r>
      </w:hyperlink>
    </w:p>
    <w:p w14:paraId="675583D2" w14:textId="77777777" w:rsidR="004C6EA3" w:rsidRPr="00433F7F" w:rsidRDefault="004C6EA3" w:rsidP="00433F7F">
      <w:pPr>
        <w:spacing w:line="360" w:lineRule="auto"/>
        <w:ind w:left="720" w:right="720"/>
        <w:jc w:val="both"/>
        <w:rPr>
          <w:rFonts w:ascii="Arial" w:hAnsi="Arial" w:cs="Arial"/>
          <w:sz w:val="24"/>
          <w:szCs w:val="24"/>
          <w:lang w:val="es-MX"/>
        </w:rPr>
      </w:pPr>
    </w:p>
    <w:p w14:paraId="2097DFBD" w14:textId="56AF0C58" w:rsidR="00451BD1" w:rsidRPr="00433F7F" w:rsidRDefault="00451BD1" w:rsidP="00433F7F">
      <w:pPr>
        <w:spacing w:line="360" w:lineRule="auto"/>
        <w:ind w:left="720" w:right="720"/>
        <w:jc w:val="both"/>
        <w:rPr>
          <w:rFonts w:ascii="Arial" w:eastAsia="Times New Roman" w:hAnsi="Arial" w:cs="Arial"/>
          <w:sz w:val="24"/>
          <w:szCs w:val="24"/>
          <w:lang w:val="es-MX"/>
        </w:rPr>
      </w:pPr>
      <w:r w:rsidRPr="00433F7F">
        <w:rPr>
          <w:rFonts w:ascii="Arial" w:eastAsia="Times New Roman" w:hAnsi="Arial" w:cs="Arial"/>
          <w:sz w:val="24"/>
          <w:szCs w:val="24"/>
          <w:lang w:val="es-MX"/>
        </w:rPr>
        <w:t>Localización: [TA]; 10a. Época; T.C.C.; Gaceta S.J.F.; Libro 69, Agosto de 2019; Tomo IV; Pág. 4640. XXXII.7 P (10a.).</w:t>
      </w:r>
      <w:r w:rsidRPr="00433F7F">
        <w:rPr>
          <w:rFonts w:ascii="Arial" w:hAnsi="Arial" w:cs="Arial"/>
          <w:sz w:val="24"/>
          <w:szCs w:val="24"/>
          <w:lang w:val="es-MX"/>
        </w:rPr>
        <w:t xml:space="preserve"> “REPOSICIÓN DEL PROCEDIMIENTO PENAL. ES IMPROCEDENTE ORDENARLA EN EL AMPARO DIRECTO PARA QUE EL JUEZ DE LA CAUSA RECABE DE OFICIO LAS CONSTANCIAS QUE ACREDITEN LA LEGALIDAD DE LA DETENCIÓN DEL INDICIADO QUE CONFESÓ LA COMISIÓN DEL DELITO CUANDO ESTABA DETENIDO CON MOTIVO DE DIVERSA AVERIGUACIÓN PREVIA PUES, DE LO CONTRARIO, SE VIOLARÍA EL PRINCIPIO DE IMPARCIALIDAD”. </w:t>
      </w:r>
    </w:p>
    <w:p w14:paraId="7D6F2A67" w14:textId="14796BE1" w:rsidR="00451BD1" w:rsidRPr="00433F7F" w:rsidRDefault="00451BD1"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Localización: [TA]; 10a. Época; Pleno; Gaceta S.J.F.; Libro 62, Enero de 2019; Tomo I; Pág. 468. P. VIII/2018 (10a.). </w:t>
      </w:r>
      <w:r w:rsidRPr="00814128">
        <w:rPr>
          <w:rFonts w:ascii="Arial" w:hAnsi="Arial" w:cs="Arial"/>
          <w:sz w:val="24"/>
          <w:szCs w:val="24"/>
          <w:lang w:val="es-MX"/>
        </w:rPr>
        <w:t>“</w:t>
      </w:r>
      <w:hyperlink r:id="rId22" w:tgtFrame="_self" w:history="1">
        <w:r w:rsidRPr="00814128">
          <w:rPr>
            <w:rStyle w:val="Hipervnculo"/>
            <w:rFonts w:ascii="Arial" w:hAnsi="Arial" w:cs="Arial"/>
            <w:color w:val="auto"/>
            <w:sz w:val="24"/>
            <w:szCs w:val="24"/>
            <w:u w:val="none"/>
            <w:lang w:val="es-MX"/>
          </w:rPr>
          <w:t>IN DUBIO PRO REO. ESTE PRINCIPIO GOZA DE JERARQUÍA CONSTITUCIONAL AL CONSTITUIR UNA REGLA IMPLÍCITA DE LA PRESUNCIA DE INOCENCIA”.</w:t>
        </w:r>
      </w:hyperlink>
      <w:r w:rsidRPr="00433F7F">
        <w:rPr>
          <w:rFonts w:ascii="Arial" w:hAnsi="Arial" w:cs="Arial"/>
          <w:sz w:val="24"/>
          <w:szCs w:val="24"/>
          <w:lang w:val="es-MX"/>
        </w:rPr>
        <w:t xml:space="preserve"> </w:t>
      </w:r>
    </w:p>
    <w:p w14:paraId="0DFE37F6" w14:textId="4213A2BF" w:rsidR="00451BD1" w:rsidRDefault="00451BD1" w:rsidP="00433F7F">
      <w:pPr>
        <w:shd w:val="clear" w:color="auto" w:fill="FFFFFF"/>
        <w:spacing w:line="360" w:lineRule="auto"/>
        <w:ind w:left="720" w:right="720"/>
        <w:jc w:val="both"/>
        <w:rPr>
          <w:rFonts w:ascii="Arial" w:eastAsia="Times New Roman" w:hAnsi="Arial" w:cs="Arial"/>
          <w:sz w:val="24"/>
          <w:szCs w:val="24"/>
          <w:lang w:val="es-MX"/>
        </w:rPr>
      </w:pPr>
      <w:r w:rsidRPr="00433F7F">
        <w:rPr>
          <w:rFonts w:ascii="Arial" w:hAnsi="Arial" w:cs="Arial"/>
          <w:sz w:val="24"/>
          <w:szCs w:val="24"/>
          <w:lang w:val="es-MX"/>
        </w:rPr>
        <w:t>Localización: [J]; 10a. Época; 1ª Sala; Gaceta S.J.F.; Libro 38, Enero de 2017; Tomo I; Pág. 161. 1ª./J.2/2017(10a.). “</w:t>
      </w:r>
      <w:r w:rsidRPr="00433F7F">
        <w:rPr>
          <w:rFonts w:ascii="Arial" w:hAnsi="Arial" w:cs="Arial"/>
          <w:color w:val="000000"/>
          <w:sz w:val="24"/>
          <w:szCs w:val="24"/>
          <w:lang w:val="es-MX"/>
        </w:rPr>
        <w:t xml:space="preserve">PRESUNCIÓN DE INOCENCIA Y DUDA RAZONABLE. FORMA EN LA QUE DEBE VALORARSE EL MATERIAL PROBATORIO PARA SATISFACER EL ESTÁNDAR DE PRUEBA PARA CONDENAR CUANDO COEXISTEN PRUEBAS DE CARGO Y DE DESCARGO”. Ver en este sentido la obra, </w:t>
      </w:r>
      <w:r w:rsidRPr="00433F7F">
        <w:rPr>
          <w:rFonts w:ascii="Arial" w:eastAsia="Times New Roman" w:hAnsi="Arial" w:cs="Arial"/>
          <w:sz w:val="24"/>
          <w:szCs w:val="24"/>
          <w:lang w:val="es-MX"/>
        </w:rPr>
        <w:t xml:space="preserve">El </w:t>
      </w:r>
      <w:r w:rsidRPr="00433F7F">
        <w:rPr>
          <w:rFonts w:ascii="Arial" w:eastAsia="Times New Roman" w:hAnsi="Arial" w:cs="Arial"/>
          <w:sz w:val="24"/>
          <w:szCs w:val="24"/>
          <w:lang w:val="es-MX"/>
        </w:rPr>
        <w:lastRenderedPageBreak/>
        <w:t>arte de la duda de Gianrico Carofiglio, Marcial Pons ediciones jurídicos y sociales, Madrid, 2010.</w:t>
      </w:r>
    </w:p>
    <w:p w14:paraId="6CB59B0D" w14:textId="145178D7" w:rsidR="00451BD1" w:rsidRPr="00433F7F" w:rsidRDefault="00451BD1" w:rsidP="00433F7F">
      <w:pPr>
        <w:shd w:val="clear" w:color="auto" w:fill="FFFFFF"/>
        <w:spacing w:line="360" w:lineRule="auto"/>
        <w:ind w:left="720" w:right="720"/>
        <w:jc w:val="both"/>
        <w:rPr>
          <w:rFonts w:ascii="Arial" w:hAnsi="Arial" w:cs="Arial"/>
          <w:color w:val="000000"/>
          <w:sz w:val="24"/>
          <w:szCs w:val="24"/>
          <w:lang w:val="es-MX"/>
        </w:rPr>
      </w:pPr>
      <w:r w:rsidRPr="00433F7F">
        <w:rPr>
          <w:rFonts w:ascii="Arial" w:hAnsi="Arial" w:cs="Arial"/>
          <w:sz w:val="24"/>
          <w:szCs w:val="24"/>
          <w:lang w:val="es-MX"/>
        </w:rPr>
        <w:t>Localización: [J]; 10a. Época; 1ª Sala; Gaceta S.J.F.; Libro 38, Enero de 2017; Tomo I; Pág. 161. 1ª./J.2/2017(10a.). “</w:t>
      </w:r>
      <w:r w:rsidRPr="00433F7F">
        <w:rPr>
          <w:rFonts w:ascii="Arial" w:hAnsi="Arial" w:cs="Arial"/>
          <w:color w:val="000000"/>
          <w:sz w:val="24"/>
          <w:szCs w:val="24"/>
          <w:lang w:val="es-MX"/>
        </w:rPr>
        <w:t xml:space="preserve">PRESUNCIÓN DE INOCENCIA Y DUDA RAZONABLE. FORMA EN LA QUE DEBE VALORARSE EL MATERIAL PROBATORIO PARA SATISFACER EL ESTÁNDAR DE PRUEBA PARA CONDENAR CUANDO COEXISTEN PRUEBAS DE CARGO Y DE DESCARGO”. </w:t>
      </w:r>
    </w:p>
    <w:p w14:paraId="4855AC3F" w14:textId="577D4870" w:rsidR="00705F8F" w:rsidRPr="003641C8" w:rsidRDefault="00705F8F" w:rsidP="00433F7F">
      <w:pPr>
        <w:spacing w:line="360" w:lineRule="auto"/>
        <w:ind w:left="720" w:right="720"/>
        <w:jc w:val="both"/>
        <w:rPr>
          <w:rFonts w:ascii="Arial" w:hAnsi="Arial" w:cs="Arial"/>
          <w:bCs/>
          <w:color w:val="000000"/>
          <w:sz w:val="24"/>
          <w:szCs w:val="24"/>
          <w:shd w:val="clear" w:color="auto" w:fill="FFFFFF"/>
          <w:lang w:val="es-MX"/>
        </w:rPr>
      </w:pPr>
      <w:r w:rsidRPr="003641C8">
        <w:rPr>
          <w:rFonts w:ascii="Arial" w:hAnsi="Arial" w:cs="Arial"/>
          <w:sz w:val="24"/>
          <w:szCs w:val="24"/>
          <w:lang w:val="es-MX"/>
        </w:rPr>
        <w:t xml:space="preserve">Localización: Tesis aislada (Constitucional), 10a. </w:t>
      </w:r>
      <w:r w:rsidR="00814128" w:rsidRPr="003641C8">
        <w:rPr>
          <w:rFonts w:ascii="Arial" w:hAnsi="Arial" w:cs="Arial"/>
          <w:sz w:val="24"/>
          <w:szCs w:val="24"/>
          <w:lang w:val="es-MX"/>
        </w:rPr>
        <w:t>Época</w:t>
      </w:r>
      <w:r w:rsidRPr="003641C8">
        <w:rPr>
          <w:rFonts w:ascii="Arial" w:hAnsi="Arial" w:cs="Arial"/>
          <w:sz w:val="24"/>
          <w:szCs w:val="24"/>
          <w:lang w:val="es-MX"/>
        </w:rPr>
        <w:t xml:space="preserve">; Semanario Judicial de la Federación, Tribunales Colegiados de </w:t>
      </w:r>
      <w:r w:rsidR="00814128" w:rsidRPr="003641C8">
        <w:rPr>
          <w:rFonts w:ascii="Arial" w:hAnsi="Arial" w:cs="Arial"/>
          <w:sz w:val="24"/>
          <w:szCs w:val="24"/>
          <w:lang w:val="es-MX"/>
        </w:rPr>
        <w:t>Circuito</w:t>
      </w:r>
      <w:r w:rsidRPr="003641C8">
        <w:rPr>
          <w:rFonts w:ascii="Arial" w:hAnsi="Arial" w:cs="Arial"/>
          <w:sz w:val="24"/>
          <w:szCs w:val="24"/>
          <w:lang w:val="es-MX"/>
        </w:rPr>
        <w:t xml:space="preserve">, Tesis: II.10.33 P (10a.) </w:t>
      </w:r>
      <w:r w:rsidRPr="003641C8">
        <w:rPr>
          <w:rFonts w:ascii="Arial" w:hAnsi="Arial" w:cs="Arial"/>
          <w:bCs/>
          <w:color w:val="000000"/>
          <w:sz w:val="24"/>
          <w:szCs w:val="24"/>
          <w:shd w:val="clear" w:color="auto" w:fill="FFFFFF"/>
          <w:lang w:val="es-MX"/>
        </w:rPr>
        <w:t xml:space="preserve">PRISIÓN PREVENTIVA JUSTIFICADA. LA IMPOSICIÓN DE ESTA MEDIDA CAUTELAR BAJO EL ARGUMENTO DE QUE POR LA PENA DE PRISIÓN QUE MERECE EL HECHO DELICTUOSO QUE SE IMPUTA AL ACUSADO, ÉSTE PODRÍA SUSTRAERSE DE LA ACCIÓN DE LA JUSTICIA Y NO COMPARECER A JUICIO, VIOLA EL PRINCIPIO DE PRESUNCIÓN DE INOCENCIA, EN SU VERTIENTE DE REGLA DE TRATO PROCESAL (LEGISLACIÓN DEL ESTADO DE MÉXICO). Ver en, </w:t>
      </w:r>
      <w:hyperlink r:id="rId23" w:history="1">
        <w:r w:rsidRPr="003641C8">
          <w:rPr>
            <w:rStyle w:val="Hipervnculo"/>
            <w:rFonts w:ascii="Arial" w:hAnsi="Arial" w:cs="Arial"/>
            <w:bCs/>
            <w:sz w:val="24"/>
            <w:szCs w:val="24"/>
            <w:shd w:val="clear" w:color="auto" w:fill="FFFFFF"/>
            <w:lang w:val="es-MX"/>
          </w:rPr>
          <w:t>https://sjf.scjn.gob.mx/SJFSem/Paginas/Reportes/ReporteDE.aspx?idius=2011746&amp;Tipo=1</w:t>
        </w:r>
      </w:hyperlink>
    </w:p>
    <w:p w14:paraId="2771E93F" w14:textId="77777777" w:rsidR="00D27F67" w:rsidRPr="0008360D" w:rsidRDefault="00D27F67" w:rsidP="00D27F67">
      <w:pPr>
        <w:pStyle w:val="corte1datos"/>
        <w:spacing w:line="360" w:lineRule="auto"/>
        <w:ind w:left="720" w:right="713"/>
        <w:jc w:val="both"/>
        <w:rPr>
          <w:b w:val="0"/>
          <w:sz w:val="24"/>
          <w:szCs w:val="24"/>
        </w:rPr>
      </w:pPr>
      <w:r>
        <w:rPr>
          <w:b w:val="0"/>
          <w:caps w:val="0"/>
          <w:sz w:val="24"/>
          <w:szCs w:val="24"/>
        </w:rPr>
        <w:t>Localización.</w:t>
      </w:r>
      <w:r>
        <w:rPr>
          <w:b w:val="0"/>
          <w:sz w:val="24"/>
          <w:szCs w:val="24"/>
        </w:rPr>
        <w:t xml:space="preserve"> </w:t>
      </w:r>
      <w:r>
        <w:rPr>
          <w:b w:val="0"/>
          <w:caps w:val="0"/>
          <w:sz w:val="24"/>
          <w:szCs w:val="24"/>
        </w:rPr>
        <w:t>Novena Época. Pleno SCJN</w:t>
      </w:r>
      <w:r>
        <w:rPr>
          <w:b w:val="0"/>
          <w:sz w:val="24"/>
          <w:szCs w:val="24"/>
        </w:rPr>
        <w:t>.</w:t>
      </w:r>
      <w:r w:rsidRPr="0008360D">
        <w:rPr>
          <w:b w:val="0"/>
          <w:sz w:val="24"/>
          <w:szCs w:val="24"/>
        </w:rPr>
        <w:t xml:space="preserve"> </w:t>
      </w:r>
      <w:r w:rsidRPr="0008360D">
        <w:rPr>
          <w:b w:val="0"/>
          <w:bCs/>
          <w:sz w:val="24"/>
          <w:szCs w:val="24"/>
          <w:lang w:val="es-MX" w:eastAsia="es-MX"/>
        </w:rPr>
        <w:t xml:space="preserve">CONTRADICCIÓN DE TESIS 6/2008-PL. </w:t>
      </w:r>
      <w:r>
        <w:rPr>
          <w:b w:val="0"/>
          <w:bCs/>
          <w:sz w:val="24"/>
          <w:szCs w:val="24"/>
          <w:lang w:val="es-MX" w:eastAsia="es-MX"/>
        </w:rPr>
        <w:t xml:space="preserve">26 </w:t>
      </w:r>
      <w:r>
        <w:rPr>
          <w:b w:val="0"/>
          <w:bCs/>
          <w:caps w:val="0"/>
          <w:sz w:val="24"/>
          <w:szCs w:val="24"/>
          <w:lang w:val="es-MX" w:eastAsia="es-MX"/>
        </w:rPr>
        <w:t>de mayo de</w:t>
      </w:r>
      <w:r>
        <w:rPr>
          <w:b w:val="0"/>
          <w:bCs/>
          <w:sz w:val="24"/>
          <w:szCs w:val="24"/>
          <w:lang w:val="es-MX" w:eastAsia="es-MX"/>
        </w:rPr>
        <w:t xml:space="preserve"> 2011. </w:t>
      </w:r>
      <w:r w:rsidRPr="0008360D">
        <w:rPr>
          <w:b w:val="0"/>
          <w:sz w:val="24"/>
          <w:szCs w:val="24"/>
        </w:rPr>
        <w:t xml:space="preserve">contradicción de tesis 6/2008-PL entre las sustentadas por la sala superior del tribunal electoral del poder judicial de la federación y la PRIMERA SALA DE LA suprema corte de justicia de la nación. </w:t>
      </w:r>
      <w:r w:rsidRPr="0008360D">
        <w:rPr>
          <w:rFonts w:eastAsia="Times New Roman"/>
          <w:b w:val="0"/>
          <w:bCs/>
          <w:sz w:val="24"/>
          <w:szCs w:val="24"/>
          <w:lang w:val="es-MX" w:eastAsia="es-MX"/>
        </w:rPr>
        <w:t>“Suspensión del derecho a votar cuando se está privado de la libertad”</w:t>
      </w:r>
      <w:r>
        <w:rPr>
          <w:rFonts w:eastAsia="Times New Roman"/>
          <w:b w:val="0"/>
          <w:bCs/>
          <w:sz w:val="24"/>
          <w:szCs w:val="24"/>
          <w:lang w:val="es-MX" w:eastAsia="es-MX"/>
        </w:rPr>
        <w:t xml:space="preserve"> </w:t>
      </w:r>
    </w:p>
    <w:p w14:paraId="11E9CD87" w14:textId="77777777" w:rsidR="00D27F67" w:rsidRDefault="0030744A" w:rsidP="00D27F67">
      <w:pPr>
        <w:pStyle w:val="Textonotapie"/>
        <w:spacing w:line="360" w:lineRule="auto"/>
        <w:ind w:left="709" w:right="713"/>
        <w:jc w:val="both"/>
        <w:rPr>
          <w:rStyle w:val="Hipervnculo"/>
          <w:rFonts w:ascii="Arial" w:hAnsi="Arial" w:cs="Arial"/>
          <w:color w:val="auto"/>
          <w:sz w:val="24"/>
          <w:szCs w:val="24"/>
        </w:rPr>
      </w:pPr>
      <w:hyperlink r:id="rId24" w:history="1">
        <w:r w:rsidR="00D27F67" w:rsidRPr="0008360D">
          <w:rPr>
            <w:rStyle w:val="Hipervnculo"/>
            <w:rFonts w:ascii="Arial" w:hAnsi="Arial" w:cs="Arial"/>
            <w:color w:val="auto"/>
            <w:sz w:val="24"/>
            <w:szCs w:val="24"/>
          </w:rPr>
          <w:t>https://www2.scjn.gob.mx/AsuntosRelevantes/pagina/SeguimientoAsuntosRelevantesPub.aspx?ID=97797&amp;SeguimientoID=155&amp;CAP=jurisprudencia</w:t>
        </w:r>
      </w:hyperlink>
    </w:p>
    <w:p w14:paraId="6EA596FD" w14:textId="4CEA3939" w:rsidR="00705F8F" w:rsidRDefault="00D27F67" w:rsidP="00D27F67">
      <w:pPr>
        <w:pStyle w:val="Textonotapie"/>
        <w:spacing w:line="360" w:lineRule="auto"/>
        <w:ind w:left="709" w:right="713"/>
        <w:jc w:val="both"/>
        <w:rPr>
          <w:rFonts w:ascii="Arial" w:hAnsi="Arial" w:cs="Arial"/>
          <w:color w:val="000000"/>
          <w:sz w:val="24"/>
          <w:szCs w:val="24"/>
          <w:shd w:val="clear" w:color="auto" w:fill="FFFFFF"/>
          <w:lang w:val="es-MX"/>
        </w:rPr>
      </w:pPr>
      <w:r>
        <w:rPr>
          <w:rFonts w:ascii="Arial" w:hAnsi="Arial" w:cs="Arial"/>
          <w:color w:val="000000"/>
          <w:sz w:val="24"/>
          <w:szCs w:val="24"/>
          <w:shd w:val="clear" w:color="auto" w:fill="FFFFFF"/>
          <w:lang w:val="es-MX"/>
        </w:rPr>
        <w:t xml:space="preserve">Localización. 10 a. </w:t>
      </w:r>
      <w:r>
        <w:rPr>
          <w:rFonts w:ascii="Arial" w:hAnsi="Arial" w:cs="Arial"/>
          <w:sz w:val="24"/>
          <w:szCs w:val="24"/>
          <w:lang w:val="es-MX"/>
        </w:rPr>
        <w:t>Época.</w:t>
      </w:r>
      <w:r>
        <w:rPr>
          <w:rFonts w:ascii="Arial" w:hAnsi="Arial" w:cs="Arial"/>
          <w:color w:val="000000"/>
          <w:sz w:val="24"/>
          <w:szCs w:val="24"/>
          <w:shd w:val="clear" w:color="auto" w:fill="FFFFFF"/>
          <w:lang w:val="es-MX"/>
        </w:rPr>
        <w:t xml:space="preserve"> </w:t>
      </w:r>
      <w:r w:rsidR="00705F8F" w:rsidRPr="003641C8">
        <w:rPr>
          <w:rFonts w:ascii="Arial" w:hAnsi="Arial" w:cs="Arial"/>
          <w:color w:val="000000"/>
          <w:sz w:val="24"/>
          <w:szCs w:val="24"/>
          <w:shd w:val="clear" w:color="auto" w:fill="FFFFFF"/>
          <w:lang w:val="es-MX"/>
        </w:rPr>
        <w:t xml:space="preserve">Primera Sala de la Suprema Corte de Justicia de la Nación, en la jurisprudencia 1a./J. 24/2014 (10a.), publicada en el Semanario Judicial de la Federación del viernes 4 de abril de 2014 a las 10:40 horas y en la Gaceta del Semanario Judicial de la Federación, Décima Época, Libro 5, Tomo I, abril de 2014, página 497, de rubro: "PRESUNCIÓN DE INOCENCIA COMO REGLA DE TRATO PROCESAL." </w:t>
      </w:r>
    </w:p>
    <w:p w14:paraId="1982C8FF" w14:textId="77777777" w:rsidR="00814128" w:rsidRDefault="00814128" w:rsidP="00814128">
      <w:pPr>
        <w:pStyle w:val="Textonotapie"/>
        <w:spacing w:line="360" w:lineRule="auto"/>
        <w:ind w:left="720" w:right="720"/>
        <w:jc w:val="both"/>
        <w:rPr>
          <w:rFonts w:ascii="Arial" w:hAnsi="Arial" w:cs="Arial"/>
          <w:sz w:val="24"/>
          <w:szCs w:val="24"/>
          <w:lang w:val="es-MX"/>
        </w:rPr>
      </w:pPr>
    </w:p>
    <w:p w14:paraId="2F499383" w14:textId="3BF93B95" w:rsidR="00814128" w:rsidRPr="00433F7F" w:rsidRDefault="00D27F67" w:rsidP="00814128">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Localización. 10ª. Época. </w:t>
      </w:r>
      <w:r w:rsidR="00814128" w:rsidRPr="00433F7F">
        <w:rPr>
          <w:rFonts w:ascii="Arial" w:hAnsi="Arial" w:cs="Arial"/>
          <w:sz w:val="24"/>
          <w:szCs w:val="24"/>
          <w:lang w:val="es-MX"/>
        </w:rPr>
        <w:t>Pleno de la Suprema Corte de Justicia de la Nación lo señala en la jurisprudencia P./J. 31/2013 (10a.), de rubro (sic): "REINSERCIÓN DEL SENTENCIADO. SU ALCANCE CONFORME AL ARTÍCULO 18 DE LA CONSTITUCIÓN POLÍTICA DE LOS ESTADOS UNIDOS MEXICANOS."</w:t>
      </w:r>
    </w:p>
    <w:p w14:paraId="34ACCFD9" w14:textId="77777777" w:rsidR="00814128" w:rsidRPr="00433F7F" w:rsidRDefault="00814128" w:rsidP="00814128">
      <w:pPr>
        <w:pStyle w:val="Textonotapie"/>
        <w:spacing w:line="360" w:lineRule="auto"/>
        <w:ind w:left="720" w:right="720"/>
        <w:jc w:val="both"/>
        <w:rPr>
          <w:rFonts w:ascii="Arial" w:hAnsi="Arial" w:cs="Arial"/>
          <w:sz w:val="24"/>
          <w:szCs w:val="24"/>
          <w:lang w:val="es-MX"/>
        </w:rPr>
      </w:pPr>
    </w:p>
    <w:p w14:paraId="1698F65C" w14:textId="3805B24C" w:rsidR="00814128" w:rsidRPr="007E356D" w:rsidRDefault="00D27F67" w:rsidP="00814128">
      <w:pPr>
        <w:spacing w:line="360" w:lineRule="auto"/>
        <w:ind w:left="720" w:right="720"/>
        <w:jc w:val="both"/>
        <w:rPr>
          <w:rFonts w:ascii="Arial" w:hAnsi="Arial" w:cs="Arial"/>
          <w:sz w:val="24"/>
          <w:szCs w:val="24"/>
          <w:lang w:val="es-MX"/>
        </w:rPr>
      </w:pPr>
      <w:r>
        <w:rPr>
          <w:rFonts w:ascii="Arial" w:hAnsi="Arial" w:cs="Arial"/>
          <w:sz w:val="24"/>
          <w:szCs w:val="24"/>
          <w:lang w:val="es-MX"/>
        </w:rPr>
        <w:t xml:space="preserve">Localización. 10 a. </w:t>
      </w:r>
      <w:r w:rsidRPr="00433F7F">
        <w:rPr>
          <w:rFonts w:ascii="Arial" w:hAnsi="Arial" w:cs="Arial"/>
          <w:sz w:val="24"/>
          <w:szCs w:val="24"/>
          <w:lang w:val="es-MX"/>
        </w:rPr>
        <w:t>Época</w:t>
      </w:r>
      <w:r w:rsidR="00814128" w:rsidRPr="00433F7F">
        <w:rPr>
          <w:rFonts w:ascii="Arial" w:hAnsi="Arial" w:cs="Arial"/>
          <w:sz w:val="24"/>
          <w:szCs w:val="24"/>
          <w:lang w:val="es-MX"/>
        </w:rPr>
        <w:t>, Pleno, Semanario Judicial de la F</w:t>
      </w:r>
      <w:r w:rsidR="00814128">
        <w:rPr>
          <w:rFonts w:ascii="Arial" w:hAnsi="Arial" w:cs="Arial"/>
          <w:sz w:val="24"/>
          <w:szCs w:val="24"/>
          <w:lang w:val="es-MX"/>
        </w:rPr>
        <w:t>e</w:t>
      </w:r>
      <w:r w:rsidR="00814128" w:rsidRPr="00433F7F">
        <w:rPr>
          <w:rFonts w:ascii="Arial" w:hAnsi="Arial" w:cs="Arial"/>
          <w:sz w:val="24"/>
          <w:szCs w:val="24"/>
          <w:lang w:val="es-MX"/>
        </w:rPr>
        <w:t xml:space="preserve">deración, Publicación 2 de julio de 2021. 29934 Comisión Nacional de los Derecho Humanos. 27 DE ENERO DE 2020. </w:t>
      </w:r>
      <w:hyperlink r:id="rId25" w:history="1">
        <w:r w:rsidR="00814128" w:rsidRPr="007E356D">
          <w:rPr>
            <w:rStyle w:val="Hipervnculo"/>
            <w:rFonts w:ascii="Arial" w:hAnsi="Arial" w:cs="Arial"/>
            <w:color w:val="auto"/>
            <w:sz w:val="24"/>
            <w:szCs w:val="24"/>
            <w:lang w:val="es-MX"/>
          </w:rPr>
          <w:t>https://sjf.scjn.gob.mx/SJFSem/Paginas/DetalleGeneralScroll.aspx?ID=29934&amp;Clase=DetalleSemanarioEjecutoriaBL</w:t>
        </w:r>
      </w:hyperlink>
    </w:p>
    <w:p w14:paraId="619E4DA9" w14:textId="77777777" w:rsidR="00705F8F" w:rsidRPr="003641C8" w:rsidRDefault="00705F8F" w:rsidP="00433F7F">
      <w:pPr>
        <w:pStyle w:val="Textonotapie"/>
        <w:spacing w:line="360" w:lineRule="auto"/>
        <w:ind w:left="709" w:right="713"/>
        <w:jc w:val="both"/>
        <w:rPr>
          <w:rFonts w:ascii="Arial" w:hAnsi="Arial" w:cs="Arial"/>
          <w:sz w:val="24"/>
          <w:szCs w:val="24"/>
          <w:lang w:val="es-MX"/>
        </w:rPr>
      </w:pPr>
    </w:p>
    <w:p w14:paraId="11164003" w14:textId="77777777" w:rsidR="00705F8F" w:rsidRPr="00433F7F" w:rsidRDefault="00705F8F" w:rsidP="00814128">
      <w:pPr>
        <w:pStyle w:val="Textonotapie"/>
        <w:spacing w:line="360" w:lineRule="auto"/>
        <w:ind w:left="709" w:right="4"/>
        <w:jc w:val="both"/>
        <w:rPr>
          <w:rFonts w:ascii="Arial" w:hAnsi="Arial" w:cs="Arial"/>
          <w:color w:val="333333"/>
          <w:sz w:val="24"/>
          <w:szCs w:val="24"/>
          <w:shd w:val="clear" w:color="auto" w:fill="FCFCFC"/>
          <w:lang w:val="es-MX"/>
        </w:rPr>
      </w:pPr>
      <w:r w:rsidRPr="00433F7F">
        <w:rPr>
          <w:rFonts w:ascii="Arial" w:hAnsi="Arial" w:cs="Arial"/>
          <w:sz w:val="24"/>
          <w:szCs w:val="24"/>
          <w:lang w:val="es-MX"/>
        </w:rPr>
        <w:t xml:space="preserve">SCJN, </w:t>
      </w:r>
      <w:r w:rsidRPr="00433F7F">
        <w:rPr>
          <w:rFonts w:ascii="Arial" w:hAnsi="Arial" w:cs="Arial"/>
          <w:color w:val="333333"/>
          <w:sz w:val="24"/>
          <w:szCs w:val="24"/>
          <w:shd w:val="clear" w:color="auto" w:fill="FCFCFC"/>
          <w:lang w:val="es-MX"/>
        </w:rPr>
        <w:t xml:space="preserve"> amparo en Revisión 315/2021 de la Primera Sala, Ver en, </w:t>
      </w:r>
    </w:p>
    <w:p w14:paraId="1DA270FC" w14:textId="110AA989" w:rsidR="00705F8F" w:rsidRDefault="0030744A" w:rsidP="00433F7F">
      <w:pPr>
        <w:pStyle w:val="Textonotapie"/>
        <w:spacing w:line="360" w:lineRule="auto"/>
        <w:ind w:left="709" w:right="713"/>
        <w:jc w:val="both"/>
        <w:rPr>
          <w:rStyle w:val="Hipervnculo"/>
          <w:rFonts w:ascii="Arial" w:hAnsi="Arial" w:cs="Arial"/>
          <w:sz w:val="24"/>
          <w:szCs w:val="24"/>
          <w:shd w:val="clear" w:color="auto" w:fill="FCFCFC"/>
          <w:lang w:val="es-MX"/>
        </w:rPr>
      </w:pPr>
      <w:hyperlink r:id="rId26" w:history="1">
        <w:r w:rsidR="00705F8F" w:rsidRPr="003641C8">
          <w:rPr>
            <w:rStyle w:val="Hipervnculo"/>
            <w:rFonts w:ascii="Arial" w:hAnsi="Arial" w:cs="Arial"/>
            <w:sz w:val="24"/>
            <w:szCs w:val="24"/>
            <w:shd w:val="clear" w:color="auto" w:fill="FCFCFC"/>
            <w:lang w:val="es-MX"/>
          </w:rPr>
          <w:t>https://www.scjn.gob.mx/sites/default/files/listas/documento_dos/2022-01/AR-315-2021-17012022.pdf</w:t>
        </w:r>
      </w:hyperlink>
    </w:p>
    <w:p w14:paraId="6116AD6E" w14:textId="3E084BCC" w:rsidR="00F33FD2" w:rsidRDefault="00F33FD2" w:rsidP="00433F7F">
      <w:pPr>
        <w:pStyle w:val="Textonotapie"/>
        <w:spacing w:line="360" w:lineRule="auto"/>
        <w:ind w:left="709" w:right="713"/>
        <w:jc w:val="both"/>
        <w:rPr>
          <w:rFonts w:ascii="Arial" w:hAnsi="Arial" w:cs="Arial"/>
          <w:color w:val="333333"/>
          <w:sz w:val="24"/>
          <w:szCs w:val="24"/>
          <w:shd w:val="clear" w:color="auto" w:fill="FCFCFC"/>
          <w:lang w:val="es-MX"/>
        </w:rPr>
      </w:pPr>
    </w:p>
    <w:p w14:paraId="5F50AE18" w14:textId="3533B885" w:rsidR="00F33FD2" w:rsidRPr="003641C8" w:rsidRDefault="00F33FD2" w:rsidP="00433F7F">
      <w:pPr>
        <w:pStyle w:val="Textonotapie"/>
        <w:spacing w:line="360" w:lineRule="auto"/>
        <w:ind w:left="709" w:right="713"/>
        <w:jc w:val="both"/>
        <w:rPr>
          <w:rFonts w:ascii="Arial" w:hAnsi="Arial" w:cs="Arial"/>
          <w:color w:val="333333"/>
          <w:sz w:val="24"/>
          <w:szCs w:val="24"/>
          <w:shd w:val="clear" w:color="auto" w:fill="FCFCFC"/>
          <w:lang w:val="es-MX"/>
        </w:rPr>
      </w:pPr>
      <w:r w:rsidRPr="004C16A1">
        <w:rPr>
          <w:rFonts w:ascii="Arial" w:hAnsi="Arial" w:cs="Arial"/>
          <w:sz w:val="24"/>
          <w:szCs w:val="24"/>
          <w:lang w:val="es-ES"/>
        </w:rPr>
        <w:t>Comunicado de Prensa 19/2020</w:t>
      </w:r>
      <w:r>
        <w:rPr>
          <w:rFonts w:ascii="Arial" w:hAnsi="Arial" w:cs="Arial"/>
          <w:sz w:val="24"/>
          <w:szCs w:val="24"/>
          <w:lang w:val="es-ES"/>
        </w:rPr>
        <w:t>, SCJN</w:t>
      </w:r>
      <w:r w:rsidRPr="004C16A1">
        <w:rPr>
          <w:rFonts w:ascii="Arial" w:hAnsi="Arial" w:cs="Arial"/>
          <w:sz w:val="24"/>
          <w:szCs w:val="24"/>
          <w:lang w:val="es-ES"/>
        </w:rPr>
        <w:t>,</w:t>
      </w:r>
      <w:r w:rsidRPr="004C16A1">
        <w:rPr>
          <w:rFonts w:ascii="Arial" w:hAnsi="Arial" w:cs="Arial"/>
          <w:b/>
          <w:sz w:val="24"/>
          <w:szCs w:val="24"/>
          <w:lang w:val="es-ES"/>
        </w:rPr>
        <w:t xml:space="preserve"> </w:t>
      </w:r>
      <w:r w:rsidRPr="004C16A1">
        <w:rPr>
          <w:rStyle w:val="Textoennegrita"/>
          <w:rFonts w:ascii="Arial" w:hAnsi="Arial" w:cs="Arial"/>
          <w:b w:val="0"/>
          <w:color w:val="000000"/>
          <w:sz w:val="24"/>
          <w:szCs w:val="24"/>
          <w:shd w:val="clear" w:color="auto" w:fill="FFFFFF"/>
        </w:rPr>
        <w:t xml:space="preserve">DECLARA SCJN INCONSTITUCIONALIDAD DE NORMAS QUE EXIGÍAN NO CONTAR CON ANTECEDENTES PENALES PARA REALIZAR ACTIVIDADES </w:t>
      </w:r>
      <w:r w:rsidRPr="004C16A1">
        <w:rPr>
          <w:rStyle w:val="Textoennegrita"/>
          <w:rFonts w:ascii="Arial" w:hAnsi="Arial" w:cs="Arial"/>
          <w:b w:val="0"/>
          <w:color w:val="000000"/>
          <w:sz w:val="24"/>
          <w:szCs w:val="24"/>
          <w:shd w:val="clear" w:color="auto" w:fill="FFFFFF"/>
        </w:rPr>
        <w:lastRenderedPageBreak/>
        <w:t xml:space="preserve">COMERCIALES Y GUBERNAMENTALES, ASÍ COMO CONTAR CON LA NACIONALIDAD MEXICANA POR NACIMIENTO PARA ACCEDER A CARGOS PÚBLICOS, </w:t>
      </w:r>
      <w:r w:rsidRPr="004C16A1">
        <w:rPr>
          <w:rFonts w:ascii="Arial" w:hAnsi="Arial" w:cs="Arial"/>
          <w:b/>
          <w:sz w:val="24"/>
          <w:szCs w:val="24"/>
          <w:lang w:val="es-ES"/>
        </w:rPr>
        <w:t xml:space="preserve"> </w:t>
      </w:r>
      <w:r w:rsidRPr="00F33FD2">
        <w:rPr>
          <w:rFonts w:ascii="Arial" w:hAnsi="Arial" w:cs="Arial"/>
          <w:sz w:val="24"/>
          <w:szCs w:val="24"/>
          <w:lang w:val="es-ES"/>
        </w:rPr>
        <w:t xml:space="preserve">Ciudad de México, 27-01-2020, </w:t>
      </w:r>
      <w:hyperlink r:id="rId27" w:history="1">
        <w:r w:rsidRPr="003E75B4">
          <w:rPr>
            <w:rStyle w:val="Hipervnculo"/>
            <w:rFonts w:ascii="Arial" w:hAnsi="Arial" w:cs="Arial"/>
            <w:b/>
            <w:sz w:val="24"/>
            <w:szCs w:val="24"/>
            <w:lang w:val="es-ES"/>
          </w:rPr>
          <w:t>https://www.internet2.scjn.gob.mx/red2/comunicados/noticia.asp?id=6062</w:t>
        </w:r>
      </w:hyperlink>
    </w:p>
    <w:p w14:paraId="46D61A1B" w14:textId="2606FE43" w:rsidR="004C6EA3" w:rsidRPr="00433F7F" w:rsidRDefault="004C6EA3" w:rsidP="00433F7F">
      <w:pPr>
        <w:shd w:val="clear" w:color="auto" w:fill="FFFFFF"/>
        <w:spacing w:line="360" w:lineRule="auto"/>
        <w:ind w:left="720" w:right="720"/>
        <w:jc w:val="both"/>
        <w:rPr>
          <w:rFonts w:ascii="Arial" w:hAnsi="Arial" w:cs="Arial"/>
          <w:color w:val="000000"/>
          <w:sz w:val="24"/>
          <w:szCs w:val="24"/>
          <w:lang w:val="es-MX"/>
        </w:rPr>
      </w:pPr>
    </w:p>
    <w:p w14:paraId="04D5EC89" w14:textId="79A4E2F9" w:rsidR="004C6EA3" w:rsidRPr="00433F7F" w:rsidRDefault="004C6EA3" w:rsidP="00433F7F">
      <w:pPr>
        <w:shd w:val="clear" w:color="auto" w:fill="FFFFFF"/>
        <w:spacing w:line="360" w:lineRule="auto"/>
        <w:ind w:left="720" w:right="720"/>
        <w:jc w:val="center"/>
        <w:rPr>
          <w:rFonts w:ascii="Arial" w:hAnsi="Arial" w:cs="Arial"/>
          <w:color w:val="000000"/>
          <w:sz w:val="24"/>
          <w:szCs w:val="24"/>
          <w:lang w:val="es-MX"/>
        </w:rPr>
      </w:pPr>
      <w:r w:rsidRPr="00433F7F">
        <w:rPr>
          <w:rFonts w:ascii="Arial" w:hAnsi="Arial" w:cs="Arial"/>
          <w:color w:val="000000"/>
          <w:sz w:val="24"/>
          <w:szCs w:val="24"/>
          <w:lang w:val="es-MX"/>
        </w:rPr>
        <w:t>Co</w:t>
      </w:r>
      <w:r w:rsidR="00240082" w:rsidRPr="00433F7F">
        <w:rPr>
          <w:rFonts w:ascii="Arial" w:hAnsi="Arial" w:cs="Arial"/>
          <w:color w:val="000000"/>
          <w:sz w:val="24"/>
          <w:szCs w:val="24"/>
          <w:lang w:val="es-MX"/>
        </w:rPr>
        <w:t>rte I</w:t>
      </w:r>
      <w:r w:rsidR="001E08F0" w:rsidRPr="00433F7F">
        <w:rPr>
          <w:rFonts w:ascii="Arial" w:hAnsi="Arial" w:cs="Arial"/>
          <w:color w:val="000000"/>
          <w:sz w:val="24"/>
          <w:szCs w:val="24"/>
          <w:lang w:val="es-MX"/>
        </w:rPr>
        <w:t xml:space="preserve">nteramericana de </w:t>
      </w:r>
      <w:r w:rsidRPr="00433F7F">
        <w:rPr>
          <w:rFonts w:ascii="Arial" w:hAnsi="Arial" w:cs="Arial"/>
          <w:color w:val="000000"/>
          <w:sz w:val="24"/>
          <w:szCs w:val="24"/>
          <w:lang w:val="es-MX"/>
        </w:rPr>
        <w:t>D</w:t>
      </w:r>
      <w:r w:rsidR="001E08F0" w:rsidRPr="00433F7F">
        <w:rPr>
          <w:rFonts w:ascii="Arial" w:hAnsi="Arial" w:cs="Arial"/>
          <w:color w:val="000000"/>
          <w:sz w:val="24"/>
          <w:szCs w:val="24"/>
          <w:lang w:val="es-MX"/>
        </w:rPr>
        <w:t xml:space="preserve">erechos </w:t>
      </w:r>
      <w:r w:rsidRPr="00433F7F">
        <w:rPr>
          <w:rFonts w:ascii="Arial" w:hAnsi="Arial" w:cs="Arial"/>
          <w:color w:val="000000"/>
          <w:sz w:val="24"/>
          <w:szCs w:val="24"/>
          <w:lang w:val="es-MX"/>
        </w:rPr>
        <w:t>H</w:t>
      </w:r>
      <w:r w:rsidR="001E08F0" w:rsidRPr="00433F7F">
        <w:rPr>
          <w:rFonts w:ascii="Arial" w:hAnsi="Arial" w:cs="Arial"/>
          <w:color w:val="000000"/>
          <w:sz w:val="24"/>
          <w:szCs w:val="24"/>
          <w:lang w:val="es-MX"/>
        </w:rPr>
        <w:t>umanos</w:t>
      </w:r>
    </w:p>
    <w:p w14:paraId="3D82929C" w14:textId="1F54F98F" w:rsidR="00814128" w:rsidRDefault="001E08F0" w:rsidP="00433F7F">
      <w:pPr>
        <w:pStyle w:val="Textonotapie"/>
        <w:spacing w:line="360" w:lineRule="auto"/>
        <w:ind w:left="720" w:right="720"/>
        <w:jc w:val="both"/>
        <w:rPr>
          <w:rFonts w:ascii="Arial" w:hAnsi="Arial" w:cs="Arial"/>
          <w:sz w:val="24"/>
          <w:szCs w:val="24"/>
          <w:lang w:val="es-MX"/>
        </w:rPr>
      </w:pPr>
      <w:r w:rsidRPr="00433F7F">
        <w:rPr>
          <w:rFonts w:ascii="Arial" w:hAnsi="Arial" w:cs="Arial"/>
          <w:sz w:val="24"/>
          <w:szCs w:val="24"/>
          <w:lang w:val="es-MX"/>
        </w:rPr>
        <w:t xml:space="preserve">Corte IDH, Caso Cabrera García y Montiel Flores vs México, Sentencia (Excepción Preliminar, Fondo, Reparaciones y Costas) de 26 de noviembre de 2010, Considerando 93 ver en </w:t>
      </w:r>
      <w:hyperlink r:id="rId28" w:history="1">
        <w:r w:rsidR="00814128" w:rsidRPr="003E75B4">
          <w:rPr>
            <w:rStyle w:val="Hipervnculo"/>
            <w:rFonts w:ascii="Arial" w:hAnsi="Arial" w:cs="Arial"/>
            <w:sz w:val="24"/>
            <w:szCs w:val="24"/>
            <w:lang w:val="es-MX"/>
          </w:rPr>
          <w:t>https://www.corteidh.or.cr/docs/casos/articulos/resumen_220_esp.pdf</w:t>
        </w:r>
      </w:hyperlink>
    </w:p>
    <w:p w14:paraId="51CF375C" w14:textId="77777777" w:rsidR="001E08F0" w:rsidRPr="003641C8" w:rsidRDefault="001E08F0" w:rsidP="00433F7F">
      <w:pPr>
        <w:pStyle w:val="Textonotapie"/>
        <w:spacing w:line="360" w:lineRule="auto"/>
        <w:ind w:left="720" w:right="720"/>
        <w:jc w:val="both"/>
        <w:rPr>
          <w:rFonts w:ascii="Arial" w:hAnsi="Arial" w:cs="Arial"/>
          <w:sz w:val="24"/>
          <w:szCs w:val="24"/>
          <w:lang w:val="es-MX"/>
        </w:rPr>
      </w:pPr>
    </w:p>
    <w:p w14:paraId="35A5F01D" w14:textId="7276C778" w:rsidR="001E08F0" w:rsidRPr="00830A62" w:rsidRDefault="001E08F0" w:rsidP="00433F7F">
      <w:pPr>
        <w:pStyle w:val="Textonotapie"/>
        <w:spacing w:line="360" w:lineRule="auto"/>
        <w:ind w:left="720" w:right="720"/>
        <w:jc w:val="both"/>
        <w:rPr>
          <w:rFonts w:ascii="Arial" w:hAnsi="Arial" w:cs="Arial"/>
          <w:color w:val="FF0000"/>
          <w:sz w:val="24"/>
          <w:szCs w:val="24"/>
        </w:rPr>
      </w:pPr>
      <w:r w:rsidRPr="003641C8">
        <w:rPr>
          <w:rFonts w:ascii="Arial" w:hAnsi="Arial" w:cs="Arial"/>
          <w:sz w:val="24"/>
          <w:szCs w:val="24"/>
          <w:lang w:val="es-MX"/>
        </w:rPr>
        <w:t>Corte IDH. Caso Cabrera García y Montiel Flores Vs. México. Supervisión de Cumplimiento de Sentencia. Resolución de la Corte Interamericana de Derechos Humanos de 24 de junio de 2020. Resolución adoptada en San José de Costa Rica por medio de sesión virtual.</w:t>
      </w:r>
      <w:r w:rsidRPr="00433F7F">
        <w:rPr>
          <w:rFonts w:ascii="Arial" w:hAnsi="Arial" w:cs="Arial"/>
          <w:sz w:val="24"/>
          <w:szCs w:val="24"/>
          <w:lang w:val="es-MX"/>
        </w:rPr>
        <w:t xml:space="preserve"> </w:t>
      </w:r>
      <w:hyperlink r:id="rId29" w:history="1">
        <w:r w:rsidRPr="00830A62">
          <w:rPr>
            <w:rStyle w:val="Hipervnculo"/>
            <w:rFonts w:ascii="Arial" w:hAnsi="Arial" w:cs="Arial"/>
            <w:sz w:val="24"/>
            <w:szCs w:val="24"/>
          </w:rPr>
          <w:t>https://www.corteidh.or.cr/docs/supervisiones/cabreragarciaymontiel_24_06_20.pdf</w:t>
        </w:r>
      </w:hyperlink>
    </w:p>
    <w:p w14:paraId="2F4E2DE7" w14:textId="77777777" w:rsidR="001E08F0" w:rsidRPr="00830A62" w:rsidRDefault="001E08F0" w:rsidP="00433F7F">
      <w:pPr>
        <w:pStyle w:val="Textonotapie"/>
        <w:spacing w:line="360" w:lineRule="auto"/>
        <w:ind w:left="709" w:right="713"/>
        <w:jc w:val="both"/>
        <w:rPr>
          <w:rFonts w:ascii="Arial" w:hAnsi="Arial" w:cs="Arial"/>
          <w:sz w:val="24"/>
          <w:szCs w:val="24"/>
        </w:rPr>
      </w:pPr>
    </w:p>
    <w:p w14:paraId="233FFE10" w14:textId="51278C7C" w:rsidR="001E08F0" w:rsidRDefault="001E08F0" w:rsidP="00433F7F">
      <w:pPr>
        <w:pStyle w:val="Textonotapie"/>
        <w:spacing w:line="360" w:lineRule="auto"/>
        <w:ind w:left="709" w:right="713"/>
        <w:jc w:val="both"/>
        <w:rPr>
          <w:rFonts w:ascii="Arial" w:hAnsi="Arial" w:cs="Arial"/>
          <w:sz w:val="24"/>
          <w:szCs w:val="24"/>
          <w:lang w:val="es-MX"/>
        </w:rPr>
      </w:pPr>
      <w:r w:rsidRPr="00830A62">
        <w:rPr>
          <w:rFonts w:ascii="Arial" w:hAnsi="Arial" w:cs="Arial"/>
          <w:sz w:val="24"/>
          <w:szCs w:val="24"/>
        </w:rPr>
        <w:t>C</w:t>
      </w:r>
      <w:r w:rsidR="0011370F" w:rsidRPr="00830A62">
        <w:rPr>
          <w:rFonts w:ascii="Arial" w:hAnsi="Arial" w:cs="Arial"/>
          <w:sz w:val="24"/>
          <w:szCs w:val="24"/>
        </w:rPr>
        <w:t>orte IDH.</w:t>
      </w:r>
      <w:r w:rsidRPr="00830A62">
        <w:rPr>
          <w:rFonts w:ascii="Arial" w:hAnsi="Arial" w:cs="Arial"/>
          <w:sz w:val="24"/>
          <w:szCs w:val="24"/>
        </w:rPr>
        <w:t xml:space="preserve"> </w:t>
      </w:r>
      <w:r w:rsidR="0011370F" w:rsidRPr="003641C8">
        <w:rPr>
          <w:rFonts w:ascii="Arial" w:hAnsi="Arial" w:cs="Arial"/>
          <w:sz w:val="24"/>
          <w:szCs w:val="24"/>
          <w:lang w:val="es-MX"/>
        </w:rPr>
        <w:t>Caso Zegarra Marín Vs. Perú</w:t>
      </w:r>
      <w:r w:rsidR="0011370F">
        <w:rPr>
          <w:rFonts w:ascii="Arial" w:hAnsi="Arial" w:cs="Arial"/>
          <w:sz w:val="24"/>
          <w:szCs w:val="24"/>
          <w:lang w:val="es-MX"/>
        </w:rPr>
        <w:t>.</w:t>
      </w:r>
      <w:r w:rsidR="0011370F" w:rsidRPr="003641C8">
        <w:rPr>
          <w:rFonts w:ascii="Arial" w:hAnsi="Arial" w:cs="Arial"/>
          <w:sz w:val="24"/>
          <w:szCs w:val="24"/>
          <w:lang w:val="es-MX"/>
        </w:rPr>
        <w:t xml:space="preserve"> </w:t>
      </w:r>
      <w:r w:rsidRPr="003641C8">
        <w:rPr>
          <w:rFonts w:ascii="Arial" w:hAnsi="Arial" w:cs="Arial"/>
          <w:sz w:val="24"/>
          <w:szCs w:val="24"/>
          <w:lang w:val="es-MX"/>
        </w:rPr>
        <w:t>S</w:t>
      </w:r>
      <w:r w:rsidR="0011370F">
        <w:rPr>
          <w:rFonts w:ascii="Arial" w:hAnsi="Arial" w:cs="Arial"/>
          <w:sz w:val="24"/>
          <w:szCs w:val="24"/>
          <w:lang w:val="es-MX"/>
        </w:rPr>
        <w:t>entencia de</w:t>
      </w:r>
      <w:r w:rsidRPr="003641C8">
        <w:rPr>
          <w:rFonts w:ascii="Arial" w:hAnsi="Arial" w:cs="Arial"/>
          <w:sz w:val="24"/>
          <w:szCs w:val="24"/>
          <w:lang w:val="es-MX"/>
        </w:rPr>
        <w:t xml:space="preserve"> 15 </w:t>
      </w:r>
      <w:r w:rsidR="0011370F">
        <w:rPr>
          <w:rFonts w:ascii="Arial" w:hAnsi="Arial" w:cs="Arial"/>
          <w:sz w:val="24"/>
          <w:szCs w:val="24"/>
          <w:lang w:val="es-MX"/>
        </w:rPr>
        <w:t>de febrero de</w:t>
      </w:r>
      <w:r w:rsidRPr="003641C8">
        <w:rPr>
          <w:rFonts w:ascii="Arial" w:hAnsi="Arial" w:cs="Arial"/>
          <w:sz w:val="24"/>
          <w:szCs w:val="24"/>
          <w:lang w:val="es-MX"/>
        </w:rPr>
        <w:t xml:space="preserve"> 2017 (Excepciones Preliminares, Fondo, Reparaciones y Costas) </w:t>
      </w:r>
      <w:hyperlink r:id="rId30" w:history="1">
        <w:r w:rsidR="00814128" w:rsidRPr="003E75B4">
          <w:rPr>
            <w:rStyle w:val="Hipervnculo"/>
            <w:rFonts w:ascii="Arial" w:hAnsi="Arial" w:cs="Arial"/>
            <w:sz w:val="24"/>
            <w:szCs w:val="24"/>
            <w:lang w:val="es-MX"/>
          </w:rPr>
          <w:t>https://www.corteidh.or.cr/docs/casos/articulos/seriec_331_esp.pdf</w:t>
        </w:r>
      </w:hyperlink>
    </w:p>
    <w:p w14:paraId="69026A00" w14:textId="77777777" w:rsidR="001E08F0" w:rsidRPr="00433F7F" w:rsidRDefault="001E08F0" w:rsidP="00433F7F">
      <w:pPr>
        <w:pStyle w:val="Textonotapie"/>
        <w:spacing w:line="360" w:lineRule="auto"/>
        <w:ind w:left="720" w:right="720"/>
        <w:jc w:val="both"/>
        <w:rPr>
          <w:rFonts w:ascii="Arial" w:hAnsi="Arial" w:cs="Arial"/>
          <w:sz w:val="24"/>
          <w:szCs w:val="24"/>
          <w:lang w:val="es-MX"/>
        </w:rPr>
      </w:pPr>
    </w:p>
    <w:p w14:paraId="1CA97910" w14:textId="5568D3F1" w:rsidR="001E08F0" w:rsidRPr="003641C8" w:rsidRDefault="001E08F0" w:rsidP="00433F7F">
      <w:pPr>
        <w:pStyle w:val="Textonotapie"/>
        <w:spacing w:line="360" w:lineRule="auto"/>
        <w:ind w:left="709" w:right="571"/>
        <w:jc w:val="both"/>
        <w:rPr>
          <w:rFonts w:ascii="Arial" w:hAnsi="Arial" w:cs="Arial"/>
          <w:sz w:val="24"/>
          <w:szCs w:val="24"/>
        </w:rPr>
      </w:pPr>
      <w:r w:rsidRPr="003641C8">
        <w:rPr>
          <w:rFonts w:ascii="Arial" w:hAnsi="Arial" w:cs="Arial"/>
          <w:sz w:val="24"/>
          <w:szCs w:val="24"/>
          <w:lang w:val="es-MX"/>
        </w:rPr>
        <w:t>Corte IDH</w:t>
      </w:r>
      <w:r w:rsidR="0011370F">
        <w:rPr>
          <w:rFonts w:ascii="Arial" w:hAnsi="Arial" w:cs="Arial"/>
          <w:sz w:val="24"/>
          <w:szCs w:val="24"/>
          <w:lang w:val="es-MX"/>
        </w:rPr>
        <w:t>.</w:t>
      </w:r>
      <w:r w:rsidRPr="003641C8">
        <w:rPr>
          <w:rFonts w:ascii="Arial" w:hAnsi="Arial" w:cs="Arial"/>
          <w:sz w:val="24"/>
          <w:szCs w:val="24"/>
          <w:lang w:val="es-MX"/>
        </w:rPr>
        <w:t xml:space="preserve"> Caso Cantoral Benavides Vs. Perú</w:t>
      </w:r>
      <w:r w:rsidR="0011370F">
        <w:rPr>
          <w:rFonts w:ascii="Arial" w:hAnsi="Arial" w:cs="Arial"/>
          <w:sz w:val="24"/>
          <w:szCs w:val="24"/>
          <w:lang w:val="es-MX"/>
        </w:rPr>
        <w:t>.</w:t>
      </w:r>
      <w:r w:rsidRPr="003641C8">
        <w:rPr>
          <w:rFonts w:ascii="Arial" w:hAnsi="Arial" w:cs="Arial"/>
          <w:sz w:val="24"/>
          <w:szCs w:val="24"/>
          <w:lang w:val="es-MX"/>
        </w:rPr>
        <w:t xml:space="preserve"> Sentencia de 18 de agosto de 2000 (Fondo). </w:t>
      </w:r>
      <w:hyperlink r:id="rId31" w:history="1">
        <w:r w:rsidRPr="003641C8">
          <w:rPr>
            <w:rStyle w:val="Hipervnculo"/>
            <w:rFonts w:ascii="Arial" w:hAnsi="Arial" w:cs="Arial"/>
            <w:sz w:val="24"/>
            <w:szCs w:val="24"/>
          </w:rPr>
          <w:t>https://www.corteidh.or.cr/docs/casos/articulos/Seriec_69_esp.pdf</w:t>
        </w:r>
      </w:hyperlink>
      <w:r w:rsidRPr="003641C8">
        <w:rPr>
          <w:rFonts w:ascii="Arial" w:hAnsi="Arial" w:cs="Arial"/>
          <w:sz w:val="24"/>
          <w:szCs w:val="24"/>
        </w:rPr>
        <w:t xml:space="preserve"> </w:t>
      </w:r>
    </w:p>
    <w:p w14:paraId="2C962657" w14:textId="77777777" w:rsidR="001E08F0" w:rsidRPr="003641C8" w:rsidRDefault="001E08F0" w:rsidP="00433F7F">
      <w:pPr>
        <w:pStyle w:val="Textonotapie"/>
        <w:spacing w:line="360" w:lineRule="auto"/>
        <w:ind w:left="720" w:right="720"/>
        <w:jc w:val="both"/>
        <w:rPr>
          <w:rFonts w:ascii="Arial" w:hAnsi="Arial" w:cs="Arial"/>
          <w:sz w:val="24"/>
          <w:szCs w:val="24"/>
        </w:rPr>
      </w:pPr>
    </w:p>
    <w:p w14:paraId="01B32DE2" w14:textId="77777777" w:rsidR="001E08F0" w:rsidRPr="003641C8" w:rsidRDefault="001E08F0" w:rsidP="00433F7F">
      <w:pPr>
        <w:pStyle w:val="Textonotapie"/>
        <w:spacing w:line="360" w:lineRule="auto"/>
        <w:ind w:left="720" w:right="720"/>
        <w:jc w:val="both"/>
        <w:rPr>
          <w:rFonts w:ascii="Arial" w:hAnsi="Arial" w:cs="Arial"/>
          <w:sz w:val="24"/>
          <w:szCs w:val="24"/>
        </w:rPr>
      </w:pPr>
    </w:p>
    <w:p w14:paraId="51F3E422" w14:textId="30F810AB" w:rsidR="001E08F0" w:rsidRPr="00433F7F" w:rsidRDefault="001E08F0" w:rsidP="00433F7F">
      <w:pPr>
        <w:spacing w:line="360" w:lineRule="auto"/>
        <w:ind w:left="720" w:right="720"/>
        <w:jc w:val="both"/>
        <w:rPr>
          <w:rFonts w:ascii="Arial" w:hAnsi="Arial" w:cs="Arial"/>
          <w:sz w:val="24"/>
          <w:szCs w:val="24"/>
          <w:lang w:val="es-MX"/>
        </w:rPr>
      </w:pPr>
      <w:r w:rsidRPr="00433F7F">
        <w:rPr>
          <w:rFonts w:ascii="Arial" w:hAnsi="Arial" w:cs="Arial"/>
          <w:sz w:val="24"/>
          <w:szCs w:val="24"/>
          <w:lang w:val="es-MX"/>
        </w:rPr>
        <w:lastRenderedPageBreak/>
        <w:t>Corte</w:t>
      </w:r>
      <w:r w:rsidR="0011370F">
        <w:rPr>
          <w:rFonts w:ascii="Arial" w:hAnsi="Arial" w:cs="Arial"/>
          <w:sz w:val="24"/>
          <w:szCs w:val="24"/>
          <w:lang w:val="es-MX"/>
        </w:rPr>
        <w:t xml:space="preserve"> </w:t>
      </w:r>
      <w:r w:rsidRPr="00433F7F">
        <w:rPr>
          <w:rFonts w:ascii="Arial" w:hAnsi="Arial" w:cs="Arial"/>
          <w:sz w:val="24"/>
          <w:szCs w:val="24"/>
          <w:lang w:val="es-MX"/>
        </w:rPr>
        <w:t xml:space="preserve">IDH, </w:t>
      </w:r>
      <w:r w:rsidR="0011370F" w:rsidRPr="003641C8">
        <w:rPr>
          <w:rFonts w:ascii="Arial" w:hAnsi="Arial" w:cs="Arial"/>
          <w:sz w:val="24"/>
          <w:szCs w:val="24"/>
          <w:lang w:val="es-MX"/>
        </w:rPr>
        <w:t xml:space="preserve">Caso Chaparro Álvarez Y Lapo Íñiguez Vs. Ecuador. </w:t>
      </w:r>
      <w:r w:rsidR="00DD7A77" w:rsidRPr="003641C8">
        <w:rPr>
          <w:rFonts w:ascii="Arial" w:hAnsi="Arial" w:cs="Arial"/>
          <w:sz w:val="24"/>
          <w:szCs w:val="24"/>
          <w:lang w:val="es-MX"/>
        </w:rPr>
        <w:t xml:space="preserve">Supervisión </w:t>
      </w:r>
      <w:r w:rsidR="00DD7A77">
        <w:rPr>
          <w:rFonts w:ascii="Arial" w:hAnsi="Arial" w:cs="Arial"/>
          <w:sz w:val="24"/>
          <w:szCs w:val="24"/>
          <w:lang w:val="es-MX"/>
        </w:rPr>
        <w:t>d</w:t>
      </w:r>
      <w:r w:rsidR="00DD7A77" w:rsidRPr="003641C8">
        <w:rPr>
          <w:rFonts w:ascii="Arial" w:hAnsi="Arial" w:cs="Arial"/>
          <w:sz w:val="24"/>
          <w:szCs w:val="24"/>
          <w:lang w:val="es-MX"/>
        </w:rPr>
        <w:t xml:space="preserve">e </w:t>
      </w:r>
      <w:r w:rsidR="00DD7A77">
        <w:rPr>
          <w:rFonts w:ascii="Arial" w:hAnsi="Arial" w:cs="Arial"/>
          <w:sz w:val="24"/>
          <w:szCs w:val="24"/>
          <w:lang w:val="es-MX"/>
        </w:rPr>
        <w:t>c</w:t>
      </w:r>
      <w:r w:rsidR="00DD7A77" w:rsidRPr="003641C8">
        <w:rPr>
          <w:rFonts w:ascii="Arial" w:hAnsi="Arial" w:cs="Arial"/>
          <w:sz w:val="24"/>
          <w:szCs w:val="24"/>
          <w:lang w:val="es-MX"/>
        </w:rPr>
        <w:t xml:space="preserve">umplimiento </w:t>
      </w:r>
      <w:r w:rsidR="00DD7A77">
        <w:rPr>
          <w:rFonts w:ascii="Arial" w:hAnsi="Arial" w:cs="Arial"/>
          <w:sz w:val="24"/>
          <w:szCs w:val="24"/>
          <w:lang w:val="es-MX"/>
        </w:rPr>
        <w:t>d</w:t>
      </w:r>
      <w:r w:rsidR="00DD7A77" w:rsidRPr="003641C8">
        <w:rPr>
          <w:rFonts w:ascii="Arial" w:hAnsi="Arial" w:cs="Arial"/>
          <w:sz w:val="24"/>
          <w:szCs w:val="24"/>
          <w:lang w:val="es-MX"/>
        </w:rPr>
        <w:t>e Sentencia,</w:t>
      </w:r>
      <w:r w:rsidRPr="00433F7F">
        <w:rPr>
          <w:rFonts w:ascii="Arial" w:hAnsi="Arial" w:cs="Arial"/>
          <w:sz w:val="24"/>
          <w:szCs w:val="24"/>
          <w:lang w:val="es-MX"/>
        </w:rPr>
        <w:t xml:space="preserve"> 29 de abril de 2009. </w:t>
      </w:r>
      <w:hyperlink r:id="rId32" w:history="1">
        <w:r w:rsidRPr="00433F7F">
          <w:rPr>
            <w:rStyle w:val="Hipervnculo"/>
            <w:rFonts w:ascii="Arial" w:hAnsi="Arial" w:cs="Arial"/>
            <w:sz w:val="24"/>
            <w:szCs w:val="24"/>
            <w:lang w:val="es-MX"/>
          </w:rPr>
          <w:t>https://www.corteidh.or.cr/docs/supervisiones/chaparro_29_04_09.pdf</w:t>
        </w:r>
      </w:hyperlink>
    </w:p>
    <w:p w14:paraId="19B72CD7" w14:textId="77777777" w:rsidR="001E08F0" w:rsidRPr="00433F7F" w:rsidRDefault="001E08F0" w:rsidP="00433F7F">
      <w:pPr>
        <w:spacing w:line="360" w:lineRule="auto"/>
        <w:ind w:left="720" w:right="720"/>
        <w:jc w:val="center"/>
        <w:rPr>
          <w:rFonts w:ascii="Arial" w:hAnsi="Arial" w:cs="Arial"/>
          <w:b/>
          <w:bCs/>
          <w:smallCaps/>
          <w:sz w:val="24"/>
          <w:szCs w:val="24"/>
          <w:lang w:val="es-MX"/>
        </w:rPr>
      </w:pPr>
    </w:p>
    <w:p w14:paraId="217C5D05" w14:textId="643E488E" w:rsidR="001E08F0" w:rsidRDefault="000D14FC" w:rsidP="00433F7F">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Corte IDH.</w:t>
      </w:r>
      <w:r w:rsidRPr="000D14FC">
        <w:rPr>
          <w:rFonts w:ascii="Arial" w:hAnsi="Arial" w:cs="Arial"/>
          <w:sz w:val="24"/>
          <w:szCs w:val="24"/>
          <w:lang w:val="es-MX"/>
        </w:rPr>
        <w:t xml:space="preserve"> Caso Suárez Rosero Vs. Ecuador Sentencia de 12 de noviembre de 1997. </w:t>
      </w:r>
      <w:hyperlink r:id="rId33" w:history="1">
        <w:r w:rsidRPr="000D14FC">
          <w:rPr>
            <w:rFonts w:ascii="Arial" w:hAnsi="Arial" w:cs="Arial"/>
            <w:sz w:val="24"/>
            <w:szCs w:val="24"/>
            <w:lang w:val="es-MX"/>
          </w:rPr>
          <w:t>https://www.corteidh.or.cr/docs/casos/articulos/seriec_35_esp.pdf</w:t>
        </w:r>
      </w:hyperlink>
    </w:p>
    <w:p w14:paraId="3ABC48B6" w14:textId="70D93C5C" w:rsidR="000D14FC" w:rsidRDefault="000D14FC" w:rsidP="00433F7F">
      <w:pPr>
        <w:pStyle w:val="Textonotapie"/>
        <w:spacing w:line="360" w:lineRule="auto"/>
        <w:ind w:left="720" w:right="720"/>
        <w:jc w:val="both"/>
        <w:rPr>
          <w:rFonts w:ascii="Arial" w:hAnsi="Arial" w:cs="Arial"/>
          <w:sz w:val="24"/>
          <w:szCs w:val="24"/>
          <w:lang w:val="es-MX"/>
        </w:rPr>
      </w:pPr>
    </w:p>
    <w:p w14:paraId="0639B795" w14:textId="353324E0" w:rsidR="000D14FC" w:rsidRDefault="000D14FC" w:rsidP="000D14FC">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Corte IDH. </w:t>
      </w:r>
      <w:r w:rsidRPr="000D14FC">
        <w:rPr>
          <w:rFonts w:ascii="Arial" w:hAnsi="Arial" w:cs="Arial"/>
          <w:sz w:val="24"/>
          <w:szCs w:val="24"/>
          <w:lang w:val="es-MX"/>
        </w:rPr>
        <w:t xml:space="preserve">Caso Ricardo Canese Vs. Paraguay Sentencia de 31 de agosto de 2004, </w:t>
      </w:r>
      <w:hyperlink r:id="rId34" w:history="1">
        <w:r w:rsidRPr="000D14FC">
          <w:rPr>
            <w:rFonts w:ascii="Arial" w:hAnsi="Arial" w:cs="Arial"/>
            <w:sz w:val="24"/>
            <w:szCs w:val="24"/>
            <w:lang w:val="es-MX"/>
          </w:rPr>
          <w:t>https://www.corteidh.or.cr/docs/casos/articulos/seriec_111_esp.pdf</w:t>
        </w:r>
      </w:hyperlink>
    </w:p>
    <w:p w14:paraId="45683309" w14:textId="218A0AC0" w:rsidR="000D14FC" w:rsidRDefault="000D14FC" w:rsidP="00433F7F">
      <w:pPr>
        <w:pStyle w:val="Textonotapie"/>
        <w:spacing w:line="360" w:lineRule="auto"/>
        <w:ind w:left="720" w:right="720"/>
        <w:jc w:val="both"/>
        <w:rPr>
          <w:rFonts w:ascii="Arial" w:hAnsi="Arial" w:cs="Arial"/>
          <w:sz w:val="24"/>
          <w:szCs w:val="24"/>
          <w:lang w:val="es-MX"/>
        </w:rPr>
      </w:pPr>
    </w:p>
    <w:p w14:paraId="47CB390C" w14:textId="664757D8" w:rsidR="000D14FC" w:rsidRPr="000D14FC" w:rsidRDefault="000D14FC" w:rsidP="00433F7F">
      <w:pPr>
        <w:pStyle w:val="Textonotapie"/>
        <w:spacing w:line="360" w:lineRule="auto"/>
        <w:ind w:left="720" w:right="720"/>
        <w:jc w:val="both"/>
        <w:rPr>
          <w:rFonts w:ascii="Arial" w:hAnsi="Arial" w:cs="Arial"/>
          <w:sz w:val="24"/>
          <w:szCs w:val="24"/>
          <w:lang w:val="es-MX"/>
        </w:rPr>
      </w:pPr>
      <w:r>
        <w:rPr>
          <w:rFonts w:ascii="Arial" w:hAnsi="Arial" w:cs="Arial"/>
          <w:sz w:val="24"/>
          <w:szCs w:val="24"/>
          <w:lang w:val="es-MX"/>
        </w:rPr>
        <w:t xml:space="preserve">Corte IDH. </w:t>
      </w:r>
      <w:r w:rsidRPr="000D14FC">
        <w:rPr>
          <w:rFonts w:ascii="Arial" w:hAnsi="Arial" w:cs="Arial"/>
          <w:sz w:val="24"/>
          <w:szCs w:val="24"/>
          <w:lang w:val="es-MX"/>
        </w:rPr>
        <w:t xml:space="preserve">CASO BARRETO LEIVA VS. VENEZUELA SENTENCIA DE 17 DE NOVIEMBRE DE 2009, </w:t>
      </w:r>
      <w:hyperlink r:id="rId35" w:history="1">
        <w:r w:rsidRPr="000D14FC">
          <w:rPr>
            <w:rFonts w:ascii="Arial" w:hAnsi="Arial" w:cs="Arial"/>
            <w:sz w:val="24"/>
            <w:szCs w:val="24"/>
            <w:lang w:val="es-MX"/>
          </w:rPr>
          <w:t>https://www.corteidh.or.cr/docs/casos/articulos/seriec_206_esp1.pdf</w:t>
        </w:r>
      </w:hyperlink>
    </w:p>
    <w:p w14:paraId="5D659781" w14:textId="77777777" w:rsidR="000D14FC" w:rsidRDefault="000D14FC" w:rsidP="00433F7F">
      <w:pPr>
        <w:pStyle w:val="Textonotapie"/>
        <w:spacing w:line="360" w:lineRule="auto"/>
        <w:ind w:left="720" w:right="720"/>
        <w:jc w:val="both"/>
        <w:rPr>
          <w:rFonts w:ascii="Arial" w:hAnsi="Arial" w:cs="Arial"/>
          <w:sz w:val="24"/>
          <w:szCs w:val="24"/>
          <w:lang w:val="es-MX"/>
        </w:rPr>
      </w:pPr>
    </w:p>
    <w:p w14:paraId="6CC2EC0F" w14:textId="77777777" w:rsidR="000D14FC" w:rsidRPr="00433F7F" w:rsidRDefault="000D14FC" w:rsidP="00433F7F">
      <w:pPr>
        <w:pStyle w:val="Textonotapie"/>
        <w:spacing w:line="360" w:lineRule="auto"/>
        <w:ind w:left="720" w:right="720"/>
        <w:jc w:val="both"/>
        <w:rPr>
          <w:rFonts w:ascii="Arial" w:hAnsi="Arial" w:cs="Arial"/>
          <w:sz w:val="24"/>
          <w:szCs w:val="24"/>
          <w:lang w:val="es-MX"/>
        </w:rPr>
      </w:pPr>
    </w:p>
    <w:p w14:paraId="648D6BCC" w14:textId="625D417E" w:rsidR="003C35C7" w:rsidRPr="00433F7F" w:rsidRDefault="003C35C7" w:rsidP="00433F7F">
      <w:pPr>
        <w:spacing w:line="360" w:lineRule="auto"/>
        <w:ind w:left="720" w:right="720"/>
        <w:jc w:val="center"/>
        <w:rPr>
          <w:rFonts w:ascii="Arial" w:hAnsi="Arial" w:cs="Arial"/>
          <w:b/>
          <w:bCs/>
          <w:smallCaps/>
          <w:sz w:val="24"/>
          <w:szCs w:val="24"/>
          <w:lang w:val="es-MX"/>
        </w:rPr>
      </w:pPr>
      <w:r w:rsidRPr="00433F7F">
        <w:rPr>
          <w:rFonts w:ascii="Arial" w:hAnsi="Arial" w:cs="Arial"/>
          <w:b/>
          <w:bCs/>
          <w:smallCaps/>
          <w:sz w:val="24"/>
          <w:szCs w:val="24"/>
          <w:lang w:val="es-MX"/>
        </w:rPr>
        <w:t>Tabla de Abreviaturas</w:t>
      </w:r>
    </w:p>
    <w:p w14:paraId="3EB94FAC" w14:textId="77777777" w:rsidR="003C35C7" w:rsidRPr="00286DF4" w:rsidRDefault="003C35C7" w:rsidP="00286DF4">
      <w:pPr>
        <w:spacing w:line="360" w:lineRule="auto"/>
        <w:ind w:left="720" w:right="720"/>
        <w:jc w:val="both"/>
        <w:rPr>
          <w:rFonts w:ascii="Arial" w:hAnsi="Arial" w:cs="Arial"/>
          <w:sz w:val="24"/>
          <w:szCs w:val="24"/>
          <w:lang w:val="es-MX"/>
        </w:rPr>
      </w:pPr>
      <w:r w:rsidRPr="00286DF4">
        <w:rPr>
          <w:rFonts w:ascii="Arial" w:hAnsi="Arial" w:cs="Arial"/>
          <w:sz w:val="24"/>
          <w:szCs w:val="24"/>
          <w:lang w:val="es-MX"/>
        </w:rPr>
        <w:t xml:space="preserve">Constitución Política de los Estados Unidos Mexicanos </w:t>
      </w:r>
      <w:r w:rsidRPr="00286DF4">
        <w:rPr>
          <w:rFonts w:ascii="Arial" w:hAnsi="Arial" w:cs="Arial"/>
          <w:smallCaps/>
          <w:sz w:val="24"/>
          <w:szCs w:val="24"/>
          <w:lang w:val="es-MX"/>
        </w:rPr>
        <w:t>(Cpeum)</w:t>
      </w:r>
    </w:p>
    <w:p w14:paraId="2E3F8C1F" w14:textId="3EB2793D" w:rsidR="006551A8" w:rsidRPr="00286DF4" w:rsidRDefault="006551A8" w:rsidP="00286DF4">
      <w:pPr>
        <w:pStyle w:val="Textonotapie"/>
        <w:spacing w:line="360" w:lineRule="auto"/>
        <w:ind w:left="720" w:right="720"/>
        <w:jc w:val="both"/>
        <w:rPr>
          <w:rFonts w:ascii="Arial" w:hAnsi="Arial" w:cs="Arial"/>
          <w:color w:val="000000"/>
          <w:sz w:val="24"/>
          <w:szCs w:val="24"/>
          <w:lang w:val="es-MX"/>
        </w:rPr>
      </w:pPr>
      <w:r w:rsidRPr="00286DF4">
        <w:rPr>
          <w:rFonts w:ascii="Arial" w:hAnsi="Arial" w:cs="Arial"/>
          <w:sz w:val="24"/>
          <w:szCs w:val="24"/>
          <w:lang w:val="es-MX"/>
        </w:rPr>
        <w:t xml:space="preserve">Ley Nacional de Ejecución Penal </w:t>
      </w:r>
      <w:r w:rsidRPr="00286DF4">
        <w:rPr>
          <w:rFonts w:ascii="Arial" w:hAnsi="Arial" w:cs="Arial"/>
          <w:color w:val="000000"/>
          <w:sz w:val="24"/>
          <w:szCs w:val="24"/>
          <w:lang w:val="es-MX"/>
        </w:rPr>
        <w:t>(LNEP)</w:t>
      </w:r>
    </w:p>
    <w:p w14:paraId="503C8A28" w14:textId="22052BE5" w:rsidR="00433F7F" w:rsidRPr="00286DF4" w:rsidRDefault="00286DF4" w:rsidP="00286DF4">
      <w:pPr>
        <w:pStyle w:val="Textonotapie"/>
        <w:spacing w:line="360" w:lineRule="auto"/>
        <w:ind w:left="720" w:right="720"/>
        <w:jc w:val="both"/>
        <w:rPr>
          <w:rFonts w:ascii="Arial" w:hAnsi="Arial" w:cs="Arial"/>
          <w:sz w:val="24"/>
          <w:szCs w:val="24"/>
          <w:lang w:val="es-MX"/>
        </w:rPr>
      </w:pPr>
      <w:r w:rsidRPr="00286DF4">
        <w:rPr>
          <w:rFonts w:ascii="Arial" w:hAnsi="Arial" w:cs="Arial"/>
          <w:sz w:val="24"/>
          <w:szCs w:val="24"/>
          <w:lang w:val="es-MX"/>
        </w:rPr>
        <w:t>Comisión Nacional de Derechos Humanos (CNDH)</w:t>
      </w:r>
    </w:p>
    <w:p w14:paraId="56EF3F4D" w14:textId="0CAC7CCD" w:rsidR="006551A8" w:rsidRPr="00286DF4" w:rsidRDefault="006551A8" w:rsidP="00286DF4">
      <w:pPr>
        <w:pStyle w:val="Textonotapie"/>
        <w:spacing w:line="360" w:lineRule="auto"/>
        <w:ind w:left="720" w:right="720"/>
        <w:jc w:val="both"/>
        <w:rPr>
          <w:rFonts w:ascii="Arial" w:hAnsi="Arial" w:cs="Arial"/>
          <w:sz w:val="24"/>
          <w:szCs w:val="24"/>
          <w:lang w:val="es-MX"/>
        </w:rPr>
      </w:pPr>
      <w:r w:rsidRPr="00286DF4">
        <w:rPr>
          <w:rFonts w:ascii="Arial" w:hAnsi="Arial" w:cs="Arial"/>
          <w:sz w:val="24"/>
          <w:szCs w:val="24"/>
          <w:lang w:val="es-MX"/>
        </w:rPr>
        <w:t xml:space="preserve">Convención Americana sobre Derechos Humanos (Convención Americana) </w:t>
      </w:r>
    </w:p>
    <w:p w14:paraId="7F58CB3B" w14:textId="22C291E8" w:rsidR="00433F7F" w:rsidRPr="00286DF4" w:rsidRDefault="00286DF4" w:rsidP="00286DF4">
      <w:pPr>
        <w:pStyle w:val="Textonotapie"/>
        <w:spacing w:line="360" w:lineRule="auto"/>
        <w:ind w:left="720" w:right="720"/>
        <w:jc w:val="both"/>
        <w:rPr>
          <w:rFonts w:ascii="Arial" w:hAnsi="Arial" w:cs="Arial"/>
          <w:sz w:val="24"/>
          <w:szCs w:val="24"/>
          <w:lang w:val="es-MX"/>
        </w:rPr>
      </w:pPr>
      <w:r w:rsidRPr="00286DF4">
        <w:rPr>
          <w:rFonts w:ascii="Arial" w:hAnsi="Arial" w:cs="Arial"/>
          <w:sz w:val="24"/>
          <w:szCs w:val="24"/>
          <w:lang w:val="es-MX"/>
        </w:rPr>
        <w:t>Declaración Universal de Derechos Humanos (DUDH)</w:t>
      </w:r>
    </w:p>
    <w:p w14:paraId="335C5619" w14:textId="4D6D90CC" w:rsidR="006551A8" w:rsidRPr="00286DF4" w:rsidRDefault="006551A8" w:rsidP="00286DF4">
      <w:pPr>
        <w:pStyle w:val="Textonotapie"/>
        <w:spacing w:line="360" w:lineRule="auto"/>
        <w:ind w:left="720" w:right="720"/>
        <w:jc w:val="both"/>
        <w:rPr>
          <w:rFonts w:ascii="Arial" w:hAnsi="Arial" w:cs="Arial"/>
          <w:sz w:val="24"/>
          <w:szCs w:val="24"/>
          <w:lang w:val="es-MX"/>
        </w:rPr>
      </w:pPr>
      <w:r w:rsidRPr="00286DF4">
        <w:rPr>
          <w:rFonts w:ascii="Arial" w:hAnsi="Arial" w:cs="Arial"/>
          <w:sz w:val="24"/>
          <w:szCs w:val="24"/>
          <w:lang w:val="es-MX"/>
        </w:rPr>
        <w:t>Diario Oficial de la Federación (DOF)</w:t>
      </w:r>
    </w:p>
    <w:p w14:paraId="266CF1F1" w14:textId="77777777" w:rsidR="00286DF4" w:rsidRPr="00286DF4" w:rsidRDefault="00286DF4" w:rsidP="00286DF4">
      <w:pPr>
        <w:spacing w:line="360" w:lineRule="auto"/>
        <w:ind w:left="720" w:right="720"/>
        <w:jc w:val="both"/>
        <w:rPr>
          <w:rFonts w:ascii="Arial" w:hAnsi="Arial" w:cs="Arial"/>
          <w:smallCaps/>
          <w:sz w:val="24"/>
          <w:szCs w:val="24"/>
          <w:lang w:val="es-MX"/>
        </w:rPr>
      </w:pPr>
      <w:r w:rsidRPr="00286DF4">
        <w:rPr>
          <w:rFonts w:ascii="Arial" w:hAnsi="Arial" w:cs="Arial"/>
          <w:sz w:val="24"/>
          <w:szCs w:val="24"/>
          <w:lang w:val="es-MX"/>
        </w:rPr>
        <w:t xml:space="preserve">Suprema Corte de Justicia de la Nación </w:t>
      </w:r>
      <w:r w:rsidRPr="00286DF4">
        <w:rPr>
          <w:rFonts w:ascii="Arial" w:hAnsi="Arial" w:cs="Arial"/>
          <w:smallCaps/>
          <w:sz w:val="24"/>
          <w:szCs w:val="24"/>
          <w:lang w:val="es-MX"/>
        </w:rPr>
        <w:t>(Scjn)</w:t>
      </w:r>
    </w:p>
    <w:p w14:paraId="2FC83254" w14:textId="544CC708" w:rsidR="006551A8" w:rsidRPr="00286DF4" w:rsidRDefault="00286DF4" w:rsidP="00286DF4">
      <w:pPr>
        <w:spacing w:line="360" w:lineRule="auto"/>
        <w:ind w:left="720" w:right="720"/>
        <w:jc w:val="both"/>
        <w:rPr>
          <w:rFonts w:ascii="Arial" w:hAnsi="Arial" w:cs="Arial"/>
          <w:sz w:val="24"/>
          <w:szCs w:val="24"/>
          <w:lang w:val="es-MX"/>
        </w:rPr>
      </w:pPr>
      <w:r w:rsidRPr="00286DF4">
        <w:rPr>
          <w:rFonts w:ascii="Arial" w:hAnsi="Arial" w:cs="Arial"/>
          <w:sz w:val="24"/>
          <w:szCs w:val="24"/>
          <w:lang w:val="es-MX"/>
        </w:rPr>
        <w:t>Pacto Internacional de derechos civiles y políticos (PIDCP)</w:t>
      </w:r>
    </w:p>
    <w:sectPr w:rsidR="006551A8" w:rsidRPr="00286DF4" w:rsidSect="00287A61">
      <w:footerReference w:type="even" r:id="rId36"/>
      <w:footerReference w:type="default" r:id="rId37"/>
      <w:pgSz w:w="12240" w:h="15840"/>
      <w:pgMar w:top="23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52A5D" w14:textId="77777777" w:rsidR="00D27F67" w:rsidRDefault="00D27F67" w:rsidP="00761704">
      <w:pPr>
        <w:spacing w:after="0" w:line="240" w:lineRule="auto"/>
      </w:pPr>
      <w:r>
        <w:separator/>
      </w:r>
    </w:p>
  </w:endnote>
  <w:endnote w:type="continuationSeparator" w:id="0">
    <w:p w14:paraId="70B32B50" w14:textId="77777777" w:rsidR="00D27F67" w:rsidRDefault="00D27F67" w:rsidP="0076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Trebuchet MS"/>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522093592"/>
      <w:docPartObj>
        <w:docPartGallery w:val="Page Numbers (Bottom of Page)"/>
        <w:docPartUnique/>
      </w:docPartObj>
    </w:sdtPr>
    <w:sdtEndPr>
      <w:rPr>
        <w:rStyle w:val="Nmerodepgina"/>
      </w:rPr>
    </w:sdtEndPr>
    <w:sdtContent>
      <w:p w14:paraId="73B2C47F" w14:textId="46303997" w:rsidR="00D27F67" w:rsidRDefault="00D27F67" w:rsidP="00D5194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749C260" w14:textId="77777777" w:rsidR="00D27F67" w:rsidRDefault="00D27F67" w:rsidP="00433F7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953940591"/>
      <w:docPartObj>
        <w:docPartGallery w:val="Page Numbers (Bottom of Page)"/>
        <w:docPartUnique/>
      </w:docPartObj>
    </w:sdtPr>
    <w:sdtEndPr>
      <w:rPr>
        <w:rStyle w:val="Nmerodepgina"/>
      </w:rPr>
    </w:sdtEndPr>
    <w:sdtContent>
      <w:p w14:paraId="7DEF3153" w14:textId="73B6FE6E" w:rsidR="00D27F67" w:rsidRDefault="00D27F67" w:rsidP="00D5194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30744A">
          <w:rPr>
            <w:rStyle w:val="Nmerodepgina"/>
            <w:noProof/>
          </w:rPr>
          <w:t>1</w:t>
        </w:r>
        <w:r>
          <w:rPr>
            <w:rStyle w:val="Nmerodepgina"/>
          </w:rPr>
          <w:fldChar w:fldCharType="end"/>
        </w:r>
      </w:p>
    </w:sdtContent>
  </w:sdt>
  <w:p w14:paraId="3ABE29AE" w14:textId="5010DB29" w:rsidR="00D27F67" w:rsidRDefault="00D27F67" w:rsidP="00433F7F">
    <w:pPr>
      <w:pStyle w:val="Piedepgina"/>
      <w:ind w:right="360"/>
      <w:jc w:val="right"/>
    </w:pPr>
  </w:p>
  <w:p w14:paraId="7809C979" w14:textId="77777777" w:rsidR="00D27F67" w:rsidRDefault="00D27F6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E8F9B" w14:textId="77777777" w:rsidR="00D27F67" w:rsidRDefault="00D27F67" w:rsidP="00761704">
      <w:pPr>
        <w:spacing w:after="0" w:line="240" w:lineRule="auto"/>
      </w:pPr>
      <w:r>
        <w:separator/>
      </w:r>
    </w:p>
  </w:footnote>
  <w:footnote w:type="continuationSeparator" w:id="0">
    <w:p w14:paraId="1E35275E" w14:textId="77777777" w:rsidR="00D27F67" w:rsidRDefault="00D27F67" w:rsidP="00761704">
      <w:pPr>
        <w:spacing w:after="0" w:line="240" w:lineRule="auto"/>
      </w:pPr>
      <w:r>
        <w:continuationSeparator/>
      </w:r>
    </w:p>
  </w:footnote>
  <w:footnote w:id="1">
    <w:p w14:paraId="0A521E4D" w14:textId="6E78FC9F" w:rsidR="00D27F67" w:rsidRPr="00433F7F" w:rsidRDefault="00D27F67" w:rsidP="00D27F67">
      <w:pPr>
        <w:pStyle w:val="Textonotapie"/>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bookmarkStart w:id="0" w:name="_GoBack"/>
      <w:r>
        <w:rPr>
          <w:rFonts w:ascii="Arial" w:hAnsi="Arial" w:cs="Arial"/>
          <w:sz w:val="24"/>
          <w:szCs w:val="24"/>
          <w:lang w:val="es-MX"/>
        </w:rPr>
        <w:t xml:space="preserve">Académica de Tiempo Completo </w:t>
      </w:r>
      <w:r w:rsidRPr="00433F7F">
        <w:rPr>
          <w:rFonts w:ascii="Arial" w:hAnsi="Arial" w:cs="Arial"/>
          <w:sz w:val="24"/>
          <w:szCs w:val="24"/>
          <w:lang w:val="es-MX"/>
        </w:rPr>
        <w:t>de</w:t>
      </w:r>
      <w:r>
        <w:rPr>
          <w:rFonts w:ascii="Arial" w:hAnsi="Arial" w:cs="Arial"/>
          <w:sz w:val="24"/>
          <w:szCs w:val="24"/>
          <w:lang w:val="es-MX"/>
        </w:rPr>
        <w:t>l Departamento de Derecho de</w:t>
      </w:r>
      <w:r w:rsidRPr="00433F7F">
        <w:rPr>
          <w:rFonts w:ascii="Arial" w:hAnsi="Arial" w:cs="Arial"/>
          <w:sz w:val="24"/>
          <w:szCs w:val="24"/>
          <w:lang w:val="es-MX"/>
        </w:rPr>
        <w:t xml:space="preserve"> la Universidad Iberoamericana</w:t>
      </w:r>
      <w:bookmarkEnd w:id="0"/>
      <w:r w:rsidRPr="00433F7F">
        <w:rPr>
          <w:rFonts w:ascii="Arial" w:hAnsi="Arial" w:cs="Arial"/>
          <w:sz w:val="24"/>
          <w:szCs w:val="24"/>
          <w:lang w:val="es-MX"/>
        </w:rPr>
        <w:t>.</w:t>
      </w:r>
    </w:p>
  </w:footnote>
  <w:footnote w:id="2">
    <w:p w14:paraId="302DFA88" w14:textId="51FC6242" w:rsidR="00D27F67" w:rsidRPr="00E51ACD" w:rsidRDefault="00D27F67" w:rsidP="00433F7F">
      <w:pPr>
        <w:pStyle w:val="Textonotapie"/>
        <w:spacing w:line="276" w:lineRule="auto"/>
        <w:ind w:left="720" w:right="720"/>
        <w:jc w:val="both"/>
        <w:rPr>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hAnsi="Arial" w:cs="Arial"/>
          <w:bCs/>
          <w:sz w:val="24"/>
          <w:szCs w:val="24"/>
          <w:lang w:val="es-MX"/>
        </w:rPr>
        <w:t>Excede del alcance del presente análisis la excepcionalidad de la presunción de inocencia en la normativa mexicana, así como las normas inconstitucionales sobre dicho derecho.</w:t>
      </w:r>
    </w:p>
  </w:footnote>
  <w:footnote w:id="3">
    <w:p w14:paraId="6C5CD6D9" w14:textId="3812174E" w:rsidR="00D27F67" w:rsidRPr="00433F7F" w:rsidRDefault="00D27F67" w:rsidP="00433F7F">
      <w:pPr>
        <w:pStyle w:val="Textonotapie"/>
        <w:spacing w:line="276" w:lineRule="auto"/>
        <w:ind w:left="709"/>
        <w:jc w:val="both"/>
        <w:rPr>
          <w:rFonts w:ascii="Arial" w:hAnsi="Arial" w:cs="Arial"/>
          <w:sz w:val="24"/>
          <w:szCs w:val="24"/>
          <w:lang w:val="es-ES"/>
        </w:rPr>
      </w:pPr>
      <w:r w:rsidRPr="00433F7F">
        <w:rPr>
          <w:rStyle w:val="Refdenotaalpie"/>
          <w:rFonts w:ascii="Arial" w:hAnsi="Arial" w:cs="Arial"/>
          <w:sz w:val="24"/>
          <w:szCs w:val="24"/>
        </w:rPr>
        <w:footnoteRef/>
      </w:r>
      <w:r w:rsidRPr="006D15B4">
        <w:rPr>
          <w:rFonts w:ascii="Arial" w:hAnsi="Arial" w:cs="Arial"/>
          <w:sz w:val="24"/>
          <w:szCs w:val="24"/>
          <w:lang w:val="es-MX"/>
        </w:rPr>
        <w:t xml:space="preserve"> </w:t>
      </w:r>
      <w:r w:rsidRPr="00433F7F">
        <w:rPr>
          <w:rFonts w:ascii="Arial" w:hAnsi="Arial" w:cs="Arial"/>
          <w:sz w:val="24"/>
          <w:szCs w:val="24"/>
          <w:lang w:val="es-MX"/>
        </w:rPr>
        <w:t>Ferrajoli</w:t>
      </w:r>
      <w:r>
        <w:rPr>
          <w:rFonts w:ascii="Arial" w:hAnsi="Arial" w:cs="Arial"/>
          <w:sz w:val="24"/>
          <w:szCs w:val="24"/>
          <w:lang w:val="es-MX"/>
        </w:rPr>
        <w:t>,</w:t>
      </w:r>
      <w:r w:rsidRPr="00433F7F">
        <w:rPr>
          <w:rFonts w:ascii="Arial" w:hAnsi="Arial" w:cs="Arial"/>
          <w:sz w:val="24"/>
          <w:szCs w:val="24"/>
          <w:lang w:val="es-MX"/>
        </w:rPr>
        <w:t xml:space="preserve"> </w:t>
      </w:r>
      <w:r>
        <w:rPr>
          <w:rFonts w:ascii="Arial" w:hAnsi="Arial" w:cs="Arial"/>
          <w:sz w:val="24"/>
          <w:szCs w:val="24"/>
          <w:lang w:val="es-MX"/>
        </w:rPr>
        <w:t xml:space="preserve">L., </w:t>
      </w:r>
      <w:r w:rsidRPr="00433F7F">
        <w:rPr>
          <w:rFonts w:ascii="Arial" w:hAnsi="Arial" w:cs="Arial"/>
          <w:i/>
          <w:iCs/>
          <w:sz w:val="24"/>
          <w:szCs w:val="24"/>
          <w:lang w:val="es-MX"/>
        </w:rPr>
        <w:t>Manifiesto por la igualdad</w:t>
      </w:r>
      <w:r w:rsidRPr="00433F7F">
        <w:rPr>
          <w:rFonts w:ascii="Arial" w:hAnsi="Arial" w:cs="Arial"/>
          <w:sz w:val="24"/>
          <w:szCs w:val="24"/>
          <w:lang w:val="es-MX"/>
        </w:rPr>
        <w:t>, Editorial Trotta, Madrid</w:t>
      </w:r>
      <w:r>
        <w:rPr>
          <w:rFonts w:ascii="Arial" w:hAnsi="Arial" w:cs="Arial"/>
          <w:sz w:val="24"/>
          <w:szCs w:val="24"/>
          <w:lang w:val="es-MX"/>
        </w:rPr>
        <w:t xml:space="preserve">, 2019, </w:t>
      </w:r>
      <w:r w:rsidRPr="00433F7F">
        <w:rPr>
          <w:rFonts w:ascii="Arial" w:hAnsi="Arial" w:cs="Arial"/>
          <w:sz w:val="24"/>
          <w:szCs w:val="24"/>
          <w:lang w:val="es-MX"/>
        </w:rPr>
        <w:t>p.40</w:t>
      </w:r>
    </w:p>
  </w:footnote>
  <w:footnote w:id="4">
    <w:p w14:paraId="0C8A5FFC" w14:textId="64AEAE09" w:rsidR="00D27F67" w:rsidRPr="00433F7F" w:rsidRDefault="00D27F67" w:rsidP="00433F7F">
      <w:pPr>
        <w:pStyle w:val="Textonotapie"/>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Stumer, A., </w:t>
      </w:r>
      <w:r w:rsidRPr="00433F7F">
        <w:rPr>
          <w:rFonts w:ascii="Arial" w:hAnsi="Arial" w:cs="Arial"/>
          <w:i/>
          <w:iCs/>
          <w:sz w:val="24"/>
          <w:szCs w:val="24"/>
          <w:lang w:val="es-MX"/>
        </w:rPr>
        <w:t xml:space="preserve">La presunción de inocencia. Perspectiva desde el Derecho probatorio y los derechos humanos, </w:t>
      </w:r>
      <w:r w:rsidRPr="00433F7F">
        <w:rPr>
          <w:rFonts w:ascii="Arial" w:hAnsi="Arial" w:cs="Arial"/>
          <w:sz w:val="24"/>
          <w:szCs w:val="24"/>
          <w:lang w:val="es-MX"/>
        </w:rPr>
        <w:t>Madrid, Marcial Pons, 2018, pp.21-22.</w:t>
      </w:r>
    </w:p>
  </w:footnote>
  <w:footnote w:id="5">
    <w:p w14:paraId="128F6088" w14:textId="3436EB5A" w:rsidR="00D27F67" w:rsidRPr="00433F7F" w:rsidRDefault="00D27F67" w:rsidP="00433F7F">
      <w:pPr>
        <w:pStyle w:val="Textonotapie"/>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4 de la Ley Nacional de Ejecución Penal </w:t>
      </w:r>
      <w:r w:rsidRPr="00433F7F">
        <w:rPr>
          <w:rFonts w:ascii="Arial" w:hAnsi="Arial" w:cs="Arial"/>
          <w:color w:val="000000"/>
          <w:sz w:val="24"/>
          <w:szCs w:val="24"/>
          <w:lang w:val="es-MX"/>
        </w:rPr>
        <w:t>(</w:t>
      </w:r>
      <w:r w:rsidRPr="00433F7F">
        <w:rPr>
          <w:rFonts w:ascii="Arial" w:hAnsi="Arial" w:cs="Arial"/>
          <w:i/>
          <w:color w:val="000000"/>
          <w:sz w:val="24"/>
          <w:szCs w:val="24"/>
          <w:lang w:val="es-MX"/>
        </w:rPr>
        <w:t>en adelante LNEP</w:t>
      </w:r>
      <w:r w:rsidRPr="00433F7F">
        <w:rPr>
          <w:rFonts w:ascii="Arial" w:hAnsi="Arial" w:cs="Arial"/>
          <w:color w:val="000000"/>
          <w:sz w:val="24"/>
          <w:szCs w:val="24"/>
          <w:lang w:val="es-MX"/>
        </w:rPr>
        <w:t>)</w:t>
      </w:r>
      <w:r w:rsidRPr="00433F7F">
        <w:rPr>
          <w:rFonts w:ascii="Arial" w:hAnsi="Arial" w:cs="Arial"/>
          <w:sz w:val="24"/>
          <w:szCs w:val="24"/>
          <w:lang w:val="es-MX"/>
        </w:rPr>
        <w:t>. Conforme el art. 8 de la Convención Americana sobre Derechos Humanos (</w:t>
      </w:r>
      <w:r w:rsidRPr="00433F7F">
        <w:rPr>
          <w:rFonts w:ascii="Arial" w:hAnsi="Arial" w:cs="Arial"/>
          <w:i/>
          <w:sz w:val="24"/>
          <w:szCs w:val="24"/>
          <w:lang w:val="es-MX"/>
        </w:rPr>
        <w:t>en adelante la Convención Americana</w:t>
      </w:r>
      <w:r w:rsidRPr="00433F7F">
        <w:rPr>
          <w:rFonts w:ascii="Arial" w:hAnsi="Arial" w:cs="Arial"/>
          <w:sz w:val="24"/>
          <w:szCs w:val="24"/>
          <w:lang w:val="es-MX"/>
        </w:rPr>
        <w:t xml:space="preserve">) las garantías judiciales para la conformación de este concepto. </w:t>
      </w:r>
    </w:p>
  </w:footnote>
  <w:footnote w:id="6">
    <w:p w14:paraId="2176ED51" w14:textId="24CF103C" w:rsidR="00D27F67" w:rsidRPr="00433F7F" w:rsidRDefault="00D27F67" w:rsidP="00433F7F">
      <w:pPr>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Sin embargo, en cuanto a la protección de garantías procesales, la tutela de la dignidad humana, la libertad personal, integridad, honor entre otras, a lo largo del tiempo el trato de la persona como culpable</w:t>
      </w:r>
      <w:r>
        <w:rPr>
          <w:rFonts w:ascii="Arial" w:hAnsi="Arial" w:cs="Arial"/>
          <w:sz w:val="24"/>
          <w:szCs w:val="24"/>
          <w:lang w:val="es-MX"/>
        </w:rPr>
        <w:t>,</w:t>
      </w:r>
      <w:r w:rsidRPr="00433F7F">
        <w:rPr>
          <w:rFonts w:ascii="Arial" w:hAnsi="Arial" w:cs="Arial"/>
          <w:sz w:val="24"/>
          <w:szCs w:val="24"/>
          <w:lang w:val="es-MX"/>
        </w:rPr>
        <w:t xml:space="preserve"> hasta que se demuestre su inocencia</w:t>
      </w:r>
      <w:r>
        <w:rPr>
          <w:rFonts w:ascii="Arial" w:hAnsi="Arial" w:cs="Arial"/>
          <w:sz w:val="24"/>
          <w:szCs w:val="24"/>
          <w:lang w:val="es-MX"/>
        </w:rPr>
        <w:t>,</w:t>
      </w:r>
      <w:r w:rsidRPr="00433F7F">
        <w:rPr>
          <w:rFonts w:ascii="Arial" w:hAnsi="Arial" w:cs="Arial"/>
          <w:sz w:val="24"/>
          <w:szCs w:val="24"/>
          <w:lang w:val="es-MX"/>
        </w:rPr>
        <w:t xml:space="preserve"> ha sido una forma de llevar el proceso</w:t>
      </w:r>
      <w:r>
        <w:rPr>
          <w:rFonts w:ascii="Arial" w:hAnsi="Arial" w:cs="Arial"/>
          <w:sz w:val="24"/>
          <w:szCs w:val="24"/>
          <w:lang w:val="es-MX"/>
        </w:rPr>
        <w:t>.</w:t>
      </w:r>
      <w:r w:rsidRPr="00433F7F">
        <w:rPr>
          <w:rFonts w:ascii="Arial" w:hAnsi="Arial" w:cs="Arial"/>
          <w:sz w:val="24"/>
          <w:szCs w:val="24"/>
          <w:lang w:val="es-MX"/>
        </w:rPr>
        <w:t xml:space="preserve"> </w:t>
      </w:r>
      <w:r>
        <w:rPr>
          <w:rFonts w:ascii="Arial" w:hAnsi="Arial" w:cs="Arial"/>
          <w:sz w:val="24"/>
          <w:szCs w:val="24"/>
          <w:lang w:val="es-MX"/>
        </w:rPr>
        <w:t>Y</w:t>
      </w:r>
      <w:r w:rsidRPr="00433F7F">
        <w:rPr>
          <w:rFonts w:ascii="Arial" w:hAnsi="Arial" w:cs="Arial"/>
          <w:sz w:val="24"/>
          <w:szCs w:val="24"/>
          <w:lang w:val="es-MX"/>
        </w:rPr>
        <w:t>, eso ha derivado en un trato inaceptable de las personas inculpadas. Como sabemos, el funcionamiento del modelo de justicia penal, se ha sentado en bases del punitivismo; acudir al castigo a través de la pena como forma de hacer justicia, es y ha sido aplicado a lo largo del tiempo como forma de solución.</w:t>
      </w:r>
    </w:p>
  </w:footnote>
  <w:footnote w:id="7">
    <w:p w14:paraId="0A6EC38D" w14:textId="580D002C" w:rsidR="00D27F67" w:rsidRPr="00433F7F" w:rsidRDefault="00D27F67" w:rsidP="00433F7F">
      <w:pPr>
        <w:pStyle w:val="Textonotapie"/>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Decreto por el que se reforman y adicionan diversas disposiciones de la Constitución Política de los Estados Unidos Mexicano, Diario Oficial de la Federación (</w:t>
      </w:r>
      <w:r w:rsidRPr="00433F7F">
        <w:rPr>
          <w:rFonts w:ascii="Arial" w:hAnsi="Arial" w:cs="Arial"/>
          <w:i/>
          <w:sz w:val="24"/>
          <w:szCs w:val="24"/>
          <w:lang w:val="es-MX"/>
        </w:rPr>
        <w:t>en adelante DOF</w:t>
      </w:r>
      <w:r w:rsidRPr="00433F7F">
        <w:rPr>
          <w:rFonts w:ascii="Arial" w:hAnsi="Arial" w:cs="Arial"/>
          <w:sz w:val="24"/>
          <w:szCs w:val="24"/>
          <w:lang w:val="es-MX"/>
        </w:rPr>
        <w:t xml:space="preserve">): 18-06-2008, </w:t>
      </w:r>
      <w:hyperlink r:id="rId1" w:history="1">
        <w:r w:rsidRPr="00433F7F">
          <w:rPr>
            <w:rStyle w:val="Hipervnculo"/>
            <w:rFonts w:ascii="Arial" w:hAnsi="Arial" w:cs="Arial"/>
            <w:sz w:val="24"/>
            <w:szCs w:val="24"/>
            <w:lang w:val="es-MX"/>
          </w:rPr>
          <w:t>http://dof.gob.mx/nota_detalle.php?codigo=5046978&amp;fecha=18/06/2008</w:t>
        </w:r>
      </w:hyperlink>
      <w:r w:rsidRPr="00433F7F">
        <w:rPr>
          <w:rFonts w:ascii="Arial" w:hAnsi="Arial" w:cs="Arial"/>
          <w:sz w:val="24"/>
          <w:szCs w:val="24"/>
          <w:lang w:val="es-MX"/>
        </w:rPr>
        <w:t xml:space="preserve"> </w:t>
      </w:r>
    </w:p>
  </w:footnote>
  <w:footnote w:id="8">
    <w:p w14:paraId="07CBEC6C" w14:textId="0DE7CB86" w:rsidR="00D27F67" w:rsidRPr="00433F7F" w:rsidRDefault="00D27F67" w:rsidP="00433F7F">
      <w:pPr>
        <w:pStyle w:val="Textonotapie"/>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Decreto por el que se modifica la denominación del Capítulo I del Título Primero y reforma diversos artículos de la Constitución Política de los Estados Unidos Mexicanos, DOF: 10-06-2011, </w:t>
      </w:r>
      <w:hyperlink r:id="rId2" w:history="1">
        <w:r w:rsidRPr="00433F7F">
          <w:rPr>
            <w:rStyle w:val="Hipervnculo"/>
            <w:rFonts w:ascii="Arial" w:hAnsi="Arial" w:cs="Arial"/>
            <w:sz w:val="24"/>
            <w:szCs w:val="24"/>
            <w:lang w:val="es-MX"/>
          </w:rPr>
          <w:t>http://dof.gob.mx/nota_detalle.php?codigo=5194486&amp;fecha=10/06/2011</w:t>
        </w:r>
      </w:hyperlink>
    </w:p>
  </w:footnote>
  <w:footnote w:id="9">
    <w:p w14:paraId="60C2A8F8" w14:textId="5A5265FA" w:rsidR="00D27F67" w:rsidRPr="00433F7F" w:rsidRDefault="00D27F67" w:rsidP="00433F7F">
      <w:pPr>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No se debe perder de vista que la carga de la prueba ahora la tiene quien acusa, por lo tanto, el trato que recib</w:t>
      </w:r>
      <w:r>
        <w:rPr>
          <w:rFonts w:ascii="Arial" w:hAnsi="Arial" w:cs="Arial"/>
          <w:sz w:val="24"/>
          <w:szCs w:val="24"/>
          <w:lang w:val="es-MX"/>
        </w:rPr>
        <w:t xml:space="preserve">e </w:t>
      </w:r>
      <w:r w:rsidRPr="00433F7F">
        <w:rPr>
          <w:rFonts w:ascii="Arial" w:hAnsi="Arial" w:cs="Arial"/>
          <w:sz w:val="24"/>
          <w:szCs w:val="24"/>
          <w:lang w:val="es-MX"/>
        </w:rPr>
        <w:t xml:space="preserve">la persona debe de ser adecuado </w:t>
      </w:r>
      <w:r w:rsidRPr="0004580F">
        <w:rPr>
          <w:rFonts w:ascii="Arial" w:hAnsi="Arial" w:cs="Arial"/>
          <w:sz w:val="24"/>
          <w:szCs w:val="24"/>
          <w:lang w:val="es-MX"/>
        </w:rPr>
        <w:t>y</w:t>
      </w:r>
      <w:r w:rsidRPr="006D15B4">
        <w:rPr>
          <w:rFonts w:ascii="Arial" w:hAnsi="Arial" w:cs="Arial"/>
          <w:sz w:val="24"/>
          <w:szCs w:val="24"/>
          <w:highlight w:val="cyan"/>
          <w:lang w:val="es-MX"/>
        </w:rPr>
        <w:t xml:space="preserve"> </w:t>
      </w:r>
      <w:r w:rsidRPr="00E73388">
        <w:rPr>
          <w:rFonts w:ascii="Arial" w:hAnsi="Arial" w:cs="Arial"/>
          <w:sz w:val="24"/>
          <w:szCs w:val="24"/>
          <w:lang w:val="es-MX"/>
        </w:rPr>
        <w:t>si existe justificación.</w:t>
      </w:r>
      <w:r w:rsidRPr="00433F7F">
        <w:rPr>
          <w:rFonts w:ascii="Arial" w:hAnsi="Arial" w:cs="Arial"/>
          <w:sz w:val="24"/>
          <w:szCs w:val="24"/>
          <w:lang w:val="es-MX"/>
        </w:rPr>
        <w:t xml:space="preserve"> </w:t>
      </w:r>
      <w:r>
        <w:rPr>
          <w:rFonts w:ascii="Arial" w:hAnsi="Arial" w:cs="Arial"/>
          <w:sz w:val="24"/>
          <w:szCs w:val="24"/>
          <w:lang w:val="es-MX"/>
        </w:rPr>
        <w:t>C</w:t>
      </w:r>
      <w:r w:rsidRPr="00433F7F">
        <w:rPr>
          <w:rFonts w:ascii="Arial" w:hAnsi="Arial" w:cs="Arial"/>
          <w:sz w:val="24"/>
          <w:szCs w:val="24"/>
          <w:lang w:val="es-MX"/>
        </w:rPr>
        <w:t>abe precisar que el anterior modelo de justicia, establecía la carga de la prueba de manera invertida,</w:t>
      </w:r>
      <w:r>
        <w:rPr>
          <w:rFonts w:ascii="Arial" w:hAnsi="Arial" w:cs="Arial"/>
          <w:sz w:val="24"/>
          <w:szCs w:val="24"/>
          <w:lang w:val="es-MX"/>
        </w:rPr>
        <w:t xml:space="preserve"> es decir, </w:t>
      </w:r>
      <w:r w:rsidRPr="00433F7F">
        <w:rPr>
          <w:rFonts w:ascii="Arial" w:hAnsi="Arial" w:cs="Arial"/>
          <w:sz w:val="24"/>
          <w:szCs w:val="24"/>
          <w:lang w:val="es-MX"/>
        </w:rPr>
        <w:t>la persona inculpada</w:t>
      </w:r>
      <w:r>
        <w:rPr>
          <w:rFonts w:ascii="Arial" w:hAnsi="Arial" w:cs="Arial"/>
          <w:sz w:val="24"/>
          <w:szCs w:val="24"/>
          <w:lang w:val="es-MX"/>
        </w:rPr>
        <w:t xml:space="preserve"> era</w:t>
      </w:r>
      <w:r w:rsidRPr="00433F7F">
        <w:rPr>
          <w:rFonts w:ascii="Arial" w:hAnsi="Arial" w:cs="Arial"/>
          <w:sz w:val="24"/>
          <w:szCs w:val="24"/>
          <w:lang w:val="es-MX"/>
        </w:rPr>
        <w:t xml:space="preserve"> quien debía demostrar su inocencia.</w:t>
      </w:r>
    </w:p>
  </w:footnote>
  <w:footnote w:id="10">
    <w:p w14:paraId="4391E6BF" w14:textId="55654763" w:rsidR="00D27F67" w:rsidRPr="00433F7F" w:rsidRDefault="00D27F67" w:rsidP="00433F7F">
      <w:pPr>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Con el cambio de modelo de justicia penal, al menos ahora</w:t>
      </w:r>
      <w:r>
        <w:rPr>
          <w:rFonts w:ascii="Arial" w:hAnsi="Arial" w:cs="Arial"/>
          <w:sz w:val="24"/>
          <w:szCs w:val="24"/>
          <w:lang w:val="es-MX"/>
        </w:rPr>
        <w:t>,</w:t>
      </w:r>
      <w:r w:rsidRPr="00433F7F">
        <w:rPr>
          <w:rFonts w:ascii="Arial" w:hAnsi="Arial" w:cs="Arial"/>
          <w:sz w:val="24"/>
          <w:szCs w:val="24"/>
          <w:lang w:val="es-MX"/>
        </w:rPr>
        <w:t xml:space="preserve"> tenemos un plazo de tiempo para que se termine el proceso, pero antes de ello, a una persona se le podía tener privada de la libertad durante décadas sin que hubiera sentencia. Por lo tanto, se excedían los fines de pena ante procesos donde se esperaba el proceso con la medida cautelar de prisión preventiva.</w:t>
      </w:r>
    </w:p>
  </w:footnote>
  <w:footnote w:id="11">
    <w:p w14:paraId="6A79FA18" w14:textId="13CA8D61" w:rsidR="00D27F67" w:rsidRDefault="00D27F67" w:rsidP="004A7BB5">
      <w:pPr>
        <w:pStyle w:val="Textonotapie"/>
        <w:ind w:left="720" w:right="630"/>
        <w:jc w:val="both"/>
        <w:rPr>
          <w:rFonts w:ascii="Arial" w:hAnsi="Arial" w:cs="Arial"/>
          <w:sz w:val="24"/>
          <w:szCs w:val="24"/>
          <w:lang w:val="es-MX"/>
        </w:rPr>
      </w:pPr>
      <w:r>
        <w:rPr>
          <w:rStyle w:val="Refdenotaalpie"/>
        </w:rPr>
        <w:footnoteRef/>
      </w:r>
      <w:r w:rsidRPr="00B34948">
        <w:rPr>
          <w:lang w:val="es-MX"/>
        </w:rPr>
        <w:t xml:space="preserve"> </w:t>
      </w:r>
      <w:r w:rsidRPr="00464C3E">
        <w:rPr>
          <w:rFonts w:ascii="Arial" w:hAnsi="Arial" w:cs="Arial"/>
          <w:sz w:val="24"/>
          <w:szCs w:val="24"/>
          <w:lang w:val="es-MX"/>
        </w:rPr>
        <w:t xml:space="preserve">Se convierte en una práctica </w:t>
      </w:r>
      <w:r>
        <w:rPr>
          <w:rFonts w:ascii="Arial" w:hAnsi="Arial" w:cs="Arial"/>
          <w:sz w:val="24"/>
          <w:szCs w:val="24"/>
          <w:lang w:val="es-MX"/>
        </w:rPr>
        <w:t xml:space="preserve">que </w:t>
      </w:r>
      <w:r w:rsidRPr="00464C3E">
        <w:rPr>
          <w:rFonts w:ascii="Arial" w:hAnsi="Arial" w:cs="Arial"/>
          <w:sz w:val="24"/>
          <w:szCs w:val="24"/>
          <w:lang w:val="es-MX"/>
        </w:rPr>
        <w:t>bajo man</w:t>
      </w:r>
      <w:r>
        <w:rPr>
          <w:rFonts w:ascii="Arial" w:hAnsi="Arial" w:cs="Arial"/>
          <w:sz w:val="24"/>
          <w:szCs w:val="24"/>
          <w:lang w:val="es-MX"/>
        </w:rPr>
        <w:t>d</w:t>
      </w:r>
      <w:r w:rsidRPr="00464C3E">
        <w:rPr>
          <w:rFonts w:ascii="Arial" w:hAnsi="Arial" w:cs="Arial"/>
          <w:sz w:val="24"/>
          <w:szCs w:val="24"/>
          <w:lang w:val="es-MX"/>
        </w:rPr>
        <w:t>ato constitucional</w:t>
      </w:r>
      <w:r>
        <w:rPr>
          <w:rFonts w:ascii="Arial" w:hAnsi="Arial" w:cs="Arial"/>
          <w:sz w:val="24"/>
          <w:szCs w:val="24"/>
          <w:lang w:val="es-MX"/>
        </w:rPr>
        <w:t>,</w:t>
      </w:r>
      <w:r w:rsidRPr="00464C3E">
        <w:rPr>
          <w:rFonts w:ascii="Arial" w:hAnsi="Arial" w:cs="Arial"/>
          <w:sz w:val="24"/>
          <w:szCs w:val="24"/>
          <w:lang w:val="es-MX"/>
        </w:rPr>
        <w:t xml:space="preserve"> donde </w:t>
      </w:r>
      <w:r>
        <w:rPr>
          <w:rFonts w:ascii="Arial" w:hAnsi="Arial" w:cs="Arial"/>
          <w:sz w:val="24"/>
          <w:szCs w:val="24"/>
          <w:lang w:val="es-MX"/>
        </w:rPr>
        <w:t>se impone</w:t>
      </w:r>
      <w:r w:rsidRPr="00464C3E">
        <w:rPr>
          <w:rFonts w:ascii="Arial" w:hAnsi="Arial" w:cs="Arial"/>
          <w:sz w:val="24"/>
          <w:szCs w:val="24"/>
          <w:lang w:val="es-MX"/>
        </w:rPr>
        <w:t xml:space="preserve"> prisión </w:t>
      </w:r>
      <w:r>
        <w:rPr>
          <w:rFonts w:ascii="Arial" w:hAnsi="Arial" w:cs="Arial"/>
          <w:sz w:val="24"/>
          <w:szCs w:val="24"/>
          <w:lang w:val="es-MX"/>
        </w:rPr>
        <w:t xml:space="preserve">preventiva </w:t>
      </w:r>
      <w:r w:rsidRPr="00464C3E">
        <w:rPr>
          <w:rFonts w:ascii="Arial" w:hAnsi="Arial" w:cs="Arial"/>
          <w:sz w:val="24"/>
          <w:szCs w:val="24"/>
          <w:lang w:val="es-MX"/>
        </w:rPr>
        <w:t>“de oficio”</w:t>
      </w:r>
      <w:r>
        <w:rPr>
          <w:rFonts w:ascii="Arial" w:hAnsi="Arial" w:cs="Arial"/>
          <w:sz w:val="24"/>
          <w:szCs w:val="24"/>
          <w:lang w:val="es-MX"/>
        </w:rPr>
        <w:t xml:space="preserve"> de manera arbitraria y contraria al respeto de los derechos humanos propios del proceso penal</w:t>
      </w:r>
      <w:r w:rsidRPr="00464C3E">
        <w:rPr>
          <w:rFonts w:ascii="Arial" w:hAnsi="Arial" w:cs="Arial"/>
          <w:sz w:val="24"/>
          <w:szCs w:val="24"/>
          <w:lang w:val="es-MX"/>
        </w:rPr>
        <w:t xml:space="preserve">. En virtud de que no se </w:t>
      </w:r>
      <w:r>
        <w:rPr>
          <w:rFonts w:ascii="Arial" w:hAnsi="Arial" w:cs="Arial"/>
          <w:sz w:val="24"/>
          <w:szCs w:val="24"/>
          <w:lang w:val="es-MX"/>
        </w:rPr>
        <w:t>debate</w:t>
      </w:r>
      <w:r w:rsidRPr="00464C3E">
        <w:rPr>
          <w:rFonts w:ascii="Arial" w:hAnsi="Arial" w:cs="Arial"/>
          <w:sz w:val="24"/>
          <w:szCs w:val="24"/>
          <w:lang w:val="es-MX"/>
        </w:rPr>
        <w:t xml:space="preserve"> la pertinencia de la prisión como medida óptima va en contra de la presunción de inocencia</w:t>
      </w:r>
      <w:r>
        <w:rPr>
          <w:rFonts w:ascii="Arial" w:hAnsi="Arial" w:cs="Arial"/>
          <w:sz w:val="24"/>
          <w:szCs w:val="24"/>
          <w:lang w:val="es-MX"/>
        </w:rPr>
        <w:t>, el derecho de defensa,</w:t>
      </w:r>
      <w:r w:rsidRPr="00464C3E">
        <w:rPr>
          <w:rFonts w:ascii="Arial" w:hAnsi="Arial" w:cs="Arial"/>
          <w:sz w:val="24"/>
          <w:szCs w:val="24"/>
          <w:lang w:val="es-MX"/>
        </w:rPr>
        <w:t xml:space="preserve"> y de toda la afectación que conlleva estar en prisión sin que se demuestre la posible culpabilidad solo con simples datos de prueba</w:t>
      </w:r>
      <w:r>
        <w:rPr>
          <w:rFonts w:ascii="Arial" w:hAnsi="Arial" w:cs="Arial"/>
          <w:sz w:val="24"/>
          <w:szCs w:val="24"/>
          <w:lang w:val="es-MX"/>
        </w:rPr>
        <w:t xml:space="preserve"> que ni siquiera se discuten</w:t>
      </w:r>
      <w:r w:rsidRPr="00464C3E">
        <w:rPr>
          <w:rFonts w:ascii="Arial" w:hAnsi="Arial" w:cs="Arial"/>
          <w:sz w:val="24"/>
          <w:szCs w:val="24"/>
          <w:lang w:val="es-MX"/>
        </w:rPr>
        <w:t>.</w:t>
      </w:r>
      <w:r>
        <w:rPr>
          <w:rFonts w:ascii="Arial" w:hAnsi="Arial" w:cs="Arial"/>
          <w:sz w:val="24"/>
          <w:szCs w:val="24"/>
          <w:lang w:val="es-MX"/>
        </w:rPr>
        <w:t xml:space="preserve"> Ver en este sentido a Rodríguez Rescia, Víctor Manuel, </w:t>
      </w:r>
      <w:r w:rsidRPr="004A7BB5">
        <w:rPr>
          <w:rFonts w:ascii="Arial" w:hAnsi="Arial" w:cs="Arial"/>
          <w:i/>
          <w:sz w:val="24"/>
          <w:szCs w:val="24"/>
          <w:lang w:val="es-MX"/>
        </w:rPr>
        <w:t>El debido proceso legal y la Convención Americana sobre Derechos Humanos</w:t>
      </w:r>
      <w:r>
        <w:rPr>
          <w:rFonts w:ascii="Arial" w:hAnsi="Arial" w:cs="Arial"/>
          <w:sz w:val="24"/>
          <w:szCs w:val="24"/>
          <w:lang w:val="es-MX"/>
        </w:rPr>
        <w:t xml:space="preserve">, p. 1311 y ss. Ver en </w:t>
      </w:r>
      <w:hyperlink r:id="rId3" w:history="1">
        <w:r w:rsidRPr="003E75B4">
          <w:rPr>
            <w:rStyle w:val="Hipervnculo"/>
            <w:rFonts w:ascii="Arial" w:hAnsi="Arial" w:cs="Arial"/>
            <w:sz w:val="24"/>
            <w:szCs w:val="24"/>
            <w:lang w:val="es-MX"/>
          </w:rPr>
          <w:t>https://www.corteidh.or.cr/tablas/a17762.pdf</w:t>
        </w:r>
      </w:hyperlink>
    </w:p>
    <w:p w14:paraId="4D8A482B" w14:textId="77777777" w:rsidR="00D27F67" w:rsidRPr="00464C3E" w:rsidRDefault="00D27F67" w:rsidP="004A7BB5">
      <w:pPr>
        <w:pStyle w:val="Textonotapie"/>
        <w:ind w:left="720" w:right="630"/>
        <w:jc w:val="both"/>
        <w:rPr>
          <w:rFonts w:ascii="Arial" w:hAnsi="Arial" w:cs="Arial"/>
          <w:sz w:val="24"/>
          <w:szCs w:val="24"/>
          <w:lang w:val="es-MX"/>
        </w:rPr>
      </w:pPr>
    </w:p>
  </w:footnote>
  <w:footnote w:id="12">
    <w:p w14:paraId="7F65038F" w14:textId="0707DDA8" w:rsidR="00D27F67" w:rsidRPr="0004580F" w:rsidRDefault="00D27F67" w:rsidP="00E73388">
      <w:pPr>
        <w:pStyle w:val="Textonotapie"/>
        <w:tabs>
          <w:tab w:val="left" w:pos="180"/>
        </w:tabs>
        <w:ind w:left="720" w:right="720"/>
        <w:jc w:val="both"/>
        <w:rPr>
          <w:rFonts w:ascii="Arial" w:hAnsi="Arial" w:cs="Arial"/>
          <w:sz w:val="24"/>
          <w:szCs w:val="24"/>
          <w:lang w:val="es-MX"/>
        </w:rPr>
      </w:pPr>
      <w:r w:rsidRPr="0004580F">
        <w:rPr>
          <w:rStyle w:val="Refdenotaalpie"/>
          <w:rFonts w:ascii="Arial" w:hAnsi="Arial" w:cs="Arial"/>
          <w:sz w:val="24"/>
          <w:szCs w:val="24"/>
        </w:rPr>
        <w:footnoteRef/>
      </w:r>
      <w:r w:rsidRPr="0004580F">
        <w:rPr>
          <w:rFonts w:ascii="Arial" w:hAnsi="Arial" w:cs="Arial"/>
          <w:sz w:val="24"/>
          <w:szCs w:val="24"/>
          <w:lang w:val="es-MX"/>
        </w:rPr>
        <w:t xml:space="preserve"> </w:t>
      </w:r>
      <w:r>
        <w:rPr>
          <w:rFonts w:ascii="Arial" w:hAnsi="Arial" w:cs="Arial"/>
          <w:sz w:val="24"/>
          <w:szCs w:val="24"/>
          <w:lang w:val="es-MX"/>
        </w:rPr>
        <w:t xml:space="preserve">Ver en este sentido, </w:t>
      </w:r>
      <w:r w:rsidRPr="0004580F">
        <w:rPr>
          <w:rFonts w:ascii="Arial" w:hAnsi="Arial" w:cs="Arial"/>
          <w:sz w:val="24"/>
          <w:szCs w:val="24"/>
          <w:lang w:val="es-MX"/>
        </w:rPr>
        <w:t>Salazar</w:t>
      </w:r>
      <w:r>
        <w:rPr>
          <w:rFonts w:ascii="Arial" w:hAnsi="Arial" w:cs="Arial"/>
          <w:sz w:val="24"/>
          <w:szCs w:val="24"/>
          <w:lang w:val="es-MX"/>
        </w:rPr>
        <w:t xml:space="preserve"> Quiñonez</w:t>
      </w:r>
      <w:r w:rsidRPr="0004580F">
        <w:rPr>
          <w:rFonts w:ascii="Arial" w:hAnsi="Arial" w:cs="Arial"/>
          <w:sz w:val="24"/>
          <w:szCs w:val="24"/>
          <w:lang w:val="es-MX"/>
        </w:rPr>
        <w:t xml:space="preserve">, </w:t>
      </w:r>
      <w:r>
        <w:rPr>
          <w:rFonts w:ascii="Arial" w:hAnsi="Arial" w:cs="Arial"/>
          <w:sz w:val="24"/>
          <w:szCs w:val="24"/>
          <w:lang w:val="es-MX"/>
        </w:rPr>
        <w:t xml:space="preserve">A., </w:t>
      </w:r>
      <w:r w:rsidRPr="00E73388">
        <w:rPr>
          <w:rFonts w:ascii="Arial" w:hAnsi="Arial" w:cs="Arial"/>
          <w:i/>
          <w:iCs/>
          <w:sz w:val="24"/>
          <w:szCs w:val="24"/>
          <w:lang w:val="es-MX"/>
        </w:rPr>
        <w:t>Medidas cautelares en materia penal. Retos y perspectivas</w:t>
      </w:r>
      <w:r>
        <w:rPr>
          <w:rFonts w:ascii="Arial" w:hAnsi="Arial" w:cs="Arial"/>
          <w:sz w:val="24"/>
          <w:szCs w:val="24"/>
          <w:lang w:val="es-MX"/>
        </w:rPr>
        <w:t xml:space="preserve">, Colección investigación 44, INACIPE, México, 2021. </w:t>
      </w:r>
    </w:p>
  </w:footnote>
  <w:footnote w:id="13">
    <w:p w14:paraId="1E565FC8" w14:textId="78B9D827" w:rsidR="00D27F67" w:rsidRPr="0070555A" w:rsidRDefault="00D27F67" w:rsidP="00987C5E">
      <w:pPr>
        <w:pStyle w:val="Textonotapie"/>
        <w:ind w:left="720" w:right="630"/>
        <w:jc w:val="both"/>
        <w:rPr>
          <w:rFonts w:ascii="Arial" w:hAnsi="Arial" w:cs="Arial"/>
          <w:sz w:val="24"/>
          <w:szCs w:val="24"/>
          <w:lang w:val="es-MX"/>
        </w:rPr>
      </w:pPr>
      <w:r>
        <w:rPr>
          <w:rStyle w:val="Refdenotaalpie"/>
        </w:rPr>
        <w:footnoteRef/>
      </w:r>
      <w:r w:rsidRPr="000C5E57">
        <w:rPr>
          <w:rFonts w:ascii="Arial" w:hAnsi="Arial" w:cs="Arial"/>
          <w:spacing w:val="3"/>
          <w:sz w:val="27"/>
          <w:szCs w:val="27"/>
          <w:shd w:val="clear" w:color="auto" w:fill="FFFFFF"/>
          <w:lang w:val="es-MX"/>
        </w:rPr>
        <w:t>Chrístel Rosales,</w:t>
      </w:r>
      <w:r>
        <w:rPr>
          <w:rFonts w:ascii="Raleway" w:hAnsi="Raleway"/>
          <w:color w:val="464646"/>
          <w:spacing w:val="3"/>
          <w:sz w:val="27"/>
          <w:szCs w:val="27"/>
          <w:shd w:val="clear" w:color="auto" w:fill="FFFFFF"/>
          <w:lang w:val="es-MX"/>
        </w:rPr>
        <w:t xml:space="preserve"> </w:t>
      </w:r>
      <w:r w:rsidRPr="0070555A">
        <w:rPr>
          <w:rFonts w:ascii="Arial" w:hAnsi="Arial" w:cs="Arial"/>
          <w:sz w:val="24"/>
          <w:szCs w:val="24"/>
          <w:lang w:val="es-MX"/>
        </w:rPr>
        <w:t xml:space="preserve">México Evalúa, </w:t>
      </w:r>
      <w:r w:rsidRPr="0070555A">
        <w:rPr>
          <w:rFonts w:ascii="Arial" w:hAnsi="Arial" w:cs="Arial"/>
          <w:i/>
          <w:iCs/>
          <w:sz w:val="24"/>
          <w:szCs w:val="24"/>
          <w:lang w:val="es-MX"/>
        </w:rPr>
        <w:t>2022: Justicia o ficción</w:t>
      </w:r>
      <w:r w:rsidRPr="0070555A">
        <w:rPr>
          <w:rFonts w:ascii="Arial" w:hAnsi="Arial" w:cs="Arial"/>
          <w:sz w:val="24"/>
          <w:szCs w:val="24"/>
          <w:lang w:val="es-MX"/>
        </w:rPr>
        <w:t xml:space="preserve">, ver en </w:t>
      </w:r>
      <w:hyperlink r:id="rId4" w:history="1">
        <w:r w:rsidRPr="001C263D">
          <w:rPr>
            <w:rStyle w:val="Hipervnculo"/>
            <w:rFonts w:ascii="Arial" w:hAnsi="Arial" w:cs="Arial"/>
            <w:sz w:val="24"/>
            <w:szCs w:val="24"/>
            <w:lang w:val="es-MX"/>
          </w:rPr>
          <w:t>https://www.mexicoevalua.org/2022-justicia-o-ficcion/</w:t>
        </w:r>
      </w:hyperlink>
      <w:r>
        <w:rPr>
          <w:rFonts w:ascii="Arial" w:hAnsi="Arial" w:cs="Arial"/>
          <w:sz w:val="24"/>
          <w:szCs w:val="24"/>
          <w:lang w:val="es-MX"/>
        </w:rPr>
        <w:t xml:space="preserve"> </w:t>
      </w:r>
    </w:p>
  </w:footnote>
  <w:footnote w:id="14">
    <w:p w14:paraId="5AE5F98E" w14:textId="6E3558D2" w:rsidR="00D27F67" w:rsidRPr="006043DC" w:rsidRDefault="00D27F67" w:rsidP="00433F7F">
      <w:pPr>
        <w:pStyle w:val="Textonotapie"/>
        <w:spacing w:line="276" w:lineRule="auto"/>
        <w:ind w:left="720" w:right="720"/>
        <w:jc w:val="both"/>
        <w:rPr>
          <w:rFonts w:ascii="Arial" w:hAnsi="Arial" w:cs="Arial"/>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Según el art. 3. Apartado X de la LNEP, 16-06-2016, modificaciones de fecha 09-05-2018.</w:t>
      </w:r>
    </w:p>
  </w:footnote>
  <w:footnote w:id="15">
    <w:p w14:paraId="72FBBD4B" w14:textId="29708392"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1 de la CPEUM. Esto supuso un hito muy importante en nuestro país, la necesidad de contar con un reconocimiento normativo en materia de derechos humanos y </w:t>
      </w:r>
      <w:r>
        <w:rPr>
          <w:rFonts w:ascii="Arial" w:hAnsi="Arial" w:cs="Arial"/>
          <w:sz w:val="24"/>
          <w:szCs w:val="24"/>
          <w:lang w:val="es-MX"/>
        </w:rPr>
        <w:t>en</w:t>
      </w:r>
      <w:r w:rsidRPr="00433F7F">
        <w:rPr>
          <w:rFonts w:ascii="Arial" w:hAnsi="Arial" w:cs="Arial"/>
          <w:sz w:val="24"/>
          <w:szCs w:val="24"/>
          <w:lang w:val="es-MX"/>
        </w:rPr>
        <w:t xml:space="preserve"> materia de justicia penal</w:t>
      </w:r>
      <w:r>
        <w:rPr>
          <w:rFonts w:ascii="Arial" w:hAnsi="Arial" w:cs="Arial"/>
          <w:sz w:val="24"/>
          <w:szCs w:val="24"/>
          <w:lang w:val="es-MX"/>
        </w:rPr>
        <w:t>;</w:t>
      </w:r>
      <w:r w:rsidRPr="00433F7F">
        <w:rPr>
          <w:rFonts w:ascii="Arial" w:hAnsi="Arial" w:cs="Arial"/>
          <w:sz w:val="24"/>
          <w:szCs w:val="24"/>
          <w:lang w:val="es-MX"/>
        </w:rPr>
        <w:t xml:space="preserve"> era imprescindible asegurar la impartición de justicia penal conforme al debido proceso.</w:t>
      </w:r>
    </w:p>
  </w:footnote>
  <w:footnote w:id="16">
    <w:p w14:paraId="029D56E5" w14:textId="525C71A9" w:rsidR="00D27F67" w:rsidRPr="006043DC" w:rsidRDefault="00D27F67" w:rsidP="00433F7F">
      <w:pPr>
        <w:pStyle w:val="Textonotapie"/>
        <w:spacing w:line="360" w:lineRule="auto"/>
        <w:ind w:left="720" w:right="720"/>
        <w:jc w:val="both"/>
        <w:rPr>
          <w:rFonts w:ascii="Arial" w:hAnsi="Arial" w:cs="Arial"/>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color w:val="000000"/>
          <w:sz w:val="24"/>
          <w:szCs w:val="24"/>
          <w:lang w:val="es-MX"/>
        </w:rPr>
        <w:t xml:space="preserve">Tesis: P. XXXV/2002,TA, 10ª Época, Pleno, </w:t>
      </w:r>
      <w:r w:rsidRPr="00433F7F">
        <w:rPr>
          <w:rFonts w:ascii="Arial" w:eastAsia="Times New Roman" w:hAnsi="Arial" w:cs="Arial"/>
          <w:i/>
          <w:iCs/>
          <w:color w:val="000000"/>
          <w:sz w:val="24"/>
          <w:szCs w:val="24"/>
          <w:lang w:val="es-MX"/>
        </w:rPr>
        <w:t>Semanario Judicial de la Federación y su Gaceta</w:t>
      </w:r>
      <w:r w:rsidRPr="00433F7F">
        <w:rPr>
          <w:rFonts w:ascii="Arial" w:eastAsia="Times New Roman" w:hAnsi="Arial" w:cs="Arial"/>
          <w:color w:val="000000"/>
          <w:sz w:val="24"/>
          <w:szCs w:val="24"/>
          <w:lang w:val="es-MX"/>
        </w:rPr>
        <w:t>, Tomo XVI, Agosto de 2002, Novena Época, p. 14.</w:t>
      </w:r>
    </w:p>
  </w:footnote>
  <w:footnote w:id="17">
    <w:p w14:paraId="7F32BDFF" w14:textId="1A538379"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Artículos </w:t>
      </w:r>
      <w:r w:rsidRPr="00433F7F">
        <w:rPr>
          <w:rFonts w:ascii="Arial" w:eastAsia="Times New Roman" w:hAnsi="Arial" w:cs="Arial"/>
          <w:sz w:val="24"/>
          <w:szCs w:val="24"/>
          <w:lang w:val="es-MX"/>
        </w:rPr>
        <w:t xml:space="preserve">14, párrafo segundo; 16, párrafo primero; 19, párrafo primero; 21, párrafo primero, y 102, apartado A, párrafo segundo. </w:t>
      </w:r>
    </w:p>
  </w:footnote>
  <w:footnote w:id="18">
    <w:p w14:paraId="58AFDAD1"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color w:val="000000"/>
          <w:sz w:val="24"/>
          <w:szCs w:val="24"/>
          <w:lang w:val="es-MX"/>
        </w:rPr>
        <w:t xml:space="preserve">Tesis: P. XXXV/2002,TA, 10ª Época, Pleno, </w:t>
      </w:r>
      <w:r w:rsidRPr="00433F7F">
        <w:rPr>
          <w:rFonts w:ascii="Arial" w:eastAsia="Times New Roman" w:hAnsi="Arial" w:cs="Arial"/>
          <w:i/>
          <w:iCs/>
          <w:color w:val="000000"/>
          <w:sz w:val="24"/>
          <w:szCs w:val="24"/>
          <w:lang w:val="es-MX"/>
        </w:rPr>
        <w:t>Semanario Judicial de la Federación y su Gaceta</w:t>
      </w:r>
      <w:r w:rsidRPr="00433F7F">
        <w:rPr>
          <w:rFonts w:ascii="Arial" w:eastAsia="Times New Roman" w:hAnsi="Arial" w:cs="Arial"/>
          <w:color w:val="000000"/>
          <w:sz w:val="24"/>
          <w:szCs w:val="24"/>
          <w:lang w:val="es-MX"/>
        </w:rPr>
        <w:t>, Tomo XVI, Agosto de 2002, Novena Época, p. 14, “</w:t>
      </w:r>
      <w:r w:rsidRPr="00433F7F">
        <w:rPr>
          <w:rFonts w:ascii="Arial" w:hAnsi="Arial" w:cs="Arial"/>
          <w:color w:val="000000"/>
          <w:sz w:val="24"/>
          <w:szCs w:val="24"/>
          <w:lang w:val="es-MX"/>
        </w:rPr>
        <w:t>PRESUNCIÓN DE INOCENCIA. EL PRINCIPIO RELATIVO SE CONTIENE DE MANERA IMPLÍCITA EN LA CONSTITUCIÓN FEDERAL”.</w:t>
      </w:r>
      <w:r w:rsidRPr="00433F7F">
        <w:rPr>
          <w:rFonts w:ascii="Arial" w:eastAsia="Times New Roman" w:hAnsi="Arial" w:cs="Arial"/>
          <w:color w:val="000000"/>
          <w:sz w:val="24"/>
          <w:szCs w:val="24"/>
          <w:lang w:val="es-MX"/>
        </w:rPr>
        <w:t xml:space="preserve"> </w:t>
      </w:r>
      <w:r w:rsidRPr="00433F7F">
        <w:rPr>
          <w:rFonts w:ascii="Arial" w:hAnsi="Arial" w:cs="Arial"/>
          <w:sz w:val="24"/>
          <w:szCs w:val="24"/>
          <w:lang w:val="es-MX"/>
        </w:rPr>
        <w:t xml:space="preserve">Ver en este sentido a </w:t>
      </w:r>
      <w:r w:rsidRPr="00433F7F">
        <w:rPr>
          <w:rFonts w:ascii="Arial" w:hAnsi="Arial" w:cs="Arial"/>
          <w:sz w:val="24"/>
          <w:szCs w:val="24"/>
          <w:shd w:val="clear" w:color="auto" w:fill="FFFFFF"/>
          <w:lang w:val="es-MX"/>
        </w:rPr>
        <w:t xml:space="preserve">Mercado Morales, M.A., La presunción de inocencia como un derecho fundamental, Revista del IIJ, Hechos y derechos, núm. 29, México, 2015, recuperado de: </w:t>
      </w:r>
      <w:hyperlink r:id="rId5" w:history="1">
        <w:r w:rsidRPr="00433F7F">
          <w:rPr>
            <w:rStyle w:val="Hipervnculo"/>
            <w:rFonts w:ascii="Arial" w:hAnsi="Arial" w:cs="Arial"/>
            <w:sz w:val="24"/>
            <w:szCs w:val="24"/>
            <w:lang w:val="es-MX"/>
          </w:rPr>
          <w:t>https://revistas.juridicas.unam.mx/index.php/hechos-y-derechos/article/view/7322/9258</w:t>
        </w:r>
      </w:hyperlink>
    </w:p>
  </w:footnote>
  <w:footnote w:id="19">
    <w:p w14:paraId="6D6A7571"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20, apartado A, fracción I de la CPEUM.</w:t>
      </w:r>
    </w:p>
  </w:footnote>
  <w:footnote w:id="20">
    <w:p w14:paraId="28285103" w14:textId="21E0D25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20, apartado B, fracción I de la CPEUM.</w:t>
      </w:r>
    </w:p>
  </w:footnote>
  <w:footnote w:id="21">
    <w:p w14:paraId="1D46F03F" w14:textId="77777777" w:rsidR="00D27F67" w:rsidRPr="006043DC" w:rsidRDefault="00D27F67" w:rsidP="00433F7F">
      <w:pPr>
        <w:pStyle w:val="Textonotapie"/>
        <w:spacing w:line="360" w:lineRule="auto"/>
        <w:ind w:left="720" w:right="720"/>
        <w:jc w:val="both"/>
        <w:rPr>
          <w:rFonts w:ascii="Arial" w:hAnsi="Arial" w:cs="Arial"/>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13 del CNPP.</w:t>
      </w:r>
    </w:p>
  </w:footnote>
  <w:footnote w:id="22">
    <w:p w14:paraId="457B6419" w14:textId="4F259541" w:rsidR="00D27F67" w:rsidRPr="00433F7F" w:rsidRDefault="00D27F67" w:rsidP="00433F7F">
      <w:pPr>
        <w:pStyle w:val="NormalWeb"/>
        <w:shd w:val="clear" w:color="auto" w:fill="FFFFFF"/>
        <w:spacing w:before="120" w:beforeAutospacing="0" w:after="120" w:afterAutospacing="0" w:line="360" w:lineRule="auto"/>
        <w:ind w:left="720" w:right="720"/>
        <w:jc w:val="both"/>
        <w:rPr>
          <w:rFonts w:ascii="Arial" w:hAnsi="Arial" w:cs="Arial"/>
          <w:color w:val="202122"/>
          <w:lang w:val="es-MX"/>
        </w:rPr>
      </w:pPr>
      <w:r w:rsidRPr="00433F7F">
        <w:rPr>
          <w:rStyle w:val="Refdenotaalpie"/>
          <w:rFonts w:ascii="Arial" w:hAnsi="Arial" w:cs="Arial"/>
        </w:rPr>
        <w:footnoteRef/>
      </w:r>
      <w:r w:rsidRPr="00433F7F">
        <w:rPr>
          <w:rFonts w:ascii="Arial" w:hAnsi="Arial" w:cs="Arial"/>
          <w:lang w:val="es-MX"/>
        </w:rPr>
        <w:t xml:space="preserve"> </w:t>
      </w:r>
      <w:r w:rsidRPr="00433F7F">
        <w:rPr>
          <w:rFonts w:ascii="Arial" w:hAnsi="Arial" w:cs="Arial"/>
          <w:color w:val="000000"/>
          <w:lang w:val="es-MX"/>
        </w:rPr>
        <w:t>El fundamento del derecho a la presunción de inocencia fue reconocido de manera expresa en</w:t>
      </w:r>
      <w:r w:rsidRPr="00433F7F">
        <w:rPr>
          <w:rFonts w:ascii="Arial" w:hAnsi="Arial" w:cs="Arial"/>
          <w:color w:val="202122"/>
          <w:shd w:val="clear" w:color="auto" w:fill="FFFFFF"/>
          <w:lang w:val="es-MX"/>
        </w:rPr>
        <w:t> la Declaración de los derechos del hombre y del ciudadano</w:t>
      </w:r>
      <w:r>
        <w:rPr>
          <w:rFonts w:ascii="Arial" w:hAnsi="Arial" w:cs="Arial"/>
          <w:color w:val="202122"/>
          <w:shd w:val="clear" w:color="auto" w:fill="FFFFFF"/>
          <w:lang w:val="es-MX"/>
        </w:rPr>
        <w:t xml:space="preserve"> </w:t>
      </w:r>
      <w:r w:rsidRPr="00433F7F">
        <w:rPr>
          <w:rFonts w:ascii="Arial" w:hAnsi="Arial" w:cs="Arial"/>
          <w:color w:val="202122"/>
          <w:shd w:val="clear" w:color="auto" w:fill="FFFFFF"/>
          <w:lang w:val="es-MX"/>
        </w:rPr>
        <w:t>que estableció por primera ocasión en el art. 9 que “</w:t>
      </w:r>
      <w:r w:rsidRPr="006D15B4">
        <w:rPr>
          <w:rFonts w:ascii="Arial" w:hAnsi="Arial" w:cs="Arial"/>
          <w:color w:val="202122"/>
          <w:lang w:val="es-MX"/>
        </w:rPr>
        <w:t>Todo hombre es considerado inocente hasta que ha sido declarado convicto. Si se estima que su arresto es indispensable, cualquier rigor mayor del indispensable para asegurar su persona ha de ser severamente reprimido por la ley</w:t>
      </w:r>
      <w:r w:rsidRPr="00433F7F">
        <w:rPr>
          <w:rFonts w:ascii="Arial" w:hAnsi="Arial" w:cs="Arial"/>
          <w:i/>
          <w:iCs/>
          <w:color w:val="202122"/>
          <w:lang w:val="es-MX"/>
        </w:rPr>
        <w:t>”</w:t>
      </w:r>
      <w:r w:rsidRPr="00433F7F">
        <w:rPr>
          <w:rFonts w:ascii="Arial" w:hAnsi="Arial" w:cs="Arial"/>
          <w:color w:val="202122"/>
          <w:lang w:val="es-MX"/>
        </w:rPr>
        <w:t xml:space="preserve">. </w:t>
      </w:r>
      <w:r w:rsidRPr="00433F7F">
        <w:rPr>
          <w:rFonts w:ascii="Arial" w:hAnsi="Arial" w:cs="Arial"/>
          <w:lang w:val="es-MX"/>
        </w:rPr>
        <w:t>A</w:t>
      </w:r>
      <w:r w:rsidRPr="00433F7F">
        <w:rPr>
          <w:rFonts w:ascii="Arial" w:hAnsi="Arial" w:cs="Arial"/>
          <w:shd w:val="clear" w:color="auto" w:fill="FFFFFF"/>
          <w:lang w:val="es-MX"/>
        </w:rPr>
        <w:t>probada en Francia por la Asamblea Nacional Constituyente, el 26 de agosto de 1789</w:t>
      </w:r>
      <w:r>
        <w:rPr>
          <w:rFonts w:ascii="Arial" w:hAnsi="Arial" w:cs="Arial"/>
          <w:shd w:val="clear" w:color="auto" w:fill="FFFFFF"/>
          <w:lang w:val="es-MX"/>
        </w:rPr>
        <w:t>. Fue firmada por México en 1948.</w:t>
      </w:r>
    </w:p>
  </w:footnote>
  <w:footnote w:id="23">
    <w:p w14:paraId="29BBEA4D"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hAnsi="Arial" w:cs="Arial"/>
          <w:sz w:val="24"/>
          <w:szCs w:val="24"/>
          <w:shd w:val="clear" w:color="auto" w:fill="FFFFFF"/>
          <w:lang w:val="es-MX"/>
        </w:rPr>
        <w:t>Proclamada por la Asamblea General de las Naciones Unidas en París, el 10 de diciembre de 1948. </w:t>
      </w:r>
      <w:r w:rsidRPr="00433F7F">
        <w:rPr>
          <w:rFonts w:ascii="Arial" w:hAnsi="Arial" w:cs="Arial"/>
          <w:sz w:val="24"/>
          <w:szCs w:val="24"/>
          <w:lang w:val="es-MX"/>
        </w:rPr>
        <w:t xml:space="preserve">Recuperado de: </w:t>
      </w:r>
      <w:hyperlink r:id="rId6" w:history="1">
        <w:r w:rsidRPr="00433F7F">
          <w:rPr>
            <w:rStyle w:val="Hipervnculo"/>
            <w:rFonts w:ascii="Arial" w:hAnsi="Arial" w:cs="Arial"/>
            <w:sz w:val="24"/>
            <w:szCs w:val="24"/>
            <w:lang w:val="es-MX"/>
          </w:rPr>
          <w:t>https://www.un.org/es/universal-declaration-human-rights/</w:t>
        </w:r>
      </w:hyperlink>
    </w:p>
  </w:footnote>
  <w:footnote w:id="24">
    <w:p w14:paraId="29184FEF" w14:textId="7C02A30B"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11.2 de la DUDH.</w:t>
      </w:r>
    </w:p>
  </w:footnote>
  <w:footnote w:id="25">
    <w:p w14:paraId="24BF5400" w14:textId="77777777" w:rsidR="00D27F67" w:rsidRPr="004E74F4" w:rsidRDefault="00D27F67" w:rsidP="00433F7F">
      <w:pPr>
        <w:pStyle w:val="Ttulo3"/>
        <w:shd w:val="clear" w:color="auto" w:fill="FFFFFF"/>
        <w:spacing w:line="360" w:lineRule="auto"/>
        <w:ind w:left="720" w:right="720"/>
        <w:jc w:val="both"/>
        <w:rPr>
          <w:rFonts w:ascii="Arial" w:hAnsi="Arial" w:cs="Arial"/>
          <w:color w:val="auto"/>
          <w:lang w:val="es-MX"/>
        </w:rPr>
      </w:pPr>
      <w:r w:rsidRPr="00433F7F">
        <w:rPr>
          <w:rStyle w:val="Refdenotaalpie"/>
          <w:rFonts w:ascii="Arial" w:hAnsi="Arial" w:cs="Arial"/>
          <w:color w:val="auto"/>
        </w:rPr>
        <w:footnoteRef/>
      </w:r>
      <w:r w:rsidRPr="00433F7F">
        <w:rPr>
          <w:rFonts w:ascii="Arial" w:hAnsi="Arial" w:cs="Arial"/>
          <w:color w:val="auto"/>
          <w:lang w:val="es-MX"/>
        </w:rPr>
        <w:t xml:space="preserve"> Adoptado y abierto a la firma, ratificación y adhesión por la Asamblea General en su resolución 2200 A (XXI), de 16 de diciembre d</w:t>
      </w:r>
      <w:r w:rsidRPr="004E74F4">
        <w:rPr>
          <w:rFonts w:ascii="Arial" w:hAnsi="Arial" w:cs="Arial"/>
          <w:color w:val="auto"/>
          <w:lang w:val="es-MX"/>
        </w:rPr>
        <w:t xml:space="preserve">e 1966. </w:t>
      </w:r>
      <w:r w:rsidRPr="004E74F4">
        <w:rPr>
          <w:rStyle w:val="Textoennegrita"/>
          <w:rFonts w:ascii="Arial" w:hAnsi="Arial" w:cs="Arial"/>
          <w:b w:val="0"/>
          <w:bCs w:val="0"/>
          <w:color w:val="auto"/>
          <w:lang w:val="es-MX"/>
        </w:rPr>
        <w:t>Entrada en vigor: 23 de marzo de 1976, de conformidad con el artículo 49.</w:t>
      </w:r>
    </w:p>
  </w:footnote>
  <w:footnote w:id="26">
    <w:p w14:paraId="5B06451D" w14:textId="6179EC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E74F4">
        <w:rPr>
          <w:rStyle w:val="Refdenotaalpie"/>
          <w:rFonts w:ascii="Arial" w:hAnsi="Arial" w:cs="Arial"/>
          <w:sz w:val="24"/>
          <w:szCs w:val="24"/>
        </w:rPr>
        <w:footnoteRef/>
      </w:r>
      <w:r w:rsidRPr="004E74F4">
        <w:rPr>
          <w:rFonts w:ascii="Arial" w:hAnsi="Arial" w:cs="Arial"/>
          <w:sz w:val="24"/>
          <w:szCs w:val="24"/>
          <w:lang w:val="es-MX"/>
        </w:rPr>
        <w:t xml:space="preserve"> Firmado el 22 de noviembre de 1916, entrada en vigor el 18 de julio de 1978. El Pacto San José </w:t>
      </w:r>
      <w:r w:rsidRPr="004E74F4">
        <w:rPr>
          <w:rFonts w:ascii="Arial" w:hAnsi="Arial" w:cs="Arial"/>
          <w:sz w:val="24"/>
          <w:szCs w:val="24"/>
          <w:shd w:val="clear" w:color="auto" w:fill="FFFFFF"/>
          <w:lang w:val="es-MX"/>
        </w:rPr>
        <w:t>fue adoptado por México, el 24 de marzo de 1981.</w:t>
      </w:r>
    </w:p>
  </w:footnote>
  <w:footnote w:id="27">
    <w:p w14:paraId="1A963D75" w14:textId="1A2461E2" w:rsidR="00D27F67" w:rsidRPr="006043DC" w:rsidRDefault="00D27F67" w:rsidP="00433F7F">
      <w:pPr>
        <w:spacing w:line="360" w:lineRule="auto"/>
        <w:ind w:left="720" w:right="720"/>
        <w:jc w:val="both"/>
        <w:rPr>
          <w:rFonts w:ascii="Arial" w:hAnsi="Arial" w:cs="Arial"/>
          <w:sz w:val="20"/>
          <w:szCs w:val="20"/>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Establece que toda persona tiene derecho, en plena igualdad, a garantías mínimas que de manera sucinta se mencionan a continuación: a) derecho del inculpado de ser asistido gratuitamente por el traductor o intérprete; b) comunicación al inculpado de la acusación formulada; c) derechos relacionados con la defensa d) derecho a no inculparse, y e) derecho de recurrir del fallo ante juez o tribunal superior.</w:t>
      </w:r>
    </w:p>
  </w:footnote>
  <w:footnote w:id="28">
    <w:p w14:paraId="224BFE3A" w14:textId="059FEF2B"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Presno Linera, M.A., </w:t>
      </w:r>
      <w:r w:rsidRPr="00433F7F">
        <w:rPr>
          <w:rFonts w:ascii="Arial" w:hAnsi="Arial" w:cs="Arial"/>
          <w:i/>
          <w:iCs/>
          <w:sz w:val="24"/>
          <w:szCs w:val="24"/>
          <w:lang w:val="es-MX"/>
        </w:rPr>
        <w:t>Teoría General de los Derechos Fundamentales en la Constitución Española de 1978</w:t>
      </w:r>
      <w:r w:rsidRPr="00433F7F">
        <w:rPr>
          <w:rFonts w:ascii="Arial" w:hAnsi="Arial" w:cs="Arial"/>
          <w:sz w:val="24"/>
          <w:szCs w:val="24"/>
          <w:lang w:val="es-MX"/>
        </w:rPr>
        <w:t>, Madrid, Editorial Tecnos, 2004, p. 39.</w:t>
      </w:r>
    </w:p>
  </w:footnote>
  <w:footnote w:id="29">
    <w:p w14:paraId="468AB64E" w14:textId="0C89023A" w:rsidR="00D27F67" w:rsidRPr="00697FD5" w:rsidRDefault="00D27F67" w:rsidP="00697FD5">
      <w:pPr>
        <w:pStyle w:val="Textonotapie"/>
        <w:ind w:left="720" w:right="720"/>
        <w:jc w:val="both"/>
        <w:rPr>
          <w:rFonts w:ascii="Arial" w:hAnsi="Arial" w:cs="Arial"/>
          <w:sz w:val="24"/>
          <w:szCs w:val="24"/>
          <w:lang w:val="es-MX"/>
        </w:rPr>
      </w:pPr>
      <w:r w:rsidRPr="00697FD5">
        <w:rPr>
          <w:rStyle w:val="Refdenotaalpie"/>
          <w:rFonts w:ascii="Arial" w:hAnsi="Arial" w:cs="Arial"/>
          <w:sz w:val="24"/>
          <w:szCs w:val="24"/>
        </w:rPr>
        <w:footnoteRef/>
      </w:r>
      <w:r w:rsidRPr="00697FD5">
        <w:rPr>
          <w:rFonts w:ascii="Arial" w:hAnsi="Arial" w:cs="Arial"/>
          <w:sz w:val="24"/>
          <w:szCs w:val="24"/>
          <w:lang w:val="es-MX"/>
        </w:rPr>
        <w:t xml:space="preserve"> Esto no exime de la posibilidad de imponer medidas cautelares para proteger</w:t>
      </w:r>
      <w:r>
        <w:rPr>
          <w:rFonts w:ascii="Arial" w:hAnsi="Arial" w:cs="Arial"/>
          <w:sz w:val="24"/>
          <w:szCs w:val="24"/>
          <w:lang w:val="es-MX"/>
        </w:rPr>
        <w:t xml:space="preserve"> a víctimas, material probatorio,</w:t>
      </w:r>
      <w:r w:rsidRPr="00697FD5">
        <w:rPr>
          <w:rFonts w:ascii="Arial" w:hAnsi="Arial" w:cs="Arial"/>
          <w:sz w:val="24"/>
          <w:szCs w:val="24"/>
          <w:lang w:val="es-MX"/>
        </w:rPr>
        <w:t xml:space="preserve"> que se lleva a cabo el proceso, a las persona</w:t>
      </w:r>
      <w:r>
        <w:rPr>
          <w:rFonts w:ascii="Arial" w:hAnsi="Arial" w:cs="Arial"/>
          <w:sz w:val="24"/>
          <w:szCs w:val="24"/>
          <w:lang w:val="es-MX"/>
        </w:rPr>
        <w:t>s</w:t>
      </w:r>
      <w:r w:rsidRPr="00697FD5">
        <w:rPr>
          <w:rFonts w:ascii="Arial" w:hAnsi="Arial" w:cs="Arial"/>
          <w:sz w:val="24"/>
          <w:szCs w:val="24"/>
          <w:lang w:val="es-MX"/>
        </w:rPr>
        <w:t xml:space="preserve"> involucradas en el proceso, atendiendo al nivel de riesgo que se pudiera presentar, pero </w:t>
      </w:r>
      <w:r>
        <w:rPr>
          <w:rFonts w:ascii="Arial" w:hAnsi="Arial" w:cs="Arial"/>
          <w:sz w:val="24"/>
          <w:szCs w:val="24"/>
          <w:lang w:val="es-MX"/>
        </w:rPr>
        <w:t xml:space="preserve">con </w:t>
      </w:r>
      <w:r w:rsidRPr="00697FD5">
        <w:rPr>
          <w:rFonts w:ascii="Arial" w:hAnsi="Arial" w:cs="Arial"/>
          <w:sz w:val="24"/>
          <w:szCs w:val="24"/>
          <w:lang w:val="es-MX"/>
        </w:rPr>
        <w:t>previa valoración.</w:t>
      </w:r>
    </w:p>
  </w:footnote>
  <w:footnote w:id="30">
    <w:p w14:paraId="70A74715" w14:textId="6A08139E" w:rsidR="00D27F67" w:rsidRPr="00433F7F" w:rsidRDefault="00D27F67" w:rsidP="00433F7F">
      <w:pPr>
        <w:pStyle w:val="Textonotapie"/>
        <w:spacing w:line="360" w:lineRule="auto"/>
        <w:ind w:left="709" w:right="713"/>
        <w:jc w:val="both"/>
        <w:rPr>
          <w:rFonts w:ascii="Arial" w:hAnsi="Arial" w:cs="Arial"/>
          <w:sz w:val="24"/>
          <w:szCs w:val="24"/>
          <w:lang w:val="es-ES"/>
        </w:rPr>
      </w:pPr>
      <w:r w:rsidRPr="00433F7F">
        <w:rPr>
          <w:rStyle w:val="Refdenotaalpie"/>
          <w:rFonts w:ascii="Arial" w:hAnsi="Arial" w:cs="Arial"/>
          <w:sz w:val="24"/>
          <w:szCs w:val="24"/>
        </w:rPr>
        <w:footnoteRef/>
      </w:r>
      <w:r w:rsidRPr="006D15B4">
        <w:rPr>
          <w:rFonts w:ascii="Arial" w:hAnsi="Arial" w:cs="Arial"/>
          <w:sz w:val="24"/>
          <w:szCs w:val="24"/>
          <w:lang w:val="es-MX"/>
        </w:rPr>
        <w:t xml:space="preserve"> </w:t>
      </w:r>
      <w:r w:rsidRPr="00433F7F">
        <w:rPr>
          <w:rFonts w:ascii="Arial" w:hAnsi="Arial" w:cs="Arial"/>
          <w:sz w:val="24"/>
          <w:szCs w:val="24"/>
          <w:lang w:val="es-ES"/>
        </w:rPr>
        <w:t xml:space="preserve"> Ver en este sentido,</w:t>
      </w:r>
      <w:r w:rsidRPr="006D15B4">
        <w:rPr>
          <w:rFonts w:ascii="Arial" w:hAnsi="Arial" w:cs="Arial"/>
          <w:color w:val="000000"/>
          <w:sz w:val="24"/>
          <w:szCs w:val="24"/>
          <w:shd w:val="clear" w:color="auto" w:fill="FFFFFF"/>
          <w:lang w:val="es-MX"/>
        </w:rPr>
        <w:t xml:space="preserve"> Primera Sala de la Suprema Corte de Justicia de la Nación, en la jurisprudencia 1a./J. 24/2014 (10a.), publicada en el Semanario Judicial de la Federación del viernes 4 de abril de 2014 a las 10:40 horas y en la Gaceta del Semanario Judicial de la Federación, Décima Época, Libro 5, Tomo I, abril de 2014, página 497, de rubro: "PRESUNCIÓN DE INOCENCIA COMO REGLA DE TRATO PROCESAL." </w:t>
      </w:r>
    </w:p>
  </w:footnote>
  <w:footnote w:id="31">
    <w:p w14:paraId="4676095C" w14:textId="1E2951CB" w:rsidR="00D27F67" w:rsidRPr="006D15B4" w:rsidRDefault="00D27F67" w:rsidP="00433F7F">
      <w:pPr>
        <w:pStyle w:val="Textonotapie"/>
        <w:spacing w:line="360" w:lineRule="auto"/>
        <w:ind w:left="709" w:right="713"/>
        <w:jc w:val="both"/>
        <w:rPr>
          <w:rFonts w:ascii="Arial" w:hAnsi="Arial" w:cs="Arial"/>
          <w:color w:val="333333"/>
          <w:sz w:val="24"/>
          <w:szCs w:val="24"/>
          <w:shd w:val="clear" w:color="auto" w:fill="FCFCFC"/>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hAnsi="Arial" w:cs="Arial"/>
          <w:sz w:val="24"/>
          <w:szCs w:val="24"/>
          <w:lang w:val="es-ES"/>
        </w:rPr>
        <w:t>Cabe señalar que</w:t>
      </w:r>
      <w:r>
        <w:rPr>
          <w:rFonts w:ascii="Arial" w:hAnsi="Arial" w:cs="Arial"/>
          <w:sz w:val="24"/>
          <w:szCs w:val="24"/>
          <w:lang w:val="es-ES"/>
        </w:rPr>
        <w:t>,</w:t>
      </w:r>
      <w:r w:rsidRPr="00433F7F">
        <w:rPr>
          <w:rFonts w:ascii="Arial" w:hAnsi="Arial" w:cs="Arial"/>
          <w:sz w:val="24"/>
          <w:szCs w:val="24"/>
          <w:lang w:val="es-ES"/>
        </w:rPr>
        <w:t xml:space="preserve"> en 2022, </w:t>
      </w:r>
      <w:r w:rsidRPr="00433F7F">
        <w:rPr>
          <w:rFonts w:ascii="Arial" w:hAnsi="Arial" w:cs="Arial"/>
          <w:color w:val="333333"/>
          <w:sz w:val="24"/>
          <w:szCs w:val="24"/>
          <w:shd w:val="clear" w:color="auto" w:fill="FCFCFC"/>
          <w:lang w:val="es-MX"/>
        </w:rPr>
        <w:t>la SCJN otorgó el amparo en Revisión 315/2021 de la Primera Sala, dicho criterio abre la posibilidad de revision del término constitucional de dos años de prisión preventiva</w:t>
      </w:r>
      <w:r>
        <w:rPr>
          <w:rFonts w:ascii="Arial" w:hAnsi="Arial" w:cs="Arial"/>
          <w:color w:val="333333"/>
          <w:sz w:val="24"/>
          <w:szCs w:val="24"/>
          <w:shd w:val="clear" w:color="auto" w:fill="FCFCFC"/>
          <w:lang w:val="es-MX"/>
        </w:rPr>
        <w:t>,</w:t>
      </w:r>
      <w:r w:rsidRPr="00433F7F">
        <w:rPr>
          <w:rFonts w:ascii="Arial" w:hAnsi="Arial" w:cs="Arial"/>
          <w:color w:val="333333"/>
          <w:sz w:val="24"/>
          <w:szCs w:val="24"/>
          <w:shd w:val="clear" w:color="auto" w:fill="FCFCFC"/>
          <w:lang w:val="es-MX"/>
        </w:rPr>
        <w:t xml:space="preserve"> el cual se pod</w:t>
      </w:r>
      <w:r>
        <w:rPr>
          <w:rFonts w:ascii="Arial" w:hAnsi="Arial" w:cs="Arial"/>
          <w:color w:val="333333"/>
          <w:sz w:val="24"/>
          <w:szCs w:val="24"/>
          <w:shd w:val="clear" w:color="auto" w:fill="FCFCFC"/>
          <w:lang w:val="es-MX"/>
        </w:rPr>
        <w:t>í</w:t>
      </w:r>
      <w:r w:rsidRPr="00433F7F">
        <w:rPr>
          <w:rFonts w:ascii="Arial" w:hAnsi="Arial" w:cs="Arial"/>
          <w:color w:val="333333"/>
          <w:sz w:val="24"/>
          <w:szCs w:val="24"/>
          <w:shd w:val="clear" w:color="auto" w:fill="FCFCFC"/>
          <w:lang w:val="es-MX"/>
        </w:rPr>
        <w:t>a ampliar para el ejercicio de defensa del imputado</w:t>
      </w:r>
      <w:r>
        <w:rPr>
          <w:rFonts w:ascii="Arial" w:hAnsi="Arial" w:cs="Arial"/>
          <w:color w:val="333333"/>
          <w:sz w:val="24"/>
          <w:szCs w:val="24"/>
          <w:shd w:val="clear" w:color="auto" w:fill="FCFCFC"/>
          <w:lang w:val="es-MX"/>
        </w:rPr>
        <w:t>.</w:t>
      </w:r>
      <w:r w:rsidRPr="00433F7F">
        <w:rPr>
          <w:rFonts w:ascii="Arial" w:hAnsi="Arial" w:cs="Arial"/>
          <w:color w:val="333333"/>
          <w:sz w:val="24"/>
          <w:szCs w:val="24"/>
          <w:shd w:val="clear" w:color="auto" w:fill="FCFCFC"/>
          <w:lang w:val="es-MX"/>
        </w:rPr>
        <w:t xml:space="preserve"> </w:t>
      </w:r>
      <w:r>
        <w:rPr>
          <w:rFonts w:ascii="Arial" w:hAnsi="Arial" w:cs="Arial"/>
          <w:color w:val="333333"/>
          <w:sz w:val="24"/>
          <w:szCs w:val="24"/>
          <w:shd w:val="clear" w:color="auto" w:fill="FCFCFC"/>
          <w:lang w:val="es-MX"/>
        </w:rPr>
        <w:t>E</w:t>
      </w:r>
      <w:r w:rsidRPr="00433F7F">
        <w:rPr>
          <w:rFonts w:ascii="Arial" w:hAnsi="Arial" w:cs="Arial"/>
          <w:color w:val="333333"/>
          <w:sz w:val="24"/>
          <w:szCs w:val="24"/>
          <w:shd w:val="clear" w:color="auto" w:fill="FCFCFC"/>
          <w:lang w:val="es-MX"/>
        </w:rPr>
        <w:t xml:space="preserve">ste plazo también estaba fijado para emitir sentencia conforme el art. 20, apartado B, fracción IX de la CPEUM. </w:t>
      </w:r>
      <w:r w:rsidRPr="006D15B4">
        <w:rPr>
          <w:rFonts w:ascii="Arial" w:hAnsi="Arial" w:cs="Arial"/>
          <w:color w:val="333333"/>
          <w:sz w:val="24"/>
          <w:szCs w:val="24"/>
          <w:shd w:val="clear" w:color="auto" w:fill="FCFCFC"/>
          <w:lang w:val="es-MX"/>
        </w:rPr>
        <w:t xml:space="preserve">Ver en </w:t>
      </w:r>
      <w:hyperlink r:id="rId7" w:history="1">
        <w:r w:rsidRPr="006D15B4">
          <w:rPr>
            <w:rStyle w:val="Hipervnculo"/>
            <w:rFonts w:ascii="Arial" w:hAnsi="Arial" w:cs="Arial"/>
            <w:sz w:val="24"/>
            <w:szCs w:val="24"/>
            <w:shd w:val="clear" w:color="auto" w:fill="FCFCFC"/>
            <w:lang w:val="es-MX"/>
          </w:rPr>
          <w:t>https://www.scjn.gob.mx/sites/default/files/listas/documento_dos/2022-01/AR-315-2021-17012022.pdf</w:t>
        </w:r>
      </w:hyperlink>
    </w:p>
    <w:p w14:paraId="7E768B6D" w14:textId="77777777" w:rsidR="00D27F67" w:rsidRPr="00433F7F" w:rsidRDefault="00D27F67" w:rsidP="00433F7F">
      <w:pPr>
        <w:pStyle w:val="Textonotapie"/>
        <w:spacing w:line="360" w:lineRule="auto"/>
        <w:rPr>
          <w:rFonts w:ascii="Arial" w:hAnsi="Arial" w:cs="Arial"/>
          <w:sz w:val="24"/>
          <w:szCs w:val="24"/>
          <w:lang w:val="es-ES"/>
        </w:rPr>
      </w:pPr>
    </w:p>
  </w:footnote>
  <w:footnote w:id="32">
    <w:p w14:paraId="18D92D68" w14:textId="1BB926B7" w:rsidR="00D27F67" w:rsidRPr="006D15B4" w:rsidRDefault="00D27F67" w:rsidP="00433F7F">
      <w:pPr>
        <w:pStyle w:val="Textonotapie"/>
        <w:spacing w:line="360" w:lineRule="auto"/>
        <w:ind w:left="709" w:right="571"/>
        <w:jc w:val="both"/>
        <w:rPr>
          <w:rFonts w:ascii="Arial" w:hAnsi="Arial" w:cs="Arial"/>
          <w:sz w:val="24"/>
          <w:szCs w:val="24"/>
        </w:rPr>
      </w:pPr>
      <w:r w:rsidRPr="00433F7F">
        <w:rPr>
          <w:rStyle w:val="Refdenotaalpie"/>
          <w:rFonts w:ascii="Arial" w:hAnsi="Arial" w:cs="Arial"/>
          <w:sz w:val="24"/>
          <w:szCs w:val="24"/>
        </w:rPr>
        <w:footnoteRef/>
      </w:r>
      <w:r w:rsidRPr="006D15B4">
        <w:rPr>
          <w:rFonts w:ascii="Arial" w:hAnsi="Arial" w:cs="Arial"/>
          <w:sz w:val="24"/>
          <w:szCs w:val="24"/>
          <w:lang w:val="es-MX"/>
        </w:rPr>
        <w:t xml:space="preserve"> Corte IDH Caso Cantoral Benavides Vs. Perú Sentencia de 18 de agosto de 2000 (Fondo). </w:t>
      </w:r>
      <w:hyperlink r:id="rId8" w:history="1">
        <w:r w:rsidRPr="006D15B4">
          <w:rPr>
            <w:rStyle w:val="Hipervnculo"/>
            <w:rFonts w:ascii="Arial" w:hAnsi="Arial" w:cs="Arial"/>
            <w:sz w:val="24"/>
            <w:szCs w:val="24"/>
          </w:rPr>
          <w:t>https://www.corteidh.or.cr/docs/casos/articulos/Seriec_69_esp.pdf</w:t>
        </w:r>
      </w:hyperlink>
      <w:r w:rsidRPr="006D15B4">
        <w:rPr>
          <w:rFonts w:ascii="Arial" w:hAnsi="Arial" w:cs="Arial"/>
          <w:sz w:val="24"/>
          <w:szCs w:val="24"/>
        </w:rPr>
        <w:t xml:space="preserve"> </w:t>
      </w:r>
    </w:p>
  </w:footnote>
  <w:footnote w:id="33">
    <w:p w14:paraId="3260D792" w14:textId="08FA4C67" w:rsidR="00D27F67" w:rsidRPr="00433F7F" w:rsidRDefault="00D27F67" w:rsidP="00433F7F">
      <w:pPr>
        <w:pStyle w:val="Textonotapie"/>
        <w:spacing w:line="360" w:lineRule="auto"/>
        <w:ind w:left="709" w:right="571"/>
        <w:jc w:val="both"/>
        <w:rPr>
          <w:rFonts w:ascii="Arial" w:hAnsi="Arial" w:cs="Arial"/>
          <w:sz w:val="24"/>
          <w:szCs w:val="24"/>
          <w:lang w:val="es-ES"/>
        </w:rPr>
      </w:pPr>
      <w:r w:rsidRPr="00433F7F">
        <w:rPr>
          <w:rStyle w:val="Refdenotaalpie"/>
          <w:rFonts w:ascii="Arial" w:hAnsi="Arial" w:cs="Arial"/>
          <w:sz w:val="24"/>
          <w:szCs w:val="24"/>
        </w:rPr>
        <w:footnoteRef/>
      </w:r>
      <w:r w:rsidRPr="006D15B4">
        <w:rPr>
          <w:rFonts w:ascii="Arial" w:hAnsi="Arial" w:cs="Arial"/>
          <w:sz w:val="24"/>
          <w:szCs w:val="24"/>
          <w:lang w:val="es-MX"/>
        </w:rPr>
        <w:t xml:space="preserve"> </w:t>
      </w:r>
      <w:r w:rsidRPr="00433F7F">
        <w:rPr>
          <w:rFonts w:ascii="Arial" w:hAnsi="Arial" w:cs="Arial"/>
          <w:sz w:val="24"/>
          <w:szCs w:val="24"/>
          <w:lang w:val="es-ES"/>
        </w:rPr>
        <w:t>Consideración, 119.</w:t>
      </w:r>
    </w:p>
  </w:footnote>
  <w:footnote w:id="34">
    <w:p w14:paraId="32F72753" w14:textId="0B2F3BB9" w:rsidR="00D27F67" w:rsidRPr="00433F7F" w:rsidRDefault="00D27F67" w:rsidP="00433F7F">
      <w:pPr>
        <w:pStyle w:val="Textonotapie"/>
        <w:spacing w:line="360" w:lineRule="auto"/>
        <w:ind w:left="709" w:right="571"/>
        <w:jc w:val="both"/>
        <w:rPr>
          <w:rFonts w:ascii="Arial" w:hAnsi="Arial" w:cs="Arial"/>
          <w:sz w:val="24"/>
          <w:szCs w:val="24"/>
          <w:lang w:val="es-ES"/>
        </w:rPr>
      </w:pPr>
      <w:r w:rsidRPr="00433F7F">
        <w:rPr>
          <w:rStyle w:val="Refdenotaalpie"/>
          <w:rFonts w:ascii="Arial" w:hAnsi="Arial" w:cs="Arial"/>
          <w:sz w:val="24"/>
          <w:szCs w:val="24"/>
        </w:rPr>
        <w:footnoteRef/>
      </w:r>
      <w:r w:rsidRPr="006D15B4">
        <w:rPr>
          <w:rFonts w:ascii="Arial" w:hAnsi="Arial" w:cs="Arial"/>
          <w:sz w:val="24"/>
          <w:szCs w:val="24"/>
          <w:lang w:val="es-MX"/>
        </w:rPr>
        <w:t xml:space="preserve"> </w:t>
      </w:r>
      <w:r w:rsidRPr="00433F7F">
        <w:rPr>
          <w:rFonts w:ascii="Arial" w:hAnsi="Arial" w:cs="Arial"/>
          <w:sz w:val="24"/>
          <w:szCs w:val="24"/>
          <w:lang w:val="es-ES"/>
        </w:rPr>
        <w:t>Consideración 120.</w:t>
      </w:r>
    </w:p>
  </w:footnote>
  <w:footnote w:id="35">
    <w:p w14:paraId="587820AA" w14:textId="17ED2D92" w:rsidR="00D27F67" w:rsidRPr="00433F7F" w:rsidRDefault="00D27F67" w:rsidP="00433F7F">
      <w:pPr>
        <w:pStyle w:val="Textonotapie"/>
        <w:spacing w:line="360" w:lineRule="auto"/>
        <w:ind w:left="709" w:right="571"/>
        <w:jc w:val="both"/>
        <w:rPr>
          <w:rFonts w:ascii="Arial" w:hAnsi="Arial" w:cs="Arial"/>
          <w:sz w:val="24"/>
          <w:szCs w:val="24"/>
          <w:lang w:val="es-ES"/>
        </w:rPr>
      </w:pPr>
      <w:r w:rsidRPr="00433F7F">
        <w:rPr>
          <w:rStyle w:val="Refdenotaalpie"/>
          <w:rFonts w:ascii="Arial" w:hAnsi="Arial" w:cs="Arial"/>
          <w:sz w:val="24"/>
          <w:szCs w:val="24"/>
        </w:rPr>
        <w:footnoteRef/>
      </w:r>
      <w:r w:rsidRPr="006D15B4">
        <w:rPr>
          <w:rFonts w:ascii="Arial" w:hAnsi="Arial" w:cs="Arial"/>
          <w:sz w:val="24"/>
          <w:szCs w:val="24"/>
          <w:lang w:val="es-MX"/>
        </w:rPr>
        <w:t xml:space="preserve"> </w:t>
      </w:r>
      <w:r w:rsidRPr="00433F7F">
        <w:rPr>
          <w:rFonts w:ascii="Arial" w:hAnsi="Arial" w:cs="Arial"/>
          <w:sz w:val="24"/>
          <w:szCs w:val="24"/>
          <w:lang w:val="es-ES"/>
        </w:rPr>
        <w:t>Consideración 121.</w:t>
      </w:r>
    </w:p>
  </w:footnote>
  <w:footnote w:id="36">
    <w:p w14:paraId="4D2D228D" w14:textId="77C978B7" w:rsidR="00D27F67" w:rsidRPr="00433F7F" w:rsidRDefault="00D27F67" w:rsidP="00433F7F">
      <w:pPr>
        <w:pStyle w:val="Textonotapie"/>
        <w:spacing w:line="360" w:lineRule="auto"/>
        <w:ind w:left="720" w:right="720"/>
        <w:jc w:val="both"/>
        <w:rPr>
          <w:rFonts w:ascii="Arial" w:hAnsi="Arial" w:cs="Arial"/>
          <w:color w:val="FF0000"/>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Corte IDH, Caso Cabrera García y Montiel Flores vs México, Sentencia (Excepción Preliminar, Fondo, Reparaciones y Costas) de 26 de noviembre de 2010, Considerando 93 ver en https://www.corteidh.or.cr/docs/casos/articulos/resumen_220_esp.pdf. Ver también, </w:t>
      </w:r>
      <w:r w:rsidRPr="006D15B4">
        <w:rPr>
          <w:rFonts w:ascii="Arial" w:hAnsi="Arial" w:cs="Arial"/>
          <w:sz w:val="24"/>
          <w:szCs w:val="24"/>
          <w:lang w:val="es-MX"/>
        </w:rPr>
        <w:t>Corte IDH. Caso Cabrera García y Montiel Flores Vs. México. Supervisión de Cumplimiento de Sentencia. Resolución de la Corte Interamericana de Derechos Humanos de 24 de junio de 2020. Resolución adoptada en San José de Costa Rica por medio de sesión virtual.</w:t>
      </w:r>
      <w:r w:rsidRPr="00433F7F">
        <w:rPr>
          <w:rFonts w:ascii="Arial" w:hAnsi="Arial" w:cs="Arial"/>
          <w:sz w:val="24"/>
          <w:szCs w:val="24"/>
          <w:lang w:val="es-MX"/>
        </w:rPr>
        <w:t xml:space="preserve"> </w:t>
      </w:r>
      <w:hyperlink r:id="rId9" w:history="1">
        <w:r w:rsidRPr="00433F7F">
          <w:rPr>
            <w:rStyle w:val="Hipervnculo"/>
            <w:rFonts w:ascii="Arial" w:hAnsi="Arial" w:cs="Arial"/>
            <w:sz w:val="24"/>
            <w:szCs w:val="24"/>
            <w:lang w:val="es-MX"/>
          </w:rPr>
          <w:t>https://www.corteidh.or.cr/docs/supervisiones/cabreragarciaymontiel_24_06_20.pdf</w:t>
        </w:r>
      </w:hyperlink>
    </w:p>
    <w:p w14:paraId="51785D55" w14:textId="77777777" w:rsidR="00D27F67" w:rsidRPr="00EA754A" w:rsidRDefault="00D27F67" w:rsidP="00EA754A">
      <w:pPr>
        <w:pStyle w:val="Textonotapie"/>
        <w:ind w:left="720" w:right="720"/>
        <w:jc w:val="both"/>
        <w:rPr>
          <w:rFonts w:ascii="Arial" w:hAnsi="Arial" w:cs="Arial"/>
          <w:lang w:val="es-MX"/>
        </w:rPr>
      </w:pPr>
    </w:p>
  </w:footnote>
  <w:footnote w:id="37">
    <w:p w14:paraId="0262039D" w14:textId="77777777" w:rsidR="00D27F67" w:rsidRPr="00EA754A" w:rsidRDefault="00D27F67" w:rsidP="00433F7F">
      <w:pPr>
        <w:pStyle w:val="Textonotapie"/>
        <w:snapToGrid w:val="0"/>
        <w:spacing w:line="360" w:lineRule="auto"/>
        <w:ind w:left="720" w:right="720"/>
        <w:jc w:val="both"/>
        <w:rPr>
          <w:rFonts w:ascii="Arial" w:hAnsi="Arial" w:cs="Arial"/>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w:t>
      </w:r>
      <w:r w:rsidRPr="00433F7F">
        <w:rPr>
          <w:rFonts w:ascii="Arial" w:eastAsia="Times New Roman" w:hAnsi="Arial" w:cs="Arial"/>
          <w:sz w:val="24"/>
          <w:szCs w:val="24"/>
          <w:lang w:val="es-MX"/>
        </w:rPr>
        <w:t>ocalización: [J]; 10a. Época; 1a. Sala; Gaceta S.J.F.; Libro 69, Agosto de 2019; Tomo II; Pág. 1170. 1a./J. 24/2019 (10a.).</w:t>
      </w:r>
      <w:r w:rsidRPr="00433F7F">
        <w:rPr>
          <w:rFonts w:ascii="Arial" w:hAnsi="Arial" w:cs="Arial"/>
          <w:sz w:val="24"/>
          <w:szCs w:val="24"/>
          <w:lang w:val="es-MX"/>
        </w:rPr>
        <w:t xml:space="preserve"> “PORTACIÓN DE ARMA DE FUEGO. ES INADMISIBLE ELEVAR EL GRADO DE CULPABILIDAD POR ESTE DELITO, CON BASE EN ALEGATOS QUE SUGIEREN QUE LA PERSONA HABRÍA COMETIDO OTRAS ACTIVIDADES ILÍCITAS CON EL ARMA EN CUESTIÓN”.</w:t>
      </w:r>
      <w:r w:rsidRPr="00EA754A">
        <w:rPr>
          <w:rFonts w:ascii="Arial" w:hAnsi="Arial" w:cs="Arial"/>
          <w:lang w:val="es-MX"/>
        </w:rPr>
        <w:t xml:space="preserve"> </w:t>
      </w:r>
    </w:p>
  </w:footnote>
  <w:footnote w:id="38">
    <w:p w14:paraId="05315C3B"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Ídem.</w:t>
      </w:r>
    </w:p>
  </w:footnote>
  <w:footnote w:id="39">
    <w:p w14:paraId="7B5C78ED" w14:textId="309B3216" w:rsidR="00D27F67" w:rsidRPr="006D15B4" w:rsidRDefault="00D27F67" w:rsidP="00433F7F">
      <w:pPr>
        <w:spacing w:line="360" w:lineRule="auto"/>
        <w:ind w:left="720" w:right="720"/>
        <w:jc w:val="both"/>
        <w:rPr>
          <w:rFonts w:ascii="Arial" w:hAnsi="Arial" w:cs="Arial"/>
          <w:bCs/>
          <w:color w:val="000000"/>
          <w:sz w:val="24"/>
          <w:szCs w:val="24"/>
          <w:shd w:val="clear" w:color="auto" w:fill="FFFFFF"/>
          <w:lang w:val="es-MX"/>
        </w:rPr>
      </w:pPr>
      <w:r w:rsidRPr="00433F7F">
        <w:rPr>
          <w:rStyle w:val="Refdenotaalpie"/>
          <w:rFonts w:ascii="Arial" w:hAnsi="Arial" w:cs="Arial"/>
          <w:sz w:val="24"/>
          <w:szCs w:val="24"/>
        </w:rPr>
        <w:footnoteRef/>
      </w:r>
      <w:r w:rsidRPr="006D15B4">
        <w:rPr>
          <w:rFonts w:ascii="Arial" w:hAnsi="Arial" w:cs="Arial"/>
          <w:sz w:val="24"/>
          <w:szCs w:val="24"/>
          <w:lang w:val="es-MX"/>
        </w:rPr>
        <w:t xml:space="preserve"> Localización: Tesis aislada (Constitucional), 10a. Epoca; Semanario Judicial de la Federación, Tribunales Colegiados de Cricuito, Tesis: II.10.33 P (10a.) </w:t>
      </w:r>
      <w:r w:rsidRPr="006D15B4">
        <w:rPr>
          <w:rFonts w:ascii="Arial" w:hAnsi="Arial" w:cs="Arial"/>
          <w:bCs/>
          <w:color w:val="000000"/>
          <w:sz w:val="24"/>
          <w:szCs w:val="24"/>
          <w:shd w:val="clear" w:color="auto" w:fill="FFFFFF"/>
          <w:lang w:val="es-MX"/>
        </w:rPr>
        <w:t xml:space="preserve">PRISIÓN PREVENTIVA JUSTIFICADA. LA IMPOSICIÓN DE ESTA MEDIDA CAUTELAR BAJO EL ARGUMENTO DE QUE POR LA PENA DE PRISIÓN QUE MERECE EL HECHO DELICTUOSO QUE SE IMPUTA AL ACUSADO, ÉSTE PODRÍA SUSTRAERSE DE LA ACCIÓN DE LA JUSTICIA Y NO COMPARECER A JUICIO, VIOLA EL PRINCIPIO DE PRESUNCIÓN DE INOCENCIA, EN SU VERTIENTE DE REGLA DE TRATO PROCESAL (LEGISLACIÓN DEL ESTADO DE MÉXICO). Ver en, </w:t>
      </w:r>
      <w:hyperlink r:id="rId10" w:history="1">
        <w:r w:rsidRPr="006D15B4">
          <w:rPr>
            <w:rStyle w:val="Hipervnculo"/>
            <w:rFonts w:ascii="Arial" w:hAnsi="Arial" w:cs="Arial"/>
            <w:bCs/>
            <w:sz w:val="24"/>
            <w:szCs w:val="24"/>
            <w:shd w:val="clear" w:color="auto" w:fill="FFFFFF"/>
            <w:lang w:val="es-MX"/>
          </w:rPr>
          <w:t>https://sjf.scjn.gob.mx/SJFSem/Paginas/Reportes/ReporteDE.aspx?idius=2011746&amp;Tipo=1</w:t>
        </w:r>
      </w:hyperlink>
    </w:p>
  </w:footnote>
  <w:footnote w:id="40">
    <w:p w14:paraId="51ABEDC5"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sz w:val="24"/>
          <w:szCs w:val="24"/>
          <w:lang w:val="es-MX"/>
        </w:rPr>
        <w:t>Localización [TA]; 10a. Época; T.C.C.; Gaceta S.J.F.; Libro 75, Febrero de 2020; Tomo III; Pág. 2338. I.6o.P.159 P (10.).</w:t>
      </w:r>
      <w:r w:rsidRPr="00433F7F">
        <w:rPr>
          <w:rFonts w:ascii="Arial" w:hAnsi="Arial" w:cs="Arial"/>
          <w:sz w:val="24"/>
          <w:szCs w:val="24"/>
          <w:lang w:val="es-MX"/>
        </w:rPr>
        <w:t xml:space="preserve"> “</w:t>
      </w:r>
      <w:r w:rsidRPr="00433F7F">
        <w:rPr>
          <w:rFonts w:ascii="Arial" w:eastAsia="Times New Roman" w:hAnsi="Arial" w:cs="Arial"/>
          <w:sz w:val="24"/>
          <w:szCs w:val="24"/>
          <w:lang w:val="es-MX"/>
        </w:rPr>
        <w:t xml:space="preserve">ORDEN DE APREHENSIÓN EN EL SISTEMA PENAL ACUSATORIO. EL SEÑALAMIENTO DEL MONTO ECONÓMICO DE LO QUE ESTIMA EL MINISTERIO PÚBLICO OBTUVO EL IMPUTADO ILÍCITAMENTE POR ELHECHO QUE LA LEY SEÑALA COMO DELITO NO PUEDE CONSIDERARSE PARA JUSTIFICAR LA NECESIDAD DE CAUTELA PARA LA EMISIÓN DE AQUÉLLA, PUES DE LO CONTRARIO, SE VIOLA EL PRINCIPIO DE PRESUNCIÓN DE INOCENCIA”. </w:t>
      </w:r>
    </w:p>
  </w:footnote>
  <w:footnote w:id="41">
    <w:p w14:paraId="4BCD8116"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Ídem.</w:t>
      </w:r>
    </w:p>
  </w:footnote>
  <w:footnote w:id="42">
    <w:p w14:paraId="25DE1471" w14:textId="77777777" w:rsidR="00D27F67" w:rsidRPr="00433F7F" w:rsidRDefault="00D27F67" w:rsidP="00433F7F">
      <w:pPr>
        <w:pStyle w:val="Textonotapie"/>
        <w:spacing w:line="360" w:lineRule="auto"/>
        <w:ind w:left="720" w:right="720"/>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316 del CNPP.</w:t>
      </w:r>
    </w:p>
  </w:footnote>
  <w:footnote w:id="43">
    <w:p w14:paraId="53C2F8A9" w14:textId="5DD8A664"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Dagdoug Kalife, A</w:t>
      </w:r>
      <w:r w:rsidRPr="00433F7F">
        <w:rPr>
          <w:rFonts w:ascii="Arial" w:hAnsi="Arial" w:cs="Arial"/>
          <w:i/>
          <w:iCs/>
          <w:sz w:val="24"/>
          <w:szCs w:val="24"/>
          <w:lang w:val="es-MX"/>
        </w:rPr>
        <w:t>., Manual de Derecho Procesal, Teoría y Práctica</w:t>
      </w:r>
      <w:r w:rsidRPr="00433F7F">
        <w:rPr>
          <w:rFonts w:ascii="Arial" w:hAnsi="Arial" w:cs="Arial"/>
          <w:sz w:val="24"/>
          <w:szCs w:val="24"/>
          <w:lang w:val="es-MX"/>
        </w:rPr>
        <w:t>, México, INACIPE, Editorial IBJUS, 2016, p. 372.</w:t>
      </w:r>
    </w:p>
  </w:footnote>
  <w:footnote w:id="44">
    <w:p w14:paraId="79CA3B6A" w14:textId="77777777" w:rsidR="00D27F67" w:rsidRPr="00EA754A" w:rsidRDefault="00D27F67" w:rsidP="00433F7F">
      <w:pPr>
        <w:pStyle w:val="Textonotapie"/>
        <w:spacing w:line="360" w:lineRule="auto"/>
        <w:ind w:left="720" w:right="720"/>
        <w:jc w:val="both"/>
        <w:rPr>
          <w:rFonts w:ascii="Arial" w:hAnsi="Arial" w:cs="Arial"/>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Localización: [J]; 10a. Época; Plenos de Circuito; Gaceta S.J.F.; Libro 75, Febrero de 2020; Tomo II; Pág. 1283. PC.I.P. J/69 P (10a.). “</w:t>
      </w:r>
      <w:hyperlink r:id="rId11" w:tgtFrame="_self" w:history="1">
        <w:r w:rsidRPr="00433F7F">
          <w:rPr>
            <w:rStyle w:val="Hipervnculo"/>
            <w:rFonts w:ascii="Arial" w:hAnsi="Arial" w:cs="Arial"/>
            <w:sz w:val="24"/>
            <w:szCs w:val="24"/>
            <w:lang w:val="es-MX"/>
          </w:rPr>
          <w:t>AUTO DE VINCULACIÓN A PROCESO. AL DICTARLO, EL JUEZ DE CONTROL PUEDE MODIFICAR LA CLASIFICACIÓN JURÍDICA DE LOS HECHOS CON APARIENCIA DE DELITO EFECTUADA POR EL ÓRGANO MINISTERIAL, AUN CUANDO NO BENEFICIE AL IMPUTADO”.</w:t>
        </w:r>
      </w:hyperlink>
    </w:p>
  </w:footnote>
  <w:footnote w:id="45">
    <w:p w14:paraId="5E565169" w14:textId="77777777" w:rsidR="00D27F67" w:rsidRPr="00433F7F" w:rsidRDefault="00D27F67" w:rsidP="00433F7F">
      <w:pPr>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Ídem.</w:t>
      </w:r>
    </w:p>
  </w:footnote>
  <w:footnote w:id="46">
    <w:p w14:paraId="307E0562" w14:textId="77777777" w:rsidR="00D27F67" w:rsidRPr="00433F7F" w:rsidRDefault="00D27F67" w:rsidP="00433F7F">
      <w:pPr>
        <w:spacing w:line="360" w:lineRule="auto"/>
        <w:ind w:left="720" w:right="720"/>
        <w:jc w:val="both"/>
        <w:rPr>
          <w:rFonts w:ascii="Arial" w:eastAsia="Times New Roman"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sz w:val="24"/>
          <w:szCs w:val="24"/>
          <w:lang w:val="es-MX"/>
        </w:rPr>
        <w:t>Localización: [TA]; 10a. Época; T.C.C.; Gaceta S.J.F.; Libro 69, Agosto de 2019; Tomo IV; Pág. 4640. XXXII.7 P (10a.).</w:t>
      </w:r>
      <w:r w:rsidRPr="00433F7F">
        <w:rPr>
          <w:rFonts w:ascii="Arial" w:hAnsi="Arial" w:cs="Arial"/>
          <w:sz w:val="24"/>
          <w:szCs w:val="24"/>
          <w:lang w:val="es-MX"/>
        </w:rPr>
        <w:t xml:space="preserve"> “REPOSICIÓN DEL PROCEDIMIENTO PENAL. ES IMPROCEDENTE ORDENARLA EN EL AMPARO DIRECTO PARA QUE EL JUEZ DE LA CAUSA RECABE DE OFICIO LAS CONSTANCIAS QUE ACREDITEN LA LEGALIDAD DE LA DETENCIÓN DEL INDICIADO QUE CONFESÓ LA COMISIÓN DEL DELITO CUANDO ESTABA DETENIDO CON MOTIVO DE DIVERSA AVERIGUACIÓN PREVIA PUES, DE LO CONTRARIO, SE VIOLARÍA EL PRINCIPIO DE IMPARCIALIDAD”. </w:t>
      </w:r>
    </w:p>
  </w:footnote>
  <w:footnote w:id="47">
    <w:p w14:paraId="6DA14B14" w14:textId="77777777" w:rsidR="00D27F67" w:rsidRPr="00433F7F" w:rsidRDefault="00D27F67" w:rsidP="00433F7F">
      <w:pPr>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Localización: [TA]; 10a. Época; Pleno; Gaceta S.J.F.; Libro 62, Enero de 2019; Tomo I; Pág. 468. P. VIII/2018 (10a.). “</w:t>
      </w:r>
      <w:hyperlink r:id="rId12" w:tgtFrame="_self" w:history="1">
        <w:r w:rsidRPr="00433F7F">
          <w:rPr>
            <w:rStyle w:val="Hipervnculo"/>
            <w:rFonts w:ascii="Arial" w:hAnsi="Arial" w:cs="Arial"/>
            <w:sz w:val="24"/>
            <w:szCs w:val="24"/>
            <w:lang w:val="es-MX"/>
          </w:rPr>
          <w:t>IN DUBIO PRO REO. ESTE PRINCIPIO GOZA DE JERARQUÍA CONSTITUCIONAL AL CONSTITUIR UNA REGLA IMPLÍCITA DE LA PRESUNCIA DE INOCENCIA”.</w:t>
        </w:r>
      </w:hyperlink>
      <w:r w:rsidRPr="00433F7F">
        <w:rPr>
          <w:rFonts w:ascii="Arial" w:hAnsi="Arial" w:cs="Arial"/>
          <w:sz w:val="24"/>
          <w:szCs w:val="24"/>
          <w:lang w:val="es-MX"/>
        </w:rPr>
        <w:t xml:space="preserve"> </w:t>
      </w:r>
    </w:p>
  </w:footnote>
  <w:footnote w:id="48">
    <w:p w14:paraId="5FCA2D3C" w14:textId="77777777" w:rsidR="00D27F67" w:rsidRPr="00433F7F" w:rsidRDefault="00D27F67" w:rsidP="00433F7F">
      <w:pPr>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Ídem.</w:t>
      </w:r>
    </w:p>
  </w:footnote>
  <w:footnote w:id="49">
    <w:p w14:paraId="6A363115" w14:textId="3233A134" w:rsidR="00D27F67" w:rsidRPr="006043DC" w:rsidRDefault="00D27F67" w:rsidP="00433F7F">
      <w:pPr>
        <w:shd w:val="clear" w:color="auto" w:fill="FFFFFF"/>
        <w:spacing w:line="360" w:lineRule="auto"/>
        <w:ind w:left="720" w:right="720"/>
        <w:jc w:val="both"/>
        <w:rPr>
          <w:rFonts w:ascii="Arial" w:eastAsia="Times New Roman" w:hAnsi="Arial" w:cs="Arial"/>
          <w:sz w:val="20"/>
          <w:szCs w:val="20"/>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Localización: [J]; 10a. Época; 1ª Sala; Gaceta S.J.F.; Libro 38, Enero de 2017; Tomo I; Pág. 161. 1ª./J.2/2017(10a.). “</w:t>
      </w:r>
      <w:r w:rsidRPr="00433F7F">
        <w:rPr>
          <w:rFonts w:ascii="Arial" w:hAnsi="Arial" w:cs="Arial"/>
          <w:color w:val="000000"/>
          <w:sz w:val="24"/>
          <w:szCs w:val="24"/>
          <w:lang w:val="es-MX"/>
        </w:rPr>
        <w:t>PRESUNCIÓN DE INOCENCIA Y DUDA RAZONABLE. FORMA EN LA QUE DEBE VALORARSE EL MATERIAL PROBATORIO PARA SATISFACER EL ESTÁNDAR DE PRUEBA PARA CONDENAR CUANDO COEXISTEN PRUEBAS DE CARGO Y DE DESCARGO”. Ver</w:t>
      </w:r>
      <w:r>
        <w:rPr>
          <w:rFonts w:ascii="Arial" w:hAnsi="Arial" w:cs="Arial"/>
          <w:color w:val="000000"/>
          <w:sz w:val="24"/>
          <w:szCs w:val="24"/>
          <w:lang w:val="es-MX"/>
        </w:rPr>
        <w:t>,</w:t>
      </w:r>
      <w:r w:rsidRPr="00433F7F">
        <w:rPr>
          <w:rFonts w:ascii="Arial" w:hAnsi="Arial" w:cs="Arial"/>
          <w:color w:val="000000"/>
          <w:sz w:val="24"/>
          <w:szCs w:val="24"/>
          <w:lang w:val="es-MX"/>
        </w:rPr>
        <w:t xml:space="preserve"> en este sentido</w:t>
      </w:r>
      <w:r>
        <w:rPr>
          <w:rFonts w:ascii="Arial" w:hAnsi="Arial" w:cs="Arial"/>
          <w:color w:val="000000"/>
          <w:sz w:val="24"/>
          <w:szCs w:val="24"/>
          <w:lang w:val="es-MX"/>
        </w:rPr>
        <w:t>,</w:t>
      </w:r>
      <w:r w:rsidRPr="00433F7F">
        <w:rPr>
          <w:rFonts w:ascii="Arial" w:hAnsi="Arial" w:cs="Arial"/>
          <w:color w:val="000000"/>
          <w:sz w:val="24"/>
          <w:szCs w:val="24"/>
          <w:lang w:val="es-MX"/>
        </w:rPr>
        <w:t xml:space="preserve"> la obra </w:t>
      </w:r>
      <w:r w:rsidRPr="006D15B4">
        <w:rPr>
          <w:rFonts w:ascii="Arial" w:eastAsia="Times New Roman" w:hAnsi="Arial" w:cs="Arial"/>
          <w:i/>
          <w:iCs/>
          <w:sz w:val="24"/>
          <w:szCs w:val="24"/>
          <w:lang w:val="es-MX"/>
        </w:rPr>
        <w:t>El arte de la duda</w:t>
      </w:r>
      <w:r w:rsidRPr="00433F7F">
        <w:rPr>
          <w:rFonts w:ascii="Arial" w:eastAsia="Times New Roman" w:hAnsi="Arial" w:cs="Arial"/>
          <w:sz w:val="24"/>
          <w:szCs w:val="24"/>
          <w:lang w:val="es-MX"/>
        </w:rPr>
        <w:t xml:space="preserve"> de Gianrico Carofiglio, Marcial Pons ediciones jurídicos y sociales, Madrid, 2010.</w:t>
      </w:r>
    </w:p>
  </w:footnote>
  <w:footnote w:id="50">
    <w:p w14:paraId="3C05EE1C" w14:textId="77777777" w:rsidR="00D27F67" w:rsidRPr="00433F7F" w:rsidRDefault="00D27F67" w:rsidP="00433F7F">
      <w:pPr>
        <w:shd w:val="clear" w:color="auto" w:fill="FFFFFF"/>
        <w:spacing w:line="360" w:lineRule="auto"/>
        <w:ind w:left="720" w:right="720"/>
        <w:jc w:val="both"/>
        <w:rPr>
          <w:rFonts w:ascii="Arial" w:eastAsia="Times New Roman"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Localización: [J]; 10a. Época; 1ª Sala; Gaceta S.J.F.; Libro 38, Enero de 2017; Tomo I; Pág. 161. 1ª./J.2/2017(10a.). “</w:t>
      </w:r>
      <w:r w:rsidRPr="00433F7F">
        <w:rPr>
          <w:rFonts w:ascii="Arial" w:hAnsi="Arial" w:cs="Arial"/>
          <w:color w:val="000000"/>
          <w:sz w:val="24"/>
          <w:szCs w:val="24"/>
          <w:lang w:val="es-MX"/>
        </w:rPr>
        <w:t>PRESUNCI</w:t>
      </w:r>
      <w:r w:rsidRPr="00433F7F">
        <w:rPr>
          <w:rFonts w:ascii="Arial" w:hAnsi="Arial" w:cs="Arial"/>
          <w:sz w:val="24"/>
          <w:szCs w:val="24"/>
          <w:lang w:val="es-MX"/>
        </w:rPr>
        <w:t xml:space="preserve">ÓN DE INOCENCIA Y DUDA RAZONABLE. FORMA EN LA QUE DEBE VALORARSE EL MATERIAL PROBATORIO PARA SATISFACER EL ESTÁNDAR DE PRUEBA PARA CONDENAR CUANDO COEXISTEN PRUEBAS DE CARGO Y DE DESCARGO”. </w:t>
      </w:r>
    </w:p>
  </w:footnote>
  <w:footnote w:id="51">
    <w:p w14:paraId="4A8C8F33" w14:textId="77777777" w:rsidR="00D27F67" w:rsidRPr="00433F7F" w:rsidRDefault="00D27F67" w:rsidP="00433F7F">
      <w:pPr>
        <w:shd w:val="clear" w:color="auto" w:fill="FFFFFF"/>
        <w:spacing w:line="360" w:lineRule="auto"/>
        <w:ind w:left="720" w:right="720"/>
        <w:jc w:val="both"/>
        <w:rPr>
          <w:rFonts w:ascii="Arial" w:eastAsia="Times New Roman"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Ídem. </w:t>
      </w:r>
    </w:p>
  </w:footnote>
  <w:footnote w:id="52">
    <w:p w14:paraId="246F63EA" w14:textId="61A24AA3" w:rsidR="00D27F67" w:rsidRPr="00C479BF" w:rsidRDefault="00D27F67" w:rsidP="00433F7F">
      <w:pPr>
        <w:pStyle w:val="Textonotapie"/>
        <w:spacing w:line="360" w:lineRule="auto"/>
        <w:ind w:firstLine="709"/>
        <w:rPr>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Caso Cabrera García y Montiel Flores vs México. Consideración 182</w:t>
      </w:r>
      <w:r>
        <w:rPr>
          <w:rFonts w:ascii="Arial" w:hAnsi="Arial" w:cs="Arial"/>
          <w:sz w:val="24"/>
          <w:szCs w:val="24"/>
          <w:lang w:val="es-MX"/>
        </w:rPr>
        <w:t>.</w:t>
      </w:r>
    </w:p>
  </w:footnote>
  <w:footnote w:id="53">
    <w:p w14:paraId="6058CB84" w14:textId="64566660" w:rsidR="00D27F67" w:rsidRPr="00433F7F" w:rsidRDefault="00D27F67" w:rsidP="00433F7F">
      <w:pPr>
        <w:pStyle w:val="Textonotapie"/>
        <w:spacing w:line="360" w:lineRule="auto"/>
        <w:ind w:left="720"/>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Pr>
          <w:rFonts w:ascii="Arial" w:hAnsi="Arial" w:cs="Arial"/>
          <w:sz w:val="24"/>
          <w:szCs w:val="24"/>
          <w:lang w:val="es-MX"/>
        </w:rPr>
        <w:t xml:space="preserve">Ídem. </w:t>
      </w:r>
      <w:r w:rsidRPr="00433F7F">
        <w:rPr>
          <w:rFonts w:ascii="Arial" w:hAnsi="Arial" w:cs="Arial"/>
          <w:sz w:val="24"/>
          <w:szCs w:val="24"/>
          <w:lang w:val="es-MX"/>
        </w:rPr>
        <w:t>Consideración 183</w:t>
      </w:r>
      <w:r>
        <w:rPr>
          <w:rFonts w:ascii="Arial" w:hAnsi="Arial" w:cs="Arial"/>
          <w:sz w:val="24"/>
          <w:szCs w:val="24"/>
          <w:lang w:val="es-MX"/>
        </w:rPr>
        <w:t>.</w:t>
      </w:r>
    </w:p>
  </w:footnote>
  <w:footnote w:id="54">
    <w:p w14:paraId="49847A0B" w14:textId="75A217BA" w:rsidR="00D27F67" w:rsidRPr="00433F7F" w:rsidRDefault="00D27F67" w:rsidP="00433F7F">
      <w:pPr>
        <w:pStyle w:val="Textonotapie"/>
        <w:spacing w:line="360" w:lineRule="auto"/>
        <w:ind w:left="720"/>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Pr>
          <w:rFonts w:ascii="Arial" w:hAnsi="Arial" w:cs="Arial"/>
          <w:sz w:val="24"/>
          <w:szCs w:val="24"/>
          <w:lang w:val="es-MX"/>
        </w:rPr>
        <w:t xml:space="preserve">Ídem. </w:t>
      </w:r>
      <w:r w:rsidRPr="00433F7F">
        <w:rPr>
          <w:rFonts w:ascii="Arial" w:hAnsi="Arial" w:cs="Arial"/>
          <w:sz w:val="24"/>
          <w:szCs w:val="24"/>
          <w:lang w:val="es-MX"/>
        </w:rPr>
        <w:t>Consideración 186</w:t>
      </w:r>
      <w:r>
        <w:rPr>
          <w:rFonts w:ascii="Arial" w:hAnsi="Arial" w:cs="Arial"/>
          <w:sz w:val="24"/>
          <w:szCs w:val="24"/>
          <w:lang w:val="es-MX"/>
        </w:rPr>
        <w:t>.</w:t>
      </w:r>
    </w:p>
  </w:footnote>
  <w:footnote w:id="55">
    <w:p w14:paraId="1BF3ED59" w14:textId="598BE705" w:rsidR="00D27F67" w:rsidRDefault="00D27F67" w:rsidP="00433F7F">
      <w:pPr>
        <w:pStyle w:val="Textonotapie"/>
        <w:spacing w:line="360" w:lineRule="auto"/>
        <w:ind w:left="709" w:right="713"/>
        <w:jc w:val="both"/>
        <w:rPr>
          <w:rFonts w:ascii="Arial" w:hAnsi="Arial" w:cs="Arial"/>
          <w:sz w:val="24"/>
          <w:szCs w:val="24"/>
          <w:lang w:val="es-MX"/>
        </w:rPr>
      </w:pPr>
      <w:r w:rsidRPr="00433F7F">
        <w:rPr>
          <w:rStyle w:val="Refdenotaalpie"/>
          <w:rFonts w:ascii="Arial" w:hAnsi="Arial" w:cs="Arial"/>
          <w:sz w:val="24"/>
          <w:szCs w:val="24"/>
        </w:rPr>
        <w:footnoteRef/>
      </w:r>
      <w:r w:rsidRPr="006D15B4">
        <w:rPr>
          <w:rFonts w:ascii="Arial" w:hAnsi="Arial" w:cs="Arial"/>
          <w:sz w:val="24"/>
          <w:szCs w:val="24"/>
          <w:lang w:val="es-MX"/>
        </w:rPr>
        <w:t xml:space="preserve"> C</w:t>
      </w:r>
      <w:r>
        <w:rPr>
          <w:rFonts w:ascii="Arial" w:hAnsi="Arial" w:cs="Arial"/>
          <w:sz w:val="24"/>
          <w:szCs w:val="24"/>
          <w:lang w:val="es-MX"/>
        </w:rPr>
        <w:t>orte IDH.</w:t>
      </w:r>
      <w:r w:rsidRPr="006D15B4">
        <w:rPr>
          <w:rFonts w:ascii="Arial" w:hAnsi="Arial" w:cs="Arial"/>
          <w:sz w:val="24"/>
          <w:szCs w:val="24"/>
          <w:lang w:val="es-MX"/>
        </w:rPr>
        <w:t xml:space="preserve"> Caso Zegarra Marín Vs. Perú</w:t>
      </w:r>
      <w:r>
        <w:rPr>
          <w:rFonts w:ascii="Arial" w:hAnsi="Arial" w:cs="Arial"/>
          <w:sz w:val="24"/>
          <w:szCs w:val="24"/>
          <w:lang w:val="es-MX"/>
        </w:rPr>
        <w:t>.</w:t>
      </w:r>
      <w:r w:rsidRPr="006D15B4">
        <w:rPr>
          <w:rFonts w:ascii="Arial" w:hAnsi="Arial" w:cs="Arial"/>
          <w:sz w:val="24"/>
          <w:szCs w:val="24"/>
          <w:lang w:val="es-MX"/>
        </w:rPr>
        <w:t xml:space="preserve"> Sentencia </w:t>
      </w:r>
      <w:r>
        <w:rPr>
          <w:rFonts w:ascii="Arial" w:hAnsi="Arial" w:cs="Arial"/>
          <w:sz w:val="24"/>
          <w:szCs w:val="24"/>
          <w:lang w:val="es-MX"/>
        </w:rPr>
        <w:t>de</w:t>
      </w:r>
      <w:r w:rsidRPr="006D15B4">
        <w:rPr>
          <w:rFonts w:ascii="Arial" w:hAnsi="Arial" w:cs="Arial"/>
          <w:sz w:val="24"/>
          <w:szCs w:val="24"/>
          <w:lang w:val="es-MX"/>
        </w:rPr>
        <w:t xml:space="preserve"> 15 </w:t>
      </w:r>
      <w:r>
        <w:rPr>
          <w:rFonts w:ascii="Arial" w:hAnsi="Arial" w:cs="Arial"/>
          <w:sz w:val="24"/>
          <w:szCs w:val="24"/>
          <w:lang w:val="es-MX"/>
        </w:rPr>
        <w:t>de febrero de</w:t>
      </w:r>
      <w:r w:rsidRPr="006D15B4">
        <w:rPr>
          <w:rFonts w:ascii="Arial" w:hAnsi="Arial" w:cs="Arial"/>
          <w:sz w:val="24"/>
          <w:szCs w:val="24"/>
          <w:lang w:val="es-MX"/>
        </w:rPr>
        <w:t xml:space="preserve"> 2017 (Excepciones Preliminares, Fondo, Reparaciones y Costas) </w:t>
      </w:r>
      <w:hyperlink r:id="rId13" w:history="1">
        <w:r w:rsidRPr="003E75B4">
          <w:rPr>
            <w:rStyle w:val="Hipervnculo"/>
            <w:rFonts w:ascii="Arial" w:hAnsi="Arial" w:cs="Arial"/>
            <w:sz w:val="24"/>
            <w:szCs w:val="24"/>
            <w:lang w:val="es-MX"/>
          </w:rPr>
          <w:t>https://www.corteidh.or.cr/docs/casos/articulos/seriec_331_esp.pdf</w:t>
        </w:r>
      </w:hyperlink>
    </w:p>
    <w:p w14:paraId="24C80A93" w14:textId="77777777" w:rsidR="00D27F67" w:rsidRDefault="00D27F67" w:rsidP="00433F7F">
      <w:pPr>
        <w:pStyle w:val="Textonotapie"/>
        <w:spacing w:line="360" w:lineRule="auto"/>
        <w:ind w:left="709" w:right="713"/>
        <w:jc w:val="both"/>
        <w:rPr>
          <w:rFonts w:ascii="Arial" w:hAnsi="Arial" w:cs="Arial"/>
          <w:sz w:val="24"/>
          <w:szCs w:val="24"/>
          <w:lang w:val="es-MX"/>
        </w:rPr>
      </w:pPr>
    </w:p>
    <w:p w14:paraId="6471E621" w14:textId="77777777" w:rsidR="00D27F67" w:rsidRPr="006D15B4" w:rsidRDefault="00D27F67" w:rsidP="00433F7F">
      <w:pPr>
        <w:pStyle w:val="Textonotapie"/>
        <w:spacing w:line="360" w:lineRule="auto"/>
        <w:ind w:left="709" w:right="713"/>
        <w:jc w:val="both"/>
        <w:rPr>
          <w:sz w:val="24"/>
          <w:szCs w:val="24"/>
          <w:lang w:val="es-MX"/>
        </w:rPr>
      </w:pPr>
    </w:p>
  </w:footnote>
  <w:footnote w:id="56">
    <w:p w14:paraId="16DF415C" w14:textId="35402535" w:rsidR="00D27F67" w:rsidRPr="00B35277" w:rsidRDefault="00D27F67" w:rsidP="00B35277">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Pleno de la S</w:t>
      </w:r>
      <w:r>
        <w:rPr>
          <w:rFonts w:ascii="Arial" w:hAnsi="Arial" w:cs="Arial"/>
          <w:sz w:val="24"/>
          <w:szCs w:val="24"/>
          <w:lang w:val="es-MX"/>
        </w:rPr>
        <w:t>CJN</w:t>
      </w:r>
      <w:r w:rsidRPr="00433F7F">
        <w:rPr>
          <w:rFonts w:ascii="Arial" w:hAnsi="Arial" w:cs="Arial"/>
          <w:sz w:val="24"/>
          <w:szCs w:val="24"/>
          <w:lang w:val="es-MX"/>
        </w:rPr>
        <w:t xml:space="preserve"> lo señala en la jurisprudencia P./J. 31/2013 (10a.), de rubro (sic): "REINSERCIÓN DEL SENTENCIADO. SU ALCANCE CONFORME AL ARTÍCULO 18 DE LA CONSTITUCIÓN POLÍTICA DE LOS ESTADOS UNIDOS MEXICANOS."</w:t>
      </w:r>
    </w:p>
  </w:footnote>
  <w:footnote w:id="57">
    <w:p w14:paraId="6E1DB0C6" w14:textId="0E49B187" w:rsidR="00D27F67" w:rsidRPr="00B35277" w:rsidRDefault="00D27F67" w:rsidP="00B35277">
      <w:pPr>
        <w:pStyle w:val="Textonotapie"/>
        <w:spacing w:line="360" w:lineRule="auto"/>
        <w:ind w:left="720" w:right="720"/>
        <w:jc w:val="both"/>
        <w:rPr>
          <w:rFonts w:ascii="Arial" w:hAnsi="Arial" w:cs="Arial"/>
          <w:sz w:val="24"/>
          <w:szCs w:val="24"/>
          <w:lang w:val="es-MX"/>
        </w:rPr>
      </w:pPr>
      <w:r>
        <w:rPr>
          <w:rStyle w:val="Refdenotaalpie"/>
        </w:rPr>
        <w:footnoteRef/>
      </w:r>
      <w:r w:rsidRPr="000C5E57">
        <w:rPr>
          <w:lang w:val="es-MX"/>
        </w:rPr>
        <w:t xml:space="preserve"> </w:t>
      </w:r>
      <w:r w:rsidRPr="00B35277">
        <w:rPr>
          <w:rFonts w:ascii="Arial" w:hAnsi="Arial" w:cs="Arial"/>
          <w:sz w:val="24"/>
          <w:szCs w:val="24"/>
          <w:lang w:val="es-MX"/>
        </w:rPr>
        <w:t>García Ramírez, Sergio y Martínez Breña Laura, Presos y Prisiones. El sistema penitenciario desde la perspectiva de los derechos humanos, UNAM, Editorial Porrúa y PUDH, México, 2014.</w:t>
      </w:r>
    </w:p>
  </w:footnote>
  <w:footnote w:id="58">
    <w:p w14:paraId="70C04252" w14:textId="0029F3A5" w:rsidR="00D27F67" w:rsidRPr="00E8702B" w:rsidRDefault="00D27F67" w:rsidP="00E8702B">
      <w:pPr>
        <w:pStyle w:val="Textonotapie"/>
        <w:spacing w:line="360" w:lineRule="auto"/>
        <w:ind w:left="709" w:right="713"/>
        <w:jc w:val="both"/>
        <w:rPr>
          <w:rFonts w:ascii="Arial" w:hAnsi="Arial" w:cs="Arial"/>
          <w:sz w:val="24"/>
          <w:szCs w:val="24"/>
          <w:lang w:val="es-MX"/>
        </w:rPr>
      </w:pPr>
      <w:r>
        <w:rPr>
          <w:rStyle w:val="Refdenotaalpie"/>
        </w:rPr>
        <w:footnoteRef/>
      </w:r>
      <w:r>
        <w:t xml:space="preserve"> </w:t>
      </w:r>
      <w:r w:rsidRPr="00E8702B">
        <w:rPr>
          <w:rFonts w:ascii="Arial" w:hAnsi="Arial" w:cs="Arial"/>
          <w:sz w:val="24"/>
          <w:szCs w:val="24"/>
          <w:lang w:val="es-MX"/>
        </w:rPr>
        <w:t>Caballero Ochoa, José Luis, “ Del bloque de constitucionalidad a la interpretación conforme. Una reflexión sobre el artículo primero en la Constitución a diez años</w:t>
      </w:r>
      <w:r>
        <w:rPr>
          <w:rFonts w:ascii="Arial" w:hAnsi="Arial" w:cs="Arial"/>
          <w:sz w:val="24"/>
          <w:szCs w:val="24"/>
          <w:lang w:val="es-MX"/>
        </w:rPr>
        <w:t xml:space="preserve">”, </w:t>
      </w:r>
      <w:r w:rsidRPr="00E8702B">
        <w:rPr>
          <w:rFonts w:ascii="Arial" w:hAnsi="Arial" w:cs="Arial"/>
          <w:sz w:val="24"/>
          <w:szCs w:val="24"/>
          <w:lang w:val="es-MX"/>
        </w:rPr>
        <w:t>La reforma constitucional sobre derechos humanos en México. Una evaluación con perspectiva de futuro,</w:t>
      </w:r>
      <w:r w:rsidRPr="00AF1972">
        <w:rPr>
          <w:rFonts w:ascii="Arial" w:hAnsi="Arial" w:cs="Arial"/>
          <w:sz w:val="24"/>
          <w:szCs w:val="24"/>
          <w:lang w:val="es-MX"/>
        </w:rPr>
        <w:t xml:space="preserve"> </w:t>
      </w:r>
      <w:r>
        <w:rPr>
          <w:rFonts w:ascii="Arial" w:hAnsi="Arial" w:cs="Arial"/>
          <w:sz w:val="24"/>
          <w:szCs w:val="24"/>
          <w:lang w:val="es-MX"/>
        </w:rPr>
        <w:t>Editorial Tirant lo blanch, Justicia interamericana 11, México, 2022.</w:t>
      </w:r>
    </w:p>
  </w:footnote>
  <w:footnote w:id="59">
    <w:p w14:paraId="00F65F70" w14:textId="6BDB23C1" w:rsidR="00D27F67" w:rsidRPr="004C16A1" w:rsidRDefault="00D27F67" w:rsidP="004C16A1">
      <w:pPr>
        <w:pStyle w:val="Textonotapie"/>
        <w:jc w:val="both"/>
        <w:rPr>
          <w:rFonts w:ascii="Times New Roman" w:hAnsi="Times New Roman" w:cs="Times New Roman"/>
          <w:b/>
          <w:sz w:val="24"/>
          <w:szCs w:val="24"/>
          <w:lang w:val="es-ES"/>
        </w:rPr>
      </w:pPr>
      <w:r>
        <w:rPr>
          <w:rStyle w:val="Refdenotaalpie"/>
        </w:rPr>
        <w:footnoteRef/>
      </w:r>
      <w:r>
        <w:t xml:space="preserve"> </w:t>
      </w:r>
      <w:r w:rsidRPr="004C16A1">
        <w:rPr>
          <w:rFonts w:ascii="Arial" w:hAnsi="Arial" w:cs="Arial"/>
          <w:sz w:val="24"/>
          <w:szCs w:val="24"/>
          <w:lang w:val="es-ES"/>
        </w:rPr>
        <w:t>Comunicado de Prensa 19/2020</w:t>
      </w:r>
      <w:r>
        <w:rPr>
          <w:rFonts w:ascii="Arial" w:hAnsi="Arial" w:cs="Arial"/>
          <w:sz w:val="24"/>
          <w:szCs w:val="24"/>
          <w:lang w:val="es-ES"/>
        </w:rPr>
        <w:t>, SCJN</w:t>
      </w:r>
      <w:r w:rsidRPr="004C16A1">
        <w:rPr>
          <w:rFonts w:ascii="Arial" w:hAnsi="Arial" w:cs="Arial"/>
          <w:sz w:val="24"/>
          <w:szCs w:val="24"/>
          <w:lang w:val="es-ES"/>
        </w:rPr>
        <w:t>,</w:t>
      </w:r>
      <w:r w:rsidRPr="004C16A1">
        <w:rPr>
          <w:rFonts w:ascii="Arial" w:hAnsi="Arial" w:cs="Arial"/>
          <w:b/>
          <w:sz w:val="24"/>
          <w:szCs w:val="24"/>
          <w:lang w:val="es-ES"/>
        </w:rPr>
        <w:t xml:space="preserve"> </w:t>
      </w:r>
      <w:r w:rsidRPr="004C16A1">
        <w:rPr>
          <w:rStyle w:val="Textoennegrita"/>
          <w:rFonts w:ascii="Arial" w:hAnsi="Arial" w:cs="Arial"/>
          <w:b w:val="0"/>
          <w:color w:val="000000"/>
          <w:sz w:val="24"/>
          <w:szCs w:val="24"/>
          <w:shd w:val="clear" w:color="auto" w:fill="FFFFFF"/>
        </w:rPr>
        <w:t xml:space="preserve">DECLARA SCJN INCONSTITUCIONALIDAD DE NORMAS QUE EXIGÍAN NO CONTAR CON ANTECEDENTES PENALES PARA REALIZAR ACTIVIDADES COMERCIALES Y GUBERNAMENTALES, ASÍ COMO CONTAR CON LA NACIONALIDAD MEXICANA POR NACIMIENTO PARA ACCEDER A CARGOS PÚBLICOS, </w:t>
      </w:r>
      <w:r w:rsidRPr="004C16A1">
        <w:rPr>
          <w:rFonts w:ascii="Arial" w:hAnsi="Arial" w:cs="Arial"/>
          <w:b/>
          <w:sz w:val="24"/>
          <w:szCs w:val="24"/>
          <w:lang w:val="es-ES"/>
        </w:rPr>
        <w:t xml:space="preserve"> </w:t>
      </w:r>
      <w:r w:rsidRPr="00F33FD2">
        <w:rPr>
          <w:rFonts w:ascii="Arial" w:hAnsi="Arial" w:cs="Arial"/>
          <w:sz w:val="24"/>
          <w:szCs w:val="24"/>
          <w:lang w:val="es-ES"/>
        </w:rPr>
        <w:t xml:space="preserve">Ciudad de México, 27-01-2020, </w:t>
      </w:r>
      <w:hyperlink r:id="rId14" w:history="1">
        <w:r w:rsidRPr="003E75B4">
          <w:rPr>
            <w:rStyle w:val="Hipervnculo"/>
            <w:rFonts w:ascii="Arial" w:hAnsi="Arial" w:cs="Arial"/>
            <w:b/>
            <w:sz w:val="24"/>
            <w:szCs w:val="24"/>
            <w:lang w:val="es-ES"/>
          </w:rPr>
          <w:t>https://www.internet2.scjn.gob.mx/red2/comunicados/noticia.asp?id=6062</w:t>
        </w:r>
      </w:hyperlink>
    </w:p>
    <w:p w14:paraId="3B59BD97" w14:textId="77777777" w:rsidR="00D27F67" w:rsidRPr="004C16A1" w:rsidRDefault="00D27F67" w:rsidP="004C16A1">
      <w:pPr>
        <w:pStyle w:val="Textonotapie"/>
        <w:jc w:val="both"/>
        <w:rPr>
          <w:rFonts w:ascii="Times New Roman" w:hAnsi="Times New Roman" w:cs="Times New Roman"/>
          <w:b/>
          <w:sz w:val="24"/>
          <w:szCs w:val="24"/>
          <w:lang w:val="es-ES"/>
        </w:rPr>
      </w:pPr>
    </w:p>
  </w:footnote>
  <w:footnote w:id="60">
    <w:p w14:paraId="0DDB2AAF" w14:textId="77777777" w:rsidR="00D27F67" w:rsidRPr="00433F7F" w:rsidRDefault="00D27F67" w:rsidP="00BB4BC9">
      <w:pPr>
        <w:pStyle w:val="Textonotapie"/>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Art. 27. V de la LNEP.</w:t>
      </w:r>
    </w:p>
  </w:footnote>
  <w:footnote w:id="61">
    <w:p w14:paraId="2C014142" w14:textId="77777777" w:rsidR="00D27F67" w:rsidRPr="00433F7F" w:rsidRDefault="00D27F67" w:rsidP="00433F7F">
      <w:pPr>
        <w:spacing w:line="276"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Localización: [TA]; 10a. Época; T.C.C.; Gaceta S.J.F.; Libro 60, Noviembre de 2018; Tomo III; Pág. 2197. “</w:t>
      </w:r>
      <w:hyperlink r:id="rId15" w:tgtFrame="_self" w:history="1">
        <w:r w:rsidRPr="00433F7F">
          <w:rPr>
            <w:rStyle w:val="Hipervnculo"/>
            <w:rFonts w:ascii="Arial" w:hAnsi="Arial" w:cs="Arial"/>
            <w:sz w:val="24"/>
            <w:szCs w:val="24"/>
            <w:lang w:val="es-MX"/>
          </w:rPr>
          <w:t>CONSTANCIA DE ANTECEDENTES PENALES. SI SE EXPIDE SIN VERIFICAR LA INFORMACIÓN QUE LE SUBYACE NI EXPONE LAS RAZONES QUE LA SUSTENTAN, ELLO CONSTITUYE UNA PRÁCTICA DISCRIMINATORIA QUE PROPICIA LA ESTIGMATIZACIÓN DEL SENTENCIADO”.</w:t>
        </w:r>
      </w:hyperlink>
      <w:r w:rsidRPr="00433F7F">
        <w:rPr>
          <w:rFonts w:ascii="Arial" w:hAnsi="Arial" w:cs="Arial"/>
          <w:sz w:val="24"/>
          <w:szCs w:val="24"/>
          <w:lang w:val="es-MX"/>
        </w:rPr>
        <w:t xml:space="preserve"> </w:t>
      </w:r>
    </w:p>
  </w:footnote>
  <w:footnote w:id="62">
    <w:p w14:paraId="4B089A83" w14:textId="09B71DDC" w:rsidR="00D27F67" w:rsidRPr="00D5491A" w:rsidRDefault="00D27F67" w:rsidP="00433F7F">
      <w:pPr>
        <w:spacing w:line="276" w:lineRule="auto"/>
        <w:ind w:left="720" w:right="720"/>
        <w:jc w:val="both"/>
        <w:rPr>
          <w:rFonts w:ascii="Arial" w:hAnsi="Arial" w:cs="Arial"/>
          <w:sz w:val="20"/>
          <w:szCs w:val="20"/>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CorteIDH, </w:t>
      </w:r>
      <w:r w:rsidRPr="006D15B4">
        <w:rPr>
          <w:rFonts w:ascii="Arial" w:hAnsi="Arial" w:cs="Arial"/>
          <w:sz w:val="24"/>
          <w:szCs w:val="24"/>
          <w:lang w:val="es-MX"/>
        </w:rPr>
        <w:t>RESOLUCIÓN DE LA CORTE INTERAMERICANA DE DERECHOS HUMANOS DE 29 DE ABRIL DE 2009 CASO CHAPARRO ÁLVAREZ Y LAPO ÍÑIGUEZ VS. ECUADOR. SUPERVISIÓN DE CUMPLIMIENTO DE SENTENCIA,</w:t>
      </w:r>
      <w:r w:rsidRPr="00433F7F">
        <w:rPr>
          <w:rFonts w:ascii="Arial" w:hAnsi="Arial" w:cs="Arial"/>
          <w:sz w:val="24"/>
          <w:szCs w:val="24"/>
          <w:lang w:val="es-MX"/>
        </w:rPr>
        <w:t xml:space="preserve"> 29 de abril de 2009. </w:t>
      </w:r>
      <w:hyperlink r:id="rId16" w:history="1">
        <w:r w:rsidRPr="00433F7F">
          <w:rPr>
            <w:rStyle w:val="Hipervnculo"/>
            <w:rFonts w:ascii="Arial" w:hAnsi="Arial" w:cs="Arial"/>
            <w:sz w:val="24"/>
            <w:szCs w:val="24"/>
            <w:lang w:val="es-MX"/>
          </w:rPr>
          <w:t>https://www.corteidh.or.cr/docs/supervisiones/chaparro_29_04_09.pdf</w:t>
        </w:r>
      </w:hyperlink>
    </w:p>
  </w:footnote>
  <w:footnote w:id="63">
    <w:p w14:paraId="18436C76" w14:textId="25346E31" w:rsidR="00D27F67" w:rsidRPr="00433F7F" w:rsidRDefault="00D27F67" w:rsidP="00433F7F">
      <w:pPr>
        <w:pStyle w:val="Textonotapie"/>
        <w:spacing w:line="360" w:lineRule="auto"/>
        <w:ind w:left="709"/>
        <w:rPr>
          <w:rFonts w:ascii="Arial" w:hAnsi="Arial" w:cs="Arial"/>
          <w:sz w:val="24"/>
          <w:szCs w:val="24"/>
          <w:lang w:val="es-ES"/>
        </w:rPr>
      </w:pPr>
      <w:r w:rsidRPr="00433F7F">
        <w:rPr>
          <w:rStyle w:val="Refdenotaalpie"/>
          <w:rFonts w:ascii="Arial" w:hAnsi="Arial" w:cs="Arial"/>
          <w:sz w:val="24"/>
          <w:szCs w:val="24"/>
        </w:rPr>
        <w:footnoteRef/>
      </w:r>
      <w:r w:rsidRPr="008A4B55">
        <w:rPr>
          <w:rFonts w:ascii="Arial" w:hAnsi="Arial" w:cs="Arial"/>
          <w:sz w:val="24"/>
          <w:szCs w:val="24"/>
          <w:lang w:val="es-MX"/>
        </w:rPr>
        <w:t xml:space="preserve"> </w:t>
      </w:r>
      <w:r w:rsidRPr="00433F7F">
        <w:rPr>
          <w:rFonts w:ascii="Arial" w:hAnsi="Arial" w:cs="Arial"/>
          <w:sz w:val="24"/>
          <w:szCs w:val="24"/>
          <w:lang w:val="es-MX"/>
        </w:rPr>
        <w:t>Ferrajoli</w:t>
      </w:r>
      <w:r w:rsidRPr="00433F7F">
        <w:rPr>
          <w:rFonts w:ascii="Arial" w:hAnsi="Arial" w:cs="Arial"/>
          <w:i/>
          <w:iCs/>
          <w:sz w:val="24"/>
          <w:szCs w:val="24"/>
          <w:lang w:val="es-MX"/>
        </w:rPr>
        <w:t xml:space="preserve"> </w:t>
      </w:r>
      <w:r w:rsidRPr="00433F7F">
        <w:rPr>
          <w:rFonts w:ascii="Arial" w:hAnsi="Arial" w:cs="Arial"/>
          <w:sz w:val="24"/>
          <w:szCs w:val="24"/>
          <w:lang w:val="es-MX"/>
        </w:rPr>
        <w:t>2019a: p. 40</w:t>
      </w:r>
    </w:p>
  </w:footnote>
  <w:footnote w:id="64">
    <w:p w14:paraId="56E0DDAC" w14:textId="2085642B" w:rsidR="00D27F67" w:rsidRPr="00433F7F" w:rsidRDefault="00D27F67" w:rsidP="00433F7F">
      <w:pPr>
        <w:pStyle w:val="Textonotapie"/>
        <w:spacing w:line="360" w:lineRule="auto"/>
        <w:ind w:left="720" w:right="720"/>
        <w:jc w:val="both"/>
        <w:rPr>
          <w:rFonts w:ascii="Arial" w:hAnsi="Arial" w:cs="Arial"/>
          <w:sz w:val="24"/>
          <w:szCs w:val="24"/>
          <w:lang w:val="es-ES"/>
        </w:rPr>
      </w:pPr>
      <w:r w:rsidRPr="00433F7F">
        <w:rPr>
          <w:rStyle w:val="Refdenotaalpie"/>
          <w:rFonts w:ascii="Arial" w:hAnsi="Arial" w:cs="Arial"/>
          <w:sz w:val="24"/>
          <w:szCs w:val="24"/>
        </w:rPr>
        <w:footnoteRef/>
      </w:r>
      <w:r w:rsidRPr="00433F7F">
        <w:rPr>
          <w:rFonts w:ascii="Arial" w:hAnsi="Arial" w:cs="Arial"/>
          <w:sz w:val="24"/>
          <w:szCs w:val="24"/>
          <w:lang w:val="es-MX"/>
        </w:rPr>
        <w:t xml:space="preserve"> Torres del Moral 2007: (2007): ”Lección 10. Derecho de participación política: (I) Derecho de sufragio, desempeño de los cargos públicos y mandatos representativo ” </w:t>
      </w:r>
      <w:r w:rsidRPr="00433F7F" w:rsidDel="00D84259">
        <w:rPr>
          <w:rFonts w:ascii="Arial" w:hAnsi="Arial" w:cs="Arial"/>
          <w:sz w:val="24"/>
          <w:szCs w:val="24"/>
          <w:lang w:val="es-MX"/>
        </w:rPr>
        <w:t xml:space="preserve"> </w:t>
      </w:r>
      <w:r w:rsidRPr="00433F7F">
        <w:rPr>
          <w:rFonts w:ascii="Arial" w:hAnsi="Arial" w:cs="Arial"/>
          <w:sz w:val="24"/>
          <w:szCs w:val="24"/>
          <w:lang w:val="es-MX"/>
        </w:rPr>
        <w:t xml:space="preserve">en </w:t>
      </w:r>
      <w:r w:rsidRPr="00433F7F">
        <w:rPr>
          <w:rFonts w:ascii="Arial" w:hAnsi="Arial" w:cs="Arial"/>
          <w:i/>
          <w:iCs/>
          <w:sz w:val="24"/>
          <w:szCs w:val="24"/>
          <w:lang w:val="es-MX"/>
        </w:rPr>
        <w:t>Los Derechos Fundamentales y su Protección jurisdiccional</w:t>
      </w:r>
      <w:r w:rsidRPr="00433F7F">
        <w:rPr>
          <w:rFonts w:ascii="Arial" w:hAnsi="Arial" w:cs="Arial"/>
          <w:sz w:val="24"/>
          <w:szCs w:val="24"/>
          <w:lang w:val="es-MX"/>
        </w:rPr>
        <w:t xml:space="preserve">, 1ª Edición, </w:t>
      </w:r>
      <w:r w:rsidRPr="00433F7F" w:rsidDel="00D84259">
        <w:rPr>
          <w:rFonts w:ascii="Arial" w:hAnsi="Arial" w:cs="Arial"/>
          <w:smallCaps/>
          <w:sz w:val="24"/>
          <w:szCs w:val="24"/>
          <w:lang w:val="es-MX"/>
        </w:rPr>
        <w:t>C</w:t>
      </w:r>
      <w:r w:rsidRPr="00433F7F">
        <w:rPr>
          <w:rFonts w:ascii="Arial" w:hAnsi="Arial" w:cs="Arial"/>
          <w:smallCaps/>
          <w:sz w:val="24"/>
          <w:szCs w:val="24"/>
          <w:lang w:val="es-MX"/>
        </w:rPr>
        <w:t>olex</w:t>
      </w:r>
      <w:r w:rsidRPr="00433F7F" w:rsidDel="00D84259">
        <w:rPr>
          <w:rFonts w:ascii="Arial" w:hAnsi="Arial" w:cs="Arial"/>
          <w:sz w:val="24"/>
          <w:szCs w:val="24"/>
          <w:lang w:val="es-MX"/>
        </w:rPr>
        <w:t xml:space="preserve">, </w:t>
      </w:r>
      <w:r w:rsidRPr="00433F7F">
        <w:rPr>
          <w:rFonts w:ascii="Arial" w:hAnsi="Arial" w:cs="Arial"/>
          <w:sz w:val="24"/>
          <w:szCs w:val="24"/>
          <w:lang w:val="es-MX"/>
        </w:rPr>
        <w:t>Madrid, pp.261-262</w:t>
      </w:r>
    </w:p>
  </w:footnote>
  <w:footnote w:id="65">
    <w:p w14:paraId="241C7021" w14:textId="19958315" w:rsidR="00D27F67" w:rsidRPr="002A00C0" w:rsidRDefault="00D27F67" w:rsidP="00433F7F">
      <w:pPr>
        <w:spacing w:line="360" w:lineRule="auto"/>
        <w:ind w:left="720" w:right="720"/>
        <w:jc w:val="both"/>
        <w:rPr>
          <w:rFonts w:ascii="Arial" w:hAnsi="Arial" w:cs="Arial"/>
          <w:sz w:val="20"/>
          <w:szCs w:val="20"/>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Pr>
          <w:rFonts w:ascii="Arial" w:hAnsi="Arial" w:cs="Arial"/>
          <w:sz w:val="24"/>
          <w:szCs w:val="24"/>
          <w:lang w:val="es-MX"/>
        </w:rPr>
        <w:t>Localización.</w:t>
      </w:r>
      <w:r w:rsidRPr="002A00C0">
        <w:rPr>
          <w:rFonts w:ascii="Arial" w:hAnsi="Arial" w:cs="Arial"/>
          <w:sz w:val="24"/>
          <w:szCs w:val="24"/>
          <w:lang w:val="es-MX"/>
        </w:rPr>
        <w:t>Undécima Epoca, Pleno, Semanario Judicial de la F</w:t>
      </w:r>
      <w:r>
        <w:rPr>
          <w:rFonts w:ascii="Arial" w:hAnsi="Arial" w:cs="Arial"/>
          <w:sz w:val="24"/>
          <w:szCs w:val="24"/>
          <w:lang w:val="es-MX"/>
        </w:rPr>
        <w:t>e</w:t>
      </w:r>
      <w:r w:rsidRPr="002A00C0">
        <w:rPr>
          <w:rFonts w:ascii="Arial" w:hAnsi="Arial" w:cs="Arial"/>
          <w:sz w:val="24"/>
          <w:szCs w:val="24"/>
          <w:lang w:val="es-MX"/>
        </w:rPr>
        <w:t xml:space="preserve">deración, Publicación 2 de julio de 2021. 29934 Comisión Nacional de los Derecho Humanos. 27 DE ENERO DE 2020. </w:t>
      </w:r>
      <w:hyperlink r:id="rId17" w:history="1">
        <w:r w:rsidRPr="002A00C0">
          <w:rPr>
            <w:rStyle w:val="Hipervnculo"/>
            <w:rFonts w:ascii="Arial" w:hAnsi="Arial" w:cs="Arial"/>
            <w:color w:val="auto"/>
            <w:sz w:val="24"/>
            <w:szCs w:val="24"/>
            <w:lang w:val="es-MX"/>
          </w:rPr>
          <w:t>https://sjf.scjn.gob.mx/SJFSem/Paginas/DetalleGeneralScroll.aspx?ID=29934&amp;Clase=DetalleSemanarioEjecutoriaBL</w:t>
        </w:r>
      </w:hyperlink>
    </w:p>
  </w:footnote>
  <w:footnote w:id="66">
    <w:p w14:paraId="2EA52134" w14:textId="2733E46B" w:rsidR="00D27F67" w:rsidRPr="002A00C0" w:rsidRDefault="00D27F67" w:rsidP="002A00C0">
      <w:pPr>
        <w:pStyle w:val="Textonotapie"/>
        <w:spacing w:line="360" w:lineRule="auto"/>
        <w:ind w:left="720" w:right="720"/>
        <w:jc w:val="both"/>
        <w:rPr>
          <w:rFonts w:ascii="Arial" w:hAnsi="Arial" w:cs="Arial"/>
          <w:sz w:val="24"/>
          <w:szCs w:val="24"/>
          <w:lang w:val="es-MX"/>
        </w:rPr>
      </w:pPr>
      <w:r w:rsidRPr="002A00C0">
        <w:rPr>
          <w:rStyle w:val="Refdenotaalpie"/>
        </w:rPr>
        <w:footnoteRef/>
      </w:r>
      <w:r w:rsidRPr="002A00C0">
        <w:t xml:space="preserve"> </w:t>
      </w:r>
      <w:r w:rsidRPr="002A00C0">
        <w:rPr>
          <w:rFonts w:ascii="Arial" w:hAnsi="Arial" w:cs="Arial"/>
          <w:sz w:val="24"/>
          <w:szCs w:val="24"/>
          <w:lang w:val="es-MX"/>
        </w:rPr>
        <w:t xml:space="preserve">Ver sobre justicia constitucional de las entidades federativas a Figueroa Mejía, Giovanni A., “Incidencia de la reforma constitucional sobre derechos humanos en la justicia constitucional de las entidades federativas”, </w:t>
      </w:r>
      <w:r w:rsidRPr="002A00C0">
        <w:rPr>
          <w:rFonts w:ascii="Arial" w:hAnsi="Arial" w:cs="Arial"/>
          <w:i/>
          <w:sz w:val="24"/>
          <w:szCs w:val="24"/>
          <w:lang w:val="es-MX"/>
        </w:rPr>
        <w:t>La reforma constitucional sobre derechos humanos en México. Una evaluación con perspectiva de futuro,</w:t>
      </w:r>
      <w:r w:rsidRPr="002A00C0">
        <w:rPr>
          <w:rFonts w:ascii="Arial" w:hAnsi="Arial" w:cs="Arial"/>
          <w:sz w:val="24"/>
          <w:szCs w:val="24"/>
          <w:lang w:val="es-MX"/>
        </w:rPr>
        <w:t xml:space="preserve"> Editorial Tirant lo blanch, Justicia interamericana 11, México, 2022.</w:t>
      </w:r>
    </w:p>
  </w:footnote>
  <w:footnote w:id="67">
    <w:p w14:paraId="720661F9"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r w:rsidRPr="002A00C0">
        <w:rPr>
          <w:rStyle w:val="Refdenotaalpie"/>
          <w:rFonts w:ascii="Arial" w:hAnsi="Arial" w:cs="Arial"/>
          <w:sz w:val="24"/>
          <w:szCs w:val="24"/>
        </w:rPr>
        <w:footnoteRef/>
      </w:r>
      <w:r w:rsidRPr="002A00C0">
        <w:rPr>
          <w:rFonts w:ascii="Arial" w:hAnsi="Arial" w:cs="Arial"/>
          <w:sz w:val="24"/>
          <w:szCs w:val="24"/>
          <w:lang w:val="es-MX"/>
        </w:rPr>
        <w:t xml:space="preserve"> Decreto núm. 250, publicado en el Boletín Oficial del Gobierno del Estado de Sonora el trece de septiembre de 2018.</w:t>
      </w:r>
    </w:p>
  </w:footnote>
  <w:footnote w:id="68">
    <w:p w14:paraId="6BAE446D" w14:textId="439945F9" w:rsidR="00D27F67" w:rsidRPr="00C479BF" w:rsidRDefault="00D27F67" w:rsidP="00C6077F">
      <w:pPr>
        <w:pStyle w:val="Textonotapie"/>
        <w:spacing w:line="360" w:lineRule="auto"/>
        <w:ind w:left="720" w:right="720"/>
        <w:jc w:val="both"/>
        <w:rPr>
          <w:lang w:val="es-ES"/>
        </w:rPr>
      </w:pPr>
      <w:r w:rsidRPr="00433F7F">
        <w:rPr>
          <w:rStyle w:val="Refdenotaalpie"/>
          <w:rFonts w:ascii="Arial" w:hAnsi="Arial" w:cs="Arial"/>
          <w:sz w:val="24"/>
          <w:szCs w:val="24"/>
        </w:rPr>
        <w:footnoteRef/>
      </w:r>
      <w:r w:rsidRPr="00433F7F">
        <w:rPr>
          <w:rFonts w:ascii="Arial" w:hAnsi="Arial" w:cs="Arial"/>
          <w:sz w:val="24"/>
          <w:szCs w:val="24"/>
          <w:lang w:val="es-MX"/>
        </w:rPr>
        <w:t xml:space="preserve"> A efecto de verificar “si la medida legislativa tiene un contenido prohibido de discriminación; esto, bajo los parámetros de: (i) Cumplir con una finalidad constitucional imperiosa; (ii) Estar estrechamente vinculada con la finalidad constitucionalmente imperiosa; y (iii) Ser lo menos restrictiva posible”.</w:t>
      </w:r>
    </w:p>
  </w:footnote>
  <w:footnote w:id="69">
    <w:p w14:paraId="79E9924D" w14:textId="08B1C735" w:rsidR="00D27F67" w:rsidRPr="00433F7F" w:rsidRDefault="00D27F67" w:rsidP="00433F7F">
      <w:pPr>
        <w:pStyle w:val="Textonotapie"/>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Organización de las Naciones Unidas, </w:t>
      </w:r>
      <w:r w:rsidRPr="00152CED">
        <w:rPr>
          <w:rFonts w:ascii="Arial" w:hAnsi="Arial" w:cs="Arial"/>
          <w:i/>
          <w:sz w:val="24"/>
          <w:szCs w:val="24"/>
          <w:lang w:val="es-MX"/>
        </w:rPr>
        <w:t>Reglas Mínimas de las Naciones Unidas para el tratamiento de los reclusos</w:t>
      </w:r>
      <w:r>
        <w:rPr>
          <w:rFonts w:ascii="Arial" w:hAnsi="Arial" w:cs="Arial"/>
          <w:sz w:val="24"/>
          <w:szCs w:val="24"/>
          <w:lang w:val="es-MX"/>
        </w:rPr>
        <w:t xml:space="preserve">, ver en </w:t>
      </w:r>
      <w:hyperlink r:id="rId18" w:history="1">
        <w:r w:rsidRPr="00433F7F">
          <w:rPr>
            <w:rStyle w:val="Hipervnculo"/>
            <w:rFonts w:ascii="Arial" w:hAnsi="Arial" w:cs="Arial"/>
            <w:sz w:val="24"/>
            <w:szCs w:val="24"/>
            <w:lang w:val="es-MX"/>
          </w:rPr>
          <w:t>https://www.unodc.org/documents/justice-and-prison-reform/Nelson_Mandela_Rules-S-ebook.pdf</w:t>
        </w:r>
      </w:hyperlink>
    </w:p>
    <w:p w14:paraId="109E9620" w14:textId="77777777" w:rsidR="00D27F67" w:rsidRPr="00433F7F" w:rsidRDefault="00D27F67" w:rsidP="00433F7F">
      <w:pPr>
        <w:pStyle w:val="Textonotapie"/>
        <w:spacing w:line="360" w:lineRule="auto"/>
        <w:ind w:left="720" w:right="720"/>
        <w:jc w:val="both"/>
        <w:rPr>
          <w:rFonts w:ascii="Arial" w:hAnsi="Arial" w:cs="Arial"/>
          <w:sz w:val="24"/>
          <w:szCs w:val="24"/>
          <w:lang w:val="es-MX"/>
        </w:rPr>
      </w:pPr>
    </w:p>
  </w:footnote>
  <w:footnote w:id="70">
    <w:p w14:paraId="2EF210BC" w14:textId="04095E4B" w:rsidR="00D27F67" w:rsidRPr="0008360D" w:rsidRDefault="00D27F67" w:rsidP="00433F7F">
      <w:pPr>
        <w:pStyle w:val="Textonotapie"/>
        <w:spacing w:line="360" w:lineRule="auto"/>
        <w:ind w:left="720" w:right="720"/>
        <w:jc w:val="both"/>
        <w:rPr>
          <w:rFonts w:ascii="Arial" w:hAnsi="Arial" w:cs="Arial"/>
        </w:rPr>
      </w:pPr>
      <w:r w:rsidRPr="00433F7F">
        <w:rPr>
          <w:rStyle w:val="Refdenotaalpie"/>
          <w:rFonts w:ascii="Arial" w:hAnsi="Arial" w:cs="Arial"/>
          <w:sz w:val="24"/>
          <w:szCs w:val="24"/>
        </w:rPr>
        <w:footnoteRef/>
      </w:r>
      <w:r>
        <w:rPr>
          <w:rFonts w:ascii="Arial" w:hAnsi="Arial" w:cs="Arial"/>
          <w:sz w:val="24"/>
          <w:szCs w:val="24"/>
        </w:rPr>
        <w:t xml:space="preserve"> Localización.</w:t>
      </w:r>
      <w:r w:rsidRPr="002A00C0">
        <w:rPr>
          <w:rFonts w:ascii="Arial" w:hAnsi="Arial" w:cs="Arial"/>
          <w:sz w:val="24"/>
          <w:szCs w:val="24"/>
          <w:lang w:val="es-MX"/>
        </w:rPr>
        <w:t>Undécima Epoca, Pleno, Semanario Judicial de la F</w:t>
      </w:r>
      <w:r>
        <w:rPr>
          <w:rFonts w:ascii="Arial" w:hAnsi="Arial" w:cs="Arial"/>
          <w:sz w:val="24"/>
          <w:szCs w:val="24"/>
          <w:lang w:val="es-MX"/>
        </w:rPr>
        <w:t>e</w:t>
      </w:r>
      <w:r w:rsidRPr="002A00C0">
        <w:rPr>
          <w:rFonts w:ascii="Arial" w:hAnsi="Arial" w:cs="Arial"/>
          <w:sz w:val="24"/>
          <w:szCs w:val="24"/>
          <w:lang w:val="es-MX"/>
        </w:rPr>
        <w:t xml:space="preserve">deración, Publicación </w:t>
      </w:r>
      <w:r w:rsidRPr="0008360D">
        <w:rPr>
          <w:rFonts w:ascii="Arial" w:hAnsi="Arial" w:cs="Arial"/>
          <w:sz w:val="24"/>
          <w:szCs w:val="24"/>
          <w:lang w:val="es-MX"/>
        </w:rPr>
        <w:t>2 de julio de 2021, op. cit.,</w:t>
      </w:r>
      <w:r w:rsidRPr="0008360D">
        <w:rPr>
          <w:rFonts w:ascii="Arial" w:hAnsi="Arial" w:cs="Arial"/>
          <w:sz w:val="24"/>
          <w:szCs w:val="24"/>
        </w:rPr>
        <w:t xml:space="preserve"> Apart. 24</w:t>
      </w:r>
    </w:p>
  </w:footnote>
  <w:footnote w:id="71">
    <w:p w14:paraId="1778BE3D" w14:textId="5688BD6C" w:rsidR="00D27F67" w:rsidRPr="006D15B4" w:rsidRDefault="00D27F67" w:rsidP="00433F7F">
      <w:pPr>
        <w:pStyle w:val="Textonotapie"/>
        <w:spacing w:line="360" w:lineRule="auto"/>
        <w:ind w:left="720" w:right="720"/>
        <w:jc w:val="both"/>
        <w:rPr>
          <w:rFonts w:ascii="Arial" w:hAnsi="Arial" w:cs="Arial"/>
          <w:color w:val="FF0000"/>
          <w:sz w:val="24"/>
          <w:szCs w:val="24"/>
        </w:rPr>
      </w:pPr>
      <w:r w:rsidRPr="0008360D">
        <w:rPr>
          <w:rStyle w:val="Refdenotaalpie"/>
          <w:rFonts w:ascii="Arial" w:hAnsi="Arial" w:cs="Arial"/>
          <w:sz w:val="24"/>
          <w:szCs w:val="24"/>
        </w:rPr>
        <w:footnoteRef/>
      </w:r>
      <w:r w:rsidRPr="0008360D">
        <w:rPr>
          <w:rFonts w:ascii="Arial" w:hAnsi="Arial" w:cs="Arial"/>
          <w:sz w:val="24"/>
          <w:szCs w:val="24"/>
        </w:rPr>
        <w:t xml:space="preserve"> Ídem., Ap. 25</w:t>
      </w:r>
    </w:p>
  </w:footnote>
  <w:footnote w:id="72">
    <w:p w14:paraId="4075AEB2" w14:textId="45E3D76C" w:rsidR="00D27F67" w:rsidRPr="0008360D" w:rsidRDefault="00D27F67" w:rsidP="0008360D">
      <w:pPr>
        <w:pStyle w:val="corte1datos"/>
        <w:spacing w:line="360" w:lineRule="auto"/>
        <w:ind w:left="720" w:right="713"/>
        <w:jc w:val="both"/>
        <w:rPr>
          <w:b w:val="0"/>
          <w:sz w:val="24"/>
          <w:szCs w:val="24"/>
        </w:rPr>
      </w:pPr>
      <w:r w:rsidRPr="0008360D">
        <w:rPr>
          <w:b w:val="0"/>
          <w:sz w:val="24"/>
          <w:szCs w:val="24"/>
        </w:rPr>
        <w:t xml:space="preserve"> </w:t>
      </w:r>
      <w:r w:rsidRPr="0008360D">
        <w:rPr>
          <w:rStyle w:val="Refdenotaalpie"/>
          <w:b w:val="0"/>
          <w:sz w:val="24"/>
          <w:szCs w:val="24"/>
        </w:rPr>
        <w:footnoteRef/>
      </w:r>
      <w:r>
        <w:rPr>
          <w:b w:val="0"/>
          <w:sz w:val="24"/>
          <w:szCs w:val="24"/>
        </w:rPr>
        <w:t xml:space="preserve"> </w:t>
      </w:r>
      <w:r>
        <w:rPr>
          <w:b w:val="0"/>
          <w:caps w:val="0"/>
          <w:sz w:val="24"/>
          <w:szCs w:val="24"/>
        </w:rPr>
        <w:t>Localización.</w:t>
      </w:r>
      <w:r>
        <w:rPr>
          <w:b w:val="0"/>
          <w:sz w:val="24"/>
          <w:szCs w:val="24"/>
        </w:rPr>
        <w:t xml:space="preserve"> </w:t>
      </w:r>
      <w:r>
        <w:rPr>
          <w:b w:val="0"/>
          <w:caps w:val="0"/>
          <w:sz w:val="24"/>
          <w:szCs w:val="24"/>
        </w:rPr>
        <w:t>Novena Época. Pleno SCJN</w:t>
      </w:r>
      <w:r>
        <w:rPr>
          <w:b w:val="0"/>
          <w:sz w:val="24"/>
          <w:szCs w:val="24"/>
        </w:rPr>
        <w:t>.</w:t>
      </w:r>
      <w:r w:rsidRPr="0008360D">
        <w:rPr>
          <w:b w:val="0"/>
          <w:sz w:val="24"/>
          <w:szCs w:val="24"/>
        </w:rPr>
        <w:t xml:space="preserve"> </w:t>
      </w:r>
      <w:r w:rsidRPr="0008360D">
        <w:rPr>
          <w:b w:val="0"/>
          <w:bCs/>
          <w:sz w:val="24"/>
          <w:szCs w:val="24"/>
          <w:lang w:val="es-MX" w:eastAsia="es-MX"/>
        </w:rPr>
        <w:t xml:space="preserve">CONTRADICCIÓN DE TESIS 6/2008-PL. </w:t>
      </w:r>
      <w:r>
        <w:rPr>
          <w:b w:val="0"/>
          <w:bCs/>
          <w:sz w:val="24"/>
          <w:szCs w:val="24"/>
          <w:lang w:val="es-MX" w:eastAsia="es-MX"/>
        </w:rPr>
        <w:t xml:space="preserve">26 </w:t>
      </w:r>
      <w:r>
        <w:rPr>
          <w:b w:val="0"/>
          <w:bCs/>
          <w:caps w:val="0"/>
          <w:sz w:val="24"/>
          <w:szCs w:val="24"/>
          <w:lang w:val="es-MX" w:eastAsia="es-MX"/>
        </w:rPr>
        <w:t>de mayo de</w:t>
      </w:r>
      <w:r>
        <w:rPr>
          <w:b w:val="0"/>
          <w:bCs/>
          <w:sz w:val="24"/>
          <w:szCs w:val="24"/>
          <w:lang w:val="es-MX" w:eastAsia="es-MX"/>
        </w:rPr>
        <w:t xml:space="preserve"> 2011. </w:t>
      </w:r>
      <w:r w:rsidRPr="0008360D">
        <w:rPr>
          <w:b w:val="0"/>
          <w:sz w:val="24"/>
          <w:szCs w:val="24"/>
        </w:rPr>
        <w:t xml:space="preserve">contradicción de tesis 6/2008-PL entre las sustentadas por la sala superior del tribunal electoral del poder judicial de la federación y la PRIMERA SALA DE LA suprema corte de justicia de la nación. </w:t>
      </w:r>
      <w:r w:rsidRPr="0008360D">
        <w:rPr>
          <w:rFonts w:eastAsia="Times New Roman"/>
          <w:b w:val="0"/>
          <w:bCs/>
          <w:sz w:val="24"/>
          <w:szCs w:val="24"/>
          <w:lang w:val="es-MX" w:eastAsia="es-MX"/>
        </w:rPr>
        <w:t>“Suspensión del derecho a votar cuando se está privado de la libertad”</w:t>
      </w:r>
      <w:r>
        <w:rPr>
          <w:rFonts w:eastAsia="Times New Roman"/>
          <w:b w:val="0"/>
          <w:bCs/>
          <w:sz w:val="24"/>
          <w:szCs w:val="24"/>
          <w:lang w:val="es-MX" w:eastAsia="es-MX"/>
        </w:rPr>
        <w:t xml:space="preserve"> </w:t>
      </w:r>
    </w:p>
    <w:p w14:paraId="032B923D" w14:textId="77777777" w:rsidR="00D27F67" w:rsidRPr="006D15B4" w:rsidRDefault="0030744A" w:rsidP="0008360D">
      <w:pPr>
        <w:spacing w:line="360" w:lineRule="auto"/>
        <w:ind w:left="720" w:right="713"/>
        <w:jc w:val="both"/>
        <w:rPr>
          <w:rFonts w:ascii="Arial" w:hAnsi="Arial" w:cs="Arial"/>
          <w:sz w:val="20"/>
          <w:szCs w:val="20"/>
        </w:rPr>
      </w:pPr>
      <w:hyperlink r:id="rId19" w:history="1">
        <w:r w:rsidR="00D27F67" w:rsidRPr="0008360D">
          <w:rPr>
            <w:rStyle w:val="Hipervnculo"/>
            <w:rFonts w:ascii="Arial" w:hAnsi="Arial" w:cs="Arial"/>
            <w:color w:val="auto"/>
            <w:sz w:val="24"/>
            <w:szCs w:val="24"/>
          </w:rPr>
          <w:t>https://www2.scjn.gob.mx/AsuntosRelevantes/pagina/SeguimientoAsuntosRelevantesPub.aspx?ID=97797&amp;SeguimientoID=155&amp;CAP=jurisprudencia</w:t>
        </w:r>
      </w:hyperlink>
    </w:p>
  </w:footnote>
  <w:footnote w:id="73">
    <w:p w14:paraId="392F909C" w14:textId="38451924" w:rsidR="00D27F67" w:rsidRPr="00433F7F" w:rsidRDefault="00D27F67" w:rsidP="00433F7F">
      <w:pPr>
        <w:spacing w:line="360" w:lineRule="auto"/>
        <w:ind w:left="720" w:right="720"/>
        <w:jc w:val="both"/>
        <w:rPr>
          <w:rFonts w:ascii="Arial" w:hAnsi="Arial" w:cs="Arial"/>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color w:val="000000"/>
          <w:sz w:val="24"/>
          <w:szCs w:val="24"/>
          <w:lang w:val="es-MX"/>
        </w:rPr>
        <w:t>Resolución, durante las sesiones de 23 y 24 de mayo del 2011, surgió un debate en torno a los alcances del artículo 43 de la Ley Reglamentaria de las fracciones I y II del artículo 105 constitucional. Por mayoría de 8 votos en contra del proyecto, se determinó que las razones contenidas en los considerandos que funden los resolutivos de las sentencias de acciones de inconstitucionalidad aprobadas por cuando menos ocho votos de los Ministros de la SCJN, serán obligatorias para el Tribunal Electoral del Poder Judicial de la Federación.</w:t>
      </w:r>
    </w:p>
  </w:footnote>
  <w:footnote w:id="74">
    <w:p w14:paraId="3995D19A" w14:textId="77777777" w:rsidR="00D27F67" w:rsidRPr="00433F7F" w:rsidRDefault="00D27F67" w:rsidP="00433F7F">
      <w:pPr>
        <w:shd w:val="clear" w:color="auto" w:fill="FFFFFF"/>
        <w:spacing w:after="0" w:line="360" w:lineRule="auto"/>
        <w:ind w:left="720" w:right="720"/>
        <w:jc w:val="both"/>
        <w:rPr>
          <w:rFonts w:ascii="Arial" w:eastAsia="Times New Roman" w:hAnsi="Arial" w:cs="Arial"/>
          <w:color w:val="000000"/>
          <w:sz w:val="24"/>
          <w:szCs w:val="24"/>
          <w:lang w:val="es-MX"/>
        </w:rPr>
      </w:pPr>
      <w:r w:rsidRPr="00433F7F">
        <w:rPr>
          <w:rStyle w:val="Refdenotaalpie"/>
          <w:rFonts w:ascii="Arial" w:hAnsi="Arial" w:cs="Arial"/>
          <w:sz w:val="24"/>
          <w:szCs w:val="24"/>
        </w:rPr>
        <w:footnoteRef/>
      </w:r>
      <w:r w:rsidRPr="00433F7F">
        <w:rPr>
          <w:rFonts w:ascii="Arial" w:hAnsi="Arial" w:cs="Arial"/>
          <w:sz w:val="24"/>
          <w:szCs w:val="24"/>
          <w:lang w:val="es-MX"/>
        </w:rPr>
        <w:t xml:space="preserve"> </w:t>
      </w:r>
      <w:r w:rsidRPr="00433F7F">
        <w:rPr>
          <w:rFonts w:ascii="Arial" w:eastAsia="Times New Roman" w:hAnsi="Arial" w:cs="Arial"/>
          <w:color w:val="000000"/>
          <w:sz w:val="24"/>
          <w:szCs w:val="24"/>
          <w:lang w:val="es-MX"/>
        </w:rPr>
        <w:t>Por mayoría de 6 votos, se declaró que la contradicción de tesis no queda sin materia como consecuencia de lo resuelto por el Tribunal Pleno en las acciones de inconstitucionalidad 33/2009 y sus acumuladas 34/2009 y 35/2009. En cuanto al fondo del asunto, por mayoría de 7 votos, se resolvió el asunto conforme a las consideraciones del proyecto: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248E"/>
    <w:multiLevelType w:val="hybridMultilevel"/>
    <w:tmpl w:val="11D43DF2"/>
    <w:lvl w:ilvl="0" w:tplc="04090019">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D76E4"/>
    <w:multiLevelType w:val="multilevel"/>
    <w:tmpl w:val="D8A86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384816"/>
    <w:multiLevelType w:val="hybridMultilevel"/>
    <w:tmpl w:val="498017C6"/>
    <w:lvl w:ilvl="0" w:tplc="132CC8FE">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E212B"/>
    <w:multiLevelType w:val="hybridMultilevel"/>
    <w:tmpl w:val="B296CEB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08746A"/>
    <w:multiLevelType w:val="hybridMultilevel"/>
    <w:tmpl w:val="E408C300"/>
    <w:lvl w:ilvl="0" w:tplc="F0128C4C">
      <w:start w:val="1"/>
      <w:numFmt w:val="upperRoman"/>
      <w:lvlText w:val="%1)"/>
      <w:lvlJc w:val="left"/>
      <w:pPr>
        <w:ind w:left="2149" w:hanging="72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5" w15:restartNumberingAfterBreak="0">
    <w:nsid w:val="1A573E75"/>
    <w:multiLevelType w:val="multilevel"/>
    <w:tmpl w:val="9D1EED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E53B2"/>
    <w:multiLevelType w:val="hybridMultilevel"/>
    <w:tmpl w:val="4DDE9E8E"/>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9E2750"/>
    <w:multiLevelType w:val="multilevel"/>
    <w:tmpl w:val="C9DED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541BA"/>
    <w:multiLevelType w:val="hybridMultilevel"/>
    <w:tmpl w:val="501004EE"/>
    <w:lvl w:ilvl="0" w:tplc="1C8C71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9B3CC880">
      <w:start w:val="1"/>
      <w:numFmt w:val="upperLetter"/>
      <w:lvlText w:val="%3."/>
      <w:lvlJc w:val="right"/>
      <w:pPr>
        <w:ind w:left="2520" w:hanging="180"/>
      </w:pPr>
      <w:rPr>
        <w:rFonts w:ascii="Arial" w:eastAsiaTheme="minorHAnsi" w:hAnsi="Arial" w:cs="Arial"/>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9A7A1A"/>
    <w:multiLevelType w:val="multilevel"/>
    <w:tmpl w:val="10C004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6538B"/>
    <w:multiLevelType w:val="hybridMultilevel"/>
    <w:tmpl w:val="384A00BC"/>
    <w:lvl w:ilvl="0" w:tplc="D752238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FF499B"/>
    <w:multiLevelType w:val="hybridMultilevel"/>
    <w:tmpl w:val="0DA6D970"/>
    <w:lvl w:ilvl="0" w:tplc="4EBCED9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7342BAD"/>
    <w:multiLevelType w:val="hybridMultilevel"/>
    <w:tmpl w:val="83249F7A"/>
    <w:lvl w:ilvl="0" w:tplc="F12495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474EA0"/>
    <w:multiLevelType w:val="multilevel"/>
    <w:tmpl w:val="3E6E4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A7670F"/>
    <w:multiLevelType w:val="hybridMultilevel"/>
    <w:tmpl w:val="FB3A94D8"/>
    <w:lvl w:ilvl="0" w:tplc="8B48B3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5A37A8"/>
    <w:multiLevelType w:val="multilevel"/>
    <w:tmpl w:val="CC206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613C1B"/>
    <w:multiLevelType w:val="hybridMultilevel"/>
    <w:tmpl w:val="4E1C0062"/>
    <w:lvl w:ilvl="0" w:tplc="5F9083BC">
      <w:start w:val="2"/>
      <w:numFmt w:val="lowerRoman"/>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13E4198"/>
    <w:multiLevelType w:val="multilevel"/>
    <w:tmpl w:val="33ACCD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910128"/>
    <w:multiLevelType w:val="hybridMultilevel"/>
    <w:tmpl w:val="B5DAF762"/>
    <w:lvl w:ilvl="0" w:tplc="E5E2C58A">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BED3234"/>
    <w:multiLevelType w:val="multilevel"/>
    <w:tmpl w:val="46AC95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D0C28"/>
    <w:multiLevelType w:val="hybridMultilevel"/>
    <w:tmpl w:val="68224670"/>
    <w:lvl w:ilvl="0" w:tplc="ED9045A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4DF74D1"/>
    <w:multiLevelType w:val="hybridMultilevel"/>
    <w:tmpl w:val="1D98ADDA"/>
    <w:lvl w:ilvl="0" w:tplc="04090017">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005628"/>
    <w:multiLevelType w:val="hybridMultilevel"/>
    <w:tmpl w:val="B26085A4"/>
    <w:lvl w:ilvl="0" w:tplc="3624670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8256C3"/>
    <w:multiLevelType w:val="hybridMultilevel"/>
    <w:tmpl w:val="1C8C6ADE"/>
    <w:lvl w:ilvl="0" w:tplc="A77AA7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AB4FA5"/>
    <w:multiLevelType w:val="hybridMultilevel"/>
    <w:tmpl w:val="F8BA902A"/>
    <w:lvl w:ilvl="0" w:tplc="0409000F">
      <w:start w:val="1"/>
      <w:numFmt w:val="decimal"/>
      <w:lvlText w:val="%1."/>
      <w:lvlJc w:val="left"/>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DD534EB"/>
    <w:multiLevelType w:val="multilevel"/>
    <w:tmpl w:val="B49C56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782E39"/>
    <w:multiLevelType w:val="hybridMultilevel"/>
    <w:tmpl w:val="EEEA0B58"/>
    <w:lvl w:ilvl="0" w:tplc="E7AC65C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D76194"/>
    <w:multiLevelType w:val="hybridMultilevel"/>
    <w:tmpl w:val="81C6F73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3224C6"/>
    <w:multiLevelType w:val="multilevel"/>
    <w:tmpl w:val="DAE6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AB1870"/>
    <w:multiLevelType w:val="multilevel"/>
    <w:tmpl w:val="4EE400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27FFB"/>
    <w:multiLevelType w:val="hybridMultilevel"/>
    <w:tmpl w:val="6F4059FE"/>
    <w:lvl w:ilvl="0" w:tplc="04090019">
      <w:start w:val="9"/>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62DB45BA"/>
    <w:multiLevelType w:val="hybridMultilevel"/>
    <w:tmpl w:val="D49012B0"/>
    <w:lvl w:ilvl="0" w:tplc="1C8C7170">
      <w:start w:val="1"/>
      <w:numFmt w:val="upperRoman"/>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565270E"/>
    <w:multiLevelType w:val="hybridMultilevel"/>
    <w:tmpl w:val="9C44512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7F0317F"/>
    <w:multiLevelType w:val="multilevel"/>
    <w:tmpl w:val="3ED4B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316142"/>
    <w:multiLevelType w:val="multilevel"/>
    <w:tmpl w:val="C89EDC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8E116D"/>
    <w:multiLevelType w:val="hybridMultilevel"/>
    <w:tmpl w:val="3DBCA0EA"/>
    <w:lvl w:ilvl="0" w:tplc="1C8C71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3547EC"/>
    <w:multiLevelType w:val="multilevel"/>
    <w:tmpl w:val="FEF0E2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4"/>
  </w:num>
  <w:num w:numId="3">
    <w:abstractNumId w:val="25"/>
  </w:num>
  <w:num w:numId="4">
    <w:abstractNumId w:val="19"/>
  </w:num>
  <w:num w:numId="5">
    <w:abstractNumId w:val="9"/>
  </w:num>
  <w:num w:numId="6">
    <w:abstractNumId w:val="5"/>
  </w:num>
  <w:num w:numId="7">
    <w:abstractNumId w:val="29"/>
  </w:num>
  <w:num w:numId="8">
    <w:abstractNumId w:val="36"/>
  </w:num>
  <w:num w:numId="9">
    <w:abstractNumId w:val="7"/>
  </w:num>
  <w:num w:numId="10">
    <w:abstractNumId w:val="17"/>
  </w:num>
  <w:num w:numId="11">
    <w:abstractNumId w:val="32"/>
  </w:num>
  <w:num w:numId="12">
    <w:abstractNumId w:val="2"/>
  </w:num>
  <w:num w:numId="13">
    <w:abstractNumId w:val="6"/>
  </w:num>
  <w:num w:numId="14">
    <w:abstractNumId w:val="23"/>
  </w:num>
  <w:num w:numId="15">
    <w:abstractNumId w:val="21"/>
  </w:num>
  <w:num w:numId="16">
    <w:abstractNumId w:val="15"/>
    <w:lvlOverride w:ilvl="0">
      <w:startOverride w:val="1"/>
    </w:lvlOverride>
  </w:num>
  <w:num w:numId="17">
    <w:abstractNumId w:val="1"/>
    <w:lvlOverride w:ilvl="0">
      <w:startOverride w:val="2"/>
    </w:lvlOverride>
  </w:num>
  <w:num w:numId="18">
    <w:abstractNumId w:val="13"/>
    <w:lvlOverride w:ilvl="0">
      <w:startOverride w:val="3"/>
    </w:lvlOverride>
  </w:num>
  <w:num w:numId="19">
    <w:abstractNumId w:val="33"/>
    <w:lvlOverride w:ilvl="0">
      <w:startOverride w:val="4"/>
    </w:lvlOverride>
  </w:num>
  <w:num w:numId="20">
    <w:abstractNumId w:val="18"/>
  </w:num>
  <w:num w:numId="21">
    <w:abstractNumId w:val="27"/>
  </w:num>
  <w:num w:numId="22">
    <w:abstractNumId w:val="28"/>
  </w:num>
  <w:num w:numId="23">
    <w:abstractNumId w:val="24"/>
  </w:num>
  <w:num w:numId="24">
    <w:abstractNumId w:val="20"/>
  </w:num>
  <w:num w:numId="25">
    <w:abstractNumId w:val="30"/>
  </w:num>
  <w:num w:numId="26">
    <w:abstractNumId w:val="16"/>
  </w:num>
  <w:num w:numId="27">
    <w:abstractNumId w:val="3"/>
  </w:num>
  <w:num w:numId="28">
    <w:abstractNumId w:val="22"/>
  </w:num>
  <w:num w:numId="29">
    <w:abstractNumId w:val="10"/>
  </w:num>
  <w:num w:numId="30">
    <w:abstractNumId w:val="12"/>
  </w:num>
  <w:num w:numId="31">
    <w:abstractNumId w:val="35"/>
  </w:num>
  <w:num w:numId="32">
    <w:abstractNumId w:val="31"/>
  </w:num>
  <w:num w:numId="33">
    <w:abstractNumId w:val="8"/>
  </w:num>
  <w:num w:numId="34">
    <w:abstractNumId w:val="4"/>
  </w:num>
  <w:num w:numId="35">
    <w:abstractNumId w:val="14"/>
  </w:num>
  <w:num w:numId="36">
    <w:abstractNumId w:val="0"/>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FD7"/>
    <w:rsid w:val="00007C1E"/>
    <w:rsid w:val="0001110D"/>
    <w:rsid w:val="00031D77"/>
    <w:rsid w:val="000417E8"/>
    <w:rsid w:val="000434E4"/>
    <w:rsid w:val="0004580F"/>
    <w:rsid w:val="000514FA"/>
    <w:rsid w:val="0005632C"/>
    <w:rsid w:val="0006420C"/>
    <w:rsid w:val="00071BAF"/>
    <w:rsid w:val="0007635A"/>
    <w:rsid w:val="00076FB5"/>
    <w:rsid w:val="00080E65"/>
    <w:rsid w:val="0008360D"/>
    <w:rsid w:val="00097107"/>
    <w:rsid w:val="000A5278"/>
    <w:rsid w:val="000B198B"/>
    <w:rsid w:val="000B27F5"/>
    <w:rsid w:val="000B5B43"/>
    <w:rsid w:val="000C5E57"/>
    <w:rsid w:val="000C7CF7"/>
    <w:rsid w:val="000D14FC"/>
    <w:rsid w:val="000D556F"/>
    <w:rsid w:val="000F5371"/>
    <w:rsid w:val="001066FC"/>
    <w:rsid w:val="0011370F"/>
    <w:rsid w:val="00115DE6"/>
    <w:rsid w:val="001361C6"/>
    <w:rsid w:val="00137C0D"/>
    <w:rsid w:val="00152CED"/>
    <w:rsid w:val="001574B9"/>
    <w:rsid w:val="0016677B"/>
    <w:rsid w:val="00171B9C"/>
    <w:rsid w:val="00177CE1"/>
    <w:rsid w:val="00185036"/>
    <w:rsid w:val="001877D0"/>
    <w:rsid w:val="00187826"/>
    <w:rsid w:val="001974F0"/>
    <w:rsid w:val="001A1A78"/>
    <w:rsid w:val="001A47AC"/>
    <w:rsid w:val="001C65DC"/>
    <w:rsid w:val="001E08F0"/>
    <w:rsid w:val="001E6B03"/>
    <w:rsid w:val="001F2257"/>
    <w:rsid w:val="001F412F"/>
    <w:rsid w:val="001F54B1"/>
    <w:rsid w:val="001F6698"/>
    <w:rsid w:val="00205154"/>
    <w:rsid w:val="00213DF4"/>
    <w:rsid w:val="00213F0F"/>
    <w:rsid w:val="00220323"/>
    <w:rsid w:val="00224725"/>
    <w:rsid w:val="002348A8"/>
    <w:rsid w:val="00237CE8"/>
    <w:rsid w:val="00240082"/>
    <w:rsid w:val="00252815"/>
    <w:rsid w:val="00265371"/>
    <w:rsid w:val="0027309F"/>
    <w:rsid w:val="00283BCC"/>
    <w:rsid w:val="00285358"/>
    <w:rsid w:val="00286DF4"/>
    <w:rsid w:val="00287A61"/>
    <w:rsid w:val="00297603"/>
    <w:rsid w:val="002A00C0"/>
    <w:rsid w:val="002A2A02"/>
    <w:rsid w:val="002A6731"/>
    <w:rsid w:val="002B2DE0"/>
    <w:rsid w:val="002C3DE4"/>
    <w:rsid w:val="002C42A1"/>
    <w:rsid w:val="002C5A22"/>
    <w:rsid w:val="002D0B71"/>
    <w:rsid w:val="002E3D74"/>
    <w:rsid w:val="002E3D90"/>
    <w:rsid w:val="00305CCC"/>
    <w:rsid w:val="0030744A"/>
    <w:rsid w:val="003117D3"/>
    <w:rsid w:val="003168B1"/>
    <w:rsid w:val="00321440"/>
    <w:rsid w:val="0032433F"/>
    <w:rsid w:val="00354139"/>
    <w:rsid w:val="0035553C"/>
    <w:rsid w:val="00362035"/>
    <w:rsid w:val="003629D7"/>
    <w:rsid w:val="003641C8"/>
    <w:rsid w:val="00365D24"/>
    <w:rsid w:val="0037247E"/>
    <w:rsid w:val="003725E6"/>
    <w:rsid w:val="0037441E"/>
    <w:rsid w:val="0039289F"/>
    <w:rsid w:val="00394D43"/>
    <w:rsid w:val="003A157F"/>
    <w:rsid w:val="003A214F"/>
    <w:rsid w:val="003B3CBD"/>
    <w:rsid w:val="003B487F"/>
    <w:rsid w:val="003B707C"/>
    <w:rsid w:val="003C1BAD"/>
    <w:rsid w:val="003C34FF"/>
    <w:rsid w:val="003C35C7"/>
    <w:rsid w:val="003D59D4"/>
    <w:rsid w:val="003D7A87"/>
    <w:rsid w:val="003E47CD"/>
    <w:rsid w:val="003F06AE"/>
    <w:rsid w:val="00400B54"/>
    <w:rsid w:val="00402906"/>
    <w:rsid w:val="004037FD"/>
    <w:rsid w:val="0040567E"/>
    <w:rsid w:val="004108A1"/>
    <w:rsid w:val="00410D35"/>
    <w:rsid w:val="004210EF"/>
    <w:rsid w:val="00427A67"/>
    <w:rsid w:val="00433F27"/>
    <w:rsid w:val="00433F7F"/>
    <w:rsid w:val="00435773"/>
    <w:rsid w:val="00451BD1"/>
    <w:rsid w:val="0045397D"/>
    <w:rsid w:val="00455CD6"/>
    <w:rsid w:val="00461370"/>
    <w:rsid w:val="00464C3E"/>
    <w:rsid w:val="00475073"/>
    <w:rsid w:val="00485079"/>
    <w:rsid w:val="004940FB"/>
    <w:rsid w:val="00494BE1"/>
    <w:rsid w:val="00495561"/>
    <w:rsid w:val="004976B0"/>
    <w:rsid w:val="004A7BB5"/>
    <w:rsid w:val="004B151A"/>
    <w:rsid w:val="004C16A1"/>
    <w:rsid w:val="004C6EA3"/>
    <w:rsid w:val="004C7E52"/>
    <w:rsid w:val="004D2EF3"/>
    <w:rsid w:val="004D67E9"/>
    <w:rsid w:val="004E74F4"/>
    <w:rsid w:val="004E7B60"/>
    <w:rsid w:val="004F1C9A"/>
    <w:rsid w:val="004F4178"/>
    <w:rsid w:val="005024BB"/>
    <w:rsid w:val="0050649A"/>
    <w:rsid w:val="0053347B"/>
    <w:rsid w:val="00545EA4"/>
    <w:rsid w:val="00554993"/>
    <w:rsid w:val="00557235"/>
    <w:rsid w:val="00561550"/>
    <w:rsid w:val="00563DFF"/>
    <w:rsid w:val="005771E2"/>
    <w:rsid w:val="00584C19"/>
    <w:rsid w:val="005864E8"/>
    <w:rsid w:val="005A458A"/>
    <w:rsid w:val="005C0B12"/>
    <w:rsid w:val="005C58C1"/>
    <w:rsid w:val="005C78DF"/>
    <w:rsid w:val="005D7AA4"/>
    <w:rsid w:val="005E3975"/>
    <w:rsid w:val="005F5A59"/>
    <w:rsid w:val="006043DC"/>
    <w:rsid w:val="006145AD"/>
    <w:rsid w:val="00617121"/>
    <w:rsid w:val="00622A75"/>
    <w:rsid w:val="00627BC0"/>
    <w:rsid w:val="006356C5"/>
    <w:rsid w:val="00636C3E"/>
    <w:rsid w:val="00644A2E"/>
    <w:rsid w:val="00647C8C"/>
    <w:rsid w:val="006551A8"/>
    <w:rsid w:val="00655411"/>
    <w:rsid w:val="00655C6D"/>
    <w:rsid w:val="00673FCF"/>
    <w:rsid w:val="00697FD5"/>
    <w:rsid w:val="006A5DC5"/>
    <w:rsid w:val="006A6B3E"/>
    <w:rsid w:val="006B346A"/>
    <w:rsid w:val="006B4999"/>
    <w:rsid w:val="006B6FD7"/>
    <w:rsid w:val="006D15B4"/>
    <w:rsid w:val="006D4514"/>
    <w:rsid w:val="006E17BF"/>
    <w:rsid w:val="006F0D47"/>
    <w:rsid w:val="0070555A"/>
    <w:rsid w:val="0070589B"/>
    <w:rsid w:val="00705F8F"/>
    <w:rsid w:val="007151BE"/>
    <w:rsid w:val="00724F39"/>
    <w:rsid w:val="00725E0D"/>
    <w:rsid w:val="00731EDB"/>
    <w:rsid w:val="007363C8"/>
    <w:rsid w:val="00741625"/>
    <w:rsid w:val="00742F01"/>
    <w:rsid w:val="00745ACF"/>
    <w:rsid w:val="00761704"/>
    <w:rsid w:val="00761B69"/>
    <w:rsid w:val="007648D0"/>
    <w:rsid w:val="00771936"/>
    <w:rsid w:val="00772DEA"/>
    <w:rsid w:val="00773CE4"/>
    <w:rsid w:val="00773EA2"/>
    <w:rsid w:val="00776682"/>
    <w:rsid w:val="007828BF"/>
    <w:rsid w:val="007A1C90"/>
    <w:rsid w:val="007A382D"/>
    <w:rsid w:val="007A498C"/>
    <w:rsid w:val="007B18BD"/>
    <w:rsid w:val="007B6B36"/>
    <w:rsid w:val="007C735A"/>
    <w:rsid w:val="007D4643"/>
    <w:rsid w:val="007E356D"/>
    <w:rsid w:val="007E3E90"/>
    <w:rsid w:val="007F19AB"/>
    <w:rsid w:val="00803DC4"/>
    <w:rsid w:val="00814128"/>
    <w:rsid w:val="0082178E"/>
    <w:rsid w:val="00825920"/>
    <w:rsid w:val="00830A62"/>
    <w:rsid w:val="0084121F"/>
    <w:rsid w:val="00856E75"/>
    <w:rsid w:val="008606E4"/>
    <w:rsid w:val="00861D7C"/>
    <w:rsid w:val="008651CE"/>
    <w:rsid w:val="0086732C"/>
    <w:rsid w:val="00870376"/>
    <w:rsid w:val="00881545"/>
    <w:rsid w:val="00884F87"/>
    <w:rsid w:val="008A1113"/>
    <w:rsid w:val="008A3A77"/>
    <w:rsid w:val="008A4B55"/>
    <w:rsid w:val="008C1552"/>
    <w:rsid w:val="008C40CF"/>
    <w:rsid w:val="008C49FB"/>
    <w:rsid w:val="008D4399"/>
    <w:rsid w:val="008D43C0"/>
    <w:rsid w:val="008F539A"/>
    <w:rsid w:val="00906922"/>
    <w:rsid w:val="009121EC"/>
    <w:rsid w:val="00922EB8"/>
    <w:rsid w:val="009240F9"/>
    <w:rsid w:val="00927320"/>
    <w:rsid w:val="0093605A"/>
    <w:rsid w:val="00940E40"/>
    <w:rsid w:val="00942FD3"/>
    <w:rsid w:val="0095546C"/>
    <w:rsid w:val="00966077"/>
    <w:rsid w:val="00973BCB"/>
    <w:rsid w:val="009742B7"/>
    <w:rsid w:val="00975686"/>
    <w:rsid w:val="00987C5E"/>
    <w:rsid w:val="00990D7C"/>
    <w:rsid w:val="009932F8"/>
    <w:rsid w:val="00993D12"/>
    <w:rsid w:val="00997E6B"/>
    <w:rsid w:val="009A05FE"/>
    <w:rsid w:val="009C384F"/>
    <w:rsid w:val="009D434C"/>
    <w:rsid w:val="009E3671"/>
    <w:rsid w:val="009F104F"/>
    <w:rsid w:val="009F1448"/>
    <w:rsid w:val="009F1B11"/>
    <w:rsid w:val="00A01382"/>
    <w:rsid w:val="00A018AC"/>
    <w:rsid w:val="00A04AA4"/>
    <w:rsid w:val="00A05111"/>
    <w:rsid w:val="00A06A6A"/>
    <w:rsid w:val="00A21A17"/>
    <w:rsid w:val="00A31DF0"/>
    <w:rsid w:val="00A329D5"/>
    <w:rsid w:val="00A36E4E"/>
    <w:rsid w:val="00A44AAB"/>
    <w:rsid w:val="00A4751A"/>
    <w:rsid w:val="00A531F9"/>
    <w:rsid w:val="00A60C2E"/>
    <w:rsid w:val="00A63B33"/>
    <w:rsid w:val="00A70257"/>
    <w:rsid w:val="00A7673B"/>
    <w:rsid w:val="00A84BF0"/>
    <w:rsid w:val="00A928B1"/>
    <w:rsid w:val="00A935E4"/>
    <w:rsid w:val="00A968A9"/>
    <w:rsid w:val="00AD6FF9"/>
    <w:rsid w:val="00AE5B70"/>
    <w:rsid w:val="00AF1972"/>
    <w:rsid w:val="00B1280B"/>
    <w:rsid w:val="00B14969"/>
    <w:rsid w:val="00B15041"/>
    <w:rsid w:val="00B20DEC"/>
    <w:rsid w:val="00B21F92"/>
    <w:rsid w:val="00B2555E"/>
    <w:rsid w:val="00B26EEF"/>
    <w:rsid w:val="00B315AD"/>
    <w:rsid w:val="00B34948"/>
    <w:rsid w:val="00B35277"/>
    <w:rsid w:val="00B37901"/>
    <w:rsid w:val="00B4133D"/>
    <w:rsid w:val="00B42B95"/>
    <w:rsid w:val="00B45BE4"/>
    <w:rsid w:val="00B548DA"/>
    <w:rsid w:val="00B63237"/>
    <w:rsid w:val="00B73AC9"/>
    <w:rsid w:val="00B767AC"/>
    <w:rsid w:val="00B905BD"/>
    <w:rsid w:val="00B924ED"/>
    <w:rsid w:val="00B94253"/>
    <w:rsid w:val="00BA5717"/>
    <w:rsid w:val="00BB4014"/>
    <w:rsid w:val="00BB4BC9"/>
    <w:rsid w:val="00BC0244"/>
    <w:rsid w:val="00BC0A02"/>
    <w:rsid w:val="00BC61C9"/>
    <w:rsid w:val="00BD1441"/>
    <w:rsid w:val="00C00657"/>
    <w:rsid w:val="00C33E82"/>
    <w:rsid w:val="00C4228B"/>
    <w:rsid w:val="00C434DD"/>
    <w:rsid w:val="00C4585C"/>
    <w:rsid w:val="00C479BF"/>
    <w:rsid w:val="00C52CC2"/>
    <w:rsid w:val="00C6077F"/>
    <w:rsid w:val="00C829AF"/>
    <w:rsid w:val="00C90B61"/>
    <w:rsid w:val="00C95256"/>
    <w:rsid w:val="00C97199"/>
    <w:rsid w:val="00CA3FE0"/>
    <w:rsid w:val="00CA52CF"/>
    <w:rsid w:val="00CA6169"/>
    <w:rsid w:val="00CC109C"/>
    <w:rsid w:val="00CD52CE"/>
    <w:rsid w:val="00CF1D63"/>
    <w:rsid w:val="00D23A00"/>
    <w:rsid w:val="00D25E70"/>
    <w:rsid w:val="00D262F3"/>
    <w:rsid w:val="00D279E6"/>
    <w:rsid w:val="00D27F67"/>
    <w:rsid w:val="00D51943"/>
    <w:rsid w:val="00D51A13"/>
    <w:rsid w:val="00D5207A"/>
    <w:rsid w:val="00D5448F"/>
    <w:rsid w:val="00D5491A"/>
    <w:rsid w:val="00D708A7"/>
    <w:rsid w:val="00D71FA9"/>
    <w:rsid w:val="00D835B3"/>
    <w:rsid w:val="00D90682"/>
    <w:rsid w:val="00D976CA"/>
    <w:rsid w:val="00DA366E"/>
    <w:rsid w:val="00DA4E7D"/>
    <w:rsid w:val="00DB7DA1"/>
    <w:rsid w:val="00DC6525"/>
    <w:rsid w:val="00DD451A"/>
    <w:rsid w:val="00DD6805"/>
    <w:rsid w:val="00DD7A77"/>
    <w:rsid w:val="00DE0CD0"/>
    <w:rsid w:val="00DE7627"/>
    <w:rsid w:val="00E233C9"/>
    <w:rsid w:val="00E25AC3"/>
    <w:rsid w:val="00E322C7"/>
    <w:rsid w:val="00E36366"/>
    <w:rsid w:val="00E37041"/>
    <w:rsid w:val="00E51ACD"/>
    <w:rsid w:val="00E56306"/>
    <w:rsid w:val="00E566C1"/>
    <w:rsid w:val="00E576AC"/>
    <w:rsid w:val="00E654CA"/>
    <w:rsid w:val="00E67736"/>
    <w:rsid w:val="00E70EFD"/>
    <w:rsid w:val="00E73388"/>
    <w:rsid w:val="00E826F1"/>
    <w:rsid w:val="00E8702B"/>
    <w:rsid w:val="00E87694"/>
    <w:rsid w:val="00E95781"/>
    <w:rsid w:val="00EA26BF"/>
    <w:rsid w:val="00EA754A"/>
    <w:rsid w:val="00EB399F"/>
    <w:rsid w:val="00EB74D2"/>
    <w:rsid w:val="00EC6733"/>
    <w:rsid w:val="00EC710D"/>
    <w:rsid w:val="00ED1BBF"/>
    <w:rsid w:val="00EF0BE5"/>
    <w:rsid w:val="00F0490E"/>
    <w:rsid w:val="00F10DEE"/>
    <w:rsid w:val="00F11790"/>
    <w:rsid w:val="00F21239"/>
    <w:rsid w:val="00F23F32"/>
    <w:rsid w:val="00F33FD2"/>
    <w:rsid w:val="00F540FF"/>
    <w:rsid w:val="00F614F8"/>
    <w:rsid w:val="00F65C51"/>
    <w:rsid w:val="00F750BE"/>
    <w:rsid w:val="00F81A1A"/>
    <w:rsid w:val="00F8484E"/>
    <w:rsid w:val="00F855EB"/>
    <w:rsid w:val="00F936E5"/>
    <w:rsid w:val="00FA328E"/>
    <w:rsid w:val="00FA69D6"/>
    <w:rsid w:val="00FB2A06"/>
    <w:rsid w:val="00FB3754"/>
    <w:rsid w:val="00FB4031"/>
    <w:rsid w:val="00FC39D1"/>
    <w:rsid w:val="00FC6DD2"/>
    <w:rsid w:val="00FE3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F3702"/>
  <w15:chartTrackingRefBased/>
  <w15:docId w15:val="{FE74F3CF-42CD-453B-978C-40AEF4A2F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C15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ar"/>
    <w:uiPriority w:val="9"/>
    <w:semiHidden/>
    <w:unhideWhenUsed/>
    <w:qFormat/>
    <w:rsid w:val="004C6EA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4C7E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iPriority w:val="99"/>
    <w:unhideWhenUsed/>
    <w:qFormat/>
    <w:rsid w:val="00761704"/>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uiPriority w:val="99"/>
    <w:rsid w:val="00761704"/>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uiPriority w:val="99"/>
    <w:unhideWhenUsed/>
    <w:rsid w:val="00761704"/>
    <w:rPr>
      <w:vertAlign w:val="superscript"/>
    </w:rPr>
  </w:style>
  <w:style w:type="character" w:styleId="Hipervnculo">
    <w:name w:val="Hyperlink"/>
    <w:basedOn w:val="Fuentedeprrafopredeter"/>
    <w:uiPriority w:val="99"/>
    <w:unhideWhenUsed/>
    <w:rsid w:val="008C1552"/>
    <w:rPr>
      <w:color w:val="0563C1" w:themeColor="hyperlink"/>
      <w:u w:val="single"/>
    </w:rPr>
  </w:style>
  <w:style w:type="character" w:customStyle="1" w:styleId="UnresolvedMention">
    <w:name w:val="Unresolved Mention"/>
    <w:basedOn w:val="Fuentedeprrafopredeter"/>
    <w:uiPriority w:val="99"/>
    <w:semiHidden/>
    <w:unhideWhenUsed/>
    <w:rsid w:val="008C1552"/>
    <w:rPr>
      <w:color w:val="605E5C"/>
      <w:shd w:val="clear" w:color="auto" w:fill="E1DFDD"/>
    </w:rPr>
  </w:style>
  <w:style w:type="character" w:customStyle="1" w:styleId="Ttulo1Car">
    <w:name w:val="Título 1 Car"/>
    <w:basedOn w:val="Fuentedeprrafopredeter"/>
    <w:link w:val="Ttulo1"/>
    <w:uiPriority w:val="9"/>
    <w:rsid w:val="008C1552"/>
    <w:rPr>
      <w:rFonts w:ascii="Times New Roman" w:eastAsia="Times New Roman" w:hAnsi="Times New Roman" w:cs="Times New Roman"/>
      <w:b/>
      <w:bCs/>
      <w:kern w:val="36"/>
      <w:sz w:val="48"/>
      <w:szCs w:val="48"/>
    </w:rPr>
  </w:style>
  <w:style w:type="paragraph" w:styleId="Encabezado">
    <w:name w:val="header"/>
    <w:basedOn w:val="Normal"/>
    <w:link w:val="EncabezadoCar"/>
    <w:uiPriority w:val="99"/>
    <w:unhideWhenUsed/>
    <w:rsid w:val="000A527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A5278"/>
  </w:style>
  <w:style w:type="paragraph" w:styleId="Piedepgina">
    <w:name w:val="footer"/>
    <w:basedOn w:val="Normal"/>
    <w:link w:val="PiedepginaCar"/>
    <w:uiPriority w:val="99"/>
    <w:unhideWhenUsed/>
    <w:rsid w:val="000A527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A5278"/>
  </w:style>
  <w:style w:type="paragraph" w:styleId="Prrafodelista">
    <w:name w:val="List Paragraph"/>
    <w:basedOn w:val="Normal"/>
    <w:link w:val="PrrafodelistaCar"/>
    <w:uiPriority w:val="34"/>
    <w:qFormat/>
    <w:rsid w:val="00BC0244"/>
    <w:pPr>
      <w:ind w:left="720"/>
      <w:contextualSpacing/>
    </w:pPr>
  </w:style>
  <w:style w:type="character" w:styleId="Textoennegrita">
    <w:name w:val="Strong"/>
    <w:basedOn w:val="Fuentedeprrafopredeter"/>
    <w:uiPriority w:val="22"/>
    <w:qFormat/>
    <w:rsid w:val="00F23F32"/>
    <w:rPr>
      <w:b/>
      <w:bCs/>
    </w:rPr>
  </w:style>
  <w:style w:type="paragraph" w:styleId="NormalWeb">
    <w:name w:val="Normal (Web)"/>
    <w:basedOn w:val="Normal"/>
    <w:uiPriority w:val="99"/>
    <w:unhideWhenUsed/>
    <w:rsid w:val="00F212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ar">
    <w:name w:val="Título 3 Car"/>
    <w:basedOn w:val="Fuentedeprrafopredeter"/>
    <w:link w:val="Ttulo3"/>
    <w:uiPriority w:val="9"/>
    <w:rsid w:val="004C7E52"/>
    <w:rPr>
      <w:rFonts w:asciiTheme="majorHAnsi" w:eastAsiaTheme="majorEastAsia" w:hAnsiTheme="majorHAnsi" w:cstheme="majorBidi"/>
      <w:color w:val="1F3763" w:themeColor="accent1" w:themeShade="7F"/>
      <w:sz w:val="24"/>
      <w:szCs w:val="24"/>
    </w:rPr>
  </w:style>
  <w:style w:type="character" w:customStyle="1" w:styleId="PrrafodelistaCar">
    <w:name w:val="Párrafo de lista Car"/>
    <w:basedOn w:val="Fuentedeprrafopredeter"/>
    <w:link w:val="Prrafodelista"/>
    <w:uiPriority w:val="34"/>
    <w:rsid w:val="004C7E52"/>
  </w:style>
  <w:style w:type="character" w:styleId="nfasis">
    <w:name w:val="Emphasis"/>
    <w:basedOn w:val="Fuentedeprrafopredeter"/>
    <w:uiPriority w:val="20"/>
    <w:qFormat/>
    <w:rsid w:val="00461370"/>
    <w:rPr>
      <w:i/>
      <w:iCs/>
    </w:rPr>
  </w:style>
  <w:style w:type="paragraph" w:styleId="Textodeglobo">
    <w:name w:val="Balloon Text"/>
    <w:basedOn w:val="Normal"/>
    <w:link w:val="TextodegloboCar"/>
    <w:uiPriority w:val="99"/>
    <w:semiHidden/>
    <w:unhideWhenUsed/>
    <w:rsid w:val="002051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5154"/>
    <w:rPr>
      <w:rFonts w:ascii="Segoe UI" w:hAnsi="Segoe UI" w:cs="Segoe UI"/>
      <w:sz w:val="18"/>
      <w:szCs w:val="18"/>
    </w:rPr>
  </w:style>
  <w:style w:type="paragraph" w:customStyle="1" w:styleId="cs1887ff01">
    <w:name w:val="cs1887ff01"/>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ea6c1701">
    <w:name w:val="csea6c1701"/>
    <w:basedOn w:val="Fuentedeprrafopredeter"/>
    <w:rsid w:val="006E17BF"/>
  </w:style>
  <w:style w:type="character" w:customStyle="1" w:styleId="cs4701d10a">
    <w:name w:val="cs4701d10a"/>
    <w:basedOn w:val="Fuentedeprrafopredeter"/>
    <w:rsid w:val="006E17BF"/>
  </w:style>
  <w:style w:type="paragraph" w:customStyle="1" w:styleId="cs83a58b6a">
    <w:name w:val="cs83a58b6a"/>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9b0541cf">
    <w:name w:val="cs9b0541cf"/>
    <w:basedOn w:val="Fuentedeprrafopredeter"/>
    <w:rsid w:val="006E17BF"/>
  </w:style>
  <w:style w:type="paragraph" w:customStyle="1" w:styleId="cs8004c8af">
    <w:name w:val="cs8004c8af"/>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8d17366e">
    <w:name w:val="cs8d17366e"/>
    <w:basedOn w:val="Fuentedeprrafopredeter"/>
    <w:rsid w:val="006E17BF"/>
  </w:style>
  <w:style w:type="paragraph" w:customStyle="1" w:styleId="cs7ced571b">
    <w:name w:val="cs7ced571b"/>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9176387a">
    <w:name w:val="cs9176387a"/>
    <w:basedOn w:val="Fuentedeprrafopredeter"/>
    <w:rsid w:val="006E17BF"/>
  </w:style>
  <w:style w:type="paragraph" w:customStyle="1" w:styleId="cs76eafbf7">
    <w:name w:val="cs76eafbf7"/>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7efa54f7">
    <w:name w:val="cs7efa54f7"/>
    <w:basedOn w:val="Fuentedeprrafopredeter"/>
    <w:rsid w:val="006E17BF"/>
  </w:style>
  <w:style w:type="character" w:styleId="CitaHTML">
    <w:name w:val="HTML Cite"/>
    <w:basedOn w:val="Fuentedeprrafopredeter"/>
    <w:uiPriority w:val="99"/>
    <w:semiHidden/>
    <w:unhideWhenUsed/>
    <w:rsid w:val="006E17BF"/>
    <w:rPr>
      <w:i/>
      <w:iCs/>
    </w:rPr>
  </w:style>
  <w:style w:type="paragraph" w:customStyle="1" w:styleId="cs4ffbeb2e">
    <w:name w:val="cs4ffbeb2e"/>
    <w:basedOn w:val="Normal"/>
    <w:rsid w:val="006E1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51094016">
    <w:name w:val="cs51094016"/>
    <w:basedOn w:val="Fuentedeprrafopredeter"/>
    <w:rsid w:val="006E17BF"/>
  </w:style>
  <w:style w:type="paragraph" w:customStyle="1" w:styleId="publicacion">
    <w:name w:val="publicacion"/>
    <w:basedOn w:val="Normal"/>
    <w:rsid w:val="00B315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sdetalle">
    <w:name w:val="labesdetalle"/>
    <w:basedOn w:val="Fuentedeprrafopredeter"/>
    <w:rsid w:val="00297603"/>
  </w:style>
  <w:style w:type="character" w:customStyle="1" w:styleId="Ttulo2Car">
    <w:name w:val="Título 2 Car"/>
    <w:basedOn w:val="Fuentedeprrafopredeter"/>
    <w:link w:val="Ttulo2"/>
    <w:uiPriority w:val="9"/>
    <w:rsid w:val="004C6EA3"/>
    <w:rPr>
      <w:rFonts w:asciiTheme="majorHAnsi" w:eastAsiaTheme="majorEastAsia" w:hAnsiTheme="majorHAnsi" w:cstheme="majorBidi"/>
      <w:color w:val="2F5496" w:themeColor="accent1" w:themeShade="BF"/>
      <w:sz w:val="26"/>
      <w:szCs w:val="26"/>
    </w:rPr>
  </w:style>
  <w:style w:type="character" w:customStyle="1" w:styleId="derecho">
    <w:name w:val="derecho"/>
    <w:basedOn w:val="Fuentedeprrafopredeter"/>
    <w:rsid w:val="00475073"/>
  </w:style>
  <w:style w:type="paragraph" w:styleId="Revisin">
    <w:name w:val="Revision"/>
    <w:hidden/>
    <w:uiPriority w:val="99"/>
    <w:semiHidden/>
    <w:rsid w:val="00433F7F"/>
    <w:pPr>
      <w:spacing w:after="0" w:line="240" w:lineRule="auto"/>
    </w:pPr>
  </w:style>
  <w:style w:type="character" w:styleId="Refdecomentario">
    <w:name w:val="annotation reference"/>
    <w:basedOn w:val="Fuentedeprrafopredeter"/>
    <w:uiPriority w:val="99"/>
    <w:semiHidden/>
    <w:unhideWhenUsed/>
    <w:rsid w:val="00433F7F"/>
    <w:rPr>
      <w:sz w:val="16"/>
      <w:szCs w:val="16"/>
    </w:rPr>
  </w:style>
  <w:style w:type="paragraph" w:styleId="Textocomentario">
    <w:name w:val="annotation text"/>
    <w:basedOn w:val="Normal"/>
    <w:link w:val="TextocomentarioCar"/>
    <w:uiPriority w:val="99"/>
    <w:semiHidden/>
    <w:unhideWhenUsed/>
    <w:rsid w:val="00433F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33F7F"/>
    <w:rPr>
      <w:sz w:val="20"/>
      <w:szCs w:val="20"/>
    </w:rPr>
  </w:style>
  <w:style w:type="paragraph" w:styleId="Asuntodelcomentario">
    <w:name w:val="annotation subject"/>
    <w:basedOn w:val="Textocomentario"/>
    <w:next w:val="Textocomentario"/>
    <w:link w:val="AsuntodelcomentarioCar"/>
    <w:uiPriority w:val="99"/>
    <w:semiHidden/>
    <w:unhideWhenUsed/>
    <w:rsid w:val="00433F7F"/>
    <w:rPr>
      <w:b/>
      <w:bCs/>
    </w:rPr>
  </w:style>
  <w:style w:type="character" w:customStyle="1" w:styleId="AsuntodelcomentarioCar">
    <w:name w:val="Asunto del comentario Car"/>
    <w:basedOn w:val="TextocomentarioCar"/>
    <w:link w:val="Asuntodelcomentario"/>
    <w:uiPriority w:val="99"/>
    <w:semiHidden/>
    <w:rsid w:val="00433F7F"/>
    <w:rPr>
      <w:b/>
      <w:bCs/>
      <w:sz w:val="20"/>
      <w:szCs w:val="20"/>
    </w:rPr>
  </w:style>
  <w:style w:type="character" w:styleId="Hipervnculovisitado">
    <w:name w:val="FollowedHyperlink"/>
    <w:basedOn w:val="Fuentedeprrafopredeter"/>
    <w:uiPriority w:val="99"/>
    <w:semiHidden/>
    <w:unhideWhenUsed/>
    <w:rsid w:val="00433F7F"/>
    <w:rPr>
      <w:color w:val="954F72" w:themeColor="followedHyperlink"/>
      <w:u w:val="single"/>
    </w:rPr>
  </w:style>
  <w:style w:type="character" w:styleId="Nmerodepgina">
    <w:name w:val="page number"/>
    <w:basedOn w:val="Fuentedeprrafopredeter"/>
    <w:uiPriority w:val="99"/>
    <w:semiHidden/>
    <w:unhideWhenUsed/>
    <w:rsid w:val="00433F7F"/>
  </w:style>
  <w:style w:type="character" w:customStyle="1" w:styleId="corte1datosCar">
    <w:name w:val="corte1 datos Car"/>
    <w:link w:val="corte1datos"/>
    <w:locked/>
    <w:rsid w:val="0008360D"/>
    <w:rPr>
      <w:rFonts w:ascii="Arial" w:hAnsi="Arial" w:cs="Arial"/>
      <w:b/>
      <w:caps/>
      <w:sz w:val="30"/>
      <w:lang w:val="es-ES_tradnl" w:eastAsia="es-ES"/>
    </w:rPr>
  </w:style>
  <w:style w:type="paragraph" w:customStyle="1" w:styleId="corte1datos">
    <w:name w:val="corte1 datos"/>
    <w:basedOn w:val="Normal"/>
    <w:link w:val="corte1datosCar"/>
    <w:rsid w:val="0008360D"/>
    <w:pPr>
      <w:spacing w:after="0" w:line="240" w:lineRule="auto"/>
      <w:ind w:left="2552"/>
    </w:pPr>
    <w:rPr>
      <w:rFonts w:ascii="Arial" w:hAnsi="Arial" w:cs="Arial"/>
      <w:b/>
      <w:caps/>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504796">
      <w:bodyDiv w:val="1"/>
      <w:marLeft w:val="0"/>
      <w:marRight w:val="0"/>
      <w:marTop w:val="0"/>
      <w:marBottom w:val="0"/>
      <w:divBdr>
        <w:top w:val="none" w:sz="0" w:space="0" w:color="auto"/>
        <w:left w:val="none" w:sz="0" w:space="0" w:color="auto"/>
        <w:bottom w:val="none" w:sz="0" w:space="0" w:color="auto"/>
        <w:right w:val="none" w:sz="0" w:space="0" w:color="auto"/>
      </w:divBdr>
    </w:div>
    <w:div w:id="653413965">
      <w:bodyDiv w:val="1"/>
      <w:marLeft w:val="0"/>
      <w:marRight w:val="0"/>
      <w:marTop w:val="0"/>
      <w:marBottom w:val="0"/>
      <w:divBdr>
        <w:top w:val="none" w:sz="0" w:space="0" w:color="auto"/>
        <w:left w:val="none" w:sz="0" w:space="0" w:color="auto"/>
        <w:bottom w:val="none" w:sz="0" w:space="0" w:color="auto"/>
        <w:right w:val="none" w:sz="0" w:space="0" w:color="auto"/>
      </w:divBdr>
    </w:div>
    <w:div w:id="654647408">
      <w:bodyDiv w:val="1"/>
      <w:marLeft w:val="0"/>
      <w:marRight w:val="0"/>
      <w:marTop w:val="0"/>
      <w:marBottom w:val="0"/>
      <w:divBdr>
        <w:top w:val="none" w:sz="0" w:space="0" w:color="auto"/>
        <w:left w:val="none" w:sz="0" w:space="0" w:color="auto"/>
        <w:bottom w:val="none" w:sz="0" w:space="0" w:color="auto"/>
        <w:right w:val="none" w:sz="0" w:space="0" w:color="auto"/>
      </w:divBdr>
      <w:divsChild>
        <w:div w:id="488325052">
          <w:marLeft w:val="0"/>
          <w:marRight w:val="0"/>
          <w:marTop w:val="0"/>
          <w:marBottom w:val="0"/>
          <w:divBdr>
            <w:top w:val="none" w:sz="0" w:space="0" w:color="auto"/>
            <w:left w:val="none" w:sz="0" w:space="0" w:color="auto"/>
            <w:bottom w:val="none" w:sz="0" w:space="0" w:color="auto"/>
            <w:right w:val="none" w:sz="0" w:space="0" w:color="auto"/>
          </w:divBdr>
          <w:divsChild>
            <w:div w:id="617373813">
              <w:marLeft w:val="0"/>
              <w:marRight w:val="0"/>
              <w:marTop w:val="0"/>
              <w:marBottom w:val="0"/>
              <w:divBdr>
                <w:top w:val="none" w:sz="0" w:space="0" w:color="auto"/>
                <w:left w:val="none" w:sz="0" w:space="0" w:color="auto"/>
                <w:bottom w:val="none" w:sz="0" w:space="0" w:color="auto"/>
                <w:right w:val="none" w:sz="0" w:space="0" w:color="auto"/>
              </w:divBdr>
              <w:divsChild>
                <w:div w:id="113220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81759">
      <w:bodyDiv w:val="1"/>
      <w:marLeft w:val="0"/>
      <w:marRight w:val="0"/>
      <w:marTop w:val="0"/>
      <w:marBottom w:val="0"/>
      <w:divBdr>
        <w:top w:val="none" w:sz="0" w:space="0" w:color="auto"/>
        <w:left w:val="none" w:sz="0" w:space="0" w:color="auto"/>
        <w:bottom w:val="none" w:sz="0" w:space="0" w:color="auto"/>
        <w:right w:val="none" w:sz="0" w:space="0" w:color="auto"/>
      </w:divBdr>
    </w:div>
    <w:div w:id="921062983">
      <w:bodyDiv w:val="1"/>
      <w:marLeft w:val="0"/>
      <w:marRight w:val="0"/>
      <w:marTop w:val="0"/>
      <w:marBottom w:val="0"/>
      <w:divBdr>
        <w:top w:val="none" w:sz="0" w:space="0" w:color="auto"/>
        <w:left w:val="none" w:sz="0" w:space="0" w:color="auto"/>
        <w:bottom w:val="none" w:sz="0" w:space="0" w:color="auto"/>
        <w:right w:val="none" w:sz="0" w:space="0" w:color="auto"/>
      </w:divBdr>
      <w:divsChild>
        <w:div w:id="434712214">
          <w:marLeft w:val="0"/>
          <w:marRight w:val="0"/>
          <w:marTop w:val="0"/>
          <w:marBottom w:val="0"/>
          <w:divBdr>
            <w:top w:val="none" w:sz="0" w:space="0" w:color="auto"/>
            <w:left w:val="none" w:sz="0" w:space="0" w:color="auto"/>
            <w:bottom w:val="none" w:sz="0" w:space="0" w:color="auto"/>
            <w:right w:val="none" w:sz="0" w:space="0" w:color="auto"/>
          </w:divBdr>
        </w:div>
      </w:divsChild>
    </w:div>
    <w:div w:id="959410220">
      <w:bodyDiv w:val="1"/>
      <w:marLeft w:val="0"/>
      <w:marRight w:val="0"/>
      <w:marTop w:val="0"/>
      <w:marBottom w:val="0"/>
      <w:divBdr>
        <w:top w:val="none" w:sz="0" w:space="0" w:color="auto"/>
        <w:left w:val="none" w:sz="0" w:space="0" w:color="auto"/>
        <w:bottom w:val="none" w:sz="0" w:space="0" w:color="auto"/>
        <w:right w:val="none" w:sz="0" w:space="0" w:color="auto"/>
      </w:divBdr>
      <w:divsChild>
        <w:div w:id="611715888">
          <w:marLeft w:val="0"/>
          <w:marRight w:val="0"/>
          <w:marTop w:val="0"/>
          <w:marBottom w:val="0"/>
          <w:divBdr>
            <w:top w:val="none" w:sz="0" w:space="0" w:color="auto"/>
            <w:left w:val="none" w:sz="0" w:space="0" w:color="auto"/>
            <w:bottom w:val="none" w:sz="0" w:space="0" w:color="auto"/>
            <w:right w:val="none" w:sz="0" w:space="0" w:color="auto"/>
          </w:divBdr>
          <w:divsChild>
            <w:div w:id="1552423408">
              <w:marLeft w:val="0"/>
              <w:marRight w:val="0"/>
              <w:marTop w:val="0"/>
              <w:marBottom w:val="0"/>
              <w:divBdr>
                <w:top w:val="none" w:sz="0" w:space="0" w:color="auto"/>
                <w:left w:val="none" w:sz="0" w:space="0" w:color="auto"/>
                <w:bottom w:val="none" w:sz="0" w:space="0" w:color="auto"/>
                <w:right w:val="none" w:sz="0" w:space="0" w:color="auto"/>
              </w:divBdr>
              <w:divsChild>
                <w:div w:id="35744091">
                  <w:marLeft w:val="0"/>
                  <w:marRight w:val="0"/>
                  <w:marTop w:val="0"/>
                  <w:marBottom w:val="0"/>
                  <w:divBdr>
                    <w:top w:val="none" w:sz="0" w:space="0" w:color="auto"/>
                    <w:left w:val="none" w:sz="0" w:space="0" w:color="auto"/>
                    <w:bottom w:val="none" w:sz="0" w:space="0" w:color="auto"/>
                    <w:right w:val="none" w:sz="0" w:space="0" w:color="auto"/>
                  </w:divBdr>
                  <w:divsChild>
                    <w:div w:id="1463423322">
                      <w:marLeft w:val="0"/>
                      <w:marRight w:val="0"/>
                      <w:marTop w:val="0"/>
                      <w:marBottom w:val="0"/>
                      <w:divBdr>
                        <w:top w:val="none" w:sz="0" w:space="0" w:color="auto"/>
                        <w:left w:val="none" w:sz="0" w:space="0" w:color="auto"/>
                        <w:bottom w:val="single" w:sz="24" w:space="0" w:color="000000"/>
                        <w:right w:val="none" w:sz="0" w:space="0" w:color="auto"/>
                      </w:divBdr>
                    </w:div>
                    <w:div w:id="123208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187867">
      <w:bodyDiv w:val="1"/>
      <w:marLeft w:val="0"/>
      <w:marRight w:val="0"/>
      <w:marTop w:val="0"/>
      <w:marBottom w:val="0"/>
      <w:divBdr>
        <w:top w:val="none" w:sz="0" w:space="0" w:color="auto"/>
        <w:left w:val="none" w:sz="0" w:space="0" w:color="auto"/>
        <w:bottom w:val="none" w:sz="0" w:space="0" w:color="auto"/>
        <w:right w:val="none" w:sz="0" w:space="0" w:color="auto"/>
      </w:divBdr>
    </w:div>
    <w:div w:id="1004238396">
      <w:bodyDiv w:val="1"/>
      <w:marLeft w:val="0"/>
      <w:marRight w:val="0"/>
      <w:marTop w:val="0"/>
      <w:marBottom w:val="0"/>
      <w:divBdr>
        <w:top w:val="none" w:sz="0" w:space="0" w:color="auto"/>
        <w:left w:val="none" w:sz="0" w:space="0" w:color="auto"/>
        <w:bottom w:val="none" w:sz="0" w:space="0" w:color="auto"/>
        <w:right w:val="none" w:sz="0" w:space="0" w:color="auto"/>
      </w:divBdr>
    </w:div>
    <w:div w:id="1166825620">
      <w:bodyDiv w:val="1"/>
      <w:marLeft w:val="0"/>
      <w:marRight w:val="0"/>
      <w:marTop w:val="0"/>
      <w:marBottom w:val="0"/>
      <w:divBdr>
        <w:top w:val="none" w:sz="0" w:space="0" w:color="auto"/>
        <w:left w:val="none" w:sz="0" w:space="0" w:color="auto"/>
        <w:bottom w:val="none" w:sz="0" w:space="0" w:color="auto"/>
        <w:right w:val="none" w:sz="0" w:space="0" w:color="auto"/>
      </w:divBdr>
    </w:div>
    <w:div w:id="1218475770">
      <w:bodyDiv w:val="1"/>
      <w:marLeft w:val="0"/>
      <w:marRight w:val="0"/>
      <w:marTop w:val="0"/>
      <w:marBottom w:val="0"/>
      <w:divBdr>
        <w:top w:val="none" w:sz="0" w:space="0" w:color="auto"/>
        <w:left w:val="none" w:sz="0" w:space="0" w:color="auto"/>
        <w:bottom w:val="none" w:sz="0" w:space="0" w:color="auto"/>
        <w:right w:val="none" w:sz="0" w:space="0" w:color="auto"/>
      </w:divBdr>
    </w:div>
    <w:div w:id="1279146542">
      <w:bodyDiv w:val="1"/>
      <w:marLeft w:val="0"/>
      <w:marRight w:val="0"/>
      <w:marTop w:val="0"/>
      <w:marBottom w:val="0"/>
      <w:divBdr>
        <w:top w:val="none" w:sz="0" w:space="0" w:color="auto"/>
        <w:left w:val="none" w:sz="0" w:space="0" w:color="auto"/>
        <w:bottom w:val="none" w:sz="0" w:space="0" w:color="auto"/>
        <w:right w:val="none" w:sz="0" w:space="0" w:color="auto"/>
      </w:divBdr>
      <w:divsChild>
        <w:div w:id="363361675">
          <w:marLeft w:val="0"/>
          <w:marRight w:val="0"/>
          <w:marTop w:val="0"/>
          <w:marBottom w:val="0"/>
          <w:divBdr>
            <w:top w:val="none" w:sz="0" w:space="0" w:color="auto"/>
            <w:left w:val="none" w:sz="0" w:space="0" w:color="auto"/>
            <w:bottom w:val="none" w:sz="0" w:space="0" w:color="auto"/>
            <w:right w:val="none" w:sz="0" w:space="0" w:color="auto"/>
          </w:divBdr>
        </w:div>
        <w:div w:id="1074861075">
          <w:marLeft w:val="0"/>
          <w:marRight w:val="0"/>
          <w:marTop w:val="0"/>
          <w:marBottom w:val="0"/>
          <w:divBdr>
            <w:top w:val="none" w:sz="0" w:space="0" w:color="auto"/>
            <w:left w:val="none" w:sz="0" w:space="0" w:color="auto"/>
            <w:bottom w:val="none" w:sz="0" w:space="0" w:color="auto"/>
            <w:right w:val="none" w:sz="0" w:space="0" w:color="auto"/>
          </w:divBdr>
          <w:divsChild>
            <w:div w:id="71240152">
              <w:marLeft w:val="0"/>
              <w:marRight w:val="0"/>
              <w:marTop w:val="0"/>
              <w:marBottom w:val="0"/>
              <w:divBdr>
                <w:top w:val="none" w:sz="0" w:space="0" w:color="auto"/>
                <w:left w:val="none" w:sz="0" w:space="0" w:color="auto"/>
                <w:bottom w:val="none" w:sz="0" w:space="0" w:color="auto"/>
                <w:right w:val="none" w:sz="0" w:space="0" w:color="auto"/>
              </w:divBdr>
              <w:divsChild>
                <w:div w:id="2091151382">
                  <w:marLeft w:val="0"/>
                  <w:marRight w:val="0"/>
                  <w:marTop w:val="0"/>
                  <w:marBottom w:val="0"/>
                  <w:divBdr>
                    <w:top w:val="none" w:sz="0" w:space="0" w:color="auto"/>
                    <w:left w:val="none" w:sz="0" w:space="0" w:color="auto"/>
                    <w:bottom w:val="none" w:sz="0" w:space="0" w:color="auto"/>
                    <w:right w:val="none" w:sz="0" w:space="0" w:color="auto"/>
                  </w:divBdr>
                </w:div>
                <w:div w:id="6448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04861">
          <w:marLeft w:val="0"/>
          <w:marRight w:val="0"/>
          <w:marTop w:val="0"/>
          <w:marBottom w:val="0"/>
          <w:divBdr>
            <w:top w:val="none" w:sz="0" w:space="0" w:color="auto"/>
            <w:left w:val="none" w:sz="0" w:space="0" w:color="auto"/>
            <w:bottom w:val="none" w:sz="0" w:space="0" w:color="auto"/>
            <w:right w:val="none" w:sz="0" w:space="0" w:color="auto"/>
          </w:divBdr>
          <w:divsChild>
            <w:div w:id="1351638288">
              <w:marLeft w:val="0"/>
              <w:marRight w:val="0"/>
              <w:marTop w:val="0"/>
              <w:marBottom w:val="0"/>
              <w:divBdr>
                <w:top w:val="none" w:sz="0" w:space="0" w:color="auto"/>
                <w:left w:val="none" w:sz="0" w:space="0" w:color="auto"/>
                <w:bottom w:val="none" w:sz="0" w:space="0" w:color="auto"/>
                <w:right w:val="none" w:sz="0" w:space="0" w:color="auto"/>
              </w:divBdr>
              <w:divsChild>
                <w:div w:id="601497197">
                  <w:marLeft w:val="0"/>
                  <w:marRight w:val="0"/>
                  <w:marTop w:val="0"/>
                  <w:marBottom w:val="0"/>
                  <w:divBdr>
                    <w:top w:val="none" w:sz="0" w:space="0" w:color="auto"/>
                    <w:left w:val="none" w:sz="0" w:space="0" w:color="auto"/>
                    <w:bottom w:val="none" w:sz="0" w:space="0" w:color="auto"/>
                    <w:right w:val="none" w:sz="0" w:space="0" w:color="auto"/>
                  </w:divBdr>
                </w:div>
                <w:div w:id="159331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83238">
          <w:marLeft w:val="0"/>
          <w:marRight w:val="0"/>
          <w:marTop w:val="0"/>
          <w:marBottom w:val="0"/>
          <w:divBdr>
            <w:top w:val="none" w:sz="0" w:space="0" w:color="auto"/>
            <w:left w:val="none" w:sz="0" w:space="0" w:color="auto"/>
            <w:bottom w:val="none" w:sz="0" w:space="0" w:color="auto"/>
            <w:right w:val="none" w:sz="0" w:space="0" w:color="auto"/>
          </w:divBdr>
          <w:divsChild>
            <w:div w:id="112406699">
              <w:marLeft w:val="0"/>
              <w:marRight w:val="0"/>
              <w:marTop w:val="0"/>
              <w:marBottom w:val="0"/>
              <w:divBdr>
                <w:top w:val="none" w:sz="0" w:space="0" w:color="auto"/>
                <w:left w:val="none" w:sz="0" w:space="0" w:color="auto"/>
                <w:bottom w:val="none" w:sz="0" w:space="0" w:color="auto"/>
                <w:right w:val="none" w:sz="0" w:space="0" w:color="auto"/>
              </w:divBdr>
              <w:divsChild>
                <w:div w:id="1577939760">
                  <w:marLeft w:val="0"/>
                  <w:marRight w:val="0"/>
                  <w:marTop w:val="0"/>
                  <w:marBottom w:val="0"/>
                  <w:divBdr>
                    <w:top w:val="none" w:sz="0" w:space="0" w:color="auto"/>
                    <w:left w:val="none" w:sz="0" w:space="0" w:color="auto"/>
                    <w:bottom w:val="none" w:sz="0" w:space="0" w:color="auto"/>
                    <w:right w:val="none" w:sz="0" w:space="0" w:color="auto"/>
                  </w:divBdr>
                </w:div>
                <w:div w:id="6456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4770">
          <w:marLeft w:val="0"/>
          <w:marRight w:val="0"/>
          <w:marTop w:val="0"/>
          <w:marBottom w:val="0"/>
          <w:divBdr>
            <w:top w:val="none" w:sz="0" w:space="0" w:color="auto"/>
            <w:left w:val="none" w:sz="0" w:space="0" w:color="auto"/>
            <w:bottom w:val="none" w:sz="0" w:space="0" w:color="auto"/>
            <w:right w:val="none" w:sz="0" w:space="0" w:color="auto"/>
          </w:divBdr>
          <w:divsChild>
            <w:div w:id="1206330525">
              <w:marLeft w:val="0"/>
              <w:marRight w:val="0"/>
              <w:marTop w:val="0"/>
              <w:marBottom w:val="0"/>
              <w:divBdr>
                <w:top w:val="none" w:sz="0" w:space="0" w:color="auto"/>
                <w:left w:val="none" w:sz="0" w:space="0" w:color="auto"/>
                <w:bottom w:val="none" w:sz="0" w:space="0" w:color="auto"/>
                <w:right w:val="none" w:sz="0" w:space="0" w:color="auto"/>
              </w:divBdr>
              <w:divsChild>
                <w:div w:id="578176046">
                  <w:marLeft w:val="0"/>
                  <w:marRight w:val="0"/>
                  <w:marTop w:val="0"/>
                  <w:marBottom w:val="0"/>
                  <w:divBdr>
                    <w:top w:val="none" w:sz="0" w:space="0" w:color="auto"/>
                    <w:left w:val="none" w:sz="0" w:space="0" w:color="auto"/>
                    <w:bottom w:val="none" w:sz="0" w:space="0" w:color="auto"/>
                    <w:right w:val="none" w:sz="0" w:space="0" w:color="auto"/>
                  </w:divBdr>
                </w:div>
                <w:div w:id="96812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67595">
          <w:marLeft w:val="0"/>
          <w:marRight w:val="0"/>
          <w:marTop w:val="0"/>
          <w:marBottom w:val="0"/>
          <w:divBdr>
            <w:top w:val="none" w:sz="0" w:space="0" w:color="auto"/>
            <w:left w:val="none" w:sz="0" w:space="0" w:color="auto"/>
            <w:bottom w:val="none" w:sz="0" w:space="0" w:color="auto"/>
            <w:right w:val="none" w:sz="0" w:space="0" w:color="auto"/>
          </w:divBdr>
          <w:divsChild>
            <w:div w:id="321784036">
              <w:marLeft w:val="0"/>
              <w:marRight w:val="0"/>
              <w:marTop w:val="0"/>
              <w:marBottom w:val="0"/>
              <w:divBdr>
                <w:top w:val="none" w:sz="0" w:space="0" w:color="auto"/>
                <w:left w:val="none" w:sz="0" w:space="0" w:color="auto"/>
                <w:bottom w:val="none" w:sz="0" w:space="0" w:color="auto"/>
                <w:right w:val="none" w:sz="0" w:space="0" w:color="auto"/>
              </w:divBdr>
              <w:divsChild>
                <w:div w:id="44835472">
                  <w:marLeft w:val="0"/>
                  <w:marRight w:val="0"/>
                  <w:marTop w:val="0"/>
                  <w:marBottom w:val="0"/>
                  <w:divBdr>
                    <w:top w:val="none" w:sz="0" w:space="0" w:color="auto"/>
                    <w:left w:val="none" w:sz="0" w:space="0" w:color="auto"/>
                    <w:bottom w:val="none" w:sz="0" w:space="0" w:color="auto"/>
                    <w:right w:val="none" w:sz="0" w:space="0" w:color="auto"/>
                  </w:divBdr>
                </w:div>
                <w:div w:id="1931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1733">
          <w:marLeft w:val="0"/>
          <w:marRight w:val="0"/>
          <w:marTop w:val="0"/>
          <w:marBottom w:val="0"/>
          <w:divBdr>
            <w:top w:val="none" w:sz="0" w:space="0" w:color="auto"/>
            <w:left w:val="none" w:sz="0" w:space="0" w:color="auto"/>
            <w:bottom w:val="none" w:sz="0" w:space="0" w:color="auto"/>
            <w:right w:val="none" w:sz="0" w:space="0" w:color="auto"/>
          </w:divBdr>
          <w:divsChild>
            <w:div w:id="1303729051">
              <w:marLeft w:val="0"/>
              <w:marRight w:val="0"/>
              <w:marTop w:val="0"/>
              <w:marBottom w:val="0"/>
              <w:divBdr>
                <w:top w:val="none" w:sz="0" w:space="0" w:color="auto"/>
                <w:left w:val="none" w:sz="0" w:space="0" w:color="auto"/>
                <w:bottom w:val="none" w:sz="0" w:space="0" w:color="auto"/>
                <w:right w:val="none" w:sz="0" w:space="0" w:color="auto"/>
              </w:divBdr>
              <w:divsChild>
                <w:div w:id="417100187">
                  <w:marLeft w:val="0"/>
                  <w:marRight w:val="0"/>
                  <w:marTop w:val="0"/>
                  <w:marBottom w:val="0"/>
                  <w:divBdr>
                    <w:top w:val="none" w:sz="0" w:space="0" w:color="auto"/>
                    <w:left w:val="none" w:sz="0" w:space="0" w:color="auto"/>
                    <w:bottom w:val="none" w:sz="0" w:space="0" w:color="auto"/>
                    <w:right w:val="none" w:sz="0" w:space="0" w:color="auto"/>
                  </w:divBdr>
                </w:div>
                <w:div w:id="2006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669486">
      <w:bodyDiv w:val="1"/>
      <w:marLeft w:val="0"/>
      <w:marRight w:val="0"/>
      <w:marTop w:val="0"/>
      <w:marBottom w:val="0"/>
      <w:divBdr>
        <w:top w:val="none" w:sz="0" w:space="0" w:color="auto"/>
        <w:left w:val="none" w:sz="0" w:space="0" w:color="auto"/>
        <w:bottom w:val="none" w:sz="0" w:space="0" w:color="auto"/>
        <w:right w:val="none" w:sz="0" w:space="0" w:color="auto"/>
      </w:divBdr>
    </w:div>
    <w:div w:id="1636528133">
      <w:bodyDiv w:val="1"/>
      <w:marLeft w:val="0"/>
      <w:marRight w:val="0"/>
      <w:marTop w:val="0"/>
      <w:marBottom w:val="0"/>
      <w:divBdr>
        <w:top w:val="none" w:sz="0" w:space="0" w:color="auto"/>
        <w:left w:val="none" w:sz="0" w:space="0" w:color="auto"/>
        <w:bottom w:val="none" w:sz="0" w:space="0" w:color="auto"/>
        <w:right w:val="none" w:sz="0" w:space="0" w:color="auto"/>
      </w:divBdr>
    </w:div>
    <w:div w:id="1825387016">
      <w:bodyDiv w:val="1"/>
      <w:marLeft w:val="0"/>
      <w:marRight w:val="0"/>
      <w:marTop w:val="0"/>
      <w:marBottom w:val="0"/>
      <w:divBdr>
        <w:top w:val="none" w:sz="0" w:space="0" w:color="auto"/>
        <w:left w:val="none" w:sz="0" w:space="0" w:color="auto"/>
        <w:bottom w:val="none" w:sz="0" w:space="0" w:color="auto"/>
        <w:right w:val="none" w:sz="0" w:space="0" w:color="auto"/>
      </w:divBdr>
    </w:div>
    <w:div w:id="210850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vistas.juridicas.unam.mx/index.php/cuestiones-constitucionales/article/view/5855" TargetMode="External"/><Relationship Id="rId18" Type="http://schemas.openxmlformats.org/officeDocument/2006/relationships/hyperlink" Target="http://www.ordenjuridico.gob.mx/TratInt/Derechos%20Humanos/D47.pdf" TargetMode="External"/><Relationship Id="rId26" Type="http://schemas.openxmlformats.org/officeDocument/2006/relationships/hyperlink" Target="https://www.scjn.gob.mx/sites/default/files/listas/documento_dos/2022-01/AR-315-2021-17012022.pdf" TargetMode="External"/><Relationship Id="rId39" Type="http://schemas.openxmlformats.org/officeDocument/2006/relationships/theme" Target="theme/theme1.xml"/><Relationship Id="rId21" Type="http://schemas.openxmlformats.org/officeDocument/2006/relationships/hyperlink" Target="https://sjf.scjn.gob.mx/SJFSist/paginas/DetalleGeneralV2.aspx?ID=2021559&amp;Clase=DetalleTesisBL&amp;Semanario=0" TargetMode="External"/><Relationship Id="rId34" Type="http://schemas.openxmlformats.org/officeDocument/2006/relationships/hyperlink" Target="https://www.corteidh.or.cr/docs/casos/articulos/seriec_111_esp.pdf" TargetMode="External"/><Relationship Id="rId7" Type="http://schemas.openxmlformats.org/officeDocument/2006/relationships/endnotes" Target="endnotes.xml"/><Relationship Id="rId12" Type="http://schemas.openxmlformats.org/officeDocument/2006/relationships/hyperlink" Target="https://www.mexicoevalua.org/2022-justicia-o-ficcion/" TargetMode="External"/><Relationship Id="rId17" Type="http://schemas.openxmlformats.org/officeDocument/2006/relationships/hyperlink" Target="https://www.un.org/es/universal-declaration-human-rights/" TargetMode="External"/><Relationship Id="rId25" Type="http://schemas.openxmlformats.org/officeDocument/2006/relationships/hyperlink" Target="https://sjf.scjn.gob.mx/SJFSem/Paginas/DetalleGeneralScroll.aspx?ID=29934&amp;Clase=DetalleSemanarioEjecutoriaBL" TargetMode="External"/><Relationship Id="rId33" Type="http://schemas.openxmlformats.org/officeDocument/2006/relationships/hyperlink" Target="https://www.corteidh.or.cr/docs/casos/articulos/seriec_35_esp.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iputados.gob.mx/LeyesBiblio/ref/cpeum.htm" TargetMode="External"/><Relationship Id="rId20" Type="http://schemas.openxmlformats.org/officeDocument/2006/relationships/hyperlink" Target="https://sjf.scjn.gob.mx/SJFSist/paginas/DetalleGeneralV2.aspx?ID=2018384&amp;Clase=DetalleTesisBL&amp;Semanario=0" TargetMode="External"/><Relationship Id="rId29" Type="http://schemas.openxmlformats.org/officeDocument/2006/relationships/hyperlink" Target="https://www.corteidh.or.cr/docs/supervisiones/cabreragarciaymontiel_24_06_2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rteidh.or.cr/tablas/a17762.pdf" TargetMode="External"/><Relationship Id="rId24" Type="http://schemas.openxmlformats.org/officeDocument/2006/relationships/hyperlink" Target="https://www2.scjn.gob.mx/AsuntosRelevantes/pagina/SeguimientoAsuntosRelevantesPub.aspx?ID=97797&amp;SeguimientoID=155&amp;CAP=jurisprudencia" TargetMode="External"/><Relationship Id="rId32" Type="http://schemas.openxmlformats.org/officeDocument/2006/relationships/hyperlink" Target="https://www.corteidh.or.cr/docs/supervisiones/chaparro_29_04_09.pdf"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oas.org/dil/esp/tratados_b32_convencion_americana_sobre_derechos_humanos.htm" TargetMode="External"/><Relationship Id="rId23" Type="http://schemas.openxmlformats.org/officeDocument/2006/relationships/hyperlink" Target="https://sjf.scjn.gob.mx/SJFSem/Paginas/Reportes/ReporteDE.aspx?idius=2011746&amp;Tipo=1" TargetMode="External"/><Relationship Id="rId28" Type="http://schemas.openxmlformats.org/officeDocument/2006/relationships/hyperlink" Target="https://www.corteidh.or.cr/docs/casos/articulos/resumen_220_esp.pdf" TargetMode="External"/><Relationship Id="rId36" Type="http://schemas.openxmlformats.org/officeDocument/2006/relationships/footer" Target="footer1.xml"/><Relationship Id="rId10" Type="http://schemas.openxmlformats.org/officeDocument/2006/relationships/hyperlink" Target="https://archivos.juridicas.unam.mx/www/bjv/libros/6/2562/15.pdf" TargetMode="External"/><Relationship Id="rId19" Type="http://schemas.openxmlformats.org/officeDocument/2006/relationships/hyperlink" Target="https://www.unodc.org/documents/justice-and-prison-reform/Nelson_Mandela_Rules-S-ebook.pdf" TargetMode="External"/><Relationship Id="rId31" Type="http://schemas.openxmlformats.org/officeDocument/2006/relationships/hyperlink" Target="https://www.corteidh.or.cr/docs/casos/articulos/Seriec_69_esp.pdf" TargetMode="External"/><Relationship Id="rId4" Type="http://schemas.openxmlformats.org/officeDocument/2006/relationships/settings" Target="settings.xml"/><Relationship Id="rId9" Type="http://schemas.openxmlformats.org/officeDocument/2006/relationships/hyperlink" Target="https://revistas.juridicas.unam.mx/index.php/hechos-y-derechos/article/view/7322/9258" TargetMode="External"/><Relationship Id="rId14" Type="http://schemas.openxmlformats.org/officeDocument/2006/relationships/hyperlink" Target="https://www.diputados.gob.mx/LeyesBiblio/ref/lnep.htm" TargetMode="External"/><Relationship Id="rId22" Type="http://schemas.openxmlformats.org/officeDocument/2006/relationships/hyperlink" Target="https://sjf.scjn.gob.mx/SJFSist/paginas/DetalleGeneralV2.aspx?ID=2018951&amp;Clase=DetalleTesisBL&amp;Semanario=0" TargetMode="External"/><Relationship Id="rId27" Type="http://schemas.openxmlformats.org/officeDocument/2006/relationships/hyperlink" Target="https://www.internet2.scjn.gob.mx/red2/comunicados/noticia.asp?id=6062" TargetMode="External"/><Relationship Id="rId30" Type="http://schemas.openxmlformats.org/officeDocument/2006/relationships/hyperlink" Target="https://www.corteidh.or.cr/docs/casos/articulos/seriec_331_esp.pdf" TargetMode="External"/><Relationship Id="rId35" Type="http://schemas.openxmlformats.org/officeDocument/2006/relationships/hyperlink" Target="https://www.corteidh.or.cr/docs/casos/articulos/seriec_206_esp1.pdf" TargetMode="External"/><Relationship Id="rId8" Type="http://schemas.openxmlformats.org/officeDocument/2006/relationships/hyperlink" Target="http://ius.scjn.gob.mx/paginas/DetalleGeneral.aspx?ID=161099&amp;IDs=161099&amp;Dominio=Rubro&amp;TA_TJ=2&amp;Orden=1&amp;Expresion=161099&amp;Epoca=1110001111000111111111111111111110011111101111111%20&amp;Apendice=0000000000000000000000000000000000000000&amp;Clase=DetalleTesisBL&amp;startRowIndex=0&amp;Hit=1&amp;NumTE=1&amp;Epp=20&amp;maximumRows=20&amp;Desde=2011&amp;Hasta=2011&amp;Index=0"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orteidh.or.cr/docs/casos/articulos/Seriec_69_esp.pdf" TargetMode="External"/><Relationship Id="rId13" Type="http://schemas.openxmlformats.org/officeDocument/2006/relationships/hyperlink" Target="https://www.corteidh.or.cr/docs/casos/articulos/seriec_331_esp.pdf" TargetMode="External"/><Relationship Id="rId18" Type="http://schemas.openxmlformats.org/officeDocument/2006/relationships/hyperlink" Target="https://www.unodc.org/documents/justice-and-prison-reform/Nelson_Mandela_Rules-S-ebook.pdf" TargetMode="External"/><Relationship Id="rId3" Type="http://schemas.openxmlformats.org/officeDocument/2006/relationships/hyperlink" Target="https://www.corteidh.or.cr/tablas/a17762.pdf" TargetMode="External"/><Relationship Id="rId7" Type="http://schemas.openxmlformats.org/officeDocument/2006/relationships/hyperlink" Target="https://www.scjn.gob.mx/sites/default/files/listas/documento_dos/2022-01/AR-315-2021-17012022.pdf" TargetMode="External"/><Relationship Id="rId12" Type="http://schemas.openxmlformats.org/officeDocument/2006/relationships/hyperlink" Target="https://sjf.scjn.gob.mx/SJFSist/paginas/DetalleGeneralV2.aspx?ID=2018951&amp;Clase=DetalleTesisBL&amp;Semanario=0" TargetMode="External"/><Relationship Id="rId17" Type="http://schemas.openxmlformats.org/officeDocument/2006/relationships/hyperlink" Target="https://sjf.scjn.gob.mx/SJFSem/Paginas/DetalleGeneralScroll.aspx?ID=29934&amp;Clase=DetalleSemanarioEjecutoriaBL" TargetMode="External"/><Relationship Id="rId2" Type="http://schemas.openxmlformats.org/officeDocument/2006/relationships/hyperlink" Target="http://dof.gob.mx/nota_detalle.php?codigo=5194486&amp;fecha=10/06/2011" TargetMode="External"/><Relationship Id="rId16" Type="http://schemas.openxmlformats.org/officeDocument/2006/relationships/hyperlink" Target="https://www.corteidh.or.cr/docs/supervisiones/chaparro_29_04_09.pdf" TargetMode="External"/><Relationship Id="rId1" Type="http://schemas.openxmlformats.org/officeDocument/2006/relationships/hyperlink" Target="http://dof.gob.mx/nota_detalle.php?codigo=5046978&amp;fecha=18/06/2008" TargetMode="External"/><Relationship Id="rId6" Type="http://schemas.openxmlformats.org/officeDocument/2006/relationships/hyperlink" Target="https://www.un.org/es/universal-declaration-human-rights/" TargetMode="External"/><Relationship Id="rId11" Type="http://schemas.openxmlformats.org/officeDocument/2006/relationships/hyperlink" Target="https://sjf.scjn.gob.mx/SJFSist/paginas/DetalleGeneralV2.aspx?ID=2021559&amp;Clase=DetalleTesisBL&amp;Semanario=0" TargetMode="External"/><Relationship Id="rId5" Type="http://schemas.openxmlformats.org/officeDocument/2006/relationships/hyperlink" Target="https://revistas.juridicas.unam.mx/index.php/hechos-y-derechos/article/view/7322/9258" TargetMode="External"/><Relationship Id="rId15" Type="http://schemas.openxmlformats.org/officeDocument/2006/relationships/hyperlink" Target="https://sjf.scjn.gob.mx/SJFSist/paginas/DetalleGeneralV2.aspx?ID=2018384&amp;Clase=DetalleTesisBL&amp;Semanario=0" TargetMode="External"/><Relationship Id="rId10" Type="http://schemas.openxmlformats.org/officeDocument/2006/relationships/hyperlink" Target="https://sjf.scjn.gob.mx/SJFSem/Paginas/Reportes/ReporteDE.aspx?idius=2011746&amp;Tipo=1" TargetMode="External"/><Relationship Id="rId19" Type="http://schemas.openxmlformats.org/officeDocument/2006/relationships/hyperlink" Target="https://www2.scjn.gob.mx/AsuntosRelevantes/pagina/SeguimientoAsuntosRelevantesPub.aspx?ID=97797&amp;SeguimientoID=155&amp;CAP=jurisprudencia" TargetMode="External"/><Relationship Id="rId4" Type="http://schemas.openxmlformats.org/officeDocument/2006/relationships/hyperlink" Target="https://www.mexicoevalua.org/2022-justicia-o-ficcion/" TargetMode="External"/><Relationship Id="rId9" Type="http://schemas.openxmlformats.org/officeDocument/2006/relationships/hyperlink" Target="https://www.corteidh.or.cr/docs/supervisiones/cabreragarciaymontiel_24_06_20.pdf" TargetMode="External"/><Relationship Id="rId14" Type="http://schemas.openxmlformats.org/officeDocument/2006/relationships/hyperlink" Target="https://www.internet2.scjn.gob.mx/red2/comunicados/noticia.asp?id=6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4B671-A462-42D6-9F3F-C6B38C693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12293</Words>
  <Characters>67612</Characters>
  <Application>Microsoft Office Word</Application>
  <DocSecurity>0</DocSecurity>
  <Lines>563</Lines>
  <Paragraphs>159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ariadnasq@outlook.com</dc:creator>
  <cp:keywords/>
  <dc:description/>
  <cp:lastModifiedBy>UCA</cp:lastModifiedBy>
  <cp:revision>2</cp:revision>
  <cp:lastPrinted>2022-03-16T19:45:00Z</cp:lastPrinted>
  <dcterms:created xsi:type="dcterms:W3CDTF">2022-03-17T10:39:00Z</dcterms:created>
  <dcterms:modified xsi:type="dcterms:W3CDTF">2022-03-17T10:39:00Z</dcterms:modified>
</cp:coreProperties>
</file>