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13E93D" w14:textId="6ABA29B5" w:rsidR="009D08D1" w:rsidRPr="008D3859" w:rsidRDefault="009D08D1" w:rsidP="007E738E">
      <w:pPr>
        <w:ind w:right="-1"/>
        <w:jc w:val="both"/>
        <w:rPr>
          <w:rFonts w:ascii="Arial" w:hAnsi="Arial" w:cs="Times New Roman"/>
          <w:lang w:val="es-ES"/>
        </w:rPr>
      </w:pPr>
      <w:r w:rsidRPr="008D3859">
        <w:rPr>
          <w:rFonts w:ascii="Arial" w:hAnsi="Arial" w:cs="Times New Roman"/>
          <w:lang w:val="es-ES"/>
        </w:rPr>
        <w:t>IMPORTANCIA DE LOS TRIBUNALES EN LA CREACIÓN DE NUEVOS DERECHOS: EL TRIBUNAL EUROPEO DE DERECHOS HUMANOS Y LOS DERECHOS PROCESALES DE LAS PERSONAS QUE S</w:t>
      </w:r>
      <w:r w:rsidR="00864B9E">
        <w:rPr>
          <w:rFonts w:ascii="Arial" w:hAnsi="Arial" w:cs="Times New Roman"/>
          <w:lang w:val="es-ES"/>
        </w:rPr>
        <w:t xml:space="preserve">UFREN INTERNAMIENTOS INVOLUNTARIOS </w:t>
      </w:r>
      <w:r w:rsidRPr="008D3859">
        <w:rPr>
          <w:rFonts w:ascii="Arial" w:hAnsi="Arial" w:cs="Times New Roman"/>
          <w:lang w:val="es-ES"/>
        </w:rPr>
        <w:t>POR TRASTORNO PSÍQUICO</w:t>
      </w:r>
    </w:p>
    <w:p w14:paraId="5B04482C" w14:textId="4E519434" w:rsidR="009D08D1" w:rsidRPr="008D3859" w:rsidRDefault="009D08D1" w:rsidP="0025550C">
      <w:pPr>
        <w:ind w:right="-1" w:firstLine="567"/>
        <w:rPr>
          <w:rFonts w:ascii="Arial" w:hAnsi="Arial"/>
          <w:lang w:val="es-ES"/>
        </w:rPr>
      </w:pPr>
    </w:p>
    <w:p w14:paraId="2AAF6F06" w14:textId="75C0E4E8" w:rsidR="009D08D1" w:rsidRPr="00F563D8" w:rsidRDefault="00DE381D" w:rsidP="0025550C">
      <w:pPr>
        <w:ind w:right="-1" w:firstLine="567"/>
        <w:jc w:val="right"/>
        <w:rPr>
          <w:rFonts w:ascii="Arial" w:hAnsi="Arial" w:cs="Times New Roman (Cuerpo en alfa"/>
          <w:i/>
          <w:iCs/>
          <w:sz w:val="20"/>
          <w:szCs w:val="20"/>
          <w:lang w:val="es-ES"/>
        </w:rPr>
      </w:pPr>
      <w:r w:rsidRPr="00F563D8">
        <w:rPr>
          <w:rFonts w:ascii="Arial" w:hAnsi="Arial" w:cs="Times New Roman (Cuerpo en alfa"/>
          <w:i/>
          <w:iCs/>
          <w:sz w:val="20"/>
          <w:szCs w:val="20"/>
          <w:lang w:val="es-ES"/>
        </w:rPr>
        <w:t>Jesús Sáez González</w:t>
      </w:r>
    </w:p>
    <w:p w14:paraId="041A96EA" w14:textId="0B576EF9" w:rsidR="00DE381D" w:rsidRPr="00F563D8" w:rsidRDefault="00DE381D" w:rsidP="0025550C">
      <w:pPr>
        <w:ind w:right="-1" w:firstLine="567"/>
        <w:jc w:val="right"/>
        <w:rPr>
          <w:rFonts w:ascii="Arial" w:hAnsi="Arial" w:cs="Times New Roman (Cuerpo en alfa"/>
          <w:i/>
          <w:iCs/>
          <w:sz w:val="20"/>
          <w:szCs w:val="20"/>
          <w:lang w:val="es-ES"/>
        </w:rPr>
      </w:pPr>
      <w:r w:rsidRPr="00F563D8">
        <w:rPr>
          <w:rFonts w:ascii="Arial" w:hAnsi="Arial" w:cs="Times New Roman (Cuerpo en alfa"/>
          <w:i/>
          <w:iCs/>
          <w:sz w:val="20"/>
          <w:szCs w:val="20"/>
          <w:lang w:val="es-ES"/>
        </w:rPr>
        <w:t>Facultad de Derecho. Universidad de Cádiz (España)</w:t>
      </w:r>
    </w:p>
    <w:p w14:paraId="693B0142" w14:textId="77777777" w:rsidR="00544B83" w:rsidRDefault="00544B83" w:rsidP="0025550C">
      <w:pPr>
        <w:ind w:right="-1" w:firstLine="567"/>
        <w:jc w:val="both"/>
        <w:rPr>
          <w:rFonts w:ascii="Arial" w:hAnsi="Arial" w:cs="Times New Roman (Cuerpo en alfa"/>
          <w:sz w:val="20"/>
          <w:szCs w:val="20"/>
          <w:lang w:val="es-ES"/>
        </w:rPr>
      </w:pPr>
    </w:p>
    <w:p w14:paraId="4EA82FD1" w14:textId="79B8FA52" w:rsidR="009A5D29" w:rsidRPr="00544B83" w:rsidRDefault="00544B83" w:rsidP="0025550C">
      <w:pPr>
        <w:ind w:right="-1" w:firstLine="567"/>
        <w:jc w:val="both"/>
        <w:rPr>
          <w:rFonts w:ascii="Arial" w:hAnsi="Arial" w:cs="Times New Roman (Cuerpo en alfa"/>
          <w:sz w:val="20"/>
          <w:szCs w:val="20"/>
          <w:lang w:val="es-ES"/>
        </w:rPr>
      </w:pPr>
      <w:r>
        <w:rPr>
          <w:rFonts w:ascii="Arial" w:hAnsi="Arial" w:cs="Times New Roman (Cuerpo en alfa"/>
          <w:sz w:val="20"/>
          <w:szCs w:val="20"/>
          <w:lang w:val="es-ES"/>
        </w:rPr>
        <w:t xml:space="preserve">Sumario. INTRODUCCIÓN. </w:t>
      </w:r>
      <w:r w:rsidRPr="00544B83">
        <w:rPr>
          <w:rFonts w:ascii="Arial" w:hAnsi="Arial" w:cs="Times New Roman (Cuerpo en alfa"/>
          <w:sz w:val="20"/>
          <w:szCs w:val="20"/>
          <w:lang w:val="es-ES"/>
        </w:rPr>
        <w:t xml:space="preserve">I </w:t>
      </w:r>
      <w:r w:rsidRPr="00544B83">
        <w:rPr>
          <w:rFonts w:ascii="Arial" w:eastAsia="Times New Roman" w:hAnsi="Arial" w:cs="Arial"/>
          <w:sz w:val="20"/>
          <w:szCs w:val="20"/>
          <w:lang w:val="es-ES" w:eastAsia="es-ES_tradnl"/>
        </w:rPr>
        <w:t>ASPECTOS DE LOS PROCEDIMIENTOS DE INTERNA</w:t>
      </w:r>
      <w:r w:rsidR="008A24A1">
        <w:rPr>
          <w:rFonts w:ascii="Arial" w:eastAsia="Times New Roman" w:hAnsi="Arial" w:cs="Arial"/>
          <w:sz w:val="20"/>
          <w:szCs w:val="20"/>
          <w:lang w:val="es-ES" w:eastAsia="es-ES_tradnl"/>
        </w:rPr>
        <w:t>-</w:t>
      </w:r>
      <w:r w:rsidRPr="00544B83">
        <w:rPr>
          <w:rFonts w:ascii="Arial" w:eastAsia="Times New Roman" w:hAnsi="Arial" w:cs="Arial"/>
          <w:sz w:val="20"/>
          <w:szCs w:val="20"/>
          <w:lang w:val="es-ES" w:eastAsia="es-ES_tradnl"/>
        </w:rPr>
        <w:t>MIENTO RECOGIDOS POR LA JURISPRUDENCIA DEL TEDH</w:t>
      </w:r>
      <w:r w:rsidR="008A24A1">
        <w:rPr>
          <w:rFonts w:ascii="Arial" w:eastAsia="Times New Roman" w:hAnsi="Arial" w:cs="Arial"/>
          <w:sz w:val="20"/>
          <w:szCs w:val="20"/>
          <w:lang w:val="es-ES" w:eastAsia="es-ES_tradnl"/>
        </w:rPr>
        <w:t>. 1.Pronunciamientos de carácter general: a) Visión del internamiento en el CONVENIO y en la jurisprudencia del TEDH. b) El papel del TRIBUNAL. c) Requisitos para internar a una persona. d) Internamiento voluntario</w:t>
      </w:r>
      <w:r w:rsidR="00676B6B">
        <w:rPr>
          <w:rFonts w:ascii="Arial" w:eastAsia="Times New Roman" w:hAnsi="Arial" w:cs="Arial"/>
          <w:sz w:val="20"/>
          <w:szCs w:val="20"/>
          <w:lang w:val="es-ES" w:eastAsia="es-ES_tradnl"/>
        </w:rPr>
        <w:t xml:space="preserve"> e</w:t>
      </w:r>
      <w:r w:rsidR="008A24A1">
        <w:rPr>
          <w:rFonts w:ascii="Arial" w:eastAsia="Times New Roman" w:hAnsi="Arial" w:cs="Arial"/>
          <w:sz w:val="20"/>
          <w:szCs w:val="20"/>
          <w:lang w:val="es-ES" w:eastAsia="es-ES_tradnl"/>
        </w:rPr>
        <w:t xml:space="preserve"> internamiento forzoso. e) El lugar de internamiento. 2. Pronunciamientos relativos a los procedimientos de internamiento: a) Garantías y derechos procesales. b) Procedimiento justo y adecuado. c) Derecho a recurrir, derecho a un proceso judicial. d) la autorización del internamiento. e) Los plazos. f) Internamientos derivados de la comisión de hechos penalmente ilícitos por personas sin responsabilidad penal. g) Los informes médicos. </w:t>
      </w:r>
      <w:r w:rsidR="007E738E">
        <w:rPr>
          <w:rFonts w:ascii="Arial" w:eastAsia="Times New Roman" w:hAnsi="Arial" w:cs="Arial"/>
          <w:sz w:val="20"/>
          <w:szCs w:val="20"/>
          <w:lang w:val="es-ES" w:eastAsia="es-ES_tradnl"/>
        </w:rPr>
        <w:t>II LA JURISPRUDENCIA DELTEDH Y LA REGULACIÓN ESPAÑOLA DE LOS INTERNAMIENTOS INVOLUNTARIOS. 1. Un tema en evolución. 2. Regulación procesal actual. 3. Normas derivadas del artículo 763 de la LEC. 4. La jurisprudenc</w:t>
      </w:r>
      <w:bookmarkStart w:id="0" w:name="_GoBack"/>
      <w:bookmarkEnd w:id="0"/>
      <w:r w:rsidR="007E738E">
        <w:rPr>
          <w:rFonts w:ascii="Arial" w:eastAsia="Times New Roman" w:hAnsi="Arial" w:cs="Arial"/>
          <w:sz w:val="20"/>
          <w:szCs w:val="20"/>
          <w:lang w:val="es-ES" w:eastAsia="es-ES_tradnl"/>
        </w:rPr>
        <w:t>ia del TEDH y la normativa española sobre los internamientos forzosos.</w:t>
      </w:r>
    </w:p>
    <w:p w14:paraId="2B3A5798" w14:textId="123A67E6" w:rsidR="00F563D8" w:rsidRDefault="00F563D8" w:rsidP="00D2042E">
      <w:pPr>
        <w:ind w:right="-1"/>
        <w:jc w:val="both"/>
        <w:rPr>
          <w:rFonts w:ascii="Arial" w:hAnsi="Arial" w:cs="Times New Roman (Cuerpo en alfa"/>
          <w:lang w:val="es-ES"/>
        </w:rPr>
      </w:pPr>
    </w:p>
    <w:p w14:paraId="65B0AF6E" w14:textId="4646F6BD" w:rsidR="00820203" w:rsidRDefault="00820203" w:rsidP="00D2042E">
      <w:pPr>
        <w:ind w:right="-1"/>
        <w:jc w:val="both"/>
        <w:rPr>
          <w:rFonts w:ascii="Arial" w:hAnsi="Arial" w:cs="Times New Roman (Cuerpo en alfa"/>
          <w:lang w:val="es-ES"/>
        </w:rPr>
      </w:pPr>
    </w:p>
    <w:p w14:paraId="617DD0DD" w14:textId="77777777" w:rsidR="00820203" w:rsidRPr="008D3859" w:rsidRDefault="00820203" w:rsidP="00D2042E">
      <w:pPr>
        <w:ind w:right="-1"/>
        <w:jc w:val="both"/>
        <w:rPr>
          <w:rFonts w:ascii="Arial" w:hAnsi="Arial" w:cs="Times New Roman (Cuerpo en alfa"/>
          <w:lang w:val="es-ES"/>
        </w:rPr>
      </w:pPr>
    </w:p>
    <w:p w14:paraId="6BB1C394" w14:textId="3A0D69B1" w:rsidR="00022351" w:rsidRPr="008D3859" w:rsidRDefault="008D3859" w:rsidP="0025550C">
      <w:pPr>
        <w:ind w:right="-1" w:firstLine="567"/>
        <w:jc w:val="both"/>
        <w:rPr>
          <w:rFonts w:ascii="Arial" w:hAnsi="Arial" w:cs="Times New Roman (Cuerpo en alfa"/>
          <w:lang w:val="es-ES"/>
        </w:rPr>
      </w:pPr>
      <w:r>
        <w:rPr>
          <w:rFonts w:ascii="Arial" w:hAnsi="Arial" w:cs="Times New Roman (Cuerpo en alfa"/>
          <w:lang w:val="es-ES"/>
        </w:rPr>
        <w:t>INTRODUCCIÓN</w:t>
      </w:r>
    </w:p>
    <w:p w14:paraId="3B4BE39C" w14:textId="4CC2B620" w:rsidR="0047429F" w:rsidRDefault="009D08D1" w:rsidP="00B80FCD">
      <w:pPr>
        <w:ind w:right="-1" w:firstLine="567"/>
        <w:jc w:val="both"/>
        <w:rPr>
          <w:rFonts w:ascii="Arial" w:hAnsi="Arial" w:cs="Times New Roman (Cuerpo en alfa"/>
          <w:lang w:val="es-ES"/>
        </w:rPr>
      </w:pPr>
      <w:r w:rsidRPr="008D3859">
        <w:rPr>
          <w:rFonts w:ascii="Arial" w:hAnsi="Arial" w:cs="Times New Roman (Cuerpo en alfa"/>
          <w:lang w:val="es-ES"/>
        </w:rPr>
        <w:t xml:space="preserve">Uno de los </w:t>
      </w:r>
      <w:r w:rsidR="008A1C1C">
        <w:rPr>
          <w:rFonts w:ascii="Arial" w:hAnsi="Arial" w:cs="Times New Roman (Cuerpo en alfa"/>
          <w:lang w:val="es-ES"/>
        </w:rPr>
        <w:t xml:space="preserve">instrumentos </w:t>
      </w:r>
      <w:r w:rsidRPr="008D3859">
        <w:rPr>
          <w:rFonts w:ascii="Arial" w:hAnsi="Arial" w:cs="Times New Roman (Cuerpo en alfa"/>
          <w:lang w:val="es-ES"/>
        </w:rPr>
        <w:t xml:space="preserve">que pueden ser utilizados para </w:t>
      </w:r>
      <w:r w:rsidR="00FE6C52">
        <w:rPr>
          <w:rFonts w:ascii="Arial" w:hAnsi="Arial" w:cs="Times New Roman (Cuerpo en alfa"/>
          <w:lang w:val="es-ES"/>
        </w:rPr>
        <w:t>comproba</w:t>
      </w:r>
      <w:r w:rsidRPr="008D3859">
        <w:rPr>
          <w:rFonts w:ascii="Arial" w:hAnsi="Arial" w:cs="Times New Roman (Cuerpo en alfa"/>
          <w:lang w:val="es-ES"/>
        </w:rPr>
        <w:t>r en qué medida las sentencias de los tribunales de justicia pueden influir en la creación de nuevos derechos de los ciudadanos es la comparación entre la situación</w:t>
      </w:r>
      <w:r w:rsidR="00057DAE">
        <w:rPr>
          <w:rFonts w:ascii="Arial" w:hAnsi="Arial" w:cs="Times New Roman (Cuerpo en alfa"/>
          <w:lang w:val="es-ES"/>
        </w:rPr>
        <w:t xml:space="preserve"> </w:t>
      </w:r>
      <w:r w:rsidRPr="008D3859">
        <w:rPr>
          <w:rFonts w:ascii="Arial" w:hAnsi="Arial" w:cs="Times New Roman (Cuerpo en alfa"/>
          <w:lang w:val="es-ES"/>
        </w:rPr>
        <w:t>de una materia concreta</w:t>
      </w:r>
      <w:r w:rsidR="00057DAE" w:rsidRPr="008D3859">
        <w:rPr>
          <w:rFonts w:ascii="Arial" w:hAnsi="Arial" w:cs="Times New Roman (Cuerpo en alfa"/>
          <w:lang w:val="es-ES"/>
        </w:rPr>
        <w:t>, legislada o no,</w:t>
      </w:r>
      <w:r w:rsidRPr="008D3859">
        <w:rPr>
          <w:rFonts w:ascii="Arial" w:hAnsi="Arial" w:cs="Times New Roman (Cuerpo en alfa"/>
          <w:lang w:val="es-ES"/>
        </w:rPr>
        <w:t xml:space="preserve"> y el impacto que producen en </w:t>
      </w:r>
      <w:r w:rsidR="00FE6C52">
        <w:rPr>
          <w:rFonts w:ascii="Arial" w:hAnsi="Arial" w:cs="Times New Roman (Cuerpo en alfa"/>
          <w:lang w:val="es-ES"/>
        </w:rPr>
        <w:t>la misma</w:t>
      </w:r>
      <w:r w:rsidRPr="008D3859">
        <w:rPr>
          <w:rFonts w:ascii="Arial" w:hAnsi="Arial" w:cs="Times New Roman (Cuerpo en alfa"/>
          <w:lang w:val="es-ES"/>
        </w:rPr>
        <w:t xml:space="preserve"> la sentencia</w:t>
      </w:r>
      <w:r w:rsidR="00C77929" w:rsidRPr="008D3859">
        <w:rPr>
          <w:rFonts w:ascii="Arial" w:hAnsi="Arial" w:cs="Times New Roman (Cuerpo en alfa"/>
          <w:lang w:val="es-ES"/>
        </w:rPr>
        <w:t xml:space="preserve"> o las sentencias</w:t>
      </w:r>
      <w:r w:rsidRPr="008D3859">
        <w:rPr>
          <w:rFonts w:ascii="Arial" w:hAnsi="Arial" w:cs="Times New Roman (Cuerpo en alfa"/>
          <w:lang w:val="es-ES"/>
        </w:rPr>
        <w:t xml:space="preserve"> de un tribunal</w:t>
      </w:r>
      <w:r w:rsidR="00C77929" w:rsidRPr="008D3859">
        <w:rPr>
          <w:rFonts w:ascii="Arial" w:hAnsi="Arial" w:cs="Times New Roman (Cuerpo en alfa"/>
          <w:lang w:val="es-ES"/>
        </w:rPr>
        <w:t>. A veces</w:t>
      </w:r>
      <w:r w:rsidR="008A1C1C">
        <w:rPr>
          <w:rFonts w:ascii="Arial" w:hAnsi="Arial" w:cs="Times New Roman (Cuerpo en alfa"/>
          <w:lang w:val="es-ES"/>
        </w:rPr>
        <w:t>,</w:t>
      </w:r>
      <w:r w:rsidR="00C77929" w:rsidRPr="008D3859">
        <w:rPr>
          <w:rFonts w:ascii="Arial" w:hAnsi="Arial" w:cs="Times New Roman (Cuerpo en alfa"/>
          <w:lang w:val="es-ES"/>
        </w:rPr>
        <w:t xml:space="preserve"> el</w:t>
      </w:r>
      <w:r w:rsidR="00676B6B">
        <w:rPr>
          <w:rFonts w:ascii="Arial" w:hAnsi="Arial" w:cs="Times New Roman (Cuerpo en alfa"/>
          <w:lang w:val="es-ES"/>
        </w:rPr>
        <w:t xml:space="preserve"> impacto en el</w:t>
      </w:r>
      <w:r w:rsidR="00C77929" w:rsidRPr="008D3859">
        <w:rPr>
          <w:rFonts w:ascii="Arial" w:hAnsi="Arial" w:cs="Times New Roman (Cuerpo en alfa"/>
          <w:lang w:val="es-ES"/>
        </w:rPr>
        <w:t xml:space="preserve"> estado e</w:t>
      </w:r>
      <w:r w:rsidR="00676B6B">
        <w:rPr>
          <w:rFonts w:ascii="Arial" w:hAnsi="Arial" w:cs="Times New Roman (Cuerpo en alfa"/>
          <w:lang w:val="es-ES"/>
        </w:rPr>
        <w:t>n que se encuentra la regulación sobre un tema determinado</w:t>
      </w:r>
      <w:r w:rsidR="00C77929" w:rsidRPr="008D3859">
        <w:rPr>
          <w:rFonts w:ascii="Arial" w:hAnsi="Arial" w:cs="Times New Roman (Cuerpo en alfa"/>
          <w:lang w:val="es-ES"/>
        </w:rPr>
        <w:t xml:space="preserve"> se </w:t>
      </w:r>
      <w:r w:rsidR="00676B6B">
        <w:rPr>
          <w:rFonts w:ascii="Arial" w:hAnsi="Arial" w:cs="Times New Roman (Cuerpo en alfa"/>
          <w:lang w:val="es-ES"/>
        </w:rPr>
        <w:t>concreta en</w:t>
      </w:r>
      <w:r w:rsidR="00C77929" w:rsidRPr="008D3859">
        <w:rPr>
          <w:rFonts w:ascii="Arial" w:hAnsi="Arial" w:cs="Times New Roman (Cuerpo en alfa"/>
          <w:lang w:val="es-ES"/>
        </w:rPr>
        <w:t xml:space="preserve"> la novedad que </w:t>
      </w:r>
      <w:r w:rsidR="00676B6B">
        <w:rPr>
          <w:rFonts w:ascii="Arial" w:hAnsi="Arial" w:cs="Times New Roman (Cuerpo en alfa"/>
          <w:lang w:val="es-ES"/>
        </w:rPr>
        <w:t>supone</w:t>
      </w:r>
      <w:r w:rsidR="00C77929" w:rsidRPr="008D3859">
        <w:rPr>
          <w:rFonts w:ascii="Arial" w:hAnsi="Arial" w:cs="Times New Roman (Cuerpo en alfa"/>
          <w:lang w:val="es-ES"/>
        </w:rPr>
        <w:t xml:space="preserve"> la </w:t>
      </w:r>
      <w:r w:rsidR="00676B6B">
        <w:rPr>
          <w:rFonts w:ascii="Arial" w:hAnsi="Arial" w:cs="Times New Roman (Cuerpo en alfa"/>
          <w:lang w:val="es-ES"/>
        </w:rPr>
        <w:t xml:space="preserve">creación </w:t>
      </w:r>
      <w:r w:rsidR="00C77929" w:rsidRPr="008D3859">
        <w:rPr>
          <w:rFonts w:ascii="Arial" w:hAnsi="Arial" w:cs="Times New Roman (Cuerpo en alfa"/>
          <w:lang w:val="es-ES"/>
        </w:rPr>
        <w:t xml:space="preserve">de un nuevo derecho. En otras ocasiones, en cambio, </w:t>
      </w:r>
      <w:r w:rsidR="00AC303F">
        <w:rPr>
          <w:rFonts w:ascii="Arial" w:hAnsi="Arial" w:cs="Times New Roman (Cuerpo en alfa"/>
          <w:lang w:val="es-ES"/>
        </w:rPr>
        <w:t xml:space="preserve">basta con señalar </w:t>
      </w:r>
      <w:r w:rsidR="008A1C1C">
        <w:rPr>
          <w:rFonts w:ascii="Arial" w:hAnsi="Arial" w:cs="Times New Roman (Cuerpo en alfa"/>
          <w:lang w:val="es-ES"/>
        </w:rPr>
        <w:t>el modo en que se interpretan las leyes para llegar a la conclusión de que esa interpretación es fruto de una jurisprudencia superior.</w:t>
      </w:r>
      <w:r w:rsidR="00B80FCD">
        <w:rPr>
          <w:rFonts w:ascii="Arial" w:hAnsi="Arial" w:cs="Times New Roman (Cuerpo en alfa"/>
          <w:lang w:val="es-ES"/>
        </w:rPr>
        <w:t xml:space="preserve"> El</w:t>
      </w:r>
      <w:r w:rsidR="00AC303F">
        <w:rPr>
          <w:rFonts w:ascii="Arial" w:hAnsi="Arial" w:cs="Times New Roman (Cuerpo en alfa"/>
          <w:lang w:val="es-ES"/>
        </w:rPr>
        <w:t xml:space="preserve"> impacto será mayor si, como en este caso, se trata de la jurisprudencia de un tribunal internacional cuyas resoluciones son de obligado respeto y cumplimiento por parte de </w:t>
      </w:r>
      <w:r w:rsidR="00753689">
        <w:rPr>
          <w:rFonts w:ascii="Arial" w:hAnsi="Arial" w:cs="Times New Roman (Cuerpo en alfa"/>
          <w:lang w:val="es-ES"/>
        </w:rPr>
        <w:t xml:space="preserve">todos </w:t>
      </w:r>
      <w:r w:rsidR="00AC303F">
        <w:rPr>
          <w:rFonts w:ascii="Arial" w:hAnsi="Arial" w:cs="Times New Roman (Cuerpo en alfa"/>
          <w:lang w:val="es-ES"/>
        </w:rPr>
        <w:t>los Estados que pertenecen al sujeto internacional en el que radic</w:t>
      </w:r>
      <w:r w:rsidR="00057DAE">
        <w:rPr>
          <w:rFonts w:ascii="Arial" w:hAnsi="Arial" w:cs="Times New Roman (Cuerpo en alfa"/>
          <w:lang w:val="es-ES"/>
        </w:rPr>
        <w:t>a</w:t>
      </w:r>
      <w:r w:rsidR="00AC303F">
        <w:rPr>
          <w:rFonts w:ascii="Arial" w:hAnsi="Arial" w:cs="Times New Roman (Cuerpo en alfa"/>
          <w:lang w:val="es-ES"/>
        </w:rPr>
        <w:t xml:space="preserve">. </w:t>
      </w:r>
      <w:r w:rsidR="004111DC" w:rsidRPr="008D3859">
        <w:rPr>
          <w:rFonts w:ascii="Arial" w:hAnsi="Arial" w:cs="Times New Roman (Cuerpo en alfa"/>
          <w:lang w:val="es-ES"/>
        </w:rPr>
        <w:t xml:space="preserve">Eso es lo que ocurre con la labor que ha </w:t>
      </w:r>
      <w:r w:rsidR="00AC303F">
        <w:rPr>
          <w:rFonts w:ascii="Arial" w:hAnsi="Arial" w:cs="Times New Roman (Cuerpo en alfa"/>
          <w:lang w:val="es-ES"/>
        </w:rPr>
        <w:t xml:space="preserve">venido </w:t>
      </w:r>
      <w:r w:rsidR="004111DC" w:rsidRPr="008D3859">
        <w:rPr>
          <w:rFonts w:ascii="Arial" w:hAnsi="Arial" w:cs="Times New Roman (Cuerpo en alfa"/>
          <w:lang w:val="es-ES"/>
        </w:rPr>
        <w:t>realiza</w:t>
      </w:r>
      <w:r w:rsidR="00AC303F">
        <w:rPr>
          <w:rFonts w:ascii="Arial" w:hAnsi="Arial" w:cs="Times New Roman (Cuerpo en alfa"/>
          <w:lang w:val="es-ES"/>
        </w:rPr>
        <w:t>n</w:t>
      </w:r>
      <w:r w:rsidR="004111DC" w:rsidRPr="008D3859">
        <w:rPr>
          <w:rFonts w:ascii="Arial" w:hAnsi="Arial" w:cs="Times New Roman (Cuerpo en alfa"/>
          <w:lang w:val="es-ES"/>
        </w:rPr>
        <w:t>do</w:t>
      </w:r>
      <w:r w:rsidR="00B80FCD">
        <w:rPr>
          <w:rFonts w:ascii="Arial" w:hAnsi="Arial" w:cs="Times New Roman (Cuerpo en alfa"/>
          <w:lang w:val="es-ES"/>
        </w:rPr>
        <w:t xml:space="preserve"> alrededor de los </w:t>
      </w:r>
      <w:r w:rsidR="004111DC" w:rsidRPr="008D3859">
        <w:rPr>
          <w:rFonts w:ascii="Arial" w:hAnsi="Arial" w:cs="Times New Roman (Cuerpo en alfa"/>
          <w:lang w:val="es-ES"/>
        </w:rPr>
        <w:t xml:space="preserve">últimos </w:t>
      </w:r>
      <w:r w:rsidR="00B80FCD">
        <w:rPr>
          <w:rFonts w:ascii="Arial" w:hAnsi="Arial" w:cs="Times New Roman (Cuerpo en alfa"/>
          <w:lang w:val="es-ES"/>
        </w:rPr>
        <w:t>cuar</w:t>
      </w:r>
      <w:r w:rsidR="004111DC" w:rsidRPr="008D3859">
        <w:rPr>
          <w:rFonts w:ascii="Arial" w:hAnsi="Arial" w:cs="Times New Roman (Cuerpo en alfa"/>
          <w:lang w:val="es-ES"/>
        </w:rPr>
        <w:t>enta años el Tribunal Europeo de Derechos Humanos</w:t>
      </w:r>
      <w:r w:rsidR="00501202">
        <w:rPr>
          <w:rFonts w:ascii="Arial" w:hAnsi="Arial" w:cs="Times New Roman (Cuerpo en alfa"/>
          <w:lang w:val="es-ES"/>
        </w:rPr>
        <w:t xml:space="preserve"> (en adelante TRIBUNAL o, también, TEDH)</w:t>
      </w:r>
      <w:r w:rsidR="00544B83">
        <w:rPr>
          <w:rStyle w:val="Refdenotaalpie"/>
          <w:rFonts w:ascii="Arial" w:hAnsi="Arial" w:cs="Times New Roman (Cuerpo en alfa"/>
          <w:lang w:val="es-ES"/>
        </w:rPr>
        <w:footnoteReference w:id="1"/>
      </w:r>
      <w:r w:rsidR="000259F5" w:rsidRPr="008D3859">
        <w:rPr>
          <w:rFonts w:ascii="Arial" w:hAnsi="Arial" w:cs="Times New Roman (Cuerpo en alfa"/>
          <w:lang w:val="es-ES"/>
        </w:rPr>
        <w:t xml:space="preserve"> </w:t>
      </w:r>
      <w:r w:rsidR="004111DC" w:rsidRPr="008D3859">
        <w:rPr>
          <w:rFonts w:ascii="Arial" w:hAnsi="Arial" w:cs="Times New Roman (Cuerpo en alfa"/>
          <w:lang w:val="es-ES"/>
        </w:rPr>
        <w:t>en el tema de los internamientos no voluntario</w:t>
      </w:r>
      <w:r w:rsidR="00F77D9E">
        <w:rPr>
          <w:rFonts w:ascii="Arial" w:hAnsi="Arial" w:cs="Times New Roman (Cuerpo en alfa"/>
          <w:lang w:val="es-ES"/>
        </w:rPr>
        <w:t>s</w:t>
      </w:r>
      <w:r w:rsidR="004111DC" w:rsidRPr="008D3859">
        <w:rPr>
          <w:rFonts w:ascii="Arial" w:hAnsi="Arial" w:cs="Times New Roman (Cuerpo en alfa"/>
          <w:lang w:val="es-ES"/>
        </w:rPr>
        <w:t xml:space="preserve"> de personas por razones de trastorno psíquico.</w:t>
      </w:r>
      <w:r w:rsidR="00820203">
        <w:rPr>
          <w:rFonts w:ascii="Arial" w:hAnsi="Arial" w:cs="Times New Roman (Cuerpo en alfa"/>
          <w:lang w:val="es-ES"/>
        </w:rPr>
        <w:t xml:space="preserve"> </w:t>
      </w:r>
      <w:r w:rsidR="00F45AF3">
        <w:rPr>
          <w:rFonts w:ascii="Arial" w:hAnsi="Arial" w:cs="Times New Roman (Cuerpo en alfa"/>
          <w:lang w:val="es-ES"/>
        </w:rPr>
        <w:t>En la primera parte de este trabajo</w:t>
      </w:r>
      <w:r w:rsidR="00FE7F04">
        <w:rPr>
          <w:rFonts w:ascii="Arial" w:hAnsi="Arial" w:cs="Times New Roman (Cuerpo en alfa"/>
          <w:lang w:val="es-ES"/>
        </w:rPr>
        <w:t xml:space="preserve"> nos centramos en el marco de garantías y derechos tanto sustantivos como procesales que ha venido a crear el TRIBUNAL con sus sentencias, mostrando con ello cuán importante ha sido su labor en la defensa de los derechos de los ciudadanos en </w:t>
      </w:r>
      <w:r w:rsidR="00E73364">
        <w:rPr>
          <w:rFonts w:ascii="Arial" w:hAnsi="Arial" w:cs="Times New Roman (Cuerpo en alfa"/>
          <w:lang w:val="es-ES"/>
        </w:rPr>
        <w:t xml:space="preserve">estas situaciones. </w:t>
      </w:r>
      <w:r w:rsidR="00FE7F04">
        <w:rPr>
          <w:rFonts w:ascii="Arial" w:hAnsi="Arial" w:cs="Times New Roman (Cuerpo en alfa"/>
          <w:lang w:val="es-ES"/>
        </w:rPr>
        <w:t xml:space="preserve">Las páginas finales </w:t>
      </w:r>
      <w:r w:rsidR="00E73364">
        <w:rPr>
          <w:rFonts w:ascii="Arial" w:hAnsi="Arial" w:cs="Times New Roman (Cuerpo en alfa"/>
          <w:lang w:val="es-ES"/>
        </w:rPr>
        <w:t xml:space="preserve">se centran en la situación particular de la legislación española sobre los trámites de internamiento y veremos en qué medida </w:t>
      </w:r>
      <w:r w:rsidR="001F347B">
        <w:rPr>
          <w:rFonts w:ascii="Arial" w:hAnsi="Arial" w:cs="Times New Roman (Cuerpo en alfa"/>
          <w:lang w:val="es-ES"/>
        </w:rPr>
        <w:t>podría</w:t>
      </w:r>
      <w:r w:rsidR="00E73364">
        <w:rPr>
          <w:rFonts w:ascii="Arial" w:hAnsi="Arial" w:cs="Times New Roman (Cuerpo en alfa"/>
          <w:lang w:val="es-ES"/>
        </w:rPr>
        <w:t xml:space="preserve"> verse afectada por la jurisprudencia del TRIBUNAL</w:t>
      </w:r>
      <w:r w:rsidR="00820203">
        <w:rPr>
          <w:rFonts w:ascii="Arial" w:hAnsi="Arial" w:cs="Times New Roman (Cuerpo en alfa"/>
          <w:lang w:val="es-ES"/>
        </w:rPr>
        <w:t xml:space="preserve"> de cara a futuras reformas.</w:t>
      </w:r>
    </w:p>
    <w:p w14:paraId="0349772C" w14:textId="77777777" w:rsidR="00820203" w:rsidRPr="00820203" w:rsidRDefault="00820203" w:rsidP="00820203">
      <w:pPr>
        <w:ind w:right="-1" w:firstLine="567"/>
        <w:jc w:val="both"/>
        <w:rPr>
          <w:rFonts w:ascii="Arial" w:hAnsi="Arial" w:cs="Times New Roman (Cuerpo en alfa"/>
          <w:lang w:val="es-ES"/>
        </w:rPr>
      </w:pPr>
    </w:p>
    <w:p w14:paraId="6967AA17" w14:textId="015E4F91" w:rsidR="0047429F" w:rsidRDefault="0047429F" w:rsidP="0025550C">
      <w:pPr>
        <w:ind w:right="-1" w:firstLine="567"/>
        <w:jc w:val="both"/>
        <w:rPr>
          <w:rFonts w:ascii="Arial" w:eastAsia="Times New Roman" w:hAnsi="Arial" w:cs="Arial"/>
          <w:lang w:val="es-ES" w:eastAsia="es-ES_tradnl"/>
        </w:rPr>
      </w:pPr>
      <w:r w:rsidRPr="008C5520">
        <w:rPr>
          <w:rFonts w:ascii="Arial" w:eastAsia="Times New Roman" w:hAnsi="Arial" w:cs="Arial"/>
          <w:lang w:val="es-ES" w:eastAsia="es-ES_tradnl"/>
        </w:rPr>
        <w:lastRenderedPageBreak/>
        <w:t>I. ASPECTOS</w:t>
      </w:r>
      <w:r w:rsidR="00A33449">
        <w:rPr>
          <w:rFonts w:ascii="Arial" w:eastAsia="Times New Roman" w:hAnsi="Arial" w:cs="Arial"/>
          <w:lang w:val="es-ES" w:eastAsia="es-ES_tradnl"/>
        </w:rPr>
        <w:t xml:space="preserve"> </w:t>
      </w:r>
      <w:r w:rsidRPr="008C5520">
        <w:rPr>
          <w:rFonts w:ascii="Arial" w:eastAsia="Times New Roman" w:hAnsi="Arial" w:cs="Arial"/>
          <w:lang w:val="es-ES" w:eastAsia="es-ES_tradnl"/>
        </w:rPr>
        <w:t>DE LOS PROCEDIMIENTOS DE INTERNAMIENTO RECOGIDOS POR LA JURISPRUDENCIA DEL TEDH</w:t>
      </w:r>
    </w:p>
    <w:p w14:paraId="3311BA0E" w14:textId="77777777" w:rsidR="008C5520" w:rsidRPr="008C5520" w:rsidRDefault="008C5520" w:rsidP="0025550C">
      <w:pPr>
        <w:ind w:right="-1" w:firstLine="567"/>
        <w:jc w:val="both"/>
        <w:rPr>
          <w:rFonts w:ascii="Arial" w:eastAsia="Times New Roman" w:hAnsi="Arial" w:cs="Arial"/>
          <w:sz w:val="10"/>
          <w:szCs w:val="10"/>
          <w:lang w:val="es-ES" w:eastAsia="es-ES_tradnl"/>
        </w:rPr>
      </w:pPr>
    </w:p>
    <w:p w14:paraId="4F63BAEA" w14:textId="53120785" w:rsidR="00451EC8" w:rsidRDefault="006F395F" w:rsidP="00451EC8">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El Consejo de Europa es una organización internacional de ámbito regional que tiene</w:t>
      </w:r>
      <w:r w:rsidR="003A386F">
        <w:rPr>
          <w:rFonts w:ascii="Arial" w:eastAsia="Times New Roman" w:hAnsi="Arial" w:cs="Arial"/>
          <w:lang w:val="es-ES" w:eastAsia="es-ES_tradnl"/>
        </w:rPr>
        <w:t xml:space="preserve"> como fin crear un espacio común basado en el respeto a la ley, los derechos humanos y los valores democráticos</w:t>
      </w:r>
      <w:r w:rsidR="00EE4943">
        <w:rPr>
          <w:rFonts w:ascii="Arial" w:eastAsia="Times New Roman" w:hAnsi="Arial" w:cs="Arial"/>
          <w:lang w:val="es-ES" w:eastAsia="es-ES_tradnl"/>
        </w:rPr>
        <w:t>,</w:t>
      </w:r>
      <w:r w:rsidR="00CA4F9D">
        <w:rPr>
          <w:rStyle w:val="Refdenotaalpie"/>
          <w:rFonts w:ascii="Arial" w:eastAsia="Times New Roman" w:hAnsi="Arial" w:cs="Arial"/>
          <w:lang w:val="es-ES" w:eastAsia="es-ES_tradnl"/>
        </w:rPr>
        <w:footnoteReference w:id="2"/>
      </w:r>
      <w:r w:rsidR="003A386F">
        <w:rPr>
          <w:rFonts w:ascii="Arial" w:eastAsia="Times New Roman" w:hAnsi="Arial" w:cs="Arial"/>
          <w:lang w:val="es-ES" w:eastAsia="es-ES_tradnl"/>
        </w:rPr>
        <w:t xml:space="preserve"> </w:t>
      </w:r>
      <w:r w:rsidR="00EE4943">
        <w:rPr>
          <w:rFonts w:ascii="Arial" w:eastAsia="Times New Roman" w:hAnsi="Arial" w:cs="Arial"/>
          <w:lang w:val="es-ES" w:eastAsia="es-ES_tradnl"/>
        </w:rPr>
        <w:t>valores y derechos definidos en el Convenio para la Protección de los Derechos Humanos y las Libertades Fundamentales (en adelante CONVENIO)</w:t>
      </w:r>
      <w:r w:rsidR="00864EB1">
        <w:rPr>
          <w:rFonts w:ascii="Arial" w:eastAsia="Times New Roman" w:hAnsi="Arial" w:cs="Arial"/>
          <w:lang w:val="es-ES" w:eastAsia="es-ES_tradnl"/>
        </w:rPr>
        <w:t>.</w:t>
      </w:r>
      <w:r w:rsidR="00864EB1">
        <w:rPr>
          <w:rStyle w:val="Refdenotaalpie"/>
          <w:rFonts w:ascii="Arial" w:eastAsia="Times New Roman" w:hAnsi="Arial" w:cs="Arial"/>
          <w:lang w:val="es-ES" w:eastAsia="es-ES_tradnl"/>
        </w:rPr>
        <w:footnoteReference w:id="3"/>
      </w:r>
      <w:r w:rsidR="00EE4943">
        <w:rPr>
          <w:rFonts w:ascii="Arial" w:eastAsia="Times New Roman" w:hAnsi="Arial" w:cs="Arial"/>
          <w:lang w:val="es-ES" w:eastAsia="es-ES_tradnl"/>
        </w:rPr>
        <w:t xml:space="preserve"> </w:t>
      </w:r>
      <w:r w:rsidR="003A386F">
        <w:rPr>
          <w:rFonts w:ascii="Arial" w:eastAsia="Times New Roman" w:hAnsi="Arial" w:cs="Arial"/>
          <w:lang w:val="es-ES" w:eastAsia="es-ES_tradnl"/>
        </w:rPr>
        <w:t>Los Estados que se adhieren</w:t>
      </w:r>
      <w:r w:rsidR="00EE4943">
        <w:rPr>
          <w:rFonts w:ascii="Arial" w:eastAsia="Times New Roman" w:hAnsi="Arial" w:cs="Arial"/>
          <w:lang w:val="es-ES" w:eastAsia="es-ES_tradnl"/>
        </w:rPr>
        <w:t xml:space="preserve"> al mismo</w:t>
      </w:r>
      <w:r w:rsidR="003A386F">
        <w:rPr>
          <w:rFonts w:ascii="Arial" w:eastAsia="Times New Roman" w:hAnsi="Arial" w:cs="Arial"/>
          <w:lang w:val="es-ES" w:eastAsia="es-ES_tradnl"/>
        </w:rPr>
        <w:t xml:space="preserve"> asumen el compromiso de respetar estos valores y de implementar en sus sistemas jurídicos las normas que hagan posible su cumplimiento. Pieza fundamental </w:t>
      </w:r>
      <w:r w:rsidR="00451EC8">
        <w:rPr>
          <w:rFonts w:ascii="Arial" w:eastAsia="Times New Roman" w:hAnsi="Arial" w:cs="Arial"/>
          <w:lang w:val="es-ES" w:eastAsia="es-ES_tradnl"/>
        </w:rPr>
        <w:t xml:space="preserve">en esta labor </w:t>
      </w:r>
      <w:r w:rsidR="003A386F">
        <w:rPr>
          <w:rFonts w:ascii="Arial" w:eastAsia="Times New Roman" w:hAnsi="Arial" w:cs="Arial"/>
          <w:lang w:val="es-ES" w:eastAsia="es-ES_tradnl"/>
        </w:rPr>
        <w:t>ha sido, y es, su Tribunal Europeo de Derechos Humanos.</w:t>
      </w:r>
      <w:r w:rsidR="007B2CAC">
        <w:rPr>
          <w:rStyle w:val="Refdenotaalpie"/>
          <w:rFonts w:ascii="Arial" w:eastAsia="Times New Roman" w:hAnsi="Arial" w:cs="Arial"/>
          <w:lang w:val="es-ES" w:eastAsia="es-ES_tradnl"/>
        </w:rPr>
        <w:footnoteReference w:id="4"/>
      </w:r>
      <w:r w:rsidR="003A386F">
        <w:rPr>
          <w:rFonts w:ascii="Arial" w:eastAsia="Times New Roman" w:hAnsi="Arial" w:cs="Arial"/>
          <w:lang w:val="es-ES" w:eastAsia="es-ES_tradnl"/>
        </w:rPr>
        <w:t xml:space="preserve"> Sus sentencias han venido a establecer unas pautas de comportamiento que, sin duda</w:t>
      </w:r>
      <w:r w:rsidR="00EE6067">
        <w:rPr>
          <w:rFonts w:ascii="Arial" w:eastAsia="Times New Roman" w:hAnsi="Arial" w:cs="Arial"/>
          <w:lang w:val="es-ES" w:eastAsia="es-ES_tradnl"/>
        </w:rPr>
        <w:t>,</w:t>
      </w:r>
      <w:r w:rsidR="003A386F">
        <w:rPr>
          <w:rFonts w:ascii="Arial" w:eastAsia="Times New Roman" w:hAnsi="Arial" w:cs="Arial"/>
          <w:lang w:val="es-ES" w:eastAsia="es-ES_tradnl"/>
        </w:rPr>
        <w:t xml:space="preserve"> han tenido un impacto </w:t>
      </w:r>
      <w:r w:rsidR="00AE67D6">
        <w:rPr>
          <w:rFonts w:ascii="Arial" w:eastAsia="Times New Roman" w:hAnsi="Arial" w:cs="Arial"/>
          <w:lang w:val="es-ES" w:eastAsia="es-ES_tradnl"/>
        </w:rPr>
        <w:t xml:space="preserve">evidente </w:t>
      </w:r>
      <w:r w:rsidR="003A386F">
        <w:rPr>
          <w:rFonts w:ascii="Arial" w:eastAsia="Times New Roman" w:hAnsi="Arial" w:cs="Arial"/>
          <w:lang w:val="es-ES" w:eastAsia="es-ES_tradnl"/>
        </w:rPr>
        <w:t>en las sociedades de los Estados miembros. En particular, su</w:t>
      </w:r>
      <w:r w:rsidR="00EE6067">
        <w:rPr>
          <w:rFonts w:ascii="Arial" w:eastAsia="Times New Roman" w:hAnsi="Arial" w:cs="Arial"/>
          <w:lang w:val="es-ES" w:eastAsia="es-ES_tradnl"/>
        </w:rPr>
        <w:t>s pronunciamientos</w:t>
      </w:r>
      <w:r w:rsidR="003A386F">
        <w:rPr>
          <w:rFonts w:ascii="Arial" w:eastAsia="Times New Roman" w:hAnsi="Arial" w:cs="Arial"/>
          <w:lang w:val="es-ES" w:eastAsia="es-ES_tradnl"/>
        </w:rPr>
        <w:t xml:space="preserve"> sobre los internamientos por razón de trastorno psíquico, ha</w:t>
      </w:r>
      <w:r w:rsidR="00E91BCF">
        <w:rPr>
          <w:rFonts w:ascii="Arial" w:eastAsia="Times New Roman" w:hAnsi="Arial" w:cs="Arial"/>
          <w:lang w:val="es-ES" w:eastAsia="es-ES_tradnl"/>
        </w:rPr>
        <w:t>n</w:t>
      </w:r>
      <w:r w:rsidR="003A386F">
        <w:rPr>
          <w:rFonts w:ascii="Arial" w:eastAsia="Times New Roman" w:hAnsi="Arial" w:cs="Arial"/>
          <w:lang w:val="es-ES" w:eastAsia="es-ES_tradnl"/>
        </w:rPr>
        <w:t xml:space="preserve"> tenido</w:t>
      </w:r>
      <w:r w:rsidR="007B2CAC">
        <w:rPr>
          <w:rFonts w:ascii="Arial" w:eastAsia="Times New Roman" w:hAnsi="Arial" w:cs="Arial"/>
          <w:lang w:val="es-ES" w:eastAsia="es-ES_tradnl"/>
        </w:rPr>
        <w:t xml:space="preserve"> influencia</w:t>
      </w:r>
      <w:r w:rsidR="003A386F">
        <w:rPr>
          <w:rFonts w:ascii="Arial" w:eastAsia="Times New Roman" w:hAnsi="Arial" w:cs="Arial"/>
          <w:lang w:val="es-ES" w:eastAsia="es-ES_tradnl"/>
        </w:rPr>
        <w:t xml:space="preserve"> direct</w:t>
      </w:r>
      <w:r w:rsidR="007B2CAC">
        <w:rPr>
          <w:rFonts w:ascii="Arial" w:eastAsia="Times New Roman" w:hAnsi="Arial" w:cs="Arial"/>
          <w:lang w:val="es-ES" w:eastAsia="es-ES_tradnl"/>
        </w:rPr>
        <w:t>a</w:t>
      </w:r>
      <w:r w:rsidR="003A386F">
        <w:rPr>
          <w:rFonts w:ascii="Arial" w:eastAsia="Times New Roman" w:hAnsi="Arial" w:cs="Arial"/>
          <w:lang w:val="es-ES" w:eastAsia="es-ES_tradnl"/>
        </w:rPr>
        <w:t xml:space="preserve"> tanto sobre la</w:t>
      </w:r>
      <w:r w:rsidR="00EE6067">
        <w:rPr>
          <w:rFonts w:ascii="Arial" w:eastAsia="Times New Roman" w:hAnsi="Arial" w:cs="Arial"/>
          <w:lang w:val="es-ES" w:eastAsia="es-ES_tradnl"/>
        </w:rPr>
        <w:t xml:space="preserve"> concepción de los mismos como sobre su</w:t>
      </w:r>
      <w:r w:rsidR="003A386F">
        <w:rPr>
          <w:rFonts w:ascii="Arial" w:eastAsia="Times New Roman" w:hAnsi="Arial" w:cs="Arial"/>
          <w:lang w:val="es-ES" w:eastAsia="es-ES_tradnl"/>
        </w:rPr>
        <w:t xml:space="preserve"> regulación </w:t>
      </w:r>
      <w:r w:rsidR="00EE6067">
        <w:rPr>
          <w:rFonts w:ascii="Arial" w:eastAsia="Times New Roman" w:hAnsi="Arial" w:cs="Arial"/>
          <w:lang w:val="es-ES" w:eastAsia="es-ES_tradnl"/>
        </w:rPr>
        <w:t>en los diferentes sistemas jurídicos europeos</w:t>
      </w:r>
      <w:r w:rsidR="00864EB1">
        <w:rPr>
          <w:rFonts w:ascii="Arial" w:eastAsia="Times New Roman" w:hAnsi="Arial" w:cs="Arial"/>
          <w:lang w:val="es-ES" w:eastAsia="es-ES_tradnl"/>
        </w:rPr>
        <w:t>, viniendo</w:t>
      </w:r>
      <w:r w:rsidR="00EE6067">
        <w:rPr>
          <w:rFonts w:ascii="Arial" w:eastAsia="Times New Roman" w:hAnsi="Arial" w:cs="Arial"/>
          <w:lang w:val="es-ES" w:eastAsia="es-ES_tradnl"/>
        </w:rPr>
        <w:t xml:space="preserve"> a crear toda una nueva visión sobre los internamientos de las personas y sobre los procedimientos que han de seguirse </w:t>
      </w:r>
      <w:r w:rsidR="00A640A7">
        <w:rPr>
          <w:rFonts w:ascii="Arial" w:eastAsia="Times New Roman" w:hAnsi="Arial" w:cs="Arial"/>
          <w:lang w:val="es-ES" w:eastAsia="es-ES_tradnl"/>
        </w:rPr>
        <w:t>con tal fin.</w:t>
      </w:r>
      <w:r w:rsidR="00EE6067">
        <w:rPr>
          <w:rFonts w:ascii="Arial" w:eastAsia="Times New Roman" w:hAnsi="Arial" w:cs="Arial"/>
          <w:lang w:val="es-ES" w:eastAsia="es-ES_tradnl"/>
        </w:rPr>
        <w:t xml:space="preserve"> </w:t>
      </w:r>
      <w:r w:rsidR="00A640A7">
        <w:rPr>
          <w:rFonts w:ascii="Arial" w:eastAsia="Times New Roman" w:hAnsi="Arial" w:cs="Arial"/>
          <w:lang w:val="es-ES" w:eastAsia="es-ES_tradnl"/>
        </w:rPr>
        <w:t>Sus sentencias</w:t>
      </w:r>
      <w:r w:rsidR="00AE67D6">
        <w:rPr>
          <w:rFonts w:ascii="Arial" w:eastAsia="Times New Roman" w:hAnsi="Arial" w:cs="Arial"/>
          <w:lang w:val="es-ES" w:eastAsia="es-ES_tradnl"/>
        </w:rPr>
        <w:t>,</w:t>
      </w:r>
      <w:r w:rsidR="00A640A7">
        <w:rPr>
          <w:rFonts w:ascii="Arial" w:eastAsia="Times New Roman" w:hAnsi="Arial" w:cs="Arial"/>
          <w:lang w:val="es-ES" w:eastAsia="es-ES_tradnl"/>
        </w:rPr>
        <w:t xml:space="preserve"> no solo han afectado a los Estados a los que pertenecían los demandantes</w:t>
      </w:r>
      <w:r w:rsidR="00864EB1">
        <w:rPr>
          <w:rFonts w:ascii="Arial" w:eastAsia="Times New Roman" w:hAnsi="Arial" w:cs="Arial"/>
          <w:lang w:val="es-ES" w:eastAsia="es-ES_tradnl"/>
        </w:rPr>
        <w:t xml:space="preserve"> que han propiciado con sus demandas tales sentencias</w:t>
      </w:r>
      <w:r w:rsidR="00A640A7">
        <w:rPr>
          <w:rFonts w:ascii="Arial" w:eastAsia="Times New Roman" w:hAnsi="Arial" w:cs="Arial"/>
          <w:lang w:val="es-ES" w:eastAsia="es-ES_tradnl"/>
        </w:rPr>
        <w:t xml:space="preserve">, sino a todos los Estados miembros. </w:t>
      </w:r>
    </w:p>
    <w:p w14:paraId="4383934F" w14:textId="468F8A09" w:rsidR="00451EC8" w:rsidRDefault="00451EC8" w:rsidP="00451EC8">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Es de destacar</w:t>
      </w:r>
      <w:r w:rsidRPr="008C5520">
        <w:rPr>
          <w:rFonts w:ascii="Arial" w:eastAsia="Times New Roman" w:hAnsi="Arial" w:cs="Arial"/>
          <w:lang w:val="es-ES" w:eastAsia="es-ES_tradnl"/>
        </w:rPr>
        <w:t xml:space="preserve"> el número de sentencias que se encuentran ligadas a los internamientos según el artículo 5.1.e). El buscador de la base de datos del TRIBUNAL</w:t>
      </w:r>
      <w:r>
        <w:rPr>
          <w:rStyle w:val="Refdenotaalpie"/>
          <w:rFonts w:ascii="Arial" w:eastAsia="Times New Roman" w:hAnsi="Arial" w:cs="Arial"/>
          <w:lang w:val="es-ES" w:eastAsia="es-ES_tradnl"/>
        </w:rPr>
        <w:footnoteReference w:id="5"/>
      </w:r>
      <w:r w:rsidRPr="008C5520">
        <w:rPr>
          <w:rFonts w:ascii="Arial" w:eastAsia="Times New Roman" w:hAnsi="Arial" w:cs="Arial"/>
          <w:lang w:val="es-ES" w:eastAsia="es-ES_tradnl"/>
        </w:rPr>
        <w:t xml:space="preserve"> ofrece más de ochenta resultados, variando </w:t>
      </w:r>
      <w:r w:rsidR="00AE67D6">
        <w:rPr>
          <w:rFonts w:ascii="Arial" w:eastAsia="Times New Roman" w:hAnsi="Arial" w:cs="Arial"/>
          <w:lang w:val="es-ES" w:eastAsia="es-ES_tradnl"/>
        </w:rPr>
        <w:t>su</w:t>
      </w:r>
      <w:r w:rsidRPr="008C5520">
        <w:rPr>
          <w:rFonts w:ascii="Arial" w:eastAsia="Times New Roman" w:hAnsi="Arial" w:cs="Arial"/>
          <w:lang w:val="es-ES" w:eastAsia="es-ES_tradnl"/>
        </w:rPr>
        <w:t xml:space="preserve"> número exacto </w:t>
      </w:r>
      <w:r w:rsidR="00AE67D6">
        <w:rPr>
          <w:rFonts w:ascii="Arial" w:eastAsia="Times New Roman" w:hAnsi="Arial" w:cs="Arial"/>
          <w:lang w:val="es-ES" w:eastAsia="es-ES_tradnl"/>
        </w:rPr>
        <w:t>de</w:t>
      </w:r>
      <w:r>
        <w:rPr>
          <w:rFonts w:ascii="Arial" w:eastAsia="Times New Roman" w:hAnsi="Arial" w:cs="Arial"/>
          <w:lang w:val="es-ES" w:eastAsia="es-ES_tradnl"/>
        </w:rPr>
        <w:t xml:space="preserve"> </w:t>
      </w:r>
      <w:r w:rsidRPr="008C5520">
        <w:rPr>
          <w:rFonts w:ascii="Arial" w:eastAsia="Times New Roman" w:hAnsi="Arial" w:cs="Arial"/>
          <w:lang w:val="es-ES" w:eastAsia="es-ES_tradnl"/>
        </w:rPr>
        <w:t xml:space="preserve">la perspectiva </w:t>
      </w:r>
      <w:r w:rsidR="00AE67D6">
        <w:rPr>
          <w:rFonts w:ascii="Arial" w:eastAsia="Times New Roman" w:hAnsi="Arial" w:cs="Arial"/>
          <w:lang w:val="es-ES" w:eastAsia="es-ES_tradnl"/>
        </w:rPr>
        <w:t xml:space="preserve">que adopte </w:t>
      </w:r>
      <w:r w:rsidRPr="008C5520">
        <w:rPr>
          <w:rFonts w:ascii="Arial" w:eastAsia="Times New Roman" w:hAnsi="Arial" w:cs="Arial"/>
          <w:lang w:val="es-ES" w:eastAsia="es-ES_tradnl"/>
        </w:rPr>
        <w:t xml:space="preserve">el lector, quien puede rebajar </w:t>
      </w:r>
      <w:r>
        <w:rPr>
          <w:rFonts w:ascii="Arial" w:eastAsia="Times New Roman" w:hAnsi="Arial" w:cs="Arial"/>
          <w:lang w:val="es-ES" w:eastAsia="es-ES_tradnl"/>
        </w:rPr>
        <w:t>o aumentar dicho</w:t>
      </w:r>
      <w:r w:rsidRPr="008C5520">
        <w:rPr>
          <w:rFonts w:ascii="Arial" w:eastAsia="Times New Roman" w:hAnsi="Arial" w:cs="Arial"/>
          <w:lang w:val="es-ES" w:eastAsia="es-ES_tradnl"/>
        </w:rPr>
        <w:t xml:space="preserve"> número atendiendo </w:t>
      </w:r>
      <w:r>
        <w:rPr>
          <w:rFonts w:ascii="Arial" w:eastAsia="Times New Roman" w:hAnsi="Arial" w:cs="Arial"/>
          <w:lang w:val="es-ES" w:eastAsia="es-ES_tradnl"/>
        </w:rPr>
        <w:t xml:space="preserve">estrictamente a </w:t>
      </w:r>
      <w:r w:rsidR="009D6DC4">
        <w:rPr>
          <w:rFonts w:ascii="Arial" w:eastAsia="Times New Roman" w:hAnsi="Arial" w:cs="Arial"/>
          <w:lang w:val="es-ES" w:eastAsia="es-ES_tradnl"/>
        </w:rPr>
        <w:t xml:space="preserve">las </w:t>
      </w:r>
      <w:r>
        <w:rPr>
          <w:rFonts w:ascii="Arial" w:eastAsia="Times New Roman" w:hAnsi="Arial" w:cs="Arial"/>
          <w:lang w:val="es-ES" w:eastAsia="es-ES_tradnl"/>
        </w:rPr>
        <w:t xml:space="preserve">sentencias que estiman violado el citado precepto, a </w:t>
      </w:r>
      <w:r w:rsidR="009D6DC4">
        <w:rPr>
          <w:rFonts w:ascii="Arial" w:eastAsia="Times New Roman" w:hAnsi="Arial" w:cs="Arial"/>
          <w:lang w:val="es-ES" w:eastAsia="es-ES_tradnl"/>
        </w:rPr>
        <w:t xml:space="preserve">los </w:t>
      </w:r>
      <w:r>
        <w:rPr>
          <w:rFonts w:ascii="Arial" w:eastAsia="Times New Roman" w:hAnsi="Arial" w:cs="Arial"/>
          <w:lang w:val="es-ES" w:eastAsia="es-ES_tradnl"/>
        </w:rPr>
        <w:t>pronunciamientos en los que considera que tal violación no se ha producido o, incluso, añadiendo a l</w:t>
      </w:r>
      <w:r w:rsidR="00AE67D6">
        <w:rPr>
          <w:rFonts w:ascii="Arial" w:eastAsia="Times New Roman" w:hAnsi="Arial" w:cs="Arial"/>
          <w:lang w:val="es-ES" w:eastAsia="es-ES_tradnl"/>
        </w:rPr>
        <w:t>o</w:t>
      </w:r>
      <w:r>
        <w:rPr>
          <w:rFonts w:ascii="Arial" w:eastAsia="Times New Roman" w:hAnsi="Arial" w:cs="Arial"/>
          <w:lang w:val="es-ES" w:eastAsia="es-ES_tradnl"/>
        </w:rPr>
        <w:t xml:space="preserve">s anteriores </w:t>
      </w:r>
      <w:r w:rsidR="00AE67D6">
        <w:rPr>
          <w:rFonts w:ascii="Arial" w:eastAsia="Times New Roman" w:hAnsi="Arial" w:cs="Arial"/>
          <w:lang w:val="es-ES" w:eastAsia="es-ES_tradnl"/>
        </w:rPr>
        <w:t>los de sentencias</w:t>
      </w:r>
      <w:r>
        <w:rPr>
          <w:rFonts w:ascii="Arial" w:eastAsia="Times New Roman" w:hAnsi="Arial" w:cs="Arial"/>
          <w:lang w:val="es-ES" w:eastAsia="es-ES_tradnl"/>
        </w:rPr>
        <w:t xml:space="preserve"> centrad</w:t>
      </w:r>
      <w:r w:rsidR="00AE67D6">
        <w:rPr>
          <w:rFonts w:ascii="Arial" w:eastAsia="Times New Roman" w:hAnsi="Arial" w:cs="Arial"/>
          <w:lang w:val="es-ES" w:eastAsia="es-ES_tradnl"/>
        </w:rPr>
        <w:t>a</w:t>
      </w:r>
      <w:r>
        <w:rPr>
          <w:rFonts w:ascii="Arial" w:eastAsia="Times New Roman" w:hAnsi="Arial" w:cs="Arial"/>
          <w:lang w:val="es-ES" w:eastAsia="es-ES_tradnl"/>
        </w:rPr>
        <w:t>s en otras</w:t>
      </w:r>
      <w:r w:rsidR="009D6DC4">
        <w:rPr>
          <w:rFonts w:ascii="Arial" w:eastAsia="Times New Roman" w:hAnsi="Arial" w:cs="Arial"/>
          <w:lang w:val="es-ES" w:eastAsia="es-ES_tradnl"/>
        </w:rPr>
        <w:t xml:space="preserve"> </w:t>
      </w:r>
      <w:r>
        <w:rPr>
          <w:rFonts w:ascii="Arial" w:eastAsia="Times New Roman" w:hAnsi="Arial" w:cs="Arial"/>
          <w:lang w:val="es-ES" w:eastAsia="es-ES_tradnl"/>
        </w:rPr>
        <w:t>violaciones del CONVENIO</w:t>
      </w:r>
      <w:r w:rsidR="00AE67D6">
        <w:rPr>
          <w:rFonts w:ascii="Arial" w:eastAsia="Times New Roman" w:hAnsi="Arial" w:cs="Arial"/>
          <w:lang w:val="es-ES" w:eastAsia="es-ES_tradnl"/>
        </w:rPr>
        <w:t>, pero cuy</w:t>
      </w:r>
      <w:r w:rsidR="00A33C2D">
        <w:rPr>
          <w:rFonts w:ascii="Arial" w:eastAsia="Times New Roman" w:hAnsi="Arial" w:cs="Arial"/>
          <w:lang w:val="es-ES" w:eastAsia="es-ES_tradnl"/>
        </w:rPr>
        <w:t>o</w:t>
      </w:r>
      <w:r w:rsidR="00AE67D6">
        <w:rPr>
          <w:rFonts w:ascii="Arial" w:eastAsia="Times New Roman" w:hAnsi="Arial" w:cs="Arial"/>
          <w:lang w:val="es-ES" w:eastAsia="es-ES_tradnl"/>
        </w:rPr>
        <w:t xml:space="preserve">s </w:t>
      </w:r>
      <w:r w:rsidR="00A33C2D">
        <w:rPr>
          <w:rFonts w:ascii="Arial" w:eastAsia="Times New Roman" w:hAnsi="Arial" w:cs="Arial"/>
          <w:lang w:val="es-ES" w:eastAsia="es-ES_tradnl"/>
        </w:rPr>
        <w:t>argumentos y conclusiones</w:t>
      </w:r>
      <w:r w:rsidR="00AE67D6">
        <w:rPr>
          <w:rFonts w:ascii="Arial" w:eastAsia="Times New Roman" w:hAnsi="Arial" w:cs="Arial"/>
          <w:lang w:val="es-ES" w:eastAsia="es-ES_tradnl"/>
        </w:rPr>
        <w:t xml:space="preserve"> pueden ser </w:t>
      </w:r>
      <w:r w:rsidR="00A33C2D">
        <w:rPr>
          <w:rFonts w:ascii="Arial" w:eastAsia="Times New Roman" w:hAnsi="Arial" w:cs="Arial"/>
          <w:lang w:val="es-ES" w:eastAsia="es-ES_tradnl"/>
        </w:rPr>
        <w:t xml:space="preserve">de aplicación igualmente en el </w:t>
      </w:r>
      <w:r w:rsidR="00AE67D6">
        <w:rPr>
          <w:rFonts w:ascii="Arial" w:eastAsia="Times New Roman" w:hAnsi="Arial" w:cs="Arial"/>
          <w:lang w:val="es-ES" w:eastAsia="es-ES_tradnl"/>
        </w:rPr>
        <w:t xml:space="preserve">marco </w:t>
      </w:r>
      <w:r>
        <w:rPr>
          <w:rFonts w:ascii="Arial" w:eastAsia="Times New Roman" w:hAnsi="Arial" w:cs="Arial"/>
          <w:lang w:val="es-ES" w:eastAsia="es-ES_tradnl"/>
        </w:rPr>
        <w:t>jurídico de los internamientos. En este trabajo nos ceñimos a las primeras, aunque, en algún caso, hemos traído a colación alguna perteneciente al tercer grupo.</w:t>
      </w:r>
    </w:p>
    <w:p w14:paraId="199C2286" w14:textId="77777777" w:rsidR="006F395F" w:rsidRPr="00F563D8" w:rsidRDefault="006F395F" w:rsidP="005F1E43">
      <w:pPr>
        <w:ind w:right="-1" w:firstLine="284"/>
        <w:jc w:val="both"/>
        <w:rPr>
          <w:rFonts w:ascii="Arial" w:eastAsia="Times New Roman" w:hAnsi="Arial" w:cs="Arial"/>
          <w:sz w:val="10"/>
          <w:szCs w:val="10"/>
          <w:lang w:val="es-ES" w:eastAsia="es-ES_tradnl"/>
        </w:rPr>
      </w:pPr>
    </w:p>
    <w:p w14:paraId="0CE56D00" w14:textId="56BC8737" w:rsidR="005F1E43" w:rsidRPr="001745D8" w:rsidRDefault="005F1E43" w:rsidP="005F1E43">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1. Pronunciamientos de carácter general</w:t>
      </w:r>
    </w:p>
    <w:p w14:paraId="58936307" w14:textId="73B6C636" w:rsidR="005F1E43" w:rsidRDefault="005F1E43" w:rsidP="005F1E43">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a)</w:t>
      </w:r>
      <w:r w:rsidRPr="0091794F">
        <w:rPr>
          <w:rFonts w:ascii="Arial" w:eastAsia="Times New Roman" w:hAnsi="Arial" w:cs="Arial"/>
          <w:lang w:val="es-ES" w:eastAsia="es-ES_tradnl"/>
        </w:rPr>
        <w:t xml:space="preserve"> </w:t>
      </w:r>
      <w:r w:rsidR="003A520C">
        <w:rPr>
          <w:rFonts w:ascii="Arial" w:eastAsia="Times New Roman" w:hAnsi="Arial" w:cs="Arial"/>
          <w:lang w:val="es-ES" w:eastAsia="es-ES_tradnl"/>
        </w:rPr>
        <w:t>Visión del internamiento en el CONVENIO y en la jurisprudencia del TEDH</w:t>
      </w:r>
    </w:p>
    <w:p w14:paraId="5FE336A2" w14:textId="523F84A1" w:rsidR="001745D8" w:rsidRPr="008C5520" w:rsidRDefault="00451EC8" w:rsidP="00006EF4">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C</w:t>
      </w:r>
      <w:r w:rsidR="00006EF4">
        <w:rPr>
          <w:rFonts w:ascii="Arial" w:eastAsia="Times New Roman" w:hAnsi="Arial" w:cs="Arial"/>
          <w:lang w:val="es-ES" w:eastAsia="es-ES_tradnl"/>
        </w:rPr>
        <w:t>onvien</w:t>
      </w:r>
      <w:r w:rsidR="00C35414">
        <w:rPr>
          <w:rFonts w:ascii="Arial" w:eastAsia="Times New Roman" w:hAnsi="Arial" w:cs="Arial"/>
          <w:lang w:val="es-ES" w:eastAsia="es-ES_tradnl"/>
        </w:rPr>
        <w:t>e</w:t>
      </w:r>
      <w:r w:rsidR="00006EF4">
        <w:rPr>
          <w:rFonts w:ascii="Arial" w:eastAsia="Times New Roman" w:hAnsi="Arial" w:cs="Arial"/>
          <w:lang w:val="es-ES" w:eastAsia="es-ES_tradnl"/>
        </w:rPr>
        <w:t xml:space="preserve"> </w:t>
      </w:r>
      <w:r>
        <w:rPr>
          <w:rFonts w:ascii="Arial" w:eastAsia="Times New Roman" w:hAnsi="Arial" w:cs="Arial"/>
          <w:lang w:val="es-ES" w:eastAsia="es-ES_tradnl"/>
        </w:rPr>
        <w:t xml:space="preserve">comenzar este epígrafe </w:t>
      </w:r>
      <w:r w:rsidR="00006EF4">
        <w:rPr>
          <w:rFonts w:ascii="Arial" w:eastAsia="Times New Roman" w:hAnsi="Arial" w:cs="Arial"/>
          <w:lang w:val="es-ES" w:eastAsia="es-ES_tradnl"/>
        </w:rPr>
        <w:t>hac</w:t>
      </w:r>
      <w:r>
        <w:rPr>
          <w:rFonts w:ascii="Arial" w:eastAsia="Times New Roman" w:hAnsi="Arial" w:cs="Arial"/>
          <w:lang w:val="es-ES" w:eastAsia="es-ES_tradnl"/>
        </w:rPr>
        <w:t>iendo</w:t>
      </w:r>
      <w:r w:rsidR="00006EF4">
        <w:rPr>
          <w:rFonts w:ascii="Arial" w:eastAsia="Times New Roman" w:hAnsi="Arial" w:cs="Arial"/>
          <w:lang w:val="es-ES" w:eastAsia="es-ES_tradnl"/>
        </w:rPr>
        <w:t xml:space="preserve"> un par de </w:t>
      </w:r>
      <w:r w:rsidR="00C35414">
        <w:rPr>
          <w:rFonts w:ascii="Arial" w:eastAsia="Times New Roman" w:hAnsi="Arial" w:cs="Arial"/>
          <w:lang w:val="es-ES" w:eastAsia="es-ES_tradnl"/>
        </w:rPr>
        <w:t>puntualizaciones</w:t>
      </w:r>
      <w:r w:rsidR="00006EF4">
        <w:rPr>
          <w:rFonts w:ascii="Arial" w:eastAsia="Times New Roman" w:hAnsi="Arial" w:cs="Arial"/>
          <w:lang w:val="es-ES" w:eastAsia="es-ES_tradnl"/>
        </w:rPr>
        <w:t xml:space="preserve"> que</w:t>
      </w:r>
      <w:r>
        <w:rPr>
          <w:rFonts w:ascii="Arial" w:eastAsia="Times New Roman" w:hAnsi="Arial" w:cs="Arial"/>
          <w:lang w:val="es-ES" w:eastAsia="es-ES_tradnl"/>
        </w:rPr>
        <w:t xml:space="preserve"> </w:t>
      </w:r>
      <w:r w:rsidR="00006EF4">
        <w:rPr>
          <w:rFonts w:ascii="Arial" w:eastAsia="Times New Roman" w:hAnsi="Arial" w:cs="Arial"/>
          <w:lang w:val="es-ES" w:eastAsia="es-ES_tradnl"/>
        </w:rPr>
        <w:t>sirv</w:t>
      </w:r>
      <w:r w:rsidR="00C35414">
        <w:rPr>
          <w:rFonts w:ascii="Arial" w:eastAsia="Times New Roman" w:hAnsi="Arial" w:cs="Arial"/>
          <w:lang w:val="es-ES" w:eastAsia="es-ES_tradnl"/>
        </w:rPr>
        <w:t>e</w:t>
      </w:r>
      <w:r w:rsidR="00006EF4">
        <w:rPr>
          <w:rFonts w:ascii="Arial" w:eastAsia="Times New Roman" w:hAnsi="Arial" w:cs="Arial"/>
          <w:lang w:val="es-ES" w:eastAsia="es-ES_tradnl"/>
        </w:rPr>
        <w:t xml:space="preserve">n para centrar el tema. De un lado es importante tener presente </w:t>
      </w:r>
      <w:r w:rsidR="001745D8" w:rsidRPr="008C5520">
        <w:rPr>
          <w:rFonts w:ascii="Arial" w:eastAsia="Times New Roman" w:hAnsi="Arial" w:cs="Arial"/>
          <w:lang w:val="es-ES" w:eastAsia="es-ES_tradnl"/>
        </w:rPr>
        <w:t xml:space="preserve">cuál es la </w:t>
      </w:r>
      <w:r w:rsidR="001745D8">
        <w:rPr>
          <w:rFonts w:ascii="Arial" w:eastAsia="Times New Roman" w:hAnsi="Arial" w:cs="Arial"/>
          <w:lang w:val="es-ES" w:eastAsia="es-ES_tradnl"/>
        </w:rPr>
        <w:t>base</w:t>
      </w:r>
      <w:r w:rsidR="001745D8" w:rsidRPr="008C5520">
        <w:rPr>
          <w:rFonts w:ascii="Arial" w:eastAsia="Times New Roman" w:hAnsi="Arial" w:cs="Arial"/>
          <w:lang w:val="es-ES" w:eastAsia="es-ES_tradnl"/>
        </w:rPr>
        <w:t xml:space="preserve"> legal que ha </w:t>
      </w:r>
      <w:r w:rsidR="00006EF4">
        <w:rPr>
          <w:rFonts w:ascii="Arial" w:eastAsia="Times New Roman" w:hAnsi="Arial" w:cs="Arial"/>
          <w:lang w:val="es-ES" w:eastAsia="es-ES_tradnl"/>
        </w:rPr>
        <w:t xml:space="preserve">justificado los pronunciamientos del </w:t>
      </w:r>
      <w:r w:rsidR="001745D8" w:rsidRPr="008C5520">
        <w:rPr>
          <w:rFonts w:ascii="Arial" w:eastAsia="Times New Roman" w:hAnsi="Arial" w:cs="Arial"/>
          <w:lang w:val="es-ES" w:eastAsia="es-ES_tradnl"/>
        </w:rPr>
        <w:t xml:space="preserve">TEDH </w:t>
      </w:r>
      <w:r w:rsidR="00006EF4">
        <w:rPr>
          <w:rFonts w:ascii="Arial" w:eastAsia="Times New Roman" w:hAnsi="Arial" w:cs="Arial"/>
          <w:lang w:val="es-ES" w:eastAsia="es-ES_tradnl"/>
        </w:rPr>
        <w:t xml:space="preserve">en materia de internamientos. Frente a lo que a menudo suele pensarse, no </w:t>
      </w:r>
      <w:r w:rsidR="001745D8">
        <w:rPr>
          <w:rFonts w:ascii="Arial" w:eastAsia="Times New Roman" w:hAnsi="Arial" w:cs="Arial"/>
          <w:lang w:val="es-ES" w:eastAsia="es-ES_tradnl"/>
        </w:rPr>
        <w:t xml:space="preserve">tiene que ver con ninguna disposición relacionada con la enfermedad mental, sino </w:t>
      </w:r>
      <w:r w:rsidR="00006EF4">
        <w:rPr>
          <w:rFonts w:ascii="Arial" w:eastAsia="Times New Roman" w:hAnsi="Arial" w:cs="Arial"/>
          <w:lang w:val="es-ES" w:eastAsia="es-ES_tradnl"/>
        </w:rPr>
        <w:t xml:space="preserve">con el derecho a la libertad de las personas. Concretamente </w:t>
      </w:r>
      <w:r w:rsidR="00C35414">
        <w:rPr>
          <w:rFonts w:ascii="Arial" w:eastAsia="Times New Roman" w:hAnsi="Arial" w:cs="Arial"/>
          <w:lang w:val="es-ES" w:eastAsia="es-ES_tradnl"/>
        </w:rPr>
        <w:t>se trata d</w:t>
      </w:r>
      <w:r w:rsidR="001745D8" w:rsidRPr="008C5520">
        <w:rPr>
          <w:rFonts w:ascii="Arial" w:eastAsia="Times New Roman" w:hAnsi="Arial" w:cs="Arial"/>
          <w:lang w:val="es-ES" w:eastAsia="es-ES_tradnl"/>
        </w:rPr>
        <w:t xml:space="preserve">el apartado </w:t>
      </w:r>
      <w:r w:rsidR="001745D8">
        <w:rPr>
          <w:rFonts w:ascii="Arial" w:eastAsia="Times New Roman" w:hAnsi="Arial" w:cs="Arial"/>
          <w:lang w:val="es-ES" w:eastAsia="es-ES_tradnl"/>
        </w:rPr>
        <w:t>1</w:t>
      </w:r>
      <w:r w:rsidR="001745D8" w:rsidRPr="008C5520">
        <w:rPr>
          <w:rFonts w:ascii="Arial" w:eastAsia="Times New Roman" w:hAnsi="Arial" w:cs="Arial"/>
          <w:lang w:val="es-ES" w:eastAsia="es-ES_tradnl"/>
        </w:rPr>
        <w:t>.e)</w:t>
      </w:r>
      <w:r w:rsidR="001745D8">
        <w:rPr>
          <w:rFonts w:ascii="Arial" w:eastAsia="Times New Roman" w:hAnsi="Arial" w:cs="Arial"/>
          <w:lang w:val="es-ES" w:eastAsia="es-ES_tradnl"/>
        </w:rPr>
        <w:t xml:space="preserve"> del artículo 5</w:t>
      </w:r>
      <w:r w:rsidR="001745D8" w:rsidRPr="008C5520">
        <w:rPr>
          <w:rFonts w:ascii="Arial" w:eastAsia="Times New Roman" w:hAnsi="Arial" w:cs="Arial"/>
          <w:lang w:val="es-ES" w:eastAsia="es-ES_tradnl"/>
        </w:rPr>
        <w:t xml:space="preserve"> del CONVENIO. </w:t>
      </w:r>
      <w:r w:rsidR="00006EF4">
        <w:rPr>
          <w:rFonts w:ascii="Arial" w:eastAsia="Times New Roman" w:hAnsi="Arial" w:cs="Arial"/>
          <w:lang w:val="es-ES" w:eastAsia="es-ES_tradnl"/>
        </w:rPr>
        <w:t>S</w:t>
      </w:r>
      <w:r w:rsidR="001745D8" w:rsidRPr="008C5520">
        <w:rPr>
          <w:rFonts w:ascii="Arial" w:eastAsia="Times New Roman" w:hAnsi="Arial" w:cs="Arial"/>
          <w:lang w:val="es-ES" w:eastAsia="es-ES_tradnl"/>
        </w:rPr>
        <w:t xml:space="preserve">u número 1 </w:t>
      </w:r>
      <w:r w:rsidR="00006EF4">
        <w:rPr>
          <w:rFonts w:ascii="Arial" w:eastAsia="Times New Roman" w:hAnsi="Arial" w:cs="Arial"/>
          <w:lang w:val="es-ES" w:eastAsia="es-ES_tradnl"/>
        </w:rPr>
        <w:t xml:space="preserve">tiene </w:t>
      </w:r>
      <w:r w:rsidR="001745D8" w:rsidRPr="008C5520">
        <w:rPr>
          <w:rFonts w:ascii="Arial" w:eastAsia="Times New Roman" w:hAnsi="Arial" w:cs="Arial"/>
          <w:lang w:val="es-ES" w:eastAsia="es-ES_tradnl"/>
        </w:rPr>
        <w:t>el siguiente</w:t>
      </w:r>
      <w:r w:rsidR="00006EF4">
        <w:rPr>
          <w:rFonts w:ascii="Arial" w:eastAsia="Times New Roman" w:hAnsi="Arial" w:cs="Arial"/>
          <w:lang w:val="es-ES" w:eastAsia="es-ES_tradnl"/>
        </w:rPr>
        <w:t xml:space="preserve"> tenor inicial</w:t>
      </w:r>
      <w:r w:rsidR="001745D8" w:rsidRPr="008C5520">
        <w:rPr>
          <w:rFonts w:ascii="Arial" w:eastAsia="Times New Roman" w:hAnsi="Arial" w:cs="Arial"/>
          <w:lang w:val="es-ES" w:eastAsia="es-ES_tradnl"/>
        </w:rPr>
        <w:t>:</w:t>
      </w:r>
    </w:p>
    <w:p w14:paraId="2AB3BC5F" w14:textId="77777777" w:rsidR="001745D8" w:rsidRPr="008C5520" w:rsidRDefault="001745D8" w:rsidP="001745D8">
      <w:pPr>
        <w:ind w:right="-1"/>
        <w:jc w:val="both"/>
        <w:rPr>
          <w:rFonts w:ascii="Arial" w:eastAsia="Times New Roman" w:hAnsi="Arial" w:cs="Arial"/>
          <w:sz w:val="10"/>
          <w:szCs w:val="10"/>
          <w:lang w:val="es-ES" w:eastAsia="es-ES_tradnl"/>
        </w:rPr>
      </w:pPr>
    </w:p>
    <w:p w14:paraId="4C4E41FB" w14:textId="77777777" w:rsidR="001745D8" w:rsidRPr="00683968" w:rsidRDefault="001745D8" w:rsidP="001745D8">
      <w:pPr>
        <w:ind w:left="284" w:right="-1"/>
        <w:jc w:val="both"/>
        <w:rPr>
          <w:rFonts w:ascii="Arial" w:eastAsia="Times New Roman" w:hAnsi="Arial" w:cs="Arial"/>
          <w:sz w:val="22"/>
          <w:szCs w:val="22"/>
          <w:lang w:val="es-ES" w:eastAsia="es-ES_tradnl"/>
        </w:rPr>
      </w:pPr>
      <w:r w:rsidRPr="008C5520">
        <w:rPr>
          <w:rFonts w:ascii="Arial" w:eastAsia="Times New Roman" w:hAnsi="Arial" w:cs="Arial"/>
          <w:lang w:val="es-ES" w:eastAsia="es-ES_tradnl"/>
        </w:rPr>
        <w:t xml:space="preserve"> </w:t>
      </w:r>
      <w:r w:rsidRPr="00683968">
        <w:rPr>
          <w:rFonts w:ascii="Arial" w:eastAsia="Times New Roman" w:hAnsi="Arial" w:cs="Arial"/>
          <w:sz w:val="22"/>
          <w:szCs w:val="22"/>
          <w:lang w:val="es-ES" w:eastAsia="es-ES_tradnl"/>
        </w:rPr>
        <w:t>«</w:t>
      </w:r>
      <w:r w:rsidRPr="00683968">
        <w:rPr>
          <w:rFonts w:ascii="Arial" w:eastAsia="Times New Roman" w:hAnsi="Arial" w:cs="Arial"/>
          <w:sz w:val="22"/>
          <w:szCs w:val="22"/>
          <w:lang w:eastAsia="es-ES_tradnl"/>
        </w:rPr>
        <w:t>Toda persona tiene derecho a la libertad y a la seguridad.</w:t>
      </w:r>
      <w:r w:rsidRPr="00683968">
        <w:rPr>
          <w:rFonts w:ascii="Times New Roman" w:eastAsia="Times New Roman" w:hAnsi="Times New Roman" w:cs="Times New Roman"/>
          <w:sz w:val="22"/>
          <w:szCs w:val="22"/>
          <w:lang w:val="es-ES" w:eastAsia="es-ES_tradnl"/>
        </w:rPr>
        <w:t xml:space="preserve"> </w:t>
      </w:r>
      <w:r w:rsidRPr="00683968">
        <w:rPr>
          <w:rFonts w:ascii="Arial" w:eastAsia="Times New Roman" w:hAnsi="Arial" w:cs="Arial"/>
          <w:sz w:val="22"/>
          <w:szCs w:val="22"/>
          <w:lang w:eastAsia="es-ES_tradnl"/>
        </w:rPr>
        <w:t>Nadie puede ser privado de su libertad, salvo en los casos siguientes</w:t>
      </w:r>
      <w:r w:rsidRPr="00683968">
        <w:rPr>
          <w:rFonts w:ascii="Times New Roman" w:eastAsia="Times New Roman" w:hAnsi="Times New Roman" w:cs="Times New Roman"/>
          <w:sz w:val="22"/>
          <w:szCs w:val="22"/>
          <w:lang w:val="es-ES" w:eastAsia="es-ES_tradnl"/>
        </w:rPr>
        <w:t xml:space="preserve"> </w:t>
      </w:r>
      <w:r w:rsidRPr="00683968">
        <w:rPr>
          <w:rFonts w:ascii="Arial" w:eastAsia="Times New Roman" w:hAnsi="Arial" w:cs="Arial"/>
          <w:sz w:val="22"/>
          <w:szCs w:val="22"/>
          <w:lang w:eastAsia="es-ES_tradnl"/>
        </w:rPr>
        <w:t>y con arreglo al procedimiento establecido por la ley</w:t>
      </w:r>
      <w:r w:rsidRPr="00683968">
        <w:rPr>
          <w:rFonts w:ascii="Arial" w:eastAsia="Times New Roman" w:hAnsi="Arial" w:cs="Arial"/>
          <w:sz w:val="22"/>
          <w:szCs w:val="22"/>
          <w:lang w:val="es-ES" w:eastAsia="es-ES_tradnl"/>
        </w:rPr>
        <w:t xml:space="preserve">». </w:t>
      </w:r>
    </w:p>
    <w:p w14:paraId="7146203C" w14:textId="77777777" w:rsidR="001745D8" w:rsidRPr="008C5520" w:rsidRDefault="001745D8" w:rsidP="001745D8">
      <w:pPr>
        <w:ind w:right="-1"/>
        <w:jc w:val="both"/>
        <w:rPr>
          <w:rFonts w:ascii="Arial" w:eastAsia="Times New Roman" w:hAnsi="Arial" w:cs="Arial"/>
          <w:sz w:val="10"/>
          <w:szCs w:val="10"/>
          <w:lang w:val="es-ES" w:eastAsia="es-ES_tradnl"/>
        </w:rPr>
      </w:pPr>
    </w:p>
    <w:p w14:paraId="2A4F86C6" w14:textId="5DEECA1F" w:rsidR="001745D8" w:rsidRPr="008C5520" w:rsidRDefault="001745D8" w:rsidP="001745D8">
      <w:pPr>
        <w:ind w:right="-1" w:firstLine="284"/>
        <w:jc w:val="both"/>
        <w:rPr>
          <w:rFonts w:ascii="Arial" w:eastAsia="Times New Roman" w:hAnsi="Arial" w:cs="Arial"/>
          <w:lang w:val="es-ES" w:eastAsia="es-ES_tradnl"/>
        </w:rPr>
      </w:pPr>
      <w:r>
        <w:rPr>
          <w:rFonts w:ascii="Arial" w:eastAsia="Times New Roman" w:hAnsi="Arial" w:cs="Arial"/>
          <w:lang w:val="es-ES" w:eastAsia="es-ES_tradnl"/>
        </w:rPr>
        <w:lastRenderedPageBreak/>
        <w:t xml:space="preserve">Tras este </w:t>
      </w:r>
      <w:r w:rsidR="00006EF4">
        <w:rPr>
          <w:rFonts w:ascii="Arial" w:eastAsia="Times New Roman" w:hAnsi="Arial" w:cs="Arial"/>
          <w:lang w:val="es-ES" w:eastAsia="es-ES_tradnl"/>
        </w:rPr>
        <w:t xml:space="preserve">primer </w:t>
      </w:r>
      <w:r>
        <w:rPr>
          <w:rFonts w:ascii="Arial" w:eastAsia="Times New Roman" w:hAnsi="Arial" w:cs="Arial"/>
          <w:lang w:val="es-ES" w:eastAsia="es-ES_tradnl"/>
        </w:rPr>
        <w:t>enunciado, siguen varios apartados en los que se recogen diversos supuestos en los que se recogen</w:t>
      </w:r>
      <w:r w:rsidR="002632CD">
        <w:rPr>
          <w:rFonts w:ascii="Arial" w:eastAsia="Times New Roman" w:hAnsi="Arial" w:cs="Arial"/>
          <w:lang w:val="es-ES" w:eastAsia="es-ES_tradnl"/>
        </w:rPr>
        <w:t xml:space="preserve"> </w:t>
      </w:r>
      <w:r w:rsidR="00006EF4">
        <w:rPr>
          <w:rFonts w:ascii="Arial" w:eastAsia="Times New Roman" w:hAnsi="Arial" w:cs="Arial"/>
          <w:lang w:val="es-ES" w:eastAsia="es-ES_tradnl"/>
        </w:rPr>
        <w:t>situaciones o circunstancias que constituyen excepciones a</w:t>
      </w:r>
      <w:r w:rsidR="005E7327">
        <w:rPr>
          <w:rFonts w:ascii="Arial" w:eastAsia="Times New Roman" w:hAnsi="Arial" w:cs="Arial"/>
          <w:lang w:val="es-ES" w:eastAsia="es-ES_tradnl"/>
        </w:rPr>
        <w:t xml:space="preserve"> la anterior proclamación</w:t>
      </w:r>
      <w:r w:rsidR="00006EF4">
        <w:rPr>
          <w:rFonts w:ascii="Arial" w:eastAsia="Times New Roman" w:hAnsi="Arial" w:cs="Arial"/>
          <w:lang w:val="es-ES" w:eastAsia="es-ES_tradnl"/>
        </w:rPr>
        <w:t xml:space="preserve">. Son situaciones en las que </w:t>
      </w:r>
      <w:r>
        <w:rPr>
          <w:rFonts w:ascii="Arial" w:eastAsia="Times New Roman" w:hAnsi="Arial" w:cs="Arial"/>
          <w:lang w:val="es-ES" w:eastAsia="es-ES_tradnl"/>
        </w:rPr>
        <w:t xml:space="preserve">sí es posible limitar ese derecho a la libertad. </w:t>
      </w:r>
      <w:r w:rsidR="005E7327">
        <w:rPr>
          <w:rFonts w:ascii="Arial" w:eastAsia="Times New Roman" w:hAnsi="Arial" w:cs="Arial"/>
          <w:lang w:val="es-ES" w:eastAsia="es-ES_tradnl"/>
        </w:rPr>
        <w:t>Pues bien, e</w:t>
      </w:r>
      <w:r w:rsidRPr="008C5520">
        <w:rPr>
          <w:rFonts w:ascii="Arial" w:eastAsia="Times New Roman" w:hAnsi="Arial" w:cs="Arial"/>
          <w:lang w:val="es-ES" w:eastAsia="es-ES_tradnl"/>
        </w:rPr>
        <w:t>n</w:t>
      </w:r>
      <w:r w:rsidR="00006EF4">
        <w:rPr>
          <w:rFonts w:ascii="Arial" w:eastAsia="Times New Roman" w:hAnsi="Arial" w:cs="Arial"/>
          <w:lang w:val="es-ES" w:eastAsia="es-ES_tradnl"/>
        </w:rPr>
        <w:t xml:space="preserve"> concreto</w:t>
      </w:r>
      <w:r w:rsidR="005E7327">
        <w:rPr>
          <w:rFonts w:ascii="Arial" w:eastAsia="Times New Roman" w:hAnsi="Arial" w:cs="Arial"/>
          <w:lang w:val="es-ES" w:eastAsia="es-ES_tradnl"/>
        </w:rPr>
        <w:t>,</w:t>
      </w:r>
      <w:r w:rsidRPr="008C5520">
        <w:rPr>
          <w:rFonts w:ascii="Arial" w:eastAsia="Times New Roman" w:hAnsi="Arial" w:cs="Arial"/>
          <w:lang w:val="es-ES" w:eastAsia="es-ES_tradnl"/>
        </w:rPr>
        <w:t xml:space="preserve"> la letra e) de dicho número 1 reza así: </w:t>
      </w:r>
    </w:p>
    <w:p w14:paraId="47F21FD6" w14:textId="77777777" w:rsidR="001745D8" w:rsidRPr="008C5520" w:rsidRDefault="001745D8" w:rsidP="001745D8">
      <w:pPr>
        <w:ind w:right="-1"/>
        <w:jc w:val="both"/>
        <w:rPr>
          <w:rFonts w:ascii="Arial" w:eastAsia="Times New Roman" w:hAnsi="Arial" w:cs="Arial"/>
          <w:sz w:val="10"/>
          <w:szCs w:val="10"/>
          <w:lang w:val="es-ES" w:eastAsia="es-ES_tradnl"/>
        </w:rPr>
      </w:pPr>
    </w:p>
    <w:p w14:paraId="2EBC40A4" w14:textId="1FEA622E" w:rsidR="001745D8" w:rsidRPr="00683968" w:rsidRDefault="001745D8" w:rsidP="001745D8">
      <w:pPr>
        <w:ind w:left="284" w:right="-1"/>
        <w:jc w:val="both"/>
        <w:rPr>
          <w:rFonts w:ascii="Times New Roman" w:eastAsia="Times New Roman" w:hAnsi="Times New Roman" w:cs="Times New Roman"/>
          <w:sz w:val="22"/>
          <w:szCs w:val="22"/>
          <w:lang w:val="es-ES" w:eastAsia="es-ES_tradnl"/>
        </w:rPr>
      </w:pPr>
      <w:r w:rsidRPr="00683968">
        <w:rPr>
          <w:rFonts w:ascii="Arial" w:eastAsia="Times New Roman" w:hAnsi="Arial" w:cs="Arial"/>
          <w:sz w:val="22"/>
          <w:szCs w:val="22"/>
          <w:lang w:val="es-ES" w:eastAsia="es-ES_tradnl"/>
        </w:rPr>
        <w:t>«</w:t>
      </w:r>
      <w:r w:rsidRPr="00683968">
        <w:rPr>
          <w:rFonts w:ascii="Arial" w:eastAsia="Times New Roman" w:hAnsi="Arial" w:cs="Arial"/>
          <w:sz w:val="22"/>
          <w:szCs w:val="22"/>
          <w:lang w:eastAsia="es-ES_tradnl"/>
        </w:rPr>
        <w:t>Si se trata de la privación de libertad, conforme a derecho,</w:t>
      </w:r>
      <w:r w:rsidRPr="00683968">
        <w:rPr>
          <w:rFonts w:ascii="Arial" w:eastAsia="Times New Roman" w:hAnsi="Arial" w:cs="Arial"/>
          <w:sz w:val="22"/>
          <w:szCs w:val="22"/>
          <w:lang w:val="es-ES" w:eastAsia="es-ES_tradnl"/>
        </w:rPr>
        <w:t xml:space="preserve"> </w:t>
      </w:r>
      <w:r w:rsidRPr="00683968">
        <w:rPr>
          <w:rFonts w:ascii="Arial" w:eastAsia="Times New Roman" w:hAnsi="Arial" w:cs="Arial"/>
          <w:sz w:val="22"/>
          <w:szCs w:val="22"/>
          <w:lang w:eastAsia="es-ES_tradnl"/>
        </w:rPr>
        <w:t>de una persona susceptible de propagar una enfermedad</w:t>
      </w:r>
      <w:r w:rsidRPr="00683968">
        <w:rPr>
          <w:rFonts w:ascii="Arial" w:eastAsia="Times New Roman" w:hAnsi="Arial" w:cs="Arial"/>
          <w:sz w:val="22"/>
          <w:szCs w:val="22"/>
          <w:lang w:val="es-ES" w:eastAsia="es-ES_tradnl"/>
        </w:rPr>
        <w:t xml:space="preserve"> </w:t>
      </w:r>
      <w:r w:rsidRPr="00683968">
        <w:rPr>
          <w:rFonts w:ascii="Arial" w:eastAsia="Times New Roman" w:hAnsi="Arial" w:cs="Arial"/>
          <w:sz w:val="22"/>
          <w:szCs w:val="22"/>
          <w:lang w:eastAsia="es-ES_tradnl"/>
        </w:rPr>
        <w:t xml:space="preserve">contagiosa, </w:t>
      </w:r>
      <w:r w:rsidR="005E7327">
        <w:rPr>
          <w:rFonts w:ascii="Arial" w:eastAsia="Times New Roman" w:hAnsi="Arial" w:cs="Arial"/>
          <w:sz w:val="22"/>
          <w:szCs w:val="22"/>
          <w:lang w:val="es-ES" w:eastAsia="es-ES_tradnl"/>
        </w:rPr>
        <w:t>“</w:t>
      </w:r>
      <w:r w:rsidRPr="00683968">
        <w:rPr>
          <w:rFonts w:ascii="Arial" w:eastAsia="Times New Roman" w:hAnsi="Arial" w:cs="Arial"/>
          <w:sz w:val="22"/>
          <w:szCs w:val="22"/>
          <w:lang w:eastAsia="es-ES_tradnl"/>
        </w:rPr>
        <w:t xml:space="preserve">de </w:t>
      </w:r>
      <w:r w:rsidRPr="00683968">
        <w:rPr>
          <w:rFonts w:ascii="Arial" w:eastAsia="Times New Roman" w:hAnsi="Arial" w:cs="Arial"/>
          <w:sz w:val="22"/>
          <w:szCs w:val="22"/>
          <w:lang w:val="es-ES" w:eastAsia="es-ES_tradnl"/>
        </w:rPr>
        <w:t>u</w:t>
      </w:r>
      <w:r w:rsidRPr="00683968">
        <w:rPr>
          <w:rFonts w:ascii="Arial" w:eastAsia="Times New Roman" w:hAnsi="Arial" w:cs="Arial"/>
          <w:sz w:val="22"/>
          <w:szCs w:val="22"/>
          <w:lang w:eastAsia="es-ES_tradnl"/>
        </w:rPr>
        <w:t>n enajenado</w:t>
      </w:r>
      <w:r w:rsidR="005E7327">
        <w:rPr>
          <w:rFonts w:ascii="Arial" w:eastAsia="Times New Roman" w:hAnsi="Arial" w:cs="Arial"/>
          <w:sz w:val="22"/>
          <w:szCs w:val="22"/>
          <w:lang w:val="es-ES" w:eastAsia="es-ES_tradnl"/>
        </w:rPr>
        <w:t>”</w:t>
      </w:r>
      <w:r w:rsidRPr="00683968">
        <w:rPr>
          <w:rFonts w:ascii="Arial" w:eastAsia="Times New Roman" w:hAnsi="Arial" w:cs="Arial"/>
          <w:sz w:val="22"/>
          <w:szCs w:val="22"/>
          <w:lang w:eastAsia="es-ES_tradnl"/>
        </w:rPr>
        <w:t>, de un alcohólico, de un</w:t>
      </w:r>
      <w:r w:rsidR="005E7327">
        <w:rPr>
          <w:rFonts w:ascii="Arial" w:eastAsia="Times New Roman" w:hAnsi="Arial" w:cs="Arial"/>
          <w:sz w:val="22"/>
          <w:szCs w:val="22"/>
          <w:lang w:val="es-ES" w:eastAsia="es-ES_tradnl"/>
        </w:rPr>
        <w:t xml:space="preserve"> </w:t>
      </w:r>
      <w:r w:rsidRPr="00683968">
        <w:rPr>
          <w:rFonts w:ascii="Arial" w:eastAsia="Times New Roman" w:hAnsi="Arial" w:cs="Arial"/>
          <w:sz w:val="22"/>
          <w:szCs w:val="22"/>
          <w:lang w:eastAsia="es-ES_tradnl"/>
        </w:rPr>
        <w:t>toxicómano o de un vagabundo;</w:t>
      </w:r>
      <w:r w:rsidRPr="00683968">
        <w:rPr>
          <w:rFonts w:ascii="Arial" w:eastAsia="Times New Roman" w:hAnsi="Arial" w:cs="Arial"/>
          <w:sz w:val="22"/>
          <w:szCs w:val="22"/>
          <w:lang w:val="es-ES" w:eastAsia="es-ES_tradnl"/>
        </w:rPr>
        <w:t xml:space="preserve">». </w:t>
      </w:r>
    </w:p>
    <w:p w14:paraId="07089CA3" w14:textId="77777777" w:rsidR="001745D8" w:rsidRPr="0047429F" w:rsidRDefault="001745D8" w:rsidP="001745D8">
      <w:pPr>
        <w:ind w:right="-1"/>
        <w:jc w:val="both"/>
        <w:rPr>
          <w:rFonts w:ascii="Times New Roman" w:eastAsia="Times New Roman" w:hAnsi="Times New Roman" w:cs="Times New Roman"/>
          <w:i/>
          <w:iCs/>
          <w:sz w:val="10"/>
          <w:szCs w:val="10"/>
          <w:lang w:eastAsia="es-ES_tradnl"/>
        </w:rPr>
      </w:pPr>
    </w:p>
    <w:p w14:paraId="46510ACE" w14:textId="3B6AC2E1" w:rsidR="00DD7445" w:rsidRDefault="002632CD" w:rsidP="005E7327">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T</w:t>
      </w:r>
      <w:r w:rsidR="001745D8">
        <w:rPr>
          <w:rFonts w:ascii="Arial" w:eastAsia="Times New Roman" w:hAnsi="Arial" w:cs="Arial"/>
          <w:lang w:val="es-ES" w:eastAsia="es-ES_tradnl"/>
        </w:rPr>
        <w:t>odos tenemos derecho a la libertad</w:t>
      </w:r>
      <w:r>
        <w:rPr>
          <w:rFonts w:ascii="Arial" w:eastAsia="Times New Roman" w:hAnsi="Arial" w:cs="Arial"/>
          <w:lang w:val="es-ES" w:eastAsia="es-ES_tradnl"/>
        </w:rPr>
        <w:t>, conforme al número 1 del artículo 5</w:t>
      </w:r>
      <w:r w:rsidR="001745D8">
        <w:rPr>
          <w:rFonts w:ascii="Arial" w:eastAsia="Times New Roman" w:hAnsi="Arial" w:cs="Arial"/>
          <w:lang w:val="es-ES" w:eastAsia="es-ES_tradnl"/>
        </w:rPr>
        <w:t xml:space="preserve">, pero este derecho puede </w:t>
      </w:r>
      <w:r w:rsidR="001D58B8">
        <w:rPr>
          <w:rFonts w:ascii="Arial" w:eastAsia="Times New Roman" w:hAnsi="Arial" w:cs="Arial"/>
          <w:lang w:val="es-ES" w:eastAsia="es-ES_tradnl"/>
        </w:rPr>
        <w:t>verse limitado</w:t>
      </w:r>
      <w:r w:rsidR="001745D8">
        <w:rPr>
          <w:rFonts w:ascii="Arial" w:eastAsia="Times New Roman" w:hAnsi="Arial" w:cs="Arial"/>
          <w:lang w:val="es-ES" w:eastAsia="es-ES_tradnl"/>
        </w:rPr>
        <w:t xml:space="preserve"> en los casos en los que se da un estado de en</w:t>
      </w:r>
      <w:r w:rsidR="005E7327">
        <w:rPr>
          <w:rFonts w:ascii="Arial" w:eastAsia="Times New Roman" w:hAnsi="Arial" w:cs="Arial"/>
          <w:lang w:val="es-ES" w:eastAsia="es-ES_tradnl"/>
        </w:rPr>
        <w:t>ajenación mental</w:t>
      </w:r>
      <w:r>
        <w:rPr>
          <w:rFonts w:ascii="Arial" w:eastAsia="Times New Roman" w:hAnsi="Arial" w:cs="Arial"/>
          <w:lang w:val="es-ES" w:eastAsia="es-ES_tradnl"/>
        </w:rPr>
        <w:t>, tal y como se prevé en su letra e)</w:t>
      </w:r>
      <w:r w:rsidR="001745D8">
        <w:rPr>
          <w:rFonts w:ascii="Arial" w:eastAsia="Times New Roman" w:hAnsi="Arial" w:cs="Arial"/>
          <w:lang w:val="es-ES" w:eastAsia="es-ES_tradnl"/>
        </w:rPr>
        <w:t>. Esta declaración general y esta excepción centran claramente cuál es el objeto de estos proce</w:t>
      </w:r>
      <w:r w:rsidR="005E7327">
        <w:rPr>
          <w:rFonts w:ascii="Arial" w:eastAsia="Times New Roman" w:hAnsi="Arial" w:cs="Arial"/>
          <w:lang w:val="es-ES" w:eastAsia="es-ES_tradnl"/>
        </w:rPr>
        <w:t>s</w:t>
      </w:r>
      <w:r w:rsidR="001745D8">
        <w:rPr>
          <w:rFonts w:ascii="Arial" w:eastAsia="Times New Roman" w:hAnsi="Arial" w:cs="Arial"/>
          <w:lang w:val="es-ES" w:eastAsia="es-ES_tradnl"/>
        </w:rPr>
        <w:t xml:space="preserve">os: autorizar solo aquellos </w:t>
      </w:r>
      <w:r w:rsidR="001D58B8">
        <w:rPr>
          <w:rFonts w:ascii="Arial" w:eastAsia="Times New Roman" w:hAnsi="Arial" w:cs="Arial"/>
          <w:lang w:val="es-ES" w:eastAsia="es-ES_tradnl"/>
        </w:rPr>
        <w:t xml:space="preserve">supuestos </w:t>
      </w:r>
      <w:r w:rsidR="002E0E71">
        <w:rPr>
          <w:rFonts w:ascii="Arial" w:eastAsia="Times New Roman" w:hAnsi="Arial" w:cs="Arial"/>
          <w:lang w:val="es-ES" w:eastAsia="es-ES_tradnl"/>
        </w:rPr>
        <w:t xml:space="preserve">de internamiento </w:t>
      </w:r>
      <w:r w:rsidR="001D58B8">
        <w:rPr>
          <w:rFonts w:ascii="Arial" w:eastAsia="Times New Roman" w:hAnsi="Arial" w:cs="Arial"/>
          <w:lang w:val="es-ES" w:eastAsia="es-ES_tradnl"/>
        </w:rPr>
        <w:t xml:space="preserve">en los </w:t>
      </w:r>
      <w:r w:rsidR="001745D8">
        <w:rPr>
          <w:rFonts w:ascii="Arial" w:eastAsia="Times New Roman" w:hAnsi="Arial" w:cs="Arial"/>
          <w:lang w:val="es-ES" w:eastAsia="es-ES_tradnl"/>
        </w:rPr>
        <w:t>que</w:t>
      </w:r>
      <w:r w:rsidR="002E0E71">
        <w:rPr>
          <w:rFonts w:ascii="Arial" w:eastAsia="Times New Roman" w:hAnsi="Arial" w:cs="Arial"/>
          <w:lang w:val="es-ES" w:eastAsia="es-ES_tradnl"/>
        </w:rPr>
        <w:t xml:space="preserve"> </w:t>
      </w:r>
      <w:r w:rsidR="001D58B8">
        <w:rPr>
          <w:rFonts w:ascii="Arial" w:eastAsia="Times New Roman" w:hAnsi="Arial" w:cs="Arial"/>
          <w:lang w:val="es-ES" w:eastAsia="es-ES_tradnl"/>
        </w:rPr>
        <w:t xml:space="preserve">está justificada </w:t>
      </w:r>
      <w:r w:rsidR="002E0E71">
        <w:rPr>
          <w:rFonts w:ascii="Arial" w:eastAsia="Times New Roman" w:hAnsi="Arial" w:cs="Arial"/>
          <w:lang w:val="es-ES" w:eastAsia="es-ES_tradnl"/>
        </w:rPr>
        <w:t>la</w:t>
      </w:r>
      <w:r w:rsidR="001D58B8">
        <w:rPr>
          <w:rFonts w:ascii="Arial" w:eastAsia="Times New Roman" w:hAnsi="Arial" w:cs="Arial"/>
          <w:lang w:val="es-ES" w:eastAsia="es-ES_tradnl"/>
        </w:rPr>
        <w:t xml:space="preserve"> privación de libertad.</w:t>
      </w:r>
      <w:r w:rsidR="005F1E43">
        <w:rPr>
          <w:rStyle w:val="Refdenotaalpie"/>
          <w:rFonts w:ascii="Arial" w:eastAsia="Times New Roman" w:hAnsi="Arial" w:cs="Arial"/>
          <w:lang w:val="es-ES" w:eastAsia="es-ES_tradnl"/>
        </w:rPr>
        <w:footnoteReference w:id="6"/>
      </w:r>
      <w:r w:rsidR="005F1E43">
        <w:rPr>
          <w:rFonts w:ascii="Arial" w:eastAsia="Times New Roman" w:hAnsi="Arial" w:cs="Arial"/>
          <w:lang w:val="es-ES" w:eastAsia="es-ES_tradnl"/>
        </w:rPr>
        <w:t xml:space="preserve"> Tanto para el CONVENIO como para el TRIBUNAL la libertad es</w:t>
      </w:r>
      <w:r w:rsidR="00BA3A51">
        <w:rPr>
          <w:rFonts w:ascii="Arial" w:eastAsia="Times New Roman" w:hAnsi="Arial" w:cs="Arial"/>
          <w:lang w:val="es-ES" w:eastAsia="es-ES_tradnl"/>
        </w:rPr>
        <w:t xml:space="preserve"> un derecho importante </w:t>
      </w:r>
      <w:r w:rsidR="00FC3DFB">
        <w:rPr>
          <w:rFonts w:ascii="Arial" w:eastAsia="Times New Roman" w:hAnsi="Arial" w:cs="Arial"/>
          <w:lang w:val="es-ES" w:eastAsia="es-ES_tradnl"/>
        </w:rPr>
        <w:t xml:space="preserve">hasta el extremo </w:t>
      </w:r>
      <w:r w:rsidR="00BA3A51">
        <w:rPr>
          <w:rFonts w:ascii="Arial" w:eastAsia="Times New Roman" w:hAnsi="Arial" w:cs="Arial"/>
          <w:lang w:val="es-ES" w:eastAsia="es-ES_tradnl"/>
        </w:rPr>
        <w:t>y, en consecuencia, tod</w:t>
      </w:r>
      <w:r w:rsidR="00C154D4">
        <w:rPr>
          <w:rFonts w:ascii="Arial" w:eastAsia="Times New Roman" w:hAnsi="Arial" w:cs="Arial"/>
          <w:lang w:val="es-ES" w:eastAsia="es-ES_tradnl"/>
        </w:rPr>
        <w:t>o</w:t>
      </w:r>
      <w:r w:rsidR="00BA3A51">
        <w:rPr>
          <w:rFonts w:ascii="Arial" w:eastAsia="Times New Roman" w:hAnsi="Arial" w:cs="Arial"/>
          <w:lang w:val="es-ES" w:eastAsia="es-ES_tradnl"/>
        </w:rPr>
        <w:t xml:space="preserve"> acto limitativo de ese derecho </w:t>
      </w:r>
      <w:r w:rsidR="00C154D4">
        <w:rPr>
          <w:rFonts w:ascii="Arial" w:eastAsia="Times New Roman" w:hAnsi="Arial" w:cs="Arial"/>
          <w:lang w:val="es-ES" w:eastAsia="es-ES_tradnl"/>
        </w:rPr>
        <w:t>solo</w:t>
      </w:r>
      <w:r w:rsidR="00BA3A51">
        <w:rPr>
          <w:rFonts w:ascii="Arial" w:eastAsia="Times New Roman" w:hAnsi="Arial" w:cs="Arial"/>
          <w:lang w:val="es-ES" w:eastAsia="es-ES_tradnl"/>
        </w:rPr>
        <w:t xml:space="preserve"> </w:t>
      </w:r>
      <w:r w:rsidR="00C154D4">
        <w:rPr>
          <w:rFonts w:ascii="Arial" w:eastAsia="Times New Roman" w:hAnsi="Arial" w:cs="Arial"/>
          <w:lang w:val="es-ES" w:eastAsia="es-ES_tradnl"/>
        </w:rPr>
        <w:t xml:space="preserve">es admisible cuando existe una </w:t>
      </w:r>
      <w:r w:rsidR="00C154D4" w:rsidRPr="00940C62">
        <w:rPr>
          <w:rFonts w:ascii="Arial" w:eastAsia="Times New Roman" w:hAnsi="Arial" w:cs="Arial"/>
          <w:color w:val="000000" w:themeColor="text1"/>
          <w:lang w:val="es-ES" w:eastAsia="es-ES_tradnl"/>
        </w:rPr>
        <w:t xml:space="preserve">causa </w:t>
      </w:r>
      <w:r w:rsidR="00FC3DFB">
        <w:rPr>
          <w:rFonts w:ascii="Arial" w:eastAsia="Times New Roman" w:hAnsi="Arial" w:cs="Arial"/>
          <w:color w:val="000000" w:themeColor="text1"/>
          <w:lang w:val="es-ES" w:eastAsia="es-ES_tradnl"/>
        </w:rPr>
        <w:t>que lo justifique</w:t>
      </w:r>
      <w:r w:rsidR="005E7327">
        <w:rPr>
          <w:rFonts w:ascii="Arial" w:eastAsia="Times New Roman" w:hAnsi="Arial" w:cs="Arial"/>
          <w:color w:val="000000" w:themeColor="text1"/>
          <w:lang w:val="es-ES" w:eastAsia="es-ES_tradnl"/>
        </w:rPr>
        <w:t>.</w:t>
      </w:r>
      <w:r w:rsidR="00E10F59" w:rsidRPr="00940C62">
        <w:rPr>
          <w:rStyle w:val="Refdenotaalpie"/>
          <w:rFonts w:ascii="Arial" w:eastAsia="Times New Roman" w:hAnsi="Arial" w:cs="Arial"/>
          <w:color w:val="000000" w:themeColor="text1"/>
          <w:lang w:val="es-ES" w:eastAsia="es-ES_tradnl"/>
        </w:rPr>
        <w:footnoteReference w:id="7"/>
      </w:r>
      <w:r w:rsidR="00C154D4">
        <w:rPr>
          <w:rFonts w:ascii="Arial" w:eastAsia="Times New Roman" w:hAnsi="Arial" w:cs="Arial"/>
          <w:lang w:val="es-ES" w:eastAsia="es-ES_tradnl"/>
        </w:rPr>
        <w:t xml:space="preserve"> Específicamente en estos casos, al margen de toda ausencia de arbitrariedad</w:t>
      </w:r>
      <w:r w:rsidR="00FC3DFB">
        <w:rPr>
          <w:rFonts w:ascii="Arial" w:eastAsia="Times New Roman" w:hAnsi="Arial" w:cs="Arial"/>
          <w:lang w:val="es-ES" w:eastAsia="es-ES_tradnl"/>
        </w:rPr>
        <w:t xml:space="preserve"> en la decisión que lo autoriza</w:t>
      </w:r>
      <w:r w:rsidR="00C154D4">
        <w:rPr>
          <w:rFonts w:ascii="Arial" w:eastAsia="Times New Roman" w:hAnsi="Arial" w:cs="Arial"/>
          <w:lang w:val="es-ES" w:eastAsia="es-ES_tradnl"/>
        </w:rPr>
        <w:t xml:space="preserve">, se admite el internamiento solo cuando se han intentado otras </w:t>
      </w:r>
      <w:r w:rsidR="00C154D4" w:rsidRPr="002F70CB">
        <w:rPr>
          <w:rFonts w:ascii="Arial" w:eastAsia="Times New Roman" w:hAnsi="Arial" w:cs="Arial"/>
          <w:color w:val="000000" w:themeColor="text1"/>
          <w:lang w:val="es-ES" w:eastAsia="es-ES_tradnl"/>
        </w:rPr>
        <w:t>medidas menos severas para tratar a la persona sin éxito</w:t>
      </w:r>
      <w:r w:rsidR="005E7327">
        <w:rPr>
          <w:rFonts w:ascii="Arial" w:eastAsia="Times New Roman" w:hAnsi="Arial" w:cs="Arial"/>
          <w:color w:val="000000" w:themeColor="text1"/>
          <w:lang w:val="es-ES" w:eastAsia="es-ES_tradnl"/>
        </w:rPr>
        <w:t>.</w:t>
      </w:r>
      <w:r w:rsidR="002F70CB" w:rsidRPr="002F70CB">
        <w:rPr>
          <w:rStyle w:val="Refdenotaalpie"/>
          <w:rFonts w:ascii="Arial" w:eastAsia="Times New Roman" w:hAnsi="Arial" w:cs="Arial"/>
          <w:color w:val="000000" w:themeColor="text1"/>
          <w:lang w:val="es-ES" w:eastAsia="es-ES_tradnl"/>
        </w:rPr>
        <w:footnoteReference w:id="8"/>
      </w:r>
      <w:r w:rsidR="00C154D4" w:rsidRPr="002F70CB">
        <w:rPr>
          <w:rFonts w:ascii="Arial" w:eastAsia="Times New Roman" w:hAnsi="Arial" w:cs="Arial"/>
          <w:color w:val="000000" w:themeColor="text1"/>
          <w:lang w:val="es-ES" w:eastAsia="es-ES_tradnl"/>
        </w:rPr>
        <w:t xml:space="preserve"> </w:t>
      </w:r>
      <w:r w:rsidR="00E6132D" w:rsidRPr="002F70CB">
        <w:rPr>
          <w:rFonts w:ascii="Arial" w:eastAsia="Times New Roman" w:hAnsi="Arial" w:cs="Arial"/>
          <w:color w:val="000000" w:themeColor="text1"/>
          <w:lang w:val="es-ES" w:eastAsia="es-ES_tradnl"/>
        </w:rPr>
        <w:t>Hasta tal punto considera el TEDH que la ausencia de arbitrariedad es importante que la eleva a la categoría de principio</w:t>
      </w:r>
      <w:r w:rsidR="0063031C" w:rsidRPr="002F70CB">
        <w:rPr>
          <w:rFonts w:ascii="Arial" w:eastAsia="Times New Roman" w:hAnsi="Arial" w:cs="Arial"/>
          <w:color w:val="000000" w:themeColor="text1"/>
          <w:lang w:val="es-ES" w:eastAsia="es-ES_tradnl"/>
        </w:rPr>
        <w:t>, llegando a sostener que los de seguridad jurídica y de protección contra la arbitrariedad son los hilos conductores</w:t>
      </w:r>
      <w:r w:rsidR="0063031C" w:rsidRPr="00D87B0B">
        <w:rPr>
          <w:rFonts w:ascii="Arial" w:eastAsia="Times New Roman" w:hAnsi="Arial" w:cs="Arial"/>
          <w:color w:val="7030A0"/>
          <w:lang w:val="es-ES" w:eastAsia="es-ES_tradnl"/>
        </w:rPr>
        <w:t xml:space="preserve"> </w:t>
      </w:r>
      <w:r w:rsidR="0063031C">
        <w:rPr>
          <w:rFonts w:ascii="Arial" w:eastAsia="Times New Roman" w:hAnsi="Arial" w:cs="Arial"/>
          <w:lang w:val="es-ES" w:eastAsia="es-ES_tradnl"/>
        </w:rPr>
        <w:t>del CONVENIO y del Estado de Derecho.</w:t>
      </w:r>
      <w:r w:rsidR="006D1A2E">
        <w:rPr>
          <w:rStyle w:val="Refdenotaalpie"/>
          <w:rFonts w:ascii="Arial" w:eastAsia="Times New Roman" w:hAnsi="Arial" w:cs="Arial"/>
          <w:lang w:val="es-ES" w:eastAsia="es-ES_tradnl"/>
        </w:rPr>
        <w:footnoteReference w:id="9"/>
      </w:r>
      <w:r w:rsidR="00D87B0B">
        <w:rPr>
          <w:rFonts w:ascii="Arial" w:eastAsia="Times New Roman" w:hAnsi="Arial" w:cs="Arial"/>
          <w:lang w:val="es-ES" w:eastAsia="es-ES_tradnl"/>
        </w:rPr>
        <w:t xml:space="preserve"> </w:t>
      </w:r>
      <w:r w:rsidR="0063031C">
        <w:rPr>
          <w:rFonts w:ascii="Arial" w:eastAsia="Times New Roman" w:hAnsi="Arial" w:cs="Arial"/>
          <w:lang w:val="es-ES" w:eastAsia="es-ES_tradnl"/>
        </w:rPr>
        <w:t>Así pues, lo que el TRIBUNAL protege es la libertad y lo que exige es que todo proceso de internamiento esté exento de arbitrariedad.</w:t>
      </w:r>
      <w:r w:rsidR="0041355A">
        <w:rPr>
          <w:rStyle w:val="Refdenotaalpie"/>
          <w:rFonts w:ascii="Arial" w:eastAsia="Times New Roman" w:hAnsi="Arial" w:cs="Arial"/>
          <w:lang w:val="es-ES" w:eastAsia="es-ES_tradnl"/>
        </w:rPr>
        <w:footnoteReference w:id="10"/>
      </w:r>
    </w:p>
    <w:p w14:paraId="06068658" w14:textId="77777777" w:rsidR="00CA49A2" w:rsidRPr="0063031C" w:rsidRDefault="00CA49A2" w:rsidP="0025550C">
      <w:pPr>
        <w:ind w:right="-1"/>
        <w:jc w:val="both"/>
        <w:rPr>
          <w:rFonts w:ascii="Arial" w:eastAsia="Times New Roman" w:hAnsi="Arial" w:cs="Arial"/>
          <w:sz w:val="10"/>
          <w:szCs w:val="10"/>
          <w:lang w:val="es-ES" w:eastAsia="es-ES_tradnl"/>
        </w:rPr>
      </w:pPr>
    </w:p>
    <w:p w14:paraId="428357E8" w14:textId="4C96D4A6" w:rsidR="00D1031A" w:rsidRDefault="001745D8"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b</w:t>
      </w:r>
      <w:r w:rsidR="00E16378">
        <w:rPr>
          <w:rFonts w:ascii="Arial" w:eastAsia="Times New Roman" w:hAnsi="Arial" w:cs="Arial"/>
          <w:lang w:val="es-ES" w:eastAsia="es-ES_tradnl"/>
        </w:rPr>
        <w:t xml:space="preserve">) </w:t>
      </w:r>
      <w:r w:rsidR="00CA49A2">
        <w:rPr>
          <w:rFonts w:ascii="Arial" w:eastAsia="Times New Roman" w:hAnsi="Arial" w:cs="Arial"/>
          <w:lang w:val="es-ES" w:eastAsia="es-ES_tradnl"/>
        </w:rPr>
        <w:t>E</w:t>
      </w:r>
      <w:r w:rsidR="0091794F">
        <w:rPr>
          <w:rFonts w:ascii="Arial" w:eastAsia="Times New Roman" w:hAnsi="Arial" w:cs="Arial"/>
          <w:lang w:val="es-ES" w:eastAsia="es-ES_tradnl"/>
        </w:rPr>
        <w:t>l papel del TRIBUNAL</w:t>
      </w:r>
    </w:p>
    <w:p w14:paraId="28006476" w14:textId="5E6B8435" w:rsidR="00020135" w:rsidRDefault="0063031C" w:rsidP="00ED7B15">
      <w:pPr>
        <w:jc w:val="both"/>
        <w:rPr>
          <w:rFonts w:ascii="Arial" w:eastAsia="Times New Roman" w:hAnsi="Arial" w:cs="Arial"/>
          <w:lang w:val="es-ES" w:eastAsia="es-ES_tradnl"/>
        </w:rPr>
      </w:pPr>
      <w:r>
        <w:rPr>
          <w:rFonts w:ascii="Arial" w:eastAsia="Times New Roman" w:hAnsi="Arial" w:cs="Arial"/>
          <w:lang w:val="es-ES" w:eastAsia="es-ES_tradnl"/>
        </w:rPr>
        <w:t>¿Cuál es la tarea del TRIBUNAL? De forma reiterada en multitud de pronunciamientos el TEDH expresa cuál es su papel</w:t>
      </w:r>
      <w:r w:rsidR="007E0F4F">
        <w:rPr>
          <w:rFonts w:ascii="Arial" w:eastAsia="Times New Roman" w:hAnsi="Arial" w:cs="Arial"/>
          <w:lang w:val="es-ES" w:eastAsia="es-ES_tradnl"/>
        </w:rPr>
        <w:t xml:space="preserve">, cuáles son sus límites y cuándo entiende que puede rebasar esos límites. </w:t>
      </w:r>
      <w:r w:rsidR="00994CC0">
        <w:rPr>
          <w:rFonts w:ascii="Arial" w:eastAsia="Times New Roman" w:hAnsi="Arial" w:cs="Arial"/>
          <w:lang w:val="es-ES" w:eastAsia="es-ES_tradnl"/>
        </w:rPr>
        <w:t xml:space="preserve">Su primera actuación consiste en comprobar que, efectivamente, el caso que le ha sido planteado entra dentro de los supuestos incluidos en la lista recogida en el artículo 5.1 del CONVENIO, y, más concretamente, si es </w:t>
      </w:r>
      <w:r w:rsidR="00E643EC">
        <w:rPr>
          <w:rFonts w:ascii="Arial" w:eastAsia="Times New Roman" w:hAnsi="Arial" w:cs="Arial"/>
          <w:lang w:val="es-ES" w:eastAsia="es-ES_tradnl"/>
        </w:rPr>
        <w:t>sub</w:t>
      </w:r>
      <w:r w:rsidR="00994CC0">
        <w:rPr>
          <w:rFonts w:ascii="Arial" w:eastAsia="Times New Roman" w:hAnsi="Arial" w:cs="Arial"/>
          <w:lang w:val="es-ES" w:eastAsia="es-ES_tradnl"/>
        </w:rPr>
        <w:t>sumible en el supuesto de la letra e) relativa</w:t>
      </w:r>
      <w:r w:rsidR="00E643EC">
        <w:rPr>
          <w:rFonts w:ascii="Arial" w:eastAsia="Times New Roman" w:hAnsi="Arial" w:cs="Arial"/>
          <w:lang w:val="es-ES" w:eastAsia="es-ES_tradnl"/>
        </w:rPr>
        <w:t>, entre otras situaciones,</w:t>
      </w:r>
      <w:r w:rsidR="00994CC0">
        <w:rPr>
          <w:rFonts w:ascii="Arial" w:eastAsia="Times New Roman" w:hAnsi="Arial" w:cs="Arial"/>
          <w:lang w:val="es-ES" w:eastAsia="es-ES_tradnl"/>
        </w:rPr>
        <w:t xml:space="preserve"> a los estados de enajenación mental. Se trata </w:t>
      </w:r>
      <w:r w:rsidR="00E643EC">
        <w:rPr>
          <w:rFonts w:ascii="Arial" w:eastAsia="Times New Roman" w:hAnsi="Arial" w:cs="Arial"/>
          <w:lang w:val="es-ES" w:eastAsia="es-ES_tradnl"/>
        </w:rPr>
        <w:t xml:space="preserve">la del artículo 5.1 </w:t>
      </w:r>
      <w:r w:rsidR="00994CC0">
        <w:rPr>
          <w:rFonts w:ascii="Arial" w:eastAsia="Times New Roman" w:hAnsi="Arial" w:cs="Arial"/>
          <w:lang w:val="es-ES" w:eastAsia="es-ES_tradnl"/>
        </w:rPr>
        <w:t>de una lista cerrada en la que solo los supuestos recogidos en la misma se consideran admisibles en cuanto al efecto limitador de la libertad que producen</w:t>
      </w:r>
      <w:r w:rsidR="00CA49A2">
        <w:rPr>
          <w:rFonts w:ascii="Arial" w:eastAsia="Times New Roman" w:hAnsi="Arial" w:cs="Arial"/>
          <w:lang w:val="es-ES" w:eastAsia="es-ES_tradnl"/>
        </w:rPr>
        <w:t>,</w:t>
      </w:r>
      <w:r w:rsidR="007E0F4F">
        <w:rPr>
          <w:rFonts w:ascii="Arial" w:eastAsia="Times New Roman" w:hAnsi="Arial" w:cs="Arial"/>
          <w:lang w:val="es-ES" w:eastAsia="es-ES_tradnl"/>
        </w:rPr>
        <w:t xml:space="preserve"> fuera de los cuales no se admiten demandas</w:t>
      </w:r>
      <w:r w:rsidR="00441DD6">
        <w:rPr>
          <w:rFonts w:ascii="Arial" w:eastAsia="Times New Roman" w:hAnsi="Arial" w:cs="Arial"/>
          <w:lang w:val="es-ES" w:eastAsia="es-ES_tradnl"/>
        </w:rPr>
        <w:t xml:space="preserve"> por este motivo</w:t>
      </w:r>
      <w:r w:rsidR="00CA49A2">
        <w:rPr>
          <w:rFonts w:ascii="Arial" w:eastAsia="Times New Roman" w:hAnsi="Arial" w:cs="Arial"/>
          <w:lang w:val="es-ES" w:eastAsia="es-ES_tradnl"/>
        </w:rPr>
        <w:t>.</w:t>
      </w:r>
      <w:r w:rsidR="006664FD">
        <w:rPr>
          <w:rStyle w:val="Refdenotaalpie"/>
          <w:rFonts w:ascii="Arial" w:eastAsia="Times New Roman" w:hAnsi="Arial" w:cs="Arial"/>
          <w:lang w:val="es-ES" w:eastAsia="es-ES_tradnl"/>
        </w:rPr>
        <w:footnoteReference w:id="11"/>
      </w:r>
      <w:r w:rsidR="0051036F">
        <w:rPr>
          <w:rFonts w:ascii="Arial" w:eastAsia="Times New Roman" w:hAnsi="Arial" w:cs="Arial"/>
          <w:lang w:val="es-ES" w:eastAsia="es-ES_tradnl"/>
        </w:rPr>
        <w:t xml:space="preserve"> </w:t>
      </w:r>
    </w:p>
    <w:p w14:paraId="1D8FD123" w14:textId="7CD6A394" w:rsidR="00D2042E" w:rsidRPr="00621554" w:rsidRDefault="00CA49A2" w:rsidP="00621554">
      <w:pPr>
        <w:ind w:firstLine="284"/>
        <w:jc w:val="both"/>
        <w:rPr>
          <w:rFonts w:ascii="Arial" w:hAnsi="Arial" w:cs="Arial"/>
          <w:lang w:val="es-ES"/>
        </w:rPr>
      </w:pPr>
      <w:r>
        <w:rPr>
          <w:rFonts w:ascii="Arial" w:eastAsia="Times New Roman" w:hAnsi="Arial" w:cs="Arial"/>
          <w:lang w:val="es-ES" w:eastAsia="es-ES_tradnl"/>
        </w:rPr>
        <w:t xml:space="preserve">Comprobado que el caso que le ha sido sometido entra dentro de alguna de las causas </w:t>
      </w:r>
      <w:r w:rsidR="007A3CE6">
        <w:rPr>
          <w:rFonts w:ascii="Arial" w:eastAsia="Times New Roman" w:hAnsi="Arial" w:cs="Arial"/>
          <w:lang w:val="es-ES" w:eastAsia="es-ES_tradnl"/>
        </w:rPr>
        <w:t xml:space="preserve">limitadoras de la libertad que </w:t>
      </w:r>
      <w:r>
        <w:rPr>
          <w:rFonts w:ascii="Arial" w:eastAsia="Times New Roman" w:hAnsi="Arial" w:cs="Arial"/>
          <w:lang w:val="es-ES" w:eastAsia="es-ES_tradnl"/>
        </w:rPr>
        <w:t>el CONVENIO</w:t>
      </w:r>
      <w:r w:rsidR="007A3CE6">
        <w:rPr>
          <w:rFonts w:ascii="Arial" w:eastAsia="Times New Roman" w:hAnsi="Arial" w:cs="Arial"/>
          <w:lang w:val="es-ES" w:eastAsia="es-ES_tradnl"/>
        </w:rPr>
        <w:t xml:space="preserve"> considera admisibles</w:t>
      </w:r>
      <w:r w:rsidR="005358A8">
        <w:rPr>
          <w:rFonts w:ascii="Arial" w:eastAsia="Times New Roman" w:hAnsi="Arial" w:cs="Arial"/>
          <w:lang w:val="es-ES" w:eastAsia="es-ES_tradnl"/>
        </w:rPr>
        <w:t xml:space="preserve">, </w:t>
      </w:r>
      <w:r w:rsidR="00104595">
        <w:rPr>
          <w:rFonts w:ascii="Arial" w:eastAsia="Times New Roman" w:hAnsi="Arial" w:cs="Arial"/>
          <w:lang w:val="es-ES" w:eastAsia="es-ES_tradnl"/>
        </w:rPr>
        <w:t>el siguiente paso consiste en examinar si se han respetado las normas nacionales.</w:t>
      </w:r>
      <w:r w:rsidR="009845B3">
        <w:rPr>
          <w:rStyle w:val="Refdenotaalpie"/>
          <w:rFonts w:ascii="Arial" w:eastAsia="Times New Roman" w:hAnsi="Arial" w:cs="Arial"/>
          <w:lang w:val="es-ES" w:eastAsia="es-ES_tradnl"/>
        </w:rPr>
        <w:footnoteReference w:id="12"/>
      </w:r>
      <w:r w:rsidR="00104595">
        <w:rPr>
          <w:rFonts w:ascii="Arial" w:eastAsia="Times New Roman" w:hAnsi="Arial" w:cs="Arial"/>
          <w:lang w:val="es-ES" w:eastAsia="es-ES_tradnl"/>
        </w:rPr>
        <w:t xml:space="preserve"> </w:t>
      </w:r>
      <w:r w:rsidR="0051036F">
        <w:rPr>
          <w:rFonts w:ascii="Arial" w:eastAsia="Times New Roman" w:hAnsi="Arial" w:cs="Arial"/>
          <w:lang w:val="es-ES" w:eastAsia="es-ES_tradnl"/>
        </w:rPr>
        <w:t xml:space="preserve"> </w:t>
      </w:r>
      <w:r w:rsidR="007A3CE6">
        <w:rPr>
          <w:rFonts w:ascii="Arial" w:eastAsia="Times New Roman" w:hAnsi="Arial" w:cs="Arial"/>
          <w:lang w:val="es-ES" w:eastAsia="es-ES_tradnl"/>
        </w:rPr>
        <w:t xml:space="preserve">Esto es fundamental. </w:t>
      </w:r>
      <w:r w:rsidR="0051036F">
        <w:rPr>
          <w:rFonts w:ascii="Arial" w:eastAsia="Times New Roman" w:hAnsi="Arial" w:cs="Arial"/>
          <w:lang w:val="es-ES" w:eastAsia="es-ES_tradnl"/>
        </w:rPr>
        <w:t>El TRIBUNAL entiende que la considerac</w:t>
      </w:r>
      <w:r w:rsidR="00020135">
        <w:rPr>
          <w:rFonts w:ascii="Arial" w:eastAsia="Times New Roman" w:hAnsi="Arial" w:cs="Arial"/>
          <w:lang w:val="es-ES" w:eastAsia="es-ES_tradnl"/>
        </w:rPr>
        <w:t>ión</w:t>
      </w:r>
      <w:r w:rsidR="0051036F">
        <w:rPr>
          <w:rFonts w:ascii="Arial" w:eastAsia="Times New Roman" w:hAnsi="Arial" w:cs="Arial"/>
          <w:lang w:val="es-ES" w:eastAsia="es-ES_tradnl"/>
        </w:rPr>
        <w:t xml:space="preserve"> de «vía legal» del procedimiento empieza por el respeto a las normas nacionales.</w:t>
      </w:r>
      <w:r w:rsidR="0051036F">
        <w:rPr>
          <w:rStyle w:val="Refdenotaalpie"/>
          <w:rFonts w:ascii="Arial" w:eastAsia="Times New Roman" w:hAnsi="Arial" w:cs="Arial"/>
          <w:lang w:val="es-ES" w:eastAsia="es-ES_tradnl"/>
        </w:rPr>
        <w:footnoteReference w:id="13"/>
      </w:r>
      <w:r w:rsidR="0051036F">
        <w:rPr>
          <w:rFonts w:ascii="Arial" w:eastAsia="Times New Roman" w:hAnsi="Arial" w:cs="Arial"/>
          <w:lang w:val="es-ES" w:eastAsia="es-ES_tradnl"/>
        </w:rPr>
        <w:t xml:space="preserve"> Hasta tal punto ello es así que </w:t>
      </w:r>
      <w:r w:rsidR="00020135">
        <w:rPr>
          <w:rFonts w:ascii="Arial" w:eastAsia="Times New Roman" w:hAnsi="Arial" w:cs="Arial"/>
          <w:lang w:val="es-ES" w:eastAsia="es-ES_tradnl"/>
        </w:rPr>
        <w:t>estima</w:t>
      </w:r>
      <w:r w:rsidR="0051036F">
        <w:rPr>
          <w:rFonts w:ascii="Arial" w:eastAsia="Times New Roman" w:hAnsi="Arial" w:cs="Arial"/>
          <w:lang w:val="es-ES" w:eastAsia="es-ES_tradnl"/>
        </w:rPr>
        <w:t xml:space="preserve"> que </w:t>
      </w:r>
      <w:r w:rsidR="0051036F" w:rsidRPr="0051036F">
        <w:rPr>
          <w:rFonts w:ascii="Arial" w:hAnsi="Arial" w:cs="Arial"/>
          <w:sz w:val="20"/>
          <w:szCs w:val="20"/>
          <w:lang w:val="es-ES"/>
        </w:rPr>
        <w:t>«</w:t>
      </w:r>
      <w:r w:rsidR="0051036F" w:rsidRPr="0051036F">
        <w:rPr>
          <w:rFonts w:ascii="Arial" w:hAnsi="Arial" w:cs="Arial"/>
          <w:lang w:val="es-ES"/>
        </w:rPr>
        <w:t>el incumplimiento del derecho interno implica una violación del Convenio</w:t>
      </w:r>
      <w:r w:rsidR="0051036F" w:rsidRPr="0051036F">
        <w:rPr>
          <w:rFonts w:ascii="Arial" w:hAnsi="Arial" w:cs="Arial"/>
          <w:sz w:val="20"/>
          <w:szCs w:val="20"/>
          <w:lang w:val="es-ES"/>
        </w:rPr>
        <w:t>»</w:t>
      </w:r>
      <w:r w:rsidR="00413802">
        <w:rPr>
          <w:rFonts w:ascii="Arial" w:hAnsi="Arial" w:cs="Arial"/>
          <w:sz w:val="20"/>
          <w:szCs w:val="20"/>
          <w:lang w:val="es-ES"/>
        </w:rPr>
        <w:t>.</w:t>
      </w:r>
      <w:r w:rsidR="0051036F">
        <w:rPr>
          <w:rStyle w:val="Refdenotaalpie"/>
          <w:rFonts w:ascii="Arial" w:hAnsi="Arial" w:cs="Arial"/>
          <w:sz w:val="20"/>
          <w:szCs w:val="20"/>
          <w:lang w:val="es-ES"/>
        </w:rPr>
        <w:footnoteReference w:id="14"/>
      </w:r>
      <w:r w:rsidR="00585157">
        <w:rPr>
          <w:rFonts w:ascii="Arial" w:hAnsi="Arial" w:cs="Arial"/>
          <w:lang w:val="es-ES"/>
        </w:rPr>
        <w:t xml:space="preserve"> </w:t>
      </w:r>
      <w:r w:rsidR="00621554">
        <w:rPr>
          <w:rFonts w:ascii="Arial" w:hAnsi="Arial" w:cs="Arial"/>
          <w:lang w:val="es-ES"/>
        </w:rPr>
        <w:t>U</w:t>
      </w:r>
      <w:r w:rsidR="00585157">
        <w:rPr>
          <w:rFonts w:ascii="Arial" w:hAnsi="Arial" w:cs="Arial"/>
          <w:lang w:val="es-ES"/>
        </w:rPr>
        <w:t>na vez que se han dado los dos pasos anteriores</w:t>
      </w:r>
      <w:r w:rsidR="007A3CE6">
        <w:rPr>
          <w:rFonts w:ascii="Arial" w:hAnsi="Arial" w:cs="Arial"/>
          <w:lang w:val="es-ES"/>
        </w:rPr>
        <w:t xml:space="preserve">, </w:t>
      </w:r>
      <w:r w:rsidR="00585157">
        <w:rPr>
          <w:rFonts w:ascii="Arial" w:hAnsi="Arial" w:cs="Arial"/>
          <w:lang w:val="es-ES"/>
        </w:rPr>
        <w:t xml:space="preserve">el TRIBUNAL examina en qué medida no se han </w:t>
      </w:r>
      <w:r w:rsidR="007A3CE6">
        <w:rPr>
          <w:rFonts w:ascii="Arial" w:hAnsi="Arial" w:cs="Arial"/>
          <w:lang w:val="es-ES"/>
        </w:rPr>
        <w:t>respet</w:t>
      </w:r>
      <w:r w:rsidR="00585157">
        <w:rPr>
          <w:rFonts w:ascii="Arial" w:hAnsi="Arial" w:cs="Arial"/>
          <w:lang w:val="es-ES"/>
        </w:rPr>
        <w:t>ado las normas contenidas en el CONVENIO</w:t>
      </w:r>
      <w:r w:rsidR="00020135">
        <w:rPr>
          <w:rFonts w:ascii="Arial" w:hAnsi="Arial" w:cs="Arial"/>
          <w:lang w:val="es-ES"/>
        </w:rPr>
        <w:t xml:space="preserve"> o los pronunciamientos de sus sentencias</w:t>
      </w:r>
      <w:r w:rsidR="00585157">
        <w:rPr>
          <w:rFonts w:ascii="Arial" w:hAnsi="Arial" w:cs="Arial"/>
          <w:lang w:val="es-ES"/>
        </w:rPr>
        <w:t>, bien por violación de elementos sustantivos, bien por violación de elementos procesales.</w:t>
      </w:r>
      <w:r w:rsidR="00BB35F1">
        <w:rPr>
          <w:rStyle w:val="Refdenotaalpie"/>
          <w:rFonts w:ascii="Arial" w:hAnsi="Arial" w:cs="Arial"/>
          <w:lang w:val="es-ES"/>
        </w:rPr>
        <w:footnoteReference w:id="15"/>
      </w:r>
      <w:r w:rsidR="00417E05">
        <w:rPr>
          <w:rFonts w:ascii="Arial" w:hAnsi="Arial" w:cs="Arial"/>
          <w:lang w:val="es-ES"/>
        </w:rPr>
        <w:t xml:space="preserve"> </w:t>
      </w:r>
      <w:r w:rsidR="00572DE2">
        <w:rPr>
          <w:rFonts w:ascii="Arial" w:eastAsia="Times New Roman" w:hAnsi="Arial" w:cs="Arial"/>
          <w:lang w:val="es-ES" w:eastAsia="es-ES_tradnl"/>
        </w:rPr>
        <w:t>En su labor es muy respetuoso y escrupuloso con las leyes nacionales</w:t>
      </w:r>
      <w:r w:rsidR="00417E05">
        <w:rPr>
          <w:rFonts w:ascii="Arial" w:eastAsia="Times New Roman" w:hAnsi="Arial" w:cs="Arial"/>
          <w:lang w:val="es-ES" w:eastAsia="es-ES_tradnl"/>
        </w:rPr>
        <w:t xml:space="preserve"> y las valoraciones que las autoridades nacionales realicen de las pruebas sobre las que sus autoridades acuerdan el internamiento o deciden su continuación</w:t>
      </w:r>
      <w:r w:rsidR="00572DE2">
        <w:rPr>
          <w:rFonts w:ascii="Arial" w:eastAsia="Times New Roman" w:hAnsi="Arial" w:cs="Arial"/>
          <w:lang w:val="es-ES" w:eastAsia="es-ES_tradnl"/>
        </w:rPr>
        <w:t xml:space="preserve">. </w:t>
      </w:r>
      <w:r w:rsidR="00ED7B15">
        <w:rPr>
          <w:rFonts w:ascii="Arial" w:eastAsia="Times New Roman" w:hAnsi="Arial" w:cs="Arial"/>
          <w:lang w:val="es-ES" w:eastAsia="es-ES_tradnl"/>
        </w:rPr>
        <w:t xml:space="preserve">Solo entra a valorar </w:t>
      </w:r>
      <w:r w:rsidR="00FC0639">
        <w:rPr>
          <w:rFonts w:ascii="Arial" w:eastAsia="Times New Roman" w:hAnsi="Arial" w:cs="Arial"/>
          <w:lang w:val="es-ES" w:eastAsia="es-ES_tradnl"/>
        </w:rPr>
        <w:t>la regulación</w:t>
      </w:r>
      <w:r w:rsidR="00621554">
        <w:rPr>
          <w:rFonts w:ascii="Arial" w:eastAsia="Times New Roman" w:hAnsi="Arial" w:cs="Arial"/>
          <w:lang w:val="es-ES" w:eastAsia="es-ES_tradnl"/>
        </w:rPr>
        <w:t xml:space="preserve"> </w:t>
      </w:r>
      <w:r w:rsidR="00CD28BB">
        <w:rPr>
          <w:rFonts w:ascii="Arial" w:eastAsia="Times New Roman" w:hAnsi="Arial" w:cs="Arial"/>
          <w:lang w:val="es-ES" w:eastAsia="es-ES_tradnl"/>
        </w:rPr>
        <w:t>pertinente</w:t>
      </w:r>
      <w:r w:rsidR="00FC0639">
        <w:rPr>
          <w:rFonts w:ascii="Arial" w:eastAsia="Times New Roman" w:hAnsi="Arial" w:cs="Arial"/>
          <w:lang w:val="es-ES" w:eastAsia="es-ES_tradnl"/>
        </w:rPr>
        <w:t xml:space="preserve">, la prueba practicada, o el procedimiento seguido </w:t>
      </w:r>
      <w:r w:rsidR="00ED7B15">
        <w:rPr>
          <w:rFonts w:ascii="Arial" w:eastAsia="Times New Roman" w:hAnsi="Arial" w:cs="Arial"/>
          <w:lang w:val="es-ES" w:eastAsia="es-ES_tradnl"/>
        </w:rPr>
        <w:t xml:space="preserve">cuando estima que hay motivos para entender que </w:t>
      </w:r>
      <w:r w:rsidR="00FC0639">
        <w:rPr>
          <w:rFonts w:ascii="Arial" w:eastAsia="Times New Roman" w:hAnsi="Arial" w:cs="Arial"/>
          <w:lang w:val="es-ES" w:eastAsia="es-ES_tradnl"/>
        </w:rPr>
        <w:t>cualquiera de ellos ha entrado en colisión con el CONVENIO y su propia jurisprudencia</w:t>
      </w:r>
      <w:r w:rsidR="00572DE2">
        <w:rPr>
          <w:rFonts w:ascii="Arial" w:eastAsia="Times New Roman" w:hAnsi="Arial" w:cs="Arial"/>
          <w:lang w:val="es-ES" w:eastAsia="es-ES_tradnl"/>
        </w:rPr>
        <w:t>.</w:t>
      </w:r>
    </w:p>
    <w:p w14:paraId="4714736C" w14:textId="77777777" w:rsidR="00ED7B15" w:rsidRPr="00ED7B15" w:rsidRDefault="00ED7B15" w:rsidP="00ED7B15">
      <w:pPr>
        <w:jc w:val="both"/>
        <w:rPr>
          <w:rFonts w:ascii="Arial" w:hAnsi="Arial" w:cs="Arial"/>
          <w:sz w:val="10"/>
          <w:szCs w:val="10"/>
          <w:lang w:val="es-ES"/>
        </w:rPr>
      </w:pPr>
    </w:p>
    <w:p w14:paraId="70449DDD" w14:textId="3939AFCA" w:rsidR="00D1031A" w:rsidRDefault="001745D8"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c</w:t>
      </w:r>
      <w:r w:rsidR="00D1031A">
        <w:rPr>
          <w:rFonts w:ascii="Arial" w:eastAsia="Times New Roman" w:hAnsi="Arial" w:cs="Arial"/>
          <w:lang w:val="es-ES" w:eastAsia="es-ES_tradnl"/>
        </w:rPr>
        <w:t>) Requisitos para internar a una persona</w:t>
      </w:r>
    </w:p>
    <w:p w14:paraId="5E2BB831" w14:textId="6006080E" w:rsidR="0023482F" w:rsidRDefault="002E1BD4"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Uno de los temas en los que el TRIBUNAL se explaya</w:t>
      </w:r>
      <w:r w:rsidR="00CD28BB">
        <w:rPr>
          <w:rFonts w:ascii="Arial" w:eastAsia="Times New Roman" w:hAnsi="Arial" w:cs="Arial"/>
          <w:lang w:val="es-ES" w:eastAsia="es-ES_tradnl"/>
        </w:rPr>
        <w:t xml:space="preserve"> en la motivación de sus fallos</w:t>
      </w:r>
      <w:r>
        <w:rPr>
          <w:rFonts w:ascii="Arial" w:eastAsia="Times New Roman" w:hAnsi="Arial" w:cs="Arial"/>
          <w:lang w:val="es-ES" w:eastAsia="es-ES_tradnl"/>
        </w:rPr>
        <w:t xml:space="preserve"> </w:t>
      </w:r>
      <w:r w:rsidR="009D03AC">
        <w:rPr>
          <w:rFonts w:ascii="Arial" w:eastAsia="Times New Roman" w:hAnsi="Arial" w:cs="Arial"/>
          <w:lang w:val="es-ES" w:eastAsia="es-ES_tradnl"/>
        </w:rPr>
        <w:t xml:space="preserve">es </w:t>
      </w:r>
      <w:r>
        <w:rPr>
          <w:rFonts w:ascii="Arial" w:eastAsia="Times New Roman" w:hAnsi="Arial" w:cs="Arial"/>
          <w:lang w:val="es-ES" w:eastAsia="es-ES_tradnl"/>
        </w:rPr>
        <w:t>en los requisitos necesarios para que pueda considerarse legal el internamiento de una persona.</w:t>
      </w:r>
      <w:r w:rsidR="001F7BC0">
        <w:rPr>
          <w:rFonts w:ascii="Arial" w:eastAsia="Times New Roman" w:hAnsi="Arial" w:cs="Arial"/>
          <w:lang w:val="es-ES" w:eastAsia="es-ES_tradnl"/>
        </w:rPr>
        <w:t xml:space="preserve"> En este punto </w:t>
      </w:r>
      <w:r w:rsidR="00EA3E24">
        <w:rPr>
          <w:rFonts w:ascii="Arial" w:eastAsia="Times New Roman" w:hAnsi="Arial" w:cs="Arial"/>
          <w:lang w:val="es-ES" w:eastAsia="es-ES_tradnl"/>
        </w:rPr>
        <w:t xml:space="preserve">siempre </w:t>
      </w:r>
      <w:r w:rsidR="001F7BC0">
        <w:rPr>
          <w:rFonts w:ascii="Arial" w:eastAsia="Times New Roman" w:hAnsi="Arial" w:cs="Arial"/>
          <w:lang w:val="es-ES" w:eastAsia="es-ES_tradnl"/>
        </w:rPr>
        <w:t>es necesario hacer referencia a la sentencia dictada en el caso WINTERWERP</w:t>
      </w:r>
      <w:r w:rsidR="009D03AC">
        <w:rPr>
          <w:rFonts w:ascii="Arial" w:eastAsia="Times New Roman" w:hAnsi="Arial" w:cs="Arial"/>
          <w:lang w:val="es-ES" w:eastAsia="es-ES_tradnl"/>
        </w:rPr>
        <w:t xml:space="preserve"> c</w:t>
      </w:r>
      <w:r w:rsidR="00333EE5">
        <w:rPr>
          <w:rFonts w:ascii="Arial" w:eastAsia="Times New Roman" w:hAnsi="Arial" w:cs="Arial"/>
          <w:lang w:val="es-ES" w:eastAsia="es-ES_tradnl"/>
        </w:rPr>
        <w:t>ontra</w:t>
      </w:r>
      <w:r w:rsidR="009D03AC">
        <w:rPr>
          <w:rFonts w:ascii="Arial" w:eastAsia="Times New Roman" w:hAnsi="Arial" w:cs="Arial"/>
          <w:lang w:val="es-ES" w:eastAsia="es-ES_tradnl"/>
        </w:rPr>
        <w:t xml:space="preserve"> LOS PAÍSES BAJOS</w:t>
      </w:r>
      <w:r w:rsidR="00EA4411">
        <w:rPr>
          <w:rFonts w:ascii="Arial" w:eastAsia="Times New Roman" w:hAnsi="Arial" w:cs="Arial"/>
          <w:lang w:val="es-ES" w:eastAsia="es-ES_tradnl"/>
        </w:rPr>
        <w:t>,</w:t>
      </w:r>
      <w:r w:rsidR="00333EE5">
        <w:rPr>
          <w:rFonts w:ascii="Arial" w:eastAsia="Times New Roman" w:hAnsi="Arial" w:cs="Arial"/>
          <w:lang w:val="es-ES" w:eastAsia="es-ES_tradnl"/>
        </w:rPr>
        <w:t xml:space="preserve"> </w:t>
      </w:r>
      <w:r w:rsidR="009D03AC">
        <w:rPr>
          <w:rFonts w:ascii="Arial" w:eastAsia="Times New Roman" w:hAnsi="Arial" w:cs="Arial"/>
          <w:lang w:val="es-ES" w:eastAsia="es-ES_tradnl"/>
        </w:rPr>
        <w:t>que ha tenido una gran repercusión desde su pronunciamiento e</w:t>
      </w:r>
      <w:r w:rsidR="00333EE5">
        <w:rPr>
          <w:rFonts w:ascii="Arial" w:eastAsia="Times New Roman" w:hAnsi="Arial" w:cs="Arial"/>
          <w:lang w:val="es-ES" w:eastAsia="es-ES_tradnl"/>
        </w:rPr>
        <w:t>l 24 de octubre de 1979</w:t>
      </w:r>
      <w:r w:rsidR="001F7BC0">
        <w:rPr>
          <w:rFonts w:ascii="Arial" w:eastAsia="Times New Roman" w:hAnsi="Arial" w:cs="Arial"/>
          <w:lang w:val="es-ES" w:eastAsia="es-ES_tradnl"/>
        </w:rPr>
        <w:t xml:space="preserve">. En este asunto se establecieron </w:t>
      </w:r>
      <w:r w:rsidR="00333EE5">
        <w:rPr>
          <w:rFonts w:ascii="Arial" w:eastAsia="Times New Roman" w:hAnsi="Arial" w:cs="Arial"/>
          <w:lang w:val="es-ES" w:eastAsia="es-ES_tradnl"/>
        </w:rPr>
        <w:t xml:space="preserve">unos </w:t>
      </w:r>
      <w:r w:rsidR="001F7BC0">
        <w:rPr>
          <w:rFonts w:ascii="Arial" w:eastAsia="Times New Roman" w:hAnsi="Arial" w:cs="Arial"/>
          <w:lang w:val="es-ES" w:eastAsia="es-ES_tradnl"/>
        </w:rPr>
        <w:t xml:space="preserve">requisitos que han </w:t>
      </w:r>
      <w:r w:rsidR="00FD29CB">
        <w:rPr>
          <w:rFonts w:ascii="Arial" w:eastAsia="Times New Roman" w:hAnsi="Arial" w:cs="Arial"/>
          <w:lang w:val="es-ES" w:eastAsia="es-ES_tradnl"/>
        </w:rPr>
        <w:t>constitu</w:t>
      </w:r>
      <w:r w:rsidR="001F7BC0">
        <w:rPr>
          <w:rFonts w:ascii="Arial" w:eastAsia="Times New Roman" w:hAnsi="Arial" w:cs="Arial"/>
          <w:lang w:val="es-ES" w:eastAsia="es-ES_tradnl"/>
        </w:rPr>
        <w:t>ido la base sobre la que</w:t>
      </w:r>
      <w:r w:rsidR="00ED7B15">
        <w:rPr>
          <w:rFonts w:ascii="Arial" w:eastAsia="Times New Roman" w:hAnsi="Arial" w:cs="Arial"/>
          <w:lang w:val="es-ES" w:eastAsia="es-ES_tradnl"/>
        </w:rPr>
        <w:t>, con posterioridad,</w:t>
      </w:r>
      <w:r w:rsidR="001F7BC0">
        <w:rPr>
          <w:rFonts w:ascii="Arial" w:eastAsia="Times New Roman" w:hAnsi="Arial" w:cs="Arial"/>
          <w:lang w:val="es-ES" w:eastAsia="es-ES_tradnl"/>
        </w:rPr>
        <w:t xml:space="preserve"> ha desarrollado su doctrina. Según lo recogido en </w:t>
      </w:r>
      <w:r w:rsidR="00333EE5">
        <w:rPr>
          <w:rFonts w:ascii="Arial" w:eastAsia="Times New Roman" w:hAnsi="Arial" w:cs="Arial"/>
          <w:lang w:val="es-ES" w:eastAsia="es-ES_tradnl"/>
        </w:rPr>
        <w:t xml:space="preserve">la misma, </w:t>
      </w:r>
      <w:r w:rsidR="001F7BC0">
        <w:rPr>
          <w:rFonts w:ascii="Arial" w:eastAsia="Times New Roman" w:hAnsi="Arial" w:cs="Arial"/>
          <w:lang w:val="es-ES" w:eastAsia="es-ES_tradnl"/>
        </w:rPr>
        <w:t xml:space="preserve">para que una persona pueda ser ingresada es necesario </w:t>
      </w:r>
      <w:r w:rsidR="000B6A0F">
        <w:rPr>
          <w:rFonts w:ascii="Arial" w:eastAsia="Times New Roman" w:hAnsi="Arial" w:cs="Arial"/>
          <w:lang w:val="es-ES" w:eastAsia="es-ES_tradnl"/>
        </w:rPr>
        <w:t>que sufra un trastorno real, comprobado por un experto</w:t>
      </w:r>
      <w:r w:rsidR="003611DA">
        <w:rPr>
          <w:rFonts w:ascii="Arial" w:eastAsia="Times New Roman" w:hAnsi="Arial" w:cs="Arial"/>
          <w:lang w:val="es-ES" w:eastAsia="es-ES_tradnl"/>
        </w:rPr>
        <w:t xml:space="preserve"> y</w:t>
      </w:r>
      <w:r w:rsidR="000B6A0F">
        <w:rPr>
          <w:rFonts w:ascii="Arial" w:eastAsia="Times New Roman" w:hAnsi="Arial" w:cs="Arial"/>
          <w:lang w:val="es-ES" w:eastAsia="es-ES_tradnl"/>
        </w:rPr>
        <w:t xml:space="preserve"> de tal gravedad que</w:t>
      </w:r>
      <w:r w:rsidR="00FD29CB">
        <w:rPr>
          <w:rFonts w:ascii="Arial" w:eastAsia="Times New Roman" w:hAnsi="Arial" w:cs="Arial"/>
          <w:lang w:val="es-ES" w:eastAsia="es-ES_tradnl"/>
        </w:rPr>
        <w:t xml:space="preserve"> requiera el internamiento</w:t>
      </w:r>
      <w:r w:rsidR="000B6A0F">
        <w:rPr>
          <w:rFonts w:ascii="Arial" w:eastAsia="Times New Roman" w:hAnsi="Arial" w:cs="Arial"/>
          <w:lang w:val="es-ES" w:eastAsia="es-ES_tradnl"/>
        </w:rPr>
        <w:t xml:space="preserve">. Además, </w:t>
      </w:r>
      <w:r w:rsidR="00FD29CB">
        <w:rPr>
          <w:rFonts w:ascii="Arial" w:eastAsia="Times New Roman" w:hAnsi="Arial" w:cs="Arial"/>
          <w:lang w:val="es-ES" w:eastAsia="es-ES_tradnl"/>
        </w:rPr>
        <w:t xml:space="preserve">su </w:t>
      </w:r>
      <w:r w:rsidR="003611DA">
        <w:rPr>
          <w:rFonts w:ascii="Arial" w:eastAsia="Times New Roman" w:hAnsi="Arial" w:cs="Arial"/>
          <w:lang w:val="es-ES" w:eastAsia="es-ES_tradnl"/>
        </w:rPr>
        <w:t xml:space="preserve">duración superior </w:t>
      </w:r>
      <w:r w:rsidR="00FD29CB">
        <w:rPr>
          <w:rFonts w:ascii="Arial" w:eastAsia="Times New Roman" w:hAnsi="Arial" w:cs="Arial"/>
          <w:lang w:val="es-ES" w:eastAsia="es-ES_tradnl"/>
        </w:rPr>
        <w:t xml:space="preserve">no puede prolongarse más allá de </w:t>
      </w:r>
      <w:r w:rsidR="003611DA">
        <w:rPr>
          <w:rFonts w:ascii="Arial" w:eastAsia="Times New Roman" w:hAnsi="Arial" w:cs="Arial"/>
          <w:lang w:val="es-ES" w:eastAsia="es-ES_tradnl"/>
        </w:rPr>
        <w:t xml:space="preserve">la del </w:t>
      </w:r>
      <w:r w:rsidR="000B6A0F">
        <w:rPr>
          <w:rFonts w:ascii="Arial" w:eastAsia="Times New Roman" w:hAnsi="Arial" w:cs="Arial"/>
          <w:lang w:val="es-ES" w:eastAsia="es-ES_tradnl"/>
        </w:rPr>
        <w:t>trastorno</w:t>
      </w:r>
      <w:r w:rsidR="003611DA">
        <w:rPr>
          <w:rFonts w:ascii="Arial" w:eastAsia="Times New Roman" w:hAnsi="Arial" w:cs="Arial"/>
          <w:lang w:val="es-ES" w:eastAsia="es-ES_tradnl"/>
        </w:rPr>
        <w:t xml:space="preserve"> que motivó el internamiento</w:t>
      </w:r>
      <w:r w:rsidR="000B6A0F">
        <w:rPr>
          <w:rFonts w:ascii="Arial" w:eastAsia="Times New Roman" w:hAnsi="Arial" w:cs="Arial"/>
          <w:lang w:val="es-ES" w:eastAsia="es-ES_tradnl"/>
        </w:rPr>
        <w:t xml:space="preserve">, de modo que cuando la persona </w:t>
      </w:r>
      <w:r w:rsidR="00333EE5">
        <w:rPr>
          <w:rFonts w:ascii="Arial" w:eastAsia="Times New Roman" w:hAnsi="Arial" w:cs="Arial"/>
          <w:lang w:val="es-ES" w:eastAsia="es-ES_tradnl"/>
        </w:rPr>
        <w:t>se recupera</w:t>
      </w:r>
      <w:r w:rsidR="000B6A0F">
        <w:rPr>
          <w:rFonts w:ascii="Arial" w:eastAsia="Times New Roman" w:hAnsi="Arial" w:cs="Arial"/>
          <w:lang w:val="es-ES" w:eastAsia="es-ES_tradnl"/>
        </w:rPr>
        <w:t xml:space="preserve"> </w:t>
      </w:r>
      <w:r w:rsidR="003611DA">
        <w:rPr>
          <w:rFonts w:ascii="Arial" w:eastAsia="Times New Roman" w:hAnsi="Arial" w:cs="Arial"/>
          <w:lang w:val="es-ES" w:eastAsia="es-ES_tradnl"/>
        </w:rPr>
        <w:t xml:space="preserve">este último </w:t>
      </w:r>
      <w:r w:rsidR="000B6A0F">
        <w:rPr>
          <w:rFonts w:ascii="Arial" w:eastAsia="Times New Roman" w:hAnsi="Arial" w:cs="Arial"/>
          <w:lang w:val="es-ES" w:eastAsia="es-ES_tradnl"/>
        </w:rPr>
        <w:t>debe cesar.</w:t>
      </w:r>
    </w:p>
    <w:p w14:paraId="6267D19D" w14:textId="44BBF358" w:rsidR="000B2401" w:rsidRDefault="000B6A0F" w:rsidP="00600B01">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A partir de esa sentencia el TRIBUNAL ha ido ampliando y matizando </w:t>
      </w:r>
      <w:r w:rsidR="00333EE5">
        <w:rPr>
          <w:rFonts w:ascii="Arial" w:eastAsia="Times New Roman" w:hAnsi="Arial" w:cs="Arial"/>
          <w:lang w:val="es-ES" w:eastAsia="es-ES_tradnl"/>
        </w:rPr>
        <w:t>las pautas mencionadas. A</w:t>
      </w:r>
      <w:r w:rsidR="0063356C">
        <w:rPr>
          <w:rFonts w:ascii="Arial" w:eastAsia="Times New Roman" w:hAnsi="Arial" w:cs="Arial"/>
          <w:lang w:val="es-ES" w:eastAsia="es-ES_tradnl"/>
        </w:rPr>
        <w:t xml:space="preserve"> veces esas pautas se refieren a comportamientos que en ningún caso se puede entender que justifican el internamiento. Estados o situaciones </w:t>
      </w:r>
      <w:r w:rsidR="00333EE5">
        <w:rPr>
          <w:rFonts w:ascii="Arial" w:eastAsia="Times New Roman" w:hAnsi="Arial" w:cs="Arial"/>
          <w:lang w:val="es-ES" w:eastAsia="es-ES_tradnl"/>
        </w:rPr>
        <w:t>como</w:t>
      </w:r>
      <w:r w:rsidR="00CF5993" w:rsidRPr="00BD4859">
        <w:rPr>
          <w:rFonts w:ascii="Arial" w:eastAsia="Times New Roman" w:hAnsi="Arial" w:cs="Arial"/>
          <w:color w:val="000000" w:themeColor="text1"/>
          <w:lang w:val="es-ES" w:eastAsia="es-ES_tradnl"/>
        </w:rPr>
        <w:t xml:space="preserve"> mantener opiniones diferentes </w:t>
      </w:r>
      <w:r w:rsidR="00CF5993">
        <w:rPr>
          <w:rFonts w:ascii="Arial" w:eastAsia="Times New Roman" w:hAnsi="Arial" w:cs="Arial"/>
          <w:lang w:val="es-ES" w:eastAsia="es-ES_tradnl"/>
        </w:rPr>
        <w:t>a las del resto de la población</w:t>
      </w:r>
      <w:r w:rsidR="00AF2927">
        <w:rPr>
          <w:rFonts w:ascii="Arial" w:eastAsia="Times New Roman" w:hAnsi="Arial" w:cs="Arial"/>
          <w:lang w:val="es-ES" w:eastAsia="es-ES_tradnl"/>
        </w:rPr>
        <w:t>,</w:t>
      </w:r>
      <w:r w:rsidR="00EA3E24" w:rsidRPr="00BD4859">
        <w:rPr>
          <w:rStyle w:val="Refdenotaalpie"/>
          <w:rFonts w:ascii="Arial" w:eastAsia="Times New Roman" w:hAnsi="Arial" w:cs="Arial"/>
          <w:color w:val="000000" w:themeColor="text1"/>
          <w:lang w:val="es-ES" w:eastAsia="es-ES_tradnl"/>
        </w:rPr>
        <w:footnoteReference w:id="16"/>
      </w:r>
      <w:r w:rsidR="00F563D8">
        <w:rPr>
          <w:rFonts w:ascii="Arial" w:eastAsia="Times New Roman" w:hAnsi="Arial" w:cs="Arial"/>
          <w:lang w:val="es-ES" w:eastAsia="es-ES_tradnl"/>
        </w:rPr>
        <w:t xml:space="preserve"> o</w:t>
      </w:r>
      <w:r w:rsidR="00CF5993">
        <w:rPr>
          <w:rFonts w:ascii="Arial" w:eastAsia="Times New Roman" w:hAnsi="Arial" w:cs="Arial"/>
          <w:lang w:val="es-ES" w:eastAsia="es-ES_tradnl"/>
        </w:rPr>
        <w:t xml:space="preserve"> </w:t>
      </w:r>
      <w:r w:rsidR="00F563D8" w:rsidRPr="00BD4859">
        <w:rPr>
          <w:rFonts w:ascii="Arial" w:eastAsia="Times New Roman" w:hAnsi="Arial" w:cs="Arial"/>
          <w:color w:val="000000" w:themeColor="text1"/>
          <w:lang w:val="es-ES" w:eastAsia="es-ES_tradnl"/>
        </w:rPr>
        <w:t>la embriaguez</w:t>
      </w:r>
      <w:r w:rsidR="00F563D8" w:rsidRPr="00BD4859">
        <w:rPr>
          <w:rStyle w:val="Refdenotaalpie"/>
          <w:rFonts w:ascii="Arial" w:eastAsia="Times New Roman" w:hAnsi="Arial" w:cs="Arial"/>
          <w:color w:val="000000" w:themeColor="text1"/>
          <w:lang w:val="es-ES" w:eastAsia="es-ES_tradnl"/>
        </w:rPr>
        <w:footnoteReference w:id="17"/>
      </w:r>
      <w:r w:rsidR="00F563D8">
        <w:rPr>
          <w:rFonts w:ascii="Arial" w:eastAsia="Times New Roman" w:hAnsi="Arial" w:cs="Arial"/>
          <w:lang w:val="es-ES" w:eastAsia="es-ES_tradnl"/>
        </w:rPr>
        <w:t xml:space="preserve"> </w:t>
      </w:r>
      <w:r w:rsidR="00374D19">
        <w:rPr>
          <w:rFonts w:ascii="Arial" w:eastAsia="Times New Roman" w:hAnsi="Arial" w:cs="Arial"/>
          <w:lang w:val="es-ES" w:eastAsia="es-ES_tradnl"/>
        </w:rPr>
        <w:t xml:space="preserve">no </w:t>
      </w:r>
      <w:r w:rsidR="00CF5993">
        <w:rPr>
          <w:rFonts w:ascii="Arial" w:eastAsia="Times New Roman" w:hAnsi="Arial" w:cs="Arial"/>
          <w:lang w:val="es-ES" w:eastAsia="es-ES_tradnl"/>
        </w:rPr>
        <w:t>son motivos suficientes para internar a una persona</w:t>
      </w:r>
      <w:r w:rsidR="0063356C">
        <w:rPr>
          <w:rFonts w:ascii="Arial" w:eastAsia="Times New Roman" w:hAnsi="Arial" w:cs="Arial"/>
          <w:lang w:val="es-ES" w:eastAsia="es-ES_tradnl"/>
        </w:rPr>
        <w:t xml:space="preserve">. De este modo el TRIBUNAL ha mantenido siempre que el estado en el que se encuentre la persona o su comportamiento </w:t>
      </w:r>
      <w:r w:rsidR="00FD29CB">
        <w:rPr>
          <w:rFonts w:ascii="Arial" w:eastAsia="Times New Roman" w:hAnsi="Arial" w:cs="Arial"/>
          <w:lang w:val="es-ES" w:eastAsia="es-ES_tradnl"/>
        </w:rPr>
        <w:t xml:space="preserve">deben haber sido lo </w:t>
      </w:r>
      <w:r w:rsidR="0063356C">
        <w:rPr>
          <w:rFonts w:ascii="Arial" w:eastAsia="Times New Roman" w:hAnsi="Arial" w:cs="Arial"/>
          <w:lang w:val="es-ES" w:eastAsia="es-ES_tradnl"/>
        </w:rPr>
        <w:t>suficientemente graves como para justificar</w:t>
      </w:r>
      <w:r w:rsidR="00B270C2">
        <w:rPr>
          <w:rFonts w:ascii="Arial" w:eastAsia="Times New Roman" w:hAnsi="Arial" w:cs="Arial"/>
          <w:lang w:val="es-ES" w:eastAsia="es-ES_tradnl"/>
        </w:rPr>
        <w:t>lo</w:t>
      </w:r>
      <w:r w:rsidR="0063356C">
        <w:rPr>
          <w:rFonts w:ascii="Arial" w:eastAsia="Times New Roman" w:hAnsi="Arial" w:cs="Arial"/>
          <w:lang w:val="es-ES" w:eastAsia="es-ES_tradnl"/>
        </w:rPr>
        <w:t>.</w:t>
      </w:r>
      <w:r w:rsidR="001A27B6">
        <w:rPr>
          <w:rStyle w:val="Refdenotaalpie"/>
          <w:rFonts w:ascii="Arial" w:eastAsia="Times New Roman" w:hAnsi="Arial" w:cs="Arial"/>
          <w:lang w:val="es-ES" w:eastAsia="es-ES_tradnl"/>
        </w:rPr>
        <w:footnoteReference w:id="18"/>
      </w:r>
      <w:r w:rsidR="0063356C">
        <w:rPr>
          <w:rFonts w:ascii="Arial" w:eastAsia="Times New Roman" w:hAnsi="Arial" w:cs="Arial"/>
          <w:lang w:val="es-ES" w:eastAsia="es-ES_tradnl"/>
        </w:rPr>
        <w:t xml:space="preserve"> </w:t>
      </w:r>
      <w:r w:rsidR="00CA5B6A">
        <w:rPr>
          <w:rFonts w:ascii="Arial" w:eastAsia="Times New Roman" w:hAnsi="Arial" w:cs="Arial"/>
          <w:lang w:val="es-ES" w:eastAsia="es-ES_tradnl"/>
        </w:rPr>
        <w:t>Ello viene a concretarse en la necesidad de terapia o medicación, o bien control o supervisión para evitar que se haga daño a sí mismo o a los demás.</w:t>
      </w:r>
      <w:r w:rsidR="00CA5B6A">
        <w:rPr>
          <w:rStyle w:val="Refdenotaalpie"/>
          <w:rFonts w:ascii="Arial" w:eastAsia="Times New Roman" w:hAnsi="Arial" w:cs="Arial"/>
          <w:lang w:val="es-ES" w:eastAsia="es-ES_tradnl"/>
        </w:rPr>
        <w:footnoteReference w:id="19"/>
      </w:r>
      <w:r w:rsidR="00CA5B6A">
        <w:rPr>
          <w:rFonts w:ascii="Arial" w:eastAsia="Times New Roman" w:hAnsi="Arial" w:cs="Arial"/>
          <w:lang w:val="es-ES" w:eastAsia="es-ES_tradnl"/>
        </w:rPr>
        <w:t xml:space="preserve"> </w:t>
      </w:r>
      <w:r w:rsidR="0063356C">
        <w:rPr>
          <w:rFonts w:ascii="Arial" w:eastAsia="Times New Roman" w:hAnsi="Arial" w:cs="Arial"/>
          <w:lang w:val="es-ES" w:eastAsia="es-ES_tradnl"/>
        </w:rPr>
        <w:t xml:space="preserve">A ello hay que añadir que no es bastante la apreciación de la autoridad </w:t>
      </w:r>
      <w:r w:rsidR="00600B01">
        <w:rPr>
          <w:rFonts w:ascii="Arial" w:eastAsia="Times New Roman" w:hAnsi="Arial" w:cs="Arial"/>
          <w:lang w:val="es-ES" w:eastAsia="es-ES_tradnl"/>
        </w:rPr>
        <w:t xml:space="preserve">competente para autorizar el internamiento para considerarlo «regular». La gravedad y la necesidad del internamiento tienen que </w:t>
      </w:r>
      <w:r w:rsidR="00600B01" w:rsidRPr="002829A6">
        <w:rPr>
          <w:rFonts w:ascii="Arial" w:eastAsia="Times New Roman" w:hAnsi="Arial" w:cs="Arial"/>
          <w:lang w:val="es-ES" w:eastAsia="es-ES_tradnl"/>
        </w:rPr>
        <w:t>basarse en el examen</w:t>
      </w:r>
      <w:r w:rsidR="00600B01">
        <w:rPr>
          <w:rFonts w:ascii="Arial" w:eastAsia="Times New Roman" w:hAnsi="Arial" w:cs="Arial"/>
          <w:lang w:val="es-ES" w:eastAsia="es-ES_tradnl"/>
        </w:rPr>
        <w:t xml:space="preserve"> que realice un experto en esta materia y venir expresado en el correspondiente informe que aporte a la autoridad competente.</w:t>
      </w:r>
      <w:r w:rsidR="002829A6">
        <w:rPr>
          <w:rStyle w:val="Refdenotaalpie"/>
          <w:rFonts w:ascii="Arial" w:eastAsia="Times New Roman" w:hAnsi="Arial" w:cs="Arial"/>
          <w:lang w:val="es-ES" w:eastAsia="es-ES_tradnl"/>
        </w:rPr>
        <w:footnoteReference w:id="20"/>
      </w:r>
      <w:r w:rsidR="00600B01">
        <w:rPr>
          <w:rFonts w:ascii="Arial" w:eastAsia="Times New Roman" w:hAnsi="Arial" w:cs="Arial"/>
          <w:lang w:val="es-ES" w:eastAsia="es-ES_tradnl"/>
        </w:rPr>
        <w:t xml:space="preserve"> Es de destacar que </w:t>
      </w:r>
      <w:r w:rsidR="008F0FE3">
        <w:rPr>
          <w:rFonts w:ascii="Arial" w:eastAsia="Times New Roman" w:hAnsi="Arial" w:cs="Arial"/>
          <w:lang w:val="es-ES" w:eastAsia="es-ES_tradnl"/>
        </w:rPr>
        <w:t xml:space="preserve">el TRIBUNAL ha sido </w:t>
      </w:r>
      <w:r w:rsidR="008F0FE3" w:rsidRPr="001E4F44">
        <w:rPr>
          <w:rFonts w:ascii="Arial" w:eastAsia="Times New Roman" w:hAnsi="Arial" w:cs="Arial"/>
          <w:lang w:val="es-ES" w:eastAsia="es-ES_tradnl"/>
        </w:rPr>
        <w:t>reacio a dar una definición</w:t>
      </w:r>
      <w:r w:rsidR="008F0FE3">
        <w:rPr>
          <w:rFonts w:ascii="Arial" w:eastAsia="Times New Roman" w:hAnsi="Arial" w:cs="Arial"/>
          <w:lang w:val="es-ES" w:eastAsia="es-ES_tradnl"/>
        </w:rPr>
        <w:t xml:space="preserve"> de lo que pueda entender como enfermedad mental, dejando en manos de los especialistas lo que pueda entenderse por tal en cada momento.</w:t>
      </w:r>
      <w:r w:rsidR="005F5983">
        <w:rPr>
          <w:rStyle w:val="Refdenotaalpie"/>
          <w:rFonts w:ascii="Arial" w:eastAsia="Times New Roman" w:hAnsi="Arial" w:cs="Arial"/>
          <w:lang w:val="es-ES" w:eastAsia="es-ES_tradnl"/>
        </w:rPr>
        <w:footnoteReference w:id="21"/>
      </w:r>
      <w:r w:rsidR="008F0FE3">
        <w:rPr>
          <w:rFonts w:ascii="Arial" w:eastAsia="Times New Roman" w:hAnsi="Arial" w:cs="Arial"/>
          <w:lang w:val="es-ES" w:eastAsia="es-ES_tradnl"/>
        </w:rPr>
        <w:t xml:space="preserve"> </w:t>
      </w:r>
    </w:p>
    <w:p w14:paraId="41FA33A5" w14:textId="63AB0AA1" w:rsidR="006238C8" w:rsidRDefault="008F0FE3" w:rsidP="000B2401">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En esa línea de consciente «indefinición»</w:t>
      </w:r>
      <w:r w:rsidR="006238C8">
        <w:rPr>
          <w:rFonts w:ascii="Arial" w:eastAsia="Times New Roman" w:hAnsi="Arial" w:cs="Arial"/>
          <w:lang w:val="es-ES" w:eastAsia="es-ES_tradnl"/>
        </w:rPr>
        <w:t xml:space="preserve">, lo que ha hecho es establecer un lábil punto de partida al </w:t>
      </w:r>
      <w:r w:rsidR="00EA3E24">
        <w:rPr>
          <w:rFonts w:ascii="Arial" w:eastAsia="Times New Roman" w:hAnsi="Arial" w:cs="Arial"/>
          <w:lang w:val="es-ES" w:eastAsia="es-ES_tradnl"/>
        </w:rPr>
        <w:t>entender</w:t>
      </w:r>
      <w:r w:rsidR="006238C8">
        <w:rPr>
          <w:rFonts w:ascii="Arial" w:eastAsia="Times New Roman" w:hAnsi="Arial" w:cs="Arial"/>
          <w:lang w:val="es-ES" w:eastAsia="es-ES_tradnl"/>
        </w:rPr>
        <w:t xml:space="preserve"> que en cada caso hay que prestar atención a las circunstancias que se dan en </w:t>
      </w:r>
      <w:r w:rsidR="00EA3E24">
        <w:rPr>
          <w:rFonts w:ascii="Arial" w:eastAsia="Times New Roman" w:hAnsi="Arial" w:cs="Arial"/>
          <w:lang w:val="es-ES" w:eastAsia="es-ES_tradnl"/>
        </w:rPr>
        <w:t>el mismo</w:t>
      </w:r>
      <w:r w:rsidR="0096132B">
        <w:rPr>
          <w:rFonts w:ascii="Arial" w:eastAsia="Times New Roman" w:hAnsi="Arial" w:cs="Arial"/>
          <w:lang w:val="es-ES" w:eastAsia="es-ES_tradnl"/>
        </w:rPr>
        <w:t xml:space="preserve">, especialmente cuando la persona internada pertenece a algún grupo </w:t>
      </w:r>
      <w:r w:rsidR="00EA3E24">
        <w:rPr>
          <w:rFonts w:ascii="Arial" w:eastAsia="Times New Roman" w:hAnsi="Arial" w:cs="Arial"/>
          <w:lang w:val="es-ES" w:eastAsia="es-ES_tradnl"/>
        </w:rPr>
        <w:t>particular</w:t>
      </w:r>
      <w:r w:rsidR="0096132B">
        <w:rPr>
          <w:rFonts w:ascii="Arial" w:eastAsia="Times New Roman" w:hAnsi="Arial" w:cs="Arial"/>
          <w:lang w:val="es-ES" w:eastAsia="es-ES_tradnl"/>
        </w:rPr>
        <w:t>mente vulnerable</w:t>
      </w:r>
      <w:r w:rsidR="00600B01">
        <w:rPr>
          <w:rFonts w:ascii="Arial" w:eastAsia="Times New Roman" w:hAnsi="Arial" w:cs="Arial"/>
          <w:lang w:val="es-ES" w:eastAsia="es-ES_tradnl"/>
        </w:rPr>
        <w:t>,</w:t>
      </w:r>
      <w:r w:rsidR="0096132B">
        <w:rPr>
          <w:rFonts w:ascii="Arial" w:eastAsia="Times New Roman" w:hAnsi="Arial" w:cs="Arial"/>
          <w:lang w:val="es-ES" w:eastAsia="es-ES_tradnl"/>
        </w:rPr>
        <w:t xml:space="preserve"> como es el constituido por l</w:t>
      </w:r>
      <w:r w:rsidR="00600B01">
        <w:rPr>
          <w:rFonts w:ascii="Arial" w:eastAsia="Times New Roman" w:hAnsi="Arial" w:cs="Arial"/>
          <w:lang w:val="es-ES" w:eastAsia="es-ES_tradnl"/>
        </w:rPr>
        <w:t xml:space="preserve">as personas </w:t>
      </w:r>
      <w:r w:rsidR="00600B01" w:rsidRPr="00910986">
        <w:rPr>
          <w:rFonts w:ascii="Arial" w:eastAsia="Times New Roman" w:hAnsi="Arial" w:cs="Arial"/>
          <w:lang w:val="es-ES" w:eastAsia="es-ES_tradnl"/>
        </w:rPr>
        <w:t>con discapacidad</w:t>
      </w:r>
      <w:r w:rsidR="0096132B">
        <w:rPr>
          <w:rFonts w:ascii="Arial" w:eastAsia="Times New Roman" w:hAnsi="Arial" w:cs="Arial"/>
          <w:lang w:val="es-ES" w:eastAsia="es-ES_tradnl"/>
        </w:rPr>
        <w:t>.</w:t>
      </w:r>
      <w:r w:rsidR="000B2401">
        <w:rPr>
          <w:rFonts w:ascii="Arial" w:eastAsia="Times New Roman" w:hAnsi="Arial" w:cs="Arial"/>
          <w:lang w:val="es-ES" w:eastAsia="es-ES_tradnl"/>
        </w:rPr>
        <w:t xml:space="preserve"> No obstante, aunque el TRIBUNAL </w:t>
      </w:r>
      <w:r w:rsidR="006238C8">
        <w:rPr>
          <w:rFonts w:ascii="Arial" w:eastAsia="Times New Roman" w:hAnsi="Arial" w:cs="Arial"/>
          <w:lang w:val="es-ES" w:eastAsia="es-ES_tradnl"/>
        </w:rPr>
        <w:t>ha sido reacio a dar una definición de enfermedad o de trastorno mental, en cambio, sí ha sido bastante claro al establecer cuándo puede ser necesario el internamiento.</w:t>
      </w:r>
      <w:r w:rsidR="00374D19">
        <w:rPr>
          <w:rFonts w:ascii="Arial" w:eastAsia="Times New Roman" w:hAnsi="Arial" w:cs="Arial"/>
          <w:lang w:val="es-ES" w:eastAsia="es-ES_tradnl"/>
        </w:rPr>
        <w:t xml:space="preserve"> </w:t>
      </w:r>
      <w:r w:rsidR="0096132B">
        <w:rPr>
          <w:rFonts w:ascii="Arial" w:eastAsia="Times New Roman" w:hAnsi="Arial" w:cs="Arial"/>
          <w:lang w:val="es-ES" w:eastAsia="es-ES_tradnl"/>
        </w:rPr>
        <w:t>El</w:t>
      </w:r>
      <w:r w:rsidR="00374D19">
        <w:rPr>
          <w:rFonts w:ascii="Arial" w:eastAsia="Times New Roman" w:hAnsi="Arial" w:cs="Arial"/>
          <w:lang w:val="es-ES" w:eastAsia="es-ES_tradnl"/>
        </w:rPr>
        <w:t xml:space="preserve"> </w:t>
      </w:r>
      <w:r w:rsidR="0096132B">
        <w:rPr>
          <w:rFonts w:ascii="Arial" w:eastAsia="Times New Roman" w:hAnsi="Arial" w:cs="Arial"/>
          <w:lang w:val="es-ES" w:eastAsia="es-ES_tradnl"/>
        </w:rPr>
        <w:t xml:space="preserve">internamiento está justificado cuando la terapia </w:t>
      </w:r>
      <w:r w:rsidR="00B45011">
        <w:rPr>
          <w:rFonts w:ascii="Arial" w:eastAsia="Times New Roman" w:hAnsi="Arial" w:cs="Arial"/>
          <w:lang w:val="es-ES" w:eastAsia="es-ES_tradnl"/>
        </w:rPr>
        <w:t>es</w:t>
      </w:r>
      <w:r w:rsidR="0096132B">
        <w:rPr>
          <w:rFonts w:ascii="Arial" w:eastAsia="Times New Roman" w:hAnsi="Arial" w:cs="Arial"/>
          <w:lang w:val="es-ES" w:eastAsia="es-ES_tradnl"/>
        </w:rPr>
        <w:t xml:space="preserve"> </w:t>
      </w:r>
      <w:r w:rsidR="0096132B" w:rsidRPr="00910986">
        <w:rPr>
          <w:rFonts w:ascii="Arial" w:eastAsia="Times New Roman" w:hAnsi="Arial" w:cs="Arial"/>
          <w:lang w:val="es-ES" w:eastAsia="es-ES_tradnl"/>
        </w:rPr>
        <w:t>necesaria</w:t>
      </w:r>
      <w:r w:rsidR="0096132B">
        <w:rPr>
          <w:rFonts w:ascii="Arial" w:eastAsia="Times New Roman" w:hAnsi="Arial" w:cs="Arial"/>
          <w:lang w:val="es-ES" w:eastAsia="es-ES_tradnl"/>
        </w:rPr>
        <w:t xml:space="preserve"> para evitar peligros contra los demás o contra la misma persona, cuando se trata de asegurar su propia protección o la de los demás. </w:t>
      </w:r>
      <w:r w:rsidR="00606161">
        <w:rPr>
          <w:rFonts w:ascii="Arial" w:eastAsia="Times New Roman" w:hAnsi="Arial" w:cs="Arial"/>
          <w:lang w:val="es-ES" w:eastAsia="es-ES_tradnl"/>
        </w:rPr>
        <w:t xml:space="preserve">En esta línea llega a entender que en estos casos el internamiento puede estar justificado incluso aunque no sea preciso aplicar </w:t>
      </w:r>
      <w:r w:rsidR="00606161" w:rsidRPr="00910986">
        <w:rPr>
          <w:rFonts w:ascii="Arial" w:eastAsia="Times New Roman" w:hAnsi="Arial" w:cs="Arial"/>
          <w:lang w:val="es-ES" w:eastAsia="es-ES_tradnl"/>
        </w:rPr>
        <w:t>ninguna terapia expresa</w:t>
      </w:r>
      <w:r w:rsidR="008F0227">
        <w:rPr>
          <w:rFonts w:ascii="Arial" w:eastAsia="Times New Roman" w:hAnsi="Arial" w:cs="Arial"/>
          <w:lang w:val="es-ES" w:eastAsia="es-ES_tradnl"/>
        </w:rPr>
        <w:t>.</w:t>
      </w:r>
    </w:p>
    <w:p w14:paraId="32102610" w14:textId="34560AB4" w:rsidR="005C74D2" w:rsidRDefault="008F0227"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Atendiendo a los informes emitidos por especialistas que se exigen para poder internar a una persona podemos deducir una serie de requisitos sobre los que, igualmente, se pronuncia el TRIBUNAL</w:t>
      </w:r>
      <w:r w:rsidR="00374D19">
        <w:rPr>
          <w:rFonts w:ascii="Arial" w:eastAsia="Times New Roman" w:hAnsi="Arial" w:cs="Arial"/>
          <w:lang w:val="es-ES" w:eastAsia="es-ES_tradnl"/>
        </w:rPr>
        <w:t>. E</w:t>
      </w:r>
      <w:r>
        <w:rPr>
          <w:rFonts w:ascii="Arial" w:eastAsia="Times New Roman" w:hAnsi="Arial" w:cs="Arial"/>
          <w:lang w:val="es-ES" w:eastAsia="es-ES_tradnl"/>
        </w:rPr>
        <w:t>l primero de ellos se refiere a</w:t>
      </w:r>
      <w:r w:rsidR="00AF5379">
        <w:rPr>
          <w:rFonts w:ascii="Arial" w:eastAsia="Times New Roman" w:hAnsi="Arial" w:cs="Arial"/>
          <w:lang w:val="es-ES" w:eastAsia="es-ES_tradnl"/>
        </w:rPr>
        <w:t xml:space="preserve"> la necesidad del </w:t>
      </w:r>
      <w:r>
        <w:rPr>
          <w:rFonts w:ascii="Arial" w:eastAsia="Times New Roman" w:hAnsi="Arial" w:cs="Arial"/>
          <w:lang w:val="es-ES" w:eastAsia="es-ES_tradnl"/>
        </w:rPr>
        <w:t>propio examen y al informe correspondiente</w:t>
      </w:r>
      <w:r w:rsidR="005C74D2">
        <w:rPr>
          <w:rFonts w:ascii="Arial" w:eastAsia="Times New Roman" w:hAnsi="Arial" w:cs="Arial"/>
          <w:lang w:val="es-ES" w:eastAsia="es-ES_tradnl"/>
        </w:rPr>
        <w:t xml:space="preserve">. Con independencia de que más adelante dediquemos un apartado a los informes, cabe insistir ahora en la necesidad de la existencia de dichos </w:t>
      </w:r>
      <w:r w:rsidR="00AF5379">
        <w:rPr>
          <w:rFonts w:ascii="Arial" w:eastAsia="Times New Roman" w:hAnsi="Arial" w:cs="Arial"/>
          <w:lang w:val="es-ES" w:eastAsia="es-ES_tradnl"/>
        </w:rPr>
        <w:t xml:space="preserve">exámenes realizados por expertos y a los </w:t>
      </w:r>
      <w:r w:rsidR="005C74D2">
        <w:rPr>
          <w:rFonts w:ascii="Arial" w:eastAsia="Times New Roman" w:hAnsi="Arial" w:cs="Arial"/>
          <w:lang w:val="es-ES" w:eastAsia="es-ES_tradnl"/>
        </w:rPr>
        <w:t xml:space="preserve">informes </w:t>
      </w:r>
      <w:r w:rsidR="00AF5379">
        <w:rPr>
          <w:rFonts w:ascii="Arial" w:eastAsia="Times New Roman" w:hAnsi="Arial" w:cs="Arial"/>
          <w:lang w:val="es-ES" w:eastAsia="es-ES_tradnl"/>
        </w:rPr>
        <w:t xml:space="preserve">correspondientes </w:t>
      </w:r>
      <w:r w:rsidR="005C74D2">
        <w:rPr>
          <w:rFonts w:ascii="Arial" w:eastAsia="Times New Roman" w:hAnsi="Arial" w:cs="Arial"/>
          <w:lang w:val="es-ES" w:eastAsia="es-ES_tradnl"/>
        </w:rPr>
        <w:t>como requisito</w:t>
      </w:r>
      <w:r w:rsidR="00AF5379">
        <w:rPr>
          <w:rFonts w:ascii="Arial" w:eastAsia="Times New Roman" w:hAnsi="Arial" w:cs="Arial"/>
          <w:lang w:val="es-ES" w:eastAsia="es-ES_tradnl"/>
        </w:rPr>
        <w:t>s</w:t>
      </w:r>
      <w:r w:rsidR="005C74D2">
        <w:rPr>
          <w:rFonts w:ascii="Arial" w:eastAsia="Times New Roman" w:hAnsi="Arial" w:cs="Arial"/>
          <w:lang w:val="es-ES" w:eastAsia="es-ES_tradnl"/>
        </w:rPr>
        <w:t xml:space="preserve"> para internar a la persona. Desde esta perspectiva</w:t>
      </w:r>
      <w:r w:rsidR="00AF5379">
        <w:rPr>
          <w:rFonts w:ascii="Arial" w:eastAsia="Times New Roman" w:hAnsi="Arial" w:cs="Arial"/>
          <w:lang w:val="es-ES" w:eastAsia="es-ES_tradnl"/>
        </w:rPr>
        <w:t>,</w:t>
      </w:r>
      <w:r w:rsidR="005C74D2">
        <w:rPr>
          <w:rFonts w:ascii="Arial" w:eastAsia="Times New Roman" w:hAnsi="Arial" w:cs="Arial"/>
          <w:lang w:val="es-ES" w:eastAsia="es-ES_tradnl"/>
        </w:rPr>
        <w:t xml:space="preserve"> </w:t>
      </w:r>
      <w:r w:rsidR="00AF5379">
        <w:rPr>
          <w:rFonts w:ascii="Arial" w:eastAsia="Times New Roman" w:hAnsi="Arial" w:cs="Arial"/>
          <w:lang w:val="es-ES" w:eastAsia="es-ES_tradnl"/>
        </w:rPr>
        <w:t>exámenes periciales</w:t>
      </w:r>
      <w:r w:rsidR="005C74D2">
        <w:rPr>
          <w:rFonts w:ascii="Arial" w:eastAsia="Times New Roman" w:hAnsi="Arial" w:cs="Arial"/>
          <w:lang w:val="es-ES" w:eastAsia="es-ES_tradnl"/>
        </w:rPr>
        <w:t xml:space="preserve"> </w:t>
      </w:r>
      <w:r w:rsidR="00686DE0">
        <w:rPr>
          <w:rFonts w:ascii="Arial" w:eastAsia="Times New Roman" w:hAnsi="Arial" w:cs="Arial"/>
          <w:lang w:val="es-ES" w:eastAsia="es-ES_tradnl"/>
        </w:rPr>
        <w:t xml:space="preserve">e </w:t>
      </w:r>
      <w:r w:rsidR="005C74D2">
        <w:rPr>
          <w:rFonts w:ascii="Arial" w:eastAsia="Times New Roman" w:hAnsi="Arial" w:cs="Arial"/>
          <w:lang w:val="es-ES" w:eastAsia="es-ES_tradnl"/>
        </w:rPr>
        <w:t>informes se oponen a las meras sospechas policiales,</w:t>
      </w:r>
      <w:r w:rsidR="00AF5379">
        <w:rPr>
          <w:rFonts w:ascii="Arial" w:eastAsia="Times New Roman" w:hAnsi="Arial" w:cs="Arial"/>
          <w:lang w:val="es-ES" w:eastAsia="es-ES_tradnl"/>
        </w:rPr>
        <w:t xml:space="preserve"> a</w:t>
      </w:r>
      <w:r w:rsidR="005C74D2">
        <w:rPr>
          <w:rFonts w:ascii="Arial" w:eastAsia="Times New Roman" w:hAnsi="Arial" w:cs="Arial"/>
          <w:lang w:val="es-ES" w:eastAsia="es-ES_tradnl"/>
        </w:rPr>
        <w:t xml:space="preserve"> las opiniones que puedan tener los demás sobre la conducta de las personas, la mera referencia a los hechos realizados o a su comportamiento, </w:t>
      </w:r>
      <w:r w:rsidR="00F235D1">
        <w:rPr>
          <w:rFonts w:ascii="Arial" w:eastAsia="Times New Roman" w:hAnsi="Arial" w:cs="Arial"/>
          <w:lang w:val="es-ES" w:eastAsia="es-ES_tradnl"/>
        </w:rPr>
        <w:t>inclusive en los casos en los que este comportamiento conlleve peligrosidad para los demás o para la pr</w:t>
      </w:r>
      <w:r w:rsidR="00AF5379">
        <w:rPr>
          <w:rFonts w:ascii="Arial" w:eastAsia="Times New Roman" w:hAnsi="Arial" w:cs="Arial"/>
          <w:lang w:val="es-ES" w:eastAsia="es-ES_tradnl"/>
        </w:rPr>
        <w:t>o</w:t>
      </w:r>
      <w:r w:rsidR="00F235D1">
        <w:rPr>
          <w:rFonts w:ascii="Arial" w:eastAsia="Times New Roman" w:hAnsi="Arial" w:cs="Arial"/>
          <w:lang w:val="es-ES" w:eastAsia="es-ES_tradnl"/>
        </w:rPr>
        <w:t>pia persona</w:t>
      </w:r>
      <w:r w:rsidR="00AF5379">
        <w:rPr>
          <w:rFonts w:ascii="Arial" w:eastAsia="Times New Roman" w:hAnsi="Arial" w:cs="Arial"/>
          <w:lang w:val="es-ES" w:eastAsia="es-ES_tradnl"/>
        </w:rPr>
        <w:t>. Incluso en este último caso de peligrosidad es necesario un examen</w:t>
      </w:r>
      <w:r w:rsidR="00F235D1">
        <w:rPr>
          <w:rFonts w:ascii="Arial" w:eastAsia="Times New Roman" w:hAnsi="Arial" w:cs="Arial"/>
          <w:lang w:val="es-ES" w:eastAsia="es-ES_tradnl"/>
        </w:rPr>
        <w:t xml:space="preserve"> de</w:t>
      </w:r>
      <w:r w:rsidR="00AF5379">
        <w:rPr>
          <w:rFonts w:ascii="Arial" w:eastAsia="Times New Roman" w:hAnsi="Arial" w:cs="Arial"/>
          <w:lang w:val="es-ES" w:eastAsia="es-ES_tradnl"/>
        </w:rPr>
        <w:t xml:space="preserve"> </w:t>
      </w:r>
      <w:r w:rsidR="00F235D1">
        <w:rPr>
          <w:rFonts w:ascii="Arial" w:eastAsia="Times New Roman" w:hAnsi="Arial" w:cs="Arial"/>
          <w:lang w:val="es-ES" w:eastAsia="es-ES_tradnl"/>
        </w:rPr>
        <w:t xml:space="preserve">facultativos </w:t>
      </w:r>
      <w:r w:rsidR="00AF5379">
        <w:rPr>
          <w:rFonts w:ascii="Arial" w:eastAsia="Times New Roman" w:hAnsi="Arial" w:cs="Arial"/>
          <w:lang w:val="es-ES" w:eastAsia="es-ES_tradnl"/>
        </w:rPr>
        <w:t xml:space="preserve">expertos </w:t>
      </w:r>
      <w:r w:rsidR="00F235D1">
        <w:rPr>
          <w:rFonts w:ascii="Arial" w:eastAsia="Times New Roman" w:hAnsi="Arial" w:cs="Arial"/>
          <w:lang w:val="es-ES" w:eastAsia="es-ES_tradnl"/>
        </w:rPr>
        <w:t xml:space="preserve">en la materia </w:t>
      </w:r>
      <w:r w:rsidR="00AF5379">
        <w:rPr>
          <w:rFonts w:ascii="Arial" w:eastAsia="Times New Roman" w:hAnsi="Arial" w:cs="Arial"/>
          <w:lang w:val="es-ES" w:eastAsia="es-ES_tradnl"/>
        </w:rPr>
        <w:t>que dictaminen que tal peligrosidad es causa justificadora del internamiento.</w:t>
      </w:r>
    </w:p>
    <w:p w14:paraId="01109243" w14:textId="14445D73" w:rsidR="00FD25BC" w:rsidRDefault="00FD25BC"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En cuanto a la duración</w:t>
      </w:r>
      <w:r w:rsidR="00B45011">
        <w:rPr>
          <w:rFonts w:ascii="Arial" w:eastAsia="Times New Roman" w:hAnsi="Arial" w:cs="Arial"/>
          <w:lang w:val="es-ES" w:eastAsia="es-ES_tradnl"/>
        </w:rPr>
        <w:t xml:space="preserve"> del internamiento</w:t>
      </w:r>
      <w:r>
        <w:rPr>
          <w:rFonts w:ascii="Arial" w:eastAsia="Times New Roman" w:hAnsi="Arial" w:cs="Arial"/>
          <w:lang w:val="es-ES" w:eastAsia="es-ES_tradnl"/>
        </w:rPr>
        <w:t>, el TRIBUNAL expresa con claridad que solo puede durar mientras existen las causas que lo motivaron, aunque admite que</w:t>
      </w:r>
      <w:r w:rsidR="0005382A">
        <w:rPr>
          <w:rFonts w:ascii="Arial" w:eastAsia="Times New Roman" w:hAnsi="Arial" w:cs="Arial"/>
          <w:lang w:val="es-ES" w:eastAsia="es-ES_tradnl"/>
        </w:rPr>
        <w:t xml:space="preserve"> la desaparición de esas causas no tiene que suponer necesariamente la puesta en libertad de la persona de forma automática.</w:t>
      </w:r>
      <w:r w:rsidR="00792016">
        <w:rPr>
          <w:rStyle w:val="Refdenotaalpie"/>
          <w:rFonts w:ascii="Arial" w:eastAsia="Times New Roman" w:hAnsi="Arial" w:cs="Arial"/>
          <w:lang w:val="es-ES" w:eastAsia="es-ES_tradnl"/>
        </w:rPr>
        <w:footnoteReference w:id="22"/>
      </w:r>
      <w:r w:rsidR="0005382A">
        <w:rPr>
          <w:rFonts w:ascii="Arial" w:eastAsia="Times New Roman" w:hAnsi="Arial" w:cs="Arial"/>
          <w:lang w:val="es-ES" w:eastAsia="es-ES_tradnl"/>
        </w:rPr>
        <w:t xml:space="preserve"> Hay ocasiones en las que la plena recuperación de la libertad pasa por un periodo en el que la persona que fue internada debe permanecer en algún tipo de institución social con un régimen de libertad más flexible que le sirve de adaptación para una situación de libertad plena.</w:t>
      </w:r>
    </w:p>
    <w:p w14:paraId="59A33B07" w14:textId="77777777" w:rsidR="00374D19" w:rsidRDefault="00F235D1" w:rsidP="00374D19">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Un resumen rápido, pues, de los requisitos nos lleva a mencionar los siguientes. El internamiento de una persona solo se considera justificado cuando padece un trastorno mental de tal gravedad que no sea posible otra opción menos severa que la de privarla de libertad. La gravedad del trastorno y la necesidad del internamiento tienen que ser reconocidos por el informe de </w:t>
      </w:r>
      <w:r w:rsidR="00FD25BC">
        <w:rPr>
          <w:rFonts w:ascii="Arial" w:eastAsia="Times New Roman" w:hAnsi="Arial" w:cs="Arial"/>
          <w:lang w:val="es-ES" w:eastAsia="es-ES_tradnl"/>
        </w:rPr>
        <w:t xml:space="preserve">médicos expertos en la materia quienes, tras el examen correspondiente, recogerán sus conclusiones en un informe que deben remitir a la autoridad responsable de acordar dicho internamiento. El internamiento solo puede mantenerse durante el tiempo en que dure el estado de enajenación que lo justificó. </w:t>
      </w:r>
      <w:r w:rsidR="00DE5D7A">
        <w:rPr>
          <w:rFonts w:ascii="Arial" w:eastAsia="Times New Roman" w:hAnsi="Arial" w:cs="Arial"/>
          <w:lang w:val="es-ES" w:eastAsia="es-ES_tradnl"/>
        </w:rPr>
        <w:t>Estando ya internada la persona, la prórroga del internamiento debe quedar plenamente justificada.</w:t>
      </w:r>
      <w:r w:rsidR="00DE5D7A">
        <w:rPr>
          <w:rStyle w:val="Refdenotaalpie"/>
          <w:rFonts w:ascii="Arial" w:eastAsia="Times New Roman" w:hAnsi="Arial" w:cs="Arial"/>
          <w:lang w:val="es-ES" w:eastAsia="es-ES_tradnl"/>
        </w:rPr>
        <w:footnoteReference w:id="23"/>
      </w:r>
    </w:p>
    <w:p w14:paraId="6030E75E" w14:textId="77777777" w:rsidR="0005382A" w:rsidRPr="00374D19" w:rsidRDefault="0005382A" w:rsidP="0025550C">
      <w:pPr>
        <w:ind w:right="-1" w:firstLine="284"/>
        <w:jc w:val="both"/>
        <w:rPr>
          <w:rFonts w:ascii="Arial" w:eastAsia="Times New Roman" w:hAnsi="Arial" w:cs="Arial"/>
          <w:sz w:val="10"/>
          <w:szCs w:val="10"/>
          <w:lang w:val="es-ES" w:eastAsia="es-ES_tradnl"/>
        </w:rPr>
      </w:pPr>
    </w:p>
    <w:p w14:paraId="165151C6" w14:textId="730E2673" w:rsidR="0023482F" w:rsidRDefault="001745D8"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d</w:t>
      </w:r>
      <w:r w:rsidR="00D1031A">
        <w:rPr>
          <w:rFonts w:ascii="Arial" w:eastAsia="Times New Roman" w:hAnsi="Arial" w:cs="Arial"/>
          <w:lang w:val="es-ES" w:eastAsia="es-ES_tradnl"/>
        </w:rPr>
        <w:t xml:space="preserve">) </w:t>
      </w:r>
      <w:r w:rsidR="0023482F">
        <w:rPr>
          <w:rFonts w:ascii="Arial" w:eastAsia="Times New Roman" w:hAnsi="Arial" w:cs="Arial"/>
          <w:lang w:val="es-ES" w:eastAsia="es-ES_tradnl"/>
        </w:rPr>
        <w:t>Internamiento voluntario, internamiento forzoso</w:t>
      </w:r>
    </w:p>
    <w:p w14:paraId="55269601" w14:textId="6C5071EF" w:rsidR="00E53B92" w:rsidRDefault="00864B9E" w:rsidP="00CD28BB">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Este trabajo </w:t>
      </w:r>
      <w:r w:rsidR="00355253">
        <w:rPr>
          <w:rFonts w:ascii="Arial" w:eastAsia="Times New Roman" w:hAnsi="Arial" w:cs="Arial"/>
          <w:lang w:val="es-ES" w:eastAsia="es-ES_tradnl"/>
        </w:rPr>
        <w:t>se centra en el internamiento que se produce en contra o en ausencia de la voluntad del internado. El internamiento voluntario queda totalmente fuera de nuestro estudio,</w:t>
      </w:r>
      <w:r w:rsidR="00CD28BB">
        <w:rPr>
          <w:rFonts w:ascii="Arial" w:eastAsia="Times New Roman" w:hAnsi="Arial" w:cs="Arial"/>
          <w:lang w:val="es-ES" w:eastAsia="es-ES_tradnl"/>
        </w:rPr>
        <w:t xml:space="preserve"> ya que el derecho que protege el TRIBUNAL es el derecho a la libertad, libertad que se ve limitada cuando el internamiento no se realiza de forma voluntaria.</w:t>
      </w:r>
      <w:r w:rsidR="00355253">
        <w:rPr>
          <w:rFonts w:ascii="Arial" w:eastAsia="Times New Roman" w:hAnsi="Arial" w:cs="Arial"/>
          <w:lang w:val="es-ES" w:eastAsia="es-ES_tradnl"/>
        </w:rPr>
        <w:t xml:space="preserve"> </w:t>
      </w:r>
      <w:r w:rsidR="00890538">
        <w:rPr>
          <w:rFonts w:ascii="Arial" w:eastAsia="Times New Roman" w:hAnsi="Arial" w:cs="Arial"/>
          <w:lang w:val="es-ES" w:eastAsia="es-ES_tradnl"/>
        </w:rPr>
        <w:t xml:space="preserve">En un internamiento voluntario la persona accede a ingresar libremente en un centro de atención psiquiátrica o en una residencia de atención social y libremente abandona el centro cuando lo desea, todo lo </w:t>
      </w:r>
      <w:r w:rsidR="00E53B92">
        <w:rPr>
          <w:rFonts w:ascii="Arial" w:eastAsia="Times New Roman" w:hAnsi="Arial" w:cs="Arial"/>
          <w:lang w:val="es-ES" w:eastAsia="es-ES_tradnl"/>
        </w:rPr>
        <w:t>opuest</w:t>
      </w:r>
      <w:r w:rsidR="00890538">
        <w:rPr>
          <w:rFonts w:ascii="Arial" w:eastAsia="Times New Roman" w:hAnsi="Arial" w:cs="Arial"/>
          <w:lang w:val="es-ES" w:eastAsia="es-ES_tradnl"/>
        </w:rPr>
        <w:t>o a lo que ocurre en el internamiento no voluntario.</w:t>
      </w:r>
      <w:r w:rsidR="00BB5E28">
        <w:rPr>
          <w:rStyle w:val="Refdenotaalpie"/>
          <w:rFonts w:ascii="Arial" w:eastAsia="Times New Roman" w:hAnsi="Arial" w:cs="Arial"/>
          <w:lang w:val="es-ES" w:eastAsia="es-ES_tradnl"/>
        </w:rPr>
        <w:footnoteReference w:id="24"/>
      </w:r>
      <w:r w:rsidR="00890538">
        <w:rPr>
          <w:rFonts w:ascii="Arial" w:eastAsia="Times New Roman" w:hAnsi="Arial" w:cs="Arial"/>
          <w:lang w:val="es-ES" w:eastAsia="es-ES_tradnl"/>
        </w:rPr>
        <w:t xml:space="preserve"> </w:t>
      </w:r>
    </w:p>
    <w:p w14:paraId="5E762F96" w14:textId="562B6CCE" w:rsidR="006642CC" w:rsidRDefault="00D01565" w:rsidP="0025550C">
      <w:pPr>
        <w:ind w:right="-1" w:firstLine="284"/>
        <w:jc w:val="both"/>
        <w:rPr>
          <w:rFonts w:ascii="Arial" w:hAnsi="Arial" w:cs="Arial"/>
          <w:lang w:val="es-ES"/>
        </w:rPr>
      </w:pPr>
      <w:r>
        <w:rPr>
          <w:rFonts w:ascii="Arial" w:eastAsia="Times New Roman" w:hAnsi="Arial" w:cs="Arial"/>
          <w:lang w:val="es-ES" w:eastAsia="es-ES_tradnl"/>
        </w:rPr>
        <w:t xml:space="preserve">El elemento central que debe tenerse en cuenta en lo relativo a la naturaleza voluntaria o forzosa del internamiento es, obviamente, el consentimiento de la persona. El TRIBUNAL se pronuncia en varias sentencias sobre el mismo, matizando su existencia o no. El consentimiento forma parte de </w:t>
      </w:r>
      <w:r w:rsidR="003B1534">
        <w:rPr>
          <w:rFonts w:ascii="Arial" w:eastAsia="Times New Roman" w:hAnsi="Arial" w:cs="Arial"/>
          <w:lang w:val="es-ES" w:eastAsia="es-ES_tradnl"/>
        </w:rPr>
        <w:t xml:space="preserve">lo </w:t>
      </w:r>
      <w:r>
        <w:rPr>
          <w:rFonts w:ascii="Arial" w:eastAsia="Times New Roman" w:hAnsi="Arial" w:cs="Arial"/>
          <w:lang w:val="es-ES" w:eastAsia="es-ES_tradnl"/>
        </w:rPr>
        <w:t xml:space="preserve">que denomina elementos </w:t>
      </w:r>
      <w:r w:rsidRPr="000E4061">
        <w:rPr>
          <w:rFonts w:ascii="Arial" w:eastAsia="Times New Roman" w:hAnsi="Arial" w:cs="Arial"/>
          <w:lang w:val="es-ES" w:eastAsia="es-ES_tradnl"/>
        </w:rPr>
        <w:t>subjetivos</w:t>
      </w:r>
      <w:r>
        <w:rPr>
          <w:rFonts w:ascii="Arial" w:eastAsia="Times New Roman" w:hAnsi="Arial" w:cs="Arial"/>
          <w:lang w:val="es-ES" w:eastAsia="es-ES_tradnl"/>
        </w:rPr>
        <w:t xml:space="preserve"> del internamiento.</w:t>
      </w:r>
      <w:r w:rsidR="000E4061">
        <w:rPr>
          <w:rStyle w:val="Refdenotaalpie"/>
          <w:rFonts w:ascii="Arial" w:eastAsia="Times New Roman" w:hAnsi="Arial" w:cs="Arial"/>
          <w:lang w:val="es-ES" w:eastAsia="es-ES_tradnl"/>
        </w:rPr>
        <w:footnoteReference w:id="25"/>
      </w:r>
      <w:r>
        <w:rPr>
          <w:rFonts w:ascii="Arial" w:eastAsia="Times New Roman" w:hAnsi="Arial" w:cs="Arial"/>
          <w:lang w:val="es-ES" w:eastAsia="es-ES_tradnl"/>
        </w:rPr>
        <w:t xml:space="preserve"> Y la primera conclusión que hay que resaltar es que el consentimiento debe ser expresado claramente por la persona que es internada</w:t>
      </w:r>
      <w:r w:rsidR="00AF2927">
        <w:rPr>
          <w:rFonts w:ascii="Arial" w:eastAsia="Times New Roman" w:hAnsi="Arial" w:cs="Arial"/>
          <w:lang w:val="es-ES" w:eastAsia="es-ES_tradnl"/>
        </w:rPr>
        <w:t>.</w:t>
      </w:r>
      <w:r w:rsidR="00704F9F">
        <w:rPr>
          <w:rStyle w:val="Refdenotaalpie"/>
          <w:rFonts w:ascii="Arial" w:eastAsia="Times New Roman" w:hAnsi="Arial" w:cs="Arial"/>
          <w:lang w:val="es-ES" w:eastAsia="es-ES_tradnl"/>
        </w:rPr>
        <w:footnoteReference w:id="26"/>
      </w:r>
      <w:r w:rsidR="00D90448">
        <w:rPr>
          <w:rFonts w:ascii="Arial" w:eastAsia="Times New Roman" w:hAnsi="Arial" w:cs="Arial"/>
          <w:lang w:val="es-ES" w:eastAsia="es-ES_tradnl"/>
        </w:rPr>
        <w:t xml:space="preserve"> </w:t>
      </w:r>
      <w:r w:rsidR="00DC1AD3">
        <w:rPr>
          <w:rFonts w:ascii="Arial" w:eastAsia="Times New Roman" w:hAnsi="Arial" w:cs="Arial"/>
          <w:lang w:val="es-ES" w:eastAsia="es-ES_tradnl"/>
        </w:rPr>
        <w:t xml:space="preserve">Aunque no siempre considera </w:t>
      </w:r>
      <w:r w:rsidR="006642CC">
        <w:rPr>
          <w:rFonts w:ascii="Arial" w:eastAsia="Times New Roman" w:hAnsi="Arial" w:cs="Arial"/>
          <w:lang w:val="es-ES" w:eastAsia="es-ES_tradnl"/>
        </w:rPr>
        <w:t>el TRIB</w:t>
      </w:r>
      <w:r w:rsidR="00A5365C">
        <w:rPr>
          <w:rFonts w:ascii="Arial" w:eastAsia="Times New Roman" w:hAnsi="Arial" w:cs="Arial"/>
          <w:lang w:val="es-ES" w:eastAsia="es-ES_tradnl"/>
        </w:rPr>
        <w:t>U</w:t>
      </w:r>
      <w:r w:rsidR="006642CC">
        <w:rPr>
          <w:rFonts w:ascii="Arial" w:eastAsia="Times New Roman" w:hAnsi="Arial" w:cs="Arial"/>
          <w:lang w:val="es-ES" w:eastAsia="es-ES_tradnl"/>
        </w:rPr>
        <w:t xml:space="preserve">NAL </w:t>
      </w:r>
      <w:r w:rsidR="00DC1AD3">
        <w:rPr>
          <w:rFonts w:ascii="Arial" w:eastAsia="Times New Roman" w:hAnsi="Arial" w:cs="Arial"/>
          <w:lang w:val="es-ES" w:eastAsia="es-ES_tradnl"/>
        </w:rPr>
        <w:t xml:space="preserve">que </w:t>
      </w:r>
      <w:r w:rsidR="000E4061">
        <w:rPr>
          <w:rFonts w:ascii="Arial" w:eastAsia="Times New Roman" w:hAnsi="Arial" w:cs="Arial"/>
          <w:lang w:val="es-ES" w:eastAsia="es-ES_tradnl"/>
        </w:rPr>
        <w:t xml:space="preserve">el hecho de </w:t>
      </w:r>
      <w:r w:rsidR="00DC1AD3">
        <w:rPr>
          <w:rFonts w:ascii="Arial" w:eastAsia="Times New Roman" w:hAnsi="Arial" w:cs="Arial"/>
          <w:lang w:val="es-ES" w:eastAsia="es-ES_tradnl"/>
        </w:rPr>
        <w:t xml:space="preserve">manifestar consentimiento convierta en voluntario el internamiento. No lo hay cuando una legislación nacional considera voluntario el internamiento cuando el consentimiento es expresado </w:t>
      </w:r>
      <w:r w:rsidR="00DC1AD3" w:rsidRPr="000E4061">
        <w:rPr>
          <w:rFonts w:ascii="Arial" w:eastAsia="Times New Roman" w:hAnsi="Arial" w:cs="Arial"/>
          <w:lang w:val="es-ES" w:eastAsia="es-ES_tradnl"/>
        </w:rPr>
        <w:t>por la esposa</w:t>
      </w:r>
      <w:r w:rsidR="00DC1AD3">
        <w:rPr>
          <w:rFonts w:ascii="Arial" w:eastAsia="Times New Roman" w:hAnsi="Arial" w:cs="Arial"/>
          <w:lang w:val="es-ES" w:eastAsia="es-ES_tradnl"/>
        </w:rPr>
        <w:t xml:space="preserve"> en lugar de la persona que es internada</w:t>
      </w:r>
      <w:r w:rsidR="00481056">
        <w:rPr>
          <w:rFonts w:ascii="Arial" w:eastAsia="Times New Roman" w:hAnsi="Arial" w:cs="Arial"/>
          <w:lang w:val="es-ES" w:eastAsia="es-ES_tradnl"/>
        </w:rPr>
        <w:t xml:space="preserve">. </w:t>
      </w:r>
      <w:r w:rsidR="00BC2E33">
        <w:rPr>
          <w:rFonts w:ascii="Arial" w:eastAsia="Times New Roman" w:hAnsi="Arial" w:cs="Arial"/>
          <w:lang w:val="es-ES" w:eastAsia="es-ES_tradnl"/>
        </w:rPr>
        <w:t>El hecho de que una persona acepte ser examinada en un centro psiquiátrico a los efectos de dictaminar la necesidad de un internamiento tampoco convierte en voluntario el posible internamiento que siga a los exámenes médicos</w:t>
      </w:r>
      <w:r w:rsidR="00AC6C60">
        <w:rPr>
          <w:rFonts w:ascii="Arial" w:eastAsia="Times New Roman" w:hAnsi="Arial" w:cs="Arial"/>
          <w:lang w:val="es-ES" w:eastAsia="es-ES_tradnl"/>
        </w:rPr>
        <w:t xml:space="preserve"> que se han realizado</w:t>
      </w:r>
      <w:r w:rsidR="00AF2927">
        <w:rPr>
          <w:rFonts w:ascii="Arial" w:eastAsia="Times New Roman" w:hAnsi="Arial" w:cs="Arial"/>
          <w:lang w:val="es-ES" w:eastAsia="es-ES_tradnl"/>
        </w:rPr>
        <w:t>.</w:t>
      </w:r>
      <w:r w:rsidR="00481056">
        <w:rPr>
          <w:rStyle w:val="Refdenotaalpie"/>
          <w:rFonts w:ascii="Arial" w:eastAsia="Times New Roman" w:hAnsi="Arial" w:cs="Arial"/>
          <w:lang w:val="es-ES" w:eastAsia="es-ES_tradnl"/>
        </w:rPr>
        <w:footnoteReference w:id="27"/>
      </w:r>
      <w:r w:rsidR="00D90448">
        <w:rPr>
          <w:rFonts w:ascii="Arial" w:eastAsia="Times New Roman" w:hAnsi="Arial" w:cs="Arial"/>
          <w:lang w:val="es-ES" w:eastAsia="es-ES_tradnl"/>
        </w:rPr>
        <w:t xml:space="preserve"> </w:t>
      </w:r>
      <w:r w:rsidR="00620280">
        <w:rPr>
          <w:rFonts w:ascii="Arial" w:eastAsia="Times New Roman" w:hAnsi="Arial" w:cs="Arial"/>
          <w:lang w:val="es-ES" w:eastAsia="es-ES_tradnl"/>
        </w:rPr>
        <w:t xml:space="preserve">Más aún, el hecho de que </w:t>
      </w:r>
      <w:r w:rsidR="00CD28BB">
        <w:rPr>
          <w:rFonts w:ascii="Arial" w:eastAsia="Times New Roman" w:hAnsi="Arial" w:cs="Arial"/>
          <w:lang w:val="es-ES" w:eastAsia="es-ES_tradnl"/>
        </w:rPr>
        <w:t>se la</w:t>
      </w:r>
      <w:r w:rsidR="00620280">
        <w:rPr>
          <w:rFonts w:ascii="Arial" w:eastAsia="Times New Roman" w:hAnsi="Arial" w:cs="Arial"/>
          <w:lang w:val="es-ES" w:eastAsia="es-ES_tradnl"/>
        </w:rPr>
        <w:t xml:space="preserve"> persona </w:t>
      </w:r>
      <w:r w:rsidR="00CD28BB">
        <w:rPr>
          <w:rFonts w:ascii="Arial" w:eastAsia="Times New Roman" w:hAnsi="Arial" w:cs="Arial"/>
          <w:lang w:val="es-ES" w:eastAsia="es-ES_tradnl"/>
        </w:rPr>
        <w:t xml:space="preserve">quien </w:t>
      </w:r>
      <w:r w:rsidR="00620280">
        <w:rPr>
          <w:rFonts w:ascii="Arial" w:eastAsia="Times New Roman" w:hAnsi="Arial" w:cs="Arial"/>
          <w:lang w:val="es-ES" w:eastAsia="es-ES_tradnl"/>
        </w:rPr>
        <w:t xml:space="preserve">solicite ser examinada a los efectos de un posible tratamiento no hace que el internamiento </w:t>
      </w:r>
      <w:r w:rsidR="00AC6C60">
        <w:rPr>
          <w:rFonts w:ascii="Arial" w:eastAsia="Times New Roman" w:hAnsi="Arial" w:cs="Arial"/>
          <w:lang w:val="es-ES" w:eastAsia="es-ES_tradnl"/>
        </w:rPr>
        <w:t xml:space="preserve">pueda ser considerado </w:t>
      </w:r>
      <w:r w:rsidR="00620280">
        <w:rPr>
          <w:rFonts w:ascii="Arial" w:eastAsia="Times New Roman" w:hAnsi="Arial" w:cs="Arial"/>
          <w:lang w:val="es-ES" w:eastAsia="es-ES_tradnl"/>
        </w:rPr>
        <w:t>voluntario cuando es tratada como una persona privada de libertad y no se le permite regresar a su casa</w:t>
      </w:r>
      <w:r w:rsidR="00AF2927">
        <w:rPr>
          <w:rFonts w:ascii="Arial" w:eastAsia="Times New Roman" w:hAnsi="Arial" w:cs="Arial"/>
          <w:lang w:val="es-ES" w:eastAsia="es-ES_tradnl"/>
        </w:rPr>
        <w:t>.</w:t>
      </w:r>
      <w:r w:rsidR="00D90448">
        <w:rPr>
          <w:rStyle w:val="Refdenotaalpie"/>
          <w:rFonts w:ascii="Arial" w:eastAsia="Times New Roman" w:hAnsi="Arial" w:cs="Arial"/>
          <w:lang w:val="es-ES" w:eastAsia="es-ES_tradnl"/>
        </w:rPr>
        <w:footnoteReference w:id="28"/>
      </w:r>
      <w:r w:rsidR="00AC6C60">
        <w:rPr>
          <w:rFonts w:ascii="Arial" w:eastAsia="Times New Roman" w:hAnsi="Arial" w:cs="Arial"/>
          <w:lang w:val="es-ES" w:eastAsia="es-ES_tradnl"/>
        </w:rPr>
        <w:t xml:space="preserve"> Para entender que el internamiento es voluntario hay que ofrecer con carácter previo una información comprensible, pero, además, y con carácter previo </w:t>
      </w:r>
      <w:r w:rsidR="00AC6C60" w:rsidRPr="00AC6C60">
        <w:rPr>
          <w:rFonts w:ascii="Arial" w:hAnsi="Arial" w:cs="Arial"/>
          <w:lang w:val="es-ES"/>
        </w:rPr>
        <w:t>hay que establecer la capacidad mental para e</w:t>
      </w:r>
      <w:r w:rsidR="00AC6C60">
        <w:rPr>
          <w:rFonts w:ascii="Arial" w:hAnsi="Arial" w:cs="Arial"/>
          <w:lang w:val="es-ES"/>
        </w:rPr>
        <w:t>ntender</w:t>
      </w:r>
      <w:r w:rsidR="00AC6C60" w:rsidRPr="00AC6C60">
        <w:rPr>
          <w:rFonts w:ascii="Arial" w:hAnsi="Arial" w:cs="Arial"/>
          <w:lang w:val="es-ES"/>
        </w:rPr>
        <w:t xml:space="preserve"> que el consentimiento puede darse. Esto implica evaluar a la persona para </w:t>
      </w:r>
      <w:r w:rsidR="00AC6C60">
        <w:rPr>
          <w:rFonts w:ascii="Arial" w:hAnsi="Arial" w:cs="Arial"/>
          <w:lang w:val="es-ES"/>
        </w:rPr>
        <w:t xml:space="preserve">concluir </w:t>
      </w:r>
      <w:r w:rsidR="00AC6C60" w:rsidRPr="00AC6C60">
        <w:rPr>
          <w:rFonts w:ascii="Arial" w:hAnsi="Arial" w:cs="Arial"/>
          <w:lang w:val="es-ES"/>
        </w:rPr>
        <w:t>en qué medida puede entender y poder manifestar su consentimiento con conocimiento de causa</w:t>
      </w:r>
      <w:r w:rsidR="0025064D">
        <w:rPr>
          <w:rFonts w:ascii="Arial" w:hAnsi="Arial" w:cs="Arial"/>
          <w:lang w:val="es-ES"/>
        </w:rPr>
        <w:t>. El consentimiento solo puede considerarse voluntario cuando se ha determinado que la persona puede entender lo que le ha sido informado</w:t>
      </w:r>
      <w:r w:rsidR="006D3A28">
        <w:rPr>
          <w:rFonts w:ascii="Arial" w:hAnsi="Arial" w:cs="Arial"/>
          <w:lang w:val="es-ES"/>
        </w:rPr>
        <w:t>.</w:t>
      </w:r>
      <w:r w:rsidR="00D90448">
        <w:rPr>
          <w:rStyle w:val="Refdenotaalpie"/>
          <w:rFonts w:ascii="Arial" w:hAnsi="Arial" w:cs="Arial"/>
          <w:lang w:val="es-ES"/>
        </w:rPr>
        <w:footnoteReference w:id="29"/>
      </w:r>
      <w:r w:rsidR="006D3A28">
        <w:rPr>
          <w:rFonts w:ascii="Arial" w:hAnsi="Arial" w:cs="Arial"/>
          <w:lang w:val="es-ES"/>
        </w:rPr>
        <w:t xml:space="preserve"> </w:t>
      </w:r>
      <w:r w:rsidR="003B1534">
        <w:rPr>
          <w:rFonts w:ascii="Arial" w:hAnsi="Arial" w:cs="Arial"/>
          <w:lang w:val="es-ES"/>
        </w:rPr>
        <w:t>El TRIBUNAL</w:t>
      </w:r>
      <w:r w:rsidR="007E54F7">
        <w:rPr>
          <w:rFonts w:ascii="Arial" w:hAnsi="Arial" w:cs="Arial"/>
          <w:lang w:val="es-ES"/>
        </w:rPr>
        <w:t xml:space="preserve"> </w:t>
      </w:r>
      <w:r w:rsidR="003B1534">
        <w:rPr>
          <w:rFonts w:ascii="Arial" w:hAnsi="Arial" w:cs="Arial"/>
          <w:lang w:val="es-ES"/>
        </w:rPr>
        <w:t>califica</w:t>
      </w:r>
      <w:r w:rsidR="00316F4C">
        <w:rPr>
          <w:rFonts w:ascii="Arial" w:hAnsi="Arial" w:cs="Arial"/>
          <w:lang w:val="es-ES"/>
        </w:rPr>
        <w:t xml:space="preserve"> como</w:t>
      </w:r>
      <w:r w:rsidR="003B1534">
        <w:rPr>
          <w:rFonts w:ascii="Arial" w:hAnsi="Arial" w:cs="Arial"/>
          <w:lang w:val="es-ES"/>
        </w:rPr>
        <w:t xml:space="preserve"> «lamentable» no tener en cuenta la falta de consentimiento</w:t>
      </w:r>
      <w:r w:rsidR="002F7FEA">
        <w:rPr>
          <w:rFonts w:ascii="Arial" w:hAnsi="Arial" w:cs="Arial"/>
          <w:lang w:val="es-ES"/>
        </w:rPr>
        <w:t>.</w:t>
      </w:r>
      <w:r w:rsidR="00A1610F">
        <w:rPr>
          <w:rStyle w:val="Refdenotaalpie"/>
          <w:rFonts w:ascii="Arial" w:hAnsi="Arial" w:cs="Arial"/>
          <w:lang w:val="es-ES"/>
        </w:rPr>
        <w:footnoteReference w:id="30"/>
      </w:r>
      <w:r w:rsidR="002F7FEA">
        <w:rPr>
          <w:rFonts w:ascii="Arial" w:hAnsi="Arial" w:cs="Arial"/>
          <w:lang w:val="es-ES"/>
        </w:rPr>
        <w:t xml:space="preserve"> </w:t>
      </w:r>
    </w:p>
    <w:p w14:paraId="7EBE5E77" w14:textId="3F3B3BE9" w:rsidR="00BC2E33" w:rsidRDefault="008D62D2" w:rsidP="0025550C">
      <w:pPr>
        <w:ind w:right="-1" w:firstLine="284"/>
        <w:jc w:val="both"/>
        <w:rPr>
          <w:rFonts w:ascii="Arial" w:hAnsi="Arial" w:cs="Arial"/>
          <w:lang w:val="es-ES"/>
        </w:rPr>
      </w:pPr>
      <w:r>
        <w:rPr>
          <w:rFonts w:ascii="Arial" w:hAnsi="Arial" w:cs="Arial"/>
          <w:lang w:val="es-ES"/>
        </w:rPr>
        <w:t>Muy unido a este derecho hay que mencionar otro</w:t>
      </w:r>
      <w:r w:rsidR="00F33F96">
        <w:rPr>
          <w:rFonts w:ascii="Arial" w:hAnsi="Arial" w:cs="Arial"/>
          <w:lang w:val="es-ES"/>
        </w:rPr>
        <w:t xml:space="preserve"> que, igualmente, puede ser ubicado en otros apartados de nuestro trabajo y es el «derecho a no ser engañado». Así, en el caso CERVENKA </w:t>
      </w:r>
      <w:r w:rsidR="00CC2035">
        <w:rPr>
          <w:rFonts w:ascii="Arial" w:hAnsi="Arial" w:cs="Arial"/>
          <w:lang w:val="es-ES"/>
        </w:rPr>
        <w:t>contra</w:t>
      </w:r>
      <w:r w:rsidR="00F33F96">
        <w:rPr>
          <w:rFonts w:ascii="Arial" w:hAnsi="Arial" w:cs="Arial"/>
          <w:lang w:val="es-ES"/>
        </w:rPr>
        <w:t xml:space="preserve"> REPÚBLICA CHECA</w:t>
      </w:r>
      <w:r w:rsidR="003C045A">
        <w:rPr>
          <w:rFonts w:ascii="Arial" w:hAnsi="Arial" w:cs="Arial"/>
          <w:lang w:val="es-ES"/>
        </w:rPr>
        <w:t xml:space="preserve"> </w:t>
      </w:r>
      <w:r w:rsidR="00F33F96">
        <w:rPr>
          <w:rFonts w:ascii="Arial" w:hAnsi="Arial" w:cs="Arial"/>
          <w:lang w:val="es-ES"/>
        </w:rPr>
        <w:t>considera contrario al CONVENIO el comportamiento de un tutor que hace creer a su tutelado que iba a recibir tratamiento médico, pero no le explica claramente que para ello va a ser internado en régimen de privación de libertad.</w:t>
      </w:r>
      <w:r w:rsidR="00CD6958">
        <w:rPr>
          <w:rStyle w:val="Refdenotaalpie"/>
          <w:rFonts w:ascii="Arial" w:hAnsi="Arial" w:cs="Arial"/>
          <w:lang w:val="es-ES"/>
        </w:rPr>
        <w:footnoteReference w:id="31"/>
      </w:r>
    </w:p>
    <w:p w14:paraId="104B9EBF" w14:textId="5AD5B286" w:rsidR="00F563D8" w:rsidRPr="00316F4C" w:rsidRDefault="00D355C8" w:rsidP="00316F4C">
      <w:pPr>
        <w:ind w:right="-1" w:firstLine="284"/>
        <w:jc w:val="both"/>
        <w:rPr>
          <w:rFonts w:ascii="Arial" w:hAnsi="Arial" w:cs="Arial"/>
          <w:lang w:val="es-ES"/>
        </w:rPr>
      </w:pPr>
      <w:r>
        <w:rPr>
          <w:rFonts w:ascii="Arial" w:hAnsi="Arial" w:cs="Arial"/>
          <w:lang w:val="es-ES"/>
        </w:rPr>
        <w:t xml:space="preserve">Una interpretación especial de la oposición al internamiento es la que se da </w:t>
      </w:r>
      <w:r w:rsidR="003309B2">
        <w:rPr>
          <w:rFonts w:ascii="Arial" w:hAnsi="Arial" w:cs="Arial"/>
          <w:lang w:val="es-ES"/>
        </w:rPr>
        <w:t xml:space="preserve">en el caso PLESÓ </w:t>
      </w:r>
      <w:r w:rsidR="00CC2035">
        <w:rPr>
          <w:rFonts w:ascii="Arial" w:hAnsi="Arial" w:cs="Arial"/>
          <w:lang w:val="es-ES"/>
        </w:rPr>
        <w:t>contra</w:t>
      </w:r>
      <w:r w:rsidR="003309B2">
        <w:rPr>
          <w:rFonts w:ascii="Arial" w:hAnsi="Arial" w:cs="Arial"/>
          <w:lang w:val="es-ES"/>
        </w:rPr>
        <w:t xml:space="preserve"> HUNGRÍA</w:t>
      </w:r>
      <w:r w:rsidR="00316F4C">
        <w:rPr>
          <w:rFonts w:ascii="Arial" w:hAnsi="Arial" w:cs="Arial"/>
          <w:lang w:val="es-ES"/>
        </w:rPr>
        <w:t>.</w:t>
      </w:r>
      <w:r w:rsidR="00CD6958">
        <w:rPr>
          <w:rStyle w:val="Refdenotaalpie"/>
          <w:rFonts w:ascii="Arial" w:hAnsi="Arial" w:cs="Arial"/>
          <w:lang w:val="es-ES"/>
        </w:rPr>
        <w:footnoteReference w:id="32"/>
      </w:r>
      <w:r w:rsidR="00316F4C">
        <w:rPr>
          <w:rFonts w:ascii="Arial" w:hAnsi="Arial" w:cs="Arial"/>
          <w:lang w:val="es-ES"/>
        </w:rPr>
        <w:t xml:space="preserve"> En este caso, las autoridades nacionales entendieron que oponerse al </w:t>
      </w:r>
      <w:r w:rsidR="003309B2">
        <w:rPr>
          <w:rFonts w:ascii="Arial" w:hAnsi="Arial" w:cs="Arial"/>
          <w:lang w:val="es-ES"/>
        </w:rPr>
        <w:t>internamiento equivalía a no ser consciente del estado en el que se encontraba la persona y lo que, precisamente, justificaba que fuera internada de manera forzosa.</w:t>
      </w:r>
      <w:r w:rsidR="00052A08">
        <w:rPr>
          <w:rStyle w:val="Refdenotaalpie"/>
          <w:rFonts w:ascii="Arial" w:hAnsi="Arial" w:cs="Arial"/>
          <w:lang w:val="es-ES"/>
        </w:rPr>
        <w:footnoteReference w:id="33"/>
      </w:r>
      <w:r>
        <w:rPr>
          <w:rFonts w:ascii="Arial" w:hAnsi="Arial" w:cs="Arial"/>
          <w:lang w:val="es-ES"/>
        </w:rPr>
        <w:t xml:space="preserve"> </w:t>
      </w:r>
      <w:r w:rsidR="003309B2">
        <w:rPr>
          <w:rFonts w:ascii="Arial" w:hAnsi="Arial" w:cs="Arial"/>
          <w:lang w:val="es-ES"/>
        </w:rPr>
        <w:t xml:space="preserve">El TRIBUNAL rechaza esta interpretación </w:t>
      </w:r>
      <w:r w:rsidR="00E11CA0">
        <w:rPr>
          <w:rFonts w:ascii="Arial" w:hAnsi="Arial" w:cs="Arial"/>
          <w:lang w:val="es-ES"/>
        </w:rPr>
        <w:t>declarándol</w:t>
      </w:r>
      <w:r w:rsidR="007400DE">
        <w:rPr>
          <w:rFonts w:ascii="Arial" w:hAnsi="Arial" w:cs="Arial"/>
          <w:lang w:val="es-ES"/>
        </w:rPr>
        <w:t>a</w:t>
      </w:r>
      <w:r w:rsidR="00E11CA0">
        <w:rPr>
          <w:rFonts w:ascii="Arial" w:hAnsi="Arial" w:cs="Arial"/>
          <w:lang w:val="es-ES"/>
        </w:rPr>
        <w:t xml:space="preserve"> incompatible con el principio de protección efectiva de los derechos del Convenio.</w:t>
      </w:r>
      <w:r w:rsidR="00E11CA0">
        <w:rPr>
          <w:rFonts w:ascii="Arial" w:eastAsia="Times New Roman" w:hAnsi="Arial" w:cs="Arial"/>
          <w:lang w:val="es-ES" w:eastAsia="es-ES_tradnl"/>
        </w:rPr>
        <w:t xml:space="preserve"> </w:t>
      </w:r>
      <w:r w:rsidR="00355253">
        <w:rPr>
          <w:rFonts w:ascii="Arial" w:eastAsia="Times New Roman" w:hAnsi="Arial" w:cs="Arial"/>
          <w:lang w:val="es-ES" w:eastAsia="es-ES_tradnl"/>
        </w:rPr>
        <w:t>Llama la atención</w:t>
      </w:r>
      <w:r w:rsidR="00E11CA0">
        <w:rPr>
          <w:rFonts w:ascii="Arial" w:eastAsia="Times New Roman" w:hAnsi="Arial" w:cs="Arial"/>
          <w:lang w:val="es-ES" w:eastAsia="es-ES_tradnl"/>
        </w:rPr>
        <w:t>, por otra parte,</w:t>
      </w:r>
      <w:r w:rsidR="00355253">
        <w:rPr>
          <w:rFonts w:ascii="Arial" w:eastAsia="Times New Roman" w:hAnsi="Arial" w:cs="Arial"/>
          <w:lang w:val="es-ES" w:eastAsia="es-ES_tradnl"/>
        </w:rPr>
        <w:t xml:space="preserve"> el hecho de que en est</w:t>
      </w:r>
      <w:r w:rsidR="00E11CA0">
        <w:rPr>
          <w:rFonts w:ascii="Arial" w:eastAsia="Times New Roman" w:hAnsi="Arial" w:cs="Arial"/>
          <w:lang w:val="es-ES" w:eastAsia="es-ES_tradnl"/>
        </w:rPr>
        <w:t>e</w:t>
      </w:r>
      <w:r w:rsidR="00355253">
        <w:rPr>
          <w:rFonts w:ascii="Arial" w:eastAsia="Times New Roman" w:hAnsi="Arial" w:cs="Arial"/>
          <w:lang w:val="es-ES" w:eastAsia="es-ES_tradnl"/>
        </w:rPr>
        <w:t xml:space="preserve"> </w:t>
      </w:r>
      <w:r w:rsidR="00E11CA0">
        <w:rPr>
          <w:rFonts w:ascii="Arial" w:eastAsia="Times New Roman" w:hAnsi="Arial" w:cs="Arial"/>
          <w:lang w:val="es-ES" w:eastAsia="es-ES_tradnl"/>
        </w:rPr>
        <w:t>caso</w:t>
      </w:r>
      <w:r w:rsidR="00355253">
        <w:rPr>
          <w:rFonts w:ascii="Arial" w:eastAsia="Times New Roman" w:hAnsi="Arial" w:cs="Arial"/>
          <w:lang w:val="es-ES" w:eastAsia="es-ES_tradnl"/>
        </w:rPr>
        <w:t xml:space="preserve"> no solo se inv</w:t>
      </w:r>
      <w:r w:rsidR="00316F4C">
        <w:rPr>
          <w:rFonts w:ascii="Arial" w:eastAsia="Times New Roman" w:hAnsi="Arial" w:cs="Arial"/>
          <w:lang w:val="es-ES" w:eastAsia="es-ES_tradnl"/>
        </w:rPr>
        <w:t>ocara</w:t>
      </w:r>
      <w:r w:rsidR="00355253">
        <w:rPr>
          <w:rFonts w:ascii="Arial" w:eastAsia="Times New Roman" w:hAnsi="Arial" w:cs="Arial"/>
          <w:lang w:val="es-ES" w:eastAsia="es-ES_tradnl"/>
        </w:rPr>
        <w:t xml:space="preserve"> </w:t>
      </w:r>
      <w:r w:rsidR="00F64094">
        <w:rPr>
          <w:rFonts w:ascii="Arial" w:eastAsia="Times New Roman" w:hAnsi="Arial" w:cs="Arial"/>
          <w:lang w:val="es-ES" w:eastAsia="es-ES_tradnl"/>
        </w:rPr>
        <w:t>la excepción contenida en el artículo 5.1.e) del CONVENIO</w:t>
      </w:r>
      <w:r w:rsidR="00890538">
        <w:rPr>
          <w:rFonts w:ascii="Arial" w:eastAsia="Times New Roman" w:hAnsi="Arial" w:cs="Arial"/>
          <w:lang w:val="es-ES" w:eastAsia="es-ES_tradnl"/>
        </w:rPr>
        <w:t>,</w:t>
      </w:r>
      <w:r w:rsidR="00F64094">
        <w:rPr>
          <w:rFonts w:ascii="Arial" w:eastAsia="Times New Roman" w:hAnsi="Arial" w:cs="Arial"/>
          <w:lang w:val="es-ES" w:eastAsia="es-ES_tradnl"/>
        </w:rPr>
        <w:t xml:space="preserve"> sino que además se mencione un derecho inesperado, al menos por </w:t>
      </w:r>
      <w:r w:rsidR="007400DE">
        <w:rPr>
          <w:rFonts w:ascii="Arial" w:eastAsia="Times New Roman" w:hAnsi="Arial" w:cs="Arial"/>
          <w:lang w:val="es-ES" w:eastAsia="es-ES_tradnl"/>
        </w:rPr>
        <w:t>quien redacta estas páginas</w:t>
      </w:r>
      <w:r w:rsidR="00F64094">
        <w:rPr>
          <w:rFonts w:ascii="Arial" w:eastAsia="Times New Roman" w:hAnsi="Arial" w:cs="Arial"/>
          <w:lang w:val="es-ES" w:eastAsia="es-ES_tradnl"/>
        </w:rPr>
        <w:t>: el «derecho a estar enfermo», derecho que, a su vez, es causa de otro: el «derecho a rechazar la hospitalización»</w:t>
      </w:r>
      <w:r w:rsidR="00AF2927">
        <w:rPr>
          <w:rFonts w:ascii="Arial" w:eastAsia="Times New Roman" w:hAnsi="Arial" w:cs="Arial"/>
          <w:lang w:val="es-ES" w:eastAsia="es-ES_tradnl"/>
        </w:rPr>
        <w:t>.</w:t>
      </w:r>
      <w:r w:rsidR="003C045A">
        <w:rPr>
          <w:rStyle w:val="Refdenotaalpie"/>
          <w:rFonts w:ascii="Arial" w:eastAsia="Times New Roman" w:hAnsi="Arial" w:cs="Arial"/>
          <w:lang w:val="es-ES" w:eastAsia="es-ES_tradnl"/>
        </w:rPr>
        <w:footnoteReference w:id="34"/>
      </w:r>
      <w:r w:rsidR="00F64094">
        <w:rPr>
          <w:rFonts w:ascii="Arial" w:eastAsia="Times New Roman" w:hAnsi="Arial" w:cs="Arial"/>
          <w:lang w:val="es-ES" w:eastAsia="es-ES_tradnl"/>
        </w:rPr>
        <w:t xml:space="preserve"> </w:t>
      </w:r>
      <w:r w:rsidR="00E8109F">
        <w:rPr>
          <w:rFonts w:ascii="Arial" w:eastAsia="Times New Roman" w:hAnsi="Arial" w:cs="Arial"/>
          <w:lang w:val="es-ES" w:eastAsia="es-ES_tradnl"/>
        </w:rPr>
        <w:t>En varias sentencias se establece como una expresión del derecho a la autodeterminación. Estos derechos (</w:t>
      </w:r>
      <w:r w:rsidR="006642CC">
        <w:rPr>
          <w:rFonts w:ascii="Arial" w:eastAsia="Times New Roman" w:hAnsi="Arial" w:cs="Arial"/>
          <w:lang w:val="es-ES" w:eastAsia="es-ES_tradnl"/>
        </w:rPr>
        <w:t xml:space="preserve">rechazo a la hospitalización, </w:t>
      </w:r>
      <w:r w:rsidR="00E8109F">
        <w:rPr>
          <w:rFonts w:ascii="Arial" w:eastAsia="Times New Roman" w:hAnsi="Arial" w:cs="Arial"/>
          <w:lang w:val="es-ES" w:eastAsia="es-ES_tradnl"/>
        </w:rPr>
        <w:t xml:space="preserve">autodeterminación, </w:t>
      </w:r>
      <w:r w:rsidR="006642CC">
        <w:rPr>
          <w:rFonts w:ascii="Arial" w:eastAsia="Times New Roman" w:hAnsi="Arial" w:cs="Arial"/>
          <w:lang w:val="es-ES" w:eastAsia="es-ES_tradnl"/>
        </w:rPr>
        <w:t xml:space="preserve">derecho </w:t>
      </w:r>
      <w:r w:rsidR="00E8109F">
        <w:rPr>
          <w:rFonts w:ascii="Arial" w:eastAsia="Times New Roman" w:hAnsi="Arial" w:cs="Arial"/>
          <w:lang w:val="es-ES" w:eastAsia="es-ES_tradnl"/>
        </w:rPr>
        <w:t xml:space="preserve">a estar enfermo) </w:t>
      </w:r>
      <w:r w:rsidR="007849B4">
        <w:rPr>
          <w:rFonts w:ascii="Arial" w:eastAsia="Times New Roman" w:hAnsi="Arial" w:cs="Arial"/>
          <w:lang w:val="es-ES" w:eastAsia="es-ES_tradnl"/>
        </w:rPr>
        <w:t>está</w:t>
      </w:r>
      <w:r w:rsidR="00E8109F">
        <w:rPr>
          <w:rFonts w:ascii="Arial" w:eastAsia="Times New Roman" w:hAnsi="Arial" w:cs="Arial"/>
          <w:lang w:val="es-ES" w:eastAsia="es-ES_tradnl"/>
        </w:rPr>
        <w:t>n vinculados al principio de proporcionalidad y a la pauta por la que solo es aplicable la medida del internamiento en los casos en los que</w:t>
      </w:r>
      <w:r w:rsidR="00E53B92">
        <w:rPr>
          <w:rFonts w:ascii="Arial" w:eastAsia="Times New Roman" w:hAnsi="Arial" w:cs="Arial"/>
          <w:lang w:val="es-ES" w:eastAsia="es-ES_tradnl"/>
        </w:rPr>
        <w:t xml:space="preserve"> no son posibles otras medidas menos severas</w:t>
      </w:r>
      <w:r w:rsidR="007849B4">
        <w:rPr>
          <w:rFonts w:ascii="Arial" w:eastAsia="Times New Roman" w:hAnsi="Arial" w:cs="Arial"/>
          <w:lang w:val="es-ES" w:eastAsia="es-ES_tradnl"/>
        </w:rPr>
        <w:t>, siendo preferente el derecho a la libertad</w:t>
      </w:r>
      <w:r w:rsidR="00E53B92">
        <w:rPr>
          <w:rFonts w:ascii="Arial" w:eastAsia="Times New Roman" w:hAnsi="Arial" w:cs="Arial"/>
          <w:lang w:val="es-ES" w:eastAsia="es-ES_tradnl"/>
        </w:rPr>
        <w:t>.</w:t>
      </w:r>
      <w:r w:rsidR="007849B4">
        <w:rPr>
          <w:rStyle w:val="Refdenotaalpie"/>
          <w:rFonts w:ascii="Arial" w:eastAsia="Times New Roman" w:hAnsi="Arial" w:cs="Arial"/>
          <w:lang w:val="es-ES" w:eastAsia="es-ES_tradnl"/>
        </w:rPr>
        <w:footnoteReference w:id="35"/>
      </w:r>
      <w:r w:rsidR="00E53B92">
        <w:rPr>
          <w:rFonts w:ascii="Arial" w:eastAsia="Times New Roman" w:hAnsi="Arial" w:cs="Arial"/>
          <w:lang w:val="es-ES" w:eastAsia="es-ES_tradnl"/>
        </w:rPr>
        <w:t xml:space="preserve"> Hay, según el TRIBUNAL que guardar un equilibrio entre </w:t>
      </w:r>
      <w:r w:rsidR="009A3A5C">
        <w:rPr>
          <w:rFonts w:ascii="Arial" w:eastAsia="Times New Roman" w:hAnsi="Arial" w:cs="Arial"/>
          <w:lang w:val="es-ES" w:eastAsia="es-ES_tradnl"/>
        </w:rPr>
        <w:t>la mejor atención sanitaria y el derecho a la autodeterminación.</w:t>
      </w:r>
    </w:p>
    <w:p w14:paraId="1611E00A" w14:textId="77777777" w:rsidR="00ED21F7" w:rsidRPr="00ED21F7" w:rsidRDefault="00ED21F7" w:rsidP="00ED21F7">
      <w:pPr>
        <w:ind w:right="-1" w:firstLine="284"/>
        <w:jc w:val="both"/>
        <w:rPr>
          <w:rFonts w:ascii="Arial" w:eastAsia="Times New Roman" w:hAnsi="Arial" w:cs="Arial"/>
          <w:sz w:val="10"/>
          <w:szCs w:val="10"/>
          <w:lang w:val="es-ES" w:eastAsia="es-ES_tradnl"/>
        </w:rPr>
      </w:pPr>
    </w:p>
    <w:p w14:paraId="2DA7569E" w14:textId="696EFE7F" w:rsidR="001811A2" w:rsidRDefault="001811A2"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 El lugar del internamiento</w:t>
      </w:r>
    </w:p>
    <w:p w14:paraId="62262E7E" w14:textId="7D3D54F8" w:rsidR="001811A2" w:rsidRDefault="001811A2"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Un elemento muy ligado al de la voluntariedad de los internamientos es el que tiene que ver con el lugar en que se lleva a cabo y las condiciones en las que se realiza. Se parte de una idea previa cual es la de que el internamiento se produce con personas que padecen un trastorno mental </w:t>
      </w:r>
      <w:r w:rsidR="006D1B33">
        <w:rPr>
          <w:rFonts w:ascii="Arial" w:eastAsia="Times New Roman" w:hAnsi="Arial" w:cs="Arial"/>
          <w:lang w:val="es-ES" w:eastAsia="es-ES_tradnl"/>
        </w:rPr>
        <w:t xml:space="preserve">que precisan una terapia que solo puede llevarse a cabo en un centro cerrado. </w:t>
      </w:r>
      <w:r w:rsidR="00E26FC2">
        <w:rPr>
          <w:rFonts w:ascii="Arial" w:eastAsia="Times New Roman" w:hAnsi="Arial" w:cs="Arial"/>
          <w:lang w:val="es-ES" w:eastAsia="es-ES_tradnl"/>
        </w:rPr>
        <w:t xml:space="preserve">De ahí ese punto de partida según el cual un </w:t>
      </w:r>
      <w:r w:rsidR="00E26FC2">
        <w:rPr>
          <w:rFonts w:ascii="Arial" w:eastAsia="Times New Roman" w:hAnsi="Arial" w:cs="Arial"/>
          <w:i/>
          <w:iCs/>
          <w:lang w:val="es-ES" w:eastAsia="es-ES_tradnl"/>
        </w:rPr>
        <w:t>enfermo mental</w:t>
      </w:r>
      <w:r w:rsidR="00E26FC2">
        <w:rPr>
          <w:rFonts w:ascii="Arial" w:eastAsia="Times New Roman" w:hAnsi="Arial" w:cs="Arial"/>
          <w:lang w:val="es-ES" w:eastAsia="es-ES_tradnl"/>
        </w:rPr>
        <w:t xml:space="preserve"> solo pueda ser ingresado en un hospital o un centro </w:t>
      </w:r>
      <w:r w:rsidR="006D1B33">
        <w:rPr>
          <w:rFonts w:ascii="Arial" w:eastAsia="Times New Roman" w:hAnsi="Arial" w:cs="Arial"/>
          <w:lang w:val="es-ES" w:eastAsia="es-ES_tradnl"/>
        </w:rPr>
        <w:t>similar</w:t>
      </w:r>
      <w:r w:rsidR="00E26FC2">
        <w:rPr>
          <w:rFonts w:ascii="Arial" w:eastAsia="Times New Roman" w:hAnsi="Arial" w:cs="Arial"/>
          <w:lang w:val="es-ES" w:eastAsia="es-ES_tradnl"/>
        </w:rPr>
        <w:t>; pero, como decimos, eso es solo el punto de partida.</w:t>
      </w:r>
      <w:r w:rsidR="00ED21F7">
        <w:rPr>
          <w:rStyle w:val="Refdenotaalpie"/>
          <w:rFonts w:ascii="Arial" w:eastAsia="Times New Roman" w:hAnsi="Arial" w:cs="Arial"/>
          <w:lang w:val="es-ES" w:eastAsia="es-ES_tradnl"/>
        </w:rPr>
        <w:footnoteReference w:id="36"/>
      </w:r>
      <w:r w:rsidR="00E26FC2">
        <w:rPr>
          <w:rFonts w:ascii="Arial" w:eastAsia="Times New Roman" w:hAnsi="Arial" w:cs="Arial"/>
          <w:lang w:val="es-ES" w:eastAsia="es-ES_tradnl"/>
        </w:rPr>
        <w:t xml:space="preserve"> Se entiende que tantas garantías administrativas o procesales para adoptar el internamiento, o el mismo concepto de internamiento involuntario, se deben al hecho de que la persona ingresada no puede abandonar el lugar </w:t>
      </w:r>
      <w:r w:rsidR="005B5AFB">
        <w:rPr>
          <w:rFonts w:ascii="Arial" w:eastAsia="Times New Roman" w:hAnsi="Arial" w:cs="Arial"/>
          <w:lang w:val="es-ES" w:eastAsia="es-ES_tradnl"/>
        </w:rPr>
        <w:t xml:space="preserve">en que está ingresada de forma voluntaria. En estos casos, una persona internada es una persona a la que se ha privado de libertad. La idea de hospital o de centro adecuado no es suficiente, no nos traslada la totalidad de lo que significan estas expresiones. Expresiones más concordes con lo que quiere </w:t>
      </w:r>
      <w:r w:rsidR="00316F4C">
        <w:rPr>
          <w:rFonts w:ascii="Arial" w:eastAsia="Times New Roman" w:hAnsi="Arial" w:cs="Arial"/>
          <w:lang w:val="es-ES" w:eastAsia="es-ES_tradnl"/>
        </w:rPr>
        <w:t>manifest</w:t>
      </w:r>
      <w:r w:rsidR="005B5AFB">
        <w:rPr>
          <w:rFonts w:ascii="Arial" w:eastAsia="Times New Roman" w:hAnsi="Arial" w:cs="Arial"/>
          <w:lang w:val="es-ES" w:eastAsia="es-ES_tradnl"/>
        </w:rPr>
        <w:t>ar el TRIBUNAL serían hospitales o centros</w:t>
      </w:r>
      <w:r w:rsidR="00316F4C">
        <w:rPr>
          <w:rFonts w:ascii="Arial" w:eastAsia="Times New Roman" w:hAnsi="Arial" w:cs="Arial"/>
          <w:lang w:val="es-ES" w:eastAsia="es-ES_tradnl"/>
        </w:rPr>
        <w:t xml:space="preserve"> asistenciales (o ambos) </w:t>
      </w:r>
      <w:r w:rsidR="005B5AFB">
        <w:rPr>
          <w:rFonts w:ascii="Arial" w:eastAsia="Times New Roman" w:hAnsi="Arial" w:cs="Arial"/>
          <w:lang w:val="es-ES" w:eastAsia="es-ES_tradnl"/>
        </w:rPr>
        <w:t>de los que no se puede salir de forma voluntaria. De modo que</w:t>
      </w:r>
      <w:r w:rsidR="006232E5">
        <w:rPr>
          <w:rFonts w:ascii="Arial" w:eastAsia="Times New Roman" w:hAnsi="Arial" w:cs="Arial"/>
          <w:lang w:val="es-ES" w:eastAsia="es-ES_tradnl"/>
        </w:rPr>
        <w:t>,</w:t>
      </w:r>
      <w:r w:rsidR="005B5AFB">
        <w:rPr>
          <w:rFonts w:ascii="Arial" w:eastAsia="Times New Roman" w:hAnsi="Arial" w:cs="Arial"/>
          <w:lang w:val="es-ES" w:eastAsia="es-ES_tradnl"/>
        </w:rPr>
        <w:t xml:space="preserve"> a las peculiaridades o características meramente físicas</w:t>
      </w:r>
      <w:r w:rsidR="006232E5">
        <w:rPr>
          <w:rFonts w:ascii="Arial" w:eastAsia="Times New Roman" w:hAnsi="Arial" w:cs="Arial"/>
          <w:lang w:val="es-ES" w:eastAsia="es-ES_tradnl"/>
        </w:rPr>
        <w:t>,</w:t>
      </w:r>
      <w:r w:rsidR="005B5AFB">
        <w:rPr>
          <w:rFonts w:ascii="Arial" w:eastAsia="Times New Roman" w:hAnsi="Arial" w:cs="Arial"/>
          <w:lang w:val="es-ES" w:eastAsia="es-ES_tradnl"/>
        </w:rPr>
        <w:t xml:space="preserve"> de mobiliario o de dotación de servicios</w:t>
      </w:r>
      <w:r w:rsidR="00CC422F">
        <w:rPr>
          <w:rFonts w:ascii="Arial" w:eastAsia="Times New Roman" w:hAnsi="Arial" w:cs="Arial"/>
          <w:lang w:val="es-ES" w:eastAsia="es-ES_tradnl"/>
        </w:rPr>
        <w:t xml:space="preserve"> hay que añadir algo que no tiene que ver propiamente con el lugar en sí, sino con el régimen de uso de esos espacios. </w:t>
      </w:r>
      <w:r w:rsidR="00495D2A">
        <w:rPr>
          <w:rFonts w:ascii="Arial" w:eastAsia="Times New Roman" w:hAnsi="Arial" w:cs="Arial"/>
          <w:lang w:val="es-ES" w:eastAsia="es-ES_tradnl"/>
        </w:rPr>
        <w:t>Es más, en ocasiones ha declarado que el mero hecho de que el lugar no reúna las condiciones necesarias no hace que el internamiento se convierta de forma automática en ilegal.</w:t>
      </w:r>
      <w:r w:rsidR="006232E5">
        <w:rPr>
          <w:rStyle w:val="Refdenotaalpie"/>
          <w:rFonts w:ascii="Arial" w:eastAsia="Times New Roman" w:hAnsi="Arial" w:cs="Arial"/>
          <w:lang w:val="es-ES" w:eastAsia="es-ES_tradnl"/>
        </w:rPr>
        <w:footnoteReference w:id="37"/>
      </w:r>
      <w:r w:rsidR="00495D2A">
        <w:rPr>
          <w:rFonts w:ascii="Arial" w:eastAsia="Times New Roman" w:hAnsi="Arial" w:cs="Arial"/>
          <w:lang w:val="es-ES" w:eastAsia="es-ES_tradnl"/>
        </w:rPr>
        <w:t xml:space="preserve"> </w:t>
      </w:r>
      <w:r w:rsidR="00CC422F">
        <w:rPr>
          <w:rFonts w:ascii="Arial" w:eastAsia="Times New Roman" w:hAnsi="Arial" w:cs="Arial"/>
          <w:lang w:val="es-ES" w:eastAsia="es-ES_tradnl"/>
        </w:rPr>
        <w:t xml:space="preserve">De ahí que el TRIBUNAL </w:t>
      </w:r>
      <w:r w:rsidR="00335026">
        <w:rPr>
          <w:rFonts w:ascii="Arial" w:eastAsia="Times New Roman" w:hAnsi="Arial" w:cs="Arial"/>
          <w:lang w:val="es-ES" w:eastAsia="es-ES_tradnl"/>
        </w:rPr>
        <w:t>haya hilado muy</w:t>
      </w:r>
      <w:r w:rsidR="00CC422F">
        <w:rPr>
          <w:rFonts w:ascii="Arial" w:eastAsia="Times New Roman" w:hAnsi="Arial" w:cs="Arial"/>
          <w:lang w:val="es-ES" w:eastAsia="es-ES_tradnl"/>
        </w:rPr>
        <w:t xml:space="preserve"> </w:t>
      </w:r>
      <w:r w:rsidR="00D03C17">
        <w:rPr>
          <w:rFonts w:ascii="Arial" w:eastAsia="Times New Roman" w:hAnsi="Arial" w:cs="Arial"/>
          <w:lang w:val="es-ES" w:eastAsia="es-ES_tradnl"/>
        </w:rPr>
        <w:t xml:space="preserve">fino </w:t>
      </w:r>
      <w:r w:rsidR="00CC422F">
        <w:rPr>
          <w:rFonts w:ascii="Arial" w:eastAsia="Times New Roman" w:hAnsi="Arial" w:cs="Arial"/>
          <w:lang w:val="es-ES" w:eastAsia="es-ES_tradnl"/>
        </w:rPr>
        <w:t xml:space="preserve">en algunos casos </w:t>
      </w:r>
      <w:r w:rsidR="00335026">
        <w:rPr>
          <w:rFonts w:ascii="Arial" w:eastAsia="Times New Roman" w:hAnsi="Arial" w:cs="Arial"/>
          <w:lang w:val="es-ES" w:eastAsia="es-ES_tradnl"/>
        </w:rPr>
        <w:t>al</w:t>
      </w:r>
      <w:r w:rsidR="00CC422F">
        <w:rPr>
          <w:rFonts w:ascii="Arial" w:eastAsia="Times New Roman" w:hAnsi="Arial" w:cs="Arial"/>
          <w:lang w:val="es-ES" w:eastAsia="es-ES_tradnl"/>
        </w:rPr>
        <w:t xml:space="preserve"> señalar cuándo esos lugares cumplen con lo que se espera de ellos y cuándo no.</w:t>
      </w:r>
    </w:p>
    <w:p w14:paraId="4585813C" w14:textId="3C33A75A" w:rsidR="00335026" w:rsidRDefault="001E194E" w:rsidP="0025550C">
      <w:pPr>
        <w:ind w:right="-1" w:firstLine="284"/>
        <w:jc w:val="both"/>
        <w:rPr>
          <w:rFonts w:ascii="Arial" w:hAnsi="Arial" w:cs="Arial"/>
          <w:color w:val="000000" w:themeColor="text1"/>
          <w:lang w:val="es-ES_tradnl"/>
        </w:rPr>
      </w:pPr>
      <w:r>
        <w:rPr>
          <w:rFonts w:ascii="Arial" w:eastAsia="Times New Roman" w:hAnsi="Arial" w:cs="Arial"/>
          <w:lang w:val="es-ES" w:eastAsia="es-ES_tradnl"/>
        </w:rPr>
        <w:t>A menudo fijamos la imagen de la libertad de movimientos en el hecho de que el lugar en que se encuentre internada la persona esté cerrado con llave. La llave</w:t>
      </w:r>
      <w:r w:rsidR="00337A9D">
        <w:rPr>
          <w:rFonts w:ascii="Arial" w:eastAsia="Times New Roman" w:hAnsi="Arial" w:cs="Arial"/>
          <w:lang w:val="es-ES" w:eastAsia="es-ES_tradnl"/>
        </w:rPr>
        <w:t>,</w:t>
      </w:r>
      <w:r>
        <w:rPr>
          <w:rFonts w:ascii="Arial" w:eastAsia="Times New Roman" w:hAnsi="Arial" w:cs="Arial"/>
          <w:lang w:val="es-ES" w:eastAsia="es-ES_tradnl"/>
        </w:rPr>
        <w:t xml:space="preserve"> parece ser un elemento determinante, pero no lo es necesariamente. En el caso de H.L. </w:t>
      </w:r>
      <w:r w:rsidR="00CC2035">
        <w:rPr>
          <w:rFonts w:ascii="Arial" w:eastAsia="Times New Roman" w:hAnsi="Arial" w:cs="Arial"/>
          <w:lang w:val="es-ES" w:eastAsia="es-ES_tradnl"/>
        </w:rPr>
        <w:t>contra</w:t>
      </w:r>
      <w:r>
        <w:rPr>
          <w:rFonts w:ascii="Arial" w:eastAsia="Times New Roman" w:hAnsi="Arial" w:cs="Arial"/>
          <w:lang w:val="es-ES" w:eastAsia="es-ES_tradnl"/>
        </w:rPr>
        <w:t xml:space="preserve"> REINO UNIDO de 5 de octubre de 2004, se dice en su párrafo 92: </w:t>
      </w:r>
      <w:r w:rsidRPr="001E194E">
        <w:rPr>
          <w:rFonts w:ascii="Arial" w:eastAsia="Times New Roman" w:hAnsi="Arial" w:cs="Arial"/>
          <w:lang w:val="es-ES" w:eastAsia="es-ES_tradnl"/>
        </w:rPr>
        <w:t>«</w:t>
      </w:r>
      <w:r w:rsidRPr="001E194E">
        <w:rPr>
          <w:rFonts w:ascii="Arial" w:hAnsi="Arial" w:cs="Arial"/>
          <w:lang w:val="es-ES_tradnl"/>
        </w:rPr>
        <w:t xml:space="preserve">El </w:t>
      </w:r>
      <w:r w:rsidRPr="001E194E">
        <w:rPr>
          <w:rFonts w:ascii="Arial" w:hAnsi="Arial" w:cs="Arial"/>
          <w:color w:val="000000" w:themeColor="text1"/>
          <w:lang w:val="es-ES_tradnl"/>
        </w:rPr>
        <w:t xml:space="preserve">Tribunal está de acuerdo con el demandante en que no es determinante si el pabellón estaba "cerrado" o </w:t>
      </w:r>
      <w:r w:rsidR="00316F4C">
        <w:rPr>
          <w:rFonts w:ascii="Arial" w:hAnsi="Arial" w:cs="Arial"/>
          <w:color w:val="000000" w:themeColor="text1"/>
          <w:lang w:val="es-ES_tradnl"/>
        </w:rPr>
        <w:t xml:space="preserve">no </w:t>
      </w:r>
      <w:r w:rsidRPr="001E194E">
        <w:rPr>
          <w:rFonts w:ascii="Arial" w:hAnsi="Arial" w:cs="Arial"/>
          <w:color w:val="000000" w:themeColor="text1"/>
          <w:lang w:val="es-ES_tradnl"/>
        </w:rPr>
        <w:t xml:space="preserve">"con llave"». </w:t>
      </w:r>
      <w:r w:rsidR="00435BDF">
        <w:rPr>
          <w:rFonts w:ascii="Arial" w:hAnsi="Arial" w:cs="Arial"/>
          <w:color w:val="000000" w:themeColor="text1"/>
          <w:lang w:val="es-ES_tradnl"/>
        </w:rPr>
        <w:t>C</w:t>
      </w:r>
      <w:r>
        <w:rPr>
          <w:rFonts w:ascii="Arial" w:hAnsi="Arial" w:cs="Arial"/>
          <w:color w:val="000000" w:themeColor="text1"/>
          <w:lang w:val="es-ES_tradnl"/>
        </w:rPr>
        <w:t xml:space="preserve">itando el caso ASHINGDANE </w:t>
      </w:r>
      <w:r w:rsidR="00B609B4">
        <w:rPr>
          <w:rFonts w:ascii="Arial" w:hAnsi="Arial" w:cs="Arial"/>
          <w:color w:val="000000" w:themeColor="text1"/>
          <w:lang w:val="es-ES_tradnl"/>
        </w:rPr>
        <w:t>recuerda cómo se consideró que el sujeto estuvo “</w:t>
      </w:r>
      <w:r w:rsidR="0029623C">
        <w:rPr>
          <w:rFonts w:ascii="Arial" w:hAnsi="Arial" w:cs="Arial"/>
          <w:color w:val="000000" w:themeColor="text1"/>
          <w:lang w:val="es-ES_tradnl"/>
        </w:rPr>
        <w:t>internado</w:t>
      </w:r>
      <w:r w:rsidR="00B609B4">
        <w:rPr>
          <w:rFonts w:ascii="Arial" w:hAnsi="Arial" w:cs="Arial"/>
          <w:color w:val="000000" w:themeColor="text1"/>
          <w:lang w:val="es-ES_tradnl"/>
        </w:rPr>
        <w:t>” pese a encontrarse en una sala abierta con la posibilidad de salir del hospital sin necesidad de acompañante.</w:t>
      </w:r>
      <w:r w:rsidR="003B5677">
        <w:rPr>
          <w:rFonts w:ascii="Arial" w:hAnsi="Arial" w:cs="Arial"/>
          <w:color w:val="000000" w:themeColor="text1"/>
          <w:lang w:val="es-ES_tradnl"/>
        </w:rPr>
        <w:t xml:space="preserve"> La clave está en el sometimiento del individuo a estrictas normas de seguimiento</w:t>
      </w:r>
      <w:r w:rsidR="00D02F7A">
        <w:rPr>
          <w:rFonts w:ascii="Arial" w:hAnsi="Arial" w:cs="Arial"/>
          <w:color w:val="000000" w:themeColor="text1"/>
          <w:lang w:val="es-ES_tradnl"/>
        </w:rPr>
        <w:t>.</w:t>
      </w:r>
      <w:r w:rsidR="00D02F7A">
        <w:rPr>
          <w:rStyle w:val="Refdenotaalpie"/>
          <w:rFonts w:ascii="Arial" w:hAnsi="Arial" w:cs="Arial"/>
          <w:color w:val="000000" w:themeColor="text1"/>
          <w:lang w:val="es-ES_tradnl"/>
        </w:rPr>
        <w:footnoteReference w:id="38"/>
      </w:r>
      <w:r w:rsidR="00F97BCD">
        <w:rPr>
          <w:rFonts w:ascii="Arial" w:hAnsi="Arial" w:cs="Arial"/>
          <w:color w:val="000000" w:themeColor="text1"/>
          <w:lang w:val="es-ES_tradnl"/>
        </w:rPr>
        <w:t xml:space="preserve"> </w:t>
      </w:r>
      <w:r w:rsidR="00925CD6">
        <w:rPr>
          <w:rFonts w:ascii="Arial" w:hAnsi="Arial" w:cs="Arial"/>
          <w:color w:val="000000" w:themeColor="text1"/>
          <w:lang w:val="es-ES_tradnl"/>
        </w:rPr>
        <w:t>Así, por ejemplo, hay limitación de libertad cuando, a pesar de estar internado en un centro abierto, las puertas están vigiladas y la persona tiene que solicitar permiso para poder salir</w:t>
      </w:r>
      <w:r w:rsidR="00F97BCD">
        <w:rPr>
          <w:rFonts w:ascii="Arial" w:hAnsi="Arial" w:cs="Arial"/>
          <w:color w:val="000000" w:themeColor="text1"/>
          <w:lang w:val="es-ES_tradnl"/>
        </w:rPr>
        <w:t>.</w:t>
      </w:r>
      <w:r w:rsidR="00F97BCD">
        <w:rPr>
          <w:rStyle w:val="Refdenotaalpie"/>
          <w:rFonts w:ascii="Arial" w:hAnsi="Arial" w:cs="Arial"/>
          <w:color w:val="000000" w:themeColor="text1"/>
          <w:lang w:val="es-ES_tradnl"/>
        </w:rPr>
        <w:footnoteReference w:id="39"/>
      </w:r>
      <w:r w:rsidR="00337A9D">
        <w:rPr>
          <w:rFonts w:ascii="Arial" w:hAnsi="Arial" w:cs="Arial"/>
          <w:color w:val="000000" w:themeColor="text1"/>
          <w:lang w:val="es-ES_tradnl"/>
        </w:rPr>
        <w:t xml:space="preserve"> </w:t>
      </w:r>
      <w:r w:rsidR="00151F56">
        <w:rPr>
          <w:rFonts w:ascii="Arial" w:hAnsi="Arial" w:cs="Arial"/>
          <w:color w:val="000000" w:themeColor="text1"/>
          <w:lang w:val="es-ES_tradnl"/>
        </w:rPr>
        <w:t>Y también lo está en las circunstancias concretas del internamiento, de modo que es preciso examinar todo lo tocante al modo en que se realiza el internamiento para poder llegar a una conclusión. En el caso GUZZARDI se consideró que el internamiento era irregular, pese a que la persona podía salir de</w:t>
      </w:r>
      <w:r w:rsidR="00337A9D">
        <w:rPr>
          <w:rFonts w:ascii="Arial" w:hAnsi="Arial" w:cs="Arial"/>
          <w:color w:val="000000" w:themeColor="text1"/>
          <w:lang w:val="es-ES_tradnl"/>
        </w:rPr>
        <w:t>l edificio en el que se ubicaba</w:t>
      </w:r>
      <w:r w:rsidR="00151F56">
        <w:rPr>
          <w:rFonts w:ascii="Arial" w:hAnsi="Arial" w:cs="Arial"/>
          <w:color w:val="000000" w:themeColor="text1"/>
          <w:lang w:val="es-ES_tradnl"/>
        </w:rPr>
        <w:t xml:space="preserve"> su </w:t>
      </w:r>
      <w:r w:rsidR="00337A9D">
        <w:rPr>
          <w:rFonts w:ascii="Arial" w:hAnsi="Arial" w:cs="Arial"/>
          <w:color w:val="000000" w:themeColor="text1"/>
          <w:lang w:val="es-ES_tradnl"/>
        </w:rPr>
        <w:t xml:space="preserve">lugar de </w:t>
      </w:r>
      <w:r w:rsidR="00151F56">
        <w:rPr>
          <w:rFonts w:ascii="Arial" w:hAnsi="Arial" w:cs="Arial"/>
          <w:color w:val="000000" w:themeColor="text1"/>
          <w:lang w:val="es-ES_tradnl"/>
        </w:rPr>
        <w:t>internamiento</w:t>
      </w:r>
      <w:r w:rsidR="00316F4C">
        <w:rPr>
          <w:rFonts w:ascii="Arial" w:hAnsi="Arial" w:cs="Arial"/>
          <w:color w:val="000000" w:themeColor="text1"/>
          <w:lang w:val="es-ES_tradnl"/>
        </w:rPr>
        <w:t>,</w:t>
      </w:r>
      <w:r w:rsidR="00151F56">
        <w:rPr>
          <w:rFonts w:ascii="Arial" w:hAnsi="Arial" w:cs="Arial"/>
          <w:color w:val="000000" w:themeColor="text1"/>
          <w:lang w:val="es-ES_tradnl"/>
        </w:rPr>
        <w:t xml:space="preserve"> pasear por la isla en la que se encontraba</w:t>
      </w:r>
      <w:r w:rsidR="00337A9D">
        <w:rPr>
          <w:rFonts w:ascii="Arial" w:hAnsi="Arial" w:cs="Arial"/>
          <w:color w:val="000000" w:themeColor="text1"/>
          <w:lang w:val="es-ES_tradnl"/>
        </w:rPr>
        <w:t xml:space="preserve"> y relacionarse con sus habitantes</w:t>
      </w:r>
      <w:r w:rsidR="00151F56">
        <w:rPr>
          <w:rFonts w:ascii="Arial" w:hAnsi="Arial" w:cs="Arial"/>
          <w:color w:val="000000" w:themeColor="text1"/>
          <w:lang w:val="es-ES_tradnl"/>
        </w:rPr>
        <w:t>.</w:t>
      </w:r>
    </w:p>
    <w:p w14:paraId="706B484B" w14:textId="3BC96A3E" w:rsidR="00151F56" w:rsidRDefault="00151F56" w:rsidP="00420237">
      <w:pPr>
        <w:ind w:right="-1" w:firstLine="284"/>
        <w:jc w:val="both"/>
        <w:rPr>
          <w:rFonts w:ascii="Arial" w:hAnsi="Arial" w:cs="Arial"/>
          <w:color w:val="000000" w:themeColor="text1"/>
          <w:lang w:val="es-ES_tradnl"/>
        </w:rPr>
      </w:pPr>
      <w:r>
        <w:rPr>
          <w:rFonts w:ascii="Arial" w:hAnsi="Arial" w:cs="Arial"/>
          <w:color w:val="000000" w:themeColor="text1"/>
          <w:lang w:val="es-ES_tradnl"/>
        </w:rPr>
        <w:t xml:space="preserve">Un elemento importante a la hora de examinar el lugar del internamiento es el nexo </w:t>
      </w:r>
      <w:r w:rsidR="000F2BEB">
        <w:rPr>
          <w:rFonts w:ascii="Arial" w:hAnsi="Arial" w:cs="Arial"/>
          <w:color w:val="000000" w:themeColor="text1"/>
          <w:lang w:val="es-ES_tradnl"/>
        </w:rPr>
        <w:t>o vínculo entre l</w:t>
      </w:r>
      <w:r w:rsidR="00435BDF">
        <w:rPr>
          <w:rFonts w:ascii="Arial" w:hAnsi="Arial" w:cs="Arial"/>
          <w:color w:val="000000" w:themeColor="text1"/>
          <w:lang w:val="es-ES_tradnl"/>
        </w:rPr>
        <w:t>a</w:t>
      </w:r>
      <w:r w:rsidR="000F2BEB">
        <w:rPr>
          <w:rFonts w:ascii="Arial" w:hAnsi="Arial" w:cs="Arial"/>
          <w:color w:val="000000" w:themeColor="text1"/>
          <w:lang w:val="es-ES_tradnl"/>
        </w:rPr>
        <w:t xml:space="preserve"> finalidad </w:t>
      </w:r>
      <w:r w:rsidR="00435BDF">
        <w:rPr>
          <w:rFonts w:ascii="Arial" w:hAnsi="Arial" w:cs="Arial"/>
          <w:color w:val="000000" w:themeColor="text1"/>
          <w:lang w:val="es-ES_tradnl"/>
        </w:rPr>
        <w:t>que se persigue con el mismo</w:t>
      </w:r>
      <w:r w:rsidR="000F2BEB">
        <w:rPr>
          <w:rFonts w:ascii="Arial" w:hAnsi="Arial" w:cs="Arial"/>
          <w:color w:val="000000" w:themeColor="text1"/>
          <w:lang w:val="es-ES_tradnl"/>
        </w:rPr>
        <w:t xml:space="preserve"> y el lugar en el que se realiza y el tratamiento establecido. En estos casos, el lugar y el tratamiento son los elementos a </w:t>
      </w:r>
      <w:r w:rsidR="00316F4C">
        <w:rPr>
          <w:rFonts w:ascii="Arial" w:hAnsi="Arial" w:cs="Arial"/>
          <w:color w:val="000000" w:themeColor="text1"/>
          <w:lang w:val="es-ES_tradnl"/>
        </w:rPr>
        <w:t xml:space="preserve">tener en cuenta </w:t>
      </w:r>
      <w:r w:rsidR="000F2BEB">
        <w:rPr>
          <w:rFonts w:ascii="Arial" w:hAnsi="Arial" w:cs="Arial"/>
          <w:color w:val="000000" w:themeColor="text1"/>
          <w:lang w:val="es-ES_tradnl"/>
        </w:rPr>
        <w:t>para determinar si hay «ruptura del vínculo». Desde la perspectiva que lo estudiamos ahora</w:t>
      </w:r>
      <w:r w:rsidR="00316F4C">
        <w:rPr>
          <w:rFonts w:ascii="Arial" w:hAnsi="Arial" w:cs="Arial"/>
          <w:color w:val="000000" w:themeColor="text1"/>
          <w:lang w:val="es-ES_tradnl"/>
        </w:rPr>
        <w:t>,</w:t>
      </w:r>
      <w:r w:rsidR="000F2BEB">
        <w:rPr>
          <w:rFonts w:ascii="Arial" w:hAnsi="Arial" w:cs="Arial"/>
          <w:color w:val="000000" w:themeColor="text1"/>
          <w:lang w:val="es-ES_tradnl"/>
        </w:rPr>
        <w:t xml:space="preserve"> es el requisito para determinar si el lugar es el adecuado y, por consiguiente, si el internamiento que se lleva a cabo </w:t>
      </w:r>
      <w:r w:rsidR="006E4366">
        <w:rPr>
          <w:rFonts w:ascii="Arial" w:hAnsi="Arial" w:cs="Arial"/>
          <w:color w:val="000000" w:themeColor="text1"/>
          <w:lang w:val="es-ES_tradnl"/>
        </w:rPr>
        <w:t xml:space="preserve">en él </w:t>
      </w:r>
      <w:r w:rsidR="000F2BEB">
        <w:rPr>
          <w:rFonts w:ascii="Arial" w:hAnsi="Arial" w:cs="Arial"/>
          <w:color w:val="000000" w:themeColor="text1"/>
          <w:lang w:val="es-ES_tradnl"/>
        </w:rPr>
        <w:t xml:space="preserve">puede considerarse legal. </w:t>
      </w:r>
      <w:r w:rsidR="00C4055B">
        <w:rPr>
          <w:rFonts w:ascii="Arial" w:hAnsi="Arial" w:cs="Arial"/>
          <w:color w:val="000000" w:themeColor="text1"/>
          <w:lang w:val="es-ES_tradnl"/>
        </w:rPr>
        <w:t xml:space="preserve">En casos como </w:t>
      </w:r>
      <w:r w:rsidR="006E4366">
        <w:rPr>
          <w:rFonts w:ascii="Arial" w:hAnsi="Arial" w:cs="Arial"/>
          <w:color w:val="000000" w:themeColor="text1"/>
          <w:lang w:val="es-ES_tradnl"/>
        </w:rPr>
        <w:t>l</w:t>
      </w:r>
      <w:r w:rsidR="00BB4AC9">
        <w:rPr>
          <w:rFonts w:ascii="Arial" w:hAnsi="Arial" w:cs="Arial"/>
          <w:color w:val="000000" w:themeColor="text1"/>
          <w:lang w:val="es-ES_tradnl"/>
        </w:rPr>
        <w:t>os</w:t>
      </w:r>
      <w:r w:rsidR="006E4366">
        <w:rPr>
          <w:rFonts w:ascii="Arial" w:hAnsi="Arial" w:cs="Arial"/>
          <w:color w:val="000000" w:themeColor="text1"/>
          <w:lang w:val="es-ES_tradnl"/>
        </w:rPr>
        <w:t xml:space="preserve"> de </w:t>
      </w:r>
      <w:r w:rsidR="00C4055B">
        <w:rPr>
          <w:rFonts w:ascii="Arial" w:hAnsi="Arial" w:cs="Arial"/>
          <w:color w:val="000000" w:themeColor="text1"/>
          <w:lang w:val="es-ES_tradnl"/>
        </w:rPr>
        <w:t xml:space="preserve">STANEV </w:t>
      </w:r>
      <w:r w:rsidR="00CC2035">
        <w:rPr>
          <w:rFonts w:ascii="Arial" w:hAnsi="Arial" w:cs="Arial"/>
          <w:color w:val="000000" w:themeColor="text1"/>
          <w:lang w:val="es-ES_tradnl"/>
        </w:rPr>
        <w:t>contra</w:t>
      </w:r>
      <w:r w:rsidR="00C4055B">
        <w:rPr>
          <w:rFonts w:ascii="Arial" w:hAnsi="Arial" w:cs="Arial"/>
          <w:color w:val="000000" w:themeColor="text1"/>
          <w:lang w:val="es-ES_tradnl"/>
        </w:rPr>
        <w:t xml:space="preserve"> </w:t>
      </w:r>
      <w:r w:rsidR="00B06AC1">
        <w:rPr>
          <w:rFonts w:ascii="Arial" w:hAnsi="Arial" w:cs="Arial"/>
          <w:color w:val="000000" w:themeColor="text1"/>
          <w:lang w:val="es-ES_tradnl"/>
        </w:rPr>
        <w:t>BULGARIA</w:t>
      </w:r>
      <w:r w:rsidR="002D1AD9">
        <w:rPr>
          <w:rFonts w:ascii="Arial" w:hAnsi="Arial" w:cs="Arial"/>
          <w:color w:val="000000" w:themeColor="text1"/>
          <w:lang w:val="es-ES_tradnl"/>
        </w:rPr>
        <w:t xml:space="preserve"> (§ 146)</w:t>
      </w:r>
      <w:r w:rsidR="00C4055B">
        <w:rPr>
          <w:rFonts w:ascii="Arial" w:hAnsi="Arial" w:cs="Arial"/>
          <w:color w:val="000000" w:themeColor="text1"/>
          <w:lang w:val="es-ES_tradnl"/>
        </w:rPr>
        <w:t xml:space="preserve">, </w:t>
      </w:r>
      <w:r w:rsidR="00D87FED">
        <w:rPr>
          <w:rFonts w:ascii="Arial" w:hAnsi="Arial" w:cs="Arial"/>
          <w:color w:val="000000" w:themeColor="text1"/>
          <w:lang w:val="es-ES_tradnl"/>
        </w:rPr>
        <w:t>L.B. contra BÉLGICA (§ 101)</w:t>
      </w:r>
      <w:r w:rsidR="00420237">
        <w:rPr>
          <w:rFonts w:ascii="Arial" w:hAnsi="Arial" w:cs="Arial"/>
          <w:color w:val="000000" w:themeColor="text1"/>
          <w:lang w:val="es-ES_tradnl"/>
        </w:rPr>
        <w:t xml:space="preserve"> o</w:t>
      </w:r>
      <w:r w:rsidR="006E4366">
        <w:rPr>
          <w:rFonts w:ascii="Arial" w:hAnsi="Arial" w:cs="Arial"/>
          <w:color w:val="000000" w:themeColor="text1"/>
          <w:lang w:val="es-ES_tradnl"/>
        </w:rPr>
        <w:t xml:space="preserve"> </w:t>
      </w:r>
      <w:r w:rsidR="00420237" w:rsidRPr="00435BDF">
        <w:rPr>
          <w:rFonts w:ascii="Arial" w:hAnsi="Arial" w:cs="Arial"/>
          <w:color w:val="000000" w:themeColor="text1"/>
          <w:lang w:val="es-ES_tradnl"/>
        </w:rPr>
        <w:t>CLAES contra BÉLGICA</w:t>
      </w:r>
      <w:r w:rsidR="00420237">
        <w:rPr>
          <w:rFonts w:ascii="Arial" w:hAnsi="Arial" w:cs="Arial"/>
          <w:color w:val="000000" w:themeColor="text1"/>
          <w:lang w:val="es-ES_tradnl"/>
        </w:rPr>
        <w:t xml:space="preserve"> (§ 120), entre otros, </w:t>
      </w:r>
      <w:r w:rsidR="00435BDF">
        <w:rPr>
          <w:rFonts w:ascii="Arial" w:hAnsi="Arial" w:cs="Arial"/>
          <w:color w:val="000000" w:themeColor="text1"/>
          <w:lang w:val="es-ES_tradnl"/>
        </w:rPr>
        <w:t xml:space="preserve">se entiende que </w:t>
      </w:r>
      <w:r w:rsidR="00B06AC1">
        <w:rPr>
          <w:rFonts w:ascii="Arial" w:hAnsi="Arial" w:cs="Arial"/>
          <w:color w:val="000000" w:themeColor="text1"/>
          <w:lang w:val="es-ES_tradnl"/>
        </w:rPr>
        <w:t>ha habido ausencia o ruptura del vínculo, considerando violado el artículo 5.1.e) del CONVENIO</w:t>
      </w:r>
      <w:r w:rsidR="00420237">
        <w:rPr>
          <w:rFonts w:ascii="Arial" w:hAnsi="Arial" w:cs="Arial"/>
          <w:color w:val="000000" w:themeColor="text1"/>
          <w:lang w:val="es-ES_tradnl"/>
        </w:rPr>
        <w:t>, por no reunir las condiciones precisas para seguir la terapia o tratamiento que necesitaban los internados.</w:t>
      </w:r>
    </w:p>
    <w:p w14:paraId="12BEEB6D" w14:textId="38FDAF81" w:rsidR="0023482F" w:rsidRDefault="00B06AC1" w:rsidP="00BD310D">
      <w:pPr>
        <w:ind w:right="-1" w:firstLine="284"/>
        <w:jc w:val="both"/>
        <w:rPr>
          <w:rFonts w:ascii="Arial" w:hAnsi="Arial" w:cs="Arial"/>
          <w:color w:val="000000" w:themeColor="text1"/>
          <w:lang w:val="es-ES_tradnl"/>
        </w:rPr>
      </w:pPr>
      <w:r>
        <w:rPr>
          <w:rFonts w:ascii="Arial" w:hAnsi="Arial" w:cs="Arial"/>
          <w:color w:val="000000" w:themeColor="text1"/>
          <w:lang w:val="es-ES_tradnl"/>
        </w:rPr>
        <w:t>Por último, haciendo mención al lugar de internamiento</w:t>
      </w:r>
      <w:r w:rsidR="00BB4AC9">
        <w:rPr>
          <w:rFonts w:ascii="Arial" w:hAnsi="Arial" w:cs="Arial"/>
          <w:color w:val="000000" w:themeColor="text1"/>
          <w:lang w:val="es-ES_tradnl"/>
        </w:rPr>
        <w:t>,</w:t>
      </w:r>
      <w:r>
        <w:rPr>
          <w:rFonts w:ascii="Arial" w:hAnsi="Arial" w:cs="Arial"/>
          <w:color w:val="000000" w:themeColor="text1"/>
          <w:lang w:val="es-ES_tradnl"/>
        </w:rPr>
        <w:t xml:space="preserve"> hay que indicar que el TRIBUNAL entiende que los internamientos que se producen en residencias también entran dentro de los supuestos que recoge el artículo 5.1.e) de CONVENIO. Claramente lo recoge así en su sentencia de</w:t>
      </w:r>
      <w:r w:rsidR="00F362F4">
        <w:rPr>
          <w:rFonts w:ascii="Arial" w:hAnsi="Arial" w:cs="Arial"/>
          <w:color w:val="000000" w:themeColor="text1"/>
          <w:lang w:val="es-ES_tradnl"/>
        </w:rPr>
        <w:t xml:space="preserve"> los casos CERVENKA</w:t>
      </w:r>
      <w:r w:rsidR="004148B4">
        <w:rPr>
          <w:rFonts w:ascii="Arial" w:hAnsi="Arial" w:cs="Arial"/>
          <w:color w:val="000000" w:themeColor="text1"/>
          <w:lang w:val="es-ES_tradnl"/>
        </w:rPr>
        <w:t xml:space="preserve"> (§103)</w:t>
      </w:r>
      <w:r w:rsidR="00F362F4">
        <w:rPr>
          <w:rFonts w:ascii="Arial" w:hAnsi="Arial" w:cs="Arial"/>
          <w:color w:val="000000" w:themeColor="text1"/>
          <w:lang w:val="es-ES_tradnl"/>
        </w:rPr>
        <w:t>, STANEV</w:t>
      </w:r>
      <w:r w:rsidR="004148B4">
        <w:rPr>
          <w:rFonts w:ascii="Arial" w:hAnsi="Arial" w:cs="Arial"/>
          <w:color w:val="000000" w:themeColor="text1"/>
          <w:lang w:val="es-ES_tradnl"/>
        </w:rPr>
        <w:t xml:space="preserve"> (§ 132)</w:t>
      </w:r>
      <w:r w:rsidR="00F362F4">
        <w:rPr>
          <w:rFonts w:ascii="Arial" w:hAnsi="Arial" w:cs="Arial"/>
          <w:color w:val="000000" w:themeColor="text1"/>
          <w:lang w:val="es-ES_tradnl"/>
        </w:rPr>
        <w:t xml:space="preserve">, </w:t>
      </w:r>
      <w:r w:rsidR="00F362F4" w:rsidRPr="00F362F4">
        <w:rPr>
          <w:rFonts w:ascii="Arial" w:hAnsi="Arial" w:cs="Arial"/>
          <w:color w:val="000000" w:themeColor="text1"/>
          <w:lang w:val="es-ES_tradnl"/>
        </w:rPr>
        <w:t>CHTOUKATOUROV</w:t>
      </w:r>
      <w:r w:rsidR="004148B4">
        <w:rPr>
          <w:rFonts w:ascii="Arial" w:hAnsi="Arial" w:cs="Arial"/>
          <w:color w:val="000000" w:themeColor="text1"/>
          <w:lang w:val="es-ES_tradnl"/>
        </w:rPr>
        <w:t xml:space="preserve"> (§§ 104-110)</w:t>
      </w:r>
      <w:r w:rsidR="00F362F4">
        <w:rPr>
          <w:rFonts w:ascii="Arial" w:hAnsi="Arial" w:cs="Arial"/>
          <w:color w:val="000000" w:themeColor="text1"/>
          <w:lang w:val="es-ES_tradnl"/>
        </w:rPr>
        <w:t>,</w:t>
      </w:r>
      <w:r w:rsidR="00BB4AC9">
        <w:rPr>
          <w:rFonts w:ascii="Arial" w:hAnsi="Arial" w:cs="Arial"/>
          <w:color w:val="000000" w:themeColor="text1"/>
          <w:lang w:val="es-ES_tradnl"/>
        </w:rPr>
        <w:t xml:space="preserve"> o</w:t>
      </w:r>
      <w:r w:rsidR="00F362F4">
        <w:rPr>
          <w:rFonts w:ascii="Arial" w:hAnsi="Arial" w:cs="Arial"/>
          <w:color w:val="000000" w:themeColor="text1"/>
          <w:lang w:val="es-ES_tradnl"/>
        </w:rPr>
        <w:t xml:space="preserve"> SYKORA</w:t>
      </w:r>
      <w:r w:rsidR="004148B4">
        <w:rPr>
          <w:rFonts w:ascii="Arial" w:hAnsi="Arial" w:cs="Arial"/>
          <w:color w:val="000000" w:themeColor="text1"/>
          <w:lang w:val="es-ES_tradnl"/>
        </w:rPr>
        <w:t xml:space="preserve"> (§ 47)</w:t>
      </w:r>
      <w:r w:rsidR="00F362F4">
        <w:rPr>
          <w:rFonts w:ascii="Arial" w:hAnsi="Arial" w:cs="Arial"/>
          <w:color w:val="000000" w:themeColor="text1"/>
          <w:lang w:val="es-ES_tradnl"/>
        </w:rPr>
        <w:t>. Internar a una persona en una residencia no significa necesariamente privarla de libertad</w:t>
      </w:r>
      <w:r w:rsidR="007317D9">
        <w:rPr>
          <w:rFonts w:ascii="Arial" w:hAnsi="Arial" w:cs="Arial"/>
          <w:color w:val="000000" w:themeColor="text1"/>
          <w:lang w:val="es-ES_tradnl"/>
        </w:rPr>
        <w:t>, pero en los supuestos en los que el internamiento sea involuntario la residencia adquiere las mismas obligaciones que cualquier otro centro</w:t>
      </w:r>
      <w:r w:rsidR="00BB4AC9">
        <w:rPr>
          <w:rFonts w:ascii="Arial" w:hAnsi="Arial" w:cs="Arial"/>
          <w:color w:val="000000" w:themeColor="text1"/>
          <w:lang w:val="es-ES_tradnl"/>
        </w:rPr>
        <w:t>, el procedimiento a seguir debe cumplir los mismos requisitos que se exigen en los casos de internamientos en centros psiquiátricos</w:t>
      </w:r>
      <w:r w:rsidR="007317D9">
        <w:rPr>
          <w:rFonts w:ascii="Arial" w:hAnsi="Arial" w:cs="Arial"/>
          <w:color w:val="000000" w:themeColor="text1"/>
          <w:lang w:val="es-ES_tradnl"/>
        </w:rPr>
        <w:t>.</w:t>
      </w:r>
      <w:r w:rsidR="00C0712B">
        <w:rPr>
          <w:rStyle w:val="Refdenotaalpie"/>
          <w:rFonts w:ascii="Arial" w:hAnsi="Arial" w:cs="Arial"/>
          <w:color w:val="000000" w:themeColor="text1"/>
          <w:lang w:val="es-ES_tradnl"/>
        </w:rPr>
        <w:footnoteReference w:id="40"/>
      </w:r>
      <w:r w:rsidR="00BB4AC9">
        <w:rPr>
          <w:rFonts w:ascii="Arial" w:hAnsi="Arial" w:cs="Arial"/>
          <w:color w:val="000000" w:themeColor="text1"/>
          <w:lang w:val="es-ES_tradnl"/>
        </w:rPr>
        <w:t xml:space="preserve"> </w:t>
      </w:r>
      <w:r w:rsidR="007317D9">
        <w:rPr>
          <w:rFonts w:ascii="Arial" w:hAnsi="Arial" w:cs="Arial"/>
          <w:color w:val="000000" w:themeColor="text1"/>
          <w:lang w:val="es-ES_tradnl"/>
        </w:rPr>
        <w:t xml:space="preserve">Eso es lo que entendemos se deriva del parágrafo 111 de la sentencia del caso CERVENKA, en la que se declara contrario al CONVENIO un internamiento en el que la residencia no comunica al juzgado el ingreso involuntario; o del parágrafo 103, </w:t>
      </w:r>
      <w:r w:rsidR="00F36EED">
        <w:rPr>
          <w:rFonts w:ascii="Arial" w:hAnsi="Arial" w:cs="Arial"/>
          <w:color w:val="000000" w:themeColor="text1"/>
          <w:lang w:val="es-ES_tradnl"/>
        </w:rPr>
        <w:t xml:space="preserve">que recoge que </w:t>
      </w:r>
      <w:r w:rsidR="007A34D6">
        <w:rPr>
          <w:rFonts w:ascii="Arial" w:hAnsi="Arial" w:cs="Arial"/>
          <w:color w:val="000000" w:themeColor="text1"/>
          <w:lang w:val="es-ES_tradnl"/>
        </w:rPr>
        <w:t>d</w:t>
      </w:r>
      <w:r w:rsidR="00F36EED">
        <w:rPr>
          <w:rFonts w:ascii="Arial" w:hAnsi="Arial" w:cs="Arial"/>
          <w:color w:val="000000" w:themeColor="text1"/>
          <w:lang w:val="es-ES_tradnl"/>
        </w:rPr>
        <w:t>el comportamiento del internado se desprende que no quería permanecer en la residencia. En estos casos también hay que justificar el ingreso a través del correspondiente informe pericial</w:t>
      </w:r>
      <w:r w:rsidR="00B72141">
        <w:rPr>
          <w:rFonts w:ascii="Arial" w:hAnsi="Arial" w:cs="Arial"/>
          <w:color w:val="000000" w:themeColor="text1"/>
          <w:lang w:val="es-ES_tradnl"/>
        </w:rPr>
        <w:t>,</w:t>
      </w:r>
      <w:r w:rsidR="00BE3F1F">
        <w:rPr>
          <w:rStyle w:val="Refdenotaalpie"/>
          <w:rFonts w:ascii="Arial" w:hAnsi="Arial" w:cs="Arial"/>
          <w:color w:val="000000" w:themeColor="text1"/>
          <w:lang w:val="es-ES_tradnl"/>
        </w:rPr>
        <w:footnoteReference w:id="41"/>
      </w:r>
      <w:r w:rsidR="00F36EED">
        <w:rPr>
          <w:rFonts w:ascii="Arial" w:hAnsi="Arial" w:cs="Arial"/>
          <w:color w:val="000000" w:themeColor="text1"/>
          <w:lang w:val="es-ES_tradnl"/>
        </w:rPr>
        <w:t xml:space="preserve"> informe pericial que tendrá que ser distinto a aquel en el que se basó el internamiento en un hospital psiquiátrico, en el supuesto de que antes de ingresar en una residencia</w:t>
      </w:r>
      <w:r w:rsidR="00ED2DC3">
        <w:rPr>
          <w:rFonts w:ascii="Arial" w:hAnsi="Arial" w:cs="Arial"/>
          <w:color w:val="000000" w:themeColor="text1"/>
          <w:lang w:val="es-ES_tradnl"/>
        </w:rPr>
        <w:t xml:space="preserve"> la persona hubiera sido internada en un centro hospitalario.</w:t>
      </w:r>
      <w:r w:rsidR="00BD310D">
        <w:rPr>
          <w:rStyle w:val="Refdenotaalpie"/>
          <w:rFonts w:ascii="Arial" w:hAnsi="Arial" w:cs="Arial"/>
          <w:color w:val="000000" w:themeColor="text1"/>
          <w:lang w:val="es-ES_tradnl"/>
        </w:rPr>
        <w:footnoteReference w:id="42"/>
      </w:r>
      <w:r w:rsidR="00ED2DC3">
        <w:rPr>
          <w:rFonts w:ascii="Arial" w:hAnsi="Arial" w:cs="Arial"/>
          <w:color w:val="000000" w:themeColor="text1"/>
          <w:lang w:val="es-ES_tradnl"/>
        </w:rPr>
        <w:t xml:space="preserve"> Finalmente señalemos un elemento a tener en cuenta en los casos en residencias y es el bienestar de la persona como condicionante del ingreso</w:t>
      </w:r>
      <w:r w:rsidR="00BD310D">
        <w:rPr>
          <w:rFonts w:ascii="Arial" w:hAnsi="Arial" w:cs="Arial"/>
          <w:color w:val="000000" w:themeColor="text1"/>
          <w:lang w:val="es-ES_tradnl"/>
        </w:rPr>
        <w:t>.</w:t>
      </w:r>
      <w:r w:rsidR="00BD310D">
        <w:rPr>
          <w:rStyle w:val="Refdenotaalpie"/>
          <w:rFonts w:ascii="Arial" w:hAnsi="Arial" w:cs="Arial"/>
          <w:color w:val="000000" w:themeColor="text1"/>
          <w:lang w:val="es-ES_tradnl"/>
        </w:rPr>
        <w:footnoteReference w:id="43"/>
      </w:r>
      <w:r w:rsidR="00ED2DC3">
        <w:rPr>
          <w:rFonts w:ascii="Arial" w:hAnsi="Arial" w:cs="Arial"/>
          <w:color w:val="000000" w:themeColor="text1"/>
          <w:lang w:val="es-ES_tradnl"/>
        </w:rPr>
        <w:t xml:space="preserve"> </w:t>
      </w:r>
      <w:r w:rsidR="007A34D6">
        <w:rPr>
          <w:rFonts w:ascii="Arial" w:hAnsi="Arial" w:cs="Arial"/>
          <w:color w:val="000000" w:themeColor="text1"/>
          <w:lang w:val="es-ES_tradnl"/>
        </w:rPr>
        <w:t>En definitiva, los ingresos en residencias entran dentro de la previsión que recoge el artículo 5.1.e) del CONVENIO.</w:t>
      </w:r>
    </w:p>
    <w:p w14:paraId="787FDEFC" w14:textId="77777777" w:rsidR="00BD310D" w:rsidRDefault="00BD310D" w:rsidP="00BD310D">
      <w:pPr>
        <w:ind w:right="-1" w:firstLine="284"/>
        <w:jc w:val="both"/>
        <w:rPr>
          <w:rFonts w:ascii="Arial" w:eastAsia="Times New Roman" w:hAnsi="Arial" w:cs="Arial"/>
          <w:lang w:val="es-ES" w:eastAsia="es-ES_tradnl"/>
        </w:rPr>
      </w:pPr>
    </w:p>
    <w:p w14:paraId="1B3A6153" w14:textId="1EC92004" w:rsidR="0023482F" w:rsidRDefault="0023482F"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2. Pronunciamientos relativos a los procedimientos de internamiento</w:t>
      </w:r>
    </w:p>
    <w:p w14:paraId="68AF6E1C" w14:textId="68149BAA" w:rsidR="001E78D0" w:rsidRDefault="001E78D0"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a) Garantías y derechos procesales</w:t>
      </w:r>
    </w:p>
    <w:p w14:paraId="6F081C71" w14:textId="7E7D5B52" w:rsidR="00B658FD" w:rsidRDefault="00FF6EC3" w:rsidP="00A84581">
      <w:pPr>
        <w:ind w:right="-1" w:firstLine="284"/>
        <w:jc w:val="both"/>
        <w:rPr>
          <w:rFonts w:ascii="Arial" w:eastAsia="Times New Roman" w:hAnsi="Arial" w:cs="Arial"/>
          <w:lang w:val="es-ES" w:eastAsia="es-ES_tradnl"/>
        </w:rPr>
      </w:pPr>
      <w:r w:rsidRPr="00011335">
        <w:rPr>
          <w:rFonts w:ascii="Arial" w:eastAsia="Times New Roman" w:hAnsi="Arial" w:cs="Arial"/>
          <w:lang w:val="es-ES" w:eastAsia="es-ES_tradnl"/>
        </w:rPr>
        <w:t xml:space="preserve">El TRIBUNAL emplea expresiones como «legalidad» o </w:t>
      </w:r>
      <w:r w:rsidRPr="00203071">
        <w:rPr>
          <w:rFonts w:ascii="Arial" w:eastAsia="Times New Roman" w:hAnsi="Arial" w:cs="Arial"/>
          <w:color w:val="000000" w:themeColor="text1"/>
          <w:lang w:val="es-ES" w:eastAsia="es-ES_tradnl"/>
        </w:rPr>
        <w:t>«vías legales</w:t>
      </w:r>
      <w:r w:rsidRPr="00011335">
        <w:rPr>
          <w:rFonts w:ascii="Arial" w:eastAsia="Times New Roman" w:hAnsi="Arial" w:cs="Arial"/>
          <w:lang w:val="es-ES" w:eastAsia="es-ES_tradnl"/>
        </w:rPr>
        <w:t>»</w:t>
      </w:r>
      <w:r w:rsidR="00F85D16">
        <w:rPr>
          <w:rStyle w:val="Refdenotaalpie"/>
          <w:rFonts w:ascii="Arial" w:eastAsia="Times New Roman" w:hAnsi="Arial" w:cs="Arial"/>
          <w:lang w:val="es-ES" w:eastAsia="es-ES_tradnl"/>
        </w:rPr>
        <w:footnoteReference w:id="44"/>
      </w:r>
      <w:r>
        <w:rPr>
          <w:rFonts w:ascii="Arial" w:eastAsia="Times New Roman" w:hAnsi="Arial" w:cs="Arial"/>
          <w:lang w:val="es-ES" w:eastAsia="es-ES_tradnl"/>
        </w:rPr>
        <w:t xml:space="preserve"> para referirse a los procedimientos de internamiento que observan los requisitos establecidos en el CONVENIO y en su jurisprudencia con el fin de garantizar que no se produ</w:t>
      </w:r>
      <w:r w:rsidR="00203071">
        <w:rPr>
          <w:rFonts w:ascii="Arial" w:eastAsia="Times New Roman" w:hAnsi="Arial" w:cs="Arial"/>
          <w:lang w:val="es-ES" w:eastAsia="es-ES_tradnl"/>
        </w:rPr>
        <w:t>zca</w:t>
      </w:r>
      <w:r>
        <w:rPr>
          <w:rFonts w:ascii="Arial" w:eastAsia="Times New Roman" w:hAnsi="Arial" w:cs="Arial"/>
          <w:lang w:val="es-ES" w:eastAsia="es-ES_tradnl"/>
        </w:rPr>
        <w:t>n arbitrariedades en cuanto a su autorización o seguimiento</w:t>
      </w:r>
      <w:r w:rsidR="005950EE">
        <w:rPr>
          <w:rFonts w:ascii="Arial" w:eastAsia="Times New Roman" w:hAnsi="Arial" w:cs="Arial"/>
          <w:lang w:val="es-ES" w:eastAsia="es-ES_tradnl"/>
        </w:rPr>
        <w:t xml:space="preserve">, porque la legalidad del internamiento debe demostrarse a lo largo de </w:t>
      </w:r>
      <w:r w:rsidR="00A65112">
        <w:rPr>
          <w:rFonts w:ascii="Arial" w:eastAsia="Times New Roman" w:hAnsi="Arial" w:cs="Arial"/>
          <w:lang w:val="es-ES" w:eastAsia="es-ES_tradnl"/>
        </w:rPr>
        <w:t xml:space="preserve">toda </w:t>
      </w:r>
      <w:r w:rsidR="005950EE">
        <w:rPr>
          <w:rFonts w:ascii="Arial" w:eastAsia="Times New Roman" w:hAnsi="Arial" w:cs="Arial"/>
          <w:lang w:val="es-ES" w:eastAsia="es-ES_tradnl"/>
        </w:rPr>
        <w:t>su duración</w:t>
      </w:r>
      <w:r w:rsidR="00AF2927">
        <w:rPr>
          <w:rFonts w:ascii="Arial" w:eastAsia="Times New Roman" w:hAnsi="Arial" w:cs="Arial"/>
          <w:lang w:val="es-ES" w:eastAsia="es-ES_tradnl"/>
        </w:rPr>
        <w:t>.</w:t>
      </w:r>
      <w:r w:rsidR="00A019FC">
        <w:rPr>
          <w:rStyle w:val="Refdenotaalpie"/>
          <w:rFonts w:ascii="Arial" w:eastAsia="Times New Roman" w:hAnsi="Arial" w:cs="Arial"/>
          <w:lang w:val="es-ES" w:eastAsia="es-ES_tradnl"/>
        </w:rPr>
        <w:footnoteReference w:id="45"/>
      </w:r>
      <w:r w:rsidR="005950EE">
        <w:rPr>
          <w:rFonts w:ascii="Arial" w:eastAsia="Times New Roman" w:hAnsi="Arial" w:cs="Arial"/>
          <w:lang w:val="es-ES" w:eastAsia="es-ES_tradnl"/>
        </w:rPr>
        <w:t xml:space="preserve"> </w:t>
      </w:r>
      <w:r w:rsidR="00A84581">
        <w:rPr>
          <w:rFonts w:ascii="Arial" w:eastAsia="Times New Roman" w:hAnsi="Arial" w:cs="Arial"/>
          <w:lang w:val="es-ES" w:eastAsia="es-ES_tradnl"/>
        </w:rPr>
        <w:t xml:space="preserve">En este sentido, </w:t>
      </w:r>
      <w:r w:rsidR="001E78D0">
        <w:rPr>
          <w:rFonts w:ascii="Arial" w:eastAsia="Times New Roman" w:hAnsi="Arial" w:cs="Arial"/>
          <w:lang w:val="es-ES" w:eastAsia="es-ES_tradnl"/>
        </w:rPr>
        <w:t>debemos comenzar</w:t>
      </w:r>
      <w:r w:rsidR="00B603A1">
        <w:rPr>
          <w:rFonts w:ascii="Arial" w:eastAsia="Times New Roman" w:hAnsi="Arial" w:cs="Arial"/>
          <w:lang w:val="es-ES" w:eastAsia="es-ES_tradnl"/>
        </w:rPr>
        <w:t xml:space="preserve"> </w:t>
      </w:r>
      <w:r w:rsidR="001E78D0">
        <w:rPr>
          <w:rFonts w:ascii="Arial" w:eastAsia="Times New Roman" w:hAnsi="Arial" w:cs="Arial"/>
          <w:lang w:val="es-ES" w:eastAsia="es-ES_tradnl"/>
        </w:rPr>
        <w:t xml:space="preserve">por el derecho a </w:t>
      </w:r>
      <w:r w:rsidR="001E78D0" w:rsidRPr="006B5DEF">
        <w:rPr>
          <w:rFonts w:ascii="Arial" w:eastAsia="Times New Roman" w:hAnsi="Arial" w:cs="Arial"/>
          <w:color w:val="000000" w:themeColor="text1"/>
          <w:lang w:val="es-ES" w:eastAsia="es-ES_tradnl"/>
        </w:rPr>
        <w:t>acceder a los tribunales</w:t>
      </w:r>
      <w:r w:rsidR="001E78D0">
        <w:rPr>
          <w:rFonts w:ascii="Arial" w:eastAsia="Times New Roman" w:hAnsi="Arial" w:cs="Arial"/>
          <w:lang w:val="es-ES" w:eastAsia="es-ES_tradnl"/>
        </w:rPr>
        <w:t xml:space="preserve">. El resto de los derechos procesales carecerían de sentido si la persona objeto de internamiento no pudiera solicitar la tutela de los tribunales en estos caos. Conviene tener en cuenta un dato importante. En el caso español, la autorización o la ratificación del internamiento es una materia atribuida a los tribunales, específicamente a los Juzgados de Primera Instancia y, las apelaciones, a las Audiencias Provinciales; pero eso no es habitual en otros regímenes jurídicos. No es infrecuente que la decisión inicial del internamiento venga atribuida a un órgano administrativo o gubernativo. </w:t>
      </w:r>
      <w:r w:rsidR="001E78D0" w:rsidRPr="006B5DEF">
        <w:rPr>
          <w:rFonts w:ascii="Arial" w:eastAsia="Times New Roman" w:hAnsi="Arial" w:cs="Arial"/>
          <w:color w:val="000000" w:themeColor="text1"/>
          <w:lang w:val="es-ES" w:eastAsia="es-ES_tradnl"/>
        </w:rPr>
        <w:t>Esta opción es igualmente reconocida por el TRIBUNAL,</w:t>
      </w:r>
      <w:r w:rsidR="001E78D0" w:rsidRPr="001B7863">
        <w:rPr>
          <w:rFonts w:ascii="Arial" w:eastAsia="Times New Roman" w:hAnsi="Arial" w:cs="Arial"/>
          <w:color w:val="7030A0"/>
          <w:lang w:val="es-ES" w:eastAsia="es-ES_tradnl"/>
        </w:rPr>
        <w:t xml:space="preserve"> </w:t>
      </w:r>
      <w:r w:rsidR="001E78D0">
        <w:rPr>
          <w:rFonts w:ascii="Arial" w:eastAsia="Times New Roman" w:hAnsi="Arial" w:cs="Arial"/>
          <w:lang w:val="es-ES" w:eastAsia="es-ES_tradnl"/>
        </w:rPr>
        <w:t>si bien es cierto que en tales supuestos exige que las personas internadas tengan acceso</w:t>
      </w:r>
      <w:r w:rsidR="006B5DEF">
        <w:rPr>
          <w:rFonts w:ascii="Arial" w:eastAsia="Times New Roman" w:hAnsi="Arial" w:cs="Arial"/>
          <w:lang w:val="es-ES" w:eastAsia="es-ES_tradnl"/>
        </w:rPr>
        <w:t>, vía recurso,</w:t>
      </w:r>
      <w:r w:rsidR="001E78D0">
        <w:rPr>
          <w:rFonts w:ascii="Arial" w:eastAsia="Times New Roman" w:hAnsi="Arial" w:cs="Arial"/>
          <w:lang w:val="es-ES" w:eastAsia="es-ES_tradnl"/>
        </w:rPr>
        <w:t xml:space="preserve"> a un órgano judicial que controle la decisión administrativa o gubernativa.</w:t>
      </w:r>
    </w:p>
    <w:p w14:paraId="76771F2F" w14:textId="1D5CF251" w:rsidR="001E78D0" w:rsidRDefault="001E78D0" w:rsidP="001B6DC2">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Así pues, el primero de todos los derechos que conforman la lista que recogemos en este apartado es el derecho a acceder a los tribunales, derecho que se tiene tanto de cara </w:t>
      </w:r>
      <w:r w:rsidRPr="006B5DEF">
        <w:rPr>
          <w:rFonts w:ascii="Arial" w:eastAsia="Times New Roman" w:hAnsi="Arial" w:cs="Arial"/>
          <w:color w:val="000000" w:themeColor="text1"/>
          <w:lang w:val="es-ES" w:eastAsia="es-ES_tradnl"/>
        </w:rPr>
        <w:t xml:space="preserve">a plantear </w:t>
      </w:r>
      <w:r w:rsidR="001B6DC2">
        <w:rPr>
          <w:rFonts w:ascii="Arial" w:eastAsia="Times New Roman" w:hAnsi="Arial" w:cs="Arial"/>
          <w:color w:val="000000" w:themeColor="text1"/>
          <w:lang w:val="es-ES" w:eastAsia="es-ES_tradnl"/>
        </w:rPr>
        <w:t>demanda judicial</w:t>
      </w:r>
      <w:r w:rsidRPr="006B5DEF">
        <w:rPr>
          <w:rFonts w:ascii="Arial" w:eastAsia="Times New Roman" w:hAnsi="Arial" w:cs="Arial"/>
          <w:color w:val="000000" w:themeColor="text1"/>
          <w:lang w:val="es-ES" w:eastAsia="es-ES_tradnl"/>
        </w:rPr>
        <w:t xml:space="preserve"> </w:t>
      </w:r>
      <w:r>
        <w:rPr>
          <w:rFonts w:ascii="Arial" w:eastAsia="Times New Roman" w:hAnsi="Arial" w:cs="Arial"/>
          <w:lang w:val="es-ES" w:eastAsia="es-ES_tradnl"/>
        </w:rPr>
        <w:t>contra una decisión gubernativa o administrativa,</w:t>
      </w:r>
      <w:r w:rsidR="001B6DC2">
        <w:rPr>
          <w:rFonts w:ascii="Arial" w:eastAsia="Times New Roman" w:hAnsi="Arial" w:cs="Arial"/>
          <w:lang w:val="es-ES" w:eastAsia="es-ES_tradnl"/>
        </w:rPr>
        <w:t xml:space="preserve"> como un recurso cuando</w:t>
      </w:r>
      <w:r>
        <w:rPr>
          <w:rFonts w:ascii="Arial" w:eastAsia="Times New Roman" w:hAnsi="Arial" w:cs="Arial"/>
          <w:lang w:val="es-ES" w:eastAsia="es-ES_tradnl"/>
        </w:rPr>
        <w:t xml:space="preserve"> la autorización </w:t>
      </w:r>
      <w:r w:rsidR="001B6DC2">
        <w:rPr>
          <w:rFonts w:ascii="Arial" w:eastAsia="Times New Roman" w:hAnsi="Arial" w:cs="Arial"/>
          <w:lang w:val="es-ES" w:eastAsia="es-ES_tradnl"/>
        </w:rPr>
        <w:t xml:space="preserve">inicial </w:t>
      </w:r>
      <w:r>
        <w:rPr>
          <w:rFonts w:ascii="Arial" w:eastAsia="Times New Roman" w:hAnsi="Arial" w:cs="Arial"/>
          <w:lang w:val="es-ES" w:eastAsia="es-ES_tradnl"/>
        </w:rPr>
        <w:t>sea competencia de un órgano judicial.</w:t>
      </w:r>
      <w:r w:rsidR="00C05259">
        <w:rPr>
          <w:rStyle w:val="Refdenotaalpie"/>
          <w:rFonts w:ascii="Arial" w:eastAsia="Times New Roman" w:hAnsi="Arial" w:cs="Arial"/>
          <w:lang w:val="es-ES" w:eastAsia="es-ES_tradnl"/>
        </w:rPr>
        <w:footnoteReference w:id="46"/>
      </w:r>
      <w:r>
        <w:rPr>
          <w:rFonts w:ascii="Arial" w:eastAsia="Times New Roman" w:hAnsi="Arial" w:cs="Arial"/>
          <w:lang w:val="es-ES" w:eastAsia="es-ES_tradnl"/>
        </w:rPr>
        <w:t xml:space="preserve"> El derecho de acceso a los tribunales no se limita a realizar una mera supervisión del </w:t>
      </w:r>
      <w:r w:rsidR="00AA256E">
        <w:rPr>
          <w:rFonts w:ascii="Arial" w:eastAsia="Times New Roman" w:hAnsi="Arial" w:cs="Arial"/>
          <w:lang w:val="es-ES" w:eastAsia="es-ES_tradnl"/>
        </w:rPr>
        <w:t xml:space="preserve">expediente o del </w:t>
      </w:r>
      <w:r>
        <w:rPr>
          <w:rFonts w:ascii="Arial" w:eastAsia="Times New Roman" w:hAnsi="Arial" w:cs="Arial"/>
          <w:lang w:val="es-ES" w:eastAsia="es-ES_tradnl"/>
        </w:rPr>
        <w:t xml:space="preserve">modo en que han sido adoptadas las decisiones de internamiento. La persona tiene derecho a </w:t>
      </w:r>
      <w:r w:rsidRPr="00275580">
        <w:rPr>
          <w:rFonts w:ascii="Arial" w:eastAsia="Times New Roman" w:hAnsi="Arial" w:cs="Arial"/>
          <w:color w:val="000000" w:themeColor="text1"/>
          <w:lang w:val="es-ES" w:eastAsia="es-ES_tradnl"/>
        </w:rPr>
        <w:t>ser oída</w:t>
      </w:r>
      <w:r w:rsidR="00AF2927">
        <w:rPr>
          <w:rFonts w:ascii="Arial" w:eastAsia="Times New Roman" w:hAnsi="Arial" w:cs="Arial"/>
          <w:color w:val="000000" w:themeColor="text1"/>
          <w:lang w:val="es-ES" w:eastAsia="es-ES_tradnl"/>
        </w:rPr>
        <w:t>,</w:t>
      </w:r>
      <w:r w:rsidR="00C05259" w:rsidRPr="00275580">
        <w:rPr>
          <w:rStyle w:val="Refdenotaalpie"/>
          <w:rFonts w:ascii="Arial" w:eastAsia="Times New Roman" w:hAnsi="Arial" w:cs="Arial"/>
          <w:color w:val="000000" w:themeColor="text1"/>
          <w:lang w:val="es-ES" w:eastAsia="es-ES_tradnl"/>
        </w:rPr>
        <w:footnoteReference w:id="47"/>
      </w:r>
      <w:r w:rsidR="0048788D">
        <w:rPr>
          <w:rFonts w:ascii="Arial" w:eastAsia="Times New Roman" w:hAnsi="Arial" w:cs="Arial"/>
          <w:color w:val="000000" w:themeColor="text1"/>
          <w:lang w:val="es-ES" w:eastAsia="es-ES_tradnl"/>
        </w:rPr>
        <w:t xml:space="preserve"> </w:t>
      </w:r>
      <w:r>
        <w:rPr>
          <w:rFonts w:ascii="Arial" w:eastAsia="Times New Roman" w:hAnsi="Arial" w:cs="Arial"/>
          <w:lang w:val="es-ES" w:eastAsia="es-ES_tradnl"/>
        </w:rPr>
        <w:t>lo que implica un proceso y una resolución conforme a lo practicado en ese proceso. Más aún, no solo tiene derecho a ser oída sino a ser</w:t>
      </w:r>
      <w:r w:rsidRPr="006B5DEF">
        <w:rPr>
          <w:rFonts w:ascii="Arial" w:eastAsia="Times New Roman" w:hAnsi="Arial" w:cs="Arial"/>
          <w:color w:val="000000" w:themeColor="text1"/>
          <w:lang w:val="es-ES" w:eastAsia="es-ES_tradnl"/>
        </w:rPr>
        <w:t xml:space="preserve"> examinada</w:t>
      </w:r>
      <w:r>
        <w:rPr>
          <w:rFonts w:ascii="Arial" w:eastAsia="Times New Roman" w:hAnsi="Arial" w:cs="Arial"/>
          <w:lang w:val="es-ES" w:eastAsia="es-ES_tradnl"/>
        </w:rPr>
        <w:t xml:space="preserve">. Ello se desprende de las sentencias en las que el TRIBUNAL señala el doble papel de la persona </w:t>
      </w:r>
      <w:r w:rsidR="00AA256E">
        <w:rPr>
          <w:rFonts w:ascii="Arial" w:eastAsia="Times New Roman" w:hAnsi="Arial" w:cs="Arial"/>
          <w:lang w:val="es-ES" w:eastAsia="es-ES_tradnl"/>
        </w:rPr>
        <w:t xml:space="preserve">para la que se solicita el </w:t>
      </w:r>
      <w:r>
        <w:rPr>
          <w:rFonts w:ascii="Arial" w:eastAsia="Times New Roman" w:hAnsi="Arial" w:cs="Arial"/>
          <w:lang w:val="es-ES" w:eastAsia="es-ES_tradnl"/>
        </w:rPr>
        <w:t>internamiento</w:t>
      </w:r>
      <w:r w:rsidR="00AA256E">
        <w:rPr>
          <w:rFonts w:ascii="Arial" w:eastAsia="Times New Roman" w:hAnsi="Arial" w:cs="Arial"/>
          <w:lang w:val="es-ES" w:eastAsia="es-ES_tradnl"/>
        </w:rPr>
        <w:t>:</w:t>
      </w:r>
      <w:r w:rsidR="00BD66A4">
        <w:rPr>
          <w:rFonts w:ascii="Arial" w:eastAsia="Times New Roman" w:hAnsi="Arial" w:cs="Arial"/>
          <w:lang w:val="es-ES" w:eastAsia="es-ES_tradnl"/>
        </w:rPr>
        <w:t xml:space="preserve"> de un lado,</w:t>
      </w:r>
      <w:r>
        <w:rPr>
          <w:rFonts w:ascii="Arial" w:eastAsia="Times New Roman" w:hAnsi="Arial" w:cs="Arial"/>
          <w:lang w:val="es-ES" w:eastAsia="es-ES_tradnl"/>
        </w:rPr>
        <w:t xml:space="preserve"> como parte y</w:t>
      </w:r>
      <w:r w:rsidR="00BD66A4">
        <w:rPr>
          <w:rFonts w:ascii="Arial" w:eastAsia="Times New Roman" w:hAnsi="Arial" w:cs="Arial"/>
          <w:lang w:val="es-ES" w:eastAsia="es-ES_tradnl"/>
        </w:rPr>
        <w:t>, de otro,</w:t>
      </w:r>
      <w:r>
        <w:rPr>
          <w:rFonts w:ascii="Arial" w:eastAsia="Times New Roman" w:hAnsi="Arial" w:cs="Arial"/>
          <w:lang w:val="es-ES" w:eastAsia="es-ES_tradnl"/>
        </w:rPr>
        <w:t xml:space="preserve"> como objeto del examen pericial, necesario para permitir al juez formarse una opinión sobre el estado mental de la persona.</w:t>
      </w:r>
      <w:r w:rsidR="00275580">
        <w:rPr>
          <w:rStyle w:val="Refdenotaalpie"/>
          <w:rFonts w:ascii="Arial" w:eastAsia="Times New Roman" w:hAnsi="Arial" w:cs="Arial"/>
          <w:lang w:val="es-ES" w:eastAsia="es-ES_tradnl"/>
        </w:rPr>
        <w:footnoteReference w:id="48"/>
      </w:r>
      <w:r>
        <w:rPr>
          <w:rFonts w:ascii="Arial" w:eastAsia="Times New Roman" w:hAnsi="Arial" w:cs="Arial"/>
          <w:lang w:val="es-ES" w:eastAsia="es-ES_tradnl"/>
        </w:rPr>
        <w:t xml:space="preserve"> Ya hemos mencionado que uno de los requisitos que se exigen para poder autorizar un internamiento es que el trastorno mental sea de tal magnitud que requiera el internamiento, y que ese trastorno debe quedar </w:t>
      </w:r>
      <w:r w:rsidRPr="006B5DEF">
        <w:rPr>
          <w:rFonts w:ascii="Arial" w:eastAsia="Times New Roman" w:hAnsi="Arial" w:cs="Arial"/>
          <w:color w:val="000000" w:themeColor="text1"/>
          <w:lang w:val="es-ES" w:eastAsia="es-ES_tradnl"/>
        </w:rPr>
        <w:t>acreditado</w:t>
      </w:r>
      <w:r>
        <w:rPr>
          <w:rFonts w:ascii="Arial" w:eastAsia="Times New Roman" w:hAnsi="Arial" w:cs="Arial"/>
          <w:lang w:val="es-ES" w:eastAsia="es-ES_tradnl"/>
        </w:rPr>
        <w:t xml:space="preserve"> tras los correspon</w:t>
      </w:r>
      <w:r w:rsidR="00BD66A4">
        <w:rPr>
          <w:rFonts w:ascii="Arial" w:eastAsia="Times New Roman" w:hAnsi="Arial" w:cs="Arial"/>
          <w:lang w:val="es-ES" w:eastAsia="es-ES_tradnl"/>
        </w:rPr>
        <w:t>-</w:t>
      </w:r>
      <w:r>
        <w:rPr>
          <w:rFonts w:ascii="Arial" w:eastAsia="Times New Roman" w:hAnsi="Arial" w:cs="Arial"/>
          <w:lang w:val="es-ES" w:eastAsia="es-ES_tradnl"/>
        </w:rPr>
        <w:t xml:space="preserve">dientes exámenes realizados por especialista. De ello se deriva el derecho a ser examinado. La persona tiene derecho a ese examen realizado por especialistas sin el cual no puede autorizarse el internamiento. Ni si quiera el hecho de que una persona se encuentre en estado de enajenación la priva de tal derecho, </w:t>
      </w:r>
      <w:r w:rsidR="00BD66A4">
        <w:rPr>
          <w:rFonts w:ascii="Arial" w:eastAsia="Times New Roman" w:hAnsi="Arial" w:cs="Arial"/>
          <w:lang w:val="es-ES" w:eastAsia="es-ES_tradnl"/>
        </w:rPr>
        <w:t xml:space="preserve">derecho que puede exigir </w:t>
      </w:r>
      <w:r>
        <w:rPr>
          <w:rFonts w:ascii="Arial" w:eastAsia="Times New Roman" w:hAnsi="Arial" w:cs="Arial"/>
          <w:lang w:val="es-ES" w:eastAsia="es-ES_tradnl"/>
        </w:rPr>
        <w:t>bien directamente, bien a través de su representante.</w:t>
      </w:r>
      <w:r w:rsidR="0048788D">
        <w:rPr>
          <w:rStyle w:val="Refdenotaalpie"/>
          <w:rFonts w:ascii="Arial" w:eastAsia="Times New Roman" w:hAnsi="Arial" w:cs="Arial"/>
          <w:lang w:val="es-ES" w:eastAsia="es-ES_tradnl"/>
        </w:rPr>
        <w:footnoteReference w:id="49"/>
      </w:r>
    </w:p>
    <w:p w14:paraId="69AC936E" w14:textId="2A5C44DF" w:rsidR="000F3E6B" w:rsidRDefault="00452C39" w:rsidP="002B24A5">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Dado que el acceso a los tribunales y a un proceso judicial es un derecho reconocido tanto en el CONVENIO como </w:t>
      </w:r>
      <w:r w:rsidR="001B6DC2">
        <w:rPr>
          <w:rFonts w:ascii="Arial" w:eastAsia="Times New Roman" w:hAnsi="Arial" w:cs="Arial"/>
          <w:lang w:val="es-ES" w:eastAsia="es-ES_tradnl"/>
        </w:rPr>
        <w:t>por</w:t>
      </w:r>
      <w:r>
        <w:rPr>
          <w:rFonts w:ascii="Arial" w:eastAsia="Times New Roman" w:hAnsi="Arial" w:cs="Arial"/>
          <w:lang w:val="es-ES" w:eastAsia="es-ES_tradnl"/>
        </w:rPr>
        <w:t xml:space="preserve"> la jurisprudencia</w:t>
      </w:r>
      <w:r w:rsidR="00AF2927">
        <w:rPr>
          <w:rFonts w:ascii="Arial" w:eastAsia="Times New Roman" w:hAnsi="Arial" w:cs="Arial"/>
          <w:lang w:val="es-ES" w:eastAsia="es-ES_tradnl"/>
        </w:rPr>
        <w:t>,</w:t>
      </w:r>
      <w:r>
        <w:rPr>
          <w:rStyle w:val="Refdenotaalpie"/>
          <w:rFonts w:ascii="Arial" w:eastAsia="Times New Roman" w:hAnsi="Arial" w:cs="Arial"/>
          <w:lang w:val="es-ES" w:eastAsia="es-ES_tradnl"/>
        </w:rPr>
        <w:footnoteReference w:id="50"/>
      </w:r>
      <w:r w:rsidR="000F3E6B">
        <w:rPr>
          <w:rFonts w:ascii="Arial" w:eastAsia="Times New Roman" w:hAnsi="Arial" w:cs="Arial"/>
          <w:lang w:val="es-ES" w:eastAsia="es-ES_tradnl"/>
        </w:rPr>
        <w:t xml:space="preserve"> el TRIBUNAL se ha pronunciado también sobre alguna situación que ha supuesto una limitación a este derecho. Así ocurre cuando al internado no se le da copia de la autorización para su tratamiento</w:t>
      </w:r>
      <w:r w:rsidR="00AF2927">
        <w:rPr>
          <w:rFonts w:ascii="Arial" w:eastAsia="Times New Roman" w:hAnsi="Arial" w:cs="Arial"/>
          <w:lang w:val="es-ES" w:eastAsia="es-ES_tradnl"/>
        </w:rPr>
        <w:t>,</w:t>
      </w:r>
      <w:r w:rsidR="00165BDB">
        <w:rPr>
          <w:rStyle w:val="Refdenotaalpie"/>
          <w:rFonts w:ascii="Arial" w:eastAsia="Times New Roman" w:hAnsi="Arial" w:cs="Arial"/>
          <w:lang w:val="es-ES" w:eastAsia="es-ES_tradnl"/>
        </w:rPr>
        <w:footnoteReference w:id="51"/>
      </w:r>
      <w:r w:rsidR="000F3E6B">
        <w:rPr>
          <w:rFonts w:ascii="Arial" w:eastAsia="Times New Roman" w:hAnsi="Arial" w:cs="Arial"/>
          <w:lang w:val="es-ES" w:eastAsia="es-ES_tradnl"/>
        </w:rPr>
        <w:t xml:space="preserve"> en </w:t>
      </w:r>
      <w:r w:rsidR="001B6DC2">
        <w:rPr>
          <w:rFonts w:ascii="Arial" w:eastAsia="Times New Roman" w:hAnsi="Arial" w:cs="Arial"/>
          <w:lang w:val="es-ES" w:eastAsia="es-ES_tradnl"/>
        </w:rPr>
        <w:t xml:space="preserve">algunos casos </w:t>
      </w:r>
      <w:r w:rsidR="000F3E6B">
        <w:rPr>
          <w:rFonts w:ascii="Arial" w:eastAsia="Times New Roman" w:hAnsi="Arial" w:cs="Arial"/>
          <w:lang w:val="es-ES" w:eastAsia="es-ES_tradnl"/>
        </w:rPr>
        <w:t>de sobreseimiento de las actuaciones</w:t>
      </w:r>
      <w:r w:rsidR="0025550C">
        <w:rPr>
          <w:rStyle w:val="Refdenotaalpie"/>
          <w:rFonts w:ascii="Arial" w:eastAsia="Times New Roman" w:hAnsi="Arial" w:cs="Arial"/>
          <w:lang w:val="es-ES" w:eastAsia="es-ES_tradnl"/>
        </w:rPr>
        <w:footnoteReference w:id="52"/>
      </w:r>
      <w:r w:rsidR="000F3E6B">
        <w:rPr>
          <w:rFonts w:ascii="Arial" w:eastAsia="Times New Roman" w:hAnsi="Arial" w:cs="Arial"/>
          <w:lang w:val="es-ES" w:eastAsia="es-ES_tradnl"/>
        </w:rPr>
        <w:t xml:space="preserve"> o, en los supuestos de internamiento indefinido, cuando se ignora el derecho del interno a recurrir a la tutela judicial</w:t>
      </w:r>
      <w:r w:rsidR="00BD66A4">
        <w:rPr>
          <w:rFonts w:ascii="Arial" w:eastAsia="Times New Roman" w:hAnsi="Arial" w:cs="Arial"/>
          <w:lang w:val="es-ES" w:eastAsia="es-ES_tradnl"/>
        </w:rPr>
        <w:t>.</w:t>
      </w:r>
      <w:r w:rsidR="002B24A5">
        <w:rPr>
          <w:rStyle w:val="Refdenotaalpie"/>
          <w:rFonts w:ascii="Arial" w:eastAsia="Times New Roman" w:hAnsi="Arial" w:cs="Arial"/>
          <w:lang w:val="es-ES" w:eastAsia="es-ES_tradnl"/>
        </w:rPr>
        <w:footnoteReference w:id="53"/>
      </w:r>
    </w:p>
    <w:p w14:paraId="52F44223" w14:textId="0F3174B0" w:rsidR="001E78D0" w:rsidRDefault="001E78D0"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Si en cualquier actuación procesal es importante la </w:t>
      </w:r>
      <w:r w:rsidRPr="0065674F">
        <w:rPr>
          <w:rFonts w:ascii="Arial" w:eastAsia="Times New Roman" w:hAnsi="Arial" w:cs="Arial"/>
          <w:color w:val="000000" w:themeColor="text1"/>
          <w:lang w:val="es-ES" w:eastAsia="es-ES_tradnl"/>
        </w:rPr>
        <w:t xml:space="preserve">asistencia de abogado </w:t>
      </w:r>
      <w:r>
        <w:rPr>
          <w:rFonts w:ascii="Arial" w:eastAsia="Times New Roman" w:hAnsi="Arial" w:cs="Arial"/>
          <w:lang w:val="es-ES" w:eastAsia="es-ES_tradnl"/>
        </w:rPr>
        <w:t xml:space="preserve">y de representante procesal, no lo es menos en estos supuestos. El TRIBUNAL habla de representante de un modo genérico, designando con ello al defensor, en unos casos, en otros haciendo referencia al </w:t>
      </w:r>
      <w:r w:rsidRPr="0065674F">
        <w:rPr>
          <w:rFonts w:ascii="Arial" w:eastAsia="Times New Roman" w:hAnsi="Arial" w:cs="Arial"/>
          <w:color w:val="000000" w:themeColor="text1"/>
          <w:lang w:val="es-ES" w:eastAsia="es-ES_tradnl"/>
        </w:rPr>
        <w:t xml:space="preserve">representante </w:t>
      </w:r>
      <w:r>
        <w:rPr>
          <w:rFonts w:ascii="Arial" w:eastAsia="Times New Roman" w:hAnsi="Arial" w:cs="Arial"/>
          <w:lang w:val="es-ES" w:eastAsia="es-ES_tradnl"/>
        </w:rPr>
        <w:t>procesal, y en otros a cualquier persona que actúa en nombre del internado. E</w:t>
      </w:r>
      <w:r w:rsidR="00785684">
        <w:rPr>
          <w:rFonts w:ascii="Arial" w:eastAsia="Times New Roman" w:hAnsi="Arial" w:cs="Arial"/>
          <w:lang w:val="es-ES" w:eastAsia="es-ES_tradnl"/>
        </w:rPr>
        <w:t xml:space="preserve">n cuanto a la defensa técnica se pronuncia con toda claridad </w:t>
      </w:r>
      <w:r>
        <w:rPr>
          <w:rFonts w:ascii="Arial" w:eastAsia="Times New Roman" w:hAnsi="Arial" w:cs="Arial"/>
          <w:lang w:val="es-ES" w:eastAsia="es-ES_tradnl"/>
        </w:rPr>
        <w:t>en el caso M.</w:t>
      </w:r>
      <w:r w:rsidR="00415FE8">
        <w:rPr>
          <w:rFonts w:ascii="Arial" w:eastAsia="Times New Roman" w:hAnsi="Arial" w:cs="Arial"/>
          <w:lang w:val="es-ES" w:eastAsia="es-ES_tradnl"/>
        </w:rPr>
        <w:t xml:space="preserve"> </w:t>
      </w:r>
      <w:r>
        <w:rPr>
          <w:rFonts w:ascii="Arial" w:eastAsia="Times New Roman" w:hAnsi="Arial" w:cs="Arial"/>
          <w:lang w:val="es-ES" w:eastAsia="es-ES_tradnl"/>
        </w:rPr>
        <w:t xml:space="preserve">S. </w:t>
      </w:r>
      <w:r w:rsidR="00CC2035">
        <w:rPr>
          <w:rFonts w:ascii="Arial" w:eastAsia="Times New Roman" w:hAnsi="Arial" w:cs="Arial"/>
          <w:lang w:val="es-ES" w:eastAsia="es-ES_tradnl"/>
        </w:rPr>
        <w:t>contra</w:t>
      </w:r>
      <w:r>
        <w:rPr>
          <w:rFonts w:ascii="Arial" w:eastAsia="Times New Roman" w:hAnsi="Arial" w:cs="Arial"/>
          <w:lang w:val="es-ES" w:eastAsia="es-ES_tradnl"/>
        </w:rPr>
        <w:t xml:space="preserve"> CROACIA al señalar que el «asistente jurídico» debe desempeñar sus funciones de manera «efectiva», y que la mera designación de un «abogado pasivo» no cumple </w:t>
      </w:r>
      <w:r w:rsidR="00415FE8">
        <w:rPr>
          <w:rFonts w:ascii="Arial" w:eastAsia="Times New Roman" w:hAnsi="Arial" w:cs="Arial"/>
          <w:lang w:val="es-ES" w:eastAsia="es-ES_tradnl"/>
        </w:rPr>
        <w:t xml:space="preserve">tal requisito. </w:t>
      </w:r>
      <w:r>
        <w:rPr>
          <w:rFonts w:ascii="Arial" w:eastAsia="Times New Roman" w:hAnsi="Arial" w:cs="Arial"/>
          <w:lang w:val="es-ES" w:eastAsia="es-ES_tradnl"/>
        </w:rPr>
        <w:t>Más aún, es responsabilidad de las autoridades nacionales reaccionar cuando el letrado no cumple con su función de defensa.</w:t>
      </w:r>
      <w:r w:rsidR="00926B0B">
        <w:rPr>
          <w:rStyle w:val="Refdenotaalpie"/>
          <w:rFonts w:ascii="Arial" w:eastAsia="Times New Roman" w:hAnsi="Arial" w:cs="Arial"/>
          <w:lang w:val="es-ES" w:eastAsia="es-ES_tradnl"/>
        </w:rPr>
        <w:footnoteReference w:id="54"/>
      </w:r>
    </w:p>
    <w:p w14:paraId="26EE2ADF" w14:textId="77777777" w:rsidR="004508B7" w:rsidRPr="00BD66A4" w:rsidRDefault="004508B7" w:rsidP="0025550C">
      <w:pPr>
        <w:ind w:right="-1" w:firstLine="284"/>
        <w:jc w:val="both"/>
        <w:rPr>
          <w:rFonts w:ascii="Arial" w:eastAsia="Times New Roman" w:hAnsi="Arial" w:cs="Arial"/>
          <w:lang w:val="es-ES" w:eastAsia="es-ES_tradnl"/>
        </w:rPr>
      </w:pPr>
    </w:p>
    <w:p w14:paraId="10FE5F9A" w14:textId="28E2F462" w:rsidR="007777BB" w:rsidRDefault="001E78D0"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b</w:t>
      </w:r>
      <w:r w:rsidR="0023482F">
        <w:rPr>
          <w:rFonts w:ascii="Arial" w:eastAsia="Times New Roman" w:hAnsi="Arial" w:cs="Arial"/>
          <w:lang w:val="es-ES" w:eastAsia="es-ES_tradnl"/>
        </w:rPr>
        <w:t xml:space="preserve">) </w:t>
      </w:r>
      <w:r w:rsidR="004508B7">
        <w:rPr>
          <w:rFonts w:ascii="Arial" w:eastAsia="Times New Roman" w:hAnsi="Arial" w:cs="Arial"/>
          <w:lang w:val="es-ES" w:eastAsia="es-ES_tradnl"/>
        </w:rPr>
        <w:t>Procedimiento justo y adecuado</w:t>
      </w:r>
    </w:p>
    <w:p w14:paraId="29E69484" w14:textId="7EB0BF65" w:rsidR="00070230" w:rsidRDefault="00C23C8A"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Las personas que son objeto de internamiento tienen derecho a que el mismo sea acordado y seguido conforme a un procedimiento que el TRIBUNAL califica como «legal</w:t>
      </w:r>
      <w:r w:rsidRPr="00E060C7">
        <w:rPr>
          <w:rFonts w:ascii="Arial" w:eastAsia="Times New Roman" w:hAnsi="Arial" w:cs="Arial"/>
          <w:lang w:val="es-ES" w:eastAsia="es-ES_tradnl"/>
        </w:rPr>
        <w:t xml:space="preserve">». </w:t>
      </w:r>
      <w:r w:rsidR="00E060C7" w:rsidRPr="00E060C7">
        <w:rPr>
          <w:rFonts w:ascii="Arial" w:eastAsia="Times New Roman" w:hAnsi="Arial" w:cs="Arial"/>
          <w:lang w:val="es-ES" w:eastAsia="es-ES_tradnl"/>
        </w:rPr>
        <w:t>La legalidad del internamiento supone un procedimiento justo y adecuado</w:t>
      </w:r>
      <w:r w:rsidR="00E060C7">
        <w:rPr>
          <w:rFonts w:ascii="Arial" w:eastAsia="Times New Roman" w:hAnsi="Arial" w:cs="Arial"/>
          <w:lang w:val="es-ES" w:eastAsia="es-ES_tradnl"/>
        </w:rPr>
        <w:t>.</w:t>
      </w:r>
      <w:r w:rsidR="00462A7E">
        <w:rPr>
          <w:rStyle w:val="Refdenotaalpie"/>
          <w:rFonts w:ascii="Arial" w:eastAsia="Times New Roman" w:hAnsi="Arial" w:cs="Arial"/>
          <w:lang w:val="es-ES" w:eastAsia="es-ES_tradnl"/>
        </w:rPr>
        <w:footnoteReference w:id="55"/>
      </w:r>
      <w:r w:rsidR="00E060C7">
        <w:rPr>
          <w:rFonts w:ascii="Arial" w:eastAsia="Times New Roman" w:hAnsi="Arial" w:cs="Arial"/>
          <w:lang w:val="es-ES" w:eastAsia="es-ES_tradnl"/>
        </w:rPr>
        <w:t xml:space="preserve"> El concepto engloba garantías y derechos de muy diverso carácter, bien pudiendo nosotros </w:t>
      </w:r>
      <w:r w:rsidR="00527104">
        <w:rPr>
          <w:rFonts w:ascii="Arial" w:eastAsia="Times New Roman" w:hAnsi="Arial" w:cs="Arial"/>
          <w:lang w:val="es-ES" w:eastAsia="es-ES_tradnl"/>
        </w:rPr>
        <w:t>empezar por recordar los tres que desde la sentencia del caso</w:t>
      </w:r>
      <w:r w:rsidR="005B34A3">
        <w:rPr>
          <w:rFonts w:ascii="Arial" w:eastAsia="Times New Roman" w:hAnsi="Arial" w:cs="Arial"/>
          <w:lang w:val="es-ES" w:eastAsia="es-ES_tradnl"/>
        </w:rPr>
        <w:t xml:space="preserve"> WINTERWER</w:t>
      </w:r>
      <w:r w:rsidR="00527104">
        <w:rPr>
          <w:rFonts w:ascii="Arial" w:eastAsia="Times New Roman" w:hAnsi="Arial" w:cs="Arial"/>
          <w:lang w:val="es-ES" w:eastAsia="es-ES_tradnl"/>
        </w:rPr>
        <w:t>P han servido de base para determinar la legalidad del internamiento. Ciertamente, estos tres requisitos</w:t>
      </w:r>
      <w:r w:rsidR="00DC4FC6">
        <w:rPr>
          <w:rFonts w:ascii="Arial" w:eastAsia="Times New Roman" w:hAnsi="Arial" w:cs="Arial"/>
          <w:lang w:val="es-ES" w:eastAsia="es-ES_tradnl"/>
        </w:rPr>
        <w:t xml:space="preserve"> sobre la admisibilidad del internamiento (gravedad del estado de la persona, constatación por el examen de un experto y duración limitada al tiempo que</w:t>
      </w:r>
      <w:r w:rsidR="0065674F">
        <w:rPr>
          <w:rFonts w:ascii="Arial" w:eastAsia="Times New Roman" w:hAnsi="Arial" w:cs="Arial"/>
          <w:lang w:val="es-ES" w:eastAsia="es-ES_tradnl"/>
        </w:rPr>
        <w:t xml:space="preserve"> se dé</w:t>
      </w:r>
      <w:r w:rsidR="00DC4FC6">
        <w:rPr>
          <w:rFonts w:ascii="Arial" w:eastAsia="Times New Roman" w:hAnsi="Arial" w:cs="Arial"/>
          <w:lang w:val="es-ES" w:eastAsia="es-ES_tradnl"/>
        </w:rPr>
        <w:t xml:space="preserve"> el trastorno) no se refieren específicamente al procedimiento, pero de ellos se desprenden también elementos </w:t>
      </w:r>
      <w:r w:rsidR="00E060C7">
        <w:rPr>
          <w:rFonts w:ascii="Arial" w:eastAsia="Times New Roman" w:hAnsi="Arial" w:cs="Arial"/>
          <w:lang w:val="es-ES" w:eastAsia="es-ES_tradnl"/>
        </w:rPr>
        <w:t xml:space="preserve">que le son </w:t>
      </w:r>
      <w:r w:rsidR="00DC4FC6">
        <w:rPr>
          <w:rFonts w:ascii="Arial" w:eastAsia="Times New Roman" w:hAnsi="Arial" w:cs="Arial"/>
          <w:lang w:val="es-ES" w:eastAsia="es-ES_tradnl"/>
        </w:rPr>
        <w:t xml:space="preserve">aplicables. Así, se entiende que un proceso no es legal si conlleva el internamiento de quien no padece un estado de demencia que lo justifique, si no se aporta un </w:t>
      </w:r>
      <w:r w:rsidR="000755E5">
        <w:rPr>
          <w:rFonts w:ascii="Arial" w:eastAsia="Times New Roman" w:hAnsi="Arial" w:cs="Arial"/>
          <w:lang w:val="es-ES" w:eastAsia="es-ES_tradnl"/>
        </w:rPr>
        <w:t>informe en el que conste la gravedad de su estado emitido por un experto y si se prolonga más allá del tiempo que dure el estado mental que justificó el internamiento</w:t>
      </w:r>
      <w:r w:rsidR="00BD66A4">
        <w:rPr>
          <w:rFonts w:ascii="Arial" w:eastAsia="Times New Roman" w:hAnsi="Arial" w:cs="Arial"/>
          <w:lang w:val="es-ES" w:eastAsia="es-ES_tradnl"/>
        </w:rPr>
        <w:t>.</w:t>
      </w:r>
      <w:r w:rsidR="003B5C75">
        <w:rPr>
          <w:rStyle w:val="Refdenotaalpie"/>
          <w:rFonts w:ascii="Arial" w:eastAsia="Times New Roman" w:hAnsi="Arial" w:cs="Arial"/>
          <w:lang w:val="es-ES" w:eastAsia="es-ES_tradnl"/>
        </w:rPr>
        <w:footnoteReference w:id="56"/>
      </w:r>
    </w:p>
    <w:p w14:paraId="0C1A8E27" w14:textId="6D281A6C" w:rsidR="00E060C7" w:rsidRDefault="000755E5"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En segundo lugar, hay que hacer mención a la</w:t>
      </w:r>
      <w:r w:rsidRPr="0065674F">
        <w:rPr>
          <w:rFonts w:ascii="Arial" w:eastAsia="Times New Roman" w:hAnsi="Arial" w:cs="Arial"/>
          <w:color w:val="000000" w:themeColor="text1"/>
          <w:lang w:val="es-ES" w:eastAsia="es-ES_tradnl"/>
        </w:rPr>
        <w:t xml:space="preserve"> autoridad </w:t>
      </w:r>
      <w:r>
        <w:rPr>
          <w:rFonts w:ascii="Arial" w:eastAsia="Times New Roman" w:hAnsi="Arial" w:cs="Arial"/>
          <w:lang w:val="es-ES" w:eastAsia="es-ES_tradnl"/>
        </w:rPr>
        <w:t>que emite la autorización para proceder a ingresar a una persona y que controla todas las fases del internamiento. En varias sentencias el TRIBUNAL hace referencia a la necesidad de que sea una autoridad competente</w:t>
      </w:r>
      <w:r w:rsidR="00BD66A4">
        <w:rPr>
          <w:rFonts w:ascii="Arial" w:eastAsia="Times New Roman" w:hAnsi="Arial" w:cs="Arial"/>
          <w:lang w:val="es-ES" w:eastAsia="es-ES_tradnl"/>
        </w:rPr>
        <w:t>.</w:t>
      </w:r>
      <w:r w:rsidR="003B5C75">
        <w:rPr>
          <w:rStyle w:val="Refdenotaalpie"/>
          <w:rFonts w:ascii="Arial" w:eastAsia="Times New Roman" w:hAnsi="Arial" w:cs="Arial"/>
          <w:lang w:val="es-ES" w:eastAsia="es-ES_tradnl"/>
        </w:rPr>
        <w:footnoteReference w:id="57"/>
      </w:r>
      <w:r>
        <w:rPr>
          <w:rFonts w:ascii="Arial" w:eastAsia="Times New Roman" w:hAnsi="Arial" w:cs="Arial"/>
          <w:lang w:val="es-ES" w:eastAsia="es-ES_tradnl"/>
        </w:rPr>
        <w:t xml:space="preserve"> Sin necesidad de distinguir a estos efectos </w:t>
      </w:r>
      <w:r w:rsidR="00BC7333">
        <w:rPr>
          <w:rFonts w:ascii="Arial" w:eastAsia="Times New Roman" w:hAnsi="Arial" w:cs="Arial"/>
          <w:lang w:val="es-ES" w:eastAsia="es-ES_tradnl"/>
        </w:rPr>
        <w:t xml:space="preserve">de </w:t>
      </w:r>
      <w:r>
        <w:rPr>
          <w:rFonts w:ascii="Arial" w:eastAsia="Times New Roman" w:hAnsi="Arial" w:cs="Arial"/>
          <w:lang w:val="es-ES" w:eastAsia="es-ES_tradnl"/>
        </w:rPr>
        <w:t>si se trata de una autoridad judicial o no judicial, lo importante es que tenga competencia para ello conforme a lo establecido en la ley nacional. Dicho de otro modo, debe quedar claro en las leyes nacionales quién puede autorizar y controlar el internamiento; solo cuando el internamiento es autorizado por un órgano competente puede considerarse cumplido este requisito.</w:t>
      </w:r>
    </w:p>
    <w:p w14:paraId="2F5D91B0" w14:textId="3AB1802E" w:rsidR="00801A2F" w:rsidRDefault="00F33DDF" w:rsidP="0025550C">
      <w:pPr>
        <w:ind w:right="-1" w:firstLine="284"/>
        <w:jc w:val="both"/>
        <w:rPr>
          <w:rFonts w:ascii="Arial" w:hAnsi="Arial" w:cs="Arial"/>
          <w:lang w:val="es-ES_tradnl"/>
        </w:rPr>
      </w:pPr>
      <w:r>
        <w:rPr>
          <w:rFonts w:ascii="Arial" w:eastAsia="Times New Roman" w:hAnsi="Arial" w:cs="Arial"/>
          <w:lang w:val="es-ES" w:eastAsia="es-ES_tradnl"/>
        </w:rPr>
        <w:t xml:space="preserve">En tercer lugar, resultan especialmente interesantes e importantes unos requisitos que son enunciados de diversa forma. Para que el procedimiento sea legal debe estar regulado por una norma nacional que sea clara y comprensible. </w:t>
      </w:r>
      <w:r w:rsidRPr="00F33DDF">
        <w:rPr>
          <w:rFonts w:ascii="Arial" w:eastAsia="Times New Roman" w:hAnsi="Arial" w:cs="Arial"/>
          <w:lang w:val="es-ES" w:eastAsia="es-ES_tradnl"/>
        </w:rPr>
        <w:t>En otros casos se habla de una norma accesible. L</w:t>
      </w:r>
      <w:r w:rsidR="009A1436" w:rsidRPr="00F33DDF">
        <w:rPr>
          <w:rFonts w:ascii="Arial" w:eastAsia="Times New Roman" w:hAnsi="Arial" w:cs="Arial"/>
          <w:lang w:val="es-ES" w:eastAsia="es-ES_tradnl"/>
        </w:rPr>
        <w:t xml:space="preserve">a incertidumbre que se crea </w:t>
      </w:r>
      <w:r w:rsidRPr="00F33DDF">
        <w:rPr>
          <w:rFonts w:ascii="Arial" w:eastAsia="Times New Roman" w:hAnsi="Arial" w:cs="Arial"/>
          <w:lang w:val="es-ES" w:eastAsia="es-ES_tradnl"/>
        </w:rPr>
        <w:t xml:space="preserve">cuando no lo es resulta </w:t>
      </w:r>
      <w:r w:rsidR="009A1436" w:rsidRPr="00F33DDF">
        <w:rPr>
          <w:rFonts w:ascii="Arial" w:eastAsia="Times New Roman" w:hAnsi="Arial" w:cs="Arial"/>
          <w:lang w:val="es-ES" w:eastAsia="es-ES_tradnl"/>
        </w:rPr>
        <w:t>incompatible con los principios de seguridad jurídica y de protección frente a la arbitrariedad.</w:t>
      </w:r>
      <w:r w:rsidR="009A1436" w:rsidRPr="00F33DDF">
        <w:rPr>
          <w:rStyle w:val="Refdenotaalpie"/>
          <w:rFonts w:ascii="Arial" w:eastAsia="Times New Roman" w:hAnsi="Arial" w:cs="Arial"/>
          <w:lang w:val="es-ES" w:eastAsia="es-ES_tradnl"/>
        </w:rPr>
        <w:footnoteReference w:id="58"/>
      </w:r>
      <w:r w:rsidR="009A1436" w:rsidRPr="00F33DDF">
        <w:rPr>
          <w:rFonts w:ascii="Arial" w:eastAsia="Times New Roman" w:hAnsi="Arial" w:cs="Arial"/>
          <w:lang w:val="es-ES" w:eastAsia="es-ES_tradnl"/>
        </w:rPr>
        <w:t xml:space="preserve"> Se entiende que</w:t>
      </w:r>
      <w:r w:rsidRPr="00F33DDF">
        <w:rPr>
          <w:rFonts w:ascii="Arial" w:eastAsia="Times New Roman" w:hAnsi="Arial" w:cs="Arial"/>
          <w:lang w:val="es-ES" w:eastAsia="es-ES_tradnl"/>
        </w:rPr>
        <w:t xml:space="preserve"> sí</w:t>
      </w:r>
      <w:r w:rsidR="009A1436" w:rsidRPr="00F33DDF">
        <w:rPr>
          <w:rFonts w:ascii="Arial" w:eastAsia="Times New Roman" w:hAnsi="Arial" w:cs="Arial"/>
          <w:lang w:val="es-ES" w:eastAsia="es-ES_tradnl"/>
        </w:rPr>
        <w:t xml:space="preserve"> lo es cuando </w:t>
      </w:r>
      <w:r w:rsidR="009A1436" w:rsidRPr="00F33DDF">
        <w:rPr>
          <w:rFonts w:ascii="Arial" w:hAnsi="Arial" w:cs="Arial"/>
          <w:lang w:val="es-ES_tradnl"/>
        </w:rPr>
        <w:t>el ciudadano pueda prever con un grado razonable en las circunstancias del caso, las consecuencias que se derivan naturalmente de un acto determinado.</w:t>
      </w:r>
      <w:r w:rsidR="009A1436" w:rsidRPr="00F33DDF">
        <w:rPr>
          <w:rStyle w:val="Refdenotaalpie"/>
          <w:rFonts w:ascii="Arial" w:hAnsi="Arial" w:cs="Arial"/>
          <w:lang w:val="es-ES_tradnl"/>
        </w:rPr>
        <w:footnoteReference w:id="59"/>
      </w:r>
      <w:r w:rsidR="009A1436" w:rsidRPr="00F33DDF">
        <w:rPr>
          <w:rFonts w:ascii="Arial" w:hAnsi="Arial" w:cs="Arial"/>
          <w:lang w:val="es-ES_tradnl"/>
        </w:rPr>
        <w:t xml:space="preserve"> Los calificativos no siempre son los mismos</w:t>
      </w:r>
      <w:r w:rsidR="00BC688E">
        <w:rPr>
          <w:rFonts w:ascii="Arial" w:hAnsi="Arial" w:cs="Arial"/>
          <w:lang w:val="es-ES_tradnl"/>
        </w:rPr>
        <w:t>,</w:t>
      </w:r>
      <w:r w:rsidR="009A1436" w:rsidRPr="00F33DDF">
        <w:rPr>
          <w:rStyle w:val="Refdenotaalpie"/>
          <w:rFonts w:ascii="Arial" w:hAnsi="Arial" w:cs="Arial"/>
          <w:lang w:val="es-ES_tradnl"/>
        </w:rPr>
        <w:footnoteReference w:id="60"/>
      </w:r>
      <w:r w:rsidR="009A1436" w:rsidRPr="00F33DDF">
        <w:rPr>
          <w:rFonts w:ascii="Arial" w:hAnsi="Arial" w:cs="Arial"/>
          <w:lang w:val="es-ES_tradnl"/>
        </w:rPr>
        <w:t xml:space="preserve"> </w:t>
      </w:r>
      <w:r w:rsidRPr="00F33DDF">
        <w:rPr>
          <w:rFonts w:ascii="Arial" w:hAnsi="Arial" w:cs="Arial"/>
          <w:lang w:val="es-ES_tradnl"/>
        </w:rPr>
        <w:t xml:space="preserve">como decimos, </w:t>
      </w:r>
      <w:r w:rsidR="009A1436" w:rsidRPr="00F33DDF">
        <w:rPr>
          <w:rFonts w:ascii="Arial" w:hAnsi="Arial" w:cs="Arial"/>
          <w:lang w:val="es-ES_tradnl"/>
        </w:rPr>
        <w:t>pero la finalidad es la misma.</w:t>
      </w:r>
      <w:r w:rsidR="009A1436" w:rsidRPr="00F33DDF">
        <w:rPr>
          <w:rStyle w:val="Refdenotaalpie"/>
          <w:rFonts w:ascii="Arial" w:hAnsi="Arial" w:cs="Arial"/>
          <w:lang w:val="es-ES_tradnl"/>
        </w:rPr>
        <w:footnoteReference w:id="61"/>
      </w:r>
      <w:r w:rsidR="009A1436" w:rsidRPr="00F33DDF">
        <w:rPr>
          <w:rFonts w:ascii="Arial" w:hAnsi="Arial" w:cs="Arial"/>
          <w:lang w:val="es-ES_tradnl"/>
        </w:rPr>
        <w:t xml:space="preserve"> Un ejemplo de </w:t>
      </w:r>
      <w:r w:rsidR="009A1436" w:rsidRPr="0065674F">
        <w:rPr>
          <w:rFonts w:ascii="Arial" w:hAnsi="Arial" w:cs="Arial"/>
          <w:color w:val="000000" w:themeColor="text1"/>
          <w:lang w:val="es-ES_tradnl"/>
        </w:rPr>
        <w:t xml:space="preserve">falta de claridad </w:t>
      </w:r>
      <w:r w:rsidR="009A1436" w:rsidRPr="00F33DDF">
        <w:rPr>
          <w:rFonts w:ascii="Arial" w:hAnsi="Arial" w:cs="Arial"/>
          <w:lang w:val="es-ES_tradnl"/>
        </w:rPr>
        <w:t>en la norma lo podemos ver en la sentencia del caso ÜMIT BILGIÇ</w:t>
      </w:r>
      <w:r w:rsidR="00C6617E">
        <w:rPr>
          <w:rFonts w:ascii="Arial" w:hAnsi="Arial" w:cs="Arial"/>
          <w:lang w:val="es-ES_tradnl"/>
        </w:rPr>
        <w:t xml:space="preserve">, </w:t>
      </w:r>
      <w:r w:rsidR="009A1436" w:rsidRPr="00F33DDF">
        <w:rPr>
          <w:rFonts w:ascii="Arial" w:hAnsi="Arial" w:cs="Arial"/>
          <w:lang w:val="es-ES_tradnl"/>
        </w:rPr>
        <w:t>en la que claramente se dice</w:t>
      </w:r>
      <w:r w:rsidR="00070230">
        <w:rPr>
          <w:rFonts w:ascii="Arial" w:hAnsi="Arial" w:cs="Arial"/>
          <w:lang w:val="es-ES_tradnl"/>
        </w:rPr>
        <w:t>:</w:t>
      </w:r>
      <w:r w:rsidR="009A1436" w:rsidRPr="00F33DDF">
        <w:rPr>
          <w:rFonts w:ascii="Arial" w:hAnsi="Arial" w:cs="Arial"/>
          <w:lang w:val="es-ES_tradnl"/>
        </w:rPr>
        <w:t xml:space="preserve"> «El Tribunal señala que este artículo </w:t>
      </w:r>
      <w:r w:rsidR="009A1436" w:rsidRPr="0065674F">
        <w:rPr>
          <w:rFonts w:ascii="Arial" w:hAnsi="Arial" w:cs="Arial"/>
          <w:color w:val="000000" w:themeColor="text1"/>
          <w:lang w:val="es-ES_tradnl"/>
        </w:rPr>
        <w:t>no indica qué autoridad tiene competencia pa</w:t>
      </w:r>
      <w:r w:rsidR="009A1436" w:rsidRPr="00F33DDF">
        <w:rPr>
          <w:rFonts w:ascii="Arial" w:hAnsi="Arial" w:cs="Arial"/>
          <w:lang w:val="es-ES_tradnl"/>
        </w:rPr>
        <w:t>ra decidir sobre dicha privación de libertad ni cuál es el procedimiento aplicable».</w:t>
      </w:r>
    </w:p>
    <w:p w14:paraId="4DE7E65D" w14:textId="7AB8FB19" w:rsidR="003E2793" w:rsidRPr="00A11C56" w:rsidRDefault="00801A2F" w:rsidP="0025550C">
      <w:pPr>
        <w:ind w:right="-1" w:firstLine="284"/>
        <w:jc w:val="both"/>
        <w:rPr>
          <w:rFonts w:ascii="Arial" w:hAnsi="Arial" w:cs="Arial"/>
          <w:color w:val="7030A0"/>
          <w:lang w:val="es-ES_tradnl"/>
        </w:rPr>
      </w:pPr>
      <w:r>
        <w:rPr>
          <w:rFonts w:ascii="Arial" w:hAnsi="Arial" w:cs="Arial"/>
          <w:lang w:val="es-ES_tradnl"/>
        </w:rPr>
        <w:t xml:space="preserve">Otro grupo de ilegalidades son las que se producen por ausencia de regulación en la legislación nacional de determinados elementos del procedimiento. En concreto el TRIBUNAL ha “observado” que no ha existido en algunos </w:t>
      </w:r>
      <w:r w:rsidRPr="0065674F">
        <w:rPr>
          <w:rFonts w:ascii="Arial" w:hAnsi="Arial" w:cs="Arial"/>
          <w:color w:val="000000" w:themeColor="text1"/>
          <w:lang w:val="es-ES_tradnl"/>
        </w:rPr>
        <w:t xml:space="preserve">asuntos base legal </w:t>
      </w:r>
      <w:r>
        <w:rPr>
          <w:rFonts w:ascii="Arial" w:hAnsi="Arial" w:cs="Arial"/>
          <w:lang w:val="es-ES_tradnl"/>
        </w:rPr>
        <w:t>para para autorizar el internamiento</w:t>
      </w:r>
      <w:r w:rsidR="00BC688E">
        <w:rPr>
          <w:rFonts w:ascii="Arial" w:hAnsi="Arial" w:cs="Arial"/>
          <w:lang w:val="es-ES_tradnl"/>
        </w:rPr>
        <w:t>,</w:t>
      </w:r>
      <w:r w:rsidR="00C31B0A">
        <w:rPr>
          <w:rStyle w:val="Refdenotaalpie"/>
          <w:rFonts w:ascii="Arial" w:hAnsi="Arial" w:cs="Arial"/>
          <w:lang w:val="es-ES_tradnl"/>
        </w:rPr>
        <w:footnoteReference w:id="62"/>
      </w:r>
      <w:r w:rsidR="003E2793">
        <w:rPr>
          <w:rFonts w:ascii="Arial" w:hAnsi="Arial" w:cs="Arial"/>
          <w:lang w:val="es-ES_tradnl"/>
        </w:rPr>
        <w:t xml:space="preserve"> el modo de </w:t>
      </w:r>
      <w:r w:rsidR="003E2793" w:rsidRPr="0065674F">
        <w:rPr>
          <w:rFonts w:ascii="Arial" w:hAnsi="Arial" w:cs="Arial"/>
          <w:color w:val="000000" w:themeColor="text1"/>
          <w:lang w:val="es-ES_tradnl"/>
        </w:rPr>
        <w:t>notificar</w:t>
      </w:r>
      <w:r w:rsidR="003E2793" w:rsidRPr="00102D99">
        <w:rPr>
          <w:rFonts w:ascii="Arial" w:hAnsi="Arial" w:cs="Arial"/>
          <w:color w:val="7030A0"/>
          <w:lang w:val="es-ES_tradnl"/>
        </w:rPr>
        <w:t xml:space="preserve"> </w:t>
      </w:r>
      <w:r w:rsidR="003E2793">
        <w:rPr>
          <w:rFonts w:ascii="Arial" w:hAnsi="Arial" w:cs="Arial"/>
          <w:lang w:val="es-ES_tradnl"/>
        </w:rPr>
        <w:t>la decisión del internamiento forzoso a la persona o a su representante</w:t>
      </w:r>
      <w:r w:rsidR="00D04944">
        <w:rPr>
          <w:rStyle w:val="Refdenotaalpie"/>
          <w:rFonts w:ascii="Arial" w:hAnsi="Arial" w:cs="Arial"/>
          <w:lang w:val="es-ES_tradnl"/>
        </w:rPr>
        <w:footnoteReference w:id="63"/>
      </w:r>
      <w:r w:rsidR="00102D99">
        <w:rPr>
          <w:rFonts w:ascii="Arial" w:hAnsi="Arial" w:cs="Arial"/>
          <w:lang w:val="es-ES_tradnl"/>
        </w:rPr>
        <w:t xml:space="preserve"> </w:t>
      </w:r>
      <w:r w:rsidR="003E2793">
        <w:rPr>
          <w:rFonts w:ascii="Arial" w:hAnsi="Arial" w:cs="Arial"/>
          <w:lang w:val="es-ES_tradnl"/>
        </w:rPr>
        <w:t>o la obligatoriedad de evaluar el seguimiento del internamiento</w:t>
      </w:r>
      <w:r w:rsidR="002946CC">
        <w:rPr>
          <w:rFonts w:ascii="Arial" w:hAnsi="Arial" w:cs="Arial"/>
          <w:lang w:val="es-ES_tradnl"/>
        </w:rPr>
        <w:t>.</w:t>
      </w:r>
      <w:r w:rsidR="001538C5">
        <w:rPr>
          <w:rStyle w:val="Refdenotaalpie"/>
          <w:rFonts w:ascii="Arial" w:hAnsi="Arial" w:cs="Arial"/>
          <w:lang w:val="es-ES_tradnl"/>
        </w:rPr>
        <w:footnoteReference w:id="64"/>
      </w:r>
    </w:p>
    <w:p w14:paraId="651B8FEB" w14:textId="22ECDD01" w:rsidR="0081416F" w:rsidRPr="0081416F" w:rsidRDefault="003E2793" w:rsidP="0025550C">
      <w:pPr>
        <w:ind w:right="-1" w:firstLine="284"/>
        <w:jc w:val="both"/>
        <w:rPr>
          <w:rFonts w:ascii="Arial" w:eastAsia="Times New Roman" w:hAnsi="Arial" w:cs="Arial"/>
          <w:lang w:val="es-ES" w:eastAsia="es-ES_tradnl"/>
        </w:rPr>
      </w:pPr>
      <w:r>
        <w:rPr>
          <w:rFonts w:ascii="Arial" w:hAnsi="Arial" w:cs="Arial"/>
          <w:lang w:val="es-ES_tradnl"/>
        </w:rPr>
        <w:t>En cuanto a la violación de la legalidad nacional, el TRIBUNAL observa situaciones en las que no se han seguido las reglas establecidas por los respectivos ordenamientos</w:t>
      </w:r>
      <w:r w:rsidR="002B63CF">
        <w:rPr>
          <w:rFonts w:ascii="Arial" w:hAnsi="Arial" w:cs="Arial"/>
          <w:lang w:val="es-ES_tradnl"/>
        </w:rPr>
        <w:t>.</w:t>
      </w:r>
      <w:r w:rsidR="0081416F" w:rsidRPr="0081416F">
        <w:rPr>
          <w:rStyle w:val="Refdenotaalpie"/>
          <w:rFonts w:ascii="Arial" w:eastAsia="Times New Roman" w:hAnsi="Arial" w:cs="Arial"/>
          <w:lang w:val="es-ES" w:eastAsia="es-ES_tradnl"/>
        </w:rPr>
        <w:footnoteReference w:id="65"/>
      </w:r>
      <w:r w:rsidRPr="0081416F">
        <w:rPr>
          <w:rFonts w:ascii="Arial" w:hAnsi="Arial" w:cs="Arial"/>
          <w:lang w:val="es-ES_tradnl"/>
        </w:rPr>
        <w:t xml:space="preserve"> </w:t>
      </w:r>
      <w:r>
        <w:rPr>
          <w:rFonts w:ascii="Arial" w:hAnsi="Arial" w:cs="Arial"/>
          <w:lang w:val="es-ES_tradnl"/>
        </w:rPr>
        <w:t>Se trata de casos en los que, a pesar de venir establecido en la regulación pertinente, no interviene el Secretario Judicial</w:t>
      </w:r>
      <w:r w:rsidR="00BC688E">
        <w:rPr>
          <w:rFonts w:ascii="Arial" w:hAnsi="Arial" w:cs="Arial"/>
          <w:lang w:val="es-ES_tradnl"/>
        </w:rPr>
        <w:t>,</w:t>
      </w:r>
      <w:r w:rsidR="00BB4947">
        <w:rPr>
          <w:rStyle w:val="Refdenotaalpie"/>
          <w:rFonts w:ascii="Arial" w:hAnsi="Arial" w:cs="Arial"/>
          <w:lang w:val="es-ES_tradnl"/>
        </w:rPr>
        <w:footnoteReference w:id="66"/>
      </w:r>
      <w:r>
        <w:rPr>
          <w:rFonts w:ascii="Arial" w:hAnsi="Arial" w:cs="Arial"/>
          <w:lang w:val="es-ES_tradnl"/>
        </w:rPr>
        <w:t xml:space="preserve"> </w:t>
      </w:r>
      <w:r w:rsidR="003F392D">
        <w:rPr>
          <w:rFonts w:ascii="Arial" w:hAnsi="Arial" w:cs="Arial"/>
          <w:lang w:val="es-ES_tradnl"/>
        </w:rPr>
        <w:t xml:space="preserve">no hay </w:t>
      </w:r>
      <w:r w:rsidR="00025EB6">
        <w:rPr>
          <w:rFonts w:ascii="Arial" w:hAnsi="Arial" w:cs="Arial"/>
          <w:lang w:val="es-ES_tradnl"/>
        </w:rPr>
        <w:t>«representante»</w:t>
      </w:r>
      <w:r w:rsidR="00BC688E">
        <w:rPr>
          <w:rFonts w:ascii="Arial" w:hAnsi="Arial" w:cs="Arial"/>
          <w:lang w:val="es-ES_tradnl"/>
        </w:rPr>
        <w:t>,</w:t>
      </w:r>
      <w:r w:rsidR="00025EB6">
        <w:rPr>
          <w:rStyle w:val="Refdenotaalpie"/>
          <w:rFonts w:ascii="Arial" w:hAnsi="Arial" w:cs="Arial"/>
          <w:lang w:val="es-ES_tradnl"/>
        </w:rPr>
        <w:footnoteReference w:id="67"/>
      </w:r>
      <w:r w:rsidR="003F392D">
        <w:rPr>
          <w:rFonts w:ascii="Arial" w:hAnsi="Arial" w:cs="Arial"/>
          <w:lang w:val="es-ES_tradnl"/>
        </w:rPr>
        <w:t xml:space="preserve"> la residencia no se pone en contacto con el juzgado para notificar un internamiento forzoso</w:t>
      </w:r>
      <w:r w:rsidR="00BC688E">
        <w:rPr>
          <w:rFonts w:ascii="Arial" w:hAnsi="Arial" w:cs="Arial"/>
          <w:lang w:val="es-ES_tradnl"/>
        </w:rPr>
        <w:t>,</w:t>
      </w:r>
      <w:r w:rsidR="00E33F4A">
        <w:rPr>
          <w:rStyle w:val="Refdenotaalpie"/>
          <w:rFonts w:ascii="Arial" w:hAnsi="Arial" w:cs="Arial"/>
          <w:lang w:val="es-ES_tradnl"/>
        </w:rPr>
        <w:footnoteReference w:id="68"/>
      </w:r>
      <w:r w:rsidR="0080298A">
        <w:rPr>
          <w:rFonts w:ascii="Arial" w:hAnsi="Arial" w:cs="Arial"/>
          <w:lang w:val="es-ES_tradnl"/>
        </w:rPr>
        <w:t xml:space="preserve"> o simplemente no se respeta la forma del proceso nacional</w:t>
      </w:r>
      <w:r w:rsidR="002B63CF">
        <w:rPr>
          <w:rFonts w:ascii="Arial" w:hAnsi="Arial" w:cs="Arial"/>
          <w:lang w:val="es-ES_tradnl"/>
        </w:rPr>
        <w:t>.</w:t>
      </w:r>
      <w:r w:rsidR="00A20F7B">
        <w:rPr>
          <w:rStyle w:val="Refdenotaalpie"/>
          <w:rFonts w:ascii="Arial" w:hAnsi="Arial" w:cs="Arial"/>
          <w:lang w:val="es-ES_tradnl"/>
        </w:rPr>
        <w:footnoteReference w:id="69"/>
      </w:r>
      <w:r w:rsidR="00A20F7B">
        <w:rPr>
          <w:rFonts w:ascii="Arial" w:hAnsi="Arial" w:cs="Arial"/>
          <w:lang w:val="es-ES_tradnl"/>
        </w:rPr>
        <w:t xml:space="preserve"> </w:t>
      </w:r>
      <w:r w:rsidR="0081416F" w:rsidRPr="0081416F">
        <w:rPr>
          <w:rFonts w:ascii="Arial" w:eastAsia="Times New Roman" w:hAnsi="Arial" w:cs="Arial"/>
          <w:lang w:val="es-ES" w:eastAsia="es-ES_tradnl"/>
        </w:rPr>
        <w:t>Examinar si se cumplen los requisitos y las pautas de procedimiento recogidos en las leyes nacionales es el primer paso que da siempre el TRIBUNAL a la hora de examinar la legalidad de los actos que le son sometidos para su pronunciamiento, de modo que, en estos casos del internamiento, tras comprobar que existe una normativa, el siguiente paso es comprobar que dicha normativa ha sido respetada en el supuesto concreto que le es presentado</w:t>
      </w:r>
      <w:r w:rsidR="002B63CF">
        <w:rPr>
          <w:rFonts w:ascii="Arial" w:eastAsia="Times New Roman" w:hAnsi="Arial" w:cs="Arial"/>
          <w:lang w:val="es-ES" w:eastAsia="es-ES_tradnl"/>
        </w:rPr>
        <w:t>.</w:t>
      </w:r>
      <w:r w:rsidR="0081416F" w:rsidRPr="0081416F">
        <w:rPr>
          <w:rStyle w:val="Refdenotaalpie"/>
          <w:rFonts w:ascii="Arial" w:eastAsia="Times New Roman" w:hAnsi="Arial" w:cs="Arial"/>
          <w:lang w:val="es-ES" w:eastAsia="es-ES_tradnl"/>
        </w:rPr>
        <w:footnoteReference w:id="70"/>
      </w:r>
    </w:p>
    <w:p w14:paraId="1FBC5747" w14:textId="599AAE91" w:rsidR="003F392D" w:rsidRDefault="003F392D" w:rsidP="0025550C">
      <w:pPr>
        <w:ind w:right="-1" w:firstLine="284"/>
        <w:jc w:val="both"/>
        <w:rPr>
          <w:rFonts w:ascii="Arial" w:hAnsi="Arial" w:cs="Arial"/>
          <w:lang w:val="es-ES_tradnl"/>
        </w:rPr>
      </w:pPr>
      <w:r>
        <w:rPr>
          <w:rFonts w:ascii="Arial" w:hAnsi="Arial" w:cs="Arial"/>
          <w:lang w:val="es-ES_tradnl"/>
        </w:rPr>
        <w:t>Existen también ilegalidades derivadas de comportamientos que no son violaciones directas de las leyes nacionales ni obedecen a lagunas legales, sino mera dejadez o pasividad</w:t>
      </w:r>
      <w:r w:rsidR="00415FE8">
        <w:rPr>
          <w:rFonts w:ascii="Arial" w:hAnsi="Arial" w:cs="Arial"/>
          <w:lang w:val="es-ES_tradnl"/>
        </w:rPr>
        <w:t xml:space="preserve"> de los actores procesales</w:t>
      </w:r>
      <w:r>
        <w:rPr>
          <w:rFonts w:ascii="Arial" w:hAnsi="Arial" w:cs="Arial"/>
          <w:lang w:val="es-ES_tradnl"/>
        </w:rPr>
        <w:t xml:space="preserve">. Se ha apreciado así que se ha violado la legalidad cuando el tribunal nacional se limita a aceptar sin más la explicación dada por una autoridad administrativa </w:t>
      </w:r>
      <w:r w:rsidR="008D6793">
        <w:rPr>
          <w:rFonts w:ascii="Arial" w:hAnsi="Arial" w:cs="Arial"/>
          <w:lang w:val="es-ES_tradnl"/>
        </w:rPr>
        <w:t>sin aportar ninguna medida para determinar la legalidad del internamiento</w:t>
      </w:r>
      <w:r w:rsidR="00BC688E">
        <w:rPr>
          <w:rFonts w:ascii="Arial" w:hAnsi="Arial" w:cs="Arial"/>
          <w:lang w:val="es-ES_tradnl"/>
        </w:rPr>
        <w:t>,</w:t>
      </w:r>
      <w:r w:rsidR="00EF75B9">
        <w:rPr>
          <w:rStyle w:val="Refdenotaalpie"/>
          <w:rFonts w:ascii="Arial" w:hAnsi="Arial" w:cs="Arial"/>
          <w:lang w:val="es-ES_tradnl"/>
        </w:rPr>
        <w:footnoteReference w:id="71"/>
      </w:r>
      <w:r w:rsidR="008D6793">
        <w:rPr>
          <w:rFonts w:ascii="Arial" w:hAnsi="Arial" w:cs="Arial"/>
          <w:lang w:val="es-ES_tradnl"/>
        </w:rPr>
        <w:t xml:space="preserve"> o cuando las autoridades competentes para controlar el desarrollo del internamiento no se preocupan de averiguar por qué no llega una documentación necesaria para renovar la autorización del internamiento</w:t>
      </w:r>
      <w:r w:rsidR="002B63CF">
        <w:rPr>
          <w:rFonts w:ascii="Arial" w:hAnsi="Arial" w:cs="Arial"/>
          <w:lang w:val="es-ES_tradnl"/>
        </w:rPr>
        <w:t>.</w:t>
      </w:r>
      <w:r w:rsidR="00DA40EB">
        <w:rPr>
          <w:rStyle w:val="Refdenotaalpie"/>
          <w:rFonts w:ascii="Arial" w:hAnsi="Arial" w:cs="Arial"/>
          <w:lang w:val="es-ES_tradnl"/>
        </w:rPr>
        <w:footnoteReference w:id="72"/>
      </w:r>
    </w:p>
    <w:p w14:paraId="0D782B40" w14:textId="77777777" w:rsidR="001512C6" w:rsidRPr="00F563D8" w:rsidRDefault="001512C6" w:rsidP="0025550C">
      <w:pPr>
        <w:ind w:right="-1"/>
        <w:jc w:val="both"/>
        <w:rPr>
          <w:rFonts w:ascii="Arial" w:eastAsia="Times New Roman" w:hAnsi="Arial" w:cs="Arial"/>
          <w:sz w:val="10"/>
          <w:szCs w:val="10"/>
          <w:lang w:val="es-ES" w:eastAsia="es-ES_tradnl"/>
        </w:rPr>
      </w:pPr>
    </w:p>
    <w:p w14:paraId="3E12DB6C" w14:textId="5FB4731E" w:rsidR="001718C8" w:rsidRDefault="00D4276B"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c) Derecho a recurrir</w:t>
      </w:r>
      <w:r w:rsidR="00B658FD">
        <w:rPr>
          <w:rFonts w:ascii="Arial" w:eastAsia="Times New Roman" w:hAnsi="Arial" w:cs="Arial"/>
          <w:lang w:val="es-ES" w:eastAsia="es-ES_tradnl"/>
        </w:rPr>
        <w:t>, derecho a un proceso judicial</w:t>
      </w:r>
    </w:p>
    <w:p w14:paraId="3937E196" w14:textId="5690A5AE" w:rsidR="00773777" w:rsidRDefault="00F24CDE"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Cuando el TRIBUNAL habla del derecho a recurrir no se refiere tanto al derecho a que un tribunal superior resuelva sobre lo decidido por uno inferior</w:t>
      </w:r>
      <w:r w:rsidR="003E6985">
        <w:rPr>
          <w:rFonts w:ascii="Arial" w:eastAsia="Times New Roman" w:hAnsi="Arial" w:cs="Arial"/>
          <w:lang w:val="es-ES" w:eastAsia="es-ES_tradnl"/>
        </w:rPr>
        <w:t>, cosa que sí hace,</w:t>
      </w:r>
      <w:r>
        <w:rPr>
          <w:rFonts w:ascii="Arial" w:eastAsia="Times New Roman" w:hAnsi="Arial" w:cs="Arial"/>
          <w:lang w:val="es-ES" w:eastAsia="es-ES_tradnl"/>
        </w:rPr>
        <w:t xml:space="preserve"> cuanto a que en los casos de internamiento se pueda acudir a la vía judicial. </w:t>
      </w:r>
      <w:r w:rsidR="009E2A47">
        <w:rPr>
          <w:rFonts w:ascii="Arial" w:eastAsia="Times New Roman" w:hAnsi="Arial" w:cs="Arial"/>
          <w:lang w:val="es-ES" w:eastAsia="es-ES_tradnl"/>
        </w:rPr>
        <w:t>El término «recurso» tendría mejor acomodo en nuestro vocabulario si lo tradujéramos por demanda</w:t>
      </w:r>
      <w:r w:rsidR="00773777">
        <w:rPr>
          <w:rFonts w:ascii="Arial" w:eastAsia="Times New Roman" w:hAnsi="Arial" w:cs="Arial"/>
          <w:lang w:val="es-ES" w:eastAsia="es-ES_tradnl"/>
        </w:rPr>
        <w:t xml:space="preserve"> o bien proceso o procedimiento, según la óptica desde que contemplemos el término</w:t>
      </w:r>
      <w:r w:rsidR="009E2A47">
        <w:rPr>
          <w:rFonts w:ascii="Arial" w:eastAsia="Times New Roman" w:hAnsi="Arial" w:cs="Arial"/>
          <w:lang w:val="es-ES" w:eastAsia="es-ES_tradnl"/>
        </w:rPr>
        <w:t xml:space="preserve">, ya que, entre nosotros el recurso </w:t>
      </w:r>
      <w:r w:rsidR="00773777">
        <w:rPr>
          <w:rFonts w:ascii="Arial" w:eastAsia="Times New Roman" w:hAnsi="Arial" w:cs="Arial"/>
          <w:lang w:val="es-ES" w:eastAsia="es-ES_tradnl"/>
        </w:rPr>
        <w:t>pre</w:t>
      </w:r>
      <w:r w:rsidR="009E2A47">
        <w:rPr>
          <w:rFonts w:ascii="Arial" w:eastAsia="Times New Roman" w:hAnsi="Arial" w:cs="Arial"/>
          <w:lang w:val="es-ES" w:eastAsia="es-ES_tradnl"/>
        </w:rPr>
        <w:t>supone siempre una resolución de fondo o de procedimiento previa que se impugna. De modo que el derecho a recurrir sería mejor traducirlo por el derecho a demandar</w:t>
      </w:r>
      <w:r w:rsidR="00773777">
        <w:rPr>
          <w:rFonts w:ascii="Arial" w:eastAsia="Times New Roman" w:hAnsi="Arial" w:cs="Arial"/>
          <w:lang w:val="es-ES" w:eastAsia="es-ES_tradnl"/>
        </w:rPr>
        <w:t>, al menos cuando esa demanda abre en primera instancia la vía judicial.</w:t>
      </w:r>
      <w:r w:rsidR="0096028F" w:rsidRPr="0096028F">
        <w:rPr>
          <w:rStyle w:val="Refdenotaalpie"/>
          <w:rFonts w:ascii="Arial" w:eastAsia="Times New Roman" w:hAnsi="Arial" w:cs="Arial"/>
          <w:lang w:val="es-ES" w:eastAsia="es-ES_tradnl"/>
        </w:rPr>
        <w:t xml:space="preserve"> </w:t>
      </w:r>
      <w:r w:rsidR="0096028F">
        <w:rPr>
          <w:rStyle w:val="Refdenotaalpie"/>
          <w:rFonts w:ascii="Arial" w:eastAsia="Times New Roman" w:hAnsi="Arial" w:cs="Arial"/>
          <w:lang w:val="es-ES" w:eastAsia="es-ES_tradnl"/>
        </w:rPr>
        <w:footnoteReference w:id="73"/>
      </w:r>
    </w:p>
    <w:p w14:paraId="0D6AA674" w14:textId="6AF44CEC" w:rsidR="00F24CDE" w:rsidRDefault="009E2A47"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F24CDE">
        <w:rPr>
          <w:rFonts w:ascii="Arial" w:eastAsia="Times New Roman" w:hAnsi="Arial" w:cs="Arial"/>
          <w:lang w:val="es-ES" w:eastAsia="es-ES_tradnl"/>
        </w:rPr>
        <w:t xml:space="preserve">Como </w:t>
      </w:r>
      <w:r w:rsidR="00C23C8A" w:rsidRPr="00FE61B0">
        <w:rPr>
          <w:rFonts w:ascii="Arial" w:eastAsia="Times New Roman" w:hAnsi="Arial" w:cs="Arial"/>
          <w:lang w:val="es-ES" w:eastAsia="es-ES_tradnl"/>
        </w:rPr>
        <w:t xml:space="preserve">se ha repetido en párrafos anteriores, </w:t>
      </w:r>
      <w:r w:rsidR="00F24CDE">
        <w:rPr>
          <w:rFonts w:ascii="Arial" w:eastAsia="Times New Roman" w:hAnsi="Arial" w:cs="Arial"/>
          <w:lang w:val="es-ES" w:eastAsia="es-ES_tradnl"/>
        </w:rPr>
        <w:t xml:space="preserve">el procedimiento de internamiento </w:t>
      </w:r>
      <w:r w:rsidR="00C23C8A" w:rsidRPr="00FE61B0">
        <w:rPr>
          <w:rFonts w:ascii="Arial" w:eastAsia="Times New Roman" w:hAnsi="Arial" w:cs="Arial"/>
          <w:lang w:val="es-ES" w:eastAsia="es-ES_tradnl"/>
        </w:rPr>
        <w:t xml:space="preserve">puede ser atribuido a una autoridad administrativa o gubernativa, o a un órgano judiciales. En los sistemas en los que la autorización y el seguimiento del internamiento viene atribuido a </w:t>
      </w:r>
      <w:r w:rsidR="006F0F37" w:rsidRPr="00FE61B0">
        <w:rPr>
          <w:rFonts w:ascii="Arial" w:eastAsia="Times New Roman" w:hAnsi="Arial" w:cs="Arial"/>
          <w:lang w:val="es-ES" w:eastAsia="es-ES_tradnl"/>
        </w:rPr>
        <w:t xml:space="preserve">una autoridad no judicial se establece el derecho de la persona a poder acudir en vía de recurso a un órgano judicial que controle las decisiones que puedan ser adoptadas por la autoridad no judicial. </w:t>
      </w:r>
      <w:r w:rsidR="00F24CDE">
        <w:rPr>
          <w:rFonts w:ascii="Arial" w:eastAsia="Times New Roman" w:hAnsi="Arial" w:cs="Arial"/>
          <w:lang w:val="es-ES" w:eastAsia="es-ES_tradnl"/>
        </w:rPr>
        <w:t xml:space="preserve">Ello explica que en asuntos como el de RAUDEVS </w:t>
      </w:r>
      <w:r w:rsidR="00CC2035">
        <w:rPr>
          <w:rFonts w:ascii="Arial" w:eastAsia="Times New Roman" w:hAnsi="Arial" w:cs="Arial"/>
          <w:lang w:val="es-ES" w:eastAsia="es-ES_tradnl"/>
        </w:rPr>
        <w:t>contra</w:t>
      </w:r>
      <w:r w:rsidR="00F24CDE">
        <w:rPr>
          <w:rFonts w:ascii="Arial" w:eastAsia="Times New Roman" w:hAnsi="Arial" w:cs="Arial"/>
          <w:lang w:val="es-ES" w:eastAsia="es-ES_tradnl"/>
        </w:rPr>
        <w:t xml:space="preserve"> LETONIA el TRIBUNAL fundamente este derecho en el número 4 del artículo 5 del CONVENIO</w:t>
      </w:r>
      <w:r w:rsidR="000E79C3">
        <w:rPr>
          <w:rFonts w:ascii="Arial" w:eastAsia="Times New Roman" w:hAnsi="Arial" w:cs="Arial"/>
          <w:lang w:val="es-ES" w:eastAsia="es-ES_tradnl"/>
        </w:rPr>
        <w:t>, que, literalmente, reza así:</w:t>
      </w:r>
    </w:p>
    <w:p w14:paraId="162985A3" w14:textId="77777777" w:rsidR="000E79C3" w:rsidRPr="000E79C3" w:rsidRDefault="000E79C3" w:rsidP="0025550C">
      <w:pPr>
        <w:ind w:right="-1" w:firstLine="284"/>
        <w:jc w:val="both"/>
        <w:rPr>
          <w:rFonts w:ascii="Arial" w:eastAsia="Times New Roman" w:hAnsi="Arial" w:cs="Arial"/>
          <w:sz w:val="10"/>
          <w:szCs w:val="10"/>
          <w:lang w:val="es-ES" w:eastAsia="es-ES_tradnl"/>
        </w:rPr>
      </w:pPr>
    </w:p>
    <w:p w14:paraId="530CDCBA" w14:textId="4C0E2866" w:rsidR="000E79C3" w:rsidRPr="000E79C3" w:rsidRDefault="000E79C3" w:rsidP="0025550C">
      <w:pPr>
        <w:tabs>
          <w:tab w:val="left" w:pos="8080"/>
        </w:tabs>
        <w:autoSpaceDE w:val="0"/>
        <w:autoSpaceDN w:val="0"/>
        <w:adjustRightInd w:val="0"/>
        <w:ind w:left="284" w:right="-1"/>
        <w:jc w:val="both"/>
        <w:rPr>
          <w:rFonts w:ascii="Arial" w:hAnsi="Arial" w:cs="Arial"/>
          <w:lang w:val="es-ES"/>
        </w:rPr>
      </w:pPr>
      <w:r w:rsidRPr="000E79C3">
        <w:rPr>
          <w:rFonts w:ascii="Arial" w:hAnsi="Arial" w:cs="Arial"/>
          <w:lang w:val="es-ES"/>
        </w:rPr>
        <w:t xml:space="preserve">«Toda persona que sea privada de su libertad mediante arresto o </w:t>
      </w:r>
      <w:r w:rsidR="0029623C">
        <w:rPr>
          <w:rFonts w:ascii="Arial" w:hAnsi="Arial" w:cs="Arial"/>
          <w:lang w:val="es-ES"/>
        </w:rPr>
        <w:t>internamiento</w:t>
      </w:r>
      <w:r w:rsidRPr="000E79C3">
        <w:rPr>
          <w:rFonts w:ascii="Arial" w:hAnsi="Arial" w:cs="Arial"/>
          <w:lang w:val="es-ES"/>
        </w:rPr>
        <w:t xml:space="preserve"> tendrá derecho a entablar un procedimiento para que un tribunal decida en breve plazo sobre la legalidad de su </w:t>
      </w:r>
      <w:r w:rsidR="0029623C">
        <w:rPr>
          <w:rFonts w:ascii="Arial" w:hAnsi="Arial" w:cs="Arial"/>
          <w:lang w:val="es-ES"/>
        </w:rPr>
        <w:t>internamiento</w:t>
      </w:r>
      <w:r w:rsidRPr="000E79C3">
        <w:rPr>
          <w:rFonts w:ascii="Arial" w:hAnsi="Arial" w:cs="Arial"/>
          <w:lang w:val="es-ES"/>
        </w:rPr>
        <w:t xml:space="preserve"> por un tribunal y su puesta en libertad si </w:t>
      </w:r>
      <w:r w:rsidR="006664FD">
        <w:rPr>
          <w:rFonts w:ascii="Arial" w:hAnsi="Arial" w:cs="Arial"/>
          <w:lang w:val="es-ES"/>
        </w:rPr>
        <w:t>el internamiento</w:t>
      </w:r>
      <w:r w:rsidRPr="000E79C3">
        <w:rPr>
          <w:rFonts w:ascii="Arial" w:hAnsi="Arial" w:cs="Arial"/>
          <w:lang w:val="es-ES"/>
        </w:rPr>
        <w:t xml:space="preserve"> es ilegal.»</w:t>
      </w:r>
    </w:p>
    <w:p w14:paraId="7D59E10E" w14:textId="77777777" w:rsidR="000E79C3" w:rsidRPr="000E79C3" w:rsidRDefault="000E79C3" w:rsidP="0025550C">
      <w:pPr>
        <w:ind w:right="-1" w:firstLine="284"/>
        <w:jc w:val="both"/>
        <w:rPr>
          <w:rFonts w:ascii="Arial" w:eastAsia="Times New Roman" w:hAnsi="Arial" w:cs="Arial"/>
          <w:sz w:val="10"/>
          <w:szCs w:val="10"/>
          <w:lang w:val="es-ES" w:eastAsia="es-ES_tradnl"/>
        </w:rPr>
      </w:pPr>
    </w:p>
    <w:p w14:paraId="0A6EA172" w14:textId="2A471DA7" w:rsidR="00A11C56" w:rsidRDefault="00735E97" w:rsidP="00A11C56">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 xml:space="preserve">Lo dicho no excluye en absoluto el derecho a impugnar, vía apelación, la decisión de los tribunales que conocen en primera instancia. De hecho, en el caso M. contra Ucrania, se habla del recurso de apelación como una «garantía </w:t>
      </w:r>
      <w:r w:rsidR="00E45299">
        <w:rPr>
          <w:rFonts w:ascii="Arial" w:eastAsia="Times New Roman" w:hAnsi="Arial" w:cs="Arial"/>
          <w:lang w:val="es-ES" w:eastAsia="es-ES_tradnl"/>
        </w:rPr>
        <w:t>esencia</w:t>
      </w:r>
      <w:r>
        <w:rPr>
          <w:rFonts w:ascii="Arial" w:eastAsia="Times New Roman" w:hAnsi="Arial" w:cs="Arial"/>
          <w:lang w:val="es-ES" w:eastAsia="es-ES_tradnl"/>
        </w:rPr>
        <w:t>l»</w:t>
      </w:r>
      <w:r w:rsidR="00E45299">
        <w:rPr>
          <w:rFonts w:ascii="Arial" w:eastAsia="Times New Roman" w:hAnsi="Arial" w:cs="Arial"/>
          <w:lang w:val="es-ES" w:eastAsia="es-ES_tradnl"/>
        </w:rPr>
        <w:t xml:space="preserve"> para un paciente involuntario en un centro de salud mental y, para ello, invoca los principios establecidos al efecto por Naciones Unidas.</w:t>
      </w:r>
      <w:r w:rsidR="00E45299">
        <w:rPr>
          <w:rStyle w:val="Refdenotaalpie"/>
          <w:rFonts w:ascii="Arial" w:eastAsia="Times New Roman" w:hAnsi="Arial" w:cs="Arial"/>
          <w:lang w:val="es-ES" w:eastAsia="es-ES_tradnl"/>
        </w:rPr>
        <w:footnoteReference w:id="74"/>
      </w:r>
      <w:r w:rsidR="00E45299">
        <w:rPr>
          <w:rFonts w:ascii="Arial" w:eastAsia="Times New Roman" w:hAnsi="Arial" w:cs="Arial"/>
          <w:lang w:val="es-ES" w:eastAsia="es-ES_tradnl"/>
        </w:rPr>
        <w:t xml:space="preserve"> </w:t>
      </w:r>
      <w:r w:rsidR="00CC2035">
        <w:rPr>
          <w:rFonts w:ascii="Arial" w:eastAsia="Times New Roman" w:hAnsi="Arial" w:cs="Arial"/>
          <w:lang w:val="es-ES" w:eastAsia="es-ES_tradnl"/>
        </w:rPr>
        <w:t>En cualquier caso, ya nos encontremos ante un recurso concebido como acceso a los tribunales, ya estemos ante una apelación, la finalidad de la intervención de los tribunales en estas situaciones es la de ofrecer la correspondiente reparación</w:t>
      </w:r>
      <w:r w:rsidR="007547A1">
        <w:rPr>
          <w:rFonts w:ascii="Arial" w:eastAsia="Times New Roman" w:hAnsi="Arial" w:cs="Arial"/>
          <w:lang w:val="es-ES" w:eastAsia="es-ES_tradnl"/>
        </w:rPr>
        <w:t xml:space="preserve"> efectiva. En este sentido, en la misma sentencia mencionada en este párrafo, el TRIBUNAL incorpora entre sus argumentos los que en su día le sirvieron de base para su pronunciamiento en el caso MELNIK contra UCRANIA (28.03.2006, final 28.06.2006) y en los que, </w:t>
      </w:r>
      <w:r w:rsidR="007547A1">
        <w:rPr>
          <w:rFonts w:ascii="Arial" w:eastAsia="Times New Roman" w:hAnsi="Arial" w:cs="Arial"/>
          <w:i/>
          <w:iCs/>
          <w:lang w:val="es-ES" w:eastAsia="es-ES_tradnl"/>
        </w:rPr>
        <w:t>mutatis mutandis</w:t>
      </w:r>
      <w:r w:rsidR="007547A1" w:rsidRPr="007547A1">
        <w:rPr>
          <w:rFonts w:ascii="Arial" w:eastAsia="Times New Roman" w:hAnsi="Arial" w:cs="Arial"/>
          <w:lang w:val="es-ES" w:eastAsia="es-ES_tradnl"/>
        </w:rPr>
        <w:t>,</w:t>
      </w:r>
      <w:r w:rsidR="007547A1">
        <w:rPr>
          <w:rFonts w:ascii="Arial" w:eastAsia="Times New Roman" w:hAnsi="Arial" w:cs="Arial"/>
          <w:lang w:val="es-ES" w:eastAsia="es-ES_tradnl"/>
        </w:rPr>
        <w:t xml:space="preserve"> viene a establecerse que la función de los tribunales es dar una respuesta </w:t>
      </w:r>
      <w:r w:rsidR="00C53D44">
        <w:rPr>
          <w:rFonts w:ascii="Arial" w:eastAsia="Times New Roman" w:hAnsi="Arial" w:cs="Arial"/>
          <w:lang w:val="es-ES" w:eastAsia="es-ES_tradnl"/>
        </w:rPr>
        <w:t>«directa y opo</w:t>
      </w:r>
      <w:r w:rsidR="00FE7C74">
        <w:rPr>
          <w:rFonts w:ascii="Arial" w:eastAsia="Times New Roman" w:hAnsi="Arial" w:cs="Arial"/>
          <w:lang w:val="es-ES" w:eastAsia="es-ES_tradnl"/>
        </w:rPr>
        <w:t>r</w:t>
      </w:r>
      <w:r w:rsidR="00C53D44">
        <w:rPr>
          <w:rFonts w:ascii="Arial" w:eastAsia="Times New Roman" w:hAnsi="Arial" w:cs="Arial"/>
          <w:lang w:val="es-ES" w:eastAsia="es-ES_tradnl"/>
        </w:rPr>
        <w:t>tuna»</w:t>
      </w:r>
      <w:r w:rsidR="007547A1">
        <w:rPr>
          <w:rFonts w:ascii="Arial" w:eastAsia="Times New Roman" w:hAnsi="Arial" w:cs="Arial"/>
          <w:lang w:val="es-ES" w:eastAsia="es-ES_tradnl"/>
        </w:rPr>
        <w:t xml:space="preserve"> a los problemas que le son planteados.</w:t>
      </w:r>
      <w:r w:rsidR="00C53D44">
        <w:rPr>
          <w:rStyle w:val="Refdenotaalpie"/>
          <w:rFonts w:ascii="Arial" w:eastAsia="Times New Roman" w:hAnsi="Arial" w:cs="Arial"/>
          <w:lang w:val="es-ES" w:eastAsia="es-ES_tradnl"/>
        </w:rPr>
        <w:footnoteReference w:id="75"/>
      </w:r>
      <w:r w:rsidR="00664C80">
        <w:rPr>
          <w:rFonts w:ascii="Arial" w:eastAsia="Times New Roman" w:hAnsi="Arial" w:cs="Arial"/>
          <w:lang w:val="es-ES" w:eastAsia="es-ES_tradnl"/>
        </w:rPr>
        <w:t xml:space="preserve"> Este argumento debe ponerse en correlación con los que pueden leerse en el § 115 del caso CERVENKA, en el que se argumenta sobre la eficacia del recurso. En última instancia, el </w:t>
      </w:r>
      <w:r w:rsidR="00773777">
        <w:rPr>
          <w:rFonts w:ascii="Arial" w:eastAsia="Times New Roman" w:hAnsi="Arial" w:cs="Arial"/>
          <w:lang w:val="es-ES" w:eastAsia="es-ES_tradnl"/>
        </w:rPr>
        <w:t>proceso</w:t>
      </w:r>
      <w:r w:rsidR="00664C80">
        <w:rPr>
          <w:rFonts w:ascii="Arial" w:eastAsia="Times New Roman" w:hAnsi="Arial" w:cs="Arial"/>
          <w:lang w:val="es-ES" w:eastAsia="es-ES_tradnl"/>
        </w:rPr>
        <w:t xml:space="preserve"> es eficaz cuando puede poner fin a una violación del derecho</w:t>
      </w:r>
      <w:r w:rsidR="006824B1">
        <w:rPr>
          <w:rFonts w:ascii="Arial" w:eastAsia="Times New Roman" w:hAnsi="Arial" w:cs="Arial"/>
          <w:lang w:val="es-ES" w:eastAsia="es-ES_tradnl"/>
        </w:rPr>
        <w:t>,</w:t>
      </w:r>
      <w:r w:rsidR="00664C80">
        <w:rPr>
          <w:rFonts w:ascii="Arial" w:eastAsia="Times New Roman" w:hAnsi="Arial" w:cs="Arial"/>
          <w:lang w:val="es-ES" w:eastAsia="es-ES_tradnl"/>
        </w:rPr>
        <w:t xml:space="preserve"> ordenado la puesta en libertad de la persona.</w:t>
      </w:r>
      <w:r w:rsidR="00664C80">
        <w:rPr>
          <w:rStyle w:val="Refdenotaalpie"/>
          <w:rFonts w:ascii="Arial" w:eastAsia="Times New Roman" w:hAnsi="Arial" w:cs="Arial"/>
          <w:lang w:val="es-ES" w:eastAsia="es-ES_tradnl"/>
        </w:rPr>
        <w:footnoteReference w:id="76"/>
      </w:r>
      <w:r w:rsidR="009432AC">
        <w:rPr>
          <w:rFonts w:ascii="Arial" w:eastAsia="Times New Roman" w:hAnsi="Arial" w:cs="Arial"/>
          <w:lang w:val="es-ES" w:eastAsia="es-ES_tradnl"/>
        </w:rPr>
        <w:t xml:space="preserve"> Evidentemente, no es considerado </w:t>
      </w:r>
      <w:r w:rsidR="00773777">
        <w:rPr>
          <w:rFonts w:ascii="Arial" w:eastAsia="Times New Roman" w:hAnsi="Arial" w:cs="Arial"/>
          <w:lang w:val="es-ES" w:eastAsia="es-ES_tradnl"/>
        </w:rPr>
        <w:t>proceso (“</w:t>
      </w:r>
      <w:r w:rsidR="009432AC">
        <w:rPr>
          <w:rFonts w:ascii="Arial" w:eastAsia="Times New Roman" w:hAnsi="Arial" w:cs="Arial"/>
          <w:lang w:val="es-ES" w:eastAsia="es-ES_tradnl"/>
        </w:rPr>
        <w:t>recurso</w:t>
      </w:r>
      <w:r w:rsidR="00773777">
        <w:rPr>
          <w:rFonts w:ascii="Arial" w:eastAsia="Times New Roman" w:hAnsi="Arial" w:cs="Arial"/>
          <w:lang w:val="es-ES" w:eastAsia="es-ES_tradnl"/>
        </w:rPr>
        <w:t>”)</w:t>
      </w:r>
      <w:r w:rsidR="009432AC">
        <w:rPr>
          <w:rFonts w:ascii="Arial" w:eastAsia="Times New Roman" w:hAnsi="Arial" w:cs="Arial"/>
          <w:lang w:val="es-ES" w:eastAsia="es-ES_tradnl"/>
        </w:rPr>
        <w:t xml:space="preserve"> a estos efectos el planteado ante un órgano no judicial</w:t>
      </w:r>
      <w:r w:rsidR="00773777">
        <w:rPr>
          <w:rFonts w:ascii="Arial" w:eastAsia="Times New Roman" w:hAnsi="Arial" w:cs="Arial"/>
          <w:lang w:val="es-ES" w:eastAsia="es-ES_tradnl"/>
        </w:rPr>
        <w:t>.</w:t>
      </w:r>
      <w:r w:rsidR="009432AC">
        <w:rPr>
          <w:rStyle w:val="Refdenotaalpie"/>
          <w:rFonts w:ascii="Arial" w:eastAsia="Times New Roman" w:hAnsi="Arial" w:cs="Arial"/>
          <w:lang w:val="es-ES" w:eastAsia="es-ES_tradnl"/>
        </w:rPr>
        <w:footnoteReference w:id="77"/>
      </w:r>
      <w:r w:rsidR="00773777">
        <w:rPr>
          <w:rFonts w:ascii="Arial" w:eastAsia="Times New Roman" w:hAnsi="Arial" w:cs="Arial"/>
          <w:lang w:val="es-ES" w:eastAsia="es-ES_tradnl"/>
        </w:rPr>
        <w:t xml:space="preserve"> Solo el proceso judicial lo es.</w:t>
      </w:r>
      <w:r w:rsidR="00773777">
        <w:rPr>
          <w:rStyle w:val="Refdenotaalpie"/>
          <w:rFonts w:ascii="Arial" w:eastAsia="Times New Roman" w:hAnsi="Arial" w:cs="Arial"/>
          <w:lang w:val="es-ES" w:eastAsia="es-ES_tradnl"/>
        </w:rPr>
        <w:footnoteReference w:id="78"/>
      </w:r>
    </w:p>
    <w:p w14:paraId="054965D7" w14:textId="77777777" w:rsidR="00F563D8" w:rsidRPr="004A1D7D" w:rsidRDefault="00F563D8" w:rsidP="00A11C56">
      <w:pPr>
        <w:ind w:right="-1" w:firstLine="284"/>
        <w:jc w:val="both"/>
        <w:rPr>
          <w:rFonts w:ascii="Arial" w:eastAsia="Times New Roman" w:hAnsi="Arial" w:cs="Arial"/>
          <w:sz w:val="10"/>
          <w:szCs w:val="10"/>
          <w:lang w:val="es-ES" w:eastAsia="es-ES_tradnl"/>
        </w:rPr>
      </w:pPr>
    </w:p>
    <w:p w14:paraId="02AC57B5" w14:textId="77777777" w:rsidR="00996101" w:rsidRPr="00996101" w:rsidRDefault="00996101" w:rsidP="00A11C56">
      <w:pPr>
        <w:ind w:right="-1" w:firstLine="284"/>
        <w:jc w:val="both"/>
        <w:rPr>
          <w:rFonts w:ascii="Arial" w:eastAsia="Times New Roman" w:hAnsi="Arial" w:cs="Arial"/>
          <w:sz w:val="10"/>
          <w:szCs w:val="10"/>
          <w:lang w:val="es-ES" w:eastAsia="es-ES_tradnl"/>
        </w:rPr>
      </w:pPr>
    </w:p>
    <w:p w14:paraId="54D73CBC" w14:textId="54BCFDC2" w:rsidR="004508B7" w:rsidRDefault="001E78D0"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d</w:t>
      </w:r>
      <w:r w:rsidR="004508B7">
        <w:rPr>
          <w:rFonts w:ascii="Arial" w:eastAsia="Times New Roman" w:hAnsi="Arial" w:cs="Arial"/>
          <w:lang w:val="es-ES" w:eastAsia="es-ES_tradnl"/>
        </w:rPr>
        <w:t>) La autorización del internamiento</w:t>
      </w:r>
    </w:p>
    <w:p w14:paraId="73F3CE28" w14:textId="672A4643" w:rsidR="008B601C" w:rsidRDefault="00D77528" w:rsidP="008B601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Dos son las perspectivas desde las que podemos enfocar las sentencias que se pronuncian sobre las autorizaciones de los internamientos. La primera se refiere a la autoridad que las emite. Ya se ha mencionado que ni el CONVENIO ni el TRIBUNAL entran en si el órgano decisor es un órgano judicial o no lo es, aunque sí es cierto que entiende que el internamiento es legal cuando se basa en una orden judicial</w:t>
      </w:r>
      <w:r w:rsidR="00996101">
        <w:rPr>
          <w:rFonts w:ascii="Arial" w:eastAsia="Times New Roman" w:hAnsi="Arial" w:cs="Arial"/>
          <w:lang w:val="es-ES" w:eastAsia="es-ES_tradnl"/>
        </w:rPr>
        <w:t xml:space="preserve">: </w:t>
      </w:r>
      <w:r w:rsidR="00996101" w:rsidRPr="00996101">
        <w:rPr>
          <w:rFonts w:ascii="Arial" w:eastAsia="Times New Roman" w:hAnsi="Arial" w:cs="Arial"/>
          <w:lang w:val="es-ES" w:eastAsia="es-ES_tradnl"/>
        </w:rPr>
        <w:t>«</w:t>
      </w:r>
      <w:r w:rsidR="00996101" w:rsidRPr="00996101">
        <w:rPr>
          <w:rFonts w:ascii="Arial" w:hAnsi="Arial" w:cs="Arial"/>
          <w:lang w:val="es-ES"/>
        </w:rPr>
        <w:t xml:space="preserve">Un período de </w:t>
      </w:r>
      <w:r w:rsidR="004E420D">
        <w:rPr>
          <w:rFonts w:ascii="Arial" w:hAnsi="Arial" w:cs="Arial"/>
          <w:lang w:val="es-ES"/>
        </w:rPr>
        <w:t>internamiento</w:t>
      </w:r>
      <w:r w:rsidR="00996101" w:rsidRPr="00996101">
        <w:rPr>
          <w:rFonts w:ascii="Arial" w:hAnsi="Arial" w:cs="Arial"/>
          <w:lang w:val="es-ES"/>
        </w:rPr>
        <w:t xml:space="preserve"> es, en principio, "legal" si se basa en una orden judicial»</w:t>
      </w:r>
      <w:r w:rsidR="002F2806">
        <w:rPr>
          <w:rFonts w:ascii="Arial" w:hAnsi="Arial" w:cs="Arial"/>
          <w:lang w:val="es-ES"/>
        </w:rPr>
        <w:t>.</w:t>
      </w:r>
      <w:r w:rsidR="002F2806">
        <w:rPr>
          <w:rStyle w:val="Refdenotaalpie"/>
          <w:rFonts w:ascii="Arial" w:hAnsi="Arial" w:cs="Arial"/>
          <w:lang w:val="es-ES"/>
        </w:rPr>
        <w:footnoteReference w:id="79"/>
      </w:r>
      <w:r w:rsidR="00996101" w:rsidRPr="00996101">
        <w:rPr>
          <w:rFonts w:ascii="Arial" w:hAnsi="Arial" w:cs="Arial"/>
          <w:lang w:val="es-ES"/>
        </w:rPr>
        <w:t xml:space="preserve"> </w:t>
      </w:r>
      <w:r w:rsidRPr="00996101">
        <w:rPr>
          <w:rFonts w:ascii="Arial" w:eastAsia="Times New Roman" w:hAnsi="Arial" w:cs="Arial"/>
          <w:lang w:val="es-ES" w:eastAsia="es-ES_tradnl"/>
        </w:rPr>
        <w:t xml:space="preserve"> </w:t>
      </w:r>
      <w:r w:rsidR="006B25BE">
        <w:rPr>
          <w:rFonts w:ascii="Arial" w:eastAsia="Times New Roman" w:hAnsi="Arial" w:cs="Arial"/>
          <w:lang w:val="es-ES" w:eastAsia="es-ES_tradnl"/>
        </w:rPr>
        <w:t>L</w:t>
      </w:r>
      <w:r w:rsidR="004E420D">
        <w:rPr>
          <w:rFonts w:ascii="Arial" w:eastAsia="Times New Roman" w:hAnsi="Arial" w:cs="Arial"/>
          <w:lang w:val="es-ES" w:eastAsia="es-ES_tradnl"/>
        </w:rPr>
        <w:t>o</w:t>
      </w:r>
      <w:r w:rsidR="006B25BE">
        <w:rPr>
          <w:rFonts w:ascii="Arial" w:eastAsia="Times New Roman" w:hAnsi="Arial" w:cs="Arial"/>
          <w:lang w:val="es-ES" w:eastAsia="es-ES_tradnl"/>
        </w:rPr>
        <w:t xml:space="preserve"> que la jurisprudencia establece es que sea cual sea el órgano decisor tiene que ser el competente de acuerdo con la legislación nacional. Elemento esencial para determinar si el internamiento es legal es la motivación de la resolución que lo ordena o autoriza</w:t>
      </w:r>
      <w:r w:rsidR="00BC688E">
        <w:rPr>
          <w:rFonts w:ascii="Arial" w:eastAsia="Times New Roman" w:hAnsi="Arial" w:cs="Arial"/>
          <w:lang w:val="es-ES" w:eastAsia="es-ES_tradnl"/>
        </w:rPr>
        <w:t>.</w:t>
      </w:r>
      <w:r w:rsidR="00936D6F">
        <w:rPr>
          <w:rStyle w:val="Refdenotaalpie"/>
          <w:rFonts w:ascii="Arial" w:eastAsia="Times New Roman" w:hAnsi="Arial" w:cs="Arial"/>
          <w:lang w:val="es-ES" w:eastAsia="es-ES_tradnl"/>
        </w:rPr>
        <w:footnoteReference w:id="80"/>
      </w:r>
      <w:r w:rsidR="006B25BE">
        <w:rPr>
          <w:rFonts w:ascii="Arial" w:eastAsia="Times New Roman" w:hAnsi="Arial" w:cs="Arial"/>
          <w:lang w:val="es-ES" w:eastAsia="es-ES_tradnl"/>
        </w:rPr>
        <w:t xml:space="preserve"> A esto, tendríamos que añadir las garantías de la sentencia del caso WINTERWERP y las restantes recogidas en el apartado a) de este número 2. Hay que tener en cuenta que el TRIBUNAL considera que </w:t>
      </w:r>
      <w:r w:rsidR="008B601C">
        <w:rPr>
          <w:rFonts w:ascii="Arial" w:eastAsia="Times New Roman" w:hAnsi="Arial" w:cs="Arial"/>
          <w:lang w:val="es-ES" w:eastAsia="es-ES_tradnl"/>
        </w:rPr>
        <w:t>la ilegalidad de una autorización</w:t>
      </w:r>
      <w:r w:rsidR="00235E51">
        <w:rPr>
          <w:rFonts w:ascii="Arial" w:eastAsia="Times New Roman" w:hAnsi="Arial" w:cs="Arial"/>
          <w:lang w:val="es-ES" w:eastAsia="es-ES_tradnl"/>
        </w:rPr>
        <w:t xml:space="preserve"> </w:t>
      </w:r>
      <w:r w:rsidR="008B601C">
        <w:rPr>
          <w:rFonts w:ascii="Arial" w:eastAsia="Times New Roman" w:hAnsi="Arial" w:cs="Arial"/>
          <w:lang w:val="es-ES" w:eastAsia="es-ES_tradnl"/>
        </w:rPr>
        <w:t>no se ve depurada por una sentencia de apelación posterior.</w:t>
      </w:r>
      <w:r w:rsidR="00143E75">
        <w:rPr>
          <w:rStyle w:val="Refdenotaalpie"/>
          <w:rFonts w:ascii="Arial" w:eastAsia="Times New Roman" w:hAnsi="Arial" w:cs="Arial"/>
          <w:lang w:val="es-ES" w:eastAsia="es-ES_tradnl"/>
        </w:rPr>
        <w:footnoteReference w:id="81"/>
      </w:r>
    </w:p>
    <w:p w14:paraId="4ED77147" w14:textId="0AAFB075" w:rsidR="008B601C" w:rsidRDefault="008B601C" w:rsidP="008B601C">
      <w:pPr>
        <w:ind w:right="-1" w:firstLine="284"/>
        <w:jc w:val="both"/>
        <w:rPr>
          <w:rFonts w:ascii="Arial" w:hAnsi="Arial" w:cs="Arial"/>
          <w:lang w:val="es-ES_tradnl"/>
        </w:rPr>
      </w:pPr>
      <w:r>
        <w:rPr>
          <w:rFonts w:ascii="Arial" w:eastAsia="Times New Roman" w:hAnsi="Arial" w:cs="Arial"/>
          <w:lang w:val="es-ES" w:eastAsia="es-ES_tradnl"/>
        </w:rPr>
        <w:t>La segunda perspectiva enlaza con las autorizaciones que pueden otorgar los tutores de las personas que son internadas. Los casos en los que el TRIBUNAL se pronuncia sobre el papel que los tutores juegan en la autorización del internamiento van ligados a las capacidades que puedan tener sus tutelados para poder emitir su opinión</w:t>
      </w:r>
      <w:r w:rsidR="00884FD1">
        <w:rPr>
          <w:rFonts w:ascii="Arial" w:eastAsia="Times New Roman" w:hAnsi="Arial" w:cs="Arial"/>
          <w:lang w:val="es-ES" w:eastAsia="es-ES_tradnl"/>
        </w:rPr>
        <w:t xml:space="preserve"> y a la posibilidad de entender que su autorización equivale a un internamiento voluntario</w:t>
      </w:r>
      <w:r>
        <w:rPr>
          <w:rFonts w:ascii="Arial" w:eastAsia="Times New Roman" w:hAnsi="Arial" w:cs="Arial"/>
          <w:lang w:val="es-ES" w:eastAsia="es-ES_tradnl"/>
        </w:rPr>
        <w:t>.</w:t>
      </w:r>
      <w:r w:rsidR="00884FD1">
        <w:rPr>
          <w:rFonts w:ascii="Arial" w:eastAsia="Times New Roman" w:hAnsi="Arial" w:cs="Arial"/>
          <w:lang w:val="es-ES" w:eastAsia="es-ES_tradnl"/>
        </w:rPr>
        <w:t xml:space="preserve"> En el caso SYKORA el internamiento se produce con el consentimiento del tutor legal. </w:t>
      </w:r>
      <w:r w:rsidR="00F000D7">
        <w:rPr>
          <w:rFonts w:ascii="Arial" w:eastAsia="Times New Roman" w:hAnsi="Arial" w:cs="Arial"/>
          <w:lang w:val="es-ES" w:eastAsia="es-ES_tradnl"/>
        </w:rPr>
        <w:t>De acuerdo con la normativa vigente en el momento se entendió que ello equivalía a un internamiento voluntario, por lo que no hubo ninguna revisión judicial sobre la necesidad del internamiento</w:t>
      </w:r>
      <w:r w:rsidR="00CF7734">
        <w:rPr>
          <w:rFonts w:ascii="Arial" w:eastAsia="Times New Roman" w:hAnsi="Arial" w:cs="Arial"/>
          <w:lang w:val="es-ES" w:eastAsia="es-ES_tradnl"/>
        </w:rPr>
        <w:t>.</w:t>
      </w:r>
      <w:r w:rsidR="00C768AC">
        <w:rPr>
          <w:rFonts w:ascii="Arial" w:eastAsia="Times New Roman" w:hAnsi="Arial" w:cs="Arial"/>
          <w:lang w:val="es-ES" w:eastAsia="es-ES_tradnl"/>
        </w:rPr>
        <w:t xml:space="preserve"> Este hecho explica que</w:t>
      </w:r>
      <w:r w:rsidR="00C0650D">
        <w:rPr>
          <w:rFonts w:ascii="Arial" w:eastAsia="Times New Roman" w:hAnsi="Arial" w:cs="Arial"/>
          <w:lang w:val="es-ES" w:eastAsia="es-ES_tradnl"/>
        </w:rPr>
        <w:t>,</w:t>
      </w:r>
      <w:r w:rsidR="00C768AC">
        <w:rPr>
          <w:rFonts w:ascii="Arial" w:eastAsia="Times New Roman" w:hAnsi="Arial" w:cs="Arial"/>
          <w:lang w:val="es-ES" w:eastAsia="es-ES_tradnl"/>
        </w:rPr>
        <w:t xml:space="preserve"> en este caso</w:t>
      </w:r>
      <w:r w:rsidR="00C0650D">
        <w:rPr>
          <w:rFonts w:ascii="Arial" w:eastAsia="Times New Roman" w:hAnsi="Arial" w:cs="Arial"/>
          <w:lang w:val="es-ES" w:eastAsia="es-ES_tradnl"/>
        </w:rPr>
        <w:t>,</w:t>
      </w:r>
      <w:r w:rsidR="00C768AC">
        <w:rPr>
          <w:rFonts w:ascii="Arial" w:eastAsia="Times New Roman" w:hAnsi="Arial" w:cs="Arial"/>
          <w:lang w:val="es-ES" w:eastAsia="es-ES_tradnl"/>
        </w:rPr>
        <w:t xml:space="preserve"> el TRIBUNAL se inclin</w:t>
      </w:r>
      <w:r w:rsidR="00235E51">
        <w:rPr>
          <w:rFonts w:ascii="Arial" w:eastAsia="Times New Roman" w:hAnsi="Arial" w:cs="Arial"/>
          <w:lang w:val="es-ES" w:eastAsia="es-ES_tradnl"/>
        </w:rPr>
        <w:t>ara</w:t>
      </w:r>
      <w:r w:rsidR="00C768AC">
        <w:rPr>
          <w:rFonts w:ascii="Arial" w:eastAsia="Times New Roman" w:hAnsi="Arial" w:cs="Arial"/>
          <w:lang w:val="es-ES" w:eastAsia="es-ES_tradnl"/>
        </w:rPr>
        <w:t xml:space="preserve"> por entender que lo que habría que someter a la valoración de los tribunales sería, precisamente, del consentimiento del tutor</w:t>
      </w:r>
      <w:r w:rsidR="000546A2">
        <w:rPr>
          <w:rFonts w:ascii="Arial" w:eastAsia="Times New Roman" w:hAnsi="Arial" w:cs="Arial"/>
          <w:lang w:val="es-ES" w:eastAsia="es-ES_tradnl"/>
        </w:rPr>
        <w:t>, opción que, según el propio TRIBUNAL expresa</w:t>
      </w:r>
      <w:r w:rsidR="001B7E6A">
        <w:rPr>
          <w:rFonts w:ascii="Arial" w:eastAsia="Times New Roman" w:hAnsi="Arial" w:cs="Arial"/>
          <w:lang w:val="es-ES" w:eastAsia="es-ES_tradnl"/>
        </w:rPr>
        <w:t>,</w:t>
      </w:r>
      <w:r w:rsidR="000546A2">
        <w:rPr>
          <w:rFonts w:ascii="Arial" w:eastAsia="Times New Roman" w:hAnsi="Arial" w:cs="Arial"/>
          <w:lang w:val="es-ES" w:eastAsia="es-ES_tradnl"/>
        </w:rPr>
        <w:t xml:space="preserve"> no está recogida en todos los ordenamientos nacionales.</w:t>
      </w:r>
      <w:r w:rsidR="00C768AC">
        <w:rPr>
          <w:rFonts w:ascii="Arial" w:eastAsia="Times New Roman" w:hAnsi="Arial" w:cs="Arial"/>
          <w:lang w:val="es-ES" w:eastAsia="es-ES_tradnl"/>
        </w:rPr>
        <w:t xml:space="preserve"> Concretamente se expresa del siguiente modo: </w:t>
      </w:r>
      <w:r w:rsidR="00C768AC" w:rsidRPr="00C768AC">
        <w:rPr>
          <w:rFonts w:ascii="Arial" w:eastAsia="Times New Roman" w:hAnsi="Arial" w:cs="Arial"/>
          <w:lang w:val="es-ES" w:eastAsia="es-ES_tradnl"/>
        </w:rPr>
        <w:t>«</w:t>
      </w:r>
      <w:r w:rsidR="00C768AC" w:rsidRPr="00C768AC">
        <w:rPr>
          <w:rFonts w:ascii="Arial" w:hAnsi="Arial" w:cs="Arial"/>
          <w:lang w:val="es-ES_tradnl"/>
        </w:rPr>
        <w:t>La revisión judicial, iniciada de oficio o interpuesta por el tutelado o por otra persona idónea, del consentimiento de un tutor a la privación de libertad de su pupilo podría proporcionar, en opinión del Tribunal, una salvaguarda relevante contra la arbitrariedad. La tendencia a este tipo de control judicial todavía no se ha aplicado plenamente en la mayoría de los Estados miembros del Consejo de Europa (véase el Derecho Comparado).»</w:t>
      </w:r>
      <w:r w:rsidR="00127DFD">
        <w:rPr>
          <w:rStyle w:val="Refdenotaalpie"/>
          <w:rFonts w:ascii="Arial" w:hAnsi="Arial" w:cs="Arial"/>
          <w:lang w:val="es-ES_tradnl"/>
        </w:rPr>
        <w:footnoteReference w:id="82"/>
      </w:r>
      <w:r w:rsidR="005E5972">
        <w:rPr>
          <w:rFonts w:ascii="Arial" w:hAnsi="Arial" w:cs="Arial"/>
          <w:lang w:val="es-ES_tradnl"/>
        </w:rPr>
        <w:t xml:space="preserve"> En esta línea, el TRIBUNAL entiende que un internamiento no se convierte necesariamente en voluntario por haber obtenido para ello la autorización del tutor</w:t>
      </w:r>
      <w:r w:rsidR="00F36786">
        <w:rPr>
          <w:rFonts w:ascii="Arial" w:hAnsi="Arial" w:cs="Arial"/>
          <w:lang w:val="es-ES_tradnl"/>
        </w:rPr>
        <w:t>.</w:t>
      </w:r>
      <w:r w:rsidR="00DD4B7D">
        <w:rPr>
          <w:rStyle w:val="Refdenotaalpie"/>
          <w:rFonts w:ascii="Arial" w:hAnsi="Arial" w:cs="Arial"/>
          <w:lang w:val="es-ES_tradnl"/>
        </w:rPr>
        <w:footnoteReference w:id="83"/>
      </w:r>
    </w:p>
    <w:p w14:paraId="3CEEE091" w14:textId="0010E207" w:rsidR="00DD4B7D" w:rsidRDefault="00D268EF" w:rsidP="001B7E6A">
      <w:pPr>
        <w:autoSpaceDE w:val="0"/>
        <w:autoSpaceDN w:val="0"/>
        <w:adjustRightInd w:val="0"/>
        <w:ind w:firstLine="284"/>
        <w:jc w:val="both"/>
        <w:rPr>
          <w:rFonts w:ascii="Arial" w:hAnsi="Arial" w:cs="Arial"/>
          <w:lang w:val="es-ES_tradnl"/>
        </w:rPr>
      </w:pPr>
      <w:r>
        <w:rPr>
          <w:rFonts w:ascii="Arial" w:hAnsi="Arial" w:cs="Arial"/>
          <w:lang w:val="es-ES_tradnl"/>
        </w:rPr>
        <w:t>Otro aspecto importante se refiere al comportamiento que, de acuerdo con el TRIBUNAL, debe tener el tutor con la persona objeto del internamiento.</w:t>
      </w:r>
      <w:r w:rsidR="00117D63">
        <w:rPr>
          <w:rFonts w:ascii="Arial" w:hAnsi="Arial" w:cs="Arial"/>
          <w:lang w:val="es-ES_tradnl"/>
        </w:rPr>
        <w:t xml:space="preserve"> </w:t>
      </w:r>
      <w:r w:rsidR="006B5BF3">
        <w:rPr>
          <w:rFonts w:ascii="Arial" w:hAnsi="Arial" w:cs="Arial"/>
          <w:lang w:val="es-ES_tradnl"/>
        </w:rPr>
        <w:t>En la citada sentencia del caso SYCORA, destaca en primer lugar su papel de garante frente a posibles arbitrariedades</w:t>
      </w:r>
      <w:r w:rsidR="000937B8">
        <w:rPr>
          <w:rFonts w:ascii="Arial" w:hAnsi="Arial" w:cs="Arial"/>
          <w:lang w:val="es-ES_tradnl"/>
        </w:rPr>
        <w:t>, para</w:t>
      </w:r>
      <w:r w:rsidR="009B4157">
        <w:rPr>
          <w:rFonts w:ascii="Arial" w:hAnsi="Arial" w:cs="Arial"/>
          <w:lang w:val="es-ES_tradnl"/>
        </w:rPr>
        <w:t>,</w:t>
      </w:r>
      <w:r w:rsidR="000937B8">
        <w:rPr>
          <w:rFonts w:ascii="Arial" w:hAnsi="Arial" w:cs="Arial"/>
          <w:lang w:val="es-ES_tradnl"/>
        </w:rPr>
        <w:t xml:space="preserve"> inmediatamente después</w:t>
      </w:r>
      <w:r w:rsidR="009B4157">
        <w:rPr>
          <w:rFonts w:ascii="Arial" w:hAnsi="Arial" w:cs="Arial"/>
          <w:lang w:val="es-ES_tradnl"/>
        </w:rPr>
        <w:t>,</w:t>
      </w:r>
      <w:r w:rsidR="000937B8">
        <w:rPr>
          <w:rFonts w:ascii="Arial" w:hAnsi="Arial" w:cs="Arial"/>
          <w:lang w:val="es-ES_tradnl"/>
        </w:rPr>
        <w:t xml:space="preserve"> mostrar cómo esta garantía falló por inacción del tutor</w:t>
      </w:r>
      <w:r w:rsidR="009B4157">
        <w:rPr>
          <w:rFonts w:ascii="Arial" w:hAnsi="Arial" w:cs="Arial"/>
          <w:lang w:val="es-ES_tradnl"/>
        </w:rPr>
        <w:t>. El tutor debe consultar con su tutelado en la medida en que ello es posible y darle información suficiente para que pueda expresar su opinión, que debe ser tenida en cuenta</w:t>
      </w:r>
      <w:r w:rsidR="00BC688E">
        <w:rPr>
          <w:rFonts w:ascii="Arial" w:hAnsi="Arial" w:cs="Arial"/>
          <w:lang w:val="es-ES_tradnl"/>
        </w:rPr>
        <w:t>.</w:t>
      </w:r>
      <w:r w:rsidR="009B4157">
        <w:rPr>
          <w:rStyle w:val="Refdenotaalpie"/>
          <w:rFonts w:ascii="Arial" w:hAnsi="Arial" w:cs="Arial"/>
          <w:lang w:val="es-ES_tradnl"/>
        </w:rPr>
        <w:footnoteReference w:id="84"/>
      </w:r>
      <w:r w:rsidR="009B4157">
        <w:rPr>
          <w:rFonts w:ascii="Arial" w:hAnsi="Arial" w:cs="Arial"/>
          <w:lang w:val="es-ES_tradnl"/>
        </w:rPr>
        <w:t xml:space="preserve"> </w:t>
      </w:r>
    </w:p>
    <w:p w14:paraId="6C7797BF" w14:textId="4305757E" w:rsidR="004508B7" w:rsidRPr="00F563D8" w:rsidRDefault="004508B7" w:rsidP="001607AB">
      <w:pPr>
        <w:ind w:right="-1"/>
        <w:jc w:val="both"/>
        <w:rPr>
          <w:rFonts w:ascii="Arial" w:eastAsia="Times New Roman" w:hAnsi="Arial" w:cs="Arial"/>
          <w:sz w:val="10"/>
          <w:szCs w:val="10"/>
          <w:lang w:val="es-ES" w:eastAsia="es-ES_tradnl"/>
        </w:rPr>
      </w:pPr>
    </w:p>
    <w:p w14:paraId="76B1BCF0" w14:textId="4DF06674" w:rsidR="004508B7" w:rsidRDefault="008A24A1" w:rsidP="001607AB">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w:t>
      </w:r>
      <w:r w:rsidR="004508B7">
        <w:rPr>
          <w:rFonts w:ascii="Arial" w:eastAsia="Times New Roman" w:hAnsi="Arial" w:cs="Arial"/>
          <w:lang w:val="es-ES" w:eastAsia="es-ES_tradnl"/>
        </w:rPr>
        <w:t>) Los plazos</w:t>
      </w:r>
    </w:p>
    <w:p w14:paraId="13232B00" w14:textId="1015DD4B" w:rsidR="005A3BCF" w:rsidRDefault="001607AB" w:rsidP="00235E51">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E</w:t>
      </w:r>
      <w:r w:rsidR="00235E51">
        <w:rPr>
          <w:rFonts w:ascii="Arial" w:eastAsia="Times New Roman" w:hAnsi="Arial" w:cs="Arial"/>
          <w:lang w:val="es-ES" w:eastAsia="es-ES_tradnl"/>
        </w:rPr>
        <w:t>n materia de plazos, e</w:t>
      </w:r>
      <w:r>
        <w:rPr>
          <w:rFonts w:ascii="Arial" w:eastAsia="Times New Roman" w:hAnsi="Arial" w:cs="Arial"/>
          <w:lang w:val="es-ES" w:eastAsia="es-ES_tradnl"/>
        </w:rPr>
        <w:t>l principio general es</w:t>
      </w:r>
      <w:r w:rsidR="00235E51">
        <w:rPr>
          <w:rFonts w:ascii="Arial" w:eastAsia="Times New Roman" w:hAnsi="Arial" w:cs="Arial"/>
          <w:lang w:val="es-ES" w:eastAsia="es-ES_tradnl"/>
        </w:rPr>
        <w:t>,</w:t>
      </w:r>
      <w:r>
        <w:rPr>
          <w:rFonts w:ascii="Arial" w:eastAsia="Times New Roman" w:hAnsi="Arial" w:cs="Arial"/>
          <w:lang w:val="es-ES" w:eastAsia="es-ES_tradnl"/>
        </w:rPr>
        <w:t xml:space="preserve"> desde la sentencia del caso WINTERWERP</w:t>
      </w:r>
      <w:r w:rsidR="00235E51">
        <w:rPr>
          <w:rFonts w:ascii="Arial" w:eastAsia="Times New Roman" w:hAnsi="Arial" w:cs="Arial"/>
          <w:lang w:val="es-ES" w:eastAsia="es-ES_tradnl"/>
        </w:rPr>
        <w:t>,</w:t>
      </w:r>
      <w:r>
        <w:rPr>
          <w:rFonts w:ascii="Arial" w:eastAsia="Times New Roman" w:hAnsi="Arial" w:cs="Arial"/>
          <w:lang w:val="es-ES" w:eastAsia="es-ES_tradnl"/>
        </w:rPr>
        <w:t xml:space="preserve"> que el internamiento no se prolongue en el tiempo más allá del que persistan las causas que lo motivaron, de modo que un primer grupo de </w:t>
      </w:r>
      <w:r w:rsidR="005D17DE">
        <w:rPr>
          <w:rFonts w:ascii="Arial" w:eastAsia="Times New Roman" w:hAnsi="Arial" w:cs="Arial"/>
          <w:lang w:val="es-ES" w:eastAsia="es-ES_tradnl"/>
        </w:rPr>
        <w:t>fallo</w:t>
      </w:r>
      <w:r>
        <w:rPr>
          <w:rFonts w:ascii="Arial" w:eastAsia="Times New Roman" w:hAnsi="Arial" w:cs="Arial"/>
          <w:lang w:val="es-ES" w:eastAsia="es-ES_tradnl"/>
        </w:rPr>
        <w:t>s es el que se pronuncia sobre los retrasos que se producen</w:t>
      </w:r>
      <w:r w:rsidR="00235E51">
        <w:rPr>
          <w:rFonts w:ascii="Arial" w:eastAsia="Times New Roman" w:hAnsi="Arial" w:cs="Arial"/>
          <w:lang w:val="es-ES" w:eastAsia="es-ES_tradnl"/>
        </w:rPr>
        <w:t xml:space="preserve"> en la puesta en libertad del internado</w:t>
      </w:r>
      <w:r>
        <w:rPr>
          <w:rFonts w:ascii="Arial" w:eastAsia="Times New Roman" w:hAnsi="Arial" w:cs="Arial"/>
          <w:lang w:val="es-ES" w:eastAsia="es-ES_tradnl"/>
        </w:rPr>
        <w:t>.</w:t>
      </w:r>
      <w:r w:rsidR="004705FD">
        <w:rPr>
          <w:rFonts w:ascii="Arial" w:eastAsia="Times New Roman" w:hAnsi="Arial" w:cs="Arial"/>
          <w:lang w:val="es-ES" w:eastAsia="es-ES_tradnl"/>
        </w:rPr>
        <w:t xml:space="preserve"> Uno de los motivos por los que se viola el artículo 5.1.e) en este sentido se debe a la falta de claridad al no quedar debidamente fijados.</w:t>
      </w:r>
      <w:r w:rsidR="004E6AD1">
        <w:rPr>
          <w:rStyle w:val="Refdenotaalpie"/>
          <w:rFonts w:ascii="Arial" w:eastAsia="Times New Roman" w:hAnsi="Arial" w:cs="Arial"/>
          <w:lang w:val="es-ES" w:eastAsia="es-ES_tradnl"/>
        </w:rPr>
        <w:footnoteReference w:id="85"/>
      </w:r>
      <w:r w:rsidR="004705FD">
        <w:rPr>
          <w:rFonts w:ascii="Arial" w:eastAsia="Times New Roman" w:hAnsi="Arial" w:cs="Arial"/>
          <w:lang w:val="es-ES" w:eastAsia="es-ES_tradnl"/>
        </w:rPr>
        <w:t xml:space="preserve"> </w:t>
      </w:r>
      <w:r w:rsidR="004E6AD1">
        <w:rPr>
          <w:rFonts w:ascii="Arial" w:eastAsia="Times New Roman" w:hAnsi="Arial" w:cs="Arial"/>
          <w:lang w:val="es-ES" w:eastAsia="es-ES_tradnl"/>
        </w:rPr>
        <w:t>Realmente el TRIBUNAL no establece una regla exacta acerca de en qué medida un retraso puede considerarse aceptable o no aceptable. Normalmente parte de las circunstancias de cada caso al tiempo que establece que debe haber un equilibrio</w:t>
      </w:r>
      <w:r w:rsidR="00AC159B">
        <w:rPr>
          <w:rStyle w:val="Refdenotaalpie"/>
          <w:rFonts w:ascii="Arial" w:eastAsia="Times New Roman" w:hAnsi="Arial" w:cs="Arial"/>
          <w:lang w:val="es-ES" w:eastAsia="es-ES_tradnl"/>
        </w:rPr>
        <w:footnoteReference w:id="86"/>
      </w:r>
      <w:r w:rsidR="004E6AD1">
        <w:rPr>
          <w:rFonts w:ascii="Arial" w:eastAsia="Times New Roman" w:hAnsi="Arial" w:cs="Arial"/>
          <w:lang w:val="es-ES" w:eastAsia="es-ES_tradnl"/>
        </w:rPr>
        <w:t xml:space="preserve"> entre el interés superior que consiste en salvaguardar la libertad de las personas y los problemas que puedan plantearse </w:t>
      </w:r>
      <w:r w:rsidR="00D048CC">
        <w:rPr>
          <w:rFonts w:ascii="Arial" w:eastAsia="Times New Roman" w:hAnsi="Arial" w:cs="Arial"/>
          <w:lang w:val="es-ES" w:eastAsia="es-ES_tradnl"/>
        </w:rPr>
        <w:t>en caso</w:t>
      </w:r>
      <w:r w:rsidR="00235E51">
        <w:rPr>
          <w:rFonts w:ascii="Arial" w:eastAsia="Times New Roman" w:hAnsi="Arial" w:cs="Arial"/>
          <w:lang w:val="es-ES" w:eastAsia="es-ES_tradnl"/>
        </w:rPr>
        <w:t>.</w:t>
      </w:r>
      <w:r w:rsidR="00D048CC">
        <w:rPr>
          <w:rStyle w:val="Refdenotaalpie"/>
          <w:rFonts w:ascii="Arial" w:eastAsia="Times New Roman" w:hAnsi="Arial" w:cs="Arial"/>
          <w:lang w:val="es-ES" w:eastAsia="es-ES_tradnl"/>
        </w:rPr>
        <w:footnoteReference w:id="87"/>
      </w:r>
      <w:r w:rsidR="00D048CC">
        <w:rPr>
          <w:rFonts w:ascii="Arial" w:eastAsia="Times New Roman" w:hAnsi="Arial" w:cs="Arial"/>
          <w:lang w:val="es-ES" w:eastAsia="es-ES_tradnl"/>
        </w:rPr>
        <w:t xml:space="preserve"> De modo que entiende que no hay que mantener una postura rígida al respecto</w:t>
      </w:r>
      <w:r w:rsidR="00235E51">
        <w:rPr>
          <w:rFonts w:ascii="Arial" w:eastAsia="Times New Roman" w:hAnsi="Arial" w:cs="Arial"/>
          <w:lang w:val="es-ES" w:eastAsia="es-ES_tradnl"/>
        </w:rPr>
        <w:t>,</w:t>
      </w:r>
      <w:r w:rsidR="00ED58C8">
        <w:rPr>
          <w:rStyle w:val="Refdenotaalpie"/>
          <w:rFonts w:ascii="Arial" w:eastAsia="Times New Roman" w:hAnsi="Arial" w:cs="Arial"/>
          <w:lang w:val="es-ES" w:eastAsia="es-ES_tradnl"/>
        </w:rPr>
        <w:footnoteReference w:id="88"/>
      </w:r>
      <w:r w:rsidR="00D048CC">
        <w:rPr>
          <w:rFonts w:ascii="Arial" w:eastAsia="Times New Roman" w:hAnsi="Arial" w:cs="Arial"/>
          <w:lang w:val="es-ES" w:eastAsia="es-ES_tradnl"/>
        </w:rPr>
        <w:t xml:space="preserve"> sino aceptar una relativa flexibilidad.</w:t>
      </w:r>
      <w:r w:rsidR="00D048CC">
        <w:rPr>
          <w:rStyle w:val="Refdenotaalpie"/>
          <w:rFonts w:ascii="Arial" w:eastAsia="Times New Roman" w:hAnsi="Arial" w:cs="Arial"/>
          <w:lang w:val="es-ES" w:eastAsia="es-ES_tradnl"/>
        </w:rPr>
        <w:footnoteReference w:id="89"/>
      </w:r>
      <w:r w:rsidR="00D048CC">
        <w:rPr>
          <w:rFonts w:ascii="Arial" w:eastAsia="Times New Roman" w:hAnsi="Arial" w:cs="Arial"/>
          <w:lang w:val="es-ES" w:eastAsia="es-ES_tradnl"/>
        </w:rPr>
        <w:t xml:space="preserve"> </w:t>
      </w:r>
      <w:r w:rsidR="00843C3E">
        <w:rPr>
          <w:rFonts w:ascii="Arial" w:eastAsia="Times New Roman" w:hAnsi="Arial" w:cs="Arial"/>
          <w:lang w:val="es-ES" w:eastAsia="es-ES_tradnl"/>
        </w:rPr>
        <w:t xml:space="preserve">Así, </w:t>
      </w:r>
      <w:r w:rsidR="00A040D7">
        <w:rPr>
          <w:rFonts w:ascii="Arial" w:eastAsia="Times New Roman" w:hAnsi="Arial" w:cs="Arial"/>
          <w:lang w:val="es-ES" w:eastAsia="es-ES_tradnl"/>
        </w:rPr>
        <w:t xml:space="preserve">admite </w:t>
      </w:r>
      <w:r w:rsidR="00843C3E">
        <w:rPr>
          <w:rFonts w:ascii="Arial" w:eastAsia="Times New Roman" w:hAnsi="Arial" w:cs="Arial"/>
          <w:lang w:val="es-ES" w:eastAsia="es-ES_tradnl"/>
        </w:rPr>
        <w:t>que el que no pueda cumplirse una condición para el alta del interno, como pueda ser la que se deriva de tener que residir en una residencia durante algún tiempo, no puede implicar el</w:t>
      </w:r>
      <w:r w:rsidR="00C538D2">
        <w:rPr>
          <w:rFonts w:ascii="Arial" w:eastAsia="Times New Roman" w:hAnsi="Arial" w:cs="Arial"/>
          <w:lang w:val="es-ES" w:eastAsia="es-ES_tradnl"/>
        </w:rPr>
        <w:t xml:space="preserve"> </w:t>
      </w:r>
      <w:r w:rsidR="00843C3E">
        <w:rPr>
          <w:rFonts w:ascii="Arial" w:eastAsia="Times New Roman" w:hAnsi="Arial" w:cs="Arial"/>
          <w:lang w:val="es-ES" w:eastAsia="es-ES_tradnl"/>
        </w:rPr>
        <w:t>alta</w:t>
      </w:r>
      <w:r w:rsidR="00C538D2">
        <w:rPr>
          <w:rFonts w:ascii="Arial" w:eastAsia="Times New Roman" w:hAnsi="Arial" w:cs="Arial"/>
          <w:lang w:val="es-ES" w:eastAsia="es-ES_tradnl"/>
        </w:rPr>
        <w:t xml:space="preserve"> </w:t>
      </w:r>
      <w:r w:rsidR="00843C3E">
        <w:rPr>
          <w:rFonts w:ascii="Arial" w:eastAsia="Times New Roman" w:hAnsi="Arial" w:cs="Arial"/>
          <w:lang w:val="es-ES" w:eastAsia="es-ES_tradnl"/>
        </w:rPr>
        <w:t>automática del internado.</w:t>
      </w:r>
      <w:r w:rsidR="00843C3E">
        <w:rPr>
          <w:rStyle w:val="Refdenotaalpie"/>
          <w:rFonts w:ascii="Arial" w:eastAsia="Times New Roman" w:hAnsi="Arial" w:cs="Arial"/>
          <w:lang w:val="es-ES" w:eastAsia="es-ES_tradnl"/>
        </w:rPr>
        <w:footnoteReference w:id="90"/>
      </w:r>
      <w:r w:rsidR="00843C3E">
        <w:rPr>
          <w:rFonts w:ascii="Arial" w:eastAsia="Times New Roman" w:hAnsi="Arial" w:cs="Arial"/>
          <w:lang w:val="es-ES" w:eastAsia="es-ES_tradnl"/>
        </w:rPr>
        <w:t xml:space="preserve"> </w:t>
      </w:r>
      <w:r w:rsidR="00D048CC">
        <w:rPr>
          <w:rFonts w:ascii="Arial" w:eastAsia="Times New Roman" w:hAnsi="Arial" w:cs="Arial"/>
          <w:lang w:val="es-ES" w:eastAsia="es-ES_tradnl"/>
        </w:rPr>
        <w:t>Lo dicho no impide que en otros casos establezca claramente cuándo el retraso es inaceptable.</w:t>
      </w:r>
      <w:r w:rsidR="00B20D78">
        <w:rPr>
          <w:rFonts w:ascii="Arial" w:eastAsia="Times New Roman" w:hAnsi="Arial" w:cs="Arial"/>
          <w:lang w:val="es-ES" w:eastAsia="es-ES_tradnl"/>
        </w:rPr>
        <w:t xml:space="preserve"> Ello sucede, por ejemplo, cuando se mantiene un internamiento más allá del plazo establecido sin pedir prórroga</w:t>
      </w:r>
      <w:r w:rsidR="00A040D7">
        <w:rPr>
          <w:rFonts w:ascii="Arial" w:eastAsia="Times New Roman" w:hAnsi="Arial" w:cs="Arial"/>
          <w:lang w:val="es-ES" w:eastAsia="es-ES_tradnl"/>
        </w:rPr>
        <w:t>,</w:t>
      </w:r>
      <w:r w:rsidR="00B20D78">
        <w:rPr>
          <w:rStyle w:val="Refdenotaalpie"/>
          <w:rFonts w:ascii="Arial" w:eastAsia="Times New Roman" w:hAnsi="Arial" w:cs="Arial"/>
          <w:lang w:val="es-ES" w:eastAsia="es-ES_tradnl"/>
        </w:rPr>
        <w:footnoteReference w:id="91"/>
      </w:r>
      <w:r w:rsidR="00B20D78">
        <w:rPr>
          <w:rFonts w:ascii="Arial" w:eastAsia="Times New Roman" w:hAnsi="Arial" w:cs="Arial"/>
          <w:lang w:val="es-ES" w:eastAsia="es-ES_tradnl"/>
        </w:rPr>
        <w:t xml:space="preserve"> o cuando considera que son las autoridades nacionales las que están obligadas a averiguar por qué no llega una documentación que es necesaria para acordar la prórroga de un internamiento.</w:t>
      </w:r>
      <w:r w:rsidR="00B20D78">
        <w:rPr>
          <w:rStyle w:val="Refdenotaalpie"/>
          <w:rFonts w:ascii="Arial" w:eastAsia="Times New Roman" w:hAnsi="Arial" w:cs="Arial"/>
          <w:lang w:val="es-ES" w:eastAsia="es-ES_tradnl"/>
        </w:rPr>
        <w:footnoteReference w:id="92"/>
      </w:r>
      <w:r w:rsidR="00843C3E">
        <w:rPr>
          <w:rFonts w:ascii="Arial" w:eastAsia="Times New Roman" w:hAnsi="Arial" w:cs="Arial"/>
          <w:lang w:val="es-ES" w:eastAsia="es-ES_tradnl"/>
        </w:rPr>
        <w:t xml:space="preserve"> En cualquier caso, el TRIBUNAL </w:t>
      </w:r>
      <w:r w:rsidR="00A040D7">
        <w:rPr>
          <w:rFonts w:ascii="Arial" w:eastAsia="Times New Roman" w:hAnsi="Arial" w:cs="Arial"/>
          <w:lang w:val="es-ES" w:eastAsia="es-ES_tradnl"/>
        </w:rPr>
        <w:t xml:space="preserve">declara </w:t>
      </w:r>
      <w:r w:rsidR="00843C3E">
        <w:rPr>
          <w:rFonts w:ascii="Arial" w:eastAsia="Times New Roman" w:hAnsi="Arial" w:cs="Arial"/>
          <w:lang w:val="es-ES" w:eastAsia="es-ES_tradnl"/>
        </w:rPr>
        <w:t>que ese equilibrio entre el derecho a la libertad y la necesidad del internamiento no existe cuando se aprecia</w:t>
      </w:r>
      <w:r w:rsidR="00D46858">
        <w:rPr>
          <w:rFonts w:ascii="Arial" w:eastAsia="Times New Roman" w:hAnsi="Arial" w:cs="Arial"/>
          <w:lang w:val="es-ES" w:eastAsia="es-ES_tradnl"/>
        </w:rPr>
        <w:t xml:space="preserve"> un retraso </w:t>
      </w:r>
      <w:r w:rsidR="00A040D7">
        <w:rPr>
          <w:rFonts w:ascii="Arial" w:eastAsia="Times New Roman" w:hAnsi="Arial" w:cs="Arial"/>
          <w:lang w:val="es-ES" w:eastAsia="es-ES_tradnl"/>
        </w:rPr>
        <w:t xml:space="preserve">excesivo, como es el que se produce </w:t>
      </w:r>
      <w:r w:rsidR="00D46858">
        <w:rPr>
          <w:rFonts w:ascii="Arial" w:eastAsia="Times New Roman" w:hAnsi="Arial" w:cs="Arial"/>
          <w:lang w:val="es-ES" w:eastAsia="es-ES_tradnl"/>
        </w:rPr>
        <w:t xml:space="preserve">de quince meses en la tarea de encontrar una residencia para que el interno </w:t>
      </w:r>
      <w:r w:rsidR="00A040D7">
        <w:rPr>
          <w:rFonts w:ascii="Arial" w:eastAsia="Times New Roman" w:hAnsi="Arial" w:cs="Arial"/>
          <w:lang w:val="es-ES" w:eastAsia="es-ES_tradnl"/>
        </w:rPr>
        <w:t xml:space="preserve">pueda abandonar </w:t>
      </w:r>
      <w:r w:rsidR="00D46858">
        <w:rPr>
          <w:rFonts w:ascii="Arial" w:eastAsia="Times New Roman" w:hAnsi="Arial" w:cs="Arial"/>
          <w:lang w:val="es-ES" w:eastAsia="es-ES_tradnl"/>
        </w:rPr>
        <w:t>el centro psiquiátrico. Cuando proveerlo es una obligación de las autoridades, demorarse en la tarea también implica una violación del CONVENIO.</w:t>
      </w:r>
      <w:r w:rsidR="00D46858">
        <w:rPr>
          <w:rStyle w:val="Refdenotaalpie"/>
          <w:rFonts w:ascii="Arial" w:eastAsia="Times New Roman" w:hAnsi="Arial" w:cs="Arial"/>
          <w:lang w:val="es-ES" w:eastAsia="es-ES_tradnl"/>
        </w:rPr>
        <w:footnoteReference w:id="93"/>
      </w:r>
    </w:p>
    <w:p w14:paraId="644ED928" w14:textId="77777777" w:rsidR="004C22FA" w:rsidRPr="00F563D8" w:rsidRDefault="004C22FA" w:rsidP="004C22FA">
      <w:pPr>
        <w:ind w:right="-1"/>
        <w:jc w:val="both"/>
        <w:rPr>
          <w:rFonts w:ascii="Arial" w:eastAsia="Times New Roman" w:hAnsi="Arial" w:cs="Arial"/>
          <w:sz w:val="10"/>
          <w:szCs w:val="10"/>
          <w:lang w:val="es-ES" w:eastAsia="es-ES_tradnl"/>
        </w:rPr>
      </w:pPr>
    </w:p>
    <w:p w14:paraId="604F9EBF" w14:textId="447E2F75" w:rsidR="004508B7" w:rsidRDefault="008A24A1"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f</w:t>
      </w:r>
      <w:r w:rsidR="00C50A68">
        <w:rPr>
          <w:rFonts w:ascii="Arial" w:eastAsia="Times New Roman" w:hAnsi="Arial" w:cs="Arial"/>
          <w:lang w:val="es-ES" w:eastAsia="es-ES_tradnl"/>
        </w:rPr>
        <w:t xml:space="preserve">) </w:t>
      </w:r>
      <w:r w:rsidR="004508B7">
        <w:rPr>
          <w:rFonts w:ascii="Arial" w:eastAsia="Times New Roman" w:hAnsi="Arial" w:cs="Arial"/>
          <w:lang w:val="es-ES" w:eastAsia="es-ES_tradnl"/>
        </w:rPr>
        <w:t>Los internamientos d</w:t>
      </w:r>
      <w:r w:rsidR="00C50A68">
        <w:rPr>
          <w:rFonts w:ascii="Arial" w:eastAsia="Times New Roman" w:hAnsi="Arial" w:cs="Arial"/>
          <w:lang w:val="es-ES" w:eastAsia="es-ES_tradnl"/>
        </w:rPr>
        <w:t>erivados de la comisión de hechos penalmente ilícitos por personas sin responsabilidad penal.</w:t>
      </w:r>
    </w:p>
    <w:p w14:paraId="629F00AF" w14:textId="3B5F5781" w:rsidR="00CC4896" w:rsidRDefault="00CC4896" w:rsidP="00E26255">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Agrupamos en este apartado una serie de pronunciamientos que tienen en común el estar relacionados con el internamiento de personas que, o bien han pasado un tiempo en un centro de internamiento por la comisión de hechos delictivos, o bien, aun habiendo cometido tales hechos, han entrado directamente en un centro de atención psiquiátrica por entender los tribunales que en ausencia de responsabilidad penal no puede haber condena.</w:t>
      </w:r>
      <w:r>
        <w:rPr>
          <w:rStyle w:val="Refdenotaalpie"/>
          <w:rFonts w:ascii="Arial" w:eastAsia="Times New Roman" w:hAnsi="Arial" w:cs="Arial"/>
          <w:lang w:val="es-ES" w:eastAsia="es-ES_tradnl"/>
        </w:rPr>
        <w:footnoteReference w:id="94"/>
      </w:r>
      <w:r>
        <w:rPr>
          <w:rFonts w:ascii="Arial" w:eastAsia="Times New Roman" w:hAnsi="Arial" w:cs="Arial"/>
          <w:lang w:val="es-ES" w:eastAsia="es-ES_tradnl"/>
        </w:rPr>
        <w:t xml:space="preserve"> El TRIBUNAL entiende por condena a estos efectos la imposición de una pena u otras medidas que implique</w:t>
      </w:r>
      <w:r w:rsidR="00A040D7">
        <w:rPr>
          <w:rFonts w:ascii="Arial" w:eastAsia="Times New Roman" w:hAnsi="Arial" w:cs="Arial"/>
          <w:lang w:val="es-ES" w:eastAsia="es-ES_tradnl"/>
        </w:rPr>
        <w:t>n</w:t>
      </w:r>
      <w:r>
        <w:rPr>
          <w:rFonts w:ascii="Arial" w:eastAsia="Times New Roman" w:hAnsi="Arial" w:cs="Arial"/>
          <w:lang w:val="es-ES" w:eastAsia="es-ES_tradnl"/>
        </w:rPr>
        <w:t xml:space="preserve"> privación de libertad.</w:t>
      </w:r>
      <w:r>
        <w:rPr>
          <w:rStyle w:val="Refdenotaalpie"/>
          <w:rFonts w:ascii="Arial" w:eastAsia="Times New Roman" w:hAnsi="Arial" w:cs="Arial"/>
          <w:lang w:val="es-ES" w:eastAsia="es-ES_tradnl"/>
        </w:rPr>
        <w:footnoteReference w:id="95"/>
      </w:r>
      <w:r>
        <w:rPr>
          <w:rFonts w:ascii="Arial" w:eastAsia="Times New Roman" w:hAnsi="Arial" w:cs="Arial"/>
          <w:lang w:val="es-ES" w:eastAsia="es-ES_tradnl"/>
        </w:rPr>
        <w:t xml:space="preserve"> Excepcionalmente podría admitirse una privación de libertad para evitar una acción concreta, pero no </w:t>
      </w:r>
      <w:r w:rsidR="00467C57">
        <w:rPr>
          <w:rFonts w:ascii="Arial" w:eastAsia="Times New Roman" w:hAnsi="Arial" w:cs="Arial"/>
          <w:lang w:val="es-ES" w:eastAsia="es-ES_tradnl"/>
        </w:rPr>
        <w:t>como una política preventiva aplicada a una persona de forma genérica.</w:t>
      </w:r>
      <w:r w:rsidR="00467C57">
        <w:rPr>
          <w:rStyle w:val="Refdenotaalpie"/>
          <w:rFonts w:ascii="Arial" w:eastAsia="Times New Roman" w:hAnsi="Arial" w:cs="Arial"/>
          <w:lang w:val="es-ES" w:eastAsia="es-ES_tradnl"/>
        </w:rPr>
        <w:footnoteReference w:id="96"/>
      </w:r>
      <w:r w:rsidR="00467C57">
        <w:rPr>
          <w:rFonts w:ascii="Arial" w:eastAsia="Times New Roman" w:hAnsi="Arial" w:cs="Arial"/>
          <w:lang w:val="es-ES" w:eastAsia="es-ES_tradnl"/>
        </w:rPr>
        <w:t xml:space="preserve"> Mantener privada de libertad a una persona por seguridad tampoco satisface las exigencias del artículo 5.1.e).</w:t>
      </w:r>
      <w:r w:rsidR="00467C57">
        <w:rPr>
          <w:rStyle w:val="Refdenotaalpie"/>
          <w:rFonts w:ascii="Arial" w:eastAsia="Times New Roman" w:hAnsi="Arial" w:cs="Arial"/>
          <w:lang w:val="es-ES" w:eastAsia="es-ES_tradnl"/>
        </w:rPr>
        <w:footnoteReference w:id="97"/>
      </w:r>
    </w:p>
    <w:p w14:paraId="24042C50" w14:textId="626A84B2" w:rsidR="00E26255" w:rsidRDefault="00467C57" w:rsidP="00E26255">
      <w:pPr>
        <w:autoSpaceDE w:val="0"/>
        <w:autoSpaceDN w:val="0"/>
        <w:adjustRightInd w:val="0"/>
        <w:ind w:firstLine="284"/>
        <w:jc w:val="both"/>
        <w:rPr>
          <w:rFonts w:ascii="Arial" w:hAnsi="Arial" w:cs="Arial"/>
          <w:color w:val="000000" w:themeColor="text1"/>
          <w:lang w:val="es-ES"/>
        </w:rPr>
      </w:pPr>
      <w:r>
        <w:rPr>
          <w:rFonts w:ascii="Arial" w:eastAsia="Times New Roman" w:hAnsi="Arial" w:cs="Arial"/>
          <w:lang w:val="es-ES" w:eastAsia="es-ES_tradnl"/>
        </w:rPr>
        <w:t>Los pronunciamientos del TRIBUNAL sobre este tipo de internamientos se centran</w:t>
      </w:r>
      <w:r w:rsidR="00210687">
        <w:rPr>
          <w:rFonts w:ascii="Arial" w:eastAsia="Times New Roman" w:hAnsi="Arial" w:cs="Arial"/>
          <w:lang w:val="es-ES" w:eastAsia="es-ES_tradnl"/>
        </w:rPr>
        <w:t xml:space="preserve">, </w:t>
      </w:r>
      <w:r>
        <w:rPr>
          <w:rFonts w:ascii="Arial" w:eastAsia="Times New Roman" w:hAnsi="Arial" w:cs="Arial"/>
          <w:lang w:val="es-ES" w:eastAsia="es-ES_tradnl"/>
        </w:rPr>
        <w:t xml:space="preserve">fundamentalmente, </w:t>
      </w:r>
      <w:r w:rsidR="00210687">
        <w:rPr>
          <w:rFonts w:ascii="Arial" w:eastAsia="Times New Roman" w:hAnsi="Arial" w:cs="Arial"/>
          <w:lang w:val="es-ES" w:eastAsia="es-ES_tradnl"/>
        </w:rPr>
        <w:t xml:space="preserve">de un lado, </w:t>
      </w:r>
      <w:r>
        <w:rPr>
          <w:rFonts w:ascii="Arial" w:eastAsia="Times New Roman" w:hAnsi="Arial" w:cs="Arial"/>
          <w:lang w:val="es-ES" w:eastAsia="es-ES_tradnl"/>
        </w:rPr>
        <w:t xml:space="preserve">en las características que deben reunir los </w:t>
      </w:r>
      <w:r w:rsidR="00210687">
        <w:rPr>
          <w:rFonts w:ascii="Arial" w:eastAsia="Times New Roman" w:hAnsi="Arial" w:cs="Arial"/>
          <w:lang w:val="es-ES" w:eastAsia="es-ES_tradnl"/>
        </w:rPr>
        <w:t xml:space="preserve">centros en los que se encuentran; de otro, en el régimen terapéutico que siguen los internados. Los primeros tienen un punto de partida que es el común a todos los internamientos. Este criterio general viene, entre otras, en la sentencia del caso GLIEN contra ALEMANIA que literalmente, en su § 92 dice: </w:t>
      </w:r>
      <w:r w:rsidR="00210687" w:rsidRPr="001B7E6A">
        <w:rPr>
          <w:rFonts w:ascii="Arial" w:hAnsi="Arial" w:cs="Arial"/>
          <w:color w:val="000000" w:themeColor="text1"/>
          <w:lang w:val="es-ES"/>
        </w:rPr>
        <w:t>«El Tribunal reitera que, en virtud de su jurisprudencia consolidada, el de una persona como paciente de salud mental, en principio, sólo será "legal" a los efectos de la letra e) del artículo 5 § 1 si se efectúa en un hospital, una clínica u otra institución adecuada (véase el apartado 75 anterior).» Q</w:t>
      </w:r>
      <w:r w:rsidR="00210687" w:rsidRPr="00E26255">
        <w:rPr>
          <w:rFonts w:ascii="Arial" w:hAnsi="Arial" w:cs="Arial"/>
          <w:color w:val="000000" w:themeColor="text1"/>
          <w:lang w:val="es-ES"/>
        </w:rPr>
        <w:t xml:space="preserve">uienes dejan de estar recluidos en prisiones para pasar a otros centros deben gozar de semejantes condiciones que aquellos que sin haber cometido delito son igualmente privados de libertad. No son tratados como delincuentes por su estado </w:t>
      </w:r>
      <w:r w:rsidR="00AC159B">
        <w:rPr>
          <w:rFonts w:ascii="Arial" w:hAnsi="Arial" w:cs="Arial"/>
          <w:color w:val="000000" w:themeColor="text1"/>
          <w:lang w:val="es-ES"/>
        </w:rPr>
        <w:t xml:space="preserve">mental </w:t>
      </w:r>
      <w:r w:rsidR="00210687" w:rsidRPr="00E26255">
        <w:rPr>
          <w:rFonts w:ascii="Arial" w:hAnsi="Arial" w:cs="Arial"/>
          <w:color w:val="000000" w:themeColor="text1"/>
          <w:lang w:val="es-ES"/>
        </w:rPr>
        <w:t xml:space="preserve">de enajenación o su trastorno mental, luego deben ser tratados </w:t>
      </w:r>
      <w:r w:rsidR="00A040D7">
        <w:rPr>
          <w:rFonts w:ascii="Arial" w:hAnsi="Arial" w:cs="Arial"/>
          <w:color w:val="000000" w:themeColor="text1"/>
          <w:lang w:val="es-ES"/>
        </w:rPr>
        <w:t xml:space="preserve">atendiendo a su estado </w:t>
      </w:r>
      <w:r w:rsidR="00AC159B">
        <w:rPr>
          <w:rFonts w:ascii="Arial" w:hAnsi="Arial" w:cs="Arial"/>
          <w:color w:val="000000" w:themeColor="text1"/>
          <w:lang w:val="es-ES"/>
        </w:rPr>
        <w:t xml:space="preserve">mental </w:t>
      </w:r>
      <w:r w:rsidR="00210687" w:rsidRPr="00E26255">
        <w:rPr>
          <w:rFonts w:ascii="Arial" w:hAnsi="Arial" w:cs="Arial"/>
          <w:color w:val="000000" w:themeColor="text1"/>
          <w:lang w:val="es-ES"/>
        </w:rPr>
        <w:t xml:space="preserve">y en lugares en los que </w:t>
      </w:r>
      <w:r w:rsidR="00E26255" w:rsidRPr="00E26255">
        <w:rPr>
          <w:rFonts w:ascii="Arial" w:hAnsi="Arial" w:cs="Arial"/>
          <w:color w:val="000000" w:themeColor="text1"/>
          <w:lang w:val="es-ES"/>
        </w:rPr>
        <w:t>se puedan desarrollar las terapias correspondientes.</w:t>
      </w:r>
    </w:p>
    <w:p w14:paraId="659C0710" w14:textId="46DCA901" w:rsidR="00E26255" w:rsidRPr="00E26255" w:rsidRDefault="00E26255" w:rsidP="00E26255">
      <w:pPr>
        <w:autoSpaceDE w:val="0"/>
        <w:autoSpaceDN w:val="0"/>
        <w:adjustRightInd w:val="0"/>
        <w:ind w:firstLine="284"/>
        <w:jc w:val="both"/>
        <w:rPr>
          <w:rFonts w:ascii="Arial" w:hAnsi="Arial" w:cs="Arial"/>
          <w:color w:val="000000" w:themeColor="text1"/>
          <w:lang w:val="es-ES"/>
        </w:rPr>
      </w:pPr>
      <w:r>
        <w:rPr>
          <w:rFonts w:ascii="Arial" w:hAnsi="Arial" w:cs="Arial"/>
          <w:color w:val="000000" w:themeColor="text1"/>
          <w:lang w:val="es-ES"/>
        </w:rPr>
        <w:t>Como queda dicho, las sentencias se centran en dos aspectos: el lugar en el que se desarrolla el internamiento y el desarrollo de la terapia a seguir. Por regla general, aquellas demandas ante el TRIBUNAL que prosperan versan sobre internos que permanecen en salas ubicadas en las mismas presiones que no cumplen las condiciones suficientes como para ser consideradas “hospitales, clínicas o instituciones adecuadas”</w:t>
      </w:r>
      <w:r w:rsidR="00AF6568">
        <w:rPr>
          <w:rFonts w:ascii="Arial" w:hAnsi="Arial" w:cs="Arial"/>
          <w:color w:val="000000" w:themeColor="text1"/>
          <w:lang w:val="es-ES"/>
        </w:rPr>
        <w:t>. En el mencionado caso GLIEN, por ejemplo, el interno estuvo ubicado en un ala de preventivos.</w:t>
      </w:r>
      <w:r w:rsidR="00AF6568">
        <w:rPr>
          <w:rStyle w:val="Refdenotaalpie"/>
          <w:rFonts w:ascii="Arial" w:hAnsi="Arial" w:cs="Arial"/>
          <w:color w:val="000000" w:themeColor="text1"/>
          <w:lang w:val="es-ES"/>
        </w:rPr>
        <w:footnoteReference w:id="98"/>
      </w:r>
      <w:r w:rsidR="00AF6568">
        <w:rPr>
          <w:rFonts w:ascii="Arial" w:hAnsi="Arial" w:cs="Arial"/>
          <w:color w:val="000000" w:themeColor="text1"/>
          <w:lang w:val="es-ES"/>
        </w:rPr>
        <w:t xml:space="preserve"> Pero, </w:t>
      </w:r>
      <w:r w:rsidR="006A25A4">
        <w:rPr>
          <w:rFonts w:ascii="Arial" w:hAnsi="Arial" w:cs="Arial"/>
          <w:color w:val="000000" w:themeColor="text1"/>
          <w:lang w:val="es-ES"/>
        </w:rPr>
        <w:t>en realidad</w:t>
      </w:r>
      <w:r w:rsidR="00AF6568">
        <w:rPr>
          <w:rFonts w:ascii="Arial" w:hAnsi="Arial" w:cs="Arial"/>
          <w:color w:val="000000" w:themeColor="text1"/>
          <w:lang w:val="es-ES"/>
        </w:rPr>
        <w:t xml:space="preserve">, lo </w:t>
      </w:r>
      <w:r w:rsidR="006A25A4">
        <w:rPr>
          <w:rFonts w:ascii="Arial" w:hAnsi="Arial" w:cs="Arial"/>
          <w:color w:val="000000" w:themeColor="text1"/>
          <w:lang w:val="es-ES"/>
        </w:rPr>
        <w:t xml:space="preserve">que verdaderamente importa es </w:t>
      </w:r>
      <w:r w:rsidR="00AF6568">
        <w:rPr>
          <w:rFonts w:ascii="Arial" w:hAnsi="Arial" w:cs="Arial"/>
          <w:color w:val="000000" w:themeColor="text1"/>
          <w:lang w:val="es-ES"/>
        </w:rPr>
        <w:t xml:space="preserve">que el interno </w:t>
      </w:r>
      <w:r w:rsidR="006A25A4">
        <w:rPr>
          <w:rFonts w:ascii="Arial" w:hAnsi="Arial" w:cs="Arial"/>
          <w:color w:val="000000" w:themeColor="text1"/>
          <w:lang w:val="es-ES"/>
        </w:rPr>
        <w:t xml:space="preserve">reciba o no </w:t>
      </w:r>
      <w:r w:rsidR="009757D2">
        <w:rPr>
          <w:rFonts w:ascii="Arial" w:hAnsi="Arial" w:cs="Arial"/>
          <w:color w:val="000000" w:themeColor="text1"/>
          <w:lang w:val="es-ES"/>
        </w:rPr>
        <w:t>r</w:t>
      </w:r>
      <w:r w:rsidR="006A25A4">
        <w:rPr>
          <w:rFonts w:ascii="Arial" w:hAnsi="Arial" w:cs="Arial"/>
          <w:color w:val="000000" w:themeColor="text1"/>
          <w:lang w:val="es-ES"/>
        </w:rPr>
        <w:t>eciba</w:t>
      </w:r>
      <w:r w:rsidR="00AF6568">
        <w:rPr>
          <w:rFonts w:ascii="Arial" w:hAnsi="Arial" w:cs="Arial"/>
          <w:color w:val="000000" w:themeColor="text1"/>
          <w:lang w:val="es-ES"/>
        </w:rPr>
        <w:t xml:space="preserve"> la terapia necesaria. Así lo podemos ver en sentencias como la mencionada del caso GLIEN</w:t>
      </w:r>
      <w:r w:rsidR="0054250C">
        <w:rPr>
          <w:rStyle w:val="Refdenotaalpie"/>
          <w:rFonts w:ascii="Arial" w:hAnsi="Arial" w:cs="Arial"/>
          <w:color w:val="000000" w:themeColor="text1"/>
          <w:lang w:val="es-ES"/>
        </w:rPr>
        <w:footnoteReference w:id="99"/>
      </w:r>
      <w:r w:rsidR="00AF6568">
        <w:rPr>
          <w:rFonts w:ascii="Arial" w:hAnsi="Arial" w:cs="Arial"/>
          <w:color w:val="000000" w:themeColor="text1"/>
          <w:lang w:val="es-ES"/>
        </w:rPr>
        <w:t xml:space="preserve"> y en otras como las dictadas en </w:t>
      </w:r>
      <w:r w:rsidR="00AC159B">
        <w:rPr>
          <w:rFonts w:ascii="Arial" w:hAnsi="Arial" w:cs="Arial"/>
          <w:color w:val="000000" w:themeColor="text1"/>
          <w:lang w:val="es-ES"/>
        </w:rPr>
        <w:t xml:space="preserve">los </w:t>
      </w:r>
      <w:r w:rsidR="00AF6568">
        <w:rPr>
          <w:rFonts w:ascii="Arial" w:hAnsi="Arial" w:cs="Arial"/>
          <w:color w:val="000000" w:themeColor="text1"/>
          <w:lang w:val="es-ES"/>
        </w:rPr>
        <w:t>caso</w:t>
      </w:r>
      <w:r w:rsidR="00AC159B">
        <w:rPr>
          <w:rFonts w:ascii="Arial" w:hAnsi="Arial" w:cs="Arial"/>
          <w:color w:val="000000" w:themeColor="text1"/>
          <w:lang w:val="es-ES"/>
        </w:rPr>
        <w:t>s</w:t>
      </w:r>
      <w:r w:rsidR="00AF6568">
        <w:rPr>
          <w:rFonts w:ascii="Arial" w:hAnsi="Arial" w:cs="Arial"/>
          <w:color w:val="000000" w:themeColor="text1"/>
          <w:lang w:val="es-ES"/>
        </w:rPr>
        <w:t xml:space="preserve"> AERTS</w:t>
      </w:r>
      <w:r w:rsidR="0002055C">
        <w:rPr>
          <w:rFonts w:ascii="Arial" w:hAnsi="Arial" w:cs="Arial"/>
          <w:color w:val="000000" w:themeColor="text1"/>
          <w:lang w:val="es-ES"/>
        </w:rPr>
        <w:t>,</w:t>
      </w:r>
      <w:r w:rsidR="0054250C">
        <w:rPr>
          <w:rFonts w:ascii="Arial" w:hAnsi="Arial" w:cs="Arial"/>
          <w:color w:val="000000" w:themeColor="text1"/>
          <w:lang w:val="es-ES"/>
        </w:rPr>
        <w:t xml:space="preserve"> </w:t>
      </w:r>
      <w:r w:rsidR="00AF6568">
        <w:rPr>
          <w:rStyle w:val="Refdenotaalpie"/>
          <w:rFonts w:ascii="Arial" w:hAnsi="Arial" w:cs="Arial"/>
          <w:color w:val="000000" w:themeColor="text1"/>
          <w:lang w:val="es-ES"/>
        </w:rPr>
        <w:footnoteReference w:id="100"/>
      </w:r>
      <w:r w:rsidR="0054250C">
        <w:rPr>
          <w:rFonts w:ascii="Arial" w:hAnsi="Arial" w:cs="Arial"/>
          <w:color w:val="000000" w:themeColor="text1"/>
          <w:lang w:val="es-ES"/>
        </w:rPr>
        <w:t xml:space="preserve"> OUKILI</w:t>
      </w:r>
      <w:r w:rsidR="0010081D">
        <w:rPr>
          <w:rFonts w:ascii="Arial" w:hAnsi="Arial" w:cs="Arial"/>
          <w:color w:val="000000" w:themeColor="text1"/>
          <w:lang w:val="es-ES"/>
        </w:rPr>
        <w:t xml:space="preserve"> o SWEENEN</w:t>
      </w:r>
      <w:r w:rsidR="0054250C">
        <w:rPr>
          <w:rFonts w:ascii="Arial" w:hAnsi="Arial" w:cs="Arial"/>
          <w:color w:val="000000" w:themeColor="text1"/>
          <w:lang w:val="es-ES"/>
        </w:rPr>
        <w:t>. En esta</w:t>
      </w:r>
      <w:r w:rsidR="0010081D">
        <w:rPr>
          <w:rFonts w:ascii="Arial" w:hAnsi="Arial" w:cs="Arial"/>
          <w:color w:val="000000" w:themeColor="text1"/>
          <w:lang w:val="es-ES"/>
        </w:rPr>
        <w:t>s</w:t>
      </w:r>
      <w:r w:rsidR="0054250C">
        <w:rPr>
          <w:rFonts w:ascii="Arial" w:hAnsi="Arial" w:cs="Arial"/>
          <w:color w:val="000000" w:themeColor="text1"/>
          <w:lang w:val="es-ES"/>
        </w:rPr>
        <w:t xml:space="preserve"> </w:t>
      </w:r>
      <w:r w:rsidR="0010081D">
        <w:rPr>
          <w:rFonts w:ascii="Arial" w:hAnsi="Arial" w:cs="Arial"/>
          <w:color w:val="000000" w:themeColor="text1"/>
          <w:lang w:val="es-ES"/>
        </w:rPr>
        <w:t xml:space="preserve">dos </w:t>
      </w:r>
      <w:r w:rsidR="0054250C">
        <w:rPr>
          <w:rFonts w:ascii="Arial" w:hAnsi="Arial" w:cs="Arial"/>
          <w:color w:val="000000" w:themeColor="text1"/>
          <w:lang w:val="es-ES"/>
        </w:rPr>
        <w:t>última</w:t>
      </w:r>
      <w:r w:rsidR="0010081D">
        <w:rPr>
          <w:rFonts w:ascii="Arial" w:hAnsi="Arial" w:cs="Arial"/>
          <w:color w:val="000000" w:themeColor="text1"/>
          <w:lang w:val="es-ES"/>
        </w:rPr>
        <w:t>s</w:t>
      </w:r>
      <w:r w:rsidR="0054250C">
        <w:rPr>
          <w:rFonts w:ascii="Arial" w:hAnsi="Arial" w:cs="Arial"/>
          <w:color w:val="000000" w:themeColor="text1"/>
          <w:lang w:val="es-ES"/>
        </w:rPr>
        <w:t xml:space="preserve">, </w:t>
      </w:r>
      <w:r w:rsidR="0010081D">
        <w:rPr>
          <w:rFonts w:ascii="Arial" w:hAnsi="Arial" w:cs="Arial"/>
          <w:color w:val="000000" w:themeColor="text1"/>
          <w:lang w:val="es-ES"/>
        </w:rPr>
        <w:t xml:space="preserve">los </w:t>
      </w:r>
      <w:r w:rsidR="0054250C">
        <w:rPr>
          <w:rFonts w:ascii="Arial" w:hAnsi="Arial" w:cs="Arial"/>
          <w:color w:val="000000" w:themeColor="text1"/>
          <w:lang w:val="es-ES"/>
        </w:rPr>
        <w:t>interno</w:t>
      </w:r>
      <w:r w:rsidR="0010081D">
        <w:rPr>
          <w:rFonts w:ascii="Arial" w:hAnsi="Arial" w:cs="Arial"/>
          <w:color w:val="000000" w:themeColor="text1"/>
          <w:lang w:val="es-ES"/>
        </w:rPr>
        <w:t>s</w:t>
      </w:r>
      <w:r w:rsidR="006A25A4">
        <w:rPr>
          <w:rFonts w:ascii="Arial" w:hAnsi="Arial" w:cs="Arial"/>
          <w:color w:val="000000" w:themeColor="text1"/>
          <w:lang w:val="es-ES"/>
        </w:rPr>
        <w:t>,</w:t>
      </w:r>
      <w:r w:rsidR="0054250C">
        <w:rPr>
          <w:rFonts w:ascii="Arial" w:hAnsi="Arial" w:cs="Arial"/>
          <w:color w:val="000000" w:themeColor="text1"/>
          <w:lang w:val="es-ES"/>
        </w:rPr>
        <w:t xml:space="preserve"> en un periodo de </w:t>
      </w:r>
      <w:r w:rsidR="0010081D">
        <w:rPr>
          <w:rFonts w:ascii="Arial" w:hAnsi="Arial" w:cs="Arial"/>
          <w:color w:val="000000" w:themeColor="text1"/>
          <w:lang w:val="es-ES"/>
        </w:rPr>
        <w:t>varios años</w:t>
      </w:r>
      <w:r w:rsidR="006A25A4">
        <w:rPr>
          <w:rFonts w:ascii="Arial" w:hAnsi="Arial" w:cs="Arial"/>
          <w:color w:val="000000" w:themeColor="text1"/>
          <w:lang w:val="es-ES"/>
        </w:rPr>
        <w:t>,</w:t>
      </w:r>
      <w:r w:rsidR="0010081D">
        <w:rPr>
          <w:rFonts w:ascii="Arial" w:hAnsi="Arial" w:cs="Arial"/>
          <w:color w:val="000000" w:themeColor="text1"/>
          <w:lang w:val="es-ES"/>
        </w:rPr>
        <w:t xml:space="preserve"> </w:t>
      </w:r>
      <w:r w:rsidR="0054250C">
        <w:rPr>
          <w:rFonts w:ascii="Arial" w:hAnsi="Arial" w:cs="Arial"/>
          <w:color w:val="000000" w:themeColor="text1"/>
          <w:lang w:val="es-ES"/>
        </w:rPr>
        <w:t>hi</w:t>
      </w:r>
      <w:r w:rsidR="0010081D">
        <w:rPr>
          <w:rFonts w:ascii="Arial" w:hAnsi="Arial" w:cs="Arial"/>
          <w:color w:val="000000" w:themeColor="text1"/>
          <w:lang w:val="es-ES"/>
        </w:rPr>
        <w:t>cieron,</w:t>
      </w:r>
      <w:r w:rsidR="0054250C">
        <w:rPr>
          <w:rFonts w:ascii="Arial" w:hAnsi="Arial" w:cs="Arial"/>
          <w:color w:val="000000" w:themeColor="text1"/>
          <w:lang w:val="es-ES"/>
        </w:rPr>
        <w:t xml:space="preserve"> noventa </w:t>
      </w:r>
      <w:r w:rsidR="0010081D">
        <w:rPr>
          <w:rFonts w:ascii="Arial" w:hAnsi="Arial" w:cs="Arial"/>
          <w:color w:val="000000" w:themeColor="text1"/>
          <w:lang w:val="es-ES"/>
        </w:rPr>
        <w:t xml:space="preserve">y dos </w:t>
      </w:r>
      <w:r w:rsidR="0054250C">
        <w:rPr>
          <w:rFonts w:ascii="Arial" w:hAnsi="Arial" w:cs="Arial"/>
          <w:color w:val="000000" w:themeColor="text1"/>
          <w:lang w:val="es-ES"/>
        </w:rPr>
        <w:t>visitas al médico</w:t>
      </w:r>
      <w:r w:rsidR="0010081D">
        <w:rPr>
          <w:rFonts w:ascii="Arial" w:hAnsi="Arial" w:cs="Arial"/>
          <w:color w:val="000000" w:themeColor="text1"/>
          <w:lang w:val="es-ES"/>
        </w:rPr>
        <w:t xml:space="preserve"> el primero y </w:t>
      </w:r>
      <w:r w:rsidR="006A25A4">
        <w:rPr>
          <w:rFonts w:ascii="Arial" w:hAnsi="Arial" w:cs="Arial"/>
          <w:color w:val="000000" w:themeColor="text1"/>
          <w:lang w:val="es-ES"/>
        </w:rPr>
        <w:t>doce consultas con el psiquiatra el segundo</w:t>
      </w:r>
      <w:r w:rsidR="00AC159B">
        <w:rPr>
          <w:rFonts w:ascii="Arial" w:hAnsi="Arial" w:cs="Arial"/>
          <w:color w:val="000000" w:themeColor="text1"/>
          <w:lang w:val="es-ES"/>
        </w:rPr>
        <w:t>;</w:t>
      </w:r>
      <w:r w:rsidR="0054250C">
        <w:rPr>
          <w:rFonts w:ascii="Arial" w:hAnsi="Arial" w:cs="Arial"/>
          <w:color w:val="000000" w:themeColor="text1"/>
          <w:lang w:val="es-ES"/>
        </w:rPr>
        <w:t xml:space="preserve"> sin embargo, el TRIBUNAL manifiesta que no queda constancia de </w:t>
      </w:r>
      <w:r w:rsidR="0010081D">
        <w:rPr>
          <w:rFonts w:ascii="Arial" w:hAnsi="Arial" w:cs="Arial"/>
          <w:color w:val="000000" w:themeColor="text1"/>
          <w:lang w:val="es-ES"/>
        </w:rPr>
        <w:t>su</w:t>
      </w:r>
      <w:r w:rsidR="0054250C">
        <w:rPr>
          <w:rFonts w:ascii="Arial" w:hAnsi="Arial" w:cs="Arial"/>
          <w:color w:val="000000" w:themeColor="text1"/>
          <w:lang w:val="es-ES"/>
        </w:rPr>
        <w:t xml:space="preserve"> terapia</w:t>
      </w:r>
      <w:r w:rsidR="0010081D">
        <w:rPr>
          <w:rFonts w:ascii="Arial" w:hAnsi="Arial" w:cs="Arial"/>
          <w:color w:val="000000" w:themeColor="text1"/>
          <w:lang w:val="es-ES"/>
        </w:rPr>
        <w:t>, dato es</w:t>
      </w:r>
      <w:r w:rsidR="006A25A4">
        <w:rPr>
          <w:rFonts w:ascii="Arial" w:hAnsi="Arial" w:cs="Arial"/>
          <w:color w:val="000000" w:themeColor="text1"/>
          <w:lang w:val="es-ES"/>
        </w:rPr>
        <w:t>te</w:t>
      </w:r>
      <w:r w:rsidR="0010081D">
        <w:rPr>
          <w:rFonts w:ascii="Arial" w:hAnsi="Arial" w:cs="Arial"/>
          <w:color w:val="000000" w:themeColor="text1"/>
          <w:lang w:val="es-ES"/>
        </w:rPr>
        <w:t xml:space="preserve"> fundamental para entender hasta qué punto considera importante este aspecto.</w:t>
      </w:r>
      <w:r w:rsidR="0010081D">
        <w:rPr>
          <w:rStyle w:val="Refdenotaalpie"/>
          <w:rFonts w:ascii="Arial" w:hAnsi="Arial" w:cs="Arial"/>
          <w:color w:val="000000" w:themeColor="text1"/>
          <w:lang w:val="es-ES"/>
        </w:rPr>
        <w:footnoteReference w:id="101"/>
      </w:r>
      <w:r w:rsidR="009757D2">
        <w:rPr>
          <w:rFonts w:ascii="Arial" w:hAnsi="Arial" w:cs="Arial"/>
          <w:color w:val="000000" w:themeColor="text1"/>
          <w:lang w:val="es-ES"/>
        </w:rPr>
        <w:t xml:space="preserve"> Todo ello supone, finalmente, una ruptura del vínculo que debe haber entre el internamiento y la finalidad que persigue.</w:t>
      </w:r>
      <w:r w:rsidR="009757D2">
        <w:rPr>
          <w:rStyle w:val="Refdenotaalpie"/>
          <w:rFonts w:ascii="Arial" w:hAnsi="Arial" w:cs="Arial"/>
          <w:color w:val="000000" w:themeColor="text1"/>
          <w:lang w:val="es-ES"/>
        </w:rPr>
        <w:footnoteReference w:id="102"/>
      </w:r>
    </w:p>
    <w:p w14:paraId="44749687" w14:textId="77777777" w:rsidR="004C22FA" w:rsidRPr="00F563D8" w:rsidRDefault="004C22FA" w:rsidP="0025550C">
      <w:pPr>
        <w:ind w:right="-1" w:firstLine="284"/>
        <w:jc w:val="both"/>
        <w:rPr>
          <w:rFonts w:ascii="Arial" w:eastAsia="Times New Roman" w:hAnsi="Arial" w:cs="Arial"/>
          <w:sz w:val="10"/>
          <w:szCs w:val="10"/>
          <w:lang w:val="es-ES" w:eastAsia="es-ES_tradnl"/>
        </w:rPr>
      </w:pPr>
    </w:p>
    <w:p w14:paraId="0DD01435" w14:textId="6F2BA5A2" w:rsidR="004508B7" w:rsidRDefault="008A24A1" w:rsidP="0025550C">
      <w:pPr>
        <w:ind w:right="-1" w:firstLine="284"/>
        <w:jc w:val="both"/>
        <w:rPr>
          <w:rFonts w:ascii="Arial" w:eastAsia="Times New Roman" w:hAnsi="Arial" w:cs="Arial"/>
          <w:lang w:val="es-ES" w:eastAsia="es-ES_tradnl"/>
        </w:rPr>
      </w:pPr>
      <w:r>
        <w:rPr>
          <w:rFonts w:ascii="Arial" w:eastAsia="Times New Roman" w:hAnsi="Arial" w:cs="Arial"/>
          <w:lang w:val="es-ES" w:eastAsia="es-ES_tradnl"/>
        </w:rPr>
        <w:t>g</w:t>
      </w:r>
      <w:r w:rsidR="004508B7">
        <w:rPr>
          <w:rFonts w:ascii="Arial" w:eastAsia="Times New Roman" w:hAnsi="Arial" w:cs="Arial"/>
          <w:lang w:val="es-ES" w:eastAsia="es-ES_tradnl"/>
        </w:rPr>
        <w:t>) Los informes médicos</w:t>
      </w:r>
    </w:p>
    <w:p w14:paraId="5F69A715" w14:textId="165A70B0" w:rsidR="0047429F" w:rsidRDefault="00C31CD8"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Tal vez la materia sobre la que el TRIBUNAL se haya pronunciado en mayor número de ocasiones sea el de los informes. Desde que en la sentencia del caso WINTERWERP se estableciera la necesidad de aportar al procedimiento de internamiento el informe de un especialista en el que constara el estado mental de la persona y la necesidad de su internamiento para ser tratada no han sido pocas las ocasiones en las que ha intervenido dando contenido a tal requerimiento, contenido del que, al menos, hay que dejar constancia de los siguientes aspectos. </w:t>
      </w:r>
    </w:p>
    <w:p w14:paraId="7FA26FC2" w14:textId="77777777" w:rsidR="00AC159B" w:rsidRDefault="00C31CD8"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Al margen de la necesidad de aportarlos, tema mencionado varias veces en estas páginas, </w:t>
      </w:r>
      <w:r w:rsidR="00AC3C05">
        <w:rPr>
          <w:rFonts w:ascii="Arial" w:eastAsia="Times New Roman" w:hAnsi="Arial" w:cs="Arial"/>
          <w:lang w:val="es-ES" w:eastAsia="es-ES_tradnl"/>
        </w:rPr>
        <w:t>podemos empezar señalando el reconocimiento que el TRIBUNAL hace de la autonomía que corresponden a las autoridades nacionales en lo tocante a su valoración. Rara vez entra en examinar el alcance del informe o, lo que es lo mismo, el valor de la prueba que contiene</w:t>
      </w:r>
      <w:r w:rsidR="00BC688E">
        <w:rPr>
          <w:rFonts w:ascii="Arial" w:eastAsia="Times New Roman" w:hAnsi="Arial" w:cs="Arial"/>
          <w:lang w:val="es-ES" w:eastAsia="es-ES_tradnl"/>
        </w:rPr>
        <w:t>.</w:t>
      </w:r>
      <w:r w:rsidR="00037840">
        <w:rPr>
          <w:rStyle w:val="Refdenotaalpie"/>
          <w:rFonts w:ascii="Arial" w:eastAsia="Times New Roman" w:hAnsi="Arial" w:cs="Arial"/>
          <w:lang w:val="es-ES" w:eastAsia="es-ES_tradnl"/>
        </w:rPr>
        <w:footnoteReference w:id="103"/>
      </w:r>
      <w:r w:rsidR="00AC3C05">
        <w:rPr>
          <w:rFonts w:ascii="Arial" w:eastAsia="Times New Roman" w:hAnsi="Arial" w:cs="Arial"/>
          <w:lang w:val="es-ES" w:eastAsia="es-ES_tradnl"/>
        </w:rPr>
        <w:t xml:space="preserve"> Lo habitual es que reconozca la posición preferente que tienen por su cercanía con sus sistemas jurídicos para poder valorar los contenidos de dichos informes.</w:t>
      </w:r>
      <w:r w:rsidR="00DA7E9A">
        <w:rPr>
          <w:rStyle w:val="Refdenotaalpie"/>
          <w:rFonts w:ascii="Arial" w:eastAsia="Times New Roman" w:hAnsi="Arial" w:cs="Arial"/>
          <w:lang w:val="es-ES" w:eastAsia="es-ES_tradnl"/>
        </w:rPr>
        <w:footnoteReference w:id="104"/>
      </w:r>
      <w:r w:rsidR="00AC3C05">
        <w:rPr>
          <w:rFonts w:ascii="Arial" w:eastAsia="Times New Roman" w:hAnsi="Arial" w:cs="Arial"/>
          <w:lang w:val="es-ES" w:eastAsia="es-ES_tradnl"/>
        </w:rPr>
        <w:t xml:space="preserve"> </w:t>
      </w:r>
      <w:r w:rsidR="00771022">
        <w:rPr>
          <w:rFonts w:ascii="Arial" w:eastAsia="Times New Roman" w:hAnsi="Arial" w:cs="Arial"/>
          <w:lang w:val="es-ES" w:eastAsia="es-ES_tradnl"/>
        </w:rPr>
        <w:t xml:space="preserve">Ello va unido al hecho de </w:t>
      </w:r>
      <w:r w:rsidR="0078401B">
        <w:rPr>
          <w:rFonts w:ascii="Arial" w:eastAsia="Times New Roman" w:hAnsi="Arial" w:cs="Arial"/>
          <w:lang w:val="es-ES" w:eastAsia="es-ES_tradnl"/>
        </w:rPr>
        <w:t xml:space="preserve">que </w:t>
      </w:r>
      <w:r w:rsidR="00771022">
        <w:rPr>
          <w:rFonts w:ascii="Arial" w:eastAsia="Times New Roman" w:hAnsi="Arial" w:cs="Arial"/>
          <w:lang w:val="es-ES" w:eastAsia="es-ES_tradnl"/>
        </w:rPr>
        <w:t>los informes son absolutamente necesarios para poder internar a una persona. Incluso en los supuestos en los que el internamiento tiene como finalidad llevar a cabo una exploración médica que determine si la persona debe ser ingresada o no requieren un informe previo.</w:t>
      </w:r>
      <w:r w:rsidR="00771022">
        <w:rPr>
          <w:rStyle w:val="Refdenotaalpie"/>
          <w:rFonts w:ascii="Arial" w:eastAsia="Times New Roman" w:hAnsi="Arial" w:cs="Arial"/>
          <w:lang w:val="es-ES" w:eastAsia="es-ES_tradnl"/>
        </w:rPr>
        <w:footnoteReference w:id="105"/>
      </w:r>
      <w:r w:rsidR="007B6202">
        <w:rPr>
          <w:rFonts w:ascii="Arial" w:eastAsia="Times New Roman" w:hAnsi="Arial" w:cs="Arial"/>
          <w:lang w:val="es-ES" w:eastAsia="es-ES_tradnl"/>
        </w:rPr>
        <w:t xml:space="preserve"> Es obvio que el informe tiene valor de prueba pericial. Procede de un examen o exploración que tienen que ser efectuados por un especialista. </w:t>
      </w:r>
      <w:r w:rsidR="00550029">
        <w:rPr>
          <w:rFonts w:ascii="Arial" w:eastAsia="Times New Roman" w:hAnsi="Arial" w:cs="Arial"/>
          <w:lang w:val="es-ES" w:eastAsia="es-ES_tradnl"/>
        </w:rPr>
        <w:t>Son absolutamente necesarios para que las autoridades puedan adoptar una decisión «independiente e imparcial en los casos relativos a la libertad personal».</w:t>
      </w:r>
      <w:r w:rsidR="00550029">
        <w:rPr>
          <w:rStyle w:val="Refdenotaalpie"/>
          <w:rFonts w:ascii="Arial" w:eastAsia="Times New Roman" w:hAnsi="Arial" w:cs="Arial"/>
          <w:lang w:val="es-ES" w:eastAsia="es-ES_tradnl"/>
        </w:rPr>
        <w:footnoteReference w:id="106"/>
      </w:r>
      <w:r w:rsidR="00550029">
        <w:rPr>
          <w:rFonts w:ascii="Arial" w:eastAsia="Times New Roman" w:hAnsi="Arial" w:cs="Arial"/>
          <w:lang w:val="es-ES" w:eastAsia="es-ES_tradnl"/>
        </w:rPr>
        <w:t> </w:t>
      </w:r>
      <w:r w:rsidR="007B6202">
        <w:rPr>
          <w:rFonts w:ascii="Arial" w:eastAsia="Times New Roman" w:hAnsi="Arial" w:cs="Arial"/>
          <w:lang w:val="es-ES" w:eastAsia="es-ES_tradnl"/>
        </w:rPr>
        <w:t>Se trata de un examen que tiene que llegar a unos mínimos aceptables como tales en la práctica de la Medicina, de modo que, si no llega a ese mínimo, el TRIBUNAL puede considerar que no es aceptable a efectos del 5.1.e).</w:t>
      </w:r>
      <w:r w:rsidR="007B6202">
        <w:rPr>
          <w:rStyle w:val="Refdenotaalpie"/>
          <w:rFonts w:ascii="Arial" w:eastAsia="Times New Roman" w:hAnsi="Arial" w:cs="Arial"/>
          <w:lang w:val="es-ES" w:eastAsia="es-ES_tradnl"/>
        </w:rPr>
        <w:footnoteReference w:id="107"/>
      </w:r>
      <w:r w:rsidR="005439BE">
        <w:rPr>
          <w:rFonts w:ascii="Arial" w:eastAsia="Times New Roman" w:hAnsi="Arial" w:cs="Arial"/>
          <w:lang w:val="es-ES" w:eastAsia="es-ES_tradnl"/>
        </w:rPr>
        <w:t xml:space="preserve"> </w:t>
      </w:r>
    </w:p>
    <w:p w14:paraId="26A1CAD5" w14:textId="1A4C63EE" w:rsidR="00C31CD8" w:rsidRDefault="005439BE"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Lo que resulta evidente de los pronunciamientos del TRIBUNAL es que no es posible autorizar el internamiento de una persona sin algún tipo de informe que lo avale. Así en algunos casos en los que la persona se ha negado a ser internada se han admitido informes basados en </w:t>
      </w:r>
      <w:r w:rsidRPr="001B7E6A">
        <w:rPr>
          <w:rFonts w:ascii="Arial" w:eastAsia="Times New Roman" w:hAnsi="Arial" w:cs="Arial"/>
          <w:color w:val="000000" w:themeColor="text1"/>
          <w:lang w:val="es-ES" w:eastAsia="es-ES_tradnl"/>
        </w:rPr>
        <w:t>expedientes médicos</w:t>
      </w:r>
      <w:r w:rsidR="00AF7838">
        <w:rPr>
          <w:rStyle w:val="Refdenotaalpie"/>
          <w:rFonts w:ascii="Arial" w:eastAsia="Times New Roman" w:hAnsi="Arial" w:cs="Arial"/>
          <w:color w:val="7030A0"/>
          <w:lang w:val="es-ES" w:eastAsia="es-ES_tradnl"/>
        </w:rPr>
        <w:footnoteReference w:id="108"/>
      </w:r>
      <w:r w:rsidRPr="005439BE">
        <w:rPr>
          <w:rFonts w:ascii="Arial" w:eastAsia="Times New Roman" w:hAnsi="Arial" w:cs="Arial"/>
          <w:color w:val="7030A0"/>
          <w:lang w:val="es-ES" w:eastAsia="es-ES_tradnl"/>
        </w:rPr>
        <w:t xml:space="preserve"> </w:t>
      </w:r>
      <w:r>
        <w:rPr>
          <w:rFonts w:ascii="Arial" w:eastAsia="Times New Roman" w:hAnsi="Arial" w:cs="Arial"/>
          <w:lang w:val="es-ES" w:eastAsia="es-ES_tradnl"/>
        </w:rPr>
        <w:t xml:space="preserve">que pudieran existir </w:t>
      </w:r>
      <w:r w:rsidR="0078401B">
        <w:rPr>
          <w:rFonts w:ascii="Arial" w:eastAsia="Times New Roman" w:hAnsi="Arial" w:cs="Arial"/>
          <w:lang w:val="es-ES" w:eastAsia="es-ES_tradnl"/>
        </w:rPr>
        <w:t xml:space="preserve">con anterioridad </w:t>
      </w:r>
      <w:r>
        <w:rPr>
          <w:rFonts w:ascii="Arial" w:eastAsia="Times New Roman" w:hAnsi="Arial" w:cs="Arial"/>
          <w:lang w:val="es-ES" w:eastAsia="es-ES_tradnl"/>
        </w:rPr>
        <w:t>e incluso en</w:t>
      </w:r>
      <w:r w:rsidRPr="001B7E6A">
        <w:rPr>
          <w:rFonts w:ascii="Arial" w:eastAsia="Times New Roman" w:hAnsi="Arial" w:cs="Arial"/>
          <w:color w:val="000000" w:themeColor="text1"/>
          <w:lang w:val="es-ES" w:eastAsia="es-ES_tradnl"/>
        </w:rPr>
        <w:t xml:space="preserve"> cartas </w:t>
      </w:r>
      <w:r w:rsidR="0078401B">
        <w:rPr>
          <w:rFonts w:ascii="Arial" w:eastAsia="Times New Roman" w:hAnsi="Arial" w:cs="Arial"/>
          <w:color w:val="000000" w:themeColor="text1"/>
          <w:lang w:val="es-ES" w:eastAsia="es-ES_tradnl"/>
        </w:rPr>
        <w:t xml:space="preserve">ofensivas </w:t>
      </w:r>
      <w:r w:rsidRPr="005439BE">
        <w:rPr>
          <w:rFonts w:ascii="Arial" w:eastAsia="Times New Roman" w:hAnsi="Arial" w:cs="Arial"/>
          <w:color w:val="7030A0"/>
          <w:lang w:val="es-ES" w:eastAsia="es-ES_tradnl"/>
        </w:rPr>
        <w:t>q</w:t>
      </w:r>
      <w:r>
        <w:rPr>
          <w:rFonts w:ascii="Arial" w:eastAsia="Times New Roman" w:hAnsi="Arial" w:cs="Arial"/>
          <w:lang w:val="es-ES" w:eastAsia="es-ES_tradnl"/>
        </w:rPr>
        <w:t>ue han podido remitir los sujetos en cuestión</w:t>
      </w:r>
      <w:r w:rsidR="0078401B">
        <w:rPr>
          <w:rFonts w:ascii="Arial" w:eastAsia="Times New Roman" w:hAnsi="Arial" w:cs="Arial"/>
          <w:lang w:val="es-ES" w:eastAsia="es-ES_tradnl"/>
        </w:rPr>
        <w:t xml:space="preserve"> y que son, precisamente, la causa de su internamiento.</w:t>
      </w:r>
      <w:r w:rsidR="00AF7838">
        <w:rPr>
          <w:rStyle w:val="Refdenotaalpie"/>
          <w:rFonts w:ascii="Arial" w:eastAsia="Times New Roman" w:hAnsi="Arial" w:cs="Arial"/>
          <w:lang w:val="es-ES" w:eastAsia="es-ES_tradnl"/>
        </w:rPr>
        <w:footnoteReference w:id="109"/>
      </w:r>
      <w:r>
        <w:rPr>
          <w:rFonts w:ascii="Arial" w:eastAsia="Times New Roman" w:hAnsi="Arial" w:cs="Arial"/>
          <w:lang w:val="es-ES" w:eastAsia="es-ES_tradnl"/>
        </w:rPr>
        <w:t xml:space="preserve"> Son casos extremos, pero que nos indican en qué medida la aportación de una valoración médica es imprescindible para autorizar un internamiento de forma legal.</w:t>
      </w:r>
    </w:p>
    <w:p w14:paraId="20129804" w14:textId="5F4510C2" w:rsidR="007E7FCD" w:rsidRDefault="00592CEF" w:rsidP="00035B3E">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Un aspecto en el que incide repetidamente el TRIBUNAL cuando se pronuncia sobre los informes médicos</w:t>
      </w:r>
      <w:r w:rsidR="002873F0">
        <w:rPr>
          <w:rFonts w:ascii="Arial" w:eastAsia="Times New Roman" w:hAnsi="Arial" w:cs="Arial"/>
          <w:lang w:val="es-ES" w:eastAsia="es-ES_tradnl"/>
        </w:rPr>
        <w:t>,</w:t>
      </w:r>
      <w:r>
        <w:rPr>
          <w:rFonts w:ascii="Arial" w:eastAsia="Times New Roman" w:hAnsi="Arial" w:cs="Arial"/>
          <w:lang w:val="es-ES" w:eastAsia="es-ES_tradnl"/>
        </w:rPr>
        <w:t xml:space="preserve"> es el del tiempo</w:t>
      </w:r>
      <w:r w:rsidR="00035B3E">
        <w:rPr>
          <w:rFonts w:ascii="Arial" w:eastAsia="Times New Roman" w:hAnsi="Arial" w:cs="Arial"/>
          <w:lang w:val="es-ES" w:eastAsia="es-ES_tradnl"/>
        </w:rPr>
        <w:t xml:space="preserve"> que debe mediar entre su emisión y la autorización del internamiento</w:t>
      </w:r>
      <w:r>
        <w:rPr>
          <w:rFonts w:ascii="Arial" w:eastAsia="Times New Roman" w:hAnsi="Arial" w:cs="Arial"/>
          <w:lang w:val="es-ES" w:eastAsia="es-ES_tradnl"/>
        </w:rPr>
        <w:t>. La norma general es que deben ser recientes</w:t>
      </w:r>
      <w:r w:rsidR="00D93CF6">
        <w:rPr>
          <w:rFonts w:ascii="Arial" w:eastAsia="Times New Roman" w:hAnsi="Arial" w:cs="Arial"/>
          <w:lang w:val="es-ES" w:eastAsia="es-ES_tradnl"/>
        </w:rPr>
        <w:t xml:space="preserve"> y previos al internamiento,</w:t>
      </w:r>
      <w:r w:rsidR="00035B3E">
        <w:rPr>
          <w:rStyle w:val="Refdenotaalpie"/>
          <w:rFonts w:ascii="Arial" w:eastAsia="Times New Roman" w:hAnsi="Arial" w:cs="Arial"/>
          <w:lang w:val="es-ES" w:eastAsia="es-ES_tradnl"/>
        </w:rPr>
        <w:footnoteReference w:id="110"/>
      </w:r>
      <w:r w:rsidR="00D93CF6">
        <w:rPr>
          <w:rFonts w:ascii="Arial" w:eastAsia="Times New Roman" w:hAnsi="Arial" w:cs="Arial"/>
          <w:lang w:val="es-ES" w:eastAsia="es-ES_tradnl"/>
        </w:rPr>
        <w:t xml:space="preserve"> incluso cuando el </w:t>
      </w:r>
      <w:r w:rsidR="00035B3E">
        <w:rPr>
          <w:rFonts w:ascii="Arial" w:eastAsia="Times New Roman" w:hAnsi="Arial" w:cs="Arial"/>
          <w:lang w:val="es-ES" w:eastAsia="es-ES_tradnl"/>
        </w:rPr>
        <w:t>ingreso</w:t>
      </w:r>
      <w:r w:rsidR="00D93CF6">
        <w:rPr>
          <w:rFonts w:ascii="Arial" w:eastAsia="Times New Roman" w:hAnsi="Arial" w:cs="Arial"/>
          <w:lang w:val="es-ES" w:eastAsia="es-ES_tradnl"/>
        </w:rPr>
        <w:t xml:space="preserve"> que se va a acordar va a tener como finalidad determinar si la persona tiene que ser internada</w:t>
      </w:r>
      <w:r w:rsidR="00035B3E">
        <w:rPr>
          <w:rFonts w:ascii="Arial" w:eastAsia="Times New Roman" w:hAnsi="Arial" w:cs="Arial"/>
          <w:lang w:val="es-ES" w:eastAsia="es-ES_tradnl"/>
        </w:rPr>
        <w:t>.</w:t>
      </w:r>
      <w:r w:rsidR="002873F0">
        <w:rPr>
          <w:rStyle w:val="Refdenotaalpie"/>
          <w:rFonts w:ascii="Arial" w:eastAsia="Times New Roman" w:hAnsi="Arial" w:cs="Arial"/>
          <w:lang w:val="es-ES" w:eastAsia="es-ES_tradnl"/>
        </w:rPr>
        <w:footnoteReference w:id="111"/>
      </w:r>
      <w:r w:rsidR="00D93CF6">
        <w:rPr>
          <w:rFonts w:ascii="Arial" w:eastAsia="Times New Roman" w:hAnsi="Arial" w:cs="Arial"/>
          <w:lang w:val="es-ES" w:eastAsia="es-ES_tradnl"/>
        </w:rPr>
        <w:t xml:space="preserve"> </w:t>
      </w:r>
      <w:r w:rsidR="008E5D6A">
        <w:rPr>
          <w:rFonts w:ascii="Arial" w:eastAsia="Times New Roman" w:hAnsi="Arial" w:cs="Arial"/>
          <w:lang w:val="es-ES" w:eastAsia="es-ES_tradnl"/>
        </w:rPr>
        <w:t>Se exceptúan de lo dicho los</w:t>
      </w:r>
      <w:r w:rsidR="00D93CF6">
        <w:rPr>
          <w:rFonts w:ascii="Arial" w:eastAsia="Times New Roman" w:hAnsi="Arial" w:cs="Arial"/>
          <w:lang w:val="es-ES" w:eastAsia="es-ES_tradnl"/>
        </w:rPr>
        <w:t xml:space="preserve"> casos de urgencia</w:t>
      </w:r>
      <w:r w:rsidR="008E5D6A">
        <w:rPr>
          <w:rFonts w:ascii="Arial" w:eastAsia="Times New Roman" w:hAnsi="Arial" w:cs="Arial"/>
          <w:lang w:val="es-ES" w:eastAsia="es-ES_tradnl"/>
        </w:rPr>
        <w:t>, si bien, en estos casos, el examen y el informe debe realizarse y remitirse, respectivamente, inme</w:t>
      </w:r>
      <w:r w:rsidR="00035B3E">
        <w:rPr>
          <w:rFonts w:ascii="Arial" w:eastAsia="Times New Roman" w:hAnsi="Arial" w:cs="Arial"/>
          <w:lang w:val="es-ES" w:eastAsia="es-ES_tradnl"/>
        </w:rPr>
        <w:t>-</w:t>
      </w:r>
      <w:r w:rsidR="008E5D6A">
        <w:rPr>
          <w:rFonts w:ascii="Arial" w:eastAsia="Times New Roman" w:hAnsi="Arial" w:cs="Arial"/>
          <w:lang w:val="es-ES" w:eastAsia="es-ES_tradnl"/>
        </w:rPr>
        <w:t>diatamente después del internamiento</w:t>
      </w:r>
      <w:r w:rsidR="00BC688E">
        <w:rPr>
          <w:rFonts w:ascii="Arial" w:eastAsia="Times New Roman" w:hAnsi="Arial" w:cs="Arial"/>
          <w:lang w:val="es-ES" w:eastAsia="es-ES_tradnl"/>
        </w:rPr>
        <w:t>.</w:t>
      </w:r>
      <w:r w:rsidR="00D93CF6">
        <w:rPr>
          <w:rStyle w:val="Refdenotaalpie"/>
          <w:rFonts w:ascii="Arial" w:eastAsia="Times New Roman" w:hAnsi="Arial" w:cs="Arial"/>
          <w:lang w:val="es-ES" w:eastAsia="es-ES_tradnl"/>
        </w:rPr>
        <w:footnoteReference w:id="112"/>
      </w:r>
      <w:r>
        <w:rPr>
          <w:rFonts w:ascii="Arial" w:eastAsia="Times New Roman" w:hAnsi="Arial" w:cs="Arial"/>
          <w:lang w:val="es-ES" w:eastAsia="es-ES_tradnl"/>
        </w:rPr>
        <w:t xml:space="preserve"> No puede acordarse el internamiento de una persona si los informes no son</w:t>
      </w:r>
      <w:r w:rsidR="00D93CF6">
        <w:rPr>
          <w:rFonts w:ascii="Arial" w:eastAsia="Times New Roman" w:hAnsi="Arial" w:cs="Arial"/>
          <w:lang w:val="es-ES" w:eastAsia="es-ES_tradnl"/>
        </w:rPr>
        <w:t xml:space="preserve"> recientes</w:t>
      </w:r>
      <w:r>
        <w:rPr>
          <w:rFonts w:ascii="Arial" w:eastAsia="Times New Roman" w:hAnsi="Arial" w:cs="Arial"/>
          <w:lang w:val="es-ES" w:eastAsia="es-ES_tradnl"/>
        </w:rPr>
        <w:t>. La vinculación de la decisión con el estado mental de la persona es absolutamente insoslayable. Se interna a una persona porque lo necesita y cuando lo necesita. El TRIBUNAL ha llegado</w:t>
      </w:r>
      <w:r w:rsidR="0046549A">
        <w:rPr>
          <w:rFonts w:ascii="Arial" w:eastAsia="Times New Roman" w:hAnsi="Arial" w:cs="Arial"/>
          <w:lang w:val="es-ES" w:eastAsia="es-ES_tradnl"/>
        </w:rPr>
        <w:t>, incluso,</w:t>
      </w:r>
      <w:r>
        <w:rPr>
          <w:rFonts w:ascii="Arial" w:eastAsia="Times New Roman" w:hAnsi="Arial" w:cs="Arial"/>
          <w:lang w:val="es-ES" w:eastAsia="es-ES_tradnl"/>
        </w:rPr>
        <w:t xml:space="preserve"> a </w:t>
      </w:r>
      <w:r w:rsidR="0046549A">
        <w:rPr>
          <w:rFonts w:ascii="Arial" w:eastAsia="Times New Roman" w:hAnsi="Arial" w:cs="Arial"/>
          <w:lang w:val="es-ES" w:eastAsia="es-ES_tradnl"/>
        </w:rPr>
        <w:t>precisar cuál es «el momento relevante» para emitir el informe</w:t>
      </w:r>
      <w:r w:rsidR="00D93CF6">
        <w:rPr>
          <w:rFonts w:ascii="Arial" w:eastAsia="Times New Roman" w:hAnsi="Arial" w:cs="Arial"/>
          <w:lang w:val="es-ES" w:eastAsia="es-ES_tradnl"/>
        </w:rPr>
        <w:t>:</w:t>
      </w:r>
      <w:r w:rsidR="0046549A">
        <w:rPr>
          <w:rFonts w:ascii="Arial" w:eastAsia="Times New Roman" w:hAnsi="Arial" w:cs="Arial"/>
          <w:lang w:val="es-ES" w:eastAsia="es-ES_tradnl"/>
        </w:rPr>
        <w:t xml:space="preserve"> </w:t>
      </w:r>
      <w:r w:rsidR="00D93CF6">
        <w:rPr>
          <w:rFonts w:ascii="Arial" w:eastAsia="Times New Roman" w:hAnsi="Arial" w:cs="Arial"/>
          <w:lang w:val="es-ES" w:eastAsia="es-ES_tradnl"/>
        </w:rPr>
        <w:t>e</w:t>
      </w:r>
      <w:r w:rsidR="0046549A">
        <w:rPr>
          <w:rFonts w:ascii="Arial" w:eastAsia="Times New Roman" w:hAnsi="Arial" w:cs="Arial"/>
          <w:lang w:val="es-ES" w:eastAsia="es-ES_tradnl"/>
        </w:rPr>
        <w:t>l momento es la fecha en la que se adopta la decisión del internamiento.</w:t>
      </w:r>
      <w:r w:rsidR="0046549A">
        <w:rPr>
          <w:rStyle w:val="Refdenotaalpie"/>
          <w:rFonts w:ascii="Arial" w:eastAsia="Times New Roman" w:hAnsi="Arial" w:cs="Arial"/>
          <w:lang w:val="es-ES" w:eastAsia="es-ES_tradnl"/>
        </w:rPr>
        <w:footnoteReference w:id="113"/>
      </w:r>
      <w:r w:rsidR="0046549A">
        <w:rPr>
          <w:rFonts w:ascii="Arial" w:eastAsia="Times New Roman" w:hAnsi="Arial" w:cs="Arial"/>
          <w:lang w:val="es-ES" w:eastAsia="es-ES_tradnl"/>
        </w:rPr>
        <w:t xml:space="preserve"> </w:t>
      </w:r>
    </w:p>
    <w:p w14:paraId="716158D0" w14:textId="3B96A02B" w:rsidR="00CA7816" w:rsidRDefault="00CA7816" w:rsidP="00AB4AC3">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Finalmente haremos mención a dos aspectos más recogidos por la jurisprudencia. El primero de ellos hace referencia a un requisito esencial</w:t>
      </w:r>
      <w:r w:rsidR="00A83564">
        <w:rPr>
          <w:rFonts w:ascii="Arial" w:eastAsia="Times New Roman" w:hAnsi="Arial" w:cs="Arial"/>
          <w:lang w:val="es-ES" w:eastAsia="es-ES_tradnl"/>
        </w:rPr>
        <w:t xml:space="preserve"> que vemos reiterado en varias sentencias</w:t>
      </w:r>
      <w:r>
        <w:rPr>
          <w:rFonts w:ascii="Arial" w:eastAsia="Times New Roman" w:hAnsi="Arial" w:cs="Arial"/>
          <w:lang w:val="es-ES" w:eastAsia="es-ES_tradnl"/>
        </w:rPr>
        <w:t xml:space="preserve">: los informes tienen que concluir que </w:t>
      </w:r>
      <w:r w:rsidR="00A83564">
        <w:rPr>
          <w:rFonts w:ascii="Arial" w:eastAsia="Times New Roman" w:hAnsi="Arial" w:cs="Arial"/>
          <w:lang w:val="es-ES" w:eastAsia="es-ES_tradnl"/>
        </w:rPr>
        <w:t>el internamiento es necesario. No basta con una conclusión genérica, debe recoger que la persona necesita ser internada sin ningún genero de vaguedades.</w:t>
      </w:r>
      <w:r w:rsidR="00A83564">
        <w:rPr>
          <w:rStyle w:val="Refdenotaalpie"/>
          <w:rFonts w:ascii="Arial" w:eastAsia="Times New Roman" w:hAnsi="Arial" w:cs="Arial"/>
          <w:lang w:val="es-ES" w:eastAsia="es-ES_tradnl"/>
        </w:rPr>
        <w:footnoteReference w:id="114"/>
      </w:r>
      <w:r w:rsidR="001B7E6A">
        <w:rPr>
          <w:rFonts w:ascii="Arial" w:eastAsia="Times New Roman" w:hAnsi="Arial" w:cs="Arial"/>
          <w:lang w:val="es-ES" w:eastAsia="es-ES_tradnl"/>
        </w:rPr>
        <w:t xml:space="preserve"> El segundo se refiere a la conveniencia de que durante el internamiento </w:t>
      </w:r>
      <w:r w:rsidR="00943938">
        <w:rPr>
          <w:rFonts w:ascii="Arial" w:eastAsia="Times New Roman" w:hAnsi="Arial" w:cs="Arial"/>
          <w:lang w:val="es-ES" w:eastAsia="es-ES_tradnl"/>
        </w:rPr>
        <w:t xml:space="preserve">la persona pueda ser examinada por especialistas no vinculados al centro en el que se realiza el internamiento. Se ve en ello una garantía adicional muy importante en favor del internado que debería formar parte de las legislaciones nacionales. No se entretiene el TRIBUNAL en dar más detalles sobre la figura, aunque queda claro que de lo que se trata es de </w:t>
      </w:r>
      <w:r w:rsidR="00CF5F80">
        <w:rPr>
          <w:rFonts w:ascii="Arial" w:eastAsia="Times New Roman" w:hAnsi="Arial" w:cs="Arial"/>
          <w:lang w:val="es-ES" w:eastAsia="es-ES_tradnl"/>
        </w:rPr>
        <w:t>aportar a la autoridad competente más elementos de juicio a la hora de prorrogar el internamiento o de acordar su finalización.</w:t>
      </w:r>
      <w:r w:rsidR="00CF5F80">
        <w:rPr>
          <w:rStyle w:val="Refdenotaalpie"/>
          <w:rFonts w:ascii="Arial" w:eastAsia="Times New Roman" w:hAnsi="Arial" w:cs="Arial"/>
          <w:lang w:val="es-ES" w:eastAsia="es-ES_tradnl"/>
        </w:rPr>
        <w:footnoteReference w:id="115"/>
      </w:r>
      <w:r w:rsidR="00CF5F80">
        <w:rPr>
          <w:rFonts w:ascii="Arial" w:eastAsia="Times New Roman" w:hAnsi="Arial" w:cs="Arial"/>
          <w:lang w:val="es-ES" w:eastAsia="es-ES_tradnl"/>
        </w:rPr>
        <w:t xml:space="preserve"> </w:t>
      </w:r>
      <w:r w:rsidR="009706A8">
        <w:rPr>
          <w:rFonts w:ascii="Arial" w:eastAsia="Times New Roman" w:hAnsi="Arial" w:cs="Arial"/>
          <w:lang w:val="es-ES" w:eastAsia="es-ES_tradnl"/>
        </w:rPr>
        <w:t>Se trata, sin duda, de una sugerencia muy interesante.</w:t>
      </w:r>
    </w:p>
    <w:p w14:paraId="50FF53EA" w14:textId="67DD3DDD" w:rsidR="00605EF5" w:rsidRDefault="00605EF5" w:rsidP="00605EF5">
      <w:pPr>
        <w:autoSpaceDE w:val="0"/>
        <w:autoSpaceDN w:val="0"/>
        <w:adjustRightInd w:val="0"/>
        <w:jc w:val="both"/>
        <w:rPr>
          <w:rFonts w:ascii="Arial" w:hAnsi="Arial" w:cs="Arial"/>
          <w:color w:val="7030A0"/>
          <w:sz w:val="20"/>
          <w:szCs w:val="20"/>
          <w:lang w:val="es-ES"/>
        </w:rPr>
      </w:pPr>
    </w:p>
    <w:p w14:paraId="2D9B404C" w14:textId="77777777" w:rsidR="00036211" w:rsidRPr="00605EF5" w:rsidRDefault="00036211" w:rsidP="00605EF5">
      <w:pPr>
        <w:autoSpaceDE w:val="0"/>
        <w:autoSpaceDN w:val="0"/>
        <w:adjustRightInd w:val="0"/>
        <w:jc w:val="both"/>
        <w:rPr>
          <w:rFonts w:ascii="Arial" w:hAnsi="Arial" w:cs="Arial"/>
          <w:color w:val="7030A0"/>
          <w:sz w:val="20"/>
          <w:szCs w:val="20"/>
          <w:lang w:val="es-ES"/>
        </w:rPr>
      </w:pPr>
    </w:p>
    <w:p w14:paraId="141AC7AF" w14:textId="4A558DE5" w:rsidR="00022351" w:rsidRDefault="00C84037" w:rsidP="0025550C">
      <w:pPr>
        <w:ind w:right="-1" w:firstLine="567"/>
        <w:jc w:val="both"/>
        <w:rPr>
          <w:rFonts w:ascii="Arial" w:hAnsi="Arial" w:cs="Times New Roman (Cuerpo en alfa"/>
          <w:lang w:val="es-ES"/>
        </w:rPr>
      </w:pPr>
      <w:r>
        <w:rPr>
          <w:rFonts w:ascii="Arial" w:hAnsi="Arial" w:cs="Times New Roman (Cuerpo en alfa"/>
          <w:lang w:val="es-ES"/>
        </w:rPr>
        <w:t>II</w:t>
      </w:r>
      <w:r w:rsidR="0047429F">
        <w:rPr>
          <w:rFonts w:ascii="Arial" w:hAnsi="Arial" w:cs="Times New Roman (Cuerpo en alfa"/>
          <w:lang w:val="es-ES"/>
        </w:rPr>
        <w:t xml:space="preserve"> </w:t>
      </w:r>
      <w:r w:rsidR="007E738E">
        <w:rPr>
          <w:rFonts w:ascii="Arial" w:hAnsi="Arial" w:cs="Times New Roman (Cuerpo en alfa"/>
          <w:lang w:val="es-ES"/>
        </w:rPr>
        <w:t xml:space="preserve">LA JURISPRUDENCIA DEL TEDH Y LA REGULACIÓN ESPAÑOLA DE LOS INTERNAMIENTOS </w:t>
      </w:r>
      <w:r w:rsidR="00B9664D">
        <w:rPr>
          <w:rFonts w:ascii="Arial" w:hAnsi="Arial" w:cs="Times New Roman (Cuerpo en alfa"/>
          <w:lang w:val="es-ES"/>
        </w:rPr>
        <w:t>INVOLUNTARIOS</w:t>
      </w:r>
    </w:p>
    <w:p w14:paraId="126C118D" w14:textId="77777777" w:rsidR="0047429F" w:rsidRPr="00F563D8" w:rsidRDefault="0047429F" w:rsidP="0039623A">
      <w:pPr>
        <w:ind w:right="-1"/>
        <w:jc w:val="both"/>
        <w:rPr>
          <w:rFonts w:ascii="Arial" w:hAnsi="Arial" w:cs="Times New Roman (Cuerpo en alfa"/>
          <w:sz w:val="10"/>
          <w:szCs w:val="10"/>
          <w:lang w:val="es-ES"/>
        </w:rPr>
      </w:pPr>
    </w:p>
    <w:p w14:paraId="37393D1B" w14:textId="653E5028" w:rsidR="0047429F" w:rsidRPr="008D3859" w:rsidRDefault="0047429F" w:rsidP="0025550C">
      <w:pPr>
        <w:ind w:right="-1" w:firstLine="567"/>
        <w:jc w:val="both"/>
        <w:rPr>
          <w:rFonts w:ascii="Arial" w:hAnsi="Arial" w:cs="Times New Roman (Cuerpo en alfa"/>
          <w:lang w:val="es-ES"/>
        </w:rPr>
      </w:pPr>
      <w:r>
        <w:rPr>
          <w:rFonts w:ascii="Arial" w:hAnsi="Arial" w:cs="Times New Roman (Cuerpo en alfa"/>
          <w:lang w:val="es-ES"/>
        </w:rPr>
        <w:t>1. Un tema en evolución</w:t>
      </w:r>
    </w:p>
    <w:p w14:paraId="141A353C" w14:textId="247F45D2" w:rsidR="00C84037" w:rsidRPr="008D3859" w:rsidRDefault="002505FE" w:rsidP="00E223F3">
      <w:pPr>
        <w:ind w:right="-1" w:firstLine="567"/>
        <w:jc w:val="both"/>
        <w:rPr>
          <w:rFonts w:ascii="Arial" w:hAnsi="Arial" w:cs="Times New Roman (Cuerpo en alfa"/>
          <w:lang w:val="es-ES"/>
        </w:rPr>
      </w:pPr>
      <w:r w:rsidRPr="008D3859">
        <w:rPr>
          <w:rFonts w:ascii="Arial" w:hAnsi="Arial" w:cs="Times New Roman (Cuerpo en alfa"/>
          <w:lang w:val="es-ES"/>
        </w:rPr>
        <w:t xml:space="preserve">Antes de adentrarnos en la descripción del marco procesal de los internamientos </w:t>
      </w:r>
      <w:r w:rsidR="006F382B">
        <w:rPr>
          <w:rFonts w:ascii="Arial" w:hAnsi="Arial" w:cs="Times New Roman (Cuerpo en alfa"/>
          <w:lang w:val="es-ES"/>
        </w:rPr>
        <w:t xml:space="preserve">en España </w:t>
      </w:r>
      <w:r w:rsidRPr="008D3859">
        <w:rPr>
          <w:rFonts w:ascii="Arial" w:hAnsi="Arial" w:cs="Times New Roman (Cuerpo en alfa"/>
          <w:lang w:val="es-ES"/>
        </w:rPr>
        <w:t>conviene hacer una advertencia previa. Este es un tema que, tanto desde el punto de vista legal como, en mayor medida, desde el punto de vista doctrinal</w:t>
      </w:r>
      <w:r w:rsidR="00022351" w:rsidRPr="008D3859">
        <w:rPr>
          <w:rFonts w:ascii="Arial" w:hAnsi="Arial" w:cs="Times New Roman (Cuerpo en alfa"/>
          <w:lang w:val="es-ES"/>
        </w:rPr>
        <w:t>,</w:t>
      </w:r>
      <w:r w:rsidRPr="008D3859">
        <w:rPr>
          <w:rFonts w:ascii="Arial" w:hAnsi="Arial" w:cs="Times New Roman (Cuerpo en alfa"/>
          <w:lang w:val="es-ES"/>
        </w:rPr>
        <w:t xml:space="preserve"> se encuentra en un proceso de evolución </w:t>
      </w:r>
      <w:r w:rsidR="00B9664D">
        <w:rPr>
          <w:rFonts w:ascii="Arial" w:hAnsi="Arial" w:cs="Times New Roman (Cuerpo en alfa"/>
          <w:lang w:val="es-ES"/>
        </w:rPr>
        <w:t>que abarca</w:t>
      </w:r>
      <w:r w:rsidR="0094486E" w:rsidRPr="008D3859">
        <w:rPr>
          <w:rFonts w:ascii="Arial" w:hAnsi="Arial" w:cs="Times New Roman (Cuerpo en alfa"/>
          <w:lang w:val="es-ES"/>
        </w:rPr>
        <w:t xml:space="preserve"> los últimos cuarenta años</w:t>
      </w:r>
      <w:r w:rsidR="00B9664D">
        <w:rPr>
          <w:rFonts w:ascii="Arial" w:hAnsi="Arial" w:cs="Times New Roman (Cuerpo en alfa"/>
          <w:lang w:val="es-ES"/>
        </w:rPr>
        <w:t>, siendo ahora cuando</w:t>
      </w:r>
      <w:r w:rsidR="0094486E" w:rsidRPr="008D3859">
        <w:rPr>
          <w:rFonts w:ascii="Arial" w:hAnsi="Arial" w:cs="Times New Roman (Cuerpo en alfa"/>
          <w:lang w:val="es-ES"/>
        </w:rPr>
        <w:t xml:space="preserve">, desde mi punto de vista, </w:t>
      </w:r>
      <w:r w:rsidR="00B9664D">
        <w:rPr>
          <w:rFonts w:ascii="Arial" w:hAnsi="Arial" w:cs="Times New Roman (Cuerpo en alfa"/>
          <w:lang w:val="es-ES"/>
        </w:rPr>
        <w:t xml:space="preserve">está </w:t>
      </w:r>
      <w:r w:rsidR="0094486E" w:rsidRPr="008D3859">
        <w:rPr>
          <w:rFonts w:ascii="Arial" w:hAnsi="Arial" w:cs="Times New Roman (Cuerpo en alfa"/>
          <w:lang w:val="es-ES"/>
        </w:rPr>
        <w:t>llega</w:t>
      </w:r>
      <w:r w:rsidR="00B9664D">
        <w:rPr>
          <w:rFonts w:ascii="Arial" w:hAnsi="Arial" w:cs="Times New Roman (Cuerpo en alfa"/>
          <w:lang w:val="es-ES"/>
        </w:rPr>
        <w:t>n</w:t>
      </w:r>
      <w:r w:rsidR="0094486E" w:rsidRPr="008D3859">
        <w:rPr>
          <w:rFonts w:ascii="Arial" w:hAnsi="Arial" w:cs="Times New Roman (Cuerpo en alfa"/>
          <w:lang w:val="es-ES"/>
        </w:rPr>
        <w:t>d</w:t>
      </w:r>
      <w:r w:rsidR="00B9664D">
        <w:rPr>
          <w:rFonts w:ascii="Arial" w:hAnsi="Arial" w:cs="Times New Roman (Cuerpo en alfa"/>
          <w:lang w:val="es-ES"/>
        </w:rPr>
        <w:t>o</w:t>
      </w:r>
      <w:r w:rsidR="0094486E" w:rsidRPr="008D3859">
        <w:rPr>
          <w:rFonts w:ascii="Arial" w:hAnsi="Arial" w:cs="Times New Roman (Cuerpo en alfa"/>
          <w:lang w:val="es-ES"/>
        </w:rPr>
        <w:t xml:space="preserve"> a su última etapa.</w:t>
      </w:r>
      <w:r w:rsidR="00BF1E1D" w:rsidRPr="008D3859">
        <w:rPr>
          <w:rFonts w:ascii="Arial" w:hAnsi="Arial" w:cs="Times New Roman (Cuerpo en alfa"/>
          <w:lang w:val="es-ES"/>
        </w:rPr>
        <w:t xml:space="preserve"> Muy brevemente, y omitiendo detalles que en otro tipo de trabajos habría que mencionar, esta evolución comienza cuando en el año 1983, aprovechando una Ley dirigida a modificar </w:t>
      </w:r>
      <w:r w:rsidR="0039623A">
        <w:rPr>
          <w:rFonts w:ascii="Arial" w:hAnsi="Arial" w:cs="Times New Roman (Cuerpo en alfa"/>
          <w:lang w:val="es-ES"/>
        </w:rPr>
        <w:t>e</w:t>
      </w:r>
      <w:r w:rsidR="00BF1E1D" w:rsidRPr="008D3859">
        <w:rPr>
          <w:rFonts w:ascii="Arial" w:hAnsi="Arial" w:cs="Times New Roman (Cuerpo en alfa"/>
          <w:lang w:val="es-ES"/>
        </w:rPr>
        <w:t xml:space="preserve">l Código Civil </w:t>
      </w:r>
      <w:r w:rsidR="00E223F3">
        <w:rPr>
          <w:rFonts w:ascii="Arial" w:hAnsi="Arial" w:cs="Times New Roman (Cuerpo en alfa"/>
          <w:lang w:val="es-ES"/>
        </w:rPr>
        <w:t xml:space="preserve">español </w:t>
      </w:r>
      <w:r w:rsidR="00BF1E1D" w:rsidRPr="008D3859">
        <w:rPr>
          <w:rFonts w:ascii="Arial" w:hAnsi="Arial" w:cs="Times New Roman (Cuerpo en alfa"/>
          <w:lang w:val="es-ES"/>
        </w:rPr>
        <w:t xml:space="preserve">(en adelante, CC) introduce una serie de nuevas disposiciones </w:t>
      </w:r>
      <w:r w:rsidR="00E223F3">
        <w:rPr>
          <w:rFonts w:ascii="Arial" w:hAnsi="Arial" w:cs="Times New Roman (Cuerpo en alfa"/>
          <w:lang w:val="es-ES"/>
        </w:rPr>
        <w:t>para</w:t>
      </w:r>
      <w:r w:rsidR="00BF1E1D" w:rsidRPr="008D3859">
        <w:rPr>
          <w:rFonts w:ascii="Arial" w:hAnsi="Arial" w:cs="Times New Roman (Cuerpo en alfa"/>
          <w:lang w:val="es-ES"/>
        </w:rPr>
        <w:t xml:space="preserve"> los casos de internamiento. </w:t>
      </w:r>
      <w:r w:rsidR="0039623A">
        <w:rPr>
          <w:rFonts w:ascii="Arial" w:hAnsi="Arial" w:cs="Times New Roman (Cuerpo en alfa"/>
          <w:lang w:val="es-ES"/>
        </w:rPr>
        <w:t>A</w:t>
      </w:r>
      <w:r w:rsidR="00BF1E1D" w:rsidRPr="008D3859">
        <w:rPr>
          <w:rFonts w:ascii="Arial" w:hAnsi="Arial" w:cs="Times New Roman (Cuerpo en alfa"/>
          <w:lang w:val="es-ES"/>
        </w:rPr>
        <w:t xml:space="preserve">quella novela no iba dirigida a regular el procedimiento de internamientos, </w:t>
      </w:r>
      <w:r w:rsidR="006F382B">
        <w:rPr>
          <w:rFonts w:ascii="Arial" w:hAnsi="Arial" w:cs="Times New Roman (Cuerpo en alfa"/>
          <w:lang w:val="es-ES"/>
        </w:rPr>
        <w:t xml:space="preserve">sino </w:t>
      </w:r>
      <w:r w:rsidR="00E223F3">
        <w:rPr>
          <w:rFonts w:ascii="Arial" w:hAnsi="Arial" w:cs="Times New Roman (Cuerpo en alfa"/>
          <w:lang w:val="es-ES"/>
        </w:rPr>
        <w:t xml:space="preserve">a modificar el articulado </w:t>
      </w:r>
      <w:r w:rsidR="006F382B">
        <w:rPr>
          <w:rFonts w:ascii="Arial" w:hAnsi="Arial" w:cs="Times New Roman (Cuerpo en alfa"/>
          <w:lang w:val="es-ES"/>
        </w:rPr>
        <w:t>existente hasta el momento sobre la capacidad de las personas</w:t>
      </w:r>
      <w:r w:rsidR="00E223F3">
        <w:rPr>
          <w:rFonts w:ascii="Arial" w:hAnsi="Arial" w:cs="Times New Roman (Cuerpo en alfa"/>
          <w:lang w:val="es-ES"/>
        </w:rPr>
        <w:t xml:space="preserve">; sin embargo, </w:t>
      </w:r>
      <w:r w:rsidR="00BF1E1D" w:rsidRPr="008D3859">
        <w:rPr>
          <w:rFonts w:ascii="Arial" w:hAnsi="Arial" w:cs="Times New Roman (Cuerpo en alfa"/>
          <w:lang w:val="es-ES"/>
        </w:rPr>
        <w:t xml:space="preserve">se aprovechó la modificación para </w:t>
      </w:r>
      <w:r w:rsidR="001F5CBC" w:rsidRPr="008D3859">
        <w:rPr>
          <w:rFonts w:ascii="Arial" w:hAnsi="Arial" w:cs="Times New Roman (Cuerpo en alfa"/>
          <w:lang w:val="es-ES"/>
        </w:rPr>
        <w:t>atribuir en exclusiva a los órganos judiciales la autorización de todo internamiento involuntario en un centro psiquiátrico, privando de tal competencia a órganos de tipo administrativo</w:t>
      </w:r>
      <w:r w:rsidR="00374054" w:rsidRPr="008D3859">
        <w:rPr>
          <w:rFonts w:ascii="Arial" w:hAnsi="Arial" w:cs="Times New Roman (Cuerpo en alfa"/>
          <w:lang w:val="es-ES"/>
        </w:rPr>
        <w:t xml:space="preserve"> o gubernativo</w:t>
      </w:r>
      <w:r w:rsidR="00B545E5">
        <w:rPr>
          <w:rFonts w:ascii="Arial" w:hAnsi="Arial" w:cs="Times New Roman (Cuerpo en alfa"/>
          <w:lang w:val="es-ES"/>
        </w:rPr>
        <w:t>,</w:t>
      </w:r>
      <w:r w:rsidR="001F5CBC" w:rsidRPr="008D3859">
        <w:rPr>
          <w:rFonts w:ascii="Arial" w:hAnsi="Arial" w:cs="Times New Roman (Cuerpo en alfa"/>
          <w:lang w:val="es-ES"/>
        </w:rPr>
        <w:t xml:space="preserve"> tal y como venía sucediendo hasta el momento</w:t>
      </w:r>
      <w:r w:rsidR="00374054" w:rsidRPr="008D3859">
        <w:rPr>
          <w:rFonts w:ascii="Arial" w:hAnsi="Arial" w:cs="Times New Roman (Cuerpo en alfa"/>
          <w:lang w:val="es-ES"/>
        </w:rPr>
        <w:t xml:space="preserve">. No cabe duda de que </w:t>
      </w:r>
      <w:r w:rsidR="0039623A">
        <w:rPr>
          <w:rFonts w:ascii="Arial" w:hAnsi="Arial" w:cs="Times New Roman (Cuerpo en alfa"/>
          <w:lang w:val="es-ES"/>
        </w:rPr>
        <w:t>atribuir a los tribunales la competencia para autorizar los internamientos</w:t>
      </w:r>
      <w:r w:rsidR="00374054" w:rsidRPr="008D3859">
        <w:rPr>
          <w:rFonts w:ascii="Arial" w:hAnsi="Arial" w:cs="Times New Roman (Cuerpo en alfa"/>
          <w:lang w:val="es-ES"/>
        </w:rPr>
        <w:t xml:space="preserve"> supuso un paso adelante muy importante, pero no es menos cierto que</w:t>
      </w:r>
      <w:r w:rsidR="00E223F3">
        <w:rPr>
          <w:rFonts w:ascii="Arial" w:hAnsi="Arial" w:cs="Times New Roman (Cuerpo en alfa"/>
          <w:lang w:val="es-ES"/>
        </w:rPr>
        <w:t>,</w:t>
      </w:r>
      <w:r w:rsidR="00374054" w:rsidRPr="008D3859">
        <w:rPr>
          <w:rFonts w:ascii="Arial" w:hAnsi="Arial" w:cs="Times New Roman (Cuerpo en alfa"/>
          <w:lang w:val="es-ES"/>
        </w:rPr>
        <w:t xml:space="preserve"> en otros aspectos</w:t>
      </w:r>
      <w:r w:rsidR="00E223F3">
        <w:rPr>
          <w:rFonts w:ascii="Arial" w:hAnsi="Arial" w:cs="Times New Roman (Cuerpo en alfa"/>
          <w:lang w:val="es-ES"/>
        </w:rPr>
        <w:t>,</w:t>
      </w:r>
      <w:r w:rsidR="00374054" w:rsidRPr="008D3859">
        <w:rPr>
          <w:rFonts w:ascii="Arial" w:hAnsi="Arial" w:cs="Times New Roman (Cuerpo en alfa"/>
          <w:lang w:val="es-ES"/>
        </w:rPr>
        <w:t xml:space="preserve"> la reforma fue bastante desafortunada.</w:t>
      </w:r>
    </w:p>
    <w:p w14:paraId="007600C6" w14:textId="366ACA2D" w:rsidR="0006701D" w:rsidRPr="008D3859" w:rsidRDefault="00374054" w:rsidP="0025550C">
      <w:pPr>
        <w:ind w:right="-1" w:firstLine="567"/>
        <w:jc w:val="both"/>
        <w:rPr>
          <w:rFonts w:ascii="Arial" w:hAnsi="Arial" w:cs="Times New Roman (Cuerpo en alfa"/>
          <w:lang w:val="es-ES"/>
        </w:rPr>
      </w:pPr>
      <w:r w:rsidRPr="008D3859">
        <w:rPr>
          <w:rFonts w:ascii="Arial" w:hAnsi="Arial" w:cs="Times New Roman (Cuerpo en alfa"/>
          <w:lang w:val="es-ES"/>
        </w:rPr>
        <w:t xml:space="preserve">Entre los negativos hay que señalar al menos estos </w:t>
      </w:r>
      <w:r w:rsidR="00DB2C3E">
        <w:rPr>
          <w:rFonts w:ascii="Arial" w:hAnsi="Arial" w:cs="Times New Roman (Cuerpo en alfa"/>
          <w:lang w:val="es-ES"/>
        </w:rPr>
        <w:t>tre</w:t>
      </w:r>
      <w:r w:rsidRPr="008D3859">
        <w:rPr>
          <w:rFonts w:ascii="Arial" w:hAnsi="Arial" w:cs="Times New Roman (Cuerpo en alfa"/>
          <w:lang w:val="es-ES"/>
        </w:rPr>
        <w:t>s: la confusión entre internamiento e incapacitación de la persona</w:t>
      </w:r>
      <w:r w:rsidR="00E223F3">
        <w:rPr>
          <w:rFonts w:ascii="Arial" w:hAnsi="Arial" w:cs="Times New Roman (Cuerpo en alfa"/>
          <w:lang w:val="es-ES"/>
        </w:rPr>
        <w:t>;</w:t>
      </w:r>
      <w:r w:rsidRPr="008D3859">
        <w:rPr>
          <w:rFonts w:ascii="Arial" w:hAnsi="Arial" w:cs="Times New Roman (Cuerpo en alfa"/>
          <w:lang w:val="es-ES"/>
        </w:rPr>
        <w:t xml:space="preserve"> la obligación para los familiares o, en su defecto, para el Ministerio Fiscal de iniciar el proceso de incapacitación de todo internado</w:t>
      </w:r>
      <w:r w:rsidR="00202DEC">
        <w:rPr>
          <w:rFonts w:ascii="Arial" w:hAnsi="Arial" w:cs="Times New Roman (Cuerpo en alfa"/>
          <w:lang w:val="es-ES"/>
        </w:rPr>
        <w:t>;</w:t>
      </w:r>
      <w:r w:rsidRPr="008D3859">
        <w:rPr>
          <w:rFonts w:ascii="Arial" w:hAnsi="Arial" w:cs="Times New Roman (Cuerpo en alfa"/>
          <w:lang w:val="es-ES"/>
        </w:rPr>
        <w:t xml:space="preserve"> y, </w:t>
      </w:r>
      <w:r w:rsidR="00202DEC">
        <w:rPr>
          <w:rFonts w:ascii="Arial" w:hAnsi="Arial" w:cs="Times New Roman (Cuerpo en alfa"/>
          <w:lang w:val="es-ES"/>
        </w:rPr>
        <w:t>en tercer lugar</w:t>
      </w:r>
      <w:r w:rsidRPr="008D3859">
        <w:rPr>
          <w:rFonts w:ascii="Arial" w:hAnsi="Arial" w:cs="Times New Roman (Cuerpo en alfa"/>
          <w:lang w:val="es-ES"/>
        </w:rPr>
        <w:t>, la concepción de que estos procedimientos pertenecían al ámbito de la jurisdicción voluntaria</w:t>
      </w:r>
      <w:r w:rsidR="00202DEC">
        <w:rPr>
          <w:rFonts w:ascii="Arial" w:hAnsi="Arial" w:cs="Times New Roman (Cuerpo en alfa"/>
          <w:lang w:val="es-ES"/>
        </w:rPr>
        <w:t>. Fueron, a todas luces,</w:t>
      </w:r>
      <w:r w:rsidRPr="008D3859">
        <w:rPr>
          <w:rFonts w:ascii="Arial" w:hAnsi="Arial" w:cs="Times New Roman (Cuerpo en alfa"/>
          <w:lang w:val="es-ES"/>
        </w:rPr>
        <w:t xml:space="preserve"> tres graves deslices del legislador, provocados, sin duda, por el hecho de que la reflexión de la reforma legislativa </w:t>
      </w:r>
      <w:r w:rsidR="00707844" w:rsidRPr="008D3859">
        <w:rPr>
          <w:rFonts w:ascii="Arial" w:hAnsi="Arial" w:cs="Times New Roman (Cuerpo en alfa"/>
          <w:lang w:val="es-ES"/>
        </w:rPr>
        <w:t>estuvo centrada en la modificación d</w:t>
      </w:r>
      <w:r w:rsidRPr="008D3859">
        <w:rPr>
          <w:rFonts w:ascii="Arial" w:hAnsi="Arial" w:cs="Times New Roman (Cuerpo en alfa"/>
          <w:lang w:val="es-ES"/>
        </w:rPr>
        <w:t xml:space="preserve">el articulado </w:t>
      </w:r>
      <w:r w:rsidR="00707844" w:rsidRPr="008D3859">
        <w:rPr>
          <w:rFonts w:ascii="Arial" w:hAnsi="Arial" w:cs="Times New Roman (Cuerpo en alfa"/>
          <w:lang w:val="es-ES"/>
        </w:rPr>
        <w:t>relativo a la capacidad de las personas y no en los internamientos de enfermos mentales</w:t>
      </w:r>
      <w:r w:rsidR="0039623A">
        <w:rPr>
          <w:rFonts w:ascii="Arial" w:hAnsi="Arial" w:cs="Times New Roman (Cuerpo en alfa"/>
          <w:lang w:val="es-ES"/>
        </w:rPr>
        <w:t>,</w:t>
      </w:r>
      <w:r w:rsidR="00202DEC">
        <w:rPr>
          <w:rFonts w:ascii="Arial" w:hAnsi="Arial" w:cs="Times New Roman (Cuerpo en alfa"/>
          <w:lang w:val="es-ES"/>
        </w:rPr>
        <w:t xml:space="preserve"> y en la visión que de los mismos existía a principios de los años ochenta del siglo pasado</w:t>
      </w:r>
      <w:r w:rsidR="00707844" w:rsidRPr="008D3859">
        <w:rPr>
          <w:rFonts w:ascii="Arial" w:hAnsi="Arial" w:cs="Times New Roman (Cuerpo en alfa"/>
          <w:lang w:val="es-ES"/>
        </w:rPr>
        <w:t>.</w:t>
      </w:r>
    </w:p>
    <w:p w14:paraId="4B5881AA" w14:textId="5F772272" w:rsidR="00711C56" w:rsidRPr="008D3859" w:rsidRDefault="0006701D" w:rsidP="0025550C">
      <w:pPr>
        <w:ind w:right="-1" w:firstLine="567"/>
        <w:jc w:val="both"/>
        <w:rPr>
          <w:rFonts w:ascii="Arial" w:hAnsi="Arial" w:cs="Times New Roman (Cuerpo en alfa"/>
          <w:lang w:val="es-ES"/>
        </w:rPr>
      </w:pPr>
      <w:r w:rsidRPr="008D3859">
        <w:rPr>
          <w:rFonts w:ascii="Arial" w:hAnsi="Arial" w:cs="Times New Roman (Cuerpo en alfa"/>
          <w:lang w:val="es-ES"/>
        </w:rPr>
        <w:t>El primero de esos errores fue corregido por el propio legislador algunos años después cuando aprobó la Ley Orgánica 1/1996</w:t>
      </w:r>
      <w:r w:rsidR="007F7712" w:rsidRPr="008D3859">
        <w:rPr>
          <w:rFonts w:ascii="Arial" w:hAnsi="Arial" w:cs="Times New Roman (Cuerpo en alfa"/>
          <w:lang w:val="es-ES"/>
        </w:rPr>
        <w:t>, de 15 de enero, de protección jurídica del menor, que modificó el artículo 211 del C</w:t>
      </w:r>
      <w:r w:rsidR="00CC2035">
        <w:rPr>
          <w:rFonts w:ascii="Arial" w:hAnsi="Arial" w:cs="Times New Roman (Cuerpo en alfa"/>
          <w:lang w:val="es-ES"/>
        </w:rPr>
        <w:t>C</w:t>
      </w:r>
      <w:r w:rsidR="00616A4D">
        <w:rPr>
          <w:rFonts w:ascii="Arial" w:hAnsi="Arial" w:cs="Times New Roman (Cuerpo en alfa"/>
          <w:lang w:val="es-ES"/>
        </w:rPr>
        <w:t>.</w:t>
      </w:r>
      <w:r w:rsidR="007F7712" w:rsidRPr="008D3859">
        <w:rPr>
          <w:rFonts w:ascii="Arial" w:hAnsi="Arial" w:cs="Times New Roman (Cuerpo en alfa"/>
          <w:lang w:val="es-ES"/>
        </w:rPr>
        <w:t xml:space="preserve"> El tenor de este, en su redacción de 1983, comenzaba rezando</w:t>
      </w:r>
      <w:r w:rsidR="0039623A">
        <w:rPr>
          <w:rFonts w:ascii="Arial" w:hAnsi="Arial" w:cs="Times New Roman (Cuerpo en alfa"/>
          <w:lang w:val="es-ES"/>
        </w:rPr>
        <w:t>:</w:t>
      </w:r>
      <w:r w:rsidR="007F7712" w:rsidRPr="008D3859">
        <w:rPr>
          <w:rFonts w:ascii="Arial" w:hAnsi="Arial" w:cs="Times New Roman (Cuerpo en alfa"/>
          <w:lang w:val="es-ES"/>
        </w:rPr>
        <w:t xml:space="preserve"> «El internamiento de un presunto incapaz requerirá autorización judicial»</w:t>
      </w:r>
      <w:r w:rsidR="0039623A">
        <w:rPr>
          <w:rFonts w:ascii="Arial" w:hAnsi="Arial" w:cs="Times New Roman (Cuerpo en alfa"/>
          <w:lang w:val="es-ES"/>
        </w:rPr>
        <w:t>;</w:t>
      </w:r>
      <w:r w:rsidR="007F7712" w:rsidRPr="008D3859">
        <w:rPr>
          <w:rFonts w:ascii="Arial" w:hAnsi="Arial" w:cs="Times New Roman (Cuerpo en alfa"/>
          <w:lang w:val="es-ES"/>
        </w:rPr>
        <w:t xml:space="preserve"> tenor que, tras la reforma de 1996 se transformó del siguiente modo: «El internamiento por trastorno psíquico, de una persona que no esté en condiciones de decidirlo por sí</w:t>
      </w:r>
      <w:r w:rsidR="00106121" w:rsidRPr="008D3859">
        <w:rPr>
          <w:rFonts w:ascii="Arial" w:hAnsi="Arial" w:cs="Times New Roman (Cuerpo en alfa"/>
          <w:lang w:val="es-ES"/>
        </w:rPr>
        <w:t xml:space="preserve">, aunque esté sometida a la patria potestad, requerirá de autorización judicial». </w:t>
      </w:r>
      <w:r w:rsidR="00E574BA">
        <w:rPr>
          <w:rFonts w:ascii="Arial" w:hAnsi="Arial" w:cs="Times New Roman (Cuerpo en alfa"/>
          <w:lang w:val="es-ES"/>
        </w:rPr>
        <w:t>El cambio fue radical ya que la reforma de 1983 había limitado la regulación de los internamientos en la letra de la ley a los incapaces ignorando otras situaciones</w:t>
      </w:r>
      <w:r w:rsidR="00AA62B6">
        <w:rPr>
          <w:rFonts w:ascii="Arial" w:hAnsi="Arial" w:cs="Times New Roman (Cuerpo en alfa"/>
          <w:lang w:val="es-ES"/>
        </w:rPr>
        <w:t>,</w:t>
      </w:r>
      <w:r w:rsidR="00E574BA">
        <w:rPr>
          <w:rFonts w:ascii="Arial" w:hAnsi="Arial" w:cs="Times New Roman (Cuerpo en alfa"/>
          <w:lang w:val="es-ES"/>
        </w:rPr>
        <w:t xml:space="preserve"> con lo que ello suponía. A partir de 1996 el marco </w:t>
      </w:r>
      <w:r w:rsidR="008D60A9">
        <w:rPr>
          <w:rFonts w:ascii="Arial" w:hAnsi="Arial" w:cs="Times New Roman (Cuerpo en alfa"/>
          <w:lang w:val="es-ES"/>
        </w:rPr>
        <w:t xml:space="preserve">procesal </w:t>
      </w:r>
      <w:r w:rsidR="00E574BA">
        <w:rPr>
          <w:rFonts w:ascii="Arial" w:hAnsi="Arial" w:cs="Times New Roman (Cuerpo en alfa"/>
          <w:lang w:val="es-ES"/>
        </w:rPr>
        <w:t xml:space="preserve">quedó abierto a toda persona con trastornos mentales.  </w:t>
      </w:r>
      <w:r w:rsidR="00106121" w:rsidRPr="008D3859">
        <w:rPr>
          <w:rFonts w:ascii="Arial" w:hAnsi="Arial" w:cs="Times New Roman (Cuerpo en alfa"/>
          <w:lang w:val="es-ES"/>
        </w:rPr>
        <w:t xml:space="preserve">Los otros dos elementos quedarían ya definitivamente </w:t>
      </w:r>
      <w:r w:rsidR="00836A9B" w:rsidRPr="008D3859">
        <w:rPr>
          <w:rFonts w:ascii="Arial" w:hAnsi="Arial" w:cs="Times New Roman (Cuerpo en alfa"/>
          <w:lang w:val="es-ES"/>
        </w:rPr>
        <w:t>derogados</w:t>
      </w:r>
      <w:r w:rsidR="00106121" w:rsidRPr="008D3859">
        <w:rPr>
          <w:rFonts w:ascii="Arial" w:hAnsi="Arial" w:cs="Times New Roman (Cuerpo en alfa"/>
          <w:lang w:val="es-ES"/>
        </w:rPr>
        <w:t xml:space="preserve"> con la Ley de enjuiciamiento civil</w:t>
      </w:r>
      <w:r w:rsidR="00AA62B6">
        <w:rPr>
          <w:rFonts w:ascii="Arial" w:hAnsi="Arial" w:cs="Times New Roman (Cuerpo en alfa"/>
          <w:lang w:val="es-ES"/>
        </w:rPr>
        <w:t xml:space="preserve"> </w:t>
      </w:r>
      <w:r w:rsidR="00AA62B6" w:rsidRPr="008D3859">
        <w:rPr>
          <w:rFonts w:ascii="Arial" w:hAnsi="Arial" w:cs="Times New Roman (Cuerpo en alfa"/>
          <w:lang w:val="es-ES"/>
        </w:rPr>
        <w:t>de 2000</w:t>
      </w:r>
      <w:r w:rsidR="00AA62B6">
        <w:rPr>
          <w:rFonts w:ascii="Arial" w:hAnsi="Arial" w:cs="Times New Roman (Cuerpo en alfa"/>
          <w:lang w:val="es-ES"/>
        </w:rPr>
        <w:t xml:space="preserve"> (en adelante LEC)</w:t>
      </w:r>
      <w:r w:rsidR="00616A4D">
        <w:rPr>
          <w:rFonts w:ascii="Arial" w:hAnsi="Arial" w:cs="Times New Roman (Cuerpo en alfa"/>
          <w:lang w:val="es-ES"/>
        </w:rPr>
        <w:t>, que articuló dos procedimientos para los internamientos involuntarios en los artículos 763 y concordantes</w:t>
      </w:r>
      <w:r w:rsidR="008B73ED">
        <w:rPr>
          <w:rFonts w:ascii="Arial" w:hAnsi="Arial" w:cs="Times New Roman (Cuerpo en alfa"/>
          <w:lang w:val="es-ES"/>
        </w:rPr>
        <w:t>.</w:t>
      </w:r>
      <w:r w:rsidR="00836A9B" w:rsidRPr="008D3859">
        <w:rPr>
          <w:rStyle w:val="Refdenotaalpie"/>
          <w:rFonts w:ascii="Arial" w:hAnsi="Arial" w:cs="Times New Roman (Cuerpo en alfa"/>
          <w:lang w:val="es-ES"/>
        </w:rPr>
        <w:footnoteReference w:id="116"/>
      </w:r>
    </w:p>
    <w:p w14:paraId="7723CDA6" w14:textId="151D622F" w:rsidR="00CC5EA2" w:rsidRPr="008D3859" w:rsidRDefault="00711C56" w:rsidP="0025550C">
      <w:pPr>
        <w:ind w:right="-1" w:firstLine="567"/>
        <w:jc w:val="both"/>
        <w:rPr>
          <w:rFonts w:ascii="Arial" w:hAnsi="Arial" w:cs="Times New Roman (Cuerpo en alfa"/>
          <w:lang w:val="es-ES"/>
        </w:rPr>
      </w:pPr>
      <w:r w:rsidRPr="008D3859">
        <w:rPr>
          <w:rFonts w:ascii="Arial" w:hAnsi="Arial" w:cs="Times New Roman (Cuerpo en alfa"/>
          <w:lang w:val="es-ES"/>
        </w:rPr>
        <w:t xml:space="preserve">Desde otro punto de vista es preciso mencionar cómo los procesos de internamiento </w:t>
      </w:r>
      <w:r w:rsidR="00AA62B6">
        <w:rPr>
          <w:rFonts w:ascii="Arial" w:hAnsi="Arial" w:cs="Times New Roman (Cuerpo en alfa"/>
          <w:lang w:val="es-ES"/>
        </w:rPr>
        <w:t>fueron</w:t>
      </w:r>
      <w:r w:rsidRPr="008D3859">
        <w:rPr>
          <w:rFonts w:ascii="Arial" w:hAnsi="Arial" w:cs="Times New Roman (Cuerpo en alfa"/>
          <w:lang w:val="es-ES"/>
        </w:rPr>
        <w:t xml:space="preserve"> entendidos por una parte de la doctrina como medidas cautelares de los procesos de incapacitación, procesos </w:t>
      </w:r>
      <w:r w:rsidR="00AA62B6">
        <w:rPr>
          <w:rFonts w:ascii="Arial" w:hAnsi="Arial" w:cs="Times New Roman (Cuerpo en alfa"/>
          <w:lang w:val="es-ES"/>
        </w:rPr>
        <w:t xml:space="preserve">estos </w:t>
      </w:r>
      <w:r w:rsidRPr="008D3859">
        <w:rPr>
          <w:rFonts w:ascii="Arial" w:hAnsi="Arial" w:cs="Times New Roman (Cuerpo en alfa"/>
          <w:lang w:val="es-ES"/>
        </w:rPr>
        <w:t xml:space="preserve">que hoy reciben el nombre de </w:t>
      </w:r>
      <w:r w:rsidR="00CC5EA2" w:rsidRPr="008D3859">
        <w:rPr>
          <w:rFonts w:ascii="Arial" w:hAnsi="Arial" w:cs="Times New Roman (Cuerpo en alfa"/>
          <w:lang w:val="es-ES"/>
        </w:rPr>
        <w:t xml:space="preserve">«procesos sobre la adopción de las medidas judiciales de apoyo a personas con discapacidad», tras la </w:t>
      </w:r>
      <w:r w:rsidR="00915CF8">
        <w:rPr>
          <w:rFonts w:ascii="Arial" w:hAnsi="Arial" w:cs="Times New Roman (Cuerpo en alfa"/>
          <w:lang w:val="es-ES"/>
        </w:rPr>
        <w:t>nueva redacción dada</w:t>
      </w:r>
      <w:r w:rsidR="00CC5EA2" w:rsidRPr="008D3859">
        <w:rPr>
          <w:rFonts w:ascii="Arial" w:hAnsi="Arial" w:cs="Times New Roman (Cuerpo en alfa"/>
          <w:lang w:val="es-ES"/>
        </w:rPr>
        <w:t xml:space="preserve"> por el artículo 4.12, de la Ley</w:t>
      </w:r>
      <w:r w:rsidR="00F779D9" w:rsidRPr="008D3859">
        <w:rPr>
          <w:rFonts w:ascii="Arial" w:hAnsi="Arial" w:cs="Times New Roman (Cuerpo en alfa"/>
          <w:lang w:val="es-ES"/>
        </w:rPr>
        <w:t xml:space="preserve"> 8,</w:t>
      </w:r>
      <w:r w:rsidR="00CC5EA2" w:rsidRPr="008D3859">
        <w:rPr>
          <w:rFonts w:ascii="Arial" w:hAnsi="Arial" w:cs="Times New Roman (Cuerpo en alfa"/>
          <w:lang w:val="es-ES"/>
        </w:rPr>
        <w:t xml:space="preserve"> de 2 de junio de 2021</w:t>
      </w:r>
      <w:r w:rsidR="00E574BA">
        <w:rPr>
          <w:rFonts w:ascii="Arial" w:hAnsi="Arial" w:cs="Times New Roman (Cuerpo en alfa"/>
          <w:lang w:val="es-ES"/>
        </w:rPr>
        <w:t xml:space="preserve">, </w:t>
      </w:r>
      <w:r w:rsidR="00AA62B6">
        <w:rPr>
          <w:rFonts w:ascii="Arial" w:hAnsi="Arial" w:cs="Times New Roman (Cuerpo en alfa"/>
          <w:lang w:val="es-ES"/>
        </w:rPr>
        <w:t xml:space="preserve">Ley </w:t>
      </w:r>
      <w:r w:rsidR="00E574BA">
        <w:rPr>
          <w:rFonts w:ascii="Arial" w:hAnsi="Arial" w:cs="Times New Roman (Cuerpo en alfa"/>
          <w:lang w:val="es-ES"/>
        </w:rPr>
        <w:t>que vino a modificar el CC en materia de capacidad de las personas</w:t>
      </w:r>
      <w:r w:rsidR="00CC5EA2" w:rsidRPr="008D3859">
        <w:rPr>
          <w:rFonts w:ascii="Arial" w:hAnsi="Arial" w:cs="Times New Roman (Cuerpo en alfa"/>
          <w:lang w:val="es-ES"/>
        </w:rPr>
        <w:t xml:space="preserve">. </w:t>
      </w:r>
      <w:r w:rsidR="00AA62B6">
        <w:rPr>
          <w:rFonts w:ascii="Arial" w:hAnsi="Arial" w:cs="Times New Roman (Cuerpo en alfa"/>
          <w:lang w:val="es-ES"/>
        </w:rPr>
        <w:t>C</w:t>
      </w:r>
      <w:r w:rsidR="00CC5EA2" w:rsidRPr="008D3859">
        <w:rPr>
          <w:rFonts w:ascii="Arial" w:hAnsi="Arial" w:cs="Times New Roman (Cuerpo en alfa"/>
          <w:lang w:val="es-ES"/>
        </w:rPr>
        <w:t>onforme a la LEC</w:t>
      </w:r>
      <w:r w:rsidR="001732AC">
        <w:rPr>
          <w:rFonts w:ascii="Arial" w:hAnsi="Arial" w:cs="Times New Roman (Cuerpo en alfa"/>
          <w:lang w:val="es-ES"/>
        </w:rPr>
        <w:t>,</w:t>
      </w:r>
      <w:r w:rsidR="00CC5EA2" w:rsidRPr="008D3859">
        <w:rPr>
          <w:rFonts w:ascii="Arial" w:hAnsi="Arial" w:cs="Times New Roman (Cuerpo en alfa"/>
          <w:lang w:val="es-ES"/>
        </w:rPr>
        <w:t xml:space="preserve"> los procesos de internamiento por trastorno psíquico queda</w:t>
      </w:r>
      <w:r w:rsidR="00AA62B6">
        <w:rPr>
          <w:rFonts w:ascii="Arial" w:hAnsi="Arial" w:cs="Times New Roman (Cuerpo en alfa"/>
          <w:lang w:val="es-ES"/>
        </w:rPr>
        <w:t>ro</w:t>
      </w:r>
      <w:r w:rsidR="00CC5EA2" w:rsidRPr="008D3859">
        <w:rPr>
          <w:rFonts w:ascii="Arial" w:hAnsi="Arial" w:cs="Times New Roman (Cuerpo en alfa"/>
          <w:lang w:val="es-ES"/>
        </w:rPr>
        <w:t>n fuera de las medidas cautelares, ya que tienen su propia regulación en el artículo 763</w:t>
      </w:r>
      <w:r w:rsidR="00915CF8">
        <w:rPr>
          <w:rFonts w:ascii="Arial" w:hAnsi="Arial" w:cs="Times New Roman (Cuerpo en alfa"/>
          <w:lang w:val="es-ES"/>
        </w:rPr>
        <w:t xml:space="preserve"> y</w:t>
      </w:r>
      <w:r w:rsidR="001732AC">
        <w:rPr>
          <w:rFonts w:ascii="Arial" w:hAnsi="Arial" w:cs="Times New Roman (Cuerpo en alfa"/>
          <w:lang w:val="es-ES"/>
        </w:rPr>
        <w:t>, de otra parte,</w:t>
      </w:r>
      <w:r w:rsidR="00CC5EA2" w:rsidRPr="008D3859">
        <w:rPr>
          <w:rFonts w:ascii="Arial" w:hAnsi="Arial" w:cs="Times New Roman (Cuerpo en alfa"/>
          <w:lang w:val="es-ES"/>
        </w:rPr>
        <w:t xml:space="preserve"> </w:t>
      </w:r>
      <w:r w:rsidR="00915CF8">
        <w:rPr>
          <w:rFonts w:ascii="Arial" w:hAnsi="Arial" w:cs="Times New Roman (Cuerpo en alfa"/>
          <w:lang w:val="es-ES"/>
        </w:rPr>
        <w:t xml:space="preserve">no constan entre las </w:t>
      </w:r>
      <w:r w:rsidR="00CC5EA2" w:rsidRPr="008D3859">
        <w:rPr>
          <w:rFonts w:ascii="Arial" w:hAnsi="Arial" w:cs="Times New Roman (Cuerpo en alfa"/>
          <w:lang w:val="es-ES"/>
        </w:rPr>
        <w:t>recogidas en el artículo 762, último de los que regulan los procesos de adopción de medidas de apoyo a personas con discapacidad</w:t>
      </w:r>
      <w:r w:rsidR="00915CF8">
        <w:rPr>
          <w:rFonts w:ascii="Arial" w:hAnsi="Arial" w:cs="Times New Roman (Cuerpo en alfa"/>
          <w:lang w:val="es-ES"/>
        </w:rPr>
        <w:t xml:space="preserve"> y en el que se regulan las medidas cautelares que se pueden adoptar en procedimientos de discapacidad</w:t>
      </w:r>
      <w:r w:rsidR="00CC5EA2" w:rsidRPr="008D3859">
        <w:rPr>
          <w:rFonts w:ascii="Arial" w:hAnsi="Arial" w:cs="Times New Roman (Cuerpo en alfa"/>
          <w:lang w:val="es-ES"/>
        </w:rPr>
        <w:t>.</w:t>
      </w:r>
    </w:p>
    <w:p w14:paraId="77511DF3" w14:textId="78556C66" w:rsidR="000C400A" w:rsidRPr="008D3859" w:rsidRDefault="001068BA" w:rsidP="008D60A9">
      <w:pPr>
        <w:ind w:right="-1" w:firstLine="567"/>
        <w:jc w:val="both"/>
        <w:rPr>
          <w:rFonts w:ascii="Arial" w:hAnsi="Arial" w:cs="Times New Roman (Cuerpo en alfa"/>
          <w:lang w:val="es-ES"/>
        </w:rPr>
      </w:pPr>
      <w:r w:rsidRPr="008D3859">
        <w:rPr>
          <w:rFonts w:ascii="Arial" w:hAnsi="Arial" w:cs="Times New Roman (Cuerpo en alfa"/>
          <w:lang w:val="es-ES"/>
        </w:rPr>
        <w:t>¿</w:t>
      </w:r>
      <w:r w:rsidR="00CC5EA2" w:rsidRPr="008D3859">
        <w:rPr>
          <w:rFonts w:ascii="Arial" w:hAnsi="Arial" w:cs="Times New Roman (Cuerpo en alfa"/>
          <w:lang w:val="es-ES"/>
        </w:rPr>
        <w:t xml:space="preserve">Por qué decimos que aún quedan pasos por dar en la evolución </w:t>
      </w:r>
      <w:r w:rsidRPr="008D3859">
        <w:rPr>
          <w:rFonts w:ascii="Arial" w:hAnsi="Arial" w:cs="Times New Roman (Cuerpo en alfa"/>
          <w:lang w:val="es-ES"/>
        </w:rPr>
        <w:t xml:space="preserve">que ha venido sufriendo tanto la normativa como la visión de estos procesos? El legislador de 1983 dio un paso adelante importante al atribuir a los órganos judiciales la competencia para autorizar los internamientos, pero, en esos años, aún no había madurado ni se había hecho visible, como podemos verlo hoy, que la incapacitación de las personas y su internamiento son realidades que pueden </w:t>
      </w:r>
      <w:r w:rsidR="001C7F16">
        <w:rPr>
          <w:rFonts w:ascii="Arial" w:hAnsi="Arial" w:cs="Times New Roman (Cuerpo en alfa"/>
          <w:lang w:val="es-ES"/>
        </w:rPr>
        <w:t>darse de forma completamente</w:t>
      </w:r>
      <w:r w:rsidRPr="008D3859">
        <w:rPr>
          <w:rFonts w:ascii="Arial" w:hAnsi="Arial" w:cs="Times New Roman (Cuerpo en alfa"/>
          <w:lang w:val="es-ES"/>
        </w:rPr>
        <w:t xml:space="preserve"> independiente la una de la otra. Cierto que en la práctica diaria son muchos los casos en los que una persona puede necesitar medidas de apoyo dada su discapacidad –lo que hasta el verano de 2021 denominábamos incapacitación</w:t>
      </w:r>
      <w:r w:rsidR="0052432F" w:rsidRPr="008D3859">
        <w:rPr>
          <w:rFonts w:ascii="Arial" w:hAnsi="Arial" w:cs="Times New Roman (Cuerpo en alfa"/>
          <w:lang w:val="es-ES"/>
        </w:rPr>
        <w:t>–</w:t>
      </w:r>
      <w:r w:rsidR="00AA62B6">
        <w:rPr>
          <w:rFonts w:ascii="Arial" w:hAnsi="Arial" w:cs="Times New Roman (Cuerpo en alfa"/>
          <w:lang w:val="es-ES"/>
        </w:rPr>
        <w:t>,</w:t>
      </w:r>
      <w:r w:rsidR="0052432F" w:rsidRPr="008D3859">
        <w:rPr>
          <w:rFonts w:ascii="Arial" w:hAnsi="Arial" w:cs="Times New Roman (Cuerpo en alfa"/>
          <w:lang w:val="es-ES"/>
        </w:rPr>
        <w:t xml:space="preserve"> y también </w:t>
      </w:r>
      <w:r w:rsidR="00AA62B6">
        <w:rPr>
          <w:rFonts w:ascii="Arial" w:hAnsi="Arial" w:cs="Times New Roman (Cuerpo en alfa"/>
          <w:lang w:val="es-ES"/>
        </w:rPr>
        <w:t xml:space="preserve">puede necesitar </w:t>
      </w:r>
      <w:r w:rsidR="0052432F" w:rsidRPr="008D3859">
        <w:rPr>
          <w:rFonts w:ascii="Arial" w:hAnsi="Arial" w:cs="Times New Roman (Cuerpo en alfa"/>
          <w:lang w:val="es-ES"/>
        </w:rPr>
        <w:t xml:space="preserve">ser internada o, si se prefiere, que quien es internado necesite esas medias de apoyo; pero no </w:t>
      </w:r>
      <w:r w:rsidR="001732AC">
        <w:rPr>
          <w:rFonts w:ascii="Arial" w:hAnsi="Arial" w:cs="Times New Roman (Cuerpo en alfa"/>
          <w:lang w:val="es-ES"/>
        </w:rPr>
        <w:t xml:space="preserve">es </w:t>
      </w:r>
      <w:r w:rsidR="0052432F" w:rsidRPr="008D3859">
        <w:rPr>
          <w:rFonts w:ascii="Arial" w:hAnsi="Arial" w:cs="Times New Roman (Cuerpo en alfa"/>
          <w:lang w:val="es-ES"/>
        </w:rPr>
        <w:t xml:space="preserve">menos cierto que </w:t>
      </w:r>
      <w:r w:rsidR="001C7F16">
        <w:rPr>
          <w:rFonts w:ascii="Arial" w:hAnsi="Arial" w:cs="Times New Roman (Cuerpo en alfa"/>
          <w:lang w:val="es-ES"/>
        </w:rPr>
        <w:t xml:space="preserve">es igualmente habitual que </w:t>
      </w:r>
      <w:r w:rsidR="0052432F" w:rsidRPr="008D3859">
        <w:rPr>
          <w:rFonts w:ascii="Arial" w:hAnsi="Arial" w:cs="Times New Roman (Cuerpo en alfa"/>
          <w:lang w:val="es-ES"/>
        </w:rPr>
        <w:t>hay</w:t>
      </w:r>
      <w:r w:rsidR="001C7F16">
        <w:rPr>
          <w:rFonts w:ascii="Arial" w:hAnsi="Arial" w:cs="Times New Roman (Cuerpo en alfa"/>
          <w:lang w:val="es-ES"/>
        </w:rPr>
        <w:t>a</w:t>
      </w:r>
      <w:r w:rsidR="0052432F" w:rsidRPr="008D3859">
        <w:rPr>
          <w:rFonts w:ascii="Arial" w:hAnsi="Arial" w:cs="Times New Roman (Cuerpo en alfa"/>
          <w:lang w:val="es-ES"/>
        </w:rPr>
        <w:t xml:space="preserve"> personas que, pese a que se acuerden por los tribunales medidas de apoyo</w:t>
      </w:r>
      <w:r w:rsidR="00AA62B6">
        <w:rPr>
          <w:rFonts w:ascii="Arial" w:hAnsi="Arial" w:cs="Times New Roman (Cuerpo en alfa"/>
          <w:lang w:val="es-ES"/>
        </w:rPr>
        <w:t xml:space="preserve"> en su favor</w:t>
      </w:r>
      <w:r w:rsidR="0052432F" w:rsidRPr="008D3859">
        <w:rPr>
          <w:rFonts w:ascii="Arial" w:hAnsi="Arial" w:cs="Times New Roman (Cuerpo en alfa"/>
          <w:lang w:val="es-ES"/>
        </w:rPr>
        <w:t xml:space="preserve">, no precisan ser internadas y viceversa. Está claro que en aquellos casos en los que una persona sea internada en contra de su voluntad para tratar determinados problemas de anorexia o </w:t>
      </w:r>
      <w:r w:rsidR="008D60A9">
        <w:rPr>
          <w:rFonts w:ascii="Arial" w:hAnsi="Arial" w:cs="Times New Roman (Cuerpo en alfa"/>
          <w:lang w:val="es-ES"/>
        </w:rPr>
        <w:t>los derivados de la ingesta accidental de unas setas alucinógenas</w:t>
      </w:r>
      <w:r w:rsidR="0052432F" w:rsidRPr="008D3859">
        <w:rPr>
          <w:rFonts w:ascii="Arial" w:hAnsi="Arial" w:cs="Times New Roman (Cuerpo en alfa"/>
          <w:lang w:val="es-ES"/>
        </w:rPr>
        <w:t xml:space="preserve"> no por ello</w:t>
      </w:r>
      <w:r w:rsidR="008D60A9">
        <w:rPr>
          <w:rFonts w:ascii="Arial" w:hAnsi="Arial" w:cs="Times New Roman (Cuerpo en alfa"/>
          <w:lang w:val="es-ES"/>
        </w:rPr>
        <w:t>,</w:t>
      </w:r>
      <w:r w:rsidR="0052432F" w:rsidRPr="008D3859">
        <w:rPr>
          <w:rFonts w:ascii="Arial" w:hAnsi="Arial" w:cs="Times New Roman (Cuerpo en alfa"/>
          <w:lang w:val="es-ES"/>
        </w:rPr>
        <w:t xml:space="preserve"> necesariamente</w:t>
      </w:r>
      <w:r w:rsidR="008D60A9">
        <w:rPr>
          <w:rFonts w:ascii="Arial" w:hAnsi="Arial" w:cs="Times New Roman (Cuerpo en alfa"/>
          <w:lang w:val="es-ES"/>
        </w:rPr>
        <w:t>,</w:t>
      </w:r>
      <w:r w:rsidR="0052432F" w:rsidRPr="008D3859">
        <w:rPr>
          <w:rFonts w:ascii="Arial" w:hAnsi="Arial" w:cs="Times New Roman (Cuerpo en alfa"/>
          <w:lang w:val="es-ES"/>
        </w:rPr>
        <w:t xml:space="preserve"> tiene que ser incapacitada. </w:t>
      </w:r>
      <w:r w:rsidR="005012FD" w:rsidRPr="008D3859">
        <w:rPr>
          <w:rFonts w:ascii="Arial" w:hAnsi="Arial" w:cs="Times New Roman (Cuerpo en alfa"/>
          <w:lang w:val="es-ES"/>
        </w:rPr>
        <w:t xml:space="preserve">Por otro lado, hay personas con limitaciones de capacidad </w:t>
      </w:r>
      <w:r w:rsidR="001732AC">
        <w:rPr>
          <w:rFonts w:ascii="Arial" w:hAnsi="Arial" w:cs="Times New Roman (Cuerpo en alfa"/>
          <w:lang w:val="es-ES"/>
        </w:rPr>
        <w:t xml:space="preserve">establecidas judicialmente que </w:t>
      </w:r>
      <w:r w:rsidR="005012FD" w:rsidRPr="008D3859">
        <w:rPr>
          <w:rFonts w:ascii="Arial" w:hAnsi="Arial" w:cs="Times New Roman (Cuerpo en alfa"/>
          <w:lang w:val="es-ES"/>
        </w:rPr>
        <w:t>no por ello tienen que ser internadas en un centro de atención psiquiátrica. Son pues, dos realidades distintas que</w:t>
      </w:r>
      <w:r w:rsidR="001C7F16">
        <w:rPr>
          <w:rFonts w:ascii="Arial" w:hAnsi="Arial" w:cs="Times New Roman (Cuerpo en alfa"/>
          <w:lang w:val="es-ES"/>
        </w:rPr>
        <w:t xml:space="preserve"> pueden darse, o no, en la persona de forma coincidente y que</w:t>
      </w:r>
      <w:r w:rsidR="005012FD" w:rsidRPr="008D3859">
        <w:rPr>
          <w:rFonts w:ascii="Arial" w:hAnsi="Arial" w:cs="Times New Roman (Cuerpo en alfa"/>
          <w:lang w:val="es-ES"/>
        </w:rPr>
        <w:t xml:space="preserve"> deben tener, y tienen, cauces procesales distintos. También existen herramientas </w:t>
      </w:r>
      <w:r w:rsidR="00AA62B6">
        <w:rPr>
          <w:rFonts w:ascii="Arial" w:hAnsi="Arial" w:cs="Times New Roman (Cuerpo en alfa"/>
          <w:lang w:val="es-ES"/>
        </w:rPr>
        <w:t xml:space="preserve">procesales </w:t>
      </w:r>
      <w:r w:rsidR="005012FD" w:rsidRPr="008D3859">
        <w:rPr>
          <w:rFonts w:ascii="Arial" w:hAnsi="Arial" w:cs="Times New Roman (Cuerpo en alfa"/>
          <w:lang w:val="es-ES"/>
        </w:rPr>
        <w:t>para solucionar aquellos casos en los que sea preciso tanto internar como acordar apoyos a una persona</w:t>
      </w:r>
      <w:r w:rsidR="00EA4DB0" w:rsidRPr="008D3859">
        <w:rPr>
          <w:rFonts w:ascii="Arial" w:hAnsi="Arial" w:cs="Times New Roman (Cuerpo en alfa"/>
          <w:lang w:val="es-ES"/>
        </w:rPr>
        <w:t>: la acumulación de pretensiones o la acumulación de procesos sirven adecuadamente para estos fines.</w:t>
      </w:r>
    </w:p>
    <w:p w14:paraId="01465796" w14:textId="6866EE35" w:rsidR="00F779D9" w:rsidRPr="008D3859" w:rsidRDefault="000C400A" w:rsidP="0025550C">
      <w:pPr>
        <w:pStyle w:val="Ttulo3"/>
        <w:spacing w:before="0" w:beforeAutospacing="0" w:after="0" w:afterAutospacing="0"/>
        <w:ind w:right="-1" w:firstLine="567"/>
        <w:jc w:val="both"/>
        <w:rPr>
          <w:rFonts w:ascii="Arial" w:hAnsi="Arial"/>
          <w:b w:val="0"/>
          <w:bCs w:val="0"/>
          <w:sz w:val="24"/>
          <w:szCs w:val="24"/>
          <w:lang w:val="es-ES"/>
        </w:rPr>
      </w:pPr>
      <w:r w:rsidRPr="008D3859">
        <w:rPr>
          <w:rFonts w:ascii="Arial" w:hAnsi="Arial" w:cs="Times New Roman (Cuerpo en alfa"/>
          <w:b w:val="0"/>
          <w:bCs w:val="0"/>
          <w:sz w:val="24"/>
          <w:szCs w:val="24"/>
          <w:lang w:val="es-ES"/>
        </w:rPr>
        <w:t>Aún nos queda un paso, pues, con independencia de todo lo que se va a mencionar sobre la jurisprudencia del TRIBUNAL y es dar entidad sistemática a estos procedimientos dentro de la Ley. Y la solución es muy simple. Basta con añadirle una rúbrica que anteceda al artículo 763 en la que simplemente conste, de acuerdo con la estructura actual de la LEC, «Capítulo III. De los procesos de internamiento por razón de trastorno psíquico</w:t>
      </w:r>
      <w:r w:rsidR="001732AC">
        <w:rPr>
          <w:rFonts w:ascii="Arial" w:hAnsi="Arial" w:cs="Times New Roman (Cuerpo en alfa"/>
          <w:b w:val="0"/>
          <w:bCs w:val="0"/>
          <w:sz w:val="24"/>
          <w:szCs w:val="24"/>
          <w:lang w:val="es-ES"/>
        </w:rPr>
        <w:t>»</w:t>
      </w:r>
      <w:r w:rsidRPr="008D3859">
        <w:rPr>
          <w:rFonts w:ascii="Arial" w:hAnsi="Arial" w:cs="Times New Roman (Cuerpo en alfa"/>
          <w:b w:val="0"/>
          <w:bCs w:val="0"/>
          <w:sz w:val="24"/>
          <w:szCs w:val="24"/>
          <w:lang w:val="es-ES"/>
        </w:rPr>
        <w:t>.</w:t>
      </w:r>
      <w:r w:rsidR="00EF11D3" w:rsidRPr="008D3859">
        <w:rPr>
          <w:rFonts w:ascii="Arial" w:hAnsi="Arial" w:cs="Times New Roman (Cuerpo en alfa"/>
          <w:b w:val="0"/>
          <w:bCs w:val="0"/>
          <w:sz w:val="24"/>
          <w:szCs w:val="24"/>
          <w:lang w:val="es-ES"/>
        </w:rPr>
        <w:t xml:space="preserve"> En este sentido una </w:t>
      </w:r>
      <w:r w:rsidR="00F779D9" w:rsidRPr="008D3859">
        <w:rPr>
          <w:rFonts w:ascii="Arial" w:hAnsi="Arial" w:cs="Times New Roman (Cuerpo en alfa"/>
          <w:b w:val="0"/>
          <w:bCs w:val="0"/>
          <w:sz w:val="24"/>
          <w:szCs w:val="24"/>
          <w:lang w:val="es-ES"/>
        </w:rPr>
        <w:t>valoración</w:t>
      </w:r>
      <w:r w:rsidR="00EF11D3" w:rsidRPr="008D3859">
        <w:rPr>
          <w:rFonts w:ascii="Arial" w:hAnsi="Arial" w:cs="Times New Roman (Cuerpo en alfa"/>
          <w:b w:val="0"/>
          <w:bCs w:val="0"/>
          <w:sz w:val="24"/>
          <w:szCs w:val="24"/>
          <w:lang w:val="es-ES"/>
        </w:rPr>
        <w:t xml:space="preserve"> </w:t>
      </w:r>
      <w:r w:rsidR="00EF0D6D" w:rsidRPr="008D3859">
        <w:rPr>
          <w:rFonts w:ascii="Arial" w:hAnsi="Arial" w:cs="Times New Roman (Cuerpo en alfa"/>
          <w:b w:val="0"/>
          <w:bCs w:val="0"/>
          <w:sz w:val="24"/>
          <w:szCs w:val="24"/>
          <w:lang w:val="es-ES"/>
        </w:rPr>
        <w:t xml:space="preserve">muy positiva </w:t>
      </w:r>
      <w:r w:rsidR="00EF11D3" w:rsidRPr="008D3859">
        <w:rPr>
          <w:rFonts w:ascii="Arial" w:hAnsi="Arial" w:cs="Times New Roman (Cuerpo en alfa"/>
          <w:b w:val="0"/>
          <w:bCs w:val="0"/>
          <w:sz w:val="24"/>
          <w:szCs w:val="24"/>
          <w:lang w:val="es-ES"/>
        </w:rPr>
        <w:t xml:space="preserve">merece </w:t>
      </w:r>
      <w:r w:rsidR="00F779D9" w:rsidRPr="008D3859">
        <w:rPr>
          <w:rFonts w:ascii="Arial" w:hAnsi="Arial" w:cs="Times New Roman (Cuerpo en alfa"/>
          <w:b w:val="0"/>
          <w:bCs w:val="0"/>
          <w:sz w:val="24"/>
          <w:szCs w:val="24"/>
          <w:lang w:val="es-ES"/>
        </w:rPr>
        <w:t xml:space="preserve">ser expresada al respecto. </w:t>
      </w:r>
      <w:r w:rsidR="00EF0D6D" w:rsidRPr="008D3859">
        <w:rPr>
          <w:rFonts w:ascii="Arial" w:hAnsi="Arial" w:cs="Times New Roman (Cuerpo en alfa"/>
          <w:b w:val="0"/>
          <w:bCs w:val="0"/>
          <w:sz w:val="24"/>
          <w:szCs w:val="24"/>
          <w:lang w:val="es-ES"/>
        </w:rPr>
        <w:t>Hay que entender que, a</w:t>
      </w:r>
      <w:r w:rsidR="00F779D9" w:rsidRPr="008D3859">
        <w:rPr>
          <w:rFonts w:ascii="Arial" w:hAnsi="Arial" w:cs="Times New Roman (Cuerpo en alfa"/>
          <w:b w:val="0"/>
          <w:bCs w:val="0"/>
          <w:sz w:val="24"/>
          <w:szCs w:val="24"/>
          <w:lang w:val="es-ES"/>
        </w:rPr>
        <w:t>l elaborar la Ley 8</w:t>
      </w:r>
      <w:r w:rsidR="001C7F16">
        <w:rPr>
          <w:rFonts w:ascii="Arial" w:hAnsi="Arial" w:cs="Times New Roman (Cuerpo en alfa"/>
          <w:b w:val="0"/>
          <w:bCs w:val="0"/>
          <w:sz w:val="24"/>
          <w:szCs w:val="24"/>
          <w:lang w:val="es-ES"/>
        </w:rPr>
        <w:t>,</w:t>
      </w:r>
      <w:r w:rsidR="00F779D9" w:rsidRPr="008D3859">
        <w:rPr>
          <w:rFonts w:ascii="Arial" w:hAnsi="Arial" w:cs="Times New Roman (Cuerpo en alfa"/>
          <w:b w:val="0"/>
          <w:bCs w:val="0"/>
          <w:sz w:val="24"/>
          <w:szCs w:val="24"/>
          <w:lang w:val="es-ES"/>
        </w:rPr>
        <w:t xml:space="preserve"> de 2 de junio de 2021, que ha modificado en profundidad la legislación civil y procesal </w:t>
      </w:r>
      <w:r w:rsidR="00F779D9" w:rsidRPr="008D3859">
        <w:rPr>
          <w:rFonts w:ascii="Arial" w:hAnsi="Arial"/>
          <w:b w:val="0"/>
          <w:bCs w:val="0"/>
          <w:sz w:val="24"/>
          <w:szCs w:val="24"/>
          <w:lang w:val="es-ES"/>
        </w:rPr>
        <w:t>regulando todo lo relativo a</w:t>
      </w:r>
      <w:r w:rsidR="00F779D9" w:rsidRPr="008D3859">
        <w:rPr>
          <w:rFonts w:ascii="Arial" w:hAnsi="Arial"/>
          <w:b w:val="0"/>
          <w:bCs w:val="0"/>
          <w:sz w:val="24"/>
          <w:szCs w:val="24"/>
        </w:rPr>
        <w:t xml:space="preserve">l </w:t>
      </w:r>
      <w:r w:rsidR="00F779D9" w:rsidRPr="008D3859">
        <w:rPr>
          <w:rFonts w:ascii="Arial" w:hAnsi="Arial"/>
          <w:b w:val="0"/>
          <w:bCs w:val="0"/>
          <w:sz w:val="24"/>
          <w:szCs w:val="24"/>
          <w:lang w:val="es-ES"/>
        </w:rPr>
        <w:t>«</w:t>
      </w:r>
      <w:r w:rsidR="00F779D9" w:rsidRPr="008D3859">
        <w:rPr>
          <w:rFonts w:ascii="Arial" w:hAnsi="Arial"/>
          <w:b w:val="0"/>
          <w:bCs w:val="0"/>
          <w:sz w:val="24"/>
          <w:szCs w:val="24"/>
        </w:rPr>
        <w:t>apoyo a las personas con discapacidad en el ejercicio de su capacidad jurídica</w:t>
      </w:r>
      <w:r w:rsidR="00F779D9" w:rsidRPr="008D3859">
        <w:rPr>
          <w:rFonts w:ascii="Arial" w:hAnsi="Arial"/>
          <w:b w:val="0"/>
          <w:bCs w:val="0"/>
          <w:sz w:val="24"/>
          <w:szCs w:val="24"/>
          <w:lang w:val="es-ES"/>
        </w:rPr>
        <w:t>»</w:t>
      </w:r>
      <w:r w:rsidR="00EF0D6D" w:rsidRPr="008D3859">
        <w:rPr>
          <w:rFonts w:ascii="Arial" w:hAnsi="Arial"/>
          <w:b w:val="0"/>
          <w:bCs w:val="0"/>
          <w:sz w:val="24"/>
          <w:szCs w:val="24"/>
          <w:lang w:val="es-ES"/>
        </w:rPr>
        <w:t>, el legislador ha actuado con todo acierto al no tocar ni un punto de la regulación de los procesos de internamiento y dejar para una ocasión más propicia una reforma que tendrá que venir de la mano de esa nueva visión que otorga a los procedimientos de internamiento su propia autonomía</w:t>
      </w:r>
      <w:r w:rsidR="00AA62B6">
        <w:rPr>
          <w:rFonts w:ascii="Arial" w:hAnsi="Arial"/>
          <w:b w:val="0"/>
          <w:bCs w:val="0"/>
          <w:sz w:val="24"/>
          <w:szCs w:val="24"/>
          <w:lang w:val="es-ES"/>
        </w:rPr>
        <w:t xml:space="preserve"> </w:t>
      </w:r>
      <w:r w:rsidR="001C7F16">
        <w:rPr>
          <w:rFonts w:ascii="Arial" w:hAnsi="Arial"/>
          <w:b w:val="0"/>
          <w:bCs w:val="0"/>
          <w:sz w:val="24"/>
          <w:szCs w:val="24"/>
          <w:lang w:val="es-ES"/>
        </w:rPr>
        <w:t>teniendo en cuenta</w:t>
      </w:r>
      <w:r w:rsidR="00AA62B6" w:rsidRPr="008D3859">
        <w:rPr>
          <w:rFonts w:ascii="Arial" w:hAnsi="Arial"/>
          <w:b w:val="0"/>
          <w:bCs w:val="0"/>
          <w:sz w:val="24"/>
          <w:szCs w:val="24"/>
          <w:lang w:val="es-ES"/>
        </w:rPr>
        <w:t>, obviamente,</w:t>
      </w:r>
      <w:r w:rsidR="001C7F16">
        <w:rPr>
          <w:rFonts w:ascii="Arial" w:hAnsi="Arial"/>
          <w:b w:val="0"/>
          <w:bCs w:val="0"/>
          <w:sz w:val="24"/>
          <w:szCs w:val="24"/>
          <w:lang w:val="es-ES"/>
        </w:rPr>
        <w:t xml:space="preserve"> </w:t>
      </w:r>
      <w:r w:rsidR="00EF0D6D" w:rsidRPr="008D3859">
        <w:rPr>
          <w:rFonts w:ascii="Arial" w:hAnsi="Arial"/>
          <w:b w:val="0"/>
          <w:bCs w:val="0"/>
          <w:sz w:val="24"/>
          <w:szCs w:val="24"/>
          <w:lang w:val="es-ES"/>
        </w:rPr>
        <w:t>la jurisprudencia del Tribunal Europeo de Derechos Humanos.</w:t>
      </w:r>
    </w:p>
    <w:p w14:paraId="69291DFB" w14:textId="64706B24" w:rsidR="00022351" w:rsidRPr="00F563D8" w:rsidRDefault="00022351" w:rsidP="0025550C">
      <w:pPr>
        <w:pStyle w:val="Ttulo3"/>
        <w:spacing w:before="0" w:beforeAutospacing="0" w:after="0" w:afterAutospacing="0"/>
        <w:ind w:right="-1"/>
        <w:jc w:val="both"/>
        <w:rPr>
          <w:rFonts w:ascii="Arial" w:hAnsi="Arial"/>
          <w:b w:val="0"/>
          <w:bCs w:val="0"/>
          <w:sz w:val="10"/>
          <w:szCs w:val="10"/>
          <w:lang w:val="es-ES"/>
        </w:rPr>
      </w:pPr>
    </w:p>
    <w:p w14:paraId="74C774D7" w14:textId="522EB206" w:rsidR="0047429F" w:rsidRDefault="0047429F" w:rsidP="0025550C">
      <w:pPr>
        <w:pStyle w:val="Ttulo3"/>
        <w:spacing w:before="0" w:beforeAutospacing="0" w:after="0" w:afterAutospacing="0"/>
        <w:ind w:right="-1" w:firstLine="567"/>
        <w:jc w:val="both"/>
        <w:rPr>
          <w:rFonts w:ascii="Arial" w:hAnsi="Arial"/>
          <w:b w:val="0"/>
          <w:bCs w:val="0"/>
          <w:sz w:val="24"/>
          <w:szCs w:val="24"/>
          <w:lang w:val="es-ES"/>
        </w:rPr>
      </w:pPr>
      <w:r>
        <w:rPr>
          <w:rFonts w:ascii="Arial" w:hAnsi="Arial"/>
          <w:b w:val="0"/>
          <w:bCs w:val="0"/>
          <w:sz w:val="24"/>
          <w:szCs w:val="24"/>
          <w:lang w:val="es-ES"/>
        </w:rPr>
        <w:t>2. Regulación procesal actual</w:t>
      </w:r>
    </w:p>
    <w:p w14:paraId="07BBF8D9" w14:textId="4D06C0C4" w:rsidR="004F1AEA" w:rsidRDefault="003C0A9B" w:rsidP="0025550C">
      <w:pPr>
        <w:pStyle w:val="Ttulo3"/>
        <w:spacing w:before="0" w:beforeAutospacing="0" w:after="0" w:afterAutospacing="0"/>
        <w:ind w:right="-1" w:firstLine="567"/>
        <w:jc w:val="both"/>
        <w:rPr>
          <w:rFonts w:ascii="Arial" w:hAnsi="Arial"/>
          <w:b w:val="0"/>
          <w:bCs w:val="0"/>
          <w:sz w:val="24"/>
          <w:szCs w:val="24"/>
          <w:lang w:val="es-ES"/>
        </w:rPr>
      </w:pPr>
      <w:r>
        <w:rPr>
          <w:rFonts w:ascii="Arial" w:hAnsi="Arial"/>
          <w:b w:val="0"/>
          <w:bCs w:val="0"/>
          <w:sz w:val="24"/>
          <w:szCs w:val="24"/>
          <w:lang w:val="es-ES"/>
        </w:rPr>
        <w:t>En el sistema español existen, como suele ser habitual en el conjunto de los sistemas jurídicos, dos procedimientos. Uno de esos procedimientos es el que se utiliza en aquellos casos en los que no existen motivos para internar de forma urgente a una persona. En este trabajo denominamos a los mismos procedimientos de autorización, ya que en estos supuestos la autorización judicial debe ser previa al internamiento. El segundo procedimiento es de aplicación en los casos en los que se procede a internar por motivos de urgencia a una persona</w:t>
      </w:r>
      <w:r w:rsidR="00EF3A06">
        <w:rPr>
          <w:rFonts w:ascii="Arial" w:hAnsi="Arial"/>
          <w:b w:val="0"/>
          <w:bCs w:val="0"/>
          <w:sz w:val="24"/>
          <w:szCs w:val="24"/>
          <w:lang w:val="es-ES"/>
        </w:rPr>
        <w:t xml:space="preserve">. En tales situaciones la autorización del internamiento se produce </w:t>
      </w:r>
      <w:r w:rsidR="00EF3A06">
        <w:rPr>
          <w:rFonts w:ascii="Arial" w:hAnsi="Arial"/>
          <w:b w:val="0"/>
          <w:bCs w:val="0"/>
          <w:i/>
          <w:iCs/>
          <w:sz w:val="24"/>
          <w:szCs w:val="24"/>
          <w:lang w:val="es-ES"/>
        </w:rPr>
        <w:t>a posteriori</w:t>
      </w:r>
      <w:r w:rsidR="00EF3A06">
        <w:rPr>
          <w:rFonts w:ascii="Arial" w:hAnsi="Arial"/>
          <w:b w:val="0"/>
          <w:bCs w:val="0"/>
          <w:sz w:val="24"/>
          <w:szCs w:val="24"/>
          <w:lang w:val="es-ES"/>
        </w:rPr>
        <w:t xml:space="preserve"> ratificando, o no, el internamiento ya producido. En estas páginas los denominamos procedimientos de ratificación.</w:t>
      </w:r>
    </w:p>
    <w:p w14:paraId="4EF2691C" w14:textId="77777777" w:rsidR="004F1AEA" w:rsidRPr="004F1AEA" w:rsidRDefault="004F1AEA" w:rsidP="0025550C">
      <w:pPr>
        <w:pStyle w:val="Ttulo3"/>
        <w:spacing w:before="0" w:beforeAutospacing="0" w:after="0" w:afterAutospacing="0"/>
        <w:ind w:right="-1" w:firstLine="567"/>
        <w:jc w:val="both"/>
        <w:rPr>
          <w:rFonts w:ascii="Arial" w:hAnsi="Arial"/>
          <w:b w:val="0"/>
          <w:bCs w:val="0"/>
          <w:sz w:val="10"/>
          <w:szCs w:val="10"/>
          <w:lang w:val="es-ES"/>
        </w:rPr>
      </w:pPr>
    </w:p>
    <w:p w14:paraId="5347E768" w14:textId="77777777" w:rsidR="008D60A9" w:rsidRDefault="001B0C30" w:rsidP="0025550C">
      <w:pPr>
        <w:pStyle w:val="Ttulo3"/>
        <w:spacing w:before="0" w:beforeAutospacing="0" w:after="0" w:afterAutospacing="0"/>
        <w:ind w:right="-1" w:firstLine="567"/>
        <w:jc w:val="both"/>
        <w:rPr>
          <w:rFonts w:ascii="Arial" w:hAnsi="Arial"/>
          <w:b w:val="0"/>
          <w:bCs w:val="0"/>
          <w:sz w:val="24"/>
          <w:szCs w:val="24"/>
          <w:lang w:val="es-ES"/>
        </w:rPr>
      </w:pPr>
      <w:r>
        <w:rPr>
          <w:rFonts w:ascii="Arial" w:hAnsi="Arial"/>
          <w:b w:val="0"/>
          <w:bCs w:val="0"/>
          <w:sz w:val="24"/>
          <w:szCs w:val="24"/>
          <w:lang w:val="es-ES"/>
        </w:rPr>
        <w:t>a)</w:t>
      </w:r>
      <w:r w:rsidR="004F1AEA">
        <w:rPr>
          <w:rFonts w:ascii="Arial" w:hAnsi="Arial"/>
          <w:b w:val="0"/>
          <w:bCs w:val="0"/>
          <w:sz w:val="24"/>
          <w:szCs w:val="24"/>
          <w:lang w:val="es-ES"/>
        </w:rPr>
        <w:t xml:space="preserve"> Normas derivadas de las disposiciones generales (arts. 748 y ss.</w:t>
      </w:r>
      <w:r w:rsidR="008D60A9">
        <w:rPr>
          <w:rFonts w:ascii="Arial" w:hAnsi="Arial"/>
          <w:b w:val="0"/>
          <w:bCs w:val="0"/>
          <w:sz w:val="24"/>
          <w:szCs w:val="24"/>
          <w:lang w:val="es-ES"/>
        </w:rPr>
        <w:t xml:space="preserve"> de la </w:t>
      </w:r>
    </w:p>
    <w:p w14:paraId="00FAB15A" w14:textId="1D301D3E" w:rsidR="004F1AEA" w:rsidRDefault="008D60A9" w:rsidP="0025550C">
      <w:pPr>
        <w:pStyle w:val="Ttulo3"/>
        <w:spacing w:before="0" w:beforeAutospacing="0" w:after="0" w:afterAutospacing="0"/>
        <w:ind w:right="-1" w:firstLine="567"/>
        <w:jc w:val="both"/>
        <w:rPr>
          <w:rFonts w:ascii="Arial" w:hAnsi="Arial"/>
          <w:b w:val="0"/>
          <w:bCs w:val="0"/>
          <w:sz w:val="24"/>
          <w:szCs w:val="24"/>
          <w:lang w:val="es-ES"/>
        </w:rPr>
      </w:pPr>
      <w:r>
        <w:rPr>
          <w:rFonts w:ascii="Arial" w:hAnsi="Arial"/>
          <w:b w:val="0"/>
          <w:bCs w:val="0"/>
          <w:sz w:val="24"/>
          <w:szCs w:val="24"/>
          <w:lang w:val="es-ES"/>
        </w:rPr>
        <w:t xml:space="preserve">    LEC</w:t>
      </w:r>
      <w:r w:rsidR="004F1AEA">
        <w:rPr>
          <w:rFonts w:ascii="Arial" w:hAnsi="Arial"/>
          <w:b w:val="0"/>
          <w:bCs w:val="0"/>
          <w:sz w:val="24"/>
          <w:szCs w:val="24"/>
          <w:lang w:val="es-ES"/>
        </w:rPr>
        <w:t>)</w:t>
      </w:r>
    </w:p>
    <w:p w14:paraId="5FE404A9" w14:textId="713FBEF4" w:rsidR="00CC2EDA" w:rsidRDefault="005A07DF" w:rsidP="0025550C">
      <w:pPr>
        <w:pStyle w:val="Ttulo3"/>
        <w:spacing w:before="0" w:beforeAutospacing="0" w:after="0" w:afterAutospacing="0"/>
        <w:ind w:right="-1" w:firstLine="567"/>
        <w:jc w:val="both"/>
        <w:rPr>
          <w:rFonts w:ascii="Arial" w:hAnsi="Arial"/>
          <w:b w:val="0"/>
          <w:bCs w:val="0"/>
          <w:sz w:val="24"/>
          <w:szCs w:val="24"/>
          <w:lang w:val="es-ES"/>
        </w:rPr>
      </w:pPr>
      <w:r>
        <w:rPr>
          <w:rFonts w:ascii="Arial" w:hAnsi="Arial"/>
          <w:b w:val="0"/>
          <w:bCs w:val="0"/>
          <w:sz w:val="24"/>
          <w:szCs w:val="24"/>
          <w:lang w:val="es-ES"/>
        </w:rPr>
        <w:t>Las normas que regulan estos procedimientos vienen recogidas, de una parte, en el artículo 763 de la LE</w:t>
      </w:r>
      <w:r w:rsidR="00CC2035">
        <w:rPr>
          <w:rFonts w:ascii="Arial" w:hAnsi="Arial"/>
          <w:b w:val="0"/>
          <w:bCs w:val="0"/>
          <w:sz w:val="24"/>
          <w:szCs w:val="24"/>
          <w:lang w:val="es-ES"/>
        </w:rPr>
        <w:t>C</w:t>
      </w:r>
      <w:r w:rsidR="00423FE2">
        <w:rPr>
          <w:rFonts w:ascii="Arial" w:hAnsi="Arial"/>
          <w:b w:val="0"/>
          <w:bCs w:val="0"/>
          <w:sz w:val="24"/>
          <w:szCs w:val="24"/>
          <w:lang w:val="es-ES"/>
        </w:rPr>
        <w:t>,</w:t>
      </w:r>
      <w:r>
        <w:rPr>
          <w:rFonts w:ascii="Arial" w:hAnsi="Arial"/>
          <w:b w:val="0"/>
          <w:bCs w:val="0"/>
          <w:sz w:val="24"/>
          <w:szCs w:val="24"/>
          <w:lang w:val="es-ES"/>
        </w:rPr>
        <w:t xml:space="preserve"> </w:t>
      </w:r>
      <w:r w:rsidR="00423FE2">
        <w:rPr>
          <w:rFonts w:ascii="Arial" w:hAnsi="Arial"/>
          <w:b w:val="0"/>
          <w:bCs w:val="0"/>
          <w:sz w:val="24"/>
          <w:szCs w:val="24"/>
          <w:lang w:val="es-ES"/>
        </w:rPr>
        <w:t>p</w:t>
      </w:r>
      <w:r w:rsidR="001B0C30">
        <w:rPr>
          <w:rFonts w:ascii="Arial" w:hAnsi="Arial"/>
          <w:b w:val="0"/>
          <w:bCs w:val="0"/>
          <w:sz w:val="24"/>
          <w:szCs w:val="24"/>
          <w:lang w:val="es-ES"/>
        </w:rPr>
        <w:t xml:space="preserve">ero, además, </w:t>
      </w:r>
      <w:r w:rsidR="00423FE2">
        <w:rPr>
          <w:rFonts w:ascii="Arial" w:hAnsi="Arial"/>
          <w:b w:val="0"/>
          <w:bCs w:val="0"/>
          <w:sz w:val="24"/>
          <w:szCs w:val="24"/>
          <w:lang w:val="es-ES"/>
        </w:rPr>
        <w:t xml:space="preserve">es preciso tener en cuenta que </w:t>
      </w:r>
      <w:r>
        <w:rPr>
          <w:rFonts w:ascii="Arial" w:hAnsi="Arial"/>
          <w:b w:val="0"/>
          <w:bCs w:val="0"/>
          <w:sz w:val="24"/>
          <w:szCs w:val="24"/>
          <w:lang w:val="es-ES"/>
        </w:rPr>
        <w:t>existe una serie de artículos que recogen</w:t>
      </w:r>
      <w:r w:rsidR="00CE5F81">
        <w:rPr>
          <w:rFonts w:ascii="Arial" w:hAnsi="Arial"/>
          <w:b w:val="0"/>
          <w:bCs w:val="0"/>
          <w:sz w:val="24"/>
          <w:szCs w:val="24"/>
          <w:lang w:val="es-ES"/>
        </w:rPr>
        <w:t xml:space="preserve"> </w:t>
      </w:r>
      <w:r>
        <w:rPr>
          <w:rFonts w:ascii="Arial" w:hAnsi="Arial"/>
          <w:b w:val="0"/>
          <w:bCs w:val="0"/>
          <w:sz w:val="24"/>
          <w:szCs w:val="24"/>
          <w:lang w:val="es-ES"/>
        </w:rPr>
        <w:t>normas generales que afectan a estos procedimientos</w:t>
      </w:r>
      <w:r w:rsidR="00CC2EDA">
        <w:rPr>
          <w:rFonts w:ascii="Arial" w:hAnsi="Arial"/>
          <w:b w:val="0"/>
          <w:bCs w:val="0"/>
          <w:sz w:val="24"/>
          <w:szCs w:val="24"/>
          <w:lang w:val="es-ES"/>
        </w:rPr>
        <w:t xml:space="preserve">, </w:t>
      </w:r>
      <w:r>
        <w:rPr>
          <w:rFonts w:ascii="Arial" w:hAnsi="Arial"/>
          <w:b w:val="0"/>
          <w:bCs w:val="0"/>
          <w:sz w:val="24"/>
          <w:szCs w:val="24"/>
          <w:lang w:val="es-ES"/>
        </w:rPr>
        <w:t xml:space="preserve">así como a </w:t>
      </w:r>
      <w:r w:rsidR="00423FE2">
        <w:rPr>
          <w:rFonts w:ascii="Arial" w:hAnsi="Arial"/>
          <w:b w:val="0"/>
          <w:bCs w:val="0"/>
          <w:sz w:val="24"/>
          <w:szCs w:val="24"/>
          <w:lang w:val="es-ES"/>
        </w:rPr>
        <w:t xml:space="preserve">todos los regulados </w:t>
      </w:r>
      <w:r>
        <w:rPr>
          <w:rFonts w:ascii="Arial" w:hAnsi="Arial"/>
          <w:b w:val="0"/>
          <w:bCs w:val="0"/>
          <w:sz w:val="24"/>
          <w:szCs w:val="24"/>
          <w:lang w:val="es-ES"/>
        </w:rPr>
        <w:t xml:space="preserve">en </w:t>
      </w:r>
      <w:r w:rsidR="001B0C30">
        <w:rPr>
          <w:rFonts w:ascii="Arial" w:hAnsi="Arial"/>
          <w:b w:val="0"/>
          <w:bCs w:val="0"/>
          <w:sz w:val="24"/>
          <w:szCs w:val="24"/>
          <w:lang w:val="es-ES"/>
        </w:rPr>
        <w:t>el Titulo</w:t>
      </w:r>
      <w:r w:rsidR="00423FE2">
        <w:rPr>
          <w:rFonts w:ascii="Arial" w:hAnsi="Arial"/>
          <w:b w:val="0"/>
          <w:bCs w:val="0"/>
          <w:sz w:val="24"/>
          <w:szCs w:val="24"/>
          <w:lang w:val="es-ES"/>
        </w:rPr>
        <w:t xml:space="preserve"> I donde están ubicados los procedimientos de internamiento</w:t>
      </w:r>
      <w:r w:rsidR="00F02BF9">
        <w:rPr>
          <w:rFonts w:ascii="Arial" w:hAnsi="Arial"/>
          <w:b w:val="0"/>
          <w:bCs w:val="0"/>
          <w:sz w:val="24"/>
          <w:szCs w:val="24"/>
          <w:lang w:val="es-ES"/>
        </w:rPr>
        <w:t xml:space="preserve"> (adopción de medidas judiciales de apoyo a personas con discapacidad, </w:t>
      </w:r>
      <w:r w:rsidR="00CE5F81">
        <w:rPr>
          <w:rFonts w:ascii="Arial" w:hAnsi="Arial"/>
          <w:b w:val="0"/>
          <w:bCs w:val="0"/>
          <w:sz w:val="24"/>
          <w:szCs w:val="24"/>
          <w:lang w:val="es-ES"/>
        </w:rPr>
        <w:t>separación y divorcio matrimoniales,</w:t>
      </w:r>
      <w:r w:rsidR="00F02BF9">
        <w:rPr>
          <w:rFonts w:ascii="Arial" w:hAnsi="Arial"/>
          <w:b w:val="0"/>
          <w:bCs w:val="0"/>
          <w:sz w:val="24"/>
          <w:szCs w:val="24"/>
          <w:lang w:val="es-ES"/>
        </w:rPr>
        <w:t xml:space="preserve"> menores </w:t>
      </w:r>
      <w:r w:rsidR="00CC2EDA">
        <w:rPr>
          <w:rFonts w:ascii="Arial" w:hAnsi="Arial"/>
          <w:b w:val="0"/>
          <w:bCs w:val="0"/>
          <w:sz w:val="24"/>
          <w:szCs w:val="24"/>
          <w:lang w:val="es-ES"/>
        </w:rPr>
        <w:t>y otros</w:t>
      </w:r>
      <w:r w:rsidR="00F02BF9">
        <w:rPr>
          <w:rFonts w:ascii="Arial" w:hAnsi="Arial"/>
          <w:b w:val="0"/>
          <w:bCs w:val="0"/>
          <w:sz w:val="24"/>
          <w:szCs w:val="24"/>
          <w:lang w:val="es-ES"/>
        </w:rPr>
        <w:t>)</w:t>
      </w:r>
      <w:r w:rsidR="00CC2EDA">
        <w:rPr>
          <w:rFonts w:ascii="Arial" w:hAnsi="Arial"/>
          <w:b w:val="0"/>
          <w:bCs w:val="0"/>
          <w:sz w:val="24"/>
          <w:szCs w:val="24"/>
          <w:lang w:val="es-ES"/>
        </w:rPr>
        <w:t>. Comenzaremos</w:t>
      </w:r>
      <w:r w:rsidR="00423FE2">
        <w:rPr>
          <w:rFonts w:ascii="Arial" w:hAnsi="Arial"/>
          <w:b w:val="0"/>
          <w:bCs w:val="0"/>
          <w:sz w:val="24"/>
          <w:szCs w:val="24"/>
          <w:lang w:val="es-ES"/>
        </w:rPr>
        <w:t xml:space="preserve">, pues, nuestro estudio de estos artículos </w:t>
      </w:r>
      <w:r w:rsidR="00CC2EDA">
        <w:rPr>
          <w:rFonts w:ascii="Arial" w:hAnsi="Arial"/>
          <w:b w:val="0"/>
          <w:bCs w:val="0"/>
          <w:sz w:val="24"/>
          <w:szCs w:val="24"/>
          <w:lang w:val="es-ES"/>
        </w:rPr>
        <w:t>por estos últimos</w:t>
      </w:r>
      <w:r w:rsidR="00423FE2">
        <w:rPr>
          <w:rFonts w:ascii="Arial" w:hAnsi="Arial"/>
          <w:b w:val="0"/>
          <w:bCs w:val="0"/>
          <w:sz w:val="24"/>
          <w:szCs w:val="24"/>
          <w:lang w:val="es-ES"/>
        </w:rPr>
        <w:t>,</w:t>
      </w:r>
      <w:r w:rsidR="001B0C30">
        <w:rPr>
          <w:rFonts w:ascii="Arial" w:hAnsi="Arial"/>
          <w:b w:val="0"/>
          <w:bCs w:val="0"/>
          <w:sz w:val="24"/>
          <w:szCs w:val="24"/>
          <w:lang w:val="es-ES"/>
        </w:rPr>
        <w:t xml:space="preserve"> relativos a las disposiciones generales</w:t>
      </w:r>
      <w:r w:rsidR="00CC2EDA">
        <w:rPr>
          <w:rFonts w:ascii="Arial" w:hAnsi="Arial"/>
          <w:b w:val="0"/>
          <w:bCs w:val="0"/>
          <w:sz w:val="24"/>
          <w:szCs w:val="24"/>
          <w:lang w:val="es-ES"/>
        </w:rPr>
        <w:t xml:space="preserve">. Recogidos por los artículos 748 y siguientes, afectan a los procesos de internamiento los </w:t>
      </w:r>
      <w:r w:rsidR="001B0C30">
        <w:rPr>
          <w:rFonts w:ascii="Arial" w:hAnsi="Arial"/>
          <w:b w:val="0"/>
          <w:bCs w:val="0"/>
          <w:sz w:val="24"/>
          <w:szCs w:val="24"/>
          <w:lang w:val="es-ES"/>
        </w:rPr>
        <w:t>que se mencionan en los párrafos que siguen.</w:t>
      </w:r>
    </w:p>
    <w:p w14:paraId="70289EA5" w14:textId="15F79A13" w:rsidR="00CC2EDA" w:rsidRDefault="00B52604" w:rsidP="0025550C">
      <w:pPr>
        <w:ind w:right="-1"/>
        <w:jc w:val="both"/>
        <w:rPr>
          <w:rFonts w:ascii="Arial" w:eastAsia="Times New Roman" w:hAnsi="Arial" w:cs="Arial"/>
          <w:lang w:val="es-ES" w:eastAsia="es-ES_tradnl"/>
        </w:rPr>
      </w:pPr>
      <w:r>
        <w:rPr>
          <w:rFonts w:ascii="Arial" w:hAnsi="Arial" w:cs="Arial"/>
          <w:lang w:val="es-ES"/>
        </w:rPr>
        <w:t xml:space="preserve">       </w:t>
      </w:r>
      <w:r w:rsidR="00CC2EDA" w:rsidRPr="00CC2EDA">
        <w:rPr>
          <w:rFonts w:ascii="Arial" w:hAnsi="Arial" w:cs="Arial"/>
          <w:lang w:val="es-ES"/>
        </w:rPr>
        <w:t xml:space="preserve">Artículo 749. </w:t>
      </w:r>
      <w:r w:rsidR="001B0C30">
        <w:rPr>
          <w:rFonts w:ascii="Arial" w:hAnsi="Arial" w:cs="Arial"/>
          <w:lang w:val="es-ES"/>
        </w:rPr>
        <w:t>En</w:t>
      </w:r>
      <w:r w:rsidR="00CC2EDA" w:rsidRPr="00CC2EDA">
        <w:rPr>
          <w:rFonts w:ascii="Arial" w:hAnsi="Arial" w:cs="Arial"/>
          <w:lang w:val="es-ES"/>
        </w:rPr>
        <w:t xml:space="preserve"> estos procedimientos es preceptiva la intervención del Ministerio Fiscal, «</w:t>
      </w:r>
      <w:r w:rsidR="00CC2EDA" w:rsidRPr="00CC2EDA">
        <w:rPr>
          <w:rFonts w:ascii="Arial" w:eastAsia="Times New Roman" w:hAnsi="Arial" w:cs="Arial"/>
          <w:lang w:eastAsia="es-ES_tradnl"/>
        </w:rPr>
        <w:t>aunque no haya sido promotor de los mismos ni deba, conforme a la ley, asumir la defensa de alguna de las partes</w:t>
      </w:r>
      <w:r w:rsidR="00A75B34">
        <w:rPr>
          <w:rFonts w:ascii="Arial" w:eastAsia="Times New Roman" w:hAnsi="Arial" w:cs="Arial"/>
          <w:lang w:val="es-ES" w:eastAsia="es-ES_tradnl"/>
        </w:rPr>
        <w:t>». Es cierto que no se menciona de forma específica que el Fiscal deba intervenir en los procesos de internamiento</w:t>
      </w:r>
      <w:r w:rsidR="00180FBA">
        <w:rPr>
          <w:rFonts w:ascii="Arial" w:eastAsia="Times New Roman" w:hAnsi="Arial" w:cs="Arial"/>
          <w:lang w:val="es-ES" w:eastAsia="es-ES_tradnl"/>
        </w:rPr>
        <w:t xml:space="preserve"> ni en el artículo 749 ni en el 763</w:t>
      </w:r>
      <w:r w:rsidR="00554CD7">
        <w:rPr>
          <w:rFonts w:ascii="Arial" w:eastAsia="Times New Roman" w:hAnsi="Arial" w:cs="Arial"/>
          <w:lang w:val="es-ES" w:eastAsia="es-ES_tradnl"/>
        </w:rPr>
        <w:t>;</w:t>
      </w:r>
      <w:r w:rsidR="00A75B34">
        <w:rPr>
          <w:rFonts w:ascii="Arial" w:eastAsia="Times New Roman" w:hAnsi="Arial" w:cs="Arial"/>
          <w:lang w:val="es-ES" w:eastAsia="es-ES_tradnl"/>
        </w:rPr>
        <w:t xml:space="preserve"> </w:t>
      </w:r>
      <w:r>
        <w:rPr>
          <w:rFonts w:ascii="Arial" w:eastAsia="Times New Roman" w:hAnsi="Arial" w:cs="Arial"/>
          <w:lang w:val="es-ES" w:eastAsia="es-ES_tradnl"/>
        </w:rPr>
        <w:t>sin embargo, hay que entender que la pauta que marca el artículo 749 alcanza igualmente a estos procesos</w:t>
      </w:r>
      <w:r w:rsidR="005343EA">
        <w:rPr>
          <w:rFonts w:ascii="Arial" w:eastAsia="Times New Roman" w:hAnsi="Arial" w:cs="Arial"/>
          <w:lang w:val="es-ES" w:eastAsia="es-ES_tradnl"/>
        </w:rPr>
        <w:t xml:space="preserve">. </w:t>
      </w:r>
      <w:r w:rsidR="00554CD7">
        <w:rPr>
          <w:rFonts w:ascii="Arial" w:eastAsia="Times New Roman" w:hAnsi="Arial" w:cs="Arial"/>
          <w:lang w:val="es-ES" w:eastAsia="es-ES_tradnl"/>
        </w:rPr>
        <w:t>E</w:t>
      </w:r>
      <w:r w:rsidR="005343EA">
        <w:rPr>
          <w:rFonts w:ascii="Arial" w:eastAsia="Times New Roman" w:hAnsi="Arial" w:cs="Arial"/>
          <w:lang w:val="es-ES" w:eastAsia="es-ES_tradnl"/>
        </w:rPr>
        <w:t>l artículo 763, que re</w:t>
      </w:r>
      <w:r w:rsidR="00470B35">
        <w:rPr>
          <w:rFonts w:ascii="Arial" w:eastAsia="Times New Roman" w:hAnsi="Arial" w:cs="Arial"/>
          <w:lang w:val="es-ES" w:eastAsia="es-ES_tradnl"/>
        </w:rPr>
        <w:t>gula</w:t>
      </w:r>
      <w:r w:rsidR="005343EA">
        <w:rPr>
          <w:rFonts w:ascii="Arial" w:eastAsia="Times New Roman" w:hAnsi="Arial" w:cs="Arial"/>
          <w:lang w:val="es-ES" w:eastAsia="es-ES_tradnl"/>
        </w:rPr>
        <w:t xml:space="preserve"> específicamente los procedimientos de internamiento, está </w:t>
      </w:r>
      <w:r w:rsidR="00554CD7">
        <w:rPr>
          <w:rFonts w:ascii="Arial" w:eastAsia="Times New Roman" w:hAnsi="Arial" w:cs="Arial"/>
          <w:lang w:val="es-ES" w:eastAsia="es-ES_tradnl"/>
        </w:rPr>
        <w:t>ubicado dentro</w:t>
      </w:r>
      <w:r w:rsidR="005343EA">
        <w:rPr>
          <w:rFonts w:ascii="Arial" w:eastAsia="Times New Roman" w:hAnsi="Arial" w:cs="Arial"/>
          <w:lang w:val="es-ES" w:eastAsia="es-ES_tradnl"/>
        </w:rPr>
        <w:t xml:space="preserve"> </w:t>
      </w:r>
      <w:r w:rsidR="00554CD7">
        <w:rPr>
          <w:rFonts w:ascii="Arial" w:eastAsia="Times New Roman" w:hAnsi="Arial" w:cs="Arial"/>
          <w:lang w:val="es-ES" w:eastAsia="es-ES_tradnl"/>
        </w:rPr>
        <w:t>d</w:t>
      </w:r>
      <w:r w:rsidR="005343EA">
        <w:rPr>
          <w:rFonts w:ascii="Arial" w:eastAsia="Times New Roman" w:hAnsi="Arial" w:cs="Arial"/>
          <w:lang w:val="es-ES" w:eastAsia="es-ES_tradnl"/>
        </w:rPr>
        <w:t>el Capítulo II del Título I del Libro IV de la LEC</w:t>
      </w:r>
      <w:r w:rsidR="00554CD7">
        <w:rPr>
          <w:rFonts w:ascii="Arial" w:eastAsia="Times New Roman" w:hAnsi="Arial" w:cs="Arial"/>
          <w:lang w:val="es-ES" w:eastAsia="es-ES_tradnl"/>
        </w:rPr>
        <w:t xml:space="preserve"> </w:t>
      </w:r>
      <w:r w:rsidR="00470B35">
        <w:rPr>
          <w:rFonts w:ascii="Arial" w:eastAsia="Times New Roman" w:hAnsi="Arial" w:cs="Arial"/>
          <w:lang w:val="es-ES" w:eastAsia="es-ES_tradnl"/>
        </w:rPr>
        <w:t xml:space="preserve">en el que hallamos </w:t>
      </w:r>
      <w:r w:rsidR="00554CD7">
        <w:rPr>
          <w:rFonts w:ascii="Arial" w:eastAsia="Times New Roman" w:hAnsi="Arial" w:cs="Arial"/>
          <w:lang w:val="es-ES" w:eastAsia="es-ES_tradnl"/>
        </w:rPr>
        <w:t>los procedimientos sobre la capacidad de las personas</w:t>
      </w:r>
      <w:r w:rsidR="00470B35">
        <w:rPr>
          <w:rFonts w:ascii="Arial" w:eastAsia="Times New Roman" w:hAnsi="Arial" w:cs="Arial"/>
          <w:lang w:val="es-ES" w:eastAsia="es-ES_tradnl"/>
        </w:rPr>
        <w:t xml:space="preserve">. De hecho, es el último de todos los artículos de este Capítulo II. No habiendo solución de continuidad entre este último y los que le anteceden, se entiende </w:t>
      </w:r>
      <w:r w:rsidR="00F02BF9">
        <w:rPr>
          <w:rFonts w:ascii="Arial" w:eastAsia="Times New Roman" w:hAnsi="Arial" w:cs="Arial"/>
          <w:lang w:val="es-ES" w:eastAsia="es-ES_tradnl"/>
        </w:rPr>
        <w:t xml:space="preserve">desde un punto de vista sistemático </w:t>
      </w:r>
      <w:r w:rsidR="00470B35">
        <w:rPr>
          <w:rFonts w:ascii="Arial" w:eastAsia="Times New Roman" w:hAnsi="Arial" w:cs="Arial"/>
          <w:lang w:val="es-ES" w:eastAsia="es-ES_tradnl"/>
        </w:rPr>
        <w:t xml:space="preserve">que la obligación prevista en el 749 incumbe a todos ellos. </w:t>
      </w:r>
      <w:r>
        <w:rPr>
          <w:rFonts w:ascii="Arial" w:eastAsia="Times New Roman" w:hAnsi="Arial" w:cs="Arial"/>
          <w:lang w:val="es-ES" w:eastAsia="es-ES_tradnl"/>
        </w:rPr>
        <w:t>De hecho, en la práctica</w:t>
      </w:r>
      <w:r w:rsidR="00CF1887">
        <w:rPr>
          <w:rFonts w:ascii="Arial" w:eastAsia="Times New Roman" w:hAnsi="Arial" w:cs="Arial"/>
          <w:lang w:val="es-ES" w:eastAsia="es-ES_tradnl"/>
        </w:rPr>
        <w:t>,</w:t>
      </w:r>
      <w:r>
        <w:rPr>
          <w:rFonts w:ascii="Arial" w:eastAsia="Times New Roman" w:hAnsi="Arial" w:cs="Arial"/>
          <w:lang w:val="es-ES" w:eastAsia="es-ES_tradnl"/>
        </w:rPr>
        <w:t xml:space="preserve"> los Fiscales intervienen en estos</w:t>
      </w:r>
      <w:r w:rsidR="00CF1887">
        <w:rPr>
          <w:rFonts w:ascii="Arial" w:eastAsia="Times New Roman" w:hAnsi="Arial" w:cs="Arial"/>
          <w:lang w:val="es-ES" w:eastAsia="es-ES_tradnl"/>
        </w:rPr>
        <w:t xml:space="preserve"> procedimientos</w:t>
      </w:r>
      <w:r w:rsidR="00470B35">
        <w:rPr>
          <w:rFonts w:ascii="Arial" w:eastAsia="Times New Roman" w:hAnsi="Arial" w:cs="Arial"/>
          <w:lang w:val="es-ES" w:eastAsia="es-ES_tradnl"/>
        </w:rPr>
        <w:t>,</w:t>
      </w:r>
      <w:r>
        <w:rPr>
          <w:rFonts w:ascii="Arial" w:eastAsia="Times New Roman" w:hAnsi="Arial" w:cs="Arial"/>
          <w:lang w:val="es-ES" w:eastAsia="es-ES_tradnl"/>
        </w:rPr>
        <w:t xml:space="preserve"> y para ello invocan el referido precepto</w:t>
      </w:r>
      <w:r w:rsidR="00CF1887">
        <w:rPr>
          <w:rFonts w:ascii="Arial" w:eastAsia="Times New Roman" w:hAnsi="Arial" w:cs="Arial"/>
          <w:lang w:val="es-ES" w:eastAsia="es-ES_tradnl"/>
        </w:rPr>
        <w:t>, además del 763</w:t>
      </w:r>
      <w:r>
        <w:rPr>
          <w:rFonts w:ascii="Arial" w:eastAsia="Times New Roman" w:hAnsi="Arial" w:cs="Arial"/>
          <w:lang w:val="es-ES" w:eastAsia="es-ES_tradnl"/>
        </w:rPr>
        <w:t>.</w:t>
      </w:r>
    </w:p>
    <w:p w14:paraId="4D9A21D4" w14:textId="778B815D" w:rsidR="00B52604" w:rsidRDefault="00B52604" w:rsidP="0025550C">
      <w:pPr>
        <w:ind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F62AB0">
        <w:rPr>
          <w:rFonts w:ascii="Arial" w:eastAsia="Times New Roman" w:hAnsi="Arial" w:cs="Arial"/>
          <w:lang w:val="es-ES" w:eastAsia="es-ES_tradnl"/>
        </w:rPr>
        <w:t xml:space="preserve">Artículo </w:t>
      </w:r>
      <w:r>
        <w:rPr>
          <w:rFonts w:ascii="Arial" w:eastAsia="Times New Roman" w:hAnsi="Arial" w:cs="Arial"/>
          <w:lang w:val="es-ES" w:eastAsia="es-ES_tradnl"/>
        </w:rPr>
        <w:t>750. Asistencia jurídica a las partes de Abogado y representación procesal de Procurador</w:t>
      </w:r>
      <w:r w:rsidR="008D7860">
        <w:rPr>
          <w:rFonts w:ascii="Arial" w:eastAsia="Times New Roman" w:hAnsi="Arial" w:cs="Arial"/>
          <w:lang w:val="es-ES" w:eastAsia="es-ES_tradnl"/>
        </w:rPr>
        <w:t>.</w:t>
      </w:r>
      <w:r>
        <w:rPr>
          <w:rStyle w:val="Refdenotaalpie"/>
          <w:rFonts w:ascii="Arial" w:eastAsia="Times New Roman" w:hAnsi="Arial" w:cs="Arial"/>
          <w:lang w:val="es-ES" w:eastAsia="es-ES_tradnl"/>
        </w:rPr>
        <w:footnoteReference w:id="117"/>
      </w:r>
      <w:r w:rsidR="008D7860">
        <w:rPr>
          <w:rFonts w:ascii="Arial" w:eastAsia="Times New Roman" w:hAnsi="Arial" w:cs="Arial"/>
          <w:lang w:val="es-ES" w:eastAsia="es-ES_tradnl"/>
        </w:rPr>
        <w:t xml:space="preserve"> Al margen de otras consideraciones, la presencia de estos profesionales en el procedimiento refuerza la visión contenciosa de los mismos.</w:t>
      </w:r>
    </w:p>
    <w:p w14:paraId="4CD59DAE" w14:textId="7CF0651A" w:rsidR="008D7860" w:rsidRDefault="008D7860" w:rsidP="0025550C">
      <w:pPr>
        <w:ind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F62AB0">
        <w:rPr>
          <w:rFonts w:ascii="Arial" w:eastAsia="Times New Roman" w:hAnsi="Arial" w:cs="Arial"/>
          <w:lang w:val="es-ES" w:eastAsia="es-ES_tradnl"/>
        </w:rPr>
        <w:t xml:space="preserve">Artículo </w:t>
      </w:r>
      <w:r>
        <w:rPr>
          <w:rFonts w:ascii="Arial" w:eastAsia="Times New Roman" w:hAnsi="Arial" w:cs="Arial"/>
          <w:lang w:val="es-ES" w:eastAsia="es-ES_tradnl"/>
        </w:rPr>
        <w:t>751.</w:t>
      </w:r>
      <w:r w:rsidR="00CF1887">
        <w:rPr>
          <w:rFonts w:ascii="Arial" w:eastAsia="Times New Roman" w:hAnsi="Arial" w:cs="Arial"/>
          <w:lang w:val="es-ES" w:eastAsia="es-ES_tradnl"/>
        </w:rPr>
        <w:t xml:space="preserve"> </w:t>
      </w:r>
      <w:r>
        <w:rPr>
          <w:rFonts w:ascii="Arial" w:eastAsia="Times New Roman" w:hAnsi="Arial" w:cs="Arial"/>
          <w:lang w:val="es-ES" w:eastAsia="es-ES_tradnl"/>
        </w:rPr>
        <w:t>Indisponibilidad del objeto del proceso. No cabe</w:t>
      </w:r>
      <w:r w:rsidR="00CF1887">
        <w:rPr>
          <w:rFonts w:ascii="Arial" w:eastAsia="Times New Roman" w:hAnsi="Arial" w:cs="Arial"/>
          <w:lang w:val="es-ES" w:eastAsia="es-ES_tradnl"/>
        </w:rPr>
        <w:t>n</w:t>
      </w:r>
      <w:r>
        <w:rPr>
          <w:rFonts w:ascii="Arial" w:eastAsia="Times New Roman" w:hAnsi="Arial" w:cs="Arial"/>
          <w:lang w:val="es-ES" w:eastAsia="es-ES_tradnl"/>
        </w:rPr>
        <w:t xml:space="preserve"> en estos supuestos renuncia, allanamiento ni transacción. El desistimiento requiere la conformidad del Ministerio Fiscal. De todas estas opciones procesales, son el allanamiento y la transacción las que cobran fuerza por sí mismas en estos casos. Si una persona se allana</w:t>
      </w:r>
      <w:r w:rsidR="00470B35">
        <w:rPr>
          <w:rFonts w:ascii="Arial" w:eastAsia="Times New Roman" w:hAnsi="Arial" w:cs="Arial"/>
          <w:lang w:val="es-ES" w:eastAsia="es-ES_tradnl"/>
        </w:rPr>
        <w:t>ra</w:t>
      </w:r>
      <w:r>
        <w:rPr>
          <w:rFonts w:ascii="Arial" w:eastAsia="Times New Roman" w:hAnsi="Arial" w:cs="Arial"/>
          <w:lang w:val="es-ES" w:eastAsia="es-ES_tradnl"/>
        </w:rPr>
        <w:t xml:space="preserve"> a la solicitud de internamiento formulada en una demanda o </w:t>
      </w:r>
      <w:r w:rsidR="006544AE">
        <w:rPr>
          <w:rFonts w:ascii="Arial" w:eastAsia="Times New Roman" w:hAnsi="Arial" w:cs="Arial"/>
          <w:lang w:val="es-ES" w:eastAsia="es-ES_tradnl"/>
        </w:rPr>
        <w:t>transige en la misma est</w:t>
      </w:r>
      <w:r w:rsidR="00470B35">
        <w:rPr>
          <w:rFonts w:ascii="Arial" w:eastAsia="Times New Roman" w:hAnsi="Arial" w:cs="Arial"/>
          <w:lang w:val="es-ES" w:eastAsia="es-ES_tradnl"/>
        </w:rPr>
        <w:t>aría</w:t>
      </w:r>
      <w:r w:rsidR="006544AE">
        <w:rPr>
          <w:rFonts w:ascii="Arial" w:eastAsia="Times New Roman" w:hAnsi="Arial" w:cs="Arial"/>
          <w:lang w:val="es-ES" w:eastAsia="es-ES_tradnl"/>
        </w:rPr>
        <w:t xml:space="preserve"> transformando la naturaleza del internamiento ya que pasa</w:t>
      </w:r>
      <w:r w:rsidR="00470B35">
        <w:rPr>
          <w:rFonts w:ascii="Arial" w:eastAsia="Times New Roman" w:hAnsi="Arial" w:cs="Arial"/>
          <w:lang w:val="es-ES" w:eastAsia="es-ES_tradnl"/>
        </w:rPr>
        <w:t>ría</w:t>
      </w:r>
      <w:r w:rsidR="006544AE">
        <w:rPr>
          <w:rFonts w:ascii="Arial" w:eastAsia="Times New Roman" w:hAnsi="Arial" w:cs="Arial"/>
          <w:lang w:val="es-ES" w:eastAsia="es-ES_tradnl"/>
        </w:rPr>
        <w:t xml:space="preserve"> de involuntario a voluntario. En tal caso no </w:t>
      </w:r>
      <w:r w:rsidR="00470B35">
        <w:rPr>
          <w:rFonts w:ascii="Arial" w:eastAsia="Times New Roman" w:hAnsi="Arial" w:cs="Arial"/>
          <w:lang w:val="es-ES" w:eastAsia="es-ES_tradnl"/>
        </w:rPr>
        <w:t>sería</w:t>
      </w:r>
      <w:r w:rsidR="006544AE">
        <w:rPr>
          <w:rFonts w:ascii="Arial" w:eastAsia="Times New Roman" w:hAnsi="Arial" w:cs="Arial"/>
          <w:lang w:val="es-ES" w:eastAsia="es-ES_tradnl"/>
        </w:rPr>
        <w:t xml:space="preserve"> preciso llevar a cabo ningún procedimiento y, lo que es más importante, la persona internada podr</w:t>
      </w:r>
      <w:r w:rsidR="00470B35">
        <w:rPr>
          <w:rFonts w:ascii="Arial" w:eastAsia="Times New Roman" w:hAnsi="Arial" w:cs="Arial"/>
          <w:lang w:val="es-ES" w:eastAsia="es-ES_tradnl"/>
        </w:rPr>
        <w:t>ía</w:t>
      </w:r>
      <w:r w:rsidR="006544AE">
        <w:rPr>
          <w:rFonts w:ascii="Arial" w:eastAsia="Times New Roman" w:hAnsi="Arial" w:cs="Arial"/>
          <w:lang w:val="es-ES" w:eastAsia="es-ES_tradnl"/>
        </w:rPr>
        <w:t xml:space="preserve"> abandonar el centro de internamiento cuando lo dese</w:t>
      </w:r>
      <w:r w:rsidR="00470B35">
        <w:rPr>
          <w:rFonts w:ascii="Arial" w:eastAsia="Times New Roman" w:hAnsi="Arial" w:cs="Arial"/>
          <w:lang w:val="es-ES" w:eastAsia="es-ES_tradnl"/>
        </w:rPr>
        <w:t>are</w:t>
      </w:r>
      <w:r w:rsidR="006544AE">
        <w:rPr>
          <w:rFonts w:ascii="Arial" w:eastAsia="Times New Roman" w:hAnsi="Arial" w:cs="Arial"/>
          <w:lang w:val="es-ES" w:eastAsia="es-ES_tradnl"/>
        </w:rPr>
        <w:t>.</w:t>
      </w:r>
    </w:p>
    <w:p w14:paraId="1908FD3C" w14:textId="59C00AA9" w:rsidR="00D2495C" w:rsidRPr="00BA14BA" w:rsidRDefault="00D2495C" w:rsidP="0025550C">
      <w:pPr>
        <w:ind w:right="-1"/>
        <w:jc w:val="both"/>
        <w:rPr>
          <w:rFonts w:ascii="Arial" w:eastAsia="Times New Roman" w:hAnsi="Arial" w:cs="Arial"/>
          <w:lang w:val="es-ES" w:eastAsia="es-ES_tradnl"/>
        </w:rPr>
      </w:pPr>
      <w:r>
        <w:rPr>
          <w:rFonts w:ascii="Arial" w:eastAsia="Times New Roman" w:hAnsi="Arial" w:cs="Arial"/>
          <w:lang w:val="es-ES" w:eastAsia="es-ES_tradnl"/>
        </w:rPr>
        <w:t xml:space="preserve">         A lo dicho en el párrafo anterior hay que añadir lo que se recoge en el número 2 del artículo 752, que establece que </w:t>
      </w:r>
      <w:r w:rsidRPr="00D2495C">
        <w:rPr>
          <w:rFonts w:ascii="Arial" w:eastAsia="Times New Roman" w:hAnsi="Arial" w:cs="Arial"/>
          <w:lang w:val="es-ES" w:eastAsia="es-ES_tradnl"/>
        </w:rPr>
        <w:t>«</w:t>
      </w:r>
      <w:r w:rsidRPr="00D2495C">
        <w:rPr>
          <w:rFonts w:ascii="Arial" w:eastAsia="Times New Roman" w:hAnsi="Arial" w:cs="Arial"/>
          <w:lang w:eastAsia="es-ES_tradnl"/>
        </w:rPr>
        <w:t>La conformidad de las partes sobre los hechos no vinculará al tribunal, ni podrá éste decidir la cuestión litigiosa basándose exclusivamente en dicha conformidad o en el silencio o respuestas evasivas sobre los hechos alegados por la parte contraria.</w:t>
      </w:r>
      <w:r w:rsidRPr="00D2495C">
        <w:rPr>
          <w:rFonts w:ascii="Arial" w:eastAsia="Times New Roman" w:hAnsi="Arial" w:cs="Arial"/>
          <w:lang w:val="es-ES" w:eastAsia="es-ES_tradnl"/>
        </w:rPr>
        <w:t>»</w:t>
      </w:r>
    </w:p>
    <w:p w14:paraId="61A58D7F" w14:textId="34A9EFE3" w:rsidR="00D2495C" w:rsidRDefault="006544AE" w:rsidP="0025550C">
      <w:pPr>
        <w:ind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F62AB0">
        <w:rPr>
          <w:rFonts w:ascii="Arial" w:eastAsia="Times New Roman" w:hAnsi="Arial" w:cs="Arial"/>
          <w:lang w:val="es-ES" w:eastAsia="es-ES_tradnl"/>
        </w:rPr>
        <w:t xml:space="preserve">Artículo </w:t>
      </w:r>
      <w:r>
        <w:rPr>
          <w:rFonts w:ascii="Arial" w:eastAsia="Times New Roman" w:hAnsi="Arial" w:cs="Arial"/>
          <w:lang w:val="es-ES" w:eastAsia="es-ES_tradnl"/>
        </w:rPr>
        <w:t xml:space="preserve">752. Este artículo establece la desaparición de plazos de preclusión para la aportación de hechos y parte de la regulación relativa de la prueba. Los dos son absolutamente aplicables a </w:t>
      </w:r>
      <w:r w:rsidR="00470B35">
        <w:rPr>
          <w:rFonts w:ascii="Arial" w:eastAsia="Times New Roman" w:hAnsi="Arial" w:cs="Arial"/>
          <w:lang w:val="es-ES" w:eastAsia="es-ES_tradnl"/>
        </w:rPr>
        <w:t>l</w:t>
      </w:r>
      <w:r>
        <w:rPr>
          <w:rFonts w:ascii="Arial" w:eastAsia="Times New Roman" w:hAnsi="Arial" w:cs="Arial"/>
          <w:lang w:val="es-ES" w:eastAsia="es-ES_tradnl"/>
        </w:rPr>
        <w:t>os procedimientos</w:t>
      </w:r>
      <w:r w:rsidR="00470B35">
        <w:rPr>
          <w:rFonts w:ascii="Arial" w:eastAsia="Times New Roman" w:hAnsi="Arial" w:cs="Arial"/>
          <w:lang w:val="es-ES" w:eastAsia="es-ES_tradnl"/>
        </w:rPr>
        <w:t xml:space="preserve"> de internamiento</w:t>
      </w:r>
      <w:r>
        <w:rPr>
          <w:rFonts w:ascii="Arial" w:eastAsia="Times New Roman" w:hAnsi="Arial" w:cs="Arial"/>
          <w:lang w:val="es-ES" w:eastAsia="es-ES_tradnl"/>
        </w:rPr>
        <w:t>. En lo tocante a los plazos para formular alegaciones se dice que «</w:t>
      </w:r>
      <w:r w:rsidRPr="006544AE">
        <w:rPr>
          <w:rFonts w:ascii="Arial" w:eastAsia="Times New Roman" w:hAnsi="Arial" w:cs="Arial"/>
          <w:lang w:eastAsia="es-ES_tradnl"/>
        </w:rPr>
        <w:t xml:space="preserve">Los procesos a que se refiere este Título se decidirán con arreglo a los hechos que hayan sido objeto de debate y resulten probados, </w:t>
      </w:r>
      <w:r w:rsidRPr="00470B35">
        <w:rPr>
          <w:rFonts w:ascii="Arial" w:eastAsia="Times New Roman" w:hAnsi="Arial" w:cs="Arial"/>
          <w:i/>
          <w:iCs/>
          <w:lang w:eastAsia="es-ES_tradnl"/>
        </w:rPr>
        <w:t>con independencia del momento en que hubieren sido alegados o introducidos</w:t>
      </w:r>
      <w:r w:rsidRPr="006544AE">
        <w:rPr>
          <w:rFonts w:ascii="Arial" w:eastAsia="Times New Roman" w:hAnsi="Arial" w:cs="Arial"/>
          <w:lang w:eastAsia="es-ES_tradnl"/>
        </w:rPr>
        <w:t xml:space="preserve"> de otra manera en el procedimiento</w:t>
      </w:r>
      <w:r>
        <w:rPr>
          <w:rFonts w:ascii="Arial" w:eastAsia="Times New Roman" w:hAnsi="Arial" w:cs="Arial"/>
          <w:lang w:val="es-ES" w:eastAsia="es-ES_tradnl"/>
        </w:rPr>
        <w:t xml:space="preserve">». </w:t>
      </w:r>
      <w:r w:rsidR="00D2495C">
        <w:rPr>
          <w:rFonts w:ascii="Arial" w:eastAsia="Times New Roman" w:hAnsi="Arial" w:cs="Arial"/>
          <w:lang w:val="es-ES" w:eastAsia="es-ES_tradnl"/>
        </w:rPr>
        <w:t xml:space="preserve">Obviamente, en unos procesos en los que se solicita internar a una persona por su estado mental, la resolución judicial autorizándolo solo puede dictarse sobre la base de los últimos hechos </w:t>
      </w:r>
      <w:r w:rsidR="00BA14BA">
        <w:rPr>
          <w:rFonts w:ascii="Arial" w:eastAsia="Times New Roman" w:hAnsi="Arial" w:cs="Arial"/>
          <w:lang w:val="es-ES" w:eastAsia="es-ES_tradnl"/>
        </w:rPr>
        <w:t xml:space="preserve">más recientes que hayan sido </w:t>
      </w:r>
      <w:r w:rsidR="00D2495C">
        <w:rPr>
          <w:rFonts w:ascii="Arial" w:eastAsia="Times New Roman" w:hAnsi="Arial" w:cs="Arial"/>
          <w:lang w:val="es-ES" w:eastAsia="es-ES_tradnl"/>
        </w:rPr>
        <w:t xml:space="preserve">alegados. Téngase en cuenta que en el número 3 de este mismo artículo se establece que </w:t>
      </w:r>
      <w:r w:rsidR="00D2495C" w:rsidRPr="00D2495C">
        <w:rPr>
          <w:rFonts w:ascii="Arial" w:eastAsia="Times New Roman" w:hAnsi="Arial" w:cs="Arial"/>
          <w:lang w:val="es-ES" w:eastAsia="es-ES_tradnl"/>
        </w:rPr>
        <w:t>«</w:t>
      </w:r>
      <w:r w:rsidR="00D2495C" w:rsidRPr="00D2495C">
        <w:rPr>
          <w:rFonts w:ascii="Arial" w:eastAsia="Times New Roman" w:hAnsi="Arial" w:cs="Arial"/>
          <w:lang w:eastAsia="es-ES_tradnl"/>
        </w:rPr>
        <w:t>Lo dispuesto en los apartados anteriores será aplicable asimismo a la segunda instancia</w:t>
      </w:r>
      <w:r w:rsidR="00D2495C" w:rsidRPr="00D2495C">
        <w:rPr>
          <w:rFonts w:ascii="Arial" w:eastAsia="Times New Roman" w:hAnsi="Arial" w:cs="Arial"/>
          <w:lang w:val="es-ES" w:eastAsia="es-ES_tradnl"/>
        </w:rPr>
        <w:t>»</w:t>
      </w:r>
      <w:r w:rsidR="00D2495C">
        <w:rPr>
          <w:rFonts w:ascii="Arial" w:eastAsia="Times New Roman" w:hAnsi="Arial" w:cs="Arial"/>
          <w:lang w:val="es-ES" w:eastAsia="es-ES_tradnl"/>
        </w:rPr>
        <w:t>, lo que viene a significar que la decisión final puede estar basada en hechos que no coincidan necesariamente con los alegados en el escrito de demanda</w:t>
      </w:r>
      <w:r w:rsidR="00F02BF9">
        <w:rPr>
          <w:rFonts w:ascii="Arial" w:eastAsia="Times New Roman" w:hAnsi="Arial" w:cs="Arial"/>
          <w:lang w:val="es-ES" w:eastAsia="es-ES_tradnl"/>
        </w:rPr>
        <w:t>, sino en otros posteriores</w:t>
      </w:r>
      <w:r w:rsidR="00D2495C">
        <w:rPr>
          <w:rFonts w:ascii="Arial" w:eastAsia="Times New Roman" w:hAnsi="Arial" w:cs="Arial"/>
          <w:lang w:val="es-ES" w:eastAsia="es-ES_tradnl"/>
        </w:rPr>
        <w:t>.</w:t>
      </w:r>
    </w:p>
    <w:p w14:paraId="21B61FD1" w14:textId="612B6179" w:rsidR="00F62AB0" w:rsidRDefault="00BA14BA" w:rsidP="0025550C">
      <w:pPr>
        <w:ind w:right="-1"/>
        <w:jc w:val="both"/>
        <w:rPr>
          <w:rFonts w:ascii="Arial" w:eastAsia="Times New Roman" w:hAnsi="Arial" w:cs="Arial"/>
          <w:lang w:val="es-ES" w:eastAsia="es-ES_tradnl"/>
        </w:rPr>
      </w:pPr>
      <w:r>
        <w:rPr>
          <w:rFonts w:ascii="Arial" w:eastAsia="Times New Roman" w:hAnsi="Arial" w:cs="Arial"/>
          <w:lang w:val="es-ES" w:eastAsia="es-ES_tradnl"/>
        </w:rPr>
        <w:t xml:space="preserve">         En cuanto a la </w:t>
      </w:r>
      <w:r w:rsidR="002006F0">
        <w:rPr>
          <w:rFonts w:ascii="Arial" w:eastAsia="Times New Roman" w:hAnsi="Arial" w:cs="Arial"/>
          <w:lang w:val="es-ES" w:eastAsia="es-ES_tradnl"/>
        </w:rPr>
        <w:t>aportación de medios probatorios</w:t>
      </w:r>
      <w:r>
        <w:rPr>
          <w:rFonts w:ascii="Arial" w:eastAsia="Times New Roman" w:hAnsi="Arial" w:cs="Arial"/>
          <w:lang w:val="es-ES" w:eastAsia="es-ES_tradnl"/>
        </w:rPr>
        <w:t>, hay una quiebra clara con respecto a los procedimientos civiles ordinarios y es que el Juez puede ordenar de oficio la práctica de l</w:t>
      </w:r>
      <w:r w:rsidR="002006F0">
        <w:rPr>
          <w:rFonts w:ascii="Arial" w:eastAsia="Times New Roman" w:hAnsi="Arial" w:cs="Arial"/>
          <w:lang w:val="es-ES" w:eastAsia="es-ES_tradnl"/>
        </w:rPr>
        <w:t>o</w:t>
      </w:r>
      <w:r>
        <w:rPr>
          <w:rFonts w:ascii="Arial" w:eastAsia="Times New Roman" w:hAnsi="Arial" w:cs="Arial"/>
          <w:lang w:val="es-ES" w:eastAsia="es-ES_tradnl"/>
        </w:rPr>
        <w:t xml:space="preserve">s que estime convenientes. Por otra parte, se libera al juzgador de criterios </w:t>
      </w:r>
      <w:r w:rsidR="002006F0">
        <w:rPr>
          <w:rFonts w:ascii="Arial" w:eastAsia="Times New Roman" w:hAnsi="Arial" w:cs="Arial"/>
          <w:lang w:val="es-ES" w:eastAsia="es-ES_tradnl"/>
        </w:rPr>
        <w:t xml:space="preserve">de valoración </w:t>
      </w:r>
      <w:r w:rsidR="00F62AB0">
        <w:rPr>
          <w:rFonts w:ascii="Arial" w:eastAsia="Times New Roman" w:hAnsi="Arial" w:cs="Arial"/>
          <w:lang w:val="es-ES" w:eastAsia="es-ES_tradnl"/>
        </w:rPr>
        <w:t>probatori</w:t>
      </w:r>
      <w:r w:rsidR="002006F0">
        <w:rPr>
          <w:rFonts w:ascii="Arial" w:eastAsia="Times New Roman" w:hAnsi="Arial" w:cs="Arial"/>
          <w:lang w:val="es-ES" w:eastAsia="es-ES_tradnl"/>
        </w:rPr>
        <w:t>a</w:t>
      </w:r>
      <w:r w:rsidR="00F62AB0">
        <w:rPr>
          <w:rFonts w:ascii="Arial" w:eastAsia="Times New Roman" w:hAnsi="Arial" w:cs="Arial"/>
          <w:lang w:val="es-ES" w:eastAsia="es-ES_tradnl"/>
        </w:rPr>
        <w:t xml:space="preserve"> al establecer que </w:t>
      </w:r>
      <w:r w:rsidR="00F62AB0" w:rsidRPr="00F62AB0">
        <w:rPr>
          <w:rFonts w:ascii="Arial" w:eastAsia="Times New Roman" w:hAnsi="Arial" w:cs="Arial"/>
          <w:lang w:val="es-ES" w:eastAsia="es-ES_tradnl"/>
        </w:rPr>
        <w:t>«</w:t>
      </w:r>
      <w:r w:rsidR="00F62AB0" w:rsidRPr="00F62AB0">
        <w:rPr>
          <w:rFonts w:ascii="Arial" w:eastAsia="Times New Roman" w:hAnsi="Arial" w:cs="Arial"/>
          <w:lang w:eastAsia="es-ES_tradnl"/>
        </w:rPr>
        <w:t>Tampoco estará el tribunal vinculado, en los procesos a que se refiere este título, a las disposiciones de esta Ley en materia de fuerza probatoria del interrogatorio de las partes, de los documentos públicos y de los documentos privados reconocidos</w:t>
      </w:r>
      <w:r w:rsidR="00F62AB0" w:rsidRPr="00F62AB0">
        <w:rPr>
          <w:rFonts w:ascii="Arial" w:eastAsia="Times New Roman" w:hAnsi="Arial" w:cs="Arial"/>
          <w:lang w:val="es-ES" w:eastAsia="es-ES_tradnl"/>
        </w:rPr>
        <w:t>».</w:t>
      </w:r>
    </w:p>
    <w:p w14:paraId="3A271B71" w14:textId="4E1B0FA0" w:rsidR="00AF2F4D" w:rsidRDefault="00F62AB0" w:rsidP="0025550C">
      <w:pPr>
        <w:ind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9F68D0">
        <w:rPr>
          <w:rFonts w:ascii="Arial" w:eastAsia="Times New Roman" w:hAnsi="Arial" w:cs="Arial"/>
          <w:lang w:val="es-ES" w:eastAsia="es-ES_tradnl"/>
        </w:rPr>
        <w:t xml:space="preserve">Artículo </w:t>
      </w:r>
      <w:r>
        <w:rPr>
          <w:rFonts w:ascii="Arial" w:eastAsia="Times New Roman" w:hAnsi="Arial" w:cs="Arial"/>
          <w:lang w:val="es-ES" w:eastAsia="es-ES_tradnl"/>
        </w:rPr>
        <w:t xml:space="preserve">753. </w:t>
      </w:r>
      <w:r w:rsidR="009F68D0">
        <w:rPr>
          <w:rFonts w:ascii="Arial" w:eastAsia="Times New Roman" w:hAnsi="Arial" w:cs="Arial"/>
          <w:lang w:val="es-ES" w:eastAsia="es-ES_tradnl"/>
        </w:rPr>
        <w:t xml:space="preserve">Este artículo remite a los trámites del juicio verbal las actuaciones de todos los procedimientos a los que se aplican estas normas generales, incluidos los procedimientos de internamiento </w:t>
      </w:r>
      <w:r w:rsidR="00AF2F4D" w:rsidRPr="00AF2F4D">
        <w:rPr>
          <w:rFonts w:ascii="Arial" w:eastAsia="Times New Roman" w:hAnsi="Arial" w:cs="Arial"/>
          <w:lang w:val="es-ES" w:eastAsia="es-ES_tradnl"/>
        </w:rPr>
        <w:t>«</w:t>
      </w:r>
      <w:r w:rsidR="00AF2F4D" w:rsidRPr="00AF2F4D">
        <w:rPr>
          <w:rFonts w:ascii="Arial" w:eastAsia="Times New Roman" w:hAnsi="Arial" w:cs="Arial"/>
          <w:lang w:eastAsia="es-ES_tradnl"/>
        </w:rPr>
        <w:t>Salvo que expresamente se disponga otra cosa</w:t>
      </w:r>
      <w:r w:rsidR="00AF2F4D" w:rsidRPr="00AF2F4D">
        <w:rPr>
          <w:rFonts w:ascii="Arial" w:eastAsia="Times New Roman" w:hAnsi="Arial" w:cs="Arial"/>
          <w:lang w:val="es-ES" w:eastAsia="es-ES_tradnl"/>
        </w:rPr>
        <w:t>»</w:t>
      </w:r>
      <w:r w:rsidR="00AF2F4D">
        <w:rPr>
          <w:rFonts w:ascii="Arial" w:eastAsia="Times New Roman" w:hAnsi="Arial" w:cs="Arial"/>
          <w:lang w:val="es-ES" w:eastAsia="es-ES_tradnl"/>
        </w:rPr>
        <w:t xml:space="preserve">. No es este el momento de profundizar en las razones que llevan a extender el carácter especial de los procedimientos de internamiento hasta </w:t>
      </w:r>
      <w:r w:rsidR="00E46758">
        <w:rPr>
          <w:rFonts w:ascii="Arial" w:eastAsia="Times New Roman" w:hAnsi="Arial" w:cs="Arial"/>
          <w:lang w:val="es-ES" w:eastAsia="es-ES_tradnl"/>
        </w:rPr>
        <w:t>su carácter más</w:t>
      </w:r>
      <w:r w:rsidR="00AF2F4D">
        <w:rPr>
          <w:rFonts w:ascii="Arial" w:eastAsia="Times New Roman" w:hAnsi="Arial" w:cs="Arial"/>
          <w:lang w:val="es-ES" w:eastAsia="es-ES_tradnl"/>
        </w:rPr>
        <w:t xml:space="preserve"> extremo, pero no deja de ser cierto que el procedimiento verbal, mucho más ágil y rápido que el ordinario, no deja de implicar unas rigideces y unas limitaciones que convertirían en ineficaz los procedimientos que estudiamos. Básicamente, con </w:t>
      </w:r>
      <w:r w:rsidR="00CD62DA">
        <w:rPr>
          <w:rFonts w:ascii="Arial" w:eastAsia="Times New Roman" w:hAnsi="Arial" w:cs="Arial"/>
          <w:lang w:val="es-ES" w:eastAsia="es-ES_tradnl"/>
        </w:rPr>
        <w:t xml:space="preserve">los mimbres que ofrecen </w:t>
      </w:r>
      <w:r w:rsidR="00AF2F4D">
        <w:rPr>
          <w:rFonts w:ascii="Arial" w:eastAsia="Times New Roman" w:hAnsi="Arial" w:cs="Arial"/>
          <w:lang w:val="es-ES" w:eastAsia="es-ES_tradnl"/>
        </w:rPr>
        <w:t>las normas generales que hemos visto y con las que de modo específico se establecen en el artículo 763</w:t>
      </w:r>
      <w:r w:rsidR="004F1AEA">
        <w:rPr>
          <w:rFonts w:ascii="Arial" w:eastAsia="Times New Roman" w:hAnsi="Arial" w:cs="Arial"/>
          <w:lang w:val="es-ES" w:eastAsia="es-ES_tradnl"/>
        </w:rPr>
        <w:t xml:space="preserve">, quedando las normas del procedimiento verbal como normas supletorias, </w:t>
      </w:r>
      <w:r w:rsidR="00AF2F4D">
        <w:rPr>
          <w:rFonts w:ascii="Arial" w:eastAsia="Times New Roman" w:hAnsi="Arial" w:cs="Arial"/>
          <w:lang w:val="es-ES" w:eastAsia="es-ES_tradnl"/>
        </w:rPr>
        <w:t>se puede</w:t>
      </w:r>
      <w:r w:rsidR="004F1AEA">
        <w:rPr>
          <w:rFonts w:ascii="Arial" w:eastAsia="Times New Roman" w:hAnsi="Arial" w:cs="Arial"/>
          <w:lang w:val="es-ES" w:eastAsia="es-ES_tradnl"/>
        </w:rPr>
        <w:t>n</w:t>
      </w:r>
      <w:r w:rsidR="00AF2F4D">
        <w:rPr>
          <w:rFonts w:ascii="Arial" w:eastAsia="Times New Roman" w:hAnsi="Arial" w:cs="Arial"/>
          <w:lang w:val="es-ES" w:eastAsia="es-ES_tradnl"/>
        </w:rPr>
        <w:t xml:space="preserve"> </w:t>
      </w:r>
      <w:r w:rsidR="004F1AEA">
        <w:rPr>
          <w:rFonts w:ascii="Arial" w:eastAsia="Times New Roman" w:hAnsi="Arial" w:cs="Arial"/>
          <w:lang w:val="es-ES" w:eastAsia="es-ES_tradnl"/>
        </w:rPr>
        <w:t>articular ambos procedimientos, el de autorización y el de ratificación, de forma eficaz y con garantías suficientes para los justiciables.</w:t>
      </w:r>
    </w:p>
    <w:p w14:paraId="36A220D3" w14:textId="04D21F8A" w:rsidR="004F1AEA" w:rsidRPr="00F563D8" w:rsidRDefault="004F1AEA" w:rsidP="0025550C">
      <w:pPr>
        <w:ind w:right="-1"/>
        <w:jc w:val="both"/>
        <w:rPr>
          <w:rFonts w:ascii="Arial" w:eastAsia="Times New Roman" w:hAnsi="Arial" w:cs="Arial"/>
          <w:sz w:val="10"/>
          <w:szCs w:val="10"/>
          <w:lang w:val="es-ES" w:eastAsia="es-ES_tradnl"/>
        </w:rPr>
      </w:pPr>
    </w:p>
    <w:p w14:paraId="0C109F4B" w14:textId="7CA3AFE9" w:rsidR="004F1AEA" w:rsidRDefault="007E738E"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3</w:t>
      </w:r>
      <w:r w:rsidR="004F1AEA">
        <w:rPr>
          <w:rFonts w:ascii="Arial" w:eastAsia="Times New Roman" w:hAnsi="Arial" w:cs="Arial"/>
          <w:lang w:val="es-ES" w:eastAsia="es-ES_tradnl"/>
        </w:rPr>
        <w:t>. Normas derivadas del artículo 763</w:t>
      </w:r>
      <w:r>
        <w:rPr>
          <w:rFonts w:ascii="Arial" w:eastAsia="Times New Roman" w:hAnsi="Arial" w:cs="Arial"/>
          <w:lang w:val="es-ES" w:eastAsia="es-ES_tradnl"/>
        </w:rPr>
        <w:t xml:space="preserve"> de la LEC</w:t>
      </w:r>
    </w:p>
    <w:p w14:paraId="5202D72A" w14:textId="7F33478F" w:rsidR="00A67B43" w:rsidRPr="00E46758" w:rsidRDefault="0044718F"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El artículo 763 regula los siguientes aspectos de forma específica:</w:t>
      </w:r>
    </w:p>
    <w:p w14:paraId="1A414E70" w14:textId="77777777" w:rsidR="00230955" w:rsidRDefault="0044718F"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El internamiento no voluntario solo procede exclusivamente cuando una decisión judicial lo autoriza o ratifica. No se hace mención alguna a otro tipo de autorizaciones ni de ratificaciones.</w:t>
      </w:r>
    </w:p>
    <w:p w14:paraId="560E5052" w14:textId="77777777" w:rsidR="00230955" w:rsidRDefault="0044718F"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La autorización judicial es preceptiva incluso en los casos en los que las personas están sometidas a tutela.</w:t>
      </w:r>
    </w:p>
    <w:p w14:paraId="453AED43" w14:textId="1B8846BC" w:rsidR="00A67B43" w:rsidRPr="000532AB" w:rsidRDefault="00F65451"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Se establecen como fueros territoriales el del domicilio del demandado, para los procedimientos de autorización y el del lugar en el que se encuentre el centro de internamiento, para los procedimientos de ratificación.</w:t>
      </w:r>
    </w:p>
    <w:p w14:paraId="09904755" w14:textId="008EDB9F" w:rsidR="00A67B43" w:rsidRPr="000532AB" w:rsidRDefault="00F65451"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En cuanto al lugar de internamiento solo se menciona expresamente para los casos de internamientos de menores, lugar que debe ser adecuado para su edad.</w:t>
      </w:r>
    </w:p>
    <w:p w14:paraId="39B66EB7" w14:textId="306BF1C4" w:rsidR="00A67B43" w:rsidRPr="000532AB" w:rsidRDefault="00F65451"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Reitera el derecho de la persona objeto de internamiento a valerse de Abogado y de Procurador</w:t>
      </w:r>
      <w:r w:rsidR="001F43B1">
        <w:rPr>
          <w:rFonts w:ascii="Arial" w:eastAsia="Times New Roman" w:hAnsi="Arial" w:cs="Arial"/>
          <w:lang w:val="es-ES" w:eastAsia="es-ES_tradnl"/>
        </w:rPr>
        <w:t xml:space="preserve"> en todas las actuaciones procesales</w:t>
      </w:r>
      <w:r w:rsidR="000028D8">
        <w:rPr>
          <w:rFonts w:ascii="Arial" w:eastAsia="Times New Roman" w:hAnsi="Arial" w:cs="Arial"/>
          <w:lang w:val="es-ES" w:eastAsia="es-ES_tradnl"/>
        </w:rPr>
        <w:t>.</w:t>
      </w:r>
    </w:p>
    <w:p w14:paraId="684DC7C7" w14:textId="400E642E" w:rsidR="00584886" w:rsidRDefault="00584886"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Especialmente importante </w:t>
      </w:r>
      <w:r w:rsidR="001F43B1">
        <w:rPr>
          <w:rFonts w:ascii="Arial" w:eastAsia="Times New Roman" w:hAnsi="Arial" w:cs="Arial"/>
          <w:lang w:val="es-ES" w:eastAsia="es-ES_tradnl"/>
        </w:rPr>
        <w:t>son las disposiciones relativas a la prueba:</w:t>
      </w:r>
    </w:p>
    <w:p w14:paraId="476CBC90" w14:textId="77777777" w:rsidR="000532AB" w:rsidRDefault="001F43B1"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a) establece la obligatoriedad de oír por el Juez a la persona objeto de </w:t>
      </w:r>
      <w:r w:rsidR="000532AB">
        <w:rPr>
          <w:rFonts w:ascii="Arial" w:eastAsia="Times New Roman" w:hAnsi="Arial" w:cs="Arial"/>
          <w:lang w:val="es-ES" w:eastAsia="es-ES_tradnl"/>
        </w:rPr>
        <w:t xml:space="preserve"> </w:t>
      </w:r>
    </w:p>
    <w:p w14:paraId="31020CAA" w14:textId="0C7F50AF" w:rsidR="001F43B1" w:rsidRPr="00B35546" w:rsidRDefault="000532AB" w:rsidP="00B35546">
      <w:pPr>
        <w:rPr>
          <w:rFonts w:ascii="Arial" w:eastAsia="Times New Roman" w:hAnsi="Arial" w:cs="Arial"/>
          <w:lang w:eastAsia="es-ES_tradnl"/>
        </w:rPr>
      </w:pPr>
      <w:r>
        <w:rPr>
          <w:rFonts w:ascii="Arial" w:eastAsia="Times New Roman" w:hAnsi="Arial" w:cs="Arial"/>
          <w:lang w:val="es-ES" w:eastAsia="es-ES_tradnl"/>
        </w:rPr>
        <w:t xml:space="preserve">      </w:t>
      </w:r>
      <w:r w:rsidR="001F43B1">
        <w:rPr>
          <w:rFonts w:ascii="Arial" w:eastAsia="Times New Roman" w:hAnsi="Arial" w:cs="Arial"/>
          <w:lang w:val="es-ES" w:eastAsia="es-ES_tradnl"/>
        </w:rPr>
        <w:t>internamiento</w:t>
      </w:r>
      <w:r w:rsidR="00B35546">
        <w:rPr>
          <w:rFonts w:ascii="Arial" w:eastAsia="Times New Roman" w:hAnsi="Arial" w:cs="Arial"/>
          <w:lang w:val="es-ES" w:eastAsia="es-ES_tradnl"/>
        </w:rPr>
        <w:t xml:space="preserve"> </w:t>
      </w:r>
      <w:r w:rsidR="00B35546" w:rsidRPr="00B35546">
        <w:rPr>
          <w:rFonts w:ascii="Arial" w:eastAsia="Times New Roman" w:hAnsi="Arial" w:cs="Arial"/>
          <w:lang w:val="es-ES" w:eastAsia="es-ES_tradnl"/>
        </w:rPr>
        <w:t>(«</w:t>
      </w:r>
      <w:r w:rsidR="00B35546" w:rsidRPr="00B35546">
        <w:rPr>
          <w:rFonts w:ascii="Arial" w:eastAsia="Times New Roman" w:hAnsi="Arial" w:cs="Arial"/>
          <w:lang w:eastAsia="es-ES_tradnl"/>
        </w:rPr>
        <w:t>el tribunal oirá a la persona afectada por la decisión</w:t>
      </w:r>
      <w:r w:rsidR="00B35546" w:rsidRPr="00B35546">
        <w:rPr>
          <w:rFonts w:ascii="Arial" w:eastAsia="Times New Roman" w:hAnsi="Arial" w:cs="Arial"/>
          <w:lang w:val="es-ES" w:eastAsia="es-ES_tradnl"/>
        </w:rPr>
        <w:t>...»</w:t>
      </w:r>
      <w:r w:rsidR="00B35546">
        <w:rPr>
          <w:rFonts w:ascii="Arial" w:eastAsia="Times New Roman" w:hAnsi="Arial" w:cs="Arial"/>
          <w:lang w:val="es-ES" w:eastAsia="es-ES_tradnl"/>
        </w:rPr>
        <w:t>)</w:t>
      </w:r>
    </w:p>
    <w:p w14:paraId="5DCE6644" w14:textId="77777777" w:rsidR="000532AB" w:rsidRDefault="001F43B1"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b) igualmente dispone que es obligatorio para el Juez examinar </w:t>
      </w:r>
    </w:p>
    <w:p w14:paraId="231D1BD3" w14:textId="77777777" w:rsidR="00B35546" w:rsidRDefault="000532AB" w:rsidP="00B35546">
      <w:pPr>
        <w:rPr>
          <w:rFonts w:ascii="Arial" w:eastAsia="Times New Roman" w:hAnsi="Arial" w:cs="Arial"/>
          <w:lang w:eastAsia="es-ES_tradnl"/>
        </w:rPr>
      </w:pPr>
      <w:r>
        <w:rPr>
          <w:rFonts w:ascii="Arial" w:eastAsia="Times New Roman" w:hAnsi="Arial" w:cs="Arial"/>
          <w:lang w:val="es-ES" w:eastAsia="es-ES_tradnl"/>
        </w:rPr>
        <w:t xml:space="preserve">      </w:t>
      </w:r>
      <w:r w:rsidR="001F43B1">
        <w:rPr>
          <w:rFonts w:ascii="Arial" w:eastAsia="Times New Roman" w:hAnsi="Arial" w:cs="Arial"/>
          <w:lang w:val="es-ES" w:eastAsia="es-ES_tradnl"/>
        </w:rPr>
        <w:t xml:space="preserve">personalmente a </w:t>
      </w:r>
      <w:r>
        <w:rPr>
          <w:rFonts w:ascii="Arial" w:eastAsia="Times New Roman" w:hAnsi="Arial" w:cs="Arial"/>
          <w:lang w:val="es-ES" w:eastAsia="es-ES_tradnl"/>
        </w:rPr>
        <w:t>quien es objeto de internamiento</w:t>
      </w:r>
      <w:r w:rsidR="00B35546">
        <w:rPr>
          <w:rFonts w:ascii="Arial" w:eastAsia="Times New Roman" w:hAnsi="Arial" w:cs="Arial"/>
          <w:lang w:val="es-ES" w:eastAsia="es-ES_tradnl"/>
        </w:rPr>
        <w:t xml:space="preserve"> </w:t>
      </w:r>
      <w:r w:rsidR="00B35546" w:rsidRPr="00B35546">
        <w:rPr>
          <w:rFonts w:ascii="Arial" w:eastAsia="Times New Roman" w:hAnsi="Arial" w:cs="Arial"/>
          <w:lang w:val="es-ES" w:eastAsia="es-ES_tradnl"/>
        </w:rPr>
        <w:t>(«</w:t>
      </w:r>
      <w:r w:rsidR="00B35546" w:rsidRPr="00B35546">
        <w:rPr>
          <w:rFonts w:ascii="Arial" w:eastAsia="Times New Roman" w:hAnsi="Arial" w:cs="Arial"/>
          <w:lang w:eastAsia="es-ES_tradnl"/>
        </w:rPr>
        <w:t xml:space="preserve">el tribunal deberá </w:t>
      </w:r>
    </w:p>
    <w:p w14:paraId="41330C4B" w14:textId="56FBF738" w:rsidR="001F43B1" w:rsidRPr="00B35546" w:rsidRDefault="00B35546" w:rsidP="00B35546">
      <w:pPr>
        <w:rPr>
          <w:rFonts w:ascii="Arial" w:eastAsia="Times New Roman" w:hAnsi="Arial" w:cs="Arial"/>
          <w:lang w:val="es-ES" w:eastAsia="es-ES_tradnl"/>
        </w:rPr>
      </w:pPr>
      <w:r>
        <w:rPr>
          <w:rFonts w:ascii="Arial" w:eastAsia="Times New Roman" w:hAnsi="Arial" w:cs="Arial"/>
          <w:lang w:val="es-ES" w:eastAsia="es-ES_tradnl"/>
        </w:rPr>
        <w:t xml:space="preserve">      </w:t>
      </w:r>
      <w:r w:rsidRPr="00B35546">
        <w:rPr>
          <w:rFonts w:ascii="Arial" w:eastAsia="Times New Roman" w:hAnsi="Arial" w:cs="Arial"/>
          <w:lang w:eastAsia="es-ES_tradnl"/>
        </w:rPr>
        <w:t>examinar por sí mismo a la persona de cuyo internamiento se trate</w:t>
      </w:r>
      <w:r w:rsidRPr="00B35546">
        <w:rPr>
          <w:rFonts w:ascii="Arial" w:eastAsia="Times New Roman" w:hAnsi="Arial" w:cs="Arial"/>
          <w:lang w:val="es-ES" w:eastAsia="es-ES_tradnl"/>
        </w:rPr>
        <w:t>»).</w:t>
      </w:r>
    </w:p>
    <w:p w14:paraId="2ACD1805" w14:textId="77777777" w:rsidR="000532AB" w:rsidRDefault="001F43B1"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c) resulta preceptivo escuchar el dictamen de un facultativo designado por </w:t>
      </w:r>
    </w:p>
    <w:p w14:paraId="69ADE1D0" w14:textId="06AFDC0F" w:rsidR="001F43B1" w:rsidRDefault="000532AB"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1F43B1">
        <w:rPr>
          <w:rFonts w:ascii="Arial" w:eastAsia="Times New Roman" w:hAnsi="Arial" w:cs="Arial"/>
          <w:lang w:val="es-ES" w:eastAsia="es-ES_tradnl"/>
        </w:rPr>
        <w:t>el tribunal.</w:t>
      </w:r>
    </w:p>
    <w:p w14:paraId="180C7450" w14:textId="77777777" w:rsidR="000532AB" w:rsidRDefault="001F43B1"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d) </w:t>
      </w:r>
      <w:r w:rsidR="00103BB8">
        <w:rPr>
          <w:rFonts w:ascii="Arial" w:eastAsia="Times New Roman" w:hAnsi="Arial" w:cs="Arial"/>
          <w:lang w:val="es-ES" w:eastAsia="es-ES_tradnl"/>
        </w:rPr>
        <w:t xml:space="preserve">durante el periodo en el que la persona está internada el Juez puede </w:t>
      </w:r>
    </w:p>
    <w:p w14:paraId="37009A22" w14:textId="77777777" w:rsidR="000532AB" w:rsidRDefault="000532AB"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103BB8">
        <w:rPr>
          <w:rFonts w:ascii="Arial" w:eastAsia="Times New Roman" w:hAnsi="Arial" w:cs="Arial"/>
          <w:lang w:val="es-ES" w:eastAsia="es-ES_tradnl"/>
        </w:rPr>
        <w:t xml:space="preserve">ordenar la práctica de la prueba que estime conveniente de cara a </w:t>
      </w:r>
    </w:p>
    <w:p w14:paraId="043AAB58" w14:textId="5500D957" w:rsidR="00A67B43" w:rsidRPr="000532AB" w:rsidRDefault="000532AB" w:rsidP="000532AB">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103BB8">
        <w:rPr>
          <w:rFonts w:ascii="Arial" w:eastAsia="Times New Roman" w:hAnsi="Arial" w:cs="Arial"/>
          <w:lang w:val="es-ES" w:eastAsia="es-ES_tradnl"/>
        </w:rPr>
        <w:t>mantener o no el internamiento.</w:t>
      </w:r>
    </w:p>
    <w:p w14:paraId="34345BE9" w14:textId="77777777" w:rsidR="00230955" w:rsidRDefault="00103BB8"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S</w:t>
      </w:r>
      <w:r w:rsidR="009D01DB">
        <w:rPr>
          <w:rFonts w:ascii="Arial" w:eastAsia="Times New Roman" w:hAnsi="Arial" w:cs="Arial"/>
          <w:lang w:val="es-ES" w:eastAsia="es-ES_tradnl"/>
        </w:rPr>
        <w:t>e establece la posibilidad de recurrir en apelación la resolución que se adopta</w:t>
      </w:r>
      <w:r w:rsidR="000532AB">
        <w:rPr>
          <w:rFonts w:ascii="Arial" w:eastAsia="Times New Roman" w:hAnsi="Arial" w:cs="Arial"/>
          <w:lang w:val="es-ES" w:eastAsia="es-ES_tradnl"/>
        </w:rPr>
        <w:t xml:space="preserve"> en primera instancia.</w:t>
      </w:r>
    </w:p>
    <w:p w14:paraId="07F907A0" w14:textId="036B7309" w:rsidR="00A67B43" w:rsidRPr="000532AB" w:rsidRDefault="00B971E5"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Por lo que se refiere a la realización del internamiento, </w:t>
      </w:r>
      <w:r w:rsidR="00103BB8">
        <w:rPr>
          <w:rFonts w:ascii="Arial" w:eastAsia="Times New Roman" w:hAnsi="Arial" w:cs="Arial"/>
          <w:lang w:val="es-ES" w:eastAsia="es-ES_tradnl"/>
        </w:rPr>
        <w:t>los facultativos que atienden al interno deberán remitir informes periódicos sobre la evolución de la persona ingresada</w:t>
      </w:r>
      <w:r w:rsidR="00B35546">
        <w:rPr>
          <w:rFonts w:ascii="Arial" w:eastAsia="Times New Roman" w:hAnsi="Arial" w:cs="Arial"/>
          <w:lang w:val="es-ES" w:eastAsia="es-ES_tradnl"/>
        </w:rPr>
        <w:t>, como máximo cada seis meses</w:t>
      </w:r>
      <w:r w:rsidR="00103BB8">
        <w:rPr>
          <w:rFonts w:ascii="Arial" w:eastAsia="Times New Roman" w:hAnsi="Arial" w:cs="Arial"/>
          <w:lang w:val="es-ES" w:eastAsia="es-ES_tradnl"/>
        </w:rPr>
        <w:t>. El órgano judicial determinará la periodicidad con la que deben emitirse dichos informes.</w:t>
      </w:r>
    </w:p>
    <w:p w14:paraId="596704B4" w14:textId="1816392D" w:rsidR="009D01DB" w:rsidRDefault="009D01DB" w:rsidP="00230955">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En cuanto al procedimiento de ratificación se dispone las siguientes obligaciones:</w:t>
      </w:r>
    </w:p>
    <w:p w14:paraId="1F9FDDBA" w14:textId="77777777" w:rsidR="000532AB" w:rsidRDefault="000532AB"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9D01DB">
        <w:rPr>
          <w:rFonts w:ascii="Arial" w:eastAsia="Times New Roman" w:hAnsi="Arial" w:cs="Arial"/>
          <w:lang w:val="es-ES" w:eastAsia="es-ES_tradnl"/>
        </w:rPr>
        <w:t xml:space="preserve">  a) comunicar </w:t>
      </w:r>
      <w:r w:rsidR="00B971E5">
        <w:rPr>
          <w:rFonts w:ascii="Arial" w:eastAsia="Times New Roman" w:hAnsi="Arial" w:cs="Arial"/>
          <w:lang w:val="es-ES" w:eastAsia="es-ES_tradnl"/>
        </w:rPr>
        <w:t xml:space="preserve">en el plazo de veinticuatro horas </w:t>
      </w:r>
      <w:r w:rsidR="009D01DB">
        <w:rPr>
          <w:rFonts w:ascii="Arial" w:eastAsia="Times New Roman" w:hAnsi="Arial" w:cs="Arial"/>
          <w:lang w:val="es-ES" w:eastAsia="es-ES_tradnl"/>
        </w:rPr>
        <w:t xml:space="preserve">el internamiento </w:t>
      </w:r>
      <w:r w:rsidR="00B971E5">
        <w:rPr>
          <w:rFonts w:ascii="Arial" w:eastAsia="Times New Roman" w:hAnsi="Arial" w:cs="Arial"/>
          <w:lang w:val="es-ES" w:eastAsia="es-ES_tradnl"/>
        </w:rPr>
        <w:t xml:space="preserve">al juzgado </w:t>
      </w:r>
    </w:p>
    <w:p w14:paraId="38377601" w14:textId="1EB29DFA" w:rsidR="009D01DB" w:rsidRDefault="000532AB"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B971E5">
        <w:rPr>
          <w:rFonts w:ascii="Arial" w:eastAsia="Times New Roman" w:hAnsi="Arial" w:cs="Arial"/>
          <w:lang w:val="es-ES" w:eastAsia="es-ES_tradnl"/>
        </w:rPr>
        <w:t xml:space="preserve">competente </w:t>
      </w:r>
      <w:r w:rsidR="009D01DB">
        <w:rPr>
          <w:rFonts w:ascii="Arial" w:eastAsia="Times New Roman" w:hAnsi="Arial" w:cs="Arial"/>
          <w:lang w:val="es-ES" w:eastAsia="es-ES_tradnl"/>
        </w:rPr>
        <w:t xml:space="preserve">por parte del director del centro </w:t>
      </w:r>
      <w:r w:rsidR="00B971E5">
        <w:rPr>
          <w:rFonts w:ascii="Arial" w:eastAsia="Times New Roman" w:hAnsi="Arial" w:cs="Arial"/>
          <w:lang w:val="es-ES" w:eastAsia="es-ES_tradnl"/>
        </w:rPr>
        <w:t>en el que se produzca.</w:t>
      </w:r>
    </w:p>
    <w:p w14:paraId="5B9237BC" w14:textId="77777777" w:rsidR="000532AB" w:rsidRDefault="00B971E5"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0532AB">
        <w:rPr>
          <w:rFonts w:ascii="Arial" w:eastAsia="Times New Roman" w:hAnsi="Arial" w:cs="Arial"/>
          <w:lang w:val="es-ES" w:eastAsia="es-ES_tradnl"/>
        </w:rPr>
        <w:t xml:space="preserve">  </w:t>
      </w:r>
      <w:r>
        <w:rPr>
          <w:rFonts w:ascii="Arial" w:eastAsia="Times New Roman" w:hAnsi="Arial" w:cs="Arial"/>
          <w:lang w:val="es-ES" w:eastAsia="es-ES_tradnl"/>
        </w:rPr>
        <w:t xml:space="preserve">b) adoptar por el juez la resolución que ratifica o rechaza el internamiento </w:t>
      </w:r>
    </w:p>
    <w:p w14:paraId="608DC824" w14:textId="77777777" w:rsidR="000532AB" w:rsidRDefault="000532AB" w:rsidP="0025550C">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B971E5">
        <w:rPr>
          <w:rFonts w:ascii="Arial" w:eastAsia="Times New Roman" w:hAnsi="Arial" w:cs="Arial"/>
          <w:lang w:val="es-ES" w:eastAsia="es-ES_tradnl"/>
        </w:rPr>
        <w:t xml:space="preserve">en el plazo de setenta y dos horas desde que se tiene noticia en el </w:t>
      </w:r>
    </w:p>
    <w:p w14:paraId="3CB6F60F" w14:textId="40CB36F7" w:rsidR="00A67B43" w:rsidRPr="000532AB" w:rsidRDefault="000532AB" w:rsidP="000532AB">
      <w:pPr>
        <w:ind w:left="426" w:right="-1"/>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B971E5">
        <w:rPr>
          <w:rFonts w:ascii="Arial" w:eastAsia="Times New Roman" w:hAnsi="Arial" w:cs="Arial"/>
          <w:lang w:val="es-ES" w:eastAsia="es-ES_tradnl"/>
        </w:rPr>
        <w:t>juzgado del internamiento realizado.</w:t>
      </w:r>
    </w:p>
    <w:p w14:paraId="0F7728F7" w14:textId="1BB816F0" w:rsidR="00103BB8" w:rsidRDefault="000C11B6"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Todos los preceptos mencionados posibilitan, en definitiva, el desarrollo de un procedimiento que puede entenderse suficiente para poder tramitar con garantía bastante las actuaciones que llevan a una decisión que autorice o ratifique el internamiento, o bien que la rechace. Pese a todo ello, como vamos a ver, el Tribunal Europeo de Derechos Humanos entra en una serie de aspectos desconocidos por nuestra ley y que en el futuro deberán ser incorporados a la misma.</w:t>
      </w:r>
    </w:p>
    <w:p w14:paraId="0054C01F" w14:textId="4E5B0AF3" w:rsidR="000C11B6" w:rsidRPr="00E91BCF" w:rsidRDefault="000C11B6" w:rsidP="0025550C">
      <w:pPr>
        <w:ind w:right="-1" w:firstLine="567"/>
        <w:jc w:val="both"/>
        <w:rPr>
          <w:rFonts w:ascii="Arial" w:eastAsia="Times New Roman" w:hAnsi="Arial" w:cs="Arial"/>
          <w:sz w:val="10"/>
          <w:szCs w:val="10"/>
          <w:lang w:val="es-ES" w:eastAsia="es-ES_tradnl"/>
        </w:rPr>
      </w:pPr>
    </w:p>
    <w:p w14:paraId="55E1194D" w14:textId="77777777" w:rsidR="00F563D8" w:rsidRDefault="007E738E"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4</w:t>
      </w:r>
      <w:r w:rsidR="0047429F">
        <w:rPr>
          <w:rFonts w:ascii="Arial" w:eastAsia="Times New Roman" w:hAnsi="Arial" w:cs="Arial"/>
          <w:lang w:val="es-ES" w:eastAsia="es-ES_tradnl"/>
        </w:rPr>
        <w:t xml:space="preserve">. </w:t>
      </w:r>
      <w:r w:rsidR="006F395F">
        <w:rPr>
          <w:rFonts w:ascii="Arial" w:eastAsia="Times New Roman" w:hAnsi="Arial" w:cs="Arial"/>
          <w:lang w:val="es-ES" w:eastAsia="es-ES_tradnl"/>
        </w:rPr>
        <w:t xml:space="preserve">La jurisprudencia del TEDH y la normativa española sobre los </w:t>
      </w:r>
    </w:p>
    <w:p w14:paraId="4FB193B8" w14:textId="2F492E60" w:rsidR="00BD78FF" w:rsidRDefault="00F563D8"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    </w:t>
      </w:r>
      <w:r w:rsidR="006F395F">
        <w:rPr>
          <w:rFonts w:ascii="Arial" w:eastAsia="Times New Roman" w:hAnsi="Arial" w:cs="Arial"/>
          <w:lang w:val="es-ES" w:eastAsia="es-ES_tradnl"/>
        </w:rPr>
        <w:t>internamientos forzosos</w:t>
      </w:r>
    </w:p>
    <w:p w14:paraId="147DDA6B" w14:textId="65469EA3" w:rsidR="00582CF9" w:rsidRDefault="0047429F"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Conforme a lo que se acaba de analizar en los párrafos que anteceden </w:t>
      </w:r>
      <w:r w:rsidR="00D27A51">
        <w:rPr>
          <w:rFonts w:ascii="Arial" w:eastAsia="Times New Roman" w:hAnsi="Arial" w:cs="Arial"/>
          <w:lang w:val="es-ES" w:eastAsia="es-ES_tradnl"/>
        </w:rPr>
        <w:t xml:space="preserve">y a todo el epígrafe I anterior, </w:t>
      </w:r>
      <w:r>
        <w:rPr>
          <w:rFonts w:ascii="Arial" w:eastAsia="Times New Roman" w:hAnsi="Arial" w:cs="Arial"/>
          <w:lang w:val="es-ES" w:eastAsia="es-ES_tradnl"/>
        </w:rPr>
        <w:t>puede decirse que la legislación procesal española cumple con los requisitos</w:t>
      </w:r>
      <w:r w:rsidR="00582CF9">
        <w:rPr>
          <w:rFonts w:ascii="Arial" w:eastAsia="Times New Roman" w:hAnsi="Arial" w:cs="Arial"/>
          <w:lang w:val="es-ES" w:eastAsia="es-ES_tradnl"/>
        </w:rPr>
        <w:t xml:space="preserve"> que a lo largo de estos últimos c</w:t>
      </w:r>
      <w:r w:rsidR="00B35546">
        <w:rPr>
          <w:rFonts w:ascii="Arial" w:eastAsia="Times New Roman" w:hAnsi="Arial" w:cs="Arial"/>
          <w:lang w:val="es-ES" w:eastAsia="es-ES_tradnl"/>
        </w:rPr>
        <w:t>uar</w:t>
      </w:r>
      <w:r w:rsidR="00582CF9">
        <w:rPr>
          <w:rFonts w:ascii="Arial" w:eastAsia="Times New Roman" w:hAnsi="Arial" w:cs="Arial"/>
          <w:lang w:val="es-ES" w:eastAsia="es-ES_tradnl"/>
        </w:rPr>
        <w:t xml:space="preserve">enta años ha venido exigiendo el TRIBUNAL en materia de internamientos involuntarios por trastorno psíquico. Pese a que la normativa es bastante escueta, lo que no tiene que significar necesariamente que </w:t>
      </w:r>
      <w:r w:rsidR="00D27A51">
        <w:rPr>
          <w:rFonts w:ascii="Arial" w:eastAsia="Times New Roman" w:hAnsi="Arial" w:cs="Arial"/>
          <w:lang w:val="es-ES" w:eastAsia="es-ES_tradnl"/>
        </w:rPr>
        <w:t>sea</w:t>
      </w:r>
      <w:r w:rsidR="00582CF9">
        <w:rPr>
          <w:rFonts w:ascii="Arial" w:eastAsia="Times New Roman" w:hAnsi="Arial" w:cs="Arial"/>
          <w:lang w:val="es-ES" w:eastAsia="es-ES_tradnl"/>
        </w:rPr>
        <w:t xml:space="preserve"> deficiente, hay algunos aspectos que sí son mejorables y que hay alguno que </w:t>
      </w:r>
      <w:r w:rsidR="004B49BE">
        <w:rPr>
          <w:rFonts w:ascii="Arial" w:eastAsia="Times New Roman" w:hAnsi="Arial" w:cs="Arial"/>
          <w:lang w:val="es-ES" w:eastAsia="es-ES_tradnl"/>
        </w:rPr>
        <w:t>podría implicar</w:t>
      </w:r>
      <w:r w:rsidR="00582CF9">
        <w:rPr>
          <w:rFonts w:ascii="Arial" w:eastAsia="Times New Roman" w:hAnsi="Arial" w:cs="Arial"/>
          <w:lang w:val="es-ES" w:eastAsia="es-ES_tradnl"/>
        </w:rPr>
        <w:t xml:space="preserve"> en un</w:t>
      </w:r>
      <w:r w:rsidR="004B49BE">
        <w:rPr>
          <w:rFonts w:ascii="Arial" w:eastAsia="Times New Roman" w:hAnsi="Arial" w:cs="Arial"/>
          <w:lang w:val="es-ES" w:eastAsia="es-ES_tradnl"/>
        </w:rPr>
        <w:t>a</w:t>
      </w:r>
      <w:r w:rsidR="00582CF9">
        <w:rPr>
          <w:rFonts w:ascii="Arial" w:eastAsia="Times New Roman" w:hAnsi="Arial" w:cs="Arial"/>
          <w:lang w:val="es-ES" w:eastAsia="es-ES_tradnl"/>
        </w:rPr>
        <w:t xml:space="preserve"> futur</w:t>
      </w:r>
      <w:r w:rsidR="004B49BE">
        <w:rPr>
          <w:rFonts w:ascii="Arial" w:eastAsia="Times New Roman" w:hAnsi="Arial" w:cs="Arial"/>
          <w:lang w:val="es-ES" w:eastAsia="es-ES_tradnl"/>
        </w:rPr>
        <w:t>a reforma</w:t>
      </w:r>
      <w:r w:rsidR="00582CF9">
        <w:rPr>
          <w:rFonts w:ascii="Arial" w:eastAsia="Times New Roman" w:hAnsi="Arial" w:cs="Arial"/>
          <w:lang w:val="es-ES" w:eastAsia="es-ES_tradnl"/>
        </w:rPr>
        <w:t xml:space="preserve"> legislativ</w:t>
      </w:r>
      <w:r w:rsidR="004B49BE">
        <w:rPr>
          <w:rFonts w:ascii="Arial" w:eastAsia="Times New Roman" w:hAnsi="Arial" w:cs="Arial"/>
          <w:lang w:val="es-ES" w:eastAsia="es-ES_tradnl"/>
        </w:rPr>
        <w:t>a</w:t>
      </w:r>
      <w:r w:rsidR="00582CF9">
        <w:rPr>
          <w:rFonts w:ascii="Arial" w:eastAsia="Times New Roman" w:hAnsi="Arial" w:cs="Arial"/>
          <w:lang w:val="es-ES" w:eastAsia="es-ES_tradnl"/>
        </w:rPr>
        <w:t xml:space="preserve"> la modificación de</w:t>
      </w:r>
      <w:r w:rsidR="004B49BE">
        <w:rPr>
          <w:rFonts w:ascii="Arial" w:eastAsia="Times New Roman" w:hAnsi="Arial" w:cs="Arial"/>
          <w:lang w:val="es-ES" w:eastAsia="es-ES_tradnl"/>
        </w:rPr>
        <w:t>l</w:t>
      </w:r>
      <w:r w:rsidR="00582CF9">
        <w:rPr>
          <w:rFonts w:ascii="Arial" w:eastAsia="Times New Roman" w:hAnsi="Arial" w:cs="Arial"/>
          <w:lang w:val="es-ES" w:eastAsia="es-ES_tradnl"/>
        </w:rPr>
        <w:t xml:space="preserve"> articulado</w:t>
      </w:r>
      <w:r w:rsidR="004B49BE">
        <w:rPr>
          <w:rFonts w:ascii="Arial" w:eastAsia="Times New Roman" w:hAnsi="Arial" w:cs="Arial"/>
          <w:lang w:val="es-ES" w:eastAsia="es-ES_tradnl"/>
        </w:rPr>
        <w:t xml:space="preserve"> que lo regula</w:t>
      </w:r>
      <w:r w:rsidR="00582CF9">
        <w:rPr>
          <w:rFonts w:ascii="Arial" w:eastAsia="Times New Roman" w:hAnsi="Arial" w:cs="Arial"/>
          <w:lang w:val="es-ES" w:eastAsia="es-ES_tradnl"/>
        </w:rPr>
        <w:t>.</w:t>
      </w:r>
    </w:p>
    <w:p w14:paraId="1093063D" w14:textId="6C76FB9C" w:rsidR="004B49BE" w:rsidRDefault="004B49BE"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La primer de esas posibles modificaciones vendría de la mano de las exigencias del TRIBUNAL sobre el derecho del internado a iniciar un procedimiento por el que se revise </w:t>
      </w:r>
      <w:r w:rsidR="00404379">
        <w:rPr>
          <w:rFonts w:ascii="Arial" w:eastAsia="Times New Roman" w:hAnsi="Arial" w:cs="Arial"/>
          <w:lang w:val="es-ES" w:eastAsia="es-ES_tradnl"/>
        </w:rPr>
        <w:t xml:space="preserve">su estado durante el internamiento. Según lo que </w:t>
      </w:r>
      <w:r w:rsidR="00404379" w:rsidRPr="00617F0E">
        <w:rPr>
          <w:rFonts w:ascii="Arial" w:eastAsia="Times New Roman" w:hAnsi="Arial" w:cs="Arial"/>
          <w:lang w:val="es-ES" w:eastAsia="es-ES_tradnl"/>
        </w:rPr>
        <w:t>hemos visto,</w:t>
      </w:r>
      <w:r w:rsidR="00404379">
        <w:rPr>
          <w:rFonts w:ascii="Arial" w:eastAsia="Times New Roman" w:hAnsi="Arial" w:cs="Arial"/>
          <w:lang w:val="es-ES" w:eastAsia="es-ES_tradnl"/>
        </w:rPr>
        <w:t xml:space="preserve"> el control del internamiento es materia que corresponde al órgano judicial que lo autorizó. De acuerdo con el argumento contenido en el §1</w:t>
      </w:r>
      <w:r w:rsidR="00D27A51">
        <w:rPr>
          <w:rFonts w:ascii="Arial" w:eastAsia="Times New Roman" w:hAnsi="Arial" w:cs="Arial"/>
          <w:lang w:val="es-ES" w:eastAsia="es-ES_tradnl"/>
        </w:rPr>
        <w:t>70 de la sentencia dictada en el caso X. contra FINLANDIA</w:t>
      </w:r>
      <w:r w:rsidR="00404379">
        <w:rPr>
          <w:rFonts w:ascii="Arial" w:eastAsia="Times New Roman" w:hAnsi="Arial" w:cs="Arial"/>
          <w:lang w:val="es-ES" w:eastAsia="es-ES_tradnl"/>
        </w:rPr>
        <w:t xml:space="preserve"> la persona internada también tendría derecho a iniciar un procedimiento de revisión, punto este sobre el que guarda silencio la legislación española. En efecto, el tenor del párrafo que señalamos es el siguiente:</w:t>
      </w:r>
    </w:p>
    <w:p w14:paraId="2AFEB8ED" w14:textId="60A7BDBF" w:rsidR="00404379" w:rsidRPr="00B80F4D" w:rsidRDefault="00404379" w:rsidP="00C00EE2">
      <w:pPr>
        <w:ind w:right="-1"/>
        <w:jc w:val="both"/>
        <w:rPr>
          <w:rFonts w:ascii="Arial" w:eastAsia="Times New Roman" w:hAnsi="Arial" w:cs="Arial"/>
          <w:sz w:val="10"/>
          <w:szCs w:val="10"/>
          <w:lang w:val="es-ES" w:eastAsia="es-ES_tradnl"/>
        </w:rPr>
      </w:pPr>
    </w:p>
    <w:p w14:paraId="5E16BFB7" w14:textId="77777777" w:rsidR="00D27A51" w:rsidRPr="00B80F4D" w:rsidRDefault="00D27A51" w:rsidP="00B35546">
      <w:pPr>
        <w:ind w:left="567" w:right="282" w:firstLine="284"/>
        <w:jc w:val="both"/>
        <w:rPr>
          <w:rFonts w:ascii="Arial" w:eastAsia="Times New Roman" w:hAnsi="Arial" w:cs="Arial"/>
          <w:sz w:val="22"/>
          <w:szCs w:val="22"/>
          <w:lang w:val="es-ES" w:eastAsia="es-ES_tradnl"/>
        </w:rPr>
      </w:pPr>
      <w:r w:rsidRPr="00B80F4D">
        <w:rPr>
          <w:rFonts w:ascii="Arial" w:eastAsiaTheme="minorEastAsia" w:hAnsi="Arial" w:cs="Arial"/>
          <w:sz w:val="22"/>
          <w:szCs w:val="22"/>
          <w:lang w:val="es-ES_tradnl" w:eastAsia="es-ES_tradnl"/>
        </w:rPr>
        <w:t xml:space="preserve">   «170. En segundo lugar, el Tribunal observa que, en los hospitales psiquiátricos finlandeses, se lleva a cabo cada seis meses un control puntual de la necesidad de continuar con el tratamiento forzoso de cada paciente. Dejando de lado la cuestión de saber si un periodo de seis meses puede ser considerado un intervalo razonable, el Tribunal señala que, en virtud del artículo 17, apartado 2 de la Ley sobre Salud Mental, el poder de iniciar esta revisión corresponde a las autoridades nacionales. Un paciente internado en un hospital psiquiátrico no parece tener la posibilidad de iniciar procedimiento alguno mediante el cual se podría examinar la cuestión de saber si se siguen cumpliendo los criterios para su internamiento a los efectos de un tratamiento forzoso. El Tribunal ha constatado, en su jurisprudencia anterior, que un sistema de control puntual en el que la posibilidad de iniciativa corresponde solamente a las autoridades no es suficiente per se (véanse, mutatis mutandis, Rakevich contra Rusia, núm. 58973/00, apartados 43-44, 28 de octubre de 2003, y Gorshkov contra Ucrania, núm. 67531/01, apartado 44, 8 de noviembre de 2005).»</w:t>
      </w:r>
    </w:p>
    <w:p w14:paraId="1E272081" w14:textId="77777777" w:rsidR="00D27A51" w:rsidRPr="00617F0E" w:rsidRDefault="00D27A51" w:rsidP="00C00EE2">
      <w:pPr>
        <w:ind w:right="-1"/>
        <w:jc w:val="both"/>
        <w:rPr>
          <w:rFonts w:ascii="Arial" w:eastAsia="Times New Roman" w:hAnsi="Arial" w:cs="Arial"/>
          <w:sz w:val="10"/>
          <w:szCs w:val="10"/>
          <w:lang w:val="es-ES" w:eastAsia="es-ES_tradnl"/>
        </w:rPr>
      </w:pPr>
    </w:p>
    <w:p w14:paraId="34238907" w14:textId="630C1EFA" w:rsidR="00380C87" w:rsidRDefault="00B80F4D"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Se da</w:t>
      </w:r>
      <w:r w:rsidR="00380C87">
        <w:rPr>
          <w:rFonts w:ascii="Arial" w:eastAsia="Times New Roman" w:hAnsi="Arial" w:cs="Arial"/>
          <w:lang w:val="es-ES" w:eastAsia="es-ES_tradnl"/>
        </w:rPr>
        <w:t xml:space="preserve"> </w:t>
      </w:r>
      <w:r>
        <w:rPr>
          <w:rFonts w:ascii="Arial" w:eastAsia="Times New Roman" w:hAnsi="Arial" w:cs="Arial"/>
          <w:lang w:val="es-ES" w:eastAsia="es-ES_tradnl"/>
        </w:rPr>
        <w:t xml:space="preserve">la circunstancia, además, de que en el caso que se menciona, el periodo de revisión de seis meses coincide con el limite máximo de tiempo establecido en el artículo 763 de la LEC para la remisión de informes sobre la evolución del estado del internado. La legislación española guarda silencio sobre esta opción para el internado, opción, o derecho, que debería quedar recogida en </w:t>
      </w:r>
      <w:r w:rsidR="00380C87">
        <w:rPr>
          <w:rFonts w:ascii="Arial" w:eastAsia="Times New Roman" w:hAnsi="Arial" w:cs="Arial"/>
          <w:lang w:val="es-ES" w:eastAsia="es-ES_tradnl"/>
        </w:rPr>
        <w:t>futura reforma legislativa al respecto.</w:t>
      </w:r>
    </w:p>
    <w:p w14:paraId="68F23BFF" w14:textId="122884C0" w:rsidR="00FB1084" w:rsidRDefault="00713517" w:rsidP="00FB1084">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Esta garantía va de la mano de otra que va en el mismo sentido dirigida a controlar la necesidad del internamiento mientras este se produce y es la existencia de exámenes psiquiátricos realizados por personal independiente a la institución en la que se encuentra ingresada la persona. En el caso de la legislación española</w:t>
      </w:r>
      <w:r w:rsidR="00FB1084">
        <w:rPr>
          <w:rFonts w:ascii="Arial" w:eastAsia="Times New Roman" w:hAnsi="Arial" w:cs="Arial"/>
          <w:lang w:val="es-ES" w:eastAsia="es-ES_tradnl"/>
        </w:rPr>
        <w:t xml:space="preserve"> esta labor se encomienda a los propios facultativos que atienden al interno. El artículo 763 se expresa del siguiente modo:</w:t>
      </w:r>
    </w:p>
    <w:p w14:paraId="377975EB" w14:textId="77777777" w:rsidR="00FB1084" w:rsidRPr="00FB1084" w:rsidRDefault="00FB1084" w:rsidP="00FB1084">
      <w:pPr>
        <w:ind w:right="-1" w:firstLine="567"/>
        <w:jc w:val="both"/>
        <w:rPr>
          <w:rFonts w:ascii="Arial" w:eastAsia="Times New Roman" w:hAnsi="Arial" w:cs="Arial"/>
          <w:sz w:val="10"/>
          <w:szCs w:val="10"/>
          <w:lang w:val="es-ES" w:eastAsia="es-ES_tradnl"/>
        </w:rPr>
      </w:pPr>
    </w:p>
    <w:p w14:paraId="6A459DE6" w14:textId="06440542" w:rsidR="00FB1084" w:rsidRPr="00FB1084" w:rsidRDefault="00FB1084" w:rsidP="00B35546">
      <w:pPr>
        <w:tabs>
          <w:tab w:val="left" w:pos="284"/>
        </w:tabs>
        <w:spacing w:line="240" w:lineRule="atLeast"/>
        <w:ind w:left="567" w:right="566" w:firstLine="284"/>
        <w:jc w:val="both"/>
        <w:rPr>
          <w:rFonts w:ascii="Arial" w:hAnsi="Arial" w:cs="Arial"/>
          <w:sz w:val="22"/>
          <w:szCs w:val="22"/>
        </w:rPr>
      </w:pPr>
      <w:r>
        <w:rPr>
          <w:rFonts w:ascii="Arial" w:hAnsi="Arial" w:cs="Arial"/>
          <w:sz w:val="22"/>
          <w:szCs w:val="22"/>
          <w:lang w:val="es-ES"/>
        </w:rPr>
        <w:t>«</w:t>
      </w:r>
      <w:r w:rsidRPr="00FB1084">
        <w:rPr>
          <w:rFonts w:ascii="Arial" w:hAnsi="Arial" w:cs="Arial"/>
          <w:sz w:val="22"/>
          <w:szCs w:val="22"/>
        </w:rPr>
        <w:t>4. En la misma resolución que acuerde el internamiento se expresará la obligación de los facultativos que atiendan a la persona internada de informar periódicamente al tribunal sobre la necesidad de mantener la medida, sin perjuicio de los demás informes que el tribunal pueda requerir cuando lo crea pertinente.</w:t>
      </w:r>
    </w:p>
    <w:p w14:paraId="21FD1CBB" w14:textId="77777777" w:rsidR="00FB1084" w:rsidRPr="00FB1084" w:rsidRDefault="00FB1084" w:rsidP="00B35546">
      <w:pPr>
        <w:tabs>
          <w:tab w:val="left" w:pos="284"/>
        </w:tabs>
        <w:spacing w:line="240" w:lineRule="atLeast"/>
        <w:ind w:left="567" w:right="566" w:firstLine="284"/>
        <w:jc w:val="both"/>
        <w:rPr>
          <w:rFonts w:ascii="Arial" w:eastAsia="Times New Roman" w:hAnsi="Arial" w:cs="Arial"/>
          <w:sz w:val="10"/>
          <w:szCs w:val="10"/>
          <w:lang w:val="es-ES" w:eastAsia="es-ES_tradnl"/>
        </w:rPr>
      </w:pPr>
    </w:p>
    <w:p w14:paraId="0BC77991" w14:textId="7A8A67DA" w:rsidR="00FB1084" w:rsidRPr="00FB1084" w:rsidRDefault="00FB1084" w:rsidP="00B35546">
      <w:pPr>
        <w:pStyle w:val="parrafo"/>
        <w:spacing w:before="0" w:beforeAutospacing="0" w:after="0" w:afterAutospacing="0" w:line="240" w:lineRule="atLeast"/>
        <w:ind w:left="567" w:right="566" w:firstLine="284"/>
        <w:jc w:val="both"/>
        <w:rPr>
          <w:lang w:val="es-ES"/>
        </w:rPr>
      </w:pPr>
      <w:r w:rsidRPr="00FB1084">
        <w:rPr>
          <w:rFonts w:ascii="Arial" w:hAnsi="Arial" w:cs="Arial"/>
          <w:sz w:val="22"/>
          <w:szCs w:val="22"/>
        </w:rPr>
        <w:t>Los informes periódicos serán emitidos cada seis meses, a no ser que el tribunal, atendida la naturaleza del trastorno que motivó el internamiento, señale un plazo inferior</w:t>
      </w:r>
      <w:r>
        <w:t>.</w:t>
      </w:r>
      <w:r>
        <w:rPr>
          <w:lang w:val="es-ES"/>
        </w:rPr>
        <w:t>»</w:t>
      </w:r>
    </w:p>
    <w:p w14:paraId="4E317196" w14:textId="6D3222AE" w:rsidR="00FB1084" w:rsidRPr="00FB1084" w:rsidRDefault="00FB1084" w:rsidP="0025550C">
      <w:pPr>
        <w:ind w:right="-1" w:firstLine="567"/>
        <w:jc w:val="both"/>
        <w:rPr>
          <w:rFonts w:ascii="Arial" w:eastAsia="Times New Roman" w:hAnsi="Arial" w:cs="Arial"/>
          <w:sz w:val="10"/>
          <w:szCs w:val="10"/>
          <w:lang w:eastAsia="es-ES_tradnl"/>
        </w:rPr>
      </w:pPr>
    </w:p>
    <w:p w14:paraId="6F6FEDD9" w14:textId="777BD914" w:rsidR="00FB1084" w:rsidRDefault="00775DA1" w:rsidP="0025550C">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El TRIBUNAL, en cambio, entiende que estos informes deben ser realizados por especialistas independientes. La sentencia pronunciada en el caso de M. contra UCRANIA dice en su párrafo número 82:</w:t>
      </w:r>
    </w:p>
    <w:p w14:paraId="6543D2D1" w14:textId="77777777" w:rsidR="00775DA1" w:rsidRPr="00775DA1" w:rsidRDefault="00775DA1" w:rsidP="0025550C">
      <w:pPr>
        <w:ind w:right="-1" w:firstLine="567"/>
        <w:jc w:val="both"/>
        <w:rPr>
          <w:rFonts w:ascii="Arial" w:eastAsia="Times New Roman" w:hAnsi="Arial" w:cs="Arial"/>
          <w:sz w:val="10"/>
          <w:szCs w:val="10"/>
          <w:lang w:val="es-ES" w:eastAsia="es-ES_tradnl"/>
        </w:rPr>
      </w:pPr>
    </w:p>
    <w:p w14:paraId="4DCD293C" w14:textId="2B51AD8E" w:rsidR="00FB1084" w:rsidRPr="00775DA1" w:rsidRDefault="00775DA1" w:rsidP="00B35546">
      <w:pPr>
        <w:ind w:left="567" w:right="566" w:firstLine="567"/>
        <w:jc w:val="both"/>
        <w:rPr>
          <w:rFonts w:ascii="Arial" w:eastAsia="Times New Roman" w:hAnsi="Arial" w:cs="Arial"/>
          <w:sz w:val="22"/>
          <w:szCs w:val="22"/>
          <w:lang w:val="es-ES" w:eastAsia="es-ES_tradnl"/>
        </w:rPr>
      </w:pPr>
      <w:r>
        <w:rPr>
          <w:rFonts w:ascii="Arial" w:hAnsi="Arial" w:cs="Arial"/>
          <w:sz w:val="22"/>
          <w:szCs w:val="22"/>
          <w:lang w:val="es-ES"/>
        </w:rPr>
        <w:t>«</w:t>
      </w:r>
      <w:r w:rsidRPr="00775DA1">
        <w:rPr>
          <w:rFonts w:ascii="Arial" w:hAnsi="Arial" w:cs="Arial"/>
          <w:sz w:val="22"/>
          <w:szCs w:val="22"/>
          <w:lang w:val="es-ES"/>
        </w:rPr>
        <w:t>En lo que respecta a la permanencia de la demandante en el hospital, el Gobierno no ha facilitado ninguna información sobre la práctica existente de visitas periódicas a los centros de salud mental por parte de un organismo externo independiente con el objetivo de hablar en privado con los pacientes, revisar su estado por iniciativa propia, recibir quejas y tratar eficazmente las cuestiones planteadas por los pacientes. La importancia de estos procedimientos de supervisión ha sido subrayada por el CPT (véase el párrafo 39 anterior). En opinión del Tribunal, la disponibilidad de estos procedimientos que ofrecen una revisión independiente de la situación de los pacientes admitidos, tanto voluntaria como involuntariamente, son garantías esenciales contra posibles abusos.</w:t>
      </w:r>
      <w:r>
        <w:rPr>
          <w:rFonts w:ascii="Arial" w:hAnsi="Arial" w:cs="Arial"/>
          <w:sz w:val="22"/>
          <w:szCs w:val="22"/>
          <w:lang w:val="es-ES"/>
        </w:rPr>
        <w:t>»</w:t>
      </w:r>
    </w:p>
    <w:p w14:paraId="528F7F73" w14:textId="75FB942F" w:rsidR="00FB1084" w:rsidRPr="00617F0E" w:rsidRDefault="00FB1084" w:rsidP="0025550C">
      <w:pPr>
        <w:ind w:right="-1" w:firstLine="567"/>
        <w:jc w:val="both"/>
        <w:rPr>
          <w:rFonts w:ascii="Arial" w:eastAsia="Times New Roman" w:hAnsi="Arial" w:cs="Arial"/>
          <w:sz w:val="10"/>
          <w:szCs w:val="10"/>
          <w:lang w:val="es-ES" w:eastAsia="es-ES_tradnl"/>
        </w:rPr>
      </w:pPr>
    </w:p>
    <w:p w14:paraId="3B6E1C47" w14:textId="47E40B02" w:rsidR="00783339" w:rsidRDefault="00775DA1" w:rsidP="00617F0E">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No cabe duda de que estas visitas y los informes correspondientes pueden ser realizados por los médicos forenses</w:t>
      </w:r>
      <w:r w:rsidR="003E6C50">
        <w:rPr>
          <w:rFonts w:ascii="Arial" w:eastAsia="Times New Roman" w:hAnsi="Arial" w:cs="Arial"/>
          <w:lang w:val="es-ES" w:eastAsia="es-ES_tradnl"/>
        </w:rPr>
        <w:t xml:space="preserve"> que </w:t>
      </w:r>
      <w:r>
        <w:rPr>
          <w:rFonts w:ascii="Arial" w:eastAsia="Times New Roman" w:hAnsi="Arial" w:cs="Arial"/>
          <w:lang w:val="es-ES" w:eastAsia="es-ES_tradnl"/>
        </w:rPr>
        <w:t xml:space="preserve">no </w:t>
      </w:r>
      <w:r w:rsidR="003E6C50">
        <w:rPr>
          <w:rFonts w:ascii="Arial" w:eastAsia="Times New Roman" w:hAnsi="Arial" w:cs="Arial"/>
          <w:lang w:val="es-ES" w:eastAsia="es-ES_tradnl"/>
        </w:rPr>
        <w:t xml:space="preserve">se hallan </w:t>
      </w:r>
      <w:r>
        <w:rPr>
          <w:rFonts w:ascii="Arial" w:eastAsia="Times New Roman" w:hAnsi="Arial" w:cs="Arial"/>
          <w:lang w:val="es-ES" w:eastAsia="es-ES_tradnl"/>
        </w:rPr>
        <w:t>vinculados a centros, residencia o instituciones en las que pueda llevarse a cabo el internamiento. Pero si enlazamos lo que establece el TRIBUNAL en esta sentencia con lo visto líneas arriba en el número 170 de la sentencia del caso de X. contra FINLANDIA, también cabría la posibilidad de abrir legalmente cauce procedimental</w:t>
      </w:r>
      <w:r w:rsidR="00E04497">
        <w:rPr>
          <w:rFonts w:ascii="Arial" w:eastAsia="Times New Roman" w:hAnsi="Arial" w:cs="Arial"/>
          <w:lang w:val="es-ES" w:eastAsia="es-ES_tradnl"/>
        </w:rPr>
        <w:t xml:space="preserve"> para que estas visitas fueran realizadas, también, por especialistas llamados a intervenir por la propia persona internada.</w:t>
      </w:r>
    </w:p>
    <w:p w14:paraId="307CA413" w14:textId="504C1758" w:rsidR="00617F0E" w:rsidRDefault="00617F0E" w:rsidP="00617F0E">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En cuanto a los lugares de internamiento caben, al menos, dos menciones: una, relativa a las residencias y, otra, sobre los psiquiátricos penitenciarios. Con respecto a las primeras debe quedar claro a estas alturas que los internamientos forzosos en residencias entran dentro del objeto de estos procesos. Son muchas las personas que debido a su edad se encuentran necesitadas de una atención que más puede calificarse de asistencial que médica. En estos casos, como en el de los internamientos en hospitales o centros psiquiátricos, antes de proceder al internamiento es preciso solicitar autorización judicial. Con ello se pretende exactamente lo mismos que en los casos de internamientos hospitalarios: garantizar que el internamiento se produce sin ningún tipo de arbitrariedad y que la libertad de la persona queda salvaguardada. La redacción de las normas que pudieren suceder a las actualmente vigentes también debería hacer algún tipo de mención a los internamientos en residencias.</w:t>
      </w:r>
    </w:p>
    <w:p w14:paraId="7B2A85F7" w14:textId="77777777" w:rsidR="00F067C9" w:rsidRDefault="00984BF5" w:rsidP="00F067C9">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En lo tocante a los centros psiquiátricos carcelarios, solo dos en la actualidad, no estaría de más que en el futuro se recogiera de algún modo la vinculación de los mismos con las garantías establecidas por el TRIBUNAL para estos casos. No se trataría tanto de desarrollar un articulado específico para los internamientos que tienen lugar en estos centros, cuanto de ubicar los mismos en la normativa que los regula. Las referencias legales también podrían hacerse en otras normas, como bien podría ser en el Ley de enjuiciamiento criminal presente o futura.</w:t>
      </w:r>
      <w:r w:rsidR="00F067C9">
        <w:rPr>
          <w:rFonts w:ascii="Arial" w:eastAsia="Times New Roman" w:hAnsi="Arial" w:cs="Arial"/>
          <w:lang w:val="es-ES" w:eastAsia="es-ES_tradnl"/>
        </w:rPr>
        <w:t xml:space="preserve"> En cualquier caso, la expresión del vínculo que tiene que existir entre las condiciones del centro y del régimen de internamiento y la finalidad del mismo parece muy conveniente</w:t>
      </w:r>
    </w:p>
    <w:p w14:paraId="13A1C191" w14:textId="53D3B097" w:rsidR="00F067C9" w:rsidRPr="00F067C9" w:rsidRDefault="00F067C9" w:rsidP="00F067C9">
      <w:pPr>
        <w:ind w:right="-1" w:firstLine="567"/>
        <w:jc w:val="both"/>
        <w:rPr>
          <w:rFonts w:ascii="Arial" w:eastAsia="Times New Roman" w:hAnsi="Arial" w:cs="Arial"/>
          <w:lang w:val="es-ES" w:eastAsia="es-ES_tradnl"/>
        </w:rPr>
      </w:pPr>
      <w:r w:rsidRPr="00F067C9">
        <w:rPr>
          <w:rFonts w:ascii="Arial" w:eastAsia="Times New Roman" w:hAnsi="Arial" w:cs="Arial"/>
          <w:lang w:val="es-ES" w:eastAsia="es-ES_tradnl"/>
        </w:rPr>
        <w:t xml:space="preserve">Finalmente, en cuanto a la claridad de la Ley resulta aceptable. Al menos desde la perspectiva de quienes intervienen en el foro parece plenamente comprensible. Eso sí, hay algunos aspectos que no se mencionan y que sí deberían ser recogidos por la letra de la ley. Se echa de menos normas que regulen el derecho a ser informado de todo lo relacionado con un posible internamiento. Páginas atrás hemos hablado del derecho a no ser engañado y del derecho a recibir información sobre el alcance que puede tener el internamiento para una persona concreta. Es cierto que esa precisión no </w:t>
      </w:r>
      <w:r w:rsidRPr="00F067C9">
        <w:rPr>
          <w:rFonts w:ascii="Arial" w:hAnsi="Arial" w:cs="Arial"/>
          <w:lang w:val="es-ES"/>
        </w:rPr>
        <w:t xml:space="preserve">tiene naturaleza procesal y por tanto tampoco tiene que </w:t>
      </w:r>
      <w:r w:rsidRPr="00F067C9">
        <w:rPr>
          <w:rFonts w:ascii="Arial" w:eastAsia="Times New Roman" w:hAnsi="Arial" w:cs="Arial"/>
          <w:lang w:val="es-ES" w:eastAsia="es-ES_tradnl"/>
        </w:rPr>
        <w:t>forma</w:t>
      </w:r>
      <w:r w:rsidRPr="00F067C9">
        <w:rPr>
          <w:rFonts w:ascii="Arial" w:hAnsi="Arial" w:cs="Arial"/>
          <w:lang w:val="es-ES"/>
        </w:rPr>
        <w:t>r</w:t>
      </w:r>
      <w:r w:rsidRPr="00F067C9">
        <w:rPr>
          <w:rFonts w:ascii="Arial" w:eastAsia="Times New Roman" w:hAnsi="Arial" w:cs="Arial"/>
          <w:lang w:val="es-ES" w:eastAsia="es-ES_tradnl"/>
        </w:rPr>
        <w:t xml:space="preserve"> parte de las normas procesales que rigen los internamientos, pero no parece que constituya ningún despropósito que en la única regulación actualmente vigente sobre el tema se haga mención al derecho a ser plenamente informado sobre las consecuencias que puedan derivarse de la aceptación de un internamiento</w:t>
      </w:r>
      <w:r w:rsidRPr="00F067C9">
        <w:rPr>
          <w:rFonts w:ascii="Arial" w:hAnsi="Arial" w:cs="Arial"/>
          <w:lang w:val="es-ES"/>
        </w:rPr>
        <w:t>, al menos de las consecuencias procedimentales.</w:t>
      </w:r>
      <w:r w:rsidRPr="00F067C9">
        <w:rPr>
          <w:rFonts w:ascii="Arial" w:eastAsia="Times New Roman" w:hAnsi="Arial" w:cs="Arial"/>
          <w:lang w:val="es-ES" w:eastAsia="es-ES_tradnl"/>
        </w:rPr>
        <w:t xml:space="preserve"> Igualmente, </w:t>
      </w:r>
      <w:r w:rsidRPr="00F067C9">
        <w:rPr>
          <w:rFonts w:ascii="Arial" w:hAnsi="Arial" w:cs="Arial"/>
          <w:lang w:val="es-ES"/>
        </w:rPr>
        <w:t>una mención como la que se propone bien</w:t>
      </w:r>
      <w:r w:rsidRPr="00F067C9">
        <w:rPr>
          <w:rFonts w:ascii="Arial" w:eastAsia="Times New Roman" w:hAnsi="Arial" w:cs="Arial"/>
          <w:lang w:val="es-ES" w:eastAsia="es-ES_tradnl"/>
        </w:rPr>
        <w:t xml:space="preserve"> podría ubicarse en la</w:t>
      </w:r>
      <w:r w:rsidRPr="00F067C9">
        <w:rPr>
          <w:rFonts w:ascii="Arial" w:hAnsi="Arial" w:cs="Arial"/>
          <w:lang w:val="es-ES"/>
        </w:rPr>
        <w:t xml:space="preserve"> «</w:t>
      </w:r>
      <w:r w:rsidRPr="00F067C9">
        <w:rPr>
          <w:rFonts w:ascii="Arial" w:hAnsi="Arial" w:cs="Arial"/>
        </w:rPr>
        <w:t>Ley 41/2002, de 14 de noviembre, básica reguladora de la autonomía del paciente y de derechos y obligaciones en materia de información y documentación clínica</w:t>
      </w:r>
      <w:r w:rsidRPr="00F067C9">
        <w:rPr>
          <w:rFonts w:ascii="Arial" w:hAnsi="Arial" w:cs="Arial"/>
          <w:lang w:val="es-ES"/>
        </w:rPr>
        <w:t>»</w:t>
      </w:r>
      <w:r w:rsidRPr="00F067C9">
        <w:rPr>
          <w:rFonts w:ascii="Arial" w:hAnsi="Arial" w:cs="Arial"/>
        </w:rPr>
        <w:t xml:space="preserve">. </w:t>
      </w:r>
      <w:r w:rsidRPr="00F067C9">
        <w:rPr>
          <w:rFonts w:ascii="Arial" w:hAnsi="Arial" w:cs="Arial"/>
          <w:lang w:val="es-ES"/>
        </w:rPr>
        <w:t>Esla ley que regula los derechos del paciente y no cabe duda de que este derecho a la información es uno más de los que ampara esta ley.</w:t>
      </w:r>
    </w:p>
    <w:p w14:paraId="5771E6BE" w14:textId="6CDB6265" w:rsidR="00F067C9" w:rsidRPr="00F067C9" w:rsidRDefault="00F067C9" w:rsidP="00617F0E">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Para concluir, no parece necesario abundar en la idea de que, al margen de las situaciones que se mencionan en los párrafos anteriores, todos los pronunciamientos, derechos y garantías que ha proclamando el TRIBUNAL y que queda recogido en su jurisprudencia es igualmente de aplicación a los casos particulares que se puedan plantear. Es obvio que la ley no puede prever todos los supuestos.</w:t>
      </w:r>
    </w:p>
    <w:p w14:paraId="1BFB4242" w14:textId="24DB943D" w:rsidR="00984BF5" w:rsidRPr="00617F0E" w:rsidRDefault="00984BF5" w:rsidP="00617F0E">
      <w:pPr>
        <w:ind w:right="-1" w:firstLine="567"/>
        <w:jc w:val="both"/>
        <w:rPr>
          <w:rFonts w:ascii="Arial" w:eastAsia="Times New Roman" w:hAnsi="Arial" w:cs="Arial"/>
          <w:lang w:val="es-ES" w:eastAsia="es-ES_tradnl"/>
        </w:rPr>
      </w:pPr>
      <w:r>
        <w:rPr>
          <w:rFonts w:ascii="Arial" w:eastAsia="Times New Roman" w:hAnsi="Arial" w:cs="Arial"/>
          <w:lang w:val="es-ES" w:eastAsia="es-ES_tradnl"/>
        </w:rPr>
        <w:t xml:space="preserve">  </w:t>
      </w:r>
    </w:p>
    <w:sectPr w:rsidR="00984BF5" w:rsidRPr="00617F0E" w:rsidSect="008D3859">
      <w:footerReference w:type="even" r:id="rId6"/>
      <w:footerReference w:type="default" r:id="rId7"/>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C8988" w14:textId="77777777" w:rsidR="00426EE0" w:rsidRDefault="00426EE0" w:rsidP="0006701D">
      <w:r>
        <w:separator/>
      </w:r>
    </w:p>
  </w:endnote>
  <w:endnote w:type="continuationSeparator" w:id="0">
    <w:p w14:paraId="48B58B48" w14:textId="77777777" w:rsidR="00426EE0" w:rsidRDefault="00426EE0" w:rsidP="00067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uerpo en alf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1942881421"/>
      <w:docPartObj>
        <w:docPartGallery w:val="Page Numbers (Bottom of Page)"/>
        <w:docPartUnique/>
      </w:docPartObj>
    </w:sdtPr>
    <w:sdtEndPr>
      <w:rPr>
        <w:rStyle w:val="Nmerodepgina"/>
      </w:rPr>
    </w:sdtEndPr>
    <w:sdtContent>
      <w:p w14:paraId="0CA3E8B6" w14:textId="6D05C7FE" w:rsidR="0006701D" w:rsidRDefault="0006701D" w:rsidP="005B5CF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670B385" w14:textId="77777777" w:rsidR="0006701D" w:rsidRDefault="0006701D" w:rsidP="0006701D">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merodepgina"/>
      </w:rPr>
      <w:id w:val="709312853"/>
      <w:docPartObj>
        <w:docPartGallery w:val="Page Numbers (Bottom of Page)"/>
        <w:docPartUnique/>
      </w:docPartObj>
    </w:sdtPr>
    <w:sdtEndPr>
      <w:rPr>
        <w:rStyle w:val="Nmerodepgina"/>
      </w:rPr>
    </w:sdtEndPr>
    <w:sdtContent>
      <w:p w14:paraId="12820115" w14:textId="3A157547" w:rsidR="0006701D" w:rsidRDefault="0006701D" w:rsidP="005B5CF9">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C351CF">
          <w:rPr>
            <w:rStyle w:val="Nmerodepgina"/>
            <w:noProof/>
          </w:rPr>
          <w:t>3</w:t>
        </w:r>
        <w:r>
          <w:rPr>
            <w:rStyle w:val="Nmerodepgina"/>
          </w:rPr>
          <w:fldChar w:fldCharType="end"/>
        </w:r>
      </w:p>
    </w:sdtContent>
  </w:sdt>
  <w:p w14:paraId="47B554C6" w14:textId="77777777" w:rsidR="0006701D" w:rsidRDefault="0006701D" w:rsidP="0006701D">
    <w:pPr>
      <w:pStyle w:val="Piedepgina"/>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16207A" w14:textId="77777777" w:rsidR="00426EE0" w:rsidRDefault="00426EE0" w:rsidP="0006701D">
      <w:r>
        <w:separator/>
      </w:r>
    </w:p>
  </w:footnote>
  <w:footnote w:type="continuationSeparator" w:id="0">
    <w:p w14:paraId="2A2873AC" w14:textId="77777777" w:rsidR="00426EE0" w:rsidRDefault="00426EE0" w:rsidP="0006701D">
      <w:r>
        <w:continuationSeparator/>
      </w:r>
    </w:p>
  </w:footnote>
  <w:footnote w:id="1">
    <w:p w14:paraId="1FA5F970" w14:textId="35465D57" w:rsidR="00544B83" w:rsidRPr="00035B3E" w:rsidRDefault="00544B83"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00B80FCD">
        <w:rPr>
          <w:rFonts w:ascii="Arial" w:hAnsi="Arial" w:cs="Arial"/>
          <w:lang w:val="es-ES"/>
        </w:rPr>
        <w:t>A diferencia de lo señalado</w:t>
      </w:r>
      <w:r w:rsidR="00057DAE">
        <w:rPr>
          <w:rFonts w:ascii="Arial" w:hAnsi="Arial" w:cs="Arial"/>
          <w:lang w:val="es-ES"/>
        </w:rPr>
        <w:t>,</w:t>
      </w:r>
      <w:r w:rsidRPr="00035B3E">
        <w:rPr>
          <w:rFonts w:ascii="Arial" w:hAnsi="Arial" w:cs="Arial"/>
          <w:lang w:val="es-ES"/>
        </w:rPr>
        <w:t xml:space="preserve"> </w:t>
      </w:r>
      <w:r w:rsidR="00A6780A">
        <w:rPr>
          <w:rFonts w:ascii="Arial" w:hAnsi="Arial" w:cs="Arial"/>
          <w:lang w:val="es-ES"/>
        </w:rPr>
        <w:t xml:space="preserve">cuando se citan </w:t>
      </w:r>
      <w:r w:rsidR="00820203">
        <w:rPr>
          <w:rFonts w:ascii="Arial" w:hAnsi="Arial" w:cs="Arial"/>
          <w:lang w:val="es-ES"/>
        </w:rPr>
        <w:t xml:space="preserve">en estas páginas </w:t>
      </w:r>
      <w:r w:rsidR="00A6780A">
        <w:rPr>
          <w:rFonts w:ascii="Arial" w:hAnsi="Arial" w:cs="Arial"/>
          <w:lang w:val="es-ES"/>
        </w:rPr>
        <w:t xml:space="preserve">sus sentencias de forma literal se respeta la grafía con la que </w:t>
      </w:r>
      <w:r w:rsidRPr="00035B3E">
        <w:rPr>
          <w:rFonts w:ascii="Arial" w:hAnsi="Arial" w:cs="Arial"/>
          <w:lang w:val="es-ES"/>
        </w:rPr>
        <w:t>se refiere a sí mismo</w:t>
      </w:r>
      <w:r w:rsidR="00820203">
        <w:rPr>
          <w:rFonts w:ascii="Arial" w:hAnsi="Arial" w:cs="Arial"/>
          <w:lang w:val="es-ES"/>
        </w:rPr>
        <w:t xml:space="preserve"> (</w:t>
      </w:r>
      <w:r w:rsidRPr="00035B3E">
        <w:rPr>
          <w:rFonts w:ascii="Arial" w:hAnsi="Arial" w:cs="Arial"/>
          <w:lang w:val="es-ES"/>
        </w:rPr>
        <w:t>Tribunal</w:t>
      </w:r>
      <w:r w:rsidR="00820203">
        <w:rPr>
          <w:rFonts w:ascii="Arial" w:hAnsi="Arial" w:cs="Arial"/>
          <w:lang w:val="es-ES"/>
        </w:rPr>
        <w:t>)</w:t>
      </w:r>
      <w:r w:rsidR="00A6780A">
        <w:rPr>
          <w:rFonts w:ascii="Arial" w:hAnsi="Arial" w:cs="Arial"/>
          <w:lang w:val="es-ES"/>
        </w:rPr>
        <w:t>, con la inicial mayúscula;</w:t>
      </w:r>
      <w:r w:rsidRPr="00035B3E">
        <w:rPr>
          <w:rFonts w:ascii="Arial" w:hAnsi="Arial" w:cs="Arial"/>
          <w:lang w:val="es-ES"/>
        </w:rPr>
        <w:t xml:space="preserve"> mientras que lo hace con minúscula (tribunal) para referirse a los tribunales nacionales.</w:t>
      </w:r>
    </w:p>
  </w:footnote>
  <w:footnote w:id="2">
    <w:p w14:paraId="2E586A31" w14:textId="3C55AB01" w:rsidR="00CA4F9D" w:rsidRPr="00035B3E" w:rsidRDefault="00CA4F9D">
      <w:pPr>
        <w:pStyle w:val="Textonotapie"/>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hyperlink r:id="rId1" w:history="1">
        <w:r w:rsidRPr="00035B3E">
          <w:rPr>
            <w:rStyle w:val="Hipervnculo"/>
            <w:rFonts w:ascii="Arial" w:hAnsi="Arial" w:cs="Arial"/>
          </w:rPr>
          <w:t>https://www.coe.int/fr/</w:t>
        </w:r>
      </w:hyperlink>
      <w:r w:rsidRPr="00035B3E">
        <w:rPr>
          <w:rFonts w:ascii="Arial" w:hAnsi="Arial" w:cs="Arial"/>
          <w:lang w:val="es-ES"/>
        </w:rPr>
        <w:t xml:space="preserve"> (Último acceso: 10.03.2022.)</w:t>
      </w:r>
    </w:p>
  </w:footnote>
  <w:footnote w:id="3">
    <w:p w14:paraId="37BCDB95" w14:textId="77777777" w:rsidR="00864EB1" w:rsidRPr="00EE4943" w:rsidRDefault="00864EB1" w:rsidP="00864EB1">
      <w:pPr>
        <w:pStyle w:val="Textonotapie"/>
        <w:rPr>
          <w:lang w:val="es-ES"/>
        </w:rPr>
      </w:pPr>
      <w:r>
        <w:rPr>
          <w:rStyle w:val="Refdenotaalpie"/>
        </w:rPr>
        <w:footnoteRef/>
      </w:r>
      <w:r>
        <w:t xml:space="preserve"> </w:t>
      </w:r>
      <w:r>
        <w:rPr>
          <w:lang w:val="es-ES"/>
        </w:rPr>
        <w:t>Adoptado por el Consejo de Europa el 4 de noviembre de 1950 (Tratado de Roma).</w:t>
      </w:r>
    </w:p>
  </w:footnote>
  <w:footnote w:id="4">
    <w:p w14:paraId="76CC8F4F" w14:textId="719D1B15" w:rsidR="007B2CAC" w:rsidRPr="00035B3E" w:rsidRDefault="007B2CAC">
      <w:pPr>
        <w:pStyle w:val="Textonotapie"/>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hyperlink r:id="rId2" w:history="1">
        <w:r w:rsidRPr="00035B3E">
          <w:rPr>
            <w:rStyle w:val="Hipervnculo"/>
            <w:rFonts w:ascii="Arial" w:hAnsi="Arial" w:cs="Arial"/>
          </w:rPr>
          <w:t>https://www.echr.coe.int/Pages/home.aspx?p=home&amp;c=fre</w:t>
        </w:r>
      </w:hyperlink>
      <w:r w:rsidRPr="00035B3E">
        <w:rPr>
          <w:rFonts w:ascii="Arial" w:hAnsi="Arial" w:cs="Arial"/>
          <w:lang w:val="es-ES"/>
        </w:rPr>
        <w:t xml:space="preserve"> (Último acceso: 10.03.2022.)</w:t>
      </w:r>
    </w:p>
  </w:footnote>
  <w:footnote w:id="5">
    <w:p w14:paraId="11300E5C" w14:textId="77777777" w:rsidR="00451EC8" w:rsidRPr="00035B3E" w:rsidRDefault="00451EC8" w:rsidP="00451EC8">
      <w:pPr>
        <w:pStyle w:val="Textonotapie"/>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hyperlink r:id="rId3" w:history="1">
        <w:r w:rsidRPr="00035B3E">
          <w:rPr>
            <w:rStyle w:val="Hipervnculo"/>
            <w:rFonts w:ascii="Arial" w:hAnsi="Arial" w:cs="Arial"/>
          </w:rPr>
          <w:t>https://www.echr.coe.int/Pages/home.aspx?p=caselaw/HUDOC&amp;c=fre</w:t>
        </w:r>
      </w:hyperlink>
      <w:r w:rsidRPr="00035B3E">
        <w:rPr>
          <w:rFonts w:ascii="Arial" w:hAnsi="Arial" w:cs="Arial"/>
          <w:lang w:val="es-ES"/>
        </w:rPr>
        <w:t xml:space="preserve"> (Último acceso: 10.03.2022.)</w:t>
      </w:r>
    </w:p>
  </w:footnote>
  <w:footnote w:id="6">
    <w:p w14:paraId="5FE6FE02" w14:textId="54438BD8" w:rsidR="005F1E43" w:rsidRPr="00035B3E" w:rsidRDefault="005F1E43"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Esta es la razón de ser de estos procedimientos, razón de ser que se reitera en la casi totalidad de las sentencias pronunciadas por el TRIBUNAL sobre la materia. A modo de ejemplo pueden verse, entre otras muchas, los fallos pronunciados en los casos siguientes: WINTERWERP contra LOS PAÍSES BAJOS, § 37; GUZZARDI contra ITALIA, § 92; HERCZEGFALVY contra AUSTRIA, § 63; RIERA BLUME contra ESPAÑA, § 28</w:t>
      </w:r>
      <w:r w:rsidR="00323D4E">
        <w:rPr>
          <w:rFonts w:ascii="Arial" w:hAnsi="Arial" w:cs="Arial"/>
          <w:color w:val="000000" w:themeColor="text1"/>
          <w:sz w:val="20"/>
          <w:szCs w:val="20"/>
          <w:lang w:val="es-ES"/>
        </w:rPr>
        <w:t>;</w:t>
      </w:r>
      <w:r w:rsidRPr="00035B3E">
        <w:rPr>
          <w:rFonts w:ascii="Arial" w:hAnsi="Arial" w:cs="Arial"/>
          <w:color w:val="000000" w:themeColor="text1"/>
          <w:sz w:val="20"/>
          <w:szCs w:val="20"/>
          <w:lang w:val="es-ES"/>
        </w:rPr>
        <w:t xml:space="preserve"> C.W. contra SUIZA, § 34; MORSINK contra LOS PAÍSES BAJOS, § 64; TODEV contra BULGARIA, § 26; STANEV contra BULGARIA, § 143; PROSCHKIN contra RUSIA, § 71.</w:t>
      </w:r>
    </w:p>
  </w:footnote>
  <w:footnote w:id="7">
    <w:p w14:paraId="57876E26" w14:textId="6BBF6BE7" w:rsidR="00E10F59" w:rsidRPr="00035B3E" w:rsidRDefault="00E10F59"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Caso GLIEN contra ALEMANIA, § 73: «Se puede considerar que un trastorno mental es de un grado que justifique el internamiento obligatorio si se constata que el internamiento de la persona en cuestión es necesario ya que la persona necesita terapia, medicación u otro tratamiento clínico para curar o aliviar su condición, pero también cuando la persona necesita control y supervisión para evitar, por ejemplo, que se haga daño a sí mismo o a otras personas (compárese, por ejemplo, Witold Litwa, citado anteriormente, § 60; y Hutchison Reid v. the United Kingdom, no. 50272/99, § 52, ECHR 2003-IV)»</w:t>
      </w:r>
      <w:r w:rsidR="00323D4E">
        <w:rPr>
          <w:rFonts w:ascii="Arial" w:hAnsi="Arial" w:cs="Arial"/>
          <w:color w:val="000000" w:themeColor="text1"/>
          <w:sz w:val="20"/>
          <w:szCs w:val="20"/>
          <w:lang w:val="es-ES"/>
        </w:rPr>
        <w:t>;</w:t>
      </w:r>
      <w:r w:rsidR="002F70CB" w:rsidRPr="00035B3E">
        <w:rPr>
          <w:rFonts w:ascii="Arial" w:hAnsi="Arial" w:cs="Arial"/>
          <w:color w:val="000000" w:themeColor="text1"/>
          <w:sz w:val="20"/>
          <w:szCs w:val="20"/>
          <w:lang w:val="es-ES"/>
        </w:rPr>
        <w:t xml:space="preserve"> Caso STANEV contra BULGARIA, § 146: «...el internamiento de una persona que padece trastornos mentales puede imponerse no solo cuando es necesario, para curar o para que su estado mejore, mediante terapia, medicamentos o cualquier otro tratamiento clínico, sino también cuando se hace necesaria su vigilancia para evitar, por ejemplo, que se haga daño o se lo haga a los demás (HUTCHISON REID contra REINO UNIDO núm. 50272, apartado 52, TEDH 2003 IV)»</w:t>
      </w:r>
      <w:r w:rsidR="00666DC8">
        <w:rPr>
          <w:rFonts w:ascii="Arial" w:hAnsi="Arial" w:cs="Arial"/>
          <w:color w:val="000000" w:themeColor="text1"/>
          <w:sz w:val="20"/>
          <w:szCs w:val="20"/>
          <w:lang w:val="es-ES"/>
        </w:rPr>
        <w:t>.</w:t>
      </w:r>
    </w:p>
  </w:footnote>
  <w:footnote w:id="8">
    <w:p w14:paraId="63EE2B51" w14:textId="4F06F1B4" w:rsidR="002F70CB" w:rsidRPr="00035B3E" w:rsidRDefault="002F70CB"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CRISTIAN TEODORESCU contra RUMANÍA, § 59: «Además, la privación de libertad es una medida tan grave que sólo se justifica cuando se han considerado otras medidas menos severas y se han considerado insuficientes para salvaguardar el interés personal o público que requiere </w:t>
      </w:r>
      <w:r w:rsidR="006664FD">
        <w:rPr>
          <w:rFonts w:ascii="Arial" w:hAnsi="Arial" w:cs="Arial"/>
          <w:color w:val="000000" w:themeColor="text1"/>
          <w:sz w:val="20"/>
          <w:szCs w:val="20"/>
          <w:lang w:val="es-ES"/>
        </w:rPr>
        <w:t>el</w:t>
      </w:r>
      <w:r w:rsidRPr="00035B3E">
        <w:rPr>
          <w:rFonts w:ascii="Arial" w:hAnsi="Arial" w:cs="Arial"/>
          <w:color w:val="000000" w:themeColor="text1"/>
          <w:sz w:val="20"/>
          <w:szCs w:val="20"/>
          <w:lang w:val="es-ES"/>
        </w:rPr>
        <w:t xml:space="preserve"> </w:t>
      </w:r>
      <w:r w:rsidR="0029623C">
        <w:rPr>
          <w:rFonts w:ascii="Arial" w:hAnsi="Arial" w:cs="Arial"/>
          <w:color w:val="000000" w:themeColor="text1"/>
          <w:sz w:val="20"/>
          <w:szCs w:val="20"/>
          <w:lang w:val="es-ES"/>
        </w:rPr>
        <w:t>internamiento</w:t>
      </w:r>
      <w:r w:rsidRPr="00035B3E">
        <w:rPr>
          <w:rFonts w:ascii="Arial" w:hAnsi="Arial" w:cs="Arial"/>
          <w:color w:val="000000" w:themeColor="text1"/>
          <w:sz w:val="20"/>
          <w:szCs w:val="20"/>
          <w:lang w:val="es-ES"/>
        </w:rPr>
        <w:t>. Por lo tanto, no basta con que la privación de libertad sea conforme al Derecho nacional, sino que debe ser necesaria en las circunstancias del caso (Witold Litwa c. Polonia, nº 26629/95, § 78, TEDH 2000-III)»</w:t>
      </w:r>
      <w:r w:rsidR="00A16461">
        <w:rPr>
          <w:rFonts w:ascii="Arial" w:hAnsi="Arial" w:cs="Arial"/>
          <w:color w:val="000000" w:themeColor="text1"/>
          <w:sz w:val="20"/>
          <w:szCs w:val="20"/>
          <w:lang w:val="es-ES"/>
        </w:rPr>
        <w:t>.</w:t>
      </w:r>
    </w:p>
  </w:footnote>
  <w:footnote w:id="9">
    <w:p w14:paraId="6F6C9AEC" w14:textId="689AED07" w:rsidR="006D1A2E" w:rsidRPr="00035B3E" w:rsidRDefault="006D1A2E"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Caso PROSCHKIN contra RUSIA, § 73: «...los principios de seguridad jurídica y de protección contra la arbitrariedad son los hilos conductores del Convenio y del Estado de Derecho»</w:t>
      </w:r>
      <w:r w:rsidR="00441DD6" w:rsidRPr="00035B3E">
        <w:rPr>
          <w:rFonts w:ascii="Arial" w:hAnsi="Arial" w:cs="Arial"/>
          <w:color w:val="000000" w:themeColor="text1"/>
          <w:sz w:val="20"/>
          <w:szCs w:val="20"/>
          <w:lang w:val="es-ES"/>
        </w:rPr>
        <w:t>.</w:t>
      </w:r>
    </w:p>
  </w:footnote>
  <w:footnote w:id="10">
    <w:p w14:paraId="3D9CE2F5" w14:textId="6B2F7BF4" w:rsidR="0041355A" w:rsidRPr="00035B3E" w:rsidRDefault="0041355A" w:rsidP="00A16461">
      <w:pPr>
        <w:ind w:firstLine="284"/>
        <w:jc w:val="both"/>
        <w:rPr>
          <w:rFonts w:ascii="Arial" w:hAnsi="Arial" w:cs="Arial"/>
          <w:sz w:val="20"/>
          <w:szCs w:val="20"/>
          <w:lang w:val="es-ES" w:eastAsia="fr-FR"/>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 xml:space="preserve">Sobre el artículo 5.1.e) </w:t>
      </w:r>
      <w:r w:rsidR="00B73506" w:rsidRPr="00035B3E">
        <w:rPr>
          <w:rFonts w:ascii="Arial" w:hAnsi="Arial" w:cs="Arial"/>
          <w:sz w:val="20"/>
          <w:szCs w:val="20"/>
          <w:lang w:val="es-ES"/>
        </w:rPr>
        <w:t>afirma ya el TRIBUNA</w:t>
      </w:r>
      <w:r w:rsidR="002733F7" w:rsidRPr="00035B3E">
        <w:rPr>
          <w:rFonts w:ascii="Arial" w:hAnsi="Arial" w:cs="Arial"/>
          <w:sz w:val="20"/>
          <w:szCs w:val="20"/>
          <w:lang w:val="es-ES"/>
        </w:rPr>
        <w:t>L</w:t>
      </w:r>
      <w:r w:rsidR="00B73506" w:rsidRPr="00035B3E">
        <w:rPr>
          <w:rFonts w:ascii="Arial" w:hAnsi="Arial" w:cs="Arial"/>
          <w:sz w:val="20"/>
          <w:szCs w:val="20"/>
          <w:lang w:val="es-ES"/>
        </w:rPr>
        <w:t xml:space="preserve"> en </w:t>
      </w:r>
      <w:r w:rsidR="002733F7" w:rsidRPr="00035B3E">
        <w:rPr>
          <w:rFonts w:ascii="Arial" w:hAnsi="Arial" w:cs="Arial"/>
          <w:sz w:val="20"/>
          <w:szCs w:val="20"/>
          <w:lang w:val="es-ES"/>
        </w:rPr>
        <w:t>el</w:t>
      </w:r>
      <w:r w:rsidR="00B73506" w:rsidRPr="00035B3E">
        <w:rPr>
          <w:rFonts w:ascii="Arial" w:hAnsi="Arial" w:cs="Arial"/>
          <w:sz w:val="20"/>
          <w:szCs w:val="20"/>
          <w:lang w:val="es-ES"/>
        </w:rPr>
        <w:t xml:space="preserve"> § 38 </w:t>
      </w:r>
      <w:r w:rsidR="002733F7" w:rsidRPr="00035B3E">
        <w:rPr>
          <w:rFonts w:ascii="Arial" w:hAnsi="Arial" w:cs="Arial"/>
          <w:sz w:val="20"/>
          <w:szCs w:val="20"/>
          <w:lang w:val="es-ES"/>
        </w:rPr>
        <w:t>de</w:t>
      </w:r>
      <w:r w:rsidR="00B73506" w:rsidRPr="00035B3E">
        <w:rPr>
          <w:rFonts w:ascii="Arial" w:hAnsi="Arial" w:cs="Arial"/>
          <w:sz w:val="20"/>
          <w:szCs w:val="20"/>
          <w:lang w:val="es-ES"/>
        </w:rPr>
        <w:t xml:space="preserve"> su sentencia del caso WINTERWERP: «</w:t>
      </w:r>
      <w:r w:rsidRPr="00035B3E">
        <w:rPr>
          <w:rFonts w:ascii="Arial" w:hAnsi="Arial" w:cs="Arial"/>
          <w:sz w:val="20"/>
          <w:szCs w:val="20"/>
        </w:rPr>
        <w:t>la finalidad de dicha disposición</w:t>
      </w:r>
      <w:r w:rsidR="00A16461">
        <w:rPr>
          <w:rFonts w:ascii="Arial" w:hAnsi="Arial" w:cs="Arial"/>
          <w:sz w:val="20"/>
          <w:szCs w:val="20"/>
          <w:lang w:val="es-ES"/>
        </w:rPr>
        <w:t xml:space="preserve"> [es]</w:t>
      </w:r>
      <w:r w:rsidRPr="00035B3E">
        <w:rPr>
          <w:rFonts w:ascii="Arial" w:hAnsi="Arial" w:cs="Arial"/>
          <w:sz w:val="20"/>
          <w:szCs w:val="20"/>
        </w:rPr>
        <w:t>: garantizar que nadie sea privado arbitrariamente de su libertad</w:t>
      </w:r>
      <w:r w:rsidR="00B73506" w:rsidRPr="00035B3E">
        <w:rPr>
          <w:rFonts w:ascii="Arial" w:hAnsi="Arial" w:cs="Arial"/>
          <w:sz w:val="20"/>
          <w:szCs w:val="20"/>
          <w:lang w:val="es-ES"/>
        </w:rPr>
        <w:t>».</w:t>
      </w:r>
      <w:r w:rsidR="00441DD6" w:rsidRPr="00035B3E">
        <w:rPr>
          <w:rFonts w:ascii="Arial" w:hAnsi="Arial" w:cs="Arial"/>
          <w:sz w:val="20"/>
          <w:szCs w:val="20"/>
          <w:lang w:val="es-ES"/>
        </w:rPr>
        <w:t xml:space="preserve"> Caso TODEV contra BULGARIA, § 26: «</w:t>
      </w:r>
      <w:r w:rsidR="00441DD6" w:rsidRPr="00035B3E">
        <w:rPr>
          <w:rFonts w:ascii="Arial" w:hAnsi="Arial" w:cs="Arial"/>
          <w:sz w:val="20"/>
          <w:szCs w:val="20"/>
          <w:lang w:val="es-ES" w:eastAsia="fr-FR"/>
        </w:rPr>
        <w:t>El Tribunal de Justicia recuerda en primer lugar que, para cumplir con los requisitos de requisitos del artículo 5 § 1, una privación de libertad debe ser "legal" y llevarse a cabo "de acuerdo con la ley". A este respecto, el Convenio se refiere esencialmente a la legislación nacional y establece la obligación de respetar su normas de fondo como de procedimiento, pero también exige que toda privación de libertad sea conforme con el objetivo del artículo 5: proteger el individuo contra la arbitrariedad (Winterwerp contra los Países Bajos, sentencia de 24 de octubre 1979, Serie A nº 33, p. 17, § 39; Aerts c. Bélgica, sentencia de 30 de julio de 1998, Reports 1998-V, p. 1961, § 46; Hutchison Reid v. the United Kingdom, no. 50272/99, § 47, 20 de febrero de 2003)»</w:t>
      </w:r>
      <w:r w:rsidR="00A16461">
        <w:rPr>
          <w:rFonts w:ascii="Arial" w:hAnsi="Arial" w:cs="Arial"/>
          <w:sz w:val="20"/>
          <w:szCs w:val="20"/>
          <w:lang w:val="es-ES" w:eastAsia="fr-FR"/>
        </w:rPr>
        <w:t>.</w:t>
      </w:r>
    </w:p>
  </w:footnote>
  <w:footnote w:id="11">
    <w:p w14:paraId="0936B6B8" w14:textId="77777777" w:rsidR="006664FD" w:rsidRPr="00035B3E" w:rsidRDefault="006664FD" w:rsidP="006664FD">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BORER contra SUIZA, § 40: «</w:t>
      </w:r>
      <w:r w:rsidRPr="00035B3E">
        <w:rPr>
          <w:rFonts w:ascii="Arial" w:hAnsi="Arial" w:cs="Arial"/>
          <w:color w:val="000000" w:themeColor="text1"/>
          <w:sz w:val="20"/>
          <w:szCs w:val="20"/>
          <w:lang w:val="es-ES_tradnl"/>
        </w:rPr>
        <w:t xml:space="preserve">Por último, el Tribunal de Justicia recuerda que la lista de excepciones al derecho a la libertad del artículo 5 § 1 es exhaustiva y que sólo una interpretación restringida encaja con el objetivo de dicha disposición, que es garantizar que nadie sea privado arbitrariamente de su libertad (véase, entre otras muchas K.-F. contra Alemania, 27 de noviembre de 1997, § 70, Reports 1997-VII, Čonka c. Bélgica, nº 51564/99, § 42, CEDH 2002-I, y D.G. c. Irlanda. (b) Aplicación de los principios anteriores al presente caso.». Caso S. contra ALEMAMIA, § 86: </w:t>
      </w:r>
      <w:r w:rsidRPr="00035B3E">
        <w:rPr>
          <w:rFonts w:ascii="Arial" w:hAnsi="Arial" w:cs="Arial"/>
          <w:color w:val="000000" w:themeColor="text1"/>
          <w:sz w:val="20"/>
          <w:szCs w:val="20"/>
          <w:lang w:val="es-ES"/>
        </w:rPr>
        <w:t>«Los apartados a) a f) del artículo 5.1 contienen una lista exhaustiva de los motivos de la privación de libertad, y ninguna privación de libertad será legal a menos que esté comprendida en uno de esos motivos (véase, entre otros, Guzzardi v. Italy, 6 de noviembre de 1980, § 96, Serie A nº 39; Witold Litwa c. Polonia, nº 26629/95, § 49, TEDH 2000-III; y Saadi c. el Reino Unido [GC], no. 13229/03, § 43, ECHR 2008-...)»</w:t>
      </w:r>
      <w:r>
        <w:rPr>
          <w:rFonts w:ascii="Arial" w:hAnsi="Arial" w:cs="Arial"/>
          <w:color w:val="000000" w:themeColor="text1"/>
          <w:sz w:val="20"/>
          <w:szCs w:val="20"/>
          <w:lang w:val="es-ES"/>
        </w:rPr>
        <w:t>.</w:t>
      </w:r>
      <w:r w:rsidRPr="006664FD">
        <w:rPr>
          <w:rFonts w:ascii="Arial" w:hAnsi="Arial" w:cs="Arial"/>
          <w:color w:val="000000" w:themeColor="text1"/>
          <w:sz w:val="20"/>
          <w:szCs w:val="20"/>
          <w:lang w:val="es-ES"/>
        </w:rPr>
        <w:t xml:space="preserve"> </w:t>
      </w:r>
      <w:r w:rsidRPr="00035B3E">
        <w:rPr>
          <w:rFonts w:ascii="Arial" w:hAnsi="Arial" w:cs="Arial"/>
          <w:color w:val="000000" w:themeColor="text1"/>
          <w:sz w:val="20"/>
          <w:szCs w:val="20"/>
          <w:lang w:val="es-ES"/>
        </w:rPr>
        <w:t xml:space="preserve">Caso GLIEN contra ALEMANIA, § 76: «El Tribunal debe determinar si </w:t>
      </w:r>
      <w:r>
        <w:rPr>
          <w:rFonts w:ascii="Arial" w:hAnsi="Arial" w:cs="Arial"/>
          <w:color w:val="000000" w:themeColor="text1"/>
          <w:sz w:val="20"/>
          <w:szCs w:val="20"/>
          <w:lang w:val="es-ES"/>
        </w:rPr>
        <w:t>el internamiento</w:t>
      </w:r>
      <w:r w:rsidRPr="00035B3E">
        <w:rPr>
          <w:rFonts w:ascii="Arial" w:hAnsi="Arial" w:cs="Arial"/>
          <w:color w:val="000000" w:themeColor="text1"/>
          <w:sz w:val="20"/>
          <w:szCs w:val="20"/>
          <w:lang w:val="es-ES"/>
        </w:rPr>
        <w:t xml:space="preserve"> del demandante estaba justificad</w:t>
      </w:r>
      <w:r>
        <w:rPr>
          <w:rFonts w:ascii="Arial" w:hAnsi="Arial" w:cs="Arial"/>
          <w:color w:val="000000" w:themeColor="text1"/>
          <w:sz w:val="20"/>
          <w:szCs w:val="20"/>
          <w:lang w:val="es-ES"/>
        </w:rPr>
        <w:t>o</w:t>
      </w:r>
      <w:r w:rsidRPr="00035B3E">
        <w:rPr>
          <w:rFonts w:ascii="Arial" w:hAnsi="Arial" w:cs="Arial"/>
          <w:color w:val="000000" w:themeColor="text1"/>
          <w:sz w:val="20"/>
          <w:szCs w:val="20"/>
          <w:lang w:val="es-ES"/>
        </w:rPr>
        <w:t xml:space="preserve"> en virtud de alguno de los apartados a) a f) del artículo 5 § 1.» § 77: «El Tribunal examinará, en primer lugar, si </w:t>
      </w:r>
      <w:r>
        <w:rPr>
          <w:rFonts w:ascii="Arial" w:hAnsi="Arial" w:cs="Arial"/>
          <w:color w:val="000000" w:themeColor="text1"/>
          <w:sz w:val="20"/>
          <w:szCs w:val="20"/>
          <w:lang w:val="es-ES"/>
        </w:rPr>
        <w:t>el</w:t>
      </w:r>
      <w:r w:rsidRPr="00035B3E">
        <w:rPr>
          <w:rFonts w:ascii="Arial" w:hAnsi="Arial" w:cs="Arial"/>
          <w:color w:val="000000" w:themeColor="text1"/>
          <w:sz w:val="20"/>
          <w:szCs w:val="20"/>
          <w:lang w:val="es-ES"/>
        </w:rPr>
        <w:t xml:space="preserve"> </w:t>
      </w:r>
      <w:r>
        <w:rPr>
          <w:rFonts w:ascii="Arial" w:hAnsi="Arial" w:cs="Arial"/>
          <w:color w:val="000000" w:themeColor="text1"/>
          <w:sz w:val="20"/>
          <w:szCs w:val="20"/>
          <w:lang w:val="es-ES"/>
        </w:rPr>
        <w:t>internamiento</w:t>
      </w:r>
      <w:r w:rsidRPr="00035B3E">
        <w:rPr>
          <w:rFonts w:ascii="Arial" w:hAnsi="Arial" w:cs="Arial"/>
          <w:color w:val="000000" w:themeColor="text1"/>
          <w:sz w:val="20"/>
          <w:szCs w:val="20"/>
          <w:lang w:val="es-ES"/>
        </w:rPr>
        <w:t xml:space="preserve"> del demandante estaba justificad</w:t>
      </w:r>
      <w:r>
        <w:rPr>
          <w:rFonts w:ascii="Arial" w:hAnsi="Arial" w:cs="Arial"/>
          <w:color w:val="000000" w:themeColor="text1"/>
          <w:sz w:val="20"/>
          <w:szCs w:val="20"/>
          <w:lang w:val="es-ES"/>
        </w:rPr>
        <w:t>o</w:t>
      </w:r>
      <w:r w:rsidRPr="00035B3E">
        <w:rPr>
          <w:rFonts w:ascii="Arial" w:hAnsi="Arial" w:cs="Arial"/>
          <w:color w:val="000000" w:themeColor="text1"/>
          <w:sz w:val="20"/>
          <w:szCs w:val="20"/>
          <w:lang w:val="es-ES"/>
        </w:rPr>
        <w:t xml:space="preserve"> en virtud de la letra e) del artículo 5.1 como </w:t>
      </w:r>
      <w:r>
        <w:rPr>
          <w:rFonts w:ascii="Arial" w:hAnsi="Arial" w:cs="Arial"/>
          <w:color w:val="000000" w:themeColor="text1"/>
          <w:sz w:val="20"/>
          <w:szCs w:val="20"/>
          <w:lang w:val="es-ES"/>
        </w:rPr>
        <w:t xml:space="preserve">el internamiento </w:t>
      </w:r>
      <w:r w:rsidRPr="00035B3E">
        <w:rPr>
          <w:rFonts w:ascii="Arial" w:hAnsi="Arial" w:cs="Arial"/>
          <w:color w:val="000000" w:themeColor="text1"/>
          <w:sz w:val="20"/>
          <w:szCs w:val="20"/>
          <w:lang w:val="es-ES"/>
        </w:rPr>
        <w:t>de una persona "con trastorno mental", como fue argumentado por el Gobierno»</w:t>
      </w:r>
      <w:r>
        <w:rPr>
          <w:rFonts w:ascii="Arial" w:hAnsi="Arial" w:cs="Arial"/>
          <w:color w:val="000000" w:themeColor="text1"/>
          <w:sz w:val="20"/>
          <w:szCs w:val="20"/>
          <w:lang w:val="es-ES"/>
        </w:rPr>
        <w:t>.</w:t>
      </w:r>
    </w:p>
  </w:footnote>
  <w:footnote w:id="12">
    <w:p w14:paraId="32775EA1" w14:textId="4253CD05" w:rsidR="009845B3" w:rsidRPr="00035B3E" w:rsidRDefault="009845B3"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 xml:space="preserve">Caso HERCZEGFALVY contra AUSTRIA, § </w:t>
      </w:r>
      <w:r w:rsidRPr="00035B3E">
        <w:rPr>
          <w:rFonts w:ascii="Arial" w:hAnsi="Arial" w:cs="Arial"/>
          <w:color w:val="000000" w:themeColor="text1"/>
        </w:rPr>
        <w:t>63</w:t>
      </w:r>
      <w:r w:rsidRPr="00035B3E">
        <w:rPr>
          <w:rFonts w:ascii="Arial" w:hAnsi="Arial" w:cs="Arial"/>
          <w:color w:val="000000" w:themeColor="text1"/>
          <w:lang w:val="es-ES"/>
        </w:rPr>
        <w:t>:</w:t>
      </w:r>
      <w:r w:rsidR="00994CC0" w:rsidRPr="00035B3E">
        <w:rPr>
          <w:rFonts w:ascii="Arial" w:hAnsi="Arial" w:cs="Arial"/>
          <w:color w:val="000000" w:themeColor="text1"/>
          <w:lang w:val="es-ES"/>
        </w:rPr>
        <w:t xml:space="preserve"> </w:t>
      </w:r>
      <w:r w:rsidRPr="00035B3E">
        <w:rPr>
          <w:rFonts w:ascii="Arial" w:hAnsi="Arial" w:cs="Arial"/>
          <w:color w:val="000000" w:themeColor="text1"/>
          <w:lang w:val="es-ES"/>
        </w:rPr>
        <w:t>«</w:t>
      </w:r>
      <w:r w:rsidRPr="00035B3E">
        <w:rPr>
          <w:rFonts w:ascii="Arial" w:hAnsi="Arial" w:cs="Arial"/>
          <w:color w:val="000000" w:themeColor="text1"/>
        </w:rPr>
        <w:t xml:space="preserve">Para cumplir con la letra e) del apartado 1 (art. 5-1-e), </w:t>
      </w:r>
      <w:r w:rsidR="00994CC0" w:rsidRPr="00035B3E">
        <w:rPr>
          <w:rFonts w:ascii="Arial" w:hAnsi="Arial" w:cs="Arial"/>
          <w:color w:val="000000" w:themeColor="text1"/>
          <w:lang w:val="es-ES"/>
        </w:rPr>
        <w:t>el internamiento</w:t>
      </w:r>
      <w:r w:rsidRPr="00035B3E">
        <w:rPr>
          <w:rFonts w:ascii="Arial" w:hAnsi="Arial" w:cs="Arial"/>
          <w:color w:val="000000" w:themeColor="text1"/>
        </w:rPr>
        <w:t xml:space="preserve"> en cuestión debe ser, en primer lugar, "legal", lo que incluye la observancia de un procedimiento prescrito por la ley; a este respecto, el Convenio se remite esencialmente al derecho nacional y establece la obligación de ajustarse a las normas sustantivas y procesales del mismo. Sin embargo, exige además que toda privación de libertad sea compatible con la finalidad del artículo 5 (art. 5), a saber, proteger a las personas de la arbitrariedad (véanse, entre otras, las sentencias van der Leer c. los Países Bajos, de 21 de febrero de 1990, serie A nº 170-A, p. 12, apartado 22, y Wassink c. los Países Bajos, de 27 de septiembre de 1990, serie A nº 185-A, p. 11, apartado 24)</w:t>
      </w:r>
      <w:r w:rsidR="00994CC0" w:rsidRPr="00035B3E">
        <w:rPr>
          <w:rFonts w:ascii="Arial" w:hAnsi="Arial" w:cs="Arial"/>
          <w:color w:val="000000" w:themeColor="text1"/>
          <w:lang w:val="es-ES"/>
        </w:rPr>
        <w:t>»</w:t>
      </w:r>
      <w:r w:rsidR="00BB2E46">
        <w:rPr>
          <w:rFonts w:ascii="Arial" w:hAnsi="Arial" w:cs="Arial"/>
          <w:color w:val="000000" w:themeColor="text1"/>
          <w:lang w:val="es-ES"/>
        </w:rPr>
        <w:t>.</w:t>
      </w:r>
      <w:r w:rsidR="00994CC0" w:rsidRPr="00035B3E">
        <w:rPr>
          <w:rFonts w:ascii="Arial" w:hAnsi="Arial" w:cs="Arial"/>
          <w:color w:val="000000" w:themeColor="text1"/>
          <w:lang w:val="es-ES"/>
        </w:rPr>
        <w:t xml:space="preserve"> </w:t>
      </w:r>
    </w:p>
  </w:footnote>
  <w:footnote w:id="13">
    <w:p w14:paraId="2CA78574" w14:textId="35FDC9C8" w:rsidR="0051036F" w:rsidRPr="00035B3E" w:rsidRDefault="0051036F"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CRISTIAN TEODORESCU contra RUMANÍA, § 59: «El Tribunal reitera que el artículo 5 § 1 requiere, en primer lugar, que </w:t>
      </w:r>
      <w:r w:rsidR="006664FD">
        <w:rPr>
          <w:rFonts w:ascii="Arial" w:hAnsi="Arial" w:cs="Arial"/>
          <w:color w:val="000000" w:themeColor="text1"/>
          <w:sz w:val="20"/>
          <w:szCs w:val="20"/>
          <w:lang w:val="es-ES"/>
        </w:rPr>
        <w:t>el</w:t>
      </w:r>
      <w:r w:rsidRPr="00035B3E">
        <w:rPr>
          <w:rFonts w:ascii="Arial" w:hAnsi="Arial" w:cs="Arial"/>
          <w:color w:val="000000" w:themeColor="text1"/>
          <w:sz w:val="20"/>
          <w:szCs w:val="20"/>
          <w:lang w:val="es-ES"/>
        </w:rPr>
        <w:t xml:space="preserve"> </w:t>
      </w:r>
      <w:r w:rsidR="0029623C">
        <w:rPr>
          <w:rFonts w:ascii="Arial" w:hAnsi="Arial" w:cs="Arial"/>
          <w:color w:val="000000" w:themeColor="text1"/>
          <w:sz w:val="20"/>
          <w:szCs w:val="20"/>
          <w:lang w:val="es-ES"/>
        </w:rPr>
        <w:t>internamiento</w:t>
      </w:r>
      <w:r w:rsidRPr="00035B3E">
        <w:rPr>
          <w:rFonts w:ascii="Arial" w:hAnsi="Arial" w:cs="Arial"/>
          <w:color w:val="000000" w:themeColor="text1"/>
          <w:sz w:val="20"/>
          <w:szCs w:val="20"/>
          <w:lang w:val="es-ES"/>
        </w:rPr>
        <w:t xml:space="preserve"> en cuestión sea “legal”, incluyendo el cumplimiento del proceso legal. A este respecto, el Convenio se remite esencialmente a la legislación nacional y establece la obligación de respetar sus normas de fondo y de procedimiento, pero también exige que toda privación de libertad sea compatible con el objetivo del artículo 5, a saber, proteger al individuo contra la arbitrariedad (Herczegfalvy c. Austria, 24 de septiembre de 1992, § 63, Serie A nº 244)»</w:t>
      </w:r>
      <w:r w:rsidR="00BB2E46">
        <w:rPr>
          <w:rFonts w:ascii="Arial" w:hAnsi="Arial" w:cs="Arial"/>
          <w:color w:val="000000" w:themeColor="text1"/>
          <w:sz w:val="20"/>
          <w:szCs w:val="20"/>
          <w:lang w:val="es-ES"/>
        </w:rPr>
        <w:t>.</w:t>
      </w:r>
    </w:p>
  </w:footnote>
  <w:footnote w:id="14">
    <w:p w14:paraId="3821F489" w14:textId="00F0FF57" w:rsidR="0051036F" w:rsidRPr="00035B3E" w:rsidRDefault="0051036F"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Caso PROSCHKIN contra RUSIA, § 73.</w:t>
      </w:r>
    </w:p>
  </w:footnote>
  <w:footnote w:id="15">
    <w:p w14:paraId="4872126B" w14:textId="07762E56" w:rsidR="00BB35F1" w:rsidRPr="00035B3E" w:rsidRDefault="00BB35F1"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001D0029">
        <w:rPr>
          <w:rFonts w:ascii="Arial" w:hAnsi="Arial" w:cs="Arial"/>
          <w:color w:val="000000" w:themeColor="text1"/>
          <w:sz w:val="20"/>
          <w:szCs w:val="20"/>
          <w:lang w:val="es-ES"/>
        </w:rPr>
        <w:t xml:space="preserve"> </w:t>
      </w:r>
      <w:r w:rsidRPr="00035B3E">
        <w:rPr>
          <w:rFonts w:ascii="Arial" w:hAnsi="Arial" w:cs="Arial"/>
          <w:color w:val="000000" w:themeColor="text1"/>
          <w:sz w:val="20"/>
          <w:szCs w:val="20"/>
          <w:lang w:val="es-ES"/>
        </w:rPr>
        <w:t>Caso KARAMANOV contra GRECIA, § 40: ««Desde el momento en el que el incumplimiento del ordenamiento interno implica una violación del Convenio, el Tribunal puede y debe ejercer un cierto grado de control para investigar si el derecho ha sido respetado».</w:t>
      </w:r>
      <w:r w:rsidR="00D2042E" w:rsidRPr="00035B3E">
        <w:rPr>
          <w:rFonts w:ascii="Arial" w:hAnsi="Arial" w:cs="Arial"/>
          <w:color w:val="000000" w:themeColor="text1"/>
          <w:sz w:val="20"/>
          <w:szCs w:val="20"/>
          <w:lang w:val="es-ES"/>
        </w:rPr>
        <w:t xml:space="preserve"> Caso VENIOS contra GRECIA, § 48: «Sin embargo, como el incumplimiento del derecho interno implica una violación del Convenio en virtud del artículo 5 § 1 Convenio, el Tribunal puede y debe ejercer un cierto grado de control para comprobar si se ha respetado el derecho interno (Douiyeb v. the Netherlands [GC], no. 31464/96, § 45, 4 de agosto de 1999, Pantea v. Romania, no. 33343/96, § 220, TEDH 2003-VI y Shtukaturov c. Rusia, no. 44009/05, §§ 115-116, 27 de marzo de 2008). 116, 27 de marzo de 2008).</w:t>
      </w:r>
    </w:p>
  </w:footnote>
  <w:footnote w:id="16">
    <w:p w14:paraId="1EAE47B0" w14:textId="0A3D7A72" w:rsidR="00EA3E24" w:rsidRPr="00035B3E" w:rsidRDefault="00EA3E24" w:rsidP="00EA3E24">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 xml:space="preserve">Caso WINTERWERP contra LOS PAÍSES </w:t>
      </w:r>
      <w:r w:rsidRPr="005F5983">
        <w:rPr>
          <w:rFonts w:ascii="Arial" w:hAnsi="Arial" w:cs="Arial"/>
          <w:lang w:val="es-ES"/>
        </w:rPr>
        <w:t>BAJOS, §</w:t>
      </w:r>
      <w:r w:rsidR="005F5983" w:rsidRPr="005F5983">
        <w:rPr>
          <w:rFonts w:ascii="Arial" w:hAnsi="Arial" w:cs="Arial"/>
          <w:lang w:val="es-ES"/>
        </w:rPr>
        <w:t xml:space="preserve"> 39</w:t>
      </w:r>
      <w:r w:rsidRPr="005F5983">
        <w:rPr>
          <w:rFonts w:ascii="Arial" w:hAnsi="Arial" w:cs="Arial"/>
          <w:lang w:val="es-ES"/>
        </w:rPr>
        <w:t>:</w:t>
      </w:r>
      <w:r w:rsidR="005F5983">
        <w:rPr>
          <w:rFonts w:ascii="Arial" w:hAnsi="Arial" w:cs="Arial"/>
          <w:lang w:val="es-ES"/>
        </w:rPr>
        <w:t xml:space="preserve"> </w:t>
      </w:r>
      <w:r w:rsidRPr="005F5983">
        <w:rPr>
          <w:rFonts w:ascii="Arial" w:hAnsi="Arial" w:cs="Arial"/>
          <w:lang w:val="es-ES"/>
        </w:rPr>
        <w:t>«</w:t>
      </w:r>
      <w:r w:rsidRPr="00035B3E">
        <w:rPr>
          <w:rFonts w:ascii="Arial" w:hAnsi="Arial" w:cs="Arial"/>
          <w:color w:val="000000" w:themeColor="text1"/>
        </w:rPr>
        <w:t xml:space="preserve">En cualquier caso, es evidente que no se puede considerar que el artículo 5.1.e) autorice </w:t>
      </w:r>
      <w:r w:rsidR="006664FD">
        <w:rPr>
          <w:rFonts w:ascii="Arial" w:hAnsi="Arial" w:cs="Arial"/>
          <w:color w:val="000000" w:themeColor="text1"/>
        </w:rPr>
        <w:t>el internamiento</w:t>
      </w:r>
      <w:r w:rsidRPr="00035B3E">
        <w:rPr>
          <w:rFonts w:ascii="Arial" w:hAnsi="Arial" w:cs="Arial"/>
          <w:color w:val="000000" w:themeColor="text1"/>
        </w:rPr>
        <w:t xml:space="preserve"> de alguien por el mero hecho de que sus ideas o su comportamiento se aparten de las normas imperantes en una sociedad </w:t>
      </w:r>
      <w:r w:rsidRPr="00035B3E">
        <w:rPr>
          <w:rFonts w:ascii="Arial" w:hAnsi="Arial" w:cs="Arial"/>
        </w:rPr>
        <w:t>determinada</w:t>
      </w:r>
      <w:r w:rsidRPr="00035B3E">
        <w:rPr>
          <w:rFonts w:ascii="Arial" w:hAnsi="Arial" w:cs="Arial"/>
          <w:lang w:val="es-ES"/>
        </w:rPr>
        <w:t>»</w:t>
      </w:r>
      <w:r w:rsidR="00910986">
        <w:rPr>
          <w:rFonts w:ascii="Arial" w:hAnsi="Arial" w:cs="Arial"/>
          <w:lang w:val="es-ES"/>
        </w:rPr>
        <w:t>.</w:t>
      </w:r>
    </w:p>
  </w:footnote>
  <w:footnote w:id="17">
    <w:p w14:paraId="3143F69C" w14:textId="580DD3B6" w:rsidR="00F563D8" w:rsidRPr="002829A6" w:rsidRDefault="00F563D8" w:rsidP="00B270C2">
      <w:pPr>
        <w:autoSpaceDE w:val="0"/>
        <w:autoSpaceDN w:val="0"/>
        <w:adjustRightInd w:val="0"/>
        <w:ind w:firstLine="142"/>
        <w:jc w:val="both"/>
        <w:rPr>
          <w:rFonts w:ascii="Arial" w:hAnsi="Arial" w:cs="Arial"/>
          <w:color w:val="000000" w:themeColor="text1"/>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 xml:space="preserve">Caso S. contra ALEMANIA, § 83: «En cuanto al significado que debe darse al término "alcohólicos" a la luz del objeto y la finalidad del artículo 5 § 1 (e) del Convenio, el Tribunal reitera lo siguiente. El objeto y la finalidad de esta disposición no pueden interpretarse en el sentido de que sólo permite </w:t>
      </w:r>
      <w:r w:rsidR="006664FD">
        <w:rPr>
          <w:rFonts w:ascii="Arial" w:hAnsi="Arial" w:cs="Arial"/>
          <w:sz w:val="20"/>
          <w:szCs w:val="20"/>
          <w:lang w:val="es-ES"/>
        </w:rPr>
        <w:t>el internamiento</w:t>
      </w:r>
      <w:r w:rsidRPr="00035B3E">
        <w:rPr>
          <w:rFonts w:ascii="Arial" w:hAnsi="Arial" w:cs="Arial"/>
          <w:sz w:val="20"/>
          <w:szCs w:val="20"/>
          <w:lang w:val="es-ES"/>
        </w:rPr>
        <w:t xml:space="preserve"> de "alcohólicos" en el sentido limitado de personas en estado clínico de "alcoholismo". Las personas que no están diagnosticadas médicamente como "alcohólicas", pero cuya conducta y comportamiento bajo la influencia del alcohol suponen una amenaza para el orden público o para ellas mismas, pueden ser </w:t>
      </w:r>
      <w:r w:rsidR="0029623C">
        <w:rPr>
          <w:rFonts w:ascii="Arial" w:hAnsi="Arial" w:cs="Arial"/>
          <w:sz w:val="20"/>
          <w:szCs w:val="20"/>
          <w:lang w:val="es-ES"/>
        </w:rPr>
        <w:t>internada</w:t>
      </w:r>
      <w:r w:rsidRPr="00035B3E">
        <w:rPr>
          <w:rFonts w:ascii="Arial" w:hAnsi="Arial" w:cs="Arial"/>
          <w:sz w:val="20"/>
          <w:szCs w:val="20"/>
          <w:lang w:val="es-ES"/>
        </w:rPr>
        <w:t xml:space="preserve">s para la protección del público o de sus propios intereses, como su salud o su seguridad personal. Sin embargo, no permite </w:t>
      </w:r>
      <w:r w:rsidR="006664FD">
        <w:rPr>
          <w:rFonts w:ascii="Arial" w:hAnsi="Arial" w:cs="Arial"/>
          <w:sz w:val="20"/>
          <w:szCs w:val="20"/>
          <w:lang w:val="es-ES"/>
        </w:rPr>
        <w:t>el internamiento</w:t>
      </w:r>
      <w:r w:rsidRPr="00035B3E">
        <w:rPr>
          <w:rFonts w:ascii="Arial" w:hAnsi="Arial" w:cs="Arial"/>
          <w:sz w:val="20"/>
          <w:szCs w:val="20"/>
          <w:lang w:val="es-ES"/>
        </w:rPr>
        <w:t xml:space="preserve"> de una persona por el mero hecho de haber ingerido alcohol (véase Witold Litwa, citado anteriormente, §§ 61-62; y Hilda Hafsteinsdóttir v. Islandia, no. 40905/98, § 42, 8 de </w:t>
      </w:r>
      <w:r w:rsidRPr="002829A6">
        <w:rPr>
          <w:rFonts w:ascii="Arial" w:hAnsi="Arial" w:cs="Arial"/>
          <w:color w:val="000000" w:themeColor="text1"/>
          <w:sz w:val="20"/>
          <w:szCs w:val="20"/>
          <w:lang w:val="es-ES"/>
        </w:rPr>
        <w:t>junio de 2004)</w:t>
      </w:r>
      <w:r w:rsidR="00910986">
        <w:rPr>
          <w:rFonts w:ascii="Arial" w:hAnsi="Arial" w:cs="Arial"/>
          <w:color w:val="000000" w:themeColor="text1"/>
          <w:sz w:val="20"/>
          <w:szCs w:val="20"/>
          <w:lang w:val="es-ES"/>
        </w:rPr>
        <w:t>».</w:t>
      </w:r>
      <w:r w:rsidR="00732C93">
        <w:rPr>
          <w:rFonts w:ascii="Arial" w:hAnsi="Arial" w:cs="Arial"/>
          <w:color w:val="000000" w:themeColor="text1"/>
          <w:sz w:val="20"/>
          <w:szCs w:val="20"/>
          <w:lang w:val="es-ES"/>
        </w:rPr>
        <w:t xml:space="preserve"> En el mismo sentido WITOLD LITWA contra POLONIA, §§ 61 y 62.</w:t>
      </w:r>
    </w:p>
  </w:footnote>
  <w:footnote w:id="18">
    <w:p w14:paraId="0B647907" w14:textId="26EE51C2" w:rsidR="001A27B6" w:rsidRPr="009332BA" w:rsidRDefault="001A27B6" w:rsidP="009332BA">
      <w:pPr>
        <w:ind w:firstLine="284"/>
        <w:jc w:val="both"/>
        <w:rPr>
          <w:rFonts w:ascii="Arial" w:hAnsi="Arial" w:cs="Arial"/>
          <w:sz w:val="20"/>
          <w:szCs w:val="20"/>
          <w:lang w:val="es-ES"/>
        </w:rPr>
      </w:pPr>
      <w:r w:rsidRPr="001A27B6">
        <w:rPr>
          <w:rStyle w:val="Refdenotaalpie"/>
          <w:rFonts w:ascii="Arial" w:hAnsi="Arial" w:cs="Arial"/>
          <w:sz w:val="20"/>
          <w:szCs w:val="20"/>
        </w:rPr>
        <w:footnoteRef/>
      </w:r>
      <w:r w:rsidR="009332BA">
        <w:rPr>
          <w:rFonts w:ascii="Arial" w:hAnsi="Arial" w:cs="Arial"/>
          <w:sz w:val="20"/>
          <w:szCs w:val="20"/>
          <w:lang w:val="es-ES"/>
        </w:rPr>
        <w:t xml:space="preserve"> </w:t>
      </w:r>
      <w:r w:rsidRPr="001A27B6">
        <w:rPr>
          <w:rFonts w:ascii="Arial" w:hAnsi="Arial" w:cs="Arial"/>
          <w:sz w:val="20"/>
          <w:szCs w:val="20"/>
          <w:lang w:val="es-ES"/>
        </w:rPr>
        <w:t>STANEV contra BULGARIA, § 146: «...el internamiento de una persona que padece trastornos mentales puede imponerse no solo cuando es necesario, para curar o para que su estado mejore, mediante terapia, medicamentos o cualquier otro tratamiento clínico, sino también cuando se hace necesaria su vigilancia para evitar, por ejemplo, que se haga daño o se lo haga a los demás (HUTCHISON REID contra REINO UNIDO núm. 50272, apartado 52, TEDH 2003 IV)»</w:t>
      </w:r>
      <w:r>
        <w:rPr>
          <w:rFonts w:ascii="Arial" w:hAnsi="Arial" w:cs="Arial"/>
          <w:sz w:val="20"/>
          <w:szCs w:val="20"/>
          <w:lang w:val="es-ES"/>
        </w:rPr>
        <w:t>.</w:t>
      </w:r>
    </w:p>
  </w:footnote>
  <w:footnote w:id="19">
    <w:p w14:paraId="79734E8F" w14:textId="1CBFB7AA" w:rsidR="00CA5B6A" w:rsidRPr="00FF69D5" w:rsidRDefault="00CA5B6A" w:rsidP="00FF69D5">
      <w:pPr>
        <w:pStyle w:val="Textonotapie"/>
        <w:ind w:firstLine="284"/>
        <w:jc w:val="both"/>
        <w:rPr>
          <w:rFonts w:ascii="Arial" w:hAnsi="Arial" w:cs="Arial"/>
          <w:lang w:val="es-ES"/>
        </w:rPr>
      </w:pPr>
      <w:r>
        <w:rPr>
          <w:rStyle w:val="Refdenotaalpie"/>
        </w:rPr>
        <w:footnoteRef/>
      </w:r>
      <w:r>
        <w:t xml:space="preserve"> </w:t>
      </w:r>
      <w:r w:rsidR="00FF69D5">
        <w:rPr>
          <w:rFonts w:ascii="Arial" w:hAnsi="Arial" w:cs="Arial"/>
          <w:lang w:val="es-ES"/>
        </w:rPr>
        <w:t>Véanse en este sentido los casos H. L. contra Reino Unido, § 89; GUZZARDI contra Italia, § 92; ASHINGDANE contra REINO UNIDO, § 41, entre otros.</w:t>
      </w:r>
    </w:p>
  </w:footnote>
  <w:footnote w:id="20">
    <w:p w14:paraId="003501E9" w14:textId="43CE87BB" w:rsidR="002829A6" w:rsidRPr="00B270C2" w:rsidRDefault="002829A6" w:rsidP="00CA5B6A">
      <w:pPr>
        <w:pStyle w:val="Textonotapie"/>
        <w:ind w:firstLine="284"/>
        <w:rPr>
          <w:rFonts w:ascii="Arial" w:hAnsi="Arial" w:cs="Arial"/>
          <w:lang w:val="es-ES"/>
        </w:rPr>
      </w:pPr>
      <w:r w:rsidRPr="002829A6">
        <w:rPr>
          <w:rStyle w:val="Refdenotaalpie"/>
          <w:rFonts w:ascii="Arial" w:hAnsi="Arial" w:cs="Arial"/>
          <w:color w:val="000000" w:themeColor="text1"/>
        </w:rPr>
        <w:footnoteRef/>
      </w:r>
      <w:r w:rsidRPr="002829A6">
        <w:rPr>
          <w:rFonts w:ascii="Arial" w:hAnsi="Arial" w:cs="Arial"/>
          <w:color w:val="000000" w:themeColor="text1"/>
        </w:rPr>
        <w:t xml:space="preserve"> </w:t>
      </w:r>
      <w:r w:rsidRPr="002829A6">
        <w:rPr>
          <w:rFonts w:ascii="Arial" w:hAnsi="Arial" w:cs="Arial"/>
          <w:color w:val="000000" w:themeColor="text1"/>
          <w:lang w:val="es-ES"/>
        </w:rPr>
        <w:t>Caso VARBANOV contra BULGARIA, § 47: «El Tribunal considera que ninguna privación de libertad de una persona considerada demente puede considerarse conforme al artículo 5 § 1 (</w:t>
      </w:r>
      <w:r w:rsidRPr="00B270C2">
        <w:rPr>
          <w:rFonts w:ascii="Arial" w:hAnsi="Arial" w:cs="Arial"/>
          <w:color w:val="000000" w:themeColor="text1"/>
          <w:lang w:val="es-ES"/>
        </w:rPr>
        <w:t>e) del Convenio si se decidió sin solicitar el dictamen de un experto médico».</w:t>
      </w:r>
    </w:p>
  </w:footnote>
  <w:footnote w:id="21">
    <w:p w14:paraId="5FB0D664" w14:textId="66437D54" w:rsidR="005F5983" w:rsidRPr="005F5983" w:rsidRDefault="005F5983" w:rsidP="00B270C2">
      <w:pPr>
        <w:pStyle w:val="Textonotapie"/>
        <w:ind w:firstLine="142"/>
        <w:rPr>
          <w:lang w:val="es-ES"/>
        </w:rPr>
      </w:pPr>
      <w:r w:rsidRPr="00B270C2">
        <w:rPr>
          <w:rStyle w:val="Refdenotaalpie"/>
          <w:rFonts w:ascii="Arial" w:hAnsi="Arial" w:cs="Arial"/>
        </w:rPr>
        <w:footnoteRef/>
      </w:r>
      <w:r w:rsidRPr="00B270C2">
        <w:rPr>
          <w:rFonts w:ascii="Arial" w:hAnsi="Arial" w:cs="Arial"/>
        </w:rPr>
        <w:t xml:space="preserve"> </w:t>
      </w:r>
      <w:r w:rsidRPr="00B270C2">
        <w:rPr>
          <w:rFonts w:ascii="Arial" w:hAnsi="Arial" w:cs="Arial"/>
          <w:lang w:val="es-ES"/>
        </w:rPr>
        <w:t>Caso WINTERWERP, § 37.</w:t>
      </w:r>
    </w:p>
  </w:footnote>
  <w:footnote w:id="22">
    <w:p w14:paraId="7EA62AE0" w14:textId="3A5FEE7F" w:rsidR="00792016" w:rsidRPr="00035B3E" w:rsidRDefault="00792016"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 xml:space="preserve">Caso </w:t>
      </w:r>
      <w:r w:rsidRPr="00035B3E">
        <w:rPr>
          <w:rFonts w:ascii="Arial" w:hAnsi="Arial" w:cs="Arial"/>
          <w:color w:val="000000" w:themeColor="text1"/>
          <w:lang w:val="es-ES_tradnl"/>
        </w:rPr>
        <w:t>MORSINK contra LOS PAÍSES BAJOS, § 65: «...el Tribunal, teniendo en cuenta las circunstancias del presente caso, no puede aceptar el argumento del demandante de que el hecho de que no fuera admitido en una clínica privada el 5 de febrero de 1998 tuvo automáticamente el efecto de hacer que su internamiento a partir de esa fecha fuera ilegal en virtud del artículo 5 § 1 del Convenio»</w:t>
      </w:r>
      <w:r w:rsidR="00910986">
        <w:rPr>
          <w:rFonts w:ascii="Arial" w:hAnsi="Arial" w:cs="Arial"/>
          <w:color w:val="000000" w:themeColor="text1"/>
          <w:lang w:val="es-ES_tradnl"/>
        </w:rPr>
        <w:t>.</w:t>
      </w:r>
    </w:p>
  </w:footnote>
  <w:footnote w:id="23">
    <w:p w14:paraId="7DB7BFAB" w14:textId="619F9E2C" w:rsidR="00DE5D7A" w:rsidRPr="00035B3E" w:rsidRDefault="00DE5D7A"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_tradnl"/>
        </w:rPr>
        <w:t>STANEV contra BULGARIA, § 158: «El Tribunal observa también fallos en la verificación de la persistencia de los problemas que justificaban el internamiento. De hecho, a pesar de que el demandante tenía un seguimiento por parte de un psiquiatra (apartado 31), este seguimiento no tenía como objeto evaluar, en períodos regulares, si continuaba siendo necesario el mantenimiento en el hogar de Pastra a efectos del artículo 5.1e). De hecho, tal evaluación no estaba prevista por la legislación pertinente»</w:t>
      </w:r>
      <w:r w:rsidR="00910986">
        <w:rPr>
          <w:rFonts w:ascii="Arial" w:hAnsi="Arial" w:cs="Arial"/>
          <w:color w:val="000000" w:themeColor="text1"/>
          <w:sz w:val="20"/>
          <w:szCs w:val="20"/>
          <w:lang w:val="es-ES_tradnl"/>
        </w:rPr>
        <w:t>.</w:t>
      </w:r>
      <w:r w:rsidRPr="00035B3E">
        <w:rPr>
          <w:rFonts w:ascii="Arial" w:hAnsi="Arial" w:cs="Arial"/>
          <w:color w:val="000000" w:themeColor="text1"/>
          <w:sz w:val="20"/>
          <w:szCs w:val="20"/>
          <w:lang w:val="es-ES_tradnl"/>
        </w:rPr>
        <w:t xml:space="preserve"> </w:t>
      </w:r>
      <w:r w:rsidRPr="00035B3E">
        <w:rPr>
          <w:rFonts w:ascii="Arial" w:hAnsi="Arial" w:cs="Arial"/>
          <w:color w:val="000000" w:themeColor="text1"/>
          <w:sz w:val="20"/>
          <w:szCs w:val="20"/>
          <w:lang w:val="es-ES"/>
        </w:rPr>
        <w:t>Caso K.C. contra POLONIA, § 70: «El solicitante lleva ya más de seis años de internamiento y no se ha demostrado que las autoridades realicen alguna gestión que permita evaluar si su confinamiento continuo en el hogar de asistencia social es realmente indispensable»</w:t>
      </w:r>
      <w:r w:rsidR="00910986">
        <w:rPr>
          <w:rFonts w:ascii="Arial" w:hAnsi="Arial" w:cs="Arial"/>
          <w:color w:val="000000" w:themeColor="text1"/>
          <w:sz w:val="20"/>
          <w:szCs w:val="20"/>
          <w:lang w:val="es-ES"/>
        </w:rPr>
        <w:t>.</w:t>
      </w:r>
    </w:p>
  </w:footnote>
  <w:footnote w:id="24">
    <w:p w14:paraId="4341CD5B" w14:textId="02261EAB" w:rsidR="00BB5E28" w:rsidRPr="000E4061" w:rsidRDefault="00BB5E28"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Caso M. contra UCRANIA, §</w:t>
      </w:r>
      <w:r w:rsidR="000E4061">
        <w:rPr>
          <w:rFonts w:ascii="Arial" w:hAnsi="Arial" w:cs="Arial"/>
          <w:color w:val="000000" w:themeColor="text1"/>
          <w:lang w:val="es-ES"/>
        </w:rPr>
        <w:t xml:space="preserve"> </w:t>
      </w:r>
      <w:r w:rsidRPr="00035B3E">
        <w:rPr>
          <w:rFonts w:ascii="Arial" w:hAnsi="Arial" w:cs="Arial"/>
          <w:color w:val="000000" w:themeColor="text1"/>
          <w:lang w:val="es-ES"/>
        </w:rPr>
        <w:t xml:space="preserve">71: «En cuanto a la estancia del demandante en el hospital, el Tribunal señala que, si el tratamiento psiquiátrico en régimen de internamiento es voluntario, esto presupone que el paciente tiene garantizado el derecho a interrumpir cualquier tratamiento y a </w:t>
      </w:r>
      <w:r w:rsidRPr="000E4061">
        <w:rPr>
          <w:rFonts w:ascii="Arial" w:hAnsi="Arial" w:cs="Arial"/>
          <w:color w:val="000000" w:themeColor="text1"/>
          <w:lang w:val="es-ES"/>
        </w:rPr>
        <w:t>abandonar del hospital cuando lo desee»</w:t>
      </w:r>
      <w:r w:rsidR="000E4061">
        <w:rPr>
          <w:rFonts w:ascii="Arial" w:hAnsi="Arial" w:cs="Arial"/>
          <w:color w:val="000000" w:themeColor="text1"/>
          <w:lang w:val="es-ES"/>
        </w:rPr>
        <w:t>.</w:t>
      </w:r>
    </w:p>
  </w:footnote>
  <w:footnote w:id="25">
    <w:p w14:paraId="5C44061B" w14:textId="2F4EF014" w:rsidR="000E4061" w:rsidRPr="000E4061" w:rsidRDefault="000E4061" w:rsidP="000E4061">
      <w:pPr>
        <w:pStyle w:val="Textonotapie"/>
        <w:ind w:firstLine="284"/>
        <w:jc w:val="both"/>
        <w:rPr>
          <w:lang w:val="es-ES"/>
        </w:rPr>
      </w:pPr>
      <w:r w:rsidRPr="000E4061">
        <w:rPr>
          <w:rStyle w:val="Refdenotaalpie"/>
          <w:rFonts w:ascii="Arial" w:hAnsi="Arial" w:cs="Arial"/>
        </w:rPr>
        <w:footnoteRef/>
      </w:r>
      <w:r w:rsidRPr="000E4061">
        <w:rPr>
          <w:rFonts w:ascii="Arial" w:hAnsi="Arial" w:cs="Arial"/>
        </w:rPr>
        <w:t xml:space="preserve"> </w:t>
      </w:r>
      <w:r w:rsidRPr="000E4061">
        <w:rPr>
          <w:rFonts w:ascii="Arial" w:hAnsi="Arial" w:cs="Arial"/>
          <w:lang w:val="es-ES"/>
        </w:rPr>
        <w:t>Una descripción breve sobre los elementos subjetivo y objetivo puede verse, por ejemplo, en el § 55 de la sentencia del caso CRISTIAN TEODORESCU contra RUMANÍA.</w:t>
      </w:r>
    </w:p>
  </w:footnote>
  <w:footnote w:id="26">
    <w:p w14:paraId="2AD73A47" w14:textId="5F6C51A0" w:rsidR="00704F9F" w:rsidRPr="00035B3E" w:rsidRDefault="00704F9F" w:rsidP="00BA1DC7">
      <w:pPr>
        <w:autoSpaceDE w:val="0"/>
        <w:autoSpaceDN w:val="0"/>
        <w:adjustRightInd w:val="0"/>
        <w:spacing w:line="240" w:lineRule="atLeast"/>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Caso COMORASU contra RUMANÍA, §</w:t>
      </w:r>
      <w:r w:rsidR="000E4061">
        <w:rPr>
          <w:rFonts w:ascii="Arial" w:hAnsi="Arial" w:cs="Arial"/>
          <w:color w:val="000000" w:themeColor="text1"/>
          <w:sz w:val="20"/>
          <w:szCs w:val="20"/>
          <w:lang w:val="es-ES"/>
        </w:rPr>
        <w:t xml:space="preserve"> </w:t>
      </w:r>
      <w:r w:rsidRPr="00035B3E">
        <w:rPr>
          <w:rFonts w:ascii="Arial" w:hAnsi="Arial" w:cs="Arial"/>
          <w:color w:val="000000" w:themeColor="text1"/>
          <w:sz w:val="20"/>
          <w:szCs w:val="20"/>
          <w:lang w:val="es-ES"/>
        </w:rPr>
        <w:t xml:space="preserve">64: «En cuanto al aspecto subjetivo, aunque el Gobierno argumentó que el internamiento del demandante fue voluntario, hay que señalar que en ningún momento dio su consentimiento a la medida. Así, la forma en que fue </w:t>
      </w:r>
      <w:r w:rsidR="0029623C">
        <w:rPr>
          <w:rFonts w:ascii="Arial" w:hAnsi="Arial" w:cs="Arial"/>
          <w:color w:val="000000" w:themeColor="text1"/>
          <w:sz w:val="20"/>
          <w:szCs w:val="20"/>
          <w:lang w:val="es-ES"/>
        </w:rPr>
        <w:t>internado</w:t>
      </w:r>
      <w:r w:rsidRPr="00035B3E">
        <w:rPr>
          <w:rFonts w:ascii="Arial" w:hAnsi="Arial" w:cs="Arial"/>
          <w:color w:val="000000" w:themeColor="text1"/>
          <w:sz w:val="20"/>
          <w:szCs w:val="20"/>
          <w:lang w:val="es-ES"/>
        </w:rPr>
        <w:t xml:space="preserve"> y trasladado al hospital demostró que se había opuesto a su internamiento. Los testimonios recogidos (en particular los de su esposa y su primo, véanse los párrafos 23 y 24 supra) también ponen en duda que el demandante deseara permanecer en el hospital. En segundo lugar, aunque la esposa del demandante hubiera consentido el internamiento, su voluntad no sustituye a la volunt</w:t>
      </w:r>
      <w:r w:rsidR="009C0D2C" w:rsidRPr="00035B3E">
        <w:rPr>
          <w:rFonts w:ascii="Arial" w:hAnsi="Arial" w:cs="Arial"/>
          <w:color w:val="000000" w:themeColor="text1"/>
          <w:sz w:val="20"/>
          <w:szCs w:val="20"/>
          <w:lang w:val="es-ES"/>
        </w:rPr>
        <w:t>ad</w:t>
      </w:r>
      <w:r w:rsidRPr="00035B3E">
        <w:rPr>
          <w:rFonts w:ascii="Arial" w:hAnsi="Arial" w:cs="Arial"/>
          <w:color w:val="000000" w:themeColor="text1"/>
          <w:sz w:val="20"/>
          <w:szCs w:val="20"/>
          <w:lang w:val="es-ES"/>
        </w:rPr>
        <w:t xml:space="preserve"> del solicitante y, según la legislación aplicable, el internamiento aprobado por la familia se considera siempre involuntario (véase el apartado 31 anterior)»</w:t>
      </w:r>
      <w:r w:rsidR="000E4061">
        <w:rPr>
          <w:rFonts w:ascii="Arial" w:hAnsi="Arial" w:cs="Arial"/>
          <w:color w:val="000000" w:themeColor="text1"/>
          <w:sz w:val="20"/>
          <w:szCs w:val="20"/>
          <w:lang w:val="es-ES"/>
        </w:rPr>
        <w:t>.</w:t>
      </w:r>
    </w:p>
  </w:footnote>
  <w:footnote w:id="27">
    <w:p w14:paraId="5F8E6427" w14:textId="62A50CA4" w:rsidR="00481056" w:rsidRPr="00035B3E" w:rsidRDefault="00481056"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GOULOUB ATNASSOV contra BULGARIA, § 65: «En cuanto al argumento del Gobierno según el cual el demandante había solicitado él mismo su internamiento para someterse a exámenes, el Tribunal observa que sólo había solicitado un examen psiquiátrico (véase el apartado 29). En cualquier caso, el Tribunal considera que dicha solicitud no es suficiente por sí misma el para concluir que el interesado permaneció en un hospital psiquiátrico como paciente voluntario y no como persona privada de libertad durante el periodo considerado (véase, </w:t>
      </w:r>
      <w:r w:rsidRPr="008230FC">
        <w:rPr>
          <w:rFonts w:ascii="Arial" w:hAnsi="Arial" w:cs="Arial"/>
          <w:i/>
          <w:iCs/>
          <w:color w:val="000000" w:themeColor="text1"/>
          <w:sz w:val="20"/>
          <w:szCs w:val="20"/>
          <w:lang w:val="es-ES"/>
        </w:rPr>
        <w:t>mutatis mutandis</w:t>
      </w:r>
      <w:r w:rsidRPr="00035B3E">
        <w:rPr>
          <w:rFonts w:ascii="Arial" w:hAnsi="Arial" w:cs="Arial"/>
          <w:color w:val="000000" w:themeColor="text1"/>
          <w:sz w:val="20"/>
          <w:szCs w:val="20"/>
          <w:lang w:val="es-ES"/>
        </w:rPr>
        <w:t>, Storck c. Alemania, no. 61603/00, § 71-78, TEDH 2005-V). La conclusión contraria no sería corroborada por los hechos del presente caso, ya que el demandante fue tratado por personal del hospital como persona privada de libertad y no se le permitió regresar a su casa cuando le parecía bien (véanse los párrafos 31 y 33 anteriores). En consecuencia, el Tribunal considera que el demandante fue privado de su libertad.</w:t>
      </w:r>
    </w:p>
  </w:footnote>
  <w:footnote w:id="28">
    <w:p w14:paraId="6EEE3234" w14:textId="075905EA" w:rsidR="00D90448" w:rsidRPr="00035B3E" w:rsidRDefault="00D90448" w:rsidP="00BA1DC7">
      <w:pPr>
        <w:pStyle w:val="Textonotapie"/>
        <w:ind w:firstLine="284"/>
        <w:jc w:val="both"/>
        <w:rPr>
          <w:rFonts w:ascii="Arial" w:hAnsi="Arial" w:cs="Arial"/>
          <w:i/>
          <w:iCs/>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i/>
          <w:iCs/>
          <w:color w:val="000000" w:themeColor="text1"/>
          <w:lang w:val="es-ES"/>
        </w:rPr>
        <w:t>Ibidem.</w:t>
      </w:r>
    </w:p>
  </w:footnote>
  <w:footnote w:id="29">
    <w:p w14:paraId="6C98FC3F" w14:textId="498F05F0" w:rsidR="00D90448" w:rsidRPr="00035B3E" w:rsidRDefault="00D90448" w:rsidP="00BA1DC7">
      <w:pPr>
        <w:autoSpaceDE w:val="0"/>
        <w:autoSpaceDN w:val="0"/>
        <w:adjustRightInd w:val="0"/>
        <w:ind w:firstLine="284"/>
        <w:jc w:val="both"/>
        <w:rPr>
          <w:rFonts w:ascii="Arial" w:hAnsi="Arial" w:cs="Arial"/>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AF2927">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M. contra UCRANIA,</w:t>
      </w:r>
      <w:r w:rsidR="00D147B5" w:rsidRPr="00035B3E">
        <w:rPr>
          <w:rFonts w:ascii="Arial" w:hAnsi="Arial" w:cs="Arial"/>
          <w:color w:val="000000" w:themeColor="text1"/>
          <w:sz w:val="20"/>
          <w:szCs w:val="20"/>
          <w:lang w:val="es-ES"/>
        </w:rPr>
        <w:t xml:space="preserve"> § 78: «</w:t>
      </w:r>
      <w:r w:rsidR="00D147B5" w:rsidRPr="00035B3E">
        <w:rPr>
          <w:rFonts w:ascii="Arial" w:hAnsi="Arial" w:cs="Arial"/>
          <w:sz w:val="20"/>
          <w:szCs w:val="20"/>
          <w:lang w:val="es-ES"/>
        </w:rPr>
        <w:t>En el presente caso, la hospitalización de la demandante se llevó a cabo sobre la base del consentimiento dado por la demandante que, en el momento pertinente, había sido diagnosticada con un trastorno mental. (…) No hay pruebas que sugieran que se haya establecido su capacidad mental para dar su consentimiento, que se le hayan explicado las consecuencias del mismo o que se le haya proporcionado la información pertinente sobre el internamiento y el tratamiento.»</w:t>
      </w:r>
      <w:r w:rsidR="00D147B5" w:rsidRPr="00035B3E">
        <w:rPr>
          <w:rFonts w:ascii="Arial" w:hAnsi="Arial" w:cs="Arial"/>
          <w:color w:val="000000" w:themeColor="text1"/>
          <w:sz w:val="20"/>
          <w:szCs w:val="20"/>
          <w:lang w:val="es-ES"/>
        </w:rPr>
        <w:t>;</w:t>
      </w:r>
      <w:r w:rsidR="000A2F37" w:rsidRPr="00035B3E">
        <w:rPr>
          <w:rFonts w:ascii="Arial" w:hAnsi="Arial" w:cs="Arial"/>
          <w:color w:val="000000" w:themeColor="text1"/>
          <w:sz w:val="20"/>
          <w:szCs w:val="20"/>
          <w:lang w:val="es-ES"/>
        </w:rPr>
        <w:t xml:space="preserve"> </w:t>
      </w:r>
      <w:r w:rsidR="000A2F37" w:rsidRPr="00035B3E">
        <w:rPr>
          <w:rFonts w:ascii="Arial" w:hAnsi="Arial" w:cs="Arial"/>
          <w:i/>
          <w:iCs/>
          <w:color w:val="000000" w:themeColor="text1"/>
          <w:sz w:val="20"/>
          <w:szCs w:val="20"/>
          <w:lang w:val="es-ES"/>
        </w:rPr>
        <w:t>ibidem,</w:t>
      </w:r>
      <w:r w:rsidRPr="00035B3E">
        <w:rPr>
          <w:rFonts w:ascii="Arial" w:hAnsi="Arial" w:cs="Arial"/>
          <w:color w:val="000000" w:themeColor="text1"/>
          <w:sz w:val="20"/>
          <w:szCs w:val="20"/>
          <w:lang w:val="es-ES"/>
        </w:rPr>
        <w:t xml:space="preserve"> §</w:t>
      </w:r>
      <w:r w:rsidR="00D147B5" w:rsidRPr="00035B3E">
        <w:rPr>
          <w:rFonts w:ascii="Arial" w:hAnsi="Arial" w:cs="Arial"/>
          <w:color w:val="000000" w:themeColor="text1"/>
          <w:sz w:val="20"/>
          <w:szCs w:val="20"/>
          <w:lang w:val="es-ES"/>
        </w:rPr>
        <w:t xml:space="preserve"> </w:t>
      </w:r>
      <w:r w:rsidRPr="00035B3E">
        <w:rPr>
          <w:rFonts w:ascii="Arial" w:hAnsi="Arial" w:cs="Arial"/>
          <w:color w:val="000000" w:themeColor="text1"/>
          <w:sz w:val="20"/>
          <w:szCs w:val="20"/>
          <w:lang w:val="es-ES"/>
        </w:rPr>
        <w:t>76: «La comunidad internacional ha desarrollado un conjunto de principios pertinentes para garantizar la validez del consentimiento de un paciente para un tratamiento psiquiátrico. En particular, según el principio 11 § 2 de los Principios de las Naciones Unidas, el consentimiento a un tratamiento psiquiátrico implica que el paciente se le haya proporcionado una información adecuada y comprensible, en una forma y lenguaje que entienda, sobre la evaluación diagnóstica; el propósito el método, la duración probable y el beneficio esperado del tratamiento propuesto; los modos alternativos de tratamiento, incluidos los menos intrusivos; el posible dolor o molestias, los riesgos y los efectos secundarios del tratamiento propuesto (véase párrafo 37). El CPT ha especificado que el consentimiento al tratamiento sólo puede calificarse de libre e informado si se basa en una información completa, precisa y comprensible sobre el estado del paciente y el tratamiento propuesto (véase el párrafo 39 anterior)»</w:t>
      </w:r>
      <w:r w:rsidR="008230FC">
        <w:rPr>
          <w:rFonts w:ascii="Arial" w:hAnsi="Arial" w:cs="Arial"/>
          <w:color w:val="000000" w:themeColor="text1"/>
          <w:sz w:val="20"/>
          <w:szCs w:val="20"/>
          <w:lang w:val="es-ES"/>
        </w:rPr>
        <w:t>.</w:t>
      </w:r>
    </w:p>
  </w:footnote>
  <w:footnote w:id="30">
    <w:p w14:paraId="16D25CDC" w14:textId="4C2DCAD6" w:rsidR="00A1610F" w:rsidRPr="00035B3E" w:rsidRDefault="00A1610F" w:rsidP="00BA1DC7">
      <w:pPr>
        <w:ind w:firstLine="284"/>
        <w:jc w:val="both"/>
        <w:rPr>
          <w:rFonts w:ascii="Arial" w:hAnsi="Arial" w:cs="Arial"/>
          <w:sz w:val="20"/>
          <w:szCs w:val="20"/>
          <w:lang w:val="es-ES_tradnl"/>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 xml:space="preserve">Caso PLESÓ contra HUNGRÍA, § 68: </w:t>
      </w:r>
      <w:r w:rsidRPr="00035B3E">
        <w:rPr>
          <w:rFonts w:ascii="Arial" w:hAnsi="Arial" w:cs="Arial"/>
          <w:color w:val="000000" w:themeColor="text1"/>
          <w:sz w:val="20"/>
          <w:szCs w:val="20"/>
          <w:lang w:val="es-ES"/>
        </w:rPr>
        <w:t>«...</w:t>
      </w:r>
      <w:r w:rsidRPr="00035B3E">
        <w:rPr>
          <w:rFonts w:ascii="Arial" w:hAnsi="Arial" w:cs="Arial"/>
          <w:sz w:val="20"/>
          <w:szCs w:val="20"/>
          <w:lang w:val="es-ES_tradnl"/>
        </w:rPr>
        <w:t>el Tribunal considera lamentable que no se haya atribuido ninguna importancia a la falta de consentimiento del demandante, a pesar de que no se le había retirado su capacidad jurídica, por ejemplo, poniéndolo bajo tutela»</w:t>
      </w:r>
      <w:r w:rsidR="008230FC">
        <w:rPr>
          <w:rFonts w:ascii="Arial" w:hAnsi="Arial" w:cs="Arial"/>
          <w:sz w:val="20"/>
          <w:szCs w:val="20"/>
          <w:lang w:val="es-ES_tradnl"/>
        </w:rPr>
        <w:t>.</w:t>
      </w:r>
    </w:p>
  </w:footnote>
  <w:footnote w:id="31">
    <w:p w14:paraId="073F3B7E" w14:textId="7C0CC089" w:rsidR="00CD6958" w:rsidRPr="00035B3E" w:rsidRDefault="00CD6958"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Caso CERVENKA contra la REPÚBLICA CHECA, § 109: «El Tribunal observa, sin embargo, que, si bien el tutor público del demandante habló formalmente con él antes de su traslado a la residencia social, no se desprende del acta de su conversación que le explicara claramente el carácter real de su internamiento, sino que le hizo creer que recibiría tratamiento médico y se sometería a rehabilitación (véase párrafo 25 supra)»</w:t>
      </w:r>
      <w:r w:rsidR="008230FC">
        <w:rPr>
          <w:rFonts w:ascii="Arial" w:hAnsi="Arial" w:cs="Arial"/>
          <w:color w:val="000000" w:themeColor="text1"/>
          <w:lang w:val="es-ES"/>
        </w:rPr>
        <w:t>.</w:t>
      </w:r>
    </w:p>
  </w:footnote>
  <w:footnote w:id="32">
    <w:p w14:paraId="096C2743" w14:textId="1AA62C92" w:rsidR="00CD6958" w:rsidRPr="00035B3E" w:rsidRDefault="00CD6958"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lang w:val="es-ES"/>
        </w:rPr>
        <w:t xml:space="preserve"> </w:t>
      </w:r>
      <w:r w:rsidR="008230FC">
        <w:rPr>
          <w:rFonts w:ascii="Arial" w:hAnsi="Arial" w:cs="Arial"/>
          <w:color w:val="000000" w:themeColor="text1"/>
          <w:lang w:val="es-ES"/>
        </w:rPr>
        <w:t xml:space="preserve">Ver nota 29, </w:t>
      </w:r>
      <w:r w:rsidRPr="00035B3E">
        <w:rPr>
          <w:rFonts w:ascii="Arial" w:hAnsi="Arial" w:cs="Arial"/>
          <w:color w:val="000000" w:themeColor="text1"/>
          <w:lang w:val="es-ES"/>
        </w:rPr>
        <w:t>Caso PLESÓ contra HUNGRÍA, § 68</w:t>
      </w:r>
      <w:r w:rsidR="008230FC">
        <w:rPr>
          <w:rFonts w:ascii="Arial" w:hAnsi="Arial" w:cs="Arial"/>
          <w:color w:val="000000" w:themeColor="text1"/>
          <w:lang w:val="es-ES"/>
        </w:rPr>
        <w:t>.</w:t>
      </w:r>
    </w:p>
  </w:footnote>
  <w:footnote w:id="33">
    <w:p w14:paraId="2D3C0EFB" w14:textId="7F527707" w:rsidR="00052A08" w:rsidRPr="00035B3E" w:rsidRDefault="00052A08" w:rsidP="00BA1DC7">
      <w:pPr>
        <w:pStyle w:val="Textonotapie"/>
        <w:ind w:firstLine="284"/>
        <w:jc w:val="both"/>
        <w:rPr>
          <w:rFonts w:ascii="Arial" w:hAnsi="Arial" w:cs="Arial"/>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Caso PLESÓ contra HUNGRÍA, § 67: «</w:t>
      </w:r>
      <w:r w:rsidRPr="00035B3E">
        <w:rPr>
          <w:rFonts w:ascii="Arial" w:hAnsi="Arial" w:cs="Arial"/>
          <w:color w:val="000000" w:themeColor="text1"/>
          <w:lang w:val="es-ES_tradnl"/>
        </w:rPr>
        <w:t>Dichos tribunales, aunque atribuyen importancia al estilo de vida no convencional del demandante - una consideración que, para el Tribunal, queda claramente fuera del ámbito de los motivos admisibles de privación de libertad-, se basaron esencialmente en la negativa del demandante a someterse a una hospitalización. En esta negativa, percibieron prueba de su falta de conocimiento de su estado -más que el ejercicio de su derecho a la autodeterminación- que, en opinión de dichos tribunales, implicaba el riesgo de deterioro de su salud. Para el Tribunal de Justicia, aceptar esta línea de razonamiento equivaldría a consentir un argumento circular, según el cual una persona reacia a someterse a una hospitalización psiquiátrica demuestra así su incapacidad para apreciar su propio estado y el riesgo de su posible empeoramiento, lo que supondría una razón más para su tratamiento involuntario. El Tribunal de Justicia considera que este tipo de tratamiento es incompatible con el principio de protección efectiva de los derechos los derechos del Convenio»</w:t>
      </w:r>
      <w:r w:rsidR="008230FC">
        <w:rPr>
          <w:rFonts w:ascii="Arial" w:hAnsi="Arial" w:cs="Arial"/>
          <w:color w:val="000000" w:themeColor="text1"/>
          <w:lang w:val="es-ES_tradnl"/>
        </w:rPr>
        <w:t>.</w:t>
      </w:r>
    </w:p>
  </w:footnote>
  <w:footnote w:id="34">
    <w:p w14:paraId="31DC574F" w14:textId="0B2EB35A" w:rsidR="003C045A" w:rsidRPr="00035B3E" w:rsidRDefault="003C045A"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00B73EAF" w:rsidRPr="00035B3E">
        <w:rPr>
          <w:rFonts w:ascii="Arial" w:hAnsi="Arial" w:cs="Arial"/>
          <w:lang w:val="es-ES"/>
        </w:rPr>
        <w:t>Caso PLESÓ contra HUNGRÍA, § 66: «</w:t>
      </w:r>
      <w:r w:rsidR="00B73EAF" w:rsidRPr="00035B3E">
        <w:rPr>
          <w:rFonts w:ascii="Arial" w:hAnsi="Arial" w:cs="Arial"/>
          <w:lang w:val="es-ES_tradnl"/>
        </w:rPr>
        <w:t xml:space="preserve"> El Tribunal de Justicia considera que cuando, como en el presente caso, no se trata de determinar si existe un peligro inminente para la salud de la persona, sino si el tratamiento médico mejoraría su estado o si la ausencia de dicho tratamiento provocaría un deterioro de dicho estado, corresponde a las autoridades establecer un justo equilibrio entre los intereses contrapuestos que emanan por un lado, de la responsabilidad de la sociedad de garantizar la mejor atención sanitaria posible a las personas con facultades disminuidas (por ejemplo, por falta de conocimiento de su estado) y, por otro, del derecho inalienable del individuo a la autodeterminación (incluido el derecho a rechazar la hospitalización o el tratamiento médico, es decir, su "derecho a estar enfermo").»</w:t>
      </w:r>
    </w:p>
  </w:footnote>
  <w:footnote w:id="35">
    <w:p w14:paraId="7F823617" w14:textId="28F33582" w:rsidR="007849B4" w:rsidRPr="00035B3E" w:rsidRDefault="007849B4"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Véase, por ejemplo, caso CLAES contra BÉLGICA, § 115 o, MORSINK contra LOS PAÍSES BAJOS, §§ 66-68.</w:t>
      </w:r>
    </w:p>
  </w:footnote>
  <w:footnote w:id="36">
    <w:p w14:paraId="300ACEC4" w14:textId="18E3C012" w:rsidR="00ED21F7" w:rsidRPr="00ED21F7" w:rsidRDefault="00ED21F7" w:rsidP="00ED21F7">
      <w:pPr>
        <w:pStyle w:val="Textonotapie"/>
        <w:jc w:val="both"/>
        <w:rPr>
          <w:lang w:val="es-ES"/>
        </w:rPr>
      </w:pPr>
      <w:r>
        <w:rPr>
          <w:rStyle w:val="Refdenotaalpie"/>
        </w:rPr>
        <w:footnoteRef/>
      </w:r>
      <w:r>
        <w:t xml:space="preserve"> </w:t>
      </w:r>
      <w:r>
        <w:rPr>
          <w:lang w:val="es-ES"/>
        </w:rPr>
        <w:t>Caso GLIEN contra ALEMANIA, § 92: «</w:t>
      </w:r>
      <w:r w:rsidRPr="001B7E6A">
        <w:rPr>
          <w:rFonts w:ascii="Arial" w:hAnsi="Arial" w:cs="Arial"/>
          <w:color w:val="000000" w:themeColor="text1"/>
          <w:lang w:val="es-ES"/>
        </w:rPr>
        <w:t>El Tribunal reitera que, en virtud de su jurisprudencia consolidada, el de una persona como paciente de salud mental, en principio, sólo será "legal" a los efectos de la letra e) del artículo 5 § 1 si se efectúa en un hospital, una clínica u otra institución adecuada (véase el apartado 75 anterior)»</w:t>
      </w:r>
      <w:r>
        <w:rPr>
          <w:rFonts w:ascii="Arial" w:hAnsi="Arial" w:cs="Arial"/>
          <w:color w:val="000000" w:themeColor="text1"/>
          <w:lang w:val="es-ES"/>
        </w:rPr>
        <w:t>.</w:t>
      </w:r>
    </w:p>
  </w:footnote>
  <w:footnote w:id="37">
    <w:p w14:paraId="5D49D330" w14:textId="0B49150F" w:rsidR="006232E5" w:rsidRPr="00035B3E" w:rsidRDefault="006232E5"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 xml:space="preserve">Caso PAPILLO contra SUIZA, § 43: «El Tribunal ha aceptado que el mero hecho de que una persona no estuviera ingresada en un establecimiento adecuado no hace que su </w:t>
      </w:r>
      <w:r w:rsidR="0029623C">
        <w:rPr>
          <w:rFonts w:ascii="Arial" w:hAnsi="Arial" w:cs="Arial"/>
          <w:sz w:val="20"/>
          <w:szCs w:val="20"/>
          <w:lang w:val="es-ES"/>
        </w:rPr>
        <w:t>internamiento</w:t>
      </w:r>
      <w:r w:rsidRPr="00035B3E">
        <w:rPr>
          <w:rFonts w:ascii="Arial" w:hAnsi="Arial" w:cs="Arial"/>
          <w:sz w:val="20"/>
          <w:szCs w:val="20"/>
          <w:lang w:val="es-ES"/>
        </w:rPr>
        <w:t xml:space="preserve"> sea automáticamente ilegal en del artículo 5 § 1 del Convenio y que había que lograr un equilibrio razonable entre los intereses en conflicto, entendiéndose que debe darse un peso especial al derecho a la libertad»</w:t>
      </w:r>
      <w:r w:rsidR="00297C54">
        <w:rPr>
          <w:rFonts w:ascii="Arial" w:hAnsi="Arial" w:cs="Arial"/>
          <w:sz w:val="20"/>
          <w:szCs w:val="20"/>
          <w:lang w:val="es-ES"/>
        </w:rPr>
        <w:t>.</w:t>
      </w:r>
    </w:p>
  </w:footnote>
  <w:footnote w:id="38">
    <w:p w14:paraId="39B5CE62" w14:textId="37512112" w:rsidR="00D02F7A" w:rsidRPr="00035B3E" w:rsidRDefault="00D02F7A"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Caso H.L. contra EL REINO UNIDO, § 91: «No hay libertad cuando el internado está sometido a estrictas normas de seguimiento</w:t>
      </w:r>
      <w:r w:rsidR="00483A59" w:rsidRPr="00035B3E">
        <w:rPr>
          <w:rFonts w:ascii="Arial" w:hAnsi="Arial" w:cs="Arial"/>
          <w:sz w:val="20"/>
          <w:szCs w:val="20"/>
          <w:lang w:val="es-ES"/>
        </w:rPr>
        <w:t>».</w:t>
      </w:r>
    </w:p>
  </w:footnote>
  <w:footnote w:id="39">
    <w:p w14:paraId="642D57A7" w14:textId="25DE3D54" w:rsidR="00F97BCD" w:rsidRPr="00035B3E" w:rsidRDefault="00F97BCD"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 xml:space="preserve">Caso </w:t>
      </w:r>
      <w:r w:rsidRPr="00035B3E">
        <w:rPr>
          <w:rFonts w:ascii="Arial" w:hAnsi="Arial" w:cs="Arial"/>
          <w:color w:val="000000" w:themeColor="text1"/>
          <w:lang w:val="es-ES_tradnl"/>
        </w:rPr>
        <w:t>KROUSHEV contra BULGARIA, §§ 35-37.</w:t>
      </w:r>
    </w:p>
  </w:footnote>
  <w:footnote w:id="40">
    <w:p w14:paraId="1DDA39BF" w14:textId="5AFA0934" w:rsidR="00C0712B" w:rsidRPr="007E54F7" w:rsidRDefault="00C0712B" w:rsidP="007E54F7">
      <w:pPr>
        <w:autoSpaceDE w:val="0"/>
        <w:autoSpaceDN w:val="0"/>
        <w:adjustRightInd w:val="0"/>
        <w:ind w:firstLine="284"/>
        <w:jc w:val="both"/>
        <w:rPr>
          <w:rFonts w:ascii="Arial" w:hAnsi="Arial" w:cs="Arial"/>
          <w:sz w:val="20"/>
          <w:szCs w:val="20"/>
          <w:lang w:val="es-ES_tradnl"/>
        </w:rPr>
      </w:pPr>
      <w:r w:rsidRPr="00942D02">
        <w:rPr>
          <w:rStyle w:val="Refdenotaalpie"/>
          <w:rFonts w:ascii="Arial" w:hAnsi="Arial" w:cs="Arial"/>
          <w:sz w:val="20"/>
          <w:szCs w:val="20"/>
        </w:rPr>
        <w:footnoteRef/>
      </w:r>
      <w:r w:rsidRPr="00942D02">
        <w:rPr>
          <w:rFonts w:ascii="Arial" w:hAnsi="Arial" w:cs="Arial"/>
          <w:sz w:val="20"/>
          <w:szCs w:val="20"/>
        </w:rPr>
        <w:t xml:space="preserve"> </w:t>
      </w:r>
      <w:r w:rsidRPr="00942D02">
        <w:rPr>
          <w:rFonts w:ascii="Arial" w:hAnsi="Arial" w:cs="Arial"/>
          <w:sz w:val="20"/>
          <w:szCs w:val="20"/>
          <w:lang w:val="es-ES"/>
        </w:rPr>
        <w:t xml:space="preserve">Caso STANEV contra BULGARIA, § </w:t>
      </w:r>
      <w:r w:rsidRPr="00942D02">
        <w:rPr>
          <w:rFonts w:ascii="Arial" w:hAnsi="Arial" w:cs="Arial"/>
          <w:sz w:val="20"/>
          <w:szCs w:val="20"/>
          <w:lang w:val="es-ES_tradnl"/>
        </w:rPr>
        <w:t>153:</w:t>
      </w:r>
      <w:r w:rsidRPr="00C0712B">
        <w:rPr>
          <w:rFonts w:ascii="Arial" w:hAnsi="Arial" w:cs="Arial"/>
          <w:sz w:val="20"/>
          <w:szCs w:val="20"/>
          <w:lang w:val="es-ES_tradnl"/>
        </w:rPr>
        <w:t xml:space="preserve"> </w:t>
      </w:r>
      <w:r>
        <w:rPr>
          <w:rFonts w:ascii="Arial" w:hAnsi="Arial" w:cs="Arial"/>
          <w:sz w:val="20"/>
          <w:szCs w:val="20"/>
          <w:lang w:val="es-ES_tradnl"/>
        </w:rPr>
        <w:t>«</w:t>
      </w:r>
      <w:r w:rsidRPr="00C0712B">
        <w:rPr>
          <w:rFonts w:ascii="Arial" w:hAnsi="Arial" w:cs="Arial"/>
          <w:sz w:val="20"/>
          <w:szCs w:val="20"/>
          <w:lang w:val="es-ES_tradnl"/>
        </w:rPr>
        <w:t>El Tribunal señala que el demandante tenía derecho a asistencia social en la medida en que no disponía de alojamiento y era incapaz de trabajar debido a su enfermedad</w:t>
      </w:r>
      <w:r w:rsidR="00942D02">
        <w:rPr>
          <w:rFonts w:ascii="Arial" w:hAnsi="Arial" w:cs="Arial"/>
          <w:sz w:val="20"/>
          <w:szCs w:val="20"/>
          <w:lang w:val="es-ES_tradnl"/>
        </w:rPr>
        <w:t>.</w:t>
      </w:r>
      <w:r w:rsidRPr="00C0712B">
        <w:rPr>
          <w:rFonts w:ascii="Arial" w:hAnsi="Arial" w:cs="Arial"/>
          <w:sz w:val="20"/>
          <w:szCs w:val="20"/>
          <w:lang w:val="es-ES_tradnl"/>
        </w:rPr>
        <w:t xml:space="preserve"> </w:t>
      </w:r>
      <w:r>
        <w:rPr>
          <w:rFonts w:ascii="Arial" w:hAnsi="Arial" w:cs="Arial"/>
          <w:sz w:val="20"/>
          <w:szCs w:val="20"/>
          <w:lang w:val="es-ES_tradnl"/>
        </w:rPr>
        <w:t xml:space="preserve">(...) </w:t>
      </w:r>
      <w:r w:rsidRPr="00C0712B">
        <w:rPr>
          <w:rFonts w:ascii="Arial" w:hAnsi="Arial" w:cs="Arial"/>
          <w:sz w:val="20"/>
          <w:szCs w:val="20"/>
          <w:lang w:val="es-ES_tradnl"/>
        </w:rPr>
        <w:t>la necesidad objetiva de alojamiento y asistencia social no debe conducir automáticamente a la imposición de medidas privativas de libertad. En opinión del Tribunal, cualquier medida de</w:t>
      </w:r>
      <w:r w:rsidR="00942D02">
        <w:rPr>
          <w:rFonts w:ascii="Arial" w:hAnsi="Arial" w:cs="Arial"/>
          <w:sz w:val="20"/>
          <w:szCs w:val="20"/>
          <w:lang w:val="es-ES_tradnl"/>
        </w:rPr>
        <w:t xml:space="preserve"> </w:t>
      </w:r>
      <w:r w:rsidRPr="00C0712B">
        <w:rPr>
          <w:rFonts w:ascii="Arial" w:hAnsi="Arial" w:cs="Arial"/>
          <w:sz w:val="20"/>
          <w:szCs w:val="20"/>
          <w:lang w:val="es-ES_tradnl"/>
        </w:rPr>
        <w:t>protección debe reflejar en la medida de lo posible los deseos de las personas capaces de expresar su voluntad. El no buscar la opinión de la persona interesada puede dar lugar a situaciones de abuso y obstaculizar el ejercicio de los derechos de las personas vulnerables;</w:t>
      </w:r>
      <w:r w:rsidR="00942D02">
        <w:rPr>
          <w:rFonts w:ascii="Arial" w:hAnsi="Arial" w:cs="Arial"/>
          <w:sz w:val="20"/>
          <w:szCs w:val="20"/>
          <w:lang w:val="es-ES_tradnl"/>
        </w:rPr>
        <w:t>».</w:t>
      </w:r>
      <w:r w:rsidRPr="00C0712B">
        <w:rPr>
          <w:rFonts w:ascii="Arial" w:hAnsi="Arial" w:cs="Arial"/>
          <w:sz w:val="20"/>
          <w:szCs w:val="20"/>
          <w:lang w:val="es-ES_tradnl"/>
        </w:rPr>
        <w:t xml:space="preserve"> </w:t>
      </w:r>
    </w:p>
  </w:footnote>
  <w:footnote w:id="41">
    <w:p w14:paraId="152464F6" w14:textId="0F4F2959" w:rsidR="00BE3F1F" w:rsidRPr="00035B3E" w:rsidRDefault="00BE3F1F"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 xml:space="preserve">Caso </w:t>
      </w:r>
      <w:r w:rsidRPr="00035B3E">
        <w:rPr>
          <w:rFonts w:ascii="Arial" w:hAnsi="Arial" w:cs="Arial"/>
          <w:color w:val="000000" w:themeColor="text1"/>
          <w:sz w:val="20"/>
          <w:szCs w:val="20"/>
          <w:lang w:val="es-ES_tradnl"/>
        </w:rPr>
        <w:t>STANEV, §157:</w:t>
      </w:r>
      <w:r w:rsidRPr="00035B3E">
        <w:rPr>
          <w:rFonts w:ascii="Arial" w:hAnsi="Arial" w:cs="Arial"/>
          <w:sz w:val="20"/>
          <w:szCs w:val="20"/>
          <w:lang w:val="es-ES"/>
        </w:rPr>
        <w:t xml:space="preserve"> «... el informe médico forense no tenía como objetivo examinar si el estado de salud del demandante requería el ingreso en un hogar para personas con trastornos mentales, sino tan solo la cuestión de la protección jurídica.»</w:t>
      </w:r>
    </w:p>
  </w:footnote>
  <w:footnote w:id="42">
    <w:p w14:paraId="62034D51" w14:textId="51473C2F" w:rsidR="00BD310D" w:rsidRPr="00AF2927" w:rsidRDefault="00BD310D" w:rsidP="00AF2927">
      <w:pPr>
        <w:autoSpaceDE w:val="0"/>
        <w:autoSpaceDN w:val="0"/>
        <w:adjustRightInd w:val="0"/>
        <w:ind w:firstLine="284"/>
        <w:jc w:val="both"/>
        <w:rPr>
          <w:rFonts w:ascii="Arial" w:hAnsi="Arial" w:cs="Arial"/>
          <w:sz w:val="20"/>
          <w:szCs w:val="20"/>
          <w:highlight w:val="yellow"/>
          <w:lang w:val="es-ES_tradnl"/>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i/>
          <w:iCs/>
          <w:sz w:val="20"/>
          <w:szCs w:val="20"/>
          <w:lang w:val="es-ES"/>
        </w:rPr>
        <w:t>Ibidem,</w:t>
      </w:r>
      <w:r w:rsidRPr="00035B3E">
        <w:rPr>
          <w:rFonts w:ascii="Arial" w:hAnsi="Arial" w:cs="Arial"/>
          <w:sz w:val="20"/>
          <w:szCs w:val="20"/>
          <w:lang w:val="es-ES"/>
        </w:rPr>
        <w:t xml:space="preserve"> § </w:t>
      </w:r>
      <w:r w:rsidRPr="00035B3E">
        <w:rPr>
          <w:rFonts w:ascii="Arial" w:hAnsi="Arial" w:cs="Arial"/>
          <w:sz w:val="20"/>
          <w:szCs w:val="20"/>
          <w:lang w:val="es-ES_tradnl"/>
        </w:rPr>
        <w:t xml:space="preserve">156: «En este caso, es cierto que el informe médico llevado a cabo durante el procedimiento de incapacitación jurídica aludía a trastornos sufridos por el demandante. Sin embargo, este informe tuvo lugar antes del mes de noviembre de 2000, cuando el demandante fue ingresado en el hogar de Pastra el 10 de diciembre de 2002 (apartados10 y 14). Por tanto, habían trascurrido más de dos años desde el informe psiquiátrico forense en el que se basaron las autoridades para decidir el internamiento, sin que la curadora hubiera procedido a la verificación de una posible evolución del estado de salud del demandante y sin reunirse con él o </w:t>
      </w:r>
      <w:r w:rsidRPr="00AF2927">
        <w:rPr>
          <w:rFonts w:ascii="Arial" w:hAnsi="Arial" w:cs="Arial"/>
          <w:sz w:val="20"/>
          <w:szCs w:val="20"/>
          <w:lang w:val="es-ES_tradnl"/>
        </w:rPr>
        <w:t>consultarle»</w:t>
      </w:r>
      <w:r w:rsidR="0020798E">
        <w:rPr>
          <w:rFonts w:ascii="Arial" w:hAnsi="Arial" w:cs="Arial"/>
          <w:sz w:val="20"/>
          <w:szCs w:val="20"/>
          <w:lang w:val="es-ES_tradnl"/>
        </w:rPr>
        <w:t>.</w:t>
      </w:r>
    </w:p>
  </w:footnote>
  <w:footnote w:id="43">
    <w:p w14:paraId="53461E71" w14:textId="14E88B3D" w:rsidR="00BD310D" w:rsidRPr="00035B3E" w:rsidRDefault="00BD310D" w:rsidP="00BA1DC7">
      <w:pPr>
        <w:ind w:right="-1" w:firstLine="284"/>
        <w:jc w:val="both"/>
        <w:rPr>
          <w:rFonts w:ascii="Arial" w:hAnsi="Arial" w:cs="Arial"/>
          <w:color w:val="000000" w:themeColor="text1"/>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00AF2927">
        <w:rPr>
          <w:rFonts w:ascii="Arial" w:hAnsi="Arial" w:cs="Arial"/>
          <w:sz w:val="20"/>
          <w:szCs w:val="20"/>
          <w:lang w:val="es-ES"/>
        </w:rPr>
        <w:t xml:space="preserve">Caso </w:t>
      </w:r>
      <w:r w:rsidRPr="00035B3E">
        <w:rPr>
          <w:rFonts w:ascii="Arial" w:hAnsi="Arial" w:cs="Arial"/>
          <w:sz w:val="20"/>
          <w:szCs w:val="20"/>
        </w:rPr>
        <w:t>STEFAN STANCOV contra BULGARIA</w:t>
      </w:r>
      <w:r w:rsidR="00870048" w:rsidRPr="00035B3E">
        <w:rPr>
          <w:rFonts w:ascii="Arial" w:hAnsi="Arial" w:cs="Arial"/>
          <w:sz w:val="20"/>
          <w:szCs w:val="20"/>
          <w:lang w:val="es-ES"/>
        </w:rPr>
        <w:t>, § 97: «</w:t>
      </w:r>
      <w:r w:rsidRPr="00035B3E">
        <w:rPr>
          <w:rFonts w:ascii="Arial" w:hAnsi="Arial" w:cs="Arial"/>
          <w:sz w:val="20"/>
          <w:szCs w:val="20"/>
        </w:rPr>
        <w:t>El Tribunal de Justicia recuerda que, en determinadas circunstancias, el bienestar de un enfermo mental puede ser un factor adicional que debe tenerse en cuenta, además de los elementos médicos, a la hora de evaluar la necesidad de internar a esa persona en una institución. Sin embargo, la necesidad objetiva de alojamiento y asistencia social no debe conducir automáticamente a la imposición de medidas privativas de libertad. En opinión del Tribunal, toda medida de protección debe reflejar en la medida de lo posible los deseos de las personas capaces de expresar su voluntad. El hecho de no recabar la opinión de la persona afectada puede dar lugar a situaciones de abuso y obstaculizar el ejercicio de los derechos de las personas vulnerables; por lo tanto, cualquier medida adoptada sin consultar previamente a la persona afectada requiere, en principio, un examen riguroso (Stanev, citada anteriormente, § 153)</w:t>
      </w:r>
      <w:r w:rsidR="00870048" w:rsidRPr="00035B3E">
        <w:rPr>
          <w:rFonts w:ascii="Arial" w:hAnsi="Arial" w:cs="Arial"/>
          <w:sz w:val="20"/>
          <w:szCs w:val="20"/>
          <w:lang w:val="es-ES"/>
        </w:rPr>
        <w:t>»</w:t>
      </w:r>
      <w:r w:rsidR="0020798E">
        <w:rPr>
          <w:rFonts w:ascii="Arial" w:hAnsi="Arial" w:cs="Arial"/>
          <w:sz w:val="20"/>
          <w:szCs w:val="20"/>
          <w:lang w:val="es-ES"/>
        </w:rPr>
        <w:t>.</w:t>
      </w:r>
    </w:p>
  </w:footnote>
  <w:footnote w:id="44">
    <w:p w14:paraId="1888411B" w14:textId="0996CB68" w:rsidR="00F85D16" w:rsidRPr="00035B3E" w:rsidRDefault="00F85D16"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474D62" w:rsidRPr="00035B3E">
        <w:rPr>
          <w:rFonts w:ascii="Arial" w:hAnsi="Arial" w:cs="Arial"/>
          <w:color w:val="000000" w:themeColor="text1"/>
          <w:sz w:val="20"/>
          <w:szCs w:val="20"/>
          <w:lang w:val="es-ES_tradnl"/>
        </w:rPr>
        <w:t xml:space="preserve">Caso HERCZEGFALVY contra AUSTRIA, § 63: «El Convenio exige, en primer lugar, que </w:t>
      </w:r>
      <w:r w:rsidR="006664FD">
        <w:rPr>
          <w:rFonts w:ascii="Arial" w:hAnsi="Arial" w:cs="Arial"/>
          <w:color w:val="000000" w:themeColor="text1"/>
          <w:sz w:val="20"/>
          <w:szCs w:val="20"/>
          <w:lang w:val="es-ES_tradnl"/>
        </w:rPr>
        <w:t>el internamiento</w:t>
      </w:r>
      <w:r w:rsidR="00474D62" w:rsidRPr="00035B3E">
        <w:rPr>
          <w:rFonts w:ascii="Arial" w:hAnsi="Arial" w:cs="Arial"/>
          <w:color w:val="000000" w:themeColor="text1"/>
          <w:sz w:val="20"/>
          <w:szCs w:val="20"/>
          <w:lang w:val="es-ES_tradnl"/>
        </w:rPr>
        <w:t xml:space="preserve"> en cuestión sea "legal", lo que incluye el cumplimiento de las vías legales. A este respecto, el Convenio se remite esencialmente a la legislación nacional y establece la obligación de respetar sus normas de fondo y de procedimiento, pero también exige que toda privación de libertad sea compatible con el objetivo del artículo 5: proteger al individuo contra la arbitrariedad».</w:t>
      </w:r>
    </w:p>
  </w:footnote>
  <w:footnote w:id="45">
    <w:p w14:paraId="3FDAB62C" w14:textId="7F7D0E03" w:rsidR="00A019FC" w:rsidRPr="00035B3E" w:rsidRDefault="00A019FC"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lang w:val="es-ES"/>
        </w:rPr>
        <w:t xml:space="preserve"> Caso</w:t>
      </w:r>
      <w:r w:rsidRPr="00035B3E">
        <w:rPr>
          <w:rFonts w:ascii="Arial" w:hAnsi="Arial" w:cs="Arial"/>
          <w:sz w:val="20"/>
          <w:szCs w:val="20"/>
        </w:rPr>
        <w:t xml:space="preserve"> </w:t>
      </w:r>
      <w:r w:rsidRPr="00035B3E">
        <w:rPr>
          <w:rFonts w:ascii="Arial" w:hAnsi="Arial" w:cs="Arial"/>
          <w:sz w:val="20"/>
          <w:szCs w:val="20"/>
          <w:lang w:val="es-ES"/>
        </w:rPr>
        <w:t>PROSCHKIN contra RUSIA, § 77: «...la legalidad del internamiento del demandante según el derecho interno no es decisiva en sí misma. También debe demostrarse que su internamiento durante el periodo en cuestión fue conforme a la finalidad del artículo 5.1 del Convenio, es decir, que estaba carente de arbitrariedad (véase VITOLD LITWA, citada anteriormente, §§ 72-73)»</w:t>
      </w:r>
      <w:r w:rsidR="0020798E">
        <w:rPr>
          <w:rFonts w:ascii="Arial" w:hAnsi="Arial" w:cs="Arial"/>
          <w:sz w:val="20"/>
          <w:szCs w:val="20"/>
          <w:lang w:val="es-ES"/>
        </w:rPr>
        <w:t>.</w:t>
      </w:r>
    </w:p>
  </w:footnote>
  <w:footnote w:id="46">
    <w:p w14:paraId="6028E255" w14:textId="648787D8" w:rsidR="00C05259" w:rsidRPr="00035B3E" w:rsidRDefault="00C05259" w:rsidP="00BA1DC7">
      <w:pPr>
        <w:autoSpaceDE w:val="0"/>
        <w:autoSpaceDN w:val="0"/>
        <w:adjustRightInd w:val="0"/>
        <w:spacing w:line="240" w:lineRule="atLeast"/>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Caso M. S. contra CROACIA, §152: «Teniendo en cuenta estas constataciones, el Tribunal reitera que en el contexto de las garantías de control del cumplimiento de los requisitos procesales y materiales que son esenciales para la "legalidad", en términos de la privación de libertad, en el sentido del Convenio, los procedimientos judiciales correspondientes no tienen por qué contar siempre con las mismas garantías que las exigidas por el artículo 6 § 1 para los litigios civiles o penales. No obstante, es esencial que la persona afectada tenga acceso a un tribunal y la oportunidad de ser escuchada, ya sea en persona o, cuando sea necesario mediante alguna forma de representación (véase, entre otros, Stanev, citado anteriormente, § 171)»</w:t>
      </w:r>
      <w:r w:rsidR="006926A4">
        <w:rPr>
          <w:rFonts w:ascii="Arial" w:hAnsi="Arial" w:cs="Arial"/>
          <w:sz w:val="20"/>
          <w:szCs w:val="20"/>
          <w:lang w:val="es-ES"/>
        </w:rPr>
        <w:t>.</w:t>
      </w:r>
    </w:p>
  </w:footnote>
  <w:footnote w:id="47">
    <w:p w14:paraId="2A747A1F" w14:textId="5FDF492D" w:rsidR="00C05259" w:rsidRPr="00035B3E" w:rsidRDefault="00C05259"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005E6F47" w:rsidRPr="00035B3E">
        <w:rPr>
          <w:rFonts w:ascii="Arial" w:hAnsi="Arial" w:cs="Arial"/>
          <w:sz w:val="20"/>
          <w:szCs w:val="20"/>
          <w:lang w:val="es-ES"/>
        </w:rPr>
        <w:t>Caso ZAGIDULINA contra RUSIA, § 62: «Teniendo en cuenta la negativa clara e indiscutible del demandante a someterse a cualquier tratamiento y el conocimiento de los tribunales nacionales de este hecho, lo que se reflejó en sus decisiones, la necesidad de garantizar el derecho de la demandante a ser oída era aún más apremiante. Esta opinión se refleja también en la sentencia del Tribunal de la ciudad de Moscú de 20 de abril de 2006, que anuló todas las sentencias anteriores en el caso sobre esta base y ordenó la reconsideración de la solicitud»</w:t>
      </w:r>
      <w:r w:rsidR="005E605D">
        <w:rPr>
          <w:rFonts w:ascii="Arial" w:hAnsi="Arial" w:cs="Arial"/>
          <w:sz w:val="20"/>
          <w:szCs w:val="20"/>
          <w:lang w:val="es-ES"/>
        </w:rPr>
        <w:t>.</w:t>
      </w:r>
    </w:p>
  </w:footnote>
  <w:footnote w:id="48">
    <w:p w14:paraId="2CED9971" w14:textId="7C5522D4" w:rsidR="00275580" w:rsidRPr="00035B3E" w:rsidRDefault="00275580"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i/>
          <w:iCs/>
          <w:sz w:val="20"/>
          <w:szCs w:val="20"/>
          <w:lang w:val="es-ES"/>
        </w:rPr>
        <w:t>Ibidem,</w:t>
      </w:r>
      <w:r w:rsidRPr="00035B3E">
        <w:rPr>
          <w:rFonts w:ascii="Arial" w:hAnsi="Arial" w:cs="Arial"/>
          <w:sz w:val="20"/>
          <w:szCs w:val="20"/>
          <w:lang w:val="es-ES"/>
        </w:rPr>
        <w:t xml:space="preserve"> § 62: «La demandante desempeñó un doble papel en el procedimiento: fue parte interesada y, al mismo tiempo, objeto principal del examen del tribunal. Por lo tanto, era indispensable oír al demandante en persona o a través de alguna forma de representación para un “procedimiento justo y adecuado” (véase Winterwerp, citada anteriormente, § 45).» En sentido semejante, D.R. contra LITUANIA, § 91: «No obstante, el Tribunal subraya que el procedimiento en cuestión se refería a la evaluación del estado mental del demandante, por lo que era no solo una parte interesada, sino también el objeto principal del tribunal. Por lo tanto, su participación era necesaria no sólo para permitirle presentar su propio caso, sino también para permitir al juez formarse una opinión personal sobre su capacidad mental (véase, </w:t>
      </w:r>
      <w:r w:rsidRPr="00035B3E">
        <w:rPr>
          <w:rFonts w:ascii="Arial" w:hAnsi="Arial" w:cs="Arial"/>
          <w:i/>
          <w:iCs/>
          <w:sz w:val="20"/>
          <w:szCs w:val="20"/>
          <w:lang w:val="es-ES"/>
        </w:rPr>
        <w:t>mutatis mutandis</w:t>
      </w:r>
      <w:r w:rsidRPr="00035B3E">
        <w:rPr>
          <w:rFonts w:ascii="Arial" w:hAnsi="Arial" w:cs="Arial"/>
          <w:sz w:val="20"/>
          <w:szCs w:val="20"/>
          <w:lang w:val="es-ES"/>
        </w:rPr>
        <w:t>, Shtukaturov, citada arriba, § 72; Mifobova, citada arriba, § 57; y A.N. v. Lituania, no. 17280/08, §96, 31 de mayo de 2016; véase también la Recomendación del Comité de Ministros en el párrafo 53 anterior)»</w:t>
      </w:r>
      <w:r w:rsidR="005E605D">
        <w:rPr>
          <w:rFonts w:ascii="Arial" w:hAnsi="Arial" w:cs="Arial"/>
          <w:sz w:val="20"/>
          <w:szCs w:val="20"/>
          <w:lang w:val="es-ES"/>
        </w:rPr>
        <w:t>.</w:t>
      </w:r>
    </w:p>
  </w:footnote>
  <w:footnote w:id="49">
    <w:p w14:paraId="716E2930" w14:textId="74C52D77" w:rsidR="0048788D" w:rsidRPr="00035B3E" w:rsidRDefault="0048788D" w:rsidP="00BA1DC7">
      <w:pPr>
        <w:autoSpaceDE w:val="0"/>
        <w:autoSpaceDN w:val="0"/>
        <w:adjustRightInd w:val="0"/>
        <w:ind w:firstLine="284"/>
        <w:jc w:val="both"/>
        <w:rPr>
          <w:rFonts w:ascii="Arial" w:hAnsi="Arial" w:cs="Arial"/>
          <w:sz w:val="20"/>
          <w:szCs w:val="20"/>
          <w:lang w:val="es-ES_tradnl"/>
        </w:rPr>
      </w:pPr>
      <w:r w:rsidRPr="00035B3E">
        <w:rPr>
          <w:rStyle w:val="Refdenotaalpie"/>
          <w:rFonts w:ascii="Arial" w:hAnsi="Arial" w:cs="Arial"/>
          <w:sz w:val="20"/>
          <w:szCs w:val="20"/>
        </w:rPr>
        <w:footnoteRef/>
      </w:r>
      <w:r w:rsidRPr="00035B3E">
        <w:rPr>
          <w:rFonts w:ascii="Arial" w:hAnsi="Arial" w:cs="Arial"/>
          <w:sz w:val="20"/>
          <w:szCs w:val="20"/>
          <w:lang w:val="es-ES"/>
        </w:rPr>
        <w:t xml:space="preserve"> Caso </w:t>
      </w:r>
      <w:r w:rsidRPr="00035B3E">
        <w:rPr>
          <w:rFonts w:ascii="Arial" w:eastAsia="Times New Roman" w:hAnsi="Arial" w:cs="Arial"/>
          <w:sz w:val="20"/>
          <w:szCs w:val="20"/>
          <w:lang w:val="es-ES" w:eastAsia="es-ES_tradnl"/>
        </w:rPr>
        <w:t>CHTOUKATOUROV</w:t>
      </w:r>
      <w:r w:rsidRPr="00035B3E">
        <w:rPr>
          <w:rFonts w:ascii="Arial" w:hAnsi="Arial" w:cs="Arial"/>
          <w:sz w:val="20"/>
          <w:szCs w:val="20"/>
          <w:lang w:val="es-ES_tradnl"/>
        </w:rPr>
        <w:t xml:space="preserve"> contra RUSIA, § 71: «El Tribunal ya ha declarado en varias ocasiones (en casos relativos a la hospitalización involuntaria) que los enajenados deben tener la posibilidad de ser oídos, ya sea en persona o, si es necesario, a través de alguna forma de representación (véase, por ejemplo, la sentencia Winterwerp, citada anteriormente, § 60).  En el caso de Winterwerp, estaba en juego la libertad del demandante. En el presente caso, el resultado del procedimiento era al menos tan importante para el demandante, ya que tenía consecuencias para su autonomía personal en prácticamente todos los aspectos de su vida, incluidos los límites que podían imponerse a su libertad»</w:t>
      </w:r>
      <w:r w:rsidR="005E605D">
        <w:rPr>
          <w:rFonts w:ascii="Arial" w:hAnsi="Arial" w:cs="Arial"/>
          <w:sz w:val="20"/>
          <w:szCs w:val="20"/>
          <w:lang w:val="es-ES_tradnl"/>
        </w:rPr>
        <w:t>.</w:t>
      </w:r>
    </w:p>
  </w:footnote>
  <w:footnote w:id="50">
    <w:p w14:paraId="27AA776F" w14:textId="0EC7A0C3" w:rsidR="00452C39" w:rsidRPr="00035B3E" w:rsidRDefault="00452C39"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Véase, por ejemplo, entre otras muchas sentencias</w:t>
      </w:r>
      <w:r w:rsidR="000B0328" w:rsidRPr="00035B3E">
        <w:rPr>
          <w:rFonts w:ascii="Arial" w:hAnsi="Arial" w:cs="Arial"/>
          <w:color w:val="000000" w:themeColor="text1"/>
          <w:lang w:val="es-ES"/>
        </w:rPr>
        <w:t>, lo recogido en</w:t>
      </w:r>
      <w:r w:rsidRPr="00035B3E">
        <w:rPr>
          <w:rFonts w:ascii="Arial" w:hAnsi="Arial" w:cs="Arial"/>
          <w:color w:val="000000" w:themeColor="text1"/>
          <w:lang w:val="es-ES"/>
        </w:rPr>
        <w:t xml:space="preserve"> el §74 de la sentencia del caso RAUDEVS </w:t>
      </w:r>
      <w:r w:rsidR="000B0328" w:rsidRPr="00035B3E">
        <w:rPr>
          <w:rFonts w:ascii="Arial" w:hAnsi="Arial" w:cs="Arial"/>
          <w:color w:val="000000" w:themeColor="text1"/>
          <w:lang w:val="es-ES"/>
        </w:rPr>
        <w:t>contra LETONIA.</w:t>
      </w:r>
    </w:p>
  </w:footnote>
  <w:footnote w:id="51">
    <w:p w14:paraId="12591E81" w14:textId="0AB31A20" w:rsidR="00165BDB" w:rsidRPr="00035B3E" w:rsidRDefault="00165BDB"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Caso MIFOVOBA c. RUSIA, § 65: «Por último, el Tribunal observa que el intento de la demandante de buscar un recurso ante los tribunales nacionales se vio aún más obstaculizado por el hecho de que las autoridades nacionales no le proporcionaron una copia completa de la autorización para su tratamiento involuntario. Sin conocer el razonamiento del Tribunal de la Ciudad la demandante se vio obligada a limitar su escrito de apelación a expresar su descontento con el resultado de la audiencia de primera instancia y a una reafirmación de sus argumentos anteriores. Este modo de razonamiento fue un factor importante en la desestimación de su recurso por el Tribunal Regional (véanse párrafos 27 y 29 supra). En sus alegaciones, el Gobierno sostuvo que se había enviado una copia completa de la decisión del tribunal de primera instancia al Jefe del MRPC para que la transmitiera a</w:t>
      </w:r>
      <w:r w:rsidR="00E048E5">
        <w:rPr>
          <w:rFonts w:ascii="Arial" w:hAnsi="Arial" w:cs="Arial"/>
          <w:color w:val="000000" w:themeColor="text1"/>
          <w:sz w:val="20"/>
          <w:szCs w:val="20"/>
          <w:lang w:val="es-ES"/>
        </w:rPr>
        <w:t xml:space="preserve"> la</w:t>
      </w:r>
      <w:r w:rsidRPr="00035B3E">
        <w:rPr>
          <w:rFonts w:ascii="Arial" w:hAnsi="Arial" w:cs="Arial"/>
          <w:color w:val="000000" w:themeColor="text1"/>
          <w:sz w:val="20"/>
          <w:szCs w:val="20"/>
          <w:lang w:val="es-ES"/>
        </w:rPr>
        <w:t xml:space="preserve"> demandante, la entrega de la decisión al hospital está confirmada por los recibos postales y los registros internos. Aunque el Tribunal no duda de que la decisión fue entregada al hospital, ninguna prueba en el presente caso apoya que se le haya entregado a</w:t>
      </w:r>
      <w:r w:rsidR="00672AF8">
        <w:rPr>
          <w:rFonts w:ascii="Arial" w:hAnsi="Arial" w:cs="Arial"/>
          <w:color w:val="000000" w:themeColor="text1"/>
          <w:sz w:val="20"/>
          <w:szCs w:val="20"/>
          <w:lang w:val="es-ES"/>
        </w:rPr>
        <w:t xml:space="preserve"> </w:t>
      </w:r>
      <w:r w:rsidR="005E605D">
        <w:rPr>
          <w:rFonts w:ascii="Arial" w:hAnsi="Arial" w:cs="Arial"/>
          <w:color w:val="000000" w:themeColor="text1"/>
          <w:sz w:val="20"/>
          <w:szCs w:val="20"/>
          <w:lang w:val="es-ES"/>
        </w:rPr>
        <w:t>l</w:t>
      </w:r>
      <w:r w:rsidR="00672AF8">
        <w:rPr>
          <w:rFonts w:ascii="Arial" w:hAnsi="Arial" w:cs="Arial"/>
          <w:color w:val="000000" w:themeColor="text1"/>
          <w:sz w:val="20"/>
          <w:szCs w:val="20"/>
          <w:lang w:val="es-ES"/>
        </w:rPr>
        <w:t>a</w:t>
      </w:r>
      <w:r w:rsidRPr="00035B3E">
        <w:rPr>
          <w:rFonts w:ascii="Arial" w:hAnsi="Arial" w:cs="Arial"/>
          <w:color w:val="000000" w:themeColor="text1"/>
          <w:sz w:val="20"/>
          <w:szCs w:val="20"/>
          <w:lang w:val="es-ES"/>
        </w:rPr>
        <w:t xml:space="preserve"> demandante o que se l</w:t>
      </w:r>
      <w:r w:rsidR="00672AF8">
        <w:rPr>
          <w:rFonts w:ascii="Arial" w:hAnsi="Arial" w:cs="Arial"/>
          <w:color w:val="000000" w:themeColor="text1"/>
          <w:sz w:val="20"/>
          <w:szCs w:val="20"/>
          <w:lang w:val="es-ES"/>
        </w:rPr>
        <w:t>a</w:t>
      </w:r>
      <w:r w:rsidRPr="00035B3E">
        <w:rPr>
          <w:rFonts w:ascii="Arial" w:hAnsi="Arial" w:cs="Arial"/>
          <w:color w:val="000000" w:themeColor="text1"/>
          <w:sz w:val="20"/>
          <w:szCs w:val="20"/>
          <w:lang w:val="es-ES"/>
        </w:rPr>
        <w:t xml:space="preserve"> haya informado de su disponibilidad»</w:t>
      </w:r>
      <w:r w:rsidR="005E605D">
        <w:rPr>
          <w:rFonts w:ascii="Arial" w:hAnsi="Arial" w:cs="Arial"/>
          <w:color w:val="000000" w:themeColor="text1"/>
          <w:sz w:val="20"/>
          <w:szCs w:val="20"/>
          <w:lang w:val="es-ES"/>
        </w:rPr>
        <w:t>.</w:t>
      </w:r>
    </w:p>
  </w:footnote>
  <w:footnote w:id="52">
    <w:p w14:paraId="3C897802" w14:textId="09AAF633" w:rsidR="0025550C" w:rsidRPr="00035B3E" w:rsidRDefault="0025550C"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165BDB" w:rsidRPr="00035B3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ZAGIDULINA contra RUSIA,</w:t>
      </w:r>
      <w:r w:rsidR="00165BDB" w:rsidRPr="00035B3E">
        <w:rPr>
          <w:rFonts w:ascii="Arial" w:hAnsi="Arial" w:cs="Arial"/>
          <w:color w:val="000000" w:themeColor="text1"/>
          <w:sz w:val="20"/>
          <w:szCs w:val="20"/>
          <w:lang w:val="es-ES"/>
        </w:rPr>
        <w:t xml:space="preserve"> § 63: «... el sobreseimiento del procedimiento el 30 de mayo de 2006 por el Tribunal del Distrito de Simonovskiy de Moscú a petición del representante del hospital (apartado 17 supra) privó efectivamente a la demandante de la posibilidad de que se revisara la legalidad de su </w:t>
      </w:r>
      <w:r w:rsidR="0029623C">
        <w:rPr>
          <w:rFonts w:ascii="Arial" w:hAnsi="Arial" w:cs="Arial"/>
          <w:color w:val="000000" w:themeColor="text1"/>
          <w:sz w:val="20"/>
          <w:szCs w:val="20"/>
          <w:lang w:val="es-ES"/>
        </w:rPr>
        <w:t>internamiento</w:t>
      </w:r>
      <w:r w:rsidR="00165BDB" w:rsidRPr="00035B3E">
        <w:rPr>
          <w:rFonts w:ascii="Arial" w:hAnsi="Arial" w:cs="Arial"/>
          <w:color w:val="000000" w:themeColor="text1"/>
          <w:sz w:val="20"/>
          <w:szCs w:val="20"/>
          <w:lang w:val="es-ES"/>
        </w:rPr>
        <w:t>»</w:t>
      </w:r>
      <w:r w:rsidR="005E605D">
        <w:rPr>
          <w:rFonts w:ascii="Arial" w:hAnsi="Arial" w:cs="Arial"/>
          <w:color w:val="000000" w:themeColor="text1"/>
          <w:sz w:val="20"/>
          <w:szCs w:val="20"/>
          <w:lang w:val="es-ES"/>
        </w:rPr>
        <w:t>.</w:t>
      </w:r>
    </w:p>
  </w:footnote>
  <w:footnote w:id="53">
    <w:p w14:paraId="32749305" w14:textId="73033D77" w:rsidR="002B24A5" w:rsidRPr="00035B3E" w:rsidRDefault="002B24A5"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MIHAILOVS contra LETONIA, § 154: «a) una persona </w:t>
      </w:r>
      <w:r w:rsidR="0029623C">
        <w:rPr>
          <w:rFonts w:ascii="Arial" w:hAnsi="Arial" w:cs="Arial"/>
          <w:color w:val="000000" w:themeColor="text1"/>
          <w:sz w:val="20"/>
          <w:szCs w:val="20"/>
          <w:lang w:val="es-ES"/>
        </w:rPr>
        <w:t>internada</w:t>
      </w:r>
      <w:r w:rsidRPr="00035B3E">
        <w:rPr>
          <w:rFonts w:ascii="Arial" w:hAnsi="Arial" w:cs="Arial"/>
          <w:color w:val="000000" w:themeColor="text1"/>
          <w:sz w:val="20"/>
          <w:szCs w:val="20"/>
          <w:lang w:val="es-ES"/>
        </w:rPr>
        <w:t xml:space="preserve"> por un período indefinido o prolongado tiene, en principio, derecho, en todo caso cuando no existe una revisión periódica automática de carácter judicial, a </w:t>
      </w:r>
      <w:r w:rsidR="00B513CE" w:rsidRPr="00035B3E">
        <w:rPr>
          <w:rFonts w:ascii="Arial" w:hAnsi="Arial" w:cs="Arial"/>
          <w:color w:val="000000" w:themeColor="text1"/>
          <w:sz w:val="20"/>
          <w:szCs w:val="20"/>
          <w:lang w:val="es-ES"/>
        </w:rPr>
        <w:t xml:space="preserve">iniciar procedimientos </w:t>
      </w:r>
      <w:r w:rsidRPr="00035B3E">
        <w:rPr>
          <w:rFonts w:ascii="Arial" w:hAnsi="Arial" w:cs="Arial"/>
          <w:color w:val="000000" w:themeColor="text1"/>
          <w:sz w:val="20"/>
          <w:szCs w:val="20"/>
          <w:lang w:val="es-ES"/>
        </w:rPr>
        <w:t xml:space="preserve">“a intervalos razonables” ante un tribunal para </w:t>
      </w:r>
      <w:r w:rsidR="00B513CE" w:rsidRPr="00035B3E">
        <w:rPr>
          <w:rFonts w:ascii="Arial" w:hAnsi="Arial" w:cs="Arial"/>
          <w:color w:val="000000" w:themeColor="text1"/>
          <w:sz w:val="20"/>
          <w:szCs w:val="20"/>
          <w:lang w:val="es-ES"/>
        </w:rPr>
        <w:t>cuestionar la</w:t>
      </w:r>
      <w:r w:rsidRPr="00035B3E">
        <w:rPr>
          <w:rFonts w:ascii="Arial" w:hAnsi="Arial" w:cs="Arial"/>
          <w:color w:val="000000" w:themeColor="text1"/>
          <w:sz w:val="20"/>
          <w:szCs w:val="20"/>
          <w:lang w:val="es-ES"/>
        </w:rPr>
        <w:t xml:space="preserve"> “legalidad” -en el sentido del Convenio- de su </w:t>
      </w:r>
      <w:r w:rsidR="0029623C">
        <w:rPr>
          <w:rFonts w:ascii="Arial" w:hAnsi="Arial" w:cs="Arial"/>
          <w:color w:val="000000" w:themeColor="text1"/>
          <w:sz w:val="20"/>
          <w:szCs w:val="20"/>
          <w:lang w:val="es-ES"/>
        </w:rPr>
        <w:t>internamiento</w:t>
      </w:r>
      <w:r w:rsidRPr="00035B3E">
        <w:rPr>
          <w:rFonts w:ascii="Arial" w:hAnsi="Arial" w:cs="Arial"/>
          <w:color w:val="000000" w:themeColor="text1"/>
          <w:sz w:val="20"/>
          <w:szCs w:val="20"/>
          <w:lang w:val="es-ES"/>
        </w:rPr>
        <w:t>»</w:t>
      </w:r>
      <w:r w:rsidR="00E048E5">
        <w:rPr>
          <w:rFonts w:ascii="Arial" w:hAnsi="Arial" w:cs="Arial"/>
          <w:color w:val="000000" w:themeColor="text1"/>
          <w:sz w:val="20"/>
          <w:szCs w:val="20"/>
          <w:lang w:val="es-ES"/>
        </w:rPr>
        <w:t>.</w:t>
      </w:r>
    </w:p>
  </w:footnote>
  <w:footnote w:id="54">
    <w:p w14:paraId="7693FFE8" w14:textId="7FDB5892" w:rsidR="00926B0B" w:rsidRPr="00035B3E" w:rsidRDefault="00926B0B" w:rsidP="00BA1DC7">
      <w:pPr>
        <w:autoSpaceDE w:val="0"/>
        <w:autoSpaceDN w:val="0"/>
        <w:adjustRightInd w:val="0"/>
        <w:spacing w:line="240" w:lineRule="atLeast"/>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En la sentencia del caso de M. S. contra CROACIA el TRIBUNAL se pronuncia sobre este punto en los párrafos 153 y siguientes que se citan, en lo esencial, del siguiente modo: § 153: «Esto implica, entre otras cosas, que un individuo confinado en una institución psiquiátrica a causa de su estado mental debe, a menos que existan circunstancias especiales, recibir asistencia jurídica en los procedimientos relativos a la continuación, suspensión o finalización de su confinamiento</w:t>
      </w:r>
      <w:r w:rsidR="00215A7D" w:rsidRPr="00035B3E">
        <w:rPr>
          <w:rFonts w:ascii="Arial" w:hAnsi="Arial" w:cs="Arial"/>
          <w:sz w:val="20"/>
          <w:szCs w:val="20"/>
          <w:lang w:val="es-ES"/>
        </w:rPr>
        <w:t>...</w:t>
      </w:r>
      <w:r w:rsidRPr="00035B3E">
        <w:rPr>
          <w:rFonts w:ascii="Arial" w:hAnsi="Arial" w:cs="Arial"/>
          <w:sz w:val="20"/>
          <w:szCs w:val="20"/>
          <w:lang w:val="es-ES"/>
        </w:rPr>
        <w:t xml:space="preserve">» § 154: «Así, el Tribunal, habiendo sostenido constantemente que el Convenio garantiza derechos prácticos y efectivos y no teóricos e ilusorios (véase, entre otros, Stafford v. the United Kingdom [GC], no. 46295/99, § 68, TEDH 2002-IV), no considera que la mera designación de un abogado, sin que </w:t>
      </w:r>
      <w:r w:rsidR="00215A7D" w:rsidRPr="00035B3E">
        <w:rPr>
          <w:rFonts w:ascii="Arial" w:hAnsi="Arial" w:cs="Arial"/>
          <w:sz w:val="20"/>
          <w:szCs w:val="20"/>
          <w:lang w:val="es-ES"/>
        </w:rPr>
        <w:t>e</w:t>
      </w:r>
      <w:r w:rsidRPr="00035B3E">
        <w:rPr>
          <w:rFonts w:ascii="Arial" w:hAnsi="Arial" w:cs="Arial"/>
          <w:sz w:val="20"/>
          <w:szCs w:val="20"/>
          <w:lang w:val="es-ES"/>
        </w:rPr>
        <w:t>ste preste efectivamente asistencia jurídica en el proceso, pueda satisfacer los requisitos de la "asistencia jurídica" necesaria para las personas confinadas bajo el concepto de "</w:t>
      </w:r>
      <w:r w:rsidR="00215A7D" w:rsidRPr="00035B3E">
        <w:rPr>
          <w:rFonts w:ascii="Arial" w:hAnsi="Arial" w:cs="Arial"/>
          <w:sz w:val="20"/>
          <w:szCs w:val="20"/>
          <w:lang w:val="es-ES"/>
        </w:rPr>
        <w:t>enajenación</w:t>
      </w:r>
      <w:r w:rsidRPr="00035B3E">
        <w:rPr>
          <w:rFonts w:ascii="Arial" w:hAnsi="Arial" w:cs="Arial"/>
          <w:sz w:val="20"/>
          <w:szCs w:val="20"/>
          <w:lang w:val="es-ES"/>
        </w:rPr>
        <w:t>", en virtud del artículo 5 § 1 (e) del Convenio...</w:t>
      </w:r>
      <w:r w:rsidR="00215A7D" w:rsidRPr="00035B3E">
        <w:rPr>
          <w:rFonts w:ascii="Arial" w:hAnsi="Arial" w:cs="Arial"/>
          <w:sz w:val="20"/>
          <w:szCs w:val="20"/>
          <w:lang w:val="es-ES"/>
        </w:rPr>
        <w:t xml:space="preserve">».   </w:t>
      </w:r>
      <w:r w:rsidRPr="00035B3E">
        <w:rPr>
          <w:rFonts w:ascii="Arial" w:hAnsi="Arial" w:cs="Arial"/>
          <w:sz w:val="20"/>
          <w:szCs w:val="20"/>
          <w:lang w:val="es-ES"/>
        </w:rPr>
        <w:t xml:space="preserve"> </w:t>
      </w:r>
      <w:r w:rsidR="00215A7D" w:rsidRPr="00035B3E">
        <w:rPr>
          <w:rFonts w:ascii="Arial" w:hAnsi="Arial" w:cs="Arial"/>
          <w:sz w:val="20"/>
          <w:szCs w:val="20"/>
          <w:lang w:val="es-ES"/>
        </w:rPr>
        <w:t xml:space="preserve">§ </w:t>
      </w:r>
      <w:r w:rsidRPr="00035B3E">
        <w:rPr>
          <w:rFonts w:ascii="Arial" w:hAnsi="Arial" w:cs="Arial"/>
          <w:sz w:val="20"/>
          <w:szCs w:val="20"/>
          <w:lang w:val="es-ES"/>
        </w:rPr>
        <w:t>156</w:t>
      </w:r>
      <w:r w:rsidR="00215A7D" w:rsidRPr="00035B3E">
        <w:rPr>
          <w:rFonts w:ascii="Arial" w:hAnsi="Arial" w:cs="Arial"/>
          <w:sz w:val="20"/>
          <w:szCs w:val="20"/>
          <w:lang w:val="es-ES"/>
        </w:rPr>
        <w:t>:</w:t>
      </w:r>
      <w:r w:rsidRPr="00035B3E">
        <w:rPr>
          <w:rFonts w:ascii="Arial" w:hAnsi="Arial" w:cs="Arial"/>
          <w:sz w:val="20"/>
          <w:szCs w:val="20"/>
          <w:lang w:val="es-ES"/>
        </w:rPr>
        <w:t xml:space="preserve"> </w:t>
      </w:r>
      <w:r w:rsidR="00215A7D" w:rsidRPr="00035B3E">
        <w:rPr>
          <w:rFonts w:ascii="Arial" w:hAnsi="Arial" w:cs="Arial"/>
          <w:sz w:val="20"/>
          <w:szCs w:val="20"/>
          <w:lang w:val="es-ES"/>
        </w:rPr>
        <w:t>«</w:t>
      </w:r>
      <w:r w:rsidRPr="00035B3E">
        <w:rPr>
          <w:rFonts w:ascii="Arial" w:hAnsi="Arial" w:cs="Arial"/>
          <w:sz w:val="20"/>
          <w:szCs w:val="20"/>
          <w:lang w:val="es-ES"/>
        </w:rPr>
        <w:t>En el presente caso, sin embargo, el representante de la asistencia jurídica nunca se reunió con la demandante, no hizo ninguna presentación en su nombre y, aunque asistió a la vista, actuó más bien como un observador pasivo del procedimiento. Aunque las autoridades nacionales eran perfectamente conscientes de estas omisiones (véanse párrafos 28 y 29 supra), no reaccionaron adoptando la medida adecuada para asegurar la representación legal efectiva de la demandante. El Tribunal considera, por tanto, que la actitud pasiva del representante de la demandante respecto de la cual las autoridades nacionales no adoptaron las medidas necesarias privó a la demandante de una asistencia jurídica efectiva en el procedimiento relativo a su internamiento involuntario en el hospital</w:t>
      </w:r>
      <w:r w:rsidR="00215A7D" w:rsidRPr="00035B3E">
        <w:rPr>
          <w:rFonts w:ascii="Arial" w:hAnsi="Arial" w:cs="Arial"/>
          <w:sz w:val="20"/>
          <w:szCs w:val="20"/>
          <w:lang w:val="es-ES"/>
        </w:rPr>
        <w:t>»</w:t>
      </w:r>
      <w:r w:rsidR="00E048E5">
        <w:rPr>
          <w:rFonts w:ascii="Arial" w:hAnsi="Arial" w:cs="Arial"/>
          <w:sz w:val="20"/>
          <w:szCs w:val="20"/>
          <w:lang w:val="es-ES"/>
        </w:rPr>
        <w:t>.</w:t>
      </w:r>
      <w:r w:rsidR="00501A38" w:rsidRPr="00035B3E">
        <w:rPr>
          <w:rFonts w:ascii="Arial" w:hAnsi="Arial" w:cs="Arial"/>
          <w:sz w:val="20"/>
          <w:szCs w:val="20"/>
          <w:lang w:val="es-ES"/>
        </w:rPr>
        <w:t xml:space="preserve"> </w:t>
      </w:r>
    </w:p>
  </w:footnote>
  <w:footnote w:id="55">
    <w:p w14:paraId="2003140B" w14:textId="792C89FD" w:rsidR="00462A7E" w:rsidRPr="00035B3E" w:rsidRDefault="00462A7E"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 xml:space="preserve">Caso ZAGIDULINA contra RUSIA, § 51: “Además, el Tribunal de Justicia destaca que el concepto de "legalidad" en el contexto de la letra e) del apartado 1 del artículo 5 del Convenio puede tener un significado más amplio que en la legislación nacional. La legalidad de </w:t>
      </w:r>
      <w:r w:rsidR="006664FD">
        <w:rPr>
          <w:rFonts w:ascii="Arial" w:hAnsi="Arial" w:cs="Arial"/>
          <w:lang w:val="es-ES"/>
        </w:rPr>
        <w:t>el internamiento</w:t>
      </w:r>
      <w:r w:rsidRPr="00035B3E">
        <w:rPr>
          <w:rFonts w:ascii="Arial" w:hAnsi="Arial" w:cs="Arial"/>
          <w:lang w:val="es-ES"/>
        </w:rPr>
        <w:t xml:space="preserve"> presupone necesariamente un "procedimiento justo y adecuado", incluyendo el requisito de "que toda medida de privación de libertad emane de una autoridad competente y sea ejecutada por una autoridad apropiada y no debe ser arbitraria"»</w:t>
      </w:r>
      <w:r w:rsidR="00E048E5">
        <w:rPr>
          <w:rFonts w:ascii="Arial" w:hAnsi="Arial" w:cs="Arial"/>
          <w:lang w:val="es-ES"/>
        </w:rPr>
        <w:t>.</w:t>
      </w:r>
    </w:p>
  </w:footnote>
  <w:footnote w:id="56">
    <w:p w14:paraId="352C4B5F" w14:textId="453FFF16" w:rsidR="003B5C75" w:rsidRPr="00CA0314" w:rsidRDefault="003B5C75" w:rsidP="00CA0314">
      <w:pPr>
        <w:ind w:right="-1"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00D4276B" w:rsidRPr="00035B3E">
        <w:rPr>
          <w:rFonts w:ascii="Arial" w:hAnsi="Arial" w:cs="Arial"/>
          <w:color w:val="000000" w:themeColor="text1"/>
          <w:sz w:val="20"/>
          <w:szCs w:val="20"/>
          <w:lang w:val="es-ES"/>
        </w:rPr>
        <w:t xml:space="preserve"> </w:t>
      </w:r>
      <w:r w:rsidR="00BC688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 xml:space="preserve">S. </w:t>
      </w:r>
      <w:r w:rsidR="00CC2035" w:rsidRPr="00035B3E">
        <w:rPr>
          <w:rFonts w:ascii="Arial" w:hAnsi="Arial" w:cs="Arial"/>
          <w:color w:val="000000" w:themeColor="text1"/>
          <w:sz w:val="20"/>
          <w:szCs w:val="20"/>
          <w:lang w:val="es-ES"/>
        </w:rPr>
        <w:t>contra</w:t>
      </w:r>
      <w:r w:rsidRPr="00035B3E">
        <w:rPr>
          <w:rFonts w:ascii="Arial" w:hAnsi="Arial" w:cs="Arial"/>
          <w:color w:val="000000" w:themeColor="text1"/>
          <w:sz w:val="20"/>
          <w:szCs w:val="20"/>
          <w:lang w:val="es-ES"/>
        </w:rPr>
        <w:t xml:space="preserve"> ALEMANIA</w:t>
      </w:r>
      <w:r w:rsidR="00CA0314">
        <w:rPr>
          <w:rFonts w:ascii="Arial" w:hAnsi="Arial" w:cs="Arial"/>
          <w:color w:val="000000" w:themeColor="text1"/>
          <w:sz w:val="20"/>
          <w:szCs w:val="20"/>
          <w:lang w:val="es-ES"/>
        </w:rPr>
        <w:t>, § 80</w:t>
      </w:r>
      <w:r w:rsidRPr="00035B3E">
        <w:rPr>
          <w:rFonts w:ascii="Arial" w:hAnsi="Arial" w:cs="Arial"/>
          <w:color w:val="000000" w:themeColor="text1"/>
          <w:sz w:val="20"/>
          <w:szCs w:val="20"/>
          <w:lang w:val="es-ES"/>
        </w:rPr>
        <w:t xml:space="preserve">: «Un individuo no puede ser privado de su libertad por </w:t>
      </w:r>
      <w:r w:rsidR="00CA0314">
        <w:rPr>
          <w:rFonts w:ascii="Arial" w:hAnsi="Arial" w:cs="Arial"/>
          <w:color w:val="000000" w:themeColor="text1"/>
          <w:sz w:val="20"/>
          <w:szCs w:val="20"/>
          <w:lang w:val="es-ES"/>
        </w:rPr>
        <w:t>estar</w:t>
      </w:r>
      <w:r w:rsidRPr="00035B3E">
        <w:rPr>
          <w:rFonts w:ascii="Arial" w:hAnsi="Arial" w:cs="Arial"/>
          <w:color w:val="000000" w:themeColor="text1"/>
          <w:sz w:val="20"/>
          <w:szCs w:val="20"/>
          <w:lang w:val="es-ES"/>
        </w:rPr>
        <w:t xml:space="preserve"> "</w:t>
      </w:r>
      <w:r w:rsidR="00CA0314">
        <w:rPr>
          <w:rFonts w:ascii="Arial" w:hAnsi="Arial" w:cs="Arial"/>
          <w:color w:val="000000" w:themeColor="text1"/>
          <w:sz w:val="20"/>
          <w:szCs w:val="20"/>
          <w:lang w:val="es-ES"/>
        </w:rPr>
        <w:t>mentalmente enajenado</w:t>
      </w:r>
      <w:r w:rsidRPr="00035B3E">
        <w:rPr>
          <w:rFonts w:ascii="Arial" w:hAnsi="Arial" w:cs="Arial"/>
          <w:color w:val="000000" w:themeColor="text1"/>
          <w:sz w:val="20"/>
          <w:szCs w:val="20"/>
          <w:lang w:val="es-ES"/>
        </w:rPr>
        <w:t>" si no se dan las tres condiciones mínimas siguientes: en primer lugar</w:t>
      </w:r>
      <w:r w:rsidR="007E54F7">
        <w:rPr>
          <w:rFonts w:ascii="Arial" w:hAnsi="Arial" w:cs="Arial"/>
          <w:color w:val="000000" w:themeColor="text1"/>
          <w:sz w:val="20"/>
          <w:szCs w:val="20"/>
          <w:lang w:val="es-ES"/>
        </w:rPr>
        <w:t>,</w:t>
      </w:r>
      <w:r w:rsidRPr="00035B3E">
        <w:rPr>
          <w:rFonts w:ascii="Arial" w:hAnsi="Arial" w:cs="Arial"/>
          <w:color w:val="000000" w:themeColor="text1"/>
          <w:sz w:val="20"/>
          <w:szCs w:val="20"/>
          <w:lang w:val="es-ES"/>
        </w:rPr>
        <w:t xml:space="preserve"> que se demuestre fehacientemente que no está en su sano juicio, es decir, que se demuestre ante una autoridad competente un verdadero trastorno mental sobre la base de una experiencia médica objetiva; […] (véase Winterwerp, citada anteriormente, § 39; Varbanov v. Bulgaria, no. 31365/96, §§ 45 y 47, TEDH 2000-X; Hutchison Reid v. the United Kingdom, no. 50272/99, § 48, TEDH 2003-IV; Shtukaturov v. Russia, no. 44009/05, § 114, 27 de marzo de 2008; y Kallweit </w:t>
      </w:r>
      <w:r w:rsidR="00CC2035" w:rsidRPr="00035B3E">
        <w:rPr>
          <w:rFonts w:ascii="Arial" w:hAnsi="Arial" w:cs="Arial"/>
          <w:color w:val="000000" w:themeColor="text1"/>
          <w:sz w:val="20"/>
          <w:szCs w:val="20"/>
          <w:lang w:val="es-ES"/>
        </w:rPr>
        <w:t>contra</w:t>
      </w:r>
      <w:r w:rsidRPr="00035B3E">
        <w:rPr>
          <w:rFonts w:ascii="Arial" w:hAnsi="Arial" w:cs="Arial"/>
          <w:color w:val="000000" w:themeColor="text1"/>
          <w:sz w:val="20"/>
          <w:szCs w:val="20"/>
          <w:lang w:val="es-ES"/>
        </w:rPr>
        <w:t xml:space="preserve"> Alemania, no. 17792/07, § 45, 13 de enero de 2011)»</w:t>
      </w:r>
      <w:r w:rsidR="00E048E5">
        <w:rPr>
          <w:rFonts w:ascii="Arial" w:hAnsi="Arial" w:cs="Arial"/>
          <w:color w:val="000000" w:themeColor="text1"/>
          <w:sz w:val="20"/>
          <w:szCs w:val="20"/>
          <w:lang w:val="es-ES"/>
        </w:rPr>
        <w:t>.</w:t>
      </w:r>
    </w:p>
  </w:footnote>
  <w:footnote w:id="57">
    <w:p w14:paraId="711BAC17" w14:textId="07FEE5D4" w:rsidR="00D4276B" w:rsidRPr="00035B3E" w:rsidRDefault="003B5C75" w:rsidP="00BA1DC7">
      <w:pPr>
        <w:autoSpaceDE w:val="0"/>
        <w:autoSpaceDN w:val="0"/>
        <w:adjustRightInd w:val="0"/>
        <w:ind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eastAsia="Times New Roman" w:hAnsi="Arial" w:cs="Arial"/>
          <w:color w:val="000000" w:themeColor="text1"/>
          <w:sz w:val="20"/>
          <w:szCs w:val="20"/>
          <w:lang w:val="es-ES" w:eastAsia="es-ES_tradnl"/>
        </w:rPr>
        <w:t>GOULOUB ATANASOV, § 77: «</w:t>
      </w:r>
      <w:r w:rsidRPr="00035B3E">
        <w:rPr>
          <w:rFonts w:ascii="Arial" w:hAnsi="Arial" w:cs="Arial"/>
          <w:color w:val="000000" w:themeColor="text1"/>
          <w:sz w:val="20"/>
          <w:szCs w:val="20"/>
          <w:lang w:val="es-ES"/>
        </w:rPr>
        <w:t>En estas circunstancias, el Tribunal considera que el traslado del demandante de su domicilio a un hospital psiquiátrico fue ilegal según el derecho interno, ya que no fue conforme a la ley, ya que no se basó en una decisión válida de la autoridad competente.»</w:t>
      </w:r>
      <w:r w:rsidR="00D4276B" w:rsidRPr="00035B3E">
        <w:rPr>
          <w:rFonts w:ascii="Arial" w:hAnsi="Arial" w:cs="Arial"/>
          <w:color w:val="000000" w:themeColor="text1"/>
          <w:sz w:val="20"/>
          <w:szCs w:val="20"/>
          <w:lang w:val="es-ES"/>
        </w:rPr>
        <w:t xml:space="preserve">  </w:t>
      </w:r>
      <w:r w:rsidR="00D4276B" w:rsidRPr="00035B3E">
        <w:rPr>
          <w:rFonts w:ascii="Arial" w:eastAsia="Times New Roman" w:hAnsi="Arial" w:cs="Arial"/>
          <w:color w:val="000000" w:themeColor="text1"/>
          <w:sz w:val="20"/>
          <w:szCs w:val="20"/>
          <w:lang w:val="es-ES" w:eastAsia="es-ES_tradnl"/>
        </w:rPr>
        <w:t xml:space="preserve">En § 55 de la sentencia del caso PLESÓ se puede leer: </w:t>
      </w:r>
      <w:r w:rsidR="00D4276B" w:rsidRPr="00035B3E">
        <w:rPr>
          <w:rFonts w:ascii="Arial" w:hAnsi="Arial" w:cs="Arial"/>
          <w:color w:val="000000" w:themeColor="text1"/>
          <w:sz w:val="20"/>
          <w:szCs w:val="20"/>
          <w:lang w:val="es-ES_tradnl"/>
        </w:rPr>
        <w:t xml:space="preserve">«El Tribunal reitera que las expresiones “lícita” y “conforme a un procedimiento prescrito por la ley” en el artículo 5 § 1 esencialmente se remiten al derecho interno; indican la necesidad de cumplir con el procedimiento pertinente en virtud de esa ley. La noción que subyace al término en cuestión es la de un procedimiento justo y adecuado, es decir, que cualquier medida de privar a una persona de su libertad debe emanar de una autoridad competente, debe ser ejecutada por ella, y no debe ser arbitraria (véase Winterwerp v. the Países Bajos, 24 de octubre de 1979, § 45, Serie A nº 33; Wassink v. Países Bajos, 27 de septiembre de 1990, § 24, Serie A nº 185-A; y más recientemente, Bik </w:t>
      </w:r>
      <w:r w:rsidR="00CC2035" w:rsidRPr="00035B3E">
        <w:rPr>
          <w:rFonts w:ascii="Arial" w:hAnsi="Arial" w:cs="Arial"/>
          <w:color w:val="000000" w:themeColor="text1"/>
          <w:sz w:val="20"/>
          <w:szCs w:val="20"/>
          <w:lang w:val="es-ES_tradnl"/>
        </w:rPr>
        <w:t>contra</w:t>
      </w:r>
      <w:r w:rsidR="00D4276B" w:rsidRPr="00035B3E">
        <w:rPr>
          <w:rFonts w:ascii="Arial" w:hAnsi="Arial" w:cs="Arial"/>
          <w:color w:val="000000" w:themeColor="text1"/>
          <w:sz w:val="20"/>
          <w:szCs w:val="20"/>
          <w:lang w:val="es-ES_tradnl"/>
        </w:rPr>
        <w:t xml:space="preserve"> Rusia, nº 26321/03, § 30, 22 de abril de 2010)»</w:t>
      </w:r>
      <w:r w:rsidR="00B02195">
        <w:rPr>
          <w:rFonts w:ascii="Arial" w:hAnsi="Arial" w:cs="Arial"/>
          <w:color w:val="000000" w:themeColor="text1"/>
          <w:sz w:val="20"/>
          <w:szCs w:val="20"/>
          <w:lang w:val="es-ES_tradnl"/>
        </w:rPr>
        <w:t>.</w:t>
      </w:r>
    </w:p>
  </w:footnote>
  <w:footnote w:id="58">
    <w:p w14:paraId="3A2D52FB" w14:textId="55C61966" w:rsidR="009A1436" w:rsidRPr="00035B3E" w:rsidRDefault="009A1436"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Este pronunciamiento se hace sobre una interpretación de todo número 1 del artículo 5 del CONVENIO, de modo que alcanza también a su apartado e). Literalmente</w:t>
      </w:r>
      <w:r w:rsidR="00B02195">
        <w:rPr>
          <w:rFonts w:ascii="Arial" w:hAnsi="Arial" w:cs="Arial"/>
          <w:color w:val="000000" w:themeColor="text1"/>
          <w:sz w:val="20"/>
          <w:szCs w:val="20"/>
          <w:lang w:val="es-ES"/>
        </w:rPr>
        <w:t xml:space="preserve">, el § 44 </w:t>
      </w:r>
      <w:r w:rsidRPr="00035B3E">
        <w:rPr>
          <w:rFonts w:ascii="Arial" w:hAnsi="Arial" w:cs="Arial"/>
          <w:color w:val="000000" w:themeColor="text1"/>
          <w:sz w:val="20"/>
          <w:szCs w:val="20"/>
          <w:lang w:val="es-ES"/>
        </w:rPr>
        <w:t>dice: «</w:t>
      </w:r>
      <w:r w:rsidRPr="00035B3E">
        <w:rPr>
          <w:rFonts w:ascii="Arial" w:hAnsi="Arial" w:cs="Arial"/>
          <w:color w:val="000000" w:themeColor="text1"/>
          <w:sz w:val="20"/>
          <w:szCs w:val="20"/>
          <w:lang w:val="es-ES_tradnl"/>
        </w:rPr>
        <w:t xml:space="preserve">Por lo tanto, el Tribunal debe examinar si estas disposiciones, aplicadas al presente caso, cumplen los requisitos del artículo 5 § 1 del Convenio y los principios desarrollados por la jurisprudencia del Tribunal. De forma particular debe examinar el tema de saber si la base legal que autoriza </w:t>
      </w:r>
      <w:r w:rsidR="00B02195">
        <w:rPr>
          <w:rFonts w:ascii="Arial" w:hAnsi="Arial" w:cs="Arial"/>
          <w:color w:val="000000" w:themeColor="text1"/>
          <w:sz w:val="20"/>
          <w:szCs w:val="20"/>
          <w:lang w:val="es-ES_tradnl"/>
        </w:rPr>
        <w:t xml:space="preserve">el internamiento </w:t>
      </w:r>
      <w:r w:rsidRPr="00035B3E">
        <w:rPr>
          <w:rFonts w:ascii="Arial" w:hAnsi="Arial" w:cs="Arial"/>
          <w:color w:val="000000" w:themeColor="text1"/>
          <w:sz w:val="20"/>
          <w:szCs w:val="20"/>
          <w:lang w:val="es-ES_tradnl"/>
        </w:rPr>
        <w:t xml:space="preserve">es en este caso suficientemente accesible y precisa a fin de evitar todo peligro de arbitrariedad. (Amuur, citada anteriormente, § 50, y Mohd </w:t>
      </w:r>
      <w:r w:rsidR="00CC2035" w:rsidRPr="00035B3E">
        <w:rPr>
          <w:rFonts w:ascii="Arial" w:hAnsi="Arial" w:cs="Arial"/>
          <w:color w:val="000000" w:themeColor="text1"/>
          <w:sz w:val="20"/>
          <w:szCs w:val="20"/>
          <w:lang w:val="es-ES_tradnl"/>
        </w:rPr>
        <w:t>contra</w:t>
      </w:r>
      <w:r w:rsidRPr="00035B3E">
        <w:rPr>
          <w:rFonts w:ascii="Arial" w:hAnsi="Arial" w:cs="Arial"/>
          <w:color w:val="000000" w:themeColor="text1"/>
          <w:sz w:val="20"/>
          <w:szCs w:val="20"/>
          <w:lang w:val="es-ES_tradnl"/>
        </w:rPr>
        <w:t xml:space="preserve"> Grecia, nº 11919/03, §§ 21 y 24, 27 de abril de 2006).»</w:t>
      </w:r>
      <w:r w:rsidR="00D4276B" w:rsidRPr="00035B3E">
        <w:rPr>
          <w:rFonts w:ascii="Arial" w:hAnsi="Arial" w:cs="Arial"/>
          <w:color w:val="000000" w:themeColor="text1"/>
          <w:sz w:val="20"/>
          <w:szCs w:val="20"/>
          <w:lang w:val="es-ES"/>
        </w:rPr>
        <w:t xml:space="preserve"> </w:t>
      </w:r>
      <w:r w:rsidR="00B02195">
        <w:rPr>
          <w:rFonts w:ascii="Arial" w:hAnsi="Arial" w:cs="Arial"/>
          <w:color w:val="000000" w:themeColor="text1"/>
          <w:sz w:val="20"/>
          <w:szCs w:val="20"/>
          <w:lang w:val="es-ES"/>
        </w:rPr>
        <w:t xml:space="preserve">Y en el § 45 se puede leer: </w:t>
      </w:r>
      <w:r w:rsidRPr="00035B3E">
        <w:rPr>
          <w:rFonts w:ascii="Arial" w:hAnsi="Arial" w:cs="Arial"/>
          <w:color w:val="000000" w:themeColor="text1"/>
          <w:sz w:val="20"/>
          <w:szCs w:val="20"/>
          <w:lang w:val="es-ES_tradnl"/>
        </w:rPr>
        <w:t xml:space="preserve">«El Tribunal de Justicia observa, en primer lugar, que </w:t>
      </w:r>
      <w:r w:rsidR="00B02195">
        <w:rPr>
          <w:rFonts w:ascii="Arial" w:hAnsi="Arial" w:cs="Arial"/>
          <w:color w:val="000000" w:themeColor="text1"/>
          <w:sz w:val="20"/>
          <w:szCs w:val="20"/>
          <w:lang w:val="es-ES_tradnl"/>
        </w:rPr>
        <w:t>el internamiento</w:t>
      </w:r>
      <w:r w:rsidRPr="00035B3E">
        <w:rPr>
          <w:rFonts w:ascii="Arial" w:hAnsi="Arial" w:cs="Arial"/>
          <w:color w:val="000000" w:themeColor="text1"/>
          <w:sz w:val="20"/>
          <w:szCs w:val="20"/>
          <w:lang w:val="es-ES_tradnl"/>
        </w:rPr>
        <w:t xml:space="preserve"> en cuestión no tenía un fundamento específico en el derecho interno, ya que no existe ninguna disposición explícitamente dedicada al tipo de </w:t>
      </w:r>
      <w:r w:rsidR="00B02195">
        <w:rPr>
          <w:rFonts w:ascii="Arial" w:hAnsi="Arial" w:cs="Arial"/>
          <w:color w:val="000000" w:themeColor="text1"/>
          <w:sz w:val="20"/>
          <w:szCs w:val="20"/>
          <w:lang w:val="es-ES_tradnl"/>
        </w:rPr>
        <w:t>internamiento</w:t>
      </w:r>
      <w:r w:rsidRPr="00035B3E">
        <w:rPr>
          <w:rFonts w:ascii="Arial" w:hAnsi="Arial" w:cs="Arial"/>
          <w:color w:val="000000" w:themeColor="text1"/>
          <w:sz w:val="20"/>
          <w:szCs w:val="20"/>
          <w:lang w:val="es-ES_tradnl"/>
        </w:rPr>
        <w:t xml:space="preserve"> sufrido por el demandante.»</w:t>
      </w:r>
    </w:p>
    <w:p w14:paraId="4C6B667F" w14:textId="2674D62F" w:rsidR="009A1436" w:rsidRPr="00035B3E" w:rsidRDefault="009A1436" w:rsidP="00BA1DC7">
      <w:pPr>
        <w:autoSpaceDE w:val="0"/>
        <w:autoSpaceDN w:val="0"/>
        <w:adjustRightInd w:val="0"/>
        <w:ind w:firstLine="284"/>
        <w:jc w:val="both"/>
        <w:rPr>
          <w:rFonts w:ascii="Arial" w:hAnsi="Arial" w:cs="Arial"/>
          <w:color w:val="000000" w:themeColor="text1"/>
          <w:sz w:val="20"/>
          <w:szCs w:val="20"/>
          <w:lang w:val="es-ES_tradnl"/>
        </w:rPr>
      </w:pPr>
      <w:r w:rsidRPr="00035B3E">
        <w:rPr>
          <w:rFonts w:ascii="Arial" w:hAnsi="Arial" w:cs="Arial"/>
          <w:color w:val="000000" w:themeColor="text1"/>
          <w:sz w:val="20"/>
          <w:szCs w:val="20"/>
          <w:lang w:val="es-ES_tradnl"/>
        </w:rPr>
        <w:t>Tras examinar diversas alegaciones presentadas por el gobierno suizo, el TRIBUNAL concluye</w:t>
      </w:r>
      <w:r w:rsidR="0022600E">
        <w:rPr>
          <w:rFonts w:ascii="Arial" w:hAnsi="Arial" w:cs="Arial"/>
          <w:color w:val="000000" w:themeColor="text1"/>
          <w:sz w:val="20"/>
          <w:szCs w:val="20"/>
          <w:lang w:val="es-ES_tradnl"/>
        </w:rPr>
        <w:t xml:space="preserve"> (§ 48)</w:t>
      </w:r>
      <w:r w:rsidRPr="00035B3E">
        <w:rPr>
          <w:rFonts w:ascii="Arial" w:hAnsi="Arial" w:cs="Arial"/>
          <w:color w:val="000000" w:themeColor="text1"/>
          <w:sz w:val="20"/>
          <w:szCs w:val="20"/>
          <w:lang w:val="es-ES_tradnl"/>
        </w:rPr>
        <w:t xml:space="preserve">: «A la luz de lo anterior, el Tribunal considera que la legislación cantonal no cumplía el criterio de "previsibilidad" de una "ley" a efectos del artículo 5 § 1. Por lo tanto, concluye que </w:t>
      </w:r>
      <w:r w:rsidR="006664FD">
        <w:rPr>
          <w:rFonts w:ascii="Arial" w:hAnsi="Arial" w:cs="Arial"/>
          <w:color w:val="000000" w:themeColor="text1"/>
          <w:sz w:val="20"/>
          <w:szCs w:val="20"/>
          <w:lang w:val="es-ES_tradnl"/>
        </w:rPr>
        <w:t>el internamiento</w:t>
      </w:r>
      <w:r w:rsidRPr="00035B3E">
        <w:rPr>
          <w:rFonts w:ascii="Arial" w:hAnsi="Arial" w:cs="Arial"/>
          <w:color w:val="000000" w:themeColor="text1"/>
          <w:sz w:val="20"/>
          <w:szCs w:val="20"/>
          <w:lang w:val="es-ES_tradnl"/>
        </w:rPr>
        <w:t xml:space="preserve"> de </w:t>
      </w:r>
      <w:r w:rsidR="006664FD">
        <w:rPr>
          <w:rFonts w:ascii="Arial" w:hAnsi="Arial" w:cs="Arial"/>
          <w:color w:val="000000" w:themeColor="text1"/>
          <w:sz w:val="20"/>
          <w:szCs w:val="20"/>
          <w:lang w:val="es-ES_tradnl"/>
        </w:rPr>
        <w:t>el internamiento</w:t>
      </w:r>
      <w:r w:rsidRPr="00035B3E">
        <w:rPr>
          <w:rFonts w:ascii="Arial" w:hAnsi="Arial" w:cs="Arial"/>
          <w:color w:val="000000" w:themeColor="text1"/>
          <w:sz w:val="20"/>
          <w:szCs w:val="20"/>
          <w:lang w:val="es-ES_tradnl"/>
        </w:rPr>
        <w:t xml:space="preserve"> tras el cumplimiento de la pena privativa de libertad no se ajustaba al artículo 5 § 1 del Convenio.» (Las comillas inglesas pertenecen a la propia sentencia.)</w:t>
      </w:r>
      <w:r w:rsidR="003B5C75" w:rsidRPr="00035B3E">
        <w:rPr>
          <w:rFonts w:ascii="Arial" w:hAnsi="Arial" w:cs="Arial"/>
          <w:color w:val="000000" w:themeColor="text1"/>
          <w:sz w:val="20"/>
          <w:szCs w:val="20"/>
          <w:lang w:val="es-ES_tradnl"/>
        </w:rPr>
        <w:t xml:space="preserve"> </w:t>
      </w:r>
      <w:r w:rsidRPr="00035B3E">
        <w:rPr>
          <w:rFonts w:ascii="Arial" w:hAnsi="Arial" w:cs="Arial"/>
          <w:color w:val="000000" w:themeColor="text1"/>
          <w:sz w:val="20"/>
          <w:szCs w:val="20"/>
          <w:lang w:val="es-ES_tradnl"/>
        </w:rPr>
        <w:t xml:space="preserve">En el mismo sentido los números 58 del caso M. </w:t>
      </w:r>
      <w:r w:rsidR="00CC2035" w:rsidRPr="00035B3E">
        <w:rPr>
          <w:rFonts w:ascii="Arial" w:hAnsi="Arial" w:cs="Arial"/>
          <w:color w:val="000000" w:themeColor="text1"/>
          <w:sz w:val="20"/>
          <w:szCs w:val="20"/>
          <w:lang w:val="es-ES_tradnl"/>
        </w:rPr>
        <w:t>contra</w:t>
      </w:r>
      <w:r w:rsidRPr="00035B3E">
        <w:rPr>
          <w:rFonts w:ascii="Arial" w:hAnsi="Arial" w:cs="Arial"/>
          <w:color w:val="000000" w:themeColor="text1"/>
          <w:sz w:val="20"/>
          <w:szCs w:val="20"/>
          <w:lang w:val="es-ES_tradnl"/>
        </w:rPr>
        <w:t xml:space="preserve"> UCRANIA y 24 de H.L. </w:t>
      </w:r>
      <w:r w:rsidR="00CC2035" w:rsidRPr="00035B3E">
        <w:rPr>
          <w:rFonts w:ascii="Arial" w:hAnsi="Arial" w:cs="Arial"/>
          <w:color w:val="000000" w:themeColor="text1"/>
          <w:sz w:val="20"/>
          <w:szCs w:val="20"/>
          <w:lang w:val="es-ES_tradnl"/>
        </w:rPr>
        <w:t>contra</w:t>
      </w:r>
      <w:r w:rsidRPr="00035B3E">
        <w:rPr>
          <w:rFonts w:ascii="Arial" w:hAnsi="Arial" w:cs="Arial"/>
          <w:color w:val="000000" w:themeColor="text1"/>
          <w:sz w:val="20"/>
          <w:szCs w:val="20"/>
          <w:lang w:val="es-ES_tradnl"/>
        </w:rPr>
        <w:t xml:space="preserve"> REINO UNIDO. </w:t>
      </w:r>
    </w:p>
  </w:footnote>
  <w:footnote w:id="59">
    <w:p w14:paraId="4F47F286" w14:textId="750319CB" w:rsidR="009A1436" w:rsidRPr="00035B3E" w:rsidRDefault="009A1436"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00BC688E">
        <w:rPr>
          <w:rFonts w:ascii="Arial" w:hAnsi="Arial" w:cs="Arial"/>
          <w:color w:val="000000" w:themeColor="text1"/>
          <w:lang w:val="es-ES"/>
        </w:rPr>
        <w:t xml:space="preserve">Caso </w:t>
      </w:r>
      <w:r w:rsidRPr="00035B3E">
        <w:rPr>
          <w:rFonts w:ascii="Arial" w:hAnsi="Arial" w:cs="Arial"/>
          <w:color w:val="000000" w:themeColor="text1"/>
          <w:lang w:val="es-ES"/>
        </w:rPr>
        <w:t xml:space="preserve">BORER </w:t>
      </w:r>
      <w:r w:rsidR="00CC2035" w:rsidRPr="00035B3E">
        <w:rPr>
          <w:rFonts w:ascii="Arial" w:hAnsi="Arial" w:cs="Arial"/>
          <w:color w:val="000000" w:themeColor="text1"/>
          <w:lang w:val="es-ES"/>
        </w:rPr>
        <w:t>contra</w:t>
      </w:r>
      <w:r w:rsidRPr="00035B3E">
        <w:rPr>
          <w:rFonts w:ascii="Arial" w:hAnsi="Arial" w:cs="Arial"/>
          <w:color w:val="000000" w:themeColor="text1"/>
          <w:lang w:val="es-ES"/>
        </w:rPr>
        <w:t xml:space="preserve"> SUIZA</w:t>
      </w:r>
      <w:r w:rsidR="0022600E">
        <w:rPr>
          <w:rFonts w:ascii="Arial" w:hAnsi="Arial" w:cs="Arial"/>
          <w:color w:val="000000" w:themeColor="text1"/>
          <w:lang w:val="es-ES"/>
        </w:rPr>
        <w:t>, §39</w:t>
      </w:r>
      <w:r w:rsidRPr="00035B3E">
        <w:rPr>
          <w:rFonts w:ascii="Arial" w:hAnsi="Arial" w:cs="Arial"/>
          <w:color w:val="000000" w:themeColor="text1"/>
          <w:lang w:val="es-ES"/>
        </w:rPr>
        <w:t>: «</w:t>
      </w:r>
      <w:r w:rsidRPr="00035B3E">
        <w:rPr>
          <w:rFonts w:ascii="Arial" w:hAnsi="Arial" w:cs="Arial"/>
          <w:color w:val="000000" w:themeColor="text1"/>
          <w:lang w:val="es-ES_tradnl"/>
        </w:rPr>
        <w:t>El Tribunal de Justicia reitera que es esencial, en materia de la privación de la libertad, que el derecho interno defina claramente las condiciones de privación de libertad y que la ley sea previsible en su aplicación. Por lo tanto, debe ser lo suficientemente accesible y precisa para que el ciudadano pueda prever con un grado razonable en las circunstancias del caso, las consecuencias que se derivan naturalmente de un acto determinado (Minjat, citado anteriormente, § 40, Amuur v. France, 25 de junio de 1996, § 50, Reports of Judgments and Decisions 1996-III, Erkalo v. France, 25 de junio de 1996 III, Erkalo contra Países Bajos, 2 de septiembre de 1998, § 52, Informes 1998-VI, y Baranowski, citado anteriormente, § 51).</w:t>
      </w:r>
    </w:p>
  </w:footnote>
  <w:footnote w:id="60">
    <w:p w14:paraId="162FD719" w14:textId="030DCF10" w:rsidR="009A1436" w:rsidRPr="00035B3E" w:rsidRDefault="009A1436"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Así, por ejemplo, en </w:t>
      </w:r>
      <w:r w:rsidRPr="00035B3E">
        <w:rPr>
          <w:rFonts w:ascii="Arial" w:eastAsia="Times New Roman" w:hAnsi="Arial" w:cs="Arial"/>
          <w:color w:val="000000" w:themeColor="text1"/>
          <w:sz w:val="20"/>
          <w:szCs w:val="20"/>
          <w:lang w:val="es-ES" w:eastAsia="es-ES_tradnl"/>
        </w:rPr>
        <w:t xml:space="preserve">KROUSHEV </w:t>
      </w:r>
      <w:r w:rsidR="00CC2035" w:rsidRPr="00035B3E">
        <w:rPr>
          <w:rFonts w:ascii="Arial" w:eastAsia="Times New Roman" w:hAnsi="Arial" w:cs="Arial"/>
          <w:color w:val="000000" w:themeColor="text1"/>
          <w:sz w:val="20"/>
          <w:szCs w:val="20"/>
          <w:lang w:val="es-ES" w:eastAsia="es-ES_tradnl"/>
        </w:rPr>
        <w:t>contra</w:t>
      </w:r>
      <w:r w:rsidRPr="00035B3E">
        <w:rPr>
          <w:rFonts w:ascii="Arial" w:eastAsia="Times New Roman" w:hAnsi="Arial" w:cs="Arial"/>
          <w:color w:val="000000" w:themeColor="text1"/>
          <w:sz w:val="20"/>
          <w:szCs w:val="20"/>
          <w:lang w:val="es-ES" w:eastAsia="es-ES_tradnl"/>
        </w:rPr>
        <w:t xml:space="preserve"> BULGARIA también se dice que debe ser «clara y previsible» (§36), pero </w:t>
      </w:r>
      <w:r w:rsidRPr="00035B3E">
        <w:rPr>
          <w:rFonts w:ascii="Arial" w:hAnsi="Arial" w:cs="Arial"/>
          <w:color w:val="000000" w:themeColor="text1"/>
          <w:sz w:val="20"/>
          <w:szCs w:val="20"/>
          <w:lang w:val="es-ES"/>
        </w:rPr>
        <w:t xml:space="preserve">en M. </w:t>
      </w:r>
      <w:r w:rsidR="00CC2035" w:rsidRPr="00035B3E">
        <w:rPr>
          <w:rFonts w:ascii="Arial" w:hAnsi="Arial" w:cs="Arial"/>
          <w:color w:val="000000" w:themeColor="text1"/>
          <w:sz w:val="20"/>
          <w:szCs w:val="20"/>
          <w:lang w:val="es-ES"/>
        </w:rPr>
        <w:t>contra</w:t>
      </w:r>
      <w:r w:rsidRPr="00035B3E">
        <w:rPr>
          <w:rFonts w:ascii="Arial" w:hAnsi="Arial" w:cs="Arial"/>
          <w:color w:val="000000" w:themeColor="text1"/>
          <w:sz w:val="20"/>
          <w:szCs w:val="20"/>
          <w:lang w:val="es-ES"/>
        </w:rPr>
        <w:t xml:space="preserve"> UCRANIA se exige que sea «accesible» (§83), y en </w:t>
      </w:r>
      <w:r w:rsidRPr="00035B3E">
        <w:rPr>
          <w:rFonts w:ascii="Arial" w:eastAsia="Times New Roman" w:hAnsi="Arial" w:cs="Arial"/>
          <w:color w:val="000000" w:themeColor="text1"/>
          <w:sz w:val="20"/>
          <w:szCs w:val="20"/>
          <w:lang w:val="es-ES" w:eastAsia="es-ES_tradnl"/>
        </w:rPr>
        <w:t xml:space="preserve">VARBANOV </w:t>
      </w:r>
      <w:r w:rsidR="00CC2035" w:rsidRPr="00035B3E">
        <w:rPr>
          <w:rFonts w:ascii="Arial" w:eastAsia="Times New Roman" w:hAnsi="Arial" w:cs="Arial"/>
          <w:color w:val="000000" w:themeColor="text1"/>
          <w:sz w:val="20"/>
          <w:szCs w:val="20"/>
          <w:lang w:val="es-ES" w:eastAsia="es-ES_tradnl"/>
        </w:rPr>
        <w:t>contra</w:t>
      </w:r>
      <w:r w:rsidRPr="00035B3E">
        <w:rPr>
          <w:rFonts w:ascii="Arial" w:eastAsia="Times New Roman" w:hAnsi="Arial" w:cs="Arial"/>
          <w:color w:val="000000" w:themeColor="text1"/>
          <w:sz w:val="20"/>
          <w:szCs w:val="20"/>
          <w:lang w:val="es-ES" w:eastAsia="es-ES_tradnl"/>
        </w:rPr>
        <w:t xml:space="preserve"> BULGARIA</w:t>
      </w:r>
      <w:r w:rsidR="004402CD">
        <w:rPr>
          <w:rFonts w:ascii="Arial" w:eastAsia="Times New Roman" w:hAnsi="Arial" w:cs="Arial"/>
          <w:color w:val="000000" w:themeColor="text1"/>
          <w:sz w:val="20"/>
          <w:szCs w:val="20"/>
          <w:lang w:val="es-ES" w:eastAsia="es-ES_tradnl"/>
        </w:rPr>
        <w:t xml:space="preserve"> y</w:t>
      </w:r>
      <w:r w:rsidRPr="00035B3E">
        <w:rPr>
          <w:rFonts w:ascii="Arial" w:eastAsia="Times New Roman" w:hAnsi="Arial" w:cs="Arial"/>
          <w:color w:val="000000" w:themeColor="text1"/>
          <w:sz w:val="20"/>
          <w:szCs w:val="20"/>
          <w:lang w:val="es-ES" w:eastAsia="es-ES_tradnl"/>
        </w:rPr>
        <w:t xml:space="preserve"> en X </w:t>
      </w:r>
      <w:r w:rsidR="00CC2035" w:rsidRPr="00035B3E">
        <w:rPr>
          <w:rFonts w:ascii="Arial" w:eastAsia="Times New Roman" w:hAnsi="Arial" w:cs="Arial"/>
          <w:color w:val="000000" w:themeColor="text1"/>
          <w:sz w:val="20"/>
          <w:szCs w:val="20"/>
          <w:lang w:val="es-ES" w:eastAsia="es-ES_tradnl"/>
        </w:rPr>
        <w:t>contra</w:t>
      </w:r>
      <w:r w:rsidRPr="00035B3E">
        <w:rPr>
          <w:rFonts w:ascii="Arial" w:eastAsia="Times New Roman" w:hAnsi="Arial" w:cs="Arial"/>
          <w:color w:val="000000" w:themeColor="text1"/>
          <w:sz w:val="20"/>
          <w:szCs w:val="20"/>
          <w:lang w:val="es-ES" w:eastAsia="es-ES_tradnl"/>
        </w:rPr>
        <w:t xml:space="preserve"> FINLANDIA «accesible y previsible» (§51), y en </w:t>
      </w:r>
      <w:r w:rsidR="00CC2035" w:rsidRPr="00035B3E">
        <w:rPr>
          <w:rFonts w:ascii="Arial" w:eastAsia="Times New Roman" w:hAnsi="Arial" w:cs="Arial"/>
          <w:color w:val="000000" w:themeColor="text1"/>
          <w:sz w:val="20"/>
          <w:szCs w:val="20"/>
          <w:lang w:val="es-ES" w:eastAsia="es-ES_tradnl"/>
        </w:rPr>
        <w:t>CONTRA</w:t>
      </w:r>
      <w:r w:rsidRPr="00035B3E">
        <w:rPr>
          <w:rFonts w:ascii="Arial" w:eastAsia="Times New Roman" w:hAnsi="Arial" w:cs="Arial"/>
          <w:color w:val="000000" w:themeColor="text1"/>
          <w:sz w:val="20"/>
          <w:szCs w:val="20"/>
          <w:lang w:val="es-ES" w:eastAsia="es-ES_tradnl"/>
        </w:rPr>
        <w:t xml:space="preserve">W </w:t>
      </w:r>
      <w:r w:rsidR="00CC2035" w:rsidRPr="00035B3E">
        <w:rPr>
          <w:rFonts w:ascii="Arial" w:eastAsia="Times New Roman" w:hAnsi="Arial" w:cs="Arial"/>
          <w:color w:val="000000" w:themeColor="text1"/>
          <w:sz w:val="20"/>
          <w:szCs w:val="20"/>
          <w:lang w:val="es-ES" w:eastAsia="es-ES_tradnl"/>
        </w:rPr>
        <w:t>contra</w:t>
      </w:r>
      <w:r w:rsidRPr="00035B3E">
        <w:rPr>
          <w:rFonts w:ascii="Arial" w:eastAsia="Times New Roman" w:hAnsi="Arial" w:cs="Arial"/>
          <w:color w:val="000000" w:themeColor="text1"/>
          <w:sz w:val="20"/>
          <w:szCs w:val="20"/>
          <w:lang w:val="es-ES" w:eastAsia="es-ES_tradnl"/>
        </w:rPr>
        <w:t xml:space="preserve"> SUIZA «</w:t>
      </w:r>
      <w:r w:rsidRPr="00035B3E">
        <w:rPr>
          <w:rFonts w:ascii="Arial" w:hAnsi="Arial" w:cs="Arial"/>
          <w:i/>
          <w:iCs/>
          <w:color w:val="000000" w:themeColor="text1"/>
          <w:sz w:val="20"/>
          <w:szCs w:val="20"/>
          <w:lang w:val="es-ES_tradnl"/>
        </w:rPr>
        <w:t>accessible, précise et prévisible</w:t>
      </w:r>
      <w:r w:rsidRPr="00035B3E">
        <w:rPr>
          <w:rFonts w:ascii="Arial" w:hAnsi="Arial" w:cs="Arial"/>
          <w:color w:val="000000" w:themeColor="text1"/>
          <w:sz w:val="20"/>
          <w:szCs w:val="20"/>
          <w:lang w:val="es-ES_tradnl"/>
        </w:rPr>
        <w:t>» (§33)</w:t>
      </w:r>
      <w:r w:rsidRPr="00035B3E">
        <w:rPr>
          <w:rFonts w:ascii="Arial" w:eastAsia="Times New Roman" w:hAnsi="Arial" w:cs="Arial"/>
          <w:color w:val="000000" w:themeColor="text1"/>
          <w:sz w:val="20"/>
          <w:szCs w:val="20"/>
          <w:lang w:val="es-ES" w:eastAsia="es-ES_tradnl"/>
        </w:rPr>
        <w:t>.</w:t>
      </w:r>
    </w:p>
  </w:footnote>
  <w:footnote w:id="61">
    <w:p w14:paraId="445B9A72" w14:textId="08F5B8B0" w:rsidR="009A1436" w:rsidRPr="00035B3E" w:rsidRDefault="009A1436"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Un ejemplo que nos muestra en qué medida la legislación no es clara</w:t>
      </w:r>
      <w:r w:rsidR="00C6617E" w:rsidRPr="00035B3E">
        <w:rPr>
          <w:rFonts w:ascii="Arial" w:hAnsi="Arial" w:cs="Arial"/>
          <w:color w:val="000000" w:themeColor="text1"/>
          <w:lang w:val="es-ES"/>
        </w:rPr>
        <w:t xml:space="preserve"> </w:t>
      </w:r>
      <w:r w:rsidRPr="00035B3E">
        <w:rPr>
          <w:rFonts w:ascii="Arial" w:hAnsi="Arial" w:cs="Arial"/>
          <w:color w:val="000000" w:themeColor="text1"/>
          <w:lang w:val="es-ES"/>
        </w:rPr>
        <w:t xml:space="preserve">lo encontramos en la sentencia del caso ÜMIT BILGIÇ </w:t>
      </w:r>
      <w:r w:rsidR="00CC2035" w:rsidRPr="00035B3E">
        <w:rPr>
          <w:rFonts w:ascii="Arial" w:hAnsi="Arial" w:cs="Arial"/>
          <w:color w:val="000000" w:themeColor="text1"/>
          <w:lang w:val="es-ES"/>
        </w:rPr>
        <w:t>contra</w:t>
      </w:r>
      <w:r w:rsidRPr="00035B3E">
        <w:rPr>
          <w:rFonts w:ascii="Arial" w:hAnsi="Arial" w:cs="Arial"/>
          <w:color w:val="000000" w:themeColor="text1"/>
          <w:lang w:val="es-ES"/>
        </w:rPr>
        <w:t xml:space="preserve"> TURQUÍA, cuyo número 99 dice: «El Tribunal señala que este artículo no indica qué autoridad tiene competencia para decidir sobre dicha privación de libertad ni cuál es el procedimiento aplicable y que, además, no prevé la consulta a un médico como condición previa a la decisión de </w:t>
      </w:r>
      <w:r w:rsidR="0029623C">
        <w:rPr>
          <w:rFonts w:ascii="Arial" w:hAnsi="Arial" w:cs="Arial"/>
          <w:color w:val="000000" w:themeColor="text1"/>
          <w:lang w:val="es-ES"/>
        </w:rPr>
        <w:t>internamiento</w:t>
      </w:r>
      <w:r w:rsidRPr="00035B3E">
        <w:rPr>
          <w:rFonts w:ascii="Arial" w:hAnsi="Arial" w:cs="Arial"/>
          <w:color w:val="000000" w:themeColor="text1"/>
          <w:lang w:val="es-ES"/>
        </w:rPr>
        <w:t xml:space="preserve"> con vistas a un examen psiquiátrico obligatorio (Varbanov v. Bulgaria, no. 31365/96, § 45, TEDH 2000-X). Por lo tanto, el artículo 409 del Código Civil carece de la claridad necesaria»</w:t>
      </w:r>
      <w:r w:rsidR="003C008F">
        <w:rPr>
          <w:rFonts w:ascii="Arial" w:hAnsi="Arial" w:cs="Arial"/>
          <w:color w:val="000000" w:themeColor="text1"/>
          <w:lang w:val="es-ES"/>
        </w:rPr>
        <w:t>.</w:t>
      </w:r>
    </w:p>
  </w:footnote>
  <w:footnote w:id="62">
    <w:p w14:paraId="4370CABE" w14:textId="472F60A4" w:rsidR="00C31B0A" w:rsidRPr="00035B3E" w:rsidRDefault="00C31B0A" w:rsidP="00BA1DC7">
      <w:pPr>
        <w:autoSpaceDE w:val="0"/>
        <w:autoSpaceDN w:val="0"/>
        <w:adjustRightInd w:val="0"/>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i/>
          <w:iCs/>
          <w:sz w:val="20"/>
          <w:szCs w:val="20"/>
          <w:lang w:val="es-ES"/>
        </w:rPr>
        <w:t>Ibidem</w:t>
      </w:r>
      <w:r w:rsidRPr="00035B3E">
        <w:rPr>
          <w:rFonts w:ascii="Arial" w:hAnsi="Arial" w:cs="Arial"/>
          <w:sz w:val="20"/>
          <w:szCs w:val="20"/>
          <w:lang w:val="es-ES"/>
        </w:rPr>
        <w:t>, § 97: «En opinión del Tribunal, las disposiciones legislativas mencionadas por el Gobierno no podían pues constituir una base lega para el internamiento del demandante»</w:t>
      </w:r>
      <w:r w:rsidR="003C008F">
        <w:rPr>
          <w:rFonts w:ascii="Arial" w:hAnsi="Arial" w:cs="Arial"/>
          <w:sz w:val="20"/>
          <w:szCs w:val="20"/>
          <w:lang w:val="es-ES"/>
        </w:rPr>
        <w:t>.</w:t>
      </w:r>
    </w:p>
  </w:footnote>
  <w:footnote w:id="63">
    <w:p w14:paraId="33A8277A" w14:textId="6C600607" w:rsidR="00D04944" w:rsidRPr="00035B3E" w:rsidRDefault="00D04944" w:rsidP="00BA1DC7">
      <w:pPr>
        <w:pStyle w:val="Textonotapie"/>
        <w:ind w:firstLine="284"/>
        <w:jc w:val="both"/>
        <w:rPr>
          <w:rFonts w:ascii="Arial" w:hAnsi="Arial" w:cs="Arial"/>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 xml:space="preserve">Caso </w:t>
      </w:r>
      <w:r w:rsidRPr="00035B3E">
        <w:rPr>
          <w:rFonts w:ascii="Arial" w:eastAsia="Times New Roman" w:hAnsi="Arial" w:cs="Arial"/>
          <w:lang w:val="es-ES" w:eastAsia="es-ES_tradnl"/>
        </w:rPr>
        <w:t>CRISTIAN TEODORESKU contra RUMANÍA, § 65: «</w:t>
      </w:r>
      <w:r w:rsidRPr="00035B3E">
        <w:rPr>
          <w:rFonts w:ascii="Arial" w:hAnsi="Arial" w:cs="Arial"/>
          <w:lang w:val="es-ES"/>
        </w:rPr>
        <w:t xml:space="preserve">A este respecto, el Tribunal recuerda que la primera frase del artículo 5 § 1 debe entenderse como la imposición de una obligación positiva al Estado de proteger la libertad de las personas dentro de su jurisdicción y que las expresiones "prescritas por la ley" y "según las vías legales" tienen también como objetivo la calidad de la ley que constituye la base jurídica de las medidas privativas de libertad que les pueden atañer (Varbanov, citado anteriormente, § 51). Sin embargo, el Tribunal señala que la Ley nº 487/2002 no contenía, en el momento de los hechos, ningún requisito sobre la forma </w:t>
      </w:r>
      <w:r w:rsidR="003C008F">
        <w:rPr>
          <w:rFonts w:ascii="Arial" w:hAnsi="Arial" w:cs="Arial"/>
          <w:lang w:val="es-ES"/>
        </w:rPr>
        <w:t>–</w:t>
      </w:r>
      <w:r w:rsidRPr="00035B3E">
        <w:rPr>
          <w:rFonts w:ascii="Arial" w:hAnsi="Arial" w:cs="Arial"/>
          <w:lang w:val="es-ES"/>
        </w:rPr>
        <w:t>escrita u oral</w:t>
      </w:r>
      <w:r w:rsidR="003C008F">
        <w:rPr>
          <w:rFonts w:ascii="Arial" w:hAnsi="Arial" w:cs="Arial"/>
          <w:lang w:val="es-ES"/>
        </w:rPr>
        <w:t>–</w:t>
      </w:r>
      <w:r w:rsidRPr="00035B3E">
        <w:rPr>
          <w:rFonts w:ascii="Arial" w:hAnsi="Arial" w:cs="Arial"/>
          <w:lang w:val="es-ES"/>
        </w:rPr>
        <w:t xml:space="preserve"> que debía revestir la notificación de una decisión de internamiento forzoso tomada en virtud del artículo 49 de la ley a la persona afectada o a su representante. La ley no establecía ningún plazo para que la comisión de control informara al interesado y a su representante de la decisión que había adoptado, ni obligaba al Ministerio Fiscal a notificarles la decisión recibida del tribunal (véase el apartado 34 supra). Tales deficiencias crean un riesgo real de que la persona contra la que se ha adoptado una decisión de internamiento involuntario se vea impedida de hacer uso de los recursos efectivos y suficientes previstos por la ley nº 487/2002, como como un recurso basado en el artículo 54 de la ley»</w:t>
      </w:r>
      <w:r w:rsidR="003C008F">
        <w:rPr>
          <w:rFonts w:ascii="Arial" w:hAnsi="Arial" w:cs="Arial"/>
          <w:lang w:val="es-ES"/>
        </w:rPr>
        <w:t>.</w:t>
      </w:r>
    </w:p>
  </w:footnote>
  <w:footnote w:id="64">
    <w:p w14:paraId="79AD06EA" w14:textId="7A20CBAA" w:rsidR="001538C5" w:rsidRPr="00035B3E" w:rsidRDefault="001538C5" w:rsidP="00BA1DC7">
      <w:pPr>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Caso STANEV contra BULGARIA, § 158: «El Tribunal observa también fallos en la verificación de la persistencia de los problemas que justifican el internamiento. De hecho, a pesar de que el demandante tenía un seguimiento por parte de un psiquiatra (apartado 31), este seguimiento no tenía por objeto evaluar, en periodos regulares, si continuaba siendo necesario el mantenimiento en el hogar de Pastra a efectos del artículo 5.1e). De hecho, tal evaluación no estaba prevista por la legislación pertinente»</w:t>
      </w:r>
      <w:r w:rsidR="003C008F">
        <w:rPr>
          <w:rFonts w:ascii="Arial" w:hAnsi="Arial" w:cs="Arial"/>
          <w:sz w:val="20"/>
          <w:szCs w:val="20"/>
          <w:lang w:val="es-ES"/>
        </w:rPr>
        <w:t>.</w:t>
      </w:r>
    </w:p>
  </w:footnote>
  <w:footnote w:id="65">
    <w:p w14:paraId="59B70428" w14:textId="5DA2BA2B" w:rsidR="0081416F" w:rsidRPr="00035B3E" w:rsidRDefault="0081416F"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eastAsia="Times New Roman" w:hAnsi="Arial" w:cs="Arial"/>
          <w:color w:val="000000" w:themeColor="text1"/>
          <w:lang w:val="es-ES" w:eastAsia="es-ES_tradnl"/>
        </w:rPr>
        <w:t>En el caso CERVENKA, por ejemplo, caso citado anteriormente, el TRIBUNAL consideró que el internamiento no era legal porque las autoridades que autorizaron el internamiento no cumplieron lo previsto en la ley al omitir trámites que se consideran fundamentales</w:t>
      </w:r>
      <w:r w:rsidR="008F4306">
        <w:rPr>
          <w:rFonts w:ascii="Arial" w:eastAsia="Times New Roman" w:hAnsi="Arial" w:cs="Arial"/>
          <w:color w:val="000000" w:themeColor="text1"/>
          <w:lang w:val="es-ES" w:eastAsia="es-ES_tradnl"/>
        </w:rPr>
        <w:t xml:space="preserve"> (§ 106)</w:t>
      </w:r>
      <w:r w:rsidRPr="00035B3E">
        <w:rPr>
          <w:rFonts w:ascii="Arial" w:eastAsia="Times New Roman" w:hAnsi="Arial" w:cs="Arial"/>
          <w:color w:val="000000" w:themeColor="text1"/>
          <w:lang w:val="es-ES" w:eastAsia="es-ES_tradnl"/>
        </w:rPr>
        <w:t xml:space="preserve">: </w:t>
      </w:r>
      <w:r w:rsidRPr="00035B3E">
        <w:rPr>
          <w:rFonts w:ascii="Arial" w:hAnsi="Arial" w:cs="Arial"/>
          <w:color w:val="000000" w:themeColor="text1"/>
          <w:lang w:val="es-ES"/>
        </w:rPr>
        <w:t>«Volviendo al presente caso, el Tribunal observa que la legalidad de</w:t>
      </w:r>
      <w:r w:rsidR="008F4306">
        <w:rPr>
          <w:rFonts w:ascii="Arial" w:hAnsi="Arial" w:cs="Arial"/>
          <w:color w:val="000000" w:themeColor="text1"/>
          <w:lang w:val="es-ES"/>
        </w:rPr>
        <w:t>l internamiento</w:t>
      </w:r>
      <w:r w:rsidRPr="00035B3E">
        <w:rPr>
          <w:rFonts w:ascii="Arial" w:hAnsi="Arial" w:cs="Arial"/>
          <w:color w:val="000000" w:themeColor="text1"/>
          <w:lang w:val="es-ES"/>
        </w:rPr>
        <w:t xml:space="preserve"> del demandante no fue revisada por un tribunal nacional, como sería el procedimiento normal en los casos de hospitalización involuntaria (véanse los párrafos 67-71 supra)».</w:t>
      </w:r>
    </w:p>
  </w:footnote>
  <w:footnote w:id="66">
    <w:p w14:paraId="45486E79" w14:textId="2A68739B" w:rsidR="00BB4947" w:rsidRPr="00035B3E" w:rsidRDefault="00BB4947" w:rsidP="00BA1DC7">
      <w:pPr>
        <w:autoSpaceDE w:val="0"/>
        <w:autoSpaceDN w:val="0"/>
        <w:adjustRightInd w:val="0"/>
        <w:ind w:firstLine="284"/>
        <w:jc w:val="both"/>
        <w:rPr>
          <w:rFonts w:ascii="Arial" w:hAnsi="Arial" w:cs="Arial"/>
          <w:sz w:val="20"/>
          <w:szCs w:val="20"/>
          <w:lang w:val="es-ES_tradnl"/>
        </w:rPr>
      </w:pPr>
      <w:r w:rsidRPr="00035B3E">
        <w:rPr>
          <w:rStyle w:val="Refdenotaalpie"/>
          <w:rFonts w:ascii="Arial" w:hAnsi="Arial" w:cs="Arial"/>
          <w:sz w:val="20"/>
          <w:szCs w:val="20"/>
        </w:rPr>
        <w:footnoteRef/>
      </w:r>
      <w:r w:rsidRPr="00035B3E">
        <w:rPr>
          <w:rFonts w:ascii="Arial" w:hAnsi="Arial" w:cs="Arial"/>
          <w:sz w:val="20"/>
          <w:szCs w:val="20"/>
        </w:rPr>
        <w:t xml:space="preserve"> </w:t>
      </w:r>
      <w:r w:rsidR="004001AA" w:rsidRPr="00035B3E">
        <w:rPr>
          <w:rFonts w:ascii="Arial" w:hAnsi="Arial" w:cs="Arial"/>
          <w:sz w:val="20"/>
          <w:szCs w:val="20"/>
          <w:lang w:val="es-ES"/>
        </w:rPr>
        <w:t>Caso WASSINK contra LOS PAÍSES BAJOS, §27: «</w:t>
      </w:r>
      <w:r w:rsidR="004001AA" w:rsidRPr="00035B3E">
        <w:rPr>
          <w:rFonts w:ascii="Arial" w:hAnsi="Arial" w:cs="Arial"/>
          <w:sz w:val="20"/>
          <w:szCs w:val="20"/>
          <w:lang w:val="es-ES_tradnl"/>
        </w:rPr>
        <w:t>Por el contrario, la falta de un Secretario Judicial al celebrarse la audiencia infringió, según opinión del Fiscal, el artículo 72 del Reglamento I para la aplicación de la Ley de Organización Judicial (véase el apartado 18 anterior). En consecuencia, se incumplió en esto un requisito de procedimiento legal, violándose así el artículo 5.1 del Convenio. El Gobierno así lo reconoce».</w:t>
      </w:r>
    </w:p>
  </w:footnote>
  <w:footnote w:id="67">
    <w:p w14:paraId="345B4761" w14:textId="209B3172" w:rsidR="00025EB6" w:rsidRPr="00035B3E" w:rsidRDefault="00025EB6"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 xml:space="preserve">Caso MIFOVA contra RUSIA, § </w:t>
      </w:r>
      <w:r w:rsidRPr="00035B3E">
        <w:rPr>
          <w:rFonts w:ascii="Arial" w:hAnsi="Arial" w:cs="Arial"/>
        </w:rPr>
        <w:t>60</w:t>
      </w:r>
      <w:r w:rsidRPr="00035B3E">
        <w:rPr>
          <w:rFonts w:ascii="Arial" w:hAnsi="Arial" w:cs="Arial"/>
          <w:lang w:val="es-ES"/>
        </w:rPr>
        <w:t>:</w:t>
      </w:r>
      <w:r w:rsidRPr="00035B3E">
        <w:rPr>
          <w:rFonts w:ascii="Arial" w:hAnsi="Arial" w:cs="Arial"/>
        </w:rPr>
        <w:t xml:space="preserve"> </w:t>
      </w:r>
      <w:r w:rsidRPr="00035B3E">
        <w:rPr>
          <w:rFonts w:ascii="Arial" w:hAnsi="Arial" w:cs="Arial"/>
          <w:lang w:val="es-ES"/>
        </w:rPr>
        <w:t>«</w:t>
      </w:r>
      <w:r w:rsidRPr="00035B3E">
        <w:rPr>
          <w:rFonts w:ascii="Arial" w:hAnsi="Arial" w:cs="Arial"/>
        </w:rPr>
        <w:t>El Tribunal observa que el Gobierno sostuvo que la demandante había estado representada durante la audiencia de primera instancia por la Sra. B., la</w:t>
      </w:r>
      <w:r w:rsidRPr="00035B3E">
        <w:rPr>
          <w:rFonts w:ascii="Arial" w:hAnsi="Arial" w:cs="Arial"/>
          <w:lang w:val="es-ES"/>
        </w:rPr>
        <w:t xml:space="preserve"> </w:t>
      </w:r>
      <w:r w:rsidRPr="00035B3E">
        <w:rPr>
          <w:rFonts w:ascii="Arial" w:hAnsi="Arial" w:cs="Arial"/>
        </w:rPr>
        <w:t>representante del Departamento municipal de Sanidad. El Tribunal no puede llegar a la misma conclusión. La carta de autorizació</w:t>
      </w:r>
      <w:r w:rsidR="0071209D">
        <w:rPr>
          <w:rFonts w:ascii="Arial" w:hAnsi="Arial" w:cs="Arial"/>
          <w:lang w:val="es-ES"/>
        </w:rPr>
        <w:t xml:space="preserve"> </w:t>
      </w:r>
      <w:r w:rsidRPr="00035B3E">
        <w:rPr>
          <w:rFonts w:ascii="Arial" w:hAnsi="Arial" w:cs="Arial"/>
        </w:rPr>
        <w:t>de la Sra. B. por parte de su empleador indicaba explícitamente que se le había "encomendado la representación de los</w:t>
      </w:r>
      <w:r w:rsidRPr="00035B3E">
        <w:rPr>
          <w:rFonts w:ascii="Arial" w:hAnsi="Arial" w:cs="Arial"/>
          <w:lang w:val="es-ES"/>
        </w:rPr>
        <w:t xml:space="preserve"> </w:t>
      </w:r>
      <w:r w:rsidRPr="00035B3E">
        <w:rPr>
          <w:rFonts w:ascii="Arial" w:hAnsi="Arial" w:cs="Arial"/>
        </w:rPr>
        <w:t>intereses del Departamento de Salud de la Alcaldía de Magadán" (véase el párrafo 21). Además, la Sra. B. fue simplemente convocada por el Tribunal Municipal para representar a la demandante en la vista, sin que el juez le diera instrucciones concretas (véase el apartado 20 supra). Por último, la participación de la Sra. B. en el procedimiento fue más bien reservada, ya que consistió en una sola pregunta -dirigida al representante del hospital- y una declaración sobre la necesidad de hospitalización involuntaria, en contra de la opinión de la demandante. Se abstuvo de participar en los</w:t>
      </w:r>
      <w:r w:rsidRPr="00035B3E">
        <w:rPr>
          <w:rFonts w:ascii="Arial" w:hAnsi="Arial" w:cs="Arial"/>
          <w:lang w:val="es-ES"/>
        </w:rPr>
        <w:t xml:space="preserve"> </w:t>
      </w:r>
      <w:r w:rsidRPr="00035B3E">
        <w:rPr>
          <w:rFonts w:ascii="Arial" w:hAnsi="Arial" w:cs="Arial"/>
        </w:rPr>
        <w:t>alegatos finales (véase el apartado 24 supra). Teniendo en cuenta l</w:t>
      </w:r>
      <w:r w:rsidR="00A779F3" w:rsidRPr="00035B3E">
        <w:rPr>
          <w:rFonts w:ascii="Arial" w:hAnsi="Arial" w:cs="Arial"/>
          <w:lang w:val="es-ES"/>
        </w:rPr>
        <w:t>as</w:t>
      </w:r>
      <w:r w:rsidRPr="00035B3E">
        <w:rPr>
          <w:rFonts w:ascii="Arial" w:hAnsi="Arial" w:cs="Arial"/>
        </w:rPr>
        <w:t xml:space="preserve"> anterior</w:t>
      </w:r>
      <w:r w:rsidR="00A779F3" w:rsidRPr="00035B3E">
        <w:rPr>
          <w:rFonts w:ascii="Arial" w:hAnsi="Arial" w:cs="Arial"/>
          <w:lang w:val="es-ES"/>
        </w:rPr>
        <w:t xml:space="preserve">es </w:t>
      </w:r>
      <w:r w:rsidRPr="00035B3E">
        <w:rPr>
          <w:rFonts w:ascii="Arial" w:hAnsi="Arial" w:cs="Arial"/>
        </w:rPr>
        <w:t>consideraciones, el Tribunal no considera que el representante del</w:t>
      </w:r>
      <w:r w:rsidRPr="00035B3E">
        <w:rPr>
          <w:rFonts w:ascii="Arial" w:hAnsi="Arial" w:cs="Arial"/>
          <w:lang w:val="es-ES"/>
        </w:rPr>
        <w:t xml:space="preserve"> </w:t>
      </w:r>
      <w:r w:rsidRPr="00035B3E">
        <w:rPr>
          <w:rFonts w:ascii="Arial" w:hAnsi="Arial" w:cs="Arial"/>
        </w:rPr>
        <w:t>Departamento de Salud municipal act</w:t>
      </w:r>
      <w:r w:rsidRPr="00035B3E">
        <w:rPr>
          <w:rFonts w:ascii="Arial" w:hAnsi="Arial" w:cs="Arial"/>
          <w:lang w:val="es-ES"/>
        </w:rPr>
        <w:t>u</w:t>
      </w:r>
      <w:r w:rsidR="0071209D">
        <w:rPr>
          <w:rFonts w:ascii="Arial" w:hAnsi="Arial" w:cs="Arial"/>
          <w:lang w:val="es-ES"/>
        </w:rPr>
        <w:t>ara</w:t>
      </w:r>
      <w:r w:rsidRPr="00035B3E">
        <w:rPr>
          <w:rFonts w:ascii="Arial" w:hAnsi="Arial" w:cs="Arial"/>
          <w:lang w:val="es-ES"/>
        </w:rPr>
        <w:t xml:space="preserve"> </w:t>
      </w:r>
      <w:r w:rsidRPr="00035B3E">
        <w:rPr>
          <w:rFonts w:ascii="Arial" w:hAnsi="Arial" w:cs="Arial"/>
        </w:rPr>
        <w:t>como representante de la demandante</w:t>
      </w:r>
      <w:r w:rsidRPr="00035B3E">
        <w:rPr>
          <w:rFonts w:ascii="Arial" w:hAnsi="Arial" w:cs="Arial"/>
          <w:lang w:val="es-ES"/>
        </w:rPr>
        <w:t xml:space="preserve"> </w:t>
      </w:r>
      <w:r w:rsidR="00A779F3" w:rsidRPr="00035B3E">
        <w:rPr>
          <w:rFonts w:ascii="Arial" w:hAnsi="Arial" w:cs="Arial"/>
          <w:lang w:val="es-ES"/>
        </w:rPr>
        <w:t>y</w:t>
      </w:r>
      <w:r w:rsidRPr="00035B3E">
        <w:rPr>
          <w:rFonts w:ascii="Arial" w:hAnsi="Arial" w:cs="Arial"/>
        </w:rPr>
        <w:t xml:space="preserve"> defendi</w:t>
      </w:r>
      <w:r w:rsidRPr="00035B3E">
        <w:rPr>
          <w:rFonts w:ascii="Arial" w:hAnsi="Arial" w:cs="Arial"/>
          <w:lang w:val="es-ES"/>
        </w:rPr>
        <w:t>era</w:t>
      </w:r>
      <w:r w:rsidRPr="00035B3E">
        <w:rPr>
          <w:rFonts w:ascii="Arial" w:hAnsi="Arial" w:cs="Arial"/>
        </w:rPr>
        <w:t xml:space="preserve"> sus intereses en el procedimiento</w:t>
      </w:r>
      <w:r w:rsidRPr="00035B3E">
        <w:rPr>
          <w:rFonts w:ascii="Arial" w:hAnsi="Arial" w:cs="Arial"/>
          <w:lang w:val="es-ES"/>
        </w:rPr>
        <w:t>»</w:t>
      </w:r>
      <w:r w:rsidR="0071209D">
        <w:rPr>
          <w:rFonts w:ascii="Arial" w:hAnsi="Arial" w:cs="Arial"/>
          <w:lang w:val="es-ES"/>
        </w:rPr>
        <w:t>.</w:t>
      </w:r>
    </w:p>
  </w:footnote>
  <w:footnote w:id="68">
    <w:p w14:paraId="7C1485B7" w14:textId="622F444C" w:rsidR="00E33F4A" w:rsidRPr="00035B3E" w:rsidRDefault="00E33F4A"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 xml:space="preserve">Caso CERVENKA contra la REPÚBLICA CHECA, § 111: </w:t>
      </w:r>
      <w:r w:rsidR="00A20F7B" w:rsidRPr="00035B3E">
        <w:rPr>
          <w:rFonts w:ascii="Arial" w:hAnsi="Arial" w:cs="Arial"/>
          <w:lang w:val="es-ES"/>
        </w:rPr>
        <w:t>«El Tribunal observa además que el hogar de asistencia social no se puso en contacto con el Tribunal de Distrito de Plzeň-jih, como tribunal local competente en el sentido del artículo 191 bis de la Ley de Enjuiciamiento Civil</w:t>
      </w:r>
      <w:r w:rsidR="0071209D">
        <w:rPr>
          <w:rFonts w:ascii="Arial" w:hAnsi="Arial" w:cs="Arial"/>
          <w:lang w:val="es-ES"/>
        </w:rPr>
        <w:t>,</w:t>
      </w:r>
      <w:r w:rsidR="00A20F7B" w:rsidRPr="00035B3E">
        <w:rPr>
          <w:rFonts w:ascii="Arial" w:hAnsi="Arial" w:cs="Arial"/>
          <w:lang w:val="es-ES"/>
        </w:rPr>
        <w:t xml:space="preserve"> a pesar de que tuvo conocimiento de que el demandante estaba confinado contra su voluntad (véase el apartado 30 supra)»</w:t>
      </w:r>
      <w:r w:rsidR="0071209D">
        <w:rPr>
          <w:rFonts w:ascii="Arial" w:hAnsi="Arial" w:cs="Arial"/>
          <w:lang w:val="es-ES"/>
        </w:rPr>
        <w:t>.</w:t>
      </w:r>
    </w:p>
  </w:footnote>
  <w:footnote w:id="69">
    <w:p w14:paraId="737CD74B" w14:textId="7B018CD6" w:rsidR="00A20F7B" w:rsidRPr="00035B3E" w:rsidRDefault="00A20F7B"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Véase en este sentido las consideraciones del TRIBUNAL en el caso BAUDOIN contra FRANCIA, §§ 92 a 96.</w:t>
      </w:r>
    </w:p>
  </w:footnote>
  <w:footnote w:id="70">
    <w:p w14:paraId="0D40E4B7" w14:textId="4A5BFDE3" w:rsidR="0081416F" w:rsidRPr="00035B3E" w:rsidRDefault="0081416F"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KARAMANOV contra GRECIA, §</w:t>
      </w:r>
      <w:r w:rsidR="0071209D">
        <w:rPr>
          <w:rFonts w:ascii="Arial" w:hAnsi="Arial" w:cs="Arial"/>
          <w:color w:val="000000" w:themeColor="text1"/>
          <w:sz w:val="20"/>
          <w:szCs w:val="20"/>
          <w:lang w:val="es-ES"/>
        </w:rPr>
        <w:t xml:space="preserve"> </w:t>
      </w:r>
      <w:r w:rsidRPr="00035B3E">
        <w:rPr>
          <w:rFonts w:ascii="Arial" w:hAnsi="Arial" w:cs="Arial"/>
          <w:color w:val="000000" w:themeColor="text1"/>
          <w:sz w:val="20"/>
          <w:szCs w:val="20"/>
          <w:lang w:val="es-ES"/>
        </w:rPr>
        <w:t>40: «Desde el momento en el que el incumplimiento del ordenamiento interno implica una violación del Convenio, el Tribunal puede y debe ejercer un cierto grado de control para investigar si el derecho ha sido respetado».</w:t>
      </w:r>
    </w:p>
  </w:footnote>
  <w:footnote w:id="71">
    <w:p w14:paraId="512AE2BB" w14:textId="7FB74DD0" w:rsidR="00EF75B9" w:rsidRPr="00035B3E" w:rsidRDefault="00EF75B9" w:rsidP="00BA1DC7">
      <w:pPr>
        <w:autoSpaceDE w:val="0"/>
        <w:autoSpaceDN w:val="0"/>
        <w:adjustRightInd w:val="0"/>
        <w:spacing w:line="240" w:lineRule="atLeast"/>
        <w:ind w:firstLine="284"/>
        <w:jc w:val="both"/>
        <w:rPr>
          <w:rFonts w:ascii="Arial" w:hAnsi="Arial" w:cs="Arial"/>
          <w:sz w:val="20"/>
          <w:szCs w:val="20"/>
          <w:lang w:val="es-ES"/>
        </w:rPr>
      </w:pPr>
      <w:r w:rsidRPr="00035B3E">
        <w:rPr>
          <w:rStyle w:val="Refdenotaalpie"/>
          <w:rFonts w:ascii="Arial" w:hAnsi="Arial" w:cs="Arial"/>
          <w:sz w:val="20"/>
          <w:szCs w:val="20"/>
        </w:rPr>
        <w:footnoteRef/>
      </w:r>
      <w:r w:rsidRPr="00035B3E">
        <w:rPr>
          <w:rFonts w:ascii="Arial" w:hAnsi="Arial" w:cs="Arial"/>
          <w:sz w:val="20"/>
          <w:szCs w:val="20"/>
        </w:rPr>
        <w:t xml:space="preserve"> </w:t>
      </w:r>
      <w:r w:rsidRPr="00035B3E">
        <w:rPr>
          <w:rFonts w:ascii="Arial" w:hAnsi="Arial" w:cs="Arial"/>
          <w:sz w:val="20"/>
          <w:szCs w:val="20"/>
          <w:lang w:val="es-ES"/>
        </w:rPr>
        <w:t>Caso CERVENKA contra la REPÚBLICA CHECA, §</w:t>
      </w:r>
      <w:r w:rsidR="0071209D">
        <w:rPr>
          <w:rFonts w:ascii="Arial" w:hAnsi="Arial" w:cs="Arial"/>
          <w:sz w:val="20"/>
          <w:szCs w:val="20"/>
          <w:lang w:val="es-ES"/>
        </w:rPr>
        <w:t xml:space="preserve"> </w:t>
      </w:r>
      <w:r w:rsidRPr="00035B3E">
        <w:rPr>
          <w:rFonts w:ascii="Arial" w:hAnsi="Arial" w:cs="Arial"/>
          <w:sz w:val="20"/>
          <w:szCs w:val="20"/>
          <w:lang w:val="es-ES"/>
        </w:rPr>
        <w:t xml:space="preserve">112: «Además, el Tribunal de Distrito de Praga 4, actuando como tribunal de tutela, no adoptó ninguna medida procesal para determinar la legalidad de </w:t>
      </w:r>
      <w:r w:rsidR="006664FD">
        <w:rPr>
          <w:rFonts w:ascii="Arial" w:hAnsi="Arial" w:cs="Arial"/>
          <w:sz w:val="20"/>
          <w:szCs w:val="20"/>
          <w:lang w:val="es-ES"/>
        </w:rPr>
        <w:t>el internamiento</w:t>
      </w:r>
      <w:r w:rsidRPr="00035B3E">
        <w:rPr>
          <w:rFonts w:ascii="Arial" w:hAnsi="Arial" w:cs="Arial"/>
          <w:sz w:val="20"/>
          <w:szCs w:val="20"/>
          <w:lang w:val="es-ES"/>
        </w:rPr>
        <w:t xml:space="preserve"> del demandante, a pesar de las solicitudes presentadas por éste (véase el apartado 30 supra). Se limitó a conformarse con la explicación dada por la Oficina Municipal sobre la finalidad, el carácter y otros detalles del confinamiento del demandante (véanse los apartados 26 y 29 supra). No fue hasta el 10 de noviembre de 2011, casi dos meses y medio después del alta del demandante, cuando el Tribunal de Distrito, a iniciativa del Defensor del Pueblo, aprobó </w:t>
      </w:r>
      <w:r w:rsidRPr="00035B3E">
        <w:rPr>
          <w:rFonts w:ascii="Arial" w:hAnsi="Arial" w:cs="Arial"/>
          <w:i/>
          <w:iCs/>
          <w:sz w:val="20"/>
          <w:szCs w:val="20"/>
          <w:lang w:val="es-ES"/>
        </w:rPr>
        <w:t xml:space="preserve">a posteriori </w:t>
      </w:r>
      <w:r w:rsidRPr="00035B3E">
        <w:rPr>
          <w:rFonts w:ascii="Arial" w:hAnsi="Arial" w:cs="Arial"/>
          <w:sz w:val="20"/>
          <w:szCs w:val="20"/>
          <w:lang w:val="es-ES"/>
        </w:rPr>
        <w:t>tanto el ingreso de la demandante en el centro de asistencia social y el cese de su estancia en el mismo (véanse los párrafos 42-44 supra)»</w:t>
      </w:r>
      <w:r w:rsidR="0071209D">
        <w:rPr>
          <w:rFonts w:ascii="Arial" w:hAnsi="Arial" w:cs="Arial"/>
          <w:sz w:val="20"/>
          <w:szCs w:val="20"/>
          <w:lang w:val="es-ES"/>
        </w:rPr>
        <w:t>.</w:t>
      </w:r>
    </w:p>
  </w:footnote>
  <w:footnote w:id="72">
    <w:p w14:paraId="5D0FB094" w14:textId="39633C36" w:rsidR="00DA40EB" w:rsidRPr="0071209D" w:rsidRDefault="00DA40EB" w:rsidP="0071209D">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 xml:space="preserve">Caso ERKALO contra LOS PAISES BAJOS, § </w:t>
      </w:r>
      <w:r w:rsidR="002D0DF7" w:rsidRPr="00035B3E">
        <w:rPr>
          <w:rFonts w:ascii="Arial" w:hAnsi="Arial" w:cs="Arial"/>
          <w:lang w:val="es-ES"/>
        </w:rPr>
        <w:t>59: «</w:t>
      </w:r>
      <w:r w:rsidRPr="00035B3E">
        <w:rPr>
          <w:rFonts w:ascii="Arial" w:hAnsi="Arial" w:cs="Arial"/>
        </w:rPr>
        <w:t>Sin embargo, precisamente debido a los intereses públicos en juego, el Tribunal de Justicia está sorprendido por el hecho de que, en el presente caso, aunque las autoridades competentes, a saber, el Ministerio de Justicia, el fiscal y el personal del instituto psiquiátrico, tenían conocimiento de que el internamiento del demandante estaba a punto de expirar, ninguna de ellas tomó la menor medida para averiguar si la solicitud del fiscal había llegado a la secretaría del Tribunal de Distrito de Groningen y si se había fijado una fecha para su examen. En estas circunstancias, y a falta de garantías adecuadas (véase el apartado 57 supra), el interés público en juego no puede invocarse como justificación para mantener al demandante en un estado de incertidumbre durante más de dos meses y medio, especialmente, cabe señalar, porque el Sr. Erkalo estaba en tratamiento psiquiátrico. A este respecto, el Tribunal de Justicia considera que corresponde a las autoridades competentes, y no al interesado, velar por que la solicitud de prórroga de una orden de internamiento se presente y examine a su debido tiempo</w:t>
      </w:r>
      <w:r w:rsidR="002D0DF7" w:rsidRPr="00035B3E">
        <w:rPr>
          <w:rFonts w:ascii="Arial" w:hAnsi="Arial" w:cs="Arial"/>
          <w:lang w:val="es-ES"/>
        </w:rPr>
        <w:t>»</w:t>
      </w:r>
      <w:r w:rsidR="00291892">
        <w:rPr>
          <w:rFonts w:ascii="Arial" w:hAnsi="Arial" w:cs="Arial"/>
          <w:lang w:val="es-ES"/>
        </w:rPr>
        <w:t>.</w:t>
      </w:r>
    </w:p>
  </w:footnote>
  <w:footnote w:id="73">
    <w:p w14:paraId="3A9A8FEF" w14:textId="7221A87E" w:rsidR="0096028F" w:rsidRPr="00035B3E" w:rsidRDefault="0096028F" w:rsidP="0096028F">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Resulta obvia la influencia del sistema francés en este aspecto. También vemos esta influencia en otros ámbitos, por ejemplo, en la regulación de los trámites de los procedimientos ante el Tribunal de Justicia de la Unión Europea en los que igualmente aparece el término «</w:t>
      </w:r>
      <w:r w:rsidRPr="00035B3E">
        <w:rPr>
          <w:rFonts w:ascii="Arial" w:hAnsi="Arial" w:cs="Arial"/>
          <w:i/>
          <w:iCs/>
          <w:lang w:val="es-ES"/>
        </w:rPr>
        <w:t>recours</w:t>
      </w:r>
      <w:r w:rsidRPr="00035B3E">
        <w:rPr>
          <w:rFonts w:ascii="Arial" w:hAnsi="Arial" w:cs="Arial"/>
          <w:lang w:val="es-ES"/>
        </w:rPr>
        <w:t>». Traducir directamente este término como «recurso» cuando nos desenvolvemos en el ámbito español no es aconsejable ya que induce a error. Es preferible emplear otros términos, como puedan ser, según los casos, los de demanda o pretensión</w:t>
      </w:r>
      <w:r w:rsidR="00507309" w:rsidRPr="00035B3E">
        <w:rPr>
          <w:rFonts w:ascii="Arial" w:hAnsi="Arial" w:cs="Arial"/>
          <w:lang w:val="es-ES"/>
        </w:rPr>
        <w:t>.</w:t>
      </w:r>
    </w:p>
  </w:footnote>
  <w:footnote w:id="74">
    <w:p w14:paraId="40E50790" w14:textId="7373E0DB" w:rsidR="00E45299" w:rsidRPr="00035B3E" w:rsidRDefault="00E45299" w:rsidP="00291892">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Caso M. contra Ucrania, § 64: «la disponibilidad del procedimiento de apelación es una norma que ha sido reconocida por la comunidad internacional como garantía esencial que debe existir para un paciente involuntario en un centro de salud mental (véase el principio 17 § 7 de los Principios de la ONU citados en el párrafo 37 y el artículo 25 de la Recomendación Re</w:t>
      </w:r>
      <w:r w:rsidR="00CC2035" w:rsidRPr="00035B3E">
        <w:rPr>
          <w:rFonts w:ascii="Arial" w:hAnsi="Arial" w:cs="Arial"/>
          <w:color w:val="000000" w:themeColor="text1"/>
          <w:lang w:val="es-ES"/>
        </w:rPr>
        <w:t>contra</w:t>
      </w:r>
      <w:r w:rsidRPr="00035B3E">
        <w:rPr>
          <w:rFonts w:ascii="Arial" w:hAnsi="Arial" w:cs="Arial"/>
          <w:color w:val="000000" w:themeColor="text1"/>
          <w:lang w:val="es-ES"/>
        </w:rPr>
        <w:t xml:space="preserve"> (2004)10 del Comité de Ministros a los Estados miembros sobre la protección de los derechos humanos y la dignidad de las personas con trastorno mental ("la Recomendación CM") citada en el apartado 38)</w:t>
      </w:r>
      <w:r w:rsidR="00370F84" w:rsidRPr="00035B3E">
        <w:rPr>
          <w:rFonts w:ascii="Arial" w:hAnsi="Arial" w:cs="Arial"/>
          <w:color w:val="000000" w:themeColor="text1"/>
          <w:lang w:val="es-ES"/>
        </w:rPr>
        <w:t>»</w:t>
      </w:r>
      <w:r w:rsidR="00291892">
        <w:rPr>
          <w:rFonts w:ascii="Arial" w:hAnsi="Arial" w:cs="Arial"/>
          <w:color w:val="000000" w:themeColor="text1"/>
          <w:lang w:val="es-ES"/>
        </w:rPr>
        <w:t>.</w:t>
      </w:r>
    </w:p>
  </w:footnote>
  <w:footnote w:id="75">
    <w:p w14:paraId="7D136B50" w14:textId="327B028A" w:rsidR="00C53D44" w:rsidRPr="00035B3E" w:rsidRDefault="00C53D44"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291892">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M. contra UCRANIA, § 85: «El Tribunal reitera que el recurso debe ofrecer una reparación directa y oportuna, y no una mera protección indirecta de los derechos garantizados por el Convenio (véase, mutatis mutandis, Melnik c. Ucrania, no. 72286/01, § 68, 28 de marzo de 2006)»</w:t>
      </w:r>
      <w:r w:rsidR="007E54F7">
        <w:rPr>
          <w:rFonts w:ascii="Arial" w:hAnsi="Arial" w:cs="Arial"/>
          <w:color w:val="000000" w:themeColor="text1"/>
          <w:sz w:val="20"/>
          <w:szCs w:val="20"/>
          <w:lang w:val="es-ES"/>
        </w:rPr>
        <w:t>.</w:t>
      </w:r>
    </w:p>
  </w:footnote>
  <w:footnote w:id="76">
    <w:p w14:paraId="38D6A40E" w14:textId="3C96E88D" w:rsidR="00664C80" w:rsidRPr="00035B3E" w:rsidRDefault="00664C80" w:rsidP="00BA1DC7">
      <w:pPr>
        <w:widowControl w:val="0"/>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Caso CERVENKA contra REPÚBLICA CHECA, § 115: «El Tribunal reitera a este respecto que una de las principales cuestiones al examinar la eficacia de un recurso es si éste puede ofrecer una reparación adecuada. Cuando la queja es, como en el presente caso, sobre la privación de libertad de una persona plenamente incapacitada, basada en un acuerdo firmado por su tutor cuya competencia se ha puesto en duda y cuando la privación se llevó a cabo en contra de la voluntad de la persona, un recurso adecuado es, en primer lugar, aquel que puede poner fin inmediatamente a la violación continuada ordenando la liberación de la persona. Los requisitos específicos del artículo 5 § 4 del Convenio sobre el carácter de un procedimiento necesario, incluidas las garantías de una revisión independiente e imparcial basada en el carácter contradictorio del procedimiento y el principio de igualdad de armas, son inherentes a dicho recurso. Además, la reparación compensatoria retroactiva podría ser complementaria a dicho recurso (véase M. c. Ucrania, nº 2452/04, § 84, 19 de abril de 2012)»</w:t>
      </w:r>
      <w:r w:rsidR="00291892">
        <w:rPr>
          <w:rFonts w:ascii="Arial" w:hAnsi="Arial" w:cs="Arial"/>
          <w:color w:val="000000" w:themeColor="text1"/>
          <w:sz w:val="20"/>
          <w:szCs w:val="20"/>
          <w:lang w:val="es-ES"/>
        </w:rPr>
        <w:t>.</w:t>
      </w:r>
    </w:p>
  </w:footnote>
  <w:footnote w:id="77">
    <w:p w14:paraId="498082D5" w14:textId="6AE6721D" w:rsidR="009432AC" w:rsidRPr="00035B3E" w:rsidRDefault="009432AC"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 xml:space="preserve">Es lo que sucedió en el caso citado de M. contra UCRANIA, en el que se entendió que no podía considerarse recurso al planteado ante el Ministerio Fiscal «debido a </w:t>
      </w:r>
      <w:r w:rsidR="008E48D0" w:rsidRPr="00035B3E">
        <w:rPr>
          <w:rFonts w:ascii="Arial" w:hAnsi="Arial" w:cs="Arial"/>
          <w:color w:val="000000" w:themeColor="text1"/>
          <w:lang w:val="es-ES"/>
        </w:rPr>
        <w:t xml:space="preserve">la falta de garantías procesales antes mencionadas» (§ 85). </w:t>
      </w:r>
    </w:p>
  </w:footnote>
  <w:footnote w:id="78">
    <w:p w14:paraId="214D1808" w14:textId="046430C8" w:rsidR="00692896" w:rsidRPr="00035B3E" w:rsidRDefault="00773777" w:rsidP="00291892">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00692896" w:rsidRPr="00035B3E">
        <w:rPr>
          <w:rFonts w:ascii="Arial" w:hAnsi="Arial" w:cs="Arial"/>
          <w:color w:val="000000" w:themeColor="text1"/>
          <w:lang w:val="es-ES"/>
        </w:rPr>
        <w:t xml:space="preserve">El parágrafo 154 de la sentencia del caso MIHAILOVS contra LETONIA es muy claro al respecto: «Entre los principios que se desprenden de la jurisprudencia del Tribunal en virtud del artículo 5 § 4 relativa a las "personas con problemas mentales" </w:t>
      </w:r>
      <w:r w:rsidR="00B95865" w:rsidRPr="00035B3E">
        <w:rPr>
          <w:rFonts w:ascii="Arial" w:hAnsi="Arial" w:cs="Arial"/>
          <w:color w:val="000000" w:themeColor="text1"/>
          <w:lang w:val="es-ES"/>
        </w:rPr>
        <w:t>están</w:t>
      </w:r>
      <w:r w:rsidR="00692896" w:rsidRPr="00035B3E">
        <w:rPr>
          <w:rFonts w:ascii="Arial" w:hAnsi="Arial" w:cs="Arial"/>
          <w:color w:val="000000" w:themeColor="text1"/>
          <w:lang w:val="es-ES"/>
        </w:rPr>
        <w:t xml:space="preserve"> los siguientes:</w:t>
      </w:r>
    </w:p>
    <w:p w14:paraId="367FF9A2" w14:textId="27213934" w:rsidR="00773777" w:rsidRPr="00035B3E" w:rsidRDefault="00692896" w:rsidP="00BA1DC7">
      <w:pPr>
        <w:pStyle w:val="Textonotapie"/>
        <w:ind w:firstLine="284"/>
        <w:jc w:val="both"/>
        <w:rPr>
          <w:rFonts w:ascii="Arial" w:hAnsi="Arial" w:cs="Arial"/>
          <w:color w:val="000000" w:themeColor="text1"/>
          <w:lang w:val="es-ES"/>
        </w:rPr>
      </w:pPr>
      <w:r w:rsidRPr="00035B3E">
        <w:rPr>
          <w:rFonts w:ascii="Arial" w:hAnsi="Arial" w:cs="Arial"/>
          <w:color w:val="000000" w:themeColor="text1"/>
          <w:lang w:val="es-ES"/>
        </w:rPr>
        <w:t xml:space="preserve">(b) El artículo 5 § 4 exige que el procedimiento seguido tenga carácter judicial y que ofrezca a la persona afectada las garantías apropiadas al tipo de privación de libertad de que se trate; para determinar si el procedimiento ofrece las garantías adecuadas, debe tenerse en cuenta la naturaleza particular de las circunstancias en las que </w:t>
      </w:r>
      <w:r w:rsidR="00C8442C" w:rsidRPr="00035B3E">
        <w:rPr>
          <w:rFonts w:ascii="Arial" w:hAnsi="Arial" w:cs="Arial"/>
          <w:color w:val="000000" w:themeColor="text1"/>
          <w:lang w:val="es-ES"/>
        </w:rPr>
        <w:t>tienen lugar</w:t>
      </w:r>
      <w:r w:rsidRPr="00035B3E">
        <w:rPr>
          <w:rFonts w:ascii="Arial" w:hAnsi="Arial" w:cs="Arial"/>
          <w:color w:val="000000" w:themeColor="text1"/>
          <w:lang w:val="es-ES"/>
        </w:rPr>
        <w:t>».</w:t>
      </w:r>
    </w:p>
  </w:footnote>
  <w:footnote w:id="79">
    <w:p w14:paraId="2E3F3EFB" w14:textId="0E4D5551" w:rsidR="002F2806" w:rsidRPr="00035B3E" w:rsidRDefault="002F2806"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Caso M. contra UCRANIA, § 56.</w:t>
      </w:r>
    </w:p>
  </w:footnote>
  <w:footnote w:id="80">
    <w:p w14:paraId="085F7A87" w14:textId="0BE3171E" w:rsidR="00936D6F" w:rsidRPr="00035B3E" w:rsidRDefault="00936D6F" w:rsidP="00BA1DC7">
      <w:pPr>
        <w:pStyle w:val="Textonotapie"/>
        <w:ind w:firstLine="284"/>
        <w:jc w:val="both"/>
        <w:rPr>
          <w:rFonts w:ascii="Arial" w:hAnsi="Arial" w:cs="Arial"/>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i/>
          <w:iCs/>
          <w:color w:val="000000" w:themeColor="text1"/>
          <w:lang w:val="es-ES"/>
        </w:rPr>
        <w:t>Ibidem</w:t>
      </w:r>
      <w:r w:rsidRPr="00035B3E">
        <w:rPr>
          <w:rFonts w:ascii="Arial" w:hAnsi="Arial" w:cs="Arial"/>
          <w:color w:val="000000" w:themeColor="text1"/>
          <w:lang w:val="es-ES"/>
        </w:rPr>
        <w:t>: «La motivación de la orden de internamiento es un factor relevante para determinar si el internamiento de una persona debe considerarse arbitrario. El Tribunal ha considerado que la ausencia de cualquier motivación de las autoridades judiciales en las decisiones que autorizan el internamiento por un período prolongado es incompatible con el principio de protección contra la arbitrariedad consagrado en el artículo 5 § 1 (véase Stašaitis v. Lituania, no. 47679/99, § 67, 21 de marzo de 2002; Nakhmanovich v. Rusia, no. 55669/00, § 70, 2 de marzo de 2006; y Belevitskiy v. Russia, no. 72967/01, § 91, 1 de marzo de 2007)»</w:t>
      </w:r>
      <w:r w:rsidR="00291892">
        <w:rPr>
          <w:rFonts w:ascii="Arial" w:hAnsi="Arial" w:cs="Arial"/>
          <w:color w:val="000000" w:themeColor="text1"/>
          <w:lang w:val="es-ES"/>
        </w:rPr>
        <w:t>.</w:t>
      </w:r>
    </w:p>
  </w:footnote>
  <w:footnote w:id="81">
    <w:p w14:paraId="4699B451" w14:textId="70EE53C6" w:rsidR="00143E75" w:rsidRPr="00035B3E" w:rsidRDefault="00143E75" w:rsidP="00BA1DC7">
      <w:pPr>
        <w:pStyle w:val="Textonotapie"/>
        <w:ind w:firstLine="284"/>
        <w:jc w:val="both"/>
        <w:rPr>
          <w:rFonts w:ascii="Arial" w:hAnsi="Arial" w:cs="Arial"/>
          <w:lang w:val="es-ES"/>
        </w:rPr>
      </w:pPr>
      <w:r w:rsidRPr="00035B3E">
        <w:rPr>
          <w:rStyle w:val="Refdenotaalpie"/>
          <w:rFonts w:ascii="Arial" w:hAnsi="Arial" w:cs="Arial"/>
        </w:rPr>
        <w:footnoteRef/>
      </w:r>
      <w:r w:rsidRPr="00035B3E">
        <w:rPr>
          <w:rFonts w:ascii="Arial" w:hAnsi="Arial" w:cs="Arial"/>
        </w:rPr>
        <w:t xml:space="preserve"> </w:t>
      </w:r>
      <w:r w:rsidRPr="00035B3E">
        <w:rPr>
          <w:rFonts w:ascii="Arial" w:hAnsi="Arial" w:cs="Arial"/>
          <w:lang w:val="es-ES"/>
        </w:rPr>
        <w:t>Caso BAUDOIN contra FRANCIA, § 92.</w:t>
      </w:r>
    </w:p>
  </w:footnote>
  <w:footnote w:id="82">
    <w:p w14:paraId="5F75A091" w14:textId="6332F72D" w:rsidR="00127DFD" w:rsidRPr="00035B3E" w:rsidRDefault="00127DFD"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STEDH del caso SYKORA contra la REPÚBLICA CHECA, § 67.</w:t>
      </w:r>
    </w:p>
  </w:footnote>
  <w:footnote w:id="83">
    <w:p w14:paraId="145AEF85" w14:textId="143FDD44" w:rsidR="00DD4B7D" w:rsidRPr="00035B3E" w:rsidRDefault="00DD4B7D"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lang w:val="es-ES"/>
        </w:rPr>
        <w:t xml:space="preserve"> STEDH, caso LASHIN, § 116: «El Tribunal reitera que el internamiento en un hospital psiquiátrico no se convierte necesariamente en "voluntario" en términos del Convenio porque se haya obtenido el consentimiento del tutor. Aunque a veces es difícil discernir la verdadera voluntad de un enfermo mental (véase, por ejemplo, Storck c. Alemania, nº 61603/00, § 74, TEDH 2005-V), el Tribunal </w:t>
      </w:r>
      <w:r w:rsidRPr="00291892">
        <w:rPr>
          <w:rFonts w:ascii="Arial" w:hAnsi="Arial" w:cs="Arial"/>
          <w:color w:val="000000" w:themeColor="text1"/>
          <w:sz w:val="20"/>
          <w:szCs w:val="20"/>
          <w:lang w:val="es-ES"/>
        </w:rPr>
        <w:t>confía en</w:t>
      </w:r>
      <w:r w:rsidRPr="00035B3E">
        <w:rPr>
          <w:rFonts w:ascii="Arial" w:hAnsi="Arial" w:cs="Arial"/>
          <w:color w:val="000000" w:themeColor="text1"/>
          <w:sz w:val="20"/>
          <w:szCs w:val="20"/>
          <w:lang w:val="es-ES"/>
        </w:rPr>
        <w:t xml:space="preserve"> que en el presente caso el demandante no estaba de acuerdo con la hospitalización. Esto queda claramente demostrado por el hecho de que su internamiento fue considerado inicialmente como no voluntario por todas las partes implicadas. A pesar de ello, a partir del 20 de diciembre de 2002 fue posible mantenerlo confinado sin una orden judicial. En consecuencia, el demandante no pudo disfrutar de las garantías asociadas al proceso judicial. Este factor por sí solo es suficiente, en opinión del Tribunal, para concluir que </w:t>
      </w:r>
      <w:r w:rsidR="006664FD">
        <w:rPr>
          <w:rFonts w:ascii="Arial" w:hAnsi="Arial" w:cs="Arial"/>
          <w:color w:val="000000" w:themeColor="text1"/>
          <w:sz w:val="20"/>
          <w:szCs w:val="20"/>
          <w:lang w:val="es-ES"/>
        </w:rPr>
        <w:t>el internamiento</w:t>
      </w:r>
      <w:r w:rsidRPr="00035B3E">
        <w:rPr>
          <w:rFonts w:ascii="Arial" w:hAnsi="Arial" w:cs="Arial"/>
          <w:color w:val="000000" w:themeColor="text1"/>
          <w:sz w:val="20"/>
          <w:szCs w:val="20"/>
          <w:lang w:val="es-ES"/>
        </w:rPr>
        <w:t xml:space="preserve"> del demandante era incompatible con el artículo 5 § 1 del Convenio»</w:t>
      </w:r>
      <w:r w:rsidR="00291892">
        <w:rPr>
          <w:rFonts w:ascii="Arial" w:hAnsi="Arial" w:cs="Arial"/>
          <w:color w:val="000000" w:themeColor="text1"/>
          <w:sz w:val="20"/>
          <w:szCs w:val="20"/>
          <w:lang w:val="es-ES"/>
        </w:rPr>
        <w:t>.</w:t>
      </w:r>
    </w:p>
  </w:footnote>
  <w:footnote w:id="84">
    <w:p w14:paraId="4DEB5171" w14:textId="1B2EC04D" w:rsidR="009B4157" w:rsidRPr="00035B3E" w:rsidRDefault="009B4157"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w:t>
      </w:r>
      <w:r w:rsidRPr="00035B3E">
        <w:rPr>
          <w:rFonts w:ascii="Arial" w:hAnsi="Arial" w:cs="Arial"/>
          <w:color w:val="000000" w:themeColor="text1"/>
          <w:lang w:val="es-ES_tradnl"/>
        </w:rPr>
        <w:t xml:space="preserve">El Tribunal observa que la única salvaguarda posible contra la arbitrariedad respecto a </w:t>
      </w:r>
      <w:r w:rsidR="006664FD">
        <w:rPr>
          <w:rFonts w:ascii="Arial" w:hAnsi="Arial" w:cs="Arial"/>
          <w:color w:val="000000" w:themeColor="text1"/>
          <w:lang w:val="es-ES_tradnl"/>
        </w:rPr>
        <w:t>el internamiento</w:t>
      </w:r>
      <w:r w:rsidRPr="00035B3E">
        <w:rPr>
          <w:rFonts w:ascii="Arial" w:hAnsi="Arial" w:cs="Arial"/>
          <w:color w:val="000000" w:themeColor="text1"/>
          <w:lang w:val="es-ES_tradnl"/>
        </w:rPr>
        <w:t xml:space="preserve"> del demandante era la exigencia de que su tutor, que era el Ayuntamiento de Brno, consintiera </w:t>
      </w:r>
      <w:r w:rsidR="006664FD">
        <w:rPr>
          <w:rFonts w:ascii="Arial" w:hAnsi="Arial" w:cs="Arial"/>
          <w:color w:val="000000" w:themeColor="text1"/>
          <w:lang w:val="es-ES_tradnl"/>
        </w:rPr>
        <w:t>el internamiento</w:t>
      </w:r>
      <w:r w:rsidRPr="00035B3E">
        <w:rPr>
          <w:rFonts w:ascii="Arial" w:hAnsi="Arial" w:cs="Arial"/>
          <w:color w:val="000000" w:themeColor="text1"/>
          <w:lang w:val="es-ES_tradnl"/>
        </w:rPr>
        <w:t xml:space="preserve">. Sin embargo, el tutor dio su consentimiento a </w:t>
      </w:r>
      <w:r w:rsidR="006664FD">
        <w:rPr>
          <w:rFonts w:ascii="Arial" w:hAnsi="Arial" w:cs="Arial"/>
          <w:color w:val="000000" w:themeColor="text1"/>
          <w:lang w:val="es-ES_tradnl"/>
        </w:rPr>
        <w:t>el internamiento</w:t>
      </w:r>
      <w:r w:rsidRPr="00035B3E">
        <w:rPr>
          <w:rFonts w:ascii="Arial" w:hAnsi="Arial" w:cs="Arial"/>
          <w:color w:val="000000" w:themeColor="text1"/>
          <w:lang w:val="es-ES_tradnl"/>
        </w:rPr>
        <w:t xml:space="preserve"> del demandante sin reunirse con </w:t>
      </w:r>
      <w:r w:rsidR="001439F9">
        <w:rPr>
          <w:rFonts w:ascii="Arial" w:hAnsi="Arial" w:cs="Arial"/>
          <w:color w:val="000000" w:themeColor="text1"/>
          <w:lang w:val="es-ES_tradnl"/>
        </w:rPr>
        <w:t>él</w:t>
      </w:r>
      <w:r w:rsidRPr="00035B3E">
        <w:rPr>
          <w:rFonts w:ascii="Arial" w:hAnsi="Arial" w:cs="Arial"/>
          <w:color w:val="000000" w:themeColor="text1"/>
          <w:lang w:val="es-ES_tradnl"/>
        </w:rPr>
        <w:t>,</w:t>
      </w:r>
      <w:r w:rsidR="001439F9">
        <w:rPr>
          <w:rFonts w:ascii="Arial" w:hAnsi="Arial" w:cs="Arial"/>
          <w:color w:val="000000" w:themeColor="text1"/>
          <w:lang w:val="es-ES_tradnl"/>
        </w:rPr>
        <w:t xml:space="preserve"> y</w:t>
      </w:r>
      <w:r w:rsidRPr="00035B3E">
        <w:rPr>
          <w:rFonts w:ascii="Arial" w:hAnsi="Arial" w:cs="Arial"/>
          <w:color w:val="000000" w:themeColor="text1"/>
          <w:lang w:val="es-ES_tradnl"/>
        </w:rPr>
        <w:t xml:space="preserve"> </w:t>
      </w:r>
      <w:r w:rsidR="001439F9">
        <w:rPr>
          <w:rFonts w:ascii="Arial" w:hAnsi="Arial" w:cs="Arial"/>
          <w:color w:val="000000" w:themeColor="text1"/>
          <w:lang w:val="es-ES_tradnl"/>
        </w:rPr>
        <w:t>sin</w:t>
      </w:r>
      <w:r w:rsidRPr="00035B3E">
        <w:rPr>
          <w:rFonts w:ascii="Arial" w:hAnsi="Arial" w:cs="Arial"/>
          <w:color w:val="000000" w:themeColor="text1"/>
          <w:lang w:val="es-ES_tradnl"/>
        </w:rPr>
        <w:t xml:space="preserve"> siquiera consultarlo. Además, nunca se ha explicado por qué habría sido imposible o inapropiado consultar al demandante antes de tomar esta decisión, como se menciona en las normas internacionales pertinentes (véase el principio 9 en el párrafo 42 anterior). En consecuencia, el consentimiento del tutor no constituyó una salvaguardia suficiente contra la arbitrariedad»</w:t>
      </w:r>
      <w:r w:rsidR="001439F9">
        <w:rPr>
          <w:rFonts w:ascii="Arial" w:hAnsi="Arial" w:cs="Arial"/>
          <w:color w:val="000000" w:themeColor="text1"/>
          <w:lang w:val="es-ES_tradnl"/>
        </w:rPr>
        <w:t>.</w:t>
      </w:r>
      <w:r w:rsidRPr="00035B3E">
        <w:rPr>
          <w:rFonts w:ascii="Arial" w:hAnsi="Arial" w:cs="Arial"/>
          <w:color w:val="000000" w:themeColor="text1"/>
          <w:lang w:val="es-ES_tradnl"/>
        </w:rPr>
        <w:t xml:space="preserve"> (§ 68).</w:t>
      </w:r>
    </w:p>
  </w:footnote>
  <w:footnote w:id="85">
    <w:p w14:paraId="0CD36D76" w14:textId="078B2EB8" w:rsidR="004E6AD1" w:rsidRPr="00035B3E" w:rsidRDefault="004E6AD1"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00BC688E">
        <w:rPr>
          <w:rFonts w:ascii="Arial" w:hAnsi="Arial" w:cs="Arial"/>
          <w:color w:val="000000" w:themeColor="text1"/>
          <w:lang w:val="es-ES"/>
        </w:rPr>
        <w:t xml:space="preserve"> Caso</w:t>
      </w:r>
      <w:r w:rsidRPr="00035B3E">
        <w:rPr>
          <w:rFonts w:ascii="Arial" w:hAnsi="Arial" w:cs="Arial"/>
          <w:color w:val="000000" w:themeColor="text1"/>
        </w:rPr>
        <w:t xml:space="preserve"> </w:t>
      </w:r>
      <w:r w:rsidRPr="00035B3E">
        <w:rPr>
          <w:rFonts w:ascii="Arial" w:eastAsia="Times New Roman" w:hAnsi="Arial" w:cs="Arial"/>
          <w:color w:val="000000" w:themeColor="text1"/>
          <w:lang w:val="es-ES" w:eastAsia="es-ES_tradnl"/>
        </w:rPr>
        <w:t>M</w:t>
      </w:r>
      <w:r w:rsidR="001439F9">
        <w:rPr>
          <w:rFonts w:ascii="Arial" w:eastAsia="Times New Roman" w:hAnsi="Arial" w:cs="Arial"/>
          <w:color w:val="000000" w:themeColor="text1"/>
          <w:lang w:val="es-ES" w:eastAsia="es-ES_tradnl"/>
        </w:rPr>
        <w:t>.</w:t>
      </w:r>
      <w:r w:rsidRPr="00035B3E">
        <w:rPr>
          <w:rFonts w:ascii="Arial" w:eastAsia="Times New Roman" w:hAnsi="Arial" w:cs="Arial"/>
          <w:color w:val="000000" w:themeColor="text1"/>
          <w:lang w:val="es-ES" w:eastAsia="es-ES_tradnl"/>
        </w:rPr>
        <w:t xml:space="preserve"> contra Ucrania</w:t>
      </w:r>
      <w:r w:rsidR="001439F9">
        <w:rPr>
          <w:rFonts w:ascii="Arial" w:eastAsia="Times New Roman" w:hAnsi="Arial" w:cs="Arial"/>
          <w:color w:val="000000" w:themeColor="text1"/>
          <w:lang w:val="es-ES" w:eastAsia="es-ES_tradnl"/>
        </w:rPr>
        <w:t>, §</w:t>
      </w:r>
      <w:r w:rsidRPr="00035B3E">
        <w:rPr>
          <w:rFonts w:ascii="Arial" w:eastAsia="Times New Roman" w:hAnsi="Arial" w:cs="Arial"/>
          <w:color w:val="000000" w:themeColor="text1"/>
          <w:lang w:val="es-ES" w:eastAsia="es-ES_tradnl"/>
        </w:rPr>
        <w:t xml:space="preserve"> </w:t>
      </w:r>
      <w:r w:rsidRPr="00035B3E">
        <w:rPr>
          <w:rFonts w:ascii="Arial" w:hAnsi="Arial" w:cs="Arial"/>
          <w:color w:val="000000" w:themeColor="text1"/>
          <w:lang w:val="es-ES"/>
        </w:rPr>
        <w:t>66</w:t>
      </w:r>
      <w:r w:rsidR="001439F9">
        <w:rPr>
          <w:rFonts w:ascii="Arial" w:hAnsi="Arial" w:cs="Arial"/>
          <w:color w:val="000000" w:themeColor="text1"/>
          <w:lang w:val="es-ES"/>
        </w:rPr>
        <w:t>:</w:t>
      </w:r>
      <w:r w:rsidRPr="00035B3E">
        <w:rPr>
          <w:rFonts w:ascii="Arial" w:hAnsi="Arial" w:cs="Arial"/>
          <w:color w:val="000000" w:themeColor="text1"/>
          <w:lang w:val="es-ES"/>
        </w:rPr>
        <w:t xml:space="preserve"> «De ello se desprende que, a falta de plazos fijados por los tribunales en las decisiones primarias de hospitalización, la revisión judicial posterior del asunto no estuvo a disposición del demandante durante un período de tiempo considerable. Mientras tanto, la revisión mensual realizada por un grupo de psiquiatras no estaba respaldada por garantías adecuadas de independencia, imparcialidad y objetividad del examen médico (véase, mutatis mutandis, L.M. c. Letonia, nº 26000/02, § 52, 19 de julio de 2011)»</w:t>
      </w:r>
      <w:r w:rsidR="001439F9">
        <w:rPr>
          <w:rFonts w:ascii="Arial" w:hAnsi="Arial" w:cs="Arial"/>
          <w:color w:val="000000" w:themeColor="text1"/>
          <w:lang w:val="es-ES"/>
        </w:rPr>
        <w:t>.</w:t>
      </w:r>
    </w:p>
  </w:footnote>
  <w:footnote w:id="86">
    <w:p w14:paraId="31D73514" w14:textId="77777777" w:rsidR="00AC159B" w:rsidRPr="00035B3E" w:rsidRDefault="00AC159B" w:rsidP="00AC159B">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eastAsia="Times New Roman" w:hAnsi="Arial" w:cs="Arial"/>
          <w:color w:val="000000" w:themeColor="text1"/>
          <w:sz w:val="20"/>
          <w:szCs w:val="20"/>
          <w:lang w:val="es-ES" w:eastAsia="es-ES_tradnl"/>
        </w:rPr>
        <w:t>Caso PROSCHKIN contra RUSIA, §79: «</w:t>
      </w:r>
      <w:r w:rsidRPr="00035B3E">
        <w:rPr>
          <w:rFonts w:ascii="Arial" w:hAnsi="Arial" w:cs="Arial"/>
          <w:color w:val="000000" w:themeColor="text1"/>
          <w:sz w:val="20"/>
          <w:szCs w:val="20"/>
          <w:lang w:val="es-ES_tradnl"/>
        </w:rPr>
        <w:t>El Tribunal ya ha tenido varias oportunidades de examinar quejas similares a la planteada por el solicitante en el presente caso, habiendo aceptado que las autoridades nacionales pueden necesitar cierto tiempo para seleccionar la clínica de custodia más adecuada para un solicitante condenado que padece un trastorno mental y que es inevitable una cierta disparidad entre la capacidad disponible y la necesaria en las clínicas de custodia (véase, por ejemplo, Morsink, citada anteriormente, §§ 66-68, y Brand v. the Netherlands, no. 49902/99, §§ 60-66, 11 de mayo de 2004). Al mismo tiempo, el Tribunal ha subrayado que debe alcanzarse un equilibrio razonable entre los intereses en conflicto. A este respecto, reiterando la importancia del artículo 5 en el sistema del Convenio, el Tribunal ha opinado que, al establecer este equilibrio, debe darse especial importancia al derecho a la libertad del solicitante, teniendo en cuenta que un retraso significativo en el ingreso en una clínica de custodia y, por tanto, el inicio del tratamiento de la persona afectad</w:t>
      </w:r>
      <w:r>
        <w:rPr>
          <w:rFonts w:ascii="Arial" w:hAnsi="Arial" w:cs="Arial"/>
          <w:color w:val="000000" w:themeColor="text1"/>
          <w:sz w:val="20"/>
          <w:szCs w:val="20"/>
          <w:lang w:val="es-ES_tradnl"/>
        </w:rPr>
        <w:t>a</w:t>
      </w:r>
      <w:r w:rsidRPr="00035B3E">
        <w:rPr>
          <w:rFonts w:ascii="Arial" w:hAnsi="Arial" w:cs="Arial"/>
          <w:color w:val="000000" w:themeColor="text1"/>
          <w:sz w:val="20"/>
          <w:szCs w:val="20"/>
          <w:lang w:val="es-ES_tradnl"/>
        </w:rPr>
        <w:t xml:space="preserve"> afectaría obviamente a las perspectivas de éxito del tratamiento»</w:t>
      </w:r>
      <w:r>
        <w:rPr>
          <w:rFonts w:ascii="Arial" w:hAnsi="Arial" w:cs="Arial"/>
          <w:color w:val="000000" w:themeColor="text1"/>
          <w:sz w:val="20"/>
          <w:szCs w:val="20"/>
          <w:lang w:val="es-ES_tradnl"/>
        </w:rPr>
        <w:t>.</w:t>
      </w:r>
    </w:p>
  </w:footnote>
  <w:footnote w:id="87">
    <w:p w14:paraId="74B919C3" w14:textId="164C5BC3" w:rsidR="00D048CC" w:rsidRPr="00035B3E" w:rsidRDefault="00D048CC"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_tradnl"/>
        </w:rPr>
        <w:t>Caso MORSINK contra LOS PAÍSES BAJOS</w:t>
      </w:r>
      <w:r w:rsidR="0051500E">
        <w:rPr>
          <w:rFonts w:ascii="Arial" w:hAnsi="Arial" w:cs="Arial"/>
          <w:color w:val="000000" w:themeColor="text1"/>
          <w:sz w:val="20"/>
          <w:szCs w:val="20"/>
          <w:lang w:val="es-ES_tradnl"/>
        </w:rPr>
        <w:t>, §</w:t>
      </w:r>
      <w:r w:rsidRPr="00035B3E">
        <w:rPr>
          <w:rFonts w:ascii="Arial" w:hAnsi="Arial" w:cs="Arial"/>
          <w:color w:val="000000" w:themeColor="text1"/>
          <w:sz w:val="20"/>
          <w:szCs w:val="20"/>
          <w:lang w:val="es-ES_tradnl"/>
        </w:rPr>
        <w:t xml:space="preserve"> 68</w:t>
      </w:r>
      <w:r w:rsidR="0051500E">
        <w:rPr>
          <w:rFonts w:ascii="Arial" w:hAnsi="Arial" w:cs="Arial"/>
          <w:color w:val="000000" w:themeColor="text1"/>
          <w:sz w:val="20"/>
          <w:szCs w:val="20"/>
          <w:lang w:val="es-ES_tradnl"/>
        </w:rPr>
        <w:t>:</w:t>
      </w:r>
      <w:r w:rsidRPr="00035B3E">
        <w:rPr>
          <w:rFonts w:ascii="Arial" w:hAnsi="Arial" w:cs="Arial"/>
          <w:color w:val="000000" w:themeColor="text1"/>
          <w:sz w:val="20"/>
          <w:szCs w:val="20"/>
          <w:lang w:val="es-ES_tradnl"/>
        </w:rPr>
        <w:t xml:space="preserve"> «Por lo tanto, debe alcanzarse un equilibrio razonable entre los intereses en conflicto. A este respecto, recordando la importancia del artículo 5 en el sistema del Convenio, el Tribunal considera que, al establecer este equilibrio, debe darse un peso especial al derecho a la libertad del demandante. Si la admisión en un centro TBS se produce sólo después de un retraso importante, el comienzo del tratamiento de la persona se retrasa, lo que conlleva forzosamente consecuencias para sus opciones de éxito dentro del plazo legal de dos años de validez de una resolución TBS. Además, las posibilidades de tener que prorrogar la validez de la orden TBS aumentan en consecuencia en la misma proporción.» En el mismo sentido PROSCHKIN contra RUSIA</w:t>
      </w:r>
      <w:r w:rsidR="0051500E">
        <w:rPr>
          <w:rFonts w:ascii="Arial" w:hAnsi="Arial" w:cs="Arial"/>
          <w:color w:val="000000" w:themeColor="text1"/>
          <w:sz w:val="20"/>
          <w:szCs w:val="20"/>
          <w:lang w:val="es-ES_tradnl"/>
        </w:rPr>
        <w:t>, §</w:t>
      </w:r>
      <w:r w:rsidRPr="00035B3E">
        <w:rPr>
          <w:rFonts w:ascii="Arial" w:hAnsi="Arial" w:cs="Arial"/>
          <w:color w:val="000000" w:themeColor="text1"/>
          <w:sz w:val="20"/>
          <w:szCs w:val="20"/>
          <w:lang w:val="es-ES_tradnl"/>
        </w:rPr>
        <w:t xml:space="preserve"> 79 y BRAND contra PAÍSES BAJOS, §§ 60-66. </w:t>
      </w:r>
    </w:p>
  </w:footnote>
  <w:footnote w:id="88">
    <w:p w14:paraId="0C610582" w14:textId="191F1F24" w:rsidR="00ED58C8" w:rsidRPr="00035B3E" w:rsidRDefault="00ED58C8" w:rsidP="00BA1DC7">
      <w:pPr>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_tradnl"/>
        </w:rPr>
        <w:t>JOHNSON contra EL REINO UNIDO, § 62: «El Tribunal no puede aceptar este argumento. En su opinión, el hecho de que las instituciones especializadas hayan comprobado que el trastorno mental que motivó la hospitalización forzosa de un paciente ha desaparecido no significa que éste deba ser dado de alta automáticamente de forma inmediata e incondicional para reanudar una vida normal en la sociedad. Una interpretación tan rígida de esta condición limitaría de forma inaceptable la libertad de criterio de las autoridades a la hora de evaluar, en función de todas las circunstancias de cada caso, si dicha liberación redundaría en el interés superior del paciente y de la comunidad a la que va a regresar. También hay que tener en cuenta que en materia de enfermedades mentales es imposible establecer sin riesgo de error si la desaparición de los síntomas de una enfermedad es la confirmación de una recuperación total. No siempre es posible decir con absoluta certeza si un paciente se ha curado del episodio de enfermedad mental que justificó su internamiento de forma completa y definitiva o sólo en apariencia. El comportamiento del paciente durante el periodo que pasa fuera de los confines de la institución psiquiátrica es lo que resulta concluyente a este respecto»</w:t>
      </w:r>
      <w:r w:rsidR="00B272DA">
        <w:rPr>
          <w:rFonts w:ascii="Arial" w:hAnsi="Arial" w:cs="Arial"/>
          <w:color w:val="000000" w:themeColor="text1"/>
          <w:sz w:val="20"/>
          <w:szCs w:val="20"/>
          <w:lang w:val="es-ES_tradnl"/>
        </w:rPr>
        <w:t>.</w:t>
      </w:r>
    </w:p>
  </w:footnote>
  <w:footnote w:id="89">
    <w:p w14:paraId="5088ED59" w14:textId="45B887A7" w:rsidR="00D048CC" w:rsidRPr="00035B3E" w:rsidRDefault="00D048CC"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_tradnl"/>
        </w:rPr>
        <w:t>MORSINK contra LOS PAÍSES BAJOS, § 67</w:t>
      </w:r>
      <w:r w:rsidR="00565935">
        <w:rPr>
          <w:rFonts w:ascii="Arial" w:hAnsi="Arial" w:cs="Arial"/>
          <w:color w:val="000000" w:themeColor="text1"/>
          <w:sz w:val="20"/>
          <w:szCs w:val="20"/>
          <w:lang w:val="es-ES_tradnl"/>
        </w:rPr>
        <w:t>:</w:t>
      </w:r>
      <w:r w:rsidRPr="00035B3E">
        <w:rPr>
          <w:rFonts w:ascii="Arial" w:hAnsi="Arial" w:cs="Arial"/>
          <w:color w:val="000000" w:themeColor="text1"/>
          <w:sz w:val="20"/>
          <w:szCs w:val="20"/>
          <w:lang w:val="es-ES_tradnl"/>
        </w:rPr>
        <w:t xml:space="preserve"> «El Tribunal considera además que, una vez concluido el procedimiento de selección, sería poco realista y excesivamente rígido esperar que las autoridades garanticen la disponibilidad inmediata de una plaza en la institución TBS elegida. El Tribunal admite, por razones relacionadas con las necesidades de una gestión eficaz de los fondos públicos, un cierto desfase entre la capacidad disponible y la necesaria de las instituciones TBS, y debe considerarse aceptable»</w:t>
      </w:r>
      <w:r w:rsidR="00B272DA">
        <w:rPr>
          <w:rFonts w:ascii="Arial" w:hAnsi="Arial" w:cs="Arial"/>
          <w:color w:val="000000" w:themeColor="text1"/>
          <w:sz w:val="20"/>
          <w:szCs w:val="20"/>
          <w:lang w:val="es-ES_tradnl"/>
        </w:rPr>
        <w:t>.</w:t>
      </w:r>
    </w:p>
  </w:footnote>
  <w:footnote w:id="90">
    <w:p w14:paraId="47A8A286" w14:textId="30935B88" w:rsidR="00843C3E" w:rsidRPr="00035B3E" w:rsidRDefault="00843C3E"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_tradnl"/>
        </w:rPr>
        <w:t xml:space="preserve">MORSINK contra LOS PAÍSES BAJOS, § 65: «...el Tribunal, teniendo en cuenta las circunstancias del presente caso, no puede aceptar el argumento del demandante de que el hecho de que no fuera admitido en una clínica privada el 5 de febrero de 1998 tuvo automáticamente el efecto de hacer que su </w:t>
      </w:r>
      <w:r w:rsidR="00792016" w:rsidRPr="00035B3E">
        <w:rPr>
          <w:rFonts w:ascii="Arial" w:hAnsi="Arial" w:cs="Arial"/>
          <w:color w:val="000000" w:themeColor="text1"/>
          <w:sz w:val="20"/>
          <w:szCs w:val="20"/>
          <w:lang w:val="es-ES_tradnl"/>
        </w:rPr>
        <w:t>internamiento</w:t>
      </w:r>
      <w:r w:rsidRPr="00035B3E">
        <w:rPr>
          <w:rFonts w:ascii="Arial" w:hAnsi="Arial" w:cs="Arial"/>
          <w:color w:val="000000" w:themeColor="text1"/>
          <w:sz w:val="20"/>
          <w:szCs w:val="20"/>
          <w:lang w:val="es-ES_tradnl"/>
        </w:rPr>
        <w:t xml:space="preserve"> a partir de esa fecha fuera ilegal en virtud del artículo 5 § 1 del Convenio»</w:t>
      </w:r>
      <w:r w:rsidR="00B272DA">
        <w:rPr>
          <w:rFonts w:ascii="Arial" w:hAnsi="Arial" w:cs="Arial"/>
          <w:color w:val="000000" w:themeColor="text1"/>
          <w:sz w:val="20"/>
          <w:szCs w:val="20"/>
          <w:lang w:val="es-ES_tradnl"/>
        </w:rPr>
        <w:t>.</w:t>
      </w:r>
    </w:p>
  </w:footnote>
  <w:footnote w:id="91">
    <w:p w14:paraId="5958F361" w14:textId="281C07E6" w:rsidR="00B20D78" w:rsidRPr="00035B3E" w:rsidRDefault="00B20D78" w:rsidP="00BA1DC7">
      <w:pPr>
        <w:widowControl w:val="0"/>
        <w:ind w:firstLine="284"/>
        <w:jc w:val="both"/>
        <w:rPr>
          <w:rFonts w:ascii="Arial" w:hAnsi="Arial" w:cs="Arial"/>
          <w:color w:val="000000" w:themeColor="text1"/>
          <w:sz w:val="20"/>
          <w:szCs w:val="20"/>
          <w:lang w:val="es-ES" w:eastAsia="fr-FR"/>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eastAsia="fr-FR"/>
        </w:rPr>
        <w:t xml:space="preserve">TODEV contra BULGARIA, § 31: «Por último, el Tribunal señala que, a partir del 13 de julio de 2002, mantener </w:t>
      </w:r>
      <w:r w:rsidR="00565935">
        <w:rPr>
          <w:rFonts w:ascii="Arial" w:hAnsi="Arial" w:cs="Arial"/>
          <w:color w:val="000000" w:themeColor="text1"/>
          <w:sz w:val="20"/>
          <w:szCs w:val="20"/>
          <w:lang w:val="es-ES" w:eastAsia="fr-FR"/>
        </w:rPr>
        <w:t>internamiento</w:t>
      </w:r>
      <w:r w:rsidRPr="00035B3E">
        <w:rPr>
          <w:rFonts w:ascii="Arial" w:hAnsi="Arial" w:cs="Arial"/>
          <w:color w:val="000000" w:themeColor="text1"/>
          <w:sz w:val="20"/>
          <w:szCs w:val="20"/>
          <w:lang w:val="es-ES" w:eastAsia="fr-FR"/>
        </w:rPr>
        <w:t xml:space="preserve"> del demandante no tenía fundamento en el derecho interno, el plazo de treinta días previstos en la resolución del fiscal había transcurrido sin que se hubiera solicitado una prórroga. En consecuencia, el Tribunal considera que este período de </w:t>
      </w:r>
      <w:r w:rsidR="0029623C">
        <w:rPr>
          <w:rFonts w:ascii="Arial" w:hAnsi="Arial" w:cs="Arial"/>
          <w:color w:val="000000" w:themeColor="text1"/>
          <w:sz w:val="20"/>
          <w:szCs w:val="20"/>
          <w:lang w:val="es-ES" w:eastAsia="fr-FR"/>
        </w:rPr>
        <w:t>internamiento</w:t>
      </w:r>
      <w:r w:rsidRPr="00035B3E">
        <w:rPr>
          <w:rFonts w:ascii="Arial" w:hAnsi="Arial" w:cs="Arial"/>
          <w:color w:val="000000" w:themeColor="text1"/>
          <w:sz w:val="20"/>
          <w:szCs w:val="20"/>
          <w:lang w:val="es-ES" w:eastAsia="fr-FR"/>
        </w:rPr>
        <w:t xml:space="preserve"> se llevó a cabo desconociendo los requisitos del artículo 5 § 1 (e)»</w:t>
      </w:r>
      <w:r w:rsidR="00B272DA">
        <w:rPr>
          <w:rFonts w:ascii="Arial" w:hAnsi="Arial" w:cs="Arial"/>
          <w:color w:val="000000" w:themeColor="text1"/>
          <w:sz w:val="20"/>
          <w:szCs w:val="20"/>
          <w:lang w:val="es-ES" w:eastAsia="fr-FR"/>
        </w:rPr>
        <w:t>.</w:t>
      </w:r>
    </w:p>
  </w:footnote>
  <w:footnote w:id="92">
    <w:p w14:paraId="18503032" w14:textId="55319D1E" w:rsidR="00B20D78" w:rsidRPr="00035B3E" w:rsidRDefault="00B20D78" w:rsidP="00BA1DC7">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eastAsia="Times New Roman" w:hAnsi="Arial" w:cs="Arial"/>
          <w:color w:val="000000" w:themeColor="text1"/>
          <w:sz w:val="20"/>
          <w:szCs w:val="20"/>
          <w:lang w:val="es-ES" w:eastAsia="es-ES_tradnl"/>
        </w:rPr>
        <w:t>ERKALO contra LOS PAÍSES BAJOS, § 59: «Sin embargo, debido precisamente a los intereses públicos en juego, el Tribunal de Justicia está sorprendido por el hecho de que, en el presente caso, aunque las autoridades competentes, a saber, el Ministerio de Justicia, el fiscal y el personal del instituto psiquiátrico, sabían que el internamiento del demandante estaba a punto de expirar, ninguna de ellas tomó la menor medida para comprobar si la solicitud del fiscal había sido recibida por la secretaría del Tribunal de Distrito de Groningen y si se había fijado una fecha para su examen. En estas circunstancias, y a falta de garantías adecuadas (véase el apartado 57 supra), el interés público en juego no podía invocarse como justificación para mantener al demandante en un estado de incertidumbre durante más de dos meses y medio, especialmente, porque el Sr. Erkalo estaba sometido a tratamiento psiquiátrico. A este respecto, el Tribunal de Justicia considera que corresponde a las autoridades competentes, y no al interesado, garantizar que la solicitud de prórroga de una orden de internamiento se presente y examine a su debido tiempo»</w:t>
      </w:r>
      <w:r w:rsidR="00B272DA">
        <w:rPr>
          <w:rFonts w:ascii="Arial" w:eastAsia="Times New Roman" w:hAnsi="Arial" w:cs="Arial"/>
          <w:color w:val="000000" w:themeColor="text1"/>
          <w:sz w:val="20"/>
          <w:szCs w:val="20"/>
          <w:lang w:val="es-ES" w:eastAsia="es-ES_tradnl"/>
        </w:rPr>
        <w:t>.</w:t>
      </w:r>
    </w:p>
  </w:footnote>
  <w:footnote w:id="93">
    <w:p w14:paraId="4AC37BB7" w14:textId="4AEEFD11" w:rsidR="00D46858" w:rsidRPr="00035B3E" w:rsidRDefault="00D46858" w:rsidP="00BA1DC7">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eastAsia="Times New Roman" w:hAnsi="Arial" w:cs="Arial"/>
          <w:color w:val="000000" w:themeColor="text1"/>
          <w:sz w:val="20"/>
          <w:szCs w:val="20"/>
          <w:lang w:val="es-ES" w:eastAsia="es-ES_tradnl"/>
        </w:rPr>
        <w:t>JOHNSON contra EL REINO UNIDO, §</w:t>
      </w:r>
      <w:r w:rsidR="001C6582">
        <w:rPr>
          <w:rFonts w:ascii="Arial" w:eastAsia="Times New Roman" w:hAnsi="Arial" w:cs="Arial"/>
          <w:color w:val="000000" w:themeColor="text1"/>
          <w:sz w:val="20"/>
          <w:szCs w:val="20"/>
          <w:lang w:val="es-ES" w:eastAsia="es-ES_tradnl"/>
        </w:rPr>
        <w:t xml:space="preserve"> </w:t>
      </w:r>
      <w:r w:rsidRPr="00035B3E">
        <w:rPr>
          <w:rFonts w:ascii="Arial" w:eastAsia="Times New Roman" w:hAnsi="Arial" w:cs="Arial"/>
          <w:color w:val="000000" w:themeColor="text1"/>
          <w:sz w:val="20"/>
          <w:szCs w:val="20"/>
          <w:lang w:val="es-ES" w:eastAsia="es-ES_tradnl"/>
        </w:rPr>
        <w:t xml:space="preserve">66: «Sin embargo, la Comisión exigió al demandante que residiera en un albergue y aplazó su puesta en libertad hasta que se adoptaran medidas satisfactorias a tal efecto, sin poder garantizar que se le ubicara en un lugar adecuado en un plazo razonable. Corresponde a las autoridades encontrar un hogar adecuado para el solicitante. Cabe señalar que se esperaba que resolvieran esta cuestión lo antes posible (véase el apartado 44 anterior). Aunque hicieron todo lo posible por encontrar un lugar para que el demandante se alojara, no pudieron hacerlo debido a la reticencia de algunos de los hogares y a la actitud negativa del demandante ante las propuestas que se le hicieron (véanse los apartados 20 y 21 anteriores). También tuvieron que lidiar con el reducido número de plazas disponibles. Sin duda, se podría haber encontrado un hogar adecuado sin demasiada demora si el demandante hubiera tenido una visión más positiva de su rehabilitación. Sin embargo, esto no invalida la conclusión de que ni la Junta ni las autoridades tenían las facultades necesarias para exigir el cumplimiento de esta condición en un plazo razonable. Además, el demandante no pudo obtener una revisión de su </w:t>
      </w:r>
      <w:r w:rsidR="001C6582">
        <w:rPr>
          <w:rFonts w:ascii="Arial" w:eastAsia="Times New Roman" w:hAnsi="Arial" w:cs="Arial"/>
          <w:color w:val="000000" w:themeColor="text1"/>
          <w:sz w:val="20"/>
          <w:szCs w:val="20"/>
          <w:lang w:val="es-ES" w:eastAsia="es-ES_tradnl"/>
        </w:rPr>
        <w:t>internamiento</w:t>
      </w:r>
      <w:r w:rsidRPr="00035B3E">
        <w:rPr>
          <w:rFonts w:ascii="Arial" w:eastAsia="Times New Roman" w:hAnsi="Arial" w:cs="Arial"/>
          <w:color w:val="000000" w:themeColor="text1"/>
          <w:sz w:val="20"/>
          <w:szCs w:val="20"/>
          <w:lang w:val="es-ES" w:eastAsia="es-ES_tradnl"/>
        </w:rPr>
        <w:t xml:space="preserve"> continuad</w:t>
      </w:r>
      <w:r w:rsidR="001C6582">
        <w:rPr>
          <w:rFonts w:ascii="Arial" w:eastAsia="Times New Roman" w:hAnsi="Arial" w:cs="Arial"/>
          <w:color w:val="000000" w:themeColor="text1"/>
          <w:sz w:val="20"/>
          <w:szCs w:val="20"/>
          <w:lang w:val="es-ES" w:eastAsia="es-ES_tradnl"/>
        </w:rPr>
        <w:t>o</w:t>
      </w:r>
      <w:r w:rsidRPr="00035B3E">
        <w:rPr>
          <w:rFonts w:ascii="Arial" w:eastAsia="Times New Roman" w:hAnsi="Arial" w:cs="Arial"/>
          <w:color w:val="000000" w:themeColor="text1"/>
          <w:sz w:val="20"/>
          <w:szCs w:val="20"/>
          <w:lang w:val="es-ES" w:eastAsia="es-ES_tradnl"/>
        </w:rPr>
        <w:t xml:space="preserve"> hasta al menos un año después de la revisión de junio de 1989 (véase el párrafo 44 supra). No podía pedir a la junta que reconsiderara los términos de la condición de residencia en un albergue entre dos revisiones; tampoco estaba facultada la junta para controlar a intervalos regulares, aparte de las revisiones anuales, el progreso de la búsqueda de vivienda o para modificar la orden de libertad condicional diferida a la luz de las dificultades encontradas por las autoridades. Aunque el Ministro tenía la opción de remitir el caso del demandante a la junta en cualquier momento (véase el apartado 44 anterior), era poco probable que lo hiciera, ya que en el momento de la reunión de la junta en enero de 1993 las autoridades seguían oponiéndose a la liberación sin estancia en el domicilio (véase el apartado 33 anterior)</w:t>
      </w:r>
      <w:r w:rsidR="002C419C">
        <w:rPr>
          <w:rFonts w:ascii="Arial" w:eastAsia="Times New Roman" w:hAnsi="Arial" w:cs="Arial"/>
          <w:color w:val="000000" w:themeColor="text1"/>
          <w:sz w:val="20"/>
          <w:szCs w:val="20"/>
          <w:lang w:val="es-ES" w:eastAsia="es-ES_tradnl"/>
        </w:rPr>
        <w:t>»</w:t>
      </w:r>
      <w:r w:rsidRPr="00035B3E">
        <w:rPr>
          <w:rFonts w:ascii="Arial" w:eastAsia="Times New Roman" w:hAnsi="Arial" w:cs="Arial"/>
          <w:color w:val="000000" w:themeColor="text1"/>
          <w:sz w:val="20"/>
          <w:szCs w:val="20"/>
          <w:lang w:val="es-ES" w:eastAsia="es-ES_tradnl"/>
        </w:rPr>
        <w:t>.</w:t>
      </w:r>
    </w:p>
  </w:footnote>
  <w:footnote w:id="94">
    <w:p w14:paraId="4ED49B4D" w14:textId="662F9326" w:rsidR="00CC4896" w:rsidRPr="00035B3E" w:rsidRDefault="00CC4896"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AERTS contra BÉLGICA, § 45: «</w:t>
      </w:r>
      <w:r w:rsidRPr="00035B3E">
        <w:rPr>
          <w:rFonts w:ascii="Arial" w:hAnsi="Arial" w:cs="Arial"/>
          <w:color w:val="000000" w:themeColor="text1"/>
          <w:sz w:val="20"/>
          <w:szCs w:val="20"/>
        </w:rPr>
        <w:t xml:space="preserve">En opinión del Tribunal, </w:t>
      </w:r>
      <w:r w:rsidR="002C419C">
        <w:rPr>
          <w:rFonts w:ascii="Arial" w:hAnsi="Arial" w:cs="Arial"/>
          <w:color w:val="000000" w:themeColor="text1"/>
          <w:sz w:val="20"/>
          <w:szCs w:val="20"/>
          <w:lang w:val="es-ES"/>
        </w:rPr>
        <w:t>el internamiento</w:t>
      </w:r>
      <w:r w:rsidRPr="00035B3E">
        <w:rPr>
          <w:rFonts w:ascii="Arial" w:hAnsi="Arial" w:cs="Arial"/>
          <w:color w:val="000000" w:themeColor="text1"/>
          <w:sz w:val="20"/>
          <w:szCs w:val="20"/>
        </w:rPr>
        <w:t xml:space="preserve"> en cuestión estaba amparad</w:t>
      </w:r>
      <w:r w:rsidR="002C419C">
        <w:rPr>
          <w:rFonts w:ascii="Arial" w:hAnsi="Arial" w:cs="Arial"/>
          <w:color w:val="000000" w:themeColor="text1"/>
          <w:sz w:val="20"/>
          <w:szCs w:val="20"/>
          <w:lang w:val="es-ES"/>
        </w:rPr>
        <w:t>o</w:t>
      </w:r>
      <w:r w:rsidRPr="00035B3E">
        <w:rPr>
          <w:rFonts w:ascii="Arial" w:hAnsi="Arial" w:cs="Arial"/>
          <w:color w:val="000000" w:themeColor="text1"/>
          <w:sz w:val="20"/>
          <w:szCs w:val="20"/>
        </w:rPr>
        <w:t xml:space="preserve"> únicamente por el artículo 5 § 1 (e). Aunque el Tribunal de Primera Instancia de Lieja consideró que el Sr. Aerts había cometido actos de violencia, ordenó sin embargo su </w:t>
      </w:r>
      <w:r w:rsidRPr="00035B3E">
        <w:rPr>
          <w:rFonts w:ascii="Arial" w:hAnsi="Arial" w:cs="Arial"/>
          <w:color w:val="000000" w:themeColor="text1"/>
          <w:sz w:val="20"/>
          <w:szCs w:val="20"/>
          <w:lang w:val="es-ES"/>
        </w:rPr>
        <w:t xml:space="preserve">internamiento </w:t>
      </w:r>
      <w:r w:rsidRPr="00035B3E">
        <w:rPr>
          <w:rFonts w:ascii="Arial" w:hAnsi="Arial" w:cs="Arial"/>
          <w:color w:val="000000" w:themeColor="text1"/>
          <w:sz w:val="20"/>
          <w:szCs w:val="20"/>
        </w:rPr>
        <w:t>por considerar que, tanto en el momento de los hechos como en el de su comparecencia, se encontraba en un grave estado de desequilibrio que le hacía incapaz de controlar sus actos (véase el apartado 8 supra). Por lo tanto, en ausencia de responsabilidad penal, no podría haber "condena" en el sentido del artículo 5 § 1 (a) (véase la sentencia X c. el Reino Unido de 5 de noviembre de 1981, Serie A no. 46, p. 17, § 39), que en cualquier caso no podría ser impuesta por la Sala del Consejo</w:t>
      </w:r>
      <w:r w:rsidRPr="00035B3E">
        <w:rPr>
          <w:rFonts w:ascii="Arial" w:hAnsi="Arial" w:cs="Arial"/>
          <w:color w:val="000000" w:themeColor="text1"/>
          <w:sz w:val="20"/>
          <w:szCs w:val="20"/>
          <w:lang w:val="es-ES"/>
        </w:rPr>
        <w:t>»</w:t>
      </w:r>
      <w:r w:rsidR="002C419C">
        <w:rPr>
          <w:rFonts w:ascii="Arial" w:hAnsi="Arial" w:cs="Arial"/>
          <w:color w:val="000000" w:themeColor="text1"/>
          <w:sz w:val="20"/>
          <w:szCs w:val="20"/>
          <w:lang w:val="es-ES"/>
        </w:rPr>
        <w:t>.</w:t>
      </w:r>
    </w:p>
  </w:footnote>
  <w:footnote w:id="95">
    <w:p w14:paraId="6FE50010" w14:textId="6AA94849" w:rsidR="00CC4896" w:rsidRPr="00035B3E" w:rsidRDefault="00CC4896" w:rsidP="00BA1DC7">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467C57" w:rsidRPr="00035B3E">
        <w:rPr>
          <w:rFonts w:ascii="Arial" w:hAnsi="Arial" w:cs="Arial"/>
          <w:color w:val="000000" w:themeColor="text1"/>
          <w:sz w:val="20"/>
          <w:szCs w:val="20"/>
          <w:lang w:val="es-ES"/>
        </w:rPr>
        <w:t xml:space="preserve">Caso </w:t>
      </w:r>
      <w:r w:rsidRPr="00035B3E">
        <w:rPr>
          <w:rFonts w:ascii="Arial" w:eastAsia="Times New Roman" w:hAnsi="Arial" w:cs="Arial"/>
          <w:color w:val="000000" w:themeColor="text1"/>
          <w:sz w:val="20"/>
          <w:szCs w:val="20"/>
          <w:lang w:val="es-ES" w:eastAsia="es-ES_tradnl"/>
        </w:rPr>
        <w:t>C.W. contra SUIZA, § 35: «Por "condena", en el sentido del artículo 5 § 1 (a) del Convenio, se entiende tanto una condena a raíz de la constatación de un delito como la imposición de una pena u otra medida privativa de libertad (Guzzardi c. Italia, 6 de noviembre de 1980, § 100, Serie A nº 39; Van Droogenbroeck c. Bélgica, 24 de junio de 1982, § 35, Serie A nº 50; M. c. Alemania, citado anteriormente, § 87). El artículo 5 § 1 (a) no implica una mera secuencia cronológica entre la condena y la medida, sino un vínculo causal suficiente. Por lo tanto, un</w:t>
      </w:r>
      <w:r w:rsidR="002C419C">
        <w:rPr>
          <w:rFonts w:ascii="Arial" w:eastAsia="Times New Roman" w:hAnsi="Arial" w:cs="Arial"/>
          <w:color w:val="000000" w:themeColor="text1"/>
          <w:sz w:val="20"/>
          <w:szCs w:val="20"/>
          <w:lang w:val="es-ES" w:eastAsia="es-ES_tradnl"/>
        </w:rPr>
        <w:t xml:space="preserve"> internamiento</w:t>
      </w:r>
      <w:r w:rsidRPr="00035B3E">
        <w:rPr>
          <w:rFonts w:ascii="Arial" w:eastAsia="Times New Roman" w:hAnsi="Arial" w:cs="Arial"/>
          <w:color w:val="000000" w:themeColor="text1"/>
          <w:sz w:val="20"/>
          <w:szCs w:val="20"/>
          <w:lang w:val="es-ES" w:eastAsia="es-ES_tradnl"/>
        </w:rPr>
        <w:t xml:space="preserve"> originalmente regular puede resultar incompatible con el artículo 5 § 1 (a) si una decisión de no liberación se basa en motivos incompatibles con los objetivos de la decisión original (véase M. c. Alemania, citado anteriormente, § 88). La decisión de mantener a una persona </w:t>
      </w:r>
      <w:r w:rsidR="002C419C">
        <w:rPr>
          <w:rFonts w:ascii="Arial" w:eastAsia="Times New Roman" w:hAnsi="Arial" w:cs="Arial"/>
          <w:color w:val="000000" w:themeColor="text1"/>
          <w:sz w:val="20"/>
          <w:szCs w:val="20"/>
          <w:lang w:val="es-ES" w:eastAsia="es-ES_tradnl"/>
        </w:rPr>
        <w:t>internada</w:t>
      </w:r>
      <w:r w:rsidRPr="00035B3E">
        <w:rPr>
          <w:rFonts w:ascii="Arial" w:eastAsia="Times New Roman" w:hAnsi="Arial" w:cs="Arial"/>
          <w:color w:val="000000" w:themeColor="text1"/>
          <w:sz w:val="20"/>
          <w:szCs w:val="20"/>
          <w:lang w:val="es-ES" w:eastAsia="es-ES_tradnl"/>
        </w:rPr>
        <w:t xml:space="preserve"> por razones de seguridad no cumple el criterio de una "condena" a efectos del artículo 5 § 1 (a) porque no está vinculada a una declaración de culpabilidad de un delito (véase M. c. Alemania, citada anteriormente, § 96)»</w:t>
      </w:r>
      <w:r w:rsidR="002C419C">
        <w:rPr>
          <w:rFonts w:ascii="Arial" w:eastAsia="Times New Roman" w:hAnsi="Arial" w:cs="Arial"/>
          <w:color w:val="000000" w:themeColor="text1"/>
          <w:sz w:val="20"/>
          <w:szCs w:val="20"/>
          <w:lang w:val="es-ES" w:eastAsia="es-ES_tradnl"/>
        </w:rPr>
        <w:t>.</w:t>
      </w:r>
    </w:p>
  </w:footnote>
  <w:footnote w:id="96">
    <w:p w14:paraId="6DC07761" w14:textId="3CBB67F0" w:rsidR="00467C57" w:rsidRPr="00035B3E" w:rsidRDefault="00467C57" w:rsidP="00BA1DC7">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w:t>
      </w:r>
      <w:r w:rsidRPr="00035B3E">
        <w:rPr>
          <w:rFonts w:ascii="Arial" w:eastAsia="Times New Roman" w:hAnsi="Arial" w:cs="Arial"/>
          <w:color w:val="000000" w:themeColor="text1"/>
          <w:sz w:val="20"/>
          <w:szCs w:val="20"/>
          <w:lang w:val="es-ES" w:eastAsia="es-ES_tradnl"/>
        </w:rPr>
        <w:t>C.W. contra SUIZA, §</w:t>
      </w:r>
      <w:r w:rsidR="002C419C">
        <w:rPr>
          <w:rFonts w:ascii="Arial" w:eastAsia="Times New Roman" w:hAnsi="Arial" w:cs="Arial"/>
          <w:color w:val="000000" w:themeColor="text1"/>
          <w:sz w:val="20"/>
          <w:szCs w:val="20"/>
          <w:lang w:val="es-ES" w:eastAsia="es-ES_tradnl"/>
        </w:rPr>
        <w:t xml:space="preserve"> </w:t>
      </w:r>
      <w:r w:rsidRPr="00035B3E">
        <w:rPr>
          <w:rFonts w:ascii="Arial" w:eastAsia="Times New Roman" w:hAnsi="Arial" w:cs="Arial"/>
          <w:color w:val="000000" w:themeColor="text1"/>
          <w:sz w:val="20"/>
          <w:szCs w:val="20"/>
          <w:lang w:val="es-ES" w:eastAsia="es-ES_tradnl"/>
        </w:rPr>
        <w:t xml:space="preserve">36: </w:t>
      </w:r>
      <w:r w:rsidR="007A382F">
        <w:rPr>
          <w:rFonts w:ascii="Arial" w:eastAsia="Times New Roman" w:hAnsi="Arial" w:cs="Arial"/>
          <w:color w:val="000000" w:themeColor="text1"/>
          <w:sz w:val="20"/>
          <w:szCs w:val="20"/>
          <w:lang w:val="es-ES" w:eastAsia="es-ES_tradnl"/>
        </w:rPr>
        <w:t>«</w:t>
      </w:r>
      <w:r w:rsidRPr="00035B3E">
        <w:rPr>
          <w:rFonts w:ascii="Arial" w:eastAsia="Times New Roman" w:hAnsi="Arial" w:cs="Arial"/>
          <w:color w:val="000000" w:themeColor="text1"/>
          <w:sz w:val="20"/>
          <w:szCs w:val="20"/>
          <w:lang w:val="es-ES" w:eastAsia="es-ES_tradnl"/>
        </w:rPr>
        <w:t>En virtud del artículo 5 § 1 (c) del Convenio, la privación de libertad de una persona puede estar justificada "cuando haya motivos razonables para creer que es necesaria para evitar que cometa un delito". La medida no se presta a una política preventiva general dirigida contra una persona, sino sólo para prevenir un delito específico y determinado (véase M. c. Alemania, citada anteriormente, §§ 89 y 102)</w:t>
      </w:r>
      <w:r w:rsidR="007A382F">
        <w:rPr>
          <w:rFonts w:ascii="Arial" w:eastAsia="Times New Roman" w:hAnsi="Arial" w:cs="Arial"/>
          <w:color w:val="000000" w:themeColor="text1"/>
          <w:sz w:val="20"/>
          <w:szCs w:val="20"/>
          <w:lang w:val="es-ES" w:eastAsia="es-ES_tradnl"/>
        </w:rPr>
        <w:t>»</w:t>
      </w:r>
      <w:r w:rsidRPr="00035B3E">
        <w:rPr>
          <w:rFonts w:ascii="Arial" w:eastAsia="Times New Roman" w:hAnsi="Arial" w:cs="Arial"/>
          <w:color w:val="000000" w:themeColor="text1"/>
          <w:sz w:val="20"/>
          <w:szCs w:val="20"/>
          <w:lang w:val="es-ES" w:eastAsia="es-ES_tradnl"/>
        </w:rPr>
        <w:t>.</w:t>
      </w:r>
    </w:p>
  </w:footnote>
  <w:footnote w:id="97">
    <w:p w14:paraId="3DF897C9" w14:textId="36D5975A" w:rsidR="00467C57" w:rsidRPr="00035B3E" w:rsidRDefault="00467C57" w:rsidP="00BA1DC7">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Caso </w:t>
      </w:r>
      <w:r w:rsidRPr="00035B3E">
        <w:rPr>
          <w:rFonts w:ascii="Arial" w:eastAsia="Times New Roman" w:hAnsi="Arial" w:cs="Arial"/>
          <w:color w:val="000000" w:themeColor="text1"/>
          <w:sz w:val="20"/>
          <w:szCs w:val="20"/>
          <w:lang w:val="es-ES" w:eastAsia="es-ES_tradnl"/>
        </w:rPr>
        <w:t xml:space="preserve">C.W. contra SUIZA, §35: «La decisión de mantener a una persona </w:t>
      </w:r>
      <w:r w:rsidR="007A382F">
        <w:rPr>
          <w:rFonts w:ascii="Arial" w:eastAsia="Times New Roman" w:hAnsi="Arial" w:cs="Arial"/>
          <w:color w:val="000000" w:themeColor="text1"/>
          <w:sz w:val="20"/>
          <w:szCs w:val="20"/>
          <w:lang w:val="es-ES" w:eastAsia="es-ES_tradnl"/>
        </w:rPr>
        <w:t>internada</w:t>
      </w:r>
      <w:r w:rsidRPr="00035B3E">
        <w:rPr>
          <w:rFonts w:ascii="Arial" w:eastAsia="Times New Roman" w:hAnsi="Arial" w:cs="Arial"/>
          <w:color w:val="000000" w:themeColor="text1"/>
          <w:sz w:val="20"/>
          <w:szCs w:val="20"/>
          <w:lang w:val="es-ES" w:eastAsia="es-ES_tradnl"/>
        </w:rPr>
        <w:t xml:space="preserve"> por razones de seguridad no cumple el criterio de "condena" a efectos del artículo 5 § 1 (a) porque no está vinculada a la declaración de culpabilidad de un delito (véase M. c. Alemania, citada anteriormente, § 96)»</w:t>
      </w:r>
      <w:r w:rsidR="007A382F">
        <w:rPr>
          <w:rFonts w:ascii="Arial" w:eastAsia="Times New Roman" w:hAnsi="Arial" w:cs="Arial"/>
          <w:color w:val="000000" w:themeColor="text1"/>
          <w:sz w:val="20"/>
          <w:szCs w:val="20"/>
          <w:lang w:val="es-ES" w:eastAsia="es-ES_tradnl"/>
        </w:rPr>
        <w:t>.</w:t>
      </w:r>
    </w:p>
  </w:footnote>
  <w:footnote w:id="98">
    <w:p w14:paraId="4CD179AF" w14:textId="7D23B928" w:rsidR="00AF6568" w:rsidRPr="00035B3E" w:rsidRDefault="00AF6568"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 xml:space="preserve">§ 93: «El Tribunal observa que, durante el período cubierto por las decisiones impugnadas en el presente caso, el demandante estuvo </w:t>
      </w:r>
      <w:r w:rsidR="007A382F">
        <w:rPr>
          <w:rFonts w:ascii="Arial" w:hAnsi="Arial" w:cs="Arial"/>
          <w:color w:val="000000" w:themeColor="text1"/>
          <w:lang w:val="es-ES"/>
        </w:rPr>
        <w:t>internado</w:t>
      </w:r>
      <w:r w:rsidRPr="00035B3E">
        <w:rPr>
          <w:rFonts w:ascii="Arial" w:hAnsi="Arial" w:cs="Arial"/>
          <w:color w:val="000000" w:themeColor="text1"/>
          <w:lang w:val="es-ES"/>
        </w:rPr>
        <w:t xml:space="preserve"> en un ala separada de la prisión de Díez para personas en prisión preventiva.»</w:t>
      </w:r>
    </w:p>
  </w:footnote>
  <w:footnote w:id="99">
    <w:p w14:paraId="5F26BA9A" w14:textId="6B1C7CC4" w:rsidR="0054250C" w:rsidRPr="00035B3E" w:rsidRDefault="0054250C"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93: «Desde 2005, no ha recibido ninguna terapia, ya que no consideraba que necesitara tratamiento y porque todos los intentos de motivarle para que siguiera el tratamiento habían fracasado»</w:t>
      </w:r>
      <w:r w:rsidR="007A382F">
        <w:rPr>
          <w:rFonts w:ascii="Arial" w:hAnsi="Arial" w:cs="Arial"/>
          <w:color w:val="000000" w:themeColor="text1"/>
          <w:sz w:val="20"/>
          <w:szCs w:val="20"/>
          <w:lang w:val="es-ES"/>
        </w:rPr>
        <w:t>.</w:t>
      </w:r>
    </w:p>
  </w:footnote>
  <w:footnote w:id="100">
    <w:p w14:paraId="2AB6A5B0" w14:textId="28B6BEB6" w:rsidR="00AF6568" w:rsidRPr="00035B3E" w:rsidRDefault="00AF6568"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0054250C" w:rsidRPr="00035B3E">
        <w:rPr>
          <w:rFonts w:ascii="Arial" w:hAnsi="Arial" w:cs="Arial"/>
          <w:color w:val="000000" w:themeColor="text1"/>
          <w:lang w:val="es-ES"/>
        </w:rPr>
        <w:t xml:space="preserve">Caso AERTS contra BÉLGICA, § 49: «Las actas de los días 10 y 15 de enero de 1990, que reflejan la situación en 1990 (párrafos 23 y 24 supra), el informe del CPT (párrafo 28 supra) y las observaciones del Gobierno belga (párrafos 29 y 30 supra) demuestran suficientemente que el anexo psiquiátrico de Lantin no podía considerarse un establecimiento adecuado para </w:t>
      </w:r>
      <w:r w:rsidR="007A382F">
        <w:rPr>
          <w:rFonts w:ascii="Arial" w:hAnsi="Arial" w:cs="Arial"/>
          <w:color w:val="000000" w:themeColor="text1"/>
          <w:lang w:val="es-ES"/>
        </w:rPr>
        <w:t>el internamiento</w:t>
      </w:r>
      <w:r w:rsidR="0054250C" w:rsidRPr="00035B3E">
        <w:rPr>
          <w:rFonts w:ascii="Arial" w:hAnsi="Arial" w:cs="Arial"/>
          <w:color w:val="000000" w:themeColor="text1"/>
          <w:lang w:val="es-ES"/>
        </w:rPr>
        <w:t xml:space="preserve"> de personas que padecían enfermedades mentales: no se les proporcionaba atención médica ni un entorno terapéutico. Tras recibir una solicitud de permiso del Sr. Aerts, la Comisión de Defensa Social consideró, el 2 de agosto de 1993, que la situación era perjudicial para el interesado, que no se beneficiaría de los cuidados requeridos por la enfermedad que motivó su internamiento. El Gobierno no discutió que el tratamiento del demandante en Lantin había dejado mucho que desear desde el punto de vista terapéutico. Hay pues una ruptura del nexo entre la finalidad de </w:t>
      </w:r>
      <w:r w:rsidR="006664FD">
        <w:rPr>
          <w:rFonts w:ascii="Arial" w:hAnsi="Arial" w:cs="Arial"/>
          <w:color w:val="000000" w:themeColor="text1"/>
          <w:lang w:val="es-ES"/>
        </w:rPr>
        <w:t>el internamiento</w:t>
      </w:r>
      <w:r w:rsidR="0054250C" w:rsidRPr="00035B3E">
        <w:rPr>
          <w:rFonts w:ascii="Arial" w:hAnsi="Arial" w:cs="Arial"/>
          <w:color w:val="000000" w:themeColor="text1"/>
          <w:lang w:val="es-ES"/>
        </w:rPr>
        <w:t xml:space="preserve"> y las condiciones en las que tuvo lugar.»</w:t>
      </w:r>
    </w:p>
  </w:footnote>
  <w:footnote w:id="101">
    <w:p w14:paraId="639747DE" w14:textId="26E2D0BF" w:rsidR="0010081D" w:rsidRPr="00BC688E" w:rsidRDefault="0010081D" w:rsidP="00BC688E">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
        </w:rPr>
        <w:t>OUKILI contra BÉLGICA, § 50: «El Tribunal señala que la única información que figura en el expediente se refiere al número de consultas psiquiátricas que el demandante había recibido entre 2007 y 2011, que ascendieron a noventa y dos, así como su internamiento durante unos meses en 2010 en una unidad de crisis donde se habría beneficiado de cuidados intensivos (véase el párrafo 22 anterior). Sin embargo, no se menciona la terapia individual y especializada de los trastornos que padece el demandante. En opinión del Tribunal, si bien la información anterior muestra que el demandante no había quedado sin ningún tipo de atención, no era suficiente para poder evaluar el alcance de la terapéutica del solicitante (véase, mutatis mutandis, Dufoort, citada anteriormente, § 83)»</w:t>
      </w:r>
      <w:r w:rsidR="007A79A5">
        <w:rPr>
          <w:rFonts w:ascii="Arial" w:hAnsi="Arial" w:cs="Arial"/>
          <w:color w:val="000000" w:themeColor="text1"/>
          <w:sz w:val="20"/>
          <w:szCs w:val="20"/>
          <w:lang w:val="es-ES"/>
        </w:rPr>
        <w:t>.</w:t>
      </w:r>
      <w:r w:rsidR="00BC688E">
        <w:rPr>
          <w:rFonts w:ascii="Arial" w:hAnsi="Arial" w:cs="Arial"/>
          <w:color w:val="000000" w:themeColor="text1"/>
          <w:sz w:val="20"/>
          <w:szCs w:val="20"/>
          <w:lang w:val="es-ES"/>
        </w:rPr>
        <w:t xml:space="preserve"> </w:t>
      </w:r>
      <w:r w:rsidR="00BC688E">
        <w:rPr>
          <w:rFonts w:ascii="Arial" w:hAnsi="Arial" w:cs="Arial"/>
          <w:color w:val="000000" w:themeColor="text1"/>
          <w:sz w:val="20"/>
          <w:szCs w:val="20"/>
          <w:lang w:val="es-ES_tradnl"/>
        </w:rPr>
        <w:t xml:space="preserve">Caso </w:t>
      </w:r>
      <w:r w:rsidRPr="00035B3E">
        <w:rPr>
          <w:rFonts w:ascii="Arial" w:hAnsi="Arial" w:cs="Arial"/>
          <w:color w:val="000000" w:themeColor="text1"/>
          <w:sz w:val="20"/>
          <w:szCs w:val="20"/>
          <w:lang w:val="es-ES_tradnl"/>
        </w:rPr>
        <w:t xml:space="preserve">SWENNEN contra BÉLGICA, §77 </w:t>
      </w:r>
      <w:r w:rsidR="00255025">
        <w:rPr>
          <w:rFonts w:ascii="Arial" w:hAnsi="Arial" w:cs="Arial"/>
          <w:color w:val="000000" w:themeColor="text1"/>
          <w:sz w:val="20"/>
          <w:szCs w:val="20"/>
          <w:lang w:val="es-ES_tradnl"/>
        </w:rPr>
        <w:t>y</w:t>
      </w:r>
      <w:r w:rsidRPr="00035B3E">
        <w:rPr>
          <w:rFonts w:ascii="Arial" w:hAnsi="Arial" w:cs="Arial"/>
          <w:color w:val="000000" w:themeColor="text1"/>
          <w:sz w:val="20"/>
          <w:szCs w:val="20"/>
          <w:lang w:val="es-ES_tradnl"/>
        </w:rPr>
        <w:t xml:space="preserve"> §78: «77. El Gobierno afirmó que el demandante recibió una atención adecuada. Los elementos a los que el Gobierno se refirió en apoyo de su tesis son el acceso del solicitante a los profesionales sanitarios presentes en el establecimiento, los informes elaborados por psicólogos y psiquiatras con el fin de evaluar su peligrosidad y el tratamiento previo a la terapia iniciada en 2008 en forma de cursos por correspondencia. Según la información del expediente, el demandante tuvo doce consultas con el psiquiatra de la prisión psiquiatra entre 2005 y 2011»</w:t>
      </w:r>
      <w:r w:rsidR="00255025">
        <w:rPr>
          <w:rFonts w:ascii="Arial" w:hAnsi="Arial" w:cs="Arial"/>
          <w:color w:val="000000" w:themeColor="text1"/>
          <w:sz w:val="20"/>
          <w:szCs w:val="20"/>
          <w:lang w:val="es-ES_tradnl"/>
        </w:rPr>
        <w:t>.</w:t>
      </w:r>
      <w:r w:rsidR="00BC688E">
        <w:rPr>
          <w:rFonts w:ascii="Arial" w:hAnsi="Arial" w:cs="Arial"/>
          <w:color w:val="000000" w:themeColor="text1"/>
          <w:sz w:val="20"/>
          <w:szCs w:val="20"/>
          <w:lang w:val="es-ES"/>
        </w:rPr>
        <w:t xml:space="preserve"> </w:t>
      </w:r>
      <w:r w:rsidRPr="00035B3E">
        <w:rPr>
          <w:rFonts w:ascii="Arial" w:hAnsi="Arial" w:cs="Arial"/>
          <w:color w:val="000000" w:themeColor="text1"/>
          <w:sz w:val="20"/>
          <w:szCs w:val="20"/>
          <w:lang w:val="es-ES_tradnl"/>
        </w:rPr>
        <w:t>«78. El Tribunal considera que este número de consultas, a lo largo de un período de siete años, es especialmente bajo y señala que en ninguna parte se menciona la atención terapéutica ni el seguimiento médico individualizados en la prisión con el fin de mejorar la situación particular del solicitante»</w:t>
      </w:r>
      <w:r w:rsidR="007A79A5">
        <w:rPr>
          <w:rFonts w:ascii="Arial" w:hAnsi="Arial" w:cs="Arial"/>
          <w:color w:val="000000" w:themeColor="text1"/>
          <w:sz w:val="20"/>
          <w:szCs w:val="20"/>
          <w:lang w:val="es-ES_tradnl"/>
        </w:rPr>
        <w:t>.</w:t>
      </w:r>
    </w:p>
  </w:footnote>
  <w:footnote w:id="102">
    <w:p w14:paraId="6882B295" w14:textId="493D6C8F" w:rsidR="009757D2" w:rsidRPr="00035B3E" w:rsidRDefault="009757D2"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33785D" w:rsidRPr="00035B3E">
        <w:rPr>
          <w:rFonts w:ascii="Arial" w:hAnsi="Arial" w:cs="Arial"/>
          <w:color w:val="000000" w:themeColor="text1"/>
          <w:sz w:val="20"/>
          <w:szCs w:val="20"/>
          <w:lang w:val="es-ES"/>
        </w:rPr>
        <w:t xml:space="preserve">Caso DUFOORT contra BÉLGICA, § </w:t>
      </w:r>
      <w:r w:rsidR="0033785D" w:rsidRPr="00035B3E">
        <w:rPr>
          <w:rFonts w:ascii="Arial" w:hAnsi="Arial" w:cs="Arial"/>
          <w:color w:val="000000" w:themeColor="text1"/>
          <w:sz w:val="20"/>
          <w:szCs w:val="20"/>
          <w:lang w:val="es-ES_tradnl"/>
        </w:rPr>
        <w:t>82: «A la luz de lo anterior, el Tribunal considera que mantener al demandante durante trece años en una prisión, donde no recibió la supervisión adecuada para su condición, tuvo el efecto de romper el vínculo entre el objetivo de</w:t>
      </w:r>
      <w:r w:rsidR="00255025">
        <w:rPr>
          <w:rFonts w:ascii="Arial" w:hAnsi="Arial" w:cs="Arial"/>
          <w:color w:val="000000" w:themeColor="text1"/>
          <w:sz w:val="20"/>
          <w:szCs w:val="20"/>
          <w:lang w:val="es-ES_tradnl"/>
        </w:rPr>
        <w:t>l internamiento</w:t>
      </w:r>
      <w:r w:rsidR="0033785D" w:rsidRPr="00035B3E">
        <w:rPr>
          <w:rFonts w:ascii="Arial" w:hAnsi="Arial" w:cs="Arial"/>
          <w:color w:val="000000" w:themeColor="text1"/>
          <w:sz w:val="20"/>
          <w:szCs w:val="20"/>
          <w:lang w:val="es-ES_tradnl"/>
        </w:rPr>
        <w:t xml:space="preserve"> y las condiciones en las que se llevó a cabo»</w:t>
      </w:r>
      <w:r w:rsidR="00255025">
        <w:rPr>
          <w:rFonts w:ascii="Arial" w:hAnsi="Arial" w:cs="Arial"/>
          <w:color w:val="000000" w:themeColor="text1"/>
          <w:sz w:val="20"/>
          <w:szCs w:val="20"/>
          <w:lang w:val="es-ES_tradnl"/>
        </w:rPr>
        <w:t>.</w:t>
      </w:r>
    </w:p>
  </w:footnote>
  <w:footnote w:id="103">
    <w:p w14:paraId="442C33AD" w14:textId="13341C17" w:rsidR="00037840" w:rsidRPr="00035B3E" w:rsidRDefault="00037840"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00771022" w:rsidRPr="00035B3E">
        <w:rPr>
          <w:rFonts w:ascii="Arial" w:hAnsi="Arial" w:cs="Arial"/>
          <w:color w:val="000000" w:themeColor="text1"/>
          <w:sz w:val="20"/>
          <w:szCs w:val="20"/>
          <w:lang w:val="es-ES"/>
        </w:rPr>
        <w:t xml:space="preserve"> </w:t>
      </w:r>
      <w:r w:rsidR="00871058" w:rsidRPr="00035B3E">
        <w:rPr>
          <w:rFonts w:ascii="Arial" w:hAnsi="Arial" w:cs="Arial"/>
          <w:color w:val="000000" w:themeColor="text1"/>
          <w:sz w:val="20"/>
          <w:szCs w:val="20"/>
          <w:lang w:val="es-ES_tradnl"/>
        </w:rPr>
        <w:t xml:space="preserve">Caso CHTOUKATOUROV contra RUSIA, § 67: «El Tribunal reitera que las autoridades nacionales deben disponer de un cierto grado de discrecionalidad a la hora de decidir el internamiento de un individuo como "enajenado", ya que les corresponde en primer lugar evaluar las pruebas presentadas ante ellas en un caso concreto; su propia tarea es revisar sus decisiones desde el punto de vista del Convenio (Luberti c. Italia, 23 de febrero de 1984, § 27, Serie A nº 75)». </w:t>
      </w:r>
      <w:r w:rsidR="00E436A2" w:rsidRPr="00035B3E">
        <w:rPr>
          <w:rFonts w:ascii="Arial" w:hAnsi="Arial" w:cs="Arial"/>
          <w:color w:val="000000" w:themeColor="text1"/>
          <w:sz w:val="20"/>
          <w:szCs w:val="20"/>
          <w:lang w:val="es-ES"/>
        </w:rPr>
        <w:t>Caso LASHIN contra RUSIA, § 119: «El Tribunal reitera que normalmente no revisaría la opinión de un médico cuya imparcialidad y cualificación no se han puesto en duda y que ha tenido un contacto directo con el paciente. Sin embargo, en el presente caso el Tribunal está dispuesto a adoptar un punto de vista crítico sobre las conclusiones de los psiquiatras, sobre todo porque a) sus conclusiones no se sometieron al control judicial en el ámbito nacional, b) su neutralidad era dudosa, y c) sus informes no eran lo suficientemente específicos en puntos cruciales para decidir si la hospitalización obligatoria era necesaria»</w:t>
      </w:r>
      <w:r w:rsidR="006201B8">
        <w:rPr>
          <w:rFonts w:ascii="Arial" w:hAnsi="Arial" w:cs="Arial"/>
          <w:color w:val="000000" w:themeColor="text1"/>
          <w:sz w:val="20"/>
          <w:szCs w:val="20"/>
          <w:lang w:val="es-ES"/>
        </w:rPr>
        <w:t>.</w:t>
      </w:r>
      <w:r w:rsidR="00DA7E9A" w:rsidRPr="00035B3E">
        <w:rPr>
          <w:rFonts w:ascii="Arial" w:hAnsi="Arial" w:cs="Arial"/>
          <w:color w:val="000000" w:themeColor="text1"/>
          <w:sz w:val="20"/>
          <w:szCs w:val="20"/>
          <w:lang w:val="es-ES"/>
        </w:rPr>
        <w:t xml:space="preserve"> </w:t>
      </w:r>
    </w:p>
  </w:footnote>
  <w:footnote w:id="104">
    <w:p w14:paraId="24A957A3" w14:textId="6EA54DAA" w:rsidR="00DA7E9A" w:rsidRPr="00035B3E" w:rsidRDefault="00DA7E9A" w:rsidP="00BA1DC7">
      <w:pPr>
        <w:autoSpaceDE w:val="0"/>
        <w:autoSpaceDN w:val="0"/>
        <w:adjustRightInd w:val="0"/>
        <w:ind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_tradnl"/>
        </w:rPr>
        <w:t>Caso HERCZEGFALVY contra AUSTRIA, § 63: «</w:t>
      </w:r>
      <w:r w:rsidR="00A27D77" w:rsidRPr="00035B3E">
        <w:rPr>
          <w:rFonts w:ascii="Arial" w:hAnsi="Arial" w:cs="Arial"/>
          <w:color w:val="000000" w:themeColor="text1"/>
          <w:sz w:val="20"/>
          <w:szCs w:val="20"/>
          <w:lang w:val="es-ES_tradnl"/>
        </w:rPr>
        <w:t xml:space="preserve">debe concederse cierta discrecionalidad a las autoridades nacionales a la hora de decidir sobre el internamiento de un individuo como "demente", ya que les corresponde principalmente evaluar las pruebas presentadas ante ellas en un caso determinado;». </w:t>
      </w:r>
      <w:r w:rsidRPr="00035B3E">
        <w:rPr>
          <w:rFonts w:ascii="Arial" w:hAnsi="Arial" w:cs="Arial"/>
          <w:color w:val="000000" w:themeColor="text1"/>
          <w:sz w:val="20"/>
          <w:szCs w:val="20"/>
          <w:lang w:val="es-ES"/>
        </w:rPr>
        <w:t>Caso WASSINK contra LOS PAÍSES BAJOS, § 25: «</w:t>
      </w:r>
      <w:r w:rsidRPr="00035B3E">
        <w:rPr>
          <w:rFonts w:ascii="Arial" w:hAnsi="Arial" w:cs="Arial"/>
          <w:color w:val="000000" w:themeColor="text1"/>
          <w:sz w:val="20"/>
          <w:szCs w:val="20"/>
          <w:lang w:val="es-ES_tradnl"/>
        </w:rPr>
        <w:t xml:space="preserve">Sobre la comprobación de un peligro en el sentido del art culo 35. b) de la Ley de 1884, corresponde en primer lugar a las autoridades nacionales apreciar las pruebas aportadas cuando han de resolver el internamiento de un individuo como enajenado; la misión del Tribunal es revisar las resoluciones que dicten aquellas a efectos del Convenio (Sentencias Winterwerp de 24 de octubre de 1979, serie A, n m. 33, p g. 18, apartado 40, y Luberti de 23 de febrero de 1984, serie A, n m. 74, p g. 12, apartado 27)». </w:t>
      </w:r>
    </w:p>
  </w:footnote>
  <w:footnote w:id="105">
    <w:p w14:paraId="380DF614" w14:textId="0E4B9A45" w:rsidR="00771022" w:rsidRPr="00035B3E" w:rsidRDefault="00771022"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00BC688E">
        <w:rPr>
          <w:rFonts w:ascii="Arial" w:hAnsi="Arial" w:cs="Arial"/>
          <w:color w:val="000000" w:themeColor="text1"/>
          <w:lang w:val="es-ES"/>
        </w:rPr>
        <w:t xml:space="preserve">Caso </w:t>
      </w:r>
      <w:r w:rsidRPr="00035B3E">
        <w:rPr>
          <w:rFonts w:ascii="Arial" w:hAnsi="Arial" w:cs="Arial"/>
          <w:color w:val="000000" w:themeColor="text1"/>
          <w:lang w:val="es-ES"/>
        </w:rPr>
        <w:t xml:space="preserve">ZAICHENKO c. BULGARIA, § 97: «El Tribunal subraya además que ninguna privación de libertad de una persona considerada enajenada mentalmente puede considerarse conforme con el artículo 5 § 1 (e) del Convenio si se ha ordenado sin solicitar el dictamen de un experto médico. Esta norma es aplicable incluso si el propósito de </w:t>
      </w:r>
      <w:r w:rsidR="006664FD">
        <w:rPr>
          <w:rFonts w:ascii="Arial" w:hAnsi="Arial" w:cs="Arial"/>
          <w:color w:val="000000" w:themeColor="text1"/>
          <w:lang w:val="es-ES"/>
        </w:rPr>
        <w:t>el internamiento</w:t>
      </w:r>
      <w:r w:rsidRPr="00035B3E">
        <w:rPr>
          <w:rFonts w:ascii="Arial" w:hAnsi="Arial" w:cs="Arial"/>
          <w:color w:val="000000" w:themeColor="text1"/>
          <w:lang w:val="es-ES"/>
        </w:rPr>
        <w:t xml:space="preserve"> de un solicitante es precisamente obtener un dictamen médico (véase Varbanov v. Bulgaria, citado anteriormente, §§ 47 y 48)»</w:t>
      </w:r>
      <w:r w:rsidR="006201B8">
        <w:rPr>
          <w:rFonts w:ascii="Arial" w:hAnsi="Arial" w:cs="Arial"/>
          <w:color w:val="000000" w:themeColor="text1"/>
          <w:lang w:val="es-ES"/>
        </w:rPr>
        <w:t>.</w:t>
      </w:r>
    </w:p>
  </w:footnote>
  <w:footnote w:id="106">
    <w:p w14:paraId="64B1A30F" w14:textId="0A4B28C6" w:rsidR="00550029" w:rsidRPr="00035B3E" w:rsidRDefault="00550029" w:rsidP="00BA1DC7">
      <w:pPr>
        <w:pStyle w:val="Textonotapie"/>
        <w:ind w:firstLine="284"/>
        <w:jc w:val="both"/>
        <w:rPr>
          <w:rFonts w:ascii="Arial" w:hAnsi="Arial" w:cs="Arial"/>
          <w:color w:val="000000" w:themeColor="text1"/>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Caso PLESÓ c</w:t>
      </w:r>
      <w:r w:rsidR="006201B8">
        <w:rPr>
          <w:rFonts w:ascii="Arial" w:hAnsi="Arial" w:cs="Arial"/>
          <w:color w:val="000000" w:themeColor="text1"/>
          <w:lang w:val="es-ES"/>
        </w:rPr>
        <w:t>ontra</w:t>
      </w:r>
      <w:r w:rsidRPr="00035B3E">
        <w:rPr>
          <w:rFonts w:ascii="Arial" w:hAnsi="Arial" w:cs="Arial"/>
          <w:color w:val="000000" w:themeColor="text1"/>
          <w:lang w:val="es-ES"/>
        </w:rPr>
        <w:t xml:space="preserve"> HUNGRÍA, § 64.</w:t>
      </w:r>
    </w:p>
  </w:footnote>
  <w:footnote w:id="107">
    <w:p w14:paraId="37C20D81" w14:textId="3EE605EB" w:rsidR="007B6202" w:rsidRPr="00035B3E" w:rsidRDefault="007B6202"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00550029" w:rsidRPr="00035B3E">
        <w:rPr>
          <w:rFonts w:ascii="Arial" w:hAnsi="Arial" w:cs="Arial"/>
          <w:i/>
          <w:iCs/>
          <w:color w:val="000000" w:themeColor="text1"/>
          <w:lang w:val="es-ES"/>
        </w:rPr>
        <w:t>Ibidem</w:t>
      </w:r>
      <w:r w:rsidR="00AF7838" w:rsidRPr="00035B3E">
        <w:rPr>
          <w:rFonts w:ascii="Arial" w:hAnsi="Arial" w:cs="Arial"/>
          <w:color w:val="000000" w:themeColor="text1"/>
          <w:lang w:val="es-ES"/>
        </w:rPr>
        <w:t>:</w:t>
      </w:r>
      <w:r w:rsidR="00550029" w:rsidRPr="00035B3E">
        <w:rPr>
          <w:rFonts w:ascii="Arial" w:hAnsi="Arial" w:cs="Arial"/>
          <w:color w:val="000000" w:themeColor="text1"/>
          <w:lang w:val="es-ES"/>
        </w:rPr>
        <w:t xml:space="preserve"> «</w:t>
      </w:r>
      <w:r w:rsidR="00550029" w:rsidRPr="00035B3E">
        <w:rPr>
          <w:rFonts w:ascii="Arial" w:hAnsi="Arial" w:cs="Arial"/>
          <w:color w:val="000000" w:themeColor="text1"/>
          <w:lang w:val="es-ES_tradnl"/>
        </w:rPr>
        <w:t>En el presente caso, lo es aún más, ya que el dictamen clave fue redactado por un experto en cuarenta minutos de interrupción de la sesión judicial (véase el párrafo 22 supra), lo que, para el Tribunal, pone en duda el carácter “justo y adecuado” del examen. El Tribunal duda, por tanto, en aceptar este dictamen como suficientemente completo y detallado como para permitir que el tribunal nacional adopte una decisión que vulnere la libertad personal del demandante»</w:t>
      </w:r>
      <w:r w:rsidR="006201B8">
        <w:rPr>
          <w:rFonts w:ascii="Arial" w:hAnsi="Arial" w:cs="Arial"/>
          <w:color w:val="000000" w:themeColor="text1"/>
          <w:lang w:val="es-ES_tradnl"/>
        </w:rPr>
        <w:t>.</w:t>
      </w:r>
    </w:p>
  </w:footnote>
  <w:footnote w:id="108">
    <w:p w14:paraId="712CCBF4" w14:textId="657697C9" w:rsidR="00AF7838" w:rsidRPr="00035B3E" w:rsidRDefault="00AF7838" w:rsidP="00BA1DC7">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Si no es posible el examen pericial previo porque el afectado no acude al mismo se puede admitir el informe con base en el expediente del afectado siempre que se base en el estado real de la salud mental de la persona y no en hechos pasados. </w:t>
      </w:r>
      <w:r w:rsidR="006201B8">
        <w:rPr>
          <w:rFonts w:ascii="Arial" w:hAnsi="Arial" w:cs="Arial"/>
          <w:color w:val="000000" w:themeColor="text1"/>
          <w:sz w:val="20"/>
          <w:szCs w:val="20"/>
          <w:lang w:val="es-ES"/>
        </w:rPr>
        <w:t xml:space="preserve">Véase </w:t>
      </w:r>
      <w:r w:rsidRPr="00035B3E">
        <w:rPr>
          <w:rFonts w:ascii="Arial" w:hAnsi="Arial" w:cs="Arial"/>
          <w:color w:val="000000" w:themeColor="text1"/>
          <w:sz w:val="20"/>
          <w:szCs w:val="20"/>
          <w:lang w:val="es-ES"/>
        </w:rPr>
        <w:t>VARBANOV contra BULGARIA, § 47.</w:t>
      </w:r>
      <w:r w:rsidRPr="00035B3E">
        <w:rPr>
          <w:rFonts w:ascii="Arial" w:eastAsia="Times New Roman" w:hAnsi="Arial" w:cs="Arial"/>
          <w:color w:val="000000" w:themeColor="text1"/>
          <w:sz w:val="20"/>
          <w:szCs w:val="20"/>
          <w:lang w:val="es-ES" w:eastAsia="es-ES_tradnl"/>
        </w:rPr>
        <w:t xml:space="preserve"> En el mismo sentido, en C.B. contra RUMANÍA, § 48, se admite el examen sobre un expediente cuando no es posible el informe previo en casos urgentes.</w:t>
      </w:r>
    </w:p>
  </w:footnote>
  <w:footnote w:id="109">
    <w:p w14:paraId="0B016E40" w14:textId="4BEDA6DA" w:rsidR="00AF7838" w:rsidRPr="00035B3E" w:rsidRDefault="00AF7838" w:rsidP="00BA1DC7">
      <w:pPr>
        <w:autoSpaceDE w:val="0"/>
        <w:autoSpaceDN w:val="0"/>
        <w:adjustRightInd w:val="0"/>
        <w:spacing w:line="240" w:lineRule="atLeast"/>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9B4A4A" w:rsidRPr="00035B3E">
        <w:rPr>
          <w:rFonts w:ascii="Arial" w:hAnsi="Arial" w:cs="Arial"/>
          <w:color w:val="000000" w:themeColor="text1"/>
          <w:sz w:val="20"/>
          <w:szCs w:val="20"/>
          <w:lang w:val="es-ES"/>
        </w:rPr>
        <w:t xml:space="preserve">Caso ZAICHENKO contra UKRANIA, § 99: «El Tribunal considera que la valoración previa de un psiquiatra, al menos sobre la base de las cartas escritas por el demandante y que había suscitado la inquietud del juez en cuanto al estado de salud mental del demandante, no sólo era posible, sino indispensable». </w:t>
      </w:r>
      <w:r w:rsidRPr="00035B3E">
        <w:rPr>
          <w:rFonts w:ascii="Arial" w:hAnsi="Arial" w:cs="Arial"/>
          <w:color w:val="000000" w:themeColor="text1"/>
          <w:sz w:val="20"/>
          <w:szCs w:val="20"/>
          <w:lang w:val="es-ES"/>
        </w:rPr>
        <w:t xml:space="preserve">Entre los hechos del caso HERZ </w:t>
      </w:r>
      <w:r w:rsidR="00011499">
        <w:rPr>
          <w:rFonts w:ascii="Arial" w:hAnsi="Arial" w:cs="Arial"/>
          <w:color w:val="000000" w:themeColor="text1"/>
          <w:sz w:val="20"/>
          <w:szCs w:val="20"/>
          <w:lang w:val="es-ES"/>
        </w:rPr>
        <w:t>contra</w:t>
      </w:r>
      <w:r w:rsidRPr="00035B3E">
        <w:rPr>
          <w:rFonts w:ascii="Arial" w:hAnsi="Arial" w:cs="Arial"/>
          <w:color w:val="000000" w:themeColor="text1"/>
          <w:sz w:val="20"/>
          <w:szCs w:val="20"/>
          <w:lang w:val="es-ES"/>
        </w:rPr>
        <w:t xml:space="preserve"> ALEMANIA se recoge que el tribunal nacional había preguntado a expertos si sobre la base de las cartas escritas por el sujeto había base suficiente para el internamiento. § 11: «Como se desprende de una nota del 18 de mayo de 1995 del juez del Tribunal de Tutela que conocía del caso, el juez, en respuesta a dos cartas del demandante, preguntó a los dos médicos si la información de que disponían proporcionaba una base suficiente para concluir sobre el resultado obtenido, y en qué medida, teniendo en cuenta la oposición del demandante al examen. El Tribunal no sabe si los médicos respondieron a esta pregunta»</w:t>
      </w:r>
      <w:r w:rsidR="00011499">
        <w:rPr>
          <w:rFonts w:ascii="Arial" w:hAnsi="Arial" w:cs="Arial"/>
          <w:color w:val="000000" w:themeColor="text1"/>
          <w:sz w:val="20"/>
          <w:szCs w:val="20"/>
          <w:lang w:val="es-ES"/>
        </w:rPr>
        <w:t>.</w:t>
      </w:r>
    </w:p>
  </w:footnote>
  <w:footnote w:id="110">
    <w:p w14:paraId="7E78F185" w14:textId="653D244D" w:rsidR="00035B3E" w:rsidRPr="00035B3E" w:rsidRDefault="00035B3E" w:rsidP="00035B3E">
      <w:pPr>
        <w:ind w:right="-1" w:firstLine="284"/>
        <w:jc w:val="both"/>
        <w:rPr>
          <w:rFonts w:ascii="Arial" w:eastAsia="Times New Roman" w:hAnsi="Arial" w:cs="Arial"/>
          <w:color w:val="000000" w:themeColor="text1"/>
          <w:sz w:val="20"/>
          <w:szCs w:val="20"/>
          <w:lang w:val="es-ES" w:eastAsia="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00BC688E">
        <w:rPr>
          <w:rFonts w:ascii="Arial" w:hAnsi="Arial" w:cs="Arial"/>
          <w:color w:val="000000" w:themeColor="text1"/>
          <w:sz w:val="20"/>
          <w:szCs w:val="20"/>
          <w:lang w:val="es-ES"/>
        </w:rPr>
        <w:t xml:space="preserve">Caso </w:t>
      </w:r>
      <w:r w:rsidRPr="00035B3E">
        <w:rPr>
          <w:rFonts w:ascii="Arial" w:eastAsia="Times New Roman" w:hAnsi="Arial" w:cs="Arial"/>
          <w:color w:val="000000" w:themeColor="text1"/>
          <w:sz w:val="20"/>
          <w:szCs w:val="20"/>
          <w:lang w:val="es-ES" w:eastAsia="es-ES_tradnl"/>
        </w:rPr>
        <w:t>C.W. contra SUIZA, § 38: «Además, el examen pericial debe ser lo suficientemente reciente como para que las autoridades competentes puedan evaluar el estado clínico de la persona en cuestión en el momento de estudiar la solicitud de excarcelación.  En el caso Herz c. Alemania (nº 44672/98, § 50, 12 de junio de 2003), por ejemplo, el Tribunal sostuvo que un informe psiquiátrico de hace un año y medio no era suficiente por sí mismo para justificar una medida de privación de libertad»</w:t>
      </w:r>
      <w:r w:rsidR="00011499">
        <w:rPr>
          <w:rFonts w:ascii="Arial" w:eastAsia="Times New Roman" w:hAnsi="Arial" w:cs="Arial"/>
          <w:color w:val="000000" w:themeColor="text1"/>
          <w:sz w:val="20"/>
          <w:szCs w:val="20"/>
          <w:lang w:val="es-ES" w:eastAsia="es-ES_tradnl"/>
        </w:rPr>
        <w:t>.</w:t>
      </w:r>
      <w:r w:rsidRPr="00035B3E">
        <w:rPr>
          <w:rFonts w:ascii="Arial" w:eastAsia="Times New Roman" w:hAnsi="Arial" w:cs="Arial"/>
          <w:color w:val="000000" w:themeColor="text1"/>
          <w:sz w:val="20"/>
          <w:szCs w:val="20"/>
          <w:lang w:val="es-ES" w:eastAsia="es-ES_tradnl"/>
        </w:rPr>
        <w:t xml:space="preserve"> </w:t>
      </w:r>
      <w:r w:rsidRPr="00035B3E">
        <w:rPr>
          <w:rFonts w:ascii="Arial" w:hAnsi="Arial" w:cs="Arial"/>
          <w:color w:val="000000" w:themeColor="text1"/>
          <w:sz w:val="20"/>
          <w:szCs w:val="20"/>
          <w:lang w:val="es-ES"/>
        </w:rPr>
        <w:t xml:space="preserve">Caso </w:t>
      </w:r>
      <w:r w:rsidRPr="00035B3E">
        <w:rPr>
          <w:rFonts w:ascii="Arial" w:hAnsi="Arial" w:cs="Arial"/>
          <w:color w:val="000000" w:themeColor="text1"/>
          <w:sz w:val="20"/>
          <w:szCs w:val="20"/>
          <w:lang w:val="es-ES_tradnl"/>
        </w:rPr>
        <w:t>STANEV contra BULGARIA, § 156: «En este caso, es cierto que el informe médico llevado a cabo durante el procedimiento de incapacitación jurídica aludía a trastornos sufridos por el demandante. Sin embargo, este informe tuvo lugar antes del mes de noviembre de 2000, cuando el demandante fue ingresado en el hogar de Pastra el 10 de diciembre de 2002 (apartados10 y 14). Por tanto, habían trascurrido más de dos años desde el informe psiquiátrico forense en el que se basaron las autoridades para decidir el internamiento, sin que la curadora hubiera procedido a la verificación de una posible evolución del estado de salud del demandante y sin reunirse con él o consultarle. … Para el Tribunal no hay duda que la ausencia de una valoración médica reciente sería suficiente para concluir que el internamiento del demandante no se ajustaba a derecho en el sentido del artículo 5.1e)»</w:t>
      </w:r>
      <w:r w:rsidR="00011499">
        <w:rPr>
          <w:rFonts w:ascii="Arial" w:hAnsi="Arial" w:cs="Arial"/>
          <w:color w:val="000000" w:themeColor="text1"/>
          <w:sz w:val="20"/>
          <w:szCs w:val="20"/>
          <w:lang w:val="es-ES_tradnl"/>
        </w:rPr>
        <w:t>.</w:t>
      </w:r>
    </w:p>
  </w:footnote>
  <w:footnote w:id="111">
    <w:p w14:paraId="2E9D4479" w14:textId="09ACEB20" w:rsidR="002873F0" w:rsidRPr="00035B3E" w:rsidRDefault="002873F0" w:rsidP="00BA1DC7">
      <w:pPr>
        <w:autoSpaceDE w:val="0"/>
        <w:autoSpaceDN w:val="0"/>
        <w:adjustRightInd w:val="0"/>
        <w:spacing w:line="240" w:lineRule="atLeast"/>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Caso ZAICHENKO contra UKRANIA, §</w:t>
      </w:r>
      <w:r w:rsidR="00011499">
        <w:rPr>
          <w:rFonts w:ascii="Arial" w:hAnsi="Arial" w:cs="Arial"/>
          <w:color w:val="000000" w:themeColor="text1"/>
          <w:sz w:val="20"/>
          <w:szCs w:val="20"/>
          <w:lang w:val="es-ES"/>
        </w:rPr>
        <w:t xml:space="preserve"> </w:t>
      </w:r>
      <w:r w:rsidRPr="00035B3E">
        <w:rPr>
          <w:rFonts w:ascii="Arial" w:hAnsi="Arial" w:cs="Arial"/>
          <w:color w:val="000000" w:themeColor="text1"/>
          <w:sz w:val="20"/>
          <w:szCs w:val="20"/>
          <w:lang w:val="es-ES"/>
        </w:rPr>
        <w:t>98: «El Tribunal observa que en el presente caso el único fundamento del confinamiento del demandante fue</w:t>
      </w:r>
      <w:r w:rsidR="002A09EF">
        <w:rPr>
          <w:rFonts w:ascii="Arial" w:hAnsi="Arial" w:cs="Arial"/>
          <w:color w:val="000000" w:themeColor="text1"/>
          <w:sz w:val="20"/>
          <w:szCs w:val="20"/>
          <w:lang w:val="es-ES"/>
        </w:rPr>
        <w:t>ron</w:t>
      </w:r>
      <w:r w:rsidRPr="00035B3E">
        <w:rPr>
          <w:rFonts w:ascii="Arial" w:hAnsi="Arial" w:cs="Arial"/>
          <w:color w:val="000000" w:themeColor="text1"/>
          <w:sz w:val="20"/>
          <w:szCs w:val="20"/>
          <w:lang w:val="es-ES"/>
        </w:rPr>
        <w:t xml:space="preserve"> las dudas del juez en cuanto al estado de salud mental del demandante derivado de sus declaraciones insultantes y groseras sobre otros jueces. El juez ordenó el examen psiquiátrico del demandante en régimen de internado en un hospital psiquiátrico por un período de hasta treinta días, sin haber obtenido ningún dictamen médico previo y sin que existiera en el expediente ningún informe médico u otros documentos que hicieran necesaria tal decisión.» Véanse, además, las sentencias de los casos KAYADJIEVA contra BULGARIA (§ 35), VARBANOV contra BULGARIA (§§ 50-53) Y GETZOV contra BULGARIA (§ 19).</w:t>
      </w:r>
    </w:p>
  </w:footnote>
  <w:footnote w:id="112">
    <w:p w14:paraId="68F8B26F" w14:textId="4E606E4A" w:rsidR="00D93CF6" w:rsidRPr="00035B3E" w:rsidRDefault="00D93CF6" w:rsidP="00BA1DC7">
      <w:pPr>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 </w:t>
      </w:r>
      <w:r w:rsidR="006B1A41" w:rsidRPr="00035B3E">
        <w:rPr>
          <w:rFonts w:ascii="Arial" w:hAnsi="Arial" w:cs="Arial"/>
          <w:color w:val="000000" w:themeColor="text1"/>
          <w:sz w:val="20"/>
          <w:szCs w:val="20"/>
          <w:lang w:val="es-ES"/>
        </w:rPr>
        <w:t xml:space="preserve">Caso VARBANOV contra BULGARIA, § 47: «El Tribunal considera que ninguna privación de libertad de una persona considerada demente puede considerarse conforme al artículo 5 § 1 (e) del Convenio si se decidió sin </w:t>
      </w:r>
      <w:r w:rsidR="006B1A41" w:rsidRPr="002A09EF">
        <w:rPr>
          <w:rFonts w:ascii="Arial" w:hAnsi="Arial" w:cs="Arial"/>
          <w:color w:val="000000" w:themeColor="text1"/>
          <w:sz w:val="20"/>
          <w:szCs w:val="20"/>
          <w:lang w:val="es-ES"/>
        </w:rPr>
        <w:t>solicitar el dictamen</w:t>
      </w:r>
      <w:r w:rsidR="006B1A41" w:rsidRPr="00035B3E">
        <w:rPr>
          <w:rFonts w:ascii="Arial" w:hAnsi="Arial" w:cs="Arial"/>
          <w:color w:val="000000" w:themeColor="text1"/>
          <w:sz w:val="20"/>
          <w:szCs w:val="20"/>
          <w:lang w:val="es-ES"/>
        </w:rPr>
        <w:t xml:space="preserve"> de un experto médico. Cualquier otro enfoque no alcanza la protección requerida contra la arbitrariedad inherente al artículo 5 del Convenio. A este respecto, la forma y el procedimiento elegidos pueden depender de las circunstancias. Es aceptable, en casos urgentes o cuando una persona es internada por su comportamiento violento, que dicha notificación se obtenga inmediatamente después de </w:t>
      </w:r>
      <w:r w:rsidR="006664FD">
        <w:rPr>
          <w:rFonts w:ascii="Arial" w:hAnsi="Arial" w:cs="Arial"/>
          <w:color w:val="000000" w:themeColor="text1"/>
          <w:sz w:val="20"/>
          <w:szCs w:val="20"/>
          <w:lang w:val="es-ES"/>
        </w:rPr>
        <w:t>el internamiento</w:t>
      </w:r>
      <w:r w:rsidR="006B1A41" w:rsidRPr="00035B3E">
        <w:rPr>
          <w:rFonts w:ascii="Arial" w:hAnsi="Arial" w:cs="Arial"/>
          <w:color w:val="000000" w:themeColor="text1"/>
          <w:sz w:val="20"/>
          <w:szCs w:val="20"/>
          <w:lang w:val="es-ES"/>
        </w:rPr>
        <w:t>. En todos los demás casos, es imprescindible la consulta previa. A falta de otras posibilidades, por ejemplo, debido a la negativa del interesado a presentarse a un examen, debe solicitarse al menos una evaluación médica pericial sobre la base del expediente, ya que, de lo contrario, no puede alegarse que la locura de la persona haya quedado establecida de forma concluyente (sentencia X c. el Reino Unido de 5 de noviembre de 1981, serie A nº 46)».</w:t>
      </w:r>
      <w:r w:rsidR="002A09EF">
        <w:rPr>
          <w:rFonts w:ascii="Arial" w:hAnsi="Arial" w:cs="Arial"/>
          <w:color w:val="000000" w:themeColor="text1"/>
          <w:sz w:val="20"/>
          <w:szCs w:val="20"/>
          <w:lang w:val="es-ES"/>
        </w:rPr>
        <w:t>.</w:t>
      </w:r>
    </w:p>
  </w:footnote>
  <w:footnote w:id="113">
    <w:p w14:paraId="28E5A19F" w14:textId="66B19D4F" w:rsidR="0046549A" w:rsidRPr="00035B3E" w:rsidRDefault="0046549A" w:rsidP="00BA1DC7">
      <w:pPr>
        <w:autoSpaceDE w:val="0"/>
        <w:autoSpaceDN w:val="0"/>
        <w:adjustRightInd w:val="0"/>
        <w:spacing w:line="240" w:lineRule="atLeast"/>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Caso YAICOV contra RUSIA, § 63: «El momento relevante en el que debe establecerse que una persona no está en su sano juicio a efectos del artículo 5 § 1 (e), es la fecha de adopción de la medida que priva a esa persona de la libertad como resultado de esa condición (véase O.H. c. Alemania, no. 4646/08, § 78, 24 de noviembre de 2011, con más referencias).»</w:t>
      </w:r>
    </w:p>
  </w:footnote>
  <w:footnote w:id="114">
    <w:p w14:paraId="26F8F24A" w14:textId="6781C8B8" w:rsidR="00A83564" w:rsidRPr="00035B3E" w:rsidRDefault="00A83564" w:rsidP="00BA1DC7">
      <w:pPr>
        <w:ind w:right="-1" w:firstLine="284"/>
        <w:jc w:val="both"/>
        <w:rPr>
          <w:rFonts w:ascii="Arial" w:hAnsi="Arial" w:cs="Arial"/>
          <w:color w:val="000000" w:themeColor="text1"/>
          <w:sz w:val="20"/>
          <w:szCs w:val="20"/>
          <w:lang w:val="es-ES_tradnl"/>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 xml:space="preserve">Son varias las sentencias que se expresan en este sentido. En el </w:t>
      </w:r>
      <w:r w:rsidR="00A825E8" w:rsidRPr="00035B3E">
        <w:rPr>
          <w:rFonts w:ascii="Arial" w:hAnsi="Arial" w:cs="Arial"/>
          <w:color w:val="000000" w:themeColor="text1"/>
          <w:sz w:val="20"/>
          <w:szCs w:val="20"/>
          <w:lang w:val="es-ES"/>
        </w:rPr>
        <w:t>§ 147 de la sentencia dictada en el c</w:t>
      </w:r>
      <w:r w:rsidRPr="00035B3E">
        <w:rPr>
          <w:rFonts w:ascii="Arial" w:hAnsi="Arial" w:cs="Arial"/>
          <w:color w:val="000000" w:themeColor="text1"/>
          <w:sz w:val="20"/>
          <w:szCs w:val="20"/>
          <w:lang w:val="es-ES"/>
        </w:rPr>
        <w:t>aso MIHAILOVS contra LETONIA</w:t>
      </w:r>
      <w:r w:rsidR="00A825E8" w:rsidRPr="00035B3E">
        <w:rPr>
          <w:rFonts w:ascii="Arial" w:hAnsi="Arial" w:cs="Arial"/>
          <w:color w:val="000000" w:themeColor="text1"/>
          <w:sz w:val="20"/>
          <w:szCs w:val="20"/>
          <w:lang w:val="es-ES"/>
        </w:rPr>
        <w:t xml:space="preserve"> se lee</w:t>
      </w:r>
      <w:r w:rsidRPr="00035B3E">
        <w:rPr>
          <w:rFonts w:ascii="Arial" w:hAnsi="Arial" w:cs="Arial"/>
          <w:color w:val="000000" w:themeColor="text1"/>
          <w:sz w:val="20"/>
          <w:szCs w:val="20"/>
          <w:lang w:val="es-ES"/>
        </w:rPr>
        <w:t>: «... el Tribunal examinará ahora el certificado médico del 17 de enero de 2002, que fue elaborado unas semanas antes de que el demandante fuera ingresado en el Centro de Īle (véase el apartado 18). Es cierto que contenía la conclusión de que en vista del estado de salud mental del demandante podía ser ingresado en una institución para personas con trastornos mentales. Sin embargo, el Tribunal de Justicia considera que tal conclusión no es suficiente. A los efectos del test de Winterwerp debe demostrarse de manera fiable que el demandante padecía un "verdadero" trastorno mental en el momento en que fue ingresado en la institución. En el certificado médico de 17 de enero de 2002 no se menciona que el demandante sufriera enfermedad, y menos aún que padeciera algún tipo de trastorno mental en absoluto.»</w:t>
      </w:r>
      <w:r w:rsidR="00A825E8" w:rsidRPr="00035B3E">
        <w:rPr>
          <w:rFonts w:ascii="Arial" w:hAnsi="Arial" w:cs="Arial"/>
          <w:color w:val="000000" w:themeColor="text1"/>
          <w:sz w:val="20"/>
          <w:szCs w:val="20"/>
          <w:lang w:val="es-ES"/>
        </w:rPr>
        <w:t xml:space="preserve">. En el mismo sentido en la sentencia del caso </w:t>
      </w:r>
      <w:r w:rsidR="00A825E8" w:rsidRPr="00035B3E">
        <w:rPr>
          <w:rFonts w:ascii="Arial" w:hAnsi="Arial" w:cs="Arial"/>
          <w:color w:val="000000" w:themeColor="text1"/>
          <w:sz w:val="20"/>
          <w:szCs w:val="20"/>
          <w:lang w:val="es-ES_tradnl"/>
        </w:rPr>
        <w:t>FILIP contra RUMANÍA, § 61, se dice: «Es cierto que la finalidad del internamiento del demandante ordenado por el fiscal era precisamente obtener un dictamen médico para evaluar si tenía el discernimiento necesario para incurrir en responsabilidad penal. También es cierto que, durante su internamiento, el demandante fue llevado a un centro psiquiátrico donde fue atendido por médicos. Sin embargo, no hay ningún indicio de que se preguntara a los médicos que le ingresaron en el hospital psiquiátrico el 8 de noviembre de 2002 si era necesario internar al demandante para examinarlo»</w:t>
      </w:r>
      <w:r w:rsidR="002A09EF">
        <w:rPr>
          <w:rFonts w:ascii="Arial" w:hAnsi="Arial" w:cs="Arial"/>
          <w:color w:val="000000" w:themeColor="text1"/>
          <w:sz w:val="20"/>
          <w:szCs w:val="20"/>
          <w:lang w:val="es-ES_tradnl"/>
        </w:rPr>
        <w:t>.</w:t>
      </w:r>
      <w:r w:rsidR="00A825E8" w:rsidRPr="00035B3E">
        <w:rPr>
          <w:rFonts w:ascii="Arial" w:hAnsi="Arial" w:cs="Arial"/>
          <w:color w:val="000000" w:themeColor="text1"/>
          <w:sz w:val="20"/>
          <w:szCs w:val="20"/>
          <w:lang w:val="es-ES_tradnl"/>
        </w:rPr>
        <w:t xml:space="preserve"> En el mismo sentido C.B. contra RUMANÍA, § 57,</w:t>
      </w:r>
      <w:r w:rsidR="003F2231" w:rsidRPr="00035B3E">
        <w:rPr>
          <w:rFonts w:ascii="Arial" w:hAnsi="Arial" w:cs="Arial"/>
          <w:color w:val="000000" w:themeColor="text1"/>
          <w:sz w:val="20"/>
          <w:szCs w:val="20"/>
          <w:lang w:val="es-ES_tradnl"/>
        </w:rPr>
        <w:t xml:space="preserve"> o</w:t>
      </w:r>
      <w:r w:rsidR="00A825E8" w:rsidRPr="00035B3E">
        <w:rPr>
          <w:rFonts w:ascii="Arial" w:hAnsi="Arial" w:cs="Arial"/>
          <w:color w:val="000000" w:themeColor="text1"/>
          <w:sz w:val="20"/>
          <w:szCs w:val="20"/>
          <w:lang w:val="es-ES_tradnl"/>
        </w:rPr>
        <w:t xml:space="preserve"> </w:t>
      </w:r>
      <w:r w:rsidR="003F2231" w:rsidRPr="00035B3E">
        <w:rPr>
          <w:rFonts w:ascii="Arial" w:hAnsi="Arial" w:cs="Arial"/>
          <w:color w:val="000000" w:themeColor="text1"/>
          <w:sz w:val="20"/>
          <w:szCs w:val="20"/>
          <w:lang w:val="es-ES"/>
        </w:rPr>
        <w:t>LAZARIU contra RUMANÍA, § 130</w:t>
      </w:r>
      <w:r w:rsidR="00A825E8" w:rsidRPr="00035B3E">
        <w:rPr>
          <w:rFonts w:ascii="Arial" w:hAnsi="Arial" w:cs="Arial"/>
          <w:color w:val="000000" w:themeColor="text1"/>
          <w:sz w:val="20"/>
          <w:szCs w:val="20"/>
          <w:lang w:val="es-ES_tradnl"/>
        </w:rPr>
        <w:t xml:space="preserve">. </w:t>
      </w:r>
    </w:p>
  </w:footnote>
  <w:footnote w:id="115">
    <w:p w14:paraId="4B752BAA" w14:textId="0C053690" w:rsidR="00CF5F80" w:rsidRPr="00035B3E" w:rsidRDefault="00CF5F80" w:rsidP="00BA1DC7">
      <w:pPr>
        <w:autoSpaceDE w:val="0"/>
        <w:autoSpaceDN w:val="0"/>
        <w:adjustRightInd w:val="0"/>
        <w:ind w:firstLine="284"/>
        <w:jc w:val="both"/>
        <w:rPr>
          <w:rFonts w:ascii="Arial" w:hAnsi="Arial" w:cs="Arial"/>
          <w:color w:val="000000" w:themeColor="text1"/>
          <w:sz w:val="20"/>
          <w:szCs w:val="20"/>
          <w:lang w:val="es-ES"/>
        </w:rPr>
      </w:pPr>
      <w:r w:rsidRPr="00035B3E">
        <w:rPr>
          <w:rStyle w:val="Refdenotaalpie"/>
          <w:rFonts w:ascii="Arial" w:hAnsi="Arial" w:cs="Arial"/>
          <w:color w:val="000000" w:themeColor="text1"/>
          <w:sz w:val="20"/>
          <w:szCs w:val="20"/>
        </w:rPr>
        <w:footnoteRef/>
      </w:r>
      <w:r w:rsidRPr="00035B3E">
        <w:rPr>
          <w:rFonts w:ascii="Arial" w:hAnsi="Arial" w:cs="Arial"/>
          <w:color w:val="000000" w:themeColor="text1"/>
          <w:sz w:val="20"/>
          <w:szCs w:val="20"/>
        </w:rPr>
        <w:t xml:space="preserve"> </w:t>
      </w:r>
      <w:r w:rsidRPr="00035B3E">
        <w:rPr>
          <w:rFonts w:ascii="Arial" w:hAnsi="Arial" w:cs="Arial"/>
          <w:color w:val="000000" w:themeColor="text1"/>
          <w:sz w:val="20"/>
          <w:szCs w:val="20"/>
          <w:lang w:val="es-ES"/>
        </w:rPr>
        <w:t>En la sentencia del caso de M. contra UCRANIA, el TRIBUNAL se pronuncia sobre este aspecto. En el § 62 parece hacer referencia a la conveniencia de contar con estos informes pensando en la autorización inicial: ««Las decisiones del tribunal no hacían referencia a ningún otro dictamen médico aparte del informe del centro de salud mental receptor. Sin embargo, la evaluación de los dictámenes médicos emitidos por los profesionales de la salud mental independientemente unos de otros contribuirían a la objetividad de las conclusiones médicas que justifican la hospitalización obligatoria. En este contexto el Tribunal señala que, según el principio 17 § 1 de los Principios de las Naciones Unidas para para la Protección de los Enfermos Mentales y para el Mejoramiento de la de 17 de diciembre de 1991 ("los Principios de la ONU"), los procedimientos de hospitalización obligatoria deben prever la evaluación médica independiente del paciente (véase el párrafo 37 anterior).» En el párrafo 82, por su parte, amplía este primer argumento ligándolo a la práctica del internamiento: «En cuanto a la permanencia de la demandante en el hospital, el Gobierno no ha facilitado ninguna información sobre la práctica existente de visitas periódicas a los centros de salud mental por parte de un organismo externo independiente con el objetivo de hablar en privado con los pacientes, revisar su estado por iniciativa propia, recibir quejas y tratar eficazmente las cuestiones planteadas por los pacientes. La importancia de tales procedimientos de supervisión ha sido subrayada por el CPT (véase el párrafo 39). En opinión del Tribunal, la disponibilidad de estos procedimientos que ofrecen una revisión independiente de la situación de los pacientes admitidos, tanto voluntaria como involuntariamente involuntarios son garantías esenciales contra posibles abusos en su respeto»</w:t>
      </w:r>
      <w:r w:rsidR="00121A74">
        <w:rPr>
          <w:rFonts w:ascii="Arial" w:hAnsi="Arial" w:cs="Arial"/>
          <w:color w:val="000000" w:themeColor="text1"/>
          <w:sz w:val="20"/>
          <w:szCs w:val="20"/>
          <w:lang w:val="es-ES"/>
        </w:rPr>
        <w:t>.</w:t>
      </w:r>
    </w:p>
    <w:p w14:paraId="27C1D590" w14:textId="691905A0" w:rsidR="00CF5F80" w:rsidRPr="00035B3E" w:rsidRDefault="00CF5F80" w:rsidP="00BA1DC7">
      <w:pPr>
        <w:pStyle w:val="Textonotapie"/>
        <w:ind w:firstLine="284"/>
        <w:jc w:val="both"/>
        <w:rPr>
          <w:rFonts w:ascii="Arial" w:hAnsi="Arial" w:cs="Arial"/>
          <w:lang w:val="es-ES"/>
        </w:rPr>
      </w:pPr>
    </w:p>
  </w:footnote>
  <w:footnote w:id="116">
    <w:p w14:paraId="7CF546F4" w14:textId="6CB2308C" w:rsidR="00836A9B" w:rsidRPr="00035B3E" w:rsidRDefault="00836A9B" w:rsidP="00BA1DC7">
      <w:pPr>
        <w:pStyle w:val="Textonotapie"/>
        <w:ind w:firstLine="284"/>
        <w:jc w:val="both"/>
        <w:rPr>
          <w:rFonts w:ascii="Arial" w:hAnsi="Arial" w:cs="Arial"/>
          <w:color w:val="000000" w:themeColor="text1"/>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En concreto,</w:t>
      </w:r>
      <w:r w:rsidR="008B73ED" w:rsidRPr="00035B3E">
        <w:rPr>
          <w:rFonts w:ascii="Arial" w:hAnsi="Arial" w:cs="Arial"/>
          <w:color w:val="000000" w:themeColor="text1"/>
          <w:lang w:val="es-ES"/>
        </w:rPr>
        <w:t xml:space="preserve"> derogó</w:t>
      </w:r>
      <w:r w:rsidRPr="00035B3E">
        <w:rPr>
          <w:rFonts w:ascii="Arial" w:hAnsi="Arial" w:cs="Arial"/>
          <w:color w:val="000000" w:themeColor="text1"/>
          <w:lang w:val="es-ES"/>
        </w:rPr>
        <w:t xml:space="preserve"> los artículos 202 a 214 del Código civil</w:t>
      </w:r>
      <w:r w:rsidR="008B73ED" w:rsidRPr="00035B3E">
        <w:rPr>
          <w:rFonts w:ascii="Arial" w:hAnsi="Arial" w:cs="Arial"/>
          <w:color w:val="000000" w:themeColor="text1"/>
          <w:lang w:val="es-ES"/>
        </w:rPr>
        <w:t xml:space="preserve"> a través </w:t>
      </w:r>
      <w:r w:rsidRPr="00035B3E">
        <w:rPr>
          <w:rFonts w:ascii="Arial" w:hAnsi="Arial" w:cs="Arial"/>
          <w:color w:val="000000" w:themeColor="text1"/>
          <w:lang w:val="es-ES"/>
        </w:rPr>
        <w:t xml:space="preserve">del apartado 1.º del número dos, de la </w:t>
      </w:r>
      <w:r w:rsidR="008B73ED" w:rsidRPr="00035B3E">
        <w:rPr>
          <w:rFonts w:ascii="Arial" w:hAnsi="Arial" w:cs="Arial"/>
          <w:color w:val="000000" w:themeColor="text1"/>
          <w:lang w:val="es-ES"/>
        </w:rPr>
        <w:t>D</w:t>
      </w:r>
      <w:r w:rsidRPr="00035B3E">
        <w:rPr>
          <w:rFonts w:ascii="Arial" w:hAnsi="Arial" w:cs="Arial"/>
          <w:color w:val="000000" w:themeColor="text1"/>
          <w:lang w:val="es-ES"/>
        </w:rPr>
        <w:t xml:space="preserve">isposición </w:t>
      </w:r>
      <w:r w:rsidR="008B73ED" w:rsidRPr="00035B3E">
        <w:rPr>
          <w:rFonts w:ascii="Arial" w:hAnsi="Arial" w:cs="Arial"/>
          <w:color w:val="000000" w:themeColor="text1"/>
          <w:lang w:val="es-ES"/>
        </w:rPr>
        <w:t>D</w:t>
      </w:r>
      <w:r w:rsidRPr="00035B3E">
        <w:rPr>
          <w:rFonts w:ascii="Arial" w:hAnsi="Arial" w:cs="Arial"/>
          <w:color w:val="000000" w:themeColor="text1"/>
          <w:lang w:val="es-ES"/>
        </w:rPr>
        <w:t xml:space="preserve">erogatoria </w:t>
      </w:r>
      <w:r w:rsidR="008B73ED" w:rsidRPr="00035B3E">
        <w:rPr>
          <w:rFonts w:ascii="Arial" w:hAnsi="Arial" w:cs="Arial"/>
          <w:color w:val="000000" w:themeColor="text1"/>
          <w:lang w:val="es-ES"/>
        </w:rPr>
        <w:t>Ú</w:t>
      </w:r>
      <w:r w:rsidRPr="00035B3E">
        <w:rPr>
          <w:rFonts w:ascii="Arial" w:hAnsi="Arial" w:cs="Arial"/>
          <w:color w:val="000000" w:themeColor="text1"/>
          <w:lang w:val="es-ES"/>
        </w:rPr>
        <w:t>nica.</w:t>
      </w:r>
      <w:r w:rsidR="00711C56" w:rsidRPr="00035B3E">
        <w:rPr>
          <w:rFonts w:ascii="Arial" w:hAnsi="Arial" w:cs="Arial"/>
          <w:color w:val="000000" w:themeColor="text1"/>
          <w:lang w:val="es-ES"/>
        </w:rPr>
        <w:t xml:space="preserve"> Por otra parte, el carácter contencioso de los procesos de internamiento se deduce de la inclusión de los mismos en el articulado del Libro IV de la Ley, en el que se regulan los procedimientos especiales.</w:t>
      </w:r>
    </w:p>
  </w:footnote>
  <w:footnote w:id="117">
    <w:p w14:paraId="62A218E7" w14:textId="7EC8C1D0" w:rsidR="00B52604" w:rsidRPr="00035B3E" w:rsidRDefault="00B52604" w:rsidP="00BA1DC7">
      <w:pPr>
        <w:pStyle w:val="Textonotapie"/>
        <w:ind w:firstLine="284"/>
        <w:jc w:val="both"/>
        <w:rPr>
          <w:rFonts w:ascii="Arial" w:hAnsi="Arial" w:cs="Arial"/>
          <w:lang w:val="es-ES"/>
        </w:rPr>
      </w:pPr>
      <w:r w:rsidRPr="00035B3E">
        <w:rPr>
          <w:rStyle w:val="Refdenotaalpie"/>
          <w:rFonts w:ascii="Arial" w:hAnsi="Arial" w:cs="Arial"/>
          <w:color w:val="000000" w:themeColor="text1"/>
        </w:rPr>
        <w:footnoteRef/>
      </w:r>
      <w:r w:rsidRPr="00035B3E">
        <w:rPr>
          <w:rFonts w:ascii="Arial" w:hAnsi="Arial" w:cs="Arial"/>
          <w:color w:val="000000" w:themeColor="text1"/>
        </w:rPr>
        <w:t xml:space="preserve"> </w:t>
      </w:r>
      <w:r w:rsidRPr="00035B3E">
        <w:rPr>
          <w:rFonts w:ascii="Arial" w:hAnsi="Arial" w:cs="Arial"/>
          <w:color w:val="000000" w:themeColor="text1"/>
          <w:lang w:val="es-ES"/>
        </w:rPr>
        <w:t>El término Procurador tiene matices distintos en los diversos sistemas jurídicos iberoamericanos. Aquí el término Procurador se refiere a la persona que actúa como representante procesal de la parte, no a ningún miembro de la Fiscalía o Ministerio Público.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339"/>
    <w:rsid w:val="000028D8"/>
    <w:rsid w:val="00006EF4"/>
    <w:rsid w:val="00007EAC"/>
    <w:rsid w:val="00010AD6"/>
    <w:rsid w:val="00011335"/>
    <w:rsid w:val="00011499"/>
    <w:rsid w:val="00020135"/>
    <w:rsid w:val="0002055C"/>
    <w:rsid w:val="00022351"/>
    <w:rsid w:val="000259F5"/>
    <w:rsid w:val="00025EB6"/>
    <w:rsid w:val="000337AF"/>
    <w:rsid w:val="00035B3E"/>
    <w:rsid w:val="00036211"/>
    <w:rsid w:val="00037840"/>
    <w:rsid w:val="0004357F"/>
    <w:rsid w:val="000513FC"/>
    <w:rsid w:val="00051E5C"/>
    <w:rsid w:val="00052A08"/>
    <w:rsid w:val="00052AEA"/>
    <w:rsid w:val="000532AB"/>
    <w:rsid w:val="0005382A"/>
    <w:rsid w:val="000546A2"/>
    <w:rsid w:val="00057DAE"/>
    <w:rsid w:val="00064F45"/>
    <w:rsid w:val="0006701D"/>
    <w:rsid w:val="00070230"/>
    <w:rsid w:val="000755E5"/>
    <w:rsid w:val="00075B5C"/>
    <w:rsid w:val="00080B39"/>
    <w:rsid w:val="000937B8"/>
    <w:rsid w:val="00097D34"/>
    <w:rsid w:val="000A2F37"/>
    <w:rsid w:val="000B000D"/>
    <w:rsid w:val="000B0328"/>
    <w:rsid w:val="000B2401"/>
    <w:rsid w:val="000B6A0F"/>
    <w:rsid w:val="000C11B6"/>
    <w:rsid w:val="000C400A"/>
    <w:rsid w:val="000E3575"/>
    <w:rsid w:val="000E4061"/>
    <w:rsid w:val="000E79C3"/>
    <w:rsid w:val="000F2A7D"/>
    <w:rsid w:val="000F2BEB"/>
    <w:rsid w:val="000F3E6B"/>
    <w:rsid w:val="000F6966"/>
    <w:rsid w:val="0010081D"/>
    <w:rsid w:val="00102D99"/>
    <w:rsid w:val="00103BB8"/>
    <w:rsid w:val="00104595"/>
    <w:rsid w:val="00106121"/>
    <w:rsid w:val="001068BA"/>
    <w:rsid w:val="00111101"/>
    <w:rsid w:val="00114577"/>
    <w:rsid w:val="00117D63"/>
    <w:rsid w:val="00121A74"/>
    <w:rsid w:val="00127DFD"/>
    <w:rsid w:val="001403AF"/>
    <w:rsid w:val="001439F9"/>
    <w:rsid w:val="00143E75"/>
    <w:rsid w:val="001512C6"/>
    <w:rsid w:val="00151F56"/>
    <w:rsid w:val="001530F7"/>
    <w:rsid w:val="001538C5"/>
    <w:rsid w:val="001607AB"/>
    <w:rsid w:val="00165BDB"/>
    <w:rsid w:val="00170D7D"/>
    <w:rsid w:val="001718C8"/>
    <w:rsid w:val="001732AC"/>
    <w:rsid w:val="001745D8"/>
    <w:rsid w:val="00180031"/>
    <w:rsid w:val="00180FBA"/>
    <w:rsid w:val="001811A2"/>
    <w:rsid w:val="00184579"/>
    <w:rsid w:val="00186060"/>
    <w:rsid w:val="001A0A57"/>
    <w:rsid w:val="001A1C87"/>
    <w:rsid w:val="001A27B6"/>
    <w:rsid w:val="001A7D33"/>
    <w:rsid w:val="001B0C30"/>
    <w:rsid w:val="001B6937"/>
    <w:rsid w:val="001B6DC2"/>
    <w:rsid w:val="001B7863"/>
    <w:rsid w:val="001B7E6A"/>
    <w:rsid w:val="001C6582"/>
    <w:rsid w:val="001C7F16"/>
    <w:rsid w:val="001D0029"/>
    <w:rsid w:val="001D58B8"/>
    <w:rsid w:val="001D7F58"/>
    <w:rsid w:val="001E194E"/>
    <w:rsid w:val="001E39BC"/>
    <w:rsid w:val="001E3D7A"/>
    <w:rsid w:val="001E4F44"/>
    <w:rsid w:val="001E78D0"/>
    <w:rsid w:val="001F0D20"/>
    <w:rsid w:val="001F347B"/>
    <w:rsid w:val="001F3C81"/>
    <w:rsid w:val="001F43B1"/>
    <w:rsid w:val="001F5CBC"/>
    <w:rsid w:val="001F7BC0"/>
    <w:rsid w:val="002006F0"/>
    <w:rsid w:val="00202DEC"/>
    <w:rsid w:val="00203071"/>
    <w:rsid w:val="0020798E"/>
    <w:rsid w:val="00210687"/>
    <w:rsid w:val="002124D4"/>
    <w:rsid w:val="002139D4"/>
    <w:rsid w:val="00215A7D"/>
    <w:rsid w:val="002211E4"/>
    <w:rsid w:val="0022505F"/>
    <w:rsid w:val="0022600E"/>
    <w:rsid w:val="00226302"/>
    <w:rsid w:val="002268C3"/>
    <w:rsid w:val="00230955"/>
    <w:rsid w:val="00230F84"/>
    <w:rsid w:val="0023482F"/>
    <w:rsid w:val="00235E51"/>
    <w:rsid w:val="00242983"/>
    <w:rsid w:val="00244206"/>
    <w:rsid w:val="002505FE"/>
    <w:rsid w:val="0025064D"/>
    <w:rsid w:val="00255025"/>
    <w:rsid w:val="0025550C"/>
    <w:rsid w:val="002632CD"/>
    <w:rsid w:val="0026630D"/>
    <w:rsid w:val="002733F7"/>
    <w:rsid w:val="00275580"/>
    <w:rsid w:val="002829A6"/>
    <w:rsid w:val="002873F0"/>
    <w:rsid w:val="00291892"/>
    <w:rsid w:val="002946CC"/>
    <w:rsid w:val="0029623C"/>
    <w:rsid w:val="00297C54"/>
    <w:rsid w:val="002A09EF"/>
    <w:rsid w:val="002B24A5"/>
    <w:rsid w:val="002B2F23"/>
    <w:rsid w:val="002B63CF"/>
    <w:rsid w:val="002C419C"/>
    <w:rsid w:val="002D0171"/>
    <w:rsid w:val="002D0DF7"/>
    <w:rsid w:val="002D1AD9"/>
    <w:rsid w:val="002D5277"/>
    <w:rsid w:val="002E0E71"/>
    <w:rsid w:val="002E1BD4"/>
    <w:rsid w:val="002E43B3"/>
    <w:rsid w:val="002F2806"/>
    <w:rsid w:val="002F70CB"/>
    <w:rsid w:val="002F7DB1"/>
    <w:rsid w:val="002F7FEA"/>
    <w:rsid w:val="003119C4"/>
    <w:rsid w:val="003132CC"/>
    <w:rsid w:val="00316F4C"/>
    <w:rsid w:val="0032114D"/>
    <w:rsid w:val="00322393"/>
    <w:rsid w:val="003230AE"/>
    <w:rsid w:val="00323D4E"/>
    <w:rsid w:val="003309B2"/>
    <w:rsid w:val="003329B0"/>
    <w:rsid w:val="00333EE5"/>
    <w:rsid w:val="00335026"/>
    <w:rsid w:val="0033785D"/>
    <w:rsid w:val="00337A9D"/>
    <w:rsid w:val="003518E6"/>
    <w:rsid w:val="00355253"/>
    <w:rsid w:val="00357D98"/>
    <w:rsid w:val="0036115D"/>
    <w:rsid w:val="003611DA"/>
    <w:rsid w:val="00365389"/>
    <w:rsid w:val="00370E83"/>
    <w:rsid w:val="00370F84"/>
    <w:rsid w:val="00372D12"/>
    <w:rsid w:val="00374054"/>
    <w:rsid w:val="00374D19"/>
    <w:rsid w:val="00380C87"/>
    <w:rsid w:val="00393E1C"/>
    <w:rsid w:val="0039623A"/>
    <w:rsid w:val="003976E6"/>
    <w:rsid w:val="003A386F"/>
    <w:rsid w:val="003A520C"/>
    <w:rsid w:val="003A7CB4"/>
    <w:rsid w:val="003B1534"/>
    <w:rsid w:val="003B2DFE"/>
    <w:rsid w:val="003B5677"/>
    <w:rsid w:val="003B5C75"/>
    <w:rsid w:val="003C008F"/>
    <w:rsid w:val="003C045A"/>
    <w:rsid w:val="003C0A9B"/>
    <w:rsid w:val="003C660F"/>
    <w:rsid w:val="003D1683"/>
    <w:rsid w:val="003D27EA"/>
    <w:rsid w:val="003E2793"/>
    <w:rsid w:val="003E2CA1"/>
    <w:rsid w:val="003E6985"/>
    <w:rsid w:val="003E6C50"/>
    <w:rsid w:val="003F2231"/>
    <w:rsid w:val="003F392D"/>
    <w:rsid w:val="003F7208"/>
    <w:rsid w:val="004001AA"/>
    <w:rsid w:val="00404379"/>
    <w:rsid w:val="00404D89"/>
    <w:rsid w:val="004111DC"/>
    <w:rsid w:val="004133FF"/>
    <w:rsid w:val="0041355A"/>
    <w:rsid w:val="00413802"/>
    <w:rsid w:val="004148B4"/>
    <w:rsid w:val="00415FE8"/>
    <w:rsid w:val="004168B9"/>
    <w:rsid w:val="00417E05"/>
    <w:rsid w:val="00420237"/>
    <w:rsid w:val="00423FE2"/>
    <w:rsid w:val="00426EE0"/>
    <w:rsid w:val="00427020"/>
    <w:rsid w:val="00435BDF"/>
    <w:rsid w:val="00437C98"/>
    <w:rsid w:val="004402CD"/>
    <w:rsid w:val="00441DD6"/>
    <w:rsid w:val="0044718F"/>
    <w:rsid w:val="004508B7"/>
    <w:rsid w:val="00451EC8"/>
    <w:rsid w:val="00452C39"/>
    <w:rsid w:val="00462A7E"/>
    <w:rsid w:val="00462ED9"/>
    <w:rsid w:val="0046549A"/>
    <w:rsid w:val="004668EA"/>
    <w:rsid w:val="00467C57"/>
    <w:rsid w:val="004705FD"/>
    <w:rsid w:val="00470B35"/>
    <w:rsid w:val="00471BDF"/>
    <w:rsid w:val="0047429F"/>
    <w:rsid w:val="00474D62"/>
    <w:rsid w:val="004805F2"/>
    <w:rsid w:val="00481056"/>
    <w:rsid w:val="00483A59"/>
    <w:rsid w:val="00484A61"/>
    <w:rsid w:val="0048788D"/>
    <w:rsid w:val="00495D2A"/>
    <w:rsid w:val="004974E7"/>
    <w:rsid w:val="004A1D7D"/>
    <w:rsid w:val="004B0703"/>
    <w:rsid w:val="004B49BE"/>
    <w:rsid w:val="004C05DA"/>
    <w:rsid w:val="004C22FA"/>
    <w:rsid w:val="004C7F8C"/>
    <w:rsid w:val="004D50E7"/>
    <w:rsid w:val="004E420D"/>
    <w:rsid w:val="004E6AD1"/>
    <w:rsid w:val="004F06F2"/>
    <w:rsid w:val="004F1AEA"/>
    <w:rsid w:val="00501202"/>
    <w:rsid w:val="005012FD"/>
    <w:rsid w:val="00501A38"/>
    <w:rsid w:val="005058DB"/>
    <w:rsid w:val="00507309"/>
    <w:rsid w:val="0051036F"/>
    <w:rsid w:val="00513647"/>
    <w:rsid w:val="0051500E"/>
    <w:rsid w:val="00515279"/>
    <w:rsid w:val="005200F9"/>
    <w:rsid w:val="00522AAC"/>
    <w:rsid w:val="0052432F"/>
    <w:rsid w:val="00527104"/>
    <w:rsid w:val="005343EA"/>
    <w:rsid w:val="005358A8"/>
    <w:rsid w:val="0054250C"/>
    <w:rsid w:val="005439BE"/>
    <w:rsid w:val="00544B83"/>
    <w:rsid w:val="00550029"/>
    <w:rsid w:val="0055340E"/>
    <w:rsid w:val="00554CD7"/>
    <w:rsid w:val="00565935"/>
    <w:rsid w:val="005679D7"/>
    <w:rsid w:val="00572DE2"/>
    <w:rsid w:val="00577272"/>
    <w:rsid w:val="00577B2C"/>
    <w:rsid w:val="00582CF9"/>
    <w:rsid w:val="00584886"/>
    <w:rsid w:val="00585157"/>
    <w:rsid w:val="00592CEF"/>
    <w:rsid w:val="005950EE"/>
    <w:rsid w:val="005A07DF"/>
    <w:rsid w:val="005A09DB"/>
    <w:rsid w:val="005A3BCF"/>
    <w:rsid w:val="005B0BEF"/>
    <w:rsid w:val="005B34A3"/>
    <w:rsid w:val="005B5AFB"/>
    <w:rsid w:val="005C33B1"/>
    <w:rsid w:val="005C74D2"/>
    <w:rsid w:val="005D0307"/>
    <w:rsid w:val="005D17DE"/>
    <w:rsid w:val="005E50DC"/>
    <w:rsid w:val="005E5972"/>
    <w:rsid w:val="005E605D"/>
    <w:rsid w:val="005E6F47"/>
    <w:rsid w:val="005E7327"/>
    <w:rsid w:val="005E7BD9"/>
    <w:rsid w:val="005F1E43"/>
    <w:rsid w:val="005F5983"/>
    <w:rsid w:val="006002B0"/>
    <w:rsid w:val="00600B01"/>
    <w:rsid w:val="00605EF5"/>
    <w:rsid w:val="00606161"/>
    <w:rsid w:val="006065E6"/>
    <w:rsid w:val="00616A4D"/>
    <w:rsid w:val="00617F0E"/>
    <w:rsid w:val="006201B8"/>
    <w:rsid w:val="00620280"/>
    <w:rsid w:val="00621554"/>
    <w:rsid w:val="006232E5"/>
    <w:rsid w:val="006238C8"/>
    <w:rsid w:val="0063031C"/>
    <w:rsid w:val="0063356C"/>
    <w:rsid w:val="0064058C"/>
    <w:rsid w:val="006544AE"/>
    <w:rsid w:val="00655DF1"/>
    <w:rsid w:val="0065674F"/>
    <w:rsid w:val="006642CC"/>
    <w:rsid w:val="00664C80"/>
    <w:rsid w:val="006664FD"/>
    <w:rsid w:val="00666CD8"/>
    <w:rsid w:val="00666DC8"/>
    <w:rsid w:val="006678B1"/>
    <w:rsid w:val="00672AF8"/>
    <w:rsid w:val="00676B6B"/>
    <w:rsid w:val="006824B1"/>
    <w:rsid w:val="00683968"/>
    <w:rsid w:val="006869AD"/>
    <w:rsid w:val="00686BD2"/>
    <w:rsid w:val="00686DE0"/>
    <w:rsid w:val="006926A4"/>
    <w:rsid w:val="00692896"/>
    <w:rsid w:val="006A25A4"/>
    <w:rsid w:val="006B1A41"/>
    <w:rsid w:val="006B25BE"/>
    <w:rsid w:val="006B5BF3"/>
    <w:rsid w:val="006B5DEF"/>
    <w:rsid w:val="006B634B"/>
    <w:rsid w:val="006C24E7"/>
    <w:rsid w:val="006C44A0"/>
    <w:rsid w:val="006C645E"/>
    <w:rsid w:val="006D1A2E"/>
    <w:rsid w:val="006D1B33"/>
    <w:rsid w:val="006D1E19"/>
    <w:rsid w:val="006D3A28"/>
    <w:rsid w:val="006E4366"/>
    <w:rsid w:val="006F0F37"/>
    <w:rsid w:val="006F382B"/>
    <w:rsid w:val="006F395F"/>
    <w:rsid w:val="007030D9"/>
    <w:rsid w:val="00704F9F"/>
    <w:rsid w:val="00705D58"/>
    <w:rsid w:val="00707844"/>
    <w:rsid w:val="00711C56"/>
    <w:rsid w:val="0071209D"/>
    <w:rsid w:val="0071264D"/>
    <w:rsid w:val="00713517"/>
    <w:rsid w:val="00727526"/>
    <w:rsid w:val="007317D9"/>
    <w:rsid w:val="00732C93"/>
    <w:rsid w:val="00735E97"/>
    <w:rsid w:val="007400DE"/>
    <w:rsid w:val="00741C00"/>
    <w:rsid w:val="00753689"/>
    <w:rsid w:val="007547A1"/>
    <w:rsid w:val="00770704"/>
    <w:rsid w:val="00771022"/>
    <w:rsid w:val="00773777"/>
    <w:rsid w:val="00775DA1"/>
    <w:rsid w:val="007777BB"/>
    <w:rsid w:val="007830F2"/>
    <w:rsid w:val="00783339"/>
    <w:rsid w:val="0078401B"/>
    <w:rsid w:val="007849B4"/>
    <w:rsid w:val="00785684"/>
    <w:rsid w:val="00792016"/>
    <w:rsid w:val="007936DD"/>
    <w:rsid w:val="007A1E8D"/>
    <w:rsid w:val="007A2355"/>
    <w:rsid w:val="007A34D6"/>
    <w:rsid w:val="007A382F"/>
    <w:rsid w:val="007A3CE6"/>
    <w:rsid w:val="007A5A1D"/>
    <w:rsid w:val="007A79A5"/>
    <w:rsid w:val="007B2CAC"/>
    <w:rsid w:val="007B5E7C"/>
    <w:rsid w:val="007B6202"/>
    <w:rsid w:val="007B65D3"/>
    <w:rsid w:val="007B74DF"/>
    <w:rsid w:val="007D5961"/>
    <w:rsid w:val="007E0F4F"/>
    <w:rsid w:val="007E54F7"/>
    <w:rsid w:val="007E738E"/>
    <w:rsid w:val="007E7FCD"/>
    <w:rsid w:val="007F021B"/>
    <w:rsid w:val="007F15A8"/>
    <w:rsid w:val="007F22A4"/>
    <w:rsid w:val="007F7712"/>
    <w:rsid w:val="00801A2F"/>
    <w:rsid w:val="0080298A"/>
    <w:rsid w:val="0081416F"/>
    <w:rsid w:val="00820203"/>
    <w:rsid w:val="008227EE"/>
    <w:rsid w:val="008230FC"/>
    <w:rsid w:val="008260A0"/>
    <w:rsid w:val="0083375C"/>
    <w:rsid w:val="00836A9B"/>
    <w:rsid w:val="00843A43"/>
    <w:rsid w:val="00843C3E"/>
    <w:rsid w:val="008537E3"/>
    <w:rsid w:val="00860933"/>
    <w:rsid w:val="00864B9E"/>
    <w:rsid w:val="00864EB1"/>
    <w:rsid w:val="00870048"/>
    <w:rsid w:val="00871058"/>
    <w:rsid w:val="00884FD1"/>
    <w:rsid w:val="00890538"/>
    <w:rsid w:val="008A1C1C"/>
    <w:rsid w:val="008A24A1"/>
    <w:rsid w:val="008A795B"/>
    <w:rsid w:val="008B24D7"/>
    <w:rsid w:val="008B40A4"/>
    <w:rsid w:val="008B601C"/>
    <w:rsid w:val="008B73ED"/>
    <w:rsid w:val="008C2143"/>
    <w:rsid w:val="008C5520"/>
    <w:rsid w:val="008D3859"/>
    <w:rsid w:val="008D60A9"/>
    <w:rsid w:val="008D62D2"/>
    <w:rsid w:val="008D6793"/>
    <w:rsid w:val="008D7596"/>
    <w:rsid w:val="008D77E3"/>
    <w:rsid w:val="008D7860"/>
    <w:rsid w:val="008E124C"/>
    <w:rsid w:val="008E48D0"/>
    <w:rsid w:val="008E5D6A"/>
    <w:rsid w:val="008F0227"/>
    <w:rsid w:val="008F0FE3"/>
    <w:rsid w:val="008F4306"/>
    <w:rsid w:val="008F5F67"/>
    <w:rsid w:val="008F64A9"/>
    <w:rsid w:val="009022A3"/>
    <w:rsid w:val="00907D97"/>
    <w:rsid w:val="00910986"/>
    <w:rsid w:val="00915CF8"/>
    <w:rsid w:val="0091794F"/>
    <w:rsid w:val="00925999"/>
    <w:rsid w:val="00925CD6"/>
    <w:rsid w:val="00926B0B"/>
    <w:rsid w:val="0092712F"/>
    <w:rsid w:val="00930944"/>
    <w:rsid w:val="009332BA"/>
    <w:rsid w:val="00936D6F"/>
    <w:rsid w:val="00940C62"/>
    <w:rsid w:val="00941634"/>
    <w:rsid w:val="009427D9"/>
    <w:rsid w:val="00942D02"/>
    <w:rsid w:val="009432AC"/>
    <w:rsid w:val="00943938"/>
    <w:rsid w:val="009442A2"/>
    <w:rsid w:val="0094486E"/>
    <w:rsid w:val="009473BE"/>
    <w:rsid w:val="00953C8D"/>
    <w:rsid w:val="00956FEA"/>
    <w:rsid w:val="0095742A"/>
    <w:rsid w:val="0096028F"/>
    <w:rsid w:val="0096132B"/>
    <w:rsid w:val="009631CB"/>
    <w:rsid w:val="009706A8"/>
    <w:rsid w:val="009757D2"/>
    <w:rsid w:val="00981C90"/>
    <w:rsid w:val="009845B3"/>
    <w:rsid w:val="00984BF5"/>
    <w:rsid w:val="00994CC0"/>
    <w:rsid w:val="00995521"/>
    <w:rsid w:val="00996101"/>
    <w:rsid w:val="009969DA"/>
    <w:rsid w:val="009A1436"/>
    <w:rsid w:val="009A3A5C"/>
    <w:rsid w:val="009A57A7"/>
    <w:rsid w:val="009A5D29"/>
    <w:rsid w:val="009B4157"/>
    <w:rsid w:val="009B4A4A"/>
    <w:rsid w:val="009B7D29"/>
    <w:rsid w:val="009C0D2C"/>
    <w:rsid w:val="009C1768"/>
    <w:rsid w:val="009D01DB"/>
    <w:rsid w:val="009D03AC"/>
    <w:rsid w:val="009D08D1"/>
    <w:rsid w:val="009D6DC4"/>
    <w:rsid w:val="009E0929"/>
    <w:rsid w:val="009E143E"/>
    <w:rsid w:val="009E2A47"/>
    <w:rsid w:val="009F68D0"/>
    <w:rsid w:val="00A019FC"/>
    <w:rsid w:val="00A040D7"/>
    <w:rsid w:val="00A1158B"/>
    <w:rsid w:val="00A11C56"/>
    <w:rsid w:val="00A1610F"/>
    <w:rsid w:val="00A16461"/>
    <w:rsid w:val="00A206ED"/>
    <w:rsid w:val="00A20F7B"/>
    <w:rsid w:val="00A2461C"/>
    <w:rsid w:val="00A27B9E"/>
    <w:rsid w:val="00A27D77"/>
    <w:rsid w:val="00A30013"/>
    <w:rsid w:val="00A33449"/>
    <w:rsid w:val="00A33C2D"/>
    <w:rsid w:val="00A36418"/>
    <w:rsid w:val="00A5365C"/>
    <w:rsid w:val="00A6187D"/>
    <w:rsid w:val="00A640A7"/>
    <w:rsid w:val="00A65112"/>
    <w:rsid w:val="00A66871"/>
    <w:rsid w:val="00A66BAA"/>
    <w:rsid w:val="00A6780A"/>
    <w:rsid w:val="00A67B43"/>
    <w:rsid w:val="00A75B34"/>
    <w:rsid w:val="00A75B56"/>
    <w:rsid w:val="00A779F3"/>
    <w:rsid w:val="00A825E8"/>
    <w:rsid w:val="00A83564"/>
    <w:rsid w:val="00A84581"/>
    <w:rsid w:val="00A87D21"/>
    <w:rsid w:val="00AA0C77"/>
    <w:rsid w:val="00AA256E"/>
    <w:rsid w:val="00AA511F"/>
    <w:rsid w:val="00AA62B6"/>
    <w:rsid w:val="00AB0336"/>
    <w:rsid w:val="00AB20A2"/>
    <w:rsid w:val="00AB4AC3"/>
    <w:rsid w:val="00AC159B"/>
    <w:rsid w:val="00AC303F"/>
    <w:rsid w:val="00AC3C05"/>
    <w:rsid w:val="00AC6C60"/>
    <w:rsid w:val="00AD1EE5"/>
    <w:rsid w:val="00AE67D6"/>
    <w:rsid w:val="00AF2927"/>
    <w:rsid w:val="00AF2F4D"/>
    <w:rsid w:val="00AF5379"/>
    <w:rsid w:val="00AF6568"/>
    <w:rsid w:val="00AF69D8"/>
    <w:rsid w:val="00AF7838"/>
    <w:rsid w:val="00B02195"/>
    <w:rsid w:val="00B04D69"/>
    <w:rsid w:val="00B06AC1"/>
    <w:rsid w:val="00B20D78"/>
    <w:rsid w:val="00B23F68"/>
    <w:rsid w:val="00B270C2"/>
    <w:rsid w:val="00B272DA"/>
    <w:rsid w:val="00B3376E"/>
    <w:rsid w:val="00B351EF"/>
    <w:rsid w:val="00B35546"/>
    <w:rsid w:val="00B36CAA"/>
    <w:rsid w:val="00B40DC2"/>
    <w:rsid w:val="00B438F2"/>
    <w:rsid w:val="00B45011"/>
    <w:rsid w:val="00B513CE"/>
    <w:rsid w:val="00B52604"/>
    <w:rsid w:val="00B545E5"/>
    <w:rsid w:val="00B57B05"/>
    <w:rsid w:val="00B603A1"/>
    <w:rsid w:val="00B609B4"/>
    <w:rsid w:val="00B658FD"/>
    <w:rsid w:val="00B66391"/>
    <w:rsid w:val="00B66895"/>
    <w:rsid w:val="00B72141"/>
    <w:rsid w:val="00B73506"/>
    <w:rsid w:val="00B73EAF"/>
    <w:rsid w:val="00B77CE2"/>
    <w:rsid w:val="00B80160"/>
    <w:rsid w:val="00B80AD3"/>
    <w:rsid w:val="00B80F4D"/>
    <w:rsid w:val="00B80FCD"/>
    <w:rsid w:val="00B95865"/>
    <w:rsid w:val="00B9664D"/>
    <w:rsid w:val="00B971E5"/>
    <w:rsid w:val="00B97851"/>
    <w:rsid w:val="00BA026E"/>
    <w:rsid w:val="00BA14BA"/>
    <w:rsid w:val="00BA1DC7"/>
    <w:rsid w:val="00BA3A51"/>
    <w:rsid w:val="00BB11F3"/>
    <w:rsid w:val="00BB2E46"/>
    <w:rsid w:val="00BB35F1"/>
    <w:rsid w:val="00BB3F20"/>
    <w:rsid w:val="00BB3F5F"/>
    <w:rsid w:val="00BB4947"/>
    <w:rsid w:val="00BB4AC9"/>
    <w:rsid w:val="00BB5E28"/>
    <w:rsid w:val="00BC2E33"/>
    <w:rsid w:val="00BC688E"/>
    <w:rsid w:val="00BC7333"/>
    <w:rsid w:val="00BD310D"/>
    <w:rsid w:val="00BD4859"/>
    <w:rsid w:val="00BD66A4"/>
    <w:rsid w:val="00BD78FF"/>
    <w:rsid w:val="00BE1A08"/>
    <w:rsid w:val="00BE3F1F"/>
    <w:rsid w:val="00BF1E1D"/>
    <w:rsid w:val="00BF6E98"/>
    <w:rsid w:val="00C00EE2"/>
    <w:rsid w:val="00C05259"/>
    <w:rsid w:val="00C0650D"/>
    <w:rsid w:val="00C0712B"/>
    <w:rsid w:val="00C154D4"/>
    <w:rsid w:val="00C17BB9"/>
    <w:rsid w:val="00C201BC"/>
    <w:rsid w:val="00C216A6"/>
    <w:rsid w:val="00C23C8A"/>
    <w:rsid w:val="00C31B0A"/>
    <w:rsid w:val="00C31CD8"/>
    <w:rsid w:val="00C3246D"/>
    <w:rsid w:val="00C351CF"/>
    <w:rsid w:val="00C35414"/>
    <w:rsid w:val="00C4055B"/>
    <w:rsid w:val="00C50A68"/>
    <w:rsid w:val="00C5343B"/>
    <w:rsid w:val="00C538D2"/>
    <w:rsid w:val="00C53D44"/>
    <w:rsid w:val="00C6617E"/>
    <w:rsid w:val="00C768AC"/>
    <w:rsid w:val="00C77929"/>
    <w:rsid w:val="00C84037"/>
    <w:rsid w:val="00C8442C"/>
    <w:rsid w:val="00C93DCB"/>
    <w:rsid w:val="00C968D6"/>
    <w:rsid w:val="00CA0314"/>
    <w:rsid w:val="00CA49A2"/>
    <w:rsid w:val="00CA4BD8"/>
    <w:rsid w:val="00CA4F9D"/>
    <w:rsid w:val="00CA5B6A"/>
    <w:rsid w:val="00CA7816"/>
    <w:rsid w:val="00CB047E"/>
    <w:rsid w:val="00CB66E9"/>
    <w:rsid w:val="00CB6760"/>
    <w:rsid w:val="00CC2035"/>
    <w:rsid w:val="00CC2EDA"/>
    <w:rsid w:val="00CC422F"/>
    <w:rsid w:val="00CC4896"/>
    <w:rsid w:val="00CC5EA2"/>
    <w:rsid w:val="00CD28BB"/>
    <w:rsid w:val="00CD62DA"/>
    <w:rsid w:val="00CD6958"/>
    <w:rsid w:val="00CD6AB0"/>
    <w:rsid w:val="00CE5F81"/>
    <w:rsid w:val="00CF0D8D"/>
    <w:rsid w:val="00CF1758"/>
    <w:rsid w:val="00CF1887"/>
    <w:rsid w:val="00CF3C0F"/>
    <w:rsid w:val="00CF5993"/>
    <w:rsid w:val="00CF5F80"/>
    <w:rsid w:val="00CF7734"/>
    <w:rsid w:val="00D004BC"/>
    <w:rsid w:val="00D00A34"/>
    <w:rsid w:val="00D01565"/>
    <w:rsid w:val="00D02F7A"/>
    <w:rsid w:val="00D03C17"/>
    <w:rsid w:val="00D048CC"/>
    <w:rsid w:val="00D04944"/>
    <w:rsid w:val="00D1031A"/>
    <w:rsid w:val="00D127E6"/>
    <w:rsid w:val="00D147B5"/>
    <w:rsid w:val="00D2042E"/>
    <w:rsid w:val="00D2495C"/>
    <w:rsid w:val="00D268EF"/>
    <w:rsid w:val="00D26E1B"/>
    <w:rsid w:val="00D27A51"/>
    <w:rsid w:val="00D27B24"/>
    <w:rsid w:val="00D355C8"/>
    <w:rsid w:val="00D36760"/>
    <w:rsid w:val="00D4276B"/>
    <w:rsid w:val="00D444E6"/>
    <w:rsid w:val="00D46858"/>
    <w:rsid w:val="00D50366"/>
    <w:rsid w:val="00D65F9D"/>
    <w:rsid w:val="00D661CC"/>
    <w:rsid w:val="00D756C0"/>
    <w:rsid w:val="00D77528"/>
    <w:rsid w:val="00D87B0B"/>
    <w:rsid w:val="00D87FED"/>
    <w:rsid w:val="00D90448"/>
    <w:rsid w:val="00D93CF6"/>
    <w:rsid w:val="00D965E5"/>
    <w:rsid w:val="00DA40EB"/>
    <w:rsid w:val="00DA7E9A"/>
    <w:rsid w:val="00DB2C3E"/>
    <w:rsid w:val="00DB73E4"/>
    <w:rsid w:val="00DC1AD3"/>
    <w:rsid w:val="00DC4FC6"/>
    <w:rsid w:val="00DC5572"/>
    <w:rsid w:val="00DD1F29"/>
    <w:rsid w:val="00DD4B7D"/>
    <w:rsid w:val="00DD6E26"/>
    <w:rsid w:val="00DD7445"/>
    <w:rsid w:val="00DE381D"/>
    <w:rsid w:val="00DE5D7A"/>
    <w:rsid w:val="00DF1728"/>
    <w:rsid w:val="00DF6DD7"/>
    <w:rsid w:val="00E04497"/>
    <w:rsid w:val="00E048E5"/>
    <w:rsid w:val="00E05846"/>
    <w:rsid w:val="00E060C7"/>
    <w:rsid w:val="00E10F59"/>
    <w:rsid w:val="00E11CA0"/>
    <w:rsid w:val="00E15566"/>
    <w:rsid w:val="00E16378"/>
    <w:rsid w:val="00E223F3"/>
    <w:rsid w:val="00E26255"/>
    <w:rsid w:val="00E264A6"/>
    <w:rsid w:val="00E26FC2"/>
    <w:rsid w:val="00E27A44"/>
    <w:rsid w:val="00E33F4A"/>
    <w:rsid w:val="00E34E55"/>
    <w:rsid w:val="00E436A2"/>
    <w:rsid w:val="00E45299"/>
    <w:rsid w:val="00E46758"/>
    <w:rsid w:val="00E53B92"/>
    <w:rsid w:val="00E53FDC"/>
    <w:rsid w:val="00E574BA"/>
    <w:rsid w:val="00E6132D"/>
    <w:rsid w:val="00E628F2"/>
    <w:rsid w:val="00E643EC"/>
    <w:rsid w:val="00E7067D"/>
    <w:rsid w:val="00E72F58"/>
    <w:rsid w:val="00E73364"/>
    <w:rsid w:val="00E8109F"/>
    <w:rsid w:val="00E84791"/>
    <w:rsid w:val="00E86D7D"/>
    <w:rsid w:val="00E91BCF"/>
    <w:rsid w:val="00E952B6"/>
    <w:rsid w:val="00EA3E24"/>
    <w:rsid w:val="00EA4411"/>
    <w:rsid w:val="00EA4DB0"/>
    <w:rsid w:val="00EA72DC"/>
    <w:rsid w:val="00ED21F7"/>
    <w:rsid w:val="00ED2DC3"/>
    <w:rsid w:val="00ED58C8"/>
    <w:rsid w:val="00ED7B15"/>
    <w:rsid w:val="00EE0A40"/>
    <w:rsid w:val="00EE4943"/>
    <w:rsid w:val="00EE6067"/>
    <w:rsid w:val="00EE6CEC"/>
    <w:rsid w:val="00EF0C94"/>
    <w:rsid w:val="00EF0D6D"/>
    <w:rsid w:val="00EF11D3"/>
    <w:rsid w:val="00EF3A06"/>
    <w:rsid w:val="00EF75B9"/>
    <w:rsid w:val="00F000D7"/>
    <w:rsid w:val="00F02BF9"/>
    <w:rsid w:val="00F067C9"/>
    <w:rsid w:val="00F22649"/>
    <w:rsid w:val="00F22EB0"/>
    <w:rsid w:val="00F235D1"/>
    <w:rsid w:val="00F24CDE"/>
    <w:rsid w:val="00F33DDF"/>
    <w:rsid w:val="00F33F96"/>
    <w:rsid w:val="00F361E0"/>
    <w:rsid w:val="00F362F4"/>
    <w:rsid w:val="00F36786"/>
    <w:rsid w:val="00F36EED"/>
    <w:rsid w:val="00F43826"/>
    <w:rsid w:val="00F45AF3"/>
    <w:rsid w:val="00F511AF"/>
    <w:rsid w:val="00F563D8"/>
    <w:rsid w:val="00F61C9E"/>
    <w:rsid w:val="00F61FE5"/>
    <w:rsid w:val="00F62AB0"/>
    <w:rsid w:val="00F62C31"/>
    <w:rsid w:val="00F64094"/>
    <w:rsid w:val="00F65451"/>
    <w:rsid w:val="00F75F94"/>
    <w:rsid w:val="00F779D9"/>
    <w:rsid w:val="00F77D9E"/>
    <w:rsid w:val="00F831D7"/>
    <w:rsid w:val="00F85D16"/>
    <w:rsid w:val="00F90DF1"/>
    <w:rsid w:val="00F97BCD"/>
    <w:rsid w:val="00FA17E3"/>
    <w:rsid w:val="00FB1084"/>
    <w:rsid w:val="00FC0639"/>
    <w:rsid w:val="00FC3DFB"/>
    <w:rsid w:val="00FD22D1"/>
    <w:rsid w:val="00FD25BC"/>
    <w:rsid w:val="00FD29CB"/>
    <w:rsid w:val="00FD564C"/>
    <w:rsid w:val="00FE61B0"/>
    <w:rsid w:val="00FE6C52"/>
    <w:rsid w:val="00FE7C74"/>
    <w:rsid w:val="00FE7F04"/>
    <w:rsid w:val="00FF69D5"/>
    <w:rsid w:val="00FF6EC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97A40"/>
  <w15:chartTrackingRefBased/>
  <w15:docId w15:val="{7DB32759-AF72-9540-B77C-3B4B54EA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F779D9"/>
    <w:pPr>
      <w:spacing w:before="100" w:beforeAutospacing="1" w:after="100" w:afterAutospacing="1"/>
      <w:outlineLvl w:val="2"/>
    </w:pPr>
    <w:rPr>
      <w:rFonts w:ascii="Times New Roman" w:eastAsia="Times New Roman" w:hAnsi="Times New Roman" w:cs="Times New Roman"/>
      <w:b/>
      <w:bCs/>
      <w:sz w:val="27"/>
      <w:szCs w:val="27"/>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6701D"/>
    <w:pPr>
      <w:tabs>
        <w:tab w:val="center" w:pos="4513"/>
        <w:tab w:val="right" w:pos="9026"/>
      </w:tabs>
    </w:pPr>
  </w:style>
  <w:style w:type="character" w:customStyle="1" w:styleId="PiedepginaCar">
    <w:name w:val="Pie de página Car"/>
    <w:basedOn w:val="Fuentedeprrafopredeter"/>
    <w:link w:val="Piedepgina"/>
    <w:uiPriority w:val="99"/>
    <w:rsid w:val="0006701D"/>
  </w:style>
  <w:style w:type="character" w:styleId="Nmerodepgina">
    <w:name w:val="page number"/>
    <w:basedOn w:val="Fuentedeprrafopredeter"/>
    <w:uiPriority w:val="99"/>
    <w:semiHidden/>
    <w:unhideWhenUsed/>
    <w:rsid w:val="0006701D"/>
  </w:style>
  <w:style w:type="paragraph" w:styleId="Textonotapie">
    <w:name w:val="footnote text"/>
    <w:basedOn w:val="Normal"/>
    <w:link w:val="TextonotapieCar"/>
    <w:uiPriority w:val="99"/>
    <w:semiHidden/>
    <w:unhideWhenUsed/>
    <w:rsid w:val="00836A9B"/>
    <w:rPr>
      <w:sz w:val="20"/>
      <w:szCs w:val="20"/>
    </w:rPr>
  </w:style>
  <w:style w:type="character" w:customStyle="1" w:styleId="TextonotapieCar">
    <w:name w:val="Texto nota pie Car"/>
    <w:basedOn w:val="Fuentedeprrafopredeter"/>
    <w:link w:val="Textonotapie"/>
    <w:uiPriority w:val="99"/>
    <w:semiHidden/>
    <w:rsid w:val="00836A9B"/>
    <w:rPr>
      <w:sz w:val="20"/>
      <w:szCs w:val="20"/>
    </w:rPr>
  </w:style>
  <w:style w:type="character" w:styleId="Refdenotaalpie">
    <w:name w:val="footnote reference"/>
    <w:basedOn w:val="Fuentedeprrafopredeter"/>
    <w:uiPriority w:val="99"/>
    <w:semiHidden/>
    <w:unhideWhenUsed/>
    <w:rsid w:val="00836A9B"/>
    <w:rPr>
      <w:vertAlign w:val="superscript"/>
    </w:rPr>
  </w:style>
  <w:style w:type="character" w:customStyle="1" w:styleId="Ttulo3Car">
    <w:name w:val="Título 3 Car"/>
    <w:basedOn w:val="Fuentedeprrafopredeter"/>
    <w:link w:val="Ttulo3"/>
    <w:uiPriority w:val="9"/>
    <w:rsid w:val="00F779D9"/>
    <w:rPr>
      <w:rFonts w:ascii="Times New Roman" w:eastAsia="Times New Roman" w:hAnsi="Times New Roman" w:cs="Times New Roman"/>
      <w:b/>
      <w:bCs/>
      <w:sz w:val="27"/>
      <w:szCs w:val="27"/>
      <w:lang w:eastAsia="es-ES_tradnl"/>
    </w:rPr>
  </w:style>
  <w:style w:type="character" w:customStyle="1" w:styleId="markedcontent">
    <w:name w:val="markedcontent"/>
    <w:basedOn w:val="Fuentedeprrafopredeter"/>
    <w:rsid w:val="0092712F"/>
  </w:style>
  <w:style w:type="table" w:styleId="Tablaconcuadrcula">
    <w:name w:val="Table Grid"/>
    <w:basedOn w:val="Tablanormal"/>
    <w:uiPriority w:val="39"/>
    <w:rsid w:val="00EE0A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uPara">
    <w:name w:val="Ju_Para"/>
    <w:basedOn w:val="Normal"/>
    <w:link w:val="JuParaChar"/>
    <w:rsid w:val="00F85D16"/>
    <w:pPr>
      <w:suppressAutoHyphens/>
      <w:ind w:firstLine="284"/>
      <w:jc w:val="both"/>
    </w:pPr>
    <w:rPr>
      <w:rFonts w:ascii="Times New Roman" w:eastAsia="Times New Roman" w:hAnsi="Times New Roman" w:cs="Times New Roman"/>
      <w:szCs w:val="20"/>
      <w:lang w:val="fr-FR" w:eastAsia="fr-FR"/>
    </w:rPr>
  </w:style>
  <w:style w:type="character" w:customStyle="1" w:styleId="JuParaChar">
    <w:name w:val="Ju_Para Char"/>
    <w:basedOn w:val="Fuentedeprrafopredeter"/>
    <w:link w:val="JuPara"/>
    <w:rsid w:val="00F85D16"/>
    <w:rPr>
      <w:rFonts w:ascii="Times New Roman" w:eastAsia="Times New Roman" w:hAnsi="Times New Roman" w:cs="Times New Roman"/>
      <w:szCs w:val="20"/>
      <w:lang w:val="fr-FR" w:eastAsia="fr-FR"/>
    </w:rPr>
  </w:style>
  <w:style w:type="paragraph" w:customStyle="1" w:styleId="JuHa">
    <w:name w:val="Ju_H_a"/>
    <w:basedOn w:val="Normal"/>
    <w:next w:val="Normal"/>
    <w:rsid w:val="00474D62"/>
    <w:pPr>
      <w:tabs>
        <w:tab w:val="left" w:pos="357"/>
        <w:tab w:val="left" w:pos="975"/>
      </w:tabs>
      <w:suppressAutoHyphens/>
      <w:spacing w:before="240" w:after="120"/>
      <w:ind w:left="975" w:hanging="340"/>
      <w:jc w:val="both"/>
    </w:pPr>
    <w:rPr>
      <w:rFonts w:ascii="Times New Roman" w:eastAsia="Times New Roman" w:hAnsi="Times New Roman" w:cs="Times New Roman"/>
      <w:b/>
      <w:sz w:val="20"/>
      <w:szCs w:val="20"/>
      <w:lang w:val="en-GB" w:eastAsia="fr-FR"/>
    </w:rPr>
  </w:style>
  <w:style w:type="paragraph" w:customStyle="1" w:styleId="parrafo">
    <w:name w:val="parrafo"/>
    <w:basedOn w:val="Normal"/>
    <w:rsid w:val="00FB1084"/>
    <w:pPr>
      <w:spacing w:before="100" w:beforeAutospacing="1" w:after="100" w:afterAutospacing="1"/>
    </w:pPr>
    <w:rPr>
      <w:rFonts w:ascii="Times New Roman" w:eastAsia="Times New Roman" w:hAnsi="Times New Roman" w:cs="Times New Roman"/>
      <w:lang w:eastAsia="es-ES_tradnl"/>
    </w:rPr>
  </w:style>
  <w:style w:type="character" w:styleId="Hipervnculo">
    <w:name w:val="Hyperlink"/>
    <w:basedOn w:val="Fuentedeprrafopredeter"/>
    <w:uiPriority w:val="99"/>
    <w:unhideWhenUsed/>
    <w:rsid w:val="00CA4F9D"/>
    <w:rPr>
      <w:color w:val="0563C1" w:themeColor="hyperlink"/>
      <w:u w:val="single"/>
    </w:rPr>
  </w:style>
  <w:style w:type="character" w:customStyle="1" w:styleId="UnresolvedMention">
    <w:name w:val="Unresolved Mention"/>
    <w:basedOn w:val="Fuentedeprrafopredeter"/>
    <w:uiPriority w:val="99"/>
    <w:semiHidden/>
    <w:unhideWhenUsed/>
    <w:rsid w:val="00CA4F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018090">
      <w:bodyDiv w:val="1"/>
      <w:marLeft w:val="0"/>
      <w:marRight w:val="0"/>
      <w:marTop w:val="0"/>
      <w:marBottom w:val="0"/>
      <w:divBdr>
        <w:top w:val="none" w:sz="0" w:space="0" w:color="auto"/>
        <w:left w:val="none" w:sz="0" w:space="0" w:color="auto"/>
        <w:bottom w:val="none" w:sz="0" w:space="0" w:color="auto"/>
        <w:right w:val="none" w:sz="0" w:space="0" w:color="auto"/>
      </w:divBdr>
    </w:div>
    <w:div w:id="241372460">
      <w:bodyDiv w:val="1"/>
      <w:marLeft w:val="0"/>
      <w:marRight w:val="0"/>
      <w:marTop w:val="0"/>
      <w:marBottom w:val="0"/>
      <w:divBdr>
        <w:top w:val="none" w:sz="0" w:space="0" w:color="auto"/>
        <w:left w:val="none" w:sz="0" w:space="0" w:color="auto"/>
        <w:bottom w:val="none" w:sz="0" w:space="0" w:color="auto"/>
        <w:right w:val="none" w:sz="0" w:space="0" w:color="auto"/>
      </w:divBdr>
    </w:div>
    <w:div w:id="593515486">
      <w:bodyDiv w:val="1"/>
      <w:marLeft w:val="0"/>
      <w:marRight w:val="0"/>
      <w:marTop w:val="0"/>
      <w:marBottom w:val="0"/>
      <w:divBdr>
        <w:top w:val="none" w:sz="0" w:space="0" w:color="auto"/>
        <w:left w:val="none" w:sz="0" w:space="0" w:color="auto"/>
        <w:bottom w:val="none" w:sz="0" w:space="0" w:color="auto"/>
        <w:right w:val="none" w:sz="0" w:space="0" w:color="auto"/>
      </w:divBdr>
    </w:div>
    <w:div w:id="907570904">
      <w:bodyDiv w:val="1"/>
      <w:marLeft w:val="0"/>
      <w:marRight w:val="0"/>
      <w:marTop w:val="0"/>
      <w:marBottom w:val="0"/>
      <w:divBdr>
        <w:top w:val="none" w:sz="0" w:space="0" w:color="auto"/>
        <w:left w:val="none" w:sz="0" w:space="0" w:color="auto"/>
        <w:bottom w:val="none" w:sz="0" w:space="0" w:color="auto"/>
        <w:right w:val="none" w:sz="0" w:space="0" w:color="auto"/>
      </w:divBdr>
    </w:div>
    <w:div w:id="1010521106">
      <w:bodyDiv w:val="1"/>
      <w:marLeft w:val="0"/>
      <w:marRight w:val="0"/>
      <w:marTop w:val="0"/>
      <w:marBottom w:val="0"/>
      <w:divBdr>
        <w:top w:val="none" w:sz="0" w:space="0" w:color="auto"/>
        <w:left w:val="none" w:sz="0" w:space="0" w:color="auto"/>
        <w:bottom w:val="none" w:sz="0" w:space="0" w:color="auto"/>
        <w:right w:val="none" w:sz="0" w:space="0" w:color="auto"/>
      </w:divBdr>
    </w:div>
    <w:div w:id="1039279661">
      <w:bodyDiv w:val="1"/>
      <w:marLeft w:val="0"/>
      <w:marRight w:val="0"/>
      <w:marTop w:val="0"/>
      <w:marBottom w:val="0"/>
      <w:divBdr>
        <w:top w:val="none" w:sz="0" w:space="0" w:color="auto"/>
        <w:left w:val="none" w:sz="0" w:space="0" w:color="auto"/>
        <w:bottom w:val="none" w:sz="0" w:space="0" w:color="auto"/>
        <w:right w:val="none" w:sz="0" w:space="0" w:color="auto"/>
      </w:divBdr>
    </w:div>
    <w:div w:id="1162700078">
      <w:bodyDiv w:val="1"/>
      <w:marLeft w:val="0"/>
      <w:marRight w:val="0"/>
      <w:marTop w:val="0"/>
      <w:marBottom w:val="0"/>
      <w:divBdr>
        <w:top w:val="none" w:sz="0" w:space="0" w:color="auto"/>
        <w:left w:val="none" w:sz="0" w:space="0" w:color="auto"/>
        <w:bottom w:val="none" w:sz="0" w:space="0" w:color="auto"/>
        <w:right w:val="none" w:sz="0" w:space="0" w:color="auto"/>
      </w:divBdr>
    </w:div>
    <w:div w:id="1238326377">
      <w:bodyDiv w:val="1"/>
      <w:marLeft w:val="0"/>
      <w:marRight w:val="0"/>
      <w:marTop w:val="0"/>
      <w:marBottom w:val="0"/>
      <w:divBdr>
        <w:top w:val="none" w:sz="0" w:space="0" w:color="auto"/>
        <w:left w:val="none" w:sz="0" w:space="0" w:color="auto"/>
        <w:bottom w:val="none" w:sz="0" w:space="0" w:color="auto"/>
        <w:right w:val="none" w:sz="0" w:space="0" w:color="auto"/>
      </w:divBdr>
    </w:div>
    <w:div w:id="1328628112">
      <w:bodyDiv w:val="1"/>
      <w:marLeft w:val="0"/>
      <w:marRight w:val="0"/>
      <w:marTop w:val="0"/>
      <w:marBottom w:val="0"/>
      <w:divBdr>
        <w:top w:val="none" w:sz="0" w:space="0" w:color="auto"/>
        <w:left w:val="none" w:sz="0" w:space="0" w:color="auto"/>
        <w:bottom w:val="none" w:sz="0" w:space="0" w:color="auto"/>
        <w:right w:val="none" w:sz="0" w:space="0" w:color="auto"/>
      </w:divBdr>
    </w:div>
    <w:div w:id="1383019171">
      <w:bodyDiv w:val="1"/>
      <w:marLeft w:val="0"/>
      <w:marRight w:val="0"/>
      <w:marTop w:val="0"/>
      <w:marBottom w:val="0"/>
      <w:divBdr>
        <w:top w:val="none" w:sz="0" w:space="0" w:color="auto"/>
        <w:left w:val="none" w:sz="0" w:space="0" w:color="auto"/>
        <w:bottom w:val="none" w:sz="0" w:space="0" w:color="auto"/>
        <w:right w:val="none" w:sz="0" w:space="0" w:color="auto"/>
      </w:divBdr>
    </w:div>
    <w:div w:id="1502044431">
      <w:bodyDiv w:val="1"/>
      <w:marLeft w:val="0"/>
      <w:marRight w:val="0"/>
      <w:marTop w:val="0"/>
      <w:marBottom w:val="0"/>
      <w:divBdr>
        <w:top w:val="none" w:sz="0" w:space="0" w:color="auto"/>
        <w:left w:val="none" w:sz="0" w:space="0" w:color="auto"/>
        <w:bottom w:val="none" w:sz="0" w:space="0" w:color="auto"/>
        <w:right w:val="none" w:sz="0" w:space="0" w:color="auto"/>
      </w:divBdr>
    </w:div>
    <w:div w:id="1535583723">
      <w:bodyDiv w:val="1"/>
      <w:marLeft w:val="0"/>
      <w:marRight w:val="0"/>
      <w:marTop w:val="0"/>
      <w:marBottom w:val="0"/>
      <w:divBdr>
        <w:top w:val="none" w:sz="0" w:space="0" w:color="auto"/>
        <w:left w:val="none" w:sz="0" w:space="0" w:color="auto"/>
        <w:bottom w:val="none" w:sz="0" w:space="0" w:color="auto"/>
        <w:right w:val="none" w:sz="0" w:space="0" w:color="auto"/>
      </w:divBdr>
    </w:div>
    <w:div w:id="1548493769">
      <w:bodyDiv w:val="1"/>
      <w:marLeft w:val="0"/>
      <w:marRight w:val="0"/>
      <w:marTop w:val="0"/>
      <w:marBottom w:val="0"/>
      <w:divBdr>
        <w:top w:val="none" w:sz="0" w:space="0" w:color="auto"/>
        <w:left w:val="none" w:sz="0" w:space="0" w:color="auto"/>
        <w:bottom w:val="none" w:sz="0" w:space="0" w:color="auto"/>
        <w:right w:val="none" w:sz="0" w:space="0" w:color="auto"/>
      </w:divBdr>
    </w:div>
    <w:div w:id="1566640460">
      <w:bodyDiv w:val="1"/>
      <w:marLeft w:val="0"/>
      <w:marRight w:val="0"/>
      <w:marTop w:val="0"/>
      <w:marBottom w:val="0"/>
      <w:divBdr>
        <w:top w:val="none" w:sz="0" w:space="0" w:color="auto"/>
        <w:left w:val="none" w:sz="0" w:space="0" w:color="auto"/>
        <w:bottom w:val="none" w:sz="0" w:space="0" w:color="auto"/>
        <w:right w:val="none" w:sz="0" w:space="0" w:color="auto"/>
      </w:divBdr>
    </w:div>
    <w:div w:id="1791899437">
      <w:bodyDiv w:val="1"/>
      <w:marLeft w:val="0"/>
      <w:marRight w:val="0"/>
      <w:marTop w:val="0"/>
      <w:marBottom w:val="0"/>
      <w:divBdr>
        <w:top w:val="none" w:sz="0" w:space="0" w:color="auto"/>
        <w:left w:val="none" w:sz="0" w:space="0" w:color="auto"/>
        <w:bottom w:val="none" w:sz="0" w:space="0" w:color="auto"/>
        <w:right w:val="none" w:sz="0" w:space="0" w:color="auto"/>
      </w:divBdr>
    </w:div>
    <w:div w:id="1900901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echr.coe.int/Pages/home.aspx?p=caselaw/HUDOC&amp;c=fre" TargetMode="External"/><Relationship Id="rId2" Type="http://schemas.openxmlformats.org/officeDocument/2006/relationships/hyperlink" Target="https://www.echr.coe.int/Pages/home.aspx?p=home&amp;c=fre" TargetMode="External"/><Relationship Id="rId1" Type="http://schemas.openxmlformats.org/officeDocument/2006/relationships/hyperlink" Target="https://www.coe.int/f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11815</Words>
  <Characters>64987</Characters>
  <Application>Microsoft Office Word</Application>
  <DocSecurity>0</DocSecurity>
  <Lines>541</Lines>
  <Paragraphs>153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Jesús Sáez González</dc:creator>
  <cp:keywords/>
  <dc:description/>
  <cp:lastModifiedBy>Usuario de Windows</cp:lastModifiedBy>
  <cp:revision>2</cp:revision>
  <cp:lastPrinted>2022-03-11T11:02:00Z</cp:lastPrinted>
  <dcterms:created xsi:type="dcterms:W3CDTF">2022-03-15T10:04:00Z</dcterms:created>
  <dcterms:modified xsi:type="dcterms:W3CDTF">2022-03-15T10:04:00Z</dcterms:modified>
</cp:coreProperties>
</file>