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101F45" w14:textId="5C50DBD6" w:rsidR="000F5510" w:rsidRPr="00CF6897" w:rsidRDefault="000F5510" w:rsidP="000F5510">
      <w:pPr>
        <w:spacing w:line="360" w:lineRule="auto"/>
        <w:jc w:val="center"/>
        <w:rPr>
          <w:rFonts w:ascii="Arial" w:hAnsi="Arial" w:cs="Arial"/>
        </w:rPr>
      </w:pPr>
      <w:bookmarkStart w:id="0" w:name="_GoBack"/>
      <w:bookmarkEnd w:id="0"/>
      <w:r w:rsidRPr="00CF6897">
        <w:rPr>
          <w:rFonts w:ascii="Arial" w:hAnsi="Arial" w:cs="Arial"/>
        </w:rPr>
        <w:t xml:space="preserve">Impacto de las sentencias de la Corte Interamericana de Derechos Humanos sobre violencia contra la mujer en </w:t>
      </w:r>
      <w:r w:rsidR="00CF6897" w:rsidRPr="00CF6897">
        <w:rPr>
          <w:rFonts w:ascii="Arial" w:hAnsi="Arial" w:cs="Arial"/>
        </w:rPr>
        <w:t>México</w:t>
      </w:r>
      <w:r w:rsidRPr="00CF6897">
        <w:rPr>
          <w:rFonts w:ascii="Arial" w:hAnsi="Arial" w:cs="Arial"/>
        </w:rPr>
        <w:t>.</w:t>
      </w:r>
    </w:p>
    <w:p w14:paraId="2402600F" w14:textId="3A832261" w:rsidR="000F5510" w:rsidRPr="00CF6897" w:rsidRDefault="000F5510" w:rsidP="000F5510">
      <w:pPr>
        <w:spacing w:line="360" w:lineRule="auto"/>
        <w:jc w:val="right"/>
        <w:rPr>
          <w:rFonts w:ascii="Arial" w:hAnsi="Arial" w:cs="Arial"/>
        </w:rPr>
      </w:pPr>
      <w:r w:rsidRPr="00CF6897">
        <w:rPr>
          <w:rFonts w:ascii="Arial" w:hAnsi="Arial" w:cs="Arial"/>
        </w:rPr>
        <w:t xml:space="preserve">Rocío Guadalupe Quiñones Andrade </w:t>
      </w:r>
    </w:p>
    <w:p w14:paraId="25313750" w14:textId="77777777" w:rsidR="000F5510" w:rsidRPr="00CF6897" w:rsidRDefault="000F5510" w:rsidP="000F5510">
      <w:pPr>
        <w:spacing w:line="360" w:lineRule="auto"/>
        <w:jc w:val="both"/>
        <w:rPr>
          <w:rFonts w:ascii="Arial" w:hAnsi="Arial" w:cs="Arial"/>
        </w:rPr>
      </w:pPr>
    </w:p>
    <w:p w14:paraId="4161A74D" w14:textId="170FAE54" w:rsidR="000F5510" w:rsidRPr="00CF6897" w:rsidRDefault="00F22DDB" w:rsidP="00F22DDB">
      <w:pPr>
        <w:spacing w:line="360" w:lineRule="auto"/>
        <w:ind w:firstLine="708"/>
        <w:jc w:val="both"/>
        <w:rPr>
          <w:rFonts w:ascii="Arial" w:hAnsi="Arial" w:cs="Arial"/>
        </w:rPr>
      </w:pPr>
      <w:r w:rsidRPr="00CF6897">
        <w:rPr>
          <w:rFonts w:ascii="Arial" w:hAnsi="Arial" w:cs="Arial"/>
        </w:rPr>
        <w:t xml:space="preserve">La Organización Mundial de la Salud, –OMS– ha establecido que en América Latina más del 60% de las mujeres han sufrido algún tipo de violencia de género. Por su parte, </w:t>
      </w:r>
      <w:r w:rsidR="000F5510" w:rsidRPr="00CF6897">
        <w:rPr>
          <w:rFonts w:ascii="Arial" w:hAnsi="Arial" w:cs="Arial"/>
        </w:rPr>
        <w:t>la Comisión Económica para América Latina y el Caribe</w:t>
      </w:r>
      <w:r w:rsidRPr="00CF6897">
        <w:rPr>
          <w:rFonts w:ascii="Arial" w:hAnsi="Arial" w:cs="Arial"/>
        </w:rPr>
        <w:t xml:space="preserve"> –CEPAL–</w:t>
      </w:r>
      <w:r w:rsidR="000F5510" w:rsidRPr="00CF6897">
        <w:rPr>
          <w:rFonts w:ascii="Arial" w:hAnsi="Arial" w:cs="Arial"/>
        </w:rPr>
        <w:t>,</w:t>
      </w:r>
      <w:r w:rsidR="001E4A09" w:rsidRPr="00CF6897">
        <w:rPr>
          <w:rFonts w:ascii="Arial" w:hAnsi="Arial" w:cs="Arial"/>
        </w:rPr>
        <w:t xml:space="preserve"> </w:t>
      </w:r>
      <w:r w:rsidRPr="00CF6897">
        <w:rPr>
          <w:rFonts w:ascii="Arial" w:hAnsi="Arial" w:cs="Arial"/>
        </w:rPr>
        <w:t>ha señalado a México como el</w:t>
      </w:r>
      <w:r w:rsidR="001E4A09" w:rsidRPr="00CF6897">
        <w:rPr>
          <w:rFonts w:ascii="Arial" w:hAnsi="Arial" w:cs="Arial"/>
        </w:rPr>
        <w:t xml:space="preserve"> segundo Estado con más violencia feminicida de la región, solo por debajo de Brasil. </w:t>
      </w:r>
      <w:r w:rsidRPr="00CF6897">
        <w:rPr>
          <w:rFonts w:ascii="Arial" w:hAnsi="Arial" w:cs="Arial"/>
        </w:rPr>
        <w:t xml:space="preserve">Estos datos, además de desgarradores, demuestran el grave problema de violencia en razón de género que existe en Latinoamérica y especialmente en México. </w:t>
      </w:r>
    </w:p>
    <w:p w14:paraId="4F1C2120" w14:textId="052FAC6F" w:rsidR="00F22DDB" w:rsidRPr="00CF6897" w:rsidRDefault="00F22DDB" w:rsidP="00F22DDB">
      <w:pPr>
        <w:spacing w:line="360" w:lineRule="auto"/>
        <w:ind w:firstLine="708"/>
        <w:jc w:val="both"/>
        <w:rPr>
          <w:rFonts w:ascii="Arial" w:hAnsi="Arial" w:cs="Arial"/>
        </w:rPr>
      </w:pPr>
    </w:p>
    <w:p w14:paraId="639A1D6B" w14:textId="7D018C6B" w:rsidR="00241493" w:rsidRPr="00CF6897" w:rsidRDefault="00F22DDB" w:rsidP="0049254C">
      <w:pPr>
        <w:spacing w:line="360" w:lineRule="auto"/>
        <w:ind w:firstLine="708"/>
        <w:jc w:val="both"/>
        <w:rPr>
          <w:rFonts w:ascii="Arial" w:hAnsi="Arial" w:cs="Arial"/>
        </w:rPr>
      </w:pPr>
      <w:r w:rsidRPr="00CF6897">
        <w:rPr>
          <w:rFonts w:ascii="Arial" w:hAnsi="Arial" w:cs="Arial"/>
        </w:rPr>
        <w:t xml:space="preserve">Esta situación no ha pasado desapercibida por la Corte Interamericana de Derechos Humanos </w:t>
      </w:r>
      <w:r w:rsidRPr="00CF6897">
        <w:rPr>
          <w:rFonts w:ascii="Arial" w:hAnsi="Arial" w:cs="Arial"/>
        </w:rPr>
        <w:softHyphen/>
        <w:t>–Corte IDH–</w:t>
      </w:r>
      <w:r w:rsidR="0049254C" w:rsidRPr="00CF6897">
        <w:rPr>
          <w:rFonts w:ascii="Arial" w:hAnsi="Arial" w:cs="Arial"/>
        </w:rPr>
        <w:t xml:space="preserve"> que ha condenado al Estado </w:t>
      </w:r>
      <w:r w:rsidR="00CF6897">
        <w:rPr>
          <w:rFonts w:ascii="Arial" w:hAnsi="Arial" w:cs="Arial"/>
        </w:rPr>
        <w:t>me</w:t>
      </w:r>
      <w:r w:rsidR="0049254C" w:rsidRPr="00CF6897">
        <w:rPr>
          <w:rFonts w:ascii="Arial" w:hAnsi="Arial" w:cs="Arial"/>
        </w:rPr>
        <w:t>xicano en cuatro ocasiones por diferentes violencias de género. En los casos Gonzales Banda y otras (Campo Algodonero), de 2009,</w:t>
      </w:r>
      <w:r w:rsidR="00241493" w:rsidRPr="00CF6897">
        <w:rPr>
          <w:rFonts w:ascii="Arial" w:hAnsi="Arial" w:cs="Arial"/>
        </w:rPr>
        <w:t xml:space="preserve"> se sentenció al Estado por la violencia feminicida contra un conjunto de mujeres y en general, por la impunidad en la que se encontraban todos los casos. </w:t>
      </w:r>
    </w:p>
    <w:p w14:paraId="61813E67" w14:textId="77777777" w:rsidR="00241493" w:rsidRPr="00CF6897" w:rsidRDefault="00241493" w:rsidP="0049254C">
      <w:pPr>
        <w:spacing w:line="360" w:lineRule="auto"/>
        <w:ind w:firstLine="708"/>
        <w:jc w:val="both"/>
        <w:rPr>
          <w:rFonts w:ascii="Arial" w:hAnsi="Arial" w:cs="Arial"/>
        </w:rPr>
      </w:pPr>
    </w:p>
    <w:p w14:paraId="1D17C885" w14:textId="0CC7AFCF" w:rsidR="00241493" w:rsidRPr="00CF6897" w:rsidRDefault="00241493" w:rsidP="0049254C">
      <w:pPr>
        <w:spacing w:line="360" w:lineRule="auto"/>
        <w:ind w:firstLine="708"/>
        <w:jc w:val="both"/>
        <w:rPr>
          <w:rFonts w:ascii="Arial" w:hAnsi="Arial" w:cs="Arial"/>
        </w:rPr>
      </w:pPr>
      <w:r w:rsidRPr="00CF6897">
        <w:rPr>
          <w:rFonts w:ascii="Arial" w:hAnsi="Arial" w:cs="Arial"/>
        </w:rPr>
        <w:t xml:space="preserve">Se puso en evidencia </w:t>
      </w:r>
      <w:r w:rsidR="00CF6897" w:rsidRPr="00CF6897">
        <w:rPr>
          <w:rFonts w:ascii="Arial" w:hAnsi="Arial" w:cs="Arial"/>
        </w:rPr>
        <w:t xml:space="preserve">el terrible problema que significaba la violencia de género en Ciudad Juárez, Chihuahua, </w:t>
      </w:r>
      <w:r w:rsidR="00CF6897">
        <w:rPr>
          <w:rFonts w:ascii="Arial" w:hAnsi="Arial" w:cs="Arial"/>
        </w:rPr>
        <w:t xml:space="preserve">donde cientos de mujeres se encontraban desaparecidas, o bien, se habían encontrado muertas con notorios signos de tortura física y sexual, sin que se hubieran conducido investigaciones serias al respecto. </w:t>
      </w:r>
      <w:r w:rsidR="00CF6897" w:rsidRPr="00CF6897">
        <w:rPr>
          <w:rFonts w:ascii="Arial" w:hAnsi="Arial" w:cs="Arial"/>
        </w:rPr>
        <w:t xml:space="preserve"> </w:t>
      </w:r>
    </w:p>
    <w:p w14:paraId="713C08FF" w14:textId="77777777" w:rsidR="00241493" w:rsidRPr="00CF6897" w:rsidRDefault="00241493" w:rsidP="0049254C">
      <w:pPr>
        <w:spacing w:line="360" w:lineRule="auto"/>
        <w:ind w:firstLine="708"/>
        <w:jc w:val="both"/>
        <w:rPr>
          <w:rFonts w:ascii="Arial" w:hAnsi="Arial" w:cs="Arial"/>
        </w:rPr>
      </w:pPr>
    </w:p>
    <w:p w14:paraId="6E73A290" w14:textId="10536776" w:rsidR="00CF6897" w:rsidRDefault="0049254C" w:rsidP="0049254C">
      <w:pPr>
        <w:spacing w:line="360" w:lineRule="auto"/>
        <w:ind w:firstLine="708"/>
        <w:jc w:val="both"/>
        <w:rPr>
          <w:rFonts w:ascii="Arial" w:hAnsi="Arial" w:cs="Arial"/>
        </w:rPr>
      </w:pPr>
      <w:r w:rsidRPr="00CF6897">
        <w:rPr>
          <w:rFonts w:ascii="Arial" w:hAnsi="Arial" w:cs="Arial"/>
        </w:rPr>
        <w:t xml:space="preserve"> </w:t>
      </w:r>
      <w:r w:rsidR="00CF6897">
        <w:rPr>
          <w:rFonts w:ascii="Arial" w:hAnsi="Arial" w:cs="Arial"/>
        </w:rPr>
        <w:t xml:space="preserve">Por su parte, en los casos </w:t>
      </w:r>
      <w:r w:rsidRPr="00CF6897">
        <w:rPr>
          <w:rFonts w:ascii="Arial" w:hAnsi="Arial" w:cs="Arial"/>
        </w:rPr>
        <w:t xml:space="preserve">Fernández Ortega y Rosendo Cantú, ambos </w:t>
      </w:r>
      <w:r w:rsidR="00CF6897">
        <w:rPr>
          <w:rFonts w:ascii="Arial" w:hAnsi="Arial" w:cs="Arial"/>
        </w:rPr>
        <w:t>resueltos en</w:t>
      </w:r>
      <w:r w:rsidRPr="00CF6897">
        <w:rPr>
          <w:rFonts w:ascii="Arial" w:hAnsi="Arial" w:cs="Arial"/>
        </w:rPr>
        <w:t xml:space="preserve"> 2010</w:t>
      </w:r>
      <w:r w:rsidR="00CF6897">
        <w:rPr>
          <w:rFonts w:ascii="Arial" w:hAnsi="Arial" w:cs="Arial"/>
        </w:rPr>
        <w:t xml:space="preserve">, la Corte IDH condenó al país principalmente por la tortura sexual cometida en contra de Inés Fernández Ortega y Valentina Rosendo Cantú, pertenecientes a comunidades indígenas del estado de Guerrero. Además, se determinó que existe una especie de </w:t>
      </w:r>
      <w:r w:rsidR="00CF6897">
        <w:rPr>
          <w:rFonts w:ascii="Arial" w:hAnsi="Arial" w:cs="Arial"/>
          <w:i/>
          <w:iCs/>
        </w:rPr>
        <w:t xml:space="preserve">violencia institucional castrense, </w:t>
      </w:r>
      <w:r w:rsidR="00CF6897">
        <w:rPr>
          <w:rFonts w:ascii="Arial" w:hAnsi="Arial" w:cs="Arial"/>
        </w:rPr>
        <w:t xml:space="preserve">mediante la cual, un conjunto de militares controla a la población de algunas comunidades </w:t>
      </w:r>
      <w:r w:rsidR="00CF6897">
        <w:rPr>
          <w:rFonts w:ascii="Arial" w:hAnsi="Arial" w:cs="Arial"/>
        </w:rPr>
        <w:lastRenderedPageBreak/>
        <w:t xml:space="preserve">apartadas de las grandes ciudades, a través de la violación y tortura sexual de las mujeres y niñas de las comunidades.  </w:t>
      </w:r>
      <w:r w:rsidRPr="00CF6897">
        <w:rPr>
          <w:rFonts w:ascii="Arial" w:hAnsi="Arial" w:cs="Arial"/>
        </w:rPr>
        <w:t xml:space="preserve"> </w:t>
      </w:r>
    </w:p>
    <w:p w14:paraId="0B99EBE5" w14:textId="77777777" w:rsidR="00CF6897" w:rsidRDefault="00CF6897" w:rsidP="0049254C">
      <w:pPr>
        <w:spacing w:line="360" w:lineRule="auto"/>
        <w:ind w:firstLine="708"/>
        <w:jc w:val="both"/>
        <w:rPr>
          <w:rFonts w:ascii="Arial" w:hAnsi="Arial" w:cs="Arial"/>
        </w:rPr>
      </w:pPr>
    </w:p>
    <w:p w14:paraId="34A5EEF5" w14:textId="63B051D2" w:rsidR="00B26EE9" w:rsidRDefault="003E221F" w:rsidP="00B26EE9">
      <w:pPr>
        <w:spacing w:line="360" w:lineRule="auto"/>
        <w:ind w:firstLine="708"/>
        <w:jc w:val="both"/>
        <w:rPr>
          <w:rFonts w:ascii="Arial" w:hAnsi="Arial" w:cs="Arial"/>
        </w:rPr>
      </w:pPr>
      <w:r>
        <w:rPr>
          <w:rFonts w:ascii="Arial" w:hAnsi="Arial" w:cs="Arial"/>
        </w:rPr>
        <w:t xml:space="preserve">Ocho años después de dictadas estas sentencias, la Corte IDH resolvió el caso </w:t>
      </w:r>
      <w:r w:rsidR="0049254C" w:rsidRPr="003E221F">
        <w:rPr>
          <w:rFonts w:ascii="Arial" w:hAnsi="Arial" w:cs="Arial"/>
          <w:i/>
          <w:iCs/>
        </w:rPr>
        <w:t>Mujeres víctimas de tortura sexual en Atenco</w:t>
      </w:r>
      <w:r>
        <w:rPr>
          <w:rFonts w:ascii="Arial" w:hAnsi="Arial" w:cs="Arial"/>
        </w:rPr>
        <w:t xml:space="preserve">, en el año </w:t>
      </w:r>
      <w:r w:rsidR="0049254C" w:rsidRPr="00CF6897">
        <w:rPr>
          <w:rFonts w:ascii="Arial" w:hAnsi="Arial" w:cs="Arial"/>
        </w:rPr>
        <w:t>de 2018</w:t>
      </w:r>
      <w:r>
        <w:rPr>
          <w:rFonts w:ascii="Arial" w:hAnsi="Arial" w:cs="Arial"/>
        </w:rPr>
        <w:t xml:space="preserve">. En este caso, </w:t>
      </w:r>
      <w:r w:rsidR="00B26EE9">
        <w:rPr>
          <w:rFonts w:ascii="Arial" w:hAnsi="Arial" w:cs="Arial"/>
        </w:rPr>
        <w:t xml:space="preserve">un conjunto de mujeres, fueron detenidas ilegalmente por agentes estatales, mientras se encontraban en medio de una manifestación. En la resolución de la Corte se determinó que algunas de ellas, simplemente iban pasando por el lugar en el momento de los hechos, pero aún así, fueron detenidas. </w:t>
      </w:r>
    </w:p>
    <w:p w14:paraId="4010CF34" w14:textId="77777777" w:rsidR="00B26EE9" w:rsidRDefault="00B26EE9" w:rsidP="00B26EE9">
      <w:pPr>
        <w:spacing w:line="360" w:lineRule="auto"/>
        <w:ind w:firstLine="708"/>
        <w:jc w:val="both"/>
        <w:rPr>
          <w:rFonts w:ascii="Arial" w:hAnsi="Arial" w:cs="Arial"/>
        </w:rPr>
      </w:pPr>
    </w:p>
    <w:p w14:paraId="34580E5B" w14:textId="3F302799" w:rsidR="00AA523E" w:rsidRDefault="00B26EE9" w:rsidP="00B26EE9">
      <w:pPr>
        <w:spacing w:line="360" w:lineRule="auto"/>
        <w:ind w:firstLine="708"/>
        <w:jc w:val="both"/>
        <w:rPr>
          <w:rFonts w:ascii="Arial" w:hAnsi="Arial" w:cs="Arial"/>
        </w:rPr>
      </w:pPr>
      <w:r>
        <w:rPr>
          <w:rFonts w:ascii="Arial" w:hAnsi="Arial" w:cs="Arial"/>
        </w:rPr>
        <w:t>Posteriormente, se les subió por la fuerza a un autobús que las trasladaría a un centro de detención y en el recorrido</w:t>
      </w:r>
      <w:r w:rsidR="00232811">
        <w:rPr>
          <w:rFonts w:ascii="Arial" w:hAnsi="Arial" w:cs="Arial"/>
        </w:rPr>
        <w:t xml:space="preserve">, los policías </w:t>
      </w:r>
      <w:r>
        <w:rPr>
          <w:rFonts w:ascii="Arial" w:hAnsi="Arial" w:cs="Arial"/>
        </w:rPr>
        <w:t>cometieron múltiples actos de tortura sexual en contra de las detenidas</w:t>
      </w:r>
      <w:r w:rsidR="00AA523E">
        <w:rPr>
          <w:rFonts w:ascii="Arial" w:hAnsi="Arial" w:cs="Arial"/>
        </w:rPr>
        <w:t xml:space="preserve">. </w:t>
      </w:r>
    </w:p>
    <w:p w14:paraId="6F7B958D" w14:textId="77777777" w:rsidR="00AA523E" w:rsidRDefault="00AA523E" w:rsidP="00B26EE9">
      <w:pPr>
        <w:spacing w:line="360" w:lineRule="auto"/>
        <w:ind w:firstLine="708"/>
        <w:jc w:val="both"/>
        <w:rPr>
          <w:rFonts w:ascii="Arial" w:hAnsi="Arial" w:cs="Arial"/>
        </w:rPr>
      </w:pPr>
    </w:p>
    <w:p w14:paraId="00C7D751" w14:textId="37D6CFBF" w:rsidR="0049254C" w:rsidRDefault="00AA523E" w:rsidP="00B26EE9">
      <w:pPr>
        <w:spacing w:line="360" w:lineRule="auto"/>
        <w:ind w:firstLine="708"/>
        <w:jc w:val="both"/>
        <w:rPr>
          <w:rFonts w:ascii="Arial" w:hAnsi="Arial" w:cs="Arial"/>
        </w:rPr>
      </w:pPr>
      <w:r>
        <w:rPr>
          <w:rFonts w:ascii="Arial" w:hAnsi="Arial" w:cs="Arial"/>
        </w:rPr>
        <w:t xml:space="preserve">Estos cuatro casos interamericanos, han ayudado a visibilizar un problema </w:t>
      </w:r>
      <w:r w:rsidR="0061348E">
        <w:rPr>
          <w:rFonts w:ascii="Arial" w:hAnsi="Arial" w:cs="Arial"/>
        </w:rPr>
        <w:t xml:space="preserve">de violencia machista que en México se tenía normalizado. Además, gracias en gran medida a las reparaciones de alcance general, ordenadas en las sentencias interamericanas, el día de hoy, el delito de feminicidio se encuentra tipificado en los 32 Códigos Penales del país. Se han modificado protocolos de actuación, que eran violatorios de los derechos humanos, como el </w:t>
      </w:r>
      <w:r w:rsidR="0061348E">
        <w:rPr>
          <w:rFonts w:ascii="Arial" w:hAnsi="Arial" w:cs="Arial"/>
          <w:i/>
          <w:iCs/>
        </w:rPr>
        <w:t xml:space="preserve">Protocolo Alba, </w:t>
      </w:r>
      <w:r w:rsidR="0061348E">
        <w:rPr>
          <w:rFonts w:ascii="Arial" w:hAnsi="Arial" w:cs="Arial"/>
        </w:rPr>
        <w:t xml:space="preserve">eliminando la búsqueda de mujeres que se consideraran “decentes” de forma prioritaria”. Se han creado </w:t>
      </w:r>
      <w:r w:rsidR="00A32D3C">
        <w:rPr>
          <w:rFonts w:ascii="Arial" w:hAnsi="Arial" w:cs="Arial"/>
        </w:rPr>
        <w:t xml:space="preserve">diferentes centros de atención y prevención de los delitos de género y se ha capacitado a las autoridades en esta materia trascendental. </w:t>
      </w:r>
    </w:p>
    <w:p w14:paraId="46EC923A" w14:textId="6A827E95" w:rsidR="00A32D3C" w:rsidRDefault="00A32D3C" w:rsidP="00B26EE9">
      <w:pPr>
        <w:spacing w:line="360" w:lineRule="auto"/>
        <w:ind w:firstLine="708"/>
        <w:jc w:val="both"/>
        <w:rPr>
          <w:rFonts w:ascii="Arial" w:hAnsi="Arial" w:cs="Arial"/>
        </w:rPr>
      </w:pPr>
    </w:p>
    <w:p w14:paraId="10F6CFB5" w14:textId="589E9F3E" w:rsidR="00F22DDB" w:rsidRPr="00CF6897" w:rsidRDefault="00A32D3C" w:rsidP="00232811">
      <w:pPr>
        <w:spacing w:line="360" w:lineRule="auto"/>
        <w:ind w:firstLine="708"/>
        <w:jc w:val="both"/>
        <w:rPr>
          <w:rFonts w:ascii="Arial" w:hAnsi="Arial" w:cs="Arial"/>
        </w:rPr>
      </w:pPr>
      <w:r>
        <w:rPr>
          <w:rFonts w:ascii="Arial" w:hAnsi="Arial" w:cs="Arial"/>
        </w:rPr>
        <w:t xml:space="preserve">No obstante, todos los avances que hemos visto en la impartición de justicia, no han tenido un impacto en el ámbito social. Por el contrario, parece que la violencia de género ha aumentado. Incluso la peor de todas: la feminicida. Esto lleva a pensar que el cumplimiento de las sentencias interamericanas por el Estado, es más una simulación, o bien, se cumple de manera parcial solamente aquello, que no tiene complicaciones mayores. Pero en términos de justicia, el </w:t>
      </w:r>
      <w:r>
        <w:rPr>
          <w:rFonts w:ascii="Arial" w:hAnsi="Arial" w:cs="Arial"/>
        </w:rPr>
        <w:lastRenderedPageBreak/>
        <w:t xml:space="preserve">Estado mexicano le queda debiendo a la sociedad, ya que la impunidad, </w:t>
      </w:r>
      <w:r w:rsidR="00232811">
        <w:rPr>
          <w:rFonts w:ascii="Arial" w:hAnsi="Arial" w:cs="Arial"/>
        </w:rPr>
        <w:t>hoy en día</w:t>
      </w:r>
      <w:r>
        <w:rPr>
          <w:rFonts w:ascii="Arial" w:hAnsi="Arial" w:cs="Arial"/>
        </w:rPr>
        <w:t>, es casi total.</w:t>
      </w:r>
    </w:p>
    <w:sectPr w:rsidR="00F22DDB" w:rsidRPr="00CF6897" w:rsidSect="00156A0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5"/>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5510"/>
    <w:rsid w:val="00022BB9"/>
    <w:rsid w:val="00094E1E"/>
    <w:rsid w:val="000A3613"/>
    <w:rsid w:val="000F5510"/>
    <w:rsid w:val="00124490"/>
    <w:rsid w:val="00156A0E"/>
    <w:rsid w:val="0017473A"/>
    <w:rsid w:val="001B4AAE"/>
    <w:rsid w:val="001E4A09"/>
    <w:rsid w:val="00211517"/>
    <w:rsid w:val="00232811"/>
    <w:rsid w:val="00241493"/>
    <w:rsid w:val="00285154"/>
    <w:rsid w:val="002E6D18"/>
    <w:rsid w:val="00384B59"/>
    <w:rsid w:val="003E221F"/>
    <w:rsid w:val="0049254C"/>
    <w:rsid w:val="004E3ADE"/>
    <w:rsid w:val="004E5CE1"/>
    <w:rsid w:val="0051121A"/>
    <w:rsid w:val="00586140"/>
    <w:rsid w:val="005B0AB5"/>
    <w:rsid w:val="0061348E"/>
    <w:rsid w:val="006E5DA9"/>
    <w:rsid w:val="00701C90"/>
    <w:rsid w:val="00A0086F"/>
    <w:rsid w:val="00A32D3C"/>
    <w:rsid w:val="00A70274"/>
    <w:rsid w:val="00AA523E"/>
    <w:rsid w:val="00AE7833"/>
    <w:rsid w:val="00AF2E19"/>
    <w:rsid w:val="00B168E8"/>
    <w:rsid w:val="00B26EE9"/>
    <w:rsid w:val="00B40974"/>
    <w:rsid w:val="00C62E5F"/>
    <w:rsid w:val="00C66C1E"/>
    <w:rsid w:val="00C75F8B"/>
    <w:rsid w:val="00CC2041"/>
    <w:rsid w:val="00CD2E1F"/>
    <w:rsid w:val="00CF6897"/>
    <w:rsid w:val="00D30FA2"/>
    <w:rsid w:val="00DE58E0"/>
    <w:rsid w:val="00EB1362"/>
    <w:rsid w:val="00EB5782"/>
    <w:rsid w:val="00F22DDB"/>
    <w:rsid w:val="00F570B3"/>
    <w:rsid w:val="00FC324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8F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1512670">
      <w:bodyDiv w:val="1"/>
      <w:marLeft w:val="0"/>
      <w:marRight w:val="0"/>
      <w:marTop w:val="0"/>
      <w:marBottom w:val="0"/>
      <w:divBdr>
        <w:top w:val="none" w:sz="0" w:space="0" w:color="auto"/>
        <w:left w:val="none" w:sz="0" w:space="0" w:color="auto"/>
        <w:bottom w:val="none" w:sz="0" w:space="0" w:color="auto"/>
        <w:right w:val="none" w:sz="0" w:space="0" w:color="auto"/>
      </w:divBdr>
      <w:divsChild>
        <w:div w:id="2044551415">
          <w:marLeft w:val="0"/>
          <w:marRight w:val="0"/>
          <w:marTop w:val="0"/>
          <w:marBottom w:val="0"/>
          <w:divBdr>
            <w:top w:val="none" w:sz="0" w:space="0" w:color="auto"/>
            <w:left w:val="none" w:sz="0" w:space="0" w:color="auto"/>
            <w:bottom w:val="none" w:sz="0" w:space="0" w:color="auto"/>
            <w:right w:val="none" w:sz="0" w:space="0" w:color="auto"/>
          </w:divBdr>
          <w:divsChild>
            <w:div w:id="1329750576">
              <w:marLeft w:val="0"/>
              <w:marRight w:val="0"/>
              <w:marTop w:val="0"/>
              <w:marBottom w:val="0"/>
              <w:divBdr>
                <w:top w:val="none" w:sz="0" w:space="0" w:color="auto"/>
                <w:left w:val="none" w:sz="0" w:space="0" w:color="auto"/>
                <w:bottom w:val="none" w:sz="0" w:space="0" w:color="auto"/>
                <w:right w:val="none" w:sz="0" w:space="0" w:color="auto"/>
              </w:divBdr>
              <w:divsChild>
                <w:div w:id="719984694">
                  <w:marLeft w:val="0"/>
                  <w:marRight w:val="0"/>
                  <w:marTop w:val="0"/>
                  <w:marBottom w:val="0"/>
                  <w:divBdr>
                    <w:top w:val="none" w:sz="0" w:space="0" w:color="auto"/>
                    <w:left w:val="none" w:sz="0" w:space="0" w:color="auto"/>
                    <w:bottom w:val="none" w:sz="0" w:space="0" w:color="auto"/>
                    <w:right w:val="none" w:sz="0" w:space="0" w:color="auto"/>
                  </w:divBdr>
                  <w:divsChild>
                    <w:div w:id="59286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599</Words>
  <Characters>3299</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usuario</cp:lastModifiedBy>
  <cp:revision>2</cp:revision>
  <dcterms:created xsi:type="dcterms:W3CDTF">2021-04-21T08:27:00Z</dcterms:created>
  <dcterms:modified xsi:type="dcterms:W3CDTF">2021-04-21T08:27:00Z</dcterms:modified>
</cp:coreProperties>
</file>