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190C" w:rsidRPr="00722BC8" w:rsidRDefault="0051302E" w:rsidP="0061023E">
      <w:pPr>
        <w:pStyle w:val="Listavistosa-nfasis11"/>
        <w:spacing w:line="360" w:lineRule="auto"/>
        <w:ind w:left="0"/>
        <w:jc w:val="center"/>
        <w:rPr>
          <w:rFonts w:ascii="Times New Roman" w:hAnsi="Times New Roman"/>
          <w:b/>
          <w:i/>
          <w:sz w:val="26"/>
          <w:szCs w:val="26"/>
        </w:rPr>
      </w:pPr>
      <w:r>
        <w:rPr>
          <w:rFonts w:ascii="Times New Roman" w:hAnsi="Times New Roman"/>
          <w:b/>
          <w:i/>
          <w:sz w:val="26"/>
          <w:szCs w:val="26"/>
        </w:rPr>
        <w:t>LA ERA DIGITAL Y EL JUICIO ORAL EN EL PROCESO PENAL</w:t>
      </w:r>
    </w:p>
    <w:p w:rsidR="0002190C" w:rsidRPr="00722BC8" w:rsidRDefault="0002190C" w:rsidP="0061023E">
      <w:pPr>
        <w:pStyle w:val="Listavistosa-nfasis11"/>
        <w:spacing w:line="360" w:lineRule="auto"/>
        <w:ind w:left="0"/>
        <w:jc w:val="center"/>
        <w:rPr>
          <w:rFonts w:ascii="Times New Roman" w:hAnsi="Times New Roman"/>
          <w:b/>
          <w:i/>
          <w:sz w:val="26"/>
          <w:szCs w:val="26"/>
        </w:rPr>
      </w:pPr>
    </w:p>
    <w:p w:rsidR="0002190C" w:rsidRPr="00722BC8" w:rsidRDefault="0002190C" w:rsidP="0002190C">
      <w:pPr>
        <w:pStyle w:val="Listavistosa-nfasis11"/>
        <w:spacing w:line="360" w:lineRule="auto"/>
        <w:ind w:left="0"/>
        <w:jc w:val="right"/>
        <w:rPr>
          <w:rFonts w:ascii="Times New Roman" w:hAnsi="Times New Roman"/>
          <w:b/>
        </w:rPr>
      </w:pPr>
      <w:r w:rsidRPr="00722BC8">
        <w:rPr>
          <w:rFonts w:ascii="Times New Roman" w:hAnsi="Times New Roman"/>
          <w:b/>
        </w:rPr>
        <w:t>María Paula Quiroga</w:t>
      </w:r>
      <w:r w:rsidR="00A86956">
        <w:rPr>
          <w:rFonts w:ascii="Times New Roman" w:hAnsi="Times New Roman"/>
          <w:b/>
        </w:rPr>
        <w:t xml:space="preserve"> Corti</w:t>
      </w:r>
    </w:p>
    <w:p w:rsidR="00492BBF" w:rsidRDefault="00112B81" w:rsidP="00492BBF">
      <w:pPr>
        <w:pStyle w:val="Listavistosa-nfasis11"/>
        <w:ind w:left="0"/>
        <w:jc w:val="right"/>
        <w:rPr>
          <w:rFonts w:ascii="Times New Roman" w:hAnsi="Times New Roman"/>
          <w:i/>
          <w:iCs/>
          <w:sz w:val="22"/>
          <w:szCs w:val="22"/>
        </w:rPr>
      </w:pPr>
      <w:r w:rsidRPr="00492BBF">
        <w:rPr>
          <w:rFonts w:ascii="Times New Roman" w:hAnsi="Times New Roman"/>
          <w:i/>
          <w:iCs/>
          <w:sz w:val="22"/>
          <w:szCs w:val="22"/>
        </w:rPr>
        <w:t>Doctora en Derecho</w:t>
      </w:r>
      <w:r w:rsidR="00492BBF">
        <w:rPr>
          <w:rFonts w:ascii="Times New Roman" w:hAnsi="Times New Roman"/>
          <w:i/>
          <w:iCs/>
          <w:sz w:val="22"/>
          <w:szCs w:val="22"/>
        </w:rPr>
        <w:t xml:space="preserve">. </w:t>
      </w:r>
      <w:r w:rsidRPr="00492BBF">
        <w:rPr>
          <w:rFonts w:ascii="Times New Roman" w:hAnsi="Times New Roman"/>
          <w:i/>
          <w:iCs/>
          <w:sz w:val="22"/>
          <w:szCs w:val="22"/>
        </w:rPr>
        <w:t xml:space="preserve">Profesora </w:t>
      </w:r>
      <w:r w:rsidR="00ED38FD" w:rsidRPr="00492BBF">
        <w:rPr>
          <w:rFonts w:ascii="Times New Roman" w:hAnsi="Times New Roman"/>
          <w:i/>
          <w:iCs/>
          <w:sz w:val="22"/>
          <w:szCs w:val="22"/>
        </w:rPr>
        <w:t>Titular</w:t>
      </w:r>
      <w:r w:rsidR="00233B90" w:rsidRPr="00492BBF">
        <w:rPr>
          <w:rFonts w:ascii="Times New Roman" w:hAnsi="Times New Roman"/>
          <w:i/>
          <w:iCs/>
          <w:sz w:val="22"/>
          <w:szCs w:val="22"/>
        </w:rPr>
        <w:t xml:space="preserve"> </w:t>
      </w:r>
    </w:p>
    <w:p w:rsidR="00112B81" w:rsidRPr="00492BBF" w:rsidRDefault="00112B81" w:rsidP="00492BBF">
      <w:pPr>
        <w:pStyle w:val="Listavistosa-nfasis11"/>
        <w:ind w:left="0"/>
        <w:jc w:val="right"/>
        <w:rPr>
          <w:rFonts w:ascii="Times New Roman" w:hAnsi="Times New Roman"/>
          <w:i/>
          <w:iCs/>
          <w:sz w:val="22"/>
          <w:szCs w:val="22"/>
        </w:rPr>
      </w:pPr>
      <w:r w:rsidRPr="00492BBF">
        <w:rPr>
          <w:rFonts w:ascii="Times New Roman" w:hAnsi="Times New Roman"/>
          <w:i/>
          <w:iCs/>
          <w:sz w:val="22"/>
          <w:szCs w:val="22"/>
        </w:rPr>
        <w:t>de Derecho Procesal Penal</w:t>
      </w:r>
      <w:r w:rsidR="00492BBF">
        <w:rPr>
          <w:rFonts w:ascii="Times New Roman" w:hAnsi="Times New Roman"/>
          <w:i/>
          <w:iCs/>
          <w:sz w:val="22"/>
          <w:szCs w:val="22"/>
        </w:rPr>
        <w:t xml:space="preserve"> de l</w:t>
      </w:r>
      <w:bookmarkStart w:id="0" w:name="_GoBack"/>
      <w:bookmarkEnd w:id="0"/>
      <w:r w:rsidR="00492BBF">
        <w:rPr>
          <w:rFonts w:ascii="Times New Roman" w:hAnsi="Times New Roman"/>
          <w:i/>
          <w:iCs/>
          <w:sz w:val="22"/>
          <w:szCs w:val="22"/>
        </w:rPr>
        <w:t xml:space="preserve">a </w:t>
      </w:r>
      <w:r w:rsidRPr="00492BBF">
        <w:rPr>
          <w:rFonts w:ascii="Times New Roman" w:hAnsi="Times New Roman"/>
          <w:i/>
          <w:iCs/>
          <w:sz w:val="22"/>
          <w:szCs w:val="22"/>
        </w:rPr>
        <w:t>Universidad de Mendoza</w:t>
      </w:r>
    </w:p>
    <w:p w:rsidR="00112B81" w:rsidRPr="00492BBF" w:rsidRDefault="00905FA8" w:rsidP="00112B81">
      <w:pPr>
        <w:pStyle w:val="Listavistosa-nfasis11"/>
        <w:ind w:left="0"/>
        <w:jc w:val="right"/>
        <w:rPr>
          <w:rFonts w:ascii="Times New Roman" w:hAnsi="Times New Roman"/>
          <w:i/>
          <w:iCs/>
          <w:sz w:val="22"/>
          <w:szCs w:val="22"/>
        </w:rPr>
      </w:pPr>
      <w:r w:rsidRPr="00492BBF">
        <w:rPr>
          <w:rFonts w:ascii="Times New Roman" w:hAnsi="Times New Roman"/>
          <w:i/>
          <w:iCs/>
          <w:sz w:val="22"/>
          <w:szCs w:val="22"/>
        </w:rPr>
        <w:t xml:space="preserve">Fiscal </w:t>
      </w:r>
      <w:r w:rsidR="00C225D9" w:rsidRPr="00492BBF">
        <w:rPr>
          <w:rFonts w:ascii="Times New Roman" w:hAnsi="Times New Roman"/>
          <w:i/>
          <w:iCs/>
          <w:sz w:val="22"/>
          <w:szCs w:val="22"/>
        </w:rPr>
        <w:t xml:space="preserve">Jefe </w:t>
      </w:r>
      <w:r w:rsidRPr="00492BBF">
        <w:rPr>
          <w:rFonts w:ascii="Times New Roman" w:hAnsi="Times New Roman"/>
          <w:i/>
          <w:iCs/>
          <w:sz w:val="22"/>
          <w:szCs w:val="22"/>
        </w:rPr>
        <w:t>de</w:t>
      </w:r>
      <w:r w:rsidR="006B6F58">
        <w:rPr>
          <w:rFonts w:ascii="Times New Roman" w:hAnsi="Times New Roman"/>
          <w:i/>
          <w:iCs/>
          <w:sz w:val="22"/>
          <w:szCs w:val="22"/>
        </w:rPr>
        <w:t>l</w:t>
      </w:r>
      <w:r w:rsidR="00112B81" w:rsidRPr="00492BBF">
        <w:rPr>
          <w:rFonts w:ascii="Times New Roman" w:hAnsi="Times New Roman"/>
          <w:i/>
          <w:iCs/>
          <w:sz w:val="22"/>
          <w:szCs w:val="22"/>
        </w:rPr>
        <w:t xml:space="preserve"> Tribunal Colegiado de la Provincia de Mendoza</w:t>
      </w:r>
    </w:p>
    <w:p w:rsidR="00900C2F" w:rsidRPr="00492BBF" w:rsidRDefault="00ED38FD" w:rsidP="00900C2F">
      <w:pPr>
        <w:pStyle w:val="Listavistosa-nfasis11"/>
        <w:spacing w:line="360" w:lineRule="auto"/>
        <w:ind w:left="0"/>
        <w:jc w:val="right"/>
        <w:rPr>
          <w:rFonts w:ascii="Times New Roman" w:hAnsi="Times New Roman"/>
          <w:i/>
          <w:iCs/>
        </w:rPr>
      </w:pPr>
      <w:r w:rsidRPr="00492BBF">
        <w:rPr>
          <w:rFonts w:ascii="Times New Roman" w:hAnsi="Times New Roman"/>
          <w:i/>
          <w:iCs/>
        </w:rPr>
        <w:t>Argentina</w:t>
      </w:r>
    </w:p>
    <w:p w:rsidR="00536748" w:rsidRPr="00722BC8" w:rsidRDefault="00536748" w:rsidP="00900C2F">
      <w:pPr>
        <w:pStyle w:val="Listavistosa-nfasis11"/>
        <w:spacing w:line="360" w:lineRule="auto"/>
        <w:ind w:left="0"/>
        <w:jc w:val="right"/>
        <w:rPr>
          <w:rFonts w:ascii="Times New Roman" w:hAnsi="Times New Roman"/>
        </w:rPr>
      </w:pPr>
    </w:p>
    <w:p w:rsidR="008E4C30" w:rsidRDefault="008E4C30" w:rsidP="005B4853">
      <w:pPr>
        <w:pStyle w:val="Listavistosa-nfasis11"/>
        <w:ind w:left="0"/>
        <w:jc w:val="both"/>
        <w:rPr>
          <w:rFonts w:ascii="Times New Roman" w:hAnsi="Times New Roman"/>
          <w:sz w:val="22"/>
          <w:szCs w:val="22"/>
        </w:rPr>
      </w:pPr>
    </w:p>
    <w:p w:rsidR="008E4C30" w:rsidRDefault="008E4C30" w:rsidP="00F1141B">
      <w:pPr>
        <w:pStyle w:val="Listavistosa-nfasis11"/>
        <w:ind w:left="697" w:firstLine="3"/>
        <w:jc w:val="both"/>
        <w:rPr>
          <w:rFonts w:ascii="Times New Roman" w:hAnsi="Times New Roman"/>
          <w:sz w:val="22"/>
          <w:szCs w:val="22"/>
        </w:rPr>
      </w:pPr>
    </w:p>
    <w:p w:rsidR="00536748" w:rsidRPr="00741F88" w:rsidRDefault="00536748" w:rsidP="005B4853">
      <w:pPr>
        <w:pStyle w:val="Listavistosa-nfasis11"/>
        <w:ind w:left="697"/>
        <w:jc w:val="both"/>
        <w:rPr>
          <w:rFonts w:ascii="Times New Roman" w:hAnsi="Times New Roman"/>
          <w:sz w:val="22"/>
          <w:szCs w:val="22"/>
        </w:rPr>
      </w:pPr>
      <w:r w:rsidRPr="00065CFA">
        <w:rPr>
          <w:rFonts w:ascii="Times New Roman" w:hAnsi="Times New Roman"/>
          <w:b/>
          <w:bCs/>
          <w:sz w:val="22"/>
          <w:szCs w:val="22"/>
        </w:rPr>
        <w:t>SUMARIO:</w:t>
      </w:r>
      <w:r w:rsidRPr="00741F88">
        <w:rPr>
          <w:rFonts w:ascii="Times New Roman" w:hAnsi="Times New Roman"/>
          <w:sz w:val="22"/>
          <w:szCs w:val="22"/>
        </w:rPr>
        <w:t xml:space="preserve"> </w:t>
      </w:r>
      <w:r w:rsidR="00ED38FD">
        <w:rPr>
          <w:rFonts w:ascii="Times New Roman" w:hAnsi="Times New Roman"/>
          <w:sz w:val="22"/>
          <w:szCs w:val="22"/>
        </w:rPr>
        <w:t xml:space="preserve">I. </w:t>
      </w:r>
      <w:r w:rsidR="00F1141B" w:rsidRPr="00741F88">
        <w:rPr>
          <w:rFonts w:ascii="Times New Roman" w:hAnsi="Times New Roman"/>
          <w:sz w:val="22"/>
          <w:szCs w:val="22"/>
        </w:rPr>
        <w:t>I</w:t>
      </w:r>
      <w:r w:rsidR="006B6F58">
        <w:rPr>
          <w:rFonts w:ascii="Times New Roman" w:hAnsi="Times New Roman"/>
          <w:sz w:val="22"/>
          <w:szCs w:val="22"/>
        </w:rPr>
        <w:t>NTRODUCCIÓN</w:t>
      </w:r>
      <w:r w:rsidR="00065CFA">
        <w:rPr>
          <w:rFonts w:ascii="Times New Roman" w:hAnsi="Times New Roman"/>
          <w:sz w:val="22"/>
          <w:szCs w:val="22"/>
        </w:rPr>
        <w:t>.</w:t>
      </w:r>
      <w:r w:rsidR="00F1141B" w:rsidRPr="00741F88">
        <w:rPr>
          <w:rFonts w:ascii="Times New Roman" w:hAnsi="Times New Roman"/>
          <w:sz w:val="22"/>
          <w:szCs w:val="22"/>
        </w:rPr>
        <w:t xml:space="preserve"> </w:t>
      </w:r>
      <w:r w:rsidR="00ED38FD">
        <w:rPr>
          <w:rFonts w:ascii="Times New Roman" w:hAnsi="Times New Roman"/>
          <w:sz w:val="22"/>
          <w:szCs w:val="22"/>
        </w:rPr>
        <w:t>II</w:t>
      </w:r>
      <w:r w:rsidR="00F1141B" w:rsidRPr="00741F88">
        <w:rPr>
          <w:rFonts w:ascii="Times New Roman" w:hAnsi="Times New Roman"/>
          <w:sz w:val="22"/>
          <w:szCs w:val="22"/>
        </w:rPr>
        <w:t xml:space="preserve">. </w:t>
      </w:r>
      <w:r w:rsidR="006B6F58">
        <w:rPr>
          <w:rFonts w:ascii="Times New Roman" w:hAnsi="Times New Roman"/>
          <w:sz w:val="22"/>
          <w:szCs w:val="22"/>
        </w:rPr>
        <w:t>LA IRRUPCIÓN DE LAS NUEVAS TECNOLOGÍAS EN EL PROCESO PENAL</w:t>
      </w:r>
      <w:r w:rsidR="00B51427">
        <w:rPr>
          <w:rFonts w:ascii="Times New Roman" w:hAnsi="Times New Roman"/>
          <w:sz w:val="22"/>
          <w:szCs w:val="22"/>
        </w:rPr>
        <w:t xml:space="preserve">. 1. Etapas del proceso penal. 2. Disposiciones normativas. </w:t>
      </w:r>
      <w:r w:rsidR="00ED38FD">
        <w:rPr>
          <w:rFonts w:ascii="Times New Roman" w:hAnsi="Times New Roman"/>
          <w:sz w:val="22"/>
          <w:szCs w:val="22"/>
        </w:rPr>
        <w:t>III</w:t>
      </w:r>
      <w:r w:rsidR="00F1141B" w:rsidRPr="00741F88">
        <w:rPr>
          <w:rFonts w:ascii="Times New Roman" w:hAnsi="Times New Roman"/>
          <w:sz w:val="22"/>
          <w:szCs w:val="22"/>
        </w:rPr>
        <w:t xml:space="preserve">. </w:t>
      </w:r>
      <w:r w:rsidR="006B6F58">
        <w:rPr>
          <w:rFonts w:ascii="Times New Roman" w:hAnsi="Times New Roman"/>
          <w:sz w:val="22"/>
          <w:szCs w:val="22"/>
        </w:rPr>
        <w:t>LA ETAPA DEL JUICIO ORAL</w:t>
      </w:r>
      <w:r w:rsidR="00B51427">
        <w:rPr>
          <w:rFonts w:ascii="Times New Roman" w:hAnsi="Times New Roman"/>
          <w:sz w:val="22"/>
          <w:szCs w:val="22"/>
        </w:rPr>
        <w:t xml:space="preserve">. 1. Principios que rigen el juicio oral. 2. Juicio oral virtual. 2.1. </w:t>
      </w:r>
      <w:r w:rsidR="00B51427" w:rsidRPr="006B6F58">
        <w:rPr>
          <w:rFonts w:ascii="Times New Roman" w:hAnsi="Times New Roman"/>
          <w:i/>
          <w:iCs/>
          <w:sz w:val="22"/>
          <w:szCs w:val="22"/>
        </w:rPr>
        <w:t>Principios procesales y virtualidad.</w:t>
      </w:r>
      <w:r w:rsidR="00B51427">
        <w:rPr>
          <w:rFonts w:ascii="Times New Roman" w:hAnsi="Times New Roman"/>
          <w:sz w:val="22"/>
          <w:szCs w:val="22"/>
        </w:rPr>
        <w:t xml:space="preserve"> 2.2. </w:t>
      </w:r>
      <w:r w:rsidR="00B51427" w:rsidRPr="006B6F58">
        <w:rPr>
          <w:rFonts w:ascii="Times New Roman" w:hAnsi="Times New Roman"/>
          <w:i/>
          <w:iCs/>
          <w:sz w:val="22"/>
          <w:szCs w:val="22"/>
        </w:rPr>
        <w:t>La solemnidad del juicio oral y la virtualidad.</w:t>
      </w:r>
      <w:r w:rsidR="00A83294" w:rsidRPr="00741F88">
        <w:rPr>
          <w:rFonts w:ascii="Times New Roman" w:hAnsi="Times New Roman"/>
          <w:sz w:val="22"/>
          <w:szCs w:val="22"/>
        </w:rPr>
        <w:t xml:space="preserve"> </w:t>
      </w:r>
      <w:r w:rsidR="00ED38FD">
        <w:rPr>
          <w:rFonts w:ascii="Times New Roman" w:hAnsi="Times New Roman"/>
          <w:sz w:val="22"/>
          <w:szCs w:val="22"/>
        </w:rPr>
        <w:t>IV. C</w:t>
      </w:r>
      <w:r w:rsidR="006B6F58">
        <w:rPr>
          <w:rFonts w:ascii="Times New Roman" w:hAnsi="Times New Roman"/>
          <w:sz w:val="22"/>
          <w:szCs w:val="22"/>
        </w:rPr>
        <w:t>ONCLUSIONES</w:t>
      </w:r>
      <w:r w:rsidR="00065CFA">
        <w:rPr>
          <w:rFonts w:ascii="Times New Roman" w:hAnsi="Times New Roman"/>
          <w:sz w:val="22"/>
          <w:szCs w:val="22"/>
        </w:rPr>
        <w:t xml:space="preserve">. </w:t>
      </w:r>
      <w:r w:rsidR="00ED38FD">
        <w:rPr>
          <w:rFonts w:ascii="Times New Roman" w:hAnsi="Times New Roman"/>
          <w:sz w:val="22"/>
          <w:szCs w:val="22"/>
        </w:rPr>
        <w:t xml:space="preserve">V. </w:t>
      </w:r>
      <w:r w:rsidR="006B6F58">
        <w:rPr>
          <w:rFonts w:ascii="Times New Roman" w:hAnsi="Times New Roman"/>
          <w:sz w:val="22"/>
          <w:szCs w:val="22"/>
        </w:rPr>
        <w:t>BIBLIOGRAFÍA</w:t>
      </w:r>
      <w:r w:rsidR="00ED38FD">
        <w:rPr>
          <w:rFonts w:ascii="Times New Roman" w:hAnsi="Times New Roman"/>
          <w:sz w:val="22"/>
          <w:szCs w:val="22"/>
        </w:rPr>
        <w:t>.</w:t>
      </w:r>
      <w:r w:rsidR="00F1141B" w:rsidRPr="00741F88">
        <w:rPr>
          <w:rFonts w:ascii="Times New Roman" w:hAnsi="Times New Roman"/>
          <w:sz w:val="22"/>
          <w:szCs w:val="22"/>
        </w:rPr>
        <w:t xml:space="preserve"> </w:t>
      </w:r>
    </w:p>
    <w:p w:rsidR="00900C2F" w:rsidRPr="00722BC8" w:rsidRDefault="00900C2F" w:rsidP="00065CFA">
      <w:pPr>
        <w:pStyle w:val="Listavistosa-nfasis11"/>
        <w:ind w:left="0"/>
        <w:jc w:val="right"/>
        <w:rPr>
          <w:rFonts w:ascii="Times New Roman" w:hAnsi="Times New Roman"/>
        </w:rPr>
      </w:pPr>
    </w:p>
    <w:p w:rsidR="00741F88" w:rsidRPr="00722BC8" w:rsidRDefault="00741F88" w:rsidP="00BB2976">
      <w:pPr>
        <w:pStyle w:val="Listavistosa-nfasis11"/>
        <w:spacing w:line="360" w:lineRule="auto"/>
        <w:ind w:left="0"/>
        <w:jc w:val="both"/>
        <w:rPr>
          <w:rFonts w:ascii="Times New Roman" w:hAnsi="Times New Roman"/>
        </w:rPr>
      </w:pPr>
    </w:p>
    <w:p w:rsidR="00900C2F" w:rsidRDefault="00900C2F" w:rsidP="00BB2976">
      <w:pPr>
        <w:pStyle w:val="Listavistosa-nfasis11"/>
        <w:numPr>
          <w:ilvl w:val="0"/>
          <w:numId w:val="20"/>
        </w:numPr>
        <w:spacing w:line="360" w:lineRule="auto"/>
        <w:jc w:val="both"/>
        <w:rPr>
          <w:rFonts w:ascii="Times New Roman" w:hAnsi="Times New Roman"/>
          <w:b/>
        </w:rPr>
      </w:pPr>
      <w:r w:rsidRPr="00722BC8">
        <w:rPr>
          <w:rFonts w:ascii="Times New Roman" w:hAnsi="Times New Roman"/>
          <w:b/>
        </w:rPr>
        <w:t>I</w:t>
      </w:r>
      <w:r w:rsidR="00492BBF">
        <w:rPr>
          <w:rFonts w:ascii="Times New Roman" w:hAnsi="Times New Roman"/>
          <w:b/>
        </w:rPr>
        <w:t>NTRODUCCIÓN</w:t>
      </w:r>
    </w:p>
    <w:p w:rsidR="00BB2976" w:rsidRDefault="00BB2976" w:rsidP="00BB2976">
      <w:pPr>
        <w:pStyle w:val="Listavistosa-nfasis11"/>
        <w:spacing w:line="360" w:lineRule="auto"/>
        <w:jc w:val="both"/>
        <w:rPr>
          <w:rFonts w:ascii="Times New Roman" w:hAnsi="Times New Roman"/>
          <w:b/>
        </w:rPr>
      </w:pPr>
    </w:p>
    <w:p w:rsidR="00570F8E" w:rsidRDefault="005B4853" w:rsidP="005B4853">
      <w:pPr>
        <w:pStyle w:val="Listavistosa-nfasis11"/>
        <w:spacing w:line="360" w:lineRule="auto"/>
        <w:ind w:left="0" w:firstLine="360"/>
        <w:jc w:val="both"/>
        <w:rPr>
          <w:rFonts w:ascii="Times New Roman" w:hAnsi="Times New Roman"/>
          <w:bCs/>
        </w:rPr>
      </w:pPr>
      <w:r>
        <w:rPr>
          <w:rFonts w:ascii="Times New Roman" w:hAnsi="Times New Roman"/>
          <w:bCs/>
        </w:rPr>
        <w:t>A lo largo de la historia ha habido d</w:t>
      </w:r>
      <w:r w:rsidR="00797B92">
        <w:rPr>
          <w:rFonts w:ascii="Times New Roman" w:hAnsi="Times New Roman"/>
          <w:bCs/>
        </w:rPr>
        <w:t>iversas</w:t>
      </w:r>
      <w:r>
        <w:rPr>
          <w:rFonts w:ascii="Times New Roman" w:hAnsi="Times New Roman"/>
          <w:bCs/>
        </w:rPr>
        <w:t xml:space="preserve"> revoluciones tecnológicas que han cambiado el curso de los acontecimientos. Las distintas revoluciones industriales dan buena cuenta de ello y, en la actualidad, no cabe duda </w:t>
      </w:r>
      <w:r w:rsidR="00AD480D">
        <w:rPr>
          <w:rFonts w:ascii="Times New Roman" w:hAnsi="Times New Roman"/>
          <w:bCs/>
        </w:rPr>
        <w:t>de que</w:t>
      </w:r>
      <w:r>
        <w:rPr>
          <w:rFonts w:ascii="Times New Roman" w:hAnsi="Times New Roman"/>
          <w:bCs/>
        </w:rPr>
        <w:t xml:space="preserve"> la revolución digital ocurrida a fines del siglo XX e inicios del XXI ha marcado un cambio de las relaciones en todos los ámbitos de la sociedad pues el uso de las tecnologías se ha convertido en una herramienta esencial de la vida de todas las personas.</w:t>
      </w:r>
    </w:p>
    <w:p w:rsidR="005B4853" w:rsidRPr="005B4853" w:rsidRDefault="005B4853" w:rsidP="005B4853">
      <w:pPr>
        <w:pStyle w:val="Listavistosa-nfasis11"/>
        <w:spacing w:line="360" w:lineRule="auto"/>
        <w:ind w:left="0" w:firstLine="360"/>
        <w:jc w:val="both"/>
        <w:rPr>
          <w:rFonts w:ascii="Times New Roman" w:hAnsi="Times New Roman"/>
          <w:bCs/>
        </w:rPr>
      </w:pPr>
      <w:r>
        <w:rPr>
          <w:rFonts w:ascii="Times New Roman" w:hAnsi="Times New Roman"/>
          <w:bCs/>
        </w:rPr>
        <w:t xml:space="preserve">Si bien no puede desconocerse que la situación de pandemia mundial vivida en el año 2020 aceleró la utilización de los medios tecnológicos, la realidad es que ya habían empezado a invadir áreas importantes del desenvolvimiento social. Piénsese, </w:t>
      </w:r>
      <w:r>
        <w:rPr>
          <w:rFonts w:ascii="Times New Roman" w:hAnsi="Times New Roman"/>
          <w:bCs/>
          <w:i/>
          <w:iCs/>
        </w:rPr>
        <w:t>v.gr.,</w:t>
      </w:r>
      <w:r>
        <w:rPr>
          <w:rFonts w:ascii="Times New Roman" w:hAnsi="Times New Roman"/>
          <w:bCs/>
        </w:rPr>
        <w:t xml:space="preserve"> en la posibilidad de realizar operaciones bancarias </w:t>
      </w:r>
      <w:r>
        <w:rPr>
          <w:rFonts w:ascii="Times New Roman" w:hAnsi="Times New Roman"/>
          <w:bCs/>
          <w:i/>
          <w:iCs/>
        </w:rPr>
        <w:t>on line</w:t>
      </w:r>
      <w:r>
        <w:rPr>
          <w:rFonts w:ascii="Times New Roman" w:hAnsi="Times New Roman"/>
          <w:bCs/>
        </w:rPr>
        <w:t xml:space="preserve">, efectuar videollamadas o hacer compras también a través de páginas de internet sin tener que desplazarse al local comercial. Y, cuando </w:t>
      </w:r>
      <w:r w:rsidR="0086300D">
        <w:rPr>
          <w:rFonts w:ascii="Times New Roman" w:hAnsi="Times New Roman"/>
          <w:bCs/>
        </w:rPr>
        <w:t xml:space="preserve">se </w:t>
      </w:r>
      <w:r>
        <w:rPr>
          <w:rFonts w:ascii="Times New Roman" w:hAnsi="Times New Roman"/>
          <w:bCs/>
        </w:rPr>
        <w:t>enfrent</w:t>
      </w:r>
      <w:r w:rsidR="0086300D">
        <w:rPr>
          <w:rFonts w:ascii="Times New Roman" w:hAnsi="Times New Roman"/>
          <w:bCs/>
        </w:rPr>
        <w:t>ó</w:t>
      </w:r>
      <w:r>
        <w:rPr>
          <w:rFonts w:ascii="Times New Roman" w:hAnsi="Times New Roman"/>
          <w:bCs/>
        </w:rPr>
        <w:t xml:space="preserve"> la crisis sanitaria d</w:t>
      </w:r>
      <w:r w:rsidR="006B6F58">
        <w:rPr>
          <w:rFonts w:ascii="Times New Roman" w:hAnsi="Times New Roman"/>
          <w:bCs/>
        </w:rPr>
        <w:t>el covid-19</w:t>
      </w:r>
      <w:r>
        <w:rPr>
          <w:rFonts w:ascii="Times New Roman" w:hAnsi="Times New Roman"/>
          <w:bCs/>
        </w:rPr>
        <w:t>, los medios tecnológicos fueron una fundamental herramienta para poder seguir desenvolviéndo</w:t>
      </w:r>
      <w:r w:rsidR="0086300D">
        <w:rPr>
          <w:rFonts w:ascii="Times New Roman" w:hAnsi="Times New Roman"/>
          <w:bCs/>
        </w:rPr>
        <w:t>se</w:t>
      </w:r>
      <w:r>
        <w:rPr>
          <w:rFonts w:ascii="Times New Roman" w:hAnsi="Times New Roman"/>
          <w:bCs/>
        </w:rPr>
        <w:t xml:space="preserve"> en la vida diaria </w:t>
      </w:r>
      <w:r w:rsidR="0086300D">
        <w:rPr>
          <w:rFonts w:ascii="Times New Roman" w:hAnsi="Times New Roman"/>
          <w:bCs/>
        </w:rPr>
        <w:t xml:space="preserve">durante </w:t>
      </w:r>
      <w:r>
        <w:rPr>
          <w:rFonts w:ascii="Times New Roman" w:hAnsi="Times New Roman"/>
          <w:bCs/>
        </w:rPr>
        <w:t>el confinamiento.</w:t>
      </w:r>
      <w:r>
        <w:rPr>
          <w:rFonts w:ascii="Times New Roman" w:hAnsi="Times New Roman"/>
          <w:bCs/>
          <w:i/>
          <w:iCs/>
        </w:rPr>
        <w:t xml:space="preserve"> </w:t>
      </w:r>
    </w:p>
    <w:p w:rsidR="005B4853" w:rsidRDefault="005B4853" w:rsidP="005B4853">
      <w:pPr>
        <w:pStyle w:val="Listavistosa-nfasis11"/>
        <w:spacing w:line="360" w:lineRule="auto"/>
        <w:ind w:left="0" w:firstLine="360"/>
        <w:jc w:val="both"/>
        <w:rPr>
          <w:rFonts w:ascii="Times New Roman" w:hAnsi="Times New Roman"/>
          <w:bCs/>
        </w:rPr>
      </w:pPr>
      <w:r>
        <w:rPr>
          <w:rFonts w:ascii="Times New Roman" w:hAnsi="Times New Roman"/>
          <w:bCs/>
        </w:rPr>
        <w:t xml:space="preserve">Por supuesto que la Administración de Justicia no fue ajena a esta revolución digital pues ya había comenzado a incorporar en sus ordenamientos jurídicos la utilización de algunos medios tecnológicos tales como las notificaciones electrónicas o la grabación de las audiencias, dejando de lado la escrituración del acto. En este ámbito, también la </w:t>
      </w:r>
      <w:r>
        <w:rPr>
          <w:rFonts w:ascii="Times New Roman" w:hAnsi="Times New Roman"/>
          <w:bCs/>
        </w:rPr>
        <w:lastRenderedPageBreak/>
        <w:t>situación de pandemia permitió el desembarco total de las herramientas digitales en tanto toda la actividad judicial se desarrolló de manera virtual.</w:t>
      </w:r>
    </w:p>
    <w:p w:rsidR="00C14A0F" w:rsidRDefault="005B4853" w:rsidP="0086300D">
      <w:pPr>
        <w:pStyle w:val="Listavistosa-nfasis11"/>
        <w:spacing w:line="360" w:lineRule="auto"/>
        <w:ind w:left="0" w:firstLine="360"/>
        <w:jc w:val="both"/>
        <w:rPr>
          <w:rFonts w:ascii="Times New Roman" w:hAnsi="Times New Roman"/>
          <w:bCs/>
        </w:rPr>
      </w:pPr>
      <w:r>
        <w:rPr>
          <w:rFonts w:ascii="Times New Roman" w:hAnsi="Times New Roman"/>
          <w:bCs/>
        </w:rPr>
        <w:t xml:space="preserve">Ahora bien, </w:t>
      </w:r>
      <w:r w:rsidR="00C14A0F">
        <w:rPr>
          <w:rFonts w:ascii="Times New Roman" w:hAnsi="Times New Roman"/>
          <w:bCs/>
        </w:rPr>
        <w:t>dejando de lado las situaciones de excepcionalidad, resulta ineludible abordar el análisis de la utilización de los medios digitales en la Justicia y, fundamentalmente, en el proceso penal. Es que es</w:t>
      </w:r>
      <w:r w:rsidR="006B6F58">
        <w:rPr>
          <w:rFonts w:ascii="Times New Roman" w:hAnsi="Times New Roman"/>
          <w:bCs/>
        </w:rPr>
        <w:t>,</w:t>
      </w:r>
      <w:r w:rsidR="00C14A0F">
        <w:rPr>
          <w:rFonts w:ascii="Times New Roman" w:hAnsi="Times New Roman"/>
          <w:bCs/>
        </w:rPr>
        <w:t xml:space="preserve"> en este fuero</w:t>
      </w:r>
      <w:r w:rsidR="006B6F58">
        <w:rPr>
          <w:rFonts w:ascii="Times New Roman" w:hAnsi="Times New Roman"/>
          <w:bCs/>
        </w:rPr>
        <w:t>,</w:t>
      </w:r>
      <w:r w:rsidR="00C14A0F">
        <w:rPr>
          <w:rFonts w:ascii="Times New Roman" w:hAnsi="Times New Roman"/>
          <w:bCs/>
        </w:rPr>
        <w:t xml:space="preserve"> donde los derechos fundamentales de las personas contra quienes se dirige la persecución penal encuentran mayor tensión con los derechos de la sociedad que ha delegado en el Estado el monopolio en el uso de la fuerza pública.</w:t>
      </w:r>
    </w:p>
    <w:p w:rsidR="005B4853" w:rsidRDefault="0086300D" w:rsidP="0086300D">
      <w:pPr>
        <w:pStyle w:val="Listavistosa-nfasis11"/>
        <w:spacing w:line="360" w:lineRule="auto"/>
        <w:ind w:left="0" w:firstLine="360"/>
        <w:jc w:val="both"/>
        <w:rPr>
          <w:rFonts w:ascii="Times New Roman" w:hAnsi="Times New Roman"/>
          <w:bCs/>
        </w:rPr>
      </w:pPr>
      <w:r>
        <w:rPr>
          <w:rFonts w:ascii="Times New Roman" w:hAnsi="Times New Roman"/>
          <w:bCs/>
        </w:rPr>
        <w:t xml:space="preserve">Este </w:t>
      </w:r>
      <w:r w:rsidR="00A2616B">
        <w:rPr>
          <w:rFonts w:ascii="Times New Roman" w:hAnsi="Times New Roman"/>
          <w:bCs/>
        </w:rPr>
        <w:t>estudio</w:t>
      </w:r>
      <w:r>
        <w:rPr>
          <w:rFonts w:ascii="Times New Roman" w:hAnsi="Times New Roman"/>
          <w:bCs/>
        </w:rPr>
        <w:t xml:space="preserve"> resulta necesario pues si la realidad demuestra día a día que cada vez más el mundo digital va invadiendo todas las esferas, sería necio no aprovechar las ventajas de su utilización para lograr mayor eficiencia en la Administración de Justicia sin que ello implique un menoscabo de los derechos de todas las partes del proceso.</w:t>
      </w:r>
    </w:p>
    <w:p w:rsidR="004A53E7" w:rsidRDefault="00570F8E" w:rsidP="00DF0C09">
      <w:pPr>
        <w:pStyle w:val="Listavistosa-nfasis11"/>
        <w:spacing w:line="360" w:lineRule="auto"/>
        <w:ind w:left="0" w:firstLine="360"/>
        <w:jc w:val="both"/>
        <w:rPr>
          <w:rFonts w:ascii="Times New Roman" w:hAnsi="Times New Roman"/>
          <w:bCs/>
        </w:rPr>
      </w:pPr>
      <w:r>
        <w:rPr>
          <w:rFonts w:ascii="Times New Roman" w:hAnsi="Times New Roman"/>
          <w:bCs/>
        </w:rPr>
        <w:t xml:space="preserve">El objetivo de este trabajo es </w:t>
      </w:r>
      <w:r w:rsidR="00A2616B">
        <w:rPr>
          <w:rFonts w:ascii="Times New Roman" w:hAnsi="Times New Roman"/>
          <w:bCs/>
        </w:rPr>
        <w:t>profundizar el análisis de una investigación anterior la cual centré en los juicios por medios telemáticos realizados durante la situación de emergencia sanitaria</w:t>
      </w:r>
      <w:r w:rsidR="00A2616B">
        <w:rPr>
          <w:rStyle w:val="Refdenotaalpie"/>
          <w:rFonts w:ascii="Times New Roman" w:hAnsi="Times New Roman"/>
          <w:bCs/>
        </w:rPr>
        <w:footnoteReference w:id="1"/>
      </w:r>
      <w:r w:rsidR="00A2616B">
        <w:rPr>
          <w:rFonts w:ascii="Times New Roman" w:hAnsi="Times New Roman"/>
          <w:bCs/>
        </w:rPr>
        <w:t xml:space="preserve"> </w:t>
      </w:r>
      <w:r w:rsidR="00310D51">
        <w:rPr>
          <w:rFonts w:ascii="Times New Roman" w:hAnsi="Times New Roman"/>
          <w:bCs/>
        </w:rPr>
        <w:t>pues si bien esta metodología fue necesaria dada la situación de excepcionalidad en la cual se encontraba inmers</w:t>
      </w:r>
      <w:r w:rsidR="006B6F58">
        <w:rPr>
          <w:rFonts w:ascii="Times New Roman" w:hAnsi="Times New Roman"/>
          <w:bCs/>
        </w:rPr>
        <w:t>o</w:t>
      </w:r>
      <w:r w:rsidR="00310D51">
        <w:rPr>
          <w:rFonts w:ascii="Times New Roman" w:hAnsi="Times New Roman"/>
          <w:bCs/>
        </w:rPr>
        <w:t xml:space="preserve"> el mundo entero, debe repensarse si en la actualidad puede seguir utilizándose o resulta conveniente mantenerla sólo para la etapa de investigación penal preparatoria.</w:t>
      </w:r>
    </w:p>
    <w:p w:rsidR="00BD7C92" w:rsidRDefault="00BD7C92" w:rsidP="00DF0C09">
      <w:pPr>
        <w:pStyle w:val="Listavistosa-nfasis11"/>
        <w:spacing w:line="360" w:lineRule="auto"/>
        <w:ind w:left="0" w:firstLine="360"/>
        <w:jc w:val="both"/>
        <w:rPr>
          <w:rFonts w:ascii="Times New Roman" w:hAnsi="Times New Roman"/>
          <w:bCs/>
        </w:rPr>
      </w:pPr>
    </w:p>
    <w:p w:rsidR="00BD7C92" w:rsidRDefault="00BD7C92" w:rsidP="00DF0C09">
      <w:pPr>
        <w:pStyle w:val="Listavistosa-nfasis11"/>
        <w:spacing w:line="360" w:lineRule="auto"/>
        <w:ind w:left="0" w:firstLine="360"/>
        <w:jc w:val="both"/>
        <w:rPr>
          <w:rFonts w:ascii="Times New Roman" w:hAnsi="Times New Roman"/>
          <w:bCs/>
        </w:rPr>
      </w:pPr>
    </w:p>
    <w:p w:rsidR="0086300D" w:rsidRPr="00492BBF" w:rsidRDefault="0086300D" w:rsidP="00632781">
      <w:pPr>
        <w:pStyle w:val="Listavistosa-nfasis11"/>
        <w:numPr>
          <w:ilvl w:val="0"/>
          <w:numId w:val="20"/>
        </w:numPr>
        <w:spacing w:line="360" w:lineRule="auto"/>
        <w:jc w:val="both"/>
        <w:rPr>
          <w:rFonts w:ascii="Times New Roman" w:hAnsi="Times New Roman"/>
          <w:b/>
        </w:rPr>
      </w:pPr>
      <w:r w:rsidRPr="00492BBF">
        <w:rPr>
          <w:rFonts w:ascii="Times New Roman" w:hAnsi="Times New Roman"/>
          <w:b/>
        </w:rPr>
        <w:t>L</w:t>
      </w:r>
      <w:r w:rsidR="00492BBF" w:rsidRPr="00492BBF">
        <w:rPr>
          <w:rFonts w:ascii="Times New Roman" w:hAnsi="Times New Roman"/>
          <w:b/>
        </w:rPr>
        <w:t>A IRR</w:t>
      </w:r>
      <w:r w:rsidR="00492BBF">
        <w:rPr>
          <w:rFonts w:ascii="Times New Roman" w:hAnsi="Times New Roman"/>
          <w:b/>
        </w:rPr>
        <w:t>U</w:t>
      </w:r>
      <w:r w:rsidR="00492BBF" w:rsidRPr="00492BBF">
        <w:rPr>
          <w:rFonts w:ascii="Times New Roman" w:hAnsi="Times New Roman"/>
          <w:b/>
        </w:rPr>
        <w:t>PCIÓN DE LAS NUEVAS TECNOLOGÍAS EN EL PROCESO PENAL</w:t>
      </w:r>
    </w:p>
    <w:p w:rsidR="0086300D" w:rsidRPr="0086300D" w:rsidRDefault="0086300D" w:rsidP="0086300D">
      <w:pPr>
        <w:pStyle w:val="Listavistosa-nfasis11"/>
        <w:spacing w:line="360" w:lineRule="auto"/>
        <w:ind w:left="0" w:firstLine="360"/>
        <w:jc w:val="both"/>
        <w:rPr>
          <w:rFonts w:ascii="Times New Roman" w:hAnsi="Times New Roman"/>
          <w:bCs/>
        </w:rPr>
      </w:pPr>
      <w:r>
        <w:rPr>
          <w:rFonts w:ascii="Times New Roman" w:hAnsi="Times New Roman"/>
          <w:bCs/>
        </w:rPr>
        <w:t>Para poder realizar un análisis adecuado, debo comenzar por especificar las características de las di</w:t>
      </w:r>
      <w:r w:rsidR="006B6F58">
        <w:rPr>
          <w:rFonts w:ascii="Times New Roman" w:hAnsi="Times New Roman"/>
          <w:bCs/>
        </w:rPr>
        <w:t>ferentes</w:t>
      </w:r>
      <w:r>
        <w:rPr>
          <w:rFonts w:ascii="Times New Roman" w:hAnsi="Times New Roman"/>
          <w:bCs/>
        </w:rPr>
        <w:t xml:space="preserve"> etapas del proceso penal pues ello permitirá comprender con mayor precisión las distintas posibilidades que puede brindar el uso de los medios digitales según sea la etapa procesal de la que se trate. Asimismo, abordaré en este punto cuáles han sido las reformas introducidas en la legislac</w:t>
      </w:r>
      <w:r w:rsidR="00310D51">
        <w:rPr>
          <w:rFonts w:ascii="Times New Roman" w:hAnsi="Times New Roman"/>
          <w:bCs/>
        </w:rPr>
        <w:t>ión</w:t>
      </w:r>
      <w:r>
        <w:rPr>
          <w:rFonts w:ascii="Times New Roman" w:hAnsi="Times New Roman"/>
          <w:bCs/>
        </w:rPr>
        <w:t xml:space="preserve"> procesal de </w:t>
      </w:r>
      <w:r w:rsidR="00310D51">
        <w:rPr>
          <w:rFonts w:ascii="Times New Roman" w:hAnsi="Times New Roman"/>
          <w:bCs/>
        </w:rPr>
        <w:t xml:space="preserve">la Provincia de </w:t>
      </w:r>
      <w:r>
        <w:rPr>
          <w:rFonts w:ascii="Times New Roman" w:hAnsi="Times New Roman"/>
          <w:bCs/>
        </w:rPr>
        <w:t>Mendoza y</w:t>
      </w:r>
      <w:r w:rsidR="00310D51">
        <w:rPr>
          <w:rFonts w:ascii="Times New Roman" w:hAnsi="Times New Roman"/>
          <w:bCs/>
        </w:rPr>
        <w:t xml:space="preserve"> en el </w:t>
      </w:r>
      <w:r w:rsidR="00F66BEF">
        <w:rPr>
          <w:rFonts w:ascii="Times New Roman" w:hAnsi="Times New Roman"/>
          <w:bCs/>
        </w:rPr>
        <w:t xml:space="preserve">nuevo </w:t>
      </w:r>
      <w:r w:rsidR="00310D51">
        <w:rPr>
          <w:rFonts w:ascii="Times New Roman" w:hAnsi="Times New Roman"/>
          <w:bCs/>
        </w:rPr>
        <w:t>Código de Proce</w:t>
      </w:r>
      <w:r w:rsidR="00F66BEF">
        <w:rPr>
          <w:rFonts w:ascii="Times New Roman" w:hAnsi="Times New Roman"/>
          <w:bCs/>
        </w:rPr>
        <w:t xml:space="preserve">sal Penal Federal que si bien fue </w:t>
      </w:r>
      <w:r w:rsidR="00F66BEF">
        <w:rPr>
          <w:rFonts w:ascii="Times New Roman" w:hAnsi="Times New Roman"/>
          <w:bCs/>
        </w:rPr>
        <w:lastRenderedPageBreak/>
        <w:t>sancionado en el año 2019 su aplicación s</w:t>
      </w:r>
      <w:r w:rsidR="006B6F58">
        <w:rPr>
          <w:rFonts w:ascii="Times New Roman" w:hAnsi="Times New Roman"/>
          <w:bCs/>
        </w:rPr>
        <w:t>ó</w:t>
      </w:r>
      <w:r w:rsidR="00F66BEF">
        <w:rPr>
          <w:rFonts w:ascii="Times New Roman" w:hAnsi="Times New Roman"/>
          <w:bCs/>
        </w:rPr>
        <w:t xml:space="preserve">lo se ha hecho efectiva en las provincias de Salta y Mendoza. </w:t>
      </w:r>
    </w:p>
    <w:p w:rsidR="0086300D" w:rsidRDefault="0086300D" w:rsidP="0086300D">
      <w:pPr>
        <w:pStyle w:val="Listavistosa-nfasis11"/>
        <w:spacing w:line="360" w:lineRule="auto"/>
        <w:ind w:left="360"/>
        <w:jc w:val="both"/>
        <w:rPr>
          <w:rFonts w:ascii="Times New Roman" w:hAnsi="Times New Roman"/>
          <w:b/>
        </w:rPr>
      </w:pPr>
    </w:p>
    <w:p w:rsidR="0086300D" w:rsidRPr="00632781" w:rsidRDefault="00492BBF" w:rsidP="00632781">
      <w:pPr>
        <w:pStyle w:val="Listavistosa-nfasis11"/>
        <w:spacing w:line="360" w:lineRule="auto"/>
        <w:ind w:left="360"/>
        <w:jc w:val="both"/>
        <w:rPr>
          <w:rFonts w:ascii="Times New Roman" w:hAnsi="Times New Roman"/>
          <w:bCs/>
        </w:rPr>
      </w:pPr>
      <w:r w:rsidRPr="00492BBF">
        <w:rPr>
          <w:rFonts w:ascii="Times New Roman" w:hAnsi="Times New Roman"/>
          <w:bCs/>
        </w:rPr>
        <w:t>1. E</w:t>
      </w:r>
      <w:r w:rsidR="003D18BF">
        <w:rPr>
          <w:rFonts w:ascii="Times New Roman" w:hAnsi="Times New Roman"/>
          <w:bCs/>
        </w:rPr>
        <w:t>tapas del proceso penal</w:t>
      </w:r>
    </w:p>
    <w:p w:rsidR="0086300D" w:rsidRDefault="0086300D" w:rsidP="0086300D">
      <w:pPr>
        <w:pStyle w:val="Listavistosa-nfasis11"/>
        <w:spacing w:line="360" w:lineRule="auto"/>
        <w:ind w:left="0" w:firstLine="360"/>
        <w:jc w:val="both"/>
        <w:rPr>
          <w:rFonts w:ascii="Times New Roman" w:hAnsi="Times New Roman"/>
          <w:bCs/>
        </w:rPr>
      </w:pPr>
      <w:r>
        <w:rPr>
          <w:rFonts w:ascii="Times New Roman" w:hAnsi="Times New Roman"/>
          <w:bCs/>
        </w:rPr>
        <w:t>En general, en la gran mayoría de los sistemas procesales, el proceso penal va transcurriendo en di</w:t>
      </w:r>
      <w:r w:rsidR="00492BBF">
        <w:rPr>
          <w:rFonts w:ascii="Times New Roman" w:hAnsi="Times New Roman"/>
          <w:bCs/>
        </w:rPr>
        <w:t>ferentes</w:t>
      </w:r>
      <w:r>
        <w:rPr>
          <w:rFonts w:ascii="Times New Roman" w:hAnsi="Times New Roman"/>
          <w:bCs/>
        </w:rPr>
        <w:t xml:space="preserve"> etapas </w:t>
      </w:r>
      <w:r w:rsidR="00492BBF">
        <w:rPr>
          <w:rFonts w:ascii="Times New Roman" w:hAnsi="Times New Roman"/>
          <w:bCs/>
        </w:rPr>
        <w:t>o fases hasta su culminación con una decisión pasada en autoridad de cosa juzgada. Sin embargo, es posible dividirlo en dos bloques más allá de que existan diferentes momentos que integran cada uno de ellos como así también otras etapas que conforman el proceso en su conjunto. Así, se podría decir que el primero de ellos es, usualmente</w:t>
      </w:r>
      <w:r w:rsidR="00492BBF">
        <w:rPr>
          <w:rStyle w:val="Refdenotaalpie"/>
          <w:rFonts w:ascii="Times New Roman" w:hAnsi="Times New Roman"/>
          <w:bCs/>
        </w:rPr>
        <w:footnoteReference w:id="2"/>
      </w:r>
      <w:r w:rsidR="00492BBF">
        <w:rPr>
          <w:rFonts w:ascii="Times New Roman" w:hAnsi="Times New Roman"/>
          <w:bCs/>
        </w:rPr>
        <w:t>, la etapa de investigación que permite determinar los hechos y reunir los elementos probatorios que deberán ser presentados en el juicio propiamente dicho. Como corolario de ello, si existe mérito suficiente, se pasará a la fase del juicio oral, público, contradictorio y continuo donde deberá resolverse en definitiva sobre la responsabilidad del imputado.</w:t>
      </w:r>
    </w:p>
    <w:p w:rsidR="007F2242" w:rsidRDefault="00492BBF" w:rsidP="0086300D">
      <w:pPr>
        <w:pStyle w:val="Listavistosa-nfasis11"/>
        <w:spacing w:line="360" w:lineRule="auto"/>
        <w:ind w:left="0" w:firstLine="360"/>
        <w:jc w:val="both"/>
        <w:rPr>
          <w:rFonts w:ascii="Times New Roman" w:hAnsi="Times New Roman"/>
          <w:bCs/>
        </w:rPr>
      </w:pPr>
      <w:r>
        <w:rPr>
          <w:rFonts w:ascii="Times New Roman" w:hAnsi="Times New Roman"/>
          <w:bCs/>
        </w:rPr>
        <w:t xml:space="preserve">Como hice referencia, la fase de investigación penal tiene la finalidad de determinar el objeto procesal, quiénes serían los eventuales responsables del hecho ilícito investigado y llevar a cabo todas las diligencias que permitan reunir la prueba que </w:t>
      </w:r>
      <w:r w:rsidR="003D18BF">
        <w:rPr>
          <w:rFonts w:ascii="Times New Roman" w:hAnsi="Times New Roman"/>
          <w:bCs/>
        </w:rPr>
        <w:t>será producida durante el juicio oral.</w:t>
      </w:r>
      <w:r>
        <w:rPr>
          <w:rFonts w:ascii="Times New Roman" w:hAnsi="Times New Roman"/>
          <w:bCs/>
        </w:rPr>
        <w:t xml:space="preserve"> Esta etapa se caracteriza, en general, por ser parcialmente pública y contradictoria. Si bien es cierto que el imputado desde el primer acto que da inicio a una investigación penal, sea éste una denuncia o una </w:t>
      </w:r>
      <w:r w:rsidRPr="00492BBF">
        <w:rPr>
          <w:rFonts w:ascii="Times New Roman" w:hAnsi="Times New Roman"/>
          <w:bCs/>
          <w:i/>
          <w:iCs/>
        </w:rPr>
        <w:t>notitia</w:t>
      </w:r>
      <w:r>
        <w:rPr>
          <w:rFonts w:ascii="Times New Roman" w:hAnsi="Times New Roman"/>
          <w:bCs/>
        </w:rPr>
        <w:t xml:space="preserve"> </w:t>
      </w:r>
      <w:r>
        <w:rPr>
          <w:rFonts w:ascii="Times New Roman" w:hAnsi="Times New Roman"/>
          <w:bCs/>
          <w:i/>
          <w:iCs/>
        </w:rPr>
        <w:t xml:space="preserve">criminis, </w:t>
      </w:r>
      <w:r>
        <w:rPr>
          <w:rFonts w:ascii="Times New Roman" w:hAnsi="Times New Roman"/>
          <w:bCs/>
        </w:rPr>
        <w:t xml:space="preserve">puede ejercer válidamente todos sus derechos, es en el juicio propiamente dicho donde el contradictorio se desarrolla en toda su dimensión. </w:t>
      </w:r>
    </w:p>
    <w:p w:rsidR="00492BBF" w:rsidRDefault="00492BBF" w:rsidP="007F2242">
      <w:pPr>
        <w:pStyle w:val="Listavistosa-nfasis11"/>
        <w:spacing w:line="360" w:lineRule="auto"/>
        <w:ind w:left="0" w:firstLine="360"/>
        <w:jc w:val="both"/>
        <w:rPr>
          <w:rFonts w:ascii="Times New Roman" w:hAnsi="Times New Roman"/>
          <w:bCs/>
        </w:rPr>
      </w:pPr>
      <w:r>
        <w:rPr>
          <w:rFonts w:ascii="Times New Roman" w:hAnsi="Times New Roman"/>
          <w:bCs/>
        </w:rPr>
        <w:t>Pero, incluso así, durante la investigación preparatoria la intervención de la defensa es ineludible pues existe variada actividad procesal que debe realizarse en audiencia con la presencia de todos los sujetos procesales.</w:t>
      </w:r>
      <w:r w:rsidR="007F2242">
        <w:rPr>
          <w:rFonts w:ascii="Times New Roman" w:hAnsi="Times New Roman"/>
          <w:bCs/>
        </w:rPr>
        <w:t xml:space="preserve"> </w:t>
      </w:r>
      <w:r w:rsidR="003D18BF">
        <w:rPr>
          <w:rFonts w:ascii="Times New Roman" w:hAnsi="Times New Roman"/>
          <w:bCs/>
        </w:rPr>
        <w:t>Así</w:t>
      </w:r>
      <w:r>
        <w:rPr>
          <w:rFonts w:ascii="Times New Roman" w:hAnsi="Times New Roman"/>
          <w:bCs/>
        </w:rPr>
        <w:t xml:space="preserve">, </w:t>
      </w:r>
      <w:r>
        <w:rPr>
          <w:rFonts w:ascii="Times New Roman" w:hAnsi="Times New Roman"/>
          <w:bCs/>
          <w:i/>
          <w:iCs/>
        </w:rPr>
        <w:t xml:space="preserve">v.gr., </w:t>
      </w:r>
      <w:r>
        <w:rPr>
          <w:rFonts w:ascii="Times New Roman" w:hAnsi="Times New Roman"/>
          <w:bCs/>
        </w:rPr>
        <w:t xml:space="preserve">en aquellas audiencias donde </w:t>
      </w:r>
      <w:r w:rsidR="007F2242">
        <w:rPr>
          <w:rFonts w:ascii="Times New Roman" w:hAnsi="Times New Roman"/>
          <w:bCs/>
        </w:rPr>
        <w:t>se debe resolver una medida de coerción u otra incidencia que afecte la situación procesal del imputado requiere</w:t>
      </w:r>
      <w:r w:rsidR="003D18BF">
        <w:rPr>
          <w:rFonts w:ascii="Times New Roman" w:hAnsi="Times New Roman"/>
          <w:bCs/>
        </w:rPr>
        <w:t>n</w:t>
      </w:r>
      <w:r w:rsidR="007F2242">
        <w:rPr>
          <w:rFonts w:ascii="Times New Roman" w:hAnsi="Times New Roman"/>
          <w:bCs/>
        </w:rPr>
        <w:t xml:space="preserve"> necesariamente la intervención de la acusación y del imputado junto con su defensor. Si bien esta instancia estaba regulada originariamente como una etapa escrita y actuada, es decir, volcada en actas, las últimas reformas introducidas que </w:t>
      </w:r>
      <w:r w:rsidR="007F2242">
        <w:rPr>
          <w:rFonts w:ascii="Times New Roman" w:hAnsi="Times New Roman"/>
          <w:bCs/>
        </w:rPr>
        <w:lastRenderedPageBreak/>
        <w:t>tienden hacia un sistema adversarial han limitado la escritura debiendo desarrollarse gran parte de la actividad procesal de manera oral</w:t>
      </w:r>
      <w:r w:rsidR="007F2242">
        <w:rPr>
          <w:rStyle w:val="Refdenotaalpie"/>
          <w:rFonts w:ascii="Times New Roman" w:hAnsi="Times New Roman"/>
          <w:bCs/>
        </w:rPr>
        <w:footnoteReference w:id="3"/>
      </w:r>
      <w:r w:rsidR="007F2242">
        <w:rPr>
          <w:rFonts w:ascii="Times New Roman" w:hAnsi="Times New Roman"/>
          <w:bCs/>
        </w:rPr>
        <w:t>.</w:t>
      </w:r>
    </w:p>
    <w:p w:rsidR="00632781" w:rsidRDefault="007F2242" w:rsidP="00632781">
      <w:pPr>
        <w:pStyle w:val="Listavistosa-nfasis11"/>
        <w:spacing w:line="360" w:lineRule="auto"/>
        <w:ind w:left="0" w:firstLine="360"/>
        <w:jc w:val="both"/>
        <w:rPr>
          <w:rFonts w:ascii="Times New Roman" w:hAnsi="Times New Roman"/>
          <w:bCs/>
        </w:rPr>
      </w:pPr>
      <w:r>
        <w:rPr>
          <w:rFonts w:ascii="Times New Roman" w:hAnsi="Times New Roman"/>
          <w:bCs/>
        </w:rPr>
        <w:t>En la etapa del juicio propiamente dicho, como des</w:t>
      </w:r>
      <w:r w:rsidR="003D18BF">
        <w:rPr>
          <w:rFonts w:ascii="Times New Roman" w:hAnsi="Times New Roman"/>
          <w:bCs/>
        </w:rPr>
        <w:t>arrollaré</w:t>
      </w:r>
      <w:r>
        <w:rPr>
          <w:rFonts w:ascii="Times New Roman" w:hAnsi="Times New Roman"/>
          <w:bCs/>
        </w:rPr>
        <w:t xml:space="preserve"> </w:t>
      </w:r>
      <w:r>
        <w:rPr>
          <w:rFonts w:ascii="Times New Roman" w:hAnsi="Times New Roman"/>
          <w:bCs/>
          <w:i/>
          <w:iCs/>
        </w:rPr>
        <w:t>infra,</w:t>
      </w:r>
      <w:r>
        <w:rPr>
          <w:rFonts w:ascii="Times New Roman" w:hAnsi="Times New Roman"/>
          <w:bCs/>
        </w:rPr>
        <w:t xml:space="preserve"> toda la actividad se de</w:t>
      </w:r>
      <w:r w:rsidR="003D18BF">
        <w:rPr>
          <w:rFonts w:ascii="Times New Roman" w:hAnsi="Times New Roman"/>
          <w:bCs/>
        </w:rPr>
        <w:t>senvuelve</w:t>
      </w:r>
      <w:r>
        <w:rPr>
          <w:rFonts w:ascii="Times New Roman" w:hAnsi="Times New Roman"/>
          <w:bCs/>
        </w:rPr>
        <w:t xml:space="preserve"> de manera oral, en forma pública, garantizando la inmediación y el contradictorio. De esta forma, la audiencia debe realizarse con la presencia de todas las partes intervinientes </w:t>
      </w:r>
      <w:r w:rsidR="00632781">
        <w:rPr>
          <w:rFonts w:ascii="Times New Roman" w:hAnsi="Times New Roman"/>
          <w:bCs/>
        </w:rPr>
        <w:t>frente al Tribunal a fin de producir la prueba ofrecida oportunamente para, en base a dicha prueba, resolver en definitiva sobre la responsabilidad penal de la persona sometida a proceso. En otras palabras, es en esta fase donde todos los sujetos procesales deben interactuar conjuntamente no s</w:t>
      </w:r>
      <w:r w:rsidR="003D18BF">
        <w:rPr>
          <w:rFonts w:ascii="Times New Roman" w:hAnsi="Times New Roman"/>
          <w:bCs/>
        </w:rPr>
        <w:t>ó</w:t>
      </w:r>
      <w:r w:rsidR="00632781">
        <w:rPr>
          <w:rFonts w:ascii="Times New Roman" w:hAnsi="Times New Roman"/>
          <w:bCs/>
        </w:rPr>
        <w:t>lo aportando los elementos probatorios que benefician su posición sino también controlando lo realizado por la contraria. Es la instancia en donde cada parte, frente al Tribunal, puede exponer con claridad su pretensión penal y, eventualmente civil</w:t>
      </w:r>
      <w:r w:rsidR="003D18BF">
        <w:rPr>
          <w:rFonts w:ascii="Times New Roman" w:hAnsi="Times New Roman"/>
          <w:bCs/>
        </w:rPr>
        <w:t>,</w:t>
      </w:r>
      <w:r w:rsidR="00632781">
        <w:rPr>
          <w:rFonts w:ascii="Times New Roman" w:hAnsi="Times New Roman"/>
          <w:bCs/>
        </w:rPr>
        <w:t xml:space="preserve"> a fin de obtener una resolución favorable a sus intereses.</w:t>
      </w:r>
    </w:p>
    <w:p w:rsidR="00632781" w:rsidRDefault="00632781" w:rsidP="00632781">
      <w:pPr>
        <w:pStyle w:val="Listavistosa-nfasis11"/>
        <w:spacing w:line="360" w:lineRule="auto"/>
        <w:ind w:left="0" w:firstLine="360"/>
        <w:jc w:val="both"/>
        <w:rPr>
          <w:rFonts w:ascii="Times New Roman" w:hAnsi="Times New Roman"/>
          <w:bCs/>
        </w:rPr>
      </w:pPr>
      <w:r>
        <w:rPr>
          <w:rFonts w:ascii="Times New Roman" w:hAnsi="Times New Roman"/>
          <w:bCs/>
        </w:rPr>
        <w:t>Como puede advertirse, la primera fase es preparatoria de la segunda en tanto la acusación pueda reunir suficientes de elementos de prueba que permitan durante el juicio determinar la responsabilidad penal del imputado. Si ello no es así, el proceso culminará anticipadamente durante la investigación penal.</w:t>
      </w:r>
    </w:p>
    <w:p w:rsidR="00632781" w:rsidRDefault="00632781" w:rsidP="00632781">
      <w:pPr>
        <w:pStyle w:val="Listavistosa-nfasis11"/>
        <w:spacing w:line="360" w:lineRule="auto"/>
        <w:ind w:left="0" w:firstLine="360"/>
        <w:jc w:val="both"/>
        <w:rPr>
          <w:rFonts w:ascii="Times New Roman" w:hAnsi="Times New Roman"/>
          <w:bCs/>
        </w:rPr>
      </w:pPr>
    </w:p>
    <w:p w:rsidR="0086300D" w:rsidRDefault="00632781" w:rsidP="00632781">
      <w:pPr>
        <w:pStyle w:val="Listavistosa-nfasis11"/>
        <w:spacing w:line="360" w:lineRule="auto"/>
        <w:ind w:left="0" w:firstLine="360"/>
        <w:jc w:val="both"/>
        <w:rPr>
          <w:rFonts w:ascii="Times New Roman" w:hAnsi="Times New Roman"/>
          <w:bCs/>
        </w:rPr>
      </w:pPr>
      <w:r>
        <w:rPr>
          <w:rFonts w:ascii="Times New Roman" w:hAnsi="Times New Roman"/>
          <w:bCs/>
        </w:rPr>
        <w:t>2. DISPOSICIONES NORMATIVAS</w:t>
      </w:r>
    </w:p>
    <w:p w:rsidR="00632781" w:rsidRDefault="00632781" w:rsidP="00632781">
      <w:pPr>
        <w:pStyle w:val="Listavistosa-nfasis11"/>
        <w:spacing w:line="360" w:lineRule="auto"/>
        <w:ind w:left="0" w:firstLine="360"/>
        <w:jc w:val="both"/>
        <w:rPr>
          <w:rFonts w:ascii="Times New Roman" w:hAnsi="Times New Roman"/>
          <w:bCs/>
        </w:rPr>
      </w:pPr>
      <w:r>
        <w:rPr>
          <w:rFonts w:ascii="Times New Roman" w:hAnsi="Times New Roman"/>
          <w:bCs/>
        </w:rPr>
        <w:t>Las distintas legislaciones procesales del país, en mayor o menor medida, han ido incorporando en sus digestos la utilización de las diversas tecnologías en el proceso penal. Como es sabido, al ser Argentina un país federal, cada provincia dicta para sí sus propios Códigos procesales por lo que resulta imposible abarcarlos a todos</w:t>
      </w:r>
      <w:r>
        <w:rPr>
          <w:rStyle w:val="Refdenotaalpie"/>
          <w:rFonts w:ascii="Times New Roman" w:hAnsi="Times New Roman"/>
          <w:bCs/>
        </w:rPr>
        <w:footnoteReference w:id="4"/>
      </w:r>
      <w:r>
        <w:rPr>
          <w:rFonts w:ascii="Times New Roman" w:hAnsi="Times New Roman"/>
          <w:bCs/>
        </w:rPr>
        <w:t xml:space="preserve">, es por ello </w:t>
      </w:r>
      <w:r w:rsidR="003D18BF">
        <w:rPr>
          <w:rFonts w:ascii="Times New Roman" w:hAnsi="Times New Roman"/>
          <w:bCs/>
        </w:rPr>
        <w:t>por lo que</w:t>
      </w:r>
      <w:r>
        <w:rPr>
          <w:rFonts w:ascii="Times New Roman" w:hAnsi="Times New Roman"/>
          <w:bCs/>
        </w:rPr>
        <w:t xml:space="preserve"> voy a tratar las reformas introducidas en la Provincia de Mendoza y en el Código Procesal Penal Federal aun cuando éste último todavía no rige en todo el país sino s</w:t>
      </w:r>
      <w:r w:rsidR="003D18BF">
        <w:rPr>
          <w:rFonts w:ascii="Times New Roman" w:hAnsi="Times New Roman"/>
          <w:bCs/>
        </w:rPr>
        <w:t>ó</w:t>
      </w:r>
      <w:r>
        <w:rPr>
          <w:rFonts w:ascii="Times New Roman" w:hAnsi="Times New Roman"/>
          <w:bCs/>
        </w:rPr>
        <w:t>lo en las provincias de Salta y Mendoza</w:t>
      </w:r>
      <w:r w:rsidR="003D18BF">
        <w:rPr>
          <w:rFonts w:ascii="Times New Roman" w:hAnsi="Times New Roman"/>
          <w:bCs/>
        </w:rPr>
        <w:t>, como ya señalé.</w:t>
      </w:r>
      <w:r>
        <w:rPr>
          <w:rFonts w:ascii="Times New Roman" w:hAnsi="Times New Roman"/>
          <w:bCs/>
        </w:rPr>
        <w:t xml:space="preserve"> </w:t>
      </w:r>
    </w:p>
    <w:p w:rsidR="007B1241" w:rsidRDefault="00632781" w:rsidP="00797B92">
      <w:pPr>
        <w:pStyle w:val="Listavistosa-nfasis11"/>
        <w:spacing w:line="360" w:lineRule="auto"/>
        <w:ind w:left="0" w:firstLine="360"/>
        <w:jc w:val="both"/>
        <w:rPr>
          <w:rFonts w:ascii="Times New Roman" w:hAnsi="Times New Roman"/>
          <w:bCs/>
        </w:rPr>
      </w:pPr>
      <w:r>
        <w:rPr>
          <w:rFonts w:ascii="Times New Roman" w:hAnsi="Times New Roman"/>
          <w:bCs/>
        </w:rPr>
        <w:t xml:space="preserve">En la legislación procesal mendocina, las modificaciones introducidas </w:t>
      </w:r>
      <w:r w:rsidR="00625753">
        <w:rPr>
          <w:rFonts w:ascii="Times New Roman" w:hAnsi="Times New Roman"/>
          <w:bCs/>
        </w:rPr>
        <w:t>en</w:t>
      </w:r>
      <w:r>
        <w:rPr>
          <w:rFonts w:ascii="Times New Roman" w:hAnsi="Times New Roman"/>
          <w:bCs/>
        </w:rPr>
        <w:t xml:space="preserve"> el año 201</w:t>
      </w:r>
      <w:r w:rsidR="00797B92">
        <w:rPr>
          <w:rFonts w:ascii="Times New Roman" w:hAnsi="Times New Roman"/>
          <w:bCs/>
        </w:rPr>
        <w:t>6</w:t>
      </w:r>
      <w:r w:rsidR="00B55B04">
        <w:rPr>
          <w:rFonts w:ascii="Times New Roman" w:hAnsi="Times New Roman"/>
          <w:bCs/>
        </w:rPr>
        <w:t xml:space="preserve"> </w:t>
      </w:r>
      <w:r w:rsidR="00797B92">
        <w:rPr>
          <w:rFonts w:ascii="Times New Roman" w:hAnsi="Times New Roman"/>
          <w:bCs/>
        </w:rPr>
        <w:t>mediante la Ley n</w:t>
      </w:r>
      <w:r w:rsidR="00797B92">
        <w:rPr>
          <w:rFonts w:ascii="Times New Roman" w:hAnsi="Times New Roman"/>
          <w:bCs/>
        </w:rPr>
        <w:sym w:font="Symbol" w:char="F0B0"/>
      </w:r>
      <w:r w:rsidR="00797B92">
        <w:rPr>
          <w:rFonts w:ascii="Times New Roman" w:hAnsi="Times New Roman"/>
          <w:bCs/>
        </w:rPr>
        <w:t xml:space="preserve"> 8.896 tuvieron por finalidad implementar el uso de las nuevas </w:t>
      </w:r>
      <w:r w:rsidR="00797B92">
        <w:rPr>
          <w:rFonts w:ascii="Times New Roman" w:hAnsi="Times New Roman"/>
          <w:bCs/>
        </w:rPr>
        <w:lastRenderedPageBreak/>
        <w:t>tecnologías en el proceso penal</w:t>
      </w:r>
      <w:r w:rsidR="00AB3C19">
        <w:rPr>
          <w:rStyle w:val="Refdenotaalpie"/>
          <w:rFonts w:ascii="Times New Roman" w:hAnsi="Times New Roman"/>
          <w:bCs/>
        </w:rPr>
        <w:footnoteReference w:id="5"/>
      </w:r>
      <w:r w:rsidR="00797B92">
        <w:rPr>
          <w:rFonts w:ascii="Times New Roman" w:hAnsi="Times New Roman"/>
          <w:bCs/>
        </w:rPr>
        <w:t xml:space="preserve">. </w:t>
      </w:r>
      <w:r w:rsidR="00625753">
        <w:rPr>
          <w:rFonts w:ascii="Times New Roman" w:hAnsi="Times New Roman"/>
          <w:bCs/>
        </w:rPr>
        <w:t>Así el núcleo de la reforma estuvo en la implementación de las audiencias orales para la resolución de toda actividad procesal durante la investigación penal preparatoria que no t</w:t>
      </w:r>
      <w:r w:rsidR="00A34309">
        <w:rPr>
          <w:rFonts w:ascii="Times New Roman" w:hAnsi="Times New Roman"/>
          <w:bCs/>
        </w:rPr>
        <w:t>uviera</w:t>
      </w:r>
      <w:r w:rsidR="00625753">
        <w:rPr>
          <w:rFonts w:ascii="Times New Roman" w:hAnsi="Times New Roman"/>
          <w:bCs/>
        </w:rPr>
        <w:t xml:space="preserve"> previsto un procedimiento especial. </w:t>
      </w:r>
      <w:r w:rsidR="00DD5AAE">
        <w:rPr>
          <w:rFonts w:ascii="Times New Roman" w:hAnsi="Times New Roman"/>
          <w:bCs/>
        </w:rPr>
        <w:t xml:space="preserve">La implementación de </w:t>
      </w:r>
      <w:r w:rsidR="008C4DD1">
        <w:rPr>
          <w:rFonts w:ascii="Times New Roman" w:hAnsi="Times New Roman"/>
          <w:bCs/>
        </w:rPr>
        <w:t>esta metodología</w:t>
      </w:r>
      <w:r w:rsidR="00DD5AAE">
        <w:rPr>
          <w:rFonts w:ascii="Times New Roman" w:hAnsi="Times New Roman"/>
          <w:bCs/>
        </w:rPr>
        <w:t xml:space="preserve"> generó varios cambios porque el Juez </w:t>
      </w:r>
      <w:r w:rsidR="008C4DD1">
        <w:rPr>
          <w:rFonts w:ascii="Times New Roman" w:hAnsi="Times New Roman"/>
          <w:bCs/>
        </w:rPr>
        <w:t xml:space="preserve">dejó de dictar sus resoluciones de manera escrita debiendo hacerlo en forma oral, una vez finalizada la audiencia. </w:t>
      </w:r>
    </w:p>
    <w:p w:rsidR="00A34309" w:rsidRDefault="008C4DD1" w:rsidP="00797B92">
      <w:pPr>
        <w:pStyle w:val="Listavistosa-nfasis11"/>
        <w:spacing w:line="360" w:lineRule="auto"/>
        <w:ind w:left="0" w:firstLine="360"/>
        <w:jc w:val="both"/>
        <w:rPr>
          <w:rFonts w:ascii="Times New Roman" w:hAnsi="Times New Roman"/>
          <w:bCs/>
        </w:rPr>
      </w:pPr>
      <w:r>
        <w:rPr>
          <w:rFonts w:ascii="Times New Roman" w:hAnsi="Times New Roman"/>
          <w:bCs/>
        </w:rPr>
        <w:t xml:space="preserve">Como consecuencia de ello, se modificó igualmente la forma de registración </w:t>
      </w:r>
      <w:r w:rsidR="00AB3C19">
        <w:rPr>
          <w:rFonts w:ascii="Times New Roman" w:hAnsi="Times New Roman"/>
          <w:bCs/>
        </w:rPr>
        <w:t xml:space="preserve">pues al reemplazarse la escritura </w:t>
      </w:r>
      <w:r w:rsidR="007B1241">
        <w:rPr>
          <w:rFonts w:ascii="Times New Roman" w:hAnsi="Times New Roman"/>
          <w:bCs/>
        </w:rPr>
        <w:t xml:space="preserve">por la oralidad </w:t>
      </w:r>
      <w:r w:rsidR="00AB3C19">
        <w:rPr>
          <w:rFonts w:ascii="Times New Roman" w:hAnsi="Times New Roman"/>
          <w:bCs/>
        </w:rPr>
        <w:t xml:space="preserve">fue necesario implementar un sistema que permitiera </w:t>
      </w:r>
      <w:r w:rsidR="007B1241">
        <w:rPr>
          <w:rFonts w:ascii="Times New Roman" w:hAnsi="Times New Roman"/>
          <w:bCs/>
        </w:rPr>
        <w:t xml:space="preserve">resguardar las resoluciones adoptadas en audiencia. </w:t>
      </w:r>
      <w:r w:rsidR="003D18BF">
        <w:rPr>
          <w:rFonts w:ascii="Times New Roman" w:hAnsi="Times New Roman"/>
          <w:bCs/>
        </w:rPr>
        <w:t xml:space="preserve">De esta manera, </w:t>
      </w:r>
      <w:r w:rsidR="007B1241">
        <w:rPr>
          <w:rFonts w:ascii="Times New Roman" w:hAnsi="Times New Roman"/>
          <w:bCs/>
        </w:rPr>
        <w:t xml:space="preserve">se estableció que los fundamentos </w:t>
      </w:r>
      <w:r w:rsidR="003D18BF">
        <w:rPr>
          <w:rFonts w:ascii="Times New Roman" w:hAnsi="Times New Roman"/>
          <w:bCs/>
        </w:rPr>
        <w:t xml:space="preserve">de éstas </w:t>
      </w:r>
      <w:r w:rsidR="007B1241">
        <w:rPr>
          <w:rFonts w:ascii="Times New Roman" w:hAnsi="Times New Roman"/>
          <w:bCs/>
        </w:rPr>
        <w:t>iban a constar en registros de audios que debían incorporarse al protocolo y</w:t>
      </w:r>
      <w:r w:rsidR="003D18BF">
        <w:rPr>
          <w:rFonts w:ascii="Times New Roman" w:hAnsi="Times New Roman"/>
          <w:bCs/>
        </w:rPr>
        <w:t>,</w:t>
      </w:r>
      <w:r w:rsidR="007B1241">
        <w:rPr>
          <w:rFonts w:ascii="Times New Roman" w:hAnsi="Times New Roman"/>
          <w:bCs/>
        </w:rPr>
        <w:t xml:space="preserve"> respecto de tales protocolos</w:t>
      </w:r>
      <w:r w:rsidR="003D18BF">
        <w:rPr>
          <w:rFonts w:ascii="Times New Roman" w:hAnsi="Times New Roman"/>
          <w:bCs/>
        </w:rPr>
        <w:t>,</w:t>
      </w:r>
      <w:r w:rsidR="007B1241">
        <w:rPr>
          <w:rFonts w:ascii="Times New Roman" w:hAnsi="Times New Roman"/>
          <w:bCs/>
        </w:rPr>
        <w:t xml:space="preserve"> se estableció la firma digital o electrónica. Mediante reformas posteriores, concretamente </w:t>
      </w:r>
      <w:r w:rsidR="003D18BF">
        <w:rPr>
          <w:rFonts w:ascii="Times New Roman" w:hAnsi="Times New Roman"/>
          <w:bCs/>
        </w:rPr>
        <w:t>con</w:t>
      </w:r>
      <w:r w:rsidR="007B1241">
        <w:rPr>
          <w:rFonts w:ascii="Times New Roman" w:hAnsi="Times New Roman"/>
          <w:bCs/>
        </w:rPr>
        <w:t xml:space="preserve"> Ley n</w:t>
      </w:r>
      <w:r w:rsidR="007B1241">
        <w:rPr>
          <w:rFonts w:ascii="Times New Roman" w:hAnsi="Times New Roman"/>
          <w:bCs/>
        </w:rPr>
        <w:sym w:font="Symbol" w:char="F0B0"/>
      </w:r>
      <w:r w:rsidR="007B1241">
        <w:rPr>
          <w:rFonts w:ascii="Times New Roman" w:hAnsi="Times New Roman"/>
          <w:bCs/>
        </w:rPr>
        <w:t xml:space="preserve"> 9.040 del año </w:t>
      </w:r>
      <w:r w:rsidR="00AB3EDA">
        <w:rPr>
          <w:rFonts w:ascii="Times New Roman" w:hAnsi="Times New Roman"/>
          <w:bCs/>
        </w:rPr>
        <w:t xml:space="preserve">2017, </w:t>
      </w:r>
      <w:r w:rsidR="00A34309">
        <w:rPr>
          <w:rFonts w:ascii="Times New Roman" w:hAnsi="Times New Roman"/>
          <w:bCs/>
        </w:rPr>
        <w:t>se estableció el sistema de videograbación de todas las audiencias orales como prueba suficiente de su realización y certeza de lo ocurrido en las mismas, quedando la registración en actas como una metodología excepcional.</w:t>
      </w:r>
    </w:p>
    <w:p w:rsidR="00040A4B" w:rsidRPr="00040A4B" w:rsidRDefault="00720337" w:rsidP="00797B92">
      <w:pPr>
        <w:pStyle w:val="Listavistosa-nfasis11"/>
        <w:spacing w:line="360" w:lineRule="auto"/>
        <w:ind w:left="0" w:firstLine="360"/>
        <w:jc w:val="both"/>
        <w:rPr>
          <w:rFonts w:ascii="Times New Roman" w:hAnsi="Times New Roman"/>
          <w:bCs/>
          <w:i/>
          <w:iCs/>
        </w:rPr>
      </w:pPr>
      <w:r>
        <w:rPr>
          <w:rFonts w:ascii="Times New Roman" w:hAnsi="Times New Roman"/>
          <w:bCs/>
        </w:rPr>
        <w:t>Asimismo</w:t>
      </w:r>
      <w:r w:rsidR="003D18BF">
        <w:rPr>
          <w:rFonts w:ascii="Times New Roman" w:hAnsi="Times New Roman"/>
          <w:bCs/>
        </w:rPr>
        <w:t>,</w:t>
      </w:r>
      <w:r>
        <w:rPr>
          <w:rFonts w:ascii="Times New Roman" w:hAnsi="Times New Roman"/>
          <w:bCs/>
        </w:rPr>
        <w:t xml:space="preserve"> </w:t>
      </w:r>
      <w:r w:rsidR="00040A4B">
        <w:rPr>
          <w:rFonts w:ascii="Times New Roman" w:hAnsi="Times New Roman"/>
          <w:bCs/>
        </w:rPr>
        <w:t>en el año 2016</w:t>
      </w:r>
      <w:r w:rsidR="003D18BF">
        <w:rPr>
          <w:rFonts w:ascii="Times New Roman" w:hAnsi="Times New Roman"/>
          <w:bCs/>
        </w:rPr>
        <w:t>,</w:t>
      </w:r>
      <w:r w:rsidR="00040A4B">
        <w:rPr>
          <w:rFonts w:ascii="Times New Roman" w:hAnsi="Times New Roman"/>
          <w:bCs/>
        </w:rPr>
        <w:t xml:space="preserve"> se estableció la notificación a las partes del proceso mediante formas electrónicas, telefónicas o por otros medios equivalentes como mensajería instantánea de </w:t>
      </w:r>
      <w:r w:rsidR="00040A4B">
        <w:rPr>
          <w:rFonts w:ascii="Times New Roman" w:hAnsi="Times New Roman"/>
          <w:bCs/>
          <w:i/>
          <w:iCs/>
        </w:rPr>
        <w:t>whatsapp</w:t>
      </w:r>
      <w:r w:rsidR="00040A4B">
        <w:rPr>
          <w:rFonts w:ascii="Times New Roman" w:hAnsi="Times New Roman"/>
          <w:bCs/>
        </w:rPr>
        <w:t xml:space="preserve">, pudiendo utilizarse también casillas de correos oficiales o un sistema informático de almacenamiento de documentos. Como afirma Pina González </w:t>
      </w:r>
      <w:r w:rsidR="00040A4B">
        <w:rPr>
          <w:rFonts w:ascii="Times New Roman" w:hAnsi="Times New Roman"/>
          <w:bCs/>
          <w:i/>
          <w:iCs/>
        </w:rPr>
        <w:t>[d]e esta manera quedaron superadas las costosas, engorrosas y burocráticas formas de notificación “con traslado del expediente” y “por cédula en papel”, que eran las regla en las Leyes N</w:t>
      </w:r>
      <w:r w:rsidR="00040A4B">
        <w:rPr>
          <w:rFonts w:ascii="Times New Roman" w:hAnsi="Times New Roman"/>
          <w:bCs/>
          <w:i/>
          <w:iCs/>
        </w:rPr>
        <w:sym w:font="Symbol" w:char="F0B0"/>
      </w:r>
      <w:r w:rsidR="00040A4B">
        <w:rPr>
          <w:rFonts w:ascii="Times New Roman" w:hAnsi="Times New Roman"/>
          <w:bCs/>
          <w:i/>
          <w:iCs/>
        </w:rPr>
        <w:t xml:space="preserve"> 1.908 y 6.730</w:t>
      </w:r>
      <w:r w:rsidR="00040A4B">
        <w:rPr>
          <w:rStyle w:val="Refdenotaalpie"/>
          <w:rFonts w:ascii="Times New Roman" w:hAnsi="Times New Roman"/>
          <w:bCs/>
          <w:i/>
          <w:iCs/>
        </w:rPr>
        <w:footnoteReference w:id="6"/>
      </w:r>
      <w:r w:rsidR="00040A4B">
        <w:rPr>
          <w:rFonts w:ascii="Times New Roman" w:hAnsi="Times New Roman"/>
          <w:bCs/>
          <w:i/>
          <w:iCs/>
        </w:rPr>
        <w:t>.</w:t>
      </w:r>
    </w:p>
    <w:p w:rsidR="003D18BF" w:rsidRDefault="00040A4B" w:rsidP="003D18BF">
      <w:pPr>
        <w:pStyle w:val="Listavistosa-nfasis11"/>
        <w:spacing w:line="360" w:lineRule="auto"/>
        <w:ind w:left="0" w:firstLine="360"/>
        <w:jc w:val="both"/>
        <w:rPr>
          <w:rFonts w:ascii="Times New Roman" w:hAnsi="Times New Roman"/>
          <w:bCs/>
        </w:rPr>
      </w:pPr>
      <w:r>
        <w:rPr>
          <w:rFonts w:ascii="Times New Roman" w:hAnsi="Times New Roman"/>
          <w:bCs/>
        </w:rPr>
        <w:t xml:space="preserve">Todas estas modificaciones </w:t>
      </w:r>
      <w:r w:rsidR="00E34E27">
        <w:rPr>
          <w:rFonts w:ascii="Times New Roman" w:hAnsi="Times New Roman"/>
          <w:bCs/>
        </w:rPr>
        <w:t xml:space="preserve">tuvieron como finalidad la implementación de nuevas tecnologías para mejorar y hacer más eficaz el sistema procesal. De allí la </w:t>
      </w:r>
      <w:r w:rsidR="00E55222">
        <w:rPr>
          <w:rFonts w:ascii="Times New Roman" w:hAnsi="Times New Roman"/>
          <w:bCs/>
        </w:rPr>
        <w:t>razón de agilizar el sistema de notificaciones y reemplazar la oralidad por la escritura aun cuando</w:t>
      </w:r>
      <w:r w:rsidR="003D18BF">
        <w:rPr>
          <w:rFonts w:ascii="Times New Roman" w:hAnsi="Times New Roman"/>
          <w:bCs/>
        </w:rPr>
        <w:t>,</w:t>
      </w:r>
      <w:r w:rsidR="00E55222">
        <w:rPr>
          <w:rFonts w:ascii="Times New Roman" w:hAnsi="Times New Roman"/>
          <w:bCs/>
        </w:rPr>
        <w:t xml:space="preserve"> de esto último</w:t>
      </w:r>
      <w:r w:rsidR="003D18BF">
        <w:rPr>
          <w:rFonts w:ascii="Times New Roman" w:hAnsi="Times New Roman"/>
          <w:bCs/>
        </w:rPr>
        <w:t>,</w:t>
      </w:r>
      <w:r w:rsidR="00E55222">
        <w:rPr>
          <w:rFonts w:ascii="Times New Roman" w:hAnsi="Times New Roman"/>
          <w:bCs/>
        </w:rPr>
        <w:t xml:space="preserve"> debo decir que no siempre redunda en una mayor celeridad. Pero lo cierto es que las sucesivas reformas hicieron hincapié en incorporar nuevas herramientas digitales en beneficio del proceso. En consonancia con ello, mediante Acordadas de la Suprema Corte de Justicia de la Provincia se dispuso la recepción de pedidos digitales de algunas audiencias por parte del Ministerio Público Fiscal</w:t>
      </w:r>
      <w:r w:rsidR="00E55222">
        <w:rPr>
          <w:rStyle w:val="Refdenotaalpie"/>
          <w:rFonts w:ascii="Times New Roman" w:hAnsi="Times New Roman"/>
          <w:bCs/>
        </w:rPr>
        <w:footnoteReference w:id="7"/>
      </w:r>
      <w:r w:rsidR="00F26827">
        <w:rPr>
          <w:rFonts w:ascii="Times New Roman" w:hAnsi="Times New Roman"/>
          <w:bCs/>
        </w:rPr>
        <w:t xml:space="preserve">. </w:t>
      </w:r>
    </w:p>
    <w:p w:rsidR="00F26827" w:rsidRPr="009C34A6" w:rsidRDefault="00F26827" w:rsidP="003D18BF">
      <w:pPr>
        <w:pStyle w:val="Listavistosa-nfasis11"/>
        <w:spacing w:line="360" w:lineRule="auto"/>
        <w:ind w:left="0" w:firstLine="360"/>
        <w:jc w:val="both"/>
        <w:rPr>
          <w:rFonts w:ascii="Times New Roman" w:hAnsi="Times New Roman"/>
          <w:bCs/>
        </w:rPr>
      </w:pPr>
      <w:r>
        <w:rPr>
          <w:rFonts w:ascii="Times New Roman" w:hAnsi="Times New Roman"/>
          <w:bCs/>
        </w:rPr>
        <w:lastRenderedPageBreak/>
        <w:t xml:space="preserve">Con la llegada de la </w:t>
      </w:r>
      <w:r w:rsidR="00E55222">
        <w:rPr>
          <w:rFonts w:ascii="Times New Roman" w:hAnsi="Times New Roman"/>
          <w:bCs/>
        </w:rPr>
        <w:t xml:space="preserve">emergencia sanitaria </w:t>
      </w:r>
      <w:r>
        <w:rPr>
          <w:rFonts w:ascii="Times New Roman" w:hAnsi="Times New Roman"/>
          <w:bCs/>
        </w:rPr>
        <w:t>y ante la imposibilidad de suspender el servicio de Justicia se amplió la utilización del formato digital pues no s</w:t>
      </w:r>
      <w:r w:rsidR="003D18BF">
        <w:rPr>
          <w:rFonts w:ascii="Times New Roman" w:hAnsi="Times New Roman"/>
          <w:bCs/>
        </w:rPr>
        <w:t>ó</w:t>
      </w:r>
      <w:r>
        <w:rPr>
          <w:rFonts w:ascii="Times New Roman" w:hAnsi="Times New Roman"/>
          <w:bCs/>
        </w:rPr>
        <w:t xml:space="preserve">lo el Ministerio Público Fiscal debía presentar sus requerimientos de manera electrónica sino que dicha obligación se impuso a todas las partes intervinientes en el proceso. De igual manera, las causas en los Tribunales </w:t>
      </w:r>
      <w:r w:rsidR="003D18BF">
        <w:rPr>
          <w:rFonts w:ascii="Times New Roman" w:hAnsi="Times New Roman"/>
          <w:bCs/>
        </w:rPr>
        <w:t>únicamente</w:t>
      </w:r>
      <w:r>
        <w:rPr>
          <w:rFonts w:ascii="Times New Roman" w:hAnsi="Times New Roman"/>
          <w:bCs/>
        </w:rPr>
        <w:t xml:space="preserve"> podían ser recepcionadas en formato digital.</w:t>
      </w:r>
      <w:r w:rsidR="009C34A6">
        <w:rPr>
          <w:rFonts w:ascii="Times New Roman" w:hAnsi="Times New Roman"/>
          <w:bCs/>
        </w:rPr>
        <w:t xml:space="preserve"> A ello debe agregarse que el desarrollo de </w:t>
      </w:r>
      <w:r w:rsidR="00D622CF">
        <w:rPr>
          <w:rFonts w:ascii="Times New Roman" w:hAnsi="Times New Roman"/>
          <w:bCs/>
        </w:rPr>
        <w:t>todas las audiencias</w:t>
      </w:r>
      <w:r w:rsidR="009C34A6">
        <w:rPr>
          <w:rFonts w:ascii="Times New Roman" w:hAnsi="Times New Roman"/>
          <w:bCs/>
        </w:rPr>
        <w:t xml:space="preserve"> tanto durante la investigación penal como en la instancia del juicio oral se llevaron a cabo de forma virtual a través de distintas plataformas digitales como </w:t>
      </w:r>
      <w:r w:rsidR="009C34A6">
        <w:rPr>
          <w:rFonts w:ascii="Times New Roman" w:hAnsi="Times New Roman"/>
          <w:bCs/>
          <w:i/>
          <w:iCs/>
        </w:rPr>
        <w:t xml:space="preserve">zoom, Google meet, teams, Skype, </w:t>
      </w:r>
      <w:r w:rsidR="009C34A6">
        <w:rPr>
          <w:rFonts w:ascii="Times New Roman" w:hAnsi="Times New Roman"/>
          <w:bCs/>
        </w:rPr>
        <w:t xml:space="preserve">entre otras. </w:t>
      </w:r>
    </w:p>
    <w:p w:rsidR="00797B92" w:rsidRDefault="00F26827" w:rsidP="00E55222">
      <w:pPr>
        <w:pStyle w:val="Listavistosa-nfasis11"/>
        <w:spacing w:line="360" w:lineRule="auto"/>
        <w:ind w:left="0" w:firstLine="360"/>
        <w:jc w:val="both"/>
        <w:rPr>
          <w:rFonts w:ascii="Times New Roman" w:hAnsi="Times New Roman"/>
          <w:bCs/>
        </w:rPr>
      </w:pPr>
      <w:r>
        <w:rPr>
          <w:rFonts w:ascii="Times New Roman" w:hAnsi="Times New Roman"/>
          <w:bCs/>
        </w:rPr>
        <w:t xml:space="preserve">De esta </w:t>
      </w:r>
      <w:r w:rsidR="003D18BF">
        <w:rPr>
          <w:rFonts w:ascii="Times New Roman" w:hAnsi="Times New Roman"/>
          <w:bCs/>
        </w:rPr>
        <w:t>forma</w:t>
      </w:r>
      <w:r>
        <w:rPr>
          <w:rFonts w:ascii="Times New Roman" w:hAnsi="Times New Roman"/>
          <w:bCs/>
        </w:rPr>
        <w:t xml:space="preserve">, si bien la situación de emergencia aceleró la utilización de herramientas digitales, lo cierto es que </w:t>
      </w:r>
      <w:r w:rsidR="00E154E6">
        <w:rPr>
          <w:rFonts w:ascii="Times New Roman" w:hAnsi="Times New Roman"/>
          <w:bCs/>
        </w:rPr>
        <w:t>había una intención clara de incorporarlas al proceso penal y las reformas legislativas daban buena cuenta de ello</w:t>
      </w:r>
      <w:r w:rsidR="00D445ED">
        <w:rPr>
          <w:rFonts w:ascii="Times New Roman" w:hAnsi="Times New Roman"/>
          <w:bCs/>
        </w:rPr>
        <w:t xml:space="preserve"> </w:t>
      </w:r>
      <w:r w:rsidR="003D18BF">
        <w:rPr>
          <w:rFonts w:ascii="Times New Roman" w:hAnsi="Times New Roman"/>
          <w:bCs/>
        </w:rPr>
        <w:t>pues</w:t>
      </w:r>
      <w:r w:rsidR="00D445ED">
        <w:rPr>
          <w:rFonts w:ascii="Times New Roman" w:hAnsi="Times New Roman"/>
          <w:bCs/>
        </w:rPr>
        <w:t xml:space="preserve"> estaban en consonancia con la política judicial implementada desde la Suprema Corte de Justicia de la Provincia. Y en este camino se llegó a la </w:t>
      </w:r>
      <w:r w:rsidR="00D01875">
        <w:rPr>
          <w:rFonts w:ascii="Times New Roman" w:hAnsi="Times New Roman"/>
          <w:bCs/>
        </w:rPr>
        <w:t xml:space="preserve">implementación del legajo digital </w:t>
      </w:r>
      <w:r w:rsidR="00CA58F2">
        <w:rPr>
          <w:rFonts w:ascii="Times New Roman" w:hAnsi="Times New Roman"/>
          <w:bCs/>
        </w:rPr>
        <w:t>que</w:t>
      </w:r>
      <w:r w:rsidR="00D445ED">
        <w:rPr>
          <w:rFonts w:ascii="Times New Roman" w:hAnsi="Times New Roman"/>
          <w:bCs/>
        </w:rPr>
        <w:t>,</w:t>
      </w:r>
      <w:r w:rsidR="00CA58F2">
        <w:rPr>
          <w:rFonts w:ascii="Times New Roman" w:hAnsi="Times New Roman"/>
          <w:bCs/>
        </w:rPr>
        <w:t xml:space="preserve"> en alguna medida</w:t>
      </w:r>
      <w:r w:rsidR="00D445ED">
        <w:rPr>
          <w:rFonts w:ascii="Times New Roman" w:hAnsi="Times New Roman"/>
          <w:bCs/>
        </w:rPr>
        <w:t>,</w:t>
      </w:r>
      <w:r w:rsidR="00CA58F2">
        <w:rPr>
          <w:rFonts w:ascii="Times New Roman" w:hAnsi="Times New Roman"/>
          <w:bCs/>
        </w:rPr>
        <w:t xml:space="preserve"> vino a sustituir el expediente papel aun cuando éste sigue su andadura durante la investigación penal preparatoria</w:t>
      </w:r>
      <w:r w:rsidR="00D445ED">
        <w:rPr>
          <w:rStyle w:val="Refdenotaalpie"/>
          <w:rFonts w:ascii="Times New Roman" w:hAnsi="Times New Roman"/>
          <w:bCs/>
        </w:rPr>
        <w:footnoteReference w:id="8"/>
      </w:r>
      <w:r w:rsidR="00CA58F2">
        <w:rPr>
          <w:rFonts w:ascii="Times New Roman" w:hAnsi="Times New Roman"/>
          <w:bCs/>
        </w:rPr>
        <w:t>.</w:t>
      </w:r>
      <w:r w:rsidR="00D445ED">
        <w:rPr>
          <w:rFonts w:ascii="Times New Roman" w:hAnsi="Times New Roman"/>
          <w:bCs/>
        </w:rPr>
        <w:t xml:space="preserve"> Y digo esto porque el legajo digital se inicia </w:t>
      </w:r>
      <w:r w:rsidR="003016CB">
        <w:rPr>
          <w:rFonts w:ascii="Times New Roman" w:hAnsi="Times New Roman"/>
          <w:bCs/>
        </w:rPr>
        <w:t>con los pedidos de audiencias y/o casos que ingresen a los Juzgados y Tribunales, manteniéndose la prohibición de recibir o tramitar causas en formato papel</w:t>
      </w:r>
      <w:r w:rsidR="009C7BCB">
        <w:rPr>
          <w:rFonts w:ascii="Times New Roman" w:hAnsi="Times New Roman"/>
          <w:bCs/>
        </w:rPr>
        <w:t xml:space="preserve"> pero continúa su utilización en el ámbito del Ministerio Público Fiscal.</w:t>
      </w:r>
    </w:p>
    <w:p w:rsidR="009C7BCB" w:rsidRDefault="009C7BCB" w:rsidP="00E55222">
      <w:pPr>
        <w:pStyle w:val="Listavistosa-nfasis11"/>
        <w:spacing w:line="360" w:lineRule="auto"/>
        <w:ind w:left="0" w:firstLine="360"/>
        <w:jc w:val="both"/>
        <w:rPr>
          <w:rFonts w:ascii="Times New Roman" w:hAnsi="Times New Roman"/>
          <w:bCs/>
        </w:rPr>
      </w:pPr>
      <w:r>
        <w:rPr>
          <w:rFonts w:ascii="Times New Roman" w:hAnsi="Times New Roman"/>
          <w:bCs/>
        </w:rPr>
        <w:t xml:space="preserve">Más allá de ello, resulta significativo lo plasmado en los considerandos de la Resolución que reglamentó el legajo digital pues allí se sostiene que </w:t>
      </w:r>
      <w:r>
        <w:rPr>
          <w:rFonts w:ascii="Times New Roman" w:hAnsi="Times New Roman"/>
          <w:bCs/>
          <w:i/>
          <w:iCs/>
        </w:rPr>
        <w:t>[…]durante la emergencia sanitaria el fuero penal ha continuado con su labor, utilizando e incorporando recursos tecnológicos (tanto sofware como hardware), lo que ha demostrado que la gestión de casos penales no requiere de la presencialidad física en todo acto, y menos aún del expediente en soporte papel, sino que con la adopción de medios telemáticos se puede mantener y mejorar la celeridad procesal lograda por la ley 9040 y seguir en el camino de la desburocratización.</w:t>
      </w:r>
    </w:p>
    <w:p w:rsidR="009C7BCB" w:rsidRPr="003950A3" w:rsidRDefault="009C7BCB" w:rsidP="00E55222">
      <w:pPr>
        <w:pStyle w:val="Listavistosa-nfasis11"/>
        <w:spacing w:line="360" w:lineRule="auto"/>
        <w:ind w:left="0" w:firstLine="360"/>
        <w:jc w:val="both"/>
        <w:rPr>
          <w:rFonts w:ascii="Times New Roman" w:hAnsi="Times New Roman"/>
          <w:bCs/>
        </w:rPr>
      </w:pPr>
      <w:r>
        <w:rPr>
          <w:rFonts w:ascii="Times New Roman" w:hAnsi="Times New Roman"/>
          <w:bCs/>
        </w:rPr>
        <w:t xml:space="preserve">Como puede advertirse, </w:t>
      </w:r>
      <w:r w:rsidR="00DF7BB2">
        <w:rPr>
          <w:rFonts w:ascii="Times New Roman" w:hAnsi="Times New Roman"/>
          <w:bCs/>
        </w:rPr>
        <w:t xml:space="preserve">la utilización de las herramientas que brinda la tecnología ocupa un lugar trascendente </w:t>
      </w:r>
      <w:r w:rsidR="006F4759">
        <w:rPr>
          <w:rFonts w:ascii="Times New Roman" w:hAnsi="Times New Roman"/>
          <w:bCs/>
        </w:rPr>
        <w:t>en el proceso penal de Mendoza, tal como ha sido puesto de manifiesto en todas las reformas introducidas en los últimos años.</w:t>
      </w:r>
      <w:r w:rsidR="003950A3">
        <w:rPr>
          <w:rFonts w:ascii="Times New Roman" w:hAnsi="Times New Roman"/>
          <w:bCs/>
        </w:rPr>
        <w:t xml:space="preserve"> Y si bien, como hice referencia </w:t>
      </w:r>
      <w:r w:rsidR="003950A3">
        <w:rPr>
          <w:rFonts w:ascii="Times New Roman" w:hAnsi="Times New Roman"/>
          <w:bCs/>
          <w:i/>
          <w:iCs/>
        </w:rPr>
        <w:t xml:space="preserve">supra, </w:t>
      </w:r>
      <w:r w:rsidR="003950A3">
        <w:rPr>
          <w:rFonts w:ascii="Times New Roman" w:hAnsi="Times New Roman"/>
          <w:bCs/>
        </w:rPr>
        <w:t xml:space="preserve">la situación de pandemia por </w:t>
      </w:r>
      <w:r w:rsidR="00AD480D">
        <w:rPr>
          <w:rFonts w:ascii="Times New Roman" w:hAnsi="Times New Roman"/>
          <w:bCs/>
        </w:rPr>
        <w:t>covid</w:t>
      </w:r>
      <w:r w:rsidR="003950A3">
        <w:rPr>
          <w:rFonts w:ascii="Times New Roman" w:hAnsi="Times New Roman"/>
          <w:bCs/>
        </w:rPr>
        <w:t xml:space="preserve">-19 aceleró su implementación </w:t>
      </w:r>
      <w:r w:rsidR="003950A3">
        <w:rPr>
          <w:rFonts w:ascii="Times New Roman" w:hAnsi="Times New Roman"/>
          <w:bCs/>
        </w:rPr>
        <w:lastRenderedPageBreak/>
        <w:t xml:space="preserve">no cabe duda </w:t>
      </w:r>
      <w:r w:rsidR="004D0619">
        <w:rPr>
          <w:rFonts w:ascii="Times New Roman" w:hAnsi="Times New Roman"/>
          <w:bCs/>
        </w:rPr>
        <w:t>de que</w:t>
      </w:r>
      <w:r w:rsidR="003950A3">
        <w:rPr>
          <w:rFonts w:ascii="Times New Roman" w:hAnsi="Times New Roman"/>
          <w:bCs/>
        </w:rPr>
        <w:t xml:space="preserve"> la digitalización, que ha inundado todos los órdenes de la vida, iba a llegar también al proceso penal.</w:t>
      </w:r>
    </w:p>
    <w:p w:rsidR="009C7BCB" w:rsidRDefault="003950A3" w:rsidP="00E55222">
      <w:pPr>
        <w:pStyle w:val="Listavistosa-nfasis11"/>
        <w:spacing w:line="360" w:lineRule="auto"/>
        <w:ind w:left="0" w:firstLine="360"/>
        <w:jc w:val="both"/>
        <w:rPr>
          <w:rFonts w:ascii="Times New Roman" w:hAnsi="Times New Roman"/>
          <w:bCs/>
        </w:rPr>
      </w:pPr>
      <w:r>
        <w:rPr>
          <w:rFonts w:ascii="Times New Roman" w:hAnsi="Times New Roman"/>
          <w:bCs/>
        </w:rPr>
        <w:t xml:space="preserve">En el </w:t>
      </w:r>
      <w:r w:rsidR="004D0619">
        <w:rPr>
          <w:rFonts w:ascii="Times New Roman" w:hAnsi="Times New Roman"/>
          <w:bCs/>
        </w:rPr>
        <w:t xml:space="preserve">nuevo </w:t>
      </w:r>
      <w:r>
        <w:rPr>
          <w:rFonts w:ascii="Times New Roman" w:hAnsi="Times New Roman"/>
          <w:bCs/>
        </w:rPr>
        <w:t xml:space="preserve">ordenamiento </w:t>
      </w:r>
      <w:r w:rsidR="004D0619">
        <w:rPr>
          <w:rFonts w:ascii="Times New Roman" w:hAnsi="Times New Roman"/>
          <w:bCs/>
        </w:rPr>
        <w:t xml:space="preserve">procesal </w:t>
      </w:r>
      <w:r>
        <w:rPr>
          <w:rFonts w:ascii="Times New Roman" w:hAnsi="Times New Roman"/>
          <w:bCs/>
        </w:rPr>
        <w:t>federal</w:t>
      </w:r>
      <w:r w:rsidR="004D0619">
        <w:rPr>
          <w:rFonts w:ascii="Times New Roman" w:hAnsi="Times New Roman"/>
          <w:bCs/>
        </w:rPr>
        <w:t xml:space="preserve"> también se han regulado disposiciones normativas que hacen referencia a la utilización de la tecnología aunque no en gran medida, lo cual resulta llamativo teniendo en cuenta que se trata de una de las últimas reformas procesales realizadas en el país</w:t>
      </w:r>
      <w:r w:rsidR="0050774A">
        <w:rPr>
          <w:rStyle w:val="Refdenotaalpie"/>
          <w:rFonts w:ascii="Times New Roman" w:hAnsi="Times New Roman"/>
          <w:bCs/>
        </w:rPr>
        <w:footnoteReference w:id="9"/>
      </w:r>
      <w:r w:rsidR="004D0619">
        <w:rPr>
          <w:rFonts w:ascii="Times New Roman" w:hAnsi="Times New Roman"/>
          <w:bCs/>
        </w:rPr>
        <w:t>, máxime cuando su legislación anterior mantiene todavía el sistema mixto</w:t>
      </w:r>
      <w:r w:rsidR="008307E2">
        <w:rPr>
          <w:rFonts w:ascii="Times New Roman" w:hAnsi="Times New Roman"/>
          <w:bCs/>
        </w:rPr>
        <w:t xml:space="preserve"> </w:t>
      </w:r>
      <w:r w:rsidR="00AD480D">
        <w:rPr>
          <w:rFonts w:ascii="Times New Roman" w:hAnsi="Times New Roman"/>
          <w:bCs/>
        </w:rPr>
        <w:t xml:space="preserve">que </w:t>
      </w:r>
      <w:r w:rsidR="004D0619">
        <w:rPr>
          <w:rFonts w:ascii="Times New Roman" w:hAnsi="Times New Roman"/>
          <w:bCs/>
        </w:rPr>
        <w:t>aún se encuentra vigente en varias provincias argentinas.</w:t>
      </w:r>
    </w:p>
    <w:p w:rsidR="0050774A" w:rsidRDefault="004D0619" w:rsidP="008307E2">
      <w:pPr>
        <w:pStyle w:val="Listavistosa-nfasis11"/>
        <w:spacing w:line="360" w:lineRule="auto"/>
        <w:ind w:left="0" w:firstLine="360"/>
        <w:jc w:val="both"/>
        <w:rPr>
          <w:rFonts w:ascii="Times New Roman" w:hAnsi="Times New Roman"/>
          <w:bCs/>
        </w:rPr>
      </w:pPr>
      <w:r>
        <w:rPr>
          <w:rFonts w:ascii="Times New Roman" w:hAnsi="Times New Roman"/>
          <w:bCs/>
        </w:rPr>
        <w:t xml:space="preserve">Así, en la legislación que rige en el ámbito federal, </w:t>
      </w:r>
      <w:r w:rsidR="00E55839">
        <w:rPr>
          <w:rFonts w:ascii="Times New Roman" w:hAnsi="Times New Roman"/>
          <w:bCs/>
        </w:rPr>
        <w:t xml:space="preserve">se ha regulado una etapa de investigación penal </w:t>
      </w:r>
      <w:r w:rsidR="00B46E64">
        <w:rPr>
          <w:rFonts w:ascii="Times New Roman" w:hAnsi="Times New Roman"/>
          <w:bCs/>
        </w:rPr>
        <w:t xml:space="preserve">en la cual el Ministerio Público Fiscal deberá formar un legajo de investigación que no va a estar sujeto a ninguna formalidad salvo las normas que sobre registración pueda dictar el Procurador General. </w:t>
      </w:r>
      <w:r w:rsidR="0050774A">
        <w:rPr>
          <w:rFonts w:ascii="Times New Roman" w:hAnsi="Times New Roman"/>
          <w:bCs/>
        </w:rPr>
        <w:t xml:space="preserve">En cuanto a la registración de los actos del proceso se podrá realizar por cualquier medio sea </w:t>
      </w:r>
      <w:r w:rsidR="00E55839">
        <w:rPr>
          <w:rFonts w:ascii="Times New Roman" w:hAnsi="Times New Roman"/>
          <w:bCs/>
        </w:rPr>
        <w:t xml:space="preserve">escrito, </w:t>
      </w:r>
      <w:r w:rsidR="0050774A">
        <w:rPr>
          <w:rFonts w:ascii="Times New Roman" w:hAnsi="Times New Roman"/>
          <w:bCs/>
        </w:rPr>
        <w:t xml:space="preserve">por </w:t>
      </w:r>
      <w:r w:rsidR="00E55839">
        <w:rPr>
          <w:rFonts w:ascii="Times New Roman" w:hAnsi="Times New Roman"/>
          <w:bCs/>
        </w:rPr>
        <w:t>imágenes, sonidos u otro soporte tecnológico equivalente, debiendo asegurarse su autenticidad e inalterabilidad.</w:t>
      </w:r>
      <w:r w:rsidR="0050774A">
        <w:rPr>
          <w:rFonts w:ascii="Times New Roman" w:hAnsi="Times New Roman"/>
          <w:bCs/>
        </w:rPr>
        <w:t xml:space="preserve"> </w:t>
      </w:r>
      <w:r w:rsidR="00AD480D">
        <w:rPr>
          <w:rFonts w:ascii="Times New Roman" w:hAnsi="Times New Roman"/>
          <w:bCs/>
        </w:rPr>
        <w:t>Respecto</w:t>
      </w:r>
      <w:r w:rsidR="0050774A">
        <w:rPr>
          <w:rFonts w:ascii="Times New Roman" w:hAnsi="Times New Roman"/>
          <w:bCs/>
        </w:rPr>
        <w:t xml:space="preserve"> a las notificaciones y comunicaciones, no existe tampoco una reglamentación específica, lo deja librado a lo que dispongan las leyes siempre que se garantice el debido conocimiento de lo que se comunica a fin de que las partes pertinentes puedan ejercer </w:t>
      </w:r>
      <w:r w:rsidR="00AD480D">
        <w:rPr>
          <w:rFonts w:ascii="Times New Roman" w:hAnsi="Times New Roman"/>
          <w:bCs/>
        </w:rPr>
        <w:t>válidamente</w:t>
      </w:r>
      <w:r w:rsidR="0050774A">
        <w:rPr>
          <w:rFonts w:ascii="Times New Roman" w:hAnsi="Times New Roman"/>
          <w:bCs/>
        </w:rPr>
        <w:t xml:space="preserve"> sus derechos. </w:t>
      </w:r>
    </w:p>
    <w:p w:rsidR="00632781" w:rsidRDefault="00BE10B8" w:rsidP="004C20BF">
      <w:pPr>
        <w:pStyle w:val="Listavistosa-nfasis11"/>
        <w:spacing w:line="360" w:lineRule="auto"/>
        <w:ind w:left="0" w:firstLine="360"/>
        <w:jc w:val="both"/>
        <w:rPr>
          <w:rFonts w:ascii="Times New Roman" w:hAnsi="Times New Roman"/>
          <w:bCs/>
        </w:rPr>
      </w:pPr>
      <w:r>
        <w:rPr>
          <w:rFonts w:ascii="Times New Roman" w:hAnsi="Times New Roman"/>
          <w:bCs/>
        </w:rPr>
        <w:t xml:space="preserve">Como puede advertirse, la legislación procesal del fuero federal no regula la incorporación de herramientas digitales como sí se ha regulado en la Provincia de Mendoza. </w:t>
      </w:r>
      <w:r w:rsidR="004C20BF">
        <w:rPr>
          <w:rFonts w:ascii="Times New Roman" w:hAnsi="Times New Roman"/>
          <w:bCs/>
        </w:rPr>
        <w:t xml:space="preserve">Aun así, la manera en que se ha legislado no impide que en un futuro se utilicen en el proceso sin que sea necesario una modificación legislativa. </w:t>
      </w:r>
    </w:p>
    <w:p w:rsidR="004C20BF" w:rsidRDefault="004C20BF" w:rsidP="004C20BF">
      <w:pPr>
        <w:pStyle w:val="Listavistosa-nfasis11"/>
        <w:spacing w:line="360" w:lineRule="auto"/>
        <w:ind w:left="0"/>
        <w:jc w:val="both"/>
        <w:rPr>
          <w:rFonts w:ascii="Times New Roman" w:hAnsi="Times New Roman"/>
          <w:bCs/>
        </w:rPr>
      </w:pPr>
    </w:p>
    <w:p w:rsidR="004C20BF" w:rsidRDefault="004C20BF" w:rsidP="004C20BF">
      <w:pPr>
        <w:pStyle w:val="Listavistosa-nfasis11"/>
        <w:spacing w:line="360" w:lineRule="auto"/>
        <w:ind w:left="0"/>
        <w:jc w:val="both"/>
        <w:rPr>
          <w:rFonts w:ascii="Times New Roman" w:hAnsi="Times New Roman"/>
          <w:bCs/>
        </w:rPr>
      </w:pPr>
    </w:p>
    <w:p w:rsidR="00632781" w:rsidRPr="00632781" w:rsidRDefault="00632781" w:rsidP="00632781">
      <w:pPr>
        <w:pStyle w:val="Listavistosa-nfasis11"/>
        <w:numPr>
          <w:ilvl w:val="0"/>
          <w:numId w:val="20"/>
        </w:numPr>
        <w:spacing w:line="360" w:lineRule="auto"/>
        <w:jc w:val="both"/>
        <w:rPr>
          <w:rFonts w:ascii="Times New Roman" w:hAnsi="Times New Roman"/>
          <w:b/>
        </w:rPr>
      </w:pPr>
      <w:r>
        <w:rPr>
          <w:rFonts w:ascii="Times New Roman" w:hAnsi="Times New Roman"/>
          <w:b/>
        </w:rPr>
        <w:t xml:space="preserve"> </w:t>
      </w:r>
      <w:r w:rsidR="004C20BF">
        <w:rPr>
          <w:rFonts w:ascii="Times New Roman" w:hAnsi="Times New Roman"/>
          <w:b/>
        </w:rPr>
        <w:t xml:space="preserve">LA ETAPA DE </w:t>
      </w:r>
      <w:r>
        <w:rPr>
          <w:rFonts w:ascii="Times New Roman" w:hAnsi="Times New Roman"/>
          <w:b/>
        </w:rPr>
        <w:t xml:space="preserve">JUICIO ORAL </w:t>
      </w:r>
    </w:p>
    <w:p w:rsidR="00632781" w:rsidRDefault="009C34A6" w:rsidP="00632781">
      <w:pPr>
        <w:pStyle w:val="Listavistosa-nfasis11"/>
        <w:spacing w:line="360" w:lineRule="auto"/>
        <w:ind w:left="0" w:firstLine="360"/>
        <w:jc w:val="both"/>
        <w:rPr>
          <w:rFonts w:ascii="Times New Roman" w:hAnsi="Times New Roman"/>
          <w:bCs/>
        </w:rPr>
      </w:pPr>
      <w:r>
        <w:rPr>
          <w:rFonts w:ascii="Times New Roman" w:hAnsi="Times New Roman"/>
          <w:bCs/>
        </w:rPr>
        <w:t xml:space="preserve">Como hice referencia </w:t>
      </w:r>
      <w:r>
        <w:rPr>
          <w:rFonts w:ascii="Times New Roman" w:hAnsi="Times New Roman"/>
          <w:bCs/>
          <w:i/>
          <w:iCs/>
        </w:rPr>
        <w:t xml:space="preserve">supra, </w:t>
      </w:r>
      <w:r>
        <w:rPr>
          <w:rFonts w:ascii="Times New Roman" w:hAnsi="Times New Roman"/>
          <w:bCs/>
        </w:rPr>
        <w:t xml:space="preserve">las disposiciones normativas comentadas se aplican en todas las instancias del proceso </w:t>
      </w:r>
      <w:r w:rsidR="00AD480D">
        <w:rPr>
          <w:rFonts w:ascii="Times New Roman" w:hAnsi="Times New Roman"/>
          <w:bCs/>
        </w:rPr>
        <w:t>en</w:t>
      </w:r>
      <w:r>
        <w:rPr>
          <w:rFonts w:ascii="Times New Roman" w:hAnsi="Times New Roman"/>
          <w:bCs/>
        </w:rPr>
        <w:t xml:space="preserve"> tanto y en cuanto hacen referencia a los modos de desarrollar la actividad procesal y las distintas modalidades de registración de dicha actividad, bien sea del acto en sí mismo o de las actuaciones que deben formarse con dicha actividad. </w:t>
      </w:r>
      <w:r w:rsidR="004E3BBC">
        <w:rPr>
          <w:rFonts w:ascii="Times New Roman" w:hAnsi="Times New Roman"/>
          <w:bCs/>
        </w:rPr>
        <w:t>En general, todas ellas tienden a lograr mayor eficiencia en el desenvolvimiento del proceso y, en la medida en que no impliquen el menoscabo de ninguno de los derechos de las partes, no resultan cuestionables.</w:t>
      </w:r>
    </w:p>
    <w:p w:rsidR="004E3BBC" w:rsidRDefault="004E3BBC" w:rsidP="00632781">
      <w:pPr>
        <w:pStyle w:val="Listavistosa-nfasis11"/>
        <w:spacing w:line="360" w:lineRule="auto"/>
        <w:ind w:left="0" w:firstLine="360"/>
        <w:jc w:val="both"/>
        <w:rPr>
          <w:rFonts w:ascii="Times New Roman" w:hAnsi="Times New Roman"/>
          <w:bCs/>
        </w:rPr>
      </w:pPr>
      <w:r>
        <w:rPr>
          <w:rFonts w:ascii="Times New Roman" w:hAnsi="Times New Roman"/>
          <w:bCs/>
        </w:rPr>
        <w:lastRenderedPageBreak/>
        <w:t>Sin embargo, en el avance de la utilización de estas herramientas digitales</w:t>
      </w:r>
      <w:r w:rsidR="00EA18EB">
        <w:rPr>
          <w:rFonts w:ascii="Times New Roman" w:hAnsi="Times New Roman"/>
          <w:bCs/>
        </w:rPr>
        <w:t xml:space="preserve"> se advierte la posibilidad de utilizar medios telemáticos para desarrollar determinados actos procesales sin que sea necesario la presencialidad física, tal como fue puesto de manifiesto en los considerandos de la </w:t>
      </w:r>
      <w:r w:rsidR="00560E8C">
        <w:rPr>
          <w:rFonts w:ascii="Times New Roman" w:hAnsi="Times New Roman"/>
          <w:bCs/>
        </w:rPr>
        <w:t xml:space="preserve">Resolución que reglamenta el legajo digital, citada precedentemente. Y es aquí donde pueden comenzar los cuestionamientos, </w:t>
      </w:r>
      <w:r w:rsidR="00AD480D">
        <w:rPr>
          <w:rFonts w:ascii="Times New Roman" w:hAnsi="Times New Roman"/>
          <w:bCs/>
        </w:rPr>
        <w:t>especialmente</w:t>
      </w:r>
      <w:r w:rsidR="00560E8C">
        <w:rPr>
          <w:rFonts w:ascii="Times New Roman" w:hAnsi="Times New Roman"/>
          <w:bCs/>
        </w:rPr>
        <w:t xml:space="preserve"> cuando esta metodología pretende aplicarse al juicio oral, pues habrá que </w:t>
      </w:r>
      <w:r w:rsidR="00AD480D">
        <w:rPr>
          <w:rFonts w:ascii="Times New Roman" w:hAnsi="Times New Roman"/>
          <w:bCs/>
        </w:rPr>
        <w:t xml:space="preserve">determinar </w:t>
      </w:r>
      <w:r w:rsidR="00560E8C">
        <w:rPr>
          <w:rFonts w:ascii="Times New Roman" w:hAnsi="Times New Roman"/>
          <w:bCs/>
        </w:rPr>
        <w:t>si ello es posible sin menoscabar ni la esencia del juicio ni los derechos fundamentales de las partes intervinientes.</w:t>
      </w:r>
    </w:p>
    <w:p w:rsidR="005E67BE" w:rsidRDefault="005E67BE" w:rsidP="00632781">
      <w:pPr>
        <w:pStyle w:val="Listavistosa-nfasis11"/>
        <w:spacing w:line="360" w:lineRule="auto"/>
        <w:ind w:left="0" w:firstLine="360"/>
        <w:jc w:val="both"/>
        <w:rPr>
          <w:rFonts w:ascii="Times New Roman" w:hAnsi="Times New Roman"/>
          <w:bCs/>
        </w:rPr>
      </w:pPr>
      <w:r>
        <w:rPr>
          <w:rFonts w:ascii="Times New Roman" w:hAnsi="Times New Roman"/>
          <w:bCs/>
        </w:rPr>
        <w:t xml:space="preserve">En función de ello, analizaré a continuación los principios que rigen el juicio oral y cuáles resultan ser las principales objeciones que pueden plantearse con respecto a los juicios virtuales. </w:t>
      </w:r>
    </w:p>
    <w:p w:rsidR="00F66BEF" w:rsidRDefault="00F66BEF" w:rsidP="00632781">
      <w:pPr>
        <w:pStyle w:val="Listavistosa-nfasis11"/>
        <w:spacing w:line="360" w:lineRule="auto"/>
        <w:ind w:left="0" w:firstLine="360"/>
        <w:jc w:val="both"/>
        <w:rPr>
          <w:rFonts w:ascii="Times New Roman" w:hAnsi="Times New Roman"/>
          <w:bCs/>
        </w:rPr>
      </w:pPr>
    </w:p>
    <w:p w:rsidR="005709E2" w:rsidRPr="00F66BEF" w:rsidRDefault="00F66BEF" w:rsidP="00F66BEF">
      <w:pPr>
        <w:pStyle w:val="Listavistosa-nfasis11"/>
        <w:numPr>
          <w:ilvl w:val="0"/>
          <w:numId w:val="22"/>
        </w:numPr>
        <w:spacing w:line="360" w:lineRule="auto"/>
        <w:jc w:val="both"/>
        <w:rPr>
          <w:rFonts w:ascii="Times New Roman" w:hAnsi="Times New Roman"/>
          <w:bCs/>
        </w:rPr>
      </w:pPr>
      <w:r>
        <w:rPr>
          <w:rFonts w:ascii="Times New Roman" w:hAnsi="Times New Roman"/>
          <w:bCs/>
        </w:rPr>
        <w:t>PRINCIPIOS QUE RIGEN EL JUICIO ORAL</w:t>
      </w:r>
    </w:p>
    <w:p w:rsidR="008417CE" w:rsidRDefault="00F66BEF" w:rsidP="00692021">
      <w:pPr>
        <w:pStyle w:val="Listavistosa-nfasis11"/>
        <w:spacing w:line="360" w:lineRule="auto"/>
        <w:ind w:left="0" w:firstLine="360"/>
        <w:jc w:val="both"/>
        <w:rPr>
          <w:rFonts w:ascii="Times New Roman" w:hAnsi="Times New Roman"/>
          <w:bCs/>
        </w:rPr>
      </w:pPr>
      <w:r>
        <w:rPr>
          <w:rFonts w:ascii="Times New Roman" w:hAnsi="Times New Roman"/>
          <w:bCs/>
        </w:rPr>
        <w:t xml:space="preserve">En todos los sistemas procesales se considera el juicio </w:t>
      </w:r>
      <w:r w:rsidR="005709E2">
        <w:rPr>
          <w:rFonts w:ascii="Times New Roman" w:hAnsi="Times New Roman"/>
          <w:bCs/>
        </w:rPr>
        <w:t xml:space="preserve">como fase o etapa central del proceso </w:t>
      </w:r>
      <w:r w:rsidR="00B97E11">
        <w:rPr>
          <w:rFonts w:ascii="Times New Roman" w:hAnsi="Times New Roman"/>
          <w:bCs/>
        </w:rPr>
        <w:t xml:space="preserve">y es aquí </w:t>
      </w:r>
      <w:r w:rsidR="005709E2">
        <w:rPr>
          <w:rFonts w:ascii="Times New Roman" w:hAnsi="Times New Roman"/>
          <w:bCs/>
        </w:rPr>
        <w:t xml:space="preserve">donde las partes podrán hacer valer sus pretensiones de manera presencial con todas las características de la oralidad, inmediación, contradictorio y publicidad. </w:t>
      </w:r>
      <w:r w:rsidR="00AB45A4">
        <w:rPr>
          <w:rFonts w:ascii="Times New Roman" w:hAnsi="Times New Roman"/>
          <w:bCs/>
        </w:rPr>
        <w:t xml:space="preserve">Los lineamientos </w:t>
      </w:r>
      <w:r w:rsidR="008417CE">
        <w:rPr>
          <w:rFonts w:ascii="Times New Roman" w:hAnsi="Times New Roman"/>
          <w:bCs/>
        </w:rPr>
        <w:t xml:space="preserve">de </w:t>
      </w:r>
      <w:r w:rsidR="00AD480D">
        <w:rPr>
          <w:rFonts w:ascii="Times New Roman" w:hAnsi="Times New Roman"/>
          <w:bCs/>
        </w:rPr>
        <w:t>é</w:t>
      </w:r>
      <w:r w:rsidR="008417CE">
        <w:rPr>
          <w:rFonts w:ascii="Times New Roman" w:hAnsi="Times New Roman"/>
          <w:bCs/>
        </w:rPr>
        <w:t>ste</w:t>
      </w:r>
      <w:r w:rsidR="00AB45A4">
        <w:rPr>
          <w:rFonts w:ascii="Times New Roman" w:hAnsi="Times New Roman"/>
          <w:bCs/>
        </w:rPr>
        <w:t xml:space="preserve"> surgen de los postulados constitucionales </w:t>
      </w:r>
      <w:r w:rsidR="008417CE">
        <w:rPr>
          <w:rFonts w:ascii="Times New Roman" w:hAnsi="Times New Roman"/>
          <w:bCs/>
        </w:rPr>
        <w:t xml:space="preserve">que </w:t>
      </w:r>
      <w:r w:rsidR="00AB45A4">
        <w:rPr>
          <w:rFonts w:ascii="Times New Roman" w:hAnsi="Times New Roman"/>
          <w:bCs/>
        </w:rPr>
        <w:t>pretenden garantizar el reconocimiento y respeto de los derechos de</w:t>
      </w:r>
      <w:r w:rsidR="00B90E8E">
        <w:rPr>
          <w:rFonts w:ascii="Times New Roman" w:hAnsi="Times New Roman"/>
          <w:bCs/>
        </w:rPr>
        <w:t xml:space="preserve">l imputado y también el derecho de la víctima a ser oída, </w:t>
      </w:r>
      <w:r w:rsidR="00AB45A4">
        <w:rPr>
          <w:rFonts w:ascii="Times New Roman" w:hAnsi="Times New Roman"/>
          <w:bCs/>
        </w:rPr>
        <w:t>logrando así el restablecimiento de la paz social que se ha visto alterada con la comisión de un hecho delictivo.</w:t>
      </w:r>
      <w:r w:rsidR="00D02366">
        <w:rPr>
          <w:rFonts w:ascii="Times New Roman" w:hAnsi="Times New Roman"/>
          <w:bCs/>
        </w:rPr>
        <w:t xml:space="preserve"> </w:t>
      </w:r>
    </w:p>
    <w:p w:rsidR="00DF0C09" w:rsidRDefault="008417CE" w:rsidP="00692021">
      <w:pPr>
        <w:pStyle w:val="Listavistosa-nfasis11"/>
        <w:spacing w:line="360" w:lineRule="auto"/>
        <w:ind w:left="0" w:firstLine="357"/>
        <w:jc w:val="both"/>
        <w:rPr>
          <w:rFonts w:ascii="Times New Roman" w:hAnsi="Times New Roman"/>
          <w:bCs/>
        </w:rPr>
      </w:pPr>
      <w:r>
        <w:rPr>
          <w:rFonts w:ascii="Times New Roman" w:hAnsi="Times New Roman"/>
          <w:bCs/>
        </w:rPr>
        <w:t xml:space="preserve">En </w:t>
      </w:r>
      <w:r w:rsidR="00B97E11">
        <w:rPr>
          <w:rFonts w:ascii="Times New Roman" w:hAnsi="Times New Roman"/>
          <w:bCs/>
        </w:rPr>
        <w:t xml:space="preserve">Argentina, en este </w:t>
      </w:r>
      <w:r>
        <w:rPr>
          <w:rFonts w:ascii="Times New Roman" w:hAnsi="Times New Roman"/>
          <w:bCs/>
        </w:rPr>
        <w:t>modelo constitucional y convencional</w:t>
      </w:r>
      <w:r w:rsidR="00B97E11">
        <w:rPr>
          <w:rFonts w:ascii="Times New Roman" w:hAnsi="Times New Roman"/>
          <w:bCs/>
        </w:rPr>
        <w:t>,</w:t>
      </w:r>
      <w:r>
        <w:rPr>
          <w:rFonts w:ascii="Times New Roman" w:hAnsi="Times New Roman"/>
          <w:bCs/>
        </w:rPr>
        <w:t xml:space="preserve"> el juicio se desarrolla frente a un </w:t>
      </w:r>
      <w:r w:rsidR="00F95D99">
        <w:rPr>
          <w:rFonts w:ascii="Times New Roman" w:hAnsi="Times New Roman"/>
          <w:bCs/>
        </w:rPr>
        <w:t>Tribunal</w:t>
      </w:r>
      <w:r>
        <w:rPr>
          <w:rFonts w:ascii="Times New Roman" w:hAnsi="Times New Roman"/>
          <w:bCs/>
        </w:rPr>
        <w:t xml:space="preserve"> pasivo que se encuentra rígidamente separado de las partes </w:t>
      </w:r>
      <w:r w:rsidR="00B97E11">
        <w:rPr>
          <w:rFonts w:ascii="Times New Roman" w:hAnsi="Times New Roman"/>
          <w:bCs/>
        </w:rPr>
        <w:t>en tanto que é</w:t>
      </w:r>
      <w:r>
        <w:rPr>
          <w:rFonts w:ascii="Times New Roman" w:hAnsi="Times New Roman"/>
          <w:bCs/>
        </w:rPr>
        <w:t>stas se encuentran en un plano de igualdad</w:t>
      </w:r>
      <w:r w:rsidR="00AD480D">
        <w:rPr>
          <w:rFonts w:ascii="Times New Roman" w:hAnsi="Times New Roman"/>
          <w:bCs/>
        </w:rPr>
        <w:t>,</w:t>
      </w:r>
      <w:r>
        <w:rPr>
          <w:rFonts w:ascii="Times New Roman" w:hAnsi="Times New Roman"/>
          <w:bCs/>
        </w:rPr>
        <w:t xml:space="preserve"> con un acusador a quien le compete la carga de la prueba enfrentada con la defensa en una audiencia oral</w:t>
      </w:r>
      <w:r w:rsidR="0070743C">
        <w:rPr>
          <w:rFonts w:ascii="Times New Roman" w:hAnsi="Times New Roman"/>
          <w:bCs/>
        </w:rPr>
        <w:t xml:space="preserve"> y pública. </w:t>
      </w:r>
      <w:r w:rsidR="00915758">
        <w:rPr>
          <w:rFonts w:ascii="Times New Roman" w:hAnsi="Times New Roman"/>
          <w:bCs/>
        </w:rPr>
        <w:t>En palabras de Ferrajoli</w:t>
      </w:r>
      <w:r w:rsidR="00915758">
        <w:rPr>
          <w:rStyle w:val="Refdenotaalpie"/>
          <w:rFonts w:ascii="Times New Roman" w:hAnsi="Times New Roman"/>
          <w:bCs/>
        </w:rPr>
        <w:footnoteReference w:id="10"/>
      </w:r>
      <w:r w:rsidR="00915758">
        <w:rPr>
          <w:rFonts w:ascii="Times New Roman" w:hAnsi="Times New Roman"/>
          <w:bCs/>
        </w:rPr>
        <w:t xml:space="preserve">, se requiere de una estructura triádica o triangular entre los tres sujetos del proceso, las dos partes que son la acusación y la defensa frente al juez tercero a quien le corresponde tomar la decisión luego de haber recibido la prueba del acusador y su refutación por parte de la defensa. </w:t>
      </w:r>
      <w:r w:rsidR="00AE3828">
        <w:rPr>
          <w:rFonts w:ascii="Times New Roman" w:hAnsi="Times New Roman"/>
          <w:bCs/>
        </w:rPr>
        <w:t xml:space="preserve">Sin embargo, </w:t>
      </w:r>
      <w:r w:rsidR="00B97E11">
        <w:rPr>
          <w:rFonts w:ascii="Times New Roman" w:hAnsi="Times New Roman"/>
          <w:bCs/>
        </w:rPr>
        <w:t>con bien refiere el autor</w:t>
      </w:r>
      <w:r w:rsidR="00AE3828">
        <w:rPr>
          <w:rFonts w:ascii="Times New Roman" w:hAnsi="Times New Roman"/>
          <w:bCs/>
        </w:rPr>
        <w:t>, a ello deben agregarse otras garantías que son la oralidad, la publicidad, la legalidad y la motivación.</w:t>
      </w:r>
    </w:p>
    <w:p w:rsidR="00497571" w:rsidRDefault="00B27216" w:rsidP="00692021">
      <w:pPr>
        <w:pStyle w:val="NormalWeb"/>
        <w:spacing w:before="0" w:beforeAutospacing="0" w:after="0" w:afterAutospacing="0" w:line="360" w:lineRule="auto"/>
        <w:ind w:firstLine="357"/>
        <w:contextualSpacing/>
        <w:jc w:val="both"/>
      </w:pPr>
      <w:r w:rsidRPr="00012C08">
        <w:rPr>
          <w:bCs/>
        </w:rPr>
        <w:t xml:space="preserve">La oralidad supone la posibilidad de que todos los actos del debate se desarrollen a viva voz frente a todos los sujetos intervinientes, lo cual implica que </w:t>
      </w:r>
      <w:r w:rsidR="00093293" w:rsidRPr="00012C08">
        <w:rPr>
          <w:bCs/>
        </w:rPr>
        <w:t xml:space="preserve">la prueba </w:t>
      </w:r>
      <w:r w:rsidR="00093293" w:rsidRPr="00012C08">
        <w:rPr>
          <w:bCs/>
        </w:rPr>
        <w:lastRenderedPageBreak/>
        <w:t>presentada en el juicio deberá ser mediante la palabra hablada lo cual posibilita asimismo la inmediación pues tanto el juez como la</w:t>
      </w:r>
      <w:r w:rsidR="00C30D5F" w:rsidRPr="00012C08">
        <w:rPr>
          <w:bCs/>
        </w:rPr>
        <w:t>s</w:t>
      </w:r>
      <w:r w:rsidR="00093293" w:rsidRPr="00012C08">
        <w:rPr>
          <w:bCs/>
        </w:rPr>
        <w:t xml:space="preserve"> parte</w:t>
      </w:r>
      <w:r w:rsidR="00C30D5F" w:rsidRPr="00012C08">
        <w:rPr>
          <w:bCs/>
        </w:rPr>
        <w:t>s</w:t>
      </w:r>
      <w:r w:rsidR="00093293" w:rsidRPr="00012C08">
        <w:rPr>
          <w:bCs/>
        </w:rPr>
        <w:t xml:space="preserve"> van a tener contacto directo con aquella en el momento de su recepción. </w:t>
      </w:r>
      <w:r w:rsidR="00C30D5F" w:rsidRPr="00012C08">
        <w:rPr>
          <w:bCs/>
        </w:rPr>
        <w:t>Los testigos y peritos que intervengan el juicio serán escuchados por todos pudiendo las partes ejercer el debido control de sus declaraciones e incluso interrogarlos conforme a las pautas reguladas por la legislación vigente, haciendo realidad también el contradictorio.</w:t>
      </w:r>
      <w:r w:rsidR="005C2245" w:rsidRPr="00012C08">
        <w:rPr>
          <w:bCs/>
        </w:rPr>
        <w:t xml:space="preserve"> Como bien afirma Cafferata Nores </w:t>
      </w:r>
      <w:r w:rsidR="00D30BB6">
        <w:rPr>
          <w:bCs/>
        </w:rPr>
        <w:t xml:space="preserve">la inmediación </w:t>
      </w:r>
      <w:r w:rsidR="00012C08">
        <w:rPr>
          <w:bCs/>
          <w:i/>
          <w:iCs/>
        </w:rPr>
        <w:t>[…]</w:t>
      </w:r>
      <w:r w:rsidR="00D30BB6">
        <w:rPr>
          <w:bCs/>
          <w:i/>
          <w:iCs/>
        </w:rPr>
        <w:t>consiste</w:t>
      </w:r>
      <w:r w:rsidR="00D30BB6">
        <w:rPr>
          <w:i/>
          <w:iCs/>
        </w:rPr>
        <w:t xml:space="preserve"> en</w:t>
      </w:r>
      <w:r w:rsidR="005C2245" w:rsidRPr="00012C08">
        <w:rPr>
          <w:i/>
          <w:iCs/>
        </w:rPr>
        <w:t xml:space="preserve"> el contacto directo, personal y permanente en un lapso y en un espacio </w:t>
      </w:r>
      <w:r w:rsidR="00012C08" w:rsidRPr="00012C08">
        <w:rPr>
          <w:i/>
          <w:iCs/>
        </w:rPr>
        <w:t>físico</w:t>
      </w:r>
      <w:r w:rsidR="005C2245" w:rsidRPr="00012C08">
        <w:rPr>
          <w:i/>
          <w:iCs/>
        </w:rPr>
        <w:t xml:space="preserve"> </w:t>
      </w:r>
      <w:r w:rsidR="00012C08" w:rsidRPr="00012C08">
        <w:rPr>
          <w:i/>
          <w:iCs/>
        </w:rPr>
        <w:t>común</w:t>
      </w:r>
      <w:r w:rsidR="005C2245" w:rsidRPr="00012C08">
        <w:rPr>
          <w:i/>
          <w:iCs/>
        </w:rPr>
        <w:t xml:space="preserve">, que jueces, acusadores, imputados, victimas y sus defensores tienen durante </w:t>
      </w:r>
      <w:r w:rsidR="00D30BB6">
        <w:rPr>
          <w:i/>
          <w:iCs/>
        </w:rPr>
        <w:t xml:space="preserve">el </w:t>
      </w:r>
      <w:r w:rsidR="005C2245" w:rsidRPr="00012C08">
        <w:rPr>
          <w:i/>
          <w:iCs/>
        </w:rPr>
        <w:t xml:space="preserve">desarrollo </w:t>
      </w:r>
      <w:r w:rsidR="00D30BB6">
        <w:rPr>
          <w:i/>
          <w:iCs/>
        </w:rPr>
        <w:t xml:space="preserve">del debate </w:t>
      </w:r>
      <w:r w:rsidR="005C2245" w:rsidRPr="00012C08">
        <w:rPr>
          <w:i/>
          <w:iCs/>
        </w:rPr>
        <w:t>con las pruebas que se reciben, y el que mantienen todos ellos entre si, interactuando verbalmente cada uno en los roles como actores, contradictores, directores o decisores que la ley procesal les asigna, ante la presencia de cualquier ciudadano que lo desee</w:t>
      </w:r>
      <w:r w:rsidR="00012C08">
        <w:rPr>
          <w:rStyle w:val="Refdenotaalpie"/>
          <w:i/>
          <w:iCs/>
        </w:rPr>
        <w:footnoteReference w:id="11"/>
      </w:r>
      <w:r w:rsidR="005C2245" w:rsidRPr="00012C08">
        <w:rPr>
          <w:i/>
          <w:iCs/>
        </w:rPr>
        <w:t>.</w:t>
      </w:r>
      <w:r w:rsidR="00A53B08">
        <w:rPr>
          <w:i/>
          <w:iCs/>
        </w:rPr>
        <w:t xml:space="preserve"> </w:t>
      </w:r>
      <w:r w:rsidR="00AD5358">
        <w:t xml:space="preserve">Así se advierte la importancia de </w:t>
      </w:r>
      <w:r w:rsidR="002C46AC">
        <w:t>que todos estén puestos físicamente frente a frente pue</w:t>
      </w:r>
      <w:r w:rsidR="00AD5358">
        <w:t>sto que ello permite una percepción directa de los elementos probatorios para poder tomar una decisión justa en función de los hechos probados</w:t>
      </w:r>
      <w:r w:rsidR="00B97E11">
        <w:t xml:space="preserve"> pues tod</w:t>
      </w:r>
      <w:r w:rsidR="00F95D99">
        <w:t>o</w:t>
      </w:r>
      <w:r w:rsidR="00B97E11">
        <w:t>s los sujetos procesales han tenido exactamente la misma captación de la prueba producida durante el debate.</w:t>
      </w:r>
    </w:p>
    <w:p w:rsidR="00497571" w:rsidRDefault="00497571" w:rsidP="00692021">
      <w:pPr>
        <w:pStyle w:val="NormalWeb"/>
        <w:spacing w:before="0" w:beforeAutospacing="0" w:after="0" w:afterAutospacing="0" w:line="360" w:lineRule="auto"/>
        <w:ind w:firstLine="357"/>
        <w:contextualSpacing/>
        <w:jc w:val="both"/>
        <w:rPr>
          <w:i/>
          <w:iCs/>
        </w:rPr>
      </w:pPr>
      <w:r>
        <w:t xml:space="preserve">Asimismo, la audiencia oral brinda la posibilidad de que cualquier interesado pueda presenciar el debate y conocer también los fundamentos de la sentencia. Es importante destacar que la publicidad de los actos de gobierno </w:t>
      </w:r>
      <w:r w:rsidR="00303BF3">
        <w:t xml:space="preserve">es propia del sistema republicano que rige en Argentina y permite a toda la </w:t>
      </w:r>
      <w:r w:rsidR="00825A40">
        <w:t>sociedad el control en la administración de Justicia como así también resulta una garantía para el imputado para obtener un juicio justo y evitar arbitrariedades judiciales. En base a ello, a</w:t>
      </w:r>
      <w:r w:rsidR="00303BF3">
        <w:t xml:space="preserve">firma Maier que </w:t>
      </w:r>
      <w:r w:rsidR="00303BF3">
        <w:rPr>
          <w:i/>
          <w:iCs/>
        </w:rPr>
        <w:t>[l]a única manera conocida de abrir el procedimiento penal a la apreciación</w:t>
      </w:r>
      <w:r w:rsidR="00825A40">
        <w:rPr>
          <w:i/>
          <w:iCs/>
        </w:rPr>
        <w:t xml:space="preserve"> popular y, con ello, al control del público en general es, sin duda, llevarlo a cabo en una o varias audiencias continuas hasta su terminación, concentrando sus actos y cumpliéndolos oralmente; también históricamente esta forma de proceder estuvo unida al control popular y al sistema republicano de organización del poder social</w:t>
      </w:r>
      <w:r w:rsidR="00825A40">
        <w:rPr>
          <w:rStyle w:val="Refdenotaalpie"/>
          <w:i/>
          <w:iCs/>
        </w:rPr>
        <w:footnoteReference w:id="12"/>
      </w:r>
      <w:r w:rsidR="00B97E11">
        <w:rPr>
          <w:i/>
          <w:iCs/>
        </w:rPr>
        <w:t>.</w:t>
      </w:r>
    </w:p>
    <w:p w:rsidR="00C565E1" w:rsidRPr="00C565E1" w:rsidRDefault="00C565E1" w:rsidP="00692021">
      <w:pPr>
        <w:pStyle w:val="NormalWeb"/>
        <w:spacing w:before="0" w:beforeAutospacing="0" w:after="0" w:afterAutospacing="0" w:line="360" w:lineRule="auto"/>
        <w:ind w:firstLine="357"/>
        <w:contextualSpacing/>
        <w:jc w:val="both"/>
        <w:rPr>
          <w:sz w:val="20"/>
          <w:szCs w:val="20"/>
        </w:rPr>
      </w:pPr>
      <w:r>
        <w:t>En función de ello es que Bovino</w:t>
      </w:r>
      <w:r>
        <w:rPr>
          <w:rStyle w:val="Refdenotaalpie"/>
        </w:rPr>
        <w:footnoteReference w:id="13"/>
      </w:r>
      <w:r>
        <w:t xml:space="preserve"> considera que la publicidad es un principio fundamental y estructurante del proceso penal, de carácter político, que involucra </w:t>
      </w:r>
      <w:r>
        <w:lastRenderedPageBreak/>
        <w:t xml:space="preserve">diversos intereses. Afirma el autor que </w:t>
      </w:r>
      <w:r>
        <w:rPr>
          <w:i/>
          <w:iCs/>
        </w:rPr>
        <w:t>[l]a complejidad del principio surge de su carácter de garantía irrestricta del imputado y -al mismo tiempo- de su consideración como derecho político de los ciudadanos de controlar los actos de gobierno en una república</w:t>
      </w:r>
      <w:r>
        <w:rPr>
          <w:rStyle w:val="Refdenotaalpie"/>
          <w:i/>
          <w:iCs/>
        </w:rPr>
        <w:footnoteReference w:id="14"/>
      </w:r>
      <w:r>
        <w:rPr>
          <w:i/>
          <w:iCs/>
        </w:rPr>
        <w:t xml:space="preserve">. </w:t>
      </w:r>
      <w:r>
        <w:t xml:space="preserve">Siendo ello así, la asistencia del público en el juicio es una exigencia ineludible del </w:t>
      </w:r>
      <w:r w:rsidR="00883EE1">
        <w:t>régimen político para que los ciudadanos puedan controlar la actuación de quienes realizan la función judicial.</w:t>
      </w:r>
    </w:p>
    <w:p w:rsidR="00EE01EB" w:rsidRPr="00C565E1" w:rsidRDefault="00497571" w:rsidP="00C565E1">
      <w:pPr>
        <w:pStyle w:val="NormalWeb"/>
        <w:spacing w:before="0" w:beforeAutospacing="0" w:after="0" w:afterAutospacing="0" w:line="360" w:lineRule="auto"/>
        <w:ind w:firstLine="357"/>
        <w:contextualSpacing/>
        <w:jc w:val="both"/>
      </w:pPr>
      <w:r>
        <w:t xml:space="preserve">De esta manera, </w:t>
      </w:r>
      <w:r w:rsidR="00AD022E">
        <w:t xml:space="preserve">los principios enunciados tienen estrecha vinculación con el </w:t>
      </w:r>
      <w:r>
        <w:t>derecho de defensa pues</w:t>
      </w:r>
      <w:r w:rsidR="00B97E11">
        <w:t>,</w:t>
      </w:r>
      <w:r>
        <w:t xml:space="preserve"> </w:t>
      </w:r>
      <w:r w:rsidR="00AD022E">
        <w:t>en esta audiencia oral y pública</w:t>
      </w:r>
      <w:r w:rsidR="00B97E11">
        <w:t>,</w:t>
      </w:r>
      <w:r w:rsidR="00AD022E">
        <w:t xml:space="preserve"> el imputado </w:t>
      </w:r>
      <w:r>
        <w:t>no s</w:t>
      </w:r>
      <w:r w:rsidR="00B97E11">
        <w:t>ó</w:t>
      </w:r>
      <w:r>
        <w:t>lo va a tener acceso a todos los elementos probatorios conjuntamente con el Tribunal y el acusador sino que</w:t>
      </w:r>
      <w:r w:rsidR="00F95D99">
        <w:t>,</w:t>
      </w:r>
      <w:r>
        <w:t xml:space="preserve"> además</w:t>
      </w:r>
      <w:r w:rsidR="00F95D99">
        <w:t>,</w:t>
      </w:r>
      <w:r>
        <w:t xml:space="preserve"> se p</w:t>
      </w:r>
      <w:r w:rsidR="00AD022E">
        <w:t>ermite</w:t>
      </w:r>
      <w:r>
        <w:t xml:space="preserve"> el debido control sobre los mismos y la posibilidad de refutarlos mediante prueba de descargo.</w:t>
      </w:r>
      <w:r w:rsidR="00686D6A">
        <w:t xml:space="preserve"> </w:t>
      </w:r>
      <w:r w:rsidR="00AD022E">
        <w:t>Es posible afirmar entonces que todos estos principios se encuentran estrechamente vinculados entre sí dando forma al proceso penal.</w:t>
      </w:r>
    </w:p>
    <w:p w:rsidR="009F6956" w:rsidRPr="00692021" w:rsidRDefault="005B103A" w:rsidP="00692021">
      <w:pPr>
        <w:pStyle w:val="Listavistosa-nfasis11"/>
        <w:spacing w:line="360" w:lineRule="auto"/>
        <w:ind w:left="0" w:firstLine="360"/>
        <w:jc w:val="both"/>
        <w:rPr>
          <w:rFonts w:ascii="Times New Roman" w:hAnsi="Times New Roman"/>
          <w:bCs/>
        </w:rPr>
      </w:pPr>
      <w:r>
        <w:rPr>
          <w:rFonts w:ascii="Times New Roman" w:hAnsi="Times New Roman"/>
          <w:bCs/>
        </w:rPr>
        <w:t>Sostiene Binder</w:t>
      </w:r>
      <w:r w:rsidR="00D02366">
        <w:rPr>
          <w:rFonts w:ascii="Times New Roman" w:hAnsi="Times New Roman"/>
          <w:bCs/>
        </w:rPr>
        <w:t>,</w:t>
      </w:r>
      <w:r>
        <w:rPr>
          <w:rFonts w:ascii="Times New Roman" w:hAnsi="Times New Roman"/>
          <w:bCs/>
        </w:rPr>
        <w:t xml:space="preserve"> en este sentido</w:t>
      </w:r>
      <w:r w:rsidR="00D02366">
        <w:rPr>
          <w:rFonts w:ascii="Times New Roman" w:hAnsi="Times New Roman"/>
          <w:bCs/>
        </w:rPr>
        <w:t>,</w:t>
      </w:r>
      <w:r>
        <w:rPr>
          <w:rFonts w:ascii="Times New Roman" w:hAnsi="Times New Roman"/>
          <w:bCs/>
        </w:rPr>
        <w:t xml:space="preserve"> que </w:t>
      </w:r>
      <w:r>
        <w:rPr>
          <w:rFonts w:ascii="Times New Roman" w:hAnsi="Times New Roman"/>
          <w:bCs/>
          <w:i/>
          <w:iCs/>
        </w:rPr>
        <w:t>[…] juicio no es cualquier trámite, sino la estructura (conjunto de formas vinculadas a los actos, sujetos, tiempo, espacio, coerción y caso) que sostiene la imparcialidad</w:t>
      </w:r>
      <w:r w:rsidR="00AA3CA6">
        <w:rPr>
          <w:rFonts w:ascii="Times New Roman" w:hAnsi="Times New Roman"/>
          <w:bCs/>
          <w:i/>
          <w:iCs/>
        </w:rPr>
        <w:t xml:space="preserve">, la contradicción y la publicidad. También la experiencia histórica ha demostrado […] que sólo la oralidad, la inmediación, la concentración, la continuidad es decir, las formas de la oralidad en sentido </w:t>
      </w:r>
      <w:r w:rsidR="00D02366">
        <w:rPr>
          <w:rFonts w:ascii="Times New Roman" w:hAnsi="Times New Roman"/>
          <w:bCs/>
          <w:i/>
          <w:iCs/>
        </w:rPr>
        <w:t>amplio</w:t>
      </w:r>
      <w:r w:rsidR="00AA3CA6">
        <w:rPr>
          <w:rFonts w:ascii="Times New Roman" w:hAnsi="Times New Roman"/>
          <w:bCs/>
          <w:i/>
          <w:iCs/>
        </w:rPr>
        <w:t xml:space="preserve"> son los únicos modos hasta el presente, que garantizan las condiciones de verificación</w:t>
      </w:r>
      <w:r w:rsidR="00AA3CA6">
        <w:rPr>
          <w:rStyle w:val="Refdenotaalpie"/>
          <w:rFonts w:ascii="Times New Roman" w:hAnsi="Times New Roman"/>
          <w:bCs/>
          <w:i/>
          <w:iCs/>
        </w:rPr>
        <w:footnoteReference w:id="15"/>
      </w:r>
      <w:r w:rsidR="00D02366">
        <w:rPr>
          <w:rFonts w:ascii="Times New Roman" w:hAnsi="Times New Roman"/>
          <w:bCs/>
          <w:i/>
          <w:iCs/>
        </w:rPr>
        <w:t>.</w:t>
      </w:r>
      <w:r w:rsidR="00B97E11">
        <w:rPr>
          <w:rFonts w:ascii="Times New Roman" w:hAnsi="Times New Roman"/>
          <w:bCs/>
        </w:rPr>
        <w:t xml:space="preserve"> Efectivamente, como no se trata de un mero trámite, la forma en que se lleva a cabo es de vital importancia para hacer realidad un juicio justo.</w:t>
      </w:r>
    </w:p>
    <w:p w:rsidR="009F6956" w:rsidRPr="009F6956" w:rsidRDefault="00AD022E" w:rsidP="009F6956">
      <w:pPr>
        <w:pStyle w:val="Listavistosa-nfasis11"/>
        <w:spacing w:line="360" w:lineRule="auto"/>
        <w:ind w:left="0" w:firstLine="360"/>
        <w:jc w:val="both"/>
        <w:rPr>
          <w:rFonts w:ascii="Times New Roman" w:hAnsi="Times New Roman"/>
          <w:bCs/>
        </w:rPr>
      </w:pPr>
      <w:r>
        <w:rPr>
          <w:rFonts w:ascii="Times New Roman" w:hAnsi="Times New Roman"/>
          <w:bCs/>
        </w:rPr>
        <w:t>Est</w:t>
      </w:r>
      <w:r w:rsidR="004A534E">
        <w:rPr>
          <w:rFonts w:ascii="Times New Roman" w:hAnsi="Times New Roman"/>
          <w:bCs/>
        </w:rPr>
        <w:t>os son los principios que rigen el proceso penal y nadie pone en duda su necesaria existencia</w:t>
      </w:r>
      <w:r w:rsidR="00ED0727">
        <w:rPr>
          <w:rFonts w:ascii="Times New Roman" w:hAnsi="Times New Roman"/>
          <w:bCs/>
        </w:rPr>
        <w:t>.</w:t>
      </w:r>
      <w:r w:rsidR="004A534E">
        <w:rPr>
          <w:rFonts w:ascii="Times New Roman" w:hAnsi="Times New Roman"/>
          <w:bCs/>
        </w:rPr>
        <w:t xml:space="preserve"> Ahora bien, </w:t>
      </w:r>
      <w:r w:rsidR="00ED0727">
        <w:rPr>
          <w:rFonts w:ascii="Times New Roman" w:hAnsi="Times New Roman"/>
          <w:bCs/>
        </w:rPr>
        <w:t xml:space="preserve">la forma en que estos principios se hacen efectivos depende de la celebración del juicio oral pues habrá que determinar si los juicios virtuales pueden cumplir con los mismos o su implementación conlleva </w:t>
      </w:r>
      <w:r w:rsidR="00F95D99">
        <w:rPr>
          <w:rFonts w:ascii="Times New Roman" w:hAnsi="Times New Roman"/>
          <w:bCs/>
        </w:rPr>
        <w:t xml:space="preserve">su </w:t>
      </w:r>
      <w:r w:rsidR="00ED0727">
        <w:rPr>
          <w:rFonts w:ascii="Times New Roman" w:hAnsi="Times New Roman"/>
          <w:bCs/>
        </w:rPr>
        <w:t xml:space="preserve">afectación y, como consecuencia de ello, resultan menoscabadas </w:t>
      </w:r>
      <w:r w:rsidR="00F95D99">
        <w:rPr>
          <w:rFonts w:ascii="Times New Roman" w:hAnsi="Times New Roman"/>
          <w:bCs/>
        </w:rPr>
        <w:t xml:space="preserve">también </w:t>
      </w:r>
      <w:r w:rsidR="00ED0727">
        <w:rPr>
          <w:rFonts w:ascii="Times New Roman" w:hAnsi="Times New Roman"/>
          <w:bCs/>
        </w:rPr>
        <w:t xml:space="preserve">las </w:t>
      </w:r>
      <w:r w:rsidR="004A534E">
        <w:rPr>
          <w:rFonts w:ascii="Times New Roman" w:hAnsi="Times New Roman"/>
          <w:bCs/>
        </w:rPr>
        <w:t>garantías constitucionales.</w:t>
      </w:r>
      <w:r w:rsidR="00E036BD">
        <w:rPr>
          <w:rFonts w:ascii="Times New Roman" w:hAnsi="Times New Roman"/>
          <w:bCs/>
        </w:rPr>
        <w:t xml:space="preserve"> </w:t>
      </w:r>
    </w:p>
    <w:p w:rsidR="00ED0727" w:rsidRDefault="00ED0727" w:rsidP="00ED0727">
      <w:pPr>
        <w:pStyle w:val="Listavistosa-nfasis11"/>
        <w:spacing w:line="360" w:lineRule="auto"/>
        <w:ind w:left="0"/>
        <w:jc w:val="both"/>
        <w:rPr>
          <w:rFonts w:ascii="Times New Roman" w:hAnsi="Times New Roman"/>
          <w:bCs/>
        </w:rPr>
      </w:pPr>
    </w:p>
    <w:p w:rsidR="00ED0727" w:rsidRPr="00ED0727" w:rsidRDefault="00ED0727" w:rsidP="00ED0727">
      <w:pPr>
        <w:pStyle w:val="Listavistosa-nfasis11"/>
        <w:numPr>
          <w:ilvl w:val="0"/>
          <w:numId w:val="22"/>
        </w:numPr>
        <w:spacing w:line="360" w:lineRule="auto"/>
        <w:jc w:val="both"/>
        <w:rPr>
          <w:rFonts w:ascii="Times New Roman" w:hAnsi="Times New Roman"/>
          <w:bCs/>
        </w:rPr>
      </w:pPr>
      <w:r>
        <w:rPr>
          <w:rFonts w:ascii="Times New Roman" w:hAnsi="Times New Roman"/>
          <w:bCs/>
        </w:rPr>
        <w:t xml:space="preserve">JUICIO ORAL </w:t>
      </w:r>
      <w:r w:rsidR="00630167">
        <w:rPr>
          <w:rFonts w:ascii="Times New Roman" w:hAnsi="Times New Roman"/>
          <w:bCs/>
        </w:rPr>
        <w:t xml:space="preserve">VIRTUAL </w:t>
      </w:r>
    </w:p>
    <w:p w:rsidR="00F2425B" w:rsidRDefault="0067135A" w:rsidP="00692021">
      <w:pPr>
        <w:pStyle w:val="Listavistosa-nfasis11"/>
        <w:spacing w:line="360" w:lineRule="auto"/>
        <w:ind w:left="0" w:firstLine="426"/>
        <w:jc w:val="both"/>
        <w:rPr>
          <w:rFonts w:ascii="Times New Roman" w:hAnsi="Times New Roman"/>
          <w:bCs/>
          <w:i/>
          <w:iCs/>
        </w:rPr>
      </w:pPr>
      <w:r>
        <w:rPr>
          <w:rFonts w:ascii="Times New Roman" w:hAnsi="Times New Roman"/>
          <w:bCs/>
        </w:rPr>
        <w:t xml:space="preserve">Como </w:t>
      </w:r>
      <w:r w:rsidR="00ED0727">
        <w:rPr>
          <w:rFonts w:ascii="Times New Roman" w:hAnsi="Times New Roman"/>
          <w:bCs/>
        </w:rPr>
        <w:t xml:space="preserve">ya </w:t>
      </w:r>
      <w:r>
        <w:rPr>
          <w:rFonts w:ascii="Times New Roman" w:hAnsi="Times New Roman"/>
          <w:bCs/>
        </w:rPr>
        <w:t xml:space="preserve">hice referencia </w:t>
      </w:r>
      <w:r w:rsidR="00ED0727">
        <w:rPr>
          <w:rFonts w:ascii="Times New Roman" w:hAnsi="Times New Roman"/>
          <w:bCs/>
        </w:rPr>
        <w:t xml:space="preserve">en la </w:t>
      </w:r>
      <w:r w:rsidR="00F95D99">
        <w:rPr>
          <w:rFonts w:ascii="Times New Roman" w:hAnsi="Times New Roman"/>
          <w:bCs/>
        </w:rPr>
        <w:t xml:space="preserve">anterior </w:t>
      </w:r>
      <w:r w:rsidR="00ED0727">
        <w:rPr>
          <w:rFonts w:ascii="Times New Roman" w:hAnsi="Times New Roman"/>
          <w:bCs/>
        </w:rPr>
        <w:t xml:space="preserve">investigación </w:t>
      </w:r>
      <w:r w:rsidR="00554CB9">
        <w:rPr>
          <w:rFonts w:ascii="Times New Roman" w:hAnsi="Times New Roman"/>
          <w:bCs/>
        </w:rPr>
        <w:t>ya citada</w:t>
      </w:r>
      <w:r>
        <w:rPr>
          <w:rFonts w:ascii="Times New Roman" w:hAnsi="Times New Roman"/>
          <w:bCs/>
        </w:rPr>
        <w:t xml:space="preserve">, en todos los países alrededor del mundo, </w:t>
      </w:r>
      <w:r w:rsidR="00A04863">
        <w:rPr>
          <w:rFonts w:ascii="Times New Roman" w:hAnsi="Times New Roman"/>
          <w:bCs/>
        </w:rPr>
        <w:t xml:space="preserve">las actividades y la vida en general de las personas sufrió un </w:t>
      </w:r>
      <w:r w:rsidR="00A04863">
        <w:rPr>
          <w:rFonts w:ascii="Times New Roman" w:hAnsi="Times New Roman"/>
          <w:bCs/>
        </w:rPr>
        <w:lastRenderedPageBreak/>
        <w:t xml:space="preserve">abrupto cambio a partir de la situación de pandemia por </w:t>
      </w:r>
      <w:r w:rsidR="00F95D99">
        <w:rPr>
          <w:rFonts w:ascii="Times New Roman" w:hAnsi="Times New Roman"/>
          <w:bCs/>
        </w:rPr>
        <w:t>c</w:t>
      </w:r>
      <w:r w:rsidR="00A04863">
        <w:rPr>
          <w:rFonts w:ascii="Times New Roman" w:hAnsi="Times New Roman"/>
          <w:bCs/>
        </w:rPr>
        <w:t xml:space="preserve">ovid-19. Frente a la paralización generalizada el desafío de la Justicia fue lograr establecer un modo en que se pudiera seguir </w:t>
      </w:r>
      <w:r w:rsidR="00F95D99">
        <w:rPr>
          <w:rFonts w:ascii="Times New Roman" w:hAnsi="Times New Roman"/>
          <w:bCs/>
        </w:rPr>
        <w:t>A</w:t>
      </w:r>
      <w:r w:rsidR="00A04863">
        <w:rPr>
          <w:rFonts w:ascii="Times New Roman" w:hAnsi="Times New Roman"/>
          <w:bCs/>
        </w:rPr>
        <w:t xml:space="preserve">dministrando </w:t>
      </w:r>
      <w:r w:rsidR="00F95D99">
        <w:rPr>
          <w:rFonts w:ascii="Times New Roman" w:hAnsi="Times New Roman"/>
          <w:bCs/>
        </w:rPr>
        <w:t>J</w:t>
      </w:r>
      <w:r w:rsidR="00A04863">
        <w:rPr>
          <w:rFonts w:ascii="Times New Roman" w:hAnsi="Times New Roman"/>
          <w:bCs/>
        </w:rPr>
        <w:t>usticia sin poner en riesgo la salud de las personas.</w:t>
      </w:r>
      <w:r w:rsidR="00237672">
        <w:rPr>
          <w:rFonts w:ascii="Times New Roman" w:hAnsi="Times New Roman"/>
          <w:bCs/>
        </w:rPr>
        <w:t xml:space="preserve"> Indudablemente no era posible pensar en la paralización de la Justicia pues</w:t>
      </w:r>
      <w:r w:rsidR="00773099">
        <w:rPr>
          <w:rFonts w:ascii="Times New Roman" w:hAnsi="Times New Roman"/>
          <w:bCs/>
        </w:rPr>
        <w:t>,</w:t>
      </w:r>
      <w:r w:rsidR="00237672">
        <w:rPr>
          <w:rFonts w:ascii="Times New Roman" w:hAnsi="Times New Roman"/>
          <w:bCs/>
        </w:rPr>
        <w:t xml:space="preserve"> </w:t>
      </w:r>
      <w:r w:rsidR="00773099">
        <w:rPr>
          <w:rFonts w:ascii="Times New Roman" w:hAnsi="Times New Roman"/>
          <w:bCs/>
        </w:rPr>
        <w:t xml:space="preserve">como sostenía Rua en aquel momento, </w:t>
      </w:r>
      <w:r w:rsidR="00773099">
        <w:rPr>
          <w:rFonts w:ascii="Times New Roman" w:hAnsi="Times New Roman"/>
          <w:bCs/>
          <w:i/>
          <w:iCs/>
        </w:rPr>
        <w:t>[s]i abandonamos la función principal de la Justicia de gestionar los conflictos, éstos van a ser reconducidos y gestionados a través de otras formas y otros actores. En concreto, el apartamiento del Estado en la resolución de los conflictos, es decir la parálisis del Estado en esta función principal, generará de por sí la absorción de la violencia a través de formas privadas de ejercicio. Serán los involucrados o terceros quienes aplicarán la violencia generándose un sistema subterráneo de gestión de conflictos a través de la ley del más fuerte</w:t>
      </w:r>
      <w:r w:rsidR="00773099">
        <w:rPr>
          <w:rStyle w:val="Refdenotaalpie"/>
          <w:rFonts w:ascii="Times New Roman" w:hAnsi="Times New Roman"/>
          <w:bCs/>
          <w:i/>
          <w:iCs/>
        </w:rPr>
        <w:footnoteReference w:id="16"/>
      </w:r>
      <w:r w:rsidR="00F2425B">
        <w:rPr>
          <w:rFonts w:ascii="Times New Roman" w:hAnsi="Times New Roman"/>
          <w:bCs/>
          <w:i/>
          <w:iCs/>
        </w:rPr>
        <w:t>.</w:t>
      </w:r>
    </w:p>
    <w:p w:rsidR="00836AB8" w:rsidRPr="00692021" w:rsidRDefault="00F2425B" w:rsidP="00692021">
      <w:pPr>
        <w:pStyle w:val="Listavistosa-nfasis11"/>
        <w:spacing w:line="360" w:lineRule="auto"/>
        <w:ind w:left="0" w:firstLine="426"/>
        <w:jc w:val="both"/>
        <w:rPr>
          <w:rFonts w:ascii="Times New Roman" w:hAnsi="Times New Roman"/>
          <w:bCs/>
          <w:i/>
          <w:iCs/>
        </w:rPr>
      </w:pPr>
      <w:r>
        <w:rPr>
          <w:rFonts w:ascii="Times New Roman" w:hAnsi="Times New Roman"/>
          <w:bCs/>
        </w:rPr>
        <w:t>En efecto, ante la incertidumbre de no saber el tiempo en que se iba a mantener dicha emergencia sanitaria, no se podía dejar a las víctimas</w:t>
      </w:r>
      <w:r w:rsidR="001F244B">
        <w:rPr>
          <w:rFonts w:ascii="Times New Roman" w:hAnsi="Times New Roman"/>
          <w:bCs/>
        </w:rPr>
        <w:t>, sobretodo aquellas especialmente vulnerables, sin protección judicial</w:t>
      </w:r>
      <w:r w:rsidR="00AF6C48">
        <w:rPr>
          <w:rFonts w:ascii="Times New Roman" w:hAnsi="Times New Roman"/>
          <w:bCs/>
        </w:rPr>
        <w:t>. No podía dejar de evaluarse</w:t>
      </w:r>
      <w:r w:rsidR="00F95D99">
        <w:rPr>
          <w:rFonts w:ascii="Times New Roman" w:hAnsi="Times New Roman"/>
          <w:bCs/>
        </w:rPr>
        <w:t>, además,</w:t>
      </w:r>
      <w:r w:rsidR="00AF6C48">
        <w:rPr>
          <w:rFonts w:ascii="Times New Roman" w:hAnsi="Times New Roman"/>
          <w:bCs/>
        </w:rPr>
        <w:t xml:space="preserve"> que la situación de encierro </w:t>
      </w:r>
      <w:r w:rsidR="00F95D99">
        <w:rPr>
          <w:rFonts w:ascii="Times New Roman" w:hAnsi="Times New Roman"/>
          <w:bCs/>
        </w:rPr>
        <w:t xml:space="preserve">en la que se encontraba toda la sociedad </w:t>
      </w:r>
      <w:r w:rsidR="00AF6C48">
        <w:rPr>
          <w:rFonts w:ascii="Times New Roman" w:hAnsi="Times New Roman"/>
          <w:bCs/>
        </w:rPr>
        <w:t xml:space="preserve">podía generar </w:t>
      </w:r>
      <w:r w:rsidR="001F244B">
        <w:rPr>
          <w:rFonts w:ascii="Times New Roman" w:hAnsi="Times New Roman"/>
          <w:bCs/>
        </w:rPr>
        <w:t xml:space="preserve">un aumento de determinados tipos de delitos </w:t>
      </w:r>
      <w:r w:rsidR="00AF6C48">
        <w:rPr>
          <w:rFonts w:ascii="Times New Roman" w:hAnsi="Times New Roman"/>
          <w:bCs/>
        </w:rPr>
        <w:t xml:space="preserve">especialmente violentos como los supuestos de violencia de género. Es por ello </w:t>
      </w:r>
      <w:r w:rsidR="007115D2">
        <w:rPr>
          <w:rFonts w:ascii="Times New Roman" w:hAnsi="Times New Roman"/>
          <w:bCs/>
        </w:rPr>
        <w:t>por lo que</w:t>
      </w:r>
      <w:r w:rsidR="00AF6C48">
        <w:rPr>
          <w:rFonts w:ascii="Times New Roman" w:hAnsi="Times New Roman"/>
          <w:bCs/>
        </w:rPr>
        <w:t>, con</w:t>
      </w:r>
      <w:r w:rsidR="00665F26">
        <w:rPr>
          <w:rFonts w:ascii="Times New Roman" w:hAnsi="Times New Roman"/>
          <w:bCs/>
        </w:rPr>
        <w:t xml:space="preserve"> mayores o menores matices, </w:t>
      </w:r>
      <w:r w:rsidR="00607FBB">
        <w:rPr>
          <w:rFonts w:ascii="Times New Roman" w:hAnsi="Times New Roman"/>
          <w:bCs/>
        </w:rPr>
        <w:t>los Poderes Judiciales de</w:t>
      </w:r>
      <w:r w:rsidR="00665F26">
        <w:rPr>
          <w:rFonts w:ascii="Times New Roman" w:hAnsi="Times New Roman"/>
          <w:bCs/>
        </w:rPr>
        <w:t xml:space="preserve"> </w:t>
      </w:r>
      <w:r w:rsidR="005C2245">
        <w:rPr>
          <w:rFonts w:ascii="Times New Roman" w:hAnsi="Times New Roman"/>
          <w:bCs/>
        </w:rPr>
        <w:t>l</w:t>
      </w:r>
      <w:r w:rsidR="00665F26">
        <w:rPr>
          <w:rFonts w:ascii="Times New Roman" w:hAnsi="Times New Roman"/>
          <w:bCs/>
        </w:rPr>
        <w:t xml:space="preserve">as distintas provincias </w:t>
      </w:r>
      <w:r w:rsidR="005C2245">
        <w:rPr>
          <w:rFonts w:ascii="Times New Roman" w:hAnsi="Times New Roman"/>
          <w:bCs/>
        </w:rPr>
        <w:t>dispusieron la utilización</w:t>
      </w:r>
      <w:r w:rsidR="00665F26">
        <w:rPr>
          <w:rFonts w:ascii="Times New Roman" w:hAnsi="Times New Roman"/>
          <w:bCs/>
        </w:rPr>
        <w:t xml:space="preserve"> </w:t>
      </w:r>
      <w:r w:rsidR="002C46AC">
        <w:rPr>
          <w:rFonts w:ascii="Times New Roman" w:hAnsi="Times New Roman"/>
          <w:bCs/>
        </w:rPr>
        <w:t>de los medios digitales para poder llevar a cabo la actividad procesal. Así</w:t>
      </w:r>
      <w:r w:rsidR="00F95D99">
        <w:rPr>
          <w:rFonts w:ascii="Times New Roman" w:hAnsi="Times New Roman"/>
          <w:bCs/>
        </w:rPr>
        <w:t>,</w:t>
      </w:r>
      <w:r w:rsidR="000B6E88">
        <w:rPr>
          <w:rFonts w:ascii="Times New Roman" w:hAnsi="Times New Roman"/>
          <w:bCs/>
        </w:rPr>
        <w:t xml:space="preserve"> </w:t>
      </w:r>
      <w:r w:rsidR="00607FBB">
        <w:rPr>
          <w:rFonts w:ascii="Times New Roman" w:hAnsi="Times New Roman"/>
          <w:bCs/>
        </w:rPr>
        <w:t>algunos admitieron la posibilidad de desarrollar las audiencias más urgentes, fundamentalmente aquellas que tuvieran por objeto resolver sobre la privación de libertad de las personas sometidas a proceso</w:t>
      </w:r>
      <w:r w:rsidR="00AF6C48">
        <w:rPr>
          <w:rFonts w:ascii="Times New Roman" w:hAnsi="Times New Roman"/>
          <w:bCs/>
        </w:rPr>
        <w:t xml:space="preserve"> pero, en otras provincias como es el caso de Mendoza, se habilitó la posibilidad de llevar adelante los juicios mediante medios telemáticos como </w:t>
      </w:r>
      <w:r w:rsidR="00AF6C48">
        <w:rPr>
          <w:rFonts w:ascii="Times New Roman" w:hAnsi="Times New Roman"/>
          <w:bCs/>
          <w:i/>
          <w:iCs/>
        </w:rPr>
        <w:t>Skype o Teams.</w:t>
      </w:r>
    </w:p>
    <w:p w:rsidR="008E21CE" w:rsidRDefault="000B6E88" w:rsidP="00692021">
      <w:pPr>
        <w:pStyle w:val="Listavistosa-nfasis11"/>
        <w:spacing w:line="360" w:lineRule="auto"/>
        <w:ind w:left="0" w:firstLine="426"/>
        <w:jc w:val="both"/>
        <w:rPr>
          <w:rFonts w:ascii="Times New Roman" w:hAnsi="Times New Roman"/>
          <w:bCs/>
        </w:rPr>
      </w:pPr>
      <w:r>
        <w:rPr>
          <w:rFonts w:ascii="Times New Roman" w:hAnsi="Times New Roman"/>
          <w:bCs/>
        </w:rPr>
        <w:t xml:space="preserve">Para organizar esta nueva forma de trabajo y, sobretodo, para dotar de legitimidad a la actividad así desarrollada se establecieron diferentes protocolos a fin de </w:t>
      </w:r>
      <w:r w:rsidR="006905CB">
        <w:rPr>
          <w:rFonts w:ascii="Times New Roman" w:hAnsi="Times New Roman"/>
          <w:bCs/>
        </w:rPr>
        <w:t>posibilitar que la audiencia virtual, en la mayor medida posible, resguard</w:t>
      </w:r>
      <w:r w:rsidR="00F95D99">
        <w:rPr>
          <w:rFonts w:ascii="Times New Roman" w:hAnsi="Times New Roman"/>
          <w:bCs/>
        </w:rPr>
        <w:t>ara</w:t>
      </w:r>
      <w:r w:rsidR="006905CB">
        <w:rPr>
          <w:rFonts w:ascii="Times New Roman" w:hAnsi="Times New Roman"/>
          <w:bCs/>
        </w:rPr>
        <w:t xml:space="preserve"> los principios que rigen en el juicio común. De esta manera, </w:t>
      </w:r>
      <w:r w:rsidR="00497612">
        <w:rPr>
          <w:rFonts w:ascii="Times New Roman" w:hAnsi="Times New Roman"/>
          <w:bCs/>
        </w:rPr>
        <w:t>se estableció que todas las partes debían encontrarse en un lugar donde no hubiera interferencia de terceras personas e igualmente los testigos debían declarar en estas condiciones para evitar que alguien pudiera influir en su declaración. Se debía garantizar que el testigo fuera interrumpido y no continuase declarando cuando alguna de las partes objeta</w:t>
      </w:r>
      <w:r w:rsidR="00F95D99">
        <w:rPr>
          <w:rFonts w:ascii="Times New Roman" w:hAnsi="Times New Roman"/>
          <w:bCs/>
        </w:rPr>
        <w:t>ra</w:t>
      </w:r>
      <w:r w:rsidR="00497612">
        <w:rPr>
          <w:rFonts w:ascii="Times New Roman" w:hAnsi="Times New Roman"/>
          <w:bCs/>
        </w:rPr>
        <w:t xml:space="preserve"> alguna pregunta. Vinculado con el derecho de defensa, los protocolos preveían la posibilidad de que el </w:t>
      </w:r>
      <w:r w:rsidR="00497612">
        <w:rPr>
          <w:rFonts w:ascii="Times New Roman" w:hAnsi="Times New Roman"/>
          <w:bCs/>
        </w:rPr>
        <w:lastRenderedPageBreak/>
        <w:t>defensor se encontrara en el mismo espacio físico que el imputado y si ello no era viable, por ejemplo, por encontrarse alojado en un establecimiento penitenciario pues, entonces, debían tener una vía de comunicación directa</w:t>
      </w:r>
      <w:r w:rsidR="0033436B">
        <w:rPr>
          <w:rFonts w:ascii="Times New Roman" w:hAnsi="Times New Roman"/>
          <w:bCs/>
        </w:rPr>
        <w:t xml:space="preserve"> y privada que les permitiera estar en permanente contacto durante el desarrollo de la audiencia.</w:t>
      </w:r>
      <w:r w:rsidR="008E21CE">
        <w:rPr>
          <w:rFonts w:ascii="Times New Roman" w:hAnsi="Times New Roman"/>
          <w:bCs/>
        </w:rPr>
        <w:t xml:space="preserve"> </w:t>
      </w:r>
      <w:r w:rsidR="0033436B">
        <w:rPr>
          <w:rFonts w:ascii="Times New Roman" w:hAnsi="Times New Roman"/>
          <w:bCs/>
        </w:rPr>
        <w:t>A fin de garantizar la publicidad</w:t>
      </w:r>
      <w:r w:rsidR="00F95D99">
        <w:rPr>
          <w:rFonts w:ascii="Times New Roman" w:hAnsi="Times New Roman"/>
          <w:bCs/>
        </w:rPr>
        <w:t>,</w:t>
      </w:r>
      <w:r w:rsidR="0033436B">
        <w:rPr>
          <w:rFonts w:ascii="Times New Roman" w:hAnsi="Times New Roman"/>
          <w:bCs/>
        </w:rPr>
        <w:t xml:space="preserve"> </w:t>
      </w:r>
      <w:r w:rsidR="00084C94">
        <w:rPr>
          <w:rFonts w:ascii="Times New Roman" w:hAnsi="Times New Roman"/>
          <w:bCs/>
        </w:rPr>
        <w:t>requerida constitucional y convencionalmente</w:t>
      </w:r>
      <w:r w:rsidR="00F95D99">
        <w:rPr>
          <w:rFonts w:ascii="Times New Roman" w:hAnsi="Times New Roman"/>
          <w:bCs/>
        </w:rPr>
        <w:t>,</w:t>
      </w:r>
      <w:r w:rsidR="00084C94">
        <w:rPr>
          <w:rFonts w:ascii="Times New Roman" w:hAnsi="Times New Roman"/>
          <w:bCs/>
        </w:rPr>
        <w:t xml:space="preserve"> se previeron distintas opciones según las capacidades tecnológicas existentes. En </w:t>
      </w:r>
      <w:r w:rsidR="008E21CE">
        <w:rPr>
          <w:rFonts w:ascii="Times New Roman" w:hAnsi="Times New Roman"/>
          <w:bCs/>
        </w:rPr>
        <w:t>tanto fuera posible podía realizarse en vivo y si ello no era así, la transmisión podía ser en diferido a través de los canales de comunicación oficiales como si se tratase de un juicio oral presencial. Asimismo todas las audiencias debían ser grabadas y resguardadas garantizando su autenticidad.</w:t>
      </w:r>
    </w:p>
    <w:p w:rsidR="00E31468" w:rsidRDefault="00AF6C48" w:rsidP="00692021">
      <w:pPr>
        <w:pStyle w:val="Listavistosa-nfasis11"/>
        <w:spacing w:line="360" w:lineRule="auto"/>
        <w:ind w:left="0" w:firstLine="426"/>
        <w:jc w:val="both"/>
        <w:rPr>
          <w:rFonts w:ascii="Times New Roman" w:hAnsi="Times New Roman"/>
          <w:bCs/>
        </w:rPr>
      </w:pPr>
      <w:r>
        <w:rPr>
          <w:rFonts w:ascii="Times New Roman" w:hAnsi="Times New Roman"/>
          <w:bCs/>
        </w:rPr>
        <w:t xml:space="preserve">A fin de llevar a cabo la actividad en esta modalidad, en algunas jurisdicciones se requirió el consentimiento de los intervinientes pero en otras no en el </w:t>
      </w:r>
      <w:r w:rsidR="004943B8">
        <w:rPr>
          <w:rFonts w:ascii="Times New Roman" w:hAnsi="Times New Roman"/>
          <w:bCs/>
        </w:rPr>
        <w:t xml:space="preserve">entendimiento de que, ante la imposibilidad de determinar el momento a partir del cual se iba a poder retomar la actividad presencial, se justificaba la </w:t>
      </w:r>
      <w:r w:rsidR="00E31468">
        <w:rPr>
          <w:rFonts w:ascii="Times New Roman" w:hAnsi="Times New Roman"/>
          <w:bCs/>
        </w:rPr>
        <w:t>implementación de los juicios virtuales pues la demora en realizar el acto podía acarrear graves violaciones a garantías constitucionales no s</w:t>
      </w:r>
      <w:r w:rsidR="00F95D99">
        <w:rPr>
          <w:rFonts w:ascii="Times New Roman" w:hAnsi="Times New Roman"/>
          <w:bCs/>
        </w:rPr>
        <w:t>ó</w:t>
      </w:r>
      <w:r w:rsidR="00E31468">
        <w:rPr>
          <w:rFonts w:ascii="Times New Roman" w:hAnsi="Times New Roman"/>
          <w:bCs/>
        </w:rPr>
        <w:t>lo de los imputados sino también de las víctimas.</w:t>
      </w:r>
      <w:r w:rsidR="006C4609">
        <w:rPr>
          <w:rFonts w:ascii="Times New Roman" w:hAnsi="Times New Roman"/>
          <w:bCs/>
        </w:rPr>
        <w:t xml:space="preserve"> En este aspecto Langevin</w:t>
      </w:r>
      <w:r w:rsidR="00A246D0">
        <w:rPr>
          <w:rStyle w:val="Refdenotaalpie"/>
          <w:rFonts w:ascii="Times New Roman" w:hAnsi="Times New Roman"/>
          <w:bCs/>
        </w:rPr>
        <w:footnoteReference w:id="17"/>
      </w:r>
      <w:r w:rsidR="006C4609">
        <w:rPr>
          <w:rFonts w:ascii="Times New Roman" w:hAnsi="Times New Roman"/>
          <w:bCs/>
        </w:rPr>
        <w:t xml:space="preserve"> </w:t>
      </w:r>
      <w:r>
        <w:rPr>
          <w:rFonts w:ascii="Times New Roman" w:hAnsi="Times New Roman"/>
          <w:bCs/>
        </w:rPr>
        <w:t xml:space="preserve">criticó esta práctica por </w:t>
      </w:r>
      <w:r w:rsidR="006C4609">
        <w:rPr>
          <w:rFonts w:ascii="Times New Roman" w:hAnsi="Times New Roman"/>
          <w:bCs/>
        </w:rPr>
        <w:t>considera</w:t>
      </w:r>
      <w:r>
        <w:rPr>
          <w:rFonts w:ascii="Times New Roman" w:hAnsi="Times New Roman"/>
          <w:bCs/>
        </w:rPr>
        <w:t>r</w:t>
      </w:r>
      <w:r w:rsidR="006C4609">
        <w:rPr>
          <w:rFonts w:ascii="Times New Roman" w:hAnsi="Times New Roman"/>
          <w:bCs/>
        </w:rPr>
        <w:t xml:space="preserve"> que el consentimiento del imputado </w:t>
      </w:r>
      <w:r w:rsidR="006D24D7">
        <w:rPr>
          <w:rFonts w:ascii="Times New Roman" w:hAnsi="Times New Roman"/>
          <w:bCs/>
        </w:rPr>
        <w:t xml:space="preserve">resulta </w:t>
      </w:r>
      <w:r w:rsidR="006C4609">
        <w:rPr>
          <w:rFonts w:ascii="Times New Roman" w:hAnsi="Times New Roman"/>
          <w:bCs/>
        </w:rPr>
        <w:t xml:space="preserve">ineludible en tanto el juicio virtual implica </w:t>
      </w:r>
      <w:r w:rsidR="00A246D0">
        <w:rPr>
          <w:rFonts w:ascii="Times New Roman" w:hAnsi="Times New Roman"/>
          <w:bCs/>
        </w:rPr>
        <w:t>una restricción</w:t>
      </w:r>
      <w:r w:rsidR="006C4609">
        <w:rPr>
          <w:rFonts w:ascii="Times New Roman" w:hAnsi="Times New Roman"/>
          <w:bCs/>
        </w:rPr>
        <w:t xml:space="preserve"> de enormes proporciones porque impacta en casi todos los componentes básicos del debido proceso y</w:t>
      </w:r>
      <w:r w:rsidR="006D24D7">
        <w:rPr>
          <w:rFonts w:ascii="Times New Roman" w:hAnsi="Times New Roman"/>
          <w:bCs/>
        </w:rPr>
        <w:t>,</w:t>
      </w:r>
      <w:r w:rsidR="006C4609">
        <w:rPr>
          <w:rFonts w:ascii="Times New Roman" w:hAnsi="Times New Roman"/>
          <w:bCs/>
        </w:rPr>
        <w:t xml:space="preserve"> así como se requiere el consentimiento del imputado para un juicio abreviado, igualmente debería requerírsele para poder llevar a cabo el juicio </w:t>
      </w:r>
      <w:r w:rsidR="00A246D0">
        <w:rPr>
          <w:rFonts w:ascii="Times New Roman" w:hAnsi="Times New Roman"/>
          <w:bCs/>
        </w:rPr>
        <w:t>mediante plataformas virtuales.</w:t>
      </w:r>
    </w:p>
    <w:p w:rsidR="00630167" w:rsidRDefault="00AF6C48" w:rsidP="00630167">
      <w:pPr>
        <w:pStyle w:val="Listavistosa-nfasis11"/>
        <w:spacing w:line="360" w:lineRule="auto"/>
        <w:ind w:left="0" w:firstLine="426"/>
        <w:jc w:val="both"/>
        <w:rPr>
          <w:rFonts w:ascii="Times New Roman" w:hAnsi="Times New Roman"/>
          <w:bCs/>
        </w:rPr>
      </w:pPr>
      <w:r>
        <w:rPr>
          <w:rFonts w:ascii="Times New Roman" w:hAnsi="Times New Roman"/>
          <w:bCs/>
        </w:rPr>
        <w:t xml:space="preserve">Todo ello podía resultar explicable y </w:t>
      </w:r>
      <w:r w:rsidR="00692021">
        <w:rPr>
          <w:rFonts w:ascii="Times New Roman" w:hAnsi="Times New Roman"/>
          <w:bCs/>
        </w:rPr>
        <w:t>razonable</w:t>
      </w:r>
      <w:r>
        <w:rPr>
          <w:rFonts w:ascii="Times New Roman" w:hAnsi="Times New Roman"/>
          <w:bCs/>
        </w:rPr>
        <w:t xml:space="preserve"> en una situación de emergencia sanitaria como la vivida pues era necesario que se siguiera brindando el servicio de Justicia </w:t>
      </w:r>
      <w:r w:rsidR="00440DA9">
        <w:rPr>
          <w:rFonts w:ascii="Times New Roman" w:hAnsi="Times New Roman"/>
          <w:bCs/>
        </w:rPr>
        <w:t>a toda la sociedad</w:t>
      </w:r>
      <w:r>
        <w:rPr>
          <w:rFonts w:ascii="Times New Roman" w:hAnsi="Times New Roman"/>
          <w:bCs/>
        </w:rPr>
        <w:t xml:space="preserve"> pero no se puede decir lo mismo cuando ese momento crítico ya ha pasado</w:t>
      </w:r>
      <w:r w:rsidR="00AA6B59">
        <w:rPr>
          <w:rFonts w:ascii="Times New Roman" w:hAnsi="Times New Roman"/>
          <w:bCs/>
        </w:rPr>
        <w:t xml:space="preserve">. En la actualidad, </w:t>
      </w:r>
      <w:r>
        <w:rPr>
          <w:rFonts w:ascii="Times New Roman" w:hAnsi="Times New Roman"/>
          <w:bCs/>
        </w:rPr>
        <w:t xml:space="preserve">nada impide realizar </w:t>
      </w:r>
      <w:r w:rsidR="00692021">
        <w:rPr>
          <w:rFonts w:ascii="Times New Roman" w:hAnsi="Times New Roman"/>
          <w:bCs/>
        </w:rPr>
        <w:t>un juicio oral con la presencia física de todas las partes intervinientes</w:t>
      </w:r>
      <w:r w:rsidR="00883EE1">
        <w:rPr>
          <w:rFonts w:ascii="Times New Roman" w:hAnsi="Times New Roman"/>
          <w:bCs/>
        </w:rPr>
        <w:t xml:space="preserve"> sin ningún tipo de riesgo para </w:t>
      </w:r>
      <w:r w:rsidR="00AA6B59">
        <w:rPr>
          <w:rFonts w:ascii="Times New Roman" w:hAnsi="Times New Roman"/>
          <w:bCs/>
        </w:rPr>
        <w:t>su</w:t>
      </w:r>
      <w:r w:rsidR="00883EE1">
        <w:rPr>
          <w:rFonts w:ascii="Times New Roman" w:hAnsi="Times New Roman"/>
          <w:bCs/>
        </w:rPr>
        <w:t xml:space="preserve"> salud</w:t>
      </w:r>
      <w:r w:rsidR="00AA6B59">
        <w:rPr>
          <w:rFonts w:ascii="Times New Roman" w:hAnsi="Times New Roman"/>
          <w:bCs/>
        </w:rPr>
        <w:t>, tal como se encuentra regulado en la ley</w:t>
      </w:r>
      <w:r w:rsidR="006D24D7">
        <w:rPr>
          <w:rFonts w:ascii="Times New Roman" w:hAnsi="Times New Roman"/>
          <w:bCs/>
        </w:rPr>
        <w:t>. Y esta manera de desarrollar el juicio es respetuosa de todas las garantías que se encuentran plasmadas en la Constitución Nacional y en l</w:t>
      </w:r>
      <w:r w:rsidR="000F2A02">
        <w:rPr>
          <w:rFonts w:ascii="Times New Roman" w:hAnsi="Times New Roman"/>
          <w:bCs/>
        </w:rPr>
        <w:t>a</w:t>
      </w:r>
      <w:r w:rsidR="006D24D7">
        <w:rPr>
          <w:rFonts w:ascii="Times New Roman" w:hAnsi="Times New Roman"/>
          <w:bCs/>
        </w:rPr>
        <w:t xml:space="preserve">s </w:t>
      </w:r>
      <w:r w:rsidR="000F2A02">
        <w:rPr>
          <w:rFonts w:ascii="Times New Roman" w:hAnsi="Times New Roman"/>
          <w:bCs/>
        </w:rPr>
        <w:t>Convenciones internacionales de protección de Derechos Humanos que</w:t>
      </w:r>
      <w:r w:rsidR="006D24D7">
        <w:rPr>
          <w:rFonts w:ascii="Times New Roman" w:hAnsi="Times New Roman"/>
          <w:bCs/>
        </w:rPr>
        <w:t xml:space="preserve"> han sido incorporad</w:t>
      </w:r>
      <w:r w:rsidR="000F2A02">
        <w:rPr>
          <w:rFonts w:ascii="Times New Roman" w:hAnsi="Times New Roman"/>
          <w:bCs/>
        </w:rPr>
        <w:t>a</w:t>
      </w:r>
      <w:r w:rsidR="006D24D7">
        <w:rPr>
          <w:rFonts w:ascii="Times New Roman" w:hAnsi="Times New Roman"/>
          <w:bCs/>
        </w:rPr>
        <w:t>s a la Constitución</w:t>
      </w:r>
      <w:r w:rsidR="000F2A02">
        <w:rPr>
          <w:rFonts w:ascii="Times New Roman" w:hAnsi="Times New Roman"/>
          <w:bCs/>
        </w:rPr>
        <w:t>.</w:t>
      </w:r>
    </w:p>
    <w:p w:rsidR="00630167" w:rsidRDefault="00630167" w:rsidP="00630167">
      <w:pPr>
        <w:pStyle w:val="Listavistosa-nfasis11"/>
        <w:spacing w:line="360" w:lineRule="auto"/>
        <w:ind w:left="0" w:firstLine="426"/>
        <w:jc w:val="both"/>
        <w:rPr>
          <w:rFonts w:ascii="Times New Roman" w:hAnsi="Times New Roman"/>
          <w:bCs/>
        </w:rPr>
      </w:pPr>
    </w:p>
    <w:p w:rsidR="00630167" w:rsidRPr="000F2A02" w:rsidRDefault="00630167" w:rsidP="00630167">
      <w:pPr>
        <w:pStyle w:val="Listavistosa-nfasis11"/>
        <w:spacing w:line="360" w:lineRule="auto"/>
        <w:ind w:left="0" w:firstLine="426"/>
        <w:jc w:val="both"/>
        <w:rPr>
          <w:rFonts w:ascii="Times New Roman" w:hAnsi="Times New Roman"/>
          <w:bCs/>
          <w:i/>
          <w:iCs/>
        </w:rPr>
      </w:pPr>
      <w:r w:rsidRPr="000F2A02">
        <w:rPr>
          <w:rFonts w:ascii="Times New Roman" w:hAnsi="Times New Roman"/>
          <w:bCs/>
          <w:i/>
          <w:iCs/>
        </w:rPr>
        <w:lastRenderedPageBreak/>
        <w:t>2.1 Principios procesales y virtualidad</w:t>
      </w:r>
    </w:p>
    <w:p w:rsidR="005850F3" w:rsidRDefault="00630167" w:rsidP="007115D2">
      <w:pPr>
        <w:pStyle w:val="Listavistosa-nfasis11"/>
        <w:spacing w:line="360" w:lineRule="auto"/>
        <w:ind w:left="0" w:firstLine="426"/>
        <w:jc w:val="both"/>
        <w:rPr>
          <w:rFonts w:ascii="Times New Roman" w:hAnsi="Times New Roman"/>
          <w:bCs/>
        </w:rPr>
      </w:pPr>
      <w:r>
        <w:rPr>
          <w:rFonts w:ascii="Times New Roman" w:hAnsi="Times New Roman"/>
          <w:bCs/>
        </w:rPr>
        <w:t xml:space="preserve">Dejando </w:t>
      </w:r>
      <w:r w:rsidR="007115D2">
        <w:rPr>
          <w:rFonts w:ascii="Times New Roman" w:hAnsi="Times New Roman"/>
          <w:bCs/>
        </w:rPr>
        <w:t xml:space="preserve">entonces de lado estados de excepcionalidad entiendo que corresponde hacer un análisis tanto de los principios como de las exigencias legales para determinar si es posible que el juicio oral sea desarrollado de manera virtual. Así, si se comienza por la propia letra de la ley, en general las leyes de procedimiento establecen que el debate oral será abierto con la presencia de todas las partes. </w:t>
      </w:r>
      <w:r w:rsidR="0030088B">
        <w:rPr>
          <w:rFonts w:ascii="Times New Roman" w:hAnsi="Times New Roman"/>
          <w:bCs/>
        </w:rPr>
        <w:t>En este sentido, Abraldes</w:t>
      </w:r>
      <w:r w:rsidR="0030088B">
        <w:rPr>
          <w:rStyle w:val="Refdenotaalpie"/>
          <w:rFonts w:ascii="Times New Roman" w:hAnsi="Times New Roman"/>
          <w:bCs/>
        </w:rPr>
        <w:footnoteReference w:id="18"/>
      </w:r>
      <w:r w:rsidR="0030088B">
        <w:rPr>
          <w:rFonts w:ascii="Times New Roman" w:hAnsi="Times New Roman"/>
          <w:bCs/>
        </w:rPr>
        <w:t xml:space="preserve"> hace referencia a </w:t>
      </w:r>
      <w:r w:rsidR="001025C1">
        <w:rPr>
          <w:rFonts w:ascii="Times New Roman" w:hAnsi="Times New Roman"/>
          <w:bCs/>
        </w:rPr>
        <w:t>la interpretación sistemática de todas las disposiciones normativas que permite afirmar la ineludible presencia física de las partes en el desarrollo de la audiencia</w:t>
      </w:r>
      <w:r w:rsidR="005850F3">
        <w:rPr>
          <w:rFonts w:ascii="Times New Roman" w:hAnsi="Times New Roman"/>
          <w:bCs/>
        </w:rPr>
        <w:t xml:space="preserve"> porque al hacer referencia a que el Tribunal se constituirá en la Sala de Audiencias y verificará la presencia de las partes constituyen un estándar que s</w:t>
      </w:r>
      <w:r w:rsidR="000F2A02">
        <w:rPr>
          <w:rFonts w:ascii="Times New Roman" w:hAnsi="Times New Roman"/>
          <w:bCs/>
        </w:rPr>
        <w:t>ó</w:t>
      </w:r>
      <w:r w:rsidR="005850F3">
        <w:rPr>
          <w:rFonts w:ascii="Times New Roman" w:hAnsi="Times New Roman"/>
          <w:bCs/>
        </w:rPr>
        <w:t xml:space="preserve">lo se puede verificar con la presencialidad. </w:t>
      </w:r>
    </w:p>
    <w:p w:rsidR="007115D2" w:rsidRDefault="005850F3" w:rsidP="007115D2">
      <w:pPr>
        <w:pStyle w:val="Listavistosa-nfasis11"/>
        <w:spacing w:line="360" w:lineRule="auto"/>
        <w:ind w:left="0" w:firstLine="426"/>
        <w:jc w:val="both"/>
        <w:rPr>
          <w:rFonts w:ascii="Times New Roman" w:hAnsi="Times New Roman"/>
          <w:bCs/>
        </w:rPr>
      </w:pPr>
      <w:r>
        <w:rPr>
          <w:rFonts w:ascii="Times New Roman" w:hAnsi="Times New Roman"/>
          <w:bCs/>
        </w:rPr>
        <w:t xml:space="preserve">Ello resulta entonces coincidente con la definición de presencia que brinda la RAE en tanto entiende que se refiere a </w:t>
      </w:r>
      <w:r w:rsidR="00164AC5">
        <w:rPr>
          <w:rFonts w:ascii="Times New Roman" w:hAnsi="Times New Roman"/>
          <w:bCs/>
          <w:i/>
          <w:iCs/>
        </w:rPr>
        <w:t>[a]sistencia personal, o estado de la persona que se halla delante de otra u otras o en el mismo sitio que ellas</w:t>
      </w:r>
      <w:r w:rsidR="00164AC5">
        <w:rPr>
          <w:rStyle w:val="Refdenotaalpie"/>
          <w:rFonts w:ascii="Times New Roman" w:hAnsi="Times New Roman"/>
          <w:bCs/>
          <w:i/>
          <w:iCs/>
        </w:rPr>
        <w:footnoteReference w:id="19"/>
      </w:r>
      <w:r w:rsidR="00164AC5">
        <w:rPr>
          <w:rFonts w:ascii="Times New Roman" w:hAnsi="Times New Roman"/>
          <w:bCs/>
          <w:i/>
          <w:iCs/>
        </w:rPr>
        <w:t>.</w:t>
      </w:r>
      <w:r w:rsidR="00164AC5">
        <w:rPr>
          <w:rFonts w:ascii="Times New Roman" w:hAnsi="Times New Roman"/>
          <w:bCs/>
        </w:rPr>
        <w:t xml:space="preserve"> No es posible darle una interpretación distinta al </w:t>
      </w:r>
      <w:r w:rsidR="00E207CE">
        <w:rPr>
          <w:rFonts w:ascii="Times New Roman" w:hAnsi="Times New Roman"/>
          <w:bCs/>
        </w:rPr>
        <w:t xml:space="preserve">vocablo presencia porque su significado alude justamente al espacio físico. </w:t>
      </w:r>
      <w:r w:rsidR="00164AC5">
        <w:rPr>
          <w:rFonts w:ascii="Times New Roman" w:hAnsi="Times New Roman"/>
          <w:bCs/>
          <w:i/>
          <w:iCs/>
        </w:rPr>
        <w:t xml:space="preserve"> </w:t>
      </w:r>
    </w:p>
    <w:p w:rsidR="00215274" w:rsidRDefault="00B55F12" w:rsidP="00DF1F11">
      <w:pPr>
        <w:pStyle w:val="Listavistosa-nfasis11"/>
        <w:spacing w:line="360" w:lineRule="auto"/>
        <w:ind w:left="0" w:firstLine="426"/>
        <w:jc w:val="both"/>
        <w:rPr>
          <w:rFonts w:ascii="Times New Roman" w:hAnsi="Times New Roman"/>
          <w:bCs/>
        </w:rPr>
      </w:pPr>
      <w:r>
        <w:rPr>
          <w:rFonts w:ascii="Times New Roman" w:hAnsi="Times New Roman"/>
          <w:bCs/>
        </w:rPr>
        <w:t xml:space="preserve">Por lo tanto, al ser </w:t>
      </w:r>
      <w:r w:rsidR="000F2A02">
        <w:rPr>
          <w:rFonts w:ascii="Times New Roman" w:hAnsi="Times New Roman"/>
          <w:bCs/>
        </w:rPr>
        <w:t>é</w:t>
      </w:r>
      <w:r>
        <w:rPr>
          <w:rFonts w:ascii="Times New Roman" w:hAnsi="Times New Roman"/>
          <w:bCs/>
        </w:rPr>
        <w:t>stas las exigencias establecidas en la ley</w:t>
      </w:r>
      <w:r w:rsidR="000F2A02">
        <w:rPr>
          <w:rFonts w:ascii="Times New Roman" w:hAnsi="Times New Roman"/>
          <w:bCs/>
        </w:rPr>
        <w:t>,</w:t>
      </w:r>
      <w:r>
        <w:rPr>
          <w:rFonts w:ascii="Times New Roman" w:hAnsi="Times New Roman"/>
          <w:bCs/>
        </w:rPr>
        <w:t xml:space="preserve"> las mismas no pueden verse modificadas por decisiones de rango inferior como pueden ser las resoluciones de los </w:t>
      </w:r>
      <w:r w:rsidR="000F2A02">
        <w:rPr>
          <w:rFonts w:ascii="Times New Roman" w:hAnsi="Times New Roman"/>
          <w:bCs/>
        </w:rPr>
        <w:t>M</w:t>
      </w:r>
      <w:r>
        <w:rPr>
          <w:rFonts w:ascii="Times New Roman" w:hAnsi="Times New Roman"/>
          <w:bCs/>
        </w:rPr>
        <w:t xml:space="preserve">áximos </w:t>
      </w:r>
      <w:r w:rsidR="000F2A02">
        <w:rPr>
          <w:rFonts w:ascii="Times New Roman" w:hAnsi="Times New Roman"/>
          <w:bCs/>
        </w:rPr>
        <w:t>T</w:t>
      </w:r>
      <w:r>
        <w:rPr>
          <w:rFonts w:ascii="Times New Roman" w:hAnsi="Times New Roman"/>
          <w:bCs/>
        </w:rPr>
        <w:t>ribunales de cada provincia o, incluso, de la Corte Suprema de Justicia de la Nación</w:t>
      </w:r>
      <w:r w:rsidR="007115D2">
        <w:rPr>
          <w:rFonts w:ascii="Times New Roman" w:hAnsi="Times New Roman"/>
          <w:bCs/>
        </w:rPr>
        <w:t xml:space="preserve"> que habiliten la realización del juicio de manera virtual por lo que, en la actualidad, sólo una reforma legislativa podría permitirlo</w:t>
      </w:r>
      <w:r w:rsidR="00DF1F11">
        <w:rPr>
          <w:rStyle w:val="Refdenotaalpie"/>
          <w:rFonts w:ascii="Times New Roman" w:hAnsi="Times New Roman"/>
          <w:bCs/>
        </w:rPr>
        <w:footnoteReference w:id="20"/>
      </w:r>
      <w:r w:rsidR="00DF1F11">
        <w:rPr>
          <w:rFonts w:ascii="Times New Roman" w:hAnsi="Times New Roman"/>
          <w:bCs/>
        </w:rPr>
        <w:t xml:space="preserve">. Ello es así pues, como bien afirma Ferrajoli, la legalidad de los procedimientos </w:t>
      </w:r>
      <w:r w:rsidR="00DF1F11">
        <w:rPr>
          <w:rFonts w:ascii="Times New Roman" w:hAnsi="Times New Roman"/>
          <w:bCs/>
          <w:i/>
          <w:iCs/>
        </w:rPr>
        <w:t>[…]exige que todas las actividades judiciales se desarrollen, bajo pena de nulidad, según un rito legalmente preestablecido</w:t>
      </w:r>
      <w:r w:rsidR="007115D2">
        <w:rPr>
          <w:rStyle w:val="Refdenotaalpie"/>
          <w:rFonts w:ascii="Times New Roman" w:hAnsi="Times New Roman"/>
          <w:bCs/>
        </w:rPr>
        <w:footnoteReference w:id="21"/>
      </w:r>
      <w:r w:rsidR="007115D2">
        <w:rPr>
          <w:rFonts w:ascii="Times New Roman" w:hAnsi="Times New Roman"/>
          <w:bCs/>
        </w:rPr>
        <w:t>.</w:t>
      </w:r>
    </w:p>
    <w:p w:rsidR="00A4357D" w:rsidRDefault="00A4357D" w:rsidP="0066475C">
      <w:pPr>
        <w:pStyle w:val="Listavistosa-nfasis11"/>
        <w:spacing w:line="360" w:lineRule="auto"/>
        <w:ind w:left="0" w:firstLine="426"/>
        <w:jc w:val="both"/>
        <w:rPr>
          <w:rFonts w:ascii="Times New Roman" w:hAnsi="Times New Roman"/>
          <w:bCs/>
        </w:rPr>
      </w:pPr>
      <w:r>
        <w:rPr>
          <w:rFonts w:ascii="Times New Roman" w:hAnsi="Times New Roman"/>
          <w:bCs/>
        </w:rPr>
        <w:t>Si bien es cierto</w:t>
      </w:r>
      <w:r w:rsidR="00833011">
        <w:rPr>
          <w:rFonts w:ascii="Times New Roman" w:hAnsi="Times New Roman"/>
          <w:bCs/>
        </w:rPr>
        <w:t xml:space="preserve"> que algunas decisiones jurisdiccionales, en un esfuerzo interpretativo para convalidar la utilización de medios telemáticos durante la emergencia sanitaria, sostuvieron que la </w:t>
      </w:r>
      <w:r w:rsidR="0066475C">
        <w:rPr>
          <w:rFonts w:ascii="Times New Roman" w:hAnsi="Times New Roman"/>
          <w:bCs/>
        </w:rPr>
        <w:t xml:space="preserve">presencia física del imputado en la sala de audiencias o la forma en que se produce la prueba no integra el núcleo de los </w:t>
      </w:r>
      <w:r w:rsidR="0066475C">
        <w:rPr>
          <w:rFonts w:ascii="Times New Roman" w:hAnsi="Times New Roman"/>
          <w:bCs/>
        </w:rPr>
        <w:lastRenderedPageBreak/>
        <w:t>parámetros que fija el artículo 6 del CEDH ni el artículo 8 de la CADH</w:t>
      </w:r>
      <w:r w:rsidR="00714496">
        <w:rPr>
          <w:rFonts w:ascii="Times New Roman" w:hAnsi="Times New Roman"/>
          <w:bCs/>
        </w:rPr>
        <w:t xml:space="preserve">, </w:t>
      </w:r>
      <w:r w:rsidR="00833011">
        <w:rPr>
          <w:rFonts w:ascii="Times New Roman" w:hAnsi="Times New Roman"/>
          <w:bCs/>
        </w:rPr>
        <w:t>posición con la cual coincide Cafferata Nores</w:t>
      </w:r>
      <w:r w:rsidR="00833011">
        <w:rPr>
          <w:rStyle w:val="Refdenotaalpie"/>
          <w:rFonts w:ascii="Times New Roman" w:hAnsi="Times New Roman"/>
          <w:bCs/>
        </w:rPr>
        <w:footnoteReference w:id="22"/>
      </w:r>
      <w:r w:rsidR="00833011">
        <w:rPr>
          <w:rFonts w:ascii="Times New Roman" w:hAnsi="Times New Roman"/>
          <w:bCs/>
        </w:rPr>
        <w:t xml:space="preserve">, lo cierto es que </w:t>
      </w:r>
      <w:r w:rsidR="00714496">
        <w:rPr>
          <w:rFonts w:ascii="Times New Roman" w:hAnsi="Times New Roman"/>
          <w:bCs/>
        </w:rPr>
        <w:t xml:space="preserve">la referencia que se hizo a normativa internacional </w:t>
      </w:r>
      <w:r w:rsidR="00833011">
        <w:rPr>
          <w:rFonts w:ascii="Times New Roman" w:hAnsi="Times New Roman"/>
          <w:bCs/>
        </w:rPr>
        <w:t xml:space="preserve">para fundamentar estas resoluciones </w:t>
      </w:r>
      <w:r w:rsidR="00714496">
        <w:rPr>
          <w:rFonts w:ascii="Times New Roman" w:hAnsi="Times New Roman"/>
          <w:bCs/>
        </w:rPr>
        <w:t xml:space="preserve">no puede trasladarse sin más al tema del juicio. En efecto, se sostuvo </w:t>
      </w:r>
      <w:r>
        <w:rPr>
          <w:rFonts w:ascii="Times New Roman" w:hAnsi="Times New Roman"/>
          <w:bCs/>
        </w:rPr>
        <w:t xml:space="preserve">que </w:t>
      </w:r>
      <w:r w:rsidR="0066475C">
        <w:rPr>
          <w:rFonts w:ascii="Times New Roman" w:hAnsi="Times New Roman"/>
          <w:bCs/>
          <w:i/>
          <w:iCs/>
        </w:rPr>
        <w:t>[…]el empleo del sistema de video conferencia para el cumplimiento de diversos actos procesales no es una cuestión novedosa; pues se encuentra reconocido, en el orden internacional, en el Estatuto de la Corte Penal Internacional (arts.63.2, 68.2 y 69.2); la Convención de las Naciones Unidas contra la delincuencia Organizada Transnacional (art.24); el Convenio Europeo relativo a la Asistencia Judicial en Materia Penal (art. 10) y el Convenio Iberoamericano sobre el Uso de Videoconferencia en la Cooperación Internacional entre Sistemas de Justicia, incorporado a nuestro medio a través de la ley 27.162</w:t>
      </w:r>
      <w:r w:rsidR="0066475C">
        <w:rPr>
          <w:rStyle w:val="Refdenotaalpie"/>
          <w:rFonts w:ascii="Times New Roman" w:hAnsi="Times New Roman"/>
          <w:bCs/>
        </w:rPr>
        <w:footnoteReference w:id="23"/>
      </w:r>
      <w:r w:rsidR="00833011">
        <w:rPr>
          <w:rFonts w:ascii="Times New Roman" w:hAnsi="Times New Roman"/>
          <w:bCs/>
          <w:i/>
          <w:iCs/>
        </w:rPr>
        <w:t>.</w:t>
      </w:r>
      <w:r w:rsidR="00833011">
        <w:rPr>
          <w:rFonts w:ascii="Times New Roman" w:hAnsi="Times New Roman"/>
          <w:bCs/>
        </w:rPr>
        <w:t xml:space="preserve"> Sin embargo, a poco andar en el </w:t>
      </w:r>
      <w:r w:rsidR="00714496">
        <w:rPr>
          <w:rFonts w:ascii="Times New Roman" w:hAnsi="Times New Roman"/>
          <w:bCs/>
        </w:rPr>
        <w:t>análisis de tales disposiciones se advierte que regula supuestos especiales de excepcionalidad.</w:t>
      </w:r>
      <w:r>
        <w:rPr>
          <w:rFonts w:ascii="Times New Roman" w:hAnsi="Times New Roman"/>
          <w:bCs/>
        </w:rPr>
        <w:t xml:space="preserve"> </w:t>
      </w:r>
    </w:p>
    <w:p w:rsidR="001126A9" w:rsidRDefault="00714496" w:rsidP="0066475C">
      <w:pPr>
        <w:pStyle w:val="Listavistosa-nfasis11"/>
        <w:spacing w:line="360" w:lineRule="auto"/>
        <w:ind w:left="0" w:firstLine="426"/>
        <w:jc w:val="both"/>
        <w:rPr>
          <w:rFonts w:ascii="Times New Roman" w:hAnsi="Times New Roman"/>
          <w:bCs/>
        </w:rPr>
      </w:pPr>
      <w:r>
        <w:rPr>
          <w:rFonts w:ascii="Times New Roman" w:hAnsi="Times New Roman"/>
          <w:bCs/>
        </w:rPr>
        <w:t xml:space="preserve">Así los artículos mencionados del </w:t>
      </w:r>
      <w:r w:rsidR="00A4357D">
        <w:rPr>
          <w:rFonts w:ascii="Times New Roman" w:hAnsi="Times New Roman"/>
          <w:bCs/>
        </w:rPr>
        <w:t xml:space="preserve">Estatuto de la Corte Penal Internacional </w:t>
      </w:r>
      <w:r>
        <w:rPr>
          <w:rFonts w:ascii="Times New Roman" w:hAnsi="Times New Roman"/>
          <w:bCs/>
        </w:rPr>
        <w:t xml:space="preserve">establecen situaciones </w:t>
      </w:r>
      <w:r w:rsidR="001126A9">
        <w:rPr>
          <w:rFonts w:ascii="Times New Roman" w:hAnsi="Times New Roman"/>
          <w:bCs/>
        </w:rPr>
        <w:t>en las cuales se admite</w:t>
      </w:r>
      <w:r>
        <w:rPr>
          <w:rFonts w:ascii="Times New Roman" w:hAnsi="Times New Roman"/>
          <w:bCs/>
        </w:rPr>
        <w:t xml:space="preserve"> que tanto el imputado como los testigos puedan no estar en forma presencial en el juicio</w:t>
      </w:r>
      <w:r w:rsidR="001126A9">
        <w:rPr>
          <w:rFonts w:ascii="Times New Roman" w:hAnsi="Times New Roman"/>
          <w:bCs/>
        </w:rPr>
        <w:t xml:space="preserve"> bien sea porque el acusado perturbe la realización </w:t>
      </w:r>
      <w:r w:rsidR="005D5882">
        <w:rPr>
          <w:rFonts w:ascii="Times New Roman" w:hAnsi="Times New Roman"/>
          <w:bCs/>
        </w:rPr>
        <w:t>de éste</w:t>
      </w:r>
      <w:r w:rsidR="001126A9">
        <w:rPr>
          <w:rFonts w:ascii="Times New Roman" w:hAnsi="Times New Roman"/>
          <w:bCs/>
        </w:rPr>
        <w:t xml:space="preserve"> por lo que se puede disponer que salga de la sala o bien en el caso de que sea necesario la protección de testigos o víctimas y</w:t>
      </w:r>
      <w:r w:rsidR="000F2A02">
        <w:rPr>
          <w:rFonts w:ascii="Times New Roman" w:hAnsi="Times New Roman"/>
          <w:bCs/>
        </w:rPr>
        <w:t>,</w:t>
      </w:r>
      <w:r w:rsidR="001126A9">
        <w:rPr>
          <w:rFonts w:ascii="Times New Roman" w:hAnsi="Times New Roman"/>
          <w:bCs/>
        </w:rPr>
        <w:t xml:space="preserve"> por ello</w:t>
      </w:r>
      <w:r w:rsidR="000F2A02">
        <w:rPr>
          <w:rFonts w:ascii="Times New Roman" w:hAnsi="Times New Roman"/>
          <w:bCs/>
        </w:rPr>
        <w:t>,</w:t>
      </w:r>
      <w:r w:rsidR="001126A9">
        <w:rPr>
          <w:rFonts w:ascii="Times New Roman" w:hAnsi="Times New Roman"/>
          <w:bCs/>
        </w:rPr>
        <w:t xml:space="preserve"> se permite que puedan declarar por medios electrónicos u otros medios especiales. </w:t>
      </w:r>
    </w:p>
    <w:p w:rsidR="005D5882" w:rsidRDefault="001126A9" w:rsidP="00164AC5">
      <w:pPr>
        <w:pStyle w:val="Listavistosa-nfasis11"/>
        <w:spacing w:line="360" w:lineRule="auto"/>
        <w:ind w:left="0" w:firstLine="426"/>
        <w:jc w:val="both"/>
        <w:rPr>
          <w:rFonts w:ascii="Times New Roman" w:hAnsi="Times New Roman"/>
          <w:bCs/>
        </w:rPr>
      </w:pPr>
      <w:r>
        <w:rPr>
          <w:rFonts w:ascii="Times New Roman" w:hAnsi="Times New Roman"/>
          <w:bCs/>
        </w:rPr>
        <w:t xml:space="preserve">En tanto </w:t>
      </w:r>
      <w:r w:rsidR="00FA6915">
        <w:rPr>
          <w:rFonts w:ascii="Times New Roman" w:hAnsi="Times New Roman"/>
          <w:bCs/>
        </w:rPr>
        <w:t xml:space="preserve">los artículos referidos de la </w:t>
      </w:r>
      <w:r>
        <w:rPr>
          <w:rFonts w:ascii="Times New Roman" w:hAnsi="Times New Roman"/>
          <w:bCs/>
        </w:rPr>
        <w:t xml:space="preserve">Convención de las Naciones Unidas contra la delincuencia Organizada Transnacional </w:t>
      </w:r>
      <w:r w:rsidR="00FA6915">
        <w:rPr>
          <w:rFonts w:ascii="Times New Roman" w:hAnsi="Times New Roman"/>
          <w:bCs/>
        </w:rPr>
        <w:t xml:space="preserve">expresamente hacen mención a la protección de testigos, justificándose así que puedan declarar por videoconferencia u </w:t>
      </w:r>
      <w:r w:rsidR="00833011">
        <w:rPr>
          <w:rFonts w:ascii="Times New Roman" w:hAnsi="Times New Roman"/>
          <w:bCs/>
        </w:rPr>
        <w:t xml:space="preserve">otros medios </w:t>
      </w:r>
      <w:r w:rsidR="005D5882">
        <w:rPr>
          <w:rFonts w:ascii="Times New Roman" w:hAnsi="Times New Roman"/>
          <w:bCs/>
        </w:rPr>
        <w:t xml:space="preserve">adecuados. Por otro lado, en el artículo citado del </w:t>
      </w:r>
      <w:r w:rsidR="00A4357D">
        <w:rPr>
          <w:rFonts w:ascii="Times New Roman" w:hAnsi="Times New Roman"/>
          <w:bCs/>
        </w:rPr>
        <w:t xml:space="preserve">Convenio europeo </w:t>
      </w:r>
      <w:r w:rsidR="00FA6915">
        <w:rPr>
          <w:rFonts w:ascii="Times New Roman" w:hAnsi="Times New Roman"/>
          <w:bCs/>
        </w:rPr>
        <w:t xml:space="preserve">relativo a la Asistencia Judicial en Materia Penal </w:t>
      </w:r>
      <w:r w:rsidR="005D5882">
        <w:rPr>
          <w:rFonts w:ascii="Times New Roman" w:hAnsi="Times New Roman"/>
          <w:bCs/>
        </w:rPr>
        <w:t xml:space="preserve">nada se dice de la posibilidad de que testigos no comparezcan personalmente a declarar </w:t>
      </w:r>
      <w:r w:rsidR="00A4357D">
        <w:rPr>
          <w:rFonts w:ascii="Times New Roman" w:hAnsi="Times New Roman"/>
          <w:bCs/>
        </w:rPr>
        <w:t>y</w:t>
      </w:r>
      <w:r w:rsidR="005D5882">
        <w:rPr>
          <w:rFonts w:ascii="Times New Roman" w:hAnsi="Times New Roman"/>
          <w:bCs/>
        </w:rPr>
        <w:t xml:space="preserve">, por último, </w:t>
      </w:r>
      <w:r w:rsidR="00A4357D">
        <w:rPr>
          <w:rFonts w:ascii="Times New Roman" w:hAnsi="Times New Roman"/>
          <w:bCs/>
        </w:rPr>
        <w:t xml:space="preserve">el Convenio Iberoamericano </w:t>
      </w:r>
      <w:r w:rsidR="005D5882">
        <w:rPr>
          <w:rFonts w:ascii="Times New Roman" w:hAnsi="Times New Roman"/>
          <w:bCs/>
        </w:rPr>
        <w:t>se aplica para aquellos supuestos en que las personas que deban prestar declaración se encuentren ubicadas en un lugar distinto de la autoridad competente.</w:t>
      </w:r>
    </w:p>
    <w:p w:rsidR="00AA6B59" w:rsidRDefault="005D5882" w:rsidP="009B0B4D">
      <w:pPr>
        <w:pStyle w:val="Listavistosa-nfasis11"/>
        <w:spacing w:line="360" w:lineRule="auto"/>
        <w:ind w:left="0" w:firstLine="426"/>
        <w:jc w:val="both"/>
        <w:rPr>
          <w:rFonts w:ascii="Times New Roman" w:hAnsi="Times New Roman"/>
          <w:bCs/>
        </w:rPr>
      </w:pPr>
      <w:r>
        <w:rPr>
          <w:rFonts w:ascii="Times New Roman" w:hAnsi="Times New Roman"/>
          <w:bCs/>
        </w:rPr>
        <w:t xml:space="preserve">Como puede advertirse, no surge de los instrumentos internacionales citados la posibilidad de que el juicio se realice en su totalidad por medios telemáticos sino que </w:t>
      </w:r>
      <w:r>
        <w:rPr>
          <w:rFonts w:ascii="Times New Roman" w:hAnsi="Times New Roman"/>
          <w:bCs/>
        </w:rPr>
        <w:lastRenderedPageBreak/>
        <w:t>contemplan situaciones de excepcionalidad que justifican que cierta actividad procesal</w:t>
      </w:r>
      <w:r w:rsidR="000F2A02">
        <w:rPr>
          <w:rFonts w:ascii="Times New Roman" w:hAnsi="Times New Roman"/>
          <w:bCs/>
        </w:rPr>
        <w:t>,</w:t>
      </w:r>
      <w:r>
        <w:rPr>
          <w:rFonts w:ascii="Times New Roman" w:hAnsi="Times New Roman"/>
          <w:bCs/>
        </w:rPr>
        <w:t xml:space="preserve"> vinculada fundamentalmente con las declaraciones de personas que requieran una protección especial, pueda llevarse a cabo sin la presencia física en la sala de audiencias. </w:t>
      </w:r>
      <w:r w:rsidR="009B0B4D">
        <w:rPr>
          <w:rFonts w:ascii="Times New Roman" w:hAnsi="Times New Roman"/>
          <w:bCs/>
        </w:rPr>
        <w:t xml:space="preserve">Y estas situaciones también se encuentran contempladas en las legislaciones procesales, buen ejemplo de ello es el </w:t>
      </w:r>
      <w:r w:rsidR="00164AC5">
        <w:rPr>
          <w:rFonts w:ascii="Times New Roman" w:hAnsi="Times New Roman"/>
          <w:bCs/>
        </w:rPr>
        <w:t>Código Procesal Penal Federal admite la posibilidad de declaraciones por videoconferencia de manera excepcional, esto es, en el supuesto de víctimas especialmente vulnerables o cuando por motivos graves y difíciles de superar no pueda comparecer a la audiencia.</w:t>
      </w:r>
    </w:p>
    <w:p w:rsidR="0066475C" w:rsidRPr="00AA6B59" w:rsidRDefault="00AA6B59" w:rsidP="009B0B4D">
      <w:pPr>
        <w:pStyle w:val="Listavistosa-nfasis11"/>
        <w:spacing w:line="360" w:lineRule="auto"/>
        <w:ind w:left="0" w:firstLine="426"/>
        <w:jc w:val="both"/>
        <w:rPr>
          <w:rFonts w:ascii="Times New Roman" w:hAnsi="Times New Roman"/>
          <w:bCs/>
        </w:rPr>
      </w:pPr>
      <w:r>
        <w:rPr>
          <w:rFonts w:ascii="Times New Roman" w:hAnsi="Times New Roman"/>
          <w:bCs/>
        </w:rPr>
        <w:t xml:space="preserve">Es que, como bien afirmaba Vélez Mariconde, </w:t>
      </w:r>
      <w:r>
        <w:rPr>
          <w:rFonts w:ascii="Times New Roman" w:hAnsi="Times New Roman"/>
          <w:bCs/>
          <w:i/>
          <w:iCs/>
        </w:rPr>
        <w:t>[</w:t>
      </w:r>
      <w:r w:rsidR="006519D0">
        <w:rPr>
          <w:rFonts w:ascii="Times New Roman" w:hAnsi="Times New Roman"/>
          <w:bCs/>
          <w:i/>
          <w:iCs/>
        </w:rPr>
        <w:t>…</w:t>
      </w:r>
      <w:r>
        <w:rPr>
          <w:rFonts w:ascii="Times New Roman" w:hAnsi="Times New Roman"/>
          <w:bCs/>
          <w:i/>
          <w:iCs/>
        </w:rPr>
        <w:t>]</w:t>
      </w:r>
      <w:r w:rsidR="006519D0">
        <w:rPr>
          <w:rFonts w:ascii="Times New Roman" w:hAnsi="Times New Roman"/>
          <w:bCs/>
          <w:i/>
          <w:iCs/>
        </w:rPr>
        <w:t>el juicio que impone la Constitución o proceso penal (ésta resulta ahora la expresión apropiada) es una entidad jurídica prefijada o un tipo legal abstractamente definido por el derecho procesal, el cual establece las formas de los actos que lo integran y el orden (procedimiento) que debe observarse al cumplirlos. […] En otros términos, la Constitución hace del proceso penal un instrumento esencial de la justicia represiva, el que sólo tiene eficacia jurídica cuando se observan concretamente las formalidades prescritas por el derecho que le da vida</w:t>
      </w:r>
      <w:r>
        <w:rPr>
          <w:rStyle w:val="Refdenotaalpie"/>
          <w:rFonts w:ascii="Times New Roman" w:hAnsi="Times New Roman"/>
          <w:bCs/>
          <w:i/>
          <w:iCs/>
        </w:rPr>
        <w:footnoteReference w:id="24"/>
      </w:r>
      <w:r>
        <w:rPr>
          <w:rFonts w:ascii="Times New Roman" w:hAnsi="Times New Roman"/>
          <w:bCs/>
          <w:i/>
          <w:iCs/>
        </w:rPr>
        <w:t xml:space="preserve">. </w:t>
      </w:r>
      <w:r w:rsidR="00292D75">
        <w:rPr>
          <w:rFonts w:ascii="Times New Roman" w:hAnsi="Times New Roman"/>
          <w:bCs/>
        </w:rPr>
        <w:t>Debido a</w:t>
      </w:r>
      <w:r>
        <w:rPr>
          <w:rFonts w:ascii="Times New Roman" w:hAnsi="Times New Roman"/>
          <w:bCs/>
        </w:rPr>
        <w:t xml:space="preserve"> ello, considero que solamente una ley en sentido formal podrá disponer que el juicio previo exigido por la Constitución se desarrolle mediante herramientas virtuales.</w:t>
      </w:r>
    </w:p>
    <w:p w:rsidR="00DC2211" w:rsidRDefault="009B0B4D" w:rsidP="0066475C">
      <w:pPr>
        <w:pStyle w:val="Listavistosa-nfasis11"/>
        <w:spacing w:line="360" w:lineRule="auto"/>
        <w:ind w:left="0" w:firstLine="426"/>
        <w:jc w:val="both"/>
        <w:rPr>
          <w:rFonts w:ascii="Times New Roman" w:hAnsi="Times New Roman"/>
          <w:bCs/>
        </w:rPr>
      </w:pPr>
      <w:r>
        <w:rPr>
          <w:rFonts w:ascii="Times New Roman" w:hAnsi="Times New Roman"/>
          <w:bCs/>
        </w:rPr>
        <w:t>Ahora bien, e</w:t>
      </w:r>
      <w:r w:rsidR="0066475C">
        <w:rPr>
          <w:rFonts w:ascii="Times New Roman" w:hAnsi="Times New Roman"/>
          <w:bCs/>
        </w:rPr>
        <w:t xml:space="preserve">ste argumento de legalidad ya debería ser suficiente para entender la imposibilidad de realizar los juicios por medios telemáticos </w:t>
      </w:r>
      <w:r w:rsidR="00DC2211">
        <w:rPr>
          <w:rFonts w:ascii="Times New Roman" w:hAnsi="Times New Roman"/>
          <w:bCs/>
        </w:rPr>
        <w:t>en la actualidad pero ante la eventualidad de que en un futuro el legislador introduzca reformas que permitan su utilización entiendo que es necesario continuar con el análisis de los principios procesales.</w:t>
      </w:r>
    </w:p>
    <w:p w:rsidR="009F45E6" w:rsidRDefault="00DC2211" w:rsidP="0066475C">
      <w:pPr>
        <w:pStyle w:val="Listavistosa-nfasis11"/>
        <w:spacing w:line="360" w:lineRule="auto"/>
        <w:ind w:left="0" w:firstLine="426"/>
        <w:jc w:val="both"/>
        <w:rPr>
          <w:rFonts w:ascii="Times New Roman" w:hAnsi="Times New Roman"/>
          <w:bCs/>
          <w:i/>
          <w:iCs/>
        </w:rPr>
      </w:pPr>
      <w:r>
        <w:rPr>
          <w:rFonts w:ascii="Times New Roman" w:hAnsi="Times New Roman"/>
          <w:bCs/>
        </w:rPr>
        <w:t xml:space="preserve">Y en este orden, </w:t>
      </w:r>
      <w:r w:rsidR="0066475C">
        <w:rPr>
          <w:rFonts w:ascii="Times New Roman" w:hAnsi="Times New Roman"/>
          <w:bCs/>
        </w:rPr>
        <w:t>también es posible señalar el menoscabo que sufren los principios de oralidad</w:t>
      </w:r>
      <w:r w:rsidR="00215274">
        <w:rPr>
          <w:rFonts w:ascii="Times New Roman" w:hAnsi="Times New Roman"/>
          <w:bCs/>
        </w:rPr>
        <w:t xml:space="preserve">, </w:t>
      </w:r>
      <w:r w:rsidR="00A140B9">
        <w:rPr>
          <w:rFonts w:ascii="Times New Roman" w:hAnsi="Times New Roman"/>
          <w:bCs/>
        </w:rPr>
        <w:t>publicidad e inmediación que no pueden ser suplid</w:t>
      </w:r>
      <w:r w:rsidR="0066475C">
        <w:rPr>
          <w:rFonts w:ascii="Times New Roman" w:hAnsi="Times New Roman"/>
          <w:bCs/>
        </w:rPr>
        <w:t>o</w:t>
      </w:r>
      <w:r w:rsidR="00A140B9">
        <w:rPr>
          <w:rFonts w:ascii="Times New Roman" w:hAnsi="Times New Roman"/>
          <w:bCs/>
        </w:rPr>
        <w:t xml:space="preserve">s por medios digitales, afectándose de esta manera el derecho de defensa de todo imputado. </w:t>
      </w:r>
      <w:r w:rsidR="00DB1710">
        <w:rPr>
          <w:rFonts w:ascii="Times New Roman" w:hAnsi="Times New Roman"/>
          <w:bCs/>
        </w:rPr>
        <w:t xml:space="preserve">En efecto, </w:t>
      </w:r>
      <w:r w:rsidR="00C0510F">
        <w:rPr>
          <w:rFonts w:ascii="Times New Roman" w:hAnsi="Times New Roman"/>
          <w:bCs/>
        </w:rPr>
        <w:t>el juicio que se realiza de manera presencial garantiza el cumplimiento de dichos principios pues</w:t>
      </w:r>
      <w:r w:rsidR="00B47087">
        <w:rPr>
          <w:rFonts w:ascii="Times New Roman" w:hAnsi="Times New Roman"/>
          <w:bCs/>
        </w:rPr>
        <w:t xml:space="preserve">, como expone Richard González, </w:t>
      </w:r>
      <w:r w:rsidR="00B47087">
        <w:rPr>
          <w:rFonts w:ascii="Times New Roman" w:hAnsi="Times New Roman"/>
          <w:bCs/>
          <w:i/>
          <w:iCs/>
        </w:rPr>
        <w:t xml:space="preserve">[…]no podemos aceptar que las vistas virtuales respetan los principios de oralidad, inmediación y contradictorio. Uno puede engañarse todo lo que quiera y aceptar cualquier sucedáneo del juicio oral. Pero, no creo que resulte posible efectuar un auténtico y eficaz acto de comprensión del acto procesal del que el juez únicamente tiene su reflejo en una pantalla. Dificultad que se </w:t>
      </w:r>
      <w:r w:rsidR="00B47087">
        <w:rPr>
          <w:rFonts w:ascii="Times New Roman" w:hAnsi="Times New Roman"/>
          <w:bCs/>
          <w:i/>
          <w:iCs/>
        </w:rPr>
        <w:lastRenderedPageBreak/>
        <w:t>incrementa cuando se trata de valorar la prueba practicada de la que se ha tenido conocimiento, nuevamente, por medio de imágenes en una pantalla</w:t>
      </w:r>
      <w:r w:rsidR="00B47087">
        <w:rPr>
          <w:rStyle w:val="Refdenotaalpie"/>
          <w:rFonts w:ascii="Times New Roman" w:hAnsi="Times New Roman"/>
          <w:bCs/>
          <w:i/>
          <w:iCs/>
        </w:rPr>
        <w:footnoteReference w:id="25"/>
      </w:r>
      <w:r w:rsidR="009F45E6">
        <w:rPr>
          <w:rFonts w:ascii="Times New Roman" w:hAnsi="Times New Roman"/>
          <w:bCs/>
          <w:i/>
          <w:iCs/>
        </w:rPr>
        <w:t>.</w:t>
      </w:r>
    </w:p>
    <w:p w:rsidR="00FA3961" w:rsidRPr="00A84CE0" w:rsidRDefault="00CA5B4F" w:rsidP="00CA5B4F">
      <w:pPr>
        <w:pStyle w:val="Listavistosa-nfasis11"/>
        <w:spacing w:line="360" w:lineRule="auto"/>
        <w:ind w:left="0" w:firstLine="426"/>
        <w:jc w:val="both"/>
        <w:rPr>
          <w:rFonts w:ascii="Times New Roman" w:hAnsi="Times New Roman"/>
          <w:bCs/>
        </w:rPr>
      </w:pPr>
      <w:r>
        <w:rPr>
          <w:rFonts w:ascii="Times New Roman" w:hAnsi="Times New Roman"/>
          <w:bCs/>
        </w:rPr>
        <w:t>Claramente si se analiza el principio de oralidad en sí mismo, podría decirse que no se ve afectado porque la prueba igualmente se expone y discute verbalmente con la presencia virtual ininterrumpida de quienes participan en el proceso, por lo que la utilización de herramientas tecnológicas no implica que se reemplace la oralidad por algún medio escrito sino que las partes pueden expresarse y percibir lo que acontece en el trascurso del debate por medio de la palabra hablada. Sin embargo, esto sólo constituye una mirada sesgada de la oralidad que no tiene en cuenta que la misma implica la realización de todos los otros principios.</w:t>
      </w:r>
      <w:r w:rsidR="005B2CCC">
        <w:rPr>
          <w:rFonts w:ascii="Times New Roman" w:hAnsi="Times New Roman"/>
          <w:bCs/>
        </w:rPr>
        <w:t xml:space="preserve"> </w:t>
      </w:r>
      <w:r w:rsidR="00FA3961">
        <w:rPr>
          <w:rFonts w:ascii="Times New Roman" w:hAnsi="Times New Roman"/>
          <w:bCs/>
        </w:rPr>
        <w:t>Como bien sostiene Richard González</w:t>
      </w:r>
      <w:r w:rsidR="00A84CE0">
        <w:rPr>
          <w:rFonts w:ascii="Times New Roman" w:hAnsi="Times New Roman"/>
          <w:bCs/>
        </w:rPr>
        <w:t xml:space="preserve"> </w:t>
      </w:r>
      <w:r w:rsidR="00A84CE0">
        <w:rPr>
          <w:rFonts w:ascii="Times New Roman" w:hAnsi="Times New Roman"/>
          <w:bCs/>
          <w:i/>
          <w:iCs/>
        </w:rPr>
        <w:t>[e]l juicio es oral o no lo es. Y no sólo, que también, por el simple hecho de que todos los intervinientes en cualquier clase de reunión social (también en el juicio) se expresan oralmente, sino porque la oralidad se asocia a todo un conjunto de principios mancomunados que garantizan en su conjunto la mayor eficacia posible para el instrumento social que es el proceso</w:t>
      </w:r>
      <w:r w:rsidR="00A84CE0">
        <w:rPr>
          <w:rStyle w:val="Refdenotaalpie"/>
          <w:rFonts w:ascii="Times New Roman" w:hAnsi="Times New Roman"/>
          <w:bCs/>
          <w:i/>
          <w:iCs/>
        </w:rPr>
        <w:footnoteReference w:id="26"/>
      </w:r>
      <w:r w:rsidR="00A84CE0">
        <w:rPr>
          <w:rFonts w:ascii="Times New Roman" w:hAnsi="Times New Roman"/>
          <w:bCs/>
          <w:i/>
          <w:iCs/>
        </w:rPr>
        <w:t>.</w:t>
      </w:r>
      <w:r w:rsidR="00A84CE0">
        <w:rPr>
          <w:rFonts w:ascii="Times New Roman" w:hAnsi="Times New Roman"/>
          <w:bCs/>
        </w:rPr>
        <w:t xml:space="preserve"> Y es justamente por ello, por su vinculación con el resto de los principios que rigen en el proceso que es posible afirmar la afectación del principio de oralidad.</w:t>
      </w:r>
    </w:p>
    <w:p w:rsidR="00FA3961" w:rsidRPr="00053917" w:rsidRDefault="005B2CCC" w:rsidP="00A84CE0">
      <w:pPr>
        <w:pStyle w:val="Listavistosa-nfasis11"/>
        <w:spacing w:line="360" w:lineRule="auto"/>
        <w:ind w:left="0" w:firstLine="426"/>
        <w:jc w:val="both"/>
        <w:rPr>
          <w:rFonts w:ascii="Times New Roman" w:hAnsi="Times New Roman"/>
          <w:bCs/>
          <w:i/>
          <w:iCs/>
        </w:rPr>
      </w:pPr>
      <w:r>
        <w:rPr>
          <w:rFonts w:ascii="Times New Roman" w:hAnsi="Times New Roman"/>
          <w:bCs/>
        </w:rPr>
        <w:t xml:space="preserve">En este sentido, se ha dicho que </w:t>
      </w:r>
      <w:r>
        <w:rPr>
          <w:rFonts w:ascii="Times New Roman" w:hAnsi="Times New Roman"/>
          <w:bCs/>
          <w:i/>
          <w:iCs/>
        </w:rPr>
        <w:t>[l]a oralidad potencia las virtudes individuales y combinadas de la publicidad, la inmediación, el contradictorio, la concentración y la identidad física del juzgador y es una aplicación del principio general de la originalidad de las pruebas, por cuanto la manifestación natural y originaria del pensamiento humando es la palabra hablada</w:t>
      </w:r>
      <w:r>
        <w:rPr>
          <w:rStyle w:val="Refdenotaalpie"/>
          <w:rFonts w:ascii="Times New Roman" w:hAnsi="Times New Roman"/>
          <w:bCs/>
          <w:i/>
          <w:iCs/>
        </w:rPr>
        <w:footnoteReference w:id="27"/>
      </w:r>
      <w:r>
        <w:rPr>
          <w:rFonts w:ascii="Times New Roman" w:hAnsi="Times New Roman"/>
          <w:bCs/>
          <w:i/>
          <w:iCs/>
        </w:rPr>
        <w:t>.</w:t>
      </w:r>
      <w:r w:rsidR="00053917">
        <w:rPr>
          <w:rFonts w:ascii="Times New Roman" w:hAnsi="Times New Roman"/>
          <w:bCs/>
          <w:i/>
          <w:iCs/>
        </w:rPr>
        <w:t xml:space="preserve"> </w:t>
      </w:r>
      <w:r w:rsidR="00053917">
        <w:rPr>
          <w:rFonts w:ascii="Times New Roman" w:hAnsi="Times New Roman"/>
          <w:bCs/>
        </w:rPr>
        <w:t xml:space="preserve">Y en este punto coinciden Bovino y Bertelotti en cuanto afirman que </w:t>
      </w:r>
      <w:r w:rsidR="00053917">
        <w:rPr>
          <w:rFonts w:ascii="Times New Roman" w:hAnsi="Times New Roman"/>
          <w:bCs/>
          <w:i/>
          <w:iCs/>
        </w:rPr>
        <w:t>[l]a relevancia de la oralidad, en este sentido, es que ella se confunde con los principios que la caracterizan. De allí su especial importancia. Lo que no se puede dejar de lado, sin embargo, es que la oralidad da contenido a estos principios, y, por ello, no es un instrumento neutro […]</w:t>
      </w:r>
      <w:r w:rsidR="00053917">
        <w:rPr>
          <w:rStyle w:val="Refdenotaalpie"/>
          <w:rFonts w:ascii="Times New Roman" w:hAnsi="Times New Roman"/>
          <w:bCs/>
          <w:i/>
          <w:iCs/>
        </w:rPr>
        <w:footnoteReference w:id="28"/>
      </w:r>
      <w:r w:rsidR="00053917">
        <w:rPr>
          <w:rFonts w:ascii="Times New Roman" w:hAnsi="Times New Roman"/>
          <w:bCs/>
          <w:i/>
          <w:iCs/>
        </w:rPr>
        <w:t>.</w:t>
      </w:r>
    </w:p>
    <w:p w:rsidR="00AB1572" w:rsidRDefault="005B2CCC" w:rsidP="00AB1572">
      <w:pPr>
        <w:pStyle w:val="Listavistosa-nfasis11"/>
        <w:spacing w:line="360" w:lineRule="auto"/>
        <w:ind w:left="0" w:firstLine="426"/>
        <w:jc w:val="both"/>
        <w:rPr>
          <w:rFonts w:ascii="Times New Roman" w:hAnsi="Times New Roman"/>
          <w:bCs/>
        </w:rPr>
      </w:pPr>
      <w:r>
        <w:rPr>
          <w:rFonts w:ascii="Times New Roman" w:hAnsi="Times New Roman"/>
          <w:bCs/>
        </w:rPr>
        <w:t xml:space="preserve">Comenzando por la publicidad, se ha sostenido que </w:t>
      </w:r>
      <w:r w:rsidR="001B4B90">
        <w:rPr>
          <w:rFonts w:ascii="Times New Roman" w:hAnsi="Times New Roman"/>
          <w:bCs/>
        </w:rPr>
        <w:t xml:space="preserve">es posible garantizarla toda vez que se puede permitir el </w:t>
      </w:r>
      <w:r>
        <w:rPr>
          <w:rFonts w:ascii="Times New Roman" w:hAnsi="Times New Roman"/>
          <w:bCs/>
        </w:rPr>
        <w:t xml:space="preserve">libre acceso del público a la sala virtual para que todas aquellas personas que estén interesadas puedan tener conocimiento del juicio. </w:t>
      </w:r>
      <w:r w:rsidR="00AB1572">
        <w:rPr>
          <w:rFonts w:ascii="Times New Roman" w:hAnsi="Times New Roman"/>
          <w:bCs/>
        </w:rPr>
        <w:t xml:space="preserve">En este sentido, </w:t>
      </w:r>
      <w:r w:rsidR="00AB1572">
        <w:rPr>
          <w:rFonts w:ascii="Times New Roman" w:hAnsi="Times New Roman"/>
          <w:bCs/>
        </w:rPr>
        <w:lastRenderedPageBreak/>
        <w:t>los planteos efectuados respecto de la publicidad en tiempos de pandemia no prosperaron por cuanto los Tribunales consideraron que se debía posibilitar el acceso a la plataforma de videoconferencia a las personas que así lo soliciten siempre y cuanto la cantidad de peticionarios no entorpeciera o dificultara el desarrollo de la audiencia. Además si se tiene en cuenta que todo el desarrollo de la audiencia de</w:t>
      </w:r>
      <w:r w:rsidR="00292D75">
        <w:rPr>
          <w:rFonts w:ascii="Times New Roman" w:hAnsi="Times New Roman"/>
          <w:bCs/>
        </w:rPr>
        <w:t xml:space="preserve">bía </w:t>
      </w:r>
      <w:r w:rsidR="00AB1572">
        <w:rPr>
          <w:rFonts w:ascii="Times New Roman" w:hAnsi="Times New Roman"/>
          <w:bCs/>
        </w:rPr>
        <w:t>quedar grabado y conservarse en condiciones que impid</w:t>
      </w:r>
      <w:r w:rsidR="00292D75">
        <w:rPr>
          <w:rFonts w:ascii="Times New Roman" w:hAnsi="Times New Roman"/>
          <w:bCs/>
        </w:rPr>
        <w:t>ieran</w:t>
      </w:r>
      <w:r w:rsidR="00AB1572">
        <w:rPr>
          <w:rFonts w:ascii="Times New Roman" w:hAnsi="Times New Roman"/>
          <w:bCs/>
        </w:rPr>
        <w:t xml:space="preserve"> su alternación, cualquier interesado p</w:t>
      </w:r>
      <w:r w:rsidR="00292D75">
        <w:rPr>
          <w:rFonts w:ascii="Times New Roman" w:hAnsi="Times New Roman"/>
          <w:bCs/>
        </w:rPr>
        <w:t>odía</w:t>
      </w:r>
      <w:r w:rsidR="00AB1572">
        <w:rPr>
          <w:rFonts w:ascii="Times New Roman" w:hAnsi="Times New Roman"/>
          <w:bCs/>
        </w:rPr>
        <w:t xml:space="preserve"> acceder a verlo cumpliéndose así con la debida publicidad de los actos de gobierno. En otras palabras, </w:t>
      </w:r>
      <w:r w:rsidR="00292D75">
        <w:rPr>
          <w:rFonts w:ascii="Times New Roman" w:hAnsi="Times New Roman"/>
          <w:bCs/>
        </w:rPr>
        <w:t xml:space="preserve">lo que se puede concluir con esa jurisprudencia es que </w:t>
      </w:r>
      <w:r w:rsidR="00AB1572">
        <w:rPr>
          <w:rFonts w:ascii="Times New Roman" w:hAnsi="Times New Roman"/>
          <w:bCs/>
        </w:rPr>
        <w:t>basta con que se pueda “presenciar” por medios digitales la audiencia o que se pueda ver su grabación para dar por satisfecho el principio de publicidad.</w:t>
      </w:r>
    </w:p>
    <w:p w:rsidR="009E52CB" w:rsidRDefault="005B2CCC" w:rsidP="00AB1572">
      <w:pPr>
        <w:pStyle w:val="Listavistosa-nfasis11"/>
        <w:spacing w:line="360" w:lineRule="auto"/>
        <w:ind w:left="0" w:firstLine="426"/>
        <w:jc w:val="both"/>
        <w:rPr>
          <w:rFonts w:ascii="Times New Roman" w:hAnsi="Times New Roman"/>
          <w:bCs/>
        </w:rPr>
      </w:pPr>
      <w:r>
        <w:rPr>
          <w:rFonts w:ascii="Times New Roman" w:hAnsi="Times New Roman"/>
          <w:bCs/>
        </w:rPr>
        <w:t>Sin embargo, autores como Langevin</w:t>
      </w:r>
      <w:r>
        <w:rPr>
          <w:rStyle w:val="Refdenotaalpie"/>
          <w:rFonts w:ascii="Times New Roman" w:hAnsi="Times New Roman"/>
          <w:bCs/>
        </w:rPr>
        <w:footnoteReference w:id="29"/>
      </w:r>
      <w:r>
        <w:rPr>
          <w:rFonts w:ascii="Times New Roman" w:hAnsi="Times New Roman"/>
          <w:bCs/>
        </w:rPr>
        <w:t xml:space="preserve"> cuestionan esta posibilidad por el riesgo cierto de que quienes accedan graben o directamente transmitan en </w:t>
      </w:r>
      <w:r w:rsidRPr="00401D63">
        <w:rPr>
          <w:rFonts w:ascii="Times New Roman" w:hAnsi="Times New Roman"/>
          <w:bCs/>
          <w:i/>
          <w:iCs/>
        </w:rPr>
        <w:t>streaming</w:t>
      </w:r>
      <w:r>
        <w:rPr>
          <w:rFonts w:ascii="Times New Roman" w:hAnsi="Times New Roman"/>
          <w:bCs/>
          <w:i/>
          <w:iCs/>
        </w:rPr>
        <w:t xml:space="preserve"> </w:t>
      </w:r>
      <w:r>
        <w:rPr>
          <w:rFonts w:ascii="Times New Roman" w:hAnsi="Times New Roman"/>
          <w:bCs/>
        </w:rPr>
        <w:t xml:space="preserve">el juicio. Incluso manifiesta que, aun cuando el Tribunal prohíba a quienes accedan grabarlo, lo cierto es que es posible grabar lo que la pantalla del dispositivo </w:t>
      </w:r>
      <w:r w:rsidR="001B4B90">
        <w:rPr>
          <w:rFonts w:ascii="Times New Roman" w:hAnsi="Times New Roman"/>
          <w:bCs/>
        </w:rPr>
        <w:t>está</w:t>
      </w:r>
      <w:r>
        <w:rPr>
          <w:rFonts w:ascii="Times New Roman" w:hAnsi="Times New Roman"/>
          <w:bCs/>
        </w:rPr>
        <w:t xml:space="preserve"> reproduciendo fuera de la plataforma de videoconferencia por lo que se estaría entregando de manera gratuita imágenes y voces de todos los que intervienen en el juicio para su eventual utilización ilícita.</w:t>
      </w:r>
      <w:r w:rsidR="00AB1572">
        <w:rPr>
          <w:rFonts w:ascii="Times New Roman" w:hAnsi="Times New Roman"/>
          <w:bCs/>
        </w:rPr>
        <w:t xml:space="preserve"> Entiendo que lleva razón el autor </w:t>
      </w:r>
      <w:r w:rsidR="005F05A9">
        <w:rPr>
          <w:rFonts w:ascii="Times New Roman" w:hAnsi="Times New Roman"/>
          <w:bCs/>
        </w:rPr>
        <w:t xml:space="preserve">pues no es lo mismo </w:t>
      </w:r>
      <w:r w:rsidR="00E42910">
        <w:rPr>
          <w:rFonts w:ascii="Times New Roman" w:hAnsi="Times New Roman"/>
          <w:bCs/>
        </w:rPr>
        <w:t xml:space="preserve">que se pueda presenciar un debate que la posibilidad de obtener imágenes o grabaciones de éste, máxime cuando dichas grabaciones pueden serlo de personas ajenas al proceso como </w:t>
      </w:r>
      <w:r w:rsidR="00292D75">
        <w:rPr>
          <w:rFonts w:ascii="Times New Roman" w:hAnsi="Times New Roman"/>
          <w:bCs/>
        </w:rPr>
        <w:t xml:space="preserve">es el caso de </w:t>
      </w:r>
      <w:r w:rsidR="00E42910">
        <w:rPr>
          <w:rFonts w:ascii="Times New Roman" w:hAnsi="Times New Roman"/>
          <w:bCs/>
        </w:rPr>
        <w:t xml:space="preserve">testigos o peritos. </w:t>
      </w:r>
    </w:p>
    <w:p w:rsidR="00CA5B4F" w:rsidRDefault="00E42910" w:rsidP="00F50E10">
      <w:pPr>
        <w:pStyle w:val="Listavistosa-nfasis11"/>
        <w:spacing w:line="360" w:lineRule="auto"/>
        <w:ind w:left="0" w:firstLine="426"/>
        <w:jc w:val="both"/>
        <w:rPr>
          <w:rFonts w:ascii="Times New Roman" w:hAnsi="Times New Roman"/>
          <w:bCs/>
        </w:rPr>
      </w:pPr>
      <w:r>
        <w:rPr>
          <w:rFonts w:ascii="Times New Roman" w:hAnsi="Times New Roman"/>
          <w:bCs/>
        </w:rPr>
        <w:t xml:space="preserve">Y en este sentido, no puede perderse de vista lo sostenido por la Corte Interamericana de Derechos Humanos que ha resuelto que </w:t>
      </w:r>
      <w:r>
        <w:rPr>
          <w:rFonts w:ascii="Times New Roman" w:hAnsi="Times New Roman"/>
          <w:bCs/>
          <w:i/>
          <w:iCs/>
        </w:rPr>
        <w:t>[a]unque el derecho a la imagen no se encuentra expresamente enunciado en el artículo 11 de la Convención, las imágenes o fotografías personales, evidentemente, están incluidas dentro del ámbito de protección de la vida privada</w:t>
      </w:r>
      <w:r>
        <w:rPr>
          <w:rStyle w:val="Refdenotaalpie"/>
          <w:rFonts w:ascii="Times New Roman" w:hAnsi="Times New Roman"/>
          <w:bCs/>
          <w:i/>
          <w:iCs/>
        </w:rPr>
        <w:footnoteReference w:id="30"/>
      </w:r>
      <w:r w:rsidR="00FA1736">
        <w:rPr>
          <w:rFonts w:ascii="Times New Roman" w:hAnsi="Times New Roman"/>
          <w:bCs/>
          <w:i/>
          <w:iCs/>
        </w:rPr>
        <w:t xml:space="preserve">, </w:t>
      </w:r>
      <w:r w:rsidR="00FA1736">
        <w:rPr>
          <w:rFonts w:ascii="Times New Roman" w:hAnsi="Times New Roman"/>
          <w:bCs/>
        </w:rPr>
        <w:t>aspecto éste que debe evaluarse cuando se permite el ingreso del público a una sala virtual.</w:t>
      </w:r>
      <w:r w:rsidR="009E52CB">
        <w:rPr>
          <w:rFonts w:ascii="Times New Roman" w:hAnsi="Times New Roman"/>
          <w:bCs/>
        </w:rPr>
        <w:t xml:space="preserve"> Máxime cuando por Disposición 10/15 de la Dirección Nacional de Protección de Datos Personales se reconoció que una imagen o registro fílmico, a los efectos de la Ley n</w:t>
      </w:r>
      <w:r w:rsidR="009E52CB">
        <w:rPr>
          <w:rFonts w:ascii="Times New Roman" w:hAnsi="Times New Roman"/>
          <w:bCs/>
        </w:rPr>
        <w:sym w:font="Symbol" w:char="F0B0"/>
      </w:r>
      <w:r w:rsidR="009E52CB">
        <w:rPr>
          <w:rFonts w:ascii="Times New Roman" w:hAnsi="Times New Roman"/>
          <w:bCs/>
        </w:rPr>
        <w:t xml:space="preserve"> 25.326</w:t>
      </w:r>
      <w:r w:rsidR="009E52CB">
        <w:rPr>
          <w:rStyle w:val="Refdenotaalpie"/>
          <w:rFonts w:ascii="Times New Roman" w:hAnsi="Times New Roman"/>
          <w:bCs/>
        </w:rPr>
        <w:footnoteReference w:id="31"/>
      </w:r>
      <w:r w:rsidR="009E52CB">
        <w:rPr>
          <w:rFonts w:ascii="Times New Roman" w:hAnsi="Times New Roman"/>
          <w:bCs/>
        </w:rPr>
        <w:t>, es un dato de carácter personal en la medida en que una persona pueda ser determinada o determinable, siendo por lo tanto objeto de protección.</w:t>
      </w:r>
    </w:p>
    <w:p w:rsidR="00DD5815" w:rsidRDefault="005E5324" w:rsidP="00FE1605">
      <w:pPr>
        <w:pStyle w:val="Listavistosa-nfasis11"/>
        <w:spacing w:line="360" w:lineRule="auto"/>
        <w:ind w:left="0" w:firstLine="426"/>
        <w:jc w:val="both"/>
        <w:rPr>
          <w:rFonts w:ascii="Times New Roman" w:hAnsi="Times New Roman"/>
          <w:bCs/>
        </w:rPr>
      </w:pPr>
      <w:r>
        <w:rPr>
          <w:rFonts w:ascii="Times New Roman" w:hAnsi="Times New Roman"/>
          <w:bCs/>
        </w:rPr>
        <w:lastRenderedPageBreak/>
        <w:t xml:space="preserve">Si se hace referencia a </w:t>
      </w:r>
      <w:r w:rsidR="008066A8">
        <w:rPr>
          <w:rFonts w:ascii="Times New Roman" w:hAnsi="Times New Roman"/>
          <w:bCs/>
        </w:rPr>
        <w:t xml:space="preserve">los principios de </w:t>
      </w:r>
      <w:r>
        <w:rPr>
          <w:rFonts w:ascii="Times New Roman" w:hAnsi="Times New Roman"/>
          <w:bCs/>
        </w:rPr>
        <w:t xml:space="preserve">inmediación y </w:t>
      </w:r>
      <w:r w:rsidR="008066A8">
        <w:rPr>
          <w:rFonts w:ascii="Times New Roman" w:hAnsi="Times New Roman"/>
          <w:bCs/>
        </w:rPr>
        <w:t>de</w:t>
      </w:r>
      <w:r>
        <w:rPr>
          <w:rFonts w:ascii="Times New Roman" w:hAnsi="Times New Roman"/>
          <w:bCs/>
        </w:rPr>
        <w:t xml:space="preserve"> contradictorio, </w:t>
      </w:r>
      <w:r w:rsidR="008066A8">
        <w:rPr>
          <w:rFonts w:ascii="Times New Roman" w:hAnsi="Times New Roman"/>
          <w:bCs/>
        </w:rPr>
        <w:t>el menoscabo que sufren en un juicio desarrollado de manera telemática es innegable. En efecto, al no encontrarse el testigo o el perito en la misma sala frente a las partes y el Tribunal son múltiples los aspectos que pueden señalarse en desmedro de la calidad de ese elemento probatorio. Si bien es cierto que la percepción del Tribunal y de las partes se obtiene a través de estos medios tanto en imagen como en sonido y puede controlarse en forma simultánea la producción de la prueba</w:t>
      </w:r>
      <w:r w:rsidR="00FE1605">
        <w:rPr>
          <w:rFonts w:ascii="Times New Roman" w:hAnsi="Times New Roman"/>
          <w:bCs/>
        </w:rPr>
        <w:t xml:space="preserve">, la realidad demuestra que, como sólo se podrá percibir la cara del deponente pero no el entorno en el cual se </w:t>
      </w:r>
      <w:r w:rsidR="00292D75">
        <w:rPr>
          <w:rFonts w:ascii="Times New Roman" w:hAnsi="Times New Roman"/>
          <w:bCs/>
        </w:rPr>
        <w:t>encuentra</w:t>
      </w:r>
      <w:r w:rsidR="00FE1605">
        <w:rPr>
          <w:rFonts w:ascii="Times New Roman" w:hAnsi="Times New Roman"/>
          <w:bCs/>
        </w:rPr>
        <w:t xml:space="preserve"> es posible que </w:t>
      </w:r>
      <w:r w:rsidR="008066A8">
        <w:rPr>
          <w:rFonts w:ascii="Times New Roman" w:hAnsi="Times New Roman"/>
          <w:bCs/>
        </w:rPr>
        <w:t xml:space="preserve">pueda </w:t>
      </w:r>
      <w:r w:rsidR="0052411C">
        <w:rPr>
          <w:rFonts w:ascii="Times New Roman" w:hAnsi="Times New Roman"/>
          <w:bCs/>
        </w:rPr>
        <w:t xml:space="preserve">verse influenciado o guiado por otros en su declaración </w:t>
      </w:r>
      <w:r w:rsidR="008066A8">
        <w:rPr>
          <w:rFonts w:ascii="Times New Roman" w:hAnsi="Times New Roman"/>
          <w:bCs/>
        </w:rPr>
        <w:t xml:space="preserve">o, incluso, </w:t>
      </w:r>
      <w:r w:rsidR="00FE1605">
        <w:rPr>
          <w:rFonts w:ascii="Times New Roman" w:hAnsi="Times New Roman"/>
          <w:bCs/>
        </w:rPr>
        <w:t xml:space="preserve">que </w:t>
      </w:r>
      <w:r w:rsidR="008066A8">
        <w:rPr>
          <w:rFonts w:ascii="Times New Roman" w:hAnsi="Times New Roman"/>
          <w:bCs/>
        </w:rPr>
        <w:t>pued</w:t>
      </w:r>
      <w:r w:rsidR="00FE1605">
        <w:rPr>
          <w:rFonts w:ascii="Times New Roman" w:hAnsi="Times New Roman"/>
          <w:bCs/>
        </w:rPr>
        <w:t>a</w:t>
      </w:r>
      <w:r w:rsidR="008066A8">
        <w:rPr>
          <w:rFonts w:ascii="Times New Roman" w:hAnsi="Times New Roman"/>
          <w:bCs/>
        </w:rPr>
        <w:t xml:space="preserve"> leer</w:t>
      </w:r>
      <w:r w:rsidR="00FE1605">
        <w:rPr>
          <w:rFonts w:ascii="Times New Roman" w:hAnsi="Times New Roman"/>
          <w:bCs/>
        </w:rPr>
        <w:t>la y ello no podrá estar sujeto a ningún control.</w:t>
      </w:r>
      <w:r w:rsidR="008066A8">
        <w:rPr>
          <w:rFonts w:ascii="Times New Roman" w:hAnsi="Times New Roman"/>
          <w:bCs/>
        </w:rPr>
        <w:t xml:space="preserve"> </w:t>
      </w:r>
    </w:p>
    <w:p w:rsidR="008066A8" w:rsidRDefault="00FE1605" w:rsidP="00FE1605">
      <w:pPr>
        <w:pStyle w:val="Listavistosa-nfasis11"/>
        <w:spacing w:line="360" w:lineRule="auto"/>
        <w:ind w:left="0" w:firstLine="426"/>
        <w:jc w:val="both"/>
        <w:rPr>
          <w:rFonts w:ascii="Times New Roman" w:hAnsi="Times New Roman"/>
          <w:bCs/>
        </w:rPr>
      </w:pPr>
      <w:r>
        <w:rPr>
          <w:rFonts w:ascii="Times New Roman" w:hAnsi="Times New Roman"/>
          <w:bCs/>
        </w:rPr>
        <w:t>Y este es justamente el aspecto central pues si la inmediación requiere que la aproximación a la prueba lo sea sin ninguna interferencia que puedan distorsionar o tergiversar su contenido, el empleo de un medio virtual para realizar el debate facilita estas interferencias ante la imposibilidad cierta de comprobar que no existe ningún tipo de manipulación en la declaración de ese testigo.</w:t>
      </w:r>
      <w:r w:rsidRPr="00FE1605">
        <w:rPr>
          <w:rFonts w:ascii="Times New Roman" w:hAnsi="Times New Roman"/>
          <w:bCs/>
        </w:rPr>
        <w:t xml:space="preserve"> </w:t>
      </w:r>
      <w:r>
        <w:rPr>
          <w:rFonts w:ascii="Times New Roman" w:hAnsi="Times New Roman"/>
          <w:bCs/>
        </w:rPr>
        <w:t>Asimismo, es muy difícil tener una percepción acaba</w:t>
      </w:r>
      <w:r w:rsidR="00292D75">
        <w:rPr>
          <w:rFonts w:ascii="Times New Roman" w:hAnsi="Times New Roman"/>
          <w:bCs/>
        </w:rPr>
        <w:t>da</w:t>
      </w:r>
      <w:r>
        <w:rPr>
          <w:rFonts w:ascii="Times New Roman" w:hAnsi="Times New Roman"/>
          <w:bCs/>
        </w:rPr>
        <w:t xml:space="preserve"> de</w:t>
      </w:r>
      <w:r w:rsidR="00292D75">
        <w:rPr>
          <w:rFonts w:ascii="Times New Roman" w:hAnsi="Times New Roman"/>
          <w:bCs/>
        </w:rPr>
        <w:t xml:space="preserve"> éste</w:t>
      </w:r>
      <w:r>
        <w:rPr>
          <w:rFonts w:ascii="Times New Roman" w:hAnsi="Times New Roman"/>
          <w:bCs/>
        </w:rPr>
        <w:t>, poder apreciar su forma de expresión tanto en su lenguaje verbal como no verbal, poder aclarar el sentido de sus expresiones, entre otros aspectos</w:t>
      </w:r>
      <w:r w:rsidR="00292D75">
        <w:rPr>
          <w:rFonts w:ascii="Times New Roman" w:hAnsi="Times New Roman"/>
          <w:bCs/>
        </w:rPr>
        <w:t>,</w:t>
      </w:r>
      <w:r w:rsidR="00DD5815">
        <w:rPr>
          <w:rFonts w:ascii="Times New Roman" w:hAnsi="Times New Roman"/>
          <w:bCs/>
        </w:rPr>
        <w:t xml:space="preserve"> que no solamente permite evaluar la credibilidad de la persona sino también cómo es su respuesta frente al proceso</w:t>
      </w:r>
      <w:r>
        <w:rPr>
          <w:rFonts w:ascii="Times New Roman" w:hAnsi="Times New Roman"/>
          <w:bCs/>
        </w:rPr>
        <w:t>. En este punto, afirma Langevin</w:t>
      </w:r>
      <w:r>
        <w:rPr>
          <w:rStyle w:val="Refdenotaalpie"/>
          <w:rFonts w:ascii="Times New Roman" w:hAnsi="Times New Roman"/>
          <w:bCs/>
        </w:rPr>
        <w:footnoteReference w:id="32"/>
      </w:r>
      <w:r>
        <w:rPr>
          <w:rFonts w:ascii="Times New Roman" w:hAnsi="Times New Roman"/>
          <w:bCs/>
        </w:rPr>
        <w:t xml:space="preserve"> </w:t>
      </w:r>
      <w:r w:rsidR="00292D75">
        <w:rPr>
          <w:rFonts w:ascii="Times New Roman" w:hAnsi="Times New Roman"/>
          <w:bCs/>
        </w:rPr>
        <w:t xml:space="preserve">que </w:t>
      </w:r>
      <w:r>
        <w:rPr>
          <w:rFonts w:ascii="Times New Roman" w:hAnsi="Times New Roman"/>
          <w:bCs/>
        </w:rPr>
        <w:t xml:space="preserve">las plataformas virtuales constituyen un rol de mediación técnica entre los jueces y las partes con las pruebas por lo que no se puede afirmar que no se vea menoscabado </w:t>
      </w:r>
      <w:r w:rsidR="00767CC3">
        <w:rPr>
          <w:rFonts w:ascii="Times New Roman" w:hAnsi="Times New Roman"/>
          <w:bCs/>
        </w:rPr>
        <w:t>este principio.</w:t>
      </w:r>
    </w:p>
    <w:p w:rsidR="00DD5815" w:rsidRPr="00053917" w:rsidRDefault="00DD5815" w:rsidP="00DD5815">
      <w:pPr>
        <w:pStyle w:val="Listavistosa-nfasis11"/>
        <w:spacing w:line="360" w:lineRule="auto"/>
        <w:ind w:left="0" w:firstLine="426"/>
        <w:jc w:val="both"/>
        <w:rPr>
          <w:rFonts w:ascii="Times New Roman" w:hAnsi="Times New Roman"/>
          <w:bCs/>
        </w:rPr>
      </w:pPr>
      <w:r>
        <w:rPr>
          <w:rFonts w:ascii="Times New Roman" w:hAnsi="Times New Roman"/>
          <w:bCs/>
        </w:rPr>
        <w:t xml:space="preserve">Al respecto expresa Cafferata Nores que parece difícil poder contradecir, desafiar o cuestionar la veracidad de una prueba de pantalla a pantalla y por eso considera que </w:t>
      </w:r>
      <w:r>
        <w:rPr>
          <w:rFonts w:ascii="Times New Roman" w:hAnsi="Times New Roman"/>
          <w:bCs/>
          <w:i/>
          <w:iCs/>
        </w:rPr>
        <w:t>[…] la fecundidad convictiva que de esta confrontación se espera, pareciera más posible de lograr si ella se lleva a cabo “cara a cara” entre los protagonistas de modo presencial, aventando así el riesgo de que la virtualidad frustre su objetivo de provocar en los jueces una impresión sobre la inconsistencia o la insinceridad de esa prueba personal de cargo</w:t>
      </w:r>
      <w:r>
        <w:rPr>
          <w:rStyle w:val="Refdenotaalpie"/>
          <w:rFonts w:ascii="Times New Roman" w:hAnsi="Times New Roman"/>
          <w:bCs/>
          <w:i/>
          <w:iCs/>
        </w:rPr>
        <w:footnoteReference w:id="33"/>
      </w:r>
      <w:r>
        <w:rPr>
          <w:rFonts w:ascii="Times New Roman" w:hAnsi="Times New Roman"/>
          <w:bCs/>
          <w:i/>
          <w:iCs/>
        </w:rPr>
        <w:t>.</w:t>
      </w:r>
      <w:r w:rsidR="00053917">
        <w:rPr>
          <w:rFonts w:ascii="Times New Roman" w:hAnsi="Times New Roman"/>
          <w:bCs/>
        </w:rPr>
        <w:t xml:space="preserve"> Es que indudablemente no es lo mismo la percepción personal que la percepción a través de imágenes de una pantalla.</w:t>
      </w:r>
    </w:p>
    <w:p w:rsidR="0066475C" w:rsidRDefault="00FD0628" w:rsidP="009912EC">
      <w:pPr>
        <w:pStyle w:val="Listavistosa-nfasis11"/>
        <w:spacing w:line="360" w:lineRule="auto"/>
        <w:ind w:left="0" w:firstLine="426"/>
        <w:jc w:val="both"/>
        <w:rPr>
          <w:rFonts w:ascii="Times New Roman" w:hAnsi="Times New Roman"/>
          <w:bCs/>
        </w:rPr>
      </w:pPr>
      <w:r>
        <w:rPr>
          <w:rFonts w:ascii="Times New Roman" w:hAnsi="Times New Roman"/>
          <w:bCs/>
        </w:rPr>
        <w:t xml:space="preserve">Con respecto del contradictorio se puede llegar a </w:t>
      </w:r>
      <w:r w:rsidR="00767CC3">
        <w:rPr>
          <w:rFonts w:ascii="Times New Roman" w:hAnsi="Times New Roman"/>
          <w:bCs/>
        </w:rPr>
        <w:t xml:space="preserve">igual conclusión </w:t>
      </w:r>
      <w:r>
        <w:rPr>
          <w:rFonts w:ascii="Times New Roman" w:hAnsi="Times New Roman"/>
          <w:bCs/>
        </w:rPr>
        <w:t>que respecto de los principios analizados previamente</w:t>
      </w:r>
      <w:r w:rsidR="00053917">
        <w:rPr>
          <w:rFonts w:ascii="Times New Roman" w:hAnsi="Times New Roman"/>
          <w:bCs/>
        </w:rPr>
        <w:t xml:space="preserve"> porque también repercute en </w:t>
      </w:r>
      <w:r w:rsidR="00B51427">
        <w:rPr>
          <w:rFonts w:ascii="Times New Roman" w:hAnsi="Times New Roman"/>
          <w:bCs/>
        </w:rPr>
        <w:t>su realización</w:t>
      </w:r>
      <w:r>
        <w:rPr>
          <w:rFonts w:ascii="Times New Roman" w:hAnsi="Times New Roman"/>
          <w:bCs/>
        </w:rPr>
        <w:t>. Si bien se ha dicho que con</w:t>
      </w:r>
      <w:r w:rsidR="008066A8">
        <w:rPr>
          <w:rFonts w:ascii="Times New Roman" w:hAnsi="Times New Roman"/>
          <w:bCs/>
        </w:rPr>
        <w:t xml:space="preserve"> los medios virtuales, las partes conservan la posibilidad </w:t>
      </w:r>
      <w:r w:rsidR="008066A8">
        <w:rPr>
          <w:rFonts w:ascii="Times New Roman" w:hAnsi="Times New Roman"/>
          <w:bCs/>
        </w:rPr>
        <w:lastRenderedPageBreak/>
        <w:t>efectiva de presenciar, interpelar y, llegado el momento, ponderar la validez de las declaraciones efectuadas en la audiencia</w:t>
      </w:r>
      <w:r w:rsidR="009912EC">
        <w:rPr>
          <w:rFonts w:ascii="Times New Roman" w:hAnsi="Times New Roman"/>
          <w:bCs/>
        </w:rPr>
        <w:t xml:space="preserve"> porque las </w:t>
      </w:r>
      <w:r w:rsidR="008066A8">
        <w:rPr>
          <w:rFonts w:ascii="Times New Roman" w:hAnsi="Times New Roman"/>
          <w:bCs/>
        </w:rPr>
        <w:t>plataformas digitales permitan formular pregunta</w:t>
      </w:r>
      <w:r w:rsidR="0044091F">
        <w:rPr>
          <w:rFonts w:ascii="Times New Roman" w:hAnsi="Times New Roman"/>
          <w:bCs/>
        </w:rPr>
        <w:t>s</w:t>
      </w:r>
      <w:r w:rsidR="008066A8">
        <w:rPr>
          <w:rFonts w:ascii="Times New Roman" w:hAnsi="Times New Roman"/>
          <w:bCs/>
        </w:rPr>
        <w:t xml:space="preserve"> u oponerse a algún cuestionamiento efectuado por la otra parte, en el mismo momento en que se llevan a cabo y sin inconveniente alguno</w:t>
      </w:r>
      <w:r w:rsidR="00ED2B13">
        <w:rPr>
          <w:rFonts w:ascii="Times New Roman" w:hAnsi="Times New Roman"/>
          <w:bCs/>
        </w:rPr>
        <w:t>. Sin embargo,</w:t>
      </w:r>
      <w:r w:rsidR="008066A8">
        <w:rPr>
          <w:rFonts w:ascii="Times New Roman" w:hAnsi="Times New Roman"/>
          <w:bCs/>
        </w:rPr>
        <w:t xml:space="preserve"> </w:t>
      </w:r>
      <w:r w:rsidR="009912EC">
        <w:rPr>
          <w:rFonts w:ascii="Times New Roman" w:hAnsi="Times New Roman"/>
          <w:bCs/>
        </w:rPr>
        <w:t>la realidad demuestra que ello no es completamente así.</w:t>
      </w:r>
      <w:r w:rsidR="008066A8">
        <w:rPr>
          <w:rFonts w:ascii="Times New Roman" w:hAnsi="Times New Roman"/>
          <w:bCs/>
        </w:rPr>
        <w:t xml:space="preserve"> </w:t>
      </w:r>
      <w:r w:rsidR="009912EC">
        <w:rPr>
          <w:rFonts w:ascii="Times New Roman" w:hAnsi="Times New Roman"/>
          <w:bCs/>
        </w:rPr>
        <w:t xml:space="preserve">Y digo esto porque </w:t>
      </w:r>
      <w:r w:rsidR="0052411C">
        <w:rPr>
          <w:rFonts w:ascii="Times New Roman" w:hAnsi="Times New Roman"/>
          <w:bCs/>
        </w:rPr>
        <w:t xml:space="preserve">se hace muy difícil el contradictorio cuando la oposición a determinadas preguntas o </w:t>
      </w:r>
      <w:r w:rsidR="0044091F">
        <w:rPr>
          <w:rFonts w:ascii="Times New Roman" w:hAnsi="Times New Roman"/>
          <w:bCs/>
        </w:rPr>
        <w:t xml:space="preserve">la realización de </w:t>
      </w:r>
      <w:r w:rsidR="0052411C">
        <w:rPr>
          <w:rFonts w:ascii="Times New Roman" w:hAnsi="Times New Roman"/>
          <w:bCs/>
        </w:rPr>
        <w:t>un contra</w:t>
      </w:r>
      <w:r w:rsidR="0044091F">
        <w:rPr>
          <w:rFonts w:ascii="Times New Roman" w:hAnsi="Times New Roman"/>
          <w:bCs/>
        </w:rPr>
        <w:t>-</w:t>
      </w:r>
      <w:r w:rsidR="0052411C">
        <w:rPr>
          <w:rFonts w:ascii="Times New Roman" w:hAnsi="Times New Roman"/>
          <w:bCs/>
        </w:rPr>
        <w:t xml:space="preserve">examen </w:t>
      </w:r>
      <w:r w:rsidR="0044091F">
        <w:rPr>
          <w:rFonts w:ascii="Times New Roman" w:hAnsi="Times New Roman"/>
          <w:bCs/>
        </w:rPr>
        <w:t xml:space="preserve">eficaz </w:t>
      </w:r>
      <w:r w:rsidR="00ED2B13">
        <w:rPr>
          <w:rFonts w:ascii="Times New Roman" w:hAnsi="Times New Roman"/>
          <w:bCs/>
        </w:rPr>
        <w:t xml:space="preserve">no puede llevarse a cabo a partir del momento en que no es posible controlar </w:t>
      </w:r>
      <w:r w:rsidR="00FE1B49">
        <w:rPr>
          <w:rFonts w:ascii="Times New Roman" w:hAnsi="Times New Roman"/>
          <w:bCs/>
        </w:rPr>
        <w:t>la manera en que el testigo declara</w:t>
      </w:r>
      <w:r w:rsidR="00ED2B13">
        <w:rPr>
          <w:rFonts w:ascii="Times New Roman" w:hAnsi="Times New Roman"/>
          <w:bCs/>
        </w:rPr>
        <w:t xml:space="preserve"> cuando solamente se le ve su cara a través de una pantalla.</w:t>
      </w:r>
      <w:r w:rsidR="00DE2F1B">
        <w:rPr>
          <w:rFonts w:ascii="Times New Roman" w:hAnsi="Times New Roman"/>
          <w:bCs/>
        </w:rPr>
        <w:t xml:space="preserve"> </w:t>
      </w:r>
    </w:p>
    <w:p w:rsidR="005B6C5F" w:rsidRDefault="00560C6D" w:rsidP="005B6C5F">
      <w:pPr>
        <w:pStyle w:val="Listavistosa-nfasis11"/>
        <w:spacing w:line="360" w:lineRule="auto"/>
        <w:ind w:left="0" w:firstLine="426"/>
        <w:jc w:val="both"/>
        <w:rPr>
          <w:rFonts w:ascii="Times New Roman" w:hAnsi="Times New Roman"/>
          <w:bCs/>
        </w:rPr>
      </w:pPr>
      <w:r>
        <w:rPr>
          <w:rFonts w:ascii="Times New Roman" w:hAnsi="Times New Roman"/>
          <w:bCs/>
        </w:rPr>
        <w:t xml:space="preserve">Ello también afecta el derecho de defensa material </w:t>
      </w:r>
      <w:r w:rsidR="00CF580B">
        <w:rPr>
          <w:rFonts w:ascii="Times New Roman" w:hAnsi="Times New Roman"/>
          <w:bCs/>
        </w:rPr>
        <w:t xml:space="preserve">del imputado </w:t>
      </w:r>
      <w:r>
        <w:rPr>
          <w:rFonts w:ascii="Times New Roman" w:hAnsi="Times New Roman"/>
          <w:bCs/>
        </w:rPr>
        <w:t xml:space="preserve">pues </w:t>
      </w:r>
      <w:r w:rsidR="00CF580B">
        <w:rPr>
          <w:rFonts w:ascii="Times New Roman" w:hAnsi="Times New Roman"/>
          <w:bCs/>
        </w:rPr>
        <w:t xml:space="preserve">se ve dificultada la posibilidad de controlar y confrontar la prueba de cargo, amén de la </w:t>
      </w:r>
      <w:r w:rsidR="0037520B">
        <w:rPr>
          <w:rFonts w:ascii="Times New Roman" w:hAnsi="Times New Roman"/>
          <w:bCs/>
        </w:rPr>
        <w:t xml:space="preserve">imposibilidad de mantener una comunicación directa y continua con el </w:t>
      </w:r>
      <w:r w:rsidR="0044091F">
        <w:rPr>
          <w:rFonts w:ascii="Times New Roman" w:hAnsi="Times New Roman"/>
          <w:bCs/>
        </w:rPr>
        <w:t xml:space="preserve">defensor </w:t>
      </w:r>
      <w:r w:rsidR="0037520B">
        <w:rPr>
          <w:rFonts w:ascii="Times New Roman" w:hAnsi="Times New Roman"/>
          <w:bCs/>
        </w:rPr>
        <w:t xml:space="preserve">durante el juicio </w:t>
      </w:r>
      <w:r w:rsidR="00CF580B">
        <w:rPr>
          <w:rFonts w:ascii="Times New Roman" w:hAnsi="Times New Roman"/>
          <w:bCs/>
        </w:rPr>
        <w:t>en el supuesto en que se encuentren en distintos lugares físicos</w:t>
      </w:r>
      <w:r w:rsidR="00E438CA">
        <w:rPr>
          <w:rFonts w:ascii="Times New Roman" w:hAnsi="Times New Roman"/>
          <w:bCs/>
        </w:rPr>
        <w:t xml:space="preserve">. </w:t>
      </w:r>
      <w:r w:rsidR="0031155F">
        <w:rPr>
          <w:rFonts w:ascii="Times New Roman" w:hAnsi="Times New Roman"/>
          <w:bCs/>
        </w:rPr>
        <w:t>Esto impide que el defensor pueda llevar a cabo una defensa</w:t>
      </w:r>
      <w:r w:rsidR="0044091F">
        <w:rPr>
          <w:rFonts w:ascii="Times New Roman" w:hAnsi="Times New Roman"/>
          <w:bCs/>
        </w:rPr>
        <w:t xml:space="preserve"> eficiente</w:t>
      </w:r>
      <w:r w:rsidR="0031155F">
        <w:rPr>
          <w:rFonts w:ascii="Times New Roman" w:hAnsi="Times New Roman"/>
          <w:bCs/>
        </w:rPr>
        <w:t xml:space="preserve"> porque durante </w:t>
      </w:r>
      <w:r w:rsidR="000401AC">
        <w:rPr>
          <w:rFonts w:ascii="Times New Roman" w:hAnsi="Times New Roman"/>
          <w:bCs/>
        </w:rPr>
        <w:t xml:space="preserve">la audiencia no podrán interactuar </w:t>
      </w:r>
      <w:r w:rsidR="00C733F1">
        <w:rPr>
          <w:rFonts w:ascii="Times New Roman" w:hAnsi="Times New Roman"/>
          <w:bCs/>
        </w:rPr>
        <w:t xml:space="preserve">de una manera real y efectiva </w:t>
      </w:r>
      <w:r w:rsidR="000401AC">
        <w:rPr>
          <w:rFonts w:ascii="Times New Roman" w:hAnsi="Times New Roman"/>
          <w:bCs/>
        </w:rPr>
        <w:t xml:space="preserve">mientras </w:t>
      </w:r>
      <w:r w:rsidR="00C733F1">
        <w:rPr>
          <w:rFonts w:ascii="Times New Roman" w:hAnsi="Times New Roman"/>
          <w:bCs/>
        </w:rPr>
        <w:t xml:space="preserve">se produce la prueba. </w:t>
      </w:r>
      <w:r w:rsidR="00DE2F1B">
        <w:rPr>
          <w:rFonts w:ascii="Times New Roman" w:hAnsi="Times New Roman"/>
          <w:bCs/>
        </w:rPr>
        <w:t>Langevin</w:t>
      </w:r>
      <w:r w:rsidR="00DE2F1B">
        <w:rPr>
          <w:rStyle w:val="Refdenotaalpie"/>
          <w:rFonts w:ascii="Times New Roman" w:hAnsi="Times New Roman"/>
          <w:bCs/>
        </w:rPr>
        <w:footnoteReference w:id="34"/>
      </w:r>
      <w:r w:rsidR="00DE2F1B">
        <w:rPr>
          <w:rFonts w:ascii="Times New Roman" w:hAnsi="Times New Roman"/>
          <w:bCs/>
        </w:rPr>
        <w:t xml:space="preserve"> también se hace eco de estas afirmaciones pues si el defensor y el imputado están físicamente separados se pierde la oportunidad de que </w:t>
      </w:r>
      <w:r w:rsidR="0089002B">
        <w:rPr>
          <w:rFonts w:ascii="Times New Roman" w:hAnsi="Times New Roman"/>
          <w:bCs/>
        </w:rPr>
        <w:t>é</w:t>
      </w:r>
      <w:r w:rsidR="00DE2F1B">
        <w:rPr>
          <w:rFonts w:ascii="Times New Roman" w:hAnsi="Times New Roman"/>
          <w:bCs/>
        </w:rPr>
        <w:t>ste le pase notas al abogado o le haga algún comentario susurrado lo cual limita la posibilidad de asesoramiento y asistencia.</w:t>
      </w:r>
      <w:r w:rsidR="005B6C5F">
        <w:rPr>
          <w:rFonts w:ascii="Times New Roman" w:hAnsi="Times New Roman"/>
          <w:bCs/>
        </w:rPr>
        <w:t xml:space="preserve"> Así</w:t>
      </w:r>
      <w:r w:rsidR="0044091F">
        <w:rPr>
          <w:rFonts w:ascii="Times New Roman" w:hAnsi="Times New Roman"/>
          <w:bCs/>
        </w:rPr>
        <w:t>,</w:t>
      </w:r>
      <w:r w:rsidR="005B6C5F">
        <w:rPr>
          <w:rFonts w:ascii="Times New Roman" w:hAnsi="Times New Roman"/>
          <w:bCs/>
        </w:rPr>
        <w:t xml:space="preserve"> la </w:t>
      </w:r>
      <w:r w:rsidR="00ED2B13">
        <w:rPr>
          <w:rFonts w:ascii="Times New Roman" w:hAnsi="Times New Roman"/>
          <w:bCs/>
        </w:rPr>
        <w:t>imposibilidad de tener comunicación directa y permanente entre el defensor y el imputado durante la audiencia, afect</w:t>
      </w:r>
      <w:r w:rsidR="005B6C5F">
        <w:rPr>
          <w:rFonts w:ascii="Times New Roman" w:hAnsi="Times New Roman"/>
          <w:bCs/>
        </w:rPr>
        <w:t>a</w:t>
      </w:r>
      <w:r w:rsidR="00ED2B13">
        <w:rPr>
          <w:rFonts w:ascii="Times New Roman" w:hAnsi="Times New Roman"/>
          <w:bCs/>
        </w:rPr>
        <w:t xml:space="preserve"> el derecho de defensa</w:t>
      </w:r>
      <w:r w:rsidR="005B6C5F">
        <w:rPr>
          <w:rFonts w:ascii="Times New Roman" w:hAnsi="Times New Roman"/>
          <w:bCs/>
        </w:rPr>
        <w:t xml:space="preserve">. </w:t>
      </w:r>
    </w:p>
    <w:p w:rsidR="00ED2B13" w:rsidRDefault="005B6C5F" w:rsidP="005B6C5F">
      <w:pPr>
        <w:pStyle w:val="Listavistosa-nfasis11"/>
        <w:spacing w:line="360" w:lineRule="auto"/>
        <w:ind w:left="0" w:firstLine="426"/>
        <w:jc w:val="both"/>
        <w:rPr>
          <w:rFonts w:ascii="Times New Roman" w:hAnsi="Times New Roman"/>
          <w:bCs/>
          <w:i/>
          <w:iCs/>
        </w:rPr>
      </w:pPr>
      <w:r>
        <w:rPr>
          <w:rFonts w:ascii="Times New Roman" w:hAnsi="Times New Roman"/>
          <w:bCs/>
        </w:rPr>
        <w:t xml:space="preserve">Este aspecto también fue resuelto por los tribunales durante la situación de pandemia y consideraron que no se </w:t>
      </w:r>
      <w:r w:rsidR="005B7A0D">
        <w:rPr>
          <w:rFonts w:ascii="Times New Roman" w:hAnsi="Times New Roman"/>
          <w:bCs/>
        </w:rPr>
        <w:t xml:space="preserve">producía un menoscabo de la defensa </w:t>
      </w:r>
      <w:r>
        <w:rPr>
          <w:rFonts w:ascii="Times New Roman" w:hAnsi="Times New Roman"/>
          <w:bCs/>
        </w:rPr>
        <w:t xml:space="preserve">porque los defensores podían </w:t>
      </w:r>
      <w:r w:rsidR="00ED2B13">
        <w:rPr>
          <w:rFonts w:ascii="Times New Roman" w:hAnsi="Times New Roman"/>
          <w:bCs/>
        </w:rPr>
        <w:t xml:space="preserve">mantener comunicación telefónica durante la audiencia </w:t>
      </w:r>
      <w:r>
        <w:rPr>
          <w:rFonts w:ascii="Times New Roman" w:hAnsi="Times New Roman"/>
          <w:bCs/>
        </w:rPr>
        <w:t xml:space="preserve">como también la posibilidad de que se generaran </w:t>
      </w:r>
      <w:r w:rsidR="00ED2B13">
        <w:rPr>
          <w:rFonts w:ascii="Times New Roman" w:hAnsi="Times New Roman"/>
          <w:bCs/>
        </w:rPr>
        <w:t xml:space="preserve">sesiones en salas privadas por lo que nada impediría que se </w:t>
      </w:r>
      <w:r>
        <w:rPr>
          <w:rFonts w:ascii="Times New Roman" w:hAnsi="Times New Roman"/>
          <w:bCs/>
        </w:rPr>
        <w:t>pudiera</w:t>
      </w:r>
      <w:r w:rsidR="00ED2B13">
        <w:rPr>
          <w:rFonts w:ascii="Times New Roman" w:hAnsi="Times New Roman"/>
          <w:bCs/>
        </w:rPr>
        <w:t xml:space="preserve"> mantener, en simultáneo y de manera reservada, un contacto permanente entre el defensor y su asistido. Amén de ello, se afirmó que </w:t>
      </w:r>
      <w:r w:rsidR="00ED2B13">
        <w:rPr>
          <w:rFonts w:ascii="Times New Roman" w:hAnsi="Times New Roman"/>
          <w:bCs/>
          <w:i/>
          <w:iCs/>
        </w:rPr>
        <w:t xml:space="preserve">[…] resulta importante agregar que el imputado puede no estar presente durante la totalidad de las audiencias, sean estas presenciales o virtuales, siempre que se encuentre debidamente representado por su defensor (art. 366 CPPN), por lo que conociendo previamente las defensas qué testigos serán convocados a cada audiencia podrán establecer el tipo de contacto mencionado precedentemente en tales audiencias en particular. En esta misma </w:t>
      </w:r>
      <w:r w:rsidR="00ED2B13">
        <w:rPr>
          <w:rFonts w:ascii="Times New Roman" w:hAnsi="Times New Roman"/>
          <w:bCs/>
          <w:i/>
          <w:iCs/>
        </w:rPr>
        <w:lastRenderedPageBreak/>
        <w:t>línea, las defensas contarán además con la posibilidad, luego de mantener los diálogos necesarios con sus pupilos entre audiencias de, por ejemplo, solicitar una nueva citación de un testigo ya convocado</w:t>
      </w:r>
      <w:r w:rsidR="00ED2B13">
        <w:rPr>
          <w:rStyle w:val="Refdenotaalpie"/>
          <w:rFonts w:ascii="Times New Roman" w:hAnsi="Times New Roman"/>
          <w:bCs/>
          <w:i/>
          <w:iCs/>
        </w:rPr>
        <w:footnoteReference w:id="35"/>
      </w:r>
      <w:r w:rsidR="00ED2B13">
        <w:rPr>
          <w:rFonts w:ascii="Times New Roman" w:hAnsi="Times New Roman"/>
          <w:bCs/>
          <w:i/>
          <w:iCs/>
        </w:rPr>
        <w:t>.</w:t>
      </w:r>
    </w:p>
    <w:p w:rsidR="002140AB" w:rsidRDefault="005B7A0D" w:rsidP="005B6C5F">
      <w:pPr>
        <w:pStyle w:val="Listavistosa-nfasis11"/>
        <w:spacing w:line="360" w:lineRule="auto"/>
        <w:ind w:left="0" w:firstLine="426"/>
        <w:jc w:val="both"/>
        <w:rPr>
          <w:rFonts w:ascii="Times New Roman" w:hAnsi="Times New Roman"/>
          <w:bCs/>
        </w:rPr>
      </w:pPr>
      <w:r>
        <w:rPr>
          <w:rFonts w:ascii="Times New Roman" w:hAnsi="Times New Roman"/>
          <w:bCs/>
        </w:rPr>
        <w:t xml:space="preserve">Entiendo que nuevamente se ha realizado un esfuerzo interpretativo atento a la realidad existente en el momento en que se dictaron estas resoluciones, esfuerzo por demás entendible. Sin embargo, </w:t>
      </w:r>
      <w:r w:rsidR="00B85983">
        <w:rPr>
          <w:rFonts w:ascii="Times New Roman" w:hAnsi="Times New Roman"/>
          <w:bCs/>
        </w:rPr>
        <w:t xml:space="preserve">a fin de garantizar la defensa material del imputado es necesario que se asegure su presencia durante el desarrollo de la audiencia. Afirma Langevin que el derecho de presencia </w:t>
      </w:r>
      <w:r w:rsidR="00B85983">
        <w:rPr>
          <w:rFonts w:ascii="Times New Roman" w:hAnsi="Times New Roman"/>
          <w:bCs/>
          <w:i/>
          <w:iCs/>
        </w:rPr>
        <w:t>[…]consiste en el derecho de estar presente en cada una de las etapas del juicio, como por ejemplo en la declaración de los testigos de cargo</w:t>
      </w:r>
      <w:r w:rsidR="00B85983">
        <w:rPr>
          <w:rStyle w:val="Refdenotaalpie"/>
          <w:rFonts w:ascii="Times New Roman" w:hAnsi="Times New Roman"/>
          <w:bCs/>
          <w:i/>
          <w:iCs/>
        </w:rPr>
        <w:footnoteReference w:id="36"/>
      </w:r>
      <w:r w:rsidR="00B85983">
        <w:rPr>
          <w:rFonts w:ascii="Times New Roman" w:hAnsi="Times New Roman"/>
          <w:bCs/>
          <w:i/>
          <w:iCs/>
        </w:rPr>
        <w:t xml:space="preserve">, </w:t>
      </w:r>
      <w:r w:rsidR="00B85983">
        <w:rPr>
          <w:rFonts w:ascii="Times New Roman" w:hAnsi="Times New Roman"/>
          <w:bCs/>
        </w:rPr>
        <w:t>lo cual no puede ser suplido por una comunicación con su defensor sin posibilidad de escucharlos personalmente</w:t>
      </w:r>
      <w:r w:rsidR="0044091F">
        <w:rPr>
          <w:rFonts w:ascii="Times New Roman" w:hAnsi="Times New Roman"/>
          <w:bCs/>
        </w:rPr>
        <w:t>, máxime cuando no es posible prever todas respuestas que eventualmente puede dar un testigo. También e</w:t>
      </w:r>
      <w:r w:rsidR="00B85983">
        <w:rPr>
          <w:rFonts w:ascii="Times New Roman" w:hAnsi="Times New Roman"/>
          <w:bCs/>
        </w:rPr>
        <w:t>s cierto que existen situaciones en las cuales el imputado es excluido de la sala, por ejemplo,</w:t>
      </w:r>
      <w:r w:rsidR="0044091F">
        <w:rPr>
          <w:rFonts w:ascii="Times New Roman" w:hAnsi="Times New Roman"/>
          <w:bCs/>
        </w:rPr>
        <w:t xml:space="preserve"> cuando</w:t>
      </w:r>
      <w:r w:rsidR="00B85983">
        <w:rPr>
          <w:rFonts w:ascii="Times New Roman" w:hAnsi="Times New Roman"/>
          <w:bCs/>
        </w:rPr>
        <w:t xml:space="preserve"> interrumpe u obstaculiza el normal desenvolvimiento del debate pero, en este supuesto, es el propio imputado quien con su conducta ha perdido el derecho de estar presente. Distinta es la situación cuando se le priva de esa posibilidad durante todo el desarrollo del juicio. </w:t>
      </w:r>
    </w:p>
    <w:p w:rsidR="00B85983" w:rsidRPr="005B6C5F" w:rsidRDefault="002140AB" w:rsidP="00B75F6D">
      <w:pPr>
        <w:pStyle w:val="Listavistosa-nfasis11"/>
        <w:spacing w:line="360" w:lineRule="auto"/>
        <w:ind w:left="0" w:firstLine="426"/>
        <w:jc w:val="both"/>
        <w:rPr>
          <w:rFonts w:ascii="Times New Roman" w:hAnsi="Times New Roman"/>
          <w:bCs/>
        </w:rPr>
      </w:pPr>
      <w:r>
        <w:rPr>
          <w:rFonts w:ascii="Times New Roman" w:hAnsi="Times New Roman"/>
          <w:bCs/>
        </w:rPr>
        <w:t>E</w:t>
      </w:r>
      <w:r w:rsidR="00D72768">
        <w:rPr>
          <w:rFonts w:ascii="Times New Roman" w:hAnsi="Times New Roman"/>
          <w:bCs/>
        </w:rPr>
        <w:t xml:space="preserve">n este sentido, ha resuelto el </w:t>
      </w:r>
      <w:r>
        <w:rPr>
          <w:rFonts w:ascii="Times New Roman" w:hAnsi="Times New Roman"/>
          <w:bCs/>
        </w:rPr>
        <w:t xml:space="preserve">Tribunal Europeo de Derechos Humanos que si bien el derecho del acusado </w:t>
      </w:r>
      <w:r w:rsidR="0044091F">
        <w:rPr>
          <w:rFonts w:ascii="Times New Roman" w:hAnsi="Times New Roman"/>
          <w:bCs/>
        </w:rPr>
        <w:t xml:space="preserve">a estar presente </w:t>
      </w:r>
      <w:r>
        <w:rPr>
          <w:rFonts w:ascii="Times New Roman" w:hAnsi="Times New Roman"/>
          <w:bCs/>
        </w:rPr>
        <w:t xml:space="preserve">no se encuentra expresamente consignado, se desprende del objeto y fin del artículo 6 CEDH en su conjunto siendo además que el artículo 3 le reconoce a todo acusado </w:t>
      </w:r>
      <w:r w:rsidR="00B75F6D">
        <w:rPr>
          <w:rFonts w:ascii="Times New Roman" w:hAnsi="Times New Roman"/>
          <w:bCs/>
          <w:i/>
          <w:iCs/>
        </w:rPr>
        <w:t>[…] el derecho a defenderse por sí mismo, interrogar o hacer interrogar a los testigos y hacerse asistir gratuitamente por un intérprete, si no comprende o no habla la lengua empleada en la audiencia, lo que no se concibe apenas sin su presencia</w:t>
      </w:r>
      <w:r w:rsidR="00B75F6D">
        <w:rPr>
          <w:rStyle w:val="Refdenotaalpie"/>
          <w:rFonts w:ascii="Times New Roman" w:hAnsi="Times New Roman"/>
          <w:bCs/>
          <w:i/>
          <w:iCs/>
        </w:rPr>
        <w:footnoteReference w:id="37"/>
      </w:r>
      <w:r w:rsidR="00B75F6D">
        <w:rPr>
          <w:rFonts w:ascii="Times New Roman" w:hAnsi="Times New Roman"/>
          <w:bCs/>
          <w:i/>
          <w:iCs/>
        </w:rPr>
        <w:t xml:space="preserve">. </w:t>
      </w:r>
    </w:p>
    <w:p w:rsidR="00ED2B13" w:rsidRPr="00D72768" w:rsidRDefault="00570EA9" w:rsidP="00DF0C09">
      <w:pPr>
        <w:pStyle w:val="Listavistosa-nfasis11"/>
        <w:spacing w:line="360" w:lineRule="auto"/>
        <w:ind w:left="0" w:firstLine="426"/>
        <w:jc w:val="both"/>
        <w:rPr>
          <w:rFonts w:ascii="Times New Roman" w:hAnsi="Times New Roman"/>
          <w:bCs/>
        </w:rPr>
      </w:pPr>
      <w:r>
        <w:rPr>
          <w:rFonts w:ascii="Times New Roman" w:hAnsi="Times New Roman"/>
          <w:bCs/>
        </w:rPr>
        <w:t xml:space="preserve">Si estos son los derechos reconocidos al imputado, coincido con Cafferata Nores cuando afirma que </w:t>
      </w:r>
      <w:r>
        <w:rPr>
          <w:rFonts w:ascii="Times New Roman" w:hAnsi="Times New Roman"/>
          <w:bCs/>
          <w:i/>
          <w:iCs/>
        </w:rPr>
        <w:t>[…]no es sencillo de imaginar el ejercicio útil por el abogado del acusado, e incluso por este mismo, de estas facultades “exploratorias” sobre los dichos que lo incriminan, y menos aún la posibilidad efectiva de “actuar” sobre quienes los pronuncien, atacando, contradiciendo, desafiando o cuestionando su veracidad, “de pantalla a pantalla” (de “ventanita a ventanita”)</w:t>
      </w:r>
      <w:r>
        <w:rPr>
          <w:rStyle w:val="Refdenotaalpie"/>
          <w:rFonts w:ascii="Times New Roman" w:hAnsi="Times New Roman"/>
          <w:bCs/>
          <w:i/>
          <w:iCs/>
        </w:rPr>
        <w:footnoteReference w:id="38"/>
      </w:r>
      <w:r>
        <w:rPr>
          <w:rFonts w:ascii="Times New Roman" w:hAnsi="Times New Roman"/>
          <w:bCs/>
          <w:i/>
          <w:iCs/>
        </w:rPr>
        <w:t>.</w:t>
      </w:r>
      <w:r w:rsidR="00D72768">
        <w:rPr>
          <w:rFonts w:ascii="Times New Roman" w:hAnsi="Times New Roman"/>
          <w:bCs/>
          <w:i/>
          <w:iCs/>
        </w:rPr>
        <w:t xml:space="preserve"> </w:t>
      </w:r>
      <w:r w:rsidR="00D72768">
        <w:rPr>
          <w:rFonts w:ascii="Times New Roman" w:hAnsi="Times New Roman"/>
          <w:bCs/>
        </w:rPr>
        <w:t xml:space="preserve">Es por ello </w:t>
      </w:r>
      <w:r w:rsidR="0044091F">
        <w:rPr>
          <w:rFonts w:ascii="Times New Roman" w:hAnsi="Times New Roman"/>
          <w:bCs/>
        </w:rPr>
        <w:t>por lo que</w:t>
      </w:r>
      <w:r w:rsidR="00D72768">
        <w:rPr>
          <w:rFonts w:ascii="Times New Roman" w:hAnsi="Times New Roman"/>
          <w:bCs/>
        </w:rPr>
        <w:t xml:space="preserve"> la presencia del imputado significa que éste tenga la posibilidad concreta y real de poder participar </w:t>
      </w:r>
      <w:r w:rsidR="00D72768">
        <w:rPr>
          <w:rFonts w:ascii="Times New Roman" w:hAnsi="Times New Roman"/>
          <w:bCs/>
        </w:rPr>
        <w:lastRenderedPageBreak/>
        <w:t>en el desarrollo del juicio</w:t>
      </w:r>
      <w:r w:rsidR="0044091F">
        <w:rPr>
          <w:rFonts w:ascii="Times New Roman" w:hAnsi="Times New Roman"/>
          <w:bCs/>
        </w:rPr>
        <w:t>, posibilidad que se le niega en la medida en que la presencia sea solamente de manera virtual.</w:t>
      </w:r>
    </w:p>
    <w:p w:rsidR="00493BD0" w:rsidRDefault="00493BD0" w:rsidP="00DF0C09">
      <w:pPr>
        <w:pStyle w:val="Listavistosa-nfasis11"/>
        <w:spacing w:line="360" w:lineRule="auto"/>
        <w:ind w:left="0" w:firstLine="426"/>
        <w:jc w:val="both"/>
        <w:rPr>
          <w:rFonts w:ascii="Times New Roman" w:hAnsi="Times New Roman"/>
          <w:bCs/>
        </w:rPr>
      </w:pPr>
    </w:p>
    <w:p w:rsidR="00DE2F1B" w:rsidRPr="0044091F" w:rsidRDefault="00493BD0" w:rsidP="00DF0C09">
      <w:pPr>
        <w:pStyle w:val="Listavistosa-nfasis11"/>
        <w:spacing w:line="360" w:lineRule="auto"/>
        <w:ind w:left="0" w:firstLine="426"/>
        <w:jc w:val="both"/>
        <w:rPr>
          <w:rFonts w:ascii="Times New Roman" w:hAnsi="Times New Roman"/>
          <w:bCs/>
          <w:i/>
          <w:iCs/>
        </w:rPr>
      </w:pPr>
      <w:r w:rsidRPr="0044091F">
        <w:rPr>
          <w:rFonts w:ascii="Times New Roman" w:hAnsi="Times New Roman"/>
          <w:bCs/>
          <w:i/>
          <w:iCs/>
        </w:rPr>
        <w:t>2.2 La solemnidad del juicio oral y la virtualidad</w:t>
      </w:r>
    </w:p>
    <w:p w:rsidR="00766C39" w:rsidRDefault="00D72768" w:rsidP="00B51427">
      <w:pPr>
        <w:pStyle w:val="Listavistosa-nfasis11"/>
        <w:spacing w:line="360" w:lineRule="auto"/>
        <w:ind w:left="0" w:firstLine="426"/>
        <w:jc w:val="both"/>
        <w:rPr>
          <w:rFonts w:ascii="Times New Roman" w:hAnsi="Times New Roman"/>
          <w:bCs/>
        </w:rPr>
      </w:pPr>
      <w:r>
        <w:rPr>
          <w:rFonts w:ascii="Times New Roman" w:hAnsi="Times New Roman"/>
          <w:bCs/>
        </w:rPr>
        <w:t xml:space="preserve">Resulta éste un aspecto que </w:t>
      </w:r>
      <w:r w:rsidR="002A331B">
        <w:rPr>
          <w:rFonts w:ascii="Times New Roman" w:hAnsi="Times New Roman"/>
          <w:bCs/>
        </w:rPr>
        <w:t xml:space="preserve">necesariamente debe considerarse en tanto no se puede negar la </w:t>
      </w:r>
      <w:r w:rsidR="00A90BB2">
        <w:rPr>
          <w:rFonts w:ascii="Times New Roman" w:hAnsi="Times New Roman"/>
          <w:bCs/>
        </w:rPr>
        <w:t xml:space="preserve">trascendencia </w:t>
      </w:r>
      <w:r w:rsidR="00602FB9">
        <w:rPr>
          <w:rFonts w:ascii="Times New Roman" w:hAnsi="Times New Roman"/>
          <w:bCs/>
        </w:rPr>
        <w:t>y el simbolismo que representa la realización del juicio en la sala de audiencias</w:t>
      </w:r>
      <w:r w:rsidR="002A331B">
        <w:rPr>
          <w:rFonts w:ascii="Times New Roman" w:hAnsi="Times New Roman"/>
          <w:bCs/>
        </w:rPr>
        <w:t xml:space="preserve">. Así, </w:t>
      </w:r>
      <w:r w:rsidR="00876D51">
        <w:rPr>
          <w:rFonts w:ascii="Times New Roman" w:hAnsi="Times New Roman"/>
          <w:bCs/>
        </w:rPr>
        <w:t xml:space="preserve">en palabras de Abraldes, </w:t>
      </w:r>
      <w:r w:rsidR="00876D51">
        <w:rPr>
          <w:rFonts w:ascii="Times New Roman" w:hAnsi="Times New Roman"/>
          <w:bCs/>
          <w:i/>
          <w:iCs/>
        </w:rPr>
        <w:t>[e]l espacio físic</w:t>
      </w:r>
      <w:r w:rsidR="002A331B">
        <w:rPr>
          <w:rFonts w:ascii="Times New Roman" w:hAnsi="Times New Roman"/>
          <w:bCs/>
          <w:i/>
          <w:iCs/>
        </w:rPr>
        <w:t>o</w:t>
      </w:r>
      <w:r w:rsidR="00876D51">
        <w:rPr>
          <w:rFonts w:ascii="Times New Roman" w:hAnsi="Times New Roman"/>
          <w:bCs/>
          <w:i/>
          <w:iCs/>
        </w:rPr>
        <w:t xml:space="preserve"> de la sala de audiencias cumple un papel simbólico directamente vinculado con las funciones de gobierno de la administración de justicia. Es una forma expresiva y representativa de valores y conceptos en un Estado de Derecho</w:t>
      </w:r>
      <w:r w:rsidR="00876D51">
        <w:rPr>
          <w:rStyle w:val="Refdenotaalpie"/>
          <w:rFonts w:ascii="Times New Roman" w:hAnsi="Times New Roman"/>
          <w:bCs/>
          <w:i/>
          <w:iCs/>
        </w:rPr>
        <w:footnoteReference w:id="39"/>
      </w:r>
      <w:r w:rsidR="00876D51">
        <w:rPr>
          <w:rFonts w:ascii="Times New Roman" w:hAnsi="Times New Roman"/>
          <w:bCs/>
          <w:i/>
          <w:iCs/>
        </w:rPr>
        <w:t>.</w:t>
      </w:r>
      <w:r w:rsidR="00876D51">
        <w:rPr>
          <w:rFonts w:ascii="Times New Roman" w:hAnsi="Times New Roman"/>
          <w:bCs/>
        </w:rPr>
        <w:t xml:space="preserve"> Comparte el autor la opinión de Binder</w:t>
      </w:r>
      <w:r w:rsidR="00FF04E7">
        <w:rPr>
          <w:rStyle w:val="Refdenotaalpie"/>
          <w:rFonts w:ascii="Times New Roman" w:hAnsi="Times New Roman"/>
          <w:bCs/>
        </w:rPr>
        <w:footnoteReference w:id="40"/>
      </w:r>
      <w:r w:rsidR="00876D51">
        <w:rPr>
          <w:rFonts w:ascii="Times New Roman" w:hAnsi="Times New Roman"/>
          <w:bCs/>
        </w:rPr>
        <w:t xml:space="preserve"> en cuanto </w:t>
      </w:r>
      <w:r w:rsidR="0044091F">
        <w:rPr>
          <w:rFonts w:ascii="Times New Roman" w:hAnsi="Times New Roman"/>
          <w:bCs/>
        </w:rPr>
        <w:t>é</w:t>
      </w:r>
      <w:r w:rsidR="00876D51">
        <w:rPr>
          <w:rFonts w:ascii="Times New Roman" w:hAnsi="Times New Roman"/>
          <w:bCs/>
        </w:rPr>
        <w:t xml:space="preserve">ste considera que a través de la comunicación que se produce en la audiencia de debate se logra </w:t>
      </w:r>
      <w:r w:rsidR="00FF04E7">
        <w:rPr>
          <w:rFonts w:ascii="Times New Roman" w:hAnsi="Times New Roman"/>
          <w:bCs/>
        </w:rPr>
        <w:t>un lugar de pacificación y tolerancia.</w:t>
      </w:r>
    </w:p>
    <w:p w:rsidR="00FF04E7" w:rsidRDefault="00766C39" w:rsidP="00B51427">
      <w:pPr>
        <w:pStyle w:val="Listavistosa-nfasis11"/>
        <w:spacing w:line="360" w:lineRule="auto"/>
        <w:ind w:left="0" w:firstLine="426"/>
        <w:jc w:val="both"/>
        <w:rPr>
          <w:rFonts w:ascii="Times New Roman" w:hAnsi="Times New Roman"/>
          <w:bCs/>
        </w:rPr>
      </w:pPr>
      <w:r>
        <w:rPr>
          <w:rFonts w:ascii="Times New Roman" w:hAnsi="Times New Roman"/>
          <w:bCs/>
        </w:rPr>
        <w:t xml:space="preserve">El debate tiene una ritualidad y una solemnidad que es importante porque hace a la transparencia. No es lo mismo que un testigo o un perito declaren frente a un </w:t>
      </w:r>
      <w:r w:rsidR="0044091F">
        <w:rPr>
          <w:rFonts w:ascii="Times New Roman" w:hAnsi="Times New Roman"/>
          <w:bCs/>
        </w:rPr>
        <w:t>T</w:t>
      </w:r>
      <w:r>
        <w:rPr>
          <w:rFonts w:ascii="Times New Roman" w:hAnsi="Times New Roman"/>
          <w:bCs/>
        </w:rPr>
        <w:t xml:space="preserve">ribunal o a frente a un jurado que hacerlo desde su casa o, incluso, en una sala vacía mientras el </w:t>
      </w:r>
      <w:r w:rsidR="0044091F">
        <w:rPr>
          <w:rFonts w:ascii="Times New Roman" w:hAnsi="Times New Roman"/>
          <w:bCs/>
        </w:rPr>
        <w:t>T</w:t>
      </w:r>
      <w:r>
        <w:rPr>
          <w:rFonts w:ascii="Times New Roman" w:hAnsi="Times New Roman"/>
          <w:bCs/>
        </w:rPr>
        <w:t xml:space="preserve">ribunal y las partes están conectados por una plataforma virtual. El juicio es un acto solemne </w:t>
      </w:r>
      <w:r w:rsidR="00730FBA">
        <w:rPr>
          <w:rFonts w:ascii="Times New Roman" w:hAnsi="Times New Roman"/>
          <w:bCs/>
        </w:rPr>
        <w:t>que</w:t>
      </w:r>
      <w:r w:rsidR="002A331B">
        <w:rPr>
          <w:rFonts w:ascii="Times New Roman" w:hAnsi="Times New Roman"/>
          <w:bCs/>
        </w:rPr>
        <w:t>,</w:t>
      </w:r>
      <w:r>
        <w:rPr>
          <w:rFonts w:ascii="Times New Roman" w:hAnsi="Times New Roman"/>
          <w:bCs/>
        </w:rPr>
        <w:t xml:space="preserve"> como tal</w:t>
      </w:r>
      <w:r w:rsidR="002A331B">
        <w:rPr>
          <w:rFonts w:ascii="Times New Roman" w:hAnsi="Times New Roman"/>
          <w:bCs/>
        </w:rPr>
        <w:t xml:space="preserve">, </w:t>
      </w:r>
      <w:r>
        <w:rPr>
          <w:rFonts w:ascii="Times New Roman" w:hAnsi="Times New Roman"/>
          <w:bCs/>
        </w:rPr>
        <w:t>debe cumplir con las formalidades previstas</w:t>
      </w:r>
      <w:r w:rsidR="00730FBA">
        <w:rPr>
          <w:rFonts w:ascii="Times New Roman" w:hAnsi="Times New Roman"/>
          <w:bCs/>
        </w:rPr>
        <w:t xml:space="preserve"> y esta solemnidad no puede alcanzarse en cualquier ámbito ni con los medios digitales</w:t>
      </w:r>
      <w:r w:rsidR="00EF65D7">
        <w:rPr>
          <w:rFonts w:ascii="Times New Roman" w:hAnsi="Times New Roman"/>
          <w:bCs/>
        </w:rPr>
        <w:t xml:space="preserve"> porque el lugar donde se desarrolla resulta igualmente trascendente.</w:t>
      </w:r>
    </w:p>
    <w:p w:rsidR="00EF65D7" w:rsidRDefault="00FA3961" w:rsidP="00EF65D7">
      <w:pPr>
        <w:pStyle w:val="Listavistosa-nfasis11"/>
        <w:spacing w:line="360" w:lineRule="auto"/>
        <w:ind w:left="0" w:firstLine="426"/>
        <w:jc w:val="both"/>
        <w:rPr>
          <w:rFonts w:ascii="Times New Roman" w:hAnsi="Times New Roman"/>
          <w:bCs/>
        </w:rPr>
      </w:pPr>
      <w:r>
        <w:rPr>
          <w:rFonts w:ascii="Times New Roman" w:hAnsi="Times New Roman"/>
          <w:bCs/>
        </w:rPr>
        <w:t xml:space="preserve">Cuando se habla del proceso como una garantía de justicia para el individuo y para la sociedad, afirma Vélez Mariconde que ésta </w:t>
      </w:r>
      <w:r>
        <w:rPr>
          <w:rFonts w:ascii="Times New Roman" w:hAnsi="Times New Roman"/>
          <w:bCs/>
          <w:i/>
          <w:iCs/>
        </w:rPr>
        <w:t>[…] consiste, desde luego, en la necesidad irrefragable de que un proceso legalmente definido preceda a toda sanción; en la solemnidad y formas que deben observarse al cumplir los actos que lo integran; en el orden regular que ha de guardarse y en el tiempo que ha de emplearse; en la intervención y recíproco control de los magistrados, los funcionarios públicos y demás personas actuantes, algunos de los cuales son indispensables; y en las diversas oportunidades que ellos tienen para cumplir sus deberes y ejercer sus poderes jurídicos o hacer valer sus intereses</w:t>
      </w:r>
      <w:r>
        <w:rPr>
          <w:rStyle w:val="Refdenotaalpie"/>
          <w:rFonts w:ascii="Times New Roman" w:hAnsi="Times New Roman"/>
          <w:bCs/>
          <w:i/>
          <w:iCs/>
        </w:rPr>
        <w:footnoteReference w:id="41"/>
      </w:r>
      <w:r w:rsidR="00DA3755">
        <w:rPr>
          <w:rFonts w:ascii="Times New Roman" w:hAnsi="Times New Roman"/>
          <w:bCs/>
          <w:i/>
          <w:iCs/>
        </w:rPr>
        <w:t>.</w:t>
      </w:r>
      <w:r w:rsidR="00EF65D7">
        <w:rPr>
          <w:rFonts w:ascii="Times New Roman" w:hAnsi="Times New Roman"/>
          <w:bCs/>
        </w:rPr>
        <w:t xml:space="preserve"> Claramente no es posible hablar de solemnidad ni de formas cuando cada una de las partes intervinientes se encuentra cómodamente sentado en su domicilio, en un bar o, incluso, en su propio despacho pero aun así toda la comunicación se logra a través de una pantalla sin ningún contacto físico. </w:t>
      </w:r>
    </w:p>
    <w:p w:rsidR="00EF65D7" w:rsidRPr="00EF65D7" w:rsidRDefault="00EF65D7" w:rsidP="00EF65D7">
      <w:pPr>
        <w:pStyle w:val="Listavistosa-nfasis11"/>
        <w:spacing w:line="360" w:lineRule="auto"/>
        <w:ind w:left="0" w:firstLine="426"/>
        <w:jc w:val="both"/>
        <w:rPr>
          <w:rFonts w:ascii="Times New Roman" w:hAnsi="Times New Roman"/>
          <w:bCs/>
        </w:rPr>
      </w:pPr>
      <w:r>
        <w:rPr>
          <w:rFonts w:ascii="Times New Roman" w:hAnsi="Times New Roman"/>
          <w:bCs/>
        </w:rPr>
        <w:lastRenderedPageBreak/>
        <w:t>Y si se piensa en la sala de audiencias donde cada parte tiene previamente asignado un lugar, donde la víctima, testigos y peritos deben declarar frente al Tribunal</w:t>
      </w:r>
      <w:r w:rsidR="005307E6">
        <w:rPr>
          <w:rFonts w:ascii="Times New Roman" w:hAnsi="Times New Roman"/>
          <w:bCs/>
        </w:rPr>
        <w:t>, las partes y el público presente, ello no puede ser replicado a través de una plataforma virtual porque no es posible reemplazar las implicancias humanas, sociales y jurídicas que hay en un juicio oral presencial.</w:t>
      </w:r>
    </w:p>
    <w:p w:rsidR="00D72768" w:rsidRDefault="00D72768" w:rsidP="00B51427">
      <w:pPr>
        <w:pStyle w:val="Listavistosa-nfasis11"/>
        <w:spacing w:line="360" w:lineRule="auto"/>
        <w:ind w:left="0" w:firstLine="426"/>
        <w:jc w:val="both"/>
        <w:rPr>
          <w:rFonts w:ascii="Times New Roman" w:hAnsi="Times New Roman"/>
          <w:bCs/>
        </w:rPr>
      </w:pPr>
    </w:p>
    <w:p w:rsidR="00F65D41" w:rsidRDefault="00F65D41" w:rsidP="00B51427">
      <w:pPr>
        <w:pStyle w:val="Listavistosa-nfasis11"/>
        <w:spacing w:line="360" w:lineRule="auto"/>
        <w:ind w:left="0"/>
        <w:jc w:val="both"/>
        <w:rPr>
          <w:rFonts w:ascii="Times New Roman" w:hAnsi="Times New Roman"/>
          <w:bCs/>
          <w:i/>
          <w:iCs/>
        </w:rPr>
      </w:pPr>
    </w:p>
    <w:p w:rsidR="00F65D41" w:rsidRDefault="00F65D41" w:rsidP="00F65D41">
      <w:pPr>
        <w:pStyle w:val="Listavistosa-nfasis11"/>
        <w:numPr>
          <w:ilvl w:val="0"/>
          <w:numId w:val="20"/>
        </w:numPr>
        <w:spacing w:line="360" w:lineRule="auto"/>
        <w:jc w:val="both"/>
        <w:rPr>
          <w:rFonts w:ascii="Times New Roman" w:hAnsi="Times New Roman"/>
          <w:b/>
        </w:rPr>
      </w:pPr>
      <w:r>
        <w:rPr>
          <w:rFonts w:ascii="Times New Roman" w:hAnsi="Times New Roman"/>
          <w:b/>
        </w:rPr>
        <w:t>C</w:t>
      </w:r>
      <w:r w:rsidR="00493BD0">
        <w:rPr>
          <w:rFonts w:ascii="Times New Roman" w:hAnsi="Times New Roman"/>
          <w:b/>
        </w:rPr>
        <w:t>ONCLUSIONES</w:t>
      </w:r>
    </w:p>
    <w:p w:rsidR="00B51427" w:rsidRDefault="00B51427" w:rsidP="00B51427">
      <w:pPr>
        <w:pStyle w:val="Listavistosa-nfasis11"/>
        <w:spacing w:line="360" w:lineRule="auto"/>
        <w:ind w:left="0" w:firstLine="426"/>
        <w:jc w:val="both"/>
        <w:rPr>
          <w:rFonts w:ascii="Times New Roman" w:hAnsi="Times New Roman"/>
          <w:bCs/>
        </w:rPr>
      </w:pPr>
      <w:r>
        <w:rPr>
          <w:rFonts w:ascii="Times New Roman" w:hAnsi="Times New Roman"/>
          <w:bCs/>
        </w:rPr>
        <w:t>Es posible sostener que l</w:t>
      </w:r>
      <w:r w:rsidR="00D31F3A">
        <w:rPr>
          <w:rFonts w:ascii="Times New Roman" w:hAnsi="Times New Roman"/>
          <w:bCs/>
        </w:rPr>
        <w:t>a admisión de realizar los juicios penales a través de plataformas virtuales tuvo su razón de ser en virtud de la situación de pandemia que asolaba al mundo entero</w:t>
      </w:r>
      <w:r>
        <w:rPr>
          <w:rFonts w:ascii="Times New Roman" w:hAnsi="Times New Roman"/>
          <w:bCs/>
        </w:rPr>
        <w:t xml:space="preserve"> y, por ello, los </w:t>
      </w:r>
      <w:r w:rsidR="003D0A22">
        <w:rPr>
          <w:rFonts w:ascii="Times New Roman" w:hAnsi="Times New Roman"/>
          <w:bCs/>
        </w:rPr>
        <w:t>T</w:t>
      </w:r>
      <w:r>
        <w:rPr>
          <w:rFonts w:ascii="Times New Roman" w:hAnsi="Times New Roman"/>
          <w:bCs/>
        </w:rPr>
        <w:t>ribunales convalidaron la posibilidad de llevar adelante juicios penales de manera remota o a través de plataformas virtuales, descartando todas las argumentaciones planteadas por los defensores en cuanto a la violación del debido proceso. Si bien es cierto que dieron respuesta a cada uno de los agravios, muchas de ellas resultaron insuficientes porque no ingresaron en aspectos más profundos</w:t>
      </w:r>
      <w:r w:rsidR="00D31F3A">
        <w:rPr>
          <w:rFonts w:ascii="Times New Roman" w:hAnsi="Times New Roman"/>
          <w:bCs/>
        </w:rPr>
        <w:t xml:space="preserve">. </w:t>
      </w:r>
      <w:r>
        <w:rPr>
          <w:rFonts w:ascii="Times New Roman" w:hAnsi="Times New Roman"/>
          <w:bCs/>
        </w:rPr>
        <w:t>Claro está que la crisis sanitaria que imperaba en ese momento no permitía mayores disquisiciones.</w:t>
      </w:r>
    </w:p>
    <w:p w:rsidR="00E036BD" w:rsidRDefault="00D31F3A" w:rsidP="00570EA9">
      <w:pPr>
        <w:pStyle w:val="Listavistosa-nfasis11"/>
        <w:spacing w:line="360" w:lineRule="auto"/>
        <w:ind w:left="0" w:firstLine="426"/>
        <w:jc w:val="both"/>
        <w:rPr>
          <w:rFonts w:ascii="Times New Roman" w:hAnsi="Times New Roman"/>
          <w:bCs/>
          <w:i/>
          <w:iCs/>
        </w:rPr>
      </w:pPr>
      <w:r>
        <w:rPr>
          <w:rFonts w:ascii="Times New Roman" w:hAnsi="Times New Roman"/>
          <w:bCs/>
        </w:rPr>
        <w:t>En este sentido, lleva razón Rua</w:t>
      </w:r>
      <w:r>
        <w:rPr>
          <w:rStyle w:val="Refdenotaalpie"/>
          <w:rFonts w:ascii="Times New Roman" w:hAnsi="Times New Roman"/>
          <w:bCs/>
        </w:rPr>
        <w:footnoteReference w:id="42"/>
      </w:r>
      <w:r>
        <w:rPr>
          <w:rFonts w:ascii="Times New Roman" w:hAnsi="Times New Roman"/>
          <w:bCs/>
        </w:rPr>
        <w:t xml:space="preserve"> cuando afirma que la discusión, en ese momento, sobre la viabilidad de realizar los juicios virtuales o paralizar la justicia por tiempo indefinido no tenía mayor sustento porque esta segunda opción no era, en modo alguno, posible</w:t>
      </w:r>
      <w:r w:rsidR="00640695">
        <w:rPr>
          <w:rFonts w:ascii="Times New Roman" w:hAnsi="Times New Roman"/>
          <w:bCs/>
        </w:rPr>
        <w:t>.</w:t>
      </w:r>
      <w:r w:rsidR="00EC5FF4">
        <w:rPr>
          <w:rFonts w:ascii="Times New Roman" w:hAnsi="Times New Roman"/>
          <w:bCs/>
        </w:rPr>
        <w:t xml:space="preserve"> Y sí que significó un </w:t>
      </w:r>
      <w:r w:rsidR="00665AB7">
        <w:rPr>
          <w:rFonts w:ascii="Times New Roman" w:hAnsi="Times New Roman"/>
          <w:bCs/>
        </w:rPr>
        <w:t xml:space="preserve">viraje </w:t>
      </w:r>
      <w:r w:rsidR="00EC5FF4">
        <w:rPr>
          <w:rFonts w:ascii="Times New Roman" w:hAnsi="Times New Roman"/>
          <w:bCs/>
        </w:rPr>
        <w:t>profundo pues, en p</w:t>
      </w:r>
      <w:r w:rsidR="002032F8">
        <w:rPr>
          <w:rFonts w:ascii="Times New Roman" w:hAnsi="Times New Roman"/>
          <w:bCs/>
        </w:rPr>
        <w:t xml:space="preserve">alabras de Cafferata Nores, no se recuerda un cambio </w:t>
      </w:r>
      <w:r w:rsidR="002032F8">
        <w:rPr>
          <w:rFonts w:ascii="Times New Roman" w:hAnsi="Times New Roman"/>
          <w:bCs/>
          <w:i/>
          <w:iCs/>
        </w:rPr>
        <w:t>[…]más repentino, abarcativo y profundo de las formas procedimentales hasta ahora conocido, cambio al que además se le atribuye poner en jaque algunos de los pilares constitucionales que fundamentan al proceso penal</w:t>
      </w:r>
      <w:r w:rsidR="002032F8">
        <w:rPr>
          <w:rStyle w:val="Refdenotaalpie"/>
          <w:rFonts w:ascii="Times New Roman" w:hAnsi="Times New Roman"/>
          <w:bCs/>
          <w:i/>
          <w:iCs/>
        </w:rPr>
        <w:footnoteReference w:id="43"/>
      </w:r>
      <w:r w:rsidR="00665AB7">
        <w:rPr>
          <w:rFonts w:ascii="Times New Roman" w:hAnsi="Times New Roman"/>
          <w:bCs/>
          <w:i/>
          <w:iCs/>
        </w:rPr>
        <w:t>.</w:t>
      </w:r>
    </w:p>
    <w:p w:rsidR="00665AB7" w:rsidRDefault="004E24C6" w:rsidP="008E2CAC">
      <w:pPr>
        <w:pStyle w:val="Listavistosa-nfasis11"/>
        <w:spacing w:line="360" w:lineRule="auto"/>
        <w:ind w:left="0" w:firstLine="426"/>
        <w:jc w:val="both"/>
        <w:rPr>
          <w:rFonts w:ascii="Times New Roman" w:hAnsi="Times New Roman"/>
          <w:bCs/>
        </w:rPr>
      </w:pPr>
      <w:r>
        <w:rPr>
          <w:rFonts w:ascii="Times New Roman" w:hAnsi="Times New Roman"/>
          <w:bCs/>
        </w:rPr>
        <w:t xml:space="preserve">Ahora bien, ya no estamos </w:t>
      </w:r>
      <w:r w:rsidR="008E2CAC">
        <w:rPr>
          <w:rFonts w:ascii="Times New Roman" w:hAnsi="Times New Roman"/>
          <w:bCs/>
        </w:rPr>
        <w:t>en situación de emergencia y, a pesar de ello, no pocas veces se han seguido realizando los juicios a través de plataformas virtuales sin que exista ninguna razón válida que lo justifique. En modo alguno, esto implica renunciar a la utilización de herramientas digitales porque pueden resultar muy útiles para llevar la actividad procesal que se desarrolla</w:t>
      </w:r>
      <w:r w:rsidR="00EC5FF4">
        <w:rPr>
          <w:rFonts w:ascii="Times New Roman" w:hAnsi="Times New Roman"/>
          <w:bCs/>
        </w:rPr>
        <w:t xml:space="preserve"> durante la etapa de la investigación penal preparatoria o, incluso, los actos preliminares del juicio</w:t>
      </w:r>
      <w:r w:rsidR="008E2CAC">
        <w:rPr>
          <w:rFonts w:ascii="Times New Roman" w:hAnsi="Times New Roman"/>
          <w:bCs/>
        </w:rPr>
        <w:t xml:space="preserve">. Piénsese, </w:t>
      </w:r>
      <w:r w:rsidR="008E2CAC">
        <w:rPr>
          <w:rFonts w:ascii="Times New Roman" w:hAnsi="Times New Roman"/>
          <w:bCs/>
          <w:i/>
          <w:iCs/>
        </w:rPr>
        <w:t xml:space="preserve">v.gr., </w:t>
      </w:r>
      <w:r w:rsidR="008E2CAC">
        <w:rPr>
          <w:rFonts w:ascii="Times New Roman" w:hAnsi="Times New Roman"/>
          <w:bCs/>
        </w:rPr>
        <w:t xml:space="preserve">en la posibilidad de entrevistar a las víctimas o testigos durante la investigación penal por alguno de estos medios evitando así que las personas deban comparecer dos o tres veces </w:t>
      </w:r>
      <w:r w:rsidR="008E2CAC">
        <w:rPr>
          <w:rFonts w:ascii="Times New Roman" w:hAnsi="Times New Roman"/>
          <w:bCs/>
        </w:rPr>
        <w:lastRenderedPageBreak/>
        <w:t xml:space="preserve">y solamente deban presentarse el día del juicio para declarar frente al Tribunal. </w:t>
      </w:r>
      <w:r w:rsidR="005307E6">
        <w:rPr>
          <w:rFonts w:ascii="Times New Roman" w:hAnsi="Times New Roman"/>
          <w:bCs/>
        </w:rPr>
        <w:t>En este sentido, coincido con Morillo-Guglielmi</w:t>
      </w:r>
      <w:r w:rsidR="005307E6">
        <w:rPr>
          <w:rStyle w:val="Refdenotaalpie"/>
          <w:rFonts w:ascii="Times New Roman" w:hAnsi="Times New Roman"/>
          <w:bCs/>
        </w:rPr>
        <w:footnoteReference w:id="44"/>
      </w:r>
      <w:r w:rsidR="005307E6">
        <w:rPr>
          <w:rFonts w:ascii="Times New Roman" w:hAnsi="Times New Roman"/>
          <w:bCs/>
        </w:rPr>
        <w:t xml:space="preserve"> cua</w:t>
      </w:r>
      <w:r w:rsidR="00D33FC7">
        <w:rPr>
          <w:rFonts w:ascii="Times New Roman" w:hAnsi="Times New Roman"/>
          <w:bCs/>
        </w:rPr>
        <w:t xml:space="preserve">ndo sostiene que la etapa de la investigación penal es el ámbito en que, sin duda, puede sacarse más provecho de las herramientas digitales. </w:t>
      </w:r>
      <w:r w:rsidR="008E2CAC">
        <w:rPr>
          <w:rFonts w:ascii="Times New Roman" w:hAnsi="Times New Roman"/>
          <w:bCs/>
        </w:rPr>
        <w:t xml:space="preserve">Sin embargo, considero que </w:t>
      </w:r>
      <w:r w:rsidR="00EC57ED">
        <w:rPr>
          <w:rFonts w:ascii="Times New Roman" w:hAnsi="Times New Roman"/>
          <w:bCs/>
        </w:rPr>
        <w:t xml:space="preserve">no puede </w:t>
      </w:r>
      <w:r w:rsidR="00EC5FF4">
        <w:rPr>
          <w:rFonts w:ascii="Times New Roman" w:hAnsi="Times New Roman"/>
          <w:bCs/>
        </w:rPr>
        <w:t xml:space="preserve">utilizarse para el juicio propiamente dicho </w:t>
      </w:r>
      <w:r w:rsidR="00EC57ED">
        <w:rPr>
          <w:rFonts w:ascii="Times New Roman" w:hAnsi="Times New Roman"/>
          <w:bCs/>
        </w:rPr>
        <w:t>sustitu</w:t>
      </w:r>
      <w:r w:rsidR="00EC5FF4">
        <w:rPr>
          <w:rFonts w:ascii="Times New Roman" w:hAnsi="Times New Roman"/>
          <w:bCs/>
        </w:rPr>
        <w:t>yendo la presencialidad física de todos los sujetos intervinientes.</w:t>
      </w:r>
    </w:p>
    <w:p w:rsidR="000817C7" w:rsidRPr="005830DE" w:rsidRDefault="000B333F" w:rsidP="00B51427">
      <w:pPr>
        <w:pStyle w:val="Listavistosa-nfasis11"/>
        <w:spacing w:line="360" w:lineRule="auto"/>
        <w:ind w:left="0" w:firstLine="360"/>
        <w:jc w:val="both"/>
        <w:rPr>
          <w:rFonts w:ascii="Times New Roman" w:hAnsi="Times New Roman"/>
          <w:bCs/>
        </w:rPr>
      </w:pPr>
      <w:r>
        <w:rPr>
          <w:rFonts w:ascii="Times New Roman" w:hAnsi="Times New Roman"/>
          <w:bCs/>
        </w:rPr>
        <w:t xml:space="preserve">Más allá de que </w:t>
      </w:r>
      <w:r w:rsidR="00490E02">
        <w:rPr>
          <w:rFonts w:ascii="Times New Roman" w:hAnsi="Times New Roman"/>
          <w:bCs/>
        </w:rPr>
        <w:t>hoy en día</w:t>
      </w:r>
      <w:r w:rsidR="00665AB7">
        <w:rPr>
          <w:rFonts w:ascii="Times New Roman" w:hAnsi="Times New Roman"/>
          <w:bCs/>
        </w:rPr>
        <w:t xml:space="preserve"> existen muchas aristas que no han sido resueltas sobre el uso </w:t>
      </w:r>
      <w:r>
        <w:rPr>
          <w:rFonts w:ascii="Times New Roman" w:hAnsi="Times New Roman"/>
          <w:bCs/>
        </w:rPr>
        <w:t xml:space="preserve">de herramientas </w:t>
      </w:r>
      <w:r w:rsidR="00665AB7">
        <w:rPr>
          <w:rFonts w:ascii="Times New Roman" w:hAnsi="Times New Roman"/>
          <w:bCs/>
        </w:rPr>
        <w:t>digital</w:t>
      </w:r>
      <w:r>
        <w:rPr>
          <w:rFonts w:ascii="Times New Roman" w:hAnsi="Times New Roman"/>
          <w:bCs/>
        </w:rPr>
        <w:t xml:space="preserve">es, lo cierto es que la percepción de la realidad por medio de nuestros sentidos </w:t>
      </w:r>
      <w:r w:rsidR="00FE2EE1">
        <w:rPr>
          <w:rFonts w:ascii="Times New Roman" w:hAnsi="Times New Roman"/>
          <w:bCs/>
        </w:rPr>
        <w:t xml:space="preserve">no puede ser sustituida por la percepción que se tiene a través de una pantalla máxime cuando estamos hablando de una actividad procesal </w:t>
      </w:r>
      <w:r w:rsidR="00490E02">
        <w:rPr>
          <w:rFonts w:ascii="Times New Roman" w:hAnsi="Times New Roman"/>
          <w:bCs/>
        </w:rPr>
        <w:t xml:space="preserve">que conlleva el mayor ejercicio de poder del Estado como es la aplicación de una sanción penal. De ahí que </w:t>
      </w:r>
      <w:r w:rsidR="001363DB">
        <w:rPr>
          <w:rFonts w:ascii="Times New Roman" w:hAnsi="Times New Roman"/>
          <w:bCs/>
        </w:rPr>
        <w:t>las garantías constitucionales que rodean al juicio no son formulaciones abstractas o teóricas y no se satisfacen con cualquier procedimiento</w:t>
      </w:r>
      <w:r w:rsidR="005830DE">
        <w:rPr>
          <w:rFonts w:ascii="Times New Roman" w:hAnsi="Times New Roman"/>
          <w:bCs/>
        </w:rPr>
        <w:t>.</w:t>
      </w:r>
      <w:r w:rsidR="001E12A6">
        <w:rPr>
          <w:rFonts w:ascii="Times New Roman" w:hAnsi="Times New Roman"/>
          <w:bCs/>
        </w:rPr>
        <w:t xml:space="preserve"> Resultan ilustrativas las palabras de Richard González</w:t>
      </w:r>
      <w:r w:rsidR="00762D3A">
        <w:rPr>
          <w:rStyle w:val="Refdenotaalpie"/>
          <w:rFonts w:ascii="Times New Roman" w:hAnsi="Times New Roman"/>
          <w:bCs/>
        </w:rPr>
        <w:footnoteReference w:id="45"/>
      </w:r>
      <w:r w:rsidR="009A3B8E">
        <w:rPr>
          <w:rFonts w:ascii="Times New Roman" w:hAnsi="Times New Roman"/>
          <w:bCs/>
        </w:rPr>
        <w:t xml:space="preserve"> cuando afi</w:t>
      </w:r>
      <w:r w:rsidR="00762D3A">
        <w:rPr>
          <w:rFonts w:ascii="Times New Roman" w:hAnsi="Times New Roman"/>
          <w:bCs/>
        </w:rPr>
        <w:t xml:space="preserve">rma que de la misma manera en que nadie debe entender que sus seguidores en las redes sociales son en realidad sus amigos o que un </w:t>
      </w:r>
      <w:r w:rsidR="00762D3A">
        <w:rPr>
          <w:rFonts w:ascii="Times New Roman" w:hAnsi="Times New Roman"/>
          <w:bCs/>
          <w:i/>
          <w:iCs/>
        </w:rPr>
        <w:t>Pokémon</w:t>
      </w:r>
      <w:r w:rsidR="00762D3A">
        <w:rPr>
          <w:rFonts w:ascii="Times New Roman" w:hAnsi="Times New Roman"/>
          <w:bCs/>
        </w:rPr>
        <w:t xml:space="preserve"> es un sustituto pero no es una mascota igualmente no puede considerarse que el juicio presencial y el virtual sean lo mismo.</w:t>
      </w:r>
    </w:p>
    <w:p w:rsidR="00B71EDB" w:rsidRDefault="00762D3A" w:rsidP="00B51427">
      <w:pPr>
        <w:pStyle w:val="Listavistosa-nfasis11"/>
        <w:spacing w:line="360" w:lineRule="auto"/>
        <w:ind w:left="0" w:firstLine="360"/>
        <w:jc w:val="both"/>
        <w:rPr>
          <w:rFonts w:ascii="Times New Roman" w:hAnsi="Times New Roman"/>
          <w:bCs/>
        </w:rPr>
      </w:pPr>
      <w:r>
        <w:rPr>
          <w:rFonts w:ascii="Times New Roman" w:hAnsi="Times New Roman"/>
          <w:bCs/>
        </w:rPr>
        <w:t xml:space="preserve">Amén de ello, no puedo dejar de resaltar </w:t>
      </w:r>
      <w:r w:rsidR="004830BA">
        <w:rPr>
          <w:rFonts w:ascii="Times New Roman" w:hAnsi="Times New Roman"/>
          <w:bCs/>
        </w:rPr>
        <w:t xml:space="preserve">que el juicio oral, como acto central del sistema judicial, se trata de un acto formal y solemne </w:t>
      </w:r>
      <w:r w:rsidR="002D36D3">
        <w:rPr>
          <w:rFonts w:ascii="Times New Roman" w:hAnsi="Times New Roman"/>
          <w:bCs/>
        </w:rPr>
        <w:t>que tiene una ritualidad que es acorde con las profundas connotaciones que el acto de juzgar implica</w:t>
      </w:r>
      <w:r w:rsidR="001A2655">
        <w:rPr>
          <w:rFonts w:ascii="Times New Roman" w:hAnsi="Times New Roman"/>
          <w:bCs/>
        </w:rPr>
        <w:t xml:space="preserve"> y, por lo tanto, no da lo mismo hacerlo en cualquier lugar</w:t>
      </w:r>
      <w:r w:rsidR="00B71EDB">
        <w:rPr>
          <w:rFonts w:ascii="Times New Roman" w:hAnsi="Times New Roman"/>
          <w:bCs/>
        </w:rPr>
        <w:t>. Es lo que Abraldes</w:t>
      </w:r>
      <w:r w:rsidR="00DF51A7">
        <w:rPr>
          <w:rStyle w:val="Refdenotaalpie"/>
          <w:rFonts w:ascii="Times New Roman" w:hAnsi="Times New Roman"/>
          <w:bCs/>
        </w:rPr>
        <w:footnoteReference w:id="46"/>
      </w:r>
      <w:r w:rsidR="00DF51A7">
        <w:rPr>
          <w:rFonts w:ascii="Times New Roman" w:hAnsi="Times New Roman"/>
          <w:bCs/>
        </w:rPr>
        <w:t xml:space="preserve"> </w:t>
      </w:r>
      <w:r w:rsidR="00B71EDB">
        <w:rPr>
          <w:rFonts w:ascii="Times New Roman" w:hAnsi="Times New Roman"/>
          <w:bCs/>
        </w:rPr>
        <w:t xml:space="preserve">denomina </w:t>
      </w:r>
      <w:r w:rsidR="00DF51A7">
        <w:rPr>
          <w:rFonts w:ascii="Times New Roman" w:hAnsi="Times New Roman"/>
          <w:bCs/>
        </w:rPr>
        <w:t>lo simbólico del juicio oral en la sala de audiencias pues considera que el espacio físico cumple un papel simbólico porque es una forma expresiva y representativa de los valores en un Estado de Derecho</w:t>
      </w:r>
      <w:r w:rsidR="002D36D3">
        <w:rPr>
          <w:rFonts w:ascii="Times New Roman" w:hAnsi="Times New Roman"/>
          <w:bCs/>
        </w:rPr>
        <w:t>. No tiene el mismo significado que el testigo jure decir la verdad y declare sentado en su domicilio que hacerlo frente al Tribunal y las partes</w:t>
      </w:r>
      <w:r w:rsidR="00D20C6F">
        <w:rPr>
          <w:rFonts w:ascii="Times New Roman" w:hAnsi="Times New Roman"/>
          <w:bCs/>
        </w:rPr>
        <w:t>, igual puede predicarse de los Jueces y los jurados que no pueden asumir la tarea de decidir sobre la culpabilidad o inocencia de una persona desde la comodidad de su vivienda.</w:t>
      </w:r>
      <w:r w:rsidR="00522860">
        <w:rPr>
          <w:rFonts w:ascii="Times New Roman" w:hAnsi="Times New Roman"/>
          <w:bCs/>
        </w:rPr>
        <w:t xml:space="preserve"> No da lo mismo cualquier lugar porque la falta de solemnidad y ritualidad termina por desnaturalizar todo el juicio.</w:t>
      </w:r>
    </w:p>
    <w:p w:rsidR="00E55510" w:rsidRDefault="008E2CAC" w:rsidP="00EA3CD9">
      <w:pPr>
        <w:pStyle w:val="Listavistosa-nfasis11"/>
        <w:spacing w:line="360" w:lineRule="auto"/>
        <w:ind w:left="0" w:firstLine="360"/>
        <w:jc w:val="both"/>
        <w:rPr>
          <w:rFonts w:ascii="Times New Roman" w:hAnsi="Times New Roman"/>
          <w:bCs/>
        </w:rPr>
      </w:pPr>
      <w:r>
        <w:rPr>
          <w:rFonts w:ascii="Times New Roman" w:hAnsi="Times New Roman"/>
          <w:bCs/>
        </w:rPr>
        <w:lastRenderedPageBreak/>
        <w:t>Considero que si el leg</w:t>
      </w:r>
      <w:r w:rsidR="002A331B">
        <w:rPr>
          <w:rFonts w:ascii="Times New Roman" w:hAnsi="Times New Roman"/>
          <w:bCs/>
        </w:rPr>
        <w:t xml:space="preserve">islador finalmente </w:t>
      </w:r>
      <w:r w:rsidR="00D33FC7">
        <w:rPr>
          <w:rFonts w:ascii="Times New Roman" w:hAnsi="Times New Roman"/>
          <w:bCs/>
        </w:rPr>
        <w:t>decide acometer la tarea de regular los juicios virtuales, deberá ser muy cuidadoso en establecer</w:t>
      </w:r>
      <w:r w:rsidR="00EA3CD9">
        <w:rPr>
          <w:rFonts w:ascii="Times New Roman" w:hAnsi="Times New Roman"/>
          <w:bCs/>
        </w:rPr>
        <w:t>lo como un juicio especial sólo para supuestos en que sea absolutamente imposible que el juicio se desarrolle de manera presencial, debiendo tales supuestos determinarse expresamente en la ley. Fuera de éstos, el juicio virtual implica un menoscabo de las garantías constitucionales en tanto no puede válidamente hablar</w:t>
      </w:r>
      <w:r w:rsidR="0022181C">
        <w:rPr>
          <w:rFonts w:ascii="Times New Roman" w:hAnsi="Times New Roman"/>
          <w:bCs/>
        </w:rPr>
        <w:t>se</w:t>
      </w:r>
      <w:r w:rsidR="00EA3CD9">
        <w:rPr>
          <w:rFonts w:ascii="Times New Roman" w:hAnsi="Times New Roman"/>
          <w:bCs/>
        </w:rPr>
        <w:t xml:space="preserve"> de un debido proceso en un Estado de Derecho.</w:t>
      </w:r>
    </w:p>
    <w:p w:rsidR="00EA3CD9" w:rsidRDefault="00874F51" w:rsidP="00874F51">
      <w:pPr>
        <w:pStyle w:val="Listavistosa-nfasis11"/>
        <w:spacing w:line="360" w:lineRule="auto"/>
        <w:ind w:left="0" w:firstLine="360"/>
        <w:jc w:val="both"/>
        <w:rPr>
          <w:rFonts w:ascii="Times New Roman" w:hAnsi="Times New Roman"/>
          <w:bCs/>
        </w:rPr>
      </w:pPr>
      <w:r>
        <w:rPr>
          <w:rFonts w:ascii="Times New Roman" w:hAnsi="Times New Roman"/>
          <w:bCs/>
        </w:rPr>
        <w:t xml:space="preserve">Valgan en este sentido las Conclusiones del Consejo de la Unión Europea sobre Acceso a la justicia: aprovechar las oportunidades de la digitalización, en cuanto afirman que </w:t>
      </w:r>
      <w:r>
        <w:rPr>
          <w:rFonts w:ascii="Times New Roman" w:hAnsi="Times New Roman"/>
          <w:bCs/>
          <w:i/>
          <w:iCs/>
        </w:rPr>
        <w:t>[…] la utilización de las tecnologías digitales y medios de comunicación electrónicos no debe ir en detrimento del derecho a ser oído, en particular el derecho a la igualdad de armas procesales y el derecho a un procedimiento contradictorio, del derecho a una audiencia pública, en algunos casos también el derecho a una vista oral en presencia física de la parte afectada, ni del derecho de recurso</w:t>
      </w:r>
      <w:r>
        <w:rPr>
          <w:rStyle w:val="Refdenotaalpie"/>
          <w:rFonts w:ascii="Times New Roman" w:hAnsi="Times New Roman"/>
          <w:bCs/>
          <w:i/>
          <w:iCs/>
        </w:rPr>
        <w:footnoteReference w:id="47"/>
      </w:r>
      <w:r>
        <w:rPr>
          <w:rFonts w:ascii="Times New Roman" w:hAnsi="Times New Roman"/>
          <w:bCs/>
          <w:i/>
          <w:iCs/>
        </w:rPr>
        <w:t>.</w:t>
      </w:r>
      <w:r>
        <w:rPr>
          <w:rFonts w:ascii="Times New Roman" w:hAnsi="Times New Roman"/>
          <w:bCs/>
        </w:rPr>
        <w:t xml:space="preserve"> </w:t>
      </w:r>
      <w:r w:rsidR="003D0A22">
        <w:rPr>
          <w:rFonts w:ascii="Times New Roman" w:hAnsi="Times New Roman"/>
          <w:bCs/>
        </w:rPr>
        <w:t>De allí la necesidad de equilibrio para incorporar las herramientas digitales en el proceso penal.</w:t>
      </w:r>
    </w:p>
    <w:p w:rsidR="00874F51" w:rsidRDefault="00874F51" w:rsidP="00874F51">
      <w:pPr>
        <w:pStyle w:val="Listavistosa-nfasis11"/>
        <w:spacing w:line="360" w:lineRule="auto"/>
        <w:ind w:left="0" w:firstLine="360"/>
        <w:jc w:val="both"/>
        <w:rPr>
          <w:rFonts w:ascii="Times New Roman" w:hAnsi="Times New Roman"/>
          <w:bCs/>
        </w:rPr>
      </w:pPr>
    </w:p>
    <w:p w:rsidR="00874F51" w:rsidRDefault="00874F51" w:rsidP="00874F51">
      <w:pPr>
        <w:pStyle w:val="Listavistosa-nfasis11"/>
        <w:spacing w:line="360" w:lineRule="auto"/>
        <w:ind w:left="0" w:firstLine="360"/>
        <w:jc w:val="both"/>
        <w:rPr>
          <w:rFonts w:ascii="Times New Roman" w:hAnsi="Times New Roman"/>
          <w:bCs/>
        </w:rPr>
      </w:pPr>
    </w:p>
    <w:p w:rsidR="00874F51" w:rsidRDefault="00874F51" w:rsidP="00874F51">
      <w:pPr>
        <w:pStyle w:val="Listavistosa-nfasis11"/>
        <w:spacing w:line="360" w:lineRule="auto"/>
        <w:ind w:left="0" w:firstLine="360"/>
        <w:jc w:val="both"/>
        <w:rPr>
          <w:rFonts w:ascii="Times New Roman" w:hAnsi="Times New Roman"/>
          <w:bCs/>
        </w:rPr>
      </w:pPr>
    </w:p>
    <w:p w:rsidR="00B71EDB" w:rsidRDefault="00B71EDB" w:rsidP="00B71EDB">
      <w:pPr>
        <w:pStyle w:val="Listavistosa-nfasis11"/>
        <w:spacing w:line="360" w:lineRule="auto"/>
        <w:ind w:left="0" w:firstLine="360"/>
        <w:jc w:val="both"/>
        <w:rPr>
          <w:rFonts w:ascii="Times New Roman" w:hAnsi="Times New Roman"/>
          <w:bCs/>
        </w:rPr>
      </w:pPr>
    </w:p>
    <w:p w:rsidR="00E036BD" w:rsidRDefault="003D0A22" w:rsidP="003D0A22">
      <w:pPr>
        <w:pStyle w:val="Listavistosa-nfasis11"/>
        <w:numPr>
          <w:ilvl w:val="0"/>
          <w:numId w:val="20"/>
        </w:numPr>
        <w:spacing w:line="360" w:lineRule="auto"/>
        <w:jc w:val="both"/>
        <w:rPr>
          <w:rFonts w:ascii="Times New Roman" w:hAnsi="Times New Roman"/>
          <w:b/>
        </w:rPr>
      </w:pPr>
      <w:r>
        <w:rPr>
          <w:rFonts w:ascii="Times New Roman" w:hAnsi="Times New Roman"/>
          <w:b/>
        </w:rPr>
        <w:t>BIBLIOGRAFÍA</w:t>
      </w:r>
    </w:p>
    <w:p w:rsidR="00E036BD" w:rsidRDefault="00E036BD" w:rsidP="00E036BD">
      <w:pPr>
        <w:pStyle w:val="Listavistosa-nfasis11"/>
        <w:spacing w:line="360" w:lineRule="auto"/>
        <w:ind w:left="360"/>
        <w:jc w:val="both"/>
        <w:rPr>
          <w:rFonts w:ascii="Times New Roman" w:hAnsi="Times New Roman"/>
          <w:b/>
        </w:rPr>
      </w:pPr>
    </w:p>
    <w:p w:rsidR="00F41A15" w:rsidRPr="00E036BD" w:rsidRDefault="00F41A15" w:rsidP="00F41A15">
      <w:pPr>
        <w:pStyle w:val="Textonotapie"/>
        <w:spacing w:line="276" w:lineRule="auto"/>
        <w:ind w:firstLine="360"/>
        <w:rPr>
          <w:sz w:val="24"/>
          <w:szCs w:val="24"/>
          <w:lang w:val="es-ES"/>
        </w:rPr>
      </w:pPr>
      <w:r>
        <w:rPr>
          <w:sz w:val="24"/>
          <w:szCs w:val="24"/>
        </w:rPr>
        <w:t>-</w:t>
      </w:r>
      <w:r w:rsidRPr="00E036BD">
        <w:rPr>
          <w:sz w:val="24"/>
          <w:szCs w:val="24"/>
          <w:lang w:val="es-ES"/>
        </w:rPr>
        <w:t xml:space="preserve">ABRALDES, Sandro, “Juicio oral virtual: hacia el oxímoron”, </w:t>
      </w:r>
      <w:r w:rsidRPr="00E036BD">
        <w:rPr>
          <w:i/>
          <w:iCs/>
          <w:sz w:val="24"/>
          <w:szCs w:val="24"/>
          <w:lang w:val="es-ES"/>
        </w:rPr>
        <w:t>Revista de Derecho Procesal Penal, Crisis de legalidad en el proceso penal-II</w:t>
      </w:r>
      <w:r w:rsidRPr="00E036BD">
        <w:rPr>
          <w:sz w:val="24"/>
          <w:szCs w:val="24"/>
          <w:lang w:val="es-ES"/>
        </w:rPr>
        <w:t>, 2020-2, Ed. Rubinzal-Culzoni, Santa Fe, 2021.</w:t>
      </w:r>
    </w:p>
    <w:p w:rsidR="00F41A15" w:rsidRDefault="00F41A15" w:rsidP="00F41A15">
      <w:pPr>
        <w:pStyle w:val="Textonotapie"/>
        <w:spacing w:line="276" w:lineRule="auto"/>
        <w:ind w:firstLine="360"/>
        <w:rPr>
          <w:sz w:val="24"/>
          <w:szCs w:val="24"/>
          <w:lang w:val="es-ES"/>
        </w:rPr>
      </w:pPr>
      <w:r>
        <w:rPr>
          <w:sz w:val="24"/>
          <w:szCs w:val="24"/>
          <w:lang w:val="es-ES"/>
        </w:rPr>
        <w:t xml:space="preserve">-ALFARO, Vanesa, “Las puertas que abrió la pandemia COVID-19”, </w:t>
      </w:r>
      <w:r w:rsidRPr="00E036BD">
        <w:rPr>
          <w:i/>
          <w:iCs/>
          <w:sz w:val="24"/>
          <w:szCs w:val="24"/>
          <w:lang w:val="es-ES"/>
        </w:rPr>
        <w:t>Revista de Derecho Procesal Penal, Crisis de legalidad en el proceso penal-I</w:t>
      </w:r>
      <w:r w:rsidRPr="00E036BD">
        <w:rPr>
          <w:sz w:val="24"/>
          <w:szCs w:val="24"/>
          <w:lang w:val="es-ES"/>
        </w:rPr>
        <w:t>, 2020-</w:t>
      </w:r>
      <w:r>
        <w:rPr>
          <w:sz w:val="24"/>
          <w:szCs w:val="24"/>
          <w:lang w:val="es-ES"/>
        </w:rPr>
        <w:t>1</w:t>
      </w:r>
      <w:r w:rsidRPr="00E036BD">
        <w:rPr>
          <w:sz w:val="24"/>
          <w:szCs w:val="24"/>
          <w:lang w:val="es-ES"/>
        </w:rPr>
        <w:t>, Ed. Rubinzal-Culzoni, Santa Fe, 202</w:t>
      </w:r>
      <w:r>
        <w:rPr>
          <w:sz w:val="24"/>
          <w:szCs w:val="24"/>
          <w:lang w:val="es-ES"/>
        </w:rPr>
        <w:t>0</w:t>
      </w:r>
      <w:r w:rsidRPr="00E036BD">
        <w:rPr>
          <w:sz w:val="24"/>
          <w:szCs w:val="24"/>
          <w:lang w:val="es-ES"/>
        </w:rPr>
        <w:t>.</w:t>
      </w:r>
    </w:p>
    <w:p w:rsidR="00F41A15" w:rsidRDefault="00F41A15" w:rsidP="00F41A15">
      <w:pPr>
        <w:pStyle w:val="Textonotapie"/>
        <w:spacing w:line="276" w:lineRule="auto"/>
        <w:ind w:firstLine="360"/>
        <w:rPr>
          <w:sz w:val="24"/>
          <w:szCs w:val="24"/>
          <w:lang w:val="es-ES"/>
        </w:rPr>
      </w:pPr>
      <w:r>
        <w:rPr>
          <w:sz w:val="24"/>
          <w:szCs w:val="24"/>
          <w:lang w:val="es-ES"/>
        </w:rPr>
        <w:t>-</w:t>
      </w:r>
      <w:r w:rsidRPr="00E036BD">
        <w:rPr>
          <w:sz w:val="24"/>
          <w:szCs w:val="24"/>
          <w:lang w:val="es-ES"/>
        </w:rPr>
        <w:t xml:space="preserve">BINDER, Alberto, </w:t>
      </w:r>
      <w:r w:rsidRPr="00E036BD">
        <w:rPr>
          <w:i/>
          <w:iCs/>
          <w:sz w:val="24"/>
          <w:szCs w:val="24"/>
          <w:lang w:val="es-ES"/>
        </w:rPr>
        <w:t xml:space="preserve">Elogio de la audiencia oral y otros ensayos, </w:t>
      </w:r>
      <w:r w:rsidRPr="00E036BD">
        <w:rPr>
          <w:sz w:val="24"/>
          <w:szCs w:val="24"/>
          <w:lang w:val="es-ES"/>
        </w:rPr>
        <w:t>Consejo de la Judicatura del Estado de Nuevo León, Monterrey, Nuevo León, México, abril 201</w:t>
      </w:r>
      <w:r>
        <w:rPr>
          <w:sz w:val="24"/>
          <w:szCs w:val="24"/>
          <w:lang w:val="es-ES"/>
        </w:rPr>
        <w:t>4</w:t>
      </w:r>
      <w:r w:rsidRPr="00E036BD">
        <w:rPr>
          <w:sz w:val="24"/>
          <w:szCs w:val="24"/>
          <w:lang w:val="es-ES"/>
        </w:rPr>
        <w:t>.</w:t>
      </w:r>
    </w:p>
    <w:p w:rsidR="00C565E1" w:rsidRPr="00C565E1" w:rsidRDefault="00C565E1" w:rsidP="00F41A15">
      <w:pPr>
        <w:pStyle w:val="Textonotapie"/>
        <w:spacing w:line="276" w:lineRule="auto"/>
        <w:ind w:firstLine="360"/>
        <w:rPr>
          <w:sz w:val="24"/>
          <w:szCs w:val="24"/>
          <w:lang w:val="es-ES"/>
        </w:rPr>
      </w:pPr>
      <w:r>
        <w:rPr>
          <w:sz w:val="24"/>
          <w:szCs w:val="24"/>
          <w:lang w:val="es-ES"/>
        </w:rPr>
        <w:t xml:space="preserve">-BOVINO, Alberto, </w:t>
      </w:r>
      <w:r>
        <w:rPr>
          <w:i/>
          <w:iCs/>
          <w:sz w:val="24"/>
          <w:szCs w:val="24"/>
          <w:lang w:val="es-ES"/>
        </w:rPr>
        <w:t xml:space="preserve">Principios políticos del procedimiento penal, </w:t>
      </w:r>
      <w:r>
        <w:rPr>
          <w:sz w:val="24"/>
          <w:szCs w:val="24"/>
          <w:lang w:val="es-ES"/>
        </w:rPr>
        <w:t>Ed. Del Puerto, Buenos Aires, 2005.</w:t>
      </w:r>
    </w:p>
    <w:p w:rsidR="00B51427" w:rsidRPr="00B51427" w:rsidRDefault="00B51427" w:rsidP="00B51427">
      <w:pPr>
        <w:pStyle w:val="Textonotapie"/>
        <w:spacing w:line="276" w:lineRule="auto"/>
        <w:ind w:firstLine="360"/>
        <w:rPr>
          <w:sz w:val="24"/>
          <w:szCs w:val="24"/>
        </w:rPr>
      </w:pPr>
      <w:r>
        <w:rPr>
          <w:sz w:val="24"/>
          <w:szCs w:val="24"/>
          <w:lang w:val="es-ES"/>
        </w:rPr>
        <w:t xml:space="preserve">-BOVINO, Alberto, BERTELOTTI, Mariano, “La oralidad en el procedimiento penal”, </w:t>
      </w:r>
      <w:r w:rsidRPr="00E036BD">
        <w:rPr>
          <w:i/>
          <w:iCs/>
          <w:sz w:val="24"/>
          <w:szCs w:val="24"/>
        </w:rPr>
        <w:t xml:space="preserve">El debido proceso legal </w:t>
      </w:r>
      <w:r w:rsidRPr="00E036BD">
        <w:rPr>
          <w:sz w:val="24"/>
          <w:szCs w:val="24"/>
        </w:rPr>
        <w:t xml:space="preserve">(Dir. Ángela Ledesma), nº </w:t>
      </w:r>
      <w:r>
        <w:rPr>
          <w:sz w:val="24"/>
          <w:szCs w:val="24"/>
        </w:rPr>
        <w:t>3</w:t>
      </w:r>
      <w:r w:rsidRPr="00E036BD">
        <w:rPr>
          <w:sz w:val="24"/>
          <w:szCs w:val="24"/>
        </w:rPr>
        <w:t>, Ed. Hammurabi, Buenos Aires, 20</w:t>
      </w:r>
      <w:r>
        <w:rPr>
          <w:sz w:val="24"/>
          <w:szCs w:val="24"/>
        </w:rPr>
        <w:t>16</w:t>
      </w:r>
      <w:r w:rsidRPr="00E036BD">
        <w:rPr>
          <w:sz w:val="24"/>
          <w:szCs w:val="24"/>
        </w:rPr>
        <w:t>.</w:t>
      </w:r>
    </w:p>
    <w:p w:rsidR="00D31F3A" w:rsidRDefault="00F41A15" w:rsidP="00F53DEB">
      <w:pPr>
        <w:pStyle w:val="Textonotapie"/>
        <w:spacing w:line="276" w:lineRule="auto"/>
        <w:ind w:firstLine="360"/>
        <w:rPr>
          <w:sz w:val="24"/>
          <w:szCs w:val="24"/>
        </w:rPr>
      </w:pPr>
      <w:r>
        <w:rPr>
          <w:sz w:val="24"/>
          <w:szCs w:val="24"/>
        </w:rPr>
        <w:lastRenderedPageBreak/>
        <w:t>-</w:t>
      </w:r>
      <w:r w:rsidRPr="00E036BD">
        <w:rPr>
          <w:sz w:val="24"/>
          <w:szCs w:val="24"/>
        </w:rPr>
        <w:t xml:space="preserve">CAFFERATA NORES, José, “El juicio penal digital. De los “estrados tribunalicios” a los “estrados cibernéticos”, </w:t>
      </w:r>
      <w:r w:rsidRPr="00E036BD">
        <w:rPr>
          <w:i/>
          <w:iCs/>
          <w:sz w:val="24"/>
          <w:szCs w:val="24"/>
        </w:rPr>
        <w:t xml:space="preserve">El debido proceso legal </w:t>
      </w:r>
      <w:r w:rsidRPr="00E036BD">
        <w:rPr>
          <w:sz w:val="24"/>
          <w:szCs w:val="24"/>
        </w:rPr>
        <w:t>(Dir. Ángela Ledesma), nº 10, Ed. Hammurabi, Buenos Aires, 2020.</w:t>
      </w:r>
    </w:p>
    <w:p w:rsidR="005B2CCC" w:rsidRPr="005B2CCC" w:rsidRDefault="005B2CCC" w:rsidP="00F53DEB">
      <w:pPr>
        <w:pStyle w:val="Textonotapie"/>
        <w:spacing w:line="276" w:lineRule="auto"/>
        <w:ind w:firstLine="360"/>
        <w:rPr>
          <w:sz w:val="24"/>
          <w:szCs w:val="24"/>
          <w:lang w:val="es-AR"/>
        </w:rPr>
      </w:pPr>
      <w:r w:rsidRPr="005B2CCC">
        <w:rPr>
          <w:sz w:val="24"/>
          <w:szCs w:val="24"/>
          <w:lang w:val="es-AR"/>
        </w:rPr>
        <w:t>-COUSSIRAT, Jorge, GUAJARDO, Laura, PEÑALOZA, Fernando</w:t>
      </w:r>
      <w:r>
        <w:rPr>
          <w:sz w:val="24"/>
          <w:szCs w:val="24"/>
          <w:lang w:val="es-AR"/>
        </w:rPr>
        <w:t xml:space="preserve">, QUIROGA, María Paula, </w:t>
      </w:r>
      <w:r>
        <w:rPr>
          <w:i/>
          <w:iCs/>
          <w:sz w:val="24"/>
          <w:szCs w:val="24"/>
          <w:lang w:val="es-AR"/>
        </w:rPr>
        <w:t xml:space="preserve">Manual de Derecho Procesal Penal, </w:t>
      </w:r>
      <w:r>
        <w:rPr>
          <w:sz w:val="24"/>
          <w:szCs w:val="24"/>
          <w:lang w:val="es-AR"/>
        </w:rPr>
        <w:t>Ed. Jurídicas Cuyo, Mendoza, 2008, Tomo I.</w:t>
      </w:r>
    </w:p>
    <w:p w:rsidR="00F41A15" w:rsidRPr="00E036BD" w:rsidRDefault="00F41A15" w:rsidP="00F41A15">
      <w:pPr>
        <w:pStyle w:val="Textonotapie"/>
        <w:spacing w:line="276" w:lineRule="auto"/>
        <w:ind w:firstLine="360"/>
        <w:rPr>
          <w:sz w:val="24"/>
          <w:szCs w:val="24"/>
        </w:rPr>
      </w:pPr>
      <w:r>
        <w:rPr>
          <w:sz w:val="24"/>
          <w:szCs w:val="24"/>
        </w:rPr>
        <w:t>-</w:t>
      </w:r>
      <w:r w:rsidRPr="00E036BD">
        <w:rPr>
          <w:sz w:val="24"/>
          <w:szCs w:val="24"/>
        </w:rPr>
        <w:t xml:space="preserve">FERRAJOLI, Luigi, </w:t>
      </w:r>
      <w:r w:rsidRPr="00E036BD">
        <w:rPr>
          <w:i/>
          <w:iCs/>
          <w:sz w:val="24"/>
          <w:szCs w:val="24"/>
        </w:rPr>
        <w:t xml:space="preserve">Derecho y Razón, Teoría del garantismo penal, </w:t>
      </w:r>
      <w:r w:rsidRPr="00E036BD">
        <w:rPr>
          <w:sz w:val="24"/>
          <w:szCs w:val="24"/>
        </w:rPr>
        <w:t>8º ed., Ed. Trotta, Madrid, 2006.</w:t>
      </w:r>
    </w:p>
    <w:p w:rsidR="00F41A15" w:rsidRDefault="00F41A15" w:rsidP="00F41A15">
      <w:pPr>
        <w:pStyle w:val="Textonotapie"/>
        <w:spacing w:line="276" w:lineRule="auto"/>
        <w:ind w:firstLine="360"/>
        <w:rPr>
          <w:sz w:val="24"/>
          <w:szCs w:val="24"/>
          <w:lang w:val="es-ES"/>
        </w:rPr>
      </w:pPr>
      <w:r>
        <w:rPr>
          <w:sz w:val="24"/>
          <w:szCs w:val="24"/>
          <w:lang w:val="es-ES"/>
        </w:rPr>
        <w:t xml:space="preserve">-GRANGEAT, Juan, “Casos y criterios de actuación en el turno judicial durante la pandemia del COVID-19”, </w:t>
      </w:r>
      <w:r w:rsidRPr="00E036BD">
        <w:rPr>
          <w:i/>
          <w:iCs/>
          <w:sz w:val="24"/>
          <w:szCs w:val="24"/>
          <w:lang w:val="es-ES"/>
        </w:rPr>
        <w:t>Revista de Derecho Procesal Penal, Crisis de legalidad en el proceso penal-I</w:t>
      </w:r>
      <w:r w:rsidRPr="00E036BD">
        <w:rPr>
          <w:sz w:val="24"/>
          <w:szCs w:val="24"/>
          <w:lang w:val="es-ES"/>
        </w:rPr>
        <w:t>, 2020-</w:t>
      </w:r>
      <w:r>
        <w:rPr>
          <w:sz w:val="24"/>
          <w:szCs w:val="24"/>
          <w:lang w:val="es-ES"/>
        </w:rPr>
        <w:t>1</w:t>
      </w:r>
      <w:r w:rsidRPr="00E036BD">
        <w:rPr>
          <w:sz w:val="24"/>
          <w:szCs w:val="24"/>
          <w:lang w:val="es-ES"/>
        </w:rPr>
        <w:t>, Ed. Rubinzal-Culzoni, Santa Fe, 202</w:t>
      </w:r>
      <w:r>
        <w:rPr>
          <w:sz w:val="24"/>
          <w:szCs w:val="24"/>
          <w:lang w:val="es-ES"/>
        </w:rPr>
        <w:t>0</w:t>
      </w:r>
      <w:r w:rsidRPr="00E036BD">
        <w:rPr>
          <w:sz w:val="24"/>
          <w:szCs w:val="24"/>
          <w:lang w:val="es-ES"/>
        </w:rPr>
        <w:t>.</w:t>
      </w:r>
    </w:p>
    <w:p w:rsidR="00F41A15" w:rsidRDefault="00F41A15" w:rsidP="00F41A15">
      <w:pPr>
        <w:pStyle w:val="Textonotapie"/>
        <w:spacing w:line="276" w:lineRule="auto"/>
        <w:ind w:firstLine="360"/>
        <w:rPr>
          <w:sz w:val="24"/>
          <w:szCs w:val="24"/>
        </w:rPr>
      </w:pPr>
      <w:r>
        <w:rPr>
          <w:sz w:val="24"/>
          <w:szCs w:val="24"/>
        </w:rPr>
        <w:t>-</w:t>
      </w:r>
      <w:r w:rsidRPr="00E036BD">
        <w:rPr>
          <w:sz w:val="24"/>
          <w:szCs w:val="24"/>
        </w:rPr>
        <w:t xml:space="preserve">LANGEVIN, Julián, </w:t>
      </w:r>
      <w:r w:rsidRPr="00E036BD">
        <w:rPr>
          <w:i/>
          <w:iCs/>
          <w:sz w:val="24"/>
          <w:szCs w:val="24"/>
        </w:rPr>
        <w:t xml:space="preserve">Juicio penales «virtuales», </w:t>
      </w:r>
      <w:r w:rsidRPr="00E036BD">
        <w:rPr>
          <w:sz w:val="24"/>
          <w:szCs w:val="24"/>
        </w:rPr>
        <w:t>Ed. Hammurabi, Buenos Aires, 2020.</w:t>
      </w:r>
    </w:p>
    <w:p w:rsidR="005B6C5F" w:rsidRPr="00E036BD" w:rsidRDefault="005B6C5F" w:rsidP="00F41A15">
      <w:pPr>
        <w:pStyle w:val="Textonotapie"/>
        <w:spacing w:line="276" w:lineRule="auto"/>
        <w:ind w:firstLine="360"/>
        <w:rPr>
          <w:sz w:val="24"/>
          <w:szCs w:val="24"/>
        </w:rPr>
      </w:pPr>
      <w:r>
        <w:rPr>
          <w:sz w:val="24"/>
          <w:szCs w:val="24"/>
        </w:rPr>
        <w:t xml:space="preserve">-LANGEVIN, Julián, “El derecho del imputado a estar presente en su propio juicio”, </w:t>
      </w:r>
      <w:r w:rsidRPr="00E036BD">
        <w:rPr>
          <w:i/>
          <w:iCs/>
          <w:sz w:val="24"/>
          <w:szCs w:val="24"/>
          <w:lang w:val="es-ES"/>
        </w:rPr>
        <w:t xml:space="preserve">Revista de Derecho Procesal Penal, </w:t>
      </w:r>
      <w:r>
        <w:rPr>
          <w:i/>
          <w:iCs/>
          <w:sz w:val="24"/>
          <w:szCs w:val="24"/>
          <w:lang w:val="es-ES"/>
        </w:rPr>
        <w:t>La injerencia en los derechos fundamentales del imputado-II,</w:t>
      </w:r>
      <w:r w:rsidRPr="00E036BD">
        <w:rPr>
          <w:sz w:val="24"/>
          <w:szCs w:val="24"/>
          <w:lang w:val="es-ES"/>
        </w:rPr>
        <w:t xml:space="preserve"> 20</w:t>
      </w:r>
      <w:r>
        <w:rPr>
          <w:sz w:val="24"/>
          <w:szCs w:val="24"/>
          <w:lang w:val="es-ES"/>
        </w:rPr>
        <w:t>06</w:t>
      </w:r>
      <w:r w:rsidRPr="00E036BD">
        <w:rPr>
          <w:sz w:val="24"/>
          <w:szCs w:val="24"/>
          <w:lang w:val="es-ES"/>
        </w:rPr>
        <w:t>-</w:t>
      </w:r>
      <w:r>
        <w:rPr>
          <w:sz w:val="24"/>
          <w:szCs w:val="24"/>
          <w:lang w:val="es-ES"/>
        </w:rPr>
        <w:t>2</w:t>
      </w:r>
      <w:r w:rsidRPr="00E036BD">
        <w:rPr>
          <w:sz w:val="24"/>
          <w:szCs w:val="24"/>
          <w:lang w:val="es-ES"/>
        </w:rPr>
        <w:t>, Ed. Rubinzal-Culzoni, Santa Fe, 20</w:t>
      </w:r>
      <w:r>
        <w:rPr>
          <w:sz w:val="24"/>
          <w:szCs w:val="24"/>
          <w:lang w:val="es-ES"/>
        </w:rPr>
        <w:t>006</w:t>
      </w:r>
      <w:r w:rsidRPr="00E036BD">
        <w:rPr>
          <w:sz w:val="24"/>
          <w:szCs w:val="24"/>
          <w:lang w:val="es-ES"/>
        </w:rPr>
        <w:t>.</w:t>
      </w:r>
    </w:p>
    <w:p w:rsidR="00F41A15" w:rsidRPr="00E036BD" w:rsidRDefault="00F41A15" w:rsidP="00F41A15">
      <w:pPr>
        <w:pStyle w:val="Textonotapie"/>
        <w:spacing w:line="276" w:lineRule="auto"/>
        <w:ind w:firstLine="360"/>
        <w:rPr>
          <w:sz w:val="24"/>
          <w:szCs w:val="24"/>
        </w:rPr>
      </w:pPr>
      <w:r>
        <w:rPr>
          <w:sz w:val="24"/>
          <w:szCs w:val="24"/>
        </w:rPr>
        <w:t>-</w:t>
      </w:r>
      <w:r w:rsidRPr="00E036BD">
        <w:rPr>
          <w:sz w:val="24"/>
          <w:szCs w:val="24"/>
        </w:rPr>
        <w:t xml:space="preserve">MAIER, Julio, </w:t>
      </w:r>
      <w:r w:rsidRPr="00E036BD">
        <w:rPr>
          <w:i/>
          <w:iCs/>
          <w:sz w:val="24"/>
          <w:szCs w:val="24"/>
        </w:rPr>
        <w:t xml:space="preserve">Derecho Procesal Penal I. Fundamentos, </w:t>
      </w:r>
      <w:r w:rsidRPr="00E036BD">
        <w:rPr>
          <w:sz w:val="24"/>
          <w:szCs w:val="24"/>
        </w:rPr>
        <w:t>2º edición, Ed. Del Puerto, Buenos Aires, 2004.</w:t>
      </w:r>
    </w:p>
    <w:p w:rsidR="00F41A15" w:rsidRPr="00F41A15" w:rsidRDefault="00F41A15" w:rsidP="00F41A15">
      <w:pPr>
        <w:pStyle w:val="Textonotapie"/>
        <w:spacing w:line="276" w:lineRule="auto"/>
        <w:ind w:firstLine="360"/>
        <w:rPr>
          <w:sz w:val="24"/>
          <w:szCs w:val="24"/>
          <w:lang w:val="es-ES"/>
        </w:rPr>
      </w:pPr>
      <w:r>
        <w:rPr>
          <w:bCs/>
          <w:sz w:val="24"/>
          <w:szCs w:val="24"/>
        </w:rPr>
        <w:t>-</w:t>
      </w:r>
      <w:r w:rsidRPr="00F41A15">
        <w:rPr>
          <w:bCs/>
          <w:sz w:val="24"/>
          <w:szCs w:val="24"/>
        </w:rPr>
        <w:t xml:space="preserve">MORILLO-GUGLIELMI, Gisela, “Lo que la pandemia nos dejó”, </w:t>
      </w:r>
      <w:r w:rsidRPr="00F41A15">
        <w:rPr>
          <w:i/>
          <w:iCs/>
          <w:sz w:val="24"/>
          <w:szCs w:val="24"/>
          <w:lang w:val="es-ES"/>
        </w:rPr>
        <w:t>Revista de Derecho Procesal Penal, Crisis de legalidad en el proceso penal-I</w:t>
      </w:r>
      <w:r w:rsidRPr="00F41A15">
        <w:rPr>
          <w:sz w:val="24"/>
          <w:szCs w:val="24"/>
          <w:lang w:val="es-ES"/>
        </w:rPr>
        <w:t>, 2020-1, Ed. Rubinzal-Culzoni, Santa Fe, 2020.</w:t>
      </w:r>
    </w:p>
    <w:p w:rsidR="00F41A15" w:rsidRPr="00E036BD" w:rsidRDefault="00F41A15" w:rsidP="00F41A15">
      <w:pPr>
        <w:pStyle w:val="Textonotapie"/>
        <w:spacing w:line="276" w:lineRule="auto"/>
        <w:ind w:firstLine="360"/>
        <w:rPr>
          <w:sz w:val="24"/>
          <w:szCs w:val="24"/>
          <w:lang w:val="es-ES"/>
        </w:rPr>
      </w:pPr>
      <w:r>
        <w:rPr>
          <w:sz w:val="24"/>
          <w:szCs w:val="24"/>
          <w:lang w:val="es-ES"/>
        </w:rPr>
        <w:t>-</w:t>
      </w:r>
      <w:r w:rsidRPr="00E036BD">
        <w:rPr>
          <w:sz w:val="24"/>
          <w:szCs w:val="24"/>
          <w:lang w:val="es-ES"/>
        </w:rPr>
        <w:t xml:space="preserve">RICHARD GONZÁLEZ, Manuel, “Elogio del juicio oral (presencial) escrito por un profesor partidario del uso de la tecnología en el sistema judicial”, </w:t>
      </w:r>
      <w:r w:rsidRPr="00E036BD">
        <w:rPr>
          <w:i/>
          <w:iCs/>
          <w:sz w:val="24"/>
          <w:szCs w:val="24"/>
          <w:lang w:val="es-ES"/>
        </w:rPr>
        <w:t xml:space="preserve">Diario La Ley, </w:t>
      </w:r>
      <w:r w:rsidRPr="00E036BD">
        <w:rPr>
          <w:sz w:val="24"/>
          <w:szCs w:val="24"/>
          <w:lang w:val="es-ES"/>
        </w:rPr>
        <w:t xml:space="preserve">09/06/2020, </w:t>
      </w:r>
      <w:hyperlink r:id="rId8" w:history="1">
        <w:r w:rsidRPr="00E036BD">
          <w:rPr>
            <w:rStyle w:val="Hipervnculo"/>
            <w:sz w:val="24"/>
            <w:szCs w:val="24"/>
            <w:lang w:val="es-ES"/>
          </w:rPr>
          <w:t>https://diariolaley.lal</w:t>
        </w:r>
        <w:r w:rsidRPr="00E036BD">
          <w:rPr>
            <w:rStyle w:val="Hipervnculo"/>
            <w:sz w:val="24"/>
            <w:szCs w:val="24"/>
            <w:lang w:val="es-ES"/>
          </w:rPr>
          <w:t>e</w:t>
        </w:r>
        <w:r w:rsidRPr="00E036BD">
          <w:rPr>
            <w:rStyle w:val="Hipervnculo"/>
            <w:sz w:val="24"/>
            <w:szCs w:val="24"/>
            <w:lang w:val="es-ES"/>
          </w:rPr>
          <w:t>ynext.es</w:t>
        </w:r>
      </w:hyperlink>
    </w:p>
    <w:p w:rsidR="00F41A15" w:rsidRDefault="00F41A15" w:rsidP="00F41A15">
      <w:pPr>
        <w:pStyle w:val="Textonotapie"/>
        <w:spacing w:line="276" w:lineRule="auto"/>
        <w:ind w:firstLine="360"/>
        <w:rPr>
          <w:sz w:val="24"/>
          <w:szCs w:val="24"/>
        </w:rPr>
      </w:pPr>
      <w:r>
        <w:rPr>
          <w:sz w:val="24"/>
          <w:szCs w:val="24"/>
        </w:rPr>
        <w:t>-</w:t>
      </w:r>
      <w:r w:rsidRPr="00E036BD">
        <w:rPr>
          <w:sz w:val="24"/>
          <w:szCs w:val="24"/>
        </w:rPr>
        <w:t xml:space="preserve">RUA, Gonzalo, </w:t>
      </w:r>
      <w:r w:rsidRPr="00E036BD">
        <w:rPr>
          <w:i/>
          <w:iCs/>
          <w:sz w:val="24"/>
          <w:szCs w:val="24"/>
        </w:rPr>
        <w:t xml:space="preserve">Juicios orales virtuales en tiempos de pandemia, </w:t>
      </w:r>
      <w:hyperlink r:id="rId9" w:history="1">
        <w:r w:rsidRPr="00E036BD">
          <w:rPr>
            <w:rStyle w:val="Hipervnculo"/>
            <w:sz w:val="24"/>
            <w:szCs w:val="24"/>
          </w:rPr>
          <w:t>https://sistemasjudiciales.org/wp-content/uploads/2021/10/14.-SJ24.-Rua.pdf</w:t>
        </w:r>
      </w:hyperlink>
      <w:r w:rsidRPr="00E036BD">
        <w:rPr>
          <w:sz w:val="24"/>
          <w:szCs w:val="24"/>
        </w:rPr>
        <w:t>.</w:t>
      </w:r>
    </w:p>
    <w:p w:rsidR="00E036BD" w:rsidRPr="00EA3CD9" w:rsidRDefault="005B6C5F" w:rsidP="00EA3CD9">
      <w:pPr>
        <w:pStyle w:val="Textonotapie"/>
        <w:spacing w:line="276" w:lineRule="auto"/>
        <w:ind w:firstLine="360"/>
        <w:rPr>
          <w:sz w:val="24"/>
          <w:szCs w:val="24"/>
          <w:lang w:val="es-ES"/>
        </w:rPr>
      </w:pPr>
      <w:r>
        <w:rPr>
          <w:sz w:val="24"/>
          <w:szCs w:val="24"/>
        </w:rPr>
        <w:t xml:space="preserve">-VÉLEZ MARICONDE, Alfredo, </w:t>
      </w:r>
      <w:r w:rsidR="00D72768">
        <w:rPr>
          <w:i/>
          <w:iCs/>
          <w:sz w:val="24"/>
          <w:szCs w:val="24"/>
        </w:rPr>
        <w:t xml:space="preserve">Derecho Procesal Penal II, </w:t>
      </w:r>
      <w:r w:rsidR="00D72768">
        <w:rPr>
          <w:sz w:val="24"/>
          <w:szCs w:val="24"/>
        </w:rPr>
        <w:t>3</w:t>
      </w:r>
      <w:r w:rsidR="00D72768" w:rsidRPr="00D72768">
        <w:rPr>
          <w:sz w:val="24"/>
          <w:szCs w:val="24"/>
        </w:rPr>
        <w:sym w:font="Symbol" w:char="F0B0"/>
      </w:r>
      <w:r w:rsidR="00D72768">
        <w:rPr>
          <w:sz w:val="24"/>
          <w:szCs w:val="24"/>
        </w:rPr>
        <w:t xml:space="preserve"> ed., Ed. Lerner, Córdoba, 1981.</w:t>
      </w:r>
    </w:p>
    <w:sectPr w:rsidR="00E036BD" w:rsidRPr="00EA3CD9" w:rsidSect="007F2242">
      <w:footerReference w:type="even" r:id="rId10"/>
      <w:footerReference w:type="default" r:id="rId11"/>
      <w:pgSz w:w="11900" w:h="16840"/>
      <w:pgMar w:top="1417" w:right="1701" w:bottom="1417"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546D" w:rsidRDefault="0016546D" w:rsidP="004806AE">
      <w:r>
        <w:separator/>
      </w:r>
    </w:p>
  </w:endnote>
  <w:endnote w:type="continuationSeparator" w:id="0">
    <w:p w:rsidR="0016546D" w:rsidRDefault="0016546D" w:rsidP="00480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6AE" w:rsidRDefault="004806AE" w:rsidP="007F2242">
    <w:pPr>
      <w:pStyle w:val="Piedepgina"/>
      <w:framePr w:wrap="none" w:vAnchor="text" w:hAnchor="margin" w:xAlign="outside" w:y="1"/>
      <w:rPr>
        <w:rStyle w:val="Nmerodepgina"/>
      </w:rPr>
    </w:pPr>
    <w:r>
      <w:rPr>
        <w:rStyle w:val="Nmerodepgina"/>
      </w:rPr>
      <w:fldChar w:fldCharType="begin"/>
    </w:r>
    <w:r w:rsidR="00900117">
      <w:rPr>
        <w:rStyle w:val="Nmerodepgina"/>
      </w:rPr>
      <w:instrText>PAGE</w:instrText>
    </w:r>
    <w:r>
      <w:rPr>
        <w:rStyle w:val="Nmerodepgina"/>
      </w:rPr>
      <w:instrText xml:space="preserve">  </w:instrText>
    </w:r>
    <w:r>
      <w:rPr>
        <w:rStyle w:val="Nmerodepgina"/>
      </w:rPr>
      <w:fldChar w:fldCharType="end"/>
    </w:r>
  </w:p>
  <w:p w:rsidR="004806AE" w:rsidRDefault="004806AE" w:rsidP="007F2242">
    <w:pPr>
      <w:pStyle w:val="Piedepgina"/>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AA9" w:rsidRDefault="008E6AA9" w:rsidP="007F2242">
    <w:pPr>
      <w:pStyle w:val="Piedepgina"/>
      <w:framePr w:wrap="none" w:vAnchor="text" w:hAnchor="margin" w:xAlign="outside" w:y="1"/>
      <w:rPr>
        <w:rStyle w:val="Nmerodepgina"/>
      </w:rPr>
    </w:pPr>
    <w:r>
      <w:rPr>
        <w:rStyle w:val="Nmerodepgina"/>
      </w:rPr>
      <w:fldChar w:fldCharType="begin"/>
    </w:r>
    <w:r w:rsidR="00900117">
      <w:rPr>
        <w:rStyle w:val="Nmerodepgina"/>
      </w:rPr>
      <w:instrText>PAGE</w:instrText>
    </w:r>
    <w:r>
      <w:rPr>
        <w:rStyle w:val="Nmerodepgina"/>
      </w:rPr>
      <w:instrText xml:space="preserve">  </w:instrText>
    </w:r>
    <w:r>
      <w:rPr>
        <w:rStyle w:val="Nmerodepgina"/>
      </w:rPr>
      <w:fldChar w:fldCharType="separate"/>
    </w:r>
    <w:r w:rsidR="00A21390">
      <w:rPr>
        <w:rStyle w:val="Nmerodepgina"/>
        <w:noProof/>
      </w:rPr>
      <w:t>1</w:t>
    </w:r>
    <w:r>
      <w:rPr>
        <w:rStyle w:val="Nmerodepgina"/>
      </w:rPr>
      <w:fldChar w:fldCharType="end"/>
    </w:r>
  </w:p>
  <w:p w:rsidR="008E6AA9" w:rsidRDefault="008E6AA9" w:rsidP="007F2242">
    <w:pPr>
      <w:pStyle w:val="Piedepgina"/>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546D" w:rsidRDefault="0016546D" w:rsidP="004806AE">
      <w:r>
        <w:separator/>
      </w:r>
    </w:p>
  </w:footnote>
  <w:footnote w:type="continuationSeparator" w:id="0">
    <w:p w:rsidR="0016546D" w:rsidRDefault="0016546D" w:rsidP="004806AE">
      <w:r>
        <w:continuationSeparator/>
      </w:r>
    </w:p>
  </w:footnote>
  <w:footnote w:id="1">
    <w:p w:rsidR="00310D51" w:rsidRPr="00310D51" w:rsidRDefault="00A2616B" w:rsidP="00310D51">
      <w:pPr>
        <w:jc w:val="both"/>
        <w:rPr>
          <w:rFonts w:ascii="Times New Roman" w:hAnsi="Times New Roman"/>
          <w:bCs/>
          <w:iCs/>
          <w:sz w:val="20"/>
          <w:szCs w:val="20"/>
        </w:rPr>
      </w:pPr>
      <w:r>
        <w:rPr>
          <w:rStyle w:val="Refdenotaalpie"/>
        </w:rPr>
        <w:footnoteRef/>
      </w:r>
      <w:r>
        <w:t xml:space="preserve"> </w:t>
      </w:r>
      <w:r w:rsidRPr="00310D51">
        <w:rPr>
          <w:rFonts w:ascii="Times New Roman" w:hAnsi="Times New Roman"/>
          <w:sz w:val="20"/>
          <w:szCs w:val="20"/>
        </w:rPr>
        <w:t xml:space="preserve">Este estudio fue publicado en la obra </w:t>
      </w:r>
      <w:r w:rsidRPr="00310D51">
        <w:rPr>
          <w:rFonts w:ascii="Times New Roman" w:hAnsi="Times New Roman"/>
          <w:i/>
          <w:iCs/>
          <w:sz w:val="20"/>
          <w:szCs w:val="20"/>
        </w:rPr>
        <w:t xml:space="preserve">El Derecho, a prueba. 11 sistemas jurídicos ante el desafío de la COVID-19 </w:t>
      </w:r>
      <w:r w:rsidRPr="00310D51">
        <w:rPr>
          <w:rFonts w:ascii="Times New Roman" w:hAnsi="Times New Roman"/>
          <w:sz w:val="20"/>
          <w:szCs w:val="20"/>
        </w:rPr>
        <w:t>(Org</w:t>
      </w:r>
      <w:r w:rsidR="00310D51">
        <w:rPr>
          <w:rFonts w:ascii="Times New Roman" w:hAnsi="Times New Roman"/>
          <w:sz w:val="20"/>
          <w:szCs w:val="20"/>
        </w:rPr>
        <w:t xml:space="preserve">anizadores </w:t>
      </w:r>
      <w:r w:rsidRPr="00310D51">
        <w:rPr>
          <w:rFonts w:ascii="Times New Roman" w:hAnsi="Times New Roman"/>
          <w:sz w:val="20"/>
          <w:szCs w:val="20"/>
        </w:rPr>
        <w:t xml:space="preserve">Pilar Martín Ríos, César A. Villegas Delgado), Colección de Organización Judicial (Dir. David Vallespín Pérez, </w:t>
      </w:r>
      <w:r w:rsidR="00310D51">
        <w:rPr>
          <w:rFonts w:ascii="Times New Roman" w:hAnsi="Times New Roman"/>
          <w:sz w:val="20"/>
          <w:szCs w:val="20"/>
        </w:rPr>
        <w:t xml:space="preserve">Coord. </w:t>
      </w:r>
      <w:r w:rsidRPr="00310D51">
        <w:rPr>
          <w:rFonts w:ascii="Times New Roman" w:hAnsi="Times New Roman"/>
          <w:sz w:val="20"/>
          <w:szCs w:val="20"/>
        </w:rPr>
        <w:t xml:space="preserve">José María Asencio Gallego), Ed. Juruá, Brasil, 2022. El artículo se titula </w:t>
      </w:r>
      <w:r w:rsidR="00310D51">
        <w:rPr>
          <w:rFonts w:ascii="Times New Roman" w:hAnsi="Times New Roman"/>
          <w:sz w:val="20"/>
          <w:szCs w:val="20"/>
        </w:rPr>
        <w:t>“</w:t>
      </w:r>
      <w:r w:rsidR="00310D51" w:rsidRPr="00310D51">
        <w:rPr>
          <w:rFonts w:ascii="Times New Roman" w:hAnsi="Times New Roman"/>
          <w:bCs/>
          <w:iCs/>
          <w:sz w:val="20"/>
          <w:szCs w:val="20"/>
        </w:rPr>
        <w:t>JUICIOS PENALES VIRTUALES DURANTE LA SITUACIÓN DE PANDEMIA COVID-19: una solución posible</w:t>
      </w:r>
      <w:r w:rsidR="00310D51">
        <w:rPr>
          <w:rFonts w:ascii="Times New Roman" w:hAnsi="Times New Roman"/>
          <w:bCs/>
          <w:iCs/>
          <w:sz w:val="20"/>
          <w:szCs w:val="20"/>
        </w:rPr>
        <w:t>”, pp</w:t>
      </w:r>
      <w:r w:rsidR="006B6F58">
        <w:rPr>
          <w:rFonts w:ascii="Times New Roman" w:hAnsi="Times New Roman"/>
          <w:bCs/>
          <w:iCs/>
          <w:sz w:val="20"/>
          <w:szCs w:val="20"/>
        </w:rPr>
        <w:t>.103-118.</w:t>
      </w:r>
    </w:p>
    <w:p w:rsidR="00A2616B" w:rsidRPr="00310D51" w:rsidRDefault="00A2616B" w:rsidP="00310D51">
      <w:pPr>
        <w:pStyle w:val="Textonotapie"/>
      </w:pPr>
    </w:p>
  </w:footnote>
  <w:footnote w:id="2">
    <w:p w:rsidR="00492BBF" w:rsidRPr="00492BBF" w:rsidRDefault="00492BBF">
      <w:pPr>
        <w:pStyle w:val="Textonotapie"/>
      </w:pPr>
      <w:r>
        <w:rPr>
          <w:rStyle w:val="Refdenotaalpie"/>
        </w:rPr>
        <w:footnoteRef/>
      </w:r>
      <w:r>
        <w:t xml:space="preserve"> Digo “usualmente” porque es cierto que algunos procedimientos especiales no cuentan con esta etapa de investigación preparatoria como es el caso de los procesos de flagrancia y de los procesos correccionales, tal como se encuentran regulados en varias de las legislaciones procesales argentinas.</w:t>
      </w:r>
    </w:p>
  </w:footnote>
  <w:footnote w:id="3">
    <w:p w:rsidR="007F2242" w:rsidRPr="007F2242" w:rsidRDefault="007F2242">
      <w:pPr>
        <w:pStyle w:val="Textonotapie"/>
      </w:pPr>
      <w:r>
        <w:rPr>
          <w:rStyle w:val="Refdenotaalpie"/>
        </w:rPr>
        <w:footnoteRef/>
      </w:r>
      <w:r>
        <w:t xml:space="preserve"> En la provincia de Mendoza las últimas reformas han establecido la oralidad como regla general primando la metodología de la audiencia oral y la registración en soporte digital en lugar del procedimiento escrito y los expedientes (</w:t>
      </w:r>
      <w:r>
        <w:rPr>
          <w:i/>
          <w:iCs/>
        </w:rPr>
        <w:t xml:space="preserve">vid. </w:t>
      </w:r>
      <w:r>
        <w:t xml:space="preserve">QUIROGA, María Paula, </w:t>
      </w:r>
      <w:r>
        <w:rPr>
          <w:i/>
          <w:iCs/>
        </w:rPr>
        <w:t xml:space="preserve">AAVV Leyes de Reformas al Código Procesal Penal Provincia de Mendoza, </w:t>
      </w:r>
      <w:r>
        <w:t xml:space="preserve">Ed. ASC, Mendoza, 2022, p.836 y ss). </w:t>
      </w:r>
    </w:p>
  </w:footnote>
  <w:footnote w:id="4">
    <w:p w:rsidR="00632781" w:rsidRPr="00632781" w:rsidRDefault="00632781">
      <w:pPr>
        <w:pStyle w:val="Textonotapie"/>
      </w:pPr>
      <w:r>
        <w:rPr>
          <w:rStyle w:val="Refdenotaalpie"/>
        </w:rPr>
        <w:footnoteRef/>
      </w:r>
      <w:r>
        <w:t xml:space="preserve"> Argentina está dividido en 24 jurisdicciones, 23 provincias y un distrito federal que es la Ciudad Autónoma de Buenos Aires. Además de las provincias y la Ciudad Autónoma, también existe una jurisdicción nacional en todo el territorio del país con una competencia limitada. De tal manera, existen 25 Códigos procesales en el país.</w:t>
      </w:r>
    </w:p>
  </w:footnote>
  <w:footnote w:id="5">
    <w:p w:rsidR="00AB3C19" w:rsidRPr="00AB3C19" w:rsidRDefault="00AB3C19">
      <w:pPr>
        <w:pStyle w:val="Textonotapie"/>
        <w:rPr>
          <w:i/>
          <w:iCs/>
        </w:rPr>
      </w:pPr>
      <w:r>
        <w:rPr>
          <w:rStyle w:val="Refdenotaalpie"/>
        </w:rPr>
        <w:footnoteRef/>
      </w:r>
      <w:r>
        <w:t xml:space="preserve"> Para profundizar en el tema, </w:t>
      </w:r>
      <w:r>
        <w:rPr>
          <w:i/>
          <w:iCs/>
        </w:rPr>
        <w:t xml:space="preserve">vid. </w:t>
      </w:r>
      <w:r>
        <w:t xml:space="preserve">PINA GONZÁLEZ, Juan Manuel, </w:t>
      </w:r>
      <w:r>
        <w:rPr>
          <w:i/>
          <w:iCs/>
        </w:rPr>
        <w:t xml:space="preserve">AAVV Leyes de Reformas al Código Procesal Penal…, </w:t>
      </w:r>
      <w:r>
        <w:t>ob.cit., p.267 y ss.</w:t>
      </w:r>
    </w:p>
  </w:footnote>
  <w:footnote w:id="6">
    <w:p w:rsidR="00040A4B" w:rsidRPr="00040A4B" w:rsidRDefault="00040A4B">
      <w:pPr>
        <w:pStyle w:val="Textonotapie"/>
      </w:pPr>
      <w:r>
        <w:rPr>
          <w:rStyle w:val="Refdenotaalpie"/>
        </w:rPr>
        <w:footnoteRef/>
      </w:r>
      <w:r>
        <w:t xml:space="preserve"> PINA GONZÁLEZ, Juan Manuel, </w:t>
      </w:r>
      <w:r>
        <w:rPr>
          <w:i/>
          <w:iCs/>
        </w:rPr>
        <w:t xml:space="preserve">AAVV Leyes de Reformas al Código Procesal Penal…, </w:t>
      </w:r>
      <w:r>
        <w:t>ob.cit., p.286.</w:t>
      </w:r>
    </w:p>
  </w:footnote>
  <w:footnote w:id="7">
    <w:p w:rsidR="00E55222" w:rsidRPr="00E55222" w:rsidRDefault="00E55222">
      <w:pPr>
        <w:pStyle w:val="Textonotapie"/>
      </w:pPr>
      <w:r>
        <w:rPr>
          <w:rStyle w:val="Refdenotaalpie"/>
        </w:rPr>
        <w:footnoteRef/>
      </w:r>
      <w:r>
        <w:t xml:space="preserve"> SCJMza, Acordada n</w:t>
      </w:r>
      <w:r>
        <w:sym w:font="Symbol" w:char="F0B0"/>
      </w:r>
      <w:r>
        <w:t xml:space="preserve"> 28.888 de 31 de julio de 2018, se dispuso que </w:t>
      </w:r>
      <w:r w:rsidR="00FC7AB2">
        <w:t>las solicitudes vinculadas con la privación de libertad del imputado (prisión preventiva, cese y prórroga de ésta) debían realizarse de forma electrónica. Acordada n</w:t>
      </w:r>
      <w:r w:rsidR="00FC7AB2">
        <w:sym w:font="Symbol" w:char="F0B0"/>
      </w:r>
      <w:r w:rsidR="00FC7AB2">
        <w:t xml:space="preserve"> </w:t>
      </w:r>
      <w:r w:rsidR="00F26827">
        <w:t>28.923 de 28 agosto de 2018, se dispuso que las audiencias de acusación del procedimiento correccional se solicitaran también de manera electrónica.</w:t>
      </w:r>
    </w:p>
  </w:footnote>
  <w:footnote w:id="8">
    <w:p w:rsidR="00D445ED" w:rsidRPr="00D445ED" w:rsidRDefault="00D445ED">
      <w:pPr>
        <w:pStyle w:val="Textonotapie"/>
      </w:pPr>
      <w:r>
        <w:rPr>
          <w:rStyle w:val="Refdenotaalpie"/>
        </w:rPr>
        <w:footnoteRef/>
      </w:r>
      <w:r>
        <w:t xml:space="preserve"> </w:t>
      </w:r>
      <w:r w:rsidR="009C7BCB">
        <w:t xml:space="preserve">El legajo digital fue </w:t>
      </w:r>
      <w:r w:rsidR="004D0619">
        <w:t>implementado</w:t>
      </w:r>
      <w:r w:rsidR="009C7BCB">
        <w:t xml:space="preserve"> por </w:t>
      </w:r>
      <w:r>
        <w:t>Resolución n</w:t>
      </w:r>
      <w:r>
        <w:sym w:font="Symbol" w:char="F0B0"/>
      </w:r>
      <w:r>
        <w:t xml:space="preserve"> 55 de 18 de agosto de 2020</w:t>
      </w:r>
      <w:r w:rsidR="009C7BCB">
        <w:t xml:space="preserve">, del </w:t>
      </w:r>
      <w:r w:rsidR="00AD480D">
        <w:t xml:space="preserve">Ministro coordinador del </w:t>
      </w:r>
      <w:r w:rsidR="009C7BCB">
        <w:t>Fuero Pena</w:t>
      </w:r>
      <w:r w:rsidR="00AD480D">
        <w:t xml:space="preserve">l </w:t>
      </w:r>
      <w:r w:rsidR="009C7BCB">
        <w:t>de la Suprema Corte de Justicia de la Provincia.</w:t>
      </w:r>
    </w:p>
  </w:footnote>
  <w:footnote w:id="9">
    <w:p w:rsidR="0050774A" w:rsidRPr="0050774A" w:rsidRDefault="0050774A">
      <w:pPr>
        <w:pStyle w:val="Textonotapie"/>
      </w:pPr>
      <w:r>
        <w:rPr>
          <w:rStyle w:val="Refdenotaalpie"/>
        </w:rPr>
        <w:footnoteRef/>
      </w:r>
      <w:r>
        <w:t xml:space="preserve"> El Código Procesal Penal Federal fue aprobado </w:t>
      </w:r>
      <w:r w:rsidR="008307E2">
        <w:t>p</w:t>
      </w:r>
      <w:r w:rsidR="00AD480D">
        <w:t>or Ley n</w:t>
      </w:r>
      <w:r w:rsidR="00AD480D">
        <w:sym w:font="Symbol" w:char="F0B0"/>
      </w:r>
      <w:r w:rsidR="00AD480D">
        <w:t xml:space="preserve"> 27063</w:t>
      </w:r>
      <w:r w:rsidR="008307E2">
        <w:t>.</w:t>
      </w:r>
    </w:p>
  </w:footnote>
  <w:footnote w:id="10">
    <w:p w:rsidR="00915758" w:rsidRPr="00AE3828" w:rsidRDefault="00915758" w:rsidP="009062F4">
      <w:pPr>
        <w:pStyle w:val="Textonotapie"/>
      </w:pPr>
      <w:r>
        <w:rPr>
          <w:rStyle w:val="Refdenotaalpie"/>
        </w:rPr>
        <w:footnoteRef/>
      </w:r>
      <w:r>
        <w:t xml:space="preserve"> FERRAJOLI, Luigi, </w:t>
      </w:r>
      <w:r>
        <w:rPr>
          <w:i/>
          <w:iCs/>
        </w:rPr>
        <w:t xml:space="preserve">Derecho y Razón, Teoría del garantismo penal, </w:t>
      </w:r>
      <w:r w:rsidR="00AE3828">
        <w:t>8º ed., Ed. Trotta, Madrid, 2006, p.606.</w:t>
      </w:r>
    </w:p>
  </w:footnote>
  <w:footnote w:id="11">
    <w:p w:rsidR="002C3128" w:rsidRPr="00012C08" w:rsidRDefault="00012C08" w:rsidP="009062F4">
      <w:pPr>
        <w:pStyle w:val="Textonotapie"/>
      </w:pPr>
      <w:r>
        <w:rPr>
          <w:rStyle w:val="Refdenotaalpie"/>
        </w:rPr>
        <w:footnoteRef/>
      </w:r>
      <w:r>
        <w:t xml:space="preserve"> CAFFERATA NORES, José, “</w:t>
      </w:r>
      <w:r w:rsidR="009062F4">
        <w:t xml:space="preserve">El juicio penal digital. </w:t>
      </w:r>
      <w:r>
        <w:t xml:space="preserve">De los “estrados tribunalicios” a los “estrados cibernéticos”, </w:t>
      </w:r>
      <w:r w:rsidR="009062F4">
        <w:rPr>
          <w:i/>
          <w:iCs/>
        </w:rPr>
        <w:t xml:space="preserve">El debido proceso legal </w:t>
      </w:r>
      <w:r w:rsidR="009062F4">
        <w:t xml:space="preserve">(Dir. Ángela Ledesma), nº 10, </w:t>
      </w:r>
      <w:r w:rsidR="00D30BB6">
        <w:t>Ed. Hammurabi, Buenos Aires,</w:t>
      </w:r>
      <w:r w:rsidR="00AD5358">
        <w:t xml:space="preserve"> 2020, p.391.</w:t>
      </w:r>
    </w:p>
  </w:footnote>
  <w:footnote w:id="12">
    <w:p w:rsidR="00825A40" w:rsidRPr="00825A40" w:rsidRDefault="00825A40">
      <w:pPr>
        <w:pStyle w:val="Textonotapie"/>
      </w:pPr>
      <w:r>
        <w:rPr>
          <w:rStyle w:val="Refdenotaalpie"/>
        </w:rPr>
        <w:footnoteRef/>
      </w:r>
      <w:r>
        <w:t xml:space="preserve"> MAIER, Julio, </w:t>
      </w:r>
      <w:r w:rsidR="00686D6A">
        <w:rPr>
          <w:i/>
          <w:iCs/>
        </w:rPr>
        <w:t xml:space="preserve">Derecho Procesal Penal I. Fundamentos, </w:t>
      </w:r>
      <w:r w:rsidR="00686D6A">
        <w:t xml:space="preserve">2º edición, Ed. Del Puerto, Buenos Aires, 2004, </w:t>
      </w:r>
      <w:r>
        <w:t>p.661.</w:t>
      </w:r>
    </w:p>
  </w:footnote>
  <w:footnote w:id="13">
    <w:p w:rsidR="00C565E1" w:rsidRPr="00C565E1" w:rsidRDefault="00C565E1">
      <w:pPr>
        <w:pStyle w:val="Textonotapie"/>
      </w:pPr>
      <w:r>
        <w:rPr>
          <w:rStyle w:val="Refdenotaalpie"/>
        </w:rPr>
        <w:footnoteRef/>
      </w:r>
      <w:r>
        <w:t xml:space="preserve"> BOVINO, Alberto, </w:t>
      </w:r>
      <w:r>
        <w:rPr>
          <w:i/>
          <w:iCs/>
        </w:rPr>
        <w:t xml:space="preserve">Principios políticos del procedimiento penal, </w:t>
      </w:r>
      <w:r>
        <w:t>Ed. Del Puerto, Buenos Aires, 2005, p.72.</w:t>
      </w:r>
    </w:p>
  </w:footnote>
  <w:footnote w:id="14">
    <w:p w:rsidR="00C565E1" w:rsidRPr="00C565E1" w:rsidRDefault="00C565E1">
      <w:pPr>
        <w:pStyle w:val="Textonotapie"/>
      </w:pPr>
      <w:r>
        <w:rPr>
          <w:rStyle w:val="Refdenotaalpie"/>
        </w:rPr>
        <w:footnoteRef/>
      </w:r>
      <w:r>
        <w:t xml:space="preserve"> </w:t>
      </w:r>
      <w:r>
        <w:rPr>
          <w:i/>
          <w:iCs/>
        </w:rPr>
        <w:t xml:space="preserve">Ibídem, </w:t>
      </w:r>
      <w:r>
        <w:t>p.73.</w:t>
      </w:r>
    </w:p>
  </w:footnote>
  <w:footnote w:id="15">
    <w:p w:rsidR="00AA3CA6" w:rsidRPr="00AA3CA6" w:rsidRDefault="00AA3CA6" w:rsidP="009062F4">
      <w:pPr>
        <w:pStyle w:val="Textonotapie"/>
        <w:rPr>
          <w:lang w:val="es-ES"/>
        </w:rPr>
      </w:pPr>
      <w:r>
        <w:rPr>
          <w:rStyle w:val="Refdenotaalpie"/>
        </w:rPr>
        <w:footnoteRef/>
      </w:r>
      <w:r>
        <w:t xml:space="preserve"> </w:t>
      </w:r>
      <w:r>
        <w:rPr>
          <w:lang w:val="es-ES"/>
        </w:rPr>
        <w:t xml:space="preserve">BINDER, Alberto, </w:t>
      </w:r>
      <w:r>
        <w:rPr>
          <w:i/>
          <w:iCs/>
          <w:lang w:val="es-ES"/>
        </w:rPr>
        <w:t xml:space="preserve">Elogio de la audiencia oral y otros ensayos, </w:t>
      </w:r>
      <w:r>
        <w:rPr>
          <w:lang w:val="es-ES"/>
        </w:rPr>
        <w:t xml:space="preserve">Consejo de la Judicatura del Estado de Nuevo León, Monterrey, Nuevo León, México, </w:t>
      </w:r>
      <w:r w:rsidR="00D02366">
        <w:rPr>
          <w:lang w:val="es-ES"/>
        </w:rPr>
        <w:t>abril 2014, p. 29 y ss.</w:t>
      </w:r>
    </w:p>
  </w:footnote>
  <w:footnote w:id="16">
    <w:p w:rsidR="00773099" w:rsidRPr="00642FA0" w:rsidRDefault="00773099" w:rsidP="009062F4">
      <w:pPr>
        <w:pStyle w:val="Textonotapie"/>
        <w:rPr>
          <w:lang w:val="es-ES"/>
        </w:rPr>
      </w:pPr>
      <w:r>
        <w:rPr>
          <w:rStyle w:val="Refdenotaalpie"/>
        </w:rPr>
        <w:footnoteRef/>
      </w:r>
      <w:r>
        <w:t xml:space="preserve"> RUA, Gonzalo, </w:t>
      </w:r>
      <w:r>
        <w:rPr>
          <w:i/>
          <w:iCs/>
        </w:rPr>
        <w:t xml:space="preserve">Juicios orales virtuales en tiempos de pandemia, </w:t>
      </w:r>
      <w:hyperlink r:id="rId1" w:history="1">
        <w:r w:rsidR="00F2425B" w:rsidRPr="00985A86">
          <w:rPr>
            <w:rStyle w:val="Hipervnculo"/>
          </w:rPr>
          <w:t>https://sistemasjudiciales.org/wp-content/uploads/2021/10/14.-SJ24.-Rua.pdf</w:t>
        </w:r>
      </w:hyperlink>
      <w:r w:rsidR="00F2425B">
        <w:t xml:space="preserve"> (fecha de visita: marzo 2022).</w:t>
      </w:r>
    </w:p>
  </w:footnote>
  <w:footnote w:id="17">
    <w:p w:rsidR="00A246D0" w:rsidRPr="00A246D0" w:rsidRDefault="00A246D0" w:rsidP="009062F4">
      <w:pPr>
        <w:pStyle w:val="Textonotapie"/>
      </w:pPr>
      <w:r>
        <w:rPr>
          <w:rStyle w:val="Refdenotaalpie"/>
        </w:rPr>
        <w:footnoteRef/>
      </w:r>
      <w:r>
        <w:t xml:space="preserve"> LANGEVIN, Julián, </w:t>
      </w:r>
      <w:r>
        <w:rPr>
          <w:i/>
          <w:iCs/>
        </w:rPr>
        <w:t xml:space="preserve">Juicio penales «virtuales», </w:t>
      </w:r>
      <w:r>
        <w:t>Ed. Hammurabi, Buenos Aires, 2020, p.31 y ss.</w:t>
      </w:r>
    </w:p>
  </w:footnote>
  <w:footnote w:id="18">
    <w:p w:rsidR="0030088B" w:rsidRPr="001025C1" w:rsidRDefault="0030088B" w:rsidP="009062F4">
      <w:pPr>
        <w:pStyle w:val="Textonotapie"/>
        <w:rPr>
          <w:lang w:val="es-ES"/>
        </w:rPr>
      </w:pPr>
      <w:r>
        <w:rPr>
          <w:rStyle w:val="Refdenotaalpie"/>
        </w:rPr>
        <w:footnoteRef/>
      </w:r>
      <w:r>
        <w:t xml:space="preserve"> </w:t>
      </w:r>
      <w:r>
        <w:rPr>
          <w:lang w:val="es-ES"/>
        </w:rPr>
        <w:t>ABRALDES, Sandro, “Juicio oral virtual: hacia el oxímoron</w:t>
      </w:r>
      <w:r w:rsidR="001025C1">
        <w:rPr>
          <w:lang w:val="es-ES"/>
        </w:rPr>
        <w:t xml:space="preserve">”, </w:t>
      </w:r>
      <w:r w:rsidR="001025C1">
        <w:rPr>
          <w:i/>
          <w:iCs/>
          <w:lang w:val="es-ES"/>
        </w:rPr>
        <w:t>Revista de Derecho Procesal Penal, Crisis de legalidad en el proceso penal-II</w:t>
      </w:r>
      <w:r w:rsidR="001025C1">
        <w:rPr>
          <w:lang w:val="es-ES"/>
        </w:rPr>
        <w:t>, 2020-2, Ed. Rubinzal-Culzoni, Santa Fe, 2021, p.17 y ss.</w:t>
      </w:r>
    </w:p>
  </w:footnote>
  <w:footnote w:id="19">
    <w:p w:rsidR="00164AC5" w:rsidRPr="00164AC5" w:rsidRDefault="00164AC5">
      <w:pPr>
        <w:pStyle w:val="Textonotapie"/>
      </w:pPr>
      <w:r>
        <w:rPr>
          <w:rStyle w:val="Refdenotaalpie"/>
        </w:rPr>
        <w:footnoteRef/>
      </w:r>
      <w:r>
        <w:t xml:space="preserve"> RAE, </w:t>
      </w:r>
      <w:hyperlink r:id="rId2" w:history="1">
        <w:r w:rsidRPr="00A11791">
          <w:rPr>
            <w:rStyle w:val="Hipervnculo"/>
          </w:rPr>
          <w:t>https://dle.rae.es/presencia</w:t>
        </w:r>
      </w:hyperlink>
      <w:r>
        <w:t xml:space="preserve"> </w:t>
      </w:r>
    </w:p>
  </w:footnote>
  <w:footnote w:id="20">
    <w:p w:rsidR="00DF1F11" w:rsidRPr="00DF1F11" w:rsidRDefault="00DF1F11">
      <w:pPr>
        <w:pStyle w:val="Textonotapie"/>
      </w:pPr>
      <w:r>
        <w:rPr>
          <w:rStyle w:val="Refdenotaalpie"/>
        </w:rPr>
        <w:footnoteRef/>
      </w:r>
      <w:r>
        <w:t xml:space="preserve"> Esta opción sólo fue posible en la situación de emergencia porque por Decreto del Poder Ejecutivo   (DNU) 297/2020, el cual fue convalidado por el Congreso Nacional, expresamente se dispuso que las autoridades de los Poderes Judiciales de cada provincia debían regular el desplazamiento y las actividades necesarias para garantizar el servicio de Justicia resguardando, a su vez, la salud de las personas involucradas. </w:t>
      </w:r>
    </w:p>
  </w:footnote>
  <w:footnote w:id="21">
    <w:p w:rsidR="007115D2" w:rsidRPr="00DF1F11" w:rsidRDefault="007115D2">
      <w:pPr>
        <w:pStyle w:val="Textonotapie"/>
      </w:pPr>
      <w:r>
        <w:rPr>
          <w:rStyle w:val="Refdenotaalpie"/>
        </w:rPr>
        <w:footnoteRef/>
      </w:r>
      <w:r>
        <w:t xml:space="preserve"> </w:t>
      </w:r>
      <w:r w:rsidR="00DF1F11">
        <w:t xml:space="preserve">FERRAJOLI, Luigi, </w:t>
      </w:r>
      <w:r w:rsidR="00DF1F11">
        <w:rPr>
          <w:i/>
          <w:iCs/>
        </w:rPr>
        <w:t xml:space="preserve">Derecho y Razón…, </w:t>
      </w:r>
      <w:r w:rsidR="00DF1F11">
        <w:t>op.cit., p.606.</w:t>
      </w:r>
    </w:p>
  </w:footnote>
  <w:footnote w:id="22">
    <w:p w:rsidR="00833011" w:rsidRPr="00CC536F" w:rsidRDefault="00833011" w:rsidP="00833011">
      <w:pPr>
        <w:pStyle w:val="Textonotapie"/>
        <w:rPr>
          <w:lang w:val="es-AR"/>
        </w:rPr>
      </w:pPr>
      <w:r>
        <w:rPr>
          <w:rStyle w:val="Refdenotaalpie"/>
        </w:rPr>
        <w:footnoteRef/>
      </w:r>
      <w:r w:rsidRPr="00CC536F">
        <w:rPr>
          <w:lang w:val="es-AR"/>
        </w:rPr>
        <w:t xml:space="preserve"> CAFFERATA NORES, José,</w:t>
      </w:r>
      <w:r w:rsidRPr="00CC536F">
        <w:rPr>
          <w:lang w:val="es-ES"/>
        </w:rPr>
        <w:t xml:space="preserve"> </w:t>
      </w:r>
      <w:r>
        <w:rPr>
          <w:lang w:val="es-ES"/>
        </w:rPr>
        <w:t>“El juicio penal digital…”, op.cit., p.389. Es importante destacar que el autor publicó, con anterioridad al artículo que aquí se cita, en la página virtual de Academia Nacional de Derecho y Ciencias Sociales de Córdoba</w:t>
      </w:r>
      <w:r w:rsidRPr="00CC536F">
        <w:rPr>
          <w:lang w:val="es-AR"/>
        </w:rPr>
        <w:t xml:space="preserve"> </w:t>
      </w:r>
      <w:r>
        <w:rPr>
          <w:lang w:val="es-AR"/>
        </w:rPr>
        <w:t>un artículo titulado “De los estrados “tribunalicios” a los estrados “cibernéticos”: Covid 19 y el ciberjuicio” donde, en principio, no parece partidario de los juicios virtuales y afirma la necesidad de la presencia de todas las partes en el desarrollo del juicio oral. En el artículo que ahora cito si bien no toma posición deja planteada la necesidad de un debate integral, prudente, concienzudo e interdisciplinario para poder tomar una decisión frente al ciberjuicio.</w:t>
      </w:r>
    </w:p>
  </w:footnote>
  <w:footnote w:id="23">
    <w:p w:rsidR="0066475C" w:rsidRPr="0066475C" w:rsidRDefault="0066475C" w:rsidP="0066475C">
      <w:pPr>
        <w:pStyle w:val="Textonotapie"/>
        <w:rPr>
          <w:lang w:val="es-AR"/>
        </w:rPr>
      </w:pPr>
      <w:r>
        <w:rPr>
          <w:rStyle w:val="Refdenotaalpie"/>
        </w:rPr>
        <w:footnoteRef/>
      </w:r>
      <w:r w:rsidRPr="00B3108C">
        <w:rPr>
          <w:lang w:val="en-US"/>
        </w:rPr>
        <w:t xml:space="preserve"> </w:t>
      </w:r>
      <w:r>
        <w:rPr>
          <w:lang w:val="en-US"/>
        </w:rPr>
        <w:t xml:space="preserve">TOPE nº 3, CPE 1814/2017/TO2, “S. A. s/Inf. </w:t>
      </w:r>
      <w:r w:rsidRPr="0066475C">
        <w:rPr>
          <w:lang w:val="es-AR"/>
        </w:rPr>
        <w:t>Ley 22415”, 14/05/2021.</w:t>
      </w:r>
    </w:p>
  </w:footnote>
  <w:footnote w:id="24">
    <w:p w:rsidR="00AA6B59" w:rsidRPr="006519D0" w:rsidRDefault="00AA6B59">
      <w:pPr>
        <w:pStyle w:val="Textonotapie"/>
      </w:pPr>
      <w:r>
        <w:rPr>
          <w:rStyle w:val="Refdenotaalpie"/>
        </w:rPr>
        <w:footnoteRef/>
      </w:r>
      <w:r>
        <w:t xml:space="preserve"> VÉLEZ MARICONDE, Alfredo</w:t>
      </w:r>
      <w:r w:rsidR="006519D0">
        <w:t xml:space="preserve">, </w:t>
      </w:r>
      <w:r w:rsidR="006519D0">
        <w:rPr>
          <w:i/>
          <w:iCs/>
        </w:rPr>
        <w:t xml:space="preserve">Derecho Procesal Penal II, </w:t>
      </w:r>
      <w:r w:rsidR="006519D0">
        <w:t>3</w:t>
      </w:r>
      <w:r w:rsidR="006519D0">
        <w:sym w:font="Symbol" w:char="F0B0"/>
      </w:r>
      <w:r w:rsidR="006519D0">
        <w:t xml:space="preserve"> ed., Ed. Lerner, Córdoba, 1981, p.25.</w:t>
      </w:r>
    </w:p>
  </w:footnote>
  <w:footnote w:id="25">
    <w:p w:rsidR="00B47087" w:rsidRDefault="00B47087" w:rsidP="009062F4">
      <w:pPr>
        <w:pStyle w:val="Textonotapie"/>
        <w:rPr>
          <w:lang w:val="es-ES"/>
        </w:rPr>
      </w:pPr>
      <w:r>
        <w:rPr>
          <w:rStyle w:val="Refdenotaalpie"/>
        </w:rPr>
        <w:footnoteRef/>
      </w:r>
      <w:r>
        <w:t xml:space="preserve"> </w:t>
      </w:r>
      <w:r>
        <w:rPr>
          <w:lang w:val="es-ES"/>
        </w:rPr>
        <w:t>RICHARD GONZÁLEZ, Manuel, “Elogio del juicio oral (presencial) escrito por un profesor partidario del uso de la t</w:t>
      </w:r>
      <w:r w:rsidR="009F45E6">
        <w:rPr>
          <w:lang w:val="es-ES"/>
        </w:rPr>
        <w:t xml:space="preserve">ecnología en el sistema judicial”, </w:t>
      </w:r>
      <w:r w:rsidR="009F45E6">
        <w:rPr>
          <w:i/>
          <w:iCs/>
          <w:lang w:val="es-ES"/>
        </w:rPr>
        <w:t xml:space="preserve">Diario La Ley, </w:t>
      </w:r>
      <w:r w:rsidR="009F45E6">
        <w:rPr>
          <w:lang w:val="es-ES"/>
        </w:rPr>
        <w:t xml:space="preserve">09/06/2020, </w:t>
      </w:r>
      <w:hyperlink r:id="rId3" w:history="1">
        <w:r w:rsidR="009F45E6" w:rsidRPr="00985A86">
          <w:rPr>
            <w:rStyle w:val="Hipervnculo"/>
            <w:lang w:val="es-ES"/>
          </w:rPr>
          <w:t>https://diariolaley.laleynext.es</w:t>
        </w:r>
      </w:hyperlink>
    </w:p>
    <w:p w:rsidR="009F45E6" w:rsidRPr="009F45E6" w:rsidRDefault="009F45E6" w:rsidP="009062F4">
      <w:pPr>
        <w:pStyle w:val="Textonotapie"/>
        <w:rPr>
          <w:lang w:val="es-ES"/>
        </w:rPr>
      </w:pPr>
      <w:r>
        <w:rPr>
          <w:lang w:val="es-ES"/>
        </w:rPr>
        <w:t>(fecha de visita: marzo de 2022).</w:t>
      </w:r>
    </w:p>
  </w:footnote>
  <w:footnote w:id="26">
    <w:p w:rsidR="00A84CE0" w:rsidRPr="00A84CE0" w:rsidRDefault="00A84CE0">
      <w:pPr>
        <w:pStyle w:val="Textonotapie"/>
        <w:rPr>
          <w:i/>
          <w:iCs/>
        </w:rPr>
      </w:pPr>
      <w:r>
        <w:rPr>
          <w:rStyle w:val="Refdenotaalpie"/>
        </w:rPr>
        <w:footnoteRef/>
      </w:r>
      <w:r>
        <w:rPr>
          <w:rStyle w:val="Refdenotaalpie"/>
        </w:rPr>
        <w:t xml:space="preserve"> </w:t>
      </w:r>
      <w:r>
        <w:t xml:space="preserve"> </w:t>
      </w:r>
      <w:r>
        <w:rPr>
          <w:i/>
          <w:iCs/>
        </w:rPr>
        <w:t>Ibídem.</w:t>
      </w:r>
    </w:p>
  </w:footnote>
  <w:footnote w:id="27">
    <w:p w:rsidR="00053917" w:rsidRPr="00053917" w:rsidRDefault="005B2CCC">
      <w:pPr>
        <w:pStyle w:val="Textonotapie"/>
      </w:pPr>
      <w:r>
        <w:rPr>
          <w:rStyle w:val="Refdenotaalpie"/>
        </w:rPr>
        <w:footnoteRef/>
      </w:r>
      <w:r w:rsidRPr="005B2CCC">
        <w:rPr>
          <w:lang w:val="es-AR"/>
        </w:rPr>
        <w:t xml:space="preserve"> COUSSIRAT, Jorge, GUAJARDO, Laura, PEÑALOZA, F</w:t>
      </w:r>
      <w:r>
        <w:rPr>
          <w:lang w:val="es-AR"/>
        </w:rPr>
        <w:t xml:space="preserve">ernando, QUIROGA, María Paula, </w:t>
      </w:r>
      <w:r>
        <w:rPr>
          <w:i/>
          <w:iCs/>
          <w:lang w:val="es-AR"/>
        </w:rPr>
        <w:t xml:space="preserve">Manual de Derecho Procesal Penal, </w:t>
      </w:r>
      <w:r>
        <w:rPr>
          <w:lang w:val="es-AR"/>
        </w:rPr>
        <w:t>Ed. Jurídicas Cuyo, Mendoza, 2008, Tomo I, p.132</w:t>
      </w:r>
      <w:r w:rsidR="00053917">
        <w:t>.</w:t>
      </w:r>
    </w:p>
  </w:footnote>
  <w:footnote w:id="28">
    <w:p w:rsidR="00053917" w:rsidRPr="00570EA9" w:rsidRDefault="00053917">
      <w:pPr>
        <w:pStyle w:val="Textonotapie"/>
      </w:pPr>
      <w:r>
        <w:rPr>
          <w:rStyle w:val="Refdenotaalpie"/>
        </w:rPr>
        <w:footnoteRef/>
      </w:r>
      <w:r>
        <w:t xml:space="preserve"> BOVINO, Alberto, BERTELOTTI, Mariano, “La oralidad en el procedimiento penal”, </w:t>
      </w:r>
      <w:r>
        <w:rPr>
          <w:i/>
          <w:iCs/>
        </w:rPr>
        <w:t xml:space="preserve">El debido proceso legal </w:t>
      </w:r>
      <w:r>
        <w:t>(Dir. Ángela Ledesma), nº 3, Ed. Hammurabi, Buenos Aires, 2016, p.89.</w:t>
      </w:r>
    </w:p>
  </w:footnote>
  <w:footnote w:id="29">
    <w:p w:rsidR="005B2CCC" w:rsidRPr="002902BF" w:rsidRDefault="005B2CCC" w:rsidP="005B2CCC">
      <w:pPr>
        <w:pStyle w:val="Textonotapie"/>
        <w:rPr>
          <w:lang w:val="es-ES"/>
        </w:rPr>
      </w:pPr>
      <w:r>
        <w:rPr>
          <w:rStyle w:val="Refdenotaalpie"/>
        </w:rPr>
        <w:footnoteRef/>
      </w:r>
      <w:r>
        <w:t xml:space="preserve"> </w:t>
      </w:r>
      <w:r>
        <w:rPr>
          <w:lang w:val="es-ES"/>
        </w:rPr>
        <w:t xml:space="preserve">LANGEVIN, Julián, </w:t>
      </w:r>
      <w:r>
        <w:rPr>
          <w:i/>
          <w:iCs/>
          <w:lang w:val="es-ES"/>
        </w:rPr>
        <w:t xml:space="preserve">Juicios penales…, </w:t>
      </w:r>
      <w:r>
        <w:rPr>
          <w:lang w:val="es-ES"/>
        </w:rPr>
        <w:t>op.cit., p.157 y ss.</w:t>
      </w:r>
    </w:p>
  </w:footnote>
  <w:footnote w:id="30">
    <w:p w:rsidR="00E42910" w:rsidRPr="00407161" w:rsidRDefault="00E42910">
      <w:pPr>
        <w:pStyle w:val="Textonotapie"/>
      </w:pPr>
      <w:r>
        <w:rPr>
          <w:rStyle w:val="Refdenotaalpie"/>
        </w:rPr>
        <w:footnoteRef/>
      </w:r>
      <w:r>
        <w:t xml:space="preserve"> </w:t>
      </w:r>
      <w:r w:rsidR="00407161">
        <w:t xml:space="preserve">Corte IDH, caso “Fontevecchia y D´Amico </w:t>
      </w:r>
      <w:r w:rsidR="00407161">
        <w:rPr>
          <w:i/>
          <w:iCs/>
        </w:rPr>
        <w:t xml:space="preserve">vs </w:t>
      </w:r>
      <w:r w:rsidR="00407161">
        <w:t>Argentina”, Sentencia de 29 de noviembre de 2011, párr.67.</w:t>
      </w:r>
    </w:p>
  </w:footnote>
  <w:footnote w:id="31">
    <w:p w:rsidR="009E52CB" w:rsidRPr="009E52CB" w:rsidRDefault="009E52CB">
      <w:pPr>
        <w:pStyle w:val="Textonotapie"/>
      </w:pPr>
      <w:r>
        <w:rPr>
          <w:rStyle w:val="Refdenotaalpie"/>
        </w:rPr>
        <w:footnoteRef/>
      </w:r>
      <w:r>
        <w:t xml:space="preserve"> Ley n</w:t>
      </w:r>
      <w:r>
        <w:sym w:font="Symbol" w:char="F0B0"/>
      </w:r>
      <w:r>
        <w:t xml:space="preserve"> 25.326</w:t>
      </w:r>
      <w:r w:rsidR="001D7442">
        <w:t xml:space="preserve"> de</w:t>
      </w:r>
      <w:r>
        <w:t xml:space="preserve"> Protección de Datos Personales</w:t>
      </w:r>
      <w:r w:rsidR="001D7442">
        <w:t>. En igual sentido, la Directiva Europea 95/46/</w:t>
      </w:r>
      <w:r w:rsidR="00F50E10">
        <w:t>CE referida al tratamiento de datos personales, considera también como dato a la imagen personal.</w:t>
      </w:r>
    </w:p>
  </w:footnote>
  <w:footnote w:id="32">
    <w:p w:rsidR="00FE1605" w:rsidRPr="00A13AC2" w:rsidRDefault="00FE1605" w:rsidP="00FE1605">
      <w:pPr>
        <w:pStyle w:val="Textonotapie"/>
        <w:rPr>
          <w:lang w:val="es-ES"/>
        </w:rPr>
      </w:pPr>
      <w:r>
        <w:rPr>
          <w:rStyle w:val="Refdenotaalpie"/>
        </w:rPr>
        <w:footnoteRef/>
      </w:r>
      <w:r>
        <w:t xml:space="preserve"> </w:t>
      </w:r>
      <w:r>
        <w:rPr>
          <w:lang w:val="es-ES"/>
        </w:rPr>
        <w:t xml:space="preserve">LANGEVIN, Julián, </w:t>
      </w:r>
      <w:r>
        <w:rPr>
          <w:i/>
          <w:iCs/>
          <w:lang w:val="es-ES"/>
        </w:rPr>
        <w:t xml:space="preserve">Juicios penales…, </w:t>
      </w:r>
      <w:r>
        <w:rPr>
          <w:lang w:val="es-ES"/>
        </w:rPr>
        <w:t>op.cit., p.177.</w:t>
      </w:r>
    </w:p>
  </w:footnote>
  <w:footnote w:id="33">
    <w:p w:rsidR="00DD5815" w:rsidRPr="00F3257C" w:rsidRDefault="00DD5815" w:rsidP="00DD5815">
      <w:pPr>
        <w:pStyle w:val="Textonotapie"/>
        <w:rPr>
          <w:lang w:val="es-ES"/>
        </w:rPr>
      </w:pPr>
      <w:r>
        <w:rPr>
          <w:rStyle w:val="Refdenotaalpie"/>
        </w:rPr>
        <w:footnoteRef/>
      </w:r>
      <w:r>
        <w:t xml:space="preserve"> </w:t>
      </w:r>
      <w:r>
        <w:rPr>
          <w:lang w:val="es-ES"/>
        </w:rPr>
        <w:t>CAFFERATA NORES, José, “El juicio penal digital…”, op.cit., p.392.</w:t>
      </w:r>
    </w:p>
  </w:footnote>
  <w:footnote w:id="34">
    <w:p w:rsidR="00DE2F1B" w:rsidRPr="00DE2F1B" w:rsidRDefault="00DE2F1B" w:rsidP="009062F4">
      <w:pPr>
        <w:pStyle w:val="Textonotapie"/>
        <w:rPr>
          <w:lang w:val="es-ES"/>
        </w:rPr>
      </w:pPr>
      <w:r>
        <w:rPr>
          <w:rStyle w:val="Refdenotaalpie"/>
        </w:rPr>
        <w:footnoteRef/>
      </w:r>
      <w:r>
        <w:t xml:space="preserve"> </w:t>
      </w:r>
      <w:r>
        <w:rPr>
          <w:lang w:val="es-ES"/>
        </w:rPr>
        <w:t xml:space="preserve">LANGEVIN, Julián, </w:t>
      </w:r>
      <w:r>
        <w:rPr>
          <w:i/>
          <w:iCs/>
          <w:lang w:val="es-ES"/>
        </w:rPr>
        <w:t xml:space="preserve">Juicios penales…, </w:t>
      </w:r>
      <w:r>
        <w:rPr>
          <w:lang w:val="es-ES"/>
        </w:rPr>
        <w:t>op.cit. p.79.</w:t>
      </w:r>
    </w:p>
  </w:footnote>
  <w:footnote w:id="35">
    <w:p w:rsidR="00ED2B13" w:rsidRPr="00ED2B13" w:rsidRDefault="00ED2B13" w:rsidP="00ED2B13">
      <w:pPr>
        <w:pStyle w:val="Textonotapie"/>
        <w:rPr>
          <w:lang w:val="es-AR"/>
        </w:rPr>
      </w:pPr>
      <w:r>
        <w:rPr>
          <w:rStyle w:val="Refdenotaalpie"/>
        </w:rPr>
        <w:footnoteRef/>
      </w:r>
      <w:r w:rsidRPr="00F65D41">
        <w:rPr>
          <w:lang w:val="en-US"/>
        </w:rPr>
        <w:t xml:space="preserve"> </w:t>
      </w:r>
      <w:r>
        <w:rPr>
          <w:lang w:val="en-US"/>
        </w:rPr>
        <w:t xml:space="preserve">TOPE nº 3, CPE 1814/2017/TO2, “S. A. s/Inf. </w:t>
      </w:r>
      <w:r w:rsidRPr="00ED2B13">
        <w:rPr>
          <w:lang w:val="es-AR"/>
        </w:rPr>
        <w:t>Ley 22415”, 14/05/2021.</w:t>
      </w:r>
    </w:p>
  </w:footnote>
  <w:footnote w:id="36">
    <w:p w:rsidR="00B85983" w:rsidRPr="00B85983" w:rsidRDefault="00B85983">
      <w:pPr>
        <w:pStyle w:val="Textonotapie"/>
      </w:pPr>
      <w:r>
        <w:rPr>
          <w:rStyle w:val="Refdenotaalpie"/>
        </w:rPr>
        <w:footnoteRef/>
      </w:r>
      <w:r>
        <w:t xml:space="preserve"> LANGEVIN, Julíán, “El derecho del imputado…”, op.cit, p.263.</w:t>
      </w:r>
    </w:p>
  </w:footnote>
  <w:footnote w:id="37">
    <w:p w:rsidR="00B75F6D" w:rsidRPr="00B75F6D" w:rsidRDefault="00B75F6D">
      <w:pPr>
        <w:pStyle w:val="Textonotapie"/>
      </w:pPr>
      <w:r>
        <w:rPr>
          <w:rStyle w:val="Refdenotaalpie"/>
        </w:rPr>
        <w:footnoteRef/>
      </w:r>
      <w:r>
        <w:t xml:space="preserve"> TEDH, “Colozza vs. Italia”, Sentencia del 12 de febrero de 1985, párr.27.</w:t>
      </w:r>
    </w:p>
  </w:footnote>
  <w:footnote w:id="38">
    <w:p w:rsidR="00570EA9" w:rsidRPr="00570EA9" w:rsidRDefault="00570EA9">
      <w:pPr>
        <w:pStyle w:val="Textonotapie"/>
        <w:rPr>
          <w:lang w:val="es-ES"/>
        </w:rPr>
      </w:pPr>
      <w:r>
        <w:rPr>
          <w:rStyle w:val="Refdenotaalpie"/>
        </w:rPr>
        <w:footnoteRef/>
      </w:r>
      <w:r>
        <w:t xml:space="preserve"> CAFFERATA NORES, José, </w:t>
      </w:r>
      <w:r>
        <w:rPr>
          <w:lang w:val="es-ES"/>
        </w:rPr>
        <w:t>“El juicio penal digital…”, op.cit., p.392.</w:t>
      </w:r>
    </w:p>
  </w:footnote>
  <w:footnote w:id="39">
    <w:p w:rsidR="00876D51" w:rsidRPr="00876D51" w:rsidRDefault="00876D51" w:rsidP="009062F4">
      <w:pPr>
        <w:pStyle w:val="Textonotapie"/>
        <w:rPr>
          <w:lang w:val="es-ES"/>
        </w:rPr>
      </w:pPr>
      <w:r>
        <w:rPr>
          <w:rStyle w:val="Refdenotaalpie"/>
        </w:rPr>
        <w:footnoteRef/>
      </w:r>
      <w:r>
        <w:t xml:space="preserve"> </w:t>
      </w:r>
      <w:r>
        <w:rPr>
          <w:lang w:val="es-ES"/>
        </w:rPr>
        <w:t>ABRALDES, Sandro, “Juicio oral…, op.cit., p.26.</w:t>
      </w:r>
    </w:p>
  </w:footnote>
  <w:footnote w:id="40">
    <w:p w:rsidR="00FF04E7" w:rsidRPr="00FF04E7" w:rsidRDefault="00FF04E7" w:rsidP="009062F4">
      <w:pPr>
        <w:pStyle w:val="Textonotapie"/>
        <w:rPr>
          <w:lang w:val="es-ES"/>
        </w:rPr>
      </w:pPr>
      <w:r>
        <w:rPr>
          <w:rStyle w:val="Refdenotaalpie"/>
        </w:rPr>
        <w:footnoteRef/>
      </w:r>
      <w:r>
        <w:t xml:space="preserve"> </w:t>
      </w:r>
      <w:r>
        <w:rPr>
          <w:lang w:val="es-ES"/>
        </w:rPr>
        <w:t xml:space="preserve">BINDER, Alberto, </w:t>
      </w:r>
      <w:r>
        <w:rPr>
          <w:i/>
          <w:iCs/>
          <w:lang w:val="es-ES"/>
        </w:rPr>
        <w:t xml:space="preserve">Elogio de la audiencia oral…, </w:t>
      </w:r>
      <w:r>
        <w:rPr>
          <w:lang w:val="es-ES"/>
        </w:rPr>
        <w:t>op.cit. p.37 y ss.</w:t>
      </w:r>
    </w:p>
  </w:footnote>
  <w:footnote w:id="41">
    <w:p w:rsidR="00FA3961" w:rsidRPr="00FA3961" w:rsidRDefault="00FA3961">
      <w:pPr>
        <w:pStyle w:val="Textonotapie"/>
      </w:pPr>
      <w:r>
        <w:rPr>
          <w:rStyle w:val="Refdenotaalpie"/>
        </w:rPr>
        <w:footnoteRef/>
      </w:r>
      <w:r>
        <w:t xml:space="preserve"> VÉLEZ MARICONDE, Alfredo, </w:t>
      </w:r>
      <w:r>
        <w:rPr>
          <w:i/>
          <w:iCs/>
        </w:rPr>
        <w:t xml:space="preserve">Derecho Procesal…, </w:t>
      </w:r>
      <w:r>
        <w:t>op.cit., p.28.</w:t>
      </w:r>
    </w:p>
  </w:footnote>
  <w:footnote w:id="42">
    <w:p w:rsidR="00D31F3A" w:rsidRPr="00D31F3A" w:rsidRDefault="00D31F3A">
      <w:pPr>
        <w:pStyle w:val="Textonotapie"/>
        <w:rPr>
          <w:lang w:val="es-ES"/>
        </w:rPr>
      </w:pPr>
      <w:r>
        <w:rPr>
          <w:rStyle w:val="Refdenotaalpie"/>
        </w:rPr>
        <w:footnoteRef/>
      </w:r>
      <w:r>
        <w:t xml:space="preserve"> </w:t>
      </w:r>
      <w:r>
        <w:rPr>
          <w:lang w:val="es-ES"/>
        </w:rPr>
        <w:t>RUA, Gonzalo, “Juicios orales…”, op.cit., p.1</w:t>
      </w:r>
    </w:p>
  </w:footnote>
  <w:footnote w:id="43">
    <w:p w:rsidR="002032F8" w:rsidRPr="002032F8" w:rsidRDefault="002032F8">
      <w:pPr>
        <w:pStyle w:val="Textonotapie"/>
        <w:rPr>
          <w:lang w:val="es-ES"/>
        </w:rPr>
      </w:pPr>
      <w:r>
        <w:rPr>
          <w:rStyle w:val="Refdenotaalpie"/>
        </w:rPr>
        <w:footnoteRef/>
      </w:r>
      <w:r>
        <w:t xml:space="preserve"> </w:t>
      </w:r>
      <w:r>
        <w:rPr>
          <w:lang w:val="es-ES"/>
        </w:rPr>
        <w:t>CAFFERATA NORES, José, “El juicio penal…”</w:t>
      </w:r>
      <w:r w:rsidR="00665AB7">
        <w:rPr>
          <w:lang w:val="es-ES"/>
        </w:rPr>
        <w:t>, ob.cit., p.386.</w:t>
      </w:r>
    </w:p>
  </w:footnote>
  <w:footnote w:id="44">
    <w:p w:rsidR="005307E6" w:rsidRPr="005307E6" w:rsidRDefault="005307E6">
      <w:pPr>
        <w:pStyle w:val="Textonotapie"/>
        <w:rPr>
          <w:lang w:val="es-ES"/>
        </w:rPr>
      </w:pPr>
      <w:r>
        <w:rPr>
          <w:rStyle w:val="Refdenotaalpie"/>
        </w:rPr>
        <w:footnoteRef/>
      </w:r>
      <w:r>
        <w:t xml:space="preserve"> MORILLO-GUGLIELMI, Gisela, “La utilización de nuevas tecnologías en la investigación penal preparatoria”, </w:t>
      </w:r>
      <w:r w:rsidR="00D33FC7">
        <w:rPr>
          <w:i/>
          <w:iCs/>
          <w:lang w:val="es-ES"/>
        </w:rPr>
        <w:t>Revista de Derecho Procesal Penal, Crisis de legalidad en el proceso penal-II</w:t>
      </w:r>
      <w:r w:rsidR="00D33FC7">
        <w:rPr>
          <w:lang w:val="es-ES"/>
        </w:rPr>
        <w:t>, 2020-2, Ed. Rubinzal-Culzoni, Santa Fe, 2021, p.103.</w:t>
      </w:r>
    </w:p>
  </w:footnote>
  <w:footnote w:id="45">
    <w:p w:rsidR="00762D3A" w:rsidRPr="00762D3A" w:rsidRDefault="00762D3A" w:rsidP="004830BA">
      <w:pPr>
        <w:pStyle w:val="Textonotapie"/>
        <w:tabs>
          <w:tab w:val="left" w:pos="426"/>
        </w:tabs>
        <w:rPr>
          <w:lang w:val="es-ES"/>
        </w:rPr>
      </w:pPr>
      <w:r>
        <w:rPr>
          <w:rStyle w:val="Refdenotaalpie"/>
        </w:rPr>
        <w:footnoteRef/>
      </w:r>
      <w:r>
        <w:t xml:space="preserve"> </w:t>
      </w:r>
      <w:r>
        <w:rPr>
          <w:lang w:val="es-ES"/>
        </w:rPr>
        <w:t>RICHARD GONZÁLEZ, Manuel, “Elogio del juicio oral…”, op.cit., p.</w:t>
      </w:r>
      <w:r w:rsidR="004830BA">
        <w:rPr>
          <w:lang w:val="es-ES"/>
        </w:rPr>
        <w:t>14.</w:t>
      </w:r>
    </w:p>
  </w:footnote>
  <w:footnote w:id="46">
    <w:p w:rsidR="00DF51A7" w:rsidRPr="00D20C6F" w:rsidRDefault="00DF51A7" w:rsidP="00DF51A7">
      <w:pPr>
        <w:pStyle w:val="Textonotapie"/>
        <w:rPr>
          <w:lang w:val="es-ES"/>
        </w:rPr>
      </w:pPr>
      <w:r>
        <w:rPr>
          <w:rStyle w:val="Refdenotaalpie"/>
        </w:rPr>
        <w:footnoteRef/>
      </w:r>
      <w:r>
        <w:t xml:space="preserve"> A</w:t>
      </w:r>
      <w:r w:rsidR="00522860">
        <w:t xml:space="preserve">BRALDES, Sandro, “Juicio oral virtual…”, op.cit., p.25 y ss. </w:t>
      </w:r>
    </w:p>
  </w:footnote>
  <w:footnote w:id="47">
    <w:p w:rsidR="00874F51" w:rsidRPr="00874F51" w:rsidRDefault="00874F51">
      <w:pPr>
        <w:pStyle w:val="Textonotapie"/>
        <w:rPr>
          <w:lang w:val="es-ES"/>
        </w:rPr>
      </w:pPr>
      <w:r>
        <w:rPr>
          <w:rStyle w:val="Refdenotaalpie"/>
        </w:rPr>
        <w:footnoteRef/>
      </w:r>
      <w:r>
        <w:t xml:space="preserve"> </w:t>
      </w:r>
      <w:r>
        <w:rPr>
          <w:lang w:val="es-ES"/>
        </w:rPr>
        <w:t>Conclusiones “Acceso a la Justicia: aprovechar las oportunidades de la digitalización”, 11599/20 Consejo de la Unión Europea, 8 de octubre de 2020, par. 17.</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80AA9EC6"/>
    <w:lvl w:ilvl="0">
      <w:start w:val="29"/>
      <w:numFmt w:val="decimal"/>
      <w:lvlText w:val="%1."/>
      <w:lvlJc w:val="left"/>
      <w:pPr>
        <w:tabs>
          <w:tab w:val="num" w:pos="0"/>
        </w:tabs>
        <w:ind w:left="0" w:firstLine="0"/>
      </w:pPr>
      <w:rPr>
        <w:rFonts w:ascii="Verdana" w:hAnsi="Verdana" w:hint="default"/>
        <w:b w:val="0"/>
        <w:i w:val="0"/>
        <w:strike w:val="0"/>
        <w:color w:val="000000"/>
        <w:position w:val="0"/>
        <w:sz w:val="20"/>
        <w:szCs w:val="20"/>
      </w:rPr>
    </w:lvl>
    <w:lvl w:ilvl="1">
      <w:start w:val="1"/>
      <w:numFmt w:val="lowerLetter"/>
      <w:lvlText w:val="%2."/>
      <w:lvlJc w:val="left"/>
      <w:pPr>
        <w:tabs>
          <w:tab w:val="num" w:pos="360"/>
        </w:tabs>
        <w:ind w:left="360" w:firstLine="1080"/>
      </w:pPr>
      <w:rPr>
        <w:rFonts w:hint="default"/>
        <w:color w:val="000000"/>
        <w:position w:val="0"/>
        <w:sz w:val="16"/>
      </w:rPr>
    </w:lvl>
    <w:lvl w:ilvl="2">
      <w:start w:val="1"/>
      <w:numFmt w:val="lowerRoman"/>
      <w:lvlText w:val="%3."/>
      <w:lvlJc w:val="left"/>
      <w:pPr>
        <w:tabs>
          <w:tab w:val="num" w:pos="300"/>
        </w:tabs>
        <w:ind w:left="300" w:firstLine="1860"/>
      </w:pPr>
      <w:rPr>
        <w:rFonts w:hint="default"/>
        <w:color w:val="000000"/>
        <w:position w:val="0"/>
        <w:sz w:val="16"/>
      </w:rPr>
    </w:lvl>
    <w:lvl w:ilvl="3">
      <w:start w:val="1"/>
      <w:numFmt w:val="decimal"/>
      <w:isLgl/>
      <w:lvlText w:val="%4."/>
      <w:lvlJc w:val="left"/>
      <w:pPr>
        <w:tabs>
          <w:tab w:val="num" w:pos="360"/>
        </w:tabs>
        <w:ind w:left="360" w:firstLine="2520"/>
      </w:pPr>
      <w:rPr>
        <w:rFonts w:hint="default"/>
        <w:color w:val="000000"/>
        <w:position w:val="0"/>
        <w:sz w:val="16"/>
      </w:rPr>
    </w:lvl>
    <w:lvl w:ilvl="4">
      <w:start w:val="1"/>
      <w:numFmt w:val="lowerLetter"/>
      <w:lvlText w:val="%5."/>
      <w:lvlJc w:val="left"/>
      <w:pPr>
        <w:tabs>
          <w:tab w:val="num" w:pos="360"/>
        </w:tabs>
        <w:ind w:left="360" w:firstLine="3240"/>
      </w:pPr>
      <w:rPr>
        <w:rFonts w:hint="default"/>
        <w:color w:val="000000"/>
        <w:position w:val="0"/>
        <w:sz w:val="16"/>
      </w:rPr>
    </w:lvl>
    <w:lvl w:ilvl="5">
      <w:start w:val="1"/>
      <w:numFmt w:val="lowerRoman"/>
      <w:lvlText w:val="%6."/>
      <w:lvlJc w:val="left"/>
      <w:pPr>
        <w:tabs>
          <w:tab w:val="num" w:pos="300"/>
        </w:tabs>
        <w:ind w:left="300" w:firstLine="4020"/>
      </w:pPr>
      <w:rPr>
        <w:rFonts w:hint="default"/>
        <w:color w:val="000000"/>
        <w:position w:val="0"/>
        <w:sz w:val="16"/>
      </w:rPr>
    </w:lvl>
    <w:lvl w:ilvl="6">
      <w:start w:val="1"/>
      <w:numFmt w:val="decimal"/>
      <w:isLgl/>
      <w:lvlText w:val="%7."/>
      <w:lvlJc w:val="left"/>
      <w:pPr>
        <w:tabs>
          <w:tab w:val="num" w:pos="360"/>
        </w:tabs>
        <w:ind w:left="360" w:firstLine="4680"/>
      </w:pPr>
      <w:rPr>
        <w:rFonts w:hint="default"/>
        <w:color w:val="000000"/>
        <w:position w:val="0"/>
        <w:sz w:val="16"/>
      </w:rPr>
    </w:lvl>
    <w:lvl w:ilvl="7">
      <w:start w:val="1"/>
      <w:numFmt w:val="lowerLetter"/>
      <w:lvlText w:val="%8."/>
      <w:lvlJc w:val="left"/>
      <w:pPr>
        <w:tabs>
          <w:tab w:val="num" w:pos="360"/>
        </w:tabs>
        <w:ind w:left="360" w:firstLine="5400"/>
      </w:pPr>
      <w:rPr>
        <w:rFonts w:hint="default"/>
        <w:color w:val="000000"/>
        <w:position w:val="0"/>
        <w:sz w:val="16"/>
      </w:rPr>
    </w:lvl>
    <w:lvl w:ilvl="8">
      <w:start w:val="1"/>
      <w:numFmt w:val="lowerRoman"/>
      <w:lvlText w:val="%9."/>
      <w:lvlJc w:val="left"/>
      <w:pPr>
        <w:tabs>
          <w:tab w:val="num" w:pos="300"/>
        </w:tabs>
        <w:ind w:left="300" w:firstLine="6180"/>
      </w:pPr>
      <w:rPr>
        <w:rFonts w:hint="default"/>
        <w:color w:val="000000"/>
        <w:position w:val="0"/>
        <w:sz w:val="16"/>
      </w:rPr>
    </w:lvl>
  </w:abstractNum>
  <w:abstractNum w:abstractNumId="1" w15:restartNumberingAfterBreak="0">
    <w:nsid w:val="08DF70BE"/>
    <w:multiLevelType w:val="hybridMultilevel"/>
    <w:tmpl w:val="F6DCFE34"/>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0ED24FCF"/>
    <w:multiLevelType w:val="hybridMultilevel"/>
    <w:tmpl w:val="D84671A0"/>
    <w:lvl w:ilvl="0" w:tplc="147C55B0">
      <w:start w:val="1"/>
      <w:numFmt w:val="decimal"/>
      <w:lvlText w:val="%1."/>
      <w:lvlJc w:val="left"/>
      <w:pPr>
        <w:ind w:left="1060" w:hanging="360"/>
      </w:pPr>
      <w:rPr>
        <w:rFonts w:hint="default"/>
      </w:rPr>
    </w:lvl>
    <w:lvl w:ilvl="1" w:tplc="040A0019" w:tentative="1">
      <w:start w:val="1"/>
      <w:numFmt w:val="lowerLetter"/>
      <w:lvlText w:val="%2."/>
      <w:lvlJc w:val="left"/>
      <w:pPr>
        <w:ind w:left="1780" w:hanging="360"/>
      </w:pPr>
    </w:lvl>
    <w:lvl w:ilvl="2" w:tplc="040A001B" w:tentative="1">
      <w:start w:val="1"/>
      <w:numFmt w:val="lowerRoman"/>
      <w:lvlText w:val="%3."/>
      <w:lvlJc w:val="right"/>
      <w:pPr>
        <w:ind w:left="2500" w:hanging="180"/>
      </w:pPr>
    </w:lvl>
    <w:lvl w:ilvl="3" w:tplc="040A000F" w:tentative="1">
      <w:start w:val="1"/>
      <w:numFmt w:val="decimal"/>
      <w:lvlText w:val="%4."/>
      <w:lvlJc w:val="left"/>
      <w:pPr>
        <w:ind w:left="3220" w:hanging="360"/>
      </w:pPr>
    </w:lvl>
    <w:lvl w:ilvl="4" w:tplc="040A0019" w:tentative="1">
      <w:start w:val="1"/>
      <w:numFmt w:val="lowerLetter"/>
      <w:lvlText w:val="%5."/>
      <w:lvlJc w:val="left"/>
      <w:pPr>
        <w:ind w:left="3940" w:hanging="360"/>
      </w:pPr>
    </w:lvl>
    <w:lvl w:ilvl="5" w:tplc="040A001B" w:tentative="1">
      <w:start w:val="1"/>
      <w:numFmt w:val="lowerRoman"/>
      <w:lvlText w:val="%6."/>
      <w:lvlJc w:val="right"/>
      <w:pPr>
        <w:ind w:left="4660" w:hanging="180"/>
      </w:pPr>
    </w:lvl>
    <w:lvl w:ilvl="6" w:tplc="040A000F" w:tentative="1">
      <w:start w:val="1"/>
      <w:numFmt w:val="decimal"/>
      <w:lvlText w:val="%7."/>
      <w:lvlJc w:val="left"/>
      <w:pPr>
        <w:ind w:left="5380" w:hanging="360"/>
      </w:pPr>
    </w:lvl>
    <w:lvl w:ilvl="7" w:tplc="040A0019" w:tentative="1">
      <w:start w:val="1"/>
      <w:numFmt w:val="lowerLetter"/>
      <w:lvlText w:val="%8."/>
      <w:lvlJc w:val="left"/>
      <w:pPr>
        <w:ind w:left="6100" w:hanging="360"/>
      </w:pPr>
    </w:lvl>
    <w:lvl w:ilvl="8" w:tplc="040A001B" w:tentative="1">
      <w:start w:val="1"/>
      <w:numFmt w:val="lowerRoman"/>
      <w:lvlText w:val="%9."/>
      <w:lvlJc w:val="right"/>
      <w:pPr>
        <w:ind w:left="6820" w:hanging="180"/>
      </w:pPr>
    </w:lvl>
  </w:abstractNum>
  <w:abstractNum w:abstractNumId="3" w15:restartNumberingAfterBreak="0">
    <w:nsid w:val="1BEE318A"/>
    <w:multiLevelType w:val="hybridMultilevel"/>
    <w:tmpl w:val="9EDCFEBE"/>
    <w:lvl w:ilvl="0" w:tplc="040A0019">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1D0F127C"/>
    <w:multiLevelType w:val="hybridMultilevel"/>
    <w:tmpl w:val="714A878E"/>
    <w:lvl w:ilvl="0" w:tplc="05782504">
      <w:start w:val="1"/>
      <w:numFmt w:val="upperRoman"/>
      <w:lvlText w:val="%1."/>
      <w:lvlJc w:val="left"/>
      <w:pPr>
        <w:ind w:left="108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0A77109"/>
    <w:multiLevelType w:val="hybridMultilevel"/>
    <w:tmpl w:val="45F41E8E"/>
    <w:lvl w:ilvl="0" w:tplc="040A0019">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15:restartNumberingAfterBreak="0">
    <w:nsid w:val="2D4D22C9"/>
    <w:multiLevelType w:val="hybridMultilevel"/>
    <w:tmpl w:val="126C2780"/>
    <w:lvl w:ilvl="0" w:tplc="040A0019">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 w15:restartNumberingAfterBreak="0">
    <w:nsid w:val="31747727"/>
    <w:multiLevelType w:val="hybridMultilevel"/>
    <w:tmpl w:val="397215D2"/>
    <w:lvl w:ilvl="0" w:tplc="040A0019">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8" w15:restartNumberingAfterBreak="0">
    <w:nsid w:val="329C5259"/>
    <w:multiLevelType w:val="multilevel"/>
    <w:tmpl w:val="A69AF3AE"/>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9" w15:restartNumberingAfterBreak="0">
    <w:nsid w:val="46B37B3C"/>
    <w:multiLevelType w:val="hybridMultilevel"/>
    <w:tmpl w:val="86B8B2E0"/>
    <w:lvl w:ilvl="0" w:tplc="5D12F73E">
      <w:start w:val="3"/>
      <w:numFmt w:val="bullet"/>
      <w:lvlText w:val="-"/>
      <w:lvlJc w:val="left"/>
      <w:pPr>
        <w:ind w:left="720" w:hanging="360"/>
      </w:pPr>
      <w:rPr>
        <w:rFonts w:ascii="Times New Roman" w:eastAsia="Calibri"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50104118"/>
    <w:multiLevelType w:val="hybridMultilevel"/>
    <w:tmpl w:val="6366A09E"/>
    <w:lvl w:ilvl="0" w:tplc="D592C18A">
      <w:start w:val="1"/>
      <w:numFmt w:val="low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1" w15:restartNumberingAfterBreak="0">
    <w:nsid w:val="55350B1B"/>
    <w:multiLevelType w:val="hybridMultilevel"/>
    <w:tmpl w:val="B824E766"/>
    <w:lvl w:ilvl="0" w:tplc="699011C2">
      <w:start w:val="1"/>
      <w:numFmt w:val="decimal"/>
      <w:lvlText w:val="%1."/>
      <w:lvlJc w:val="left"/>
      <w:pPr>
        <w:ind w:left="1060" w:hanging="360"/>
      </w:pPr>
      <w:rPr>
        <w:rFonts w:hint="default"/>
        <w:sz w:val="20"/>
      </w:rPr>
    </w:lvl>
    <w:lvl w:ilvl="1" w:tplc="040A0019" w:tentative="1">
      <w:start w:val="1"/>
      <w:numFmt w:val="lowerLetter"/>
      <w:lvlText w:val="%2."/>
      <w:lvlJc w:val="left"/>
      <w:pPr>
        <w:ind w:left="1780" w:hanging="360"/>
      </w:pPr>
    </w:lvl>
    <w:lvl w:ilvl="2" w:tplc="040A001B" w:tentative="1">
      <w:start w:val="1"/>
      <w:numFmt w:val="lowerRoman"/>
      <w:lvlText w:val="%3."/>
      <w:lvlJc w:val="right"/>
      <w:pPr>
        <w:ind w:left="2500" w:hanging="180"/>
      </w:pPr>
    </w:lvl>
    <w:lvl w:ilvl="3" w:tplc="040A000F" w:tentative="1">
      <w:start w:val="1"/>
      <w:numFmt w:val="decimal"/>
      <w:lvlText w:val="%4."/>
      <w:lvlJc w:val="left"/>
      <w:pPr>
        <w:ind w:left="3220" w:hanging="360"/>
      </w:pPr>
    </w:lvl>
    <w:lvl w:ilvl="4" w:tplc="040A0019" w:tentative="1">
      <w:start w:val="1"/>
      <w:numFmt w:val="lowerLetter"/>
      <w:lvlText w:val="%5."/>
      <w:lvlJc w:val="left"/>
      <w:pPr>
        <w:ind w:left="3940" w:hanging="360"/>
      </w:pPr>
    </w:lvl>
    <w:lvl w:ilvl="5" w:tplc="040A001B" w:tentative="1">
      <w:start w:val="1"/>
      <w:numFmt w:val="lowerRoman"/>
      <w:lvlText w:val="%6."/>
      <w:lvlJc w:val="right"/>
      <w:pPr>
        <w:ind w:left="4660" w:hanging="180"/>
      </w:pPr>
    </w:lvl>
    <w:lvl w:ilvl="6" w:tplc="040A000F" w:tentative="1">
      <w:start w:val="1"/>
      <w:numFmt w:val="decimal"/>
      <w:lvlText w:val="%7."/>
      <w:lvlJc w:val="left"/>
      <w:pPr>
        <w:ind w:left="5380" w:hanging="360"/>
      </w:pPr>
    </w:lvl>
    <w:lvl w:ilvl="7" w:tplc="040A0019" w:tentative="1">
      <w:start w:val="1"/>
      <w:numFmt w:val="lowerLetter"/>
      <w:lvlText w:val="%8."/>
      <w:lvlJc w:val="left"/>
      <w:pPr>
        <w:ind w:left="6100" w:hanging="360"/>
      </w:pPr>
    </w:lvl>
    <w:lvl w:ilvl="8" w:tplc="040A001B" w:tentative="1">
      <w:start w:val="1"/>
      <w:numFmt w:val="lowerRoman"/>
      <w:lvlText w:val="%9."/>
      <w:lvlJc w:val="right"/>
      <w:pPr>
        <w:ind w:left="6820" w:hanging="180"/>
      </w:pPr>
    </w:lvl>
  </w:abstractNum>
  <w:abstractNum w:abstractNumId="12" w15:restartNumberingAfterBreak="0">
    <w:nsid w:val="5755230E"/>
    <w:multiLevelType w:val="hybridMultilevel"/>
    <w:tmpl w:val="E2AC6030"/>
    <w:lvl w:ilvl="0" w:tplc="040A0019">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3" w15:restartNumberingAfterBreak="0">
    <w:nsid w:val="5A9263F0"/>
    <w:multiLevelType w:val="hybridMultilevel"/>
    <w:tmpl w:val="125CD070"/>
    <w:lvl w:ilvl="0" w:tplc="040A0019">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6A8F4BCC"/>
    <w:multiLevelType w:val="hybridMultilevel"/>
    <w:tmpl w:val="C8D08116"/>
    <w:lvl w:ilvl="0" w:tplc="A0B84670">
      <w:numFmt w:val="bullet"/>
      <w:lvlText w:val=""/>
      <w:lvlJc w:val="left"/>
      <w:pPr>
        <w:ind w:left="720" w:hanging="360"/>
      </w:pPr>
      <w:rPr>
        <w:rFonts w:ascii="Symbol" w:eastAsia="Calibri" w:hAnsi="Symbol"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6AF867C5"/>
    <w:multiLevelType w:val="hybridMultilevel"/>
    <w:tmpl w:val="86249A4C"/>
    <w:lvl w:ilvl="0" w:tplc="040A0019">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6" w15:restartNumberingAfterBreak="0">
    <w:nsid w:val="6F502CC2"/>
    <w:multiLevelType w:val="multilevel"/>
    <w:tmpl w:val="28940850"/>
    <w:lvl w:ilvl="0">
      <w:start w:val="1"/>
      <w:numFmt w:val="decimal"/>
      <w:lvlText w:val="%1."/>
      <w:lvlJc w:val="left"/>
      <w:pPr>
        <w:ind w:left="1060" w:hanging="360"/>
      </w:pPr>
      <w:rPr>
        <w:rFonts w:hint="default"/>
      </w:rPr>
    </w:lvl>
    <w:lvl w:ilvl="1">
      <w:start w:val="1"/>
      <w:numFmt w:val="decimal"/>
      <w:isLgl/>
      <w:lvlText w:val="%1.%2"/>
      <w:lvlJc w:val="left"/>
      <w:pPr>
        <w:ind w:left="1060" w:hanging="360"/>
      </w:pPr>
      <w:rPr>
        <w:rFonts w:hint="default"/>
      </w:rPr>
    </w:lvl>
    <w:lvl w:ilvl="2">
      <w:start w:val="1"/>
      <w:numFmt w:val="decimal"/>
      <w:isLgl/>
      <w:lvlText w:val="%1.%2.%3"/>
      <w:lvlJc w:val="left"/>
      <w:pPr>
        <w:ind w:left="1420" w:hanging="720"/>
      </w:pPr>
      <w:rPr>
        <w:rFonts w:hint="default"/>
      </w:rPr>
    </w:lvl>
    <w:lvl w:ilvl="3">
      <w:start w:val="1"/>
      <w:numFmt w:val="decimal"/>
      <w:isLgl/>
      <w:lvlText w:val="%1.%2.%3.%4"/>
      <w:lvlJc w:val="left"/>
      <w:pPr>
        <w:ind w:left="1420" w:hanging="720"/>
      </w:pPr>
      <w:rPr>
        <w:rFonts w:hint="default"/>
      </w:rPr>
    </w:lvl>
    <w:lvl w:ilvl="4">
      <w:start w:val="1"/>
      <w:numFmt w:val="decimal"/>
      <w:isLgl/>
      <w:lvlText w:val="%1.%2.%3.%4.%5"/>
      <w:lvlJc w:val="left"/>
      <w:pPr>
        <w:ind w:left="1780" w:hanging="1080"/>
      </w:pPr>
      <w:rPr>
        <w:rFonts w:hint="default"/>
      </w:rPr>
    </w:lvl>
    <w:lvl w:ilvl="5">
      <w:start w:val="1"/>
      <w:numFmt w:val="decimal"/>
      <w:isLgl/>
      <w:lvlText w:val="%1.%2.%3.%4.%5.%6"/>
      <w:lvlJc w:val="left"/>
      <w:pPr>
        <w:ind w:left="1780" w:hanging="1080"/>
      </w:pPr>
      <w:rPr>
        <w:rFonts w:hint="default"/>
      </w:rPr>
    </w:lvl>
    <w:lvl w:ilvl="6">
      <w:start w:val="1"/>
      <w:numFmt w:val="decimal"/>
      <w:isLgl/>
      <w:lvlText w:val="%1.%2.%3.%4.%5.%6.%7"/>
      <w:lvlJc w:val="left"/>
      <w:pPr>
        <w:ind w:left="2140" w:hanging="1440"/>
      </w:pPr>
      <w:rPr>
        <w:rFonts w:hint="default"/>
      </w:rPr>
    </w:lvl>
    <w:lvl w:ilvl="7">
      <w:start w:val="1"/>
      <w:numFmt w:val="decimal"/>
      <w:isLgl/>
      <w:lvlText w:val="%1.%2.%3.%4.%5.%6.%7.%8"/>
      <w:lvlJc w:val="left"/>
      <w:pPr>
        <w:ind w:left="2140" w:hanging="1440"/>
      </w:pPr>
      <w:rPr>
        <w:rFonts w:hint="default"/>
      </w:rPr>
    </w:lvl>
    <w:lvl w:ilvl="8">
      <w:start w:val="1"/>
      <w:numFmt w:val="decimal"/>
      <w:isLgl/>
      <w:lvlText w:val="%1.%2.%3.%4.%5.%6.%7.%8.%9"/>
      <w:lvlJc w:val="left"/>
      <w:pPr>
        <w:ind w:left="2500" w:hanging="1800"/>
      </w:pPr>
      <w:rPr>
        <w:rFonts w:hint="default"/>
      </w:rPr>
    </w:lvl>
  </w:abstractNum>
  <w:abstractNum w:abstractNumId="17" w15:restartNumberingAfterBreak="0">
    <w:nsid w:val="745D5E05"/>
    <w:multiLevelType w:val="hybridMultilevel"/>
    <w:tmpl w:val="8626CBB8"/>
    <w:lvl w:ilvl="0" w:tplc="040A0019">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8" w15:restartNumberingAfterBreak="0">
    <w:nsid w:val="7504764D"/>
    <w:multiLevelType w:val="hybridMultilevel"/>
    <w:tmpl w:val="1F426E16"/>
    <w:lvl w:ilvl="0" w:tplc="22D464CA">
      <w:start w:val="1"/>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73F6DCA"/>
    <w:multiLevelType w:val="hybridMultilevel"/>
    <w:tmpl w:val="F5207850"/>
    <w:lvl w:ilvl="0" w:tplc="040A0019">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0" w15:restartNumberingAfterBreak="0">
    <w:nsid w:val="77BC4599"/>
    <w:multiLevelType w:val="hybridMultilevel"/>
    <w:tmpl w:val="A248458E"/>
    <w:lvl w:ilvl="0" w:tplc="040A0019">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1" w15:restartNumberingAfterBreak="0">
    <w:nsid w:val="7B4A1887"/>
    <w:multiLevelType w:val="hybridMultilevel"/>
    <w:tmpl w:val="EDD6AF64"/>
    <w:lvl w:ilvl="0" w:tplc="040A0019">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2"/>
  </w:num>
  <w:num w:numId="2">
    <w:abstractNumId w:val="11"/>
  </w:num>
  <w:num w:numId="3">
    <w:abstractNumId w:val="16"/>
  </w:num>
  <w:num w:numId="4">
    <w:abstractNumId w:val="5"/>
  </w:num>
  <w:num w:numId="5">
    <w:abstractNumId w:val="12"/>
  </w:num>
  <w:num w:numId="6">
    <w:abstractNumId w:val="14"/>
  </w:num>
  <w:num w:numId="7">
    <w:abstractNumId w:val="6"/>
  </w:num>
  <w:num w:numId="8">
    <w:abstractNumId w:val="13"/>
  </w:num>
  <w:num w:numId="9">
    <w:abstractNumId w:val="17"/>
  </w:num>
  <w:num w:numId="10">
    <w:abstractNumId w:val="20"/>
  </w:num>
  <w:num w:numId="11">
    <w:abstractNumId w:val="19"/>
  </w:num>
  <w:num w:numId="12">
    <w:abstractNumId w:val="1"/>
  </w:num>
  <w:num w:numId="13">
    <w:abstractNumId w:val="15"/>
  </w:num>
  <w:num w:numId="14">
    <w:abstractNumId w:val="21"/>
  </w:num>
  <w:num w:numId="15">
    <w:abstractNumId w:val="3"/>
  </w:num>
  <w:num w:numId="16">
    <w:abstractNumId w:val="7"/>
  </w:num>
  <w:num w:numId="17">
    <w:abstractNumId w:val="10"/>
  </w:num>
  <w:num w:numId="18">
    <w:abstractNumId w:val="0"/>
  </w:num>
  <w:num w:numId="19">
    <w:abstractNumId w:val="18"/>
  </w:num>
  <w:num w:numId="20">
    <w:abstractNumId w:val="4"/>
  </w:num>
  <w:num w:numId="21">
    <w:abstractNumId w:val="9"/>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1CB"/>
    <w:rsid w:val="000033C2"/>
    <w:rsid w:val="0001026F"/>
    <w:rsid w:val="00010B36"/>
    <w:rsid w:val="00012C08"/>
    <w:rsid w:val="00013854"/>
    <w:rsid w:val="00016351"/>
    <w:rsid w:val="000175E8"/>
    <w:rsid w:val="00020908"/>
    <w:rsid w:val="0002190C"/>
    <w:rsid w:val="00025A82"/>
    <w:rsid w:val="00031CD9"/>
    <w:rsid w:val="00032F14"/>
    <w:rsid w:val="00035CD9"/>
    <w:rsid w:val="000401AC"/>
    <w:rsid w:val="000402BF"/>
    <w:rsid w:val="00040A4B"/>
    <w:rsid w:val="0004598F"/>
    <w:rsid w:val="000479FC"/>
    <w:rsid w:val="00051CD6"/>
    <w:rsid w:val="00053917"/>
    <w:rsid w:val="000567C3"/>
    <w:rsid w:val="00064AE5"/>
    <w:rsid w:val="00065CFA"/>
    <w:rsid w:val="0006680B"/>
    <w:rsid w:val="0007134C"/>
    <w:rsid w:val="000760BA"/>
    <w:rsid w:val="00077C3D"/>
    <w:rsid w:val="000817C7"/>
    <w:rsid w:val="00084C94"/>
    <w:rsid w:val="00093293"/>
    <w:rsid w:val="00093341"/>
    <w:rsid w:val="00094C10"/>
    <w:rsid w:val="00095F33"/>
    <w:rsid w:val="000A0920"/>
    <w:rsid w:val="000A3FA8"/>
    <w:rsid w:val="000B241F"/>
    <w:rsid w:val="000B333F"/>
    <w:rsid w:val="000B6A2B"/>
    <w:rsid w:val="000B6DB5"/>
    <w:rsid w:val="000B6E88"/>
    <w:rsid w:val="000D1376"/>
    <w:rsid w:val="000D24AE"/>
    <w:rsid w:val="000D310B"/>
    <w:rsid w:val="000D5526"/>
    <w:rsid w:val="000E02BF"/>
    <w:rsid w:val="000E10E8"/>
    <w:rsid w:val="000E5D3A"/>
    <w:rsid w:val="000F0871"/>
    <w:rsid w:val="000F2A02"/>
    <w:rsid w:val="000F3FCF"/>
    <w:rsid w:val="000F69B1"/>
    <w:rsid w:val="00100333"/>
    <w:rsid w:val="00101BA4"/>
    <w:rsid w:val="001025C1"/>
    <w:rsid w:val="001029DB"/>
    <w:rsid w:val="0011054E"/>
    <w:rsid w:val="001126A9"/>
    <w:rsid w:val="00112B81"/>
    <w:rsid w:val="00112E16"/>
    <w:rsid w:val="00116D1A"/>
    <w:rsid w:val="00117E8E"/>
    <w:rsid w:val="00123567"/>
    <w:rsid w:val="00123D1C"/>
    <w:rsid w:val="0012562A"/>
    <w:rsid w:val="00125B70"/>
    <w:rsid w:val="001309C2"/>
    <w:rsid w:val="00133BFB"/>
    <w:rsid w:val="001363DB"/>
    <w:rsid w:val="00140AAC"/>
    <w:rsid w:val="0014196D"/>
    <w:rsid w:val="00144FE4"/>
    <w:rsid w:val="00145E4B"/>
    <w:rsid w:val="00150897"/>
    <w:rsid w:val="00151D6A"/>
    <w:rsid w:val="00153E9B"/>
    <w:rsid w:val="001541A0"/>
    <w:rsid w:val="001637BC"/>
    <w:rsid w:val="00163E7B"/>
    <w:rsid w:val="0016407B"/>
    <w:rsid w:val="00164AC5"/>
    <w:rsid w:val="0016546D"/>
    <w:rsid w:val="00165EE0"/>
    <w:rsid w:val="00166E58"/>
    <w:rsid w:val="00170B53"/>
    <w:rsid w:val="00171A57"/>
    <w:rsid w:val="001831CD"/>
    <w:rsid w:val="001906F7"/>
    <w:rsid w:val="0019361B"/>
    <w:rsid w:val="001972B7"/>
    <w:rsid w:val="001A2655"/>
    <w:rsid w:val="001A285F"/>
    <w:rsid w:val="001B095F"/>
    <w:rsid w:val="001B1FB7"/>
    <w:rsid w:val="001B4B90"/>
    <w:rsid w:val="001B78C4"/>
    <w:rsid w:val="001B7DE8"/>
    <w:rsid w:val="001C3007"/>
    <w:rsid w:val="001C5A6B"/>
    <w:rsid w:val="001D248E"/>
    <w:rsid w:val="001D7442"/>
    <w:rsid w:val="001E12A6"/>
    <w:rsid w:val="001E2453"/>
    <w:rsid w:val="001E7E05"/>
    <w:rsid w:val="001F244B"/>
    <w:rsid w:val="001F419F"/>
    <w:rsid w:val="002003DC"/>
    <w:rsid w:val="00200F7F"/>
    <w:rsid w:val="002032F8"/>
    <w:rsid w:val="0020574A"/>
    <w:rsid w:val="00206CAC"/>
    <w:rsid w:val="002140AB"/>
    <w:rsid w:val="00215274"/>
    <w:rsid w:val="00217472"/>
    <w:rsid w:val="00221088"/>
    <w:rsid w:val="0022181C"/>
    <w:rsid w:val="00222824"/>
    <w:rsid w:val="00223793"/>
    <w:rsid w:val="002319EB"/>
    <w:rsid w:val="00233B90"/>
    <w:rsid w:val="00237672"/>
    <w:rsid w:val="002402C8"/>
    <w:rsid w:val="002402F2"/>
    <w:rsid w:val="00241F6F"/>
    <w:rsid w:val="00243127"/>
    <w:rsid w:val="002437F9"/>
    <w:rsid w:val="00243CAC"/>
    <w:rsid w:val="002451EB"/>
    <w:rsid w:val="002453C2"/>
    <w:rsid w:val="00246FF3"/>
    <w:rsid w:val="00250618"/>
    <w:rsid w:val="00260A48"/>
    <w:rsid w:val="002622A7"/>
    <w:rsid w:val="002631F1"/>
    <w:rsid w:val="00271180"/>
    <w:rsid w:val="0028336E"/>
    <w:rsid w:val="00285293"/>
    <w:rsid w:val="00286E05"/>
    <w:rsid w:val="002902BF"/>
    <w:rsid w:val="00292D75"/>
    <w:rsid w:val="0029534E"/>
    <w:rsid w:val="00295790"/>
    <w:rsid w:val="00296B81"/>
    <w:rsid w:val="002977D7"/>
    <w:rsid w:val="00297905"/>
    <w:rsid w:val="002A331B"/>
    <w:rsid w:val="002A5EC4"/>
    <w:rsid w:val="002B432B"/>
    <w:rsid w:val="002B474B"/>
    <w:rsid w:val="002B5CAC"/>
    <w:rsid w:val="002B757E"/>
    <w:rsid w:val="002C0A36"/>
    <w:rsid w:val="002C15DA"/>
    <w:rsid w:val="002C3128"/>
    <w:rsid w:val="002C3CE3"/>
    <w:rsid w:val="002C46AC"/>
    <w:rsid w:val="002C5DB6"/>
    <w:rsid w:val="002D15E2"/>
    <w:rsid w:val="002D2671"/>
    <w:rsid w:val="002D3191"/>
    <w:rsid w:val="002D31C6"/>
    <w:rsid w:val="002D36D3"/>
    <w:rsid w:val="002D6465"/>
    <w:rsid w:val="002E22E4"/>
    <w:rsid w:val="002E374B"/>
    <w:rsid w:val="002E537B"/>
    <w:rsid w:val="002E5C13"/>
    <w:rsid w:val="002E5C96"/>
    <w:rsid w:val="002E6BBA"/>
    <w:rsid w:val="002F3FCA"/>
    <w:rsid w:val="002F67D4"/>
    <w:rsid w:val="002F6FB0"/>
    <w:rsid w:val="002F7935"/>
    <w:rsid w:val="0030072E"/>
    <w:rsid w:val="0030088B"/>
    <w:rsid w:val="003016CB"/>
    <w:rsid w:val="00302392"/>
    <w:rsid w:val="00302B41"/>
    <w:rsid w:val="00303BF3"/>
    <w:rsid w:val="00306137"/>
    <w:rsid w:val="0031016C"/>
    <w:rsid w:val="00310D51"/>
    <w:rsid w:val="0031155F"/>
    <w:rsid w:val="0031324A"/>
    <w:rsid w:val="00317276"/>
    <w:rsid w:val="00330E94"/>
    <w:rsid w:val="00332E9B"/>
    <w:rsid w:val="00333479"/>
    <w:rsid w:val="0033436B"/>
    <w:rsid w:val="00335511"/>
    <w:rsid w:val="00342084"/>
    <w:rsid w:val="003464AE"/>
    <w:rsid w:val="00347526"/>
    <w:rsid w:val="00363FA9"/>
    <w:rsid w:val="0036452B"/>
    <w:rsid w:val="00364B96"/>
    <w:rsid w:val="003669F3"/>
    <w:rsid w:val="003670F7"/>
    <w:rsid w:val="00370505"/>
    <w:rsid w:val="00373570"/>
    <w:rsid w:val="00373DCF"/>
    <w:rsid w:val="00374097"/>
    <w:rsid w:val="0037520B"/>
    <w:rsid w:val="00376788"/>
    <w:rsid w:val="00381098"/>
    <w:rsid w:val="003835FC"/>
    <w:rsid w:val="003861FF"/>
    <w:rsid w:val="00390C0A"/>
    <w:rsid w:val="003950A3"/>
    <w:rsid w:val="003A40F4"/>
    <w:rsid w:val="003A57AD"/>
    <w:rsid w:val="003A5F82"/>
    <w:rsid w:val="003A694A"/>
    <w:rsid w:val="003A7DD9"/>
    <w:rsid w:val="003A7E22"/>
    <w:rsid w:val="003B00C4"/>
    <w:rsid w:val="003B0F87"/>
    <w:rsid w:val="003B2391"/>
    <w:rsid w:val="003B5A83"/>
    <w:rsid w:val="003B7118"/>
    <w:rsid w:val="003B7233"/>
    <w:rsid w:val="003C0F73"/>
    <w:rsid w:val="003C36F5"/>
    <w:rsid w:val="003C44CB"/>
    <w:rsid w:val="003D0A22"/>
    <w:rsid w:val="003D18BF"/>
    <w:rsid w:val="003D3465"/>
    <w:rsid w:val="003D7109"/>
    <w:rsid w:val="003D7A5F"/>
    <w:rsid w:val="003E161B"/>
    <w:rsid w:val="003F0246"/>
    <w:rsid w:val="003F1FA5"/>
    <w:rsid w:val="003F46DD"/>
    <w:rsid w:val="003F6175"/>
    <w:rsid w:val="00401D63"/>
    <w:rsid w:val="00404C73"/>
    <w:rsid w:val="00406BD7"/>
    <w:rsid w:val="00407161"/>
    <w:rsid w:val="00416BF5"/>
    <w:rsid w:val="00426CE4"/>
    <w:rsid w:val="00432532"/>
    <w:rsid w:val="004361C8"/>
    <w:rsid w:val="00437901"/>
    <w:rsid w:val="0044047F"/>
    <w:rsid w:val="0044091F"/>
    <w:rsid w:val="00440DA9"/>
    <w:rsid w:val="00443059"/>
    <w:rsid w:val="004436E9"/>
    <w:rsid w:val="004443D2"/>
    <w:rsid w:val="0044593A"/>
    <w:rsid w:val="0044795F"/>
    <w:rsid w:val="00447AF3"/>
    <w:rsid w:val="00467254"/>
    <w:rsid w:val="004704E0"/>
    <w:rsid w:val="00471D45"/>
    <w:rsid w:val="0047291F"/>
    <w:rsid w:val="00472BEB"/>
    <w:rsid w:val="00474E36"/>
    <w:rsid w:val="00474E93"/>
    <w:rsid w:val="00476753"/>
    <w:rsid w:val="004806AE"/>
    <w:rsid w:val="004830BA"/>
    <w:rsid w:val="00484292"/>
    <w:rsid w:val="004862A6"/>
    <w:rsid w:val="00490E02"/>
    <w:rsid w:val="00492BBF"/>
    <w:rsid w:val="00493BD0"/>
    <w:rsid w:val="004943B8"/>
    <w:rsid w:val="00496D58"/>
    <w:rsid w:val="00497571"/>
    <w:rsid w:val="00497612"/>
    <w:rsid w:val="004A04BA"/>
    <w:rsid w:val="004A534E"/>
    <w:rsid w:val="004A53E7"/>
    <w:rsid w:val="004B5B9D"/>
    <w:rsid w:val="004C20BF"/>
    <w:rsid w:val="004C27A1"/>
    <w:rsid w:val="004C2F51"/>
    <w:rsid w:val="004D0619"/>
    <w:rsid w:val="004D2500"/>
    <w:rsid w:val="004E24C6"/>
    <w:rsid w:val="004E38A8"/>
    <w:rsid w:val="004E3BBC"/>
    <w:rsid w:val="004F170D"/>
    <w:rsid w:val="004F3B6D"/>
    <w:rsid w:val="004F6DE9"/>
    <w:rsid w:val="004F77CA"/>
    <w:rsid w:val="0050015C"/>
    <w:rsid w:val="00504F8E"/>
    <w:rsid w:val="00505B72"/>
    <w:rsid w:val="005068B8"/>
    <w:rsid w:val="00506FC3"/>
    <w:rsid w:val="0050774A"/>
    <w:rsid w:val="005116EC"/>
    <w:rsid w:val="0051302E"/>
    <w:rsid w:val="00515691"/>
    <w:rsid w:val="005210D3"/>
    <w:rsid w:val="00522860"/>
    <w:rsid w:val="005236C6"/>
    <w:rsid w:val="0052411C"/>
    <w:rsid w:val="00525846"/>
    <w:rsid w:val="00527A49"/>
    <w:rsid w:val="0053061E"/>
    <w:rsid w:val="005307E6"/>
    <w:rsid w:val="00531252"/>
    <w:rsid w:val="00533E34"/>
    <w:rsid w:val="005348FE"/>
    <w:rsid w:val="005355CC"/>
    <w:rsid w:val="00535A25"/>
    <w:rsid w:val="00536748"/>
    <w:rsid w:val="00541497"/>
    <w:rsid w:val="00542BDB"/>
    <w:rsid w:val="00554CB9"/>
    <w:rsid w:val="0055526A"/>
    <w:rsid w:val="00557701"/>
    <w:rsid w:val="00560C6D"/>
    <w:rsid w:val="00560E8C"/>
    <w:rsid w:val="00562D2E"/>
    <w:rsid w:val="00565C0D"/>
    <w:rsid w:val="00566AF6"/>
    <w:rsid w:val="00566D34"/>
    <w:rsid w:val="005709E2"/>
    <w:rsid w:val="00570EA9"/>
    <w:rsid w:val="00570F8E"/>
    <w:rsid w:val="005717C5"/>
    <w:rsid w:val="00577309"/>
    <w:rsid w:val="005830DE"/>
    <w:rsid w:val="005850F3"/>
    <w:rsid w:val="005858AB"/>
    <w:rsid w:val="00595A33"/>
    <w:rsid w:val="00597855"/>
    <w:rsid w:val="005A11DD"/>
    <w:rsid w:val="005A5ABB"/>
    <w:rsid w:val="005A7757"/>
    <w:rsid w:val="005B103A"/>
    <w:rsid w:val="005B21BE"/>
    <w:rsid w:val="005B2CCC"/>
    <w:rsid w:val="005B31A4"/>
    <w:rsid w:val="005B4853"/>
    <w:rsid w:val="005B5787"/>
    <w:rsid w:val="005B6C5F"/>
    <w:rsid w:val="005B6E69"/>
    <w:rsid w:val="005B7624"/>
    <w:rsid w:val="005B7A0D"/>
    <w:rsid w:val="005B7A5F"/>
    <w:rsid w:val="005B7E7D"/>
    <w:rsid w:val="005C2245"/>
    <w:rsid w:val="005C2781"/>
    <w:rsid w:val="005C28AD"/>
    <w:rsid w:val="005C2F99"/>
    <w:rsid w:val="005C3B7D"/>
    <w:rsid w:val="005C403A"/>
    <w:rsid w:val="005D191F"/>
    <w:rsid w:val="005D5882"/>
    <w:rsid w:val="005E130B"/>
    <w:rsid w:val="005E5324"/>
    <w:rsid w:val="005E67BE"/>
    <w:rsid w:val="005F05A9"/>
    <w:rsid w:val="005F2D49"/>
    <w:rsid w:val="00602FB9"/>
    <w:rsid w:val="00603B11"/>
    <w:rsid w:val="00607FBB"/>
    <w:rsid w:val="0061023E"/>
    <w:rsid w:val="0061103E"/>
    <w:rsid w:val="00611CA1"/>
    <w:rsid w:val="00613886"/>
    <w:rsid w:val="00615BD8"/>
    <w:rsid w:val="006213B8"/>
    <w:rsid w:val="00621970"/>
    <w:rsid w:val="00621D8A"/>
    <w:rsid w:val="00625753"/>
    <w:rsid w:val="00626873"/>
    <w:rsid w:val="00630167"/>
    <w:rsid w:val="0063187C"/>
    <w:rsid w:val="00632781"/>
    <w:rsid w:val="00634D4B"/>
    <w:rsid w:val="0063517B"/>
    <w:rsid w:val="00635415"/>
    <w:rsid w:val="00640695"/>
    <w:rsid w:val="00642FA0"/>
    <w:rsid w:val="00645B52"/>
    <w:rsid w:val="00646970"/>
    <w:rsid w:val="006519D0"/>
    <w:rsid w:val="00657399"/>
    <w:rsid w:val="006604A9"/>
    <w:rsid w:val="00660F27"/>
    <w:rsid w:val="0066475C"/>
    <w:rsid w:val="0066498B"/>
    <w:rsid w:val="006653D1"/>
    <w:rsid w:val="00665AB7"/>
    <w:rsid w:val="00665F26"/>
    <w:rsid w:val="0067135A"/>
    <w:rsid w:val="00671AD7"/>
    <w:rsid w:val="00672D3E"/>
    <w:rsid w:val="00673647"/>
    <w:rsid w:val="00685592"/>
    <w:rsid w:val="00685EE0"/>
    <w:rsid w:val="00686CA6"/>
    <w:rsid w:val="00686D6A"/>
    <w:rsid w:val="006905CB"/>
    <w:rsid w:val="00692021"/>
    <w:rsid w:val="00692FE2"/>
    <w:rsid w:val="00693382"/>
    <w:rsid w:val="006938FF"/>
    <w:rsid w:val="0069456C"/>
    <w:rsid w:val="00694A36"/>
    <w:rsid w:val="00696967"/>
    <w:rsid w:val="006A61C1"/>
    <w:rsid w:val="006B001F"/>
    <w:rsid w:val="006B6F58"/>
    <w:rsid w:val="006C4609"/>
    <w:rsid w:val="006C4D37"/>
    <w:rsid w:val="006D1AF2"/>
    <w:rsid w:val="006D24D7"/>
    <w:rsid w:val="006D74F1"/>
    <w:rsid w:val="006F4759"/>
    <w:rsid w:val="006F47AF"/>
    <w:rsid w:val="006F6657"/>
    <w:rsid w:val="007010C9"/>
    <w:rsid w:val="0070454D"/>
    <w:rsid w:val="007064CB"/>
    <w:rsid w:val="0070743C"/>
    <w:rsid w:val="007115D2"/>
    <w:rsid w:val="00712DEB"/>
    <w:rsid w:val="00714496"/>
    <w:rsid w:val="00720337"/>
    <w:rsid w:val="00721B6D"/>
    <w:rsid w:val="00722BC8"/>
    <w:rsid w:val="00724838"/>
    <w:rsid w:val="00725E0F"/>
    <w:rsid w:val="00730FBA"/>
    <w:rsid w:val="0073339A"/>
    <w:rsid w:val="00741F88"/>
    <w:rsid w:val="00742A3C"/>
    <w:rsid w:val="00745F55"/>
    <w:rsid w:val="00747385"/>
    <w:rsid w:val="00756234"/>
    <w:rsid w:val="00760065"/>
    <w:rsid w:val="00762D3A"/>
    <w:rsid w:val="00763D41"/>
    <w:rsid w:val="00763DA1"/>
    <w:rsid w:val="00763F5C"/>
    <w:rsid w:val="00766C39"/>
    <w:rsid w:val="00767CC3"/>
    <w:rsid w:val="00773099"/>
    <w:rsid w:val="00775E92"/>
    <w:rsid w:val="007847A9"/>
    <w:rsid w:val="007856CD"/>
    <w:rsid w:val="00797B92"/>
    <w:rsid w:val="007A7291"/>
    <w:rsid w:val="007B1241"/>
    <w:rsid w:val="007B7FA3"/>
    <w:rsid w:val="007C0C27"/>
    <w:rsid w:val="007D1715"/>
    <w:rsid w:val="007E2436"/>
    <w:rsid w:val="007E2A6A"/>
    <w:rsid w:val="007F06E8"/>
    <w:rsid w:val="007F1F7D"/>
    <w:rsid w:val="007F2242"/>
    <w:rsid w:val="007F2F23"/>
    <w:rsid w:val="007F4155"/>
    <w:rsid w:val="00802435"/>
    <w:rsid w:val="00803540"/>
    <w:rsid w:val="008054B1"/>
    <w:rsid w:val="008066A8"/>
    <w:rsid w:val="008067D8"/>
    <w:rsid w:val="00812973"/>
    <w:rsid w:val="008143A5"/>
    <w:rsid w:val="00820416"/>
    <w:rsid w:val="00822994"/>
    <w:rsid w:val="00824632"/>
    <w:rsid w:val="00825A40"/>
    <w:rsid w:val="008307E2"/>
    <w:rsid w:val="00833011"/>
    <w:rsid w:val="00833788"/>
    <w:rsid w:val="00836AB8"/>
    <w:rsid w:val="00836CB3"/>
    <w:rsid w:val="00841666"/>
    <w:rsid w:val="008417CE"/>
    <w:rsid w:val="00842CBE"/>
    <w:rsid w:val="00845C8A"/>
    <w:rsid w:val="00846896"/>
    <w:rsid w:val="00857061"/>
    <w:rsid w:val="0086300D"/>
    <w:rsid w:val="0086346B"/>
    <w:rsid w:val="00866D70"/>
    <w:rsid w:val="008709F6"/>
    <w:rsid w:val="00870B50"/>
    <w:rsid w:val="00871D6E"/>
    <w:rsid w:val="00874F51"/>
    <w:rsid w:val="008750EE"/>
    <w:rsid w:val="00876D51"/>
    <w:rsid w:val="00876EA9"/>
    <w:rsid w:val="0087750F"/>
    <w:rsid w:val="00880F05"/>
    <w:rsid w:val="00881369"/>
    <w:rsid w:val="00883EE1"/>
    <w:rsid w:val="00887396"/>
    <w:rsid w:val="00887E7B"/>
    <w:rsid w:val="0089002B"/>
    <w:rsid w:val="008A602E"/>
    <w:rsid w:val="008A760C"/>
    <w:rsid w:val="008B0EC6"/>
    <w:rsid w:val="008B7FF6"/>
    <w:rsid w:val="008C4DD1"/>
    <w:rsid w:val="008C5B4F"/>
    <w:rsid w:val="008C7EA9"/>
    <w:rsid w:val="008D0644"/>
    <w:rsid w:val="008D20DF"/>
    <w:rsid w:val="008D639D"/>
    <w:rsid w:val="008E21CE"/>
    <w:rsid w:val="008E2CAC"/>
    <w:rsid w:val="008E3C06"/>
    <w:rsid w:val="008E4C30"/>
    <w:rsid w:val="008E6AA9"/>
    <w:rsid w:val="008F03EA"/>
    <w:rsid w:val="008F48F6"/>
    <w:rsid w:val="008F63E9"/>
    <w:rsid w:val="00900117"/>
    <w:rsid w:val="00900C2F"/>
    <w:rsid w:val="00903C4F"/>
    <w:rsid w:val="00905FA8"/>
    <w:rsid w:val="009062F4"/>
    <w:rsid w:val="00915758"/>
    <w:rsid w:val="00915F35"/>
    <w:rsid w:val="00920AD4"/>
    <w:rsid w:val="0092183A"/>
    <w:rsid w:val="00922200"/>
    <w:rsid w:val="00927E6F"/>
    <w:rsid w:val="00927ED7"/>
    <w:rsid w:val="00930DCF"/>
    <w:rsid w:val="00931402"/>
    <w:rsid w:val="0093155B"/>
    <w:rsid w:val="0093716E"/>
    <w:rsid w:val="00941B6C"/>
    <w:rsid w:val="00942203"/>
    <w:rsid w:val="009454BB"/>
    <w:rsid w:val="00945CA8"/>
    <w:rsid w:val="00946583"/>
    <w:rsid w:val="009502DB"/>
    <w:rsid w:val="00951120"/>
    <w:rsid w:val="009527E4"/>
    <w:rsid w:val="00954868"/>
    <w:rsid w:val="00960500"/>
    <w:rsid w:val="00962CF3"/>
    <w:rsid w:val="00964485"/>
    <w:rsid w:val="009645B1"/>
    <w:rsid w:val="0096570F"/>
    <w:rsid w:val="0097239B"/>
    <w:rsid w:val="009756E5"/>
    <w:rsid w:val="00981584"/>
    <w:rsid w:val="00985B7C"/>
    <w:rsid w:val="0098765E"/>
    <w:rsid w:val="009912EC"/>
    <w:rsid w:val="009A3B8E"/>
    <w:rsid w:val="009A4C3C"/>
    <w:rsid w:val="009A678B"/>
    <w:rsid w:val="009B0B4D"/>
    <w:rsid w:val="009B3DFA"/>
    <w:rsid w:val="009B7FF4"/>
    <w:rsid w:val="009C287E"/>
    <w:rsid w:val="009C34A6"/>
    <w:rsid w:val="009C3D71"/>
    <w:rsid w:val="009C7BCB"/>
    <w:rsid w:val="009D1471"/>
    <w:rsid w:val="009D1EE8"/>
    <w:rsid w:val="009D30A8"/>
    <w:rsid w:val="009D6218"/>
    <w:rsid w:val="009E52CB"/>
    <w:rsid w:val="009E643D"/>
    <w:rsid w:val="009F0DC6"/>
    <w:rsid w:val="009F1224"/>
    <w:rsid w:val="009F3C5F"/>
    <w:rsid w:val="009F45E6"/>
    <w:rsid w:val="009F4AE2"/>
    <w:rsid w:val="009F5493"/>
    <w:rsid w:val="009F6956"/>
    <w:rsid w:val="00A002C4"/>
    <w:rsid w:val="00A0422E"/>
    <w:rsid w:val="00A04863"/>
    <w:rsid w:val="00A04E64"/>
    <w:rsid w:val="00A072E6"/>
    <w:rsid w:val="00A07EC2"/>
    <w:rsid w:val="00A1375B"/>
    <w:rsid w:val="00A13AC2"/>
    <w:rsid w:val="00A140B9"/>
    <w:rsid w:val="00A17F63"/>
    <w:rsid w:val="00A21390"/>
    <w:rsid w:val="00A246D0"/>
    <w:rsid w:val="00A2616B"/>
    <w:rsid w:val="00A32F53"/>
    <w:rsid w:val="00A34309"/>
    <w:rsid w:val="00A363DE"/>
    <w:rsid w:val="00A4357D"/>
    <w:rsid w:val="00A43B3A"/>
    <w:rsid w:val="00A44419"/>
    <w:rsid w:val="00A45750"/>
    <w:rsid w:val="00A53587"/>
    <w:rsid w:val="00A53B08"/>
    <w:rsid w:val="00A62092"/>
    <w:rsid w:val="00A620E3"/>
    <w:rsid w:val="00A62233"/>
    <w:rsid w:val="00A63408"/>
    <w:rsid w:val="00A65242"/>
    <w:rsid w:val="00A653BB"/>
    <w:rsid w:val="00A6664C"/>
    <w:rsid w:val="00A764E9"/>
    <w:rsid w:val="00A83294"/>
    <w:rsid w:val="00A83E32"/>
    <w:rsid w:val="00A83F1F"/>
    <w:rsid w:val="00A8426B"/>
    <w:rsid w:val="00A84CE0"/>
    <w:rsid w:val="00A86956"/>
    <w:rsid w:val="00A90BB2"/>
    <w:rsid w:val="00A9253F"/>
    <w:rsid w:val="00A94ACB"/>
    <w:rsid w:val="00A96C08"/>
    <w:rsid w:val="00A96EE4"/>
    <w:rsid w:val="00AA3CA6"/>
    <w:rsid w:val="00AA3D21"/>
    <w:rsid w:val="00AA6B59"/>
    <w:rsid w:val="00AB1572"/>
    <w:rsid w:val="00AB3C19"/>
    <w:rsid w:val="00AB3EDA"/>
    <w:rsid w:val="00AB45A4"/>
    <w:rsid w:val="00AB6627"/>
    <w:rsid w:val="00AC0E76"/>
    <w:rsid w:val="00AC0FB0"/>
    <w:rsid w:val="00AD022E"/>
    <w:rsid w:val="00AD074A"/>
    <w:rsid w:val="00AD1D61"/>
    <w:rsid w:val="00AD480D"/>
    <w:rsid w:val="00AD5358"/>
    <w:rsid w:val="00AE0F21"/>
    <w:rsid w:val="00AE3828"/>
    <w:rsid w:val="00AF14E0"/>
    <w:rsid w:val="00AF36B1"/>
    <w:rsid w:val="00AF6A1B"/>
    <w:rsid w:val="00AF6C48"/>
    <w:rsid w:val="00B00285"/>
    <w:rsid w:val="00B033CC"/>
    <w:rsid w:val="00B048DA"/>
    <w:rsid w:val="00B124E9"/>
    <w:rsid w:val="00B1514D"/>
    <w:rsid w:val="00B169C2"/>
    <w:rsid w:val="00B20896"/>
    <w:rsid w:val="00B2216B"/>
    <w:rsid w:val="00B27216"/>
    <w:rsid w:val="00B3108C"/>
    <w:rsid w:val="00B31FE7"/>
    <w:rsid w:val="00B33954"/>
    <w:rsid w:val="00B37F97"/>
    <w:rsid w:val="00B42AB9"/>
    <w:rsid w:val="00B431EF"/>
    <w:rsid w:val="00B434C1"/>
    <w:rsid w:val="00B44A3B"/>
    <w:rsid w:val="00B44AFC"/>
    <w:rsid w:val="00B46143"/>
    <w:rsid w:val="00B46E64"/>
    <w:rsid w:val="00B47087"/>
    <w:rsid w:val="00B51427"/>
    <w:rsid w:val="00B5232A"/>
    <w:rsid w:val="00B5536E"/>
    <w:rsid w:val="00B55B04"/>
    <w:rsid w:val="00B55F12"/>
    <w:rsid w:val="00B57BED"/>
    <w:rsid w:val="00B60A37"/>
    <w:rsid w:val="00B71EDB"/>
    <w:rsid w:val="00B75F6D"/>
    <w:rsid w:val="00B76351"/>
    <w:rsid w:val="00B8168F"/>
    <w:rsid w:val="00B85983"/>
    <w:rsid w:val="00B87CD1"/>
    <w:rsid w:val="00B90E8E"/>
    <w:rsid w:val="00B9172A"/>
    <w:rsid w:val="00B92B56"/>
    <w:rsid w:val="00B97BA2"/>
    <w:rsid w:val="00B97D49"/>
    <w:rsid w:val="00B97E11"/>
    <w:rsid w:val="00BA0CB8"/>
    <w:rsid w:val="00BA646C"/>
    <w:rsid w:val="00BB2976"/>
    <w:rsid w:val="00BB5B83"/>
    <w:rsid w:val="00BB798A"/>
    <w:rsid w:val="00BC1B7D"/>
    <w:rsid w:val="00BC3CD3"/>
    <w:rsid w:val="00BC419D"/>
    <w:rsid w:val="00BD2CF6"/>
    <w:rsid w:val="00BD4EB7"/>
    <w:rsid w:val="00BD7C92"/>
    <w:rsid w:val="00BE054F"/>
    <w:rsid w:val="00BE0C44"/>
    <w:rsid w:val="00BE10B8"/>
    <w:rsid w:val="00BE33AD"/>
    <w:rsid w:val="00BE41ED"/>
    <w:rsid w:val="00BF2022"/>
    <w:rsid w:val="00C01F92"/>
    <w:rsid w:val="00C0510F"/>
    <w:rsid w:val="00C05A5A"/>
    <w:rsid w:val="00C06226"/>
    <w:rsid w:val="00C11A25"/>
    <w:rsid w:val="00C11A95"/>
    <w:rsid w:val="00C12A92"/>
    <w:rsid w:val="00C14066"/>
    <w:rsid w:val="00C14A0F"/>
    <w:rsid w:val="00C15718"/>
    <w:rsid w:val="00C166EF"/>
    <w:rsid w:val="00C209E1"/>
    <w:rsid w:val="00C225D9"/>
    <w:rsid w:val="00C243BB"/>
    <w:rsid w:val="00C245FE"/>
    <w:rsid w:val="00C30D5F"/>
    <w:rsid w:val="00C342A1"/>
    <w:rsid w:val="00C35201"/>
    <w:rsid w:val="00C36836"/>
    <w:rsid w:val="00C40D58"/>
    <w:rsid w:val="00C44179"/>
    <w:rsid w:val="00C46AA7"/>
    <w:rsid w:val="00C47A1D"/>
    <w:rsid w:val="00C537A4"/>
    <w:rsid w:val="00C559B2"/>
    <w:rsid w:val="00C565E1"/>
    <w:rsid w:val="00C60D4B"/>
    <w:rsid w:val="00C733F1"/>
    <w:rsid w:val="00C84EF6"/>
    <w:rsid w:val="00C863F1"/>
    <w:rsid w:val="00C94211"/>
    <w:rsid w:val="00C96A04"/>
    <w:rsid w:val="00C96F6F"/>
    <w:rsid w:val="00CA43CD"/>
    <w:rsid w:val="00CA49F8"/>
    <w:rsid w:val="00CA4B74"/>
    <w:rsid w:val="00CA58F2"/>
    <w:rsid w:val="00CA5A5D"/>
    <w:rsid w:val="00CA5B4F"/>
    <w:rsid w:val="00CB2B32"/>
    <w:rsid w:val="00CB310E"/>
    <w:rsid w:val="00CB3A76"/>
    <w:rsid w:val="00CB60A6"/>
    <w:rsid w:val="00CC2099"/>
    <w:rsid w:val="00CC536F"/>
    <w:rsid w:val="00CE087D"/>
    <w:rsid w:val="00CE5D06"/>
    <w:rsid w:val="00CF1302"/>
    <w:rsid w:val="00CF580B"/>
    <w:rsid w:val="00CF6C70"/>
    <w:rsid w:val="00CF721A"/>
    <w:rsid w:val="00D00234"/>
    <w:rsid w:val="00D01875"/>
    <w:rsid w:val="00D02366"/>
    <w:rsid w:val="00D03588"/>
    <w:rsid w:val="00D03746"/>
    <w:rsid w:val="00D109CA"/>
    <w:rsid w:val="00D12FE5"/>
    <w:rsid w:val="00D131B8"/>
    <w:rsid w:val="00D139E8"/>
    <w:rsid w:val="00D1476D"/>
    <w:rsid w:val="00D2038A"/>
    <w:rsid w:val="00D20C6F"/>
    <w:rsid w:val="00D26879"/>
    <w:rsid w:val="00D26B4C"/>
    <w:rsid w:val="00D30BB6"/>
    <w:rsid w:val="00D31F3A"/>
    <w:rsid w:val="00D33FC7"/>
    <w:rsid w:val="00D4110C"/>
    <w:rsid w:val="00D4287D"/>
    <w:rsid w:val="00D445ED"/>
    <w:rsid w:val="00D44FA0"/>
    <w:rsid w:val="00D4766C"/>
    <w:rsid w:val="00D5268D"/>
    <w:rsid w:val="00D540E6"/>
    <w:rsid w:val="00D60567"/>
    <w:rsid w:val="00D622CF"/>
    <w:rsid w:val="00D678CC"/>
    <w:rsid w:val="00D72768"/>
    <w:rsid w:val="00D74399"/>
    <w:rsid w:val="00D74B48"/>
    <w:rsid w:val="00D75366"/>
    <w:rsid w:val="00D77210"/>
    <w:rsid w:val="00D8248A"/>
    <w:rsid w:val="00D82B5B"/>
    <w:rsid w:val="00D83121"/>
    <w:rsid w:val="00D86635"/>
    <w:rsid w:val="00D90148"/>
    <w:rsid w:val="00D93544"/>
    <w:rsid w:val="00DA28E4"/>
    <w:rsid w:val="00DA3755"/>
    <w:rsid w:val="00DB1710"/>
    <w:rsid w:val="00DB1772"/>
    <w:rsid w:val="00DB2473"/>
    <w:rsid w:val="00DB5BE3"/>
    <w:rsid w:val="00DB725F"/>
    <w:rsid w:val="00DB744E"/>
    <w:rsid w:val="00DC2211"/>
    <w:rsid w:val="00DD0DDA"/>
    <w:rsid w:val="00DD1C40"/>
    <w:rsid w:val="00DD5815"/>
    <w:rsid w:val="00DD5AAE"/>
    <w:rsid w:val="00DD6B26"/>
    <w:rsid w:val="00DD700F"/>
    <w:rsid w:val="00DE2D9A"/>
    <w:rsid w:val="00DE2F1B"/>
    <w:rsid w:val="00DE4339"/>
    <w:rsid w:val="00DE457F"/>
    <w:rsid w:val="00DE6AD0"/>
    <w:rsid w:val="00DF003D"/>
    <w:rsid w:val="00DF0A66"/>
    <w:rsid w:val="00DF0C09"/>
    <w:rsid w:val="00DF1F11"/>
    <w:rsid w:val="00DF333B"/>
    <w:rsid w:val="00DF51A7"/>
    <w:rsid w:val="00DF5E19"/>
    <w:rsid w:val="00DF7BB2"/>
    <w:rsid w:val="00E036BD"/>
    <w:rsid w:val="00E053E2"/>
    <w:rsid w:val="00E154E6"/>
    <w:rsid w:val="00E207CE"/>
    <w:rsid w:val="00E20C5F"/>
    <w:rsid w:val="00E210AE"/>
    <w:rsid w:val="00E25BD0"/>
    <w:rsid w:val="00E269E1"/>
    <w:rsid w:val="00E30086"/>
    <w:rsid w:val="00E31457"/>
    <w:rsid w:val="00E31468"/>
    <w:rsid w:val="00E3429A"/>
    <w:rsid w:val="00E34E27"/>
    <w:rsid w:val="00E3656C"/>
    <w:rsid w:val="00E42392"/>
    <w:rsid w:val="00E42910"/>
    <w:rsid w:val="00E438CA"/>
    <w:rsid w:val="00E43FCC"/>
    <w:rsid w:val="00E46EA9"/>
    <w:rsid w:val="00E47985"/>
    <w:rsid w:val="00E55222"/>
    <w:rsid w:val="00E55510"/>
    <w:rsid w:val="00E55839"/>
    <w:rsid w:val="00E5689C"/>
    <w:rsid w:val="00E614FD"/>
    <w:rsid w:val="00E649C6"/>
    <w:rsid w:val="00E64AE2"/>
    <w:rsid w:val="00E805C9"/>
    <w:rsid w:val="00E87429"/>
    <w:rsid w:val="00E930F0"/>
    <w:rsid w:val="00E96C26"/>
    <w:rsid w:val="00E9758C"/>
    <w:rsid w:val="00EA18EB"/>
    <w:rsid w:val="00EA3CD9"/>
    <w:rsid w:val="00EA7984"/>
    <w:rsid w:val="00EB55CD"/>
    <w:rsid w:val="00EB7C7B"/>
    <w:rsid w:val="00EC57ED"/>
    <w:rsid w:val="00EC5FF4"/>
    <w:rsid w:val="00EC6789"/>
    <w:rsid w:val="00EC6E0C"/>
    <w:rsid w:val="00ED0727"/>
    <w:rsid w:val="00ED2B13"/>
    <w:rsid w:val="00ED38FD"/>
    <w:rsid w:val="00EE01EB"/>
    <w:rsid w:val="00EE1257"/>
    <w:rsid w:val="00EE23F2"/>
    <w:rsid w:val="00EE4695"/>
    <w:rsid w:val="00EE6D50"/>
    <w:rsid w:val="00EF6113"/>
    <w:rsid w:val="00EF65D7"/>
    <w:rsid w:val="00F04195"/>
    <w:rsid w:val="00F1141B"/>
    <w:rsid w:val="00F20271"/>
    <w:rsid w:val="00F22437"/>
    <w:rsid w:val="00F2425B"/>
    <w:rsid w:val="00F26116"/>
    <w:rsid w:val="00F26827"/>
    <w:rsid w:val="00F30DC2"/>
    <w:rsid w:val="00F31F75"/>
    <w:rsid w:val="00F3257C"/>
    <w:rsid w:val="00F35860"/>
    <w:rsid w:val="00F41A15"/>
    <w:rsid w:val="00F446D7"/>
    <w:rsid w:val="00F46021"/>
    <w:rsid w:val="00F50009"/>
    <w:rsid w:val="00F50E10"/>
    <w:rsid w:val="00F50EF8"/>
    <w:rsid w:val="00F534EA"/>
    <w:rsid w:val="00F53A6B"/>
    <w:rsid w:val="00F53DEB"/>
    <w:rsid w:val="00F561CB"/>
    <w:rsid w:val="00F60317"/>
    <w:rsid w:val="00F60679"/>
    <w:rsid w:val="00F60CD3"/>
    <w:rsid w:val="00F65D41"/>
    <w:rsid w:val="00F66BEF"/>
    <w:rsid w:val="00F66E97"/>
    <w:rsid w:val="00F71E90"/>
    <w:rsid w:val="00F744B2"/>
    <w:rsid w:val="00F76613"/>
    <w:rsid w:val="00F768A7"/>
    <w:rsid w:val="00F82AE7"/>
    <w:rsid w:val="00F836BB"/>
    <w:rsid w:val="00F87F8B"/>
    <w:rsid w:val="00F93D74"/>
    <w:rsid w:val="00F9593E"/>
    <w:rsid w:val="00F95D99"/>
    <w:rsid w:val="00FA1736"/>
    <w:rsid w:val="00FA3961"/>
    <w:rsid w:val="00FA4A04"/>
    <w:rsid w:val="00FA5FE4"/>
    <w:rsid w:val="00FA6915"/>
    <w:rsid w:val="00FA6D51"/>
    <w:rsid w:val="00FA7064"/>
    <w:rsid w:val="00FB0F4E"/>
    <w:rsid w:val="00FB27C1"/>
    <w:rsid w:val="00FB32A8"/>
    <w:rsid w:val="00FB5EAA"/>
    <w:rsid w:val="00FC437E"/>
    <w:rsid w:val="00FC7AB2"/>
    <w:rsid w:val="00FD0628"/>
    <w:rsid w:val="00FD1A30"/>
    <w:rsid w:val="00FD2348"/>
    <w:rsid w:val="00FE1605"/>
    <w:rsid w:val="00FE1B49"/>
    <w:rsid w:val="00FE2EE1"/>
    <w:rsid w:val="00FE3A36"/>
    <w:rsid w:val="00FE457C"/>
    <w:rsid w:val="00FF04E7"/>
    <w:rsid w:val="00FF0B3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F19FBF-7BF7-46C7-8BDF-19414F85B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semiHidden="1" w:uiPriority="72" w:unhideWhenUsed="1"/>
    <w:lsdException w:name="Plain Table 2" w:semiHidden="1" w:uiPriority="73" w:unhideWhenUsed="1"/>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sid w:val="00722BC8"/>
    <w:rPr>
      <w:sz w:val="24"/>
      <w:szCs w:val="24"/>
      <w:lang w:val="es-ES_tradnl" w:eastAsia="es-ES_tradnl"/>
    </w:rPr>
  </w:style>
  <w:style w:type="paragraph" w:styleId="Ttulo1">
    <w:name w:val="heading 1"/>
    <w:basedOn w:val="Normal"/>
    <w:next w:val="Normal"/>
    <w:link w:val="Ttulo1Car"/>
    <w:uiPriority w:val="9"/>
    <w:qFormat/>
    <w:rsid w:val="00722BC8"/>
    <w:pPr>
      <w:keepNext/>
      <w:keepLines/>
      <w:spacing w:before="240"/>
      <w:outlineLvl w:val="0"/>
    </w:pPr>
    <w:rPr>
      <w:rFonts w:ascii="Calibri Light" w:eastAsia="Times New Roman" w:hAnsi="Calibri Light"/>
      <w:color w:val="2F5496"/>
      <w:sz w:val="32"/>
      <w:szCs w:val="32"/>
    </w:rPr>
  </w:style>
  <w:style w:type="paragraph" w:styleId="Ttulo2">
    <w:name w:val="heading 2"/>
    <w:basedOn w:val="Normal"/>
    <w:next w:val="Normal"/>
    <w:link w:val="Ttulo2Car"/>
    <w:uiPriority w:val="9"/>
    <w:qFormat/>
    <w:rsid w:val="00722BC8"/>
    <w:pPr>
      <w:keepNext/>
      <w:keepLines/>
      <w:spacing w:before="40"/>
      <w:outlineLvl w:val="1"/>
    </w:pPr>
    <w:rPr>
      <w:rFonts w:ascii="Calibri Light" w:eastAsia="Times New Roman" w:hAnsi="Calibri Light"/>
      <w:color w:val="2F5496"/>
      <w:sz w:val="26"/>
      <w:szCs w:val="26"/>
    </w:rPr>
  </w:style>
  <w:style w:type="paragraph" w:styleId="Ttulo3">
    <w:name w:val="heading 3"/>
    <w:basedOn w:val="Normal"/>
    <w:next w:val="Normal"/>
    <w:link w:val="Ttulo3Car"/>
    <w:uiPriority w:val="9"/>
    <w:qFormat/>
    <w:rsid w:val="00722BC8"/>
    <w:pPr>
      <w:keepNext/>
      <w:keepLines/>
      <w:spacing w:before="40"/>
      <w:outlineLvl w:val="2"/>
    </w:pPr>
    <w:rPr>
      <w:rFonts w:ascii="Calibri Light" w:eastAsia="Times New Roman" w:hAnsi="Calibri Light"/>
      <w:color w:val="1F3763"/>
    </w:rPr>
  </w:style>
  <w:style w:type="paragraph" w:styleId="Ttulo4">
    <w:name w:val="heading 4"/>
    <w:basedOn w:val="Normal"/>
    <w:next w:val="Normal"/>
    <w:link w:val="Ttulo4Car"/>
    <w:uiPriority w:val="9"/>
    <w:qFormat/>
    <w:rsid w:val="00722BC8"/>
    <w:pPr>
      <w:keepNext/>
      <w:keepLines/>
      <w:spacing w:before="40"/>
      <w:outlineLvl w:val="3"/>
    </w:pPr>
    <w:rPr>
      <w:rFonts w:ascii="Calibri Light" w:eastAsia="Times New Roman" w:hAnsi="Calibri Light"/>
      <w:i/>
      <w:iCs/>
      <w:color w:val="2F5496"/>
    </w:rPr>
  </w:style>
  <w:style w:type="paragraph" w:styleId="Ttulo5">
    <w:name w:val="heading 5"/>
    <w:basedOn w:val="Normal"/>
    <w:next w:val="Normal"/>
    <w:link w:val="Ttulo5Car"/>
    <w:uiPriority w:val="9"/>
    <w:qFormat/>
    <w:rsid w:val="00722BC8"/>
    <w:pPr>
      <w:keepNext/>
      <w:keepLines/>
      <w:spacing w:before="40"/>
      <w:outlineLvl w:val="4"/>
    </w:pPr>
    <w:rPr>
      <w:rFonts w:ascii="Calibri Light" w:eastAsia="Times New Roman" w:hAnsi="Calibri Light"/>
      <w:color w:val="2F5496"/>
    </w:rPr>
  </w:style>
  <w:style w:type="paragraph" w:styleId="Ttulo6">
    <w:name w:val="heading 6"/>
    <w:basedOn w:val="Normal"/>
    <w:next w:val="Normal"/>
    <w:link w:val="Ttulo6Car"/>
    <w:uiPriority w:val="9"/>
    <w:qFormat/>
    <w:rsid w:val="00722BC8"/>
    <w:pPr>
      <w:keepNext/>
      <w:keepLines/>
      <w:spacing w:before="40"/>
      <w:outlineLvl w:val="5"/>
    </w:pPr>
    <w:rPr>
      <w:rFonts w:ascii="Calibri Light" w:eastAsia="Times New Roman" w:hAnsi="Calibri Light"/>
      <w:color w:val="1F3763"/>
    </w:rPr>
  </w:style>
  <w:style w:type="paragraph" w:styleId="Ttulo7">
    <w:name w:val="heading 7"/>
    <w:basedOn w:val="Normal"/>
    <w:next w:val="Normal"/>
    <w:link w:val="Ttulo7Car"/>
    <w:uiPriority w:val="9"/>
    <w:qFormat/>
    <w:rsid w:val="00722BC8"/>
    <w:pPr>
      <w:keepNext/>
      <w:keepLines/>
      <w:spacing w:before="40"/>
      <w:outlineLvl w:val="6"/>
    </w:pPr>
    <w:rPr>
      <w:rFonts w:ascii="Calibri Light" w:eastAsia="Times New Roman" w:hAnsi="Calibri Light"/>
      <w:i/>
      <w:iCs/>
      <w:color w:val="1F3763"/>
    </w:rPr>
  </w:style>
  <w:style w:type="paragraph" w:styleId="Ttulo8">
    <w:name w:val="heading 8"/>
    <w:basedOn w:val="Normal"/>
    <w:next w:val="Normal"/>
    <w:link w:val="Ttulo8Car"/>
    <w:uiPriority w:val="9"/>
    <w:qFormat/>
    <w:rsid w:val="00722BC8"/>
    <w:pPr>
      <w:keepNext/>
      <w:keepLines/>
      <w:spacing w:before="40"/>
      <w:outlineLvl w:val="7"/>
    </w:pPr>
    <w:rPr>
      <w:rFonts w:ascii="Calibri Light" w:eastAsia="Times New Roman" w:hAnsi="Calibri Light"/>
      <w:color w:val="272727"/>
      <w:sz w:val="21"/>
      <w:szCs w:val="21"/>
    </w:rPr>
  </w:style>
  <w:style w:type="paragraph" w:styleId="Ttulo9">
    <w:name w:val="heading 9"/>
    <w:basedOn w:val="Normal"/>
    <w:next w:val="Normal"/>
    <w:link w:val="Ttulo9Car"/>
    <w:uiPriority w:val="9"/>
    <w:qFormat/>
    <w:rsid w:val="00722BC8"/>
    <w:pPr>
      <w:keepNext/>
      <w:keepLines/>
      <w:spacing w:before="40"/>
      <w:outlineLvl w:val="8"/>
    </w:pPr>
    <w:rPr>
      <w:rFonts w:ascii="Calibri Light" w:eastAsia="Times New Roman" w:hAnsi="Calibri Light"/>
      <w:i/>
      <w:iCs/>
      <w:color w:val="272727"/>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avistosa-nfasis11">
    <w:name w:val="Lista vistosa - Énfasis 11"/>
    <w:basedOn w:val="Normal"/>
    <w:uiPriority w:val="34"/>
    <w:qFormat/>
    <w:rsid w:val="00722BC8"/>
    <w:pPr>
      <w:ind w:left="720"/>
      <w:contextualSpacing/>
    </w:pPr>
  </w:style>
  <w:style w:type="paragraph" w:styleId="Piedepgina">
    <w:name w:val="footer"/>
    <w:basedOn w:val="Normal"/>
    <w:link w:val="PiedepginaCar"/>
    <w:uiPriority w:val="99"/>
    <w:unhideWhenUsed/>
    <w:rsid w:val="004806AE"/>
    <w:pPr>
      <w:tabs>
        <w:tab w:val="center" w:pos="4419"/>
        <w:tab w:val="right" w:pos="8838"/>
      </w:tabs>
    </w:pPr>
  </w:style>
  <w:style w:type="character" w:customStyle="1" w:styleId="PiedepginaCar">
    <w:name w:val="Pie de página Car"/>
    <w:link w:val="Piedepgina"/>
    <w:uiPriority w:val="99"/>
    <w:rsid w:val="004806AE"/>
    <w:rPr>
      <w:sz w:val="24"/>
      <w:szCs w:val="24"/>
      <w:lang w:val="es-AR" w:eastAsia="en-US"/>
    </w:rPr>
  </w:style>
  <w:style w:type="character" w:styleId="Nmerodepgina">
    <w:name w:val="page number"/>
    <w:uiPriority w:val="99"/>
    <w:semiHidden/>
    <w:unhideWhenUsed/>
    <w:rsid w:val="004806AE"/>
  </w:style>
  <w:style w:type="paragraph" w:styleId="Textonotapie">
    <w:name w:val="footnote text"/>
    <w:basedOn w:val="Normal"/>
    <w:link w:val="TextonotapieCar"/>
    <w:autoRedefine/>
    <w:uiPriority w:val="99"/>
    <w:unhideWhenUsed/>
    <w:rsid w:val="009062F4"/>
    <w:pPr>
      <w:jc w:val="both"/>
    </w:pPr>
    <w:rPr>
      <w:rFonts w:ascii="Times New Roman" w:hAnsi="Times New Roman"/>
      <w:sz w:val="20"/>
      <w:szCs w:val="20"/>
    </w:rPr>
  </w:style>
  <w:style w:type="character" w:customStyle="1" w:styleId="TextonotapieCar">
    <w:name w:val="Texto nota pie Car"/>
    <w:link w:val="Textonotapie"/>
    <w:uiPriority w:val="99"/>
    <w:rsid w:val="009062F4"/>
    <w:rPr>
      <w:rFonts w:ascii="Times New Roman" w:hAnsi="Times New Roman"/>
      <w:lang w:val="es-ES_tradnl" w:eastAsia="es-ES_tradnl"/>
    </w:rPr>
  </w:style>
  <w:style w:type="character" w:styleId="Refdenotaalpie">
    <w:name w:val="footnote reference"/>
    <w:uiPriority w:val="99"/>
    <w:unhideWhenUsed/>
    <w:rsid w:val="0002190C"/>
    <w:rPr>
      <w:vertAlign w:val="superscript"/>
    </w:rPr>
  </w:style>
  <w:style w:type="paragraph" w:styleId="Textonotaalfinal">
    <w:name w:val="endnote text"/>
    <w:basedOn w:val="Normal"/>
    <w:link w:val="TextonotaalfinalCar"/>
    <w:uiPriority w:val="99"/>
    <w:unhideWhenUsed/>
    <w:rsid w:val="00163E7B"/>
  </w:style>
  <w:style w:type="character" w:customStyle="1" w:styleId="TextonotaalfinalCar">
    <w:name w:val="Texto nota al final Car"/>
    <w:link w:val="Textonotaalfinal"/>
    <w:uiPriority w:val="99"/>
    <w:rsid w:val="00163E7B"/>
    <w:rPr>
      <w:sz w:val="24"/>
      <w:szCs w:val="24"/>
      <w:lang w:val="es-AR" w:eastAsia="en-US"/>
    </w:rPr>
  </w:style>
  <w:style w:type="character" w:styleId="Refdenotaalfinal">
    <w:name w:val="endnote reference"/>
    <w:uiPriority w:val="99"/>
    <w:unhideWhenUsed/>
    <w:rsid w:val="0002190C"/>
    <w:rPr>
      <w:vertAlign w:val="superscript"/>
    </w:rPr>
  </w:style>
  <w:style w:type="paragraph" w:styleId="Encabezado">
    <w:name w:val="header"/>
    <w:basedOn w:val="Normal"/>
    <w:link w:val="EncabezadoCar"/>
    <w:uiPriority w:val="99"/>
    <w:unhideWhenUsed/>
    <w:rsid w:val="001B7DE8"/>
    <w:pPr>
      <w:tabs>
        <w:tab w:val="center" w:pos="4419"/>
        <w:tab w:val="right" w:pos="8838"/>
      </w:tabs>
    </w:pPr>
  </w:style>
  <w:style w:type="character" w:customStyle="1" w:styleId="EncabezadoCar">
    <w:name w:val="Encabezado Car"/>
    <w:link w:val="Encabezado"/>
    <w:uiPriority w:val="99"/>
    <w:rsid w:val="001B7DE8"/>
    <w:rPr>
      <w:sz w:val="24"/>
      <w:szCs w:val="24"/>
      <w:lang w:val="es-AR" w:eastAsia="en-US"/>
    </w:rPr>
  </w:style>
  <w:style w:type="paragraph" w:customStyle="1" w:styleId="notasalpie">
    <w:name w:val="notas al pie"/>
    <w:basedOn w:val="Textonotapie"/>
    <w:rsid w:val="00F46021"/>
  </w:style>
  <w:style w:type="paragraph" w:customStyle="1" w:styleId="Estilo1">
    <w:name w:val="Estilo1"/>
    <w:basedOn w:val="Textonotapie"/>
    <w:rsid w:val="00F46021"/>
  </w:style>
  <w:style w:type="character" w:customStyle="1" w:styleId="Ttulo1Car">
    <w:name w:val="Título 1 Car"/>
    <w:link w:val="Ttulo1"/>
    <w:uiPriority w:val="9"/>
    <w:rsid w:val="00722BC8"/>
    <w:rPr>
      <w:rFonts w:ascii="Calibri Light" w:eastAsia="Times New Roman" w:hAnsi="Calibri Light" w:cs="Times New Roman"/>
      <w:color w:val="2F5496"/>
      <w:sz w:val="32"/>
      <w:szCs w:val="32"/>
    </w:rPr>
  </w:style>
  <w:style w:type="character" w:customStyle="1" w:styleId="Ttulo2Car">
    <w:name w:val="Título 2 Car"/>
    <w:link w:val="Ttulo2"/>
    <w:uiPriority w:val="9"/>
    <w:semiHidden/>
    <w:rsid w:val="00722BC8"/>
    <w:rPr>
      <w:rFonts w:ascii="Calibri Light" w:eastAsia="Times New Roman" w:hAnsi="Calibri Light" w:cs="Times New Roman"/>
      <w:color w:val="2F5496"/>
      <w:sz w:val="26"/>
      <w:szCs w:val="26"/>
    </w:rPr>
  </w:style>
  <w:style w:type="character" w:customStyle="1" w:styleId="Ttulo3Car">
    <w:name w:val="Título 3 Car"/>
    <w:link w:val="Ttulo3"/>
    <w:uiPriority w:val="9"/>
    <w:semiHidden/>
    <w:rsid w:val="00722BC8"/>
    <w:rPr>
      <w:rFonts w:ascii="Calibri Light" w:eastAsia="Times New Roman" w:hAnsi="Calibri Light" w:cs="Times New Roman"/>
      <w:color w:val="1F3763"/>
    </w:rPr>
  </w:style>
  <w:style w:type="character" w:customStyle="1" w:styleId="Ttulo4Car">
    <w:name w:val="Título 4 Car"/>
    <w:link w:val="Ttulo4"/>
    <w:uiPriority w:val="9"/>
    <w:semiHidden/>
    <w:rsid w:val="00722BC8"/>
    <w:rPr>
      <w:rFonts w:ascii="Calibri Light" w:eastAsia="Times New Roman" w:hAnsi="Calibri Light" w:cs="Times New Roman"/>
      <w:i/>
      <w:iCs/>
      <w:color w:val="2F5496"/>
    </w:rPr>
  </w:style>
  <w:style w:type="character" w:customStyle="1" w:styleId="Ttulo5Car">
    <w:name w:val="Título 5 Car"/>
    <w:link w:val="Ttulo5"/>
    <w:uiPriority w:val="9"/>
    <w:semiHidden/>
    <w:rsid w:val="00722BC8"/>
    <w:rPr>
      <w:rFonts w:ascii="Calibri Light" w:eastAsia="Times New Roman" w:hAnsi="Calibri Light" w:cs="Times New Roman"/>
      <w:color w:val="2F5496"/>
    </w:rPr>
  </w:style>
  <w:style w:type="character" w:customStyle="1" w:styleId="Ttulo6Car">
    <w:name w:val="Título 6 Car"/>
    <w:link w:val="Ttulo6"/>
    <w:uiPriority w:val="9"/>
    <w:semiHidden/>
    <w:rsid w:val="00722BC8"/>
    <w:rPr>
      <w:rFonts w:ascii="Calibri Light" w:eastAsia="Times New Roman" w:hAnsi="Calibri Light" w:cs="Times New Roman"/>
      <w:color w:val="1F3763"/>
    </w:rPr>
  </w:style>
  <w:style w:type="character" w:customStyle="1" w:styleId="Ttulo7Car">
    <w:name w:val="Título 7 Car"/>
    <w:link w:val="Ttulo7"/>
    <w:uiPriority w:val="9"/>
    <w:semiHidden/>
    <w:rsid w:val="00722BC8"/>
    <w:rPr>
      <w:rFonts w:ascii="Calibri Light" w:eastAsia="Times New Roman" w:hAnsi="Calibri Light" w:cs="Times New Roman"/>
      <w:i/>
      <w:iCs/>
      <w:color w:val="1F3763"/>
    </w:rPr>
  </w:style>
  <w:style w:type="character" w:customStyle="1" w:styleId="Ttulo8Car">
    <w:name w:val="Título 8 Car"/>
    <w:link w:val="Ttulo8"/>
    <w:uiPriority w:val="9"/>
    <w:semiHidden/>
    <w:rsid w:val="00722BC8"/>
    <w:rPr>
      <w:rFonts w:ascii="Calibri Light" w:eastAsia="Times New Roman" w:hAnsi="Calibri Light" w:cs="Times New Roman"/>
      <w:color w:val="272727"/>
      <w:sz w:val="21"/>
      <w:szCs w:val="21"/>
    </w:rPr>
  </w:style>
  <w:style w:type="character" w:customStyle="1" w:styleId="Ttulo9Car">
    <w:name w:val="Título 9 Car"/>
    <w:link w:val="Ttulo9"/>
    <w:uiPriority w:val="9"/>
    <w:semiHidden/>
    <w:rsid w:val="00722BC8"/>
    <w:rPr>
      <w:rFonts w:ascii="Calibri Light" w:eastAsia="Times New Roman" w:hAnsi="Calibri Light" w:cs="Times New Roman"/>
      <w:i/>
      <w:iCs/>
      <w:color w:val="272727"/>
      <w:sz w:val="21"/>
      <w:szCs w:val="21"/>
    </w:rPr>
  </w:style>
  <w:style w:type="paragraph" w:styleId="Descripcin">
    <w:name w:val="caption"/>
    <w:basedOn w:val="Normal"/>
    <w:next w:val="Normal"/>
    <w:uiPriority w:val="35"/>
    <w:qFormat/>
    <w:rsid w:val="00722BC8"/>
    <w:pPr>
      <w:spacing w:after="200"/>
    </w:pPr>
    <w:rPr>
      <w:i/>
      <w:iCs/>
      <w:color w:val="44546A"/>
      <w:sz w:val="18"/>
      <w:szCs w:val="18"/>
    </w:rPr>
  </w:style>
  <w:style w:type="paragraph" w:styleId="Ttulo">
    <w:name w:val="Title"/>
    <w:basedOn w:val="Normal"/>
    <w:next w:val="Normal"/>
    <w:link w:val="TtuloCar"/>
    <w:uiPriority w:val="10"/>
    <w:qFormat/>
    <w:rsid w:val="00722BC8"/>
    <w:pPr>
      <w:contextualSpacing/>
    </w:pPr>
    <w:rPr>
      <w:rFonts w:ascii="Calibri Light" w:eastAsia="Times New Roman" w:hAnsi="Calibri Light"/>
      <w:spacing w:val="-10"/>
      <w:kern w:val="28"/>
      <w:sz w:val="56"/>
      <w:szCs w:val="56"/>
    </w:rPr>
  </w:style>
  <w:style w:type="character" w:customStyle="1" w:styleId="TtuloCar">
    <w:name w:val="Título Car"/>
    <w:link w:val="Ttulo"/>
    <w:uiPriority w:val="10"/>
    <w:rsid w:val="00722BC8"/>
    <w:rPr>
      <w:rFonts w:ascii="Calibri Light" w:eastAsia="Times New Roman" w:hAnsi="Calibri Light" w:cs="Times New Roman"/>
      <w:spacing w:val="-10"/>
      <w:kern w:val="28"/>
      <w:sz w:val="56"/>
      <w:szCs w:val="56"/>
    </w:rPr>
  </w:style>
  <w:style w:type="paragraph" w:styleId="Subttulo">
    <w:name w:val="Subtitle"/>
    <w:basedOn w:val="Normal"/>
    <w:next w:val="Normal"/>
    <w:link w:val="SubttuloCar"/>
    <w:uiPriority w:val="11"/>
    <w:qFormat/>
    <w:rsid w:val="00722BC8"/>
    <w:pPr>
      <w:numPr>
        <w:ilvl w:val="1"/>
      </w:numPr>
      <w:spacing w:after="160"/>
    </w:pPr>
    <w:rPr>
      <w:rFonts w:eastAsia="Times New Roman"/>
      <w:color w:val="5A5A5A"/>
      <w:spacing w:val="15"/>
      <w:sz w:val="22"/>
      <w:szCs w:val="22"/>
    </w:rPr>
  </w:style>
  <w:style w:type="character" w:customStyle="1" w:styleId="SubttuloCar">
    <w:name w:val="Subtítulo Car"/>
    <w:link w:val="Subttulo"/>
    <w:uiPriority w:val="11"/>
    <w:rsid w:val="00722BC8"/>
    <w:rPr>
      <w:rFonts w:eastAsia="Times New Roman"/>
      <w:color w:val="5A5A5A"/>
      <w:spacing w:val="15"/>
      <w:sz w:val="22"/>
      <w:szCs w:val="22"/>
    </w:rPr>
  </w:style>
  <w:style w:type="character" w:styleId="Textoennegrita">
    <w:name w:val="Strong"/>
    <w:uiPriority w:val="22"/>
    <w:qFormat/>
    <w:rsid w:val="00722BC8"/>
    <w:rPr>
      <w:b/>
      <w:bCs/>
    </w:rPr>
  </w:style>
  <w:style w:type="character" w:styleId="nfasis">
    <w:name w:val="Emphasis"/>
    <w:uiPriority w:val="20"/>
    <w:qFormat/>
    <w:rsid w:val="00722BC8"/>
    <w:rPr>
      <w:i/>
      <w:iCs/>
    </w:rPr>
  </w:style>
  <w:style w:type="paragraph" w:customStyle="1" w:styleId="Cuadrculamedia21">
    <w:name w:val="Cuadrícula media 21"/>
    <w:basedOn w:val="Normal"/>
    <w:link w:val="Cuadrculamedia2Car"/>
    <w:uiPriority w:val="1"/>
    <w:qFormat/>
    <w:rsid w:val="00722BC8"/>
  </w:style>
  <w:style w:type="character" w:customStyle="1" w:styleId="Cuadrculamedia2Car">
    <w:name w:val="Cuadrícula media 2 Car"/>
    <w:link w:val="Cuadrculamedia21"/>
    <w:uiPriority w:val="1"/>
    <w:rsid w:val="00722BC8"/>
  </w:style>
  <w:style w:type="paragraph" w:customStyle="1" w:styleId="Cuadrculavistosa-nfasis11">
    <w:name w:val="Cuadrícula vistosa - Énfasis 11"/>
    <w:basedOn w:val="Normal"/>
    <w:next w:val="Normal"/>
    <w:link w:val="Cuadrculavistosa-nfasis1Car"/>
    <w:uiPriority w:val="29"/>
    <w:qFormat/>
    <w:rsid w:val="00722BC8"/>
    <w:pPr>
      <w:spacing w:before="200" w:after="160"/>
      <w:ind w:left="864" w:right="864"/>
      <w:jc w:val="center"/>
    </w:pPr>
    <w:rPr>
      <w:i/>
      <w:iCs/>
      <w:color w:val="404040"/>
    </w:rPr>
  </w:style>
  <w:style w:type="character" w:customStyle="1" w:styleId="Cuadrculavistosa-nfasis1Car">
    <w:name w:val="Cuadrícula vistosa - Énfasis 1 Car"/>
    <w:link w:val="Cuadrculavistosa-nfasis11"/>
    <w:uiPriority w:val="29"/>
    <w:rsid w:val="00722BC8"/>
    <w:rPr>
      <w:i/>
      <w:iCs/>
      <w:color w:val="404040"/>
    </w:rPr>
  </w:style>
  <w:style w:type="paragraph" w:customStyle="1" w:styleId="Sombreadoclaro-nfasis21">
    <w:name w:val="Sombreado claro - Énfasis 21"/>
    <w:basedOn w:val="Normal"/>
    <w:next w:val="Normal"/>
    <w:link w:val="Sombreadoclaro-nfasis2Car"/>
    <w:uiPriority w:val="30"/>
    <w:qFormat/>
    <w:rsid w:val="00722BC8"/>
    <w:pPr>
      <w:pBdr>
        <w:top w:val="single" w:sz="4" w:space="10" w:color="4472C4"/>
        <w:bottom w:val="single" w:sz="4" w:space="10" w:color="4472C4"/>
      </w:pBdr>
      <w:spacing w:before="360" w:after="360"/>
      <w:ind w:left="864" w:right="864"/>
      <w:jc w:val="center"/>
    </w:pPr>
    <w:rPr>
      <w:i/>
      <w:iCs/>
      <w:color w:val="4472C4"/>
    </w:rPr>
  </w:style>
  <w:style w:type="character" w:customStyle="1" w:styleId="Sombreadoclaro-nfasis2Car">
    <w:name w:val="Sombreado claro - Énfasis 2 Car"/>
    <w:link w:val="Sombreadoclaro-nfasis21"/>
    <w:uiPriority w:val="30"/>
    <w:rsid w:val="00722BC8"/>
    <w:rPr>
      <w:i/>
      <w:iCs/>
      <w:color w:val="4472C4"/>
    </w:rPr>
  </w:style>
  <w:style w:type="character" w:customStyle="1" w:styleId="Tablanormal31">
    <w:name w:val="Tabla normal 31"/>
    <w:uiPriority w:val="19"/>
    <w:qFormat/>
    <w:rsid w:val="00722BC8"/>
    <w:rPr>
      <w:i/>
      <w:iCs/>
      <w:color w:val="404040"/>
    </w:rPr>
  </w:style>
  <w:style w:type="character" w:customStyle="1" w:styleId="Tablanormal41">
    <w:name w:val="Tabla normal 41"/>
    <w:uiPriority w:val="21"/>
    <w:qFormat/>
    <w:rsid w:val="00722BC8"/>
    <w:rPr>
      <w:i/>
      <w:iCs/>
      <w:color w:val="4472C4"/>
    </w:rPr>
  </w:style>
  <w:style w:type="character" w:customStyle="1" w:styleId="Tablanormal51">
    <w:name w:val="Tabla normal 51"/>
    <w:uiPriority w:val="31"/>
    <w:qFormat/>
    <w:rsid w:val="00722BC8"/>
    <w:rPr>
      <w:smallCaps/>
      <w:color w:val="5A5A5A"/>
    </w:rPr>
  </w:style>
  <w:style w:type="character" w:customStyle="1" w:styleId="Tablaconcuadrculaclara1">
    <w:name w:val="Tabla con cuadrícula clara1"/>
    <w:uiPriority w:val="32"/>
    <w:qFormat/>
    <w:rsid w:val="00722BC8"/>
    <w:rPr>
      <w:b/>
      <w:bCs/>
      <w:smallCaps/>
      <w:color w:val="4472C4"/>
      <w:spacing w:val="5"/>
    </w:rPr>
  </w:style>
  <w:style w:type="character" w:customStyle="1" w:styleId="Tablaconcuadrcula1clara1">
    <w:name w:val="Tabla con cuadrícula 1 clara1"/>
    <w:uiPriority w:val="33"/>
    <w:qFormat/>
    <w:rsid w:val="00722BC8"/>
    <w:rPr>
      <w:b/>
      <w:bCs/>
      <w:i/>
      <w:iCs/>
      <w:spacing w:val="5"/>
    </w:rPr>
  </w:style>
  <w:style w:type="paragraph" w:customStyle="1" w:styleId="Tabladecuadrcula31">
    <w:name w:val="Tabla de cuadrícula 31"/>
    <w:basedOn w:val="Ttulo1"/>
    <w:next w:val="Normal"/>
    <w:uiPriority w:val="39"/>
    <w:semiHidden/>
    <w:unhideWhenUsed/>
    <w:qFormat/>
    <w:rsid w:val="00722BC8"/>
    <w:pPr>
      <w:outlineLvl w:val="9"/>
    </w:pPr>
  </w:style>
  <w:style w:type="character" w:customStyle="1" w:styleId="shorttext">
    <w:name w:val="short_text"/>
    <w:rsid w:val="0061103E"/>
  </w:style>
  <w:style w:type="character" w:styleId="Hipervnculo">
    <w:name w:val="Hyperlink"/>
    <w:uiPriority w:val="99"/>
    <w:unhideWhenUsed/>
    <w:rsid w:val="00F2425B"/>
    <w:rPr>
      <w:color w:val="0563C1"/>
      <w:u w:val="single"/>
    </w:rPr>
  </w:style>
  <w:style w:type="character" w:customStyle="1" w:styleId="Mencinsinresolver">
    <w:name w:val="Mención sin resolver"/>
    <w:uiPriority w:val="47"/>
    <w:rsid w:val="00F2425B"/>
    <w:rPr>
      <w:color w:val="605E5C"/>
      <w:shd w:val="clear" w:color="auto" w:fill="E1DFDD"/>
    </w:rPr>
  </w:style>
  <w:style w:type="paragraph" w:styleId="NormalWeb">
    <w:name w:val="Normal (Web)"/>
    <w:basedOn w:val="Normal"/>
    <w:uiPriority w:val="99"/>
    <w:unhideWhenUsed/>
    <w:rsid w:val="005C2245"/>
    <w:pPr>
      <w:spacing w:before="100" w:beforeAutospacing="1" w:after="100" w:afterAutospacing="1"/>
    </w:pPr>
    <w:rPr>
      <w:rFonts w:ascii="Times New Roman" w:eastAsia="Times New Roman" w:hAnsi="Times New Roman"/>
      <w:lang w:val="es-AR" w:eastAsia="es-MX"/>
    </w:rPr>
  </w:style>
  <w:style w:type="character" w:styleId="Hipervnculovisitado">
    <w:name w:val="FollowedHyperlink"/>
    <w:uiPriority w:val="99"/>
    <w:semiHidden/>
    <w:unhideWhenUsed/>
    <w:rsid w:val="00E036BD"/>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096008">
      <w:bodyDiv w:val="1"/>
      <w:marLeft w:val="0"/>
      <w:marRight w:val="0"/>
      <w:marTop w:val="0"/>
      <w:marBottom w:val="0"/>
      <w:divBdr>
        <w:top w:val="none" w:sz="0" w:space="0" w:color="auto"/>
        <w:left w:val="none" w:sz="0" w:space="0" w:color="auto"/>
        <w:bottom w:val="none" w:sz="0" w:space="0" w:color="auto"/>
        <w:right w:val="none" w:sz="0" w:space="0" w:color="auto"/>
      </w:divBdr>
      <w:divsChild>
        <w:div w:id="995231208">
          <w:marLeft w:val="0"/>
          <w:marRight w:val="0"/>
          <w:marTop w:val="0"/>
          <w:marBottom w:val="0"/>
          <w:divBdr>
            <w:top w:val="none" w:sz="0" w:space="0" w:color="auto"/>
            <w:left w:val="none" w:sz="0" w:space="0" w:color="auto"/>
            <w:bottom w:val="none" w:sz="0" w:space="0" w:color="auto"/>
            <w:right w:val="none" w:sz="0" w:space="0" w:color="auto"/>
          </w:divBdr>
          <w:divsChild>
            <w:div w:id="404838217">
              <w:marLeft w:val="0"/>
              <w:marRight w:val="0"/>
              <w:marTop w:val="0"/>
              <w:marBottom w:val="0"/>
              <w:divBdr>
                <w:top w:val="none" w:sz="0" w:space="0" w:color="auto"/>
                <w:left w:val="none" w:sz="0" w:space="0" w:color="auto"/>
                <w:bottom w:val="none" w:sz="0" w:space="0" w:color="auto"/>
                <w:right w:val="none" w:sz="0" w:space="0" w:color="auto"/>
              </w:divBdr>
              <w:divsChild>
                <w:div w:id="1611358752">
                  <w:marLeft w:val="0"/>
                  <w:marRight w:val="0"/>
                  <w:marTop w:val="0"/>
                  <w:marBottom w:val="0"/>
                  <w:divBdr>
                    <w:top w:val="none" w:sz="0" w:space="0" w:color="auto"/>
                    <w:left w:val="none" w:sz="0" w:space="0" w:color="auto"/>
                    <w:bottom w:val="none" w:sz="0" w:space="0" w:color="auto"/>
                    <w:right w:val="none" w:sz="0" w:space="0" w:color="auto"/>
                  </w:divBdr>
                </w:div>
              </w:divsChild>
            </w:div>
            <w:div w:id="1466315155">
              <w:marLeft w:val="0"/>
              <w:marRight w:val="0"/>
              <w:marTop w:val="0"/>
              <w:marBottom w:val="0"/>
              <w:divBdr>
                <w:top w:val="none" w:sz="0" w:space="0" w:color="auto"/>
                <w:left w:val="none" w:sz="0" w:space="0" w:color="auto"/>
                <w:bottom w:val="none" w:sz="0" w:space="0" w:color="auto"/>
                <w:right w:val="none" w:sz="0" w:space="0" w:color="auto"/>
              </w:divBdr>
              <w:divsChild>
                <w:div w:id="1618684596">
                  <w:marLeft w:val="0"/>
                  <w:marRight w:val="0"/>
                  <w:marTop w:val="0"/>
                  <w:marBottom w:val="0"/>
                  <w:divBdr>
                    <w:top w:val="none" w:sz="0" w:space="0" w:color="auto"/>
                    <w:left w:val="none" w:sz="0" w:space="0" w:color="auto"/>
                    <w:bottom w:val="none" w:sz="0" w:space="0" w:color="auto"/>
                    <w:right w:val="none" w:sz="0" w:space="0" w:color="auto"/>
                  </w:divBdr>
                </w:div>
              </w:divsChild>
            </w:div>
            <w:div w:id="1588689210">
              <w:marLeft w:val="0"/>
              <w:marRight w:val="0"/>
              <w:marTop w:val="0"/>
              <w:marBottom w:val="0"/>
              <w:divBdr>
                <w:top w:val="none" w:sz="0" w:space="0" w:color="auto"/>
                <w:left w:val="none" w:sz="0" w:space="0" w:color="auto"/>
                <w:bottom w:val="none" w:sz="0" w:space="0" w:color="auto"/>
                <w:right w:val="none" w:sz="0" w:space="0" w:color="auto"/>
              </w:divBdr>
              <w:divsChild>
                <w:div w:id="150473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macintosh"/>
</w:webSettings>
</file>

<file path=word/_rels/document.xml.rels><?xml version="1.0" encoding="UTF-8" standalone="yes"?>
<Relationships xmlns="http://schemas.openxmlformats.org/package/2006/relationships"><Relationship Id="rId8" Type="http://schemas.openxmlformats.org/officeDocument/2006/relationships/hyperlink" Target="https://diariolaley.laleynext.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istemasjudiciales.org/wp-content/uploads/2021/10/14.-SJ24.-Rua.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diariolaley.laleynext.es" TargetMode="External"/><Relationship Id="rId2" Type="http://schemas.openxmlformats.org/officeDocument/2006/relationships/hyperlink" Target="https://dle.rae.es/presencia" TargetMode="External"/><Relationship Id="rId1" Type="http://schemas.openxmlformats.org/officeDocument/2006/relationships/hyperlink" Target="https://sistemasjudiciales.org/wp-content/uploads/2021/10/14.-SJ24.-Rua.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6318305-2659-4587-8EE8-0FD86E91D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8951</Words>
  <Characters>49236</Characters>
  <Application>Microsoft Office Word</Application>
  <DocSecurity>0</DocSecurity>
  <Lines>410</Lines>
  <Paragraphs>116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58071</CharactersWithSpaces>
  <SharedDoc>false</SharedDoc>
  <HLinks>
    <vt:vector size="30" baseType="variant">
      <vt:variant>
        <vt:i4>7209013</vt:i4>
      </vt:variant>
      <vt:variant>
        <vt:i4>3</vt:i4>
      </vt:variant>
      <vt:variant>
        <vt:i4>0</vt:i4>
      </vt:variant>
      <vt:variant>
        <vt:i4>5</vt:i4>
      </vt:variant>
      <vt:variant>
        <vt:lpwstr>https://sistemasjudiciales.org/wp-content/uploads/2021/10/14.-SJ24.-Rua.pdf</vt:lpwstr>
      </vt:variant>
      <vt:variant>
        <vt:lpwstr/>
      </vt:variant>
      <vt:variant>
        <vt:i4>88</vt:i4>
      </vt:variant>
      <vt:variant>
        <vt:i4>0</vt:i4>
      </vt:variant>
      <vt:variant>
        <vt:i4>0</vt:i4>
      </vt:variant>
      <vt:variant>
        <vt:i4>5</vt:i4>
      </vt:variant>
      <vt:variant>
        <vt:lpwstr>https://diariolaley.laleynext.es/</vt:lpwstr>
      </vt:variant>
      <vt:variant>
        <vt:lpwstr/>
      </vt:variant>
      <vt:variant>
        <vt:i4>88</vt:i4>
      </vt:variant>
      <vt:variant>
        <vt:i4>6</vt:i4>
      </vt:variant>
      <vt:variant>
        <vt:i4>0</vt:i4>
      </vt:variant>
      <vt:variant>
        <vt:i4>5</vt:i4>
      </vt:variant>
      <vt:variant>
        <vt:lpwstr>https://diariolaley.laleynext.es/</vt:lpwstr>
      </vt:variant>
      <vt:variant>
        <vt:lpwstr/>
      </vt:variant>
      <vt:variant>
        <vt:i4>1900570</vt:i4>
      </vt:variant>
      <vt:variant>
        <vt:i4>3</vt:i4>
      </vt:variant>
      <vt:variant>
        <vt:i4>0</vt:i4>
      </vt:variant>
      <vt:variant>
        <vt:i4>5</vt:i4>
      </vt:variant>
      <vt:variant>
        <vt:lpwstr>https://dle.rae.es/presencia</vt:lpwstr>
      </vt:variant>
      <vt:variant>
        <vt:lpwstr/>
      </vt:variant>
      <vt:variant>
        <vt:i4>7209013</vt:i4>
      </vt:variant>
      <vt:variant>
        <vt:i4>0</vt:i4>
      </vt:variant>
      <vt:variant>
        <vt:i4>0</vt:i4>
      </vt:variant>
      <vt:variant>
        <vt:i4>5</vt:i4>
      </vt:variant>
      <vt:variant>
        <vt:lpwstr>https://sistemasjudiciales.org/wp-content/uploads/2021/10/14.-SJ24.-Rua.pdf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Windows</cp:lastModifiedBy>
  <cp:revision>2</cp:revision>
  <cp:lastPrinted>2022-03-29T11:08:00Z</cp:lastPrinted>
  <dcterms:created xsi:type="dcterms:W3CDTF">2023-05-29T08:08:00Z</dcterms:created>
  <dcterms:modified xsi:type="dcterms:W3CDTF">2023-05-29T08:08:00Z</dcterms:modified>
</cp:coreProperties>
</file>