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776AAC" w14:textId="77777777" w:rsidR="0036687C" w:rsidRDefault="0036687C" w:rsidP="00061E86">
      <w:pPr>
        <w:spacing w:line="360" w:lineRule="auto"/>
        <w:jc w:val="both"/>
        <w:rPr>
          <w:rFonts w:ascii="Times New Roman" w:hAnsi="Times New Roman" w:cs="Times New Roman"/>
        </w:rPr>
      </w:pPr>
    </w:p>
    <w:p w14:paraId="1644040E" w14:textId="77777777" w:rsidR="00D22C82" w:rsidRDefault="008A119A" w:rsidP="0036687C">
      <w:pPr>
        <w:spacing w:line="360" w:lineRule="auto"/>
        <w:ind w:firstLine="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CONVENCIÓN </w:t>
      </w:r>
      <w:r w:rsidRPr="00FE1722">
        <w:rPr>
          <w:rFonts w:ascii="Times New Roman" w:hAnsi="Times New Roman" w:cs="Times New Roman"/>
          <w:b/>
          <w:i/>
        </w:rPr>
        <w:t>BELÉM DO PARÁ</w:t>
      </w:r>
      <w:r>
        <w:rPr>
          <w:rFonts w:ascii="Times New Roman" w:hAnsi="Times New Roman" w:cs="Times New Roman"/>
          <w:b/>
        </w:rPr>
        <w:t xml:space="preserve"> Y </w:t>
      </w:r>
      <w:r w:rsidR="00C84CDE">
        <w:rPr>
          <w:rFonts w:ascii="Times New Roman" w:hAnsi="Times New Roman" w:cs="Times New Roman"/>
          <w:b/>
        </w:rPr>
        <w:t>LA IMPOSIBILIDAD DE APLICAR MEDIDAS ALTERNATIVA</w:t>
      </w:r>
      <w:r w:rsidR="00F16E9E">
        <w:rPr>
          <w:rFonts w:ascii="Times New Roman" w:hAnsi="Times New Roman" w:cs="Times New Roman"/>
          <w:b/>
        </w:rPr>
        <w:t>S</w:t>
      </w:r>
      <w:r w:rsidR="00C84CDE">
        <w:rPr>
          <w:rFonts w:ascii="Times New Roman" w:hAnsi="Times New Roman" w:cs="Times New Roman"/>
          <w:b/>
        </w:rPr>
        <w:t xml:space="preserve"> A LA PENA DE PRISIÓN </w:t>
      </w:r>
    </w:p>
    <w:p w14:paraId="5278AB37" w14:textId="77777777" w:rsidR="00CA0F8D" w:rsidRDefault="00CA0F8D" w:rsidP="00DA1015">
      <w:pPr>
        <w:spacing w:line="360" w:lineRule="auto"/>
        <w:rPr>
          <w:rFonts w:ascii="Times New Roman" w:hAnsi="Times New Roman" w:cs="Times New Roman"/>
        </w:rPr>
      </w:pPr>
      <w:bookmarkStart w:id="0" w:name="_GoBack"/>
      <w:bookmarkEnd w:id="0"/>
    </w:p>
    <w:p w14:paraId="7A4D2D4D" w14:textId="77777777" w:rsidR="0082464A" w:rsidRDefault="00B3449B" w:rsidP="0082464A">
      <w:pPr>
        <w:spacing w:line="360" w:lineRule="auto"/>
        <w:ind w:firstLine="567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D22C82">
        <w:rPr>
          <w:rFonts w:ascii="Times New Roman" w:hAnsi="Times New Roman" w:cs="Times New Roman"/>
          <w:b/>
          <w:sz w:val="20"/>
          <w:szCs w:val="20"/>
        </w:rPr>
        <w:t>María Paula QUIROGA CO</w:t>
      </w:r>
      <w:r w:rsidR="00D22C82">
        <w:rPr>
          <w:rFonts w:ascii="Times New Roman" w:hAnsi="Times New Roman" w:cs="Times New Roman"/>
          <w:b/>
          <w:sz w:val="20"/>
          <w:szCs w:val="20"/>
        </w:rPr>
        <w:t>RTI</w:t>
      </w:r>
      <w:r w:rsidR="00001345" w:rsidRPr="00001345">
        <w:rPr>
          <w:rStyle w:val="Refdenotaalpie"/>
          <w:rFonts w:ascii="Times New Roman" w:hAnsi="Times New Roman"/>
          <w:sz w:val="20"/>
          <w:szCs w:val="20"/>
        </w:rPr>
        <w:footnoteReference w:customMarkFollows="1" w:id="1"/>
        <w:sym w:font="Symbol" w:char="F02A"/>
      </w:r>
    </w:p>
    <w:p w14:paraId="7DCFD862" w14:textId="77777777" w:rsidR="006B1532" w:rsidRDefault="006B1532" w:rsidP="00CA0F8D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2FFD9F75" w14:textId="77777777" w:rsidR="00256F0A" w:rsidRDefault="00256F0A" w:rsidP="00DA1015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96BA186" w14:textId="2DBA36E4" w:rsidR="00C84CDE" w:rsidRDefault="005548E4" w:rsidP="00627391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</w:t>
      </w:r>
      <w:r w:rsidR="008A618D">
        <w:rPr>
          <w:rFonts w:ascii="Times New Roman" w:hAnsi="Times New Roman" w:cs="Times New Roman"/>
        </w:rPr>
        <w:t>n el marco de la Organización de Estados Americanos</w:t>
      </w:r>
      <w:r w:rsidR="00FE1722">
        <w:rPr>
          <w:rFonts w:ascii="Times New Roman" w:hAnsi="Times New Roman" w:cs="Times New Roman"/>
        </w:rPr>
        <w:t>,</w:t>
      </w:r>
      <w:r w:rsidR="008A618D">
        <w:rPr>
          <w:rFonts w:ascii="Times New Roman" w:hAnsi="Times New Roman" w:cs="Times New Roman"/>
        </w:rPr>
        <w:t xml:space="preserve"> se elaborar</w:t>
      </w:r>
      <w:r w:rsidR="00BF3CA0">
        <w:rPr>
          <w:rFonts w:ascii="Times New Roman" w:hAnsi="Times New Roman" w:cs="Times New Roman"/>
        </w:rPr>
        <w:t>o</w:t>
      </w:r>
      <w:r w:rsidR="008A618D">
        <w:rPr>
          <w:rFonts w:ascii="Times New Roman" w:hAnsi="Times New Roman" w:cs="Times New Roman"/>
        </w:rPr>
        <w:t>n diferentes instrumentos que trataron de abarcar los distintos aspectos que confluyen en la temática</w:t>
      </w:r>
      <w:r>
        <w:rPr>
          <w:rFonts w:ascii="Times New Roman" w:hAnsi="Times New Roman" w:cs="Times New Roman"/>
        </w:rPr>
        <w:t xml:space="preserve"> de la violencia de género</w:t>
      </w:r>
      <w:r w:rsidR="008A618D">
        <w:rPr>
          <w:rFonts w:ascii="Times New Roman" w:hAnsi="Times New Roman" w:cs="Times New Roman"/>
        </w:rPr>
        <w:t xml:space="preserve">, siendo éstos la </w:t>
      </w:r>
      <w:r w:rsidR="00B179B8">
        <w:rPr>
          <w:rFonts w:ascii="Times New Roman" w:hAnsi="Times New Roman" w:cs="Times New Roman"/>
        </w:rPr>
        <w:t>Convención sobre la eliminación de todas las formas de discriminación contra la mujer adoptada por la Asamblea General de las Naciones Unidas</w:t>
      </w:r>
      <w:r w:rsidR="008A618D">
        <w:rPr>
          <w:rFonts w:ascii="Times New Roman" w:hAnsi="Times New Roman" w:cs="Times New Roman"/>
        </w:rPr>
        <w:t xml:space="preserve"> y </w:t>
      </w:r>
      <w:r w:rsidR="00B179B8">
        <w:rPr>
          <w:rFonts w:ascii="Times New Roman" w:hAnsi="Times New Roman" w:cs="Times New Roman"/>
        </w:rPr>
        <w:t xml:space="preserve">dentro del marco de la Organización de Estados Americanos (OEA) </w:t>
      </w:r>
      <w:r w:rsidR="008A618D">
        <w:rPr>
          <w:rFonts w:ascii="Times New Roman" w:hAnsi="Times New Roman" w:cs="Times New Roman"/>
        </w:rPr>
        <w:t xml:space="preserve">la Convención Interamericana para prevenir, sancionar y erradicar la violencia contra la mujer, conocida como Convención </w:t>
      </w:r>
      <w:r w:rsidR="008A618D" w:rsidRPr="004F25DA">
        <w:rPr>
          <w:rFonts w:ascii="Times New Roman" w:hAnsi="Times New Roman" w:cs="Times New Roman"/>
          <w:i/>
        </w:rPr>
        <w:t xml:space="preserve">Belém </w:t>
      </w:r>
      <w:r w:rsidR="00BF3CA0">
        <w:rPr>
          <w:rFonts w:ascii="Times New Roman" w:hAnsi="Times New Roman" w:cs="Times New Roman"/>
          <w:i/>
        </w:rPr>
        <w:t>d</w:t>
      </w:r>
      <w:r w:rsidR="008A618D" w:rsidRPr="004F25DA">
        <w:rPr>
          <w:rFonts w:ascii="Times New Roman" w:hAnsi="Times New Roman" w:cs="Times New Roman"/>
          <w:i/>
        </w:rPr>
        <w:t>o Pará</w:t>
      </w:r>
      <w:r w:rsidR="008A618D">
        <w:rPr>
          <w:rFonts w:ascii="Times New Roman" w:hAnsi="Times New Roman" w:cs="Times New Roman"/>
        </w:rPr>
        <w:t xml:space="preserve"> dado que fue hecha en dicha ciudad en Brasil en el año 1994.</w:t>
      </w:r>
      <w:r w:rsidR="00665A12">
        <w:rPr>
          <w:rFonts w:ascii="Times New Roman" w:hAnsi="Times New Roman" w:cs="Times New Roman"/>
        </w:rPr>
        <w:t xml:space="preserve"> Ambas Convenciones instan a los Estados firmantes a realizar un abordaje multidisciplinario </w:t>
      </w:r>
      <w:r w:rsidR="00B179B8">
        <w:rPr>
          <w:rFonts w:ascii="Times New Roman" w:hAnsi="Times New Roman" w:cs="Times New Roman"/>
        </w:rPr>
        <w:t xml:space="preserve">de las temáticas que tratan y, en concreto en la Convención Interamericana que aborda la violencia contra las mujeres, </w:t>
      </w:r>
      <w:r w:rsidR="00665A12">
        <w:rPr>
          <w:rFonts w:ascii="Times New Roman" w:hAnsi="Times New Roman" w:cs="Times New Roman"/>
        </w:rPr>
        <w:t>incluye al Derecho penal como una herramienta inelud</w:t>
      </w:r>
      <w:r w:rsidR="00667298">
        <w:rPr>
          <w:rFonts w:ascii="Times New Roman" w:hAnsi="Times New Roman" w:cs="Times New Roman"/>
        </w:rPr>
        <w:t>ible para sancionar este tipo de conductas</w:t>
      </w:r>
      <w:r w:rsidR="00C84CDE">
        <w:rPr>
          <w:rFonts w:ascii="Times New Roman" w:hAnsi="Times New Roman" w:cs="Times New Roman"/>
        </w:rPr>
        <w:t xml:space="preserve">, recomendando </w:t>
      </w:r>
      <w:r w:rsidR="00B179B8">
        <w:rPr>
          <w:rFonts w:ascii="Times New Roman" w:hAnsi="Times New Roman" w:cs="Times New Roman"/>
        </w:rPr>
        <w:t xml:space="preserve">hacer </w:t>
      </w:r>
      <w:r w:rsidR="00C84CDE">
        <w:rPr>
          <w:rFonts w:ascii="Times New Roman" w:hAnsi="Times New Roman" w:cs="Times New Roman"/>
        </w:rPr>
        <w:t>las reformas legislativas necesarias para tal fin.</w:t>
      </w:r>
    </w:p>
    <w:p w14:paraId="71205723" w14:textId="77777777" w:rsidR="00627391" w:rsidRDefault="00627391" w:rsidP="00627391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</w:p>
    <w:p w14:paraId="00BBC22B" w14:textId="77777777" w:rsidR="00923557" w:rsidRDefault="00C84CDE" w:rsidP="00627391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Y es en esta línea que la Convención </w:t>
      </w:r>
      <w:r w:rsidRPr="004F25DA">
        <w:rPr>
          <w:rFonts w:ascii="Times New Roman" w:hAnsi="Times New Roman" w:cs="Times New Roman"/>
          <w:i/>
        </w:rPr>
        <w:t xml:space="preserve">Belém </w:t>
      </w:r>
      <w:r w:rsidR="00BF3CA0">
        <w:rPr>
          <w:rFonts w:ascii="Times New Roman" w:hAnsi="Times New Roman" w:cs="Times New Roman"/>
          <w:i/>
        </w:rPr>
        <w:t>d</w:t>
      </w:r>
      <w:r w:rsidRPr="004F25DA">
        <w:rPr>
          <w:rFonts w:ascii="Times New Roman" w:hAnsi="Times New Roman" w:cs="Times New Roman"/>
          <w:i/>
        </w:rPr>
        <w:t>o Pará</w:t>
      </w:r>
      <w:r>
        <w:rPr>
          <w:rFonts w:ascii="Times New Roman" w:hAnsi="Times New Roman" w:cs="Times New Roman"/>
        </w:rPr>
        <w:t xml:space="preserve"> establece como obligación de los Estados sancionar </w:t>
      </w:r>
      <w:r w:rsidR="00B179B8">
        <w:rPr>
          <w:rFonts w:ascii="Times New Roman" w:hAnsi="Times New Roman" w:cs="Times New Roman"/>
        </w:rPr>
        <w:t xml:space="preserve">toda aquella conducta que pueda considerarse violencia contra la mujer </w:t>
      </w:r>
      <w:r>
        <w:rPr>
          <w:rFonts w:ascii="Times New Roman" w:hAnsi="Times New Roman" w:cs="Times New Roman"/>
        </w:rPr>
        <w:t>y</w:t>
      </w:r>
      <w:r w:rsidR="00080BDA">
        <w:rPr>
          <w:rFonts w:ascii="Times New Roman" w:hAnsi="Times New Roman" w:cs="Times New Roman"/>
        </w:rPr>
        <w:t>, entre otras medidas</w:t>
      </w:r>
      <w:r w:rsidR="00B179B8">
        <w:rPr>
          <w:rFonts w:ascii="Times New Roman" w:hAnsi="Times New Roman" w:cs="Times New Roman"/>
        </w:rPr>
        <w:t xml:space="preserve"> establece que, a tal fin, debe </w:t>
      </w:r>
      <w:r w:rsidR="00080BDA">
        <w:rPr>
          <w:rFonts w:ascii="Times New Roman" w:hAnsi="Times New Roman" w:cs="Times New Roman"/>
        </w:rPr>
        <w:t>reali</w:t>
      </w:r>
      <w:r w:rsidR="00B179B8">
        <w:rPr>
          <w:rFonts w:ascii="Times New Roman" w:hAnsi="Times New Roman" w:cs="Times New Roman"/>
        </w:rPr>
        <w:t xml:space="preserve">zar </w:t>
      </w:r>
      <w:r w:rsidR="00080BDA">
        <w:rPr>
          <w:rFonts w:ascii="Times New Roman" w:hAnsi="Times New Roman" w:cs="Times New Roman"/>
        </w:rPr>
        <w:t xml:space="preserve">un </w:t>
      </w:r>
      <w:r>
        <w:rPr>
          <w:rFonts w:ascii="Times New Roman" w:hAnsi="Times New Roman" w:cs="Times New Roman"/>
        </w:rPr>
        <w:t xml:space="preserve">juicio oportuno. Pareciera entonces que la única </w:t>
      </w:r>
      <w:r w:rsidR="00F16E9E">
        <w:rPr>
          <w:rFonts w:ascii="Times New Roman" w:hAnsi="Times New Roman" w:cs="Times New Roman"/>
        </w:rPr>
        <w:t xml:space="preserve">opción posible frente a </w:t>
      </w:r>
      <w:r w:rsidR="00B179B8">
        <w:rPr>
          <w:rFonts w:ascii="Times New Roman" w:hAnsi="Times New Roman" w:cs="Times New Roman"/>
        </w:rPr>
        <w:t xml:space="preserve">este tipo de </w:t>
      </w:r>
      <w:r w:rsidR="00F16E9E">
        <w:rPr>
          <w:rFonts w:ascii="Times New Roman" w:hAnsi="Times New Roman" w:cs="Times New Roman"/>
        </w:rPr>
        <w:t xml:space="preserve">hechos es el castigo del responsable sin que sea posible aplicar alguna medida alternativa a la pena, aunque ello pudiera resultar incluso beneficioso para la víctima. </w:t>
      </w:r>
      <w:r w:rsidR="00080BDA">
        <w:rPr>
          <w:rFonts w:ascii="Times New Roman" w:hAnsi="Times New Roman" w:cs="Times New Roman"/>
        </w:rPr>
        <w:t>Esta interpretación ha dividido no sólo a la doctrina sino también a la jurisprudencia pues advierten que, en no pocas ocasiones, resulta más conveniente a los intereses de la víctima utilizar algún método alternativo que busque la reparación de ésta y la solución del conflicto que aplicar una pena de prisión aun cuando se deje en suspenso el cumplimiento de la condena</w:t>
      </w:r>
      <w:r w:rsidR="0051303A">
        <w:rPr>
          <w:rFonts w:ascii="Times New Roman" w:hAnsi="Times New Roman" w:cs="Times New Roman"/>
        </w:rPr>
        <w:t xml:space="preserve">, fundamentalmente en supuestos aislados y donde no </w:t>
      </w:r>
      <w:r w:rsidR="00923557">
        <w:rPr>
          <w:rFonts w:ascii="Times New Roman" w:hAnsi="Times New Roman" w:cs="Times New Roman"/>
        </w:rPr>
        <w:t xml:space="preserve">se </w:t>
      </w:r>
      <w:r w:rsidR="0051303A">
        <w:rPr>
          <w:rFonts w:ascii="Times New Roman" w:hAnsi="Times New Roman" w:cs="Times New Roman"/>
        </w:rPr>
        <w:t>adviert</w:t>
      </w:r>
      <w:r w:rsidR="00B179B8">
        <w:rPr>
          <w:rFonts w:ascii="Times New Roman" w:hAnsi="Times New Roman" w:cs="Times New Roman"/>
        </w:rPr>
        <w:t>e</w:t>
      </w:r>
      <w:r w:rsidR="0051303A">
        <w:rPr>
          <w:rFonts w:ascii="Times New Roman" w:hAnsi="Times New Roman" w:cs="Times New Roman"/>
        </w:rPr>
        <w:t xml:space="preserve"> que la víctima se encuentr</w:t>
      </w:r>
      <w:r w:rsidR="00B179B8">
        <w:rPr>
          <w:rFonts w:ascii="Times New Roman" w:hAnsi="Times New Roman" w:cs="Times New Roman"/>
        </w:rPr>
        <w:t>a</w:t>
      </w:r>
      <w:r w:rsidR="00923557">
        <w:rPr>
          <w:rFonts w:ascii="Times New Roman" w:hAnsi="Times New Roman" w:cs="Times New Roman"/>
        </w:rPr>
        <w:t xml:space="preserve"> en una situación de vulnerabilidad o sumisión respecto del victimario.</w:t>
      </w:r>
    </w:p>
    <w:p w14:paraId="3E14A731" w14:textId="77777777" w:rsidR="00627391" w:rsidRDefault="00627391" w:rsidP="00627391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</w:p>
    <w:p w14:paraId="181E93E4" w14:textId="0EE58F47" w:rsidR="006A20E0" w:rsidRDefault="00DA1015" w:rsidP="00DA1015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La Corte Suprema de Justicia de Argentina </w:t>
      </w:r>
      <w:r w:rsidR="00901DB5">
        <w:rPr>
          <w:rFonts w:ascii="Times New Roman" w:hAnsi="Times New Roman" w:cs="Times New Roman"/>
        </w:rPr>
        <w:t xml:space="preserve">resolvió en abril de 2013 en el caso conocido como </w:t>
      </w:r>
      <w:r w:rsidR="00B37CB8">
        <w:rPr>
          <w:rFonts w:ascii="Times New Roman" w:hAnsi="Times New Roman" w:cs="Times New Roman"/>
        </w:rPr>
        <w:t>“</w:t>
      </w:r>
      <w:r w:rsidR="00514118">
        <w:rPr>
          <w:rFonts w:ascii="Times New Roman" w:hAnsi="Times New Roman" w:cs="Times New Roman"/>
        </w:rPr>
        <w:t xml:space="preserve">Fallo </w:t>
      </w:r>
      <w:r w:rsidR="00B37CB8">
        <w:rPr>
          <w:rFonts w:ascii="Times New Roman" w:hAnsi="Times New Roman" w:cs="Times New Roman"/>
        </w:rPr>
        <w:t>Góngora”</w:t>
      </w:r>
      <w:r>
        <w:rPr>
          <w:rFonts w:ascii="Times New Roman" w:hAnsi="Times New Roman" w:cs="Times New Roman"/>
        </w:rPr>
        <w:t xml:space="preserve"> que la Convención impide </w:t>
      </w:r>
      <w:r w:rsidR="00B540C4">
        <w:rPr>
          <w:rFonts w:ascii="Times New Roman" w:hAnsi="Times New Roman" w:cs="Times New Roman"/>
        </w:rPr>
        <w:t xml:space="preserve">aplicar cualquier criterio de oportunidad </w:t>
      </w:r>
      <w:r>
        <w:rPr>
          <w:rFonts w:ascii="Times New Roman" w:hAnsi="Times New Roman" w:cs="Times New Roman"/>
        </w:rPr>
        <w:t xml:space="preserve">teniendo en cuenta que exige la realización de un juicio justo y así debe garantizarse a la mujer la posibilidad de acceder al mismo. A ello agregó que </w:t>
      </w:r>
      <w:r w:rsidR="001D01BE">
        <w:rPr>
          <w:rFonts w:ascii="Times New Roman" w:hAnsi="Times New Roman" w:cs="Times New Roman"/>
        </w:rPr>
        <w:t xml:space="preserve">la forma de cumplir con la obligación </w:t>
      </w:r>
      <w:r>
        <w:rPr>
          <w:rFonts w:ascii="Times New Roman" w:hAnsi="Times New Roman" w:cs="Times New Roman"/>
        </w:rPr>
        <w:t xml:space="preserve">internacional asumida por el Estado argentino </w:t>
      </w:r>
      <w:r w:rsidR="001D01BE">
        <w:rPr>
          <w:rFonts w:ascii="Times New Roman" w:hAnsi="Times New Roman" w:cs="Times New Roman"/>
        </w:rPr>
        <w:t xml:space="preserve">de sancionar la violencia contra la mujer </w:t>
      </w:r>
      <w:r w:rsidR="00CB72BE">
        <w:rPr>
          <w:rFonts w:ascii="Times New Roman" w:hAnsi="Times New Roman" w:cs="Times New Roman"/>
        </w:rPr>
        <w:t xml:space="preserve">y permitirle que acceda a un juicio oportuno es desarrollar todas las instancias del proceso penal y concluir el mismo con el dictado de una sentencia. </w:t>
      </w:r>
    </w:p>
    <w:p w14:paraId="681C4AB2" w14:textId="77777777" w:rsidR="00CF601A" w:rsidRDefault="00CF601A" w:rsidP="00F67CCB">
      <w:pPr>
        <w:tabs>
          <w:tab w:val="left" w:pos="567"/>
        </w:tabs>
        <w:spacing w:line="360" w:lineRule="auto"/>
        <w:ind w:firstLine="567"/>
        <w:jc w:val="both"/>
        <w:rPr>
          <w:rFonts w:ascii="Times New Roman" w:hAnsi="Times New Roman" w:cs="Times New Roman"/>
        </w:rPr>
      </w:pPr>
    </w:p>
    <w:p w14:paraId="47DE0B54" w14:textId="48F61F5C" w:rsidR="00730198" w:rsidRDefault="0090756A" w:rsidP="00DA1015">
      <w:pPr>
        <w:tabs>
          <w:tab w:val="left" w:pos="567"/>
        </w:tabs>
        <w:spacing w:line="36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Sin perjuicio de ello, esta decisión de la Corte Suprema no</w:t>
      </w:r>
      <w:r w:rsidR="00DA1015">
        <w:rPr>
          <w:rFonts w:ascii="Times New Roman" w:hAnsi="Times New Roman" w:cs="Times New Roman"/>
        </w:rPr>
        <w:t xml:space="preserve"> está </w:t>
      </w:r>
      <w:r>
        <w:rPr>
          <w:rFonts w:ascii="Times New Roman" w:hAnsi="Times New Roman" w:cs="Times New Roman"/>
        </w:rPr>
        <w:t>exenta de críticas por parte de la doctrina y también</w:t>
      </w:r>
      <w:r w:rsidR="006F5D04">
        <w:rPr>
          <w:rFonts w:ascii="Times New Roman" w:hAnsi="Times New Roman" w:cs="Times New Roman"/>
        </w:rPr>
        <w:t xml:space="preserve"> de algunos </w:t>
      </w:r>
      <w:r>
        <w:rPr>
          <w:rFonts w:ascii="Times New Roman" w:hAnsi="Times New Roman" w:cs="Times New Roman"/>
        </w:rPr>
        <w:t>Tribunales inferiores</w:t>
      </w:r>
      <w:r w:rsidR="00DA1015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5413A3">
        <w:rPr>
          <w:rFonts w:ascii="Times New Roman" w:hAnsi="Times New Roman" w:cs="Times New Roman"/>
        </w:rPr>
        <w:t xml:space="preserve">Resultan ser variados los argumentos tanto de la jurisprudencia como de la doctrina que abogan por </w:t>
      </w:r>
      <w:r w:rsidR="009E2214">
        <w:rPr>
          <w:rFonts w:ascii="Times New Roman" w:hAnsi="Times New Roman" w:cs="Times New Roman"/>
        </w:rPr>
        <w:t>la aplicación de medidas alternativas a la pena de prisión y que permitan la resolución del proceso sin que se recurra a la sanción penal. Much</w:t>
      </w:r>
      <w:r w:rsidR="0006676A">
        <w:rPr>
          <w:rFonts w:ascii="Times New Roman" w:hAnsi="Times New Roman" w:cs="Times New Roman"/>
        </w:rPr>
        <w:t>os</w:t>
      </w:r>
      <w:r w:rsidR="009E2214">
        <w:rPr>
          <w:rFonts w:ascii="Times New Roman" w:hAnsi="Times New Roman" w:cs="Times New Roman"/>
        </w:rPr>
        <w:t xml:space="preserve"> lo hacen desde la crítica al fallo “Góngora”, otr</w:t>
      </w:r>
      <w:r w:rsidR="0006676A">
        <w:rPr>
          <w:rFonts w:ascii="Times New Roman" w:hAnsi="Times New Roman" w:cs="Times New Roman"/>
        </w:rPr>
        <w:t>o</w:t>
      </w:r>
      <w:r w:rsidR="009E2214">
        <w:rPr>
          <w:rFonts w:ascii="Times New Roman" w:hAnsi="Times New Roman" w:cs="Times New Roman"/>
        </w:rPr>
        <w:t xml:space="preserve">s parten del análisis de la posición de la víctima o, incluso, de una interpretación diferente de la Convención </w:t>
      </w:r>
      <w:r w:rsidR="009E2214" w:rsidRPr="006E1039">
        <w:rPr>
          <w:rFonts w:ascii="Times New Roman" w:hAnsi="Times New Roman" w:cs="Times New Roman"/>
          <w:i/>
        </w:rPr>
        <w:t>Belém do Pará</w:t>
      </w:r>
      <w:r w:rsidR="00AE7B1F">
        <w:rPr>
          <w:rFonts w:ascii="Times New Roman" w:hAnsi="Times New Roman" w:cs="Times New Roman"/>
        </w:rPr>
        <w:t xml:space="preserve"> a partir de la posición de los organismos internacionales. </w:t>
      </w:r>
      <w:r w:rsidR="00DA1015">
        <w:rPr>
          <w:rFonts w:ascii="Times New Roman" w:hAnsi="Times New Roman" w:cs="Times New Roman"/>
        </w:rPr>
        <w:t xml:space="preserve">Así el objetivo de este análisis es determinar si dichas críticas se encuentran justificadas o si, por el contrario, el </w:t>
      </w:r>
      <w:r w:rsidR="00EC6557">
        <w:rPr>
          <w:rFonts w:ascii="Times New Roman" w:hAnsi="Times New Roman" w:cs="Times New Roman"/>
        </w:rPr>
        <w:t xml:space="preserve">Máximo Tribunal </w:t>
      </w:r>
      <w:r w:rsidR="00DA1015">
        <w:rPr>
          <w:rFonts w:ascii="Times New Roman" w:hAnsi="Times New Roman" w:cs="Times New Roman"/>
        </w:rPr>
        <w:t xml:space="preserve">del país </w:t>
      </w:r>
      <w:r w:rsidR="00EC6557">
        <w:rPr>
          <w:rFonts w:ascii="Times New Roman" w:hAnsi="Times New Roman" w:cs="Times New Roman"/>
        </w:rPr>
        <w:t xml:space="preserve">ha realizado una adecuada interpretación de la Convención teniendo en cuenta no sólo el sentido gramatical de las palabras utilizadas sino, fundamentalmente, el objeto y fin del mencionado instrumento internacional. </w:t>
      </w:r>
    </w:p>
    <w:p w14:paraId="2C655E33" w14:textId="77777777" w:rsidR="00911406" w:rsidRDefault="00911406" w:rsidP="00AC2BCF">
      <w:pPr>
        <w:spacing w:line="360" w:lineRule="auto"/>
        <w:jc w:val="both"/>
        <w:rPr>
          <w:rFonts w:ascii="Times New Roman" w:hAnsi="Times New Roman" w:cs="Times New Roman"/>
        </w:rPr>
      </w:pPr>
    </w:p>
    <w:p w14:paraId="38146876" w14:textId="765E9890" w:rsidR="00D73FBA" w:rsidRPr="00DA1015" w:rsidRDefault="00E7640A" w:rsidP="00DA1015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6F7117">
        <w:rPr>
          <w:rFonts w:ascii="Times New Roman" w:hAnsi="Times New Roman" w:cs="Times New Roman"/>
        </w:rPr>
        <w:t xml:space="preserve"> </w:t>
      </w:r>
    </w:p>
    <w:sectPr w:rsidR="00D73FBA" w:rsidRPr="00DA1015" w:rsidSect="001E245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E75253" w14:textId="77777777" w:rsidR="00CF450C" w:rsidRDefault="00CF450C" w:rsidP="00D92CF3">
      <w:r>
        <w:separator/>
      </w:r>
    </w:p>
  </w:endnote>
  <w:endnote w:type="continuationSeparator" w:id="0">
    <w:p w14:paraId="0F7B7C46" w14:textId="77777777" w:rsidR="00CF450C" w:rsidRDefault="00CF450C" w:rsidP="00D92C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Nmerodepgina"/>
      </w:rPr>
      <w:id w:val="1949734919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5934BF78" w14:textId="77777777" w:rsidR="00273906" w:rsidRDefault="00273906" w:rsidP="009D4D6D">
        <w:pPr>
          <w:pStyle w:val="Piedepgina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57A23609" w14:textId="77777777" w:rsidR="00273906" w:rsidRDefault="00273906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Nmerodepgina"/>
      </w:rPr>
      <w:id w:val="-1463569674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64E09286" w14:textId="77777777" w:rsidR="00273906" w:rsidRDefault="00273906" w:rsidP="009D4D6D">
        <w:pPr>
          <w:pStyle w:val="Piedepgina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 w:rsidR="006C0EBA">
          <w:rPr>
            <w:rStyle w:val="Nmerodepgina"/>
            <w:noProof/>
          </w:rPr>
          <w:t>1</w:t>
        </w:r>
        <w:r>
          <w:rPr>
            <w:rStyle w:val="Nmerodepgina"/>
          </w:rPr>
          <w:fldChar w:fldCharType="end"/>
        </w:r>
      </w:p>
    </w:sdtContent>
  </w:sdt>
  <w:p w14:paraId="16620748" w14:textId="77777777" w:rsidR="00273906" w:rsidRDefault="00273906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3371F9" w14:textId="77777777" w:rsidR="009D10BC" w:rsidRDefault="009D10B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38A701" w14:textId="77777777" w:rsidR="00CF450C" w:rsidRDefault="00CF450C" w:rsidP="00D92CF3">
      <w:r>
        <w:separator/>
      </w:r>
    </w:p>
  </w:footnote>
  <w:footnote w:type="continuationSeparator" w:id="0">
    <w:p w14:paraId="35F62535" w14:textId="77777777" w:rsidR="00CF450C" w:rsidRDefault="00CF450C" w:rsidP="00D92CF3">
      <w:r>
        <w:continuationSeparator/>
      </w:r>
    </w:p>
  </w:footnote>
  <w:footnote w:id="1">
    <w:p w14:paraId="3E3AAD51" w14:textId="77777777" w:rsidR="00001345" w:rsidRPr="00001345" w:rsidRDefault="00001345">
      <w:pPr>
        <w:pStyle w:val="Textonotapie"/>
      </w:pPr>
      <w:r w:rsidRPr="00001345">
        <w:rPr>
          <w:rStyle w:val="Refdenotaalpie"/>
        </w:rPr>
        <w:sym w:font="Symbol" w:char="F02A"/>
      </w:r>
      <w:r w:rsidR="00CA0F8D">
        <w:t xml:space="preserve"> Doctora en Derecho. Profesora titular de Derecho Procesal Penal de la Universidad de Mendoza, Argentina. Fiscal de Tribunal Penal Colegiado de la Provincia de Mendoza.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C06878" w14:textId="77777777" w:rsidR="009D10BC" w:rsidRDefault="009D10BC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6101A7" w14:textId="77777777" w:rsidR="009D10BC" w:rsidRDefault="009D10BC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A55AC3" w14:textId="77777777" w:rsidR="009D10BC" w:rsidRDefault="009D10BC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F5405"/>
    <w:multiLevelType w:val="multilevel"/>
    <w:tmpl w:val="267A83A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i w:val="0"/>
      </w:rPr>
    </w:lvl>
  </w:abstractNum>
  <w:abstractNum w:abstractNumId="1">
    <w:nsid w:val="048B7285"/>
    <w:multiLevelType w:val="hybridMultilevel"/>
    <w:tmpl w:val="BD54F4F2"/>
    <w:lvl w:ilvl="0" w:tplc="AB8CA0E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1F4CBD"/>
    <w:multiLevelType w:val="hybridMultilevel"/>
    <w:tmpl w:val="DE563C4C"/>
    <w:lvl w:ilvl="0" w:tplc="8584BD90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0B02E2"/>
    <w:multiLevelType w:val="hybridMultilevel"/>
    <w:tmpl w:val="4956F09A"/>
    <w:lvl w:ilvl="0" w:tplc="AC20E4B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842E4E"/>
    <w:multiLevelType w:val="hybridMultilevel"/>
    <w:tmpl w:val="F8FEE92E"/>
    <w:lvl w:ilvl="0" w:tplc="E61A13C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647" w:hanging="360"/>
      </w:pPr>
    </w:lvl>
    <w:lvl w:ilvl="2" w:tplc="040A001B" w:tentative="1">
      <w:start w:val="1"/>
      <w:numFmt w:val="lowerRoman"/>
      <w:lvlText w:val="%3."/>
      <w:lvlJc w:val="right"/>
      <w:pPr>
        <w:ind w:left="2367" w:hanging="180"/>
      </w:pPr>
    </w:lvl>
    <w:lvl w:ilvl="3" w:tplc="040A000F" w:tentative="1">
      <w:start w:val="1"/>
      <w:numFmt w:val="decimal"/>
      <w:lvlText w:val="%4."/>
      <w:lvlJc w:val="left"/>
      <w:pPr>
        <w:ind w:left="3087" w:hanging="360"/>
      </w:pPr>
    </w:lvl>
    <w:lvl w:ilvl="4" w:tplc="040A0019" w:tentative="1">
      <w:start w:val="1"/>
      <w:numFmt w:val="lowerLetter"/>
      <w:lvlText w:val="%5."/>
      <w:lvlJc w:val="left"/>
      <w:pPr>
        <w:ind w:left="3807" w:hanging="360"/>
      </w:pPr>
    </w:lvl>
    <w:lvl w:ilvl="5" w:tplc="040A001B" w:tentative="1">
      <w:start w:val="1"/>
      <w:numFmt w:val="lowerRoman"/>
      <w:lvlText w:val="%6."/>
      <w:lvlJc w:val="right"/>
      <w:pPr>
        <w:ind w:left="4527" w:hanging="180"/>
      </w:pPr>
    </w:lvl>
    <w:lvl w:ilvl="6" w:tplc="040A000F" w:tentative="1">
      <w:start w:val="1"/>
      <w:numFmt w:val="decimal"/>
      <w:lvlText w:val="%7."/>
      <w:lvlJc w:val="left"/>
      <w:pPr>
        <w:ind w:left="5247" w:hanging="360"/>
      </w:pPr>
    </w:lvl>
    <w:lvl w:ilvl="7" w:tplc="040A0019" w:tentative="1">
      <w:start w:val="1"/>
      <w:numFmt w:val="lowerLetter"/>
      <w:lvlText w:val="%8."/>
      <w:lvlJc w:val="left"/>
      <w:pPr>
        <w:ind w:left="5967" w:hanging="360"/>
      </w:pPr>
    </w:lvl>
    <w:lvl w:ilvl="8" w:tplc="04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11127C9"/>
    <w:multiLevelType w:val="multilevel"/>
    <w:tmpl w:val="CEB478C8"/>
    <w:lvl w:ilvl="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0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6" w:hanging="1800"/>
      </w:pPr>
      <w:rPr>
        <w:rFonts w:hint="default"/>
      </w:rPr>
    </w:lvl>
  </w:abstractNum>
  <w:abstractNum w:abstractNumId="6">
    <w:nsid w:val="35F826FC"/>
    <w:multiLevelType w:val="hybridMultilevel"/>
    <w:tmpl w:val="FCE445D8"/>
    <w:lvl w:ilvl="0" w:tplc="FF40DA4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A0019">
      <w:start w:val="1"/>
      <w:numFmt w:val="lowerLetter"/>
      <w:lvlText w:val="%2."/>
      <w:lvlJc w:val="left"/>
      <w:pPr>
        <w:ind w:left="1647" w:hanging="360"/>
      </w:pPr>
    </w:lvl>
    <w:lvl w:ilvl="2" w:tplc="040A001B" w:tentative="1">
      <w:start w:val="1"/>
      <w:numFmt w:val="lowerRoman"/>
      <w:lvlText w:val="%3."/>
      <w:lvlJc w:val="right"/>
      <w:pPr>
        <w:ind w:left="2367" w:hanging="180"/>
      </w:pPr>
    </w:lvl>
    <w:lvl w:ilvl="3" w:tplc="040A000F" w:tentative="1">
      <w:start w:val="1"/>
      <w:numFmt w:val="decimal"/>
      <w:lvlText w:val="%4."/>
      <w:lvlJc w:val="left"/>
      <w:pPr>
        <w:ind w:left="3087" w:hanging="360"/>
      </w:pPr>
    </w:lvl>
    <w:lvl w:ilvl="4" w:tplc="040A0019" w:tentative="1">
      <w:start w:val="1"/>
      <w:numFmt w:val="lowerLetter"/>
      <w:lvlText w:val="%5."/>
      <w:lvlJc w:val="left"/>
      <w:pPr>
        <w:ind w:left="3807" w:hanging="360"/>
      </w:pPr>
    </w:lvl>
    <w:lvl w:ilvl="5" w:tplc="040A001B" w:tentative="1">
      <w:start w:val="1"/>
      <w:numFmt w:val="lowerRoman"/>
      <w:lvlText w:val="%6."/>
      <w:lvlJc w:val="right"/>
      <w:pPr>
        <w:ind w:left="4527" w:hanging="180"/>
      </w:pPr>
    </w:lvl>
    <w:lvl w:ilvl="6" w:tplc="040A000F" w:tentative="1">
      <w:start w:val="1"/>
      <w:numFmt w:val="decimal"/>
      <w:lvlText w:val="%7."/>
      <w:lvlJc w:val="left"/>
      <w:pPr>
        <w:ind w:left="5247" w:hanging="360"/>
      </w:pPr>
    </w:lvl>
    <w:lvl w:ilvl="7" w:tplc="040A0019" w:tentative="1">
      <w:start w:val="1"/>
      <w:numFmt w:val="lowerLetter"/>
      <w:lvlText w:val="%8."/>
      <w:lvlJc w:val="left"/>
      <w:pPr>
        <w:ind w:left="5967" w:hanging="360"/>
      </w:pPr>
    </w:lvl>
    <w:lvl w:ilvl="8" w:tplc="04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C26422B"/>
    <w:multiLevelType w:val="multilevel"/>
    <w:tmpl w:val="62FA71E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8">
    <w:nsid w:val="3F43213D"/>
    <w:multiLevelType w:val="multilevel"/>
    <w:tmpl w:val="1C8C6B8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9">
    <w:nsid w:val="422C6061"/>
    <w:multiLevelType w:val="hybridMultilevel"/>
    <w:tmpl w:val="35461BCA"/>
    <w:lvl w:ilvl="0" w:tplc="771A887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654E22"/>
    <w:multiLevelType w:val="multilevel"/>
    <w:tmpl w:val="778217D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i w:val="0"/>
      </w:rPr>
    </w:lvl>
  </w:abstractNum>
  <w:abstractNum w:abstractNumId="11">
    <w:nsid w:val="46BF5896"/>
    <w:multiLevelType w:val="multilevel"/>
    <w:tmpl w:val="B3EAC29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12">
    <w:nsid w:val="4B8D2618"/>
    <w:multiLevelType w:val="multilevel"/>
    <w:tmpl w:val="1C8C6B8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3">
    <w:nsid w:val="4C1E6FC6"/>
    <w:multiLevelType w:val="multilevel"/>
    <w:tmpl w:val="87BCB5D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4">
    <w:nsid w:val="5DF71E43"/>
    <w:multiLevelType w:val="hybridMultilevel"/>
    <w:tmpl w:val="3560172E"/>
    <w:lvl w:ilvl="0" w:tplc="116EFBA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EF47F61"/>
    <w:multiLevelType w:val="hybridMultilevel"/>
    <w:tmpl w:val="056EC9A8"/>
    <w:lvl w:ilvl="0" w:tplc="92D8F9C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647" w:hanging="360"/>
      </w:pPr>
    </w:lvl>
    <w:lvl w:ilvl="2" w:tplc="040A001B" w:tentative="1">
      <w:start w:val="1"/>
      <w:numFmt w:val="lowerRoman"/>
      <w:lvlText w:val="%3."/>
      <w:lvlJc w:val="right"/>
      <w:pPr>
        <w:ind w:left="2367" w:hanging="180"/>
      </w:pPr>
    </w:lvl>
    <w:lvl w:ilvl="3" w:tplc="040A000F" w:tentative="1">
      <w:start w:val="1"/>
      <w:numFmt w:val="decimal"/>
      <w:lvlText w:val="%4."/>
      <w:lvlJc w:val="left"/>
      <w:pPr>
        <w:ind w:left="3087" w:hanging="360"/>
      </w:pPr>
    </w:lvl>
    <w:lvl w:ilvl="4" w:tplc="040A0019" w:tentative="1">
      <w:start w:val="1"/>
      <w:numFmt w:val="lowerLetter"/>
      <w:lvlText w:val="%5."/>
      <w:lvlJc w:val="left"/>
      <w:pPr>
        <w:ind w:left="3807" w:hanging="360"/>
      </w:pPr>
    </w:lvl>
    <w:lvl w:ilvl="5" w:tplc="040A001B" w:tentative="1">
      <w:start w:val="1"/>
      <w:numFmt w:val="lowerRoman"/>
      <w:lvlText w:val="%6."/>
      <w:lvlJc w:val="right"/>
      <w:pPr>
        <w:ind w:left="4527" w:hanging="180"/>
      </w:pPr>
    </w:lvl>
    <w:lvl w:ilvl="6" w:tplc="040A000F" w:tentative="1">
      <w:start w:val="1"/>
      <w:numFmt w:val="decimal"/>
      <w:lvlText w:val="%7."/>
      <w:lvlJc w:val="left"/>
      <w:pPr>
        <w:ind w:left="5247" w:hanging="360"/>
      </w:pPr>
    </w:lvl>
    <w:lvl w:ilvl="7" w:tplc="040A0019" w:tentative="1">
      <w:start w:val="1"/>
      <w:numFmt w:val="lowerLetter"/>
      <w:lvlText w:val="%8."/>
      <w:lvlJc w:val="left"/>
      <w:pPr>
        <w:ind w:left="5967" w:hanging="360"/>
      </w:pPr>
    </w:lvl>
    <w:lvl w:ilvl="8" w:tplc="04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694843C1"/>
    <w:multiLevelType w:val="multilevel"/>
    <w:tmpl w:val="1E8C65F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7">
    <w:nsid w:val="6CFF3AE6"/>
    <w:multiLevelType w:val="hybridMultilevel"/>
    <w:tmpl w:val="9960806A"/>
    <w:lvl w:ilvl="0" w:tplc="86DAC41A">
      <w:start w:val="1"/>
      <w:numFmt w:val="upperRoman"/>
      <w:lvlText w:val="%1."/>
      <w:lvlJc w:val="left"/>
      <w:pPr>
        <w:ind w:left="1288" w:hanging="720"/>
      </w:pPr>
      <w:rPr>
        <w:rFonts w:hint="default"/>
      </w:rPr>
    </w:lvl>
    <w:lvl w:ilvl="1" w:tplc="040A0019">
      <w:start w:val="1"/>
      <w:numFmt w:val="lowerLetter"/>
      <w:lvlText w:val="%2."/>
      <w:lvlJc w:val="left"/>
      <w:pPr>
        <w:ind w:left="1648" w:hanging="360"/>
      </w:pPr>
    </w:lvl>
    <w:lvl w:ilvl="2" w:tplc="040A001B">
      <w:start w:val="1"/>
      <w:numFmt w:val="lowerRoman"/>
      <w:lvlText w:val="%3."/>
      <w:lvlJc w:val="right"/>
      <w:pPr>
        <w:ind w:left="2368" w:hanging="180"/>
      </w:pPr>
    </w:lvl>
    <w:lvl w:ilvl="3" w:tplc="040A000F" w:tentative="1">
      <w:start w:val="1"/>
      <w:numFmt w:val="decimal"/>
      <w:lvlText w:val="%4."/>
      <w:lvlJc w:val="left"/>
      <w:pPr>
        <w:ind w:left="3088" w:hanging="360"/>
      </w:pPr>
    </w:lvl>
    <w:lvl w:ilvl="4" w:tplc="040A0019" w:tentative="1">
      <w:start w:val="1"/>
      <w:numFmt w:val="lowerLetter"/>
      <w:lvlText w:val="%5."/>
      <w:lvlJc w:val="left"/>
      <w:pPr>
        <w:ind w:left="3808" w:hanging="360"/>
      </w:pPr>
    </w:lvl>
    <w:lvl w:ilvl="5" w:tplc="040A001B" w:tentative="1">
      <w:start w:val="1"/>
      <w:numFmt w:val="lowerRoman"/>
      <w:lvlText w:val="%6."/>
      <w:lvlJc w:val="right"/>
      <w:pPr>
        <w:ind w:left="4528" w:hanging="180"/>
      </w:pPr>
    </w:lvl>
    <w:lvl w:ilvl="6" w:tplc="040A000F" w:tentative="1">
      <w:start w:val="1"/>
      <w:numFmt w:val="decimal"/>
      <w:lvlText w:val="%7."/>
      <w:lvlJc w:val="left"/>
      <w:pPr>
        <w:ind w:left="5248" w:hanging="360"/>
      </w:pPr>
    </w:lvl>
    <w:lvl w:ilvl="7" w:tplc="040A0019" w:tentative="1">
      <w:start w:val="1"/>
      <w:numFmt w:val="lowerLetter"/>
      <w:lvlText w:val="%8."/>
      <w:lvlJc w:val="left"/>
      <w:pPr>
        <w:ind w:left="5968" w:hanging="360"/>
      </w:pPr>
    </w:lvl>
    <w:lvl w:ilvl="8" w:tplc="040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8">
    <w:nsid w:val="708156CC"/>
    <w:multiLevelType w:val="hybridMultilevel"/>
    <w:tmpl w:val="7402EDAE"/>
    <w:lvl w:ilvl="0" w:tplc="469080B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3CF1994"/>
    <w:multiLevelType w:val="hybridMultilevel"/>
    <w:tmpl w:val="0FAEE314"/>
    <w:lvl w:ilvl="0" w:tplc="8BFCD2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647" w:hanging="360"/>
      </w:pPr>
    </w:lvl>
    <w:lvl w:ilvl="2" w:tplc="040A001B">
      <w:start w:val="1"/>
      <w:numFmt w:val="lowerRoman"/>
      <w:lvlText w:val="%3."/>
      <w:lvlJc w:val="right"/>
      <w:pPr>
        <w:ind w:left="2367" w:hanging="180"/>
      </w:pPr>
    </w:lvl>
    <w:lvl w:ilvl="3" w:tplc="040A000F" w:tentative="1">
      <w:start w:val="1"/>
      <w:numFmt w:val="decimal"/>
      <w:lvlText w:val="%4."/>
      <w:lvlJc w:val="left"/>
      <w:pPr>
        <w:ind w:left="3087" w:hanging="360"/>
      </w:pPr>
    </w:lvl>
    <w:lvl w:ilvl="4" w:tplc="040A0019" w:tentative="1">
      <w:start w:val="1"/>
      <w:numFmt w:val="lowerLetter"/>
      <w:lvlText w:val="%5."/>
      <w:lvlJc w:val="left"/>
      <w:pPr>
        <w:ind w:left="3807" w:hanging="360"/>
      </w:pPr>
    </w:lvl>
    <w:lvl w:ilvl="5" w:tplc="040A001B" w:tentative="1">
      <w:start w:val="1"/>
      <w:numFmt w:val="lowerRoman"/>
      <w:lvlText w:val="%6."/>
      <w:lvlJc w:val="right"/>
      <w:pPr>
        <w:ind w:left="4527" w:hanging="180"/>
      </w:pPr>
    </w:lvl>
    <w:lvl w:ilvl="6" w:tplc="040A000F" w:tentative="1">
      <w:start w:val="1"/>
      <w:numFmt w:val="decimal"/>
      <w:lvlText w:val="%7."/>
      <w:lvlJc w:val="left"/>
      <w:pPr>
        <w:ind w:left="5247" w:hanging="360"/>
      </w:pPr>
    </w:lvl>
    <w:lvl w:ilvl="7" w:tplc="040A0019" w:tentative="1">
      <w:start w:val="1"/>
      <w:numFmt w:val="lowerLetter"/>
      <w:lvlText w:val="%8."/>
      <w:lvlJc w:val="left"/>
      <w:pPr>
        <w:ind w:left="5967" w:hanging="360"/>
      </w:pPr>
    </w:lvl>
    <w:lvl w:ilvl="8" w:tplc="04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793F2E1B"/>
    <w:multiLevelType w:val="hybridMultilevel"/>
    <w:tmpl w:val="59FEC326"/>
    <w:lvl w:ilvl="0" w:tplc="DCF4049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BE603F2"/>
    <w:multiLevelType w:val="multilevel"/>
    <w:tmpl w:val="23C45E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</w:rPr>
    </w:lvl>
  </w:abstractNum>
  <w:abstractNum w:abstractNumId="22">
    <w:nsid w:val="7E420F4C"/>
    <w:multiLevelType w:val="multilevel"/>
    <w:tmpl w:val="1C8C6B8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3">
    <w:nsid w:val="7E9D1CA9"/>
    <w:multiLevelType w:val="hybridMultilevel"/>
    <w:tmpl w:val="056EC9A8"/>
    <w:lvl w:ilvl="0" w:tplc="92D8F9C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647" w:hanging="360"/>
      </w:pPr>
    </w:lvl>
    <w:lvl w:ilvl="2" w:tplc="040A001B" w:tentative="1">
      <w:start w:val="1"/>
      <w:numFmt w:val="lowerRoman"/>
      <w:lvlText w:val="%3."/>
      <w:lvlJc w:val="right"/>
      <w:pPr>
        <w:ind w:left="2367" w:hanging="180"/>
      </w:pPr>
    </w:lvl>
    <w:lvl w:ilvl="3" w:tplc="040A000F" w:tentative="1">
      <w:start w:val="1"/>
      <w:numFmt w:val="decimal"/>
      <w:lvlText w:val="%4."/>
      <w:lvlJc w:val="left"/>
      <w:pPr>
        <w:ind w:left="3087" w:hanging="360"/>
      </w:pPr>
    </w:lvl>
    <w:lvl w:ilvl="4" w:tplc="040A0019" w:tentative="1">
      <w:start w:val="1"/>
      <w:numFmt w:val="lowerLetter"/>
      <w:lvlText w:val="%5."/>
      <w:lvlJc w:val="left"/>
      <w:pPr>
        <w:ind w:left="3807" w:hanging="360"/>
      </w:pPr>
    </w:lvl>
    <w:lvl w:ilvl="5" w:tplc="040A001B" w:tentative="1">
      <w:start w:val="1"/>
      <w:numFmt w:val="lowerRoman"/>
      <w:lvlText w:val="%6."/>
      <w:lvlJc w:val="right"/>
      <w:pPr>
        <w:ind w:left="4527" w:hanging="180"/>
      </w:pPr>
    </w:lvl>
    <w:lvl w:ilvl="6" w:tplc="040A000F" w:tentative="1">
      <w:start w:val="1"/>
      <w:numFmt w:val="decimal"/>
      <w:lvlText w:val="%7."/>
      <w:lvlJc w:val="left"/>
      <w:pPr>
        <w:ind w:left="5247" w:hanging="360"/>
      </w:pPr>
    </w:lvl>
    <w:lvl w:ilvl="7" w:tplc="040A0019" w:tentative="1">
      <w:start w:val="1"/>
      <w:numFmt w:val="lowerLetter"/>
      <w:lvlText w:val="%8."/>
      <w:lvlJc w:val="left"/>
      <w:pPr>
        <w:ind w:left="5967" w:hanging="360"/>
      </w:pPr>
    </w:lvl>
    <w:lvl w:ilvl="8" w:tplc="040A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1"/>
  </w:num>
  <w:num w:numId="2">
    <w:abstractNumId w:val="15"/>
  </w:num>
  <w:num w:numId="3">
    <w:abstractNumId w:val="5"/>
  </w:num>
  <w:num w:numId="4">
    <w:abstractNumId w:val="23"/>
  </w:num>
  <w:num w:numId="5">
    <w:abstractNumId w:val="16"/>
  </w:num>
  <w:num w:numId="6">
    <w:abstractNumId w:val="12"/>
  </w:num>
  <w:num w:numId="7">
    <w:abstractNumId w:val="8"/>
  </w:num>
  <w:num w:numId="8">
    <w:abstractNumId w:val="22"/>
  </w:num>
  <w:num w:numId="9">
    <w:abstractNumId w:val="6"/>
  </w:num>
  <w:num w:numId="10">
    <w:abstractNumId w:val="0"/>
  </w:num>
  <w:num w:numId="11">
    <w:abstractNumId w:val="10"/>
  </w:num>
  <w:num w:numId="12">
    <w:abstractNumId w:val="2"/>
  </w:num>
  <w:num w:numId="13">
    <w:abstractNumId w:val="20"/>
  </w:num>
  <w:num w:numId="14">
    <w:abstractNumId w:val="18"/>
  </w:num>
  <w:num w:numId="15">
    <w:abstractNumId w:val="14"/>
  </w:num>
  <w:num w:numId="16">
    <w:abstractNumId w:val="9"/>
  </w:num>
  <w:num w:numId="17">
    <w:abstractNumId w:val="3"/>
  </w:num>
  <w:num w:numId="18">
    <w:abstractNumId w:val="1"/>
  </w:num>
  <w:num w:numId="19">
    <w:abstractNumId w:val="4"/>
  </w:num>
  <w:num w:numId="20">
    <w:abstractNumId w:val="17"/>
  </w:num>
  <w:num w:numId="21">
    <w:abstractNumId w:val="21"/>
  </w:num>
  <w:num w:numId="22">
    <w:abstractNumId w:val="19"/>
  </w:num>
  <w:num w:numId="23">
    <w:abstractNumId w:val="13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CF3"/>
    <w:rsid w:val="00001345"/>
    <w:rsid w:val="00004545"/>
    <w:rsid w:val="00014B9B"/>
    <w:rsid w:val="000170C4"/>
    <w:rsid w:val="00033ABF"/>
    <w:rsid w:val="000422BE"/>
    <w:rsid w:val="00045BBB"/>
    <w:rsid w:val="000478E3"/>
    <w:rsid w:val="00051024"/>
    <w:rsid w:val="000565B8"/>
    <w:rsid w:val="00061E86"/>
    <w:rsid w:val="0006676A"/>
    <w:rsid w:val="0007451B"/>
    <w:rsid w:val="00074812"/>
    <w:rsid w:val="00080BDA"/>
    <w:rsid w:val="00097B83"/>
    <w:rsid w:val="000A0D96"/>
    <w:rsid w:val="000A3B40"/>
    <w:rsid w:val="000A6C43"/>
    <w:rsid w:val="000B2749"/>
    <w:rsid w:val="000B5926"/>
    <w:rsid w:val="000C0BB8"/>
    <w:rsid w:val="000C10F1"/>
    <w:rsid w:val="000C3AE5"/>
    <w:rsid w:val="000D18D6"/>
    <w:rsid w:val="000D2A4E"/>
    <w:rsid w:val="000D2FB9"/>
    <w:rsid w:val="000D5953"/>
    <w:rsid w:val="000D7009"/>
    <w:rsid w:val="000E061E"/>
    <w:rsid w:val="000F375F"/>
    <w:rsid w:val="000F5F06"/>
    <w:rsid w:val="001201BE"/>
    <w:rsid w:val="00122041"/>
    <w:rsid w:val="0012253B"/>
    <w:rsid w:val="00125DB0"/>
    <w:rsid w:val="00126741"/>
    <w:rsid w:val="001279CC"/>
    <w:rsid w:val="00133D44"/>
    <w:rsid w:val="00140D5F"/>
    <w:rsid w:val="001419A3"/>
    <w:rsid w:val="00142B71"/>
    <w:rsid w:val="001440DB"/>
    <w:rsid w:val="00150EA8"/>
    <w:rsid w:val="00167493"/>
    <w:rsid w:val="00171D23"/>
    <w:rsid w:val="0018507F"/>
    <w:rsid w:val="00187F30"/>
    <w:rsid w:val="00192C51"/>
    <w:rsid w:val="00196E88"/>
    <w:rsid w:val="001A4727"/>
    <w:rsid w:val="001B3855"/>
    <w:rsid w:val="001B3FE3"/>
    <w:rsid w:val="001B655F"/>
    <w:rsid w:val="001B6C50"/>
    <w:rsid w:val="001D01BE"/>
    <w:rsid w:val="001E2453"/>
    <w:rsid w:val="001E67CF"/>
    <w:rsid w:val="001F4EC7"/>
    <w:rsid w:val="001F646D"/>
    <w:rsid w:val="00207BCB"/>
    <w:rsid w:val="0023087B"/>
    <w:rsid w:val="00232C3E"/>
    <w:rsid w:val="00234760"/>
    <w:rsid w:val="002376CB"/>
    <w:rsid w:val="00241A93"/>
    <w:rsid w:val="00245DB6"/>
    <w:rsid w:val="00255BF9"/>
    <w:rsid w:val="00256F0A"/>
    <w:rsid w:val="00260669"/>
    <w:rsid w:val="0027383B"/>
    <w:rsid w:val="00273906"/>
    <w:rsid w:val="00275151"/>
    <w:rsid w:val="00290246"/>
    <w:rsid w:val="002A128C"/>
    <w:rsid w:val="002A224B"/>
    <w:rsid w:val="002B5CD4"/>
    <w:rsid w:val="002F6FB0"/>
    <w:rsid w:val="00302B41"/>
    <w:rsid w:val="00304E43"/>
    <w:rsid w:val="003063A4"/>
    <w:rsid w:val="003278F7"/>
    <w:rsid w:val="0034145D"/>
    <w:rsid w:val="00361723"/>
    <w:rsid w:val="00363A5A"/>
    <w:rsid w:val="0036687C"/>
    <w:rsid w:val="00381450"/>
    <w:rsid w:val="00383A31"/>
    <w:rsid w:val="0038578F"/>
    <w:rsid w:val="0039047E"/>
    <w:rsid w:val="003A18CA"/>
    <w:rsid w:val="003A2A41"/>
    <w:rsid w:val="003A6130"/>
    <w:rsid w:val="003A64FF"/>
    <w:rsid w:val="003A7494"/>
    <w:rsid w:val="003B1451"/>
    <w:rsid w:val="003B2F6C"/>
    <w:rsid w:val="003C3FA9"/>
    <w:rsid w:val="003D2844"/>
    <w:rsid w:val="003D628C"/>
    <w:rsid w:val="003E033C"/>
    <w:rsid w:val="003E0730"/>
    <w:rsid w:val="003E1266"/>
    <w:rsid w:val="003E2BE8"/>
    <w:rsid w:val="003E400E"/>
    <w:rsid w:val="003F4204"/>
    <w:rsid w:val="00401DFF"/>
    <w:rsid w:val="00405FF7"/>
    <w:rsid w:val="00406428"/>
    <w:rsid w:val="004109A0"/>
    <w:rsid w:val="00422643"/>
    <w:rsid w:val="00425C4B"/>
    <w:rsid w:val="00427C7A"/>
    <w:rsid w:val="004401CF"/>
    <w:rsid w:val="00445F46"/>
    <w:rsid w:val="00461CDB"/>
    <w:rsid w:val="00467410"/>
    <w:rsid w:val="004717D3"/>
    <w:rsid w:val="004740C7"/>
    <w:rsid w:val="004747A0"/>
    <w:rsid w:val="004770E2"/>
    <w:rsid w:val="0049022E"/>
    <w:rsid w:val="004915C8"/>
    <w:rsid w:val="00492FB6"/>
    <w:rsid w:val="00494B08"/>
    <w:rsid w:val="00496D3A"/>
    <w:rsid w:val="004A213B"/>
    <w:rsid w:val="004A63DA"/>
    <w:rsid w:val="004B0483"/>
    <w:rsid w:val="004B56A6"/>
    <w:rsid w:val="004C0974"/>
    <w:rsid w:val="004C36B2"/>
    <w:rsid w:val="004D7D0E"/>
    <w:rsid w:val="004E068B"/>
    <w:rsid w:val="004E0AD6"/>
    <w:rsid w:val="004E0EE9"/>
    <w:rsid w:val="004E1205"/>
    <w:rsid w:val="004E2A50"/>
    <w:rsid w:val="004E3B35"/>
    <w:rsid w:val="004E3D96"/>
    <w:rsid w:val="004E5771"/>
    <w:rsid w:val="004F25DA"/>
    <w:rsid w:val="004F79E7"/>
    <w:rsid w:val="004F7BD6"/>
    <w:rsid w:val="00505A1A"/>
    <w:rsid w:val="0050676F"/>
    <w:rsid w:val="005075C7"/>
    <w:rsid w:val="0051303A"/>
    <w:rsid w:val="005135E6"/>
    <w:rsid w:val="00514118"/>
    <w:rsid w:val="005167A2"/>
    <w:rsid w:val="0051786E"/>
    <w:rsid w:val="00517F63"/>
    <w:rsid w:val="005226A1"/>
    <w:rsid w:val="00524B58"/>
    <w:rsid w:val="00530F9E"/>
    <w:rsid w:val="00531DDE"/>
    <w:rsid w:val="005329B3"/>
    <w:rsid w:val="005413A3"/>
    <w:rsid w:val="00544123"/>
    <w:rsid w:val="00546789"/>
    <w:rsid w:val="0055152C"/>
    <w:rsid w:val="005548E4"/>
    <w:rsid w:val="005637F5"/>
    <w:rsid w:val="00564605"/>
    <w:rsid w:val="00564D21"/>
    <w:rsid w:val="0057306A"/>
    <w:rsid w:val="0057446B"/>
    <w:rsid w:val="0058024F"/>
    <w:rsid w:val="00590E32"/>
    <w:rsid w:val="00593DBB"/>
    <w:rsid w:val="005A388E"/>
    <w:rsid w:val="005B658F"/>
    <w:rsid w:val="005C497F"/>
    <w:rsid w:val="005D124A"/>
    <w:rsid w:val="005D30D5"/>
    <w:rsid w:val="005D3469"/>
    <w:rsid w:val="005E347F"/>
    <w:rsid w:val="005F18B3"/>
    <w:rsid w:val="005F3D3B"/>
    <w:rsid w:val="005F5522"/>
    <w:rsid w:val="005F7CE8"/>
    <w:rsid w:val="006022AA"/>
    <w:rsid w:val="0061143C"/>
    <w:rsid w:val="00611DF4"/>
    <w:rsid w:val="0062444A"/>
    <w:rsid w:val="00627391"/>
    <w:rsid w:val="00647C1A"/>
    <w:rsid w:val="006503E3"/>
    <w:rsid w:val="006510EE"/>
    <w:rsid w:val="00651851"/>
    <w:rsid w:val="00657A5C"/>
    <w:rsid w:val="00657BB2"/>
    <w:rsid w:val="006601A0"/>
    <w:rsid w:val="006623AC"/>
    <w:rsid w:val="00662BC7"/>
    <w:rsid w:val="00665A12"/>
    <w:rsid w:val="00666868"/>
    <w:rsid w:val="00667298"/>
    <w:rsid w:val="006676F8"/>
    <w:rsid w:val="0067062D"/>
    <w:rsid w:val="006720E9"/>
    <w:rsid w:val="00672AF0"/>
    <w:rsid w:val="006802AC"/>
    <w:rsid w:val="006854E7"/>
    <w:rsid w:val="006855A1"/>
    <w:rsid w:val="006A20E0"/>
    <w:rsid w:val="006B1532"/>
    <w:rsid w:val="006B7538"/>
    <w:rsid w:val="006C030F"/>
    <w:rsid w:val="006C0EBA"/>
    <w:rsid w:val="006C531F"/>
    <w:rsid w:val="006C7E27"/>
    <w:rsid w:val="006D4630"/>
    <w:rsid w:val="006E1039"/>
    <w:rsid w:val="006E59B2"/>
    <w:rsid w:val="006F45A8"/>
    <w:rsid w:val="006F4F6B"/>
    <w:rsid w:val="006F5D04"/>
    <w:rsid w:val="006F7117"/>
    <w:rsid w:val="007029D3"/>
    <w:rsid w:val="007063EA"/>
    <w:rsid w:val="00711CA5"/>
    <w:rsid w:val="00717786"/>
    <w:rsid w:val="00727743"/>
    <w:rsid w:val="00730198"/>
    <w:rsid w:val="0073358B"/>
    <w:rsid w:val="00734B34"/>
    <w:rsid w:val="00763708"/>
    <w:rsid w:val="00774F80"/>
    <w:rsid w:val="00780022"/>
    <w:rsid w:val="00780A50"/>
    <w:rsid w:val="0078443D"/>
    <w:rsid w:val="00787F77"/>
    <w:rsid w:val="007945ED"/>
    <w:rsid w:val="007A0296"/>
    <w:rsid w:val="007A07F6"/>
    <w:rsid w:val="007A74B3"/>
    <w:rsid w:val="007D213A"/>
    <w:rsid w:val="007D4CB3"/>
    <w:rsid w:val="007E02A9"/>
    <w:rsid w:val="007E3BD1"/>
    <w:rsid w:val="007E7F41"/>
    <w:rsid w:val="007F14FA"/>
    <w:rsid w:val="007F4079"/>
    <w:rsid w:val="008032FD"/>
    <w:rsid w:val="00805B7C"/>
    <w:rsid w:val="008107BF"/>
    <w:rsid w:val="0081651C"/>
    <w:rsid w:val="00822F0B"/>
    <w:rsid w:val="0082464A"/>
    <w:rsid w:val="00835D61"/>
    <w:rsid w:val="00836759"/>
    <w:rsid w:val="00836DC6"/>
    <w:rsid w:val="0084237B"/>
    <w:rsid w:val="00843E90"/>
    <w:rsid w:val="00844313"/>
    <w:rsid w:val="00845E43"/>
    <w:rsid w:val="00853549"/>
    <w:rsid w:val="00854042"/>
    <w:rsid w:val="00854CA4"/>
    <w:rsid w:val="0086165B"/>
    <w:rsid w:val="00862126"/>
    <w:rsid w:val="0087213A"/>
    <w:rsid w:val="00876472"/>
    <w:rsid w:val="00876C4B"/>
    <w:rsid w:val="00882583"/>
    <w:rsid w:val="00890BCB"/>
    <w:rsid w:val="00893C7A"/>
    <w:rsid w:val="0089653E"/>
    <w:rsid w:val="008A119A"/>
    <w:rsid w:val="008A1C58"/>
    <w:rsid w:val="008A3350"/>
    <w:rsid w:val="008A618D"/>
    <w:rsid w:val="008A63C8"/>
    <w:rsid w:val="008B62FF"/>
    <w:rsid w:val="008B7900"/>
    <w:rsid w:val="008B7BFB"/>
    <w:rsid w:val="008C6495"/>
    <w:rsid w:val="008D1613"/>
    <w:rsid w:val="008D1D77"/>
    <w:rsid w:val="008D6949"/>
    <w:rsid w:val="008E3EC7"/>
    <w:rsid w:val="008F16A3"/>
    <w:rsid w:val="008F28B3"/>
    <w:rsid w:val="00901DB5"/>
    <w:rsid w:val="0090756A"/>
    <w:rsid w:val="00910483"/>
    <w:rsid w:val="00911075"/>
    <w:rsid w:val="00911406"/>
    <w:rsid w:val="009166C5"/>
    <w:rsid w:val="009205FA"/>
    <w:rsid w:val="00923557"/>
    <w:rsid w:val="009310A9"/>
    <w:rsid w:val="00936D46"/>
    <w:rsid w:val="00944FD2"/>
    <w:rsid w:val="00947168"/>
    <w:rsid w:val="00951EDC"/>
    <w:rsid w:val="009934FE"/>
    <w:rsid w:val="009A0F5F"/>
    <w:rsid w:val="009A2151"/>
    <w:rsid w:val="009A3B0D"/>
    <w:rsid w:val="009A4F2D"/>
    <w:rsid w:val="009B0732"/>
    <w:rsid w:val="009B600D"/>
    <w:rsid w:val="009B72B5"/>
    <w:rsid w:val="009C5CC2"/>
    <w:rsid w:val="009D10BC"/>
    <w:rsid w:val="009D4D6D"/>
    <w:rsid w:val="009D7BDF"/>
    <w:rsid w:val="009E2214"/>
    <w:rsid w:val="009E32B0"/>
    <w:rsid w:val="009F3726"/>
    <w:rsid w:val="00A014B3"/>
    <w:rsid w:val="00A0182B"/>
    <w:rsid w:val="00A06AF8"/>
    <w:rsid w:val="00A13FD9"/>
    <w:rsid w:val="00A226E9"/>
    <w:rsid w:val="00A31E94"/>
    <w:rsid w:val="00A32168"/>
    <w:rsid w:val="00A347CF"/>
    <w:rsid w:val="00A50F9D"/>
    <w:rsid w:val="00A5792A"/>
    <w:rsid w:val="00A57984"/>
    <w:rsid w:val="00A71232"/>
    <w:rsid w:val="00AB1B75"/>
    <w:rsid w:val="00AB2E9B"/>
    <w:rsid w:val="00AB3933"/>
    <w:rsid w:val="00AB3D2A"/>
    <w:rsid w:val="00AB7CDC"/>
    <w:rsid w:val="00AC22A4"/>
    <w:rsid w:val="00AC2BCF"/>
    <w:rsid w:val="00AD0FED"/>
    <w:rsid w:val="00AD2784"/>
    <w:rsid w:val="00AD45ED"/>
    <w:rsid w:val="00AE3E10"/>
    <w:rsid w:val="00AE7B1F"/>
    <w:rsid w:val="00AF6E85"/>
    <w:rsid w:val="00B01D25"/>
    <w:rsid w:val="00B01F86"/>
    <w:rsid w:val="00B04AC0"/>
    <w:rsid w:val="00B14C3B"/>
    <w:rsid w:val="00B156E2"/>
    <w:rsid w:val="00B179B8"/>
    <w:rsid w:val="00B26D18"/>
    <w:rsid w:val="00B30899"/>
    <w:rsid w:val="00B32BC6"/>
    <w:rsid w:val="00B33072"/>
    <w:rsid w:val="00B3449B"/>
    <w:rsid w:val="00B364D4"/>
    <w:rsid w:val="00B37CB8"/>
    <w:rsid w:val="00B37DB2"/>
    <w:rsid w:val="00B44AFC"/>
    <w:rsid w:val="00B46064"/>
    <w:rsid w:val="00B4663D"/>
    <w:rsid w:val="00B5278D"/>
    <w:rsid w:val="00B540C4"/>
    <w:rsid w:val="00B5432F"/>
    <w:rsid w:val="00B54ED4"/>
    <w:rsid w:val="00B554C1"/>
    <w:rsid w:val="00B631E1"/>
    <w:rsid w:val="00B702BF"/>
    <w:rsid w:val="00B773E9"/>
    <w:rsid w:val="00B90B0E"/>
    <w:rsid w:val="00BB153B"/>
    <w:rsid w:val="00BB1B78"/>
    <w:rsid w:val="00BC06EE"/>
    <w:rsid w:val="00BC0F8D"/>
    <w:rsid w:val="00BC6489"/>
    <w:rsid w:val="00BC6555"/>
    <w:rsid w:val="00BC7CB8"/>
    <w:rsid w:val="00BD4D30"/>
    <w:rsid w:val="00BF3215"/>
    <w:rsid w:val="00BF39F8"/>
    <w:rsid w:val="00BF3CA0"/>
    <w:rsid w:val="00BF4AF0"/>
    <w:rsid w:val="00BF59EF"/>
    <w:rsid w:val="00C01C5A"/>
    <w:rsid w:val="00C04062"/>
    <w:rsid w:val="00C05B95"/>
    <w:rsid w:val="00C116E3"/>
    <w:rsid w:val="00C16A6C"/>
    <w:rsid w:val="00C247BC"/>
    <w:rsid w:val="00C251D7"/>
    <w:rsid w:val="00C35BCA"/>
    <w:rsid w:val="00C370C0"/>
    <w:rsid w:val="00C42ADB"/>
    <w:rsid w:val="00C45357"/>
    <w:rsid w:val="00C453DF"/>
    <w:rsid w:val="00C47F0B"/>
    <w:rsid w:val="00C6408C"/>
    <w:rsid w:val="00C70564"/>
    <w:rsid w:val="00C771E6"/>
    <w:rsid w:val="00C84CDE"/>
    <w:rsid w:val="00C96F6C"/>
    <w:rsid w:val="00CA0F8D"/>
    <w:rsid w:val="00CA3D02"/>
    <w:rsid w:val="00CB20C1"/>
    <w:rsid w:val="00CB349F"/>
    <w:rsid w:val="00CB574A"/>
    <w:rsid w:val="00CB72BE"/>
    <w:rsid w:val="00CC3087"/>
    <w:rsid w:val="00CC4E34"/>
    <w:rsid w:val="00CE2DAF"/>
    <w:rsid w:val="00CE6CA4"/>
    <w:rsid w:val="00CF450C"/>
    <w:rsid w:val="00CF601A"/>
    <w:rsid w:val="00D04B16"/>
    <w:rsid w:val="00D057EA"/>
    <w:rsid w:val="00D07075"/>
    <w:rsid w:val="00D116F3"/>
    <w:rsid w:val="00D22C82"/>
    <w:rsid w:val="00D24088"/>
    <w:rsid w:val="00D2636D"/>
    <w:rsid w:val="00D348F9"/>
    <w:rsid w:val="00D420B8"/>
    <w:rsid w:val="00D509AA"/>
    <w:rsid w:val="00D60CB7"/>
    <w:rsid w:val="00D675AF"/>
    <w:rsid w:val="00D73FBA"/>
    <w:rsid w:val="00D80653"/>
    <w:rsid w:val="00D81B40"/>
    <w:rsid w:val="00D840AC"/>
    <w:rsid w:val="00D86036"/>
    <w:rsid w:val="00D91F45"/>
    <w:rsid w:val="00D92CF3"/>
    <w:rsid w:val="00D94002"/>
    <w:rsid w:val="00D95C24"/>
    <w:rsid w:val="00D97942"/>
    <w:rsid w:val="00DA0402"/>
    <w:rsid w:val="00DA08D7"/>
    <w:rsid w:val="00DA1015"/>
    <w:rsid w:val="00DA3B89"/>
    <w:rsid w:val="00DB1399"/>
    <w:rsid w:val="00DC30D5"/>
    <w:rsid w:val="00DC33B6"/>
    <w:rsid w:val="00DD1099"/>
    <w:rsid w:val="00DD5728"/>
    <w:rsid w:val="00DE0E98"/>
    <w:rsid w:val="00DE5197"/>
    <w:rsid w:val="00DF4A35"/>
    <w:rsid w:val="00DF7466"/>
    <w:rsid w:val="00DF7F17"/>
    <w:rsid w:val="00E016E2"/>
    <w:rsid w:val="00E16238"/>
    <w:rsid w:val="00E16430"/>
    <w:rsid w:val="00E26890"/>
    <w:rsid w:val="00E3072F"/>
    <w:rsid w:val="00E378D1"/>
    <w:rsid w:val="00E40E40"/>
    <w:rsid w:val="00E50331"/>
    <w:rsid w:val="00E5114D"/>
    <w:rsid w:val="00E51BA3"/>
    <w:rsid w:val="00E5631B"/>
    <w:rsid w:val="00E64B6F"/>
    <w:rsid w:val="00E74825"/>
    <w:rsid w:val="00E7640A"/>
    <w:rsid w:val="00E77108"/>
    <w:rsid w:val="00E85BFA"/>
    <w:rsid w:val="00E8684F"/>
    <w:rsid w:val="00E91C36"/>
    <w:rsid w:val="00E95CA1"/>
    <w:rsid w:val="00E97B1A"/>
    <w:rsid w:val="00EA15AD"/>
    <w:rsid w:val="00EA1D82"/>
    <w:rsid w:val="00EB18B8"/>
    <w:rsid w:val="00EB1EB9"/>
    <w:rsid w:val="00EC29A6"/>
    <w:rsid w:val="00EC5004"/>
    <w:rsid w:val="00EC6557"/>
    <w:rsid w:val="00EC78A6"/>
    <w:rsid w:val="00ED31A0"/>
    <w:rsid w:val="00ED6C15"/>
    <w:rsid w:val="00EE0AEA"/>
    <w:rsid w:val="00EE1840"/>
    <w:rsid w:val="00EE347F"/>
    <w:rsid w:val="00EF0E69"/>
    <w:rsid w:val="00EF723A"/>
    <w:rsid w:val="00F06E77"/>
    <w:rsid w:val="00F13D0A"/>
    <w:rsid w:val="00F14A08"/>
    <w:rsid w:val="00F1523E"/>
    <w:rsid w:val="00F164A7"/>
    <w:rsid w:val="00F16E9E"/>
    <w:rsid w:val="00F23B76"/>
    <w:rsid w:val="00F51702"/>
    <w:rsid w:val="00F5383D"/>
    <w:rsid w:val="00F55728"/>
    <w:rsid w:val="00F62196"/>
    <w:rsid w:val="00F67CCB"/>
    <w:rsid w:val="00F75F9E"/>
    <w:rsid w:val="00F922C0"/>
    <w:rsid w:val="00FA1395"/>
    <w:rsid w:val="00FA565B"/>
    <w:rsid w:val="00FC0D56"/>
    <w:rsid w:val="00FC5FD6"/>
    <w:rsid w:val="00FC757F"/>
    <w:rsid w:val="00FD1108"/>
    <w:rsid w:val="00FD406F"/>
    <w:rsid w:val="00FD67EC"/>
    <w:rsid w:val="00FD765F"/>
    <w:rsid w:val="00FE1722"/>
    <w:rsid w:val="00FF0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155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s-ES_trad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D10B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D10B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autoRedefine/>
    <w:uiPriority w:val="99"/>
    <w:unhideWhenUsed/>
    <w:rsid w:val="00514118"/>
    <w:pPr>
      <w:contextualSpacing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TextonotapieCar">
    <w:name w:val="Texto nota pie Car"/>
    <w:link w:val="Textonotapie"/>
    <w:uiPriority w:val="99"/>
    <w:rsid w:val="00514118"/>
    <w:rPr>
      <w:rFonts w:ascii="Times New Roman" w:hAnsi="Times New Roman" w:cs="Times New Roman"/>
      <w:sz w:val="20"/>
      <w:szCs w:val="20"/>
    </w:rPr>
  </w:style>
  <w:style w:type="character" w:styleId="Refdenotaalpie">
    <w:name w:val="footnote reference"/>
    <w:uiPriority w:val="99"/>
    <w:unhideWhenUsed/>
    <w:rsid w:val="00D92CF3"/>
    <w:rPr>
      <w:rFonts w:cs="Times New Roman"/>
      <w:vertAlign w:val="superscript"/>
    </w:rPr>
  </w:style>
  <w:style w:type="paragraph" w:styleId="Prrafodelista">
    <w:name w:val="List Paragraph"/>
    <w:basedOn w:val="Normal"/>
    <w:uiPriority w:val="34"/>
    <w:qFormat/>
    <w:rsid w:val="00D22C82"/>
    <w:pPr>
      <w:ind w:left="720"/>
      <w:contextualSpacing/>
    </w:pPr>
  </w:style>
  <w:style w:type="character" w:styleId="Hipervnculo">
    <w:name w:val="Hyperlink"/>
    <w:uiPriority w:val="99"/>
    <w:unhideWhenUsed/>
    <w:rsid w:val="005F18B3"/>
    <w:rPr>
      <w:rFonts w:cs="Times New Roman"/>
      <w:color w:val="0000FF"/>
      <w:u w:val="single"/>
    </w:rPr>
  </w:style>
  <w:style w:type="paragraph" w:styleId="Piedepgina">
    <w:name w:val="footer"/>
    <w:basedOn w:val="Normal"/>
    <w:link w:val="PiedepginaCar"/>
    <w:uiPriority w:val="99"/>
    <w:unhideWhenUsed/>
    <w:rsid w:val="0027390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73906"/>
  </w:style>
  <w:style w:type="character" w:styleId="Nmerodepgina">
    <w:name w:val="page number"/>
    <w:basedOn w:val="Fuentedeprrafopredeter"/>
    <w:uiPriority w:val="99"/>
    <w:semiHidden/>
    <w:unhideWhenUsed/>
    <w:rsid w:val="00273906"/>
  </w:style>
  <w:style w:type="character" w:customStyle="1" w:styleId="UnresolvedMention">
    <w:name w:val="Unresolved Mention"/>
    <w:basedOn w:val="Fuentedeprrafopredeter"/>
    <w:uiPriority w:val="99"/>
    <w:rsid w:val="00406428"/>
    <w:rPr>
      <w:color w:val="605E5C"/>
      <w:shd w:val="clear" w:color="auto" w:fill="E1DFDD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84237B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84237B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84237B"/>
    <w:rPr>
      <w:vertAlign w:val="superscript"/>
    </w:rPr>
  </w:style>
  <w:style w:type="character" w:customStyle="1" w:styleId="Ttulo1Car">
    <w:name w:val="Título 1 Car"/>
    <w:basedOn w:val="Fuentedeprrafopredeter"/>
    <w:link w:val="Ttulo1"/>
    <w:uiPriority w:val="9"/>
    <w:rsid w:val="009D10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D10BC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Encabezado">
    <w:name w:val="header"/>
    <w:basedOn w:val="Normal"/>
    <w:link w:val="EncabezadoCar"/>
    <w:uiPriority w:val="99"/>
    <w:unhideWhenUsed/>
    <w:rsid w:val="009D10B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D10BC"/>
  </w:style>
  <w:style w:type="character" w:styleId="Refdecomentario">
    <w:name w:val="annotation reference"/>
    <w:basedOn w:val="Fuentedeprrafopredeter"/>
    <w:uiPriority w:val="99"/>
    <w:semiHidden/>
    <w:unhideWhenUsed/>
    <w:rsid w:val="0000134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01345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0134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0134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01345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01345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01345"/>
    <w:rPr>
      <w:rFonts w:ascii="Times New Roman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s-ES_trad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D10B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D10B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autoRedefine/>
    <w:uiPriority w:val="99"/>
    <w:unhideWhenUsed/>
    <w:rsid w:val="00514118"/>
    <w:pPr>
      <w:contextualSpacing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TextonotapieCar">
    <w:name w:val="Texto nota pie Car"/>
    <w:link w:val="Textonotapie"/>
    <w:uiPriority w:val="99"/>
    <w:rsid w:val="00514118"/>
    <w:rPr>
      <w:rFonts w:ascii="Times New Roman" w:hAnsi="Times New Roman" w:cs="Times New Roman"/>
      <w:sz w:val="20"/>
      <w:szCs w:val="20"/>
    </w:rPr>
  </w:style>
  <w:style w:type="character" w:styleId="Refdenotaalpie">
    <w:name w:val="footnote reference"/>
    <w:uiPriority w:val="99"/>
    <w:unhideWhenUsed/>
    <w:rsid w:val="00D92CF3"/>
    <w:rPr>
      <w:rFonts w:cs="Times New Roman"/>
      <w:vertAlign w:val="superscript"/>
    </w:rPr>
  </w:style>
  <w:style w:type="paragraph" w:styleId="Prrafodelista">
    <w:name w:val="List Paragraph"/>
    <w:basedOn w:val="Normal"/>
    <w:uiPriority w:val="34"/>
    <w:qFormat/>
    <w:rsid w:val="00D22C82"/>
    <w:pPr>
      <w:ind w:left="720"/>
      <w:contextualSpacing/>
    </w:pPr>
  </w:style>
  <w:style w:type="character" w:styleId="Hipervnculo">
    <w:name w:val="Hyperlink"/>
    <w:uiPriority w:val="99"/>
    <w:unhideWhenUsed/>
    <w:rsid w:val="005F18B3"/>
    <w:rPr>
      <w:rFonts w:cs="Times New Roman"/>
      <w:color w:val="0000FF"/>
      <w:u w:val="single"/>
    </w:rPr>
  </w:style>
  <w:style w:type="paragraph" w:styleId="Piedepgina">
    <w:name w:val="footer"/>
    <w:basedOn w:val="Normal"/>
    <w:link w:val="PiedepginaCar"/>
    <w:uiPriority w:val="99"/>
    <w:unhideWhenUsed/>
    <w:rsid w:val="0027390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73906"/>
  </w:style>
  <w:style w:type="character" w:styleId="Nmerodepgina">
    <w:name w:val="page number"/>
    <w:basedOn w:val="Fuentedeprrafopredeter"/>
    <w:uiPriority w:val="99"/>
    <w:semiHidden/>
    <w:unhideWhenUsed/>
    <w:rsid w:val="00273906"/>
  </w:style>
  <w:style w:type="character" w:customStyle="1" w:styleId="UnresolvedMention">
    <w:name w:val="Unresolved Mention"/>
    <w:basedOn w:val="Fuentedeprrafopredeter"/>
    <w:uiPriority w:val="99"/>
    <w:rsid w:val="00406428"/>
    <w:rPr>
      <w:color w:val="605E5C"/>
      <w:shd w:val="clear" w:color="auto" w:fill="E1DFDD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84237B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84237B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84237B"/>
    <w:rPr>
      <w:vertAlign w:val="superscript"/>
    </w:rPr>
  </w:style>
  <w:style w:type="character" w:customStyle="1" w:styleId="Ttulo1Car">
    <w:name w:val="Título 1 Car"/>
    <w:basedOn w:val="Fuentedeprrafopredeter"/>
    <w:link w:val="Ttulo1"/>
    <w:uiPriority w:val="9"/>
    <w:rsid w:val="009D10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D10BC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Encabezado">
    <w:name w:val="header"/>
    <w:basedOn w:val="Normal"/>
    <w:link w:val="EncabezadoCar"/>
    <w:uiPriority w:val="99"/>
    <w:unhideWhenUsed/>
    <w:rsid w:val="009D10B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D10BC"/>
  </w:style>
  <w:style w:type="character" w:styleId="Refdecomentario">
    <w:name w:val="annotation reference"/>
    <w:basedOn w:val="Fuentedeprrafopredeter"/>
    <w:uiPriority w:val="99"/>
    <w:semiHidden/>
    <w:unhideWhenUsed/>
    <w:rsid w:val="0000134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01345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0134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0134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01345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01345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01345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A04B152-4F74-468B-B05C-442461271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578</Words>
  <Characters>3185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3756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Paula Quiroga</dc:creator>
  <cp:lastModifiedBy>usuario</cp:lastModifiedBy>
  <cp:revision>2</cp:revision>
  <dcterms:created xsi:type="dcterms:W3CDTF">2021-04-19T06:53:00Z</dcterms:created>
  <dcterms:modified xsi:type="dcterms:W3CDTF">2021-04-19T06:53:00Z</dcterms:modified>
</cp:coreProperties>
</file>