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D8635" w14:textId="77777777" w:rsidR="00757F8A" w:rsidRPr="00757F8A" w:rsidRDefault="00757F8A" w:rsidP="00757F8A">
      <w:pPr>
        <w:spacing w:after="0" w:line="360" w:lineRule="auto"/>
        <w:jc w:val="center"/>
        <w:rPr>
          <w:rFonts w:ascii="Times New Roman" w:hAnsi="Times New Roman" w:cs="Times New Roman"/>
          <w:b/>
          <w:bCs/>
          <w:sz w:val="24"/>
          <w:szCs w:val="24"/>
          <w:lang w:val="es-ES_tradnl"/>
        </w:rPr>
      </w:pPr>
      <w:r w:rsidRPr="00757F8A">
        <w:rPr>
          <w:rFonts w:ascii="Times New Roman" w:hAnsi="Times New Roman" w:cs="Times New Roman"/>
          <w:b/>
          <w:bCs/>
          <w:sz w:val="24"/>
          <w:szCs w:val="24"/>
          <w:lang w:val="es-ES_tradnl"/>
        </w:rPr>
        <w:t>Sociedad digital y derechos de autor</w:t>
      </w:r>
    </w:p>
    <w:p w14:paraId="61A9B738" w14:textId="34729563" w:rsidR="00757F8A" w:rsidRDefault="00757F8A" w:rsidP="00757F8A">
      <w:pPr>
        <w:spacing w:after="0" w:line="360" w:lineRule="auto"/>
        <w:jc w:val="center"/>
        <w:rPr>
          <w:rFonts w:ascii="Times New Roman" w:hAnsi="Times New Roman" w:cs="Times New Roman"/>
          <w:b/>
          <w:bCs/>
          <w:sz w:val="24"/>
          <w:szCs w:val="24"/>
          <w:lang w:val="es-ES_tradnl"/>
        </w:rPr>
      </w:pPr>
      <w:r w:rsidRPr="00757F8A">
        <w:rPr>
          <w:rFonts w:ascii="Times New Roman" w:hAnsi="Times New Roman" w:cs="Times New Roman"/>
          <w:b/>
          <w:bCs/>
          <w:sz w:val="24"/>
          <w:szCs w:val="24"/>
          <w:lang w:val="es-ES_tradnl"/>
        </w:rPr>
        <w:t>(Un aporte a favor de la libertad)</w:t>
      </w:r>
      <w:r w:rsidR="00B21005">
        <w:rPr>
          <w:rStyle w:val="Refdenotaderodap"/>
          <w:rFonts w:ascii="Times New Roman" w:hAnsi="Times New Roman" w:cs="Times New Roman"/>
          <w:b/>
          <w:bCs/>
          <w:sz w:val="24"/>
          <w:szCs w:val="24"/>
          <w:lang w:val="es-ES_tradnl"/>
        </w:rPr>
        <w:footnoteReference w:id="1"/>
      </w:r>
    </w:p>
    <w:p w14:paraId="1CA93AED" w14:textId="77777777" w:rsidR="00757F8A" w:rsidRPr="00757F8A" w:rsidRDefault="00757F8A" w:rsidP="00757F8A">
      <w:pPr>
        <w:spacing w:after="0" w:line="360" w:lineRule="auto"/>
        <w:jc w:val="center"/>
        <w:rPr>
          <w:rFonts w:ascii="Times New Roman" w:hAnsi="Times New Roman" w:cs="Times New Roman"/>
          <w:sz w:val="24"/>
          <w:szCs w:val="24"/>
          <w:lang w:val="es-ES_tradnl"/>
        </w:rPr>
      </w:pPr>
    </w:p>
    <w:p w14:paraId="46E6CB51" w14:textId="77777777" w:rsidR="00757F8A" w:rsidRPr="00E73CC0" w:rsidRDefault="00757F8A" w:rsidP="00757F8A">
      <w:pPr>
        <w:spacing w:after="0" w:line="360" w:lineRule="auto"/>
        <w:jc w:val="both"/>
        <w:rPr>
          <w:rFonts w:ascii="Times New Roman" w:hAnsi="Times New Roman" w:cs="Times New Roman"/>
          <w:b/>
          <w:bCs/>
          <w:sz w:val="24"/>
          <w:szCs w:val="24"/>
          <w:lang w:val="es-ES_tradnl"/>
        </w:rPr>
      </w:pPr>
      <w:r w:rsidRPr="00E73CC0">
        <w:rPr>
          <w:rFonts w:ascii="Times New Roman" w:hAnsi="Times New Roman" w:cs="Times New Roman"/>
          <w:b/>
          <w:bCs/>
          <w:sz w:val="24"/>
          <w:szCs w:val="24"/>
          <w:lang w:val="es-ES_tradnl"/>
        </w:rPr>
        <w:t xml:space="preserve">Alberto Ribeiro de Almeida </w:t>
      </w:r>
    </w:p>
    <w:p w14:paraId="02DE78E2" w14:textId="77777777" w:rsidR="00757F8A" w:rsidRPr="00757F8A" w:rsidRDefault="00757F8A" w:rsidP="00757F8A">
      <w:pPr>
        <w:spacing w:after="0" w:line="360" w:lineRule="auto"/>
        <w:jc w:val="both"/>
        <w:rPr>
          <w:rFonts w:ascii="Times New Roman" w:hAnsi="Times New Roman" w:cs="Times New Roman"/>
          <w:sz w:val="20"/>
          <w:szCs w:val="20"/>
          <w:lang w:val="es-ES_tradnl"/>
        </w:rPr>
      </w:pPr>
      <w:r w:rsidRPr="00757F8A">
        <w:rPr>
          <w:rFonts w:ascii="Times New Roman" w:hAnsi="Times New Roman" w:cs="Times New Roman"/>
          <w:sz w:val="20"/>
          <w:szCs w:val="20"/>
          <w:lang w:val="es-ES_tradnl"/>
        </w:rPr>
        <w:t>Profesor Universitario de Derecho.</w:t>
      </w:r>
    </w:p>
    <w:p w14:paraId="2BD0315F" w14:textId="77777777" w:rsidR="00757F8A" w:rsidRPr="00757F8A" w:rsidRDefault="00757F8A" w:rsidP="00757F8A">
      <w:pPr>
        <w:spacing w:after="0" w:line="360" w:lineRule="auto"/>
        <w:jc w:val="both"/>
        <w:rPr>
          <w:rFonts w:ascii="Times New Roman" w:hAnsi="Times New Roman" w:cs="Times New Roman"/>
          <w:sz w:val="20"/>
          <w:szCs w:val="20"/>
          <w:lang w:val="es-ES_tradnl"/>
        </w:rPr>
      </w:pPr>
      <w:r w:rsidRPr="00757F8A">
        <w:rPr>
          <w:rFonts w:ascii="Times New Roman" w:hAnsi="Times New Roman" w:cs="Times New Roman"/>
          <w:sz w:val="20"/>
          <w:szCs w:val="20"/>
          <w:lang w:val="es-ES_tradnl"/>
        </w:rPr>
        <w:t>Doctor en Derecho por la Universidad de Coimbra.</w:t>
      </w:r>
    </w:p>
    <w:p w14:paraId="6128B8E0" w14:textId="77777777" w:rsidR="00757F8A" w:rsidRDefault="00757F8A" w:rsidP="00757F8A">
      <w:pPr>
        <w:spacing w:after="0" w:line="360" w:lineRule="auto"/>
        <w:jc w:val="both"/>
        <w:rPr>
          <w:rFonts w:ascii="Times New Roman" w:hAnsi="Times New Roman" w:cs="Times New Roman"/>
          <w:sz w:val="20"/>
          <w:szCs w:val="20"/>
          <w:lang w:val="es-ES_tradnl"/>
        </w:rPr>
      </w:pPr>
      <w:r w:rsidRPr="00757F8A">
        <w:rPr>
          <w:rFonts w:ascii="Times New Roman" w:hAnsi="Times New Roman" w:cs="Times New Roman"/>
          <w:sz w:val="20"/>
          <w:szCs w:val="20"/>
          <w:lang w:val="es-ES_tradnl"/>
        </w:rPr>
        <w:t xml:space="preserve">Profesor de la Facultad de Derecho de la </w:t>
      </w:r>
      <w:proofErr w:type="spellStart"/>
      <w:r w:rsidRPr="00757F8A">
        <w:rPr>
          <w:rFonts w:ascii="Times New Roman" w:hAnsi="Times New Roman" w:cs="Times New Roman"/>
          <w:sz w:val="20"/>
          <w:szCs w:val="20"/>
          <w:lang w:val="es-ES_tradnl"/>
        </w:rPr>
        <w:t>Universidade</w:t>
      </w:r>
      <w:proofErr w:type="spellEnd"/>
      <w:r w:rsidRPr="00757F8A">
        <w:rPr>
          <w:rFonts w:ascii="Times New Roman" w:hAnsi="Times New Roman" w:cs="Times New Roman"/>
          <w:sz w:val="20"/>
          <w:szCs w:val="20"/>
          <w:lang w:val="es-ES_tradnl"/>
        </w:rPr>
        <w:t xml:space="preserve"> </w:t>
      </w:r>
      <w:proofErr w:type="spellStart"/>
      <w:r w:rsidRPr="00757F8A">
        <w:rPr>
          <w:rFonts w:ascii="Times New Roman" w:hAnsi="Times New Roman" w:cs="Times New Roman"/>
          <w:sz w:val="20"/>
          <w:szCs w:val="20"/>
          <w:lang w:val="es-ES_tradnl"/>
        </w:rPr>
        <w:t>Lusíada</w:t>
      </w:r>
      <w:proofErr w:type="spellEnd"/>
      <w:r w:rsidRPr="00757F8A">
        <w:rPr>
          <w:rFonts w:ascii="Times New Roman" w:hAnsi="Times New Roman" w:cs="Times New Roman"/>
          <w:sz w:val="20"/>
          <w:szCs w:val="20"/>
          <w:lang w:val="es-ES_tradnl"/>
        </w:rPr>
        <w:t xml:space="preserve"> (campus de Oporto).</w:t>
      </w:r>
    </w:p>
    <w:p w14:paraId="409EFE5E" w14:textId="20FE91B6" w:rsidR="00757F8A" w:rsidRPr="00E73CC0" w:rsidRDefault="00757F8A" w:rsidP="00757F8A">
      <w:pPr>
        <w:spacing w:after="0" w:line="360" w:lineRule="auto"/>
        <w:jc w:val="both"/>
        <w:rPr>
          <w:rFonts w:ascii="Times New Roman" w:hAnsi="Times New Roman" w:cs="Times New Roman"/>
          <w:sz w:val="20"/>
          <w:szCs w:val="20"/>
        </w:rPr>
      </w:pPr>
      <w:r w:rsidRPr="00E73CC0">
        <w:rPr>
          <w:rFonts w:ascii="Times New Roman" w:hAnsi="Times New Roman" w:cs="Times New Roman"/>
          <w:sz w:val="20"/>
          <w:szCs w:val="20"/>
        </w:rPr>
        <w:t xml:space="preserve">e-mail: </w:t>
      </w:r>
      <w:hyperlink r:id="rId8" w:history="1">
        <w:r w:rsidRPr="00E73CC0">
          <w:rPr>
            <w:rStyle w:val="Hiperligao"/>
            <w:rFonts w:ascii="Times New Roman" w:hAnsi="Times New Roman" w:cs="Times New Roman"/>
            <w:sz w:val="20"/>
            <w:szCs w:val="20"/>
          </w:rPr>
          <w:t>ribeirodealmeida@por.ulusiada.pt</w:t>
        </w:r>
      </w:hyperlink>
      <w:r w:rsidRPr="00E73CC0">
        <w:rPr>
          <w:rFonts w:ascii="Times New Roman" w:hAnsi="Times New Roman" w:cs="Times New Roman"/>
          <w:sz w:val="20"/>
          <w:szCs w:val="20"/>
        </w:rPr>
        <w:t xml:space="preserve"> </w:t>
      </w:r>
      <w:proofErr w:type="spellStart"/>
      <w:r w:rsidRPr="00E73CC0">
        <w:rPr>
          <w:rFonts w:ascii="Times New Roman" w:hAnsi="Times New Roman" w:cs="Times New Roman"/>
          <w:sz w:val="20"/>
          <w:szCs w:val="20"/>
        </w:rPr>
        <w:t>ou</w:t>
      </w:r>
      <w:proofErr w:type="spellEnd"/>
      <w:r w:rsidRPr="00E73CC0">
        <w:rPr>
          <w:rFonts w:ascii="Times New Roman" w:hAnsi="Times New Roman" w:cs="Times New Roman"/>
          <w:sz w:val="20"/>
          <w:szCs w:val="20"/>
        </w:rPr>
        <w:t xml:space="preserve"> </w:t>
      </w:r>
      <w:hyperlink r:id="rId9" w:history="1">
        <w:r w:rsidRPr="00E73CC0">
          <w:rPr>
            <w:rStyle w:val="Hiperligao"/>
            <w:rFonts w:ascii="Times New Roman" w:hAnsi="Times New Roman" w:cs="Times New Roman"/>
            <w:sz w:val="20"/>
            <w:szCs w:val="20"/>
          </w:rPr>
          <w:t>afribeirodealmeida@gmail.com</w:t>
        </w:r>
      </w:hyperlink>
      <w:r w:rsidRPr="00E73CC0">
        <w:rPr>
          <w:rFonts w:ascii="Times New Roman" w:hAnsi="Times New Roman" w:cs="Times New Roman"/>
          <w:sz w:val="20"/>
          <w:szCs w:val="20"/>
        </w:rPr>
        <w:t xml:space="preserve"> </w:t>
      </w:r>
    </w:p>
    <w:p w14:paraId="2E9128F4" w14:textId="77777777" w:rsidR="00757F8A" w:rsidRPr="00E73CC0" w:rsidRDefault="00757F8A" w:rsidP="00757F8A">
      <w:pPr>
        <w:spacing w:after="0" w:line="360" w:lineRule="auto"/>
        <w:jc w:val="both"/>
        <w:rPr>
          <w:rFonts w:ascii="Times New Roman" w:hAnsi="Times New Roman" w:cs="Times New Roman"/>
          <w:sz w:val="24"/>
          <w:szCs w:val="24"/>
        </w:rPr>
      </w:pPr>
    </w:p>
    <w:p w14:paraId="11DCD316" w14:textId="77777777" w:rsidR="00757F8A" w:rsidRDefault="00757F8A" w:rsidP="00757F8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Abstract:</w:t>
      </w:r>
      <w:r>
        <w:rPr>
          <w:rFonts w:ascii="Times New Roman" w:hAnsi="Times New Roman" w:cs="Times New Roman"/>
          <w:sz w:val="24"/>
          <w:szCs w:val="24"/>
        </w:rPr>
        <w:t xml:space="preserve"> The protection of intellectual property rights in the digital society has required several initiatives from the European legislator and interpretations of the ECJ, from the outset regarding the liability or non-liability of online intermediary service providers (including very large online platforms) concerning infringements of intellectual property rights and their relationship with other fundamental rights.</w:t>
      </w:r>
    </w:p>
    <w:p w14:paraId="5F9AC08B" w14:textId="77777777" w:rsidR="00757F8A" w:rsidRPr="00757F8A" w:rsidRDefault="00757F8A" w:rsidP="00757F8A">
      <w:pPr>
        <w:spacing w:after="0" w:line="360" w:lineRule="auto"/>
        <w:jc w:val="both"/>
        <w:rPr>
          <w:rFonts w:ascii="Times New Roman" w:hAnsi="Times New Roman" w:cs="Times New Roman"/>
          <w:sz w:val="24"/>
          <w:szCs w:val="24"/>
        </w:rPr>
      </w:pPr>
    </w:p>
    <w:p w14:paraId="0667CB0C" w14:textId="6A289A32" w:rsidR="00757F8A" w:rsidRDefault="00237DDA" w:rsidP="00757F8A">
      <w:pPr>
        <w:spacing w:after="0" w:line="360" w:lineRule="auto"/>
        <w:jc w:val="both"/>
        <w:rPr>
          <w:rFonts w:ascii="Times New Roman" w:hAnsi="Times New Roman" w:cs="Times New Roman"/>
          <w:sz w:val="24"/>
          <w:szCs w:val="24"/>
          <w:lang w:val="es-ES_tradnl"/>
        </w:rPr>
      </w:pPr>
      <w:r w:rsidRPr="00B77C05">
        <w:rPr>
          <w:rFonts w:ascii="Times New Roman" w:hAnsi="Times New Roman" w:cs="Times New Roman"/>
          <w:b/>
          <w:bCs/>
          <w:sz w:val="24"/>
          <w:szCs w:val="24"/>
          <w:lang w:val="es-ES_tradnl"/>
        </w:rPr>
        <w:t xml:space="preserve">Resumen: </w:t>
      </w:r>
      <w:r w:rsidRPr="00B77C05">
        <w:rPr>
          <w:rFonts w:ascii="Times New Roman" w:hAnsi="Times New Roman" w:cs="Times New Roman"/>
          <w:sz w:val="24"/>
          <w:szCs w:val="24"/>
          <w:lang w:val="es-ES_tradnl"/>
        </w:rPr>
        <w:t>La protección de la propiedad intelectual en la sociedad digital ha requerido varias intervenciones por parte del legislador europeo e interpretaciones por parte del TJUE, comenzando por la responsabilidad o irresponsabilidad de los proveedores de servicios de intermediación en línea (incluidas las muy grandes plataformas en línea) respecto de las vulneraciones de los derechos intelectuales propiedad y su relación con otros derechos fundamentales.</w:t>
      </w:r>
    </w:p>
    <w:p w14:paraId="42721220" w14:textId="77777777" w:rsidR="00875AB8" w:rsidRDefault="00875AB8" w:rsidP="00757F8A">
      <w:pPr>
        <w:spacing w:after="0" w:line="360" w:lineRule="auto"/>
        <w:jc w:val="both"/>
        <w:rPr>
          <w:rFonts w:ascii="Times New Roman" w:hAnsi="Times New Roman" w:cs="Times New Roman"/>
          <w:sz w:val="24"/>
          <w:szCs w:val="24"/>
          <w:lang w:val="es-ES_tradnl"/>
        </w:rPr>
      </w:pPr>
    </w:p>
    <w:p w14:paraId="72C48B3E" w14:textId="51BBFEF2" w:rsidR="00875AB8" w:rsidRDefault="00875AB8" w:rsidP="00757F8A">
      <w:pPr>
        <w:spacing w:after="0" w:line="360" w:lineRule="auto"/>
        <w:jc w:val="both"/>
        <w:rPr>
          <w:rFonts w:ascii="Times New Roman" w:hAnsi="Times New Roman" w:cs="Times New Roman"/>
          <w:sz w:val="24"/>
          <w:szCs w:val="24"/>
          <w:lang w:val="es-ES_tradnl"/>
        </w:rPr>
      </w:pPr>
      <w:r w:rsidRPr="00875AB8">
        <w:rPr>
          <w:rFonts w:ascii="Times New Roman" w:hAnsi="Times New Roman" w:cs="Times New Roman"/>
          <w:b/>
          <w:bCs/>
          <w:sz w:val="24"/>
          <w:szCs w:val="24"/>
        </w:rPr>
        <w:t>Summary</w:t>
      </w:r>
      <w:r w:rsidRPr="00875AB8">
        <w:rPr>
          <w:rFonts w:ascii="Times New Roman" w:hAnsi="Times New Roman" w:cs="Times New Roman"/>
          <w:sz w:val="24"/>
          <w:szCs w:val="24"/>
        </w:rPr>
        <w:t xml:space="preserve">: 1. Introduction. 2. The E-Commerce Directive (short review). 3. Article 17 of the Directive 2019/790/EU. 3.1. Scope's subjective field. 3.2. Need to obtain an authorization. 3.3. The rule: exclusion from the exemption regime. 3.4. The exception: absence of liability. 3.5. The obligation to monitor contents. 3.6. The principle of proportionality. 3.7. Alternative dispute resolution mechanisms. 3.8. The pursuit for a fair balance between fundamental rights. 3.9. ECJ evaluation (Poland against European Parliament and Council of the European Union). </w:t>
      </w:r>
      <w:r w:rsidRPr="00875AB8">
        <w:rPr>
          <w:rFonts w:ascii="Times New Roman" w:hAnsi="Times New Roman" w:cs="Times New Roman"/>
          <w:sz w:val="24"/>
          <w:szCs w:val="24"/>
          <w:lang w:val="es-ES_tradnl"/>
        </w:rPr>
        <w:t xml:space="preserve">4. </w:t>
      </w:r>
      <w:proofErr w:type="spellStart"/>
      <w:r w:rsidRPr="00875AB8">
        <w:rPr>
          <w:rFonts w:ascii="Times New Roman" w:hAnsi="Times New Roman" w:cs="Times New Roman"/>
          <w:sz w:val="24"/>
          <w:szCs w:val="24"/>
          <w:lang w:val="es-ES_tradnl"/>
        </w:rPr>
        <w:t>Conclusion</w:t>
      </w:r>
      <w:proofErr w:type="spellEnd"/>
      <w:r w:rsidRPr="00875AB8">
        <w:rPr>
          <w:rFonts w:ascii="Times New Roman" w:hAnsi="Times New Roman" w:cs="Times New Roman"/>
          <w:sz w:val="24"/>
          <w:szCs w:val="24"/>
          <w:lang w:val="es-ES_tradnl"/>
        </w:rPr>
        <w:t>.</w:t>
      </w:r>
    </w:p>
    <w:p w14:paraId="6104ECB6" w14:textId="77777777" w:rsidR="00875AB8" w:rsidRDefault="00875AB8" w:rsidP="00757F8A">
      <w:pPr>
        <w:spacing w:after="0" w:line="360" w:lineRule="auto"/>
        <w:jc w:val="both"/>
        <w:rPr>
          <w:rFonts w:ascii="Times New Roman" w:hAnsi="Times New Roman" w:cs="Times New Roman"/>
          <w:sz w:val="24"/>
          <w:szCs w:val="24"/>
          <w:lang w:val="es-ES_tradnl"/>
        </w:rPr>
      </w:pPr>
    </w:p>
    <w:p w14:paraId="50A6159B" w14:textId="5752DAA5" w:rsidR="00875AB8" w:rsidRDefault="00875AB8" w:rsidP="00757F8A">
      <w:pPr>
        <w:spacing w:after="0" w:line="360" w:lineRule="auto"/>
        <w:jc w:val="both"/>
        <w:rPr>
          <w:rFonts w:ascii="Times New Roman" w:hAnsi="Times New Roman" w:cs="Times New Roman"/>
          <w:sz w:val="24"/>
          <w:szCs w:val="24"/>
          <w:lang w:val="es-ES_tradnl"/>
        </w:rPr>
      </w:pPr>
      <w:r w:rsidRPr="00875AB8">
        <w:rPr>
          <w:rFonts w:ascii="Times New Roman" w:hAnsi="Times New Roman" w:cs="Times New Roman"/>
          <w:b/>
          <w:bCs/>
          <w:sz w:val="24"/>
          <w:szCs w:val="24"/>
          <w:lang w:val="es-ES_tradnl"/>
        </w:rPr>
        <w:t>Contenidos</w:t>
      </w:r>
      <w:r w:rsidRPr="00875AB8">
        <w:rPr>
          <w:rFonts w:ascii="Times New Roman" w:hAnsi="Times New Roman" w:cs="Times New Roman"/>
          <w:sz w:val="24"/>
          <w:szCs w:val="24"/>
          <w:lang w:val="es-ES_tradnl"/>
        </w:rPr>
        <w:t xml:space="preserve">: 1. Introducción. 2. La Directiva de comercio electrónico (breve reseña). 3. Artículo 17 de la Directiva 2019/790/UE. 3.1. Campo subjetivo de aplicación. 3.2. </w:t>
      </w:r>
      <w:r w:rsidRPr="00875AB8">
        <w:rPr>
          <w:rFonts w:ascii="Times New Roman" w:hAnsi="Times New Roman" w:cs="Times New Roman"/>
          <w:sz w:val="24"/>
          <w:szCs w:val="24"/>
          <w:lang w:val="es-ES_tradnl"/>
        </w:rPr>
        <w:lastRenderedPageBreak/>
        <w:t>Necesidad de obtener un permiso. 3.3. La regla: salida del régimen de exención. 3.4. La excepción: eliminación de responsabilidad. 3.5. La obligación de controlar los contenidos. 3.6. El principio de proporcionalidad. 3.7. Mecanismos Alternativos de Resolución de Controversias. 3.8. La búsqueda de un justo equilibrio entre los derechos fundamentales. 3.9. Sentencia del TJUE (Polonia contra Parlamento Europeo y Consejo de la Unión Europea). 4. Conclusión.</w:t>
      </w:r>
    </w:p>
    <w:p w14:paraId="6E99F2A1" w14:textId="77777777" w:rsidR="00875AB8" w:rsidRDefault="00875AB8" w:rsidP="00757F8A">
      <w:pPr>
        <w:spacing w:after="0" w:line="360" w:lineRule="auto"/>
        <w:jc w:val="both"/>
        <w:rPr>
          <w:rFonts w:ascii="Times New Roman" w:hAnsi="Times New Roman" w:cs="Times New Roman"/>
          <w:sz w:val="24"/>
          <w:szCs w:val="24"/>
          <w:lang w:val="es-ES_tradnl"/>
        </w:rPr>
      </w:pPr>
    </w:p>
    <w:p w14:paraId="021EB167" w14:textId="23920EC9" w:rsidR="00875AB8" w:rsidRPr="0017154B" w:rsidRDefault="0017154B" w:rsidP="0017154B">
      <w:pPr>
        <w:spacing w:after="0" w:line="360" w:lineRule="auto"/>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t xml:space="preserve">1. </w:t>
      </w:r>
      <w:r w:rsidRPr="0017154B">
        <w:rPr>
          <w:rFonts w:ascii="Times New Roman" w:hAnsi="Times New Roman" w:cs="Times New Roman"/>
          <w:b/>
          <w:bCs/>
          <w:sz w:val="24"/>
          <w:szCs w:val="24"/>
          <w:lang w:val="es-ES_tradnl"/>
        </w:rPr>
        <w:t>Introducción.</w:t>
      </w:r>
    </w:p>
    <w:p w14:paraId="5C3748B5" w14:textId="77777777" w:rsidR="0017154B" w:rsidRDefault="0017154B" w:rsidP="0017154B">
      <w:pPr>
        <w:spacing w:after="0" w:line="360" w:lineRule="auto"/>
        <w:jc w:val="both"/>
        <w:rPr>
          <w:rFonts w:ascii="Times New Roman" w:hAnsi="Times New Roman" w:cs="Times New Roman"/>
          <w:sz w:val="24"/>
          <w:szCs w:val="24"/>
          <w:lang w:val="es-ES_tradnl"/>
        </w:rPr>
      </w:pPr>
    </w:p>
    <w:p w14:paraId="65CD6709" w14:textId="2A0EC504" w:rsidR="0017154B" w:rsidRDefault="00751D81" w:rsidP="0017154B">
      <w:pPr>
        <w:spacing w:after="0" w:line="360" w:lineRule="auto"/>
        <w:jc w:val="both"/>
        <w:rPr>
          <w:rFonts w:ascii="Times New Roman" w:hAnsi="Times New Roman" w:cs="Times New Roman"/>
          <w:sz w:val="24"/>
          <w:szCs w:val="24"/>
          <w:lang w:val="es-ES_tradnl"/>
        </w:rPr>
      </w:pPr>
      <w:r w:rsidRPr="00751D81">
        <w:rPr>
          <w:rFonts w:ascii="Times New Roman" w:hAnsi="Times New Roman" w:cs="Times New Roman"/>
          <w:sz w:val="24"/>
          <w:szCs w:val="24"/>
          <w:lang w:val="es-ES_tradnl"/>
        </w:rPr>
        <w:t xml:space="preserve">El desarrollo de la sociedad digital y sus plataformas plantea nuevos desafíos a los derechos de propiedad intelectual, incluida la problemática relación con otros derechos fundamentales. A pesar de las diversas medidas adoptadas, la UE presentó un nuevo paquete legislativo con vistas a regular las plataformas en línea: la regulación P2B (relaciones plataforma-empresa); la Ley de Mercados Digitales; y la Ley de Servicios Digitales. La </w:t>
      </w:r>
      <w:r w:rsidR="00D15085">
        <w:rPr>
          <w:rFonts w:ascii="Times New Roman" w:hAnsi="Times New Roman" w:cs="Times New Roman"/>
          <w:sz w:val="24"/>
          <w:szCs w:val="24"/>
          <w:lang w:val="es-ES_tradnl"/>
        </w:rPr>
        <w:t>responsabilidad</w:t>
      </w:r>
      <w:r w:rsidRPr="00751D81">
        <w:rPr>
          <w:rFonts w:ascii="Times New Roman" w:hAnsi="Times New Roman" w:cs="Times New Roman"/>
          <w:sz w:val="24"/>
          <w:szCs w:val="24"/>
          <w:lang w:val="es-ES_tradnl"/>
        </w:rPr>
        <w:t xml:space="preserve"> de los proveedores de servicios de intermediación en línea, las plataformas en línea, los usuarios y las </w:t>
      </w:r>
      <w:proofErr w:type="gramStart"/>
      <w:r w:rsidRPr="00751D81">
        <w:rPr>
          <w:rFonts w:ascii="Times New Roman" w:hAnsi="Times New Roman" w:cs="Times New Roman"/>
          <w:sz w:val="24"/>
          <w:szCs w:val="24"/>
          <w:lang w:val="es-ES_tradnl"/>
        </w:rPr>
        <w:t>autoridades públicas</w:t>
      </w:r>
      <w:proofErr w:type="gramEnd"/>
      <w:r w:rsidRPr="00751D81">
        <w:rPr>
          <w:rFonts w:ascii="Times New Roman" w:hAnsi="Times New Roman" w:cs="Times New Roman"/>
          <w:sz w:val="24"/>
          <w:szCs w:val="24"/>
          <w:lang w:val="es-ES_tradnl"/>
        </w:rPr>
        <w:t xml:space="preserve"> es uno de los objetivos de esta propuesta de reglamento sobre servicios digitales (con la consiguiente regulación y supervisión). </w:t>
      </w:r>
    </w:p>
    <w:p w14:paraId="5D130231" w14:textId="7CB993EE" w:rsidR="00751D81" w:rsidRPr="0017154B" w:rsidRDefault="00871DE0" w:rsidP="0017154B">
      <w:pPr>
        <w:spacing w:after="0" w:line="360" w:lineRule="auto"/>
        <w:jc w:val="both"/>
        <w:rPr>
          <w:rFonts w:ascii="Times New Roman" w:hAnsi="Times New Roman" w:cs="Times New Roman"/>
          <w:sz w:val="24"/>
          <w:szCs w:val="24"/>
          <w:lang w:val="es-ES_tradnl"/>
        </w:rPr>
      </w:pPr>
      <w:r w:rsidRPr="00871DE0">
        <w:rPr>
          <w:rFonts w:ascii="Times New Roman" w:hAnsi="Times New Roman" w:cs="Times New Roman"/>
          <w:sz w:val="24"/>
          <w:szCs w:val="24"/>
          <w:lang w:val="es-ES_tradnl"/>
        </w:rPr>
        <w:t>La primera preocupación del derecho de la UE era eliminar los obstáculos al desarrollo de la sociedad digital y, en consecuencia, del mercado interior, derivados de las divergencias entre los ordenamientos jurídicos de los Estados miembros. Con este objetivo se creó la Directiva 2000/31/CE, de 8 de junio de 2000, sobre determinados aspectos jurídicos de los servicios de la sociedad de la información, en particular el comercio electrónico, en el mercado interior («Directiva sobre comercio electrónico»).</w:t>
      </w:r>
    </w:p>
    <w:p w14:paraId="04110C2C" w14:textId="77777777" w:rsidR="00875AB8" w:rsidRDefault="00875AB8" w:rsidP="00757F8A">
      <w:pPr>
        <w:spacing w:after="0" w:line="360" w:lineRule="auto"/>
        <w:jc w:val="both"/>
        <w:rPr>
          <w:rFonts w:ascii="Times New Roman" w:hAnsi="Times New Roman" w:cs="Times New Roman"/>
          <w:sz w:val="24"/>
          <w:szCs w:val="24"/>
          <w:lang w:val="es-ES_tradnl"/>
        </w:rPr>
      </w:pPr>
    </w:p>
    <w:p w14:paraId="58C6209C"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2. La Directiva de comercio electrónico (breve reseña). </w:t>
      </w:r>
    </w:p>
    <w:p w14:paraId="30654D27" w14:textId="77777777" w:rsidR="0017154B" w:rsidRDefault="0017154B" w:rsidP="00757F8A">
      <w:pPr>
        <w:spacing w:after="0" w:line="360" w:lineRule="auto"/>
        <w:jc w:val="both"/>
        <w:rPr>
          <w:rFonts w:ascii="Times New Roman" w:hAnsi="Times New Roman" w:cs="Times New Roman"/>
          <w:sz w:val="24"/>
          <w:szCs w:val="24"/>
          <w:lang w:val="es-ES_tradnl"/>
        </w:rPr>
      </w:pPr>
    </w:p>
    <w:p w14:paraId="160A23C3" w14:textId="31F8F4DE" w:rsidR="0017154B" w:rsidRDefault="00702E9B" w:rsidP="00757F8A">
      <w:pPr>
        <w:spacing w:after="0" w:line="360" w:lineRule="auto"/>
        <w:jc w:val="both"/>
        <w:rPr>
          <w:rFonts w:ascii="Times New Roman" w:hAnsi="Times New Roman" w:cs="Times New Roman"/>
          <w:sz w:val="24"/>
          <w:szCs w:val="24"/>
          <w:lang w:val="es-ES_tradnl"/>
        </w:rPr>
      </w:pPr>
      <w:r w:rsidRPr="00702E9B">
        <w:rPr>
          <w:rFonts w:ascii="Times New Roman" w:hAnsi="Times New Roman" w:cs="Times New Roman"/>
          <w:sz w:val="24"/>
          <w:szCs w:val="24"/>
          <w:lang w:val="es-ES_tradnl"/>
        </w:rPr>
        <w:t xml:space="preserve">La protección efectiva de los derechos de propiedad intelectual en el marco de la sociedad digital ha sido fundamentalmente difícil por tres razones: la prioridad que se ha dado a la realización del mercado interior, descuidando la protección de esos derechos (nos referimos, obviamente, a usos o reproducciones no autorizados por parte de los titulares de los derechos de propiedad intelectual); la multiplicidad de servicios cubiertos y la dinámica del mercado digital; las dificultades prácticas y jurídicas para combatir las infracciones de los derechos de propiedad intelectual en la sociedad digital, incluida la </w:t>
      </w:r>
      <w:r w:rsidRPr="00702E9B">
        <w:rPr>
          <w:rFonts w:ascii="Times New Roman" w:hAnsi="Times New Roman" w:cs="Times New Roman"/>
          <w:sz w:val="24"/>
          <w:szCs w:val="24"/>
          <w:lang w:val="es-ES_tradnl"/>
        </w:rPr>
        <w:lastRenderedPageBreak/>
        <w:t xml:space="preserve">regla de exención de responsabilidad de los proveedores intermediarios de servicios en línea. Estamos ante servicios que se conceden a terceros y son estos terceros, por regla general, quienes crean, almacenan, comunican, comparten y difunden contenidos, productos y servicios en Internet. La responsabilidad de los intermediarios es una responsabilidad secundaria, es decir, la responsabilidad por las actividades ilícitas de sus usuarios [destinatarios de servicios de conformidad con el </w:t>
      </w:r>
      <w:r w:rsidR="00402B3B" w:rsidRPr="00702E9B">
        <w:rPr>
          <w:rFonts w:ascii="Times New Roman" w:hAnsi="Times New Roman" w:cs="Times New Roman"/>
          <w:sz w:val="24"/>
          <w:szCs w:val="24"/>
          <w:lang w:val="es-ES_tradnl"/>
        </w:rPr>
        <w:t>art</w:t>
      </w:r>
      <w:r w:rsidR="00402B3B">
        <w:rPr>
          <w:rFonts w:ascii="Times New Roman" w:hAnsi="Times New Roman" w:cs="Times New Roman"/>
          <w:sz w:val="24"/>
          <w:szCs w:val="24"/>
          <w:lang w:val="es-ES_tradnl"/>
        </w:rPr>
        <w:t>ículo</w:t>
      </w:r>
      <w:r w:rsidRPr="00702E9B">
        <w:rPr>
          <w:rFonts w:ascii="Times New Roman" w:hAnsi="Times New Roman" w:cs="Times New Roman"/>
          <w:sz w:val="24"/>
          <w:szCs w:val="24"/>
          <w:lang w:val="es-ES_tradnl"/>
        </w:rPr>
        <w:t xml:space="preserve"> 2, inciso d), de la citada Directiva 2000/31/CE]. Dado que son los destinatarios de los servicios (terceros) quienes crean y difunden contenidos, productos y servicios susceptibles de vulnerar los derechos de propiedad intelectual, como decíamos, es importante no olvidar que los intermediarios facilitan (ya que proporcionan los medios) esta vulneración (sin perjuicio de los casos en que los intermediarios tengan una responsabilidad directa y no secundaria).</w:t>
      </w:r>
    </w:p>
    <w:p w14:paraId="71CFCE04" w14:textId="7EC8FE71" w:rsidR="0068521F" w:rsidRDefault="007025EC" w:rsidP="00757F8A">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w:t>
      </w:r>
      <w:r w:rsidR="006352D3" w:rsidRPr="006352D3">
        <w:rPr>
          <w:rFonts w:ascii="Times New Roman" w:hAnsi="Times New Roman" w:cs="Times New Roman"/>
          <w:sz w:val="24"/>
          <w:szCs w:val="24"/>
          <w:lang w:val="es-ES_tradnl"/>
        </w:rPr>
        <w:t xml:space="preserve">Directiva 2000/31/CE, en los arts. 12, 13 y 14, exceptúa, por regla general, a los prestadores del servicio de que se trate. Sin embargo, los Estados miembros pueden y deben prever medidas destinadas a proteger los derechos de propiedad intelectual que tengan como resultado exigir al proveedor de servicios de intermediación que impida o ponga fin a una infracción de esos derechos (arts., 12, </w:t>
      </w:r>
      <w:r w:rsidR="001B2528">
        <w:rPr>
          <w:rFonts w:ascii="Times New Roman" w:hAnsi="Times New Roman" w:cs="Times New Roman"/>
          <w:sz w:val="24"/>
          <w:szCs w:val="24"/>
          <w:lang w:val="es-ES_tradnl"/>
        </w:rPr>
        <w:t xml:space="preserve">apartado </w:t>
      </w:r>
      <w:r w:rsidR="006352D3" w:rsidRPr="006352D3">
        <w:rPr>
          <w:rFonts w:ascii="Times New Roman" w:hAnsi="Times New Roman" w:cs="Times New Roman"/>
          <w:sz w:val="24"/>
          <w:szCs w:val="24"/>
          <w:lang w:val="es-ES_tradnl"/>
        </w:rPr>
        <w:t xml:space="preserve">3, 13, </w:t>
      </w:r>
      <w:r w:rsidR="001B2528">
        <w:rPr>
          <w:rFonts w:ascii="Times New Roman" w:hAnsi="Times New Roman" w:cs="Times New Roman"/>
          <w:sz w:val="24"/>
          <w:szCs w:val="24"/>
          <w:lang w:val="es-ES_tradnl"/>
        </w:rPr>
        <w:t>apartado</w:t>
      </w:r>
      <w:r w:rsidR="006352D3" w:rsidRPr="006352D3">
        <w:rPr>
          <w:rFonts w:ascii="Times New Roman" w:hAnsi="Times New Roman" w:cs="Times New Roman"/>
          <w:sz w:val="24"/>
          <w:szCs w:val="24"/>
          <w:lang w:val="es-ES_tradnl"/>
        </w:rPr>
        <w:t xml:space="preserve"> 3, y 14, </w:t>
      </w:r>
      <w:r w:rsidR="001B2528">
        <w:rPr>
          <w:rFonts w:ascii="Times New Roman" w:hAnsi="Times New Roman" w:cs="Times New Roman"/>
          <w:sz w:val="24"/>
          <w:szCs w:val="24"/>
          <w:lang w:val="es-ES_tradnl"/>
        </w:rPr>
        <w:t>apartado</w:t>
      </w:r>
      <w:r w:rsidR="006352D3" w:rsidRPr="006352D3">
        <w:rPr>
          <w:rFonts w:ascii="Times New Roman" w:hAnsi="Times New Roman" w:cs="Times New Roman"/>
          <w:sz w:val="24"/>
          <w:szCs w:val="24"/>
          <w:lang w:val="es-ES_tradnl"/>
        </w:rPr>
        <w:t xml:space="preserve"> 3, de la Directiva, considerando que esta última disposición también permite a los Estados miembros establecer «disposiciones para la supresión o impedimento de acceso a la información»). Es decir, el aviso legal no excluye la aplicación de medidas cautelares u otras medidas que impidan (función preventiva) o pongan fin a informaciones o contenidos ilícitos. Cabe señalar que las medidas encaminadas a prevenir futuras infracciones, es decir, encaminadas a evitar cualquier daño adicional a las partes interesadas (</w:t>
      </w:r>
      <w:r w:rsidR="00402B3B" w:rsidRPr="006352D3">
        <w:rPr>
          <w:rFonts w:ascii="Times New Roman" w:hAnsi="Times New Roman" w:cs="Times New Roman"/>
          <w:sz w:val="24"/>
          <w:szCs w:val="24"/>
          <w:lang w:val="es-ES_tradnl"/>
        </w:rPr>
        <w:t>art</w:t>
      </w:r>
      <w:r w:rsidR="00402B3B">
        <w:rPr>
          <w:rFonts w:ascii="Times New Roman" w:hAnsi="Times New Roman" w:cs="Times New Roman"/>
          <w:sz w:val="24"/>
          <w:szCs w:val="24"/>
          <w:lang w:val="es-ES_tradnl"/>
        </w:rPr>
        <w:t>ículo</w:t>
      </w:r>
      <w:r w:rsidR="001B2528">
        <w:rPr>
          <w:rFonts w:ascii="Times New Roman" w:hAnsi="Times New Roman" w:cs="Times New Roman"/>
          <w:sz w:val="24"/>
          <w:szCs w:val="24"/>
          <w:lang w:val="es-ES_tradnl"/>
        </w:rPr>
        <w:t xml:space="preserve"> </w:t>
      </w:r>
      <w:r w:rsidR="006352D3" w:rsidRPr="006352D3">
        <w:rPr>
          <w:rFonts w:ascii="Times New Roman" w:hAnsi="Times New Roman" w:cs="Times New Roman"/>
          <w:sz w:val="24"/>
          <w:szCs w:val="24"/>
          <w:lang w:val="es-ES_tradnl"/>
        </w:rPr>
        <w:t>18 de la Directiva 2000/31/CE), implican algún tipo de vigilancia para el futuro, incluso si no puede traducirse en un deber general de vigilancia.</w:t>
      </w:r>
    </w:p>
    <w:p w14:paraId="6A22D332" w14:textId="19E5DDD5" w:rsidR="0068521F" w:rsidRDefault="00377087" w:rsidP="00757F8A">
      <w:pPr>
        <w:spacing w:after="0" w:line="360" w:lineRule="auto"/>
        <w:jc w:val="both"/>
        <w:rPr>
          <w:rFonts w:ascii="Times New Roman" w:hAnsi="Times New Roman" w:cs="Times New Roman"/>
          <w:sz w:val="24"/>
          <w:szCs w:val="24"/>
          <w:lang w:val="es-ES_tradnl"/>
        </w:rPr>
      </w:pPr>
      <w:r w:rsidRPr="00377087">
        <w:rPr>
          <w:rFonts w:ascii="Times New Roman" w:hAnsi="Times New Roman" w:cs="Times New Roman"/>
          <w:sz w:val="24"/>
          <w:szCs w:val="24"/>
          <w:lang w:val="es-ES_tradnl"/>
        </w:rPr>
        <w:t xml:space="preserve">Cabe señalar que las disposiciones en cuestión eximen de responsabilidad (es decir, de responsabilidad indirecta) a los proveedores intermediarios de servicios en línea, ya que el propio proveedor no es responsable, en modo alguno, del contenido ilegal - cuando, obviamente, el comportamiento del prestador se limita, precisamente, a prestar el servicio de intermediación </w:t>
      </w:r>
      <w:proofErr w:type="gramStart"/>
      <w:r w:rsidR="00AE24AD">
        <w:rPr>
          <w:rFonts w:ascii="Times New Roman" w:hAnsi="Times New Roman" w:cs="Times New Roman"/>
          <w:sz w:val="24"/>
          <w:szCs w:val="24"/>
          <w:lang w:val="es-ES_tradnl"/>
        </w:rPr>
        <w:t>e</w:t>
      </w:r>
      <w:proofErr w:type="gramEnd"/>
      <w:r w:rsidR="00AE24AD">
        <w:rPr>
          <w:rFonts w:ascii="Times New Roman" w:hAnsi="Times New Roman" w:cs="Times New Roman"/>
          <w:sz w:val="24"/>
          <w:szCs w:val="24"/>
          <w:lang w:val="es-ES_tradnl"/>
        </w:rPr>
        <w:t xml:space="preserve"> </w:t>
      </w:r>
      <w:r w:rsidRPr="00377087">
        <w:rPr>
          <w:rFonts w:ascii="Times New Roman" w:hAnsi="Times New Roman" w:cs="Times New Roman"/>
          <w:sz w:val="24"/>
          <w:szCs w:val="24"/>
          <w:lang w:val="es-ES_tradnl"/>
        </w:rPr>
        <w:t xml:space="preserve">siempre que se cumplan una serie de supuestos. Es decir, la técnica legislativa utilizada no fue establecer los supuestos de responsabilidad, sino los supuestos de irresponsabilidad (que, por ejemplo, en el artículo 12 de la Directiva son todos negativos). Además, basta con que el prestador cumpla con estos supuestos para quedar exento de responsabilidad. Los ordenamientos jurídicos de los Estados miembros no pueden establecer otras condiciones para la exención de responsabilidad (véase el asunto </w:t>
      </w:r>
      <w:r w:rsidRPr="00377087">
        <w:rPr>
          <w:rFonts w:ascii="Times New Roman" w:hAnsi="Times New Roman" w:cs="Times New Roman"/>
          <w:sz w:val="24"/>
          <w:szCs w:val="24"/>
          <w:lang w:val="es-ES_tradnl"/>
        </w:rPr>
        <w:lastRenderedPageBreak/>
        <w:t>C-484/14 Sony). Este marco de (ir)responsabilidad sería completamente diferente si el proveedor del servicio verificara la información que almacena o transmite o si la controlara o monitoreara; además, en este caso, el proveedor debería ser responsable (ya sea por dolo o por negligencia) de cualquier contenido o actividad ilegal (es decir, se invertiría completamente el marco de responsabilidad y su eventual exclusión). Cabe reiterar que el objetivo era otro y, en consecuencia, el peso de la vigilancia recae sobre los titulares de los derechos infringidos –son ellos los que tienen que actuar (la posición de la Directiva es, en defensa de los proveedores de servicios de intermediación en línea, reactivo)</w:t>
      </w:r>
      <w:r>
        <w:rPr>
          <w:rFonts w:ascii="Times New Roman" w:hAnsi="Times New Roman" w:cs="Times New Roman"/>
          <w:sz w:val="24"/>
          <w:szCs w:val="24"/>
          <w:lang w:val="es-ES_tradnl"/>
        </w:rPr>
        <w:t>.</w:t>
      </w:r>
    </w:p>
    <w:p w14:paraId="7348855D" w14:textId="3AC4902B" w:rsidR="0068521F" w:rsidRDefault="007A7E8B" w:rsidP="00757F8A">
      <w:pPr>
        <w:spacing w:after="0" w:line="360" w:lineRule="auto"/>
        <w:jc w:val="both"/>
        <w:rPr>
          <w:rFonts w:ascii="Times New Roman" w:hAnsi="Times New Roman" w:cs="Times New Roman"/>
          <w:sz w:val="24"/>
          <w:szCs w:val="24"/>
          <w:lang w:val="es-ES_tradnl"/>
        </w:rPr>
      </w:pPr>
      <w:r w:rsidRPr="007A7E8B">
        <w:rPr>
          <w:rFonts w:ascii="Times New Roman" w:hAnsi="Times New Roman" w:cs="Times New Roman"/>
          <w:sz w:val="24"/>
          <w:szCs w:val="24"/>
          <w:lang w:val="es-ES_tradnl"/>
        </w:rPr>
        <w:t xml:space="preserve">Finalmente, de conformidad con lo dispuesto en el </w:t>
      </w:r>
      <w:r w:rsidR="001B2528" w:rsidRPr="007A7E8B">
        <w:rPr>
          <w:rFonts w:ascii="Times New Roman" w:hAnsi="Times New Roman" w:cs="Times New Roman"/>
          <w:sz w:val="24"/>
          <w:szCs w:val="24"/>
          <w:lang w:val="es-ES_tradnl"/>
        </w:rPr>
        <w:t>art</w:t>
      </w:r>
      <w:r w:rsidR="001B2528">
        <w:rPr>
          <w:rFonts w:ascii="Times New Roman" w:hAnsi="Times New Roman" w:cs="Times New Roman"/>
          <w:sz w:val="24"/>
          <w:szCs w:val="24"/>
          <w:lang w:val="es-ES_tradnl"/>
        </w:rPr>
        <w:t xml:space="preserve">ículo </w:t>
      </w:r>
      <w:r w:rsidRPr="007A7E8B">
        <w:rPr>
          <w:rFonts w:ascii="Times New Roman" w:hAnsi="Times New Roman" w:cs="Times New Roman"/>
          <w:sz w:val="24"/>
          <w:szCs w:val="24"/>
          <w:lang w:val="es-ES_tradnl"/>
        </w:rPr>
        <w:t xml:space="preserve">15 de la Directiva, se impide a los Estados miembros imponer a los proveedores de dichos servicios </w:t>
      </w:r>
      <w:r w:rsidR="007518F5">
        <w:rPr>
          <w:rFonts w:ascii="Times New Roman" w:hAnsi="Times New Roman" w:cs="Times New Roman"/>
          <w:sz w:val="24"/>
          <w:szCs w:val="24"/>
          <w:lang w:val="es-ES_tradnl"/>
        </w:rPr>
        <w:t>«</w:t>
      </w:r>
      <w:r w:rsidRPr="007A7E8B">
        <w:rPr>
          <w:rFonts w:ascii="Times New Roman" w:hAnsi="Times New Roman" w:cs="Times New Roman"/>
          <w:sz w:val="24"/>
          <w:szCs w:val="24"/>
          <w:lang w:val="es-ES_tradnl"/>
        </w:rPr>
        <w:t>una obligación general de vigilancia respecto de la información que transmitan o almacenen, o una obligación general de buscar activamente hechos o circunstancias que indiquen la ilicitud</w:t>
      </w:r>
      <w:r w:rsidR="007518F5">
        <w:rPr>
          <w:rFonts w:ascii="Times New Roman" w:hAnsi="Times New Roman" w:cs="Times New Roman"/>
          <w:sz w:val="24"/>
          <w:szCs w:val="24"/>
          <w:lang w:val="es-ES_tradnl"/>
        </w:rPr>
        <w:t>»</w:t>
      </w:r>
      <w:r w:rsidRPr="007A7E8B">
        <w:rPr>
          <w:rFonts w:ascii="Times New Roman" w:hAnsi="Times New Roman" w:cs="Times New Roman"/>
          <w:sz w:val="24"/>
          <w:szCs w:val="24"/>
          <w:lang w:val="es-ES_tradnl"/>
        </w:rPr>
        <w:t>. De hecho, una obligación general de vigilancia implicaría un vaciamiento de la exención de responsabilidad ya que implicaría que los proveedores de servicios de intermediación en línea tendrían una actitud activa (ya no neutra y pasiva) en la búsqueda de contenidos ilícitos. En otras palabras, el régimen consagrado en beneficio de los proveedores de servicios de intermediación en línea se aplica a tres tipos de actividades (mera conducción, almacenamiento en caché y hospedaje) y presenta dos tipos de protección: exención de responsabilidad y ausencia de una obligación general de vigilancia.</w:t>
      </w:r>
    </w:p>
    <w:p w14:paraId="19254C3B" w14:textId="5D92AD9D" w:rsidR="0017154B" w:rsidRDefault="007450D4" w:rsidP="00757F8A">
      <w:pPr>
        <w:spacing w:after="0" w:line="360" w:lineRule="auto"/>
        <w:jc w:val="both"/>
        <w:rPr>
          <w:rFonts w:ascii="Times New Roman" w:hAnsi="Times New Roman" w:cs="Times New Roman"/>
          <w:sz w:val="24"/>
          <w:szCs w:val="24"/>
          <w:lang w:val="es-ES_tradnl"/>
        </w:rPr>
      </w:pPr>
      <w:r w:rsidRPr="007450D4">
        <w:rPr>
          <w:rFonts w:ascii="Times New Roman" w:hAnsi="Times New Roman" w:cs="Times New Roman"/>
          <w:sz w:val="24"/>
          <w:szCs w:val="24"/>
          <w:lang w:val="es-ES_tradnl"/>
        </w:rPr>
        <w:t xml:space="preserve">Este descargo de responsabilidad ha sido apreciado por el TJUE. En tu ac. de 23 de marzo de 2010, Google, C-236/08 a C-238/08, se preocupó por el uso, como palabras clave en el contexto de un servicio de referenciación en Internet, de signos correspondientes a marcas (algunas de prestigio, como Louis Vuitton), sin que sus titulares hayan dado su consentimiento. En cuanto a la responsabilidad del prestador de servicios, el tribunal concluyó que era irresponsable (en otro sentido, véase la sentencia del TJUE de 11 de septiembre de 2014, </w:t>
      </w:r>
      <w:proofErr w:type="spellStart"/>
      <w:r w:rsidRPr="007450D4">
        <w:rPr>
          <w:rFonts w:ascii="Times New Roman" w:hAnsi="Times New Roman" w:cs="Times New Roman"/>
          <w:sz w:val="24"/>
          <w:szCs w:val="24"/>
          <w:lang w:val="es-ES_tradnl"/>
        </w:rPr>
        <w:t>Papasavvas</w:t>
      </w:r>
      <w:proofErr w:type="spellEnd"/>
      <w:r w:rsidRPr="007450D4">
        <w:rPr>
          <w:rFonts w:ascii="Times New Roman" w:hAnsi="Times New Roman" w:cs="Times New Roman"/>
          <w:sz w:val="24"/>
          <w:szCs w:val="24"/>
          <w:lang w:val="es-ES_tradnl"/>
        </w:rPr>
        <w:t>, C-291/13, en particular §§ 37 y 45) a pesar de que hay muchas dudas en calificar el servicio “</w:t>
      </w:r>
      <w:proofErr w:type="spellStart"/>
      <w:r w:rsidRPr="007450D4">
        <w:rPr>
          <w:rFonts w:ascii="Times New Roman" w:hAnsi="Times New Roman" w:cs="Times New Roman"/>
          <w:sz w:val="24"/>
          <w:szCs w:val="24"/>
          <w:lang w:val="es-ES_tradnl"/>
        </w:rPr>
        <w:t>Adwords</w:t>
      </w:r>
      <w:proofErr w:type="spellEnd"/>
      <w:r w:rsidRPr="007450D4">
        <w:rPr>
          <w:rFonts w:ascii="Times New Roman" w:hAnsi="Times New Roman" w:cs="Times New Roman"/>
          <w:sz w:val="24"/>
          <w:szCs w:val="24"/>
          <w:lang w:val="es-ES_tradnl"/>
        </w:rPr>
        <w:t>” de Google como neutral, pasivo, automático y puramente técnico. El TJUE reiteró su interpretación en ac. de 12 de julio de 2011, L'Oreal, C-324/09. Aquí se trataba de la venta, sin el consentimiento del propietario de la marca (</w:t>
      </w:r>
      <w:proofErr w:type="spellStart"/>
      <w:r w:rsidRPr="007450D4">
        <w:rPr>
          <w:rFonts w:ascii="Times New Roman" w:hAnsi="Times New Roman" w:cs="Times New Roman"/>
          <w:sz w:val="24"/>
          <w:szCs w:val="24"/>
          <w:lang w:val="es-ES_tradnl"/>
        </w:rPr>
        <w:t>L'Oréal</w:t>
      </w:r>
      <w:proofErr w:type="spellEnd"/>
      <w:r w:rsidRPr="007450D4">
        <w:rPr>
          <w:rFonts w:ascii="Times New Roman" w:hAnsi="Times New Roman" w:cs="Times New Roman"/>
          <w:sz w:val="24"/>
          <w:szCs w:val="24"/>
          <w:lang w:val="es-ES_tradnl"/>
        </w:rPr>
        <w:t xml:space="preserve">), de los productos de esta empresa en el sitio de comercio electrónico operado por eBay. El TJUE no tenía dudas de que estábamos ante una vulneración del régimen jurídico de protección de las marcas. En cuanto a AdWords y el </w:t>
      </w:r>
      <w:r w:rsidRPr="007450D4">
        <w:rPr>
          <w:rFonts w:ascii="Times New Roman" w:hAnsi="Times New Roman" w:cs="Times New Roman"/>
          <w:sz w:val="24"/>
          <w:szCs w:val="24"/>
          <w:lang w:val="es-ES_tradnl"/>
        </w:rPr>
        <w:lastRenderedPageBreak/>
        <w:t xml:space="preserve">servicio de referidos en internet, el TJUE siguió ac. Google. En cuanto a la responsabilidad del operador del sitio de comercio electrónico al almacenar en un servidor la información proporcionada por sus clientes vendedores, el TJUE vuelve </w:t>
      </w:r>
      <w:r w:rsidR="004377E9" w:rsidRPr="007450D4">
        <w:rPr>
          <w:rFonts w:ascii="Times New Roman" w:hAnsi="Times New Roman" w:cs="Times New Roman"/>
          <w:sz w:val="24"/>
          <w:szCs w:val="24"/>
          <w:lang w:val="es-ES_tradnl"/>
        </w:rPr>
        <w:t>al citado ac</w:t>
      </w:r>
      <w:r w:rsidRPr="007450D4">
        <w:rPr>
          <w:rFonts w:ascii="Times New Roman" w:hAnsi="Times New Roman" w:cs="Times New Roman"/>
          <w:sz w:val="24"/>
          <w:szCs w:val="24"/>
          <w:lang w:val="es-ES_tradnl"/>
        </w:rPr>
        <w:t xml:space="preserve">. Google. El tribunal ve favorablemente a los proveedores de servicios de intermediación en línea, al no ponderar correctamente las funciones jurídicas de la marca, la calificación del uso como marca y su protección, así como la calificación (como no neutral) de la actividad realizada por el proveedor de servicios de intermediación en línea. En </w:t>
      </w:r>
      <w:r w:rsidR="004377E9" w:rsidRPr="007450D4">
        <w:rPr>
          <w:rFonts w:ascii="Times New Roman" w:hAnsi="Times New Roman" w:cs="Times New Roman"/>
          <w:sz w:val="24"/>
          <w:szCs w:val="24"/>
          <w:lang w:val="es-ES_tradnl"/>
        </w:rPr>
        <w:t>el reciente ac</w:t>
      </w:r>
      <w:r w:rsidRPr="007450D4">
        <w:rPr>
          <w:rFonts w:ascii="Times New Roman" w:hAnsi="Times New Roman" w:cs="Times New Roman"/>
          <w:sz w:val="24"/>
          <w:szCs w:val="24"/>
          <w:lang w:val="es-ES_tradnl"/>
        </w:rPr>
        <w:t>. del TJUE, de 22 de junio de 2021, C-682/18 y C-683/18, YouTube/</w:t>
      </w:r>
      <w:proofErr w:type="spellStart"/>
      <w:r w:rsidRPr="007450D4">
        <w:rPr>
          <w:rFonts w:ascii="Times New Roman" w:hAnsi="Times New Roman" w:cs="Times New Roman"/>
          <w:sz w:val="24"/>
          <w:szCs w:val="24"/>
          <w:lang w:val="es-ES_tradnl"/>
        </w:rPr>
        <w:t>Cyando</w:t>
      </w:r>
      <w:proofErr w:type="spellEnd"/>
      <w:r w:rsidRPr="007450D4">
        <w:rPr>
          <w:rFonts w:ascii="Times New Roman" w:hAnsi="Times New Roman" w:cs="Times New Roman"/>
          <w:sz w:val="24"/>
          <w:szCs w:val="24"/>
          <w:lang w:val="es-ES_tradnl"/>
        </w:rPr>
        <w:t>, el TJUE aclaró la amplitud de la noción de «comunicación al público» y, en particular, analizó la aplicación de</w:t>
      </w:r>
      <w:r w:rsidR="004377E9">
        <w:rPr>
          <w:rFonts w:ascii="Times New Roman" w:hAnsi="Times New Roman" w:cs="Times New Roman"/>
          <w:sz w:val="24"/>
          <w:szCs w:val="24"/>
          <w:lang w:val="es-ES_tradnl"/>
        </w:rPr>
        <w:t>l</w:t>
      </w:r>
      <w:r w:rsidRPr="007450D4">
        <w:rPr>
          <w:rFonts w:ascii="Times New Roman" w:hAnsi="Times New Roman" w:cs="Times New Roman"/>
          <w:sz w:val="24"/>
          <w:szCs w:val="24"/>
          <w:lang w:val="es-ES_tradnl"/>
        </w:rPr>
        <w:t xml:space="preserve"> art</w:t>
      </w:r>
      <w:r w:rsidR="001B2528">
        <w:rPr>
          <w:rFonts w:ascii="Times New Roman" w:hAnsi="Times New Roman" w:cs="Times New Roman"/>
          <w:sz w:val="24"/>
          <w:szCs w:val="24"/>
          <w:lang w:val="es-ES_tradnl"/>
        </w:rPr>
        <w:t>ículo</w:t>
      </w:r>
      <w:r w:rsidRPr="007450D4">
        <w:rPr>
          <w:rFonts w:ascii="Times New Roman" w:hAnsi="Times New Roman" w:cs="Times New Roman"/>
          <w:sz w:val="24"/>
          <w:szCs w:val="24"/>
          <w:lang w:val="es-ES_tradnl"/>
        </w:rPr>
        <w:t xml:space="preserve"> 14 de la Directiva 2000/31/CE sobre el requisito de que el proveedor de servicios no tenga conocimiento de actividades e información ilegales específicas (contenido específico). Finalmente, el régimen alemán de «responsabilidad </w:t>
      </w:r>
      <w:r w:rsidR="00F8123D">
        <w:rPr>
          <w:rFonts w:ascii="Times New Roman" w:hAnsi="Times New Roman" w:cs="Times New Roman"/>
          <w:sz w:val="24"/>
          <w:szCs w:val="24"/>
          <w:lang w:val="es-ES_tradnl"/>
        </w:rPr>
        <w:t xml:space="preserve">del </w:t>
      </w:r>
      <w:r w:rsidRPr="007450D4">
        <w:rPr>
          <w:rFonts w:ascii="Times New Roman" w:hAnsi="Times New Roman" w:cs="Times New Roman"/>
          <w:sz w:val="24"/>
          <w:szCs w:val="24"/>
          <w:lang w:val="es-ES_tradnl"/>
        </w:rPr>
        <w:t>perturbador» (</w:t>
      </w:r>
      <w:proofErr w:type="spellStart"/>
      <w:r w:rsidRPr="007450D4">
        <w:rPr>
          <w:rFonts w:ascii="Times New Roman" w:hAnsi="Times New Roman" w:cs="Times New Roman"/>
          <w:sz w:val="24"/>
          <w:szCs w:val="24"/>
          <w:lang w:val="es-ES_tradnl"/>
        </w:rPr>
        <w:t>Störerhaftung</w:t>
      </w:r>
      <w:proofErr w:type="spellEnd"/>
      <w:r w:rsidRPr="007450D4">
        <w:rPr>
          <w:rFonts w:ascii="Times New Roman" w:hAnsi="Times New Roman" w:cs="Times New Roman"/>
          <w:sz w:val="24"/>
          <w:szCs w:val="24"/>
          <w:lang w:val="es-ES_tradnl"/>
        </w:rPr>
        <w:t>) fue objeto de apreciación aquí.</w:t>
      </w:r>
    </w:p>
    <w:p w14:paraId="6670ED10" w14:textId="3DF82E90" w:rsidR="007A7E8B" w:rsidRDefault="00856BA3" w:rsidP="00757F8A">
      <w:pPr>
        <w:spacing w:after="0" w:line="360" w:lineRule="auto"/>
        <w:jc w:val="both"/>
        <w:rPr>
          <w:rFonts w:ascii="Times New Roman" w:hAnsi="Times New Roman" w:cs="Times New Roman"/>
          <w:sz w:val="24"/>
          <w:szCs w:val="24"/>
          <w:lang w:val="es-ES_tradnl"/>
        </w:rPr>
      </w:pPr>
      <w:r w:rsidRPr="00856BA3">
        <w:rPr>
          <w:rFonts w:ascii="Times New Roman" w:hAnsi="Times New Roman" w:cs="Times New Roman"/>
          <w:sz w:val="24"/>
          <w:szCs w:val="24"/>
          <w:lang w:val="es-ES_tradnl"/>
        </w:rPr>
        <w:t xml:space="preserve">En cuanto a la valoración de la inexistencia de un deber general de vigilancia por parte de los prestadores intermediarios de servicios en línea, en su ac. de 24 de noviembre de 2011, </w:t>
      </w:r>
      <w:proofErr w:type="spellStart"/>
      <w:r w:rsidRPr="00856BA3">
        <w:rPr>
          <w:rFonts w:ascii="Times New Roman" w:hAnsi="Times New Roman" w:cs="Times New Roman"/>
          <w:sz w:val="24"/>
          <w:szCs w:val="24"/>
          <w:lang w:val="es-ES_tradnl"/>
        </w:rPr>
        <w:t>Scarlet</w:t>
      </w:r>
      <w:proofErr w:type="spellEnd"/>
      <w:r w:rsidRPr="00856BA3">
        <w:rPr>
          <w:rFonts w:ascii="Times New Roman" w:hAnsi="Times New Roman" w:cs="Times New Roman"/>
          <w:sz w:val="24"/>
          <w:szCs w:val="24"/>
          <w:lang w:val="es-ES_tradnl"/>
        </w:rPr>
        <w:t>, C-70/10, el juzgado consideró que existía una obligación de vigilancia general y activa de «todos los datos relativos a cada cliente con el fin de prevenir cualquier vulneración futura de los derechos de propiedad intelectual», un</w:t>
      </w:r>
      <w:r w:rsidR="003D1036">
        <w:rPr>
          <w:rFonts w:ascii="Times New Roman" w:hAnsi="Times New Roman" w:cs="Times New Roman"/>
          <w:sz w:val="24"/>
          <w:szCs w:val="24"/>
          <w:lang w:val="es-ES_tradnl"/>
        </w:rPr>
        <w:t>a</w:t>
      </w:r>
      <w:r w:rsidRPr="00856BA3">
        <w:rPr>
          <w:rFonts w:ascii="Times New Roman" w:hAnsi="Times New Roman" w:cs="Times New Roman"/>
          <w:sz w:val="24"/>
          <w:szCs w:val="24"/>
          <w:lang w:val="es-ES_tradnl"/>
        </w:rPr>
        <w:t xml:space="preserve"> </w:t>
      </w:r>
      <w:r w:rsidR="003D1036">
        <w:rPr>
          <w:rFonts w:ascii="Times New Roman" w:hAnsi="Times New Roman" w:cs="Times New Roman"/>
          <w:sz w:val="24"/>
          <w:szCs w:val="24"/>
          <w:lang w:val="es-ES_tradnl"/>
        </w:rPr>
        <w:t>m</w:t>
      </w:r>
      <w:r w:rsidRPr="00856BA3">
        <w:rPr>
          <w:rFonts w:ascii="Times New Roman" w:hAnsi="Times New Roman" w:cs="Times New Roman"/>
          <w:sz w:val="24"/>
          <w:szCs w:val="24"/>
          <w:lang w:val="es-ES_tradnl"/>
        </w:rPr>
        <w:t>edida injusta, violatoria del principio de proporcionalidad y excesivamente onerosa. Si bien es cierto que está en juego un derecho fundamental (el derecho de propiedad), este derecho no es intangible ni tiene que ser garantizado de manera absoluta. Debe existir un justo equilibrio entre los derechos fundamentales en juego (derecho de propiedad, por un lado, libertad de empresa, libertad de información, protección de datos personales y privacidad, por el otro). Es esta justa armonización (equilibrio justo entre los derechos fundamentales en conflicto la que determinará la justa medida a adoptar) la que, en este caso, no estaba asegurada.</w:t>
      </w:r>
    </w:p>
    <w:p w14:paraId="10F61297" w14:textId="77777777" w:rsidR="007A7E8B" w:rsidRDefault="007A7E8B" w:rsidP="00757F8A">
      <w:pPr>
        <w:spacing w:after="0" w:line="360" w:lineRule="auto"/>
        <w:jc w:val="both"/>
        <w:rPr>
          <w:rFonts w:ascii="Times New Roman" w:hAnsi="Times New Roman" w:cs="Times New Roman"/>
          <w:sz w:val="24"/>
          <w:szCs w:val="24"/>
          <w:lang w:val="es-ES_tradnl"/>
        </w:rPr>
      </w:pPr>
    </w:p>
    <w:p w14:paraId="7102BBCA"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 Artículo 17 de la Directiva 2019/790/UE. </w:t>
      </w:r>
    </w:p>
    <w:p w14:paraId="25E38324" w14:textId="77777777" w:rsidR="0017154B" w:rsidRDefault="0017154B" w:rsidP="00757F8A">
      <w:pPr>
        <w:spacing w:after="0" w:line="360" w:lineRule="auto"/>
        <w:jc w:val="both"/>
        <w:rPr>
          <w:rFonts w:ascii="Times New Roman" w:hAnsi="Times New Roman" w:cs="Times New Roman"/>
          <w:sz w:val="24"/>
          <w:szCs w:val="24"/>
          <w:lang w:val="es-ES_tradnl"/>
        </w:rPr>
      </w:pPr>
    </w:p>
    <w:p w14:paraId="1E0E81F2" w14:textId="70D63E87" w:rsidR="0017154B" w:rsidRDefault="007501BD" w:rsidP="00757F8A">
      <w:pPr>
        <w:spacing w:after="0" w:line="360" w:lineRule="auto"/>
        <w:jc w:val="both"/>
        <w:rPr>
          <w:rFonts w:ascii="Times New Roman" w:hAnsi="Times New Roman" w:cs="Times New Roman"/>
          <w:sz w:val="24"/>
          <w:szCs w:val="24"/>
          <w:lang w:val="es-ES_tradnl"/>
        </w:rPr>
      </w:pPr>
      <w:r w:rsidRPr="007501BD">
        <w:rPr>
          <w:rFonts w:ascii="Times New Roman" w:hAnsi="Times New Roman" w:cs="Times New Roman"/>
          <w:sz w:val="24"/>
          <w:szCs w:val="24"/>
          <w:lang w:val="es-ES_tradnl"/>
        </w:rPr>
        <w:t xml:space="preserve">De cara al desarrollo de la sociedad digital, se requiere un nuevo equilibrio entre los intereses en conflicto: el de los titulares de derechos de propiedad intelectual, el de los proveedores de servicios de intermediación en línea y el de los usuarios (o destinatarios de estos servicios). De hecho, la evolución tecnológica ha generado una nueva forma de crear obras, producirlas, distribuirlas y explorarlas. En particular, en el campo de las obras </w:t>
      </w:r>
      <w:r w:rsidRPr="007501BD">
        <w:rPr>
          <w:rFonts w:ascii="Times New Roman" w:hAnsi="Times New Roman" w:cs="Times New Roman"/>
          <w:sz w:val="24"/>
          <w:szCs w:val="24"/>
          <w:lang w:val="es-ES_tradnl"/>
        </w:rPr>
        <w:lastRenderedPageBreak/>
        <w:t xml:space="preserve">protegidas por derechos de autor o derechos </w:t>
      </w:r>
      <w:r w:rsidR="00054FB4">
        <w:rPr>
          <w:rFonts w:ascii="Times New Roman" w:hAnsi="Times New Roman" w:cs="Times New Roman"/>
          <w:sz w:val="24"/>
          <w:szCs w:val="24"/>
          <w:lang w:val="es-ES_tradnl"/>
        </w:rPr>
        <w:t>afines</w:t>
      </w:r>
      <w:r w:rsidRPr="007501BD">
        <w:rPr>
          <w:rFonts w:ascii="Times New Roman" w:hAnsi="Times New Roman" w:cs="Times New Roman"/>
          <w:sz w:val="24"/>
          <w:szCs w:val="24"/>
          <w:lang w:val="es-ES_tradnl"/>
        </w:rPr>
        <w:t xml:space="preserve">, se han desarrollado nuevos modelos de negocio (que explotan obras, directa o indirectamente) y nuevos actores, sin perjuicio de que el objetivo esencial sea proteger un derecho fundamental, el derecho </w:t>
      </w:r>
      <w:r w:rsidR="003223E3">
        <w:rPr>
          <w:rFonts w:ascii="Times New Roman" w:hAnsi="Times New Roman" w:cs="Times New Roman"/>
          <w:sz w:val="24"/>
          <w:szCs w:val="24"/>
          <w:lang w:val="es-ES_tradnl"/>
        </w:rPr>
        <w:t xml:space="preserve">de </w:t>
      </w:r>
      <w:r w:rsidRPr="007501BD">
        <w:rPr>
          <w:rFonts w:ascii="Times New Roman" w:hAnsi="Times New Roman" w:cs="Times New Roman"/>
          <w:sz w:val="24"/>
          <w:szCs w:val="24"/>
          <w:lang w:val="es-ES_tradnl"/>
        </w:rPr>
        <w:t>propiedad intelectual. Sin embargo, la inseguridad jurídica, para todos los interesados, en el uso o explotación (en el dominio digital) de obras u otros materiales protegidos, requirió una nueva intervención por parte del legislador europeo</w:t>
      </w:r>
      <w:r>
        <w:rPr>
          <w:rFonts w:ascii="Times New Roman" w:hAnsi="Times New Roman" w:cs="Times New Roman"/>
          <w:sz w:val="24"/>
          <w:szCs w:val="24"/>
          <w:lang w:val="es-ES_tradnl"/>
        </w:rPr>
        <w:t xml:space="preserve">. </w:t>
      </w:r>
      <w:r w:rsidR="00AC7465" w:rsidRPr="00AC7465">
        <w:rPr>
          <w:rFonts w:ascii="Times New Roman" w:hAnsi="Times New Roman" w:cs="Times New Roman"/>
          <w:sz w:val="24"/>
          <w:szCs w:val="24"/>
          <w:lang w:val="es-ES_tradnl"/>
        </w:rPr>
        <w:t xml:space="preserve">La protección de los intereses de los titulares de derechos de autor y derechos </w:t>
      </w:r>
      <w:r w:rsidR="00054FB4">
        <w:rPr>
          <w:rFonts w:ascii="Times New Roman" w:hAnsi="Times New Roman" w:cs="Times New Roman"/>
          <w:sz w:val="24"/>
          <w:szCs w:val="24"/>
          <w:lang w:val="es-ES_tradnl"/>
        </w:rPr>
        <w:t>afines</w:t>
      </w:r>
      <w:r w:rsidR="00AC7465" w:rsidRPr="00AC7465">
        <w:rPr>
          <w:rFonts w:ascii="Times New Roman" w:hAnsi="Times New Roman" w:cs="Times New Roman"/>
          <w:sz w:val="24"/>
          <w:szCs w:val="24"/>
          <w:lang w:val="es-ES_tradnl"/>
        </w:rPr>
        <w:t xml:space="preserve"> tiene por objeto remunerar la creatividad (el valor que generan los contenidos protegidos no se refleja en la remuneración de los autores, que tienen muchas dificultades para controlar los usos que las plataformas hacen de sus obras) y fomentar la competitividad de la industria europea. Finalmente, en la búsqueda de un posible equilibrio (no necesariamente justo) entre proveedores de servicios en línea dedicados a la explotación comercial (o, al menos, lucrativa) de contenidos protegidos por derechos de propiedad intelectual (incluso si son subidos por sus usuarios) y los titulares de derechos de propiedad intelectual, es importante (re)considerar la responsabilidad de estos proveedores de servicios por la vulneración de los derechos de propiedad intelectual, sin desconocer la disponibilidad de medios inteligentes (basados</w:t>
      </w:r>
      <w:r w:rsidR="00AC7465">
        <w:rPr>
          <w:rFonts w:ascii="Times New Roman" w:hAnsi="Times New Roman" w:cs="Times New Roman"/>
          <w:sz w:val="24"/>
          <w:szCs w:val="24"/>
          <w:lang w:val="es-ES_tradnl"/>
        </w:rPr>
        <w:t xml:space="preserve"> </w:t>
      </w:r>
      <w:r w:rsidR="00AC7465" w:rsidRPr="00AC7465">
        <w:rPr>
          <w:rFonts w:ascii="Times New Roman" w:hAnsi="Times New Roman" w:cs="Times New Roman"/>
          <w:sz w:val="24"/>
          <w:szCs w:val="24"/>
          <w:lang w:val="es-ES_tradnl"/>
        </w:rPr>
        <w:t>en algoritmos) que permitan verificar (filtrar) automáticamente los contenidos (filtros de carga o filtros de colocación en línea) que se están o se van a cargar (cargas hacia arriba o hacia abajo - carga y descarga) para evitar infracciones de esos derechos (bloqueo de la difusión de contenidos protegidos).</w:t>
      </w:r>
    </w:p>
    <w:p w14:paraId="7A7AB8E2" w14:textId="446DB3B4" w:rsidR="00AC7465" w:rsidRDefault="00894DEA" w:rsidP="00757F8A">
      <w:pPr>
        <w:spacing w:after="0" w:line="360" w:lineRule="auto"/>
        <w:jc w:val="both"/>
        <w:rPr>
          <w:rFonts w:ascii="Times New Roman" w:hAnsi="Times New Roman" w:cs="Times New Roman"/>
          <w:sz w:val="24"/>
          <w:szCs w:val="24"/>
          <w:lang w:val="es-ES_tradnl"/>
        </w:rPr>
      </w:pPr>
      <w:r w:rsidRPr="00894DEA">
        <w:rPr>
          <w:rFonts w:ascii="Times New Roman" w:hAnsi="Times New Roman" w:cs="Times New Roman"/>
          <w:sz w:val="24"/>
          <w:szCs w:val="24"/>
          <w:lang w:val="es-ES_tradnl"/>
        </w:rPr>
        <w:t>Fue necesario adoptar dos medidas: los proveedores de servicios de intercambio de contenidos en línea deben obtener la autorización de los titulares de los derechos en relación con los contenidos protegidos puestos a disposición, incluso si son publicados por los destinatarios de los servicios; dichos proveedores de servicios deben hacer todo lo posible para evitar la distribución de contenido protegido por derechos de autor no autorizado, ya sea obteniendo la autorización adecuada, no distribuyéndolo, o eliminándolo y previniendo futuras infracciones. Nos referimos a la Directiva (UE) 2019/790 del Parlamento Europeo y del Consejo, de 17 de abril de 2019, sobre derechos de autor y derechos afines en el mercado único digital y por la que se modifican las Directivas 96/9/CE y 2001/29/CE</w:t>
      </w:r>
      <w:r>
        <w:rPr>
          <w:rFonts w:ascii="Times New Roman" w:hAnsi="Times New Roman" w:cs="Times New Roman"/>
          <w:sz w:val="24"/>
          <w:szCs w:val="24"/>
          <w:lang w:val="es-ES_tradnl"/>
        </w:rPr>
        <w:t>.</w:t>
      </w:r>
    </w:p>
    <w:p w14:paraId="6932C31E" w14:textId="77777777" w:rsidR="0017154B" w:rsidRPr="007501BD" w:rsidRDefault="0017154B" w:rsidP="00757F8A">
      <w:pPr>
        <w:spacing w:after="0" w:line="360" w:lineRule="auto"/>
        <w:jc w:val="both"/>
        <w:rPr>
          <w:rFonts w:ascii="Times New Roman" w:hAnsi="Times New Roman" w:cs="Times New Roman"/>
          <w:sz w:val="24"/>
          <w:szCs w:val="24"/>
          <w:lang w:val="es-ES_tradnl"/>
        </w:rPr>
      </w:pPr>
    </w:p>
    <w:p w14:paraId="17E226A0"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3.1. Campo subjetivo de aplicación. </w:t>
      </w:r>
    </w:p>
    <w:p w14:paraId="7DF2C460" w14:textId="77777777" w:rsidR="0017154B" w:rsidRDefault="0017154B" w:rsidP="00757F8A">
      <w:pPr>
        <w:spacing w:after="0" w:line="360" w:lineRule="auto"/>
        <w:jc w:val="both"/>
        <w:rPr>
          <w:rFonts w:ascii="Times New Roman" w:hAnsi="Times New Roman" w:cs="Times New Roman"/>
          <w:sz w:val="24"/>
          <w:szCs w:val="24"/>
          <w:lang w:val="es-ES_tradnl"/>
        </w:rPr>
      </w:pPr>
    </w:p>
    <w:p w14:paraId="207063FB" w14:textId="2B3CF061" w:rsidR="0017154B" w:rsidRDefault="00BD5AA8" w:rsidP="00757F8A">
      <w:pPr>
        <w:spacing w:after="0" w:line="360" w:lineRule="auto"/>
        <w:jc w:val="both"/>
        <w:rPr>
          <w:rFonts w:ascii="Times New Roman" w:hAnsi="Times New Roman" w:cs="Times New Roman"/>
          <w:sz w:val="24"/>
          <w:szCs w:val="24"/>
          <w:lang w:val="es-ES_tradnl"/>
        </w:rPr>
      </w:pPr>
      <w:r w:rsidRPr="00BD5AA8">
        <w:rPr>
          <w:rFonts w:ascii="Times New Roman" w:hAnsi="Times New Roman" w:cs="Times New Roman"/>
          <w:sz w:val="24"/>
          <w:szCs w:val="24"/>
          <w:lang w:val="es-ES_tradnl"/>
        </w:rPr>
        <w:lastRenderedPageBreak/>
        <w:t xml:space="preserve">Nos centraremos en </w:t>
      </w:r>
      <w:r w:rsidR="00573008">
        <w:rPr>
          <w:rFonts w:ascii="Times New Roman" w:hAnsi="Times New Roman" w:cs="Times New Roman"/>
          <w:sz w:val="24"/>
          <w:szCs w:val="24"/>
          <w:lang w:val="es-ES_tradnl"/>
        </w:rPr>
        <w:t xml:space="preserve">la </w:t>
      </w:r>
      <w:r w:rsidRPr="00BD5AA8">
        <w:rPr>
          <w:rFonts w:ascii="Times New Roman" w:hAnsi="Times New Roman" w:cs="Times New Roman"/>
          <w:sz w:val="24"/>
          <w:szCs w:val="24"/>
          <w:lang w:val="es-ES_tradnl"/>
        </w:rPr>
        <w:t>responsabili</w:t>
      </w:r>
      <w:r w:rsidR="00573008">
        <w:rPr>
          <w:rFonts w:ascii="Times New Roman" w:hAnsi="Times New Roman" w:cs="Times New Roman"/>
          <w:sz w:val="24"/>
          <w:szCs w:val="24"/>
          <w:lang w:val="es-ES_tradnl"/>
        </w:rPr>
        <w:t>dad</w:t>
      </w:r>
      <w:r w:rsidRPr="00BD5AA8">
        <w:rPr>
          <w:rFonts w:ascii="Times New Roman" w:hAnsi="Times New Roman" w:cs="Times New Roman"/>
          <w:sz w:val="24"/>
          <w:szCs w:val="24"/>
          <w:lang w:val="es-ES_tradnl"/>
        </w:rPr>
        <w:t xml:space="preserve"> </w:t>
      </w:r>
      <w:r w:rsidR="00573008">
        <w:rPr>
          <w:rFonts w:ascii="Times New Roman" w:hAnsi="Times New Roman" w:cs="Times New Roman"/>
          <w:sz w:val="24"/>
          <w:szCs w:val="24"/>
          <w:lang w:val="es-ES_tradnl"/>
        </w:rPr>
        <w:t>de</w:t>
      </w:r>
      <w:r w:rsidRPr="00BD5AA8">
        <w:rPr>
          <w:rFonts w:ascii="Times New Roman" w:hAnsi="Times New Roman" w:cs="Times New Roman"/>
          <w:sz w:val="24"/>
          <w:szCs w:val="24"/>
          <w:lang w:val="es-ES_tradnl"/>
        </w:rPr>
        <w:t xml:space="preserve"> los proveedores de servicios de intercambio de contenidos en línea por el uso de contenidos protegidos por derechos de autor o derechos afines (es decir, nos fijaremos, en particular, en lo dispuesto en el art</w:t>
      </w:r>
      <w:r w:rsidR="001B2528">
        <w:rPr>
          <w:rFonts w:ascii="Times New Roman" w:hAnsi="Times New Roman" w:cs="Times New Roman"/>
          <w:sz w:val="24"/>
          <w:szCs w:val="24"/>
          <w:lang w:val="es-ES_tradnl"/>
        </w:rPr>
        <w:t>ículo</w:t>
      </w:r>
      <w:r w:rsidRPr="00BD5AA8">
        <w:rPr>
          <w:rFonts w:ascii="Times New Roman" w:hAnsi="Times New Roman" w:cs="Times New Roman"/>
          <w:sz w:val="24"/>
          <w:szCs w:val="24"/>
          <w:lang w:val="es-ES_tradnl"/>
        </w:rPr>
        <w:t xml:space="preserve"> 17. de la citada Directiva).</w:t>
      </w:r>
      <w:r w:rsidRPr="00BD5AA8">
        <w:rPr>
          <w:lang w:val="es-ES_tradnl"/>
        </w:rPr>
        <w:t xml:space="preserve"> </w:t>
      </w:r>
      <w:r w:rsidRPr="00BD5AA8">
        <w:rPr>
          <w:rFonts w:ascii="Times New Roman" w:hAnsi="Times New Roman" w:cs="Times New Roman"/>
          <w:sz w:val="24"/>
          <w:szCs w:val="24"/>
          <w:lang w:val="es-ES_tradnl"/>
        </w:rPr>
        <w:t>Cabe señalar, de entrada, que se entiende por «prestador de servicios de intercambio de contenidos en línea», para la presente Directiva y en los términos de su art</w:t>
      </w:r>
      <w:r w:rsidR="00402B3B">
        <w:rPr>
          <w:rFonts w:ascii="Times New Roman" w:hAnsi="Times New Roman" w:cs="Times New Roman"/>
          <w:sz w:val="24"/>
          <w:szCs w:val="24"/>
          <w:lang w:val="es-ES_tradnl"/>
        </w:rPr>
        <w:t>ículo</w:t>
      </w:r>
      <w:r w:rsidRPr="00BD5AA8">
        <w:rPr>
          <w:rFonts w:ascii="Times New Roman" w:hAnsi="Times New Roman" w:cs="Times New Roman"/>
          <w:sz w:val="24"/>
          <w:szCs w:val="24"/>
          <w:lang w:val="es-ES_tradnl"/>
        </w:rPr>
        <w:t xml:space="preserve"> 2, </w:t>
      </w:r>
      <w:r w:rsidR="001B2528">
        <w:rPr>
          <w:rFonts w:ascii="Times New Roman" w:hAnsi="Times New Roman" w:cs="Times New Roman"/>
          <w:sz w:val="24"/>
          <w:szCs w:val="24"/>
          <w:lang w:val="es-ES_tradnl"/>
        </w:rPr>
        <w:t>apartado</w:t>
      </w:r>
      <w:r w:rsidRPr="00BD5AA8">
        <w:rPr>
          <w:rFonts w:ascii="Times New Roman" w:hAnsi="Times New Roman" w:cs="Times New Roman"/>
          <w:sz w:val="24"/>
          <w:szCs w:val="24"/>
          <w:lang w:val="es-ES_tradnl"/>
        </w:rPr>
        <w:t xml:space="preserve"> 6,</w:t>
      </w:r>
      <w:r>
        <w:rPr>
          <w:rFonts w:ascii="Times New Roman" w:hAnsi="Times New Roman" w:cs="Times New Roman"/>
          <w:sz w:val="24"/>
          <w:szCs w:val="24"/>
          <w:lang w:val="es-ES_tradnl"/>
        </w:rPr>
        <w:t xml:space="preserve"> «</w:t>
      </w:r>
      <w:r w:rsidR="00203B06" w:rsidRPr="00203B06">
        <w:rPr>
          <w:rFonts w:ascii="Times New Roman" w:hAnsi="Times New Roman" w:cs="Times New Roman"/>
          <w:sz w:val="24"/>
          <w:szCs w:val="24"/>
          <w:lang w:val="es-ES_tradnl"/>
        </w:rPr>
        <w:t>un prestador de un servicio de la sociedad de la información cuyo fin principal o uno de cuyos fines principales es almacenar y dar al público acceso a una gran cantidad de obras u otras prestaciones protegidas cargadas por sus usuarios, que el servicio organiza y promociona con fines lucrativos</w:t>
      </w:r>
      <w:r>
        <w:rPr>
          <w:rFonts w:ascii="Times New Roman" w:hAnsi="Times New Roman" w:cs="Times New Roman"/>
          <w:sz w:val="24"/>
          <w:szCs w:val="24"/>
          <w:lang w:val="es-ES_tradnl"/>
        </w:rPr>
        <w:t>».</w:t>
      </w:r>
    </w:p>
    <w:p w14:paraId="26473DB4" w14:textId="0AD63118" w:rsidR="00B2736C" w:rsidRDefault="00BD5AA8" w:rsidP="00757F8A">
      <w:pPr>
        <w:spacing w:after="0" w:line="360" w:lineRule="auto"/>
        <w:jc w:val="both"/>
        <w:rPr>
          <w:rFonts w:ascii="Times New Roman" w:hAnsi="Times New Roman" w:cs="Times New Roman"/>
          <w:sz w:val="24"/>
          <w:szCs w:val="24"/>
          <w:lang w:val="es-ES_tradnl"/>
        </w:rPr>
      </w:pPr>
      <w:r w:rsidRPr="00BD5AA8">
        <w:rPr>
          <w:rFonts w:ascii="Times New Roman" w:hAnsi="Times New Roman" w:cs="Times New Roman"/>
          <w:sz w:val="24"/>
          <w:szCs w:val="24"/>
          <w:lang w:val="es-ES_tradnl"/>
        </w:rPr>
        <w:t xml:space="preserve">El objetivo era restringir el ámbito subjetivo de aplicación de la Directiva, limitándolo a unos pocos servicios de la sociedad de la información (proveedores de servicios de intercambio de contenidos en línea). Estos proveedores de servicios y, en particular, aquellos que son proveedores de servicios de intercambio de contenidos en línea a gran escala, están sujetos a deberes especiales de conducta (la exención de responsabilidad prevista en la Directiva 2000/31/CE carece de sentido </w:t>
      </w:r>
      <w:r w:rsidR="00E86FE3">
        <w:rPr>
          <w:rFonts w:ascii="Times New Roman" w:hAnsi="Times New Roman" w:cs="Times New Roman"/>
          <w:sz w:val="24"/>
          <w:szCs w:val="24"/>
          <w:lang w:val="es-ES_tradnl"/>
        </w:rPr>
        <w:t xml:space="preserve">– </w:t>
      </w:r>
      <w:r w:rsidRPr="00BD5AA8">
        <w:rPr>
          <w:rFonts w:ascii="Times New Roman" w:hAnsi="Times New Roman" w:cs="Times New Roman"/>
          <w:sz w:val="24"/>
          <w:szCs w:val="24"/>
          <w:lang w:val="es-ES_tradnl"/>
        </w:rPr>
        <w:t>en vista de un principio de proporcionalidad en la asunción de riesgos – frente a estos grandes proveedores de servicios que explotan económicamente las obras y otros materiales protegidos).</w:t>
      </w:r>
    </w:p>
    <w:p w14:paraId="10A75EE7" w14:textId="77777777" w:rsidR="0017154B" w:rsidRDefault="0017154B" w:rsidP="00757F8A">
      <w:pPr>
        <w:spacing w:after="0" w:line="360" w:lineRule="auto"/>
        <w:jc w:val="both"/>
        <w:rPr>
          <w:rFonts w:ascii="Times New Roman" w:hAnsi="Times New Roman" w:cs="Times New Roman"/>
          <w:sz w:val="24"/>
          <w:szCs w:val="24"/>
          <w:lang w:val="es-ES_tradnl"/>
        </w:rPr>
      </w:pPr>
    </w:p>
    <w:p w14:paraId="46CC6016" w14:textId="5AAA8858" w:rsid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3.2. Necesidad de obtener un permiso. </w:t>
      </w:r>
    </w:p>
    <w:p w14:paraId="62A23D12" w14:textId="77777777" w:rsidR="001661EF" w:rsidRPr="001661EF" w:rsidRDefault="001661EF" w:rsidP="00757F8A">
      <w:pPr>
        <w:spacing w:after="0" w:line="360" w:lineRule="auto"/>
        <w:jc w:val="both"/>
        <w:rPr>
          <w:rFonts w:ascii="Times New Roman" w:hAnsi="Times New Roman" w:cs="Times New Roman"/>
          <w:sz w:val="24"/>
          <w:szCs w:val="24"/>
          <w:lang w:val="es-ES_tradnl"/>
        </w:rPr>
      </w:pPr>
    </w:p>
    <w:p w14:paraId="7E552978" w14:textId="3507DAFE" w:rsidR="001661EF" w:rsidRDefault="001E2D32" w:rsidP="00757F8A">
      <w:pPr>
        <w:spacing w:after="0" w:line="360" w:lineRule="auto"/>
        <w:jc w:val="both"/>
        <w:rPr>
          <w:rFonts w:ascii="Times New Roman" w:hAnsi="Times New Roman" w:cs="Times New Roman"/>
          <w:sz w:val="24"/>
          <w:szCs w:val="24"/>
          <w:lang w:val="es-ES_tradnl"/>
        </w:rPr>
      </w:pPr>
      <w:r w:rsidRPr="001E2D32">
        <w:rPr>
          <w:rFonts w:ascii="Times New Roman" w:hAnsi="Times New Roman" w:cs="Times New Roman"/>
          <w:sz w:val="24"/>
          <w:szCs w:val="24"/>
          <w:lang w:val="es-ES_tradnl"/>
        </w:rPr>
        <w:t xml:space="preserve">Los proveedores de servicios de intercambio de contenidos en línea, al ofrecer al público contenidos protegidos por derechos de autor o derechos </w:t>
      </w:r>
      <w:r w:rsidR="00054FB4">
        <w:rPr>
          <w:rFonts w:ascii="Times New Roman" w:hAnsi="Times New Roman" w:cs="Times New Roman"/>
          <w:sz w:val="24"/>
          <w:szCs w:val="24"/>
          <w:lang w:val="es-ES_tradnl"/>
        </w:rPr>
        <w:t>afines</w:t>
      </w:r>
      <w:r w:rsidRPr="001E2D32">
        <w:rPr>
          <w:rFonts w:ascii="Times New Roman" w:hAnsi="Times New Roman" w:cs="Times New Roman"/>
          <w:sz w:val="24"/>
          <w:szCs w:val="24"/>
          <w:lang w:val="es-ES_tradnl"/>
        </w:rPr>
        <w:t xml:space="preserve"> (subidos por sus usuarios), realizan un acto de comunicación al público o de puesta a disposición del público de dichos contenidos (parece que aquí nos encontramos ante una responsabilidad directa, y ya no secundaria, y objetiva, por la difusión de contenidos no autorizados – alejándose así del régimen de exenciones previsto en la Directiva 2000/31/CE). Se elimina cualquier duda sobre la necesidad de que estos proveedores de servicios respeten los derechos de autor o derechos </w:t>
      </w:r>
      <w:r w:rsidR="00054FB4">
        <w:rPr>
          <w:rFonts w:ascii="Times New Roman" w:hAnsi="Times New Roman" w:cs="Times New Roman"/>
          <w:sz w:val="24"/>
          <w:szCs w:val="24"/>
          <w:lang w:val="es-ES_tradnl"/>
        </w:rPr>
        <w:t>afines</w:t>
      </w:r>
      <w:r w:rsidRPr="001E2D32">
        <w:rPr>
          <w:rFonts w:ascii="Times New Roman" w:hAnsi="Times New Roman" w:cs="Times New Roman"/>
          <w:sz w:val="24"/>
          <w:szCs w:val="24"/>
          <w:lang w:val="es-ES_tradnl"/>
        </w:rPr>
        <w:t>. A la vista de dicha calificación, dichos prestadores deberán obtener la necesaria autorización de los titulares de los derechos de que se trate, siendo ésta la vía preferente (la autorización podrá obtenerse de acuerdo con los distintos modelos previstos en el derecho interno de los Estados miembros, siempre que estos modelos faciliten el logro del objetivo del artículo 17, que es promover un mercado para el otorgamiento de licencias). Por supuesto, en el marco del art</w:t>
      </w:r>
      <w:r w:rsidR="00402B3B">
        <w:rPr>
          <w:rFonts w:ascii="Times New Roman" w:hAnsi="Times New Roman" w:cs="Times New Roman"/>
          <w:sz w:val="24"/>
          <w:szCs w:val="24"/>
          <w:lang w:val="es-ES_tradnl"/>
        </w:rPr>
        <w:t xml:space="preserve">ículo </w:t>
      </w:r>
      <w:r w:rsidRPr="001E2D32">
        <w:rPr>
          <w:rFonts w:ascii="Times New Roman" w:hAnsi="Times New Roman" w:cs="Times New Roman"/>
          <w:sz w:val="24"/>
          <w:szCs w:val="24"/>
          <w:lang w:val="es-ES_tradnl"/>
        </w:rPr>
        <w:t xml:space="preserve">17 y para la realización de sus fines, deberíamos enfrentarnos a licencias o autorizaciones </w:t>
      </w:r>
      <w:proofErr w:type="spellStart"/>
      <w:r w:rsidRPr="001E2D32">
        <w:rPr>
          <w:rFonts w:ascii="Times New Roman" w:hAnsi="Times New Roman" w:cs="Times New Roman"/>
          <w:sz w:val="24"/>
          <w:szCs w:val="24"/>
          <w:lang w:val="es-ES_tradnl"/>
        </w:rPr>
        <w:lastRenderedPageBreak/>
        <w:t>multiterritoriales</w:t>
      </w:r>
      <w:proofErr w:type="spellEnd"/>
      <w:r w:rsidRPr="001E2D32">
        <w:rPr>
          <w:rFonts w:ascii="Times New Roman" w:hAnsi="Times New Roman" w:cs="Times New Roman"/>
          <w:sz w:val="24"/>
          <w:szCs w:val="24"/>
          <w:lang w:val="es-ES_tradnl"/>
        </w:rPr>
        <w:t xml:space="preserve"> o </w:t>
      </w:r>
      <w:proofErr w:type="spellStart"/>
      <w:r w:rsidRPr="001E2D32">
        <w:rPr>
          <w:rFonts w:ascii="Times New Roman" w:hAnsi="Times New Roman" w:cs="Times New Roman"/>
          <w:sz w:val="24"/>
          <w:szCs w:val="24"/>
          <w:lang w:val="es-ES_tradnl"/>
        </w:rPr>
        <w:t>transterritoriales</w:t>
      </w:r>
      <w:proofErr w:type="spellEnd"/>
      <w:r w:rsidRPr="001E2D32">
        <w:rPr>
          <w:rFonts w:ascii="Times New Roman" w:hAnsi="Times New Roman" w:cs="Times New Roman"/>
          <w:sz w:val="24"/>
          <w:szCs w:val="24"/>
          <w:lang w:val="es-ES_tradnl"/>
        </w:rPr>
        <w:t xml:space="preserve"> –</w:t>
      </w:r>
      <w:r w:rsidR="002623AE">
        <w:rPr>
          <w:rFonts w:ascii="Times New Roman" w:hAnsi="Times New Roman" w:cs="Times New Roman"/>
          <w:sz w:val="24"/>
          <w:szCs w:val="24"/>
          <w:lang w:val="es-ES_tradnl"/>
        </w:rPr>
        <w:t xml:space="preserve"> </w:t>
      </w:r>
      <w:r w:rsidRPr="001E2D32">
        <w:rPr>
          <w:rFonts w:ascii="Times New Roman" w:hAnsi="Times New Roman" w:cs="Times New Roman"/>
          <w:sz w:val="24"/>
          <w:szCs w:val="24"/>
          <w:lang w:val="es-ES_tradnl"/>
        </w:rPr>
        <w:t>solución difícil de alcanzar y</w:t>
      </w:r>
      <w:r w:rsidR="002623AE">
        <w:rPr>
          <w:rFonts w:ascii="Times New Roman" w:hAnsi="Times New Roman" w:cs="Times New Roman"/>
          <w:sz w:val="24"/>
          <w:szCs w:val="24"/>
          <w:lang w:val="es-ES_tradnl"/>
        </w:rPr>
        <w:t xml:space="preserve"> </w:t>
      </w:r>
      <w:r w:rsidRPr="001E2D32">
        <w:rPr>
          <w:rFonts w:ascii="Times New Roman" w:hAnsi="Times New Roman" w:cs="Times New Roman"/>
          <w:sz w:val="24"/>
          <w:szCs w:val="24"/>
          <w:lang w:val="es-ES_tradnl"/>
        </w:rPr>
        <w:t>el art</w:t>
      </w:r>
      <w:r w:rsidR="00402B3B">
        <w:rPr>
          <w:rFonts w:ascii="Times New Roman" w:hAnsi="Times New Roman" w:cs="Times New Roman"/>
          <w:sz w:val="24"/>
          <w:szCs w:val="24"/>
          <w:lang w:val="es-ES_tradnl"/>
        </w:rPr>
        <w:t>ículo</w:t>
      </w:r>
      <w:r w:rsidRPr="001E2D32">
        <w:rPr>
          <w:rFonts w:ascii="Times New Roman" w:hAnsi="Times New Roman" w:cs="Times New Roman"/>
          <w:sz w:val="24"/>
          <w:szCs w:val="24"/>
          <w:lang w:val="es-ES_tradnl"/>
        </w:rPr>
        <w:t xml:space="preserve"> 12 de la Directiva (licencias colectivas con efectos ampliados) no es la respuesta a sus requisitos y garantías.</w:t>
      </w:r>
    </w:p>
    <w:p w14:paraId="3EDE6522" w14:textId="58422D1D" w:rsidR="001E2D32" w:rsidRPr="001661EF" w:rsidRDefault="001E2D32" w:rsidP="00757F8A">
      <w:pPr>
        <w:spacing w:after="0" w:line="360" w:lineRule="auto"/>
        <w:jc w:val="both"/>
        <w:rPr>
          <w:rFonts w:ascii="Times New Roman" w:hAnsi="Times New Roman" w:cs="Times New Roman"/>
          <w:sz w:val="24"/>
          <w:szCs w:val="24"/>
          <w:lang w:val="es-ES_tradnl"/>
        </w:rPr>
      </w:pPr>
      <w:r w:rsidRPr="001E2D32">
        <w:rPr>
          <w:rFonts w:ascii="Times New Roman" w:hAnsi="Times New Roman" w:cs="Times New Roman"/>
          <w:sz w:val="24"/>
          <w:szCs w:val="24"/>
          <w:lang w:val="es-ES_tradnl"/>
        </w:rPr>
        <w:t>La Directiva también aclara (art</w:t>
      </w:r>
      <w:r w:rsidR="00402B3B">
        <w:rPr>
          <w:rFonts w:ascii="Times New Roman" w:hAnsi="Times New Roman" w:cs="Times New Roman"/>
          <w:sz w:val="24"/>
          <w:szCs w:val="24"/>
          <w:lang w:val="es-ES_tradnl"/>
        </w:rPr>
        <w:t>í</w:t>
      </w:r>
      <w:r w:rsidR="001B2528">
        <w:rPr>
          <w:rFonts w:ascii="Times New Roman" w:hAnsi="Times New Roman" w:cs="Times New Roman"/>
          <w:sz w:val="24"/>
          <w:szCs w:val="24"/>
          <w:lang w:val="es-ES_tradnl"/>
        </w:rPr>
        <w:t>culo</w:t>
      </w:r>
      <w:r w:rsidRPr="001E2D32">
        <w:rPr>
          <w:rFonts w:ascii="Times New Roman" w:hAnsi="Times New Roman" w:cs="Times New Roman"/>
          <w:sz w:val="24"/>
          <w:szCs w:val="24"/>
          <w:lang w:val="es-ES_tradnl"/>
        </w:rPr>
        <w:t xml:space="preserve"> 17, </w:t>
      </w:r>
      <w:r w:rsidR="001B2528">
        <w:rPr>
          <w:rFonts w:ascii="Times New Roman" w:hAnsi="Times New Roman" w:cs="Times New Roman"/>
          <w:sz w:val="24"/>
          <w:szCs w:val="24"/>
          <w:lang w:val="es-ES_tradnl"/>
        </w:rPr>
        <w:t>apartado</w:t>
      </w:r>
      <w:r w:rsidRPr="001E2D32">
        <w:rPr>
          <w:rFonts w:ascii="Times New Roman" w:hAnsi="Times New Roman" w:cs="Times New Roman"/>
          <w:sz w:val="24"/>
          <w:szCs w:val="24"/>
          <w:lang w:val="es-ES_tradnl"/>
        </w:rPr>
        <w:t xml:space="preserve"> 2) que esta autorización debe incluir, por razones de seguridad jurídica, los actos realizados por los usuarios del servicio (siempre que estos usuarios no actúen con fines comerciales o, en su defecto, su actividad «no genera ingresos significativos») – en este sentido, la Directiva no aclara si la autorización obtenida (de conformidad con lo dispuesto en el artículo 17, apartado 1, segundo párrafo) cubre actos realizados por los usuarios (</w:t>
      </w:r>
      <w:r w:rsidR="00771E43">
        <w:rPr>
          <w:rFonts w:ascii="Times New Roman" w:hAnsi="Times New Roman" w:cs="Times New Roman"/>
          <w:sz w:val="24"/>
          <w:szCs w:val="24"/>
          <w:lang w:val="es-ES_tradnl"/>
        </w:rPr>
        <w:t>se debe</w:t>
      </w:r>
      <w:r w:rsidRPr="001E2D32">
        <w:rPr>
          <w:rFonts w:ascii="Times New Roman" w:hAnsi="Times New Roman" w:cs="Times New Roman"/>
          <w:sz w:val="24"/>
          <w:szCs w:val="24"/>
          <w:lang w:val="es-ES_tradnl"/>
        </w:rPr>
        <w:t xml:space="preserve"> en el diploma de transposición consagra</w:t>
      </w:r>
      <w:r w:rsidR="00771E43">
        <w:rPr>
          <w:rFonts w:ascii="Times New Roman" w:hAnsi="Times New Roman" w:cs="Times New Roman"/>
          <w:sz w:val="24"/>
          <w:szCs w:val="24"/>
          <w:lang w:val="es-ES_tradnl"/>
        </w:rPr>
        <w:t>r</w:t>
      </w:r>
      <w:r w:rsidRPr="001E2D32">
        <w:rPr>
          <w:rFonts w:ascii="Times New Roman" w:hAnsi="Times New Roman" w:cs="Times New Roman"/>
          <w:sz w:val="24"/>
          <w:szCs w:val="24"/>
          <w:lang w:val="es-ES_tradnl"/>
        </w:rPr>
        <w:t xml:space="preserve"> una presunción legal </w:t>
      </w:r>
      <w:proofErr w:type="spellStart"/>
      <w:r w:rsidRPr="00565554">
        <w:rPr>
          <w:rFonts w:ascii="Times New Roman" w:hAnsi="Times New Roman" w:cs="Times New Roman"/>
          <w:i/>
          <w:iCs/>
          <w:sz w:val="24"/>
          <w:szCs w:val="24"/>
          <w:lang w:val="es-ES_tradnl"/>
        </w:rPr>
        <w:t>juris</w:t>
      </w:r>
      <w:proofErr w:type="spellEnd"/>
      <w:r w:rsidRPr="00565554">
        <w:rPr>
          <w:rFonts w:ascii="Times New Roman" w:hAnsi="Times New Roman" w:cs="Times New Roman"/>
          <w:i/>
          <w:iCs/>
          <w:sz w:val="24"/>
          <w:szCs w:val="24"/>
          <w:lang w:val="es-ES_tradnl"/>
        </w:rPr>
        <w:t xml:space="preserve"> et de jure</w:t>
      </w:r>
      <w:r w:rsidRPr="001E2D32">
        <w:rPr>
          <w:rFonts w:ascii="Times New Roman" w:hAnsi="Times New Roman" w:cs="Times New Roman"/>
          <w:sz w:val="24"/>
          <w:szCs w:val="24"/>
          <w:lang w:val="es-ES_tradnl"/>
        </w:rPr>
        <w:t xml:space="preserve"> o una presunción legal </w:t>
      </w:r>
      <w:proofErr w:type="spellStart"/>
      <w:r w:rsidRPr="00565554">
        <w:rPr>
          <w:rFonts w:ascii="Times New Roman" w:hAnsi="Times New Roman" w:cs="Times New Roman"/>
          <w:i/>
          <w:iCs/>
          <w:sz w:val="24"/>
          <w:szCs w:val="24"/>
          <w:lang w:val="es-ES_tradnl"/>
        </w:rPr>
        <w:t>juris</w:t>
      </w:r>
      <w:proofErr w:type="spellEnd"/>
      <w:r w:rsidRPr="00565554">
        <w:rPr>
          <w:rFonts w:ascii="Times New Roman" w:hAnsi="Times New Roman" w:cs="Times New Roman"/>
          <w:i/>
          <w:iCs/>
          <w:sz w:val="24"/>
          <w:szCs w:val="24"/>
          <w:lang w:val="es-ES_tradnl"/>
        </w:rPr>
        <w:t xml:space="preserve"> tantum</w:t>
      </w:r>
      <w:r w:rsidRPr="001E2D32">
        <w:rPr>
          <w:rFonts w:ascii="Times New Roman" w:hAnsi="Times New Roman" w:cs="Times New Roman"/>
          <w:sz w:val="24"/>
          <w:szCs w:val="24"/>
          <w:lang w:val="es-ES_tradnl"/>
        </w:rPr>
        <w:t>) o si este alcance ha de preverse de forma autónoma (en el acuerdo de concesión de la autorización).</w:t>
      </w:r>
    </w:p>
    <w:p w14:paraId="6FA5E520" w14:textId="77777777" w:rsidR="0017154B" w:rsidRDefault="0017154B" w:rsidP="00757F8A">
      <w:pPr>
        <w:spacing w:after="0" w:line="360" w:lineRule="auto"/>
        <w:jc w:val="both"/>
        <w:rPr>
          <w:rFonts w:ascii="Times New Roman" w:hAnsi="Times New Roman" w:cs="Times New Roman"/>
          <w:sz w:val="24"/>
          <w:szCs w:val="24"/>
          <w:lang w:val="es-ES_tradnl"/>
        </w:rPr>
      </w:pPr>
    </w:p>
    <w:p w14:paraId="52E77A18"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3.3. La regla: salida del régimen de exención. </w:t>
      </w:r>
    </w:p>
    <w:p w14:paraId="64768C82" w14:textId="77777777" w:rsidR="0017154B" w:rsidRDefault="0017154B" w:rsidP="00757F8A">
      <w:pPr>
        <w:spacing w:after="0" w:line="360" w:lineRule="auto"/>
        <w:jc w:val="both"/>
        <w:rPr>
          <w:rFonts w:ascii="Times New Roman" w:hAnsi="Times New Roman" w:cs="Times New Roman"/>
          <w:sz w:val="24"/>
          <w:szCs w:val="24"/>
          <w:lang w:val="es-ES_tradnl"/>
        </w:rPr>
      </w:pPr>
    </w:p>
    <w:p w14:paraId="4AEFA385" w14:textId="1F79C0F1" w:rsidR="0017154B" w:rsidRDefault="001E2D32" w:rsidP="00757F8A">
      <w:pPr>
        <w:spacing w:after="0" w:line="360" w:lineRule="auto"/>
        <w:jc w:val="both"/>
        <w:rPr>
          <w:rFonts w:ascii="Times New Roman" w:hAnsi="Times New Roman" w:cs="Times New Roman"/>
          <w:sz w:val="24"/>
          <w:szCs w:val="24"/>
          <w:lang w:val="es-ES_tradnl"/>
        </w:rPr>
      </w:pPr>
      <w:r w:rsidRPr="001E2D32">
        <w:rPr>
          <w:rFonts w:ascii="Times New Roman" w:hAnsi="Times New Roman" w:cs="Times New Roman"/>
          <w:sz w:val="24"/>
          <w:szCs w:val="24"/>
          <w:lang w:val="es-ES_tradnl"/>
        </w:rPr>
        <w:t>Especialmente significativa es la revocación –</w:t>
      </w:r>
      <w:r w:rsidR="009F50F6">
        <w:rPr>
          <w:rFonts w:ascii="Times New Roman" w:hAnsi="Times New Roman" w:cs="Times New Roman"/>
          <w:sz w:val="24"/>
          <w:szCs w:val="24"/>
          <w:lang w:val="es-ES_tradnl"/>
        </w:rPr>
        <w:t xml:space="preserve"> </w:t>
      </w:r>
      <w:r w:rsidRPr="001E2D32">
        <w:rPr>
          <w:rFonts w:ascii="Times New Roman" w:hAnsi="Times New Roman" w:cs="Times New Roman"/>
          <w:sz w:val="24"/>
          <w:szCs w:val="24"/>
          <w:lang w:val="es-ES_tradnl"/>
        </w:rPr>
        <w:t>a la vista de la Directiva 2000/31/CE</w:t>
      </w:r>
      <w:r w:rsidR="00362C90">
        <w:rPr>
          <w:rFonts w:ascii="Times New Roman" w:hAnsi="Times New Roman" w:cs="Times New Roman"/>
          <w:sz w:val="24"/>
          <w:szCs w:val="24"/>
          <w:lang w:val="es-ES_tradnl"/>
        </w:rPr>
        <w:t xml:space="preserve"> </w:t>
      </w:r>
      <w:r w:rsidRPr="001E2D32">
        <w:rPr>
          <w:rFonts w:ascii="Times New Roman" w:hAnsi="Times New Roman" w:cs="Times New Roman"/>
          <w:sz w:val="24"/>
          <w:szCs w:val="24"/>
          <w:lang w:val="es-ES_tradnl"/>
        </w:rPr>
        <w:t>– de la responsabilidad de los proveedores intermediarios de servicios en línea, en este caso proveedores de servicios de intercambio de contenidos en línea. En los términos del primer párrafo del apartado 4 del art</w:t>
      </w:r>
      <w:r w:rsidR="00402B3B">
        <w:rPr>
          <w:rFonts w:ascii="Times New Roman" w:hAnsi="Times New Roman" w:cs="Times New Roman"/>
          <w:sz w:val="24"/>
          <w:szCs w:val="24"/>
          <w:lang w:val="es-ES_tradnl"/>
        </w:rPr>
        <w:t>ículo</w:t>
      </w:r>
      <w:r w:rsidRPr="001E2D32">
        <w:rPr>
          <w:rFonts w:ascii="Times New Roman" w:hAnsi="Times New Roman" w:cs="Times New Roman"/>
          <w:sz w:val="24"/>
          <w:szCs w:val="24"/>
          <w:lang w:val="es-ES_tradnl"/>
        </w:rPr>
        <w:t xml:space="preserve"> 17 se consagró una responsabilidad directa, y no secundaria, y objetiva. De conformidad con el apartado 3 de este mismo art</w:t>
      </w:r>
      <w:r w:rsidR="00402B3B">
        <w:rPr>
          <w:rFonts w:ascii="Times New Roman" w:hAnsi="Times New Roman" w:cs="Times New Roman"/>
          <w:sz w:val="24"/>
          <w:szCs w:val="24"/>
          <w:lang w:val="es-ES_tradnl"/>
        </w:rPr>
        <w:t>ículo</w:t>
      </w:r>
      <w:r w:rsidRPr="001E2D32">
        <w:rPr>
          <w:rFonts w:ascii="Times New Roman" w:hAnsi="Times New Roman" w:cs="Times New Roman"/>
          <w:sz w:val="24"/>
          <w:szCs w:val="24"/>
          <w:lang w:val="es-ES_tradnl"/>
        </w:rPr>
        <w:t xml:space="preserve"> 17, se eliminó la exención de responsabilidad de la Directiva 2000/31/CE y comienza, precisamente, por responsabilizar a los proveedores de servicios de compartir contenidos en línea (incluso si los cargan sus usuarios) responsables de los actos de comunicación al público o colocación que hace que los contenidos estén protegidos por derechos de autor o derechos </w:t>
      </w:r>
      <w:r w:rsidR="00054FB4">
        <w:rPr>
          <w:rFonts w:ascii="Times New Roman" w:hAnsi="Times New Roman" w:cs="Times New Roman"/>
          <w:sz w:val="24"/>
          <w:szCs w:val="24"/>
          <w:lang w:val="es-ES_tradnl"/>
        </w:rPr>
        <w:t>afines</w:t>
      </w:r>
      <w:r w:rsidRPr="001E2D32">
        <w:rPr>
          <w:rFonts w:ascii="Times New Roman" w:hAnsi="Times New Roman" w:cs="Times New Roman"/>
          <w:sz w:val="24"/>
          <w:szCs w:val="24"/>
          <w:lang w:val="es-ES_tradnl"/>
        </w:rPr>
        <w:t xml:space="preserve"> disponibles al público sin la necesaria autorización de los titulares de los derechos en cuestión. El principio es ahora el de responsabilidad (directa o primaria) y no el de exención de responsabilidad.</w:t>
      </w:r>
    </w:p>
    <w:p w14:paraId="35768D2F" w14:textId="77777777" w:rsidR="0017154B" w:rsidRDefault="0017154B" w:rsidP="00757F8A">
      <w:pPr>
        <w:spacing w:after="0" w:line="360" w:lineRule="auto"/>
        <w:jc w:val="both"/>
        <w:rPr>
          <w:rFonts w:ascii="Times New Roman" w:hAnsi="Times New Roman" w:cs="Times New Roman"/>
          <w:sz w:val="24"/>
          <w:szCs w:val="24"/>
          <w:lang w:val="es-ES_tradnl"/>
        </w:rPr>
      </w:pPr>
    </w:p>
    <w:p w14:paraId="1D52058C"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3.4. La excepción: eliminación de responsabilidad. </w:t>
      </w:r>
    </w:p>
    <w:p w14:paraId="479C513F" w14:textId="77777777" w:rsidR="0017154B" w:rsidRDefault="0017154B" w:rsidP="00757F8A">
      <w:pPr>
        <w:spacing w:after="0" w:line="360" w:lineRule="auto"/>
        <w:jc w:val="both"/>
        <w:rPr>
          <w:rFonts w:ascii="Times New Roman" w:hAnsi="Times New Roman" w:cs="Times New Roman"/>
          <w:sz w:val="24"/>
          <w:szCs w:val="24"/>
          <w:lang w:val="es-ES_tradnl"/>
        </w:rPr>
      </w:pPr>
    </w:p>
    <w:p w14:paraId="510874C7" w14:textId="195A6F57" w:rsidR="0017154B" w:rsidRDefault="00B202E5" w:rsidP="001D606F">
      <w:pPr>
        <w:spacing w:after="0" w:line="360" w:lineRule="auto"/>
        <w:jc w:val="both"/>
        <w:rPr>
          <w:rFonts w:ascii="Times New Roman" w:hAnsi="Times New Roman" w:cs="Times New Roman"/>
          <w:sz w:val="24"/>
          <w:szCs w:val="24"/>
          <w:lang w:val="es-ES_tradnl"/>
        </w:rPr>
      </w:pPr>
      <w:r w:rsidRPr="00B202E5">
        <w:rPr>
          <w:rFonts w:ascii="Times New Roman" w:hAnsi="Times New Roman" w:cs="Times New Roman"/>
          <w:sz w:val="24"/>
          <w:szCs w:val="24"/>
          <w:lang w:val="es-ES_tradnl"/>
        </w:rPr>
        <w:t xml:space="preserve">Debido al hecho de que los proveedores de servicios para compartir contenido en línea no cargan ellos mismos el contenido que ponen en línea (el contenido lo cargan los usuarios) y que probablemente (o muy probablemente) no puedan obtener permisos de todos los titulares de derechos en relación con todos los contenidos protegidos (presentes </w:t>
      </w:r>
      <w:r w:rsidRPr="00B202E5">
        <w:rPr>
          <w:rFonts w:ascii="Times New Roman" w:hAnsi="Times New Roman" w:cs="Times New Roman"/>
          <w:sz w:val="24"/>
          <w:szCs w:val="24"/>
          <w:lang w:val="es-ES_tradnl"/>
        </w:rPr>
        <w:lastRenderedPageBreak/>
        <w:t>y futuros) que se puedan subir (no olvidemos la multiplicidad de derechos que pueden estar en juego y, sin menos importancia, el principio de territorialidad y la consecuente multiplicidad de autorizaciones y licencias -</w:t>
      </w:r>
      <w:r w:rsidR="00BA39B6">
        <w:rPr>
          <w:rFonts w:ascii="Times New Roman" w:hAnsi="Times New Roman" w:cs="Times New Roman"/>
          <w:sz w:val="24"/>
          <w:szCs w:val="24"/>
          <w:lang w:val="es-ES_tradnl"/>
        </w:rPr>
        <w:t xml:space="preserve"> </w:t>
      </w:r>
      <w:r w:rsidRPr="00B202E5">
        <w:rPr>
          <w:rFonts w:ascii="Times New Roman" w:hAnsi="Times New Roman" w:cs="Times New Roman"/>
          <w:sz w:val="24"/>
          <w:szCs w:val="24"/>
          <w:lang w:val="es-ES_tradnl"/>
        </w:rPr>
        <w:t>sin perjuicio de lo mencionado anteriormente), era necesario encontrar un equilibrio en la responsabilidad de aquellos prestadores de servicios cuando no hay autorización (un instrumento de responsabilidad específica), ya que todavía no se requiere que esos prestadores solo puedan comunicar al público o hacer poner a disposición del público contenido legal (</w:t>
      </w:r>
      <w:r w:rsidRPr="00565554">
        <w:rPr>
          <w:rFonts w:ascii="Times New Roman" w:hAnsi="Times New Roman" w:cs="Times New Roman"/>
          <w:i/>
          <w:iCs/>
          <w:sz w:val="24"/>
          <w:szCs w:val="24"/>
          <w:lang w:val="es-ES_tradnl"/>
        </w:rPr>
        <w:t xml:space="preserve">id </w:t>
      </w:r>
      <w:proofErr w:type="spellStart"/>
      <w:r w:rsidRPr="00565554">
        <w:rPr>
          <w:rFonts w:ascii="Times New Roman" w:hAnsi="Times New Roman" w:cs="Times New Roman"/>
          <w:i/>
          <w:iCs/>
          <w:sz w:val="24"/>
          <w:szCs w:val="24"/>
          <w:lang w:val="es-ES_tradnl"/>
        </w:rPr>
        <w:t>est</w:t>
      </w:r>
      <w:proofErr w:type="spellEnd"/>
      <w:r w:rsidRPr="00B202E5">
        <w:rPr>
          <w:rFonts w:ascii="Times New Roman" w:hAnsi="Times New Roman" w:cs="Times New Roman"/>
          <w:sz w:val="24"/>
          <w:szCs w:val="24"/>
          <w:lang w:val="es-ES_tradnl"/>
        </w:rPr>
        <w:t xml:space="preserve">, obteniendo la debida autorización de los titulares de los derechos de autor o derechos </w:t>
      </w:r>
      <w:r w:rsidR="00054FB4">
        <w:rPr>
          <w:rFonts w:ascii="Times New Roman" w:hAnsi="Times New Roman" w:cs="Times New Roman"/>
          <w:sz w:val="24"/>
          <w:szCs w:val="24"/>
          <w:lang w:val="es-ES_tradnl"/>
        </w:rPr>
        <w:t>afines</w:t>
      </w:r>
      <w:r w:rsidRPr="00B202E5">
        <w:rPr>
          <w:rFonts w:ascii="Times New Roman" w:hAnsi="Times New Roman" w:cs="Times New Roman"/>
          <w:sz w:val="24"/>
          <w:szCs w:val="24"/>
          <w:lang w:val="es-ES_tradnl"/>
        </w:rPr>
        <w:t xml:space="preserve">), el mismo </w:t>
      </w:r>
      <w:r w:rsidR="00402B3B">
        <w:rPr>
          <w:rFonts w:ascii="Times New Roman" w:hAnsi="Times New Roman" w:cs="Times New Roman"/>
          <w:sz w:val="24"/>
          <w:szCs w:val="24"/>
          <w:lang w:val="es-ES_tradnl"/>
        </w:rPr>
        <w:t>apartado</w:t>
      </w:r>
      <w:r w:rsidRPr="00B202E5">
        <w:rPr>
          <w:rFonts w:ascii="Times New Roman" w:hAnsi="Times New Roman" w:cs="Times New Roman"/>
          <w:sz w:val="24"/>
          <w:szCs w:val="24"/>
          <w:lang w:val="es-ES_tradnl"/>
        </w:rPr>
        <w:t xml:space="preserve"> 4 del art</w:t>
      </w:r>
      <w:r w:rsidR="00402B3B">
        <w:rPr>
          <w:rFonts w:ascii="Times New Roman" w:hAnsi="Times New Roman" w:cs="Times New Roman"/>
          <w:sz w:val="24"/>
          <w:szCs w:val="24"/>
          <w:lang w:val="es-ES_tradnl"/>
        </w:rPr>
        <w:t>ículo</w:t>
      </w:r>
      <w:r w:rsidRPr="00B202E5">
        <w:rPr>
          <w:rFonts w:ascii="Times New Roman" w:hAnsi="Times New Roman" w:cs="Times New Roman"/>
          <w:sz w:val="24"/>
          <w:szCs w:val="24"/>
          <w:lang w:val="es-ES_tradnl"/>
        </w:rPr>
        <w:t xml:space="preserve"> 17, exime de responsabilidad a dichos proveedores de servicios si demuestran (tienen esta carga de la prueba) que:</w:t>
      </w:r>
      <w:r w:rsidRPr="00B202E5">
        <w:rPr>
          <w:lang w:val="es-ES_tradnl"/>
        </w:rPr>
        <w:t xml:space="preserve"> </w:t>
      </w:r>
      <w:r w:rsidRPr="00B202E5">
        <w:rPr>
          <w:rFonts w:ascii="Times New Roman" w:hAnsi="Times New Roman" w:cs="Times New Roman"/>
          <w:sz w:val="24"/>
          <w:szCs w:val="24"/>
          <w:lang w:val="es-ES_tradnl"/>
        </w:rPr>
        <w:t>«a</w:t>
      </w:r>
      <w:r w:rsidR="001D606F">
        <w:rPr>
          <w:rFonts w:ascii="Times New Roman" w:hAnsi="Times New Roman" w:cs="Times New Roman"/>
          <w:sz w:val="24"/>
          <w:szCs w:val="24"/>
          <w:lang w:val="es-ES_tradnl"/>
        </w:rPr>
        <w:t>)</w:t>
      </w:r>
      <w:r w:rsidR="001D606F" w:rsidRPr="001D606F">
        <w:rPr>
          <w:lang w:val="es-ES_tradnl"/>
        </w:rPr>
        <w:t xml:space="preserve"> </w:t>
      </w:r>
      <w:r w:rsidR="001D606F" w:rsidRPr="001D606F">
        <w:rPr>
          <w:rFonts w:ascii="Times New Roman" w:hAnsi="Times New Roman" w:cs="Times New Roman"/>
          <w:sz w:val="24"/>
          <w:szCs w:val="24"/>
          <w:lang w:val="es-ES_tradnl"/>
        </w:rPr>
        <w:t>han hecho los mayores esfuerzos por obtener una autorización, y</w:t>
      </w:r>
      <w:r w:rsidR="001D606F">
        <w:rPr>
          <w:rFonts w:ascii="Times New Roman" w:hAnsi="Times New Roman" w:cs="Times New Roman"/>
          <w:sz w:val="24"/>
          <w:szCs w:val="24"/>
          <w:lang w:val="es-ES_tradnl"/>
        </w:rPr>
        <w:t xml:space="preserve"> </w:t>
      </w:r>
      <w:r w:rsidR="001D606F" w:rsidRPr="001D606F">
        <w:rPr>
          <w:rFonts w:ascii="Times New Roman" w:hAnsi="Times New Roman" w:cs="Times New Roman"/>
          <w:sz w:val="24"/>
          <w:szCs w:val="24"/>
          <w:lang w:val="es-ES_tradnl"/>
        </w:rPr>
        <w:t>b)</w:t>
      </w:r>
      <w:r w:rsidR="001D606F">
        <w:rPr>
          <w:rFonts w:ascii="Times New Roman" w:hAnsi="Times New Roman" w:cs="Times New Roman"/>
          <w:sz w:val="24"/>
          <w:szCs w:val="24"/>
          <w:lang w:val="es-ES_tradnl"/>
        </w:rPr>
        <w:t xml:space="preserve"> </w:t>
      </w:r>
      <w:r w:rsidR="001D606F" w:rsidRPr="001D606F">
        <w:rPr>
          <w:rFonts w:ascii="Times New Roman" w:hAnsi="Times New Roman" w:cs="Times New Roman"/>
          <w:sz w:val="24"/>
          <w:szCs w:val="24"/>
          <w:lang w:val="es-ES_tradnl"/>
        </w:rPr>
        <w:t>han hecho, de acuerdo con normas sectoriales estrictas de diligencia profesional, los mayores esfuerzos por garantizar la indisponibilidad de obras y otras prestaciones específicas respecto de las cuales los titulares de derechos les hayan facilitado la información pertinente y necesaria, y en cualquier caso</w:t>
      </w:r>
      <w:r w:rsidR="001D606F">
        <w:rPr>
          <w:rFonts w:ascii="Times New Roman" w:hAnsi="Times New Roman" w:cs="Times New Roman"/>
          <w:sz w:val="24"/>
          <w:szCs w:val="24"/>
          <w:lang w:val="es-ES_tradnl"/>
        </w:rPr>
        <w:t xml:space="preserve"> </w:t>
      </w:r>
      <w:r w:rsidR="001D606F" w:rsidRPr="001D606F">
        <w:rPr>
          <w:rFonts w:ascii="Times New Roman" w:hAnsi="Times New Roman" w:cs="Times New Roman"/>
          <w:sz w:val="24"/>
          <w:szCs w:val="24"/>
          <w:lang w:val="es-ES_tradnl"/>
        </w:rPr>
        <w:t>c)</w:t>
      </w:r>
      <w:r w:rsidR="001D606F">
        <w:rPr>
          <w:rFonts w:ascii="Times New Roman" w:hAnsi="Times New Roman" w:cs="Times New Roman"/>
          <w:sz w:val="24"/>
          <w:szCs w:val="24"/>
          <w:lang w:val="es-ES_tradnl"/>
        </w:rPr>
        <w:t xml:space="preserve"> </w:t>
      </w:r>
      <w:r w:rsidR="001D606F" w:rsidRPr="001D606F">
        <w:rPr>
          <w:rFonts w:ascii="Times New Roman" w:hAnsi="Times New Roman" w:cs="Times New Roman"/>
          <w:sz w:val="24"/>
          <w:szCs w:val="24"/>
          <w:lang w:val="es-ES_tradnl"/>
        </w:rPr>
        <w:t>han actuado de modo expeditivo al recibir una notificación suficientemente motivada de los titulares de derechos, para inhabilitar el acceso a las obras u otras prestaciones notificadas o para retirarlas de sus sitios web, y han hecho los mayores esfuerzos por evitar que se carguen en el futuro de conformidad con la letra b)</w:t>
      </w:r>
      <w:r>
        <w:rPr>
          <w:rFonts w:ascii="Times New Roman" w:hAnsi="Times New Roman" w:cs="Times New Roman"/>
          <w:sz w:val="24"/>
          <w:szCs w:val="24"/>
          <w:lang w:val="es-ES_tradnl"/>
        </w:rPr>
        <w:t>»</w:t>
      </w:r>
      <w:r w:rsidRPr="00B202E5">
        <w:rPr>
          <w:rFonts w:ascii="Times New Roman" w:hAnsi="Times New Roman" w:cs="Times New Roman"/>
          <w:sz w:val="24"/>
          <w:szCs w:val="24"/>
          <w:lang w:val="es-ES_tradnl"/>
        </w:rPr>
        <w:t>. Es decir, la segunda condición parece imponer la adopción de tecnologías de filtrado de contenidos (no hubo intención de consagrar expresamente la exigencia de tecnologías de filtrado, tal como se establece en el artículo 13 propuesto) y la tercera condición consagra el sistema de “notificación y bloqueo” (</w:t>
      </w:r>
      <w:proofErr w:type="spellStart"/>
      <w:r w:rsidR="00500847" w:rsidRPr="00500847">
        <w:rPr>
          <w:rFonts w:ascii="Times New Roman" w:hAnsi="Times New Roman" w:cs="Times New Roman"/>
          <w:i/>
          <w:iCs/>
          <w:sz w:val="24"/>
          <w:szCs w:val="24"/>
          <w:lang w:val="es-ES_tradnl"/>
        </w:rPr>
        <w:t>notice</w:t>
      </w:r>
      <w:proofErr w:type="spellEnd"/>
      <w:r w:rsidR="00500847" w:rsidRPr="00500847">
        <w:rPr>
          <w:rFonts w:ascii="Times New Roman" w:hAnsi="Times New Roman" w:cs="Times New Roman"/>
          <w:i/>
          <w:iCs/>
          <w:sz w:val="24"/>
          <w:szCs w:val="24"/>
          <w:lang w:val="es-ES_tradnl"/>
        </w:rPr>
        <w:t xml:space="preserve"> and </w:t>
      </w:r>
      <w:proofErr w:type="spellStart"/>
      <w:r w:rsidR="00500847" w:rsidRPr="00500847">
        <w:rPr>
          <w:rFonts w:ascii="Times New Roman" w:hAnsi="Times New Roman" w:cs="Times New Roman"/>
          <w:i/>
          <w:iCs/>
          <w:sz w:val="24"/>
          <w:szCs w:val="24"/>
          <w:lang w:val="es-ES_tradnl"/>
        </w:rPr>
        <w:t>take</w:t>
      </w:r>
      <w:proofErr w:type="spellEnd"/>
      <w:r w:rsidR="00500847" w:rsidRPr="00500847">
        <w:rPr>
          <w:rFonts w:ascii="Times New Roman" w:hAnsi="Times New Roman" w:cs="Times New Roman"/>
          <w:i/>
          <w:iCs/>
          <w:sz w:val="24"/>
          <w:szCs w:val="24"/>
          <w:lang w:val="es-ES_tradnl"/>
        </w:rPr>
        <w:t xml:space="preserve"> </w:t>
      </w:r>
      <w:proofErr w:type="spellStart"/>
      <w:r w:rsidR="00500847" w:rsidRPr="00500847">
        <w:rPr>
          <w:rFonts w:ascii="Times New Roman" w:hAnsi="Times New Roman" w:cs="Times New Roman"/>
          <w:i/>
          <w:iCs/>
          <w:sz w:val="24"/>
          <w:szCs w:val="24"/>
          <w:lang w:val="es-ES_tradnl"/>
        </w:rPr>
        <w:t>down</w:t>
      </w:r>
      <w:proofErr w:type="spellEnd"/>
      <w:r w:rsidRPr="00B202E5">
        <w:rPr>
          <w:rFonts w:ascii="Times New Roman" w:hAnsi="Times New Roman" w:cs="Times New Roman"/>
          <w:sz w:val="24"/>
          <w:szCs w:val="24"/>
          <w:lang w:val="es-ES_tradnl"/>
        </w:rPr>
        <w:t>) y “aviso y bloqueo permanente” (</w:t>
      </w:r>
      <w:proofErr w:type="spellStart"/>
      <w:r w:rsidR="00500847" w:rsidRPr="00500847">
        <w:rPr>
          <w:rFonts w:ascii="Times New Roman" w:hAnsi="Times New Roman" w:cs="Times New Roman"/>
          <w:i/>
          <w:iCs/>
          <w:sz w:val="24"/>
          <w:szCs w:val="24"/>
          <w:lang w:val="es-ES_tradnl"/>
        </w:rPr>
        <w:t>notice</w:t>
      </w:r>
      <w:proofErr w:type="spellEnd"/>
      <w:r w:rsidR="00500847" w:rsidRPr="00500847">
        <w:rPr>
          <w:rFonts w:ascii="Times New Roman" w:hAnsi="Times New Roman" w:cs="Times New Roman"/>
          <w:i/>
          <w:iCs/>
          <w:sz w:val="24"/>
          <w:szCs w:val="24"/>
          <w:lang w:val="es-ES_tradnl"/>
        </w:rPr>
        <w:t>-and-</w:t>
      </w:r>
      <w:proofErr w:type="spellStart"/>
      <w:r w:rsidR="00500847" w:rsidRPr="00500847">
        <w:rPr>
          <w:rFonts w:ascii="Times New Roman" w:hAnsi="Times New Roman" w:cs="Times New Roman"/>
          <w:i/>
          <w:iCs/>
          <w:sz w:val="24"/>
          <w:szCs w:val="24"/>
          <w:lang w:val="es-ES_tradnl"/>
        </w:rPr>
        <w:t>stay</w:t>
      </w:r>
      <w:proofErr w:type="spellEnd"/>
      <w:r w:rsidR="00500847" w:rsidRPr="00500847">
        <w:rPr>
          <w:rFonts w:ascii="Times New Roman" w:hAnsi="Times New Roman" w:cs="Times New Roman"/>
          <w:i/>
          <w:iCs/>
          <w:sz w:val="24"/>
          <w:szCs w:val="24"/>
          <w:lang w:val="es-ES_tradnl"/>
        </w:rPr>
        <w:t>-</w:t>
      </w:r>
      <w:proofErr w:type="spellStart"/>
      <w:r w:rsidR="00500847" w:rsidRPr="00500847">
        <w:rPr>
          <w:rFonts w:ascii="Times New Roman" w:hAnsi="Times New Roman" w:cs="Times New Roman"/>
          <w:i/>
          <w:iCs/>
          <w:sz w:val="24"/>
          <w:szCs w:val="24"/>
          <w:lang w:val="es-ES_tradnl"/>
        </w:rPr>
        <w:t>down</w:t>
      </w:r>
      <w:proofErr w:type="spellEnd"/>
      <w:r w:rsidRPr="00B202E5">
        <w:rPr>
          <w:rFonts w:ascii="Times New Roman" w:hAnsi="Times New Roman" w:cs="Times New Roman"/>
          <w:sz w:val="24"/>
          <w:szCs w:val="24"/>
          <w:lang w:val="es-ES_tradnl"/>
        </w:rPr>
        <w:t>).</w:t>
      </w:r>
    </w:p>
    <w:p w14:paraId="13E39D6D" w14:textId="3168406E" w:rsidR="0017154B" w:rsidRDefault="00B202E5" w:rsidP="00757F8A">
      <w:pPr>
        <w:spacing w:after="0" w:line="360" w:lineRule="auto"/>
        <w:jc w:val="both"/>
        <w:rPr>
          <w:rFonts w:ascii="Times New Roman" w:hAnsi="Times New Roman" w:cs="Times New Roman"/>
          <w:sz w:val="24"/>
          <w:szCs w:val="24"/>
          <w:lang w:val="es-ES_tradnl"/>
        </w:rPr>
      </w:pPr>
      <w:r w:rsidRPr="00B202E5">
        <w:rPr>
          <w:rFonts w:ascii="Times New Roman" w:hAnsi="Times New Roman" w:cs="Times New Roman"/>
          <w:sz w:val="24"/>
          <w:szCs w:val="24"/>
          <w:lang w:val="es-ES_tradnl"/>
        </w:rPr>
        <w:t xml:space="preserve">A falta de autorización de los titulares de los derechos de propiedad intelectual y para que los prestadores de servicios de intercambio de contenidos en línea estén exentos de la responsabilidad de comunicar al público, incluida la puesta a disposición del público, contenidos protegidos por derechos de autor o derechos afines, el legislador europeo estableció reciprocidad deberes de colaboración. Los titulares de derechos de propiedad intelectual deberán proporcionar a los proveedores de servicios la información relevante y necesaria para identificar los contenidos protegidos o notificar, de forma suficientemente fundamentada, a los proveedores de servicios los contenidos en cuestión. Los prestadores de servicios deberán, en primer lugar, hacer todo lo posible para obtener la autorización necesaria, en los términos antes mencionados; en caso de imposibilidad de obtener dicha autorización, deberán, teniendo en cuenta los estándares de diligencia </w:t>
      </w:r>
      <w:r w:rsidRPr="00B202E5">
        <w:rPr>
          <w:rFonts w:ascii="Times New Roman" w:hAnsi="Times New Roman" w:cs="Times New Roman"/>
          <w:sz w:val="24"/>
          <w:szCs w:val="24"/>
          <w:lang w:val="es-ES_tradnl"/>
        </w:rPr>
        <w:lastRenderedPageBreak/>
        <w:t xml:space="preserve">profesional del sector de que se trate, realizar sus mejores esfuerzos para que el contenido protegido no esté disponible; y deberán bloquear diligentemente el acceso a los contenidos protegidos o retirarlos de sus sitios </w:t>
      </w:r>
      <w:r w:rsidRPr="000A2FCD">
        <w:rPr>
          <w:rFonts w:ascii="Times New Roman" w:hAnsi="Times New Roman" w:cs="Times New Roman"/>
          <w:i/>
          <w:iCs/>
          <w:sz w:val="24"/>
          <w:szCs w:val="24"/>
          <w:lang w:val="es-ES_tradnl"/>
        </w:rPr>
        <w:t>web</w:t>
      </w:r>
      <w:r w:rsidRPr="00B202E5">
        <w:rPr>
          <w:rFonts w:ascii="Times New Roman" w:hAnsi="Times New Roman" w:cs="Times New Roman"/>
          <w:sz w:val="24"/>
          <w:szCs w:val="24"/>
          <w:lang w:val="es-ES_tradnl"/>
        </w:rPr>
        <w:t>, así como realizar todos los esfuerzos posibles para evitar su futura instalación. Esta es una obligación de medios (obligaciones de diligencia) y no una obligación de resultado: el deudor está obligado a hacer los mejores esfuerzos en vista de un resultado determinado, pero sin estar obligado a lograr ese resultado.</w:t>
      </w:r>
    </w:p>
    <w:p w14:paraId="11C1D25D" w14:textId="77777777" w:rsidR="0017154B" w:rsidRDefault="0017154B" w:rsidP="00757F8A">
      <w:pPr>
        <w:spacing w:after="0" w:line="360" w:lineRule="auto"/>
        <w:jc w:val="both"/>
        <w:rPr>
          <w:rFonts w:ascii="Times New Roman" w:hAnsi="Times New Roman" w:cs="Times New Roman"/>
          <w:sz w:val="24"/>
          <w:szCs w:val="24"/>
          <w:lang w:val="es-ES_tradnl"/>
        </w:rPr>
      </w:pPr>
    </w:p>
    <w:p w14:paraId="38D474DA"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3.5. La obligación de controlar los contenidos. </w:t>
      </w:r>
    </w:p>
    <w:p w14:paraId="3F026460" w14:textId="77777777" w:rsidR="0017154B" w:rsidRDefault="0017154B" w:rsidP="00757F8A">
      <w:pPr>
        <w:spacing w:after="0" w:line="360" w:lineRule="auto"/>
        <w:jc w:val="both"/>
        <w:rPr>
          <w:rFonts w:ascii="Times New Roman" w:hAnsi="Times New Roman" w:cs="Times New Roman"/>
          <w:sz w:val="24"/>
          <w:szCs w:val="24"/>
          <w:lang w:val="es-ES_tradnl"/>
        </w:rPr>
      </w:pPr>
    </w:p>
    <w:p w14:paraId="577010BD" w14:textId="43DE969E" w:rsidR="0017154B" w:rsidRDefault="005806E8" w:rsidP="00757F8A">
      <w:pPr>
        <w:spacing w:after="0" w:line="360" w:lineRule="auto"/>
        <w:jc w:val="both"/>
        <w:rPr>
          <w:rFonts w:ascii="Times New Roman" w:hAnsi="Times New Roman" w:cs="Times New Roman"/>
          <w:sz w:val="24"/>
          <w:szCs w:val="24"/>
          <w:lang w:val="es-ES_tradnl"/>
        </w:rPr>
      </w:pPr>
      <w:r w:rsidRPr="005806E8">
        <w:rPr>
          <w:rFonts w:ascii="Times New Roman" w:hAnsi="Times New Roman" w:cs="Times New Roman"/>
          <w:sz w:val="24"/>
          <w:szCs w:val="24"/>
          <w:lang w:val="es-ES_tradnl"/>
        </w:rPr>
        <w:t xml:space="preserve">La mencionada colaboración entre los prestadores de servicios en cuestión y los titulares de los derechos de propiedad intelectual tiene como objetivo la protección extrajudicial de los derechos de autor y derechos </w:t>
      </w:r>
      <w:r w:rsidR="00054FB4">
        <w:rPr>
          <w:rFonts w:ascii="Times New Roman" w:hAnsi="Times New Roman" w:cs="Times New Roman"/>
          <w:sz w:val="24"/>
          <w:szCs w:val="24"/>
          <w:lang w:val="es-ES_tradnl"/>
        </w:rPr>
        <w:t>afines</w:t>
      </w:r>
      <w:r w:rsidRPr="005806E8">
        <w:rPr>
          <w:rFonts w:ascii="Times New Roman" w:hAnsi="Times New Roman" w:cs="Times New Roman"/>
          <w:sz w:val="24"/>
          <w:szCs w:val="24"/>
          <w:lang w:val="es-ES_tradnl"/>
        </w:rPr>
        <w:t xml:space="preserve"> mediante la adopción (además de los deberes de los titulares) de las mejores tecnologías para filtrar los contenidos colocados en </w:t>
      </w:r>
      <w:r w:rsidR="00D3787E" w:rsidRPr="00D3787E">
        <w:rPr>
          <w:rFonts w:ascii="Times New Roman" w:hAnsi="Times New Roman" w:cs="Times New Roman"/>
          <w:i/>
          <w:iCs/>
          <w:sz w:val="24"/>
          <w:szCs w:val="24"/>
          <w:lang w:val="es-ES_tradnl"/>
        </w:rPr>
        <w:t>i</w:t>
      </w:r>
      <w:r w:rsidRPr="00D3787E">
        <w:rPr>
          <w:rFonts w:ascii="Times New Roman" w:hAnsi="Times New Roman" w:cs="Times New Roman"/>
          <w:i/>
          <w:iCs/>
          <w:sz w:val="24"/>
          <w:szCs w:val="24"/>
          <w:lang w:val="es-ES_tradnl"/>
        </w:rPr>
        <w:t>nternet</w:t>
      </w:r>
      <w:r w:rsidRPr="005806E8">
        <w:rPr>
          <w:rFonts w:ascii="Times New Roman" w:hAnsi="Times New Roman" w:cs="Times New Roman"/>
          <w:sz w:val="24"/>
          <w:szCs w:val="24"/>
          <w:lang w:val="es-ES_tradnl"/>
        </w:rPr>
        <w:t xml:space="preserve"> (aunque la Directiva no solo no define qué son l</w:t>
      </w:r>
      <w:r w:rsidR="003168F2">
        <w:rPr>
          <w:rFonts w:ascii="Times New Roman" w:hAnsi="Times New Roman" w:cs="Times New Roman"/>
          <w:sz w:val="24"/>
          <w:szCs w:val="24"/>
          <w:lang w:val="es-ES_tradnl"/>
        </w:rPr>
        <w:t>a</w:t>
      </w:r>
      <w:r w:rsidRPr="005806E8">
        <w:rPr>
          <w:rFonts w:ascii="Times New Roman" w:hAnsi="Times New Roman" w:cs="Times New Roman"/>
          <w:sz w:val="24"/>
          <w:szCs w:val="24"/>
          <w:lang w:val="es-ES_tradnl"/>
        </w:rPr>
        <w:t>s «</w:t>
      </w:r>
      <w:r w:rsidR="003168F2" w:rsidRPr="003168F2">
        <w:rPr>
          <w:rFonts w:ascii="Times New Roman" w:hAnsi="Times New Roman" w:cs="Times New Roman"/>
          <w:sz w:val="24"/>
          <w:szCs w:val="24"/>
          <w:lang w:val="es-ES_tradnl"/>
        </w:rPr>
        <w:t>normas sectoriales estrictas de diligencia profesional</w:t>
      </w:r>
      <w:r w:rsidRPr="005806E8">
        <w:rPr>
          <w:rFonts w:ascii="Times New Roman" w:hAnsi="Times New Roman" w:cs="Times New Roman"/>
          <w:sz w:val="24"/>
          <w:szCs w:val="24"/>
          <w:lang w:val="es-ES_tradnl"/>
        </w:rPr>
        <w:t>» o «</w:t>
      </w:r>
      <w:r w:rsidR="003168F2" w:rsidRPr="003168F2">
        <w:rPr>
          <w:rFonts w:ascii="Times New Roman" w:hAnsi="Times New Roman" w:cs="Times New Roman"/>
          <w:sz w:val="24"/>
          <w:szCs w:val="24"/>
          <w:lang w:val="es-ES_tradnl"/>
        </w:rPr>
        <w:t>los mayores esfuerzos</w:t>
      </w:r>
      <w:r w:rsidRPr="005806E8">
        <w:rPr>
          <w:rFonts w:ascii="Times New Roman" w:hAnsi="Times New Roman" w:cs="Times New Roman"/>
          <w:sz w:val="24"/>
          <w:szCs w:val="24"/>
          <w:lang w:val="es-ES_tradnl"/>
        </w:rPr>
        <w:t>», tampoco dice expresamente qué medidas o tecnologías deben implementar las plataformas para cumplir con sus obligaciones). Siendo cierto que, de conformidad con el apartado 8 del art</w:t>
      </w:r>
      <w:r w:rsidR="00402B3B">
        <w:rPr>
          <w:rFonts w:ascii="Times New Roman" w:hAnsi="Times New Roman" w:cs="Times New Roman"/>
          <w:sz w:val="24"/>
          <w:szCs w:val="24"/>
          <w:lang w:val="es-ES_tradnl"/>
        </w:rPr>
        <w:t>ículo</w:t>
      </w:r>
      <w:r w:rsidRPr="005806E8">
        <w:rPr>
          <w:rFonts w:ascii="Times New Roman" w:hAnsi="Times New Roman" w:cs="Times New Roman"/>
          <w:sz w:val="24"/>
          <w:szCs w:val="24"/>
          <w:lang w:val="es-ES_tradnl"/>
        </w:rPr>
        <w:t xml:space="preserve"> 17, si se excluyó cualquier obligación general de vigilancia, lo cierto es que en ausencia de vigilancia de contenidos (filtrado de contenidos mediante herramientas informáticas) comunicados al público o puestos a su disposición o ineficacia de las tecnologías de reconocimiento de contenidos, dichos proveedores de servicios será responsable de los contenidos comunicados al público o puestos a disposición del mismo sin la preceptiva autorización de sus titulares.</w:t>
      </w:r>
    </w:p>
    <w:p w14:paraId="0E7BCE0C" w14:textId="4754BA01" w:rsidR="005806E8" w:rsidRDefault="007A1E2E" w:rsidP="00757F8A">
      <w:pPr>
        <w:spacing w:after="0" w:line="360" w:lineRule="auto"/>
        <w:jc w:val="both"/>
        <w:rPr>
          <w:rFonts w:ascii="Times New Roman" w:hAnsi="Times New Roman" w:cs="Times New Roman"/>
          <w:sz w:val="24"/>
          <w:szCs w:val="24"/>
          <w:lang w:val="es-ES_tradnl"/>
        </w:rPr>
      </w:pPr>
      <w:r w:rsidRPr="007A1E2E">
        <w:rPr>
          <w:rFonts w:ascii="Times New Roman" w:hAnsi="Times New Roman" w:cs="Times New Roman"/>
          <w:sz w:val="24"/>
          <w:szCs w:val="24"/>
          <w:lang w:val="es-ES_tradnl"/>
        </w:rPr>
        <w:t xml:space="preserve">Así, se consagró una obligación de vigilancia de contenidos, que no será calificada como obligación general de vigilancia si: a) se aplica correctamente el principio de proporcionalidad (corresponde al TJUE considerar si la Directiva ha dado suficiente densidad y alcance a este principio, es decir, si no hubiera medidas alternativas menos onerosas); b) la Directiva consagró garantías suficientes para respetar la libertad de expresión e información de los usuarios (en primer lugar, el respeto de las excepciones y limitaciones a los derechos de autor y derechos afines y los mecanismos de reclamación y recurso); c) existe un justo equilibrio entre los derechos fundamentales en conflicto. La responsabilidad de la vigilancia o el seguimiento ahora recae en los proveedores de </w:t>
      </w:r>
      <w:r w:rsidRPr="007A1E2E">
        <w:rPr>
          <w:rFonts w:ascii="Times New Roman" w:hAnsi="Times New Roman" w:cs="Times New Roman"/>
          <w:sz w:val="24"/>
          <w:szCs w:val="24"/>
          <w:lang w:val="es-ES_tradnl"/>
        </w:rPr>
        <w:lastRenderedPageBreak/>
        <w:t>servicios (y el seguimiento con una función preventiva y no solo de eliminación de contenido).</w:t>
      </w:r>
    </w:p>
    <w:p w14:paraId="0BF6C498" w14:textId="77777777" w:rsidR="0017154B" w:rsidRDefault="0017154B" w:rsidP="00757F8A">
      <w:pPr>
        <w:spacing w:after="0" w:line="360" w:lineRule="auto"/>
        <w:jc w:val="both"/>
        <w:rPr>
          <w:rFonts w:ascii="Times New Roman" w:hAnsi="Times New Roman" w:cs="Times New Roman"/>
          <w:sz w:val="24"/>
          <w:szCs w:val="24"/>
          <w:lang w:val="es-ES_tradnl"/>
        </w:rPr>
      </w:pPr>
    </w:p>
    <w:p w14:paraId="150592FF"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3.6. El principio de proporcionalidad. </w:t>
      </w:r>
    </w:p>
    <w:p w14:paraId="1B2A6388" w14:textId="77777777" w:rsidR="0017154B" w:rsidRDefault="0017154B" w:rsidP="00757F8A">
      <w:pPr>
        <w:spacing w:after="0" w:line="360" w:lineRule="auto"/>
        <w:jc w:val="both"/>
        <w:rPr>
          <w:rFonts w:ascii="Times New Roman" w:hAnsi="Times New Roman" w:cs="Times New Roman"/>
          <w:sz w:val="24"/>
          <w:szCs w:val="24"/>
          <w:lang w:val="es-ES_tradnl"/>
        </w:rPr>
      </w:pPr>
    </w:p>
    <w:p w14:paraId="5EA30B14" w14:textId="55F123C7" w:rsidR="0017154B" w:rsidRDefault="00E316B1" w:rsidP="00FC449F">
      <w:pPr>
        <w:spacing w:after="0" w:line="360" w:lineRule="auto"/>
        <w:jc w:val="both"/>
        <w:rPr>
          <w:rFonts w:ascii="Times New Roman" w:hAnsi="Times New Roman" w:cs="Times New Roman"/>
          <w:sz w:val="24"/>
          <w:szCs w:val="24"/>
          <w:lang w:val="es-ES_tradnl"/>
        </w:rPr>
      </w:pPr>
      <w:r w:rsidRPr="00E316B1">
        <w:rPr>
          <w:rFonts w:ascii="Times New Roman" w:hAnsi="Times New Roman" w:cs="Times New Roman"/>
          <w:sz w:val="24"/>
          <w:szCs w:val="24"/>
          <w:lang w:val="es-ES_tradnl"/>
        </w:rPr>
        <w:t>Cabe decir que el régimen consagrado se rige por el principio de proporcionalidad en el sentido de que las medidas adoptadas por los prestadores de servicios deben ser adecuadas y necesarias para el fin que se persigue. Esto resulta claramente de lo dispuesto en el apartado 5 del art</w:t>
      </w:r>
      <w:r w:rsidR="00402B3B">
        <w:rPr>
          <w:rFonts w:ascii="Times New Roman" w:hAnsi="Times New Roman" w:cs="Times New Roman"/>
          <w:sz w:val="24"/>
          <w:szCs w:val="24"/>
          <w:lang w:val="es-ES_tradnl"/>
        </w:rPr>
        <w:t>ículo</w:t>
      </w:r>
      <w:r w:rsidRPr="00E316B1">
        <w:rPr>
          <w:rFonts w:ascii="Times New Roman" w:hAnsi="Times New Roman" w:cs="Times New Roman"/>
          <w:sz w:val="24"/>
          <w:szCs w:val="24"/>
          <w:lang w:val="es-ES_tradnl"/>
        </w:rPr>
        <w:t xml:space="preserve"> 17, que señala, para esta ponderación, los siguientes elementos (a modo de ejemplo): «</w:t>
      </w:r>
      <w:r w:rsidR="00FC449F" w:rsidRPr="00FC449F">
        <w:rPr>
          <w:rFonts w:ascii="Times New Roman" w:hAnsi="Times New Roman" w:cs="Times New Roman"/>
          <w:sz w:val="24"/>
          <w:szCs w:val="24"/>
          <w:lang w:val="es-ES_tradnl"/>
        </w:rPr>
        <w:t>el tipo, la audiencia y la magnitud del servicio, así como el tipo de obras u otras prestaciones cargadas por los usuarios del servicio, y</w:t>
      </w:r>
      <w:r w:rsidR="00FC449F">
        <w:rPr>
          <w:rFonts w:ascii="Times New Roman" w:hAnsi="Times New Roman" w:cs="Times New Roman"/>
          <w:sz w:val="24"/>
          <w:szCs w:val="24"/>
          <w:lang w:val="es-ES_tradnl"/>
        </w:rPr>
        <w:t xml:space="preserve"> </w:t>
      </w:r>
      <w:r w:rsidR="00FC449F" w:rsidRPr="00FC449F">
        <w:rPr>
          <w:rFonts w:ascii="Times New Roman" w:hAnsi="Times New Roman" w:cs="Times New Roman"/>
          <w:sz w:val="24"/>
          <w:szCs w:val="24"/>
          <w:lang w:val="es-ES_tradnl"/>
        </w:rPr>
        <w:t>la disponibilidad de medios adecuados y eficaces y su coste para los prestadores de servicios</w:t>
      </w:r>
      <w:r w:rsidRPr="00E316B1">
        <w:rPr>
          <w:rFonts w:ascii="Times New Roman" w:hAnsi="Times New Roman" w:cs="Times New Roman"/>
          <w:sz w:val="24"/>
          <w:szCs w:val="24"/>
          <w:lang w:val="es-ES_tradnl"/>
        </w:rPr>
        <w:t>».</w:t>
      </w:r>
    </w:p>
    <w:p w14:paraId="0BB92350" w14:textId="6AC4937A" w:rsidR="0017154B" w:rsidRDefault="00E316B1" w:rsidP="00757F8A">
      <w:pPr>
        <w:spacing w:after="0" w:line="360" w:lineRule="auto"/>
        <w:jc w:val="both"/>
        <w:rPr>
          <w:rFonts w:ascii="Times New Roman" w:hAnsi="Times New Roman" w:cs="Times New Roman"/>
          <w:sz w:val="24"/>
          <w:szCs w:val="24"/>
          <w:lang w:val="es-ES_tradnl"/>
        </w:rPr>
      </w:pPr>
      <w:r w:rsidRPr="00E316B1">
        <w:rPr>
          <w:rFonts w:ascii="Times New Roman" w:hAnsi="Times New Roman" w:cs="Times New Roman"/>
          <w:sz w:val="24"/>
          <w:szCs w:val="24"/>
          <w:lang w:val="es-ES_tradnl"/>
        </w:rPr>
        <w:t>Por otro lado, se estableció un sistema de exención parcial del deber de diligencia para las empresas nuevas y de menor tamaño. Aun así, los deberes recíprocos (de los titulares de derechos, en cuanto al deber de informar, y de los prestadores de servicios, en cuanto al deber de vigilancia) no se eliminan del todo en estos casos.</w:t>
      </w:r>
    </w:p>
    <w:p w14:paraId="1BB7FE77" w14:textId="77777777" w:rsidR="0017154B" w:rsidRDefault="0017154B" w:rsidP="00757F8A">
      <w:pPr>
        <w:spacing w:after="0" w:line="360" w:lineRule="auto"/>
        <w:jc w:val="both"/>
        <w:rPr>
          <w:rFonts w:ascii="Times New Roman" w:hAnsi="Times New Roman" w:cs="Times New Roman"/>
          <w:sz w:val="24"/>
          <w:szCs w:val="24"/>
          <w:lang w:val="es-ES_tradnl"/>
        </w:rPr>
      </w:pPr>
    </w:p>
    <w:p w14:paraId="2E1F7EFB"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3.7. Mecanismos Alternativos de Resolución de Controversias. </w:t>
      </w:r>
    </w:p>
    <w:p w14:paraId="6EC20F68" w14:textId="77777777" w:rsidR="0017154B" w:rsidRDefault="0017154B" w:rsidP="00757F8A">
      <w:pPr>
        <w:spacing w:after="0" w:line="360" w:lineRule="auto"/>
        <w:jc w:val="both"/>
        <w:rPr>
          <w:rFonts w:ascii="Times New Roman" w:hAnsi="Times New Roman" w:cs="Times New Roman"/>
          <w:sz w:val="24"/>
          <w:szCs w:val="24"/>
          <w:lang w:val="es-ES_tradnl"/>
        </w:rPr>
      </w:pPr>
    </w:p>
    <w:p w14:paraId="1D2F53CC" w14:textId="22E4FFA5" w:rsidR="0017154B" w:rsidRDefault="00A2455E" w:rsidP="00757F8A">
      <w:pPr>
        <w:spacing w:after="0" w:line="360" w:lineRule="auto"/>
        <w:jc w:val="both"/>
        <w:rPr>
          <w:rFonts w:ascii="Times New Roman" w:hAnsi="Times New Roman" w:cs="Times New Roman"/>
          <w:sz w:val="24"/>
          <w:szCs w:val="24"/>
          <w:lang w:val="es-ES_tradnl"/>
        </w:rPr>
      </w:pPr>
      <w:r w:rsidRPr="00A2455E">
        <w:rPr>
          <w:rFonts w:ascii="Times New Roman" w:hAnsi="Times New Roman" w:cs="Times New Roman"/>
          <w:sz w:val="24"/>
          <w:szCs w:val="24"/>
          <w:lang w:val="es-ES_tradnl"/>
        </w:rPr>
        <w:t xml:space="preserve">La Directiva exige a los Estados miembros que consagren mecanismos alternativos para la resolución de litigios (mecanismos extrajudiciales de reclamación y recurso, que deben ser eficaces y rápidos) entre los proveedores de servicios de intercambio de contenidos en línea y los usuarios en relación con el </w:t>
      </w:r>
      <w:r w:rsidR="00FC449F">
        <w:rPr>
          <w:rFonts w:ascii="Times New Roman" w:hAnsi="Times New Roman" w:cs="Times New Roman"/>
          <w:sz w:val="24"/>
          <w:szCs w:val="24"/>
          <w:lang w:val="es-ES_tradnl"/>
        </w:rPr>
        <w:t>«</w:t>
      </w:r>
      <w:r w:rsidR="00FC449F" w:rsidRPr="00FC449F">
        <w:rPr>
          <w:rFonts w:ascii="Times New Roman" w:hAnsi="Times New Roman" w:cs="Times New Roman"/>
          <w:sz w:val="24"/>
          <w:szCs w:val="24"/>
          <w:lang w:val="es-ES_tradnl"/>
        </w:rPr>
        <w:t>inhabilitación del acceso a obras u otras prestaciones cargadas por ellos o sobre su retirada</w:t>
      </w:r>
      <w:r w:rsidR="00FC449F">
        <w:rPr>
          <w:rFonts w:ascii="Times New Roman" w:hAnsi="Times New Roman" w:cs="Times New Roman"/>
          <w:sz w:val="24"/>
          <w:szCs w:val="24"/>
          <w:lang w:val="es-ES_tradnl"/>
        </w:rPr>
        <w:t>»</w:t>
      </w:r>
      <w:r w:rsidRPr="00A2455E">
        <w:rPr>
          <w:rFonts w:ascii="Times New Roman" w:hAnsi="Times New Roman" w:cs="Times New Roman"/>
          <w:sz w:val="24"/>
          <w:szCs w:val="24"/>
          <w:lang w:val="es-ES_tradnl"/>
        </w:rPr>
        <w:t xml:space="preserve"> (art</w:t>
      </w:r>
      <w:r w:rsidR="00402B3B">
        <w:rPr>
          <w:rFonts w:ascii="Times New Roman" w:hAnsi="Times New Roman" w:cs="Times New Roman"/>
          <w:sz w:val="24"/>
          <w:szCs w:val="24"/>
          <w:lang w:val="es-ES_tradnl"/>
        </w:rPr>
        <w:t>ículo</w:t>
      </w:r>
      <w:r w:rsidRPr="00A2455E">
        <w:rPr>
          <w:rFonts w:ascii="Times New Roman" w:hAnsi="Times New Roman" w:cs="Times New Roman"/>
          <w:sz w:val="24"/>
          <w:szCs w:val="24"/>
          <w:lang w:val="es-ES_tradnl"/>
        </w:rPr>
        <w:t xml:space="preserve"> 17, </w:t>
      </w:r>
      <w:r w:rsidR="00402B3B">
        <w:rPr>
          <w:rFonts w:ascii="Times New Roman" w:hAnsi="Times New Roman" w:cs="Times New Roman"/>
          <w:sz w:val="24"/>
          <w:szCs w:val="24"/>
          <w:lang w:val="es-ES_tradnl"/>
        </w:rPr>
        <w:t>apartado</w:t>
      </w:r>
      <w:r w:rsidRPr="00A2455E">
        <w:rPr>
          <w:rFonts w:ascii="Times New Roman" w:hAnsi="Times New Roman" w:cs="Times New Roman"/>
          <w:sz w:val="24"/>
          <w:szCs w:val="24"/>
          <w:lang w:val="es-ES_tradnl"/>
        </w:rPr>
        <w:t xml:space="preserve"> 9, primer párrafo). Los mencionados mecanismos extrajudiciales de resolución de conflictos (ya sea en materia de quejas o recursos), además de ser efectivos, gratuitos para los usuarios y rápidos (no olvidemos que aquí puede estar en juego la libertad de expresión), deben permitir resolver disputando de manera imparcial y sin privar a los usuarios del servicio de recurrir a los cauces legales, en particular para poder invocar </w:t>
      </w:r>
      <w:r w:rsidR="003168F2">
        <w:rPr>
          <w:rFonts w:ascii="Times New Roman" w:hAnsi="Times New Roman" w:cs="Times New Roman"/>
          <w:sz w:val="24"/>
          <w:szCs w:val="24"/>
          <w:lang w:val="es-ES_tradnl"/>
        </w:rPr>
        <w:t>«</w:t>
      </w:r>
      <w:r w:rsidR="003168F2" w:rsidRPr="003168F2">
        <w:rPr>
          <w:rFonts w:ascii="Times New Roman" w:hAnsi="Times New Roman" w:cs="Times New Roman"/>
          <w:sz w:val="24"/>
          <w:szCs w:val="24"/>
          <w:lang w:val="es-ES_tradnl"/>
        </w:rPr>
        <w:t>el uso de una excepción o limitación a los derechos de autor y derechos afines</w:t>
      </w:r>
      <w:r w:rsidR="003168F2">
        <w:rPr>
          <w:rFonts w:ascii="Times New Roman" w:hAnsi="Times New Roman" w:cs="Times New Roman"/>
          <w:sz w:val="24"/>
          <w:szCs w:val="24"/>
          <w:lang w:val="es-ES_tradnl"/>
        </w:rPr>
        <w:t>»</w:t>
      </w:r>
      <w:r w:rsidRPr="00A2455E">
        <w:rPr>
          <w:rFonts w:ascii="Times New Roman" w:hAnsi="Times New Roman" w:cs="Times New Roman"/>
          <w:sz w:val="24"/>
          <w:szCs w:val="24"/>
          <w:lang w:val="es-ES_tradnl"/>
        </w:rPr>
        <w:t xml:space="preserve"> (párrafo segundo de la misma disposición). De hecho, la Directiva no perjudica los usos legítimos (ni la protección de datos personales) según la legislación de la UE.</w:t>
      </w:r>
    </w:p>
    <w:p w14:paraId="327C2F22" w14:textId="77777777" w:rsidR="0017154B" w:rsidRDefault="0017154B" w:rsidP="00757F8A">
      <w:pPr>
        <w:spacing w:after="0" w:line="360" w:lineRule="auto"/>
        <w:jc w:val="both"/>
        <w:rPr>
          <w:rFonts w:ascii="Times New Roman" w:hAnsi="Times New Roman" w:cs="Times New Roman"/>
          <w:sz w:val="24"/>
          <w:szCs w:val="24"/>
          <w:lang w:val="es-ES_tradnl"/>
        </w:rPr>
      </w:pPr>
    </w:p>
    <w:p w14:paraId="7B82B3F2"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3.8. La búsqueda de un justo equilibrio entre los derechos fundamentales. </w:t>
      </w:r>
    </w:p>
    <w:p w14:paraId="51B1E59D" w14:textId="77777777" w:rsidR="0017154B" w:rsidRDefault="0017154B" w:rsidP="00757F8A">
      <w:pPr>
        <w:spacing w:after="0" w:line="360" w:lineRule="auto"/>
        <w:jc w:val="both"/>
        <w:rPr>
          <w:rFonts w:ascii="Times New Roman" w:hAnsi="Times New Roman" w:cs="Times New Roman"/>
          <w:sz w:val="24"/>
          <w:szCs w:val="24"/>
          <w:lang w:val="es-ES_tradnl"/>
        </w:rPr>
      </w:pPr>
    </w:p>
    <w:p w14:paraId="1B3D727A" w14:textId="6CE2E610" w:rsidR="0017154B" w:rsidRDefault="00293D3C" w:rsidP="00757F8A">
      <w:pPr>
        <w:spacing w:after="0" w:line="360" w:lineRule="auto"/>
        <w:jc w:val="both"/>
        <w:rPr>
          <w:rFonts w:ascii="Times New Roman" w:hAnsi="Times New Roman" w:cs="Times New Roman"/>
          <w:sz w:val="24"/>
          <w:szCs w:val="24"/>
          <w:lang w:val="es-ES_tradnl"/>
        </w:rPr>
      </w:pPr>
      <w:r w:rsidRPr="00293D3C">
        <w:rPr>
          <w:rFonts w:ascii="Times New Roman" w:hAnsi="Times New Roman" w:cs="Times New Roman"/>
          <w:sz w:val="24"/>
          <w:szCs w:val="24"/>
          <w:lang w:val="es-ES_tradnl"/>
        </w:rPr>
        <w:t xml:space="preserve">La consagración del mecanismo de cooperación entre proveedores de servicios de intercambio de contenidos en línea y titulares de derechos de autor y derechos afines representa una ponderación diferente de los intereses en conflicto (en comparación con la Directiva 2000/31/CE) y las libertades respectivas. Una distribución diferente del riesgo, derivada en gran medida del desarrollo tecnológico que se ha producido (tecnologías de reconocimiento de contenido) y del crecimiento exponencial de un mercado de prestación de servicios en línea basado en la comunicación al público y su puesta a disposición del público a través del acceso a una gran cantidad de contenido protegido por derechos de autor o derechos </w:t>
      </w:r>
      <w:r w:rsidR="00054FB4">
        <w:rPr>
          <w:rFonts w:ascii="Times New Roman" w:hAnsi="Times New Roman" w:cs="Times New Roman"/>
          <w:sz w:val="24"/>
          <w:szCs w:val="24"/>
          <w:lang w:val="es-ES_tradnl"/>
        </w:rPr>
        <w:t>afines</w:t>
      </w:r>
      <w:r w:rsidRPr="00293D3C">
        <w:rPr>
          <w:rFonts w:ascii="Times New Roman" w:hAnsi="Times New Roman" w:cs="Times New Roman"/>
          <w:sz w:val="24"/>
          <w:szCs w:val="24"/>
          <w:lang w:val="es-ES_tradnl"/>
        </w:rPr>
        <w:t xml:space="preserve"> (cargado por los usuarios de los servicios). Dado que estos proveedores de servicios no desempeñan un papel activo en la eventual infracción de los derechos de propiedad intelectual, esta Directiva (en lo que respecta a los derechos de autor y derechos afines) les impone deberes especiales de colaboración con los titulares de los derechos (obligaciones extracontractuales - debido a la falta de obtención de la autorización) y un marco de responsabilidad civil (si bien pueden estar exentos de ella sujeto a un conjunto de condiciones acumulativas). Existe una diferencia significativa (una brecha de valor) entre el valor que los proveedores de servicios (por ejemplo, </w:t>
      </w:r>
      <w:r w:rsidRPr="00565554">
        <w:rPr>
          <w:rFonts w:ascii="Times New Roman" w:hAnsi="Times New Roman" w:cs="Times New Roman"/>
          <w:i/>
          <w:iCs/>
          <w:sz w:val="24"/>
          <w:szCs w:val="24"/>
          <w:lang w:val="es-ES_tradnl"/>
        </w:rPr>
        <w:t>YouTube</w:t>
      </w:r>
      <w:r w:rsidRPr="00293D3C">
        <w:rPr>
          <w:rFonts w:ascii="Times New Roman" w:hAnsi="Times New Roman" w:cs="Times New Roman"/>
          <w:sz w:val="24"/>
          <w:szCs w:val="24"/>
          <w:lang w:val="es-ES_tradnl"/>
        </w:rPr>
        <w:t xml:space="preserve">, </w:t>
      </w:r>
      <w:proofErr w:type="spellStart"/>
      <w:r w:rsidRPr="00565554">
        <w:rPr>
          <w:rFonts w:ascii="Times New Roman" w:hAnsi="Times New Roman" w:cs="Times New Roman"/>
          <w:i/>
          <w:iCs/>
          <w:sz w:val="24"/>
          <w:szCs w:val="24"/>
          <w:lang w:val="es-ES_tradnl"/>
        </w:rPr>
        <w:t>Soundcloud</w:t>
      </w:r>
      <w:proofErr w:type="spellEnd"/>
      <w:r w:rsidRPr="00293D3C">
        <w:rPr>
          <w:rFonts w:ascii="Times New Roman" w:hAnsi="Times New Roman" w:cs="Times New Roman"/>
          <w:sz w:val="24"/>
          <w:szCs w:val="24"/>
          <w:lang w:val="es-ES_tradnl"/>
        </w:rPr>
        <w:t xml:space="preserve"> o </w:t>
      </w:r>
      <w:r w:rsidRPr="00565554">
        <w:rPr>
          <w:rFonts w:ascii="Times New Roman" w:hAnsi="Times New Roman" w:cs="Times New Roman"/>
          <w:i/>
          <w:iCs/>
          <w:sz w:val="24"/>
          <w:szCs w:val="24"/>
          <w:lang w:val="es-ES_tradnl"/>
        </w:rPr>
        <w:t>Pinterest</w:t>
      </w:r>
      <w:r w:rsidRPr="00293D3C">
        <w:rPr>
          <w:rFonts w:ascii="Times New Roman" w:hAnsi="Times New Roman" w:cs="Times New Roman"/>
          <w:sz w:val="24"/>
          <w:szCs w:val="24"/>
          <w:lang w:val="es-ES_tradnl"/>
        </w:rPr>
        <w:t xml:space="preserve">) obtienen de las obras y otros materiales protegidos por derechos de autor o derechos </w:t>
      </w:r>
      <w:r w:rsidR="00054FB4">
        <w:rPr>
          <w:rFonts w:ascii="Times New Roman" w:hAnsi="Times New Roman" w:cs="Times New Roman"/>
          <w:sz w:val="24"/>
          <w:szCs w:val="24"/>
          <w:lang w:val="es-ES_tradnl"/>
        </w:rPr>
        <w:t>afines</w:t>
      </w:r>
      <w:r w:rsidRPr="00293D3C">
        <w:rPr>
          <w:rFonts w:ascii="Times New Roman" w:hAnsi="Times New Roman" w:cs="Times New Roman"/>
          <w:sz w:val="24"/>
          <w:szCs w:val="24"/>
          <w:lang w:val="es-ES_tradnl"/>
        </w:rPr>
        <w:t xml:space="preserve"> (ingresos que se derivan principalmente de la publicidad) y los ingresos que pagan a los titulares de derechos interesados (en particular, los titulares de derechos de obras musicales). El negocio de estos proveedores de servicios no es atraer a los titulares de derechos de propiedad intelectual para colocar (descargar) sus obras allí bajo un acuerdo de autorización o licencia. El negocio es diferente: es atraer al público consumidor a adquirir sus servicios (aunque la adquisición se traduzca en una suscripción a un servicio que siempre implica una compensación, ya sea el suministro de datos personales o la aceptación de publicidad y testimonios o </w:t>
      </w:r>
      <w:r>
        <w:rPr>
          <w:rFonts w:ascii="Times New Roman" w:hAnsi="Times New Roman" w:cs="Times New Roman"/>
          <w:sz w:val="24"/>
          <w:szCs w:val="24"/>
          <w:lang w:val="es-ES_tradnl"/>
        </w:rPr>
        <w:t>cookies</w:t>
      </w:r>
      <w:r w:rsidRPr="00293D3C">
        <w:rPr>
          <w:rFonts w:ascii="Times New Roman" w:hAnsi="Times New Roman" w:cs="Times New Roman"/>
          <w:sz w:val="24"/>
          <w:szCs w:val="24"/>
          <w:lang w:val="es-ES_tradnl"/>
        </w:rPr>
        <w:t>).</w:t>
      </w:r>
    </w:p>
    <w:p w14:paraId="60756DFB" w14:textId="528C0C6C" w:rsidR="0017154B" w:rsidRDefault="00293D3C" w:rsidP="00757F8A">
      <w:pPr>
        <w:spacing w:after="0" w:line="360" w:lineRule="auto"/>
        <w:jc w:val="both"/>
        <w:rPr>
          <w:rFonts w:ascii="Times New Roman" w:hAnsi="Times New Roman" w:cs="Times New Roman"/>
          <w:sz w:val="24"/>
          <w:szCs w:val="24"/>
          <w:lang w:val="es-ES_tradnl"/>
        </w:rPr>
      </w:pPr>
      <w:r w:rsidRPr="00293D3C">
        <w:rPr>
          <w:rFonts w:ascii="Times New Roman" w:hAnsi="Times New Roman" w:cs="Times New Roman"/>
          <w:sz w:val="24"/>
          <w:szCs w:val="24"/>
          <w:lang w:val="es-ES_tradnl"/>
        </w:rPr>
        <w:t xml:space="preserve">La presente Directiva pretende constituir un primer turno en la responsabilidad de los proveedores de servicios de intercambio de contenidos en línea, “incentivándolos” a obtener las autorizaciones o licencias necesarias para los derechos de propiedad intelectual y reduciendo el puerto seguro de los arts. 12 a 15 de la Directiva 2000/31/CE. De hecho, lo que está en juego aquí no es solo un fortalecimiento de la posición de los titulares de derechos en la negociación de contratos de autorización o licencia con los proveedores de servicios (un refuerzo que se deriva de la obligación de estos últimos de hacer todo lo posible para obtener la debida autorización) y obtener la debida </w:t>
      </w:r>
      <w:r w:rsidRPr="00293D3C">
        <w:rPr>
          <w:rFonts w:ascii="Times New Roman" w:hAnsi="Times New Roman" w:cs="Times New Roman"/>
          <w:sz w:val="24"/>
          <w:szCs w:val="24"/>
          <w:lang w:val="es-ES_tradnl"/>
        </w:rPr>
        <w:lastRenderedPageBreak/>
        <w:t>remuneración, sino también garantizar que los titulares de los derechos puedan controlar efectivamente el uso de sus obras u otro material protegido, y, si así lo desean, poder impedir que tales contenidos estén disponibles en los servicios que ofrece dicho proveedores en un entorno digital.</w:t>
      </w:r>
    </w:p>
    <w:p w14:paraId="18185056" w14:textId="33428A1C" w:rsidR="007C72A4" w:rsidRPr="007C72A4" w:rsidRDefault="007C72A4" w:rsidP="00757F8A">
      <w:pPr>
        <w:spacing w:after="0" w:line="360" w:lineRule="auto"/>
        <w:jc w:val="both"/>
        <w:rPr>
          <w:rFonts w:ascii="Times New Roman" w:hAnsi="Times New Roman" w:cs="Times New Roman"/>
          <w:sz w:val="24"/>
          <w:szCs w:val="24"/>
          <w:lang w:val="es-ES_tradnl"/>
        </w:rPr>
      </w:pPr>
      <w:r w:rsidRPr="007C72A4">
        <w:rPr>
          <w:rFonts w:ascii="Times New Roman" w:hAnsi="Times New Roman" w:cs="Times New Roman"/>
          <w:sz w:val="24"/>
          <w:szCs w:val="24"/>
          <w:lang w:val="es-ES_tradnl"/>
        </w:rPr>
        <w:t xml:space="preserve">Un difícil equilibrio entre la protección de los derechos de autor y derechos </w:t>
      </w:r>
      <w:r w:rsidR="00862313">
        <w:rPr>
          <w:rFonts w:ascii="Times New Roman" w:hAnsi="Times New Roman" w:cs="Times New Roman"/>
          <w:sz w:val="24"/>
          <w:szCs w:val="24"/>
          <w:lang w:val="es-ES_tradnl"/>
        </w:rPr>
        <w:t>afines</w:t>
      </w:r>
      <w:r w:rsidRPr="007C72A4">
        <w:rPr>
          <w:rFonts w:ascii="Times New Roman" w:hAnsi="Times New Roman" w:cs="Times New Roman"/>
          <w:sz w:val="24"/>
          <w:szCs w:val="24"/>
          <w:lang w:val="es-ES_tradnl"/>
        </w:rPr>
        <w:t xml:space="preserve">, por un lado, y la libertad, por otro, pero en el que prima la libertad. Corresponderá al TJUE evaluar si el artículo 17 de la Directiva logra un justo equilibrio entre la propiedad intelectual, por un lado, y la libertad de expresión (las tecnologías de filtrado automático conllevarán el riesgo de un bloqueo automático </w:t>
      </w:r>
      <w:r w:rsidRPr="00862313">
        <w:rPr>
          <w:rFonts w:ascii="Times New Roman" w:hAnsi="Times New Roman" w:cs="Times New Roman"/>
          <w:i/>
          <w:iCs/>
          <w:sz w:val="24"/>
          <w:szCs w:val="24"/>
          <w:lang w:val="es-ES_tradnl"/>
        </w:rPr>
        <w:t>ex ante</w:t>
      </w:r>
      <w:r w:rsidRPr="007C72A4">
        <w:rPr>
          <w:rFonts w:ascii="Times New Roman" w:hAnsi="Times New Roman" w:cs="Times New Roman"/>
          <w:sz w:val="24"/>
          <w:szCs w:val="24"/>
          <w:lang w:val="es-ES_tradnl"/>
        </w:rPr>
        <w:t xml:space="preserve"> de contenidos lícitos) e información para los usuarios, el derecho a la intimidad y la libertad de empresa (el principio de proporcionalidad, establecido en el artículo 17, apartado 5, puede no ser suficiente en vista de las imperfecciones y costos de las tecnologías de filtrado), por el otro. En la búsqueda de este justo equilibrio, la Directiva consagró un conjunto de garantías de naturaleza sustantiva y procesal. En cuanto a las medidas procesales, es importante subrayar lo dispuesto en el apartado 9 del artículo 17. Las salvaguardias de carácter sustantivo se basan fundamentalmente en la relevancia que el artículo 17 hace de las excepciones y limitaciones a los derechos de autor y derechos </w:t>
      </w:r>
      <w:r w:rsidR="00862313">
        <w:rPr>
          <w:rFonts w:ascii="Times New Roman" w:hAnsi="Times New Roman" w:cs="Times New Roman"/>
          <w:sz w:val="24"/>
          <w:szCs w:val="24"/>
          <w:lang w:val="es-ES_tradnl"/>
        </w:rPr>
        <w:t>afines</w:t>
      </w:r>
      <w:r w:rsidRPr="007C72A4">
        <w:rPr>
          <w:rFonts w:ascii="Times New Roman" w:hAnsi="Times New Roman" w:cs="Times New Roman"/>
          <w:sz w:val="24"/>
          <w:szCs w:val="24"/>
          <w:lang w:val="es-ES_tradnl"/>
        </w:rPr>
        <w:t>, reconociendo un derecho de los usuarios (derechos de los usuarios) para invocar estas excepciones o limitaciones u otros usos legítimos contra los proveedores de servicios (pero no se establecen consecuencias en caso de sobre</w:t>
      </w:r>
      <w:r w:rsidR="00862313">
        <w:rPr>
          <w:rFonts w:ascii="Times New Roman" w:hAnsi="Times New Roman" w:cs="Times New Roman"/>
          <w:sz w:val="24"/>
          <w:szCs w:val="24"/>
          <w:lang w:val="es-ES_tradnl"/>
        </w:rPr>
        <w:t xml:space="preserve"> </w:t>
      </w:r>
      <w:r w:rsidRPr="007C72A4">
        <w:rPr>
          <w:rFonts w:ascii="Times New Roman" w:hAnsi="Times New Roman" w:cs="Times New Roman"/>
          <w:sz w:val="24"/>
          <w:szCs w:val="24"/>
          <w:lang w:val="es-ES_tradnl"/>
        </w:rPr>
        <w:t xml:space="preserve">bloqueo, salvo el uso de mecanismos procesales que se aplican </w:t>
      </w:r>
      <w:r w:rsidRPr="00862313">
        <w:rPr>
          <w:rFonts w:ascii="Times New Roman" w:hAnsi="Times New Roman" w:cs="Times New Roman"/>
          <w:i/>
          <w:iCs/>
          <w:sz w:val="24"/>
          <w:szCs w:val="24"/>
          <w:lang w:val="es-ES_tradnl"/>
        </w:rPr>
        <w:t>ex post</w:t>
      </w:r>
      <w:r w:rsidRPr="007C72A4">
        <w:rPr>
          <w:rFonts w:ascii="Times New Roman" w:hAnsi="Times New Roman" w:cs="Times New Roman"/>
          <w:sz w:val="24"/>
          <w:szCs w:val="24"/>
          <w:lang w:val="es-ES_tradnl"/>
        </w:rPr>
        <w:t>).</w:t>
      </w:r>
    </w:p>
    <w:p w14:paraId="7356CD11" w14:textId="77A23040" w:rsidR="00277056" w:rsidRDefault="00277056" w:rsidP="00757F8A">
      <w:pPr>
        <w:spacing w:after="0" w:line="360" w:lineRule="auto"/>
        <w:jc w:val="both"/>
        <w:rPr>
          <w:rFonts w:ascii="Times New Roman" w:hAnsi="Times New Roman" w:cs="Times New Roman"/>
          <w:sz w:val="24"/>
          <w:szCs w:val="24"/>
          <w:lang w:val="es-ES_tradnl"/>
        </w:rPr>
      </w:pPr>
      <w:r w:rsidRPr="00277056">
        <w:rPr>
          <w:rFonts w:ascii="Times New Roman" w:hAnsi="Times New Roman" w:cs="Times New Roman"/>
          <w:sz w:val="24"/>
          <w:szCs w:val="24"/>
          <w:lang w:val="es-ES_tradnl"/>
        </w:rPr>
        <w:t xml:space="preserve">El equilibrio entre los intereses de los autores (y titulares de derechos </w:t>
      </w:r>
      <w:r w:rsidR="00054FB4">
        <w:rPr>
          <w:rFonts w:ascii="Times New Roman" w:hAnsi="Times New Roman" w:cs="Times New Roman"/>
          <w:sz w:val="24"/>
          <w:szCs w:val="24"/>
          <w:lang w:val="es-ES_tradnl"/>
        </w:rPr>
        <w:t>afines</w:t>
      </w:r>
      <w:r w:rsidRPr="00277056">
        <w:rPr>
          <w:rFonts w:ascii="Times New Roman" w:hAnsi="Times New Roman" w:cs="Times New Roman"/>
          <w:sz w:val="24"/>
          <w:szCs w:val="24"/>
          <w:lang w:val="es-ES_tradnl"/>
        </w:rPr>
        <w:t xml:space="preserve">) y los intereses de los usuarios parece residir en las excepciones y limitaciones al derecho de autor y derechos </w:t>
      </w:r>
      <w:r w:rsidR="00054FB4">
        <w:rPr>
          <w:rFonts w:ascii="Times New Roman" w:hAnsi="Times New Roman" w:cs="Times New Roman"/>
          <w:sz w:val="24"/>
          <w:szCs w:val="24"/>
          <w:lang w:val="es-ES_tradnl"/>
        </w:rPr>
        <w:t>afines</w:t>
      </w:r>
      <w:r w:rsidRPr="00277056">
        <w:rPr>
          <w:rFonts w:ascii="Times New Roman" w:hAnsi="Times New Roman" w:cs="Times New Roman"/>
          <w:sz w:val="24"/>
          <w:szCs w:val="24"/>
          <w:lang w:val="es-ES_tradnl"/>
        </w:rPr>
        <w:t xml:space="preserve">. Según la jurisprudencia del TJUE, asuntos </w:t>
      </w:r>
      <w:proofErr w:type="spellStart"/>
      <w:r w:rsidRPr="00277056">
        <w:rPr>
          <w:rFonts w:ascii="Times New Roman" w:hAnsi="Times New Roman" w:cs="Times New Roman"/>
          <w:sz w:val="24"/>
          <w:szCs w:val="24"/>
          <w:lang w:val="es-ES_tradnl"/>
        </w:rPr>
        <w:t>Pelham</w:t>
      </w:r>
      <w:proofErr w:type="spellEnd"/>
      <w:r w:rsidRPr="00277056">
        <w:rPr>
          <w:rFonts w:ascii="Times New Roman" w:hAnsi="Times New Roman" w:cs="Times New Roman"/>
          <w:sz w:val="24"/>
          <w:szCs w:val="24"/>
          <w:lang w:val="es-ES_tradnl"/>
        </w:rPr>
        <w:t xml:space="preserve">, </w:t>
      </w:r>
      <w:proofErr w:type="spellStart"/>
      <w:r w:rsidRPr="00277056">
        <w:rPr>
          <w:rFonts w:ascii="Times New Roman" w:hAnsi="Times New Roman" w:cs="Times New Roman"/>
          <w:sz w:val="24"/>
          <w:szCs w:val="24"/>
          <w:lang w:val="es-ES_tradnl"/>
        </w:rPr>
        <w:t>Funke</w:t>
      </w:r>
      <w:proofErr w:type="spellEnd"/>
      <w:r w:rsidRPr="00277056">
        <w:rPr>
          <w:rFonts w:ascii="Times New Roman" w:hAnsi="Times New Roman" w:cs="Times New Roman"/>
          <w:sz w:val="24"/>
          <w:szCs w:val="24"/>
          <w:lang w:val="es-ES_tradnl"/>
        </w:rPr>
        <w:t xml:space="preserve"> y Spiegel, C-476/17, C-469/17, C-516/17, respectivamente, todos decididos el 29 de julio de 2019, los derechos fundamentales previstos en la Carta de los Derechos Fundamentales de la Unión Europea (en lo sucesivo, la Carta) no constituyen, </w:t>
      </w:r>
      <w:r w:rsidRPr="006A0892">
        <w:rPr>
          <w:rFonts w:ascii="Times New Roman" w:hAnsi="Times New Roman" w:cs="Times New Roman"/>
          <w:i/>
          <w:iCs/>
          <w:sz w:val="24"/>
          <w:szCs w:val="24"/>
          <w:lang w:val="es-ES_tradnl"/>
        </w:rPr>
        <w:t>per se</w:t>
      </w:r>
      <w:r w:rsidRPr="00277056">
        <w:rPr>
          <w:rFonts w:ascii="Times New Roman" w:hAnsi="Times New Roman" w:cs="Times New Roman"/>
          <w:sz w:val="24"/>
          <w:szCs w:val="24"/>
          <w:lang w:val="es-ES_tradnl"/>
        </w:rPr>
        <w:t>, justificaciones para establecer excepciones a los derechos de autor, excepto en el marco de la interpretación y aplicación de las excepciones y limitaciones previstas en la legislación de la UE (sin perjuicio de que estas excepciones y limitaciones deban ser interpretadas a la luz de aquella Carta -</w:t>
      </w:r>
      <w:r w:rsidR="006A0892">
        <w:rPr>
          <w:rFonts w:ascii="Times New Roman" w:hAnsi="Times New Roman" w:cs="Times New Roman"/>
          <w:sz w:val="24"/>
          <w:szCs w:val="24"/>
          <w:lang w:val="es-ES_tradnl"/>
        </w:rPr>
        <w:t xml:space="preserve"> </w:t>
      </w:r>
      <w:r w:rsidRPr="00277056">
        <w:rPr>
          <w:rFonts w:ascii="Times New Roman" w:hAnsi="Times New Roman" w:cs="Times New Roman"/>
          <w:sz w:val="24"/>
          <w:szCs w:val="24"/>
          <w:lang w:val="es-ES_tradnl"/>
        </w:rPr>
        <w:t xml:space="preserve">y ésta, en los términos de su artículo 52, </w:t>
      </w:r>
      <w:r w:rsidR="001B2528">
        <w:rPr>
          <w:rFonts w:ascii="Times New Roman" w:hAnsi="Times New Roman" w:cs="Times New Roman"/>
          <w:sz w:val="24"/>
          <w:szCs w:val="24"/>
          <w:lang w:val="es-ES_tradnl"/>
        </w:rPr>
        <w:t>apartado</w:t>
      </w:r>
      <w:r w:rsidRPr="00277056">
        <w:rPr>
          <w:rFonts w:ascii="Times New Roman" w:hAnsi="Times New Roman" w:cs="Times New Roman"/>
          <w:sz w:val="24"/>
          <w:szCs w:val="24"/>
          <w:lang w:val="es-ES_tradnl"/>
        </w:rPr>
        <w:t xml:space="preserve"> 3, a la luz del Convenio Europeo de Derechos Humanos y de la jurisprudencia del Tribunal Europeo de Derechos Humanos); es decir, el equilibrio entre los derechos fundamentales, por un lado, y los derechos de autor y derechos </w:t>
      </w:r>
      <w:r w:rsidR="00054FB4">
        <w:rPr>
          <w:rFonts w:ascii="Times New Roman" w:hAnsi="Times New Roman" w:cs="Times New Roman"/>
          <w:sz w:val="24"/>
          <w:szCs w:val="24"/>
          <w:lang w:val="es-ES_tradnl"/>
        </w:rPr>
        <w:t>afines</w:t>
      </w:r>
      <w:r w:rsidRPr="00277056">
        <w:rPr>
          <w:rFonts w:ascii="Times New Roman" w:hAnsi="Times New Roman" w:cs="Times New Roman"/>
          <w:sz w:val="24"/>
          <w:szCs w:val="24"/>
          <w:lang w:val="es-ES_tradnl"/>
        </w:rPr>
        <w:t xml:space="preserve">, por el otro, se realizó “dentro” de las excepciones y </w:t>
      </w:r>
      <w:r w:rsidRPr="00277056">
        <w:rPr>
          <w:rFonts w:ascii="Times New Roman" w:hAnsi="Times New Roman" w:cs="Times New Roman"/>
          <w:sz w:val="24"/>
          <w:szCs w:val="24"/>
          <w:lang w:val="es-ES_tradnl"/>
        </w:rPr>
        <w:lastRenderedPageBreak/>
        <w:t>limitaciones mencionadas. Esta interpretación del TJUE (favorable a la seguridad jurídica y a la armonización del derecho europeo) de que el legislador europeo consideró en el régimen de excepciones y limitaciones a los derechos de autor y derechos afines las exigencias impuestas por los derechos fundamentales (primero por la Carta) suscitará varias dudas en cuanto a la plasticidad y espesor de los derechos fundamentales (posiblemente en colisión con la posición del Tribunal Europeo de Derechos Humanos (TEDH) –</w:t>
      </w:r>
      <w:r w:rsidR="00542710">
        <w:rPr>
          <w:rFonts w:ascii="Times New Roman" w:hAnsi="Times New Roman" w:cs="Times New Roman"/>
          <w:sz w:val="24"/>
          <w:szCs w:val="24"/>
          <w:lang w:val="es-ES_tradnl"/>
        </w:rPr>
        <w:t xml:space="preserve"> </w:t>
      </w:r>
      <w:r w:rsidRPr="00277056">
        <w:rPr>
          <w:rFonts w:ascii="Times New Roman" w:hAnsi="Times New Roman" w:cs="Times New Roman"/>
          <w:sz w:val="24"/>
          <w:szCs w:val="24"/>
          <w:lang w:val="es-ES_tradnl"/>
        </w:rPr>
        <w:t>la seguridad jurídica y la justicia no siempre van de la mano) ante la lista exhaustiva de excepciones y limitaciones sujetas a un criterio restrictivo interpretación</w:t>
      </w:r>
      <w:r w:rsidR="00542710">
        <w:rPr>
          <w:rFonts w:ascii="Times New Roman" w:hAnsi="Times New Roman" w:cs="Times New Roman"/>
          <w:sz w:val="24"/>
          <w:szCs w:val="24"/>
          <w:lang w:val="es-ES_tradnl"/>
        </w:rPr>
        <w:t>.</w:t>
      </w:r>
      <w:r w:rsidRPr="00277056">
        <w:rPr>
          <w:rFonts w:ascii="Times New Roman" w:hAnsi="Times New Roman" w:cs="Times New Roman"/>
          <w:sz w:val="24"/>
          <w:szCs w:val="24"/>
          <w:lang w:val="es-ES_tradnl"/>
        </w:rPr>
        <w:t xml:space="preserve"> Sin embargo, si las restricciones a los derechos de autor están sujetas a ciertos requisitos, los derechos de autor también restringen otros derechos fundamentales, por lo que las limitaciones y excepciones a los derechos de autor deben interpretarse a la luz de los derechos fundamentales en conflicto.</w:t>
      </w:r>
    </w:p>
    <w:p w14:paraId="3C7B1ECD" w14:textId="09BCDE11" w:rsidR="00277056" w:rsidRPr="00277056" w:rsidRDefault="00D66907" w:rsidP="00757F8A">
      <w:pPr>
        <w:spacing w:after="0" w:line="360" w:lineRule="auto"/>
        <w:jc w:val="both"/>
        <w:rPr>
          <w:rFonts w:ascii="Times New Roman" w:hAnsi="Times New Roman" w:cs="Times New Roman"/>
          <w:sz w:val="24"/>
          <w:szCs w:val="24"/>
          <w:lang w:val="es-ES_tradnl"/>
        </w:rPr>
      </w:pPr>
      <w:r w:rsidRPr="00D66907">
        <w:rPr>
          <w:rFonts w:ascii="Times New Roman" w:hAnsi="Times New Roman" w:cs="Times New Roman"/>
          <w:sz w:val="24"/>
          <w:szCs w:val="24"/>
          <w:lang w:val="es-ES_tradnl"/>
        </w:rPr>
        <w:t xml:space="preserve">La Directiva se basa en multitud de conceptos indeterminados que darán lugar a distintas interpretaciones en su transposición a los ordenamientos jurídicos nacionales, por lo que el objetivo de armonización (de cara a la consecución de un mercado único digital) puede no alcanzarse plenamente, habrá incertidumbres jurídicas y el TJUE será llamado a aclarar las divergencias. Existen muchas incertidumbres con respecto a los beneficiarios reales de las medidas adoptadas por la Directiva: los gigantes tecnológicos tienen tecnologías de filtrado efectivas y suficiente poder de negociación para no verse perjudicados por las nuevas características de esta Directiva (pero los nuevos proveedores de servicios de intercambio de contenido en línea pueden tener más costas, sin perjuicio de dichas excepciones). Todavía existirán incertidumbres en la relación entre una mayor protección de los derechos de autor y derechos </w:t>
      </w:r>
      <w:r w:rsidR="00054FB4">
        <w:rPr>
          <w:rFonts w:ascii="Times New Roman" w:hAnsi="Times New Roman" w:cs="Times New Roman"/>
          <w:sz w:val="24"/>
          <w:szCs w:val="24"/>
          <w:lang w:val="es-ES_tradnl"/>
        </w:rPr>
        <w:t>afines</w:t>
      </w:r>
      <w:r w:rsidRPr="00D66907">
        <w:rPr>
          <w:rFonts w:ascii="Times New Roman" w:hAnsi="Times New Roman" w:cs="Times New Roman"/>
          <w:sz w:val="24"/>
          <w:szCs w:val="24"/>
          <w:lang w:val="es-ES_tradnl"/>
        </w:rPr>
        <w:t xml:space="preserve"> con, en particular, la libertad de expresión y la libertad de información (incertidumbres que también están relacionadas con la dificultad de las tecnologías de filtrado para identificar excepciones y restricciones a los derechos de autor y derechos </w:t>
      </w:r>
      <w:r w:rsidR="00054FB4">
        <w:rPr>
          <w:rFonts w:ascii="Times New Roman" w:hAnsi="Times New Roman" w:cs="Times New Roman"/>
          <w:sz w:val="24"/>
          <w:szCs w:val="24"/>
          <w:lang w:val="es-ES_tradnl"/>
        </w:rPr>
        <w:t>afines</w:t>
      </w:r>
      <w:r w:rsidRPr="00D66907">
        <w:rPr>
          <w:rFonts w:ascii="Times New Roman" w:hAnsi="Times New Roman" w:cs="Times New Roman"/>
          <w:sz w:val="24"/>
          <w:szCs w:val="24"/>
          <w:lang w:val="es-ES_tradnl"/>
        </w:rPr>
        <w:t>, o incluso obras que pasan al dominio público). No suscribimos la posición de que esta Directiva perjudique los intereses públicos -</w:t>
      </w:r>
      <w:r w:rsidR="00763A17">
        <w:rPr>
          <w:rFonts w:ascii="Times New Roman" w:hAnsi="Times New Roman" w:cs="Times New Roman"/>
          <w:sz w:val="24"/>
          <w:szCs w:val="24"/>
          <w:lang w:val="es-ES_tradnl"/>
        </w:rPr>
        <w:t xml:space="preserve"> </w:t>
      </w:r>
      <w:r w:rsidRPr="00D66907">
        <w:rPr>
          <w:rFonts w:ascii="Times New Roman" w:hAnsi="Times New Roman" w:cs="Times New Roman"/>
          <w:sz w:val="24"/>
          <w:szCs w:val="24"/>
          <w:lang w:val="es-ES_tradnl"/>
        </w:rPr>
        <w:t>ya que los supuestos intereses públicos han favorecido a los gigantes tecnológicos</w:t>
      </w:r>
      <w:r w:rsidR="002F4573">
        <w:rPr>
          <w:rFonts w:ascii="Times New Roman" w:hAnsi="Times New Roman" w:cs="Times New Roman"/>
          <w:sz w:val="24"/>
          <w:szCs w:val="24"/>
          <w:lang w:val="es-ES_tradnl"/>
        </w:rPr>
        <w:t xml:space="preserve"> </w:t>
      </w:r>
      <w:r w:rsidRPr="00D66907">
        <w:rPr>
          <w:rFonts w:ascii="Times New Roman" w:hAnsi="Times New Roman" w:cs="Times New Roman"/>
          <w:sz w:val="24"/>
          <w:szCs w:val="24"/>
          <w:lang w:val="es-ES_tradnl"/>
        </w:rPr>
        <w:t xml:space="preserve">- en favor de los intereses privados de los titulares de derechos de autor o derechos </w:t>
      </w:r>
      <w:r w:rsidR="00054FB4">
        <w:rPr>
          <w:rFonts w:ascii="Times New Roman" w:hAnsi="Times New Roman" w:cs="Times New Roman"/>
          <w:sz w:val="24"/>
          <w:szCs w:val="24"/>
          <w:lang w:val="es-ES_tradnl"/>
        </w:rPr>
        <w:t>afines</w:t>
      </w:r>
      <w:r w:rsidRPr="00D66907">
        <w:rPr>
          <w:rFonts w:ascii="Times New Roman" w:hAnsi="Times New Roman" w:cs="Times New Roman"/>
          <w:sz w:val="24"/>
          <w:szCs w:val="24"/>
          <w:lang w:val="es-ES_tradnl"/>
        </w:rPr>
        <w:t xml:space="preserve"> (mediante la exigencia de licencias o autorizaciones). A veces parece que olvidamos los fundamentos de los derechos de propiedad intelectual.</w:t>
      </w:r>
    </w:p>
    <w:p w14:paraId="31C242CD" w14:textId="77777777" w:rsidR="0017154B" w:rsidRPr="00277056" w:rsidRDefault="0017154B" w:rsidP="00757F8A">
      <w:pPr>
        <w:spacing w:after="0" w:line="360" w:lineRule="auto"/>
        <w:jc w:val="both"/>
        <w:rPr>
          <w:rFonts w:ascii="Times New Roman" w:hAnsi="Times New Roman" w:cs="Times New Roman"/>
          <w:sz w:val="24"/>
          <w:szCs w:val="24"/>
          <w:lang w:val="es-ES_tradnl"/>
        </w:rPr>
      </w:pPr>
    </w:p>
    <w:p w14:paraId="2957A793" w14:textId="77777777" w:rsidR="0017154B"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 xml:space="preserve">3.9. Sentencia del TJUE (Polonia contra Parlamento Europeo y Consejo de la Unión Europea). </w:t>
      </w:r>
    </w:p>
    <w:p w14:paraId="68F19BF2" w14:textId="77777777" w:rsidR="0017154B" w:rsidRDefault="0017154B" w:rsidP="00757F8A">
      <w:pPr>
        <w:spacing w:after="0" w:line="360" w:lineRule="auto"/>
        <w:jc w:val="both"/>
        <w:rPr>
          <w:rFonts w:ascii="Times New Roman" w:hAnsi="Times New Roman" w:cs="Times New Roman"/>
          <w:sz w:val="24"/>
          <w:szCs w:val="24"/>
          <w:lang w:val="es-ES_tradnl"/>
        </w:rPr>
      </w:pPr>
    </w:p>
    <w:p w14:paraId="310952EF" w14:textId="60E52FFD" w:rsidR="0017154B" w:rsidRDefault="008103F3" w:rsidP="00757F8A">
      <w:pPr>
        <w:spacing w:after="0" w:line="360" w:lineRule="auto"/>
        <w:jc w:val="both"/>
        <w:rPr>
          <w:rFonts w:ascii="Times New Roman" w:hAnsi="Times New Roman" w:cs="Times New Roman"/>
          <w:sz w:val="24"/>
          <w:szCs w:val="24"/>
          <w:lang w:val="es-ES_tradnl"/>
        </w:rPr>
      </w:pPr>
      <w:r w:rsidRPr="008103F3">
        <w:rPr>
          <w:rFonts w:ascii="Times New Roman" w:hAnsi="Times New Roman" w:cs="Times New Roman"/>
          <w:sz w:val="24"/>
          <w:szCs w:val="24"/>
          <w:lang w:val="es-ES_tradnl"/>
        </w:rPr>
        <w:t>El Tribunal de Justicia se pronunció, por primera vez, sobre la interpretación de la Directiva 2019/790, en particular su artículo 17, en la sentencia de 26 de abril de 2022, C-401/19, República de Polonia/Parlamento Europeo y Consejo de la Unión Europea. El tribunal entendió que la Directiva ofrece un conjunto de garantías adecuadas para asegurar el respeto del derecho a la libertad de expresión e información de los usuarios del servicio (cuyos contenidos, colocados en línea, serán, de forma preventiva, monitorizados, en primer lugar a través del control automático -</w:t>
      </w:r>
      <w:r w:rsidR="00655D63">
        <w:rPr>
          <w:rFonts w:ascii="Times New Roman" w:hAnsi="Times New Roman" w:cs="Times New Roman"/>
          <w:sz w:val="24"/>
          <w:szCs w:val="24"/>
          <w:lang w:val="es-ES_tradnl"/>
        </w:rPr>
        <w:t xml:space="preserve"> </w:t>
      </w:r>
      <w:r w:rsidRPr="008103F3">
        <w:rPr>
          <w:rFonts w:ascii="Times New Roman" w:hAnsi="Times New Roman" w:cs="Times New Roman"/>
          <w:sz w:val="24"/>
          <w:szCs w:val="24"/>
          <w:lang w:val="es-ES_tradnl"/>
        </w:rPr>
        <w:t>filtrado automático</w:t>
      </w:r>
      <w:r w:rsidR="00655D63">
        <w:rPr>
          <w:rFonts w:ascii="Times New Roman" w:hAnsi="Times New Roman" w:cs="Times New Roman"/>
          <w:sz w:val="24"/>
          <w:szCs w:val="24"/>
          <w:lang w:val="es-ES_tradnl"/>
        </w:rPr>
        <w:t xml:space="preserve"> </w:t>
      </w:r>
      <w:r w:rsidRPr="008103F3">
        <w:rPr>
          <w:rFonts w:ascii="Times New Roman" w:hAnsi="Times New Roman" w:cs="Times New Roman"/>
          <w:sz w:val="24"/>
          <w:szCs w:val="24"/>
          <w:lang w:val="es-ES_tradnl"/>
        </w:rPr>
        <w:t>-, por los proveedores de servicios de intercambio de contenido en línea, para evitar su responsabilidad por las obras u otro material protegido que los usuarios de esos servicios cargan ilegalmente) y consagra un equilibrio justo entre ese derecho a la libertad de expresión e información y los derechos de propiedad intelectual. Por otro lado, el artículo 17, en su conjunto, ofrece una solución equilibrada entre los distintos derechos e intereses en juego (de los proveedores de servicios, usuarios y titulares de derechos de propiedad intelectual).</w:t>
      </w:r>
    </w:p>
    <w:p w14:paraId="3B779A58" w14:textId="5324B51A" w:rsidR="00D66907" w:rsidRDefault="008103F3" w:rsidP="00757F8A">
      <w:pPr>
        <w:spacing w:after="0" w:line="360" w:lineRule="auto"/>
        <w:jc w:val="both"/>
        <w:rPr>
          <w:rFonts w:ascii="Times New Roman" w:hAnsi="Times New Roman" w:cs="Times New Roman"/>
          <w:sz w:val="24"/>
          <w:szCs w:val="24"/>
          <w:lang w:val="es-ES_tradnl"/>
        </w:rPr>
      </w:pPr>
      <w:r w:rsidRPr="008103F3">
        <w:rPr>
          <w:rFonts w:ascii="Times New Roman" w:hAnsi="Times New Roman" w:cs="Times New Roman"/>
          <w:sz w:val="24"/>
          <w:szCs w:val="24"/>
          <w:lang w:val="es-ES_tradnl"/>
        </w:rPr>
        <w:t xml:space="preserve">Si bien es cierto, como sabemos, que la Directiva consagra, en su artículo 17, un nuevo régimen de responsabilidad de los proveedores de servicios de intercambio de contenidos en </w:t>
      </w:r>
      <w:proofErr w:type="gramStart"/>
      <w:r w:rsidRPr="008103F3">
        <w:rPr>
          <w:rFonts w:ascii="Times New Roman" w:hAnsi="Times New Roman" w:cs="Times New Roman"/>
          <w:sz w:val="24"/>
          <w:szCs w:val="24"/>
          <w:lang w:val="es-ES_tradnl"/>
        </w:rPr>
        <w:t>línea,</w:t>
      </w:r>
      <w:proofErr w:type="gramEnd"/>
      <w:r w:rsidRPr="008103F3">
        <w:rPr>
          <w:rFonts w:ascii="Times New Roman" w:hAnsi="Times New Roman" w:cs="Times New Roman"/>
          <w:sz w:val="24"/>
          <w:szCs w:val="24"/>
          <w:lang w:val="es-ES_tradnl"/>
        </w:rPr>
        <w:t xml:space="preserve"> también es cierto que pueden, como también sabemos, excluir esta responsabilidad. El artículo 17</w:t>
      </w:r>
      <w:r w:rsidR="00655D63">
        <w:rPr>
          <w:rFonts w:ascii="Times New Roman" w:hAnsi="Times New Roman" w:cs="Times New Roman"/>
          <w:sz w:val="24"/>
          <w:szCs w:val="24"/>
          <w:lang w:val="es-ES_tradnl"/>
        </w:rPr>
        <w:t>, apartado 4,</w:t>
      </w:r>
      <w:r w:rsidRPr="008103F3">
        <w:rPr>
          <w:rFonts w:ascii="Times New Roman" w:hAnsi="Times New Roman" w:cs="Times New Roman"/>
          <w:sz w:val="24"/>
          <w:szCs w:val="24"/>
          <w:lang w:val="es-ES_tradnl"/>
        </w:rPr>
        <w:t xml:space="preserve"> consagra las condiciones para esta exención (que ya hemos analizado). El tribunal entendió que los párrafos b) y c), in fine, del apartado 4 del artículo 17 exigen que los proveedores de servicios de intercambio de contenidos en línea realicen un control previo de los contenidos que los usuarios pretenden subir a sus plataformas, siempre que hayan recibido, de a los titulares de los derechos de que se trate, las informaciones o notificaciones previstas en los párrafos anteriores. Es decir, el tribunal reconoce expresamente que dichos proveedores están obligados a adoptar herramientas automáticas de reconocimiento y filtrado (a falta de otras soluciones efectivas y factibles). El tribunal también reconoce expresamente que estas herramientas son susceptibles de restringir la libertad de expresión e información (que abarca no solo el contenido de la información, sino también los medios de su difusión, incluido </w:t>
      </w:r>
      <w:r w:rsidR="001B2528" w:rsidRPr="001B2528">
        <w:rPr>
          <w:rFonts w:ascii="Times New Roman" w:hAnsi="Times New Roman" w:cs="Times New Roman"/>
          <w:i/>
          <w:iCs/>
          <w:sz w:val="24"/>
          <w:szCs w:val="24"/>
          <w:lang w:val="es-ES_tradnl"/>
        </w:rPr>
        <w:t>i</w:t>
      </w:r>
      <w:r w:rsidRPr="001B2528">
        <w:rPr>
          <w:rFonts w:ascii="Times New Roman" w:hAnsi="Times New Roman" w:cs="Times New Roman"/>
          <w:i/>
          <w:iCs/>
          <w:sz w:val="24"/>
          <w:szCs w:val="24"/>
          <w:lang w:val="es-ES_tradnl"/>
        </w:rPr>
        <w:t>nternet</w:t>
      </w:r>
      <w:r w:rsidRPr="008103F3">
        <w:rPr>
          <w:rFonts w:ascii="Times New Roman" w:hAnsi="Times New Roman" w:cs="Times New Roman"/>
          <w:sz w:val="24"/>
          <w:szCs w:val="24"/>
          <w:lang w:val="es-ES_tradnl"/>
        </w:rPr>
        <w:t xml:space="preserve"> que es «un instrumento sin precedentes para el ejercicio de la libertad de expresión</w:t>
      </w:r>
      <w:r w:rsidR="001B2528">
        <w:rPr>
          <w:rFonts w:ascii="Times New Roman" w:hAnsi="Times New Roman" w:cs="Times New Roman"/>
          <w:sz w:val="24"/>
          <w:szCs w:val="24"/>
          <w:lang w:val="es-ES_tradnl"/>
        </w:rPr>
        <w:t>»</w:t>
      </w:r>
      <w:r w:rsidRPr="008103F3">
        <w:rPr>
          <w:rFonts w:ascii="Times New Roman" w:hAnsi="Times New Roman" w:cs="Times New Roman"/>
          <w:sz w:val="24"/>
          <w:szCs w:val="24"/>
          <w:lang w:val="es-ES_tradnl"/>
        </w:rPr>
        <w:t>) – restricciones que derivan de una opción legislativa y que es consecuencia directa del régimen de responsabilidad consagrado.</w:t>
      </w:r>
    </w:p>
    <w:p w14:paraId="315DCABB" w14:textId="273F606E" w:rsidR="00D66907" w:rsidRDefault="00027745" w:rsidP="00757F8A">
      <w:pPr>
        <w:spacing w:after="0" w:line="360" w:lineRule="auto"/>
        <w:jc w:val="both"/>
        <w:rPr>
          <w:rFonts w:ascii="Times New Roman" w:hAnsi="Times New Roman" w:cs="Times New Roman"/>
          <w:sz w:val="24"/>
          <w:szCs w:val="24"/>
          <w:lang w:val="es-ES_tradnl"/>
        </w:rPr>
      </w:pPr>
      <w:r w:rsidRPr="00027745">
        <w:rPr>
          <w:rFonts w:ascii="Times New Roman" w:hAnsi="Times New Roman" w:cs="Times New Roman"/>
          <w:sz w:val="24"/>
          <w:szCs w:val="24"/>
          <w:lang w:val="es-ES_tradnl"/>
        </w:rPr>
        <w:t xml:space="preserve">Es importante no olvidar, como recordó el tribunal, que los titulares de derechos de autor y derechos </w:t>
      </w:r>
      <w:r w:rsidR="00054FB4">
        <w:rPr>
          <w:rFonts w:ascii="Times New Roman" w:hAnsi="Times New Roman" w:cs="Times New Roman"/>
          <w:sz w:val="24"/>
          <w:szCs w:val="24"/>
          <w:lang w:val="es-ES_tradnl"/>
        </w:rPr>
        <w:t>afines</w:t>
      </w:r>
      <w:r w:rsidRPr="00027745">
        <w:rPr>
          <w:rFonts w:ascii="Times New Roman" w:hAnsi="Times New Roman" w:cs="Times New Roman"/>
          <w:sz w:val="24"/>
          <w:szCs w:val="24"/>
          <w:lang w:val="es-ES_tradnl"/>
        </w:rPr>
        <w:t xml:space="preserve"> «son libres de determinar si y en qué condiciones se utilizan sus obras </w:t>
      </w:r>
      <w:r w:rsidRPr="00027745">
        <w:rPr>
          <w:rFonts w:ascii="Times New Roman" w:hAnsi="Times New Roman" w:cs="Times New Roman"/>
          <w:sz w:val="24"/>
          <w:szCs w:val="24"/>
          <w:lang w:val="es-ES_tradnl"/>
        </w:rPr>
        <w:lastRenderedPageBreak/>
        <w:t xml:space="preserve">y demás material protegido». Además, la Directiva no limitaba la libertad contractual «y dichos titulares no están en modo alguno obligados a conceder autorizaciones o licencias de uso de sus obras a los proveedores de servicios de intercambio de contenidos en línea». Así, el principio es obtener la debida autorización de los titulares de los derechos de autor y derechos </w:t>
      </w:r>
      <w:r w:rsidR="00054FB4">
        <w:rPr>
          <w:rFonts w:ascii="Times New Roman" w:hAnsi="Times New Roman" w:cs="Times New Roman"/>
          <w:sz w:val="24"/>
          <w:szCs w:val="24"/>
          <w:lang w:val="es-ES_tradnl"/>
        </w:rPr>
        <w:t>afines</w:t>
      </w:r>
      <w:r w:rsidRPr="00027745">
        <w:rPr>
          <w:rFonts w:ascii="Times New Roman" w:hAnsi="Times New Roman" w:cs="Times New Roman"/>
          <w:sz w:val="24"/>
          <w:szCs w:val="24"/>
          <w:lang w:val="es-ES_tradnl"/>
        </w:rPr>
        <w:t>. Pero, y para no causar una restricción excesiva al derecho a la libertad de expresión e información (pero en detrimento del derecho a la propiedad), el legislador europeo consideró la circunstancia de que los prestadores de servicios no puedan obtener la debida autorización y los exime de los de responsabilidad (cuando los usuarios suben contenido ilegal a sus plataformas) sujeto a ciertas condiciones.</w:t>
      </w:r>
      <w:r w:rsidR="00CE7ED0" w:rsidRPr="00CE7ED0">
        <w:rPr>
          <w:lang w:val="es-ES_tradnl"/>
        </w:rPr>
        <w:t xml:space="preserve"> </w:t>
      </w:r>
      <w:r w:rsidR="00CE7ED0" w:rsidRPr="00CE7ED0">
        <w:rPr>
          <w:rFonts w:ascii="Times New Roman" w:hAnsi="Times New Roman" w:cs="Times New Roman"/>
          <w:sz w:val="24"/>
          <w:szCs w:val="24"/>
          <w:lang w:val="es-ES_tradnl"/>
        </w:rPr>
        <w:t>Una vez más sopesando la libertad de expresión e información con el derecho a la propiedad, el legislador europeo ha impuesto a los proveedores de servicios de intercambio de contenidos en línea, para beneficiarse de la exención de responsabilidad, lo siguiente (ver § 53): a) actuar con diligencia, para detener, en sus plataformas, concreta</w:t>
      </w:r>
      <w:r w:rsidR="004E7A9C">
        <w:rPr>
          <w:rFonts w:ascii="Times New Roman" w:hAnsi="Times New Roman" w:cs="Times New Roman"/>
          <w:sz w:val="24"/>
          <w:szCs w:val="24"/>
          <w:lang w:val="es-ES_tradnl"/>
        </w:rPr>
        <w:t>s</w:t>
      </w:r>
      <w:r w:rsidR="00CE7ED0" w:rsidRPr="00CE7ED0">
        <w:rPr>
          <w:rFonts w:ascii="Times New Roman" w:hAnsi="Times New Roman" w:cs="Times New Roman"/>
          <w:sz w:val="24"/>
          <w:szCs w:val="24"/>
          <w:lang w:val="es-ES_tradnl"/>
        </w:rPr>
        <w:t xml:space="preserve"> violaciones de los derechos de autor después de que se hayan producido y hayan sido notificadas de manera suficientemente fundamentada por los titulares de los derechos (que ya se derivan del marco legislativo y de la jurisprudencia anterior a la que nos referimos); b) al recibir dicha notificación o cuando los titulares de los derechos les hayan proporcionado la información relevante y necesaria antes de que ocurra una infracción de derechos de autor, realicen, </w:t>
      </w:r>
      <w:r w:rsidR="004E7A9C">
        <w:rPr>
          <w:rFonts w:ascii="Times New Roman" w:hAnsi="Times New Roman" w:cs="Times New Roman"/>
          <w:sz w:val="24"/>
          <w:szCs w:val="24"/>
          <w:lang w:val="es-ES_tradnl"/>
        </w:rPr>
        <w:t>«</w:t>
      </w:r>
      <w:r w:rsidR="00CE7ED0" w:rsidRPr="00CE7ED0">
        <w:rPr>
          <w:rFonts w:ascii="Times New Roman" w:hAnsi="Times New Roman" w:cs="Times New Roman"/>
          <w:sz w:val="24"/>
          <w:szCs w:val="24"/>
          <w:lang w:val="es-ES_tradnl"/>
        </w:rPr>
        <w:t>de acuerdo con los altos estándares de diligencia profesional en la industria, sus mejores esfuerzos</w:t>
      </w:r>
      <w:r w:rsidR="004E7A9C">
        <w:rPr>
          <w:rFonts w:ascii="Times New Roman" w:hAnsi="Times New Roman" w:cs="Times New Roman"/>
          <w:sz w:val="24"/>
          <w:szCs w:val="24"/>
          <w:lang w:val="es-ES_tradnl"/>
        </w:rPr>
        <w:t>»</w:t>
      </w:r>
      <w:r w:rsidR="00CE7ED0" w:rsidRPr="00CE7ED0">
        <w:rPr>
          <w:rFonts w:ascii="Times New Roman" w:hAnsi="Times New Roman" w:cs="Times New Roman"/>
          <w:sz w:val="24"/>
          <w:szCs w:val="24"/>
          <w:lang w:val="es-ES_tradnl"/>
        </w:rPr>
        <w:t xml:space="preserve">, para prevenir estas violaciones </w:t>
      </w:r>
      <w:r w:rsidR="004E7A9C">
        <w:rPr>
          <w:rFonts w:ascii="Times New Roman" w:hAnsi="Times New Roman" w:cs="Times New Roman"/>
          <w:sz w:val="24"/>
          <w:szCs w:val="24"/>
          <w:lang w:val="es-ES_tradnl"/>
        </w:rPr>
        <w:t xml:space="preserve">de </w:t>
      </w:r>
      <w:r w:rsidR="00CE7ED0" w:rsidRPr="00CE7ED0">
        <w:rPr>
          <w:rFonts w:ascii="Times New Roman" w:hAnsi="Times New Roman" w:cs="Times New Roman"/>
          <w:sz w:val="24"/>
          <w:szCs w:val="24"/>
          <w:lang w:val="es-ES_tradnl"/>
        </w:rPr>
        <w:t>ocurrir (una acción preventiva destinada a evitar la disponibilidad del contenido en cuestión) o volver a ocurrir (evitar cargas futuras). Es decir, los prestadores de servicios deberán realizar un control previo de los contenidos subidos por los usuarios (habiendo intervenido los titulares de los derechos), que requier</w:t>
      </w:r>
      <w:r w:rsidR="004E7A9C">
        <w:rPr>
          <w:rFonts w:ascii="Times New Roman" w:hAnsi="Times New Roman" w:cs="Times New Roman"/>
          <w:sz w:val="24"/>
          <w:szCs w:val="24"/>
          <w:lang w:val="es-ES_tradnl"/>
        </w:rPr>
        <w:t>e</w:t>
      </w:r>
      <w:r w:rsidR="00CE7ED0" w:rsidRPr="00CE7ED0">
        <w:rPr>
          <w:rFonts w:ascii="Times New Roman" w:hAnsi="Times New Roman" w:cs="Times New Roman"/>
          <w:sz w:val="24"/>
          <w:szCs w:val="24"/>
          <w:lang w:val="es-ES_tradnl"/>
        </w:rPr>
        <w:t xml:space="preserve"> (a falta de otras alternativas y en cumplimiento de lo dispuesto en el apartado 5 del artículo 17) de los proveedores el uso de herramientas de filtrado y reconocimiento automático.</w:t>
      </w:r>
    </w:p>
    <w:p w14:paraId="163C3B0B" w14:textId="7F2CCE84" w:rsidR="008103F3" w:rsidRDefault="00CE7ED0" w:rsidP="00757F8A">
      <w:pPr>
        <w:spacing w:after="0" w:line="360" w:lineRule="auto"/>
        <w:jc w:val="both"/>
        <w:rPr>
          <w:rFonts w:ascii="Times New Roman" w:hAnsi="Times New Roman" w:cs="Times New Roman"/>
          <w:sz w:val="24"/>
          <w:szCs w:val="24"/>
          <w:lang w:val="es-ES_tradnl"/>
        </w:rPr>
      </w:pPr>
      <w:r w:rsidRPr="00CE7ED0">
        <w:rPr>
          <w:rFonts w:ascii="Times New Roman" w:hAnsi="Times New Roman" w:cs="Times New Roman"/>
          <w:sz w:val="24"/>
          <w:szCs w:val="24"/>
          <w:lang w:val="es-ES_tradnl"/>
        </w:rPr>
        <w:t xml:space="preserve">El tribunal tuvo entonces que considerar si la restricción al ejercicio del derecho a la libertad de expresión e información estaba justificada. Entendió – además de que la restricción tiene el respaldo legal antes mencionado (restricción que se deriva de las obligaciones impuestas a los proveedores de servicios) – que no existe una restricción desproporcionada y es una restricción necesaria para responder a la necesidad de proteger la propiedad intelectual (también aquí un derecho fundamental cuya protección – para la realización de un </w:t>
      </w:r>
      <w:r>
        <w:rPr>
          <w:rFonts w:ascii="Times New Roman" w:hAnsi="Times New Roman" w:cs="Times New Roman"/>
          <w:sz w:val="24"/>
          <w:szCs w:val="24"/>
          <w:lang w:val="es-ES_tradnl"/>
        </w:rPr>
        <w:t>«</w:t>
      </w:r>
      <w:r w:rsidRPr="00CE7ED0">
        <w:rPr>
          <w:rFonts w:ascii="Times New Roman" w:hAnsi="Times New Roman" w:cs="Times New Roman"/>
          <w:sz w:val="24"/>
          <w:szCs w:val="24"/>
          <w:lang w:val="es-ES_tradnl"/>
        </w:rPr>
        <w:t>mercado de derechos de autor justo y que funcione bien</w:t>
      </w:r>
      <w:r>
        <w:rPr>
          <w:rFonts w:ascii="Times New Roman" w:hAnsi="Times New Roman" w:cs="Times New Roman"/>
          <w:sz w:val="24"/>
          <w:szCs w:val="24"/>
          <w:lang w:val="es-ES_tradnl"/>
        </w:rPr>
        <w:t>»</w:t>
      </w:r>
      <w:r w:rsidRPr="00CE7ED0">
        <w:rPr>
          <w:rFonts w:ascii="Times New Roman" w:hAnsi="Times New Roman" w:cs="Times New Roman"/>
          <w:sz w:val="24"/>
          <w:szCs w:val="24"/>
          <w:lang w:val="es-ES_tradnl"/>
        </w:rPr>
        <w:t xml:space="preserve"> – requiere una compresión del derecho a la libertad de información y expresión). Una restricción </w:t>
      </w:r>
      <w:r w:rsidRPr="00CE7ED0">
        <w:rPr>
          <w:rFonts w:ascii="Times New Roman" w:hAnsi="Times New Roman" w:cs="Times New Roman"/>
          <w:sz w:val="24"/>
          <w:szCs w:val="24"/>
          <w:lang w:val="es-ES_tradnl"/>
        </w:rPr>
        <w:lastRenderedPageBreak/>
        <w:t xml:space="preserve">esencial para satisfacer la necesidad de proteger los derechos de propiedad intelectual y reconoció que no existían mecanismos alternativos efectivos a los impuestos por el artículo 17, </w:t>
      </w:r>
      <w:r w:rsidR="00F4363D">
        <w:rPr>
          <w:rFonts w:ascii="Times New Roman" w:hAnsi="Times New Roman" w:cs="Times New Roman"/>
          <w:sz w:val="24"/>
          <w:szCs w:val="24"/>
          <w:lang w:val="es-ES_tradnl"/>
        </w:rPr>
        <w:t>apartado</w:t>
      </w:r>
      <w:r w:rsidRPr="00CE7ED0">
        <w:rPr>
          <w:rFonts w:ascii="Times New Roman" w:hAnsi="Times New Roman" w:cs="Times New Roman"/>
          <w:sz w:val="24"/>
          <w:szCs w:val="24"/>
          <w:lang w:val="es-ES_tradnl"/>
        </w:rPr>
        <w:t xml:space="preserve"> 4. Además, </w:t>
      </w:r>
      <w:r w:rsidR="00B865FE">
        <w:rPr>
          <w:rFonts w:ascii="Times New Roman" w:hAnsi="Times New Roman" w:cs="Times New Roman"/>
          <w:sz w:val="24"/>
          <w:szCs w:val="24"/>
          <w:lang w:val="es-ES_tradnl"/>
        </w:rPr>
        <w:t xml:space="preserve">no está dañado </w:t>
      </w:r>
      <w:r w:rsidRPr="00CE7ED0">
        <w:rPr>
          <w:rFonts w:ascii="Times New Roman" w:hAnsi="Times New Roman" w:cs="Times New Roman"/>
          <w:sz w:val="24"/>
          <w:szCs w:val="24"/>
          <w:lang w:val="es-ES_tradnl"/>
        </w:rPr>
        <w:t>el «contenido esencial del derecho a la libertad de expresión e información de los usuarios de Internet</w:t>
      </w:r>
      <w:r>
        <w:rPr>
          <w:rFonts w:ascii="Times New Roman" w:hAnsi="Times New Roman" w:cs="Times New Roman"/>
          <w:sz w:val="24"/>
          <w:szCs w:val="24"/>
          <w:lang w:val="es-ES_tradnl"/>
        </w:rPr>
        <w:t>».</w:t>
      </w:r>
      <w:r w:rsidRPr="00CE7ED0">
        <w:rPr>
          <w:lang w:val="es-ES_tradnl"/>
        </w:rPr>
        <w:t xml:space="preserve"> </w:t>
      </w:r>
      <w:r w:rsidRPr="00CE7ED0">
        <w:rPr>
          <w:rFonts w:ascii="Times New Roman" w:hAnsi="Times New Roman" w:cs="Times New Roman"/>
          <w:sz w:val="24"/>
          <w:szCs w:val="24"/>
          <w:lang w:val="es-ES_tradnl"/>
        </w:rPr>
        <w:t xml:space="preserve">El legislador recortó el alcance de la restricción a lo estrictamente adecuado (la medida menos restrictiva) y necesario para proteger el derecho de propiedad intelectual en un justo equilibrio que no afecte el contenido o núcleo esencial de cada uno de los derechos en conflicto (en el palabras del tribunal, y teniendo en cuenta lo dispuesto en los </w:t>
      </w:r>
      <w:r w:rsidR="001B2528">
        <w:rPr>
          <w:rFonts w:ascii="Times New Roman" w:hAnsi="Times New Roman" w:cs="Times New Roman"/>
          <w:sz w:val="24"/>
          <w:szCs w:val="24"/>
          <w:lang w:val="es-ES_tradnl"/>
        </w:rPr>
        <w:t>apartados</w:t>
      </w:r>
      <w:r w:rsidRPr="00CE7ED0">
        <w:rPr>
          <w:rFonts w:ascii="Times New Roman" w:hAnsi="Times New Roman" w:cs="Times New Roman"/>
          <w:sz w:val="24"/>
          <w:szCs w:val="24"/>
          <w:lang w:val="es-ES_tradnl"/>
        </w:rPr>
        <w:t xml:space="preserve"> 7 y 9 del artículo 17, los usos legítimos de los derechos de autor o derechos </w:t>
      </w:r>
      <w:r w:rsidR="00054FB4">
        <w:rPr>
          <w:rFonts w:ascii="Times New Roman" w:hAnsi="Times New Roman" w:cs="Times New Roman"/>
          <w:sz w:val="24"/>
          <w:szCs w:val="24"/>
          <w:lang w:val="es-ES_tradnl"/>
        </w:rPr>
        <w:t>afines</w:t>
      </w:r>
      <w:r w:rsidRPr="00CE7ED0">
        <w:rPr>
          <w:rFonts w:ascii="Times New Roman" w:hAnsi="Times New Roman" w:cs="Times New Roman"/>
          <w:sz w:val="24"/>
          <w:szCs w:val="24"/>
          <w:lang w:val="es-ES_tradnl"/>
        </w:rPr>
        <w:t xml:space="preserve"> o de cualquier contenido lícito nunca pueden ser vulnerados</w:t>
      </w:r>
      <w:r w:rsidR="009D578A">
        <w:rPr>
          <w:rFonts w:ascii="Times New Roman" w:hAnsi="Times New Roman" w:cs="Times New Roman"/>
          <w:sz w:val="24"/>
          <w:szCs w:val="24"/>
          <w:lang w:val="es-ES_tradnl"/>
        </w:rPr>
        <w:t xml:space="preserve"> </w:t>
      </w:r>
      <w:r w:rsidRPr="00CE7ED0">
        <w:rPr>
          <w:rFonts w:ascii="Times New Roman" w:hAnsi="Times New Roman" w:cs="Times New Roman"/>
          <w:sz w:val="24"/>
          <w:szCs w:val="24"/>
          <w:lang w:val="es-ES_tradnl"/>
        </w:rPr>
        <w:t xml:space="preserve">- de ahí que, a nuestro juicio, que ante la duda, prevalece la libertad de expresión </w:t>
      </w:r>
      <w:r w:rsidR="009D578A">
        <w:rPr>
          <w:rFonts w:ascii="Times New Roman" w:hAnsi="Times New Roman" w:cs="Times New Roman"/>
          <w:sz w:val="24"/>
          <w:szCs w:val="24"/>
          <w:lang w:val="es-ES_tradnl"/>
        </w:rPr>
        <w:t xml:space="preserve">y de </w:t>
      </w:r>
      <w:r w:rsidRPr="00CE7ED0">
        <w:rPr>
          <w:rFonts w:ascii="Times New Roman" w:hAnsi="Times New Roman" w:cs="Times New Roman"/>
          <w:sz w:val="24"/>
          <w:szCs w:val="24"/>
          <w:lang w:val="es-ES_tradnl"/>
        </w:rPr>
        <w:t xml:space="preserve">información. El tribunal enumeró las razones de esta conclusión: a) las medidas (herramientas de filtrado y reconocimiento automático) que pueden adoptar los proveedores de servicios de intercambio de contenidos en línea tienen límites (aquí debe tenerse en cuenta lo dispuesto en el artículo 17, </w:t>
      </w:r>
      <w:r w:rsidR="001B2528">
        <w:rPr>
          <w:rFonts w:ascii="Times New Roman" w:hAnsi="Times New Roman" w:cs="Times New Roman"/>
          <w:sz w:val="24"/>
          <w:szCs w:val="24"/>
          <w:lang w:val="es-ES_tradnl"/>
        </w:rPr>
        <w:t>apartado</w:t>
      </w:r>
      <w:r w:rsidRPr="00CE7ED0">
        <w:rPr>
          <w:rFonts w:ascii="Times New Roman" w:hAnsi="Times New Roman" w:cs="Times New Roman"/>
          <w:sz w:val="24"/>
          <w:szCs w:val="24"/>
          <w:lang w:val="es-ES_tradnl"/>
        </w:rPr>
        <w:t xml:space="preserve"> 5, de la Directiva, que indica, no de forma exhaustiva, algunos elementos que deben ser considerados bajo el principio de proporcionalidad), de entrada no pueden impedir la carga y difusión de contenidos lícitos;</w:t>
      </w:r>
      <w:r w:rsidRPr="00CE7ED0">
        <w:rPr>
          <w:lang w:val="es-ES_tradnl"/>
        </w:rPr>
        <w:t xml:space="preserve"> </w:t>
      </w:r>
      <w:r w:rsidRPr="00CE7ED0">
        <w:rPr>
          <w:rFonts w:ascii="Times New Roman" w:hAnsi="Times New Roman" w:cs="Times New Roman"/>
          <w:sz w:val="24"/>
          <w:szCs w:val="24"/>
          <w:lang w:val="es-ES_tradnl"/>
        </w:rPr>
        <w:t xml:space="preserve">b) dichas medidas no pueden impedir la carga y puesta a disposición de obras u otro material protegido por las excepciones y limitaciones (incluidas citas, críticas, análisis, caricaturas, parodias o pastiches) a los derechos de autor y derechos afines consagrados en el Derecho de la Unión Europea (artículo 17, </w:t>
      </w:r>
      <w:r w:rsidR="00F4363D">
        <w:rPr>
          <w:rFonts w:ascii="Times New Roman" w:hAnsi="Times New Roman" w:cs="Times New Roman"/>
          <w:sz w:val="24"/>
          <w:szCs w:val="24"/>
          <w:lang w:val="es-ES_tradnl"/>
        </w:rPr>
        <w:t>apartado</w:t>
      </w:r>
      <w:r w:rsidRPr="00CE7ED0">
        <w:rPr>
          <w:rFonts w:ascii="Times New Roman" w:hAnsi="Times New Roman" w:cs="Times New Roman"/>
          <w:sz w:val="24"/>
          <w:szCs w:val="24"/>
          <w:lang w:val="es-ES_tradnl"/>
        </w:rPr>
        <w:t xml:space="preserve"> 7, aún debe combinarse con el </w:t>
      </w:r>
      <w:r w:rsidR="00F4363D">
        <w:rPr>
          <w:rFonts w:ascii="Times New Roman" w:hAnsi="Times New Roman" w:cs="Times New Roman"/>
          <w:sz w:val="24"/>
          <w:szCs w:val="24"/>
          <w:lang w:val="es-ES_tradnl"/>
        </w:rPr>
        <w:t>apartado</w:t>
      </w:r>
      <w:r w:rsidRPr="00CE7ED0">
        <w:rPr>
          <w:rFonts w:ascii="Times New Roman" w:hAnsi="Times New Roman" w:cs="Times New Roman"/>
          <w:sz w:val="24"/>
          <w:szCs w:val="24"/>
          <w:lang w:val="es-ES_tradnl"/>
        </w:rPr>
        <w:t xml:space="preserve"> 9, párrafo cuarto, que consagra la obligación de proporcionar información); c) la Directiva consagró un régimen de cooperación entre los titulares de derechos de propiedad intelectual y los proveedores de servicios en virtud del cual estos últimos sólo son responsables </w:t>
      </w:r>
      <w:r>
        <w:rPr>
          <w:rFonts w:ascii="Times New Roman" w:hAnsi="Times New Roman" w:cs="Times New Roman"/>
          <w:sz w:val="24"/>
          <w:szCs w:val="24"/>
          <w:lang w:val="es-ES_tradnl"/>
        </w:rPr>
        <w:t>«</w:t>
      </w:r>
      <w:r w:rsidRPr="00CE7ED0">
        <w:rPr>
          <w:rFonts w:ascii="Times New Roman" w:hAnsi="Times New Roman" w:cs="Times New Roman"/>
          <w:sz w:val="24"/>
          <w:szCs w:val="24"/>
          <w:lang w:val="es-ES_tradnl"/>
        </w:rPr>
        <w:t>si los titulares de los derechos de que se trate les proporcionan la información pertinente y necesaria sobre el contenido de que se trate</w:t>
      </w:r>
      <w:r>
        <w:rPr>
          <w:rFonts w:ascii="Times New Roman" w:hAnsi="Times New Roman" w:cs="Times New Roman"/>
          <w:sz w:val="24"/>
          <w:szCs w:val="24"/>
          <w:lang w:val="es-ES_tradnl"/>
        </w:rPr>
        <w:t>»</w:t>
      </w:r>
      <w:r w:rsidRPr="00CE7ED0">
        <w:rPr>
          <w:rFonts w:ascii="Times New Roman" w:hAnsi="Times New Roman" w:cs="Times New Roman"/>
          <w:sz w:val="24"/>
          <w:szCs w:val="24"/>
          <w:lang w:val="es-ES_tradnl"/>
        </w:rPr>
        <w:t xml:space="preserve"> (la transmisión de esta información es calificada por el tribunal como condición previa, </w:t>
      </w:r>
      <w:r w:rsidRPr="00CE7ED0">
        <w:rPr>
          <w:rFonts w:ascii="Times New Roman" w:hAnsi="Times New Roman" w:cs="Times New Roman"/>
          <w:i/>
          <w:iCs/>
          <w:sz w:val="24"/>
          <w:szCs w:val="24"/>
          <w:lang w:val="es-ES_tradnl"/>
        </w:rPr>
        <w:t xml:space="preserve">id </w:t>
      </w:r>
      <w:proofErr w:type="spellStart"/>
      <w:r w:rsidRPr="00CE7ED0">
        <w:rPr>
          <w:rFonts w:ascii="Times New Roman" w:hAnsi="Times New Roman" w:cs="Times New Roman"/>
          <w:i/>
          <w:iCs/>
          <w:sz w:val="24"/>
          <w:szCs w:val="24"/>
          <w:lang w:val="es-ES_tradnl"/>
        </w:rPr>
        <w:t>est</w:t>
      </w:r>
      <w:proofErr w:type="spellEnd"/>
      <w:r w:rsidRPr="00CE7ED0">
        <w:rPr>
          <w:rFonts w:ascii="Times New Roman" w:hAnsi="Times New Roman" w:cs="Times New Roman"/>
          <w:sz w:val="24"/>
          <w:szCs w:val="24"/>
          <w:lang w:val="es-ES_tradnl"/>
        </w:rPr>
        <w:t xml:space="preserve"> presuposición, para la eventual declaración de responsabilidad de los prestadores de servicios, por lo que, también de esta forma, se favorece la libertad de expresión e información); d) la Directiva no consagra una obligación general de seguimiento; e) los proveedores de servicios no están obligados a impedir la carga y puesta a disposición de contenidos cuyo carácter ilícito requiera </w:t>
      </w:r>
      <w:r>
        <w:rPr>
          <w:rFonts w:ascii="Times New Roman" w:hAnsi="Times New Roman" w:cs="Times New Roman"/>
          <w:sz w:val="24"/>
          <w:szCs w:val="24"/>
          <w:lang w:val="es-ES_tradnl"/>
        </w:rPr>
        <w:t>«</w:t>
      </w:r>
      <w:r w:rsidRPr="00CE7ED0">
        <w:rPr>
          <w:rFonts w:ascii="Times New Roman" w:hAnsi="Times New Roman" w:cs="Times New Roman"/>
          <w:sz w:val="24"/>
          <w:szCs w:val="24"/>
          <w:lang w:val="es-ES_tradnl"/>
        </w:rPr>
        <w:t>una evaluación autónoma del contenido en cuestión</w:t>
      </w:r>
      <w:r>
        <w:rPr>
          <w:rFonts w:ascii="Times New Roman" w:hAnsi="Times New Roman" w:cs="Times New Roman"/>
          <w:sz w:val="24"/>
          <w:szCs w:val="24"/>
          <w:lang w:val="es-ES_tradnl"/>
        </w:rPr>
        <w:t>»</w:t>
      </w:r>
      <w:r w:rsidRPr="00CE7ED0">
        <w:rPr>
          <w:rFonts w:ascii="Times New Roman" w:hAnsi="Times New Roman" w:cs="Times New Roman"/>
          <w:sz w:val="24"/>
          <w:szCs w:val="24"/>
          <w:lang w:val="es-ES_tradnl"/>
        </w:rPr>
        <w:t xml:space="preserve"> (considerando la información proporcionada por los titulares de derechos o posibles excepciones y limitaciones a los derechos de autor);</w:t>
      </w:r>
      <w:r w:rsidR="0048451F" w:rsidRPr="0048451F">
        <w:rPr>
          <w:lang w:val="es-ES_tradnl"/>
        </w:rPr>
        <w:t xml:space="preserve"> </w:t>
      </w:r>
      <w:r w:rsidR="0048451F" w:rsidRPr="0048451F">
        <w:rPr>
          <w:rFonts w:ascii="Times New Roman" w:hAnsi="Times New Roman" w:cs="Times New Roman"/>
          <w:sz w:val="24"/>
          <w:szCs w:val="24"/>
          <w:lang w:val="es-ES_tradnl"/>
        </w:rPr>
        <w:t xml:space="preserve">f) en este caso, incluso puede admitirse que la no disponibilidad de los contenidos sólo puede ocurrir si existe una </w:t>
      </w:r>
      <w:r w:rsidR="0048451F" w:rsidRPr="0048451F">
        <w:rPr>
          <w:rFonts w:ascii="Times New Roman" w:hAnsi="Times New Roman" w:cs="Times New Roman"/>
          <w:sz w:val="24"/>
          <w:szCs w:val="24"/>
          <w:lang w:val="es-ES_tradnl"/>
        </w:rPr>
        <w:lastRenderedPageBreak/>
        <w:t xml:space="preserve">notificación de los titulares de los derechos en cuestión (es decir, se establece un conjunto de derechos y deberes de los prestadores </w:t>
      </w:r>
      <w:r w:rsidR="00B903DC">
        <w:rPr>
          <w:rFonts w:ascii="Times New Roman" w:hAnsi="Times New Roman" w:cs="Times New Roman"/>
          <w:sz w:val="24"/>
          <w:szCs w:val="24"/>
          <w:lang w:val="es-ES_tradnl"/>
        </w:rPr>
        <w:t xml:space="preserve">de servicios </w:t>
      </w:r>
      <w:r w:rsidR="0048451F" w:rsidRPr="0048451F">
        <w:rPr>
          <w:rFonts w:ascii="Times New Roman" w:hAnsi="Times New Roman" w:cs="Times New Roman"/>
          <w:sz w:val="24"/>
          <w:szCs w:val="24"/>
          <w:lang w:val="es-ES_tradnl"/>
        </w:rPr>
        <w:t xml:space="preserve">y </w:t>
      </w:r>
      <w:r w:rsidR="00B903DC">
        <w:rPr>
          <w:rFonts w:ascii="Times New Roman" w:hAnsi="Times New Roman" w:cs="Times New Roman"/>
          <w:sz w:val="24"/>
          <w:szCs w:val="24"/>
          <w:lang w:val="es-ES_tradnl"/>
        </w:rPr>
        <w:t xml:space="preserve">de los </w:t>
      </w:r>
      <w:r w:rsidR="0048451F" w:rsidRPr="0048451F">
        <w:rPr>
          <w:rFonts w:ascii="Times New Roman" w:hAnsi="Times New Roman" w:cs="Times New Roman"/>
          <w:sz w:val="24"/>
          <w:szCs w:val="24"/>
          <w:lang w:val="es-ES_tradnl"/>
        </w:rPr>
        <w:t xml:space="preserve">titulares de derechos de autor o derechos </w:t>
      </w:r>
      <w:r w:rsidR="00054FB4">
        <w:rPr>
          <w:rFonts w:ascii="Times New Roman" w:hAnsi="Times New Roman" w:cs="Times New Roman"/>
          <w:sz w:val="24"/>
          <w:szCs w:val="24"/>
          <w:lang w:val="es-ES_tradnl"/>
        </w:rPr>
        <w:t>afines</w:t>
      </w:r>
      <w:r w:rsidR="0048451F" w:rsidRPr="0048451F">
        <w:rPr>
          <w:rFonts w:ascii="Times New Roman" w:hAnsi="Times New Roman" w:cs="Times New Roman"/>
          <w:sz w:val="24"/>
          <w:szCs w:val="24"/>
          <w:lang w:val="es-ES_tradnl"/>
        </w:rPr>
        <w:t xml:space="preserve"> en la búsqueda de un justo equilibrio) y esta notificación debe contener elementos suficientes para no requerir un examen legal exhaustivo por parte del proveedor del servicio (la carga de probar la ilicitud de los contenidos recae en los titulares de los derechos y debe ser prueba que no genere dudas sobre la licitud o ilicitud de los contenidos para no vulnerar el derecho a la libertad de información y expresión); g) </w:t>
      </w:r>
      <w:r w:rsidR="00585240">
        <w:rPr>
          <w:rFonts w:ascii="Times New Roman" w:hAnsi="Times New Roman" w:cs="Times New Roman"/>
          <w:sz w:val="24"/>
          <w:szCs w:val="24"/>
          <w:lang w:val="es-ES_tradnl"/>
        </w:rPr>
        <w:t>l</w:t>
      </w:r>
      <w:r w:rsidR="0048451F" w:rsidRPr="0048451F">
        <w:rPr>
          <w:rFonts w:ascii="Times New Roman" w:hAnsi="Times New Roman" w:cs="Times New Roman"/>
          <w:sz w:val="24"/>
          <w:szCs w:val="24"/>
          <w:lang w:val="es-ES_tradnl"/>
        </w:rPr>
        <w:t>a Directiva 2019/790 consagra, como hemos visto, varias garantías de carácter procesal (reclamaciones de los usuarios de los servicios; mecanismos de solución extrajudicial; y recursos judiciales efectivos)</w:t>
      </w:r>
      <w:r w:rsidR="00585240">
        <w:rPr>
          <w:rFonts w:ascii="Times New Roman" w:hAnsi="Times New Roman" w:cs="Times New Roman"/>
          <w:sz w:val="24"/>
          <w:szCs w:val="24"/>
          <w:lang w:val="es-ES_tradnl"/>
        </w:rPr>
        <w:t xml:space="preserve"> –</w:t>
      </w:r>
      <w:r w:rsidR="0048451F" w:rsidRPr="0048451F">
        <w:rPr>
          <w:rFonts w:ascii="Times New Roman" w:hAnsi="Times New Roman" w:cs="Times New Roman"/>
          <w:sz w:val="24"/>
          <w:szCs w:val="24"/>
          <w:lang w:val="es-ES_tradnl"/>
        </w:rPr>
        <w:t xml:space="preserve"> garantías tanto más importantes como </w:t>
      </w:r>
      <w:r w:rsidR="00585240">
        <w:rPr>
          <w:rFonts w:ascii="Times New Roman" w:hAnsi="Times New Roman" w:cs="Times New Roman"/>
          <w:sz w:val="24"/>
          <w:szCs w:val="24"/>
          <w:lang w:val="es-ES_tradnl"/>
        </w:rPr>
        <w:t xml:space="preserve">la </w:t>
      </w:r>
      <w:r w:rsidR="0048451F" w:rsidRPr="0048451F">
        <w:rPr>
          <w:rFonts w:ascii="Times New Roman" w:hAnsi="Times New Roman" w:cs="Times New Roman"/>
          <w:sz w:val="24"/>
          <w:szCs w:val="24"/>
          <w:lang w:val="es-ES_tradnl"/>
        </w:rPr>
        <w:t xml:space="preserve">injerencia en los derechos fundamentales deriva de la adopción de mecanismos automatizados de filtrado de contenidos (con la posibilidad inherente de bloquear, </w:t>
      </w:r>
      <w:r w:rsidR="00727313">
        <w:rPr>
          <w:rFonts w:ascii="Times New Roman" w:hAnsi="Times New Roman" w:cs="Times New Roman"/>
          <w:sz w:val="24"/>
          <w:szCs w:val="24"/>
          <w:lang w:val="es-ES_tradnl"/>
        </w:rPr>
        <w:t>«</w:t>
      </w:r>
      <w:r w:rsidR="0048451F" w:rsidRPr="0048451F">
        <w:rPr>
          <w:rFonts w:ascii="Times New Roman" w:hAnsi="Times New Roman" w:cs="Times New Roman"/>
          <w:sz w:val="24"/>
          <w:szCs w:val="24"/>
          <w:lang w:val="es-ES_tradnl"/>
        </w:rPr>
        <w:t>por error o sin motivo, contenidos lícitos</w:t>
      </w:r>
      <w:r w:rsidR="0048451F">
        <w:rPr>
          <w:rFonts w:ascii="Times New Roman" w:hAnsi="Times New Roman" w:cs="Times New Roman"/>
          <w:sz w:val="24"/>
          <w:szCs w:val="24"/>
          <w:lang w:val="es-ES_tradnl"/>
        </w:rPr>
        <w:t>»</w:t>
      </w:r>
      <w:r w:rsidR="0048451F" w:rsidRPr="0048451F">
        <w:rPr>
          <w:rFonts w:ascii="Times New Roman" w:hAnsi="Times New Roman" w:cs="Times New Roman"/>
          <w:sz w:val="24"/>
          <w:szCs w:val="24"/>
          <w:lang w:val="es-ES_tradnl"/>
        </w:rPr>
        <w:t>); h) la Comisión Europea es la encargada de iniciar diálogos entre las partes interesadas con el fin de llegar a «mejores prácticas para la cooperación entre proveedores y titulares de derechos» y emitir directrices sobre la aplicación de este nuevo régimen de protección de los derechos de propiedad intelectual.</w:t>
      </w:r>
    </w:p>
    <w:p w14:paraId="047B4394" w14:textId="7EC799CE" w:rsidR="008103F3" w:rsidRDefault="00EC24A8" w:rsidP="00757F8A">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t>En estos términos, el Tribunal de Justicia concluyó (§ 98) que el artículo 17, en su conjunto, garantiza la observancia del derecho de los usuarios a la libertad de expresión e información, así como el justo equilibrio entre éste, por un lado, y derecho de propiedad intelectual, por el otro. Corresponde ahora a los Estados miembros, al transponer el artículo 17 de la Directiva 2019/790 a su derecho interno, realizar una interpretación conforme a la Carta de los Derechos Fundamentales de la Unión Europea.</w:t>
      </w:r>
    </w:p>
    <w:p w14:paraId="090CA93F" w14:textId="72C9E713" w:rsidR="00EC24A8" w:rsidRDefault="00EC24A8" w:rsidP="00757F8A">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t>Estamos ante una constitucionalización europea de los derechos fundamentales, siendo éste el nivel de referencia para la vigencia del derecho “</w:t>
      </w:r>
      <w:proofErr w:type="spellStart"/>
      <w:r w:rsidRPr="00EC24A8">
        <w:rPr>
          <w:rFonts w:ascii="Times New Roman" w:hAnsi="Times New Roman" w:cs="Times New Roman"/>
          <w:sz w:val="24"/>
          <w:szCs w:val="24"/>
          <w:lang w:val="es-ES_tradnl"/>
        </w:rPr>
        <w:t>infraconstitucional</w:t>
      </w:r>
      <w:proofErr w:type="spellEnd"/>
      <w:r w:rsidRPr="00EC24A8">
        <w:rPr>
          <w:rFonts w:ascii="Times New Roman" w:hAnsi="Times New Roman" w:cs="Times New Roman"/>
          <w:sz w:val="24"/>
          <w:szCs w:val="24"/>
          <w:lang w:val="es-ES_tradnl"/>
        </w:rPr>
        <w:t>” de la Unión Europea y, en consecuencia, del derecho nacional. Parece claro de esta sentencia que la ley nacional que transponga la Directiva será objeto de un profundo examen por parte del TJUE, así como las medidas que los proveedores de servicios de intercambio de contenidos en línea puedan adoptar para cumplir con sus obligaciones. La relación del artículo 17 de la Directiva con la protección constitucional de los derechos fundamentales (promotores de la creatividad) no acabará con esta sentencia del TJUE.</w:t>
      </w:r>
    </w:p>
    <w:p w14:paraId="40DDBE1E" w14:textId="77777777" w:rsidR="0017154B" w:rsidRDefault="0017154B" w:rsidP="00757F8A">
      <w:pPr>
        <w:spacing w:after="0" w:line="360" w:lineRule="auto"/>
        <w:jc w:val="both"/>
        <w:rPr>
          <w:rFonts w:ascii="Times New Roman" w:hAnsi="Times New Roman" w:cs="Times New Roman"/>
          <w:sz w:val="24"/>
          <w:szCs w:val="24"/>
          <w:lang w:val="es-ES_tradnl"/>
        </w:rPr>
      </w:pPr>
    </w:p>
    <w:p w14:paraId="2B02EF5A" w14:textId="4DBF599D" w:rsidR="00875AB8" w:rsidRPr="0017154B" w:rsidRDefault="0017154B" w:rsidP="00757F8A">
      <w:pPr>
        <w:spacing w:after="0" w:line="360" w:lineRule="auto"/>
        <w:jc w:val="both"/>
        <w:rPr>
          <w:rFonts w:ascii="Times New Roman" w:hAnsi="Times New Roman" w:cs="Times New Roman"/>
          <w:b/>
          <w:bCs/>
          <w:sz w:val="24"/>
          <w:szCs w:val="24"/>
          <w:lang w:val="es-ES_tradnl"/>
        </w:rPr>
      </w:pPr>
      <w:r w:rsidRPr="0017154B">
        <w:rPr>
          <w:rFonts w:ascii="Times New Roman" w:hAnsi="Times New Roman" w:cs="Times New Roman"/>
          <w:b/>
          <w:bCs/>
          <w:sz w:val="24"/>
          <w:szCs w:val="24"/>
          <w:lang w:val="es-ES_tradnl"/>
        </w:rPr>
        <w:t>4. Conclusión.</w:t>
      </w:r>
    </w:p>
    <w:p w14:paraId="1DB5B8C1" w14:textId="77777777" w:rsidR="00875AB8" w:rsidRDefault="00875AB8" w:rsidP="00757F8A">
      <w:pPr>
        <w:spacing w:after="0" w:line="360" w:lineRule="auto"/>
        <w:jc w:val="both"/>
        <w:rPr>
          <w:rFonts w:ascii="Times New Roman" w:hAnsi="Times New Roman" w:cs="Times New Roman"/>
          <w:sz w:val="24"/>
          <w:szCs w:val="24"/>
          <w:lang w:val="es-ES_tradnl"/>
        </w:rPr>
      </w:pPr>
    </w:p>
    <w:p w14:paraId="7612054C" w14:textId="77777777" w:rsidR="00EC24A8" w:rsidRPr="00EC24A8" w:rsidRDefault="00EC24A8" w:rsidP="00EC24A8">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lastRenderedPageBreak/>
        <w:t>1. La Directiva 2000/31/CE (relativa al comercio electrónico) consagró la regla, con condiciones, de la irresponsabilidad de los proveedores de servicios intermediarios (en los casos de mero conducto, almacenamiento en caché y hospedaje) y prohibió una obligación general de vigilancia;</w:t>
      </w:r>
    </w:p>
    <w:p w14:paraId="6CE2DC32" w14:textId="7B77EE4A" w:rsidR="00875AB8" w:rsidRDefault="00EC24A8" w:rsidP="00EC24A8">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t xml:space="preserve">2. Llegó la Directiva 2019/790/UE (relativa a los derechos de autor y derechos afines), relativa a los proveedores de servicios de intercambio de contenidos (una limitación subjetiva de su ámbito de aplicación que debe interpretarse en conjunción con el </w:t>
      </w:r>
      <w:r w:rsidR="00402B3B" w:rsidRPr="00EC24A8">
        <w:rPr>
          <w:rFonts w:ascii="Times New Roman" w:hAnsi="Times New Roman" w:cs="Times New Roman"/>
          <w:sz w:val="24"/>
          <w:szCs w:val="24"/>
          <w:lang w:val="es-ES_tradnl"/>
        </w:rPr>
        <w:t>art</w:t>
      </w:r>
      <w:r w:rsidR="00402B3B">
        <w:rPr>
          <w:rFonts w:ascii="Times New Roman" w:hAnsi="Times New Roman" w:cs="Times New Roman"/>
          <w:sz w:val="24"/>
          <w:szCs w:val="24"/>
          <w:lang w:val="es-ES_tradnl"/>
        </w:rPr>
        <w:t>ículo</w:t>
      </w:r>
      <w:r w:rsidRPr="00EC24A8">
        <w:rPr>
          <w:rFonts w:ascii="Times New Roman" w:hAnsi="Times New Roman" w:cs="Times New Roman"/>
          <w:sz w:val="24"/>
          <w:szCs w:val="24"/>
          <w:lang w:val="es-ES_tradnl"/>
        </w:rPr>
        <w:t xml:space="preserve"> 2</w:t>
      </w:r>
      <w:r>
        <w:rPr>
          <w:rFonts w:ascii="Times New Roman" w:hAnsi="Times New Roman" w:cs="Times New Roman"/>
          <w:sz w:val="24"/>
          <w:szCs w:val="24"/>
          <w:lang w:val="es-ES_tradnl"/>
        </w:rPr>
        <w:t>,</w:t>
      </w:r>
      <w:r w:rsidRPr="00EC24A8">
        <w:rPr>
          <w:rFonts w:ascii="Times New Roman" w:hAnsi="Times New Roman" w:cs="Times New Roman"/>
          <w:sz w:val="24"/>
          <w:szCs w:val="24"/>
          <w:lang w:val="es-ES_tradnl"/>
        </w:rPr>
        <w:t xml:space="preserve"> apartado 6, con el considerando 62), consagran la regla de su responsabilidad </w:t>
      </w:r>
      <w:r>
        <w:rPr>
          <w:rFonts w:ascii="Times New Roman" w:hAnsi="Times New Roman" w:cs="Times New Roman"/>
          <w:sz w:val="24"/>
          <w:szCs w:val="24"/>
          <w:lang w:val="es-ES_tradnl"/>
        </w:rPr>
        <w:t>«</w:t>
      </w:r>
      <w:r w:rsidRPr="00EC24A8">
        <w:rPr>
          <w:rFonts w:ascii="Times New Roman" w:hAnsi="Times New Roman" w:cs="Times New Roman"/>
          <w:sz w:val="24"/>
          <w:szCs w:val="24"/>
          <w:lang w:val="es-ES_tradnl"/>
        </w:rPr>
        <w:t>cuando ofrezcan al público acceso a obras u otros materiales protegidos por derechos de autor subidos por sus usuarios</w:t>
      </w:r>
      <w:r>
        <w:rPr>
          <w:rFonts w:ascii="Times New Roman" w:hAnsi="Times New Roman" w:cs="Times New Roman"/>
          <w:sz w:val="24"/>
          <w:szCs w:val="24"/>
          <w:lang w:val="es-ES_tradnl"/>
        </w:rPr>
        <w:t>»</w:t>
      </w:r>
      <w:r w:rsidRPr="00EC24A8">
        <w:rPr>
          <w:rFonts w:ascii="Times New Roman" w:hAnsi="Times New Roman" w:cs="Times New Roman"/>
          <w:sz w:val="24"/>
          <w:szCs w:val="24"/>
          <w:lang w:val="es-ES_tradnl"/>
        </w:rPr>
        <w:t>; para este propósito:</w:t>
      </w:r>
    </w:p>
    <w:p w14:paraId="1AA1DF80" w14:textId="515382C1" w:rsidR="00EC24A8" w:rsidRPr="00EC24A8" w:rsidRDefault="00EC24A8" w:rsidP="00EC24A8">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t xml:space="preserve">a) dicha actividad fue calificada como </w:t>
      </w:r>
      <w:r>
        <w:rPr>
          <w:rFonts w:ascii="Times New Roman" w:hAnsi="Times New Roman" w:cs="Times New Roman"/>
          <w:sz w:val="24"/>
          <w:szCs w:val="24"/>
          <w:lang w:val="es-ES_tradnl"/>
        </w:rPr>
        <w:t>«</w:t>
      </w:r>
      <w:r w:rsidRPr="00EC24A8">
        <w:rPr>
          <w:rFonts w:ascii="Times New Roman" w:hAnsi="Times New Roman" w:cs="Times New Roman"/>
          <w:sz w:val="24"/>
          <w:szCs w:val="24"/>
          <w:lang w:val="es-ES_tradnl"/>
        </w:rPr>
        <w:t>un acto de comunicación al público o de puesta a disposición del público</w:t>
      </w:r>
      <w:r>
        <w:rPr>
          <w:rFonts w:ascii="Times New Roman" w:hAnsi="Times New Roman" w:cs="Times New Roman"/>
          <w:sz w:val="24"/>
          <w:szCs w:val="24"/>
          <w:lang w:val="es-ES_tradnl"/>
        </w:rPr>
        <w:t>»</w:t>
      </w:r>
      <w:r w:rsidRPr="00EC24A8">
        <w:rPr>
          <w:rFonts w:ascii="Times New Roman" w:hAnsi="Times New Roman" w:cs="Times New Roman"/>
          <w:sz w:val="24"/>
          <w:szCs w:val="24"/>
          <w:lang w:val="es-ES_tradnl"/>
        </w:rPr>
        <w:t>;</w:t>
      </w:r>
    </w:p>
    <w:p w14:paraId="4F07FE9A" w14:textId="77777777" w:rsidR="00EC24A8" w:rsidRPr="00EC24A8" w:rsidRDefault="00EC24A8" w:rsidP="00EC24A8">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t>b) Como resultado, se ha vuelto obligatorio para dichos proveedores de servicios de intercambio de contenido en línea obtener la autorización de los titulares de derechos;</w:t>
      </w:r>
    </w:p>
    <w:p w14:paraId="00BF3044" w14:textId="72AA81FB" w:rsidR="00EC24A8" w:rsidRPr="00EC24A8" w:rsidRDefault="00EC24A8" w:rsidP="00EC24A8">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t xml:space="preserve">c) En ausencia de esta autorización, los proveedores de servicios para compartir contenidos en línea son responsables de actos no autorizados de comunicación al público, incluida la puesta a disposición del público, obras protegidas por derechos de autor y otro material protegido, a menos que cumplan con las condiciones establecidas en el </w:t>
      </w:r>
      <w:r w:rsidR="001B2528">
        <w:rPr>
          <w:rFonts w:ascii="Times New Roman" w:hAnsi="Times New Roman" w:cs="Times New Roman"/>
          <w:sz w:val="24"/>
          <w:szCs w:val="24"/>
          <w:lang w:val="es-ES_tradnl"/>
        </w:rPr>
        <w:t>apartado</w:t>
      </w:r>
      <w:r w:rsidRPr="00EC24A8">
        <w:rPr>
          <w:rFonts w:ascii="Times New Roman" w:hAnsi="Times New Roman" w:cs="Times New Roman"/>
          <w:sz w:val="24"/>
          <w:szCs w:val="24"/>
          <w:lang w:val="es-ES_tradnl"/>
        </w:rPr>
        <w:t xml:space="preserve"> 4 del </w:t>
      </w:r>
      <w:r w:rsidR="00402B3B" w:rsidRPr="00EC24A8">
        <w:rPr>
          <w:rFonts w:ascii="Times New Roman" w:hAnsi="Times New Roman" w:cs="Times New Roman"/>
          <w:sz w:val="24"/>
          <w:szCs w:val="24"/>
          <w:lang w:val="es-ES_tradnl"/>
        </w:rPr>
        <w:t>art</w:t>
      </w:r>
      <w:r w:rsidR="00402B3B">
        <w:rPr>
          <w:rFonts w:ascii="Times New Roman" w:hAnsi="Times New Roman" w:cs="Times New Roman"/>
          <w:sz w:val="24"/>
          <w:szCs w:val="24"/>
          <w:lang w:val="es-ES_tradnl"/>
        </w:rPr>
        <w:t>ículo</w:t>
      </w:r>
      <w:r w:rsidRPr="00EC24A8">
        <w:rPr>
          <w:rFonts w:ascii="Times New Roman" w:hAnsi="Times New Roman" w:cs="Times New Roman"/>
          <w:sz w:val="24"/>
          <w:szCs w:val="24"/>
          <w:lang w:val="es-ES_tradnl"/>
        </w:rPr>
        <w:t xml:space="preserve"> 17;</w:t>
      </w:r>
    </w:p>
    <w:p w14:paraId="0BCD8B78" w14:textId="7761A28D" w:rsidR="00DE3ABB" w:rsidRDefault="00EC24A8" w:rsidP="00EC24A8">
      <w:pPr>
        <w:spacing w:after="0" w:line="360" w:lineRule="auto"/>
        <w:jc w:val="both"/>
        <w:rPr>
          <w:rFonts w:ascii="Times New Roman" w:hAnsi="Times New Roman" w:cs="Times New Roman"/>
          <w:sz w:val="24"/>
          <w:szCs w:val="24"/>
          <w:lang w:val="es-ES_tradnl"/>
        </w:rPr>
      </w:pPr>
      <w:r w:rsidRPr="00EC24A8">
        <w:rPr>
          <w:rFonts w:ascii="Times New Roman" w:hAnsi="Times New Roman" w:cs="Times New Roman"/>
          <w:sz w:val="24"/>
          <w:szCs w:val="24"/>
          <w:lang w:val="es-ES_tradnl"/>
        </w:rPr>
        <w:t xml:space="preserve">d) el </w:t>
      </w:r>
      <w:r w:rsidR="001B2528">
        <w:rPr>
          <w:rFonts w:ascii="Times New Roman" w:hAnsi="Times New Roman" w:cs="Times New Roman"/>
          <w:sz w:val="24"/>
          <w:szCs w:val="24"/>
          <w:lang w:val="es-ES_tradnl"/>
        </w:rPr>
        <w:t>apartado</w:t>
      </w:r>
      <w:r w:rsidRPr="00EC24A8">
        <w:rPr>
          <w:rFonts w:ascii="Times New Roman" w:hAnsi="Times New Roman" w:cs="Times New Roman"/>
          <w:sz w:val="24"/>
          <w:szCs w:val="24"/>
          <w:lang w:val="es-ES_tradnl"/>
        </w:rPr>
        <w:t xml:space="preserve"> 4 del </w:t>
      </w:r>
      <w:r w:rsidR="00402B3B" w:rsidRPr="00EC24A8">
        <w:rPr>
          <w:rFonts w:ascii="Times New Roman" w:hAnsi="Times New Roman" w:cs="Times New Roman"/>
          <w:sz w:val="24"/>
          <w:szCs w:val="24"/>
          <w:lang w:val="es-ES_tradnl"/>
        </w:rPr>
        <w:t>art</w:t>
      </w:r>
      <w:r w:rsidR="00402B3B">
        <w:rPr>
          <w:rFonts w:ascii="Times New Roman" w:hAnsi="Times New Roman" w:cs="Times New Roman"/>
          <w:sz w:val="24"/>
          <w:szCs w:val="24"/>
          <w:lang w:val="es-ES_tradnl"/>
        </w:rPr>
        <w:t>ículo</w:t>
      </w:r>
      <w:r w:rsidRPr="00EC24A8">
        <w:rPr>
          <w:rFonts w:ascii="Times New Roman" w:hAnsi="Times New Roman" w:cs="Times New Roman"/>
          <w:sz w:val="24"/>
          <w:szCs w:val="24"/>
          <w:lang w:val="es-ES_tradnl"/>
        </w:rPr>
        <w:t xml:space="preserve"> 17 se ha interpretado como una imposición, de hecho, de la adopción de tecnologías de filtrado automático de contenidos.</w:t>
      </w:r>
    </w:p>
    <w:p w14:paraId="3DC2A81B" w14:textId="2C07C483" w:rsidR="00DE3ABB" w:rsidRDefault="007F7351" w:rsidP="00757F8A">
      <w:pPr>
        <w:spacing w:after="0" w:line="360" w:lineRule="auto"/>
        <w:jc w:val="both"/>
        <w:rPr>
          <w:rFonts w:ascii="Times New Roman" w:hAnsi="Times New Roman" w:cs="Times New Roman"/>
          <w:sz w:val="24"/>
          <w:szCs w:val="24"/>
          <w:lang w:val="es-ES_tradnl"/>
        </w:rPr>
      </w:pPr>
      <w:r w:rsidRPr="007F7351">
        <w:rPr>
          <w:rFonts w:ascii="Times New Roman" w:hAnsi="Times New Roman" w:cs="Times New Roman"/>
          <w:sz w:val="24"/>
          <w:szCs w:val="24"/>
          <w:lang w:val="es-ES_tradnl"/>
        </w:rPr>
        <w:t>3. Queda por determinar si la adopción de tales tecnologías de filtrado automático de contenidos cumple con el principio de proporcionalidad, no se traduce en una obligación general de vigilancia y si no vulnera derechos fundamentales (libertad de expresión, libertad de información, derecho a la privacidad, la libertad de</w:t>
      </w:r>
      <w:r>
        <w:rPr>
          <w:rFonts w:ascii="Times New Roman" w:hAnsi="Times New Roman" w:cs="Times New Roman"/>
          <w:sz w:val="24"/>
          <w:szCs w:val="24"/>
          <w:lang w:val="es-ES_tradnl"/>
        </w:rPr>
        <w:t xml:space="preserve"> empresa).</w:t>
      </w:r>
      <w:r w:rsidRPr="007F7351">
        <w:rPr>
          <w:lang w:val="es-ES_tradnl"/>
        </w:rPr>
        <w:t xml:space="preserve"> </w:t>
      </w:r>
      <w:r w:rsidRPr="007F7351">
        <w:rPr>
          <w:rFonts w:ascii="Times New Roman" w:hAnsi="Times New Roman" w:cs="Times New Roman"/>
          <w:sz w:val="24"/>
          <w:szCs w:val="24"/>
          <w:lang w:val="es-ES_tradnl"/>
        </w:rPr>
        <w:t xml:space="preserve">Tanto el legislador europeo como el legislador nacional están sujetos al respeto de la Carta. La Directiva busca dar respuesta a estos requisitos </w:t>
      </w:r>
      <w:r w:rsidR="00FA1F88" w:rsidRPr="007F7351">
        <w:rPr>
          <w:rFonts w:ascii="Times New Roman" w:hAnsi="Times New Roman" w:cs="Times New Roman"/>
          <w:sz w:val="24"/>
          <w:szCs w:val="24"/>
          <w:lang w:val="es-ES_tradnl"/>
        </w:rPr>
        <w:t>a través</w:t>
      </w:r>
      <w:r w:rsidRPr="007F7351">
        <w:rPr>
          <w:rFonts w:ascii="Times New Roman" w:hAnsi="Times New Roman" w:cs="Times New Roman"/>
          <w:sz w:val="24"/>
          <w:szCs w:val="24"/>
          <w:lang w:val="es-ES_tradnl"/>
        </w:rPr>
        <w:t xml:space="preserve"> de un conjunto de garantías (de naturaleza sustantiva y procesal), en particular:</w:t>
      </w:r>
    </w:p>
    <w:p w14:paraId="0B95FD49" w14:textId="6A9F3BB9" w:rsidR="006F3C4B" w:rsidRPr="006F3C4B" w:rsidRDefault="006F3C4B" w:rsidP="006F3C4B">
      <w:pPr>
        <w:spacing w:after="0" w:line="360" w:lineRule="auto"/>
        <w:jc w:val="both"/>
        <w:rPr>
          <w:rFonts w:ascii="Times New Roman" w:hAnsi="Times New Roman" w:cs="Times New Roman"/>
          <w:sz w:val="24"/>
          <w:szCs w:val="24"/>
          <w:lang w:val="es-ES_tradnl"/>
        </w:rPr>
      </w:pPr>
      <w:r w:rsidRPr="006F3C4B">
        <w:rPr>
          <w:rFonts w:ascii="Times New Roman" w:hAnsi="Times New Roman" w:cs="Times New Roman"/>
          <w:sz w:val="24"/>
          <w:szCs w:val="24"/>
          <w:lang w:val="es-ES_tradnl"/>
        </w:rPr>
        <w:t xml:space="preserve">a) el </w:t>
      </w:r>
      <w:r w:rsidR="001B2528">
        <w:rPr>
          <w:rFonts w:ascii="Times New Roman" w:hAnsi="Times New Roman" w:cs="Times New Roman"/>
          <w:sz w:val="24"/>
          <w:szCs w:val="24"/>
          <w:lang w:val="es-ES_tradnl"/>
        </w:rPr>
        <w:t>apartado</w:t>
      </w:r>
      <w:r w:rsidRPr="006F3C4B">
        <w:rPr>
          <w:rFonts w:ascii="Times New Roman" w:hAnsi="Times New Roman" w:cs="Times New Roman"/>
          <w:sz w:val="24"/>
          <w:szCs w:val="24"/>
          <w:lang w:val="es-ES_tradnl"/>
        </w:rPr>
        <w:t xml:space="preserve"> 5 del </w:t>
      </w:r>
      <w:r w:rsidR="00402B3B" w:rsidRPr="006F3C4B">
        <w:rPr>
          <w:rFonts w:ascii="Times New Roman" w:hAnsi="Times New Roman" w:cs="Times New Roman"/>
          <w:sz w:val="24"/>
          <w:szCs w:val="24"/>
          <w:lang w:val="es-ES_tradnl"/>
        </w:rPr>
        <w:t>art</w:t>
      </w:r>
      <w:r w:rsidR="00402B3B">
        <w:rPr>
          <w:rFonts w:ascii="Times New Roman" w:hAnsi="Times New Roman" w:cs="Times New Roman"/>
          <w:sz w:val="24"/>
          <w:szCs w:val="24"/>
          <w:lang w:val="es-ES_tradnl"/>
        </w:rPr>
        <w:t>ículo</w:t>
      </w:r>
      <w:r w:rsidRPr="006F3C4B">
        <w:rPr>
          <w:rFonts w:ascii="Times New Roman" w:hAnsi="Times New Roman" w:cs="Times New Roman"/>
          <w:sz w:val="24"/>
          <w:szCs w:val="24"/>
          <w:lang w:val="es-ES_tradnl"/>
        </w:rPr>
        <w:t xml:space="preserve"> 17 consagra el principio de proporcionalidad (en primer lugar</w:t>
      </w:r>
      <w:r w:rsidR="00402B3B">
        <w:rPr>
          <w:rFonts w:ascii="Times New Roman" w:hAnsi="Times New Roman" w:cs="Times New Roman"/>
          <w:sz w:val="24"/>
          <w:szCs w:val="24"/>
          <w:lang w:val="es-ES_tradnl"/>
        </w:rPr>
        <w:t>,</w:t>
      </w:r>
      <w:r w:rsidRPr="006F3C4B">
        <w:rPr>
          <w:rFonts w:ascii="Times New Roman" w:hAnsi="Times New Roman" w:cs="Times New Roman"/>
          <w:sz w:val="24"/>
          <w:szCs w:val="24"/>
          <w:lang w:val="es-ES_tradnl"/>
        </w:rPr>
        <w:t xml:space="preserve"> la disponibilidad de medios y sus costes);</w:t>
      </w:r>
    </w:p>
    <w:p w14:paraId="14228D26" w14:textId="77777777" w:rsidR="006F3C4B" w:rsidRPr="006F3C4B" w:rsidRDefault="006F3C4B" w:rsidP="006F3C4B">
      <w:pPr>
        <w:spacing w:after="0" w:line="360" w:lineRule="auto"/>
        <w:jc w:val="both"/>
        <w:rPr>
          <w:rFonts w:ascii="Times New Roman" w:hAnsi="Times New Roman" w:cs="Times New Roman"/>
          <w:sz w:val="24"/>
          <w:szCs w:val="24"/>
          <w:lang w:val="es-ES_tradnl"/>
        </w:rPr>
      </w:pPr>
      <w:r w:rsidRPr="006F3C4B">
        <w:rPr>
          <w:rFonts w:ascii="Times New Roman" w:hAnsi="Times New Roman" w:cs="Times New Roman"/>
          <w:sz w:val="24"/>
          <w:szCs w:val="24"/>
          <w:lang w:val="es-ES_tradnl"/>
        </w:rPr>
        <w:t>b) el apartado 6 (en el marco del principio de proporcionalidad y respeto a la libertad de empresa) establece requisitos menores para los nuevos proveedores de servicios de intercambio de contenidos en línea;</w:t>
      </w:r>
    </w:p>
    <w:p w14:paraId="0C8DA40E" w14:textId="2E2CF9C5" w:rsidR="006F3C4B" w:rsidRPr="006F3C4B" w:rsidRDefault="006F3C4B" w:rsidP="006F3C4B">
      <w:pPr>
        <w:spacing w:after="0" w:line="360" w:lineRule="auto"/>
        <w:jc w:val="both"/>
        <w:rPr>
          <w:rFonts w:ascii="Times New Roman" w:hAnsi="Times New Roman" w:cs="Times New Roman"/>
          <w:sz w:val="24"/>
          <w:szCs w:val="24"/>
          <w:lang w:val="es-ES_tradnl"/>
        </w:rPr>
      </w:pPr>
      <w:r w:rsidRPr="006F3C4B">
        <w:rPr>
          <w:rFonts w:ascii="Times New Roman" w:hAnsi="Times New Roman" w:cs="Times New Roman"/>
          <w:sz w:val="24"/>
          <w:szCs w:val="24"/>
          <w:lang w:val="es-ES_tradnl"/>
        </w:rPr>
        <w:lastRenderedPageBreak/>
        <w:t xml:space="preserve">c) El apartado 7, tratando de cumplir con la libertad de expresión (incluida la libertad de expresión artística) y la libertad de información, exige que no haya indisponibilidad de obras u otros materiales que no estén protegidos (y, por supuesto, aquellos que se beneficien de la autorización) o sean cubiertos por excepciones o limitaciones a los derechos de autor o derechos </w:t>
      </w:r>
      <w:r w:rsidR="00054FB4">
        <w:rPr>
          <w:rFonts w:ascii="Times New Roman" w:hAnsi="Times New Roman" w:cs="Times New Roman"/>
          <w:sz w:val="24"/>
          <w:szCs w:val="24"/>
          <w:lang w:val="es-ES_tradnl"/>
        </w:rPr>
        <w:t>afines</w:t>
      </w:r>
      <w:r w:rsidRPr="006F3C4B">
        <w:rPr>
          <w:rFonts w:ascii="Times New Roman" w:hAnsi="Times New Roman" w:cs="Times New Roman"/>
          <w:sz w:val="24"/>
          <w:szCs w:val="24"/>
          <w:lang w:val="es-ES_tradnl"/>
        </w:rPr>
        <w:t xml:space="preserve"> (imponiendo también que determinadas excepciones estén expresamente previstas en las leyes nacionales);</w:t>
      </w:r>
    </w:p>
    <w:p w14:paraId="187584CC" w14:textId="45B9A801" w:rsidR="00875AB8" w:rsidRDefault="006F3C4B" w:rsidP="006F3C4B">
      <w:pPr>
        <w:spacing w:after="0" w:line="360" w:lineRule="auto"/>
        <w:jc w:val="both"/>
        <w:rPr>
          <w:rFonts w:ascii="Times New Roman" w:hAnsi="Times New Roman" w:cs="Times New Roman"/>
          <w:sz w:val="24"/>
          <w:szCs w:val="24"/>
          <w:lang w:val="es-ES_tradnl"/>
        </w:rPr>
      </w:pPr>
      <w:r w:rsidRPr="006F3C4B">
        <w:rPr>
          <w:rFonts w:ascii="Times New Roman" w:hAnsi="Times New Roman" w:cs="Times New Roman"/>
          <w:sz w:val="24"/>
          <w:szCs w:val="24"/>
          <w:lang w:val="es-ES_tradnl"/>
        </w:rPr>
        <w:t>d) Sin embargo, las tecnologías de filtrado automático de contenidos difícilmente podrán identificar si está viendo una obra, si la obra está protegida, si hay autorización, si el contenido en cuestión (considerando su contexto) se beneficia de alguna excepción o limitación (</w:t>
      </w:r>
      <w:r w:rsidR="00AE5AD0" w:rsidRPr="006F3C4B">
        <w:rPr>
          <w:rFonts w:ascii="Times New Roman" w:hAnsi="Times New Roman" w:cs="Times New Roman"/>
          <w:sz w:val="24"/>
          <w:szCs w:val="24"/>
          <w:lang w:val="es-ES_tradnl"/>
        </w:rPr>
        <w:t>o,</w:t>
      </w:r>
      <w:r w:rsidRPr="006F3C4B">
        <w:rPr>
          <w:rFonts w:ascii="Times New Roman" w:hAnsi="Times New Roman" w:cs="Times New Roman"/>
          <w:sz w:val="24"/>
          <w:szCs w:val="24"/>
          <w:lang w:val="es-ES_tradnl"/>
        </w:rPr>
        <w:t xml:space="preserve"> es decir, puede haber riesgo de sobre</w:t>
      </w:r>
      <w:r w:rsidR="00145788">
        <w:rPr>
          <w:rFonts w:ascii="Times New Roman" w:hAnsi="Times New Roman" w:cs="Times New Roman"/>
          <w:sz w:val="24"/>
          <w:szCs w:val="24"/>
          <w:lang w:val="es-ES_tradnl"/>
        </w:rPr>
        <w:t xml:space="preserve"> </w:t>
      </w:r>
      <w:r w:rsidRPr="006F3C4B">
        <w:rPr>
          <w:rFonts w:ascii="Times New Roman" w:hAnsi="Times New Roman" w:cs="Times New Roman"/>
          <w:sz w:val="24"/>
          <w:szCs w:val="24"/>
          <w:lang w:val="es-ES_tradnl"/>
        </w:rPr>
        <w:t>bloqueo en violación de esos derechos fundamentales);</w:t>
      </w:r>
    </w:p>
    <w:p w14:paraId="44EAB4DC" w14:textId="77777777" w:rsidR="006F3C4B" w:rsidRPr="006F3C4B" w:rsidRDefault="006F3C4B" w:rsidP="006F3C4B">
      <w:pPr>
        <w:spacing w:after="0" w:line="360" w:lineRule="auto"/>
        <w:jc w:val="both"/>
        <w:rPr>
          <w:rFonts w:ascii="Times New Roman" w:hAnsi="Times New Roman" w:cs="Times New Roman"/>
          <w:sz w:val="24"/>
          <w:szCs w:val="24"/>
          <w:lang w:val="es-ES_tradnl"/>
        </w:rPr>
      </w:pPr>
      <w:r w:rsidRPr="006F3C4B">
        <w:rPr>
          <w:rFonts w:ascii="Times New Roman" w:hAnsi="Times New Roman" w:cs="Times New Roman"/>
          <w:sz w:val="24"/>
          <w:szCs w:val="24"/>
          <w:lang w:val="es-ES_tradnl"/>
        </w:rPr>
        <w:t>e) El apartado 8 establece la prohibición de consagrar una obligación general de vigilancia o seguimiento (todavía subrayada por una obligación de información), pero queda por determinar si la adopción de tecnologías de filtrado automático de contenidos no infringe esta prohibición y, en consecuencia, dichos derechos fundamentales;</w:t>
      </w:r>
    </w:p>
    <w:p w14:paraId="304A8206" w14:textId="0A5CE3DC" w:rsidR="007F7351" w:rsidRDefault="006F3C4B" w:rsidP="006F3C4B">
      <w:pPr>
        <w:spacing w:after="0" w:line="360" w:lineRule="auto"/>
        <w:jc w:val="both"/>
        <w:rPr>
          <w:rFonts w:ascii="Times New Roman" w:hAnsi="Times New Roman" w:cs="Times New Roman"/>
          <w:sz w:val="24"/>
          <w:szCs w:val="24"/>
          <w:lang w:val="es-ES_tradnl"/>
        </w:rPr>
      </w:pPr>
      <w:r w:rsidRPr="006F3C4B">
        <w:rPr>
          <w:rFonts w:ascii="Times New Roman" w:hAnsi="Times New Roman" w:cs="Times New Roman"/>
          <w:sz w:val="24"/>
          <w:szCs w:val="24"/>
          <w:lang w:val="es-ES_tradnl"/>
        </w:rPr>
        <w:t xml:space="preserve">f) </w:t>
      </w:r>
      <w:r w:rsidR="00D70564">
        <w:rPr>
          <w:rFonts w:ascii="Times New Roman" w:hAnsi="Times New Roman" w:cs="Times New Roman"/>
          <w:sz w:val="24"/>
          <w:szCs w:val="24"/>
          <w:lang w:val="es-ES_tradnl"/>
        </w:rPr>
        <w:t>E</w:t>
      </w:r>
      <w:r w:rsidRPr="006F3C4B">
        <w:rPr>
          <w:rFonts w:ascii="Times New Roman" w:hAnsi="Times New Roman" w:cs="Times New Roman"/>
          <w:sz w:val="24"/>
          <w:szCs w:val="24"/>
          <w:lang w:val="es-ES_tradnl"/>
        </w:rPr>
        <w:t xml:space="preserve">l </w:t>
      </w:r>
      <w:r w:rsidR="00D70564">
        <w:rPr>
          <w:rFonts w:ascii="Times New Roman" w:hAnsi="Times New Roman" w:cs="Times New Roman"/>
          <w:sz w:val="24"/>
          <w:szCs w:val="24"/>
          <w:lang w:val="es-ES_tradnl"/>
        </w:rPr>
        <w:t>apartado</w:t>
      </w:r>
      <w:r w:rsidRPr="006F3C4B">
        <w:rPr>
          <w:rFonts w:ascii="Times New Roman" w:hAnsi="Times New Roman" w:cs="Times New Roman"/>
          <w:sz w:val="24"/>
          <w:szCs w:val="24"/>
          <w:lang w:val="es-ES_tradnl"/>
        </w:rPr>
        <w:t xml:space="preserve"> 9 consagra mecanismos de reclamos y recursos de carácter extrajudicial (sin perjuicio de los recursos judiciales); mecanismos en los que los titulares de derechos están obligados a proporcionar una identificación suficiente y precisa del contenido en cuestión con miras a bloquearlo o eliminarlo (para evitar restricciones injustificadas a la libertad de expresión y la libertad de información) y los proveedores de servicios están obligados al control humano y deberes de información (nuevamente en un intento de evitar la colisión con los derechos fundamentales).</w:t>
      </w:r>
    </w:p>
    <w:p w14:paraId="62B8F27D" w14:textId="316A6030" w:rsidR="007F7351" w:rsidRDefault="009A6983" w:rsidP="00757F8A">
      <w:pPr>
        <w:spacing w:after="0" w:line="360" w:lineRule="auto"/>
        <w:jc w:val="both"/>
        <w:rPr>
          <w:rFonts w:ascii="Times New Roman" w:hAnsi="Times New Roman" w:cs="Times New Roman"/>
          <w:sz w:val="24"/>
          <w:szCs w:val="24"/>
          <w:lang w:val="es-ES_tradnl"/>
        </w:rPr>
      </w:pPr>
      <w:r w:rsidRPr="009A6983">
        <w:rPr>
          <w:rFonts w:ascii="Times New Roman" w:hAnsi="Times New Roman" w:cs="Times New Roman"/>
          <w:sz w:val="24"/>
          <w:szCs w:val="24"/>
          <w:lang w:val="es-ES_tradnl"/>
        </w:rPr>
        <w:t xml:space="preserve">Habrá que considerar si el corte subjetivo (proveedores de servicios de intercambio de contenidos en línea) y material (derechos de autor y derechos </w:t>
      </w:r>
      <w:r w:rsidR="00054FB4">
        <w:rPr>
          <w:rFonts w:ascii="Times New Roman" w:hAnsi="Times New Roman" w:cs="Times New Roman"/>
          <w:sz w:val="24"/>
          <w:szCs w:val="24"/>
          <w:lang w:val="es-ES_tradnl"/>
        </w:rPr>
        <w:t>afines</w:t>
      </w:r>
      <w:r w:rsidRPr="009A6983">
        <w:rPr>
          <w:rFonts w:ascii="Times New Roman" w:hAnsi="Times New Roman" w:cs="Times New Roman"/>
          <w:sz w:val="24"/>
          <w:szCs w:val="24"/>
          <w:lang w:val="es-ES_tradnl"/>
        </w:rPr>
        <w:t xml:space="preserve">) del ámbito de aplicación del </w:t>
      </w:r>
      <w:r w:rsidR="00402B3B" w:rsidRPr="009A6983">
        <w:rPr>
          <w:rFonts w:ascii="Times New Roman" w:hAnsi="Times New Roman" w:cs="Times New Roman"/>
          <w:sz w:val="24"/>
          <w:szCs w:val="24"/>
          <w:lang w:val="es-ES_tradnl"/>
        </w:rPr>
        <w:t>art</w:t>
      </w:r>
      <w:r w:rsidR="00402B3B">
        <w:rPr>
          <w:rFonts w:ascii="Times New Roman" w:hAnsi="Times New Roman" w:cs="Times New Roman"/>
          <w:sz w:val="24"/>
          <w:szCs w:val="24"/>
          <w:lang w:val="es-ES_tradnl"/>
        </w:rPr>
        <w:t>ículo</w:t>
      </w:r>
      <w:r w:rsidRPr="009A6983">
        <w:rPr>
          <w:rFonts w:ascii="Times New Roman" w:hAnsi="Times New Roman" w:cs="Times New Roman"/>
          <w:sz w:val="24"/>
          <w:szCs w:val="24"/>
          <w:lang w:val="es-ES_tradnl"/>
        </w:rPr>
        <w:t xml:space="preserve"> 17, el principio de proporcionalidad, el cumplimiento de las excepciones y limitaciones a los derechos de autor y derechos </w:t>
      </w:r>
      <w:r w:rsidR="00054FB4">
        <w:rPr>
          <w:rFonts w:ascii="Times New Roman" w:hAnsi="Times New Roman" w:cs="Times New Roman"/>
          <w:sz w:val="24"/>
          <w:szCs w:val="24"/>
          <w:lang w:val="es-ES_tradnl"/>
        </w:rPr>
        <w:t>afines</w:t>
      </w:r>
      <w:r w:rsidRPr="009A6983">
        <w:rPr>
          <w:rFonts w:ascii="Times New Roman" w:hAnsi="Times New Roman" w:cs="Times New Roman"/>
          <w:sz w:val="24"/>
          <w:szCs w:val="24"/>
          <w:lang w:val="es-ES_tradnl"/>
        </w:rPr>
        <w:t xml:space="preserve">, las obligaciones de información y el régimen de reclamaciones y recursos (que debe actuar como garantía supletoria y última en virtud de que sólo se aplica </w:t>
      </w:r>
      <w:proofErr w:type="spellStart"/>
      <w:r w:rsidRPr="003B53A5">
        <w:rPr>
          <w:rFonts w:ascii="Times New Roman" w:hAnsi="Times New Roman" w:cs="Times New Roman"/>
          <w:i/>
          <w:iCs/>
          <w:sz w:val="24"/>
          <w:szCs w:val="24"/>
          <w:lang w:val="es-ES_tradnl"/>
        </w:rPr>
        <w:t>ex-post</w:t>
      </w:r>
      <w:proofErr w:type="spellEnd"/>
      <w:r w:rsidRPr="009A6983">
        <w:rPr>
          <w:rFonts w:ascii="Times New Roman" w:hAnsi="Times New Roman" w:cs="Times New Roman"/>
          <w:sz w:val="24"/>
          <w:szCs w:val="24"/>
          <w:lang w:val="es-ES_tradnl"/>
        </w:rPr>
        <w:t xml:space="preserve"> -</w:t>
      </w:r>
      <w:r w:rsidR="00DA2312">
        <w:rPr>
          <w:rFonts w:ascii="Times New Roman" w:hAnsi="Times New Roman" w:cs="Times New Roman"/>
          <w:sz w:val="24"/>
          <w:szCs w:val="24"/>
          <w:lang w:val="es-ES_tradnl"/>
        </w:rPr>
        <w:t xml:space="preserve"> </w:t>
      </w:r>
      <w:r w:rsidRPr="009A6983">
        <w:rPr>
          <w:rFonts w:ascii="Times New Roman" w:hAnsi="Times New Roman" w:cs="Times New Roman"/>
          <w:sz w:val="24"/>
          <w:szCs w:val="24"/>
          <w:lang w:val="es-ES_tradnl"/>
        </w:rPr>
        <w:t xml:space="preserve">que puede ser demasiado tarde) son suficientes para evitar un desacuerdo práctico entre el derecho a la propiedad y otros derechos fundamentales. Probablemente habrá que interpretar que la valoración de los usos legítimos y de las excepciones y limitaciones a los derechos de autor y derechos </w:t>
      </w:r>
      <w:r w:rsidR="00054FB4">
        <w:rPr>
          <w:rFonts w:ascii="Times New Roman" w:hAnsi="Times New Roman" w:cs="Times New Roman"/>
          <w:sz w:val="24"/>
          <w:szCs w:val="24"/>
          <w:lang w:val="es-ES_tradnl"/>
        </w:rPr>
        <w:t>afines</w:t>
      </w:r>
      <w:r w:rsidRPr="009A6983">
        <w:rPr>
          <w:rFonts w:ascii="Times New Roman" w:hAnsi="Times New Roman" w:cs="Times New Roman"/>
          <w:sz w:val="24"/>
          <w:szCs w:val="24"/>
          <w:lang w:val="es-ES_tradnl"/>
        </w:rPr>
        <w:t xml:space="preserve"> habrá de realizarse </w:t>
      </w:r>
      <w:r w:rsidRPr="008C6EFE">
        <w:rPr>
          <w:rFonts w:ascii="Times New Roman" w:hAnsi="Times New Roman" w:cs="Times New Roman"/>
          <w:i/>
          <w:iCs/>
          <w:sz w:val="24"/>
          <w:szCs w:val="24"/>
          <w:lang w:val="es-ES_tradnl"/>
        </w:rPr>
        <w:t>ex ante</w:t>
      </w:r>
      <w:r w:rsidRPr="009A6983">
        <w:rPr>
          <w:rFonts w:ascii="Times New Roman" w:hAnsi="Times New Roman" w:cs="Times New Roman"/>
          <w:sz w:val="24"/>
          <w:szCs w:val="24"/>
          <w:lang w:val="es-ES_tradnl"/>
        </w:rPr>
        <w:t xml:space="preserve"> y no </w:t>
      </w:r>
      <w:r w:rsidRPr="008C6EFE">
        <w:rPr>
          <w:rFonts w:ascii="Times New Roman" w:hAnsi="Times New Roman" w:cs="Times New Roman"/>
          <w:i/>
          <w:iCs/>
          <w:sz w:val="24"/>
          <w:szCs w:val="24"/>
          <w:lang w:val="es-ES_tradnl"/>
        </w:rPr>
        <w:t>ex post</w:t>
      </w:r>
      <w:r w:rsidRPr="009A6983">
        <w:rPr>
          <w:rFonts w:ascii="Times New Roman" w:hAnsi="Times New Roman" w:cs="Times New Roman"/>
          <w:sz w:val="24"/>
          <w:szCs w:val="24"/>
          <w:lang w:val="es-ES_tradnl"/>
        </w:rPr>
        <w:t xml:space="preserve"> y que, ante la imposibilidad de esta valoración (debido a las limitaciones de tecnologías de filtrado de contenidos), salvo que no se comuniquen al público ni se pongan a su disposición los contenidos que </w:t>
      </w:r>
      <w:r w:rsidRPr="009A6983">
        <w:rPr>
          <w:rFonts w:ascii="Times New Roman" w:hAnsi="Times New Roman" w:cs="Times New Roman"/>
          <w:sz w:val="24"/>
          <w:szCs w:val="24"/>
          <w:lang w:val="es-ES_tradnl"/>
        </w:rPr>
        <w:lastRenderedPageBreak/>
        <w:t xml:space="preserve">infrinjan manifiestamente los derechos de autor o derechos afines o que ya hayan sido examinados por un órgano judicial. </w:t>
      </w:r>
      <w:r w:rsidRPr="003B53A5">
        <w:rPr>
          <w:rFonts w:ascii="Times New Roman" w:hAnsi="Times New Roman" w:cs="Times New Roman"/>
          <w:i/>
          <w:iCs/>
          <w:sz w:val="24"/>
          <w:szCs w:val="24"/>
          <w:lang w:val="es-ES_tradnl"/>
        </w:rPr>
        <w:t xml:space="preserve">Id </w:t>
      </w:r>
      <w:proofErr w:type="spellStart"/>
      <w:r w:rsidRPr="003B53A5">
        <w:rPr>
          <w:rFonts w:ascii="Times New Roman" w:hAnsi="Times New Roman" w:cs="Times New Roman"/>
          <w:i/>
          <w:iCs/>
          <w:sz w:val="24"/>
          <w:szCs w:val="24"/>
          <w:lang w:val="es-ES_tradnl"/>
        </w:rPr>
        <w:t>est</w:t>
      </w:r>
      <w:proofErr w:type="spellEnd"/>
      <w:r w:rsidRPr="003B53A5">
        <w:rPr>
          <w:rFonts w:ascii="Times New Roman" w:hAnsi="Times New Roman" w:cs="Times New Roman"/>
          <w:i/>
          <w:iCs/>
          <w:sz w:val="24"/>
          <w:szCs w:val="24"/>
          <w:lang w:val="es-ES_tradnl"/>
        </w:rPr>
        <w:t xml:space="preserve">, in dubio pro </w:t>
      </w:r>
      <w:proofErr w:type="spellStart"/>
      <w:r w:rsidRPr="003B53A5">
        <w:rPr>
          <w:rFonts w:ascii="Times New Roman" w:hAnsi="Times New Roman" w:cs="Times New Roman"/>
          <w:i/>
          <w:iCs/>
          <w:sz w:val="24"/>
          <w:szCs w:val="24"/>
          <w:lang w:val="es-ES_tradnl"/>
        </w:rPr>
        <w:t>libertate</w:t>
      </w:r>
      <w:proofErr w:type="spellEnd"/>
      <w:r w:rsidRPr="009A6983">
        <w:rPr>
          <w:rFonts w:ascii="Times New Roman" w:hAnsi="Times New Roman" w:cs="Times New Roman"/>
          <w:sz w:val="24"/>
          <w:szCs w:val="24"/>
          <w:lang w:val="es-ES_tradnl"/>
        </w:rPr>
        <w:t xml:space="preserve">. Como nos decía Pomponio en Digesto 50, 17, 20, </w:t>
      </w:r>
      <w:proofErr w:type="spellStart"/>
      <w:r w:rsidRPr="009A6983">
        <w:rPr>
          <w:rFonts w:ascii="Times New Roman" w:hAnsi="Times New Roman" w:cs="Times New Roman"/>
          <w:sz w:val="24"/>
          <w:szCs w:val="24"/>
          <w:lang w:val="es-ES_tradnl"/>
        </w:rPr>
        <w:t>Pomponius</w:t>
      </w:r>
      <w:proofErr w:type="spellEnd"/>
      <w:r w:rsidRPr="009A6983">
        <w:rPr>
          <w:rFonts w:ascii="Times New Roman" w:hAnsi="Times New Roman" w:cs="Times New Roman"/>
          <w:sz w:val="24"/>
          <w:szCs w:val="24"/>
          <w:lang w:val="es-ES_tradnl"/>
        </w:rPr>
        <w:t xml:space="preserve">, </w:t>
      </w:r>
      <w:r w:rsidRPr="008C6EFE">
        <w:rPr>
          <w:rFonts w:ascii="Times New Roman" w:hAnsi="Times New Roman" w:cs="Times New Roman"/>
          <w:i/>
          <w:iCs/>
          <w:sz w:val="24"/>
          <w:szCs w:val="24"/>
          <w:lang w:val="es-ES_tradnl"/>
        </w:rPr>
        <w:t xml:space="preserve">libro </w:t>
      </w:r>
      <w:proofErr w:type="spellStart"/>
      <w:r w:rsidRPr="008C6EFE">
        <w:rPr>
          <w:rFonts w:ascii="Times New Roman" w:hAnsi="Times New Roman" w:cs="Times New Roman"/>
          <w:i/>
          <w:iCs/>
          <w:sz w:val="24"/>
          <w:szCs w:val="24"/>
          <w:lang w:val="es-ES_tradnl"/>
        </w:rPr>
        <w:t>septimo</w:t>
      </w:r>
      <w:proofErr w:type="spellEnd"/>
      <w:r w:rsidRPr="008C6EFE">
        <w:rPr>
          <w:rFonts w:ascii="Times New Roman" w:hAnsi="Times New Roman" w:cs="Times New Roman"/>
          <w:i/>
          <w:iCs/>
          <w:sz w:val="24"/>
          <w:szCs w:val="24"/>
          <w:lang w:val="es-ES_tradnl"/>
        </w:rPr>
        <w:t xml:space="preserve"> ad </w:t>
      </w:r>
      <w:proofErr w:type="spellStart"/>
      <w:r w:rsidRPr="008C6EFE">
        <w:rPr>
          <w:rFonts w:ascii="Times New Roman" w:hAnsi="Times New Roman" w:cs="Times New Roman"/>
          <w:i/>
          <w:iCs/>
          <w:sz w:val="24"/>
          <w:szCs w:val="24"/>
          <w:lang w:val="es-ES_tradnl"/>
        </w:rPr>
        <w:t>Sábinum</w:t>
      </w:r>
      <w:proofErr w:type="spellEnd"/>
      <w:r w:rsidRPr="009A6983">
        <w:rPr>
          <w:rFonts w:ascii="Times New Roman" w:hAnsi="Times New Roman" w:cs="Times New Roman"/>
          <w:sz w:val="24"/>
          <w:szCs w:val="24"/>
          <w:lang w:val="es-ES_tradnl"/>
        </w:rPr>
        <w:t>: «</w:t>
      </w:r>
      <w:proofErr w:type="spellStart"/>
      <w:r w:rsidRPr="009A6983">
        <w:rPr>
          <w:rFonts w:ascii="Times New Roman" w:hAnsi="Times New Roman" w:cs="Times New Roman"/>
          <w:sz w:val="24"/>
          <w:szCs w:val="24"/>
          <w:lang w:val="es-ES_tradnl"/>
        </w:rPr>
        <w:t>quotiens</w:t>
      </w:r>
      <w:proofErr w:type="spellEnd"/>
      <w:r w:rsidRPr="009A6983">
        <w:rPr>
          <w:rFonts w:ascii="Times New Roman" w:hAnsi="Times New Roman" w:cs="Times New Roman"/>
          <w:sz w:val="24"/>
          <w:szCs w:val="24"/>
          <w:lang w:val="es-ES_tradnl"/>
        </w:rPr>
        <w:t xml:space="preserve"> </w:t>
      </w:r>
      <w:proofErr w:type="spellStart"/>
      <w:r w:rsidRPr="009A6983">
        <w:rPr>
          <w:rFonts w:ascii="Times New Roman" w:hAnsi="Times New Roman" w:cs="Times New Roman"/>
          <w:sz w:val="24"/>
          <w:szCs w:val="24"/>
          <w:lang w:val="es-ES_tradnl"/>
        </w:rPr>
        <w:t>dubia</w:t>
      </w:r>
      <w:proofErr w:type="spellEnd"/>
      <w:r w:rsidRPr="009A6983">
        <w:rPr>
          <w:rFonts w:ascii="Times New Roman" w:hAnsi="Times New Roman" w:cs="Times New Roman"/>
          <w:sz w:val="24"/>
          <w:szCs w:val="24"/>
          <w:lang w:val="es-ES_tradnl"/>
        </w:rPr>
        <w:t xml:space="preserve"> </w:t>
      </w:r>
      <w:proofErr w:type="spellStart"/>
      <w:r w:rsidRPr="009A6983">
        <w:rPr>
          <w:rFonts w:ascii="Times New Roman" w:hAnsi="Times New Roman" w:cs="Times New Roman"/>
          <w:sz w:val="24"/>
          <w:szCs w:val="24"/>
          <w:lang w:val="es-ES_tradnl"/>
        </w:rPr>
        <w:t>interpretatio</w:t>
      </w:r>
      <w:proofErr w:type="spellEnd"/>
      <w:r w:rsidRPr="009A6983">
        <w:rPr>
          <w:rFonts w:ascii="Times New Roman" w:hAnsi="Times New Roman" w:cs="Times New Roman"/>
          <w:sz w:val="24"/>
          <w:szCs w:val="24"/>
          <w:lang w:val="es-ES_tradnl"/>
        </w:rPr>
        <w:t xml:space="preserve"> libertatis </w:t>
      </w:r>
      <w:proofErr w:type="spellStart"/>
      <w:r w:rsidRPr="009A6983">
        <w:rPr>
          <w:rFonts w:ascii="Times New Roman" w:hAnsi="Times New Roman" w:cs="Times New Roman"/>
          <w:sz w:val="24"/>
          <w:szCs w:val="24"/>
          <w:lang w:val="es-ES_tradnl"/>
        </w:rPr>
        <w:t>est</w:t>
      </w:r>
      <w:proofErr w:type="spellEnd"/>
      <w:r w:rsidRPr="009A6983">
        <w:rPr>
          <w:rFonts w:ascii="Times New Roman" w:hAnsi="Times New Roman" w:cs="Times New Roman"/>
          <w:sz w:val="24"/>
          <w:szCs w:val="24"/>
          <w:lang w:val="es-ES_tradnl"/>
        </w:rPr>
        <w:t xml:space="preserve">, </w:t>
      </w:r>
      <w:proofErr w:type="spellStart"/>
      <w:r w:rsidRPr="009A6983">
        <w:rPr>
          <w:rFonts w:ascii="Times New Roman" w:hAnsi="Times New Roman" w:cs="Times New Roman"/>
          <w:sz w:val="24"/>
          <w:szCs w:val="24"/>
          <w:lang w:val="es-ES_tradnl"/>
        </w:rPr>
        <w:t>secundum</w:t>
      </w:r>
      <w:proofErr w:type="spellEnd"/>
      <w:r w:rsidRPr="009A6983">
        <w:rPr>
          <w:rFonts w:ascii="Times New Roman" w:hAnsi="Times New Roman" w:cs="Times New Roman"/>
          <w:sz w:val="24"/>
          <w:szCs w:val="24"/>
          <w:lang w:val="es-ES_tradnl"/>
        </w:rPr>
        <w:t xml:space="preserve"> </w:t>
      </w:r>
      <w:proofErr w:type="spellStart"/>
      <w:r w:rsidRPr="009A6983">
        <w:rPr>
          <w:rFonts w:ascii="Times New Roman" w:hAnsi="Times New Roman" w:cs="Times New Roman"/>
          <w:sz w:val="24"/>
          <w:szCs w:val="24"/>
          <w:lang w:val="es-ES_tradnl"/>
        </w:rPr>
        <w:t>libertatem</w:t>
      </w:r>
      <w:proofErr w:type="spellEnd"/>
      <w:r w:rsidRPr="009A6983">
        <w:rPr>
          <w:rFonts w:ascii="Times New Roman" w:hAnsi="Times New Roman" w:cs="Times New Roman"/>
          <w:sz w:val="24"/>
          <w:szCs w:val="24"/>
          <w:lang w:val="es-ES_tradnl"/>
        </w:rPr>
        <w:t xml:space="preserve"> </w:t>
      </w:r>
      <w:proofErr w:type="spellStart"/>
      <w:r w:rsidRPr="009A6983">
        <w:rPr>
          <w:rFonts w:ascii="Times New Roman" w:hAnsi="Times New Roman" w:cs="Times New Roman"/>
          <w:sz w:val="24"/>
          <w:szCs w:val="24"/>
          <w:lang w:val="es-ES_tradnl"/>
        </w:rPr>
        <w:t>respondedum</w:t>
      </w:r>
      <w:proofErr w:type="spellEnd"/>
      <w:r w:rsidRPr="009A6983">
        <w:rPr>
          <w:rFonts w:ascii="Times New Roman" w:hAnsi="Times New Roman" w:cs="Times New Roman"/>
          <w:sz w:val="24"/>
          <w:szCs w:val="24"/>
          <w:lang w:val="es-ES_tradnl"/>
        </w:rPr>
        <w:t xml:space="preserve"> </w:t>
      </w:r>
      <w:proofErr w:type="spellStart"/>
      <w:r w:rsidRPr="009A6983">
        <w:rPr>
          <w:rFonts w:ascii="Times New Roman" w:hAnsi="Times New Roman" w:cs="Times New Roman"/>
          <w:sz w:val="24"/>
          <w:szCs w:val="24"/>
          <w:lang w:val="es-ES_tradnl"/>
        </w:rPr>
        <w:t>erit</w:t>
      </w:r>
      <w:proofErr w:type="spellEnd"/>
      <w:r w:rsidRPr="009A6983">
        <w:rPr>
          <w:rFonts w:ascii="Times New Roman" w:hAnsi="Times New Roman" w:cs="Times New Roman"/>
          <w:sz w:val="24"/>
          <w:szCs w:val="24"/>
          <w:lang w:val="es-ES_tradnl"/>
        </w:rPr>
        <w:t>».</w:t>
      </w:r>
    </w:p>
    <w:p w14:paraId="4422AE2D" w14:textId="77777777" w:rsidR="007F7351" w:rsidRDefault="007F7351" w:rsidP="00757F8A">
      <w:pPr>
        <w:spacing w:after="0" w:line="360" w:lineRule="auto"/>
        <w:jc w:val="both"/>
        <w:rPr>
          <w:rFonts w:ascii="Times New Roman" w:hAnsi="Times New Roman" w:cs="Times New Roman"/>
          <w:sz w:val="24"/>
          <w:szCs w:val="24"/>
          <w:lang w:val="es-ES_tradnl"/>
        </w:rPr>
      </w:pPr>
    </w:p>
    <w:p w14:paraId="5BC5FF26" w14:textId="3869506D" w:rsidR="00875AB8" w:rsidRPr="00565554" w:rsidRDefault="00EE7DC2" w:rsidP="00757F8A">
      <w:pPr>
        <w:spacing w:after="0" w:line="360" w:lineRule="auto"/>
        <w:jc w:val="both"/>
        <w:rPr>
          <w:rFonts w:ascii="Times New Roman" w:hAnsi="Times New Roman" w:cs="Times New Roman"/>
          <w:sz w:val="20"/>
          <w:szCs w:val="20"/>
        </w:rPr>
      </w:pPr>
      <w:proofErr w:type="spellStart"/>
      <w:r w:rsidRPr="00565554">
        <w:rPr>
          <w:rFonts w:ascii="Times New Roman" w:hAnsi="Times New Roman" w:cs="Times New Roman"/>
          <w:sz w:val="20"/>
          <w:szCs w:val="20"/>
        </w:rPr>
        <w:t>Bibliografía</w:t>
      </w:r>
      <w:proofErr w:type="spellEnd"/>
      <w:r w:rsidRPr="00565554">
        <w:rPr>
          <w:rFonts w:ascii="Times New Roman" w:hAnsi="Times New Roman" w:cs="Times New Roman"/>
          <w:sz w:val="20"/>
          <w:szCs w:val="20"/>
        </w:rPr>
        <w:t>:</w:t>
      </w:r>
    </w:p>
    <w:p w14:paraId="04465F4E" w14:textId="77777777" w:rsidR="00EE7DC2" w:rsidRPr="00565554" w:rsidRDefault="00EE7DC2" w:rsidP="00757F8A">
      <w:pPr>
        <w:spacing w:after="0" w:line="360" w:lineRule="auto"/>
        <w:jc w:val="both"/>
        <w:rPr>
          <w:rFonts w:ascii="Times New Roman" w:hAnsi="Times New Roman" w:cs="Times New Roman"/>
          <w:sz w:val="20"/>
          <w:szCs w:val="20"/>
        </w:rPr>
      </w:pPr>
    </w:p>
    <w:p w14:paraId="1018C7F9"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Adeyemi, Adebola,</w:t>
      </w:r>
      <w:r w:rsidRPr="00CC5472">
        <w:rPr>
          <w:rFonts w:ascii="Times New Roman" w:hAnsi="Times New Roman" w:cs="Times New Roman"/>
          <w:sz w:val="20"/>
          <w:szCs w:val="20"/>
        </w:rPr>
        <w:t xml:space="preserve"> “Liability and Exemptions of Internet Service Providers (ISPs): Assessing the EU Electronic Commerce Legal Regime”, </w:t>
      </w:r>
      <w:r w:rsidRPr="00CC5472">
        <w:rPr>
          <w:rFonts w:ascii="Times New Roman" w:hAnsi="Times New Roman" w:cs="Times New Roman"/>
          <w:i/>
          <w:iCs/>
          <w:sz w:val="20"/>
          <w:szCs w:val="20"/>
        </w:rPr>
        <w:t>Computer and Telecommunications Law Review</w:t>
      </w:r>
      <w:r w:rsidRPr="00CC5472">
        <w:rPr>
          <w:rFonts w:ascii="Times New Roman" w:hAnsi="Times New Roman" w:cs="Times New Roman"/>
          <w:sz w:val="20"/>
          <w:szCs w:val="20"/>
        </w:rPr>
        <w:t>, 24(2018).</w:t>
      </w:r>
    </w:p>
    <w:p w14:paraId="21BC5275" w14:textId="77777777" w:rsidR="00E62CB2" w:rsidRPr="00CC5472" w:rsidRDefault="00E62CB2" w:rsidP="00757F8A">
      <w:pPr>
        <w:spacing w:after="0" w:line="360" w:lineRule="auto"/>
        <w:jc w:val="both"/>
        <w:rPr>
          <w:rFonts w:ascii="Times New Roman" w:hAnsi="Times New Roman" w:cs="Times New Roman"/>
          <w:sz w:val="20"/>
          <w:szCs w:val="20"/>
          <w:lang w:val="pt-PT"/>
        </w:rPr>
      </w:pPr>
      <w:proofErr w:type="spellStart"/>
      <w:r w:rsidRPr="00CC5472">
        <w:rPr>
          <w:rFonts w:ascii="Times New Roman" w:hAnsi="Times New Roman" w:cs="Times New Roman"/>
          <w:smallCaps/>
          <w:sz w:val="20"/>
          <w:szCs w:val="20"/>
          <w:lang w:val="pt-PT"/>
        </w:rPr>
        <w:t>Akester</w:t>
      </w:r>
      <w:proofErr w:type="spellEnd"/>
      <w:r w:rsidRPr="00CC5472">
        <w:rPr>
          <w:rFonts w:ascii="Times New Roman" w:hAnsi="Times New Roman" w:cs="Times New Roman"/>
          <w:smallCaps/>
          <w:sz w:val="20"/>
          <w:szCs w:val="20"/>
          <w:lang w:val="pt-PT"/>
        </w:rPr>
        <w:t>, Patrícia</w:t>
      </w:r>
      <w:r w:rsidRPr="00CC5472">
        <w:rPr>
          <w:rFonts w:ascii="Times New Roman" w:hAnsi="Times New Roman" w:cs="Times New Roman"/>
          <w:sz w:val="20"/>
          <w:szCs w:val="20"/>
          <w:lang w:val="pt-PT"/>
        </w:rPr>
        <w:t xml:space="preserve">, </w:t>
      </w:r>
      <w:r w:rsidRPr="00CC5472">
        <w:rPr>
          <w:rFonts w:ascii="Times New Roman" w:hAnsi="Times New Roman" w:cs="Times New Roman"/>
          <w:i/>
          <w:iCs/>
          <w:sz w:val="20"/>
          <w:szCs w:val="20"/>
          <w:lang w:val="pt-PT"/>
        </w:rPr>
        <w:t>Direito de Autor em Portugal, nos PALOP, na União Europeia e nos Tratados Internacionais</w:t>
      </w:r>
      <w:r w:rsidRPr="00CC5472">
        <w:rPr>
          <w:rFonts w:ascii="Times New Roman" w:hAnsi="Times New Roman" w:cs="Times New Roman"/>
          <w:sz w:val="20"/>
          <w:szCs w:val="20"/>
          <w:lang w:val="pt-PT"/>
        </w:rPr>
        <w:t>, Almedina, Coimbra, 2013.</w:t>
      </w:r>
    </w:p>
    <w:p w14:paraId="50B4126B"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Baistrocchi</w:t>
      </w:r>
      <w:proofErr w:type="spellEnd"/>
      <w:r w:rsidRPr="00CC5472">
        <w:rPr>
          <w:rFonts w:ascii="Times New Roman" w:hAnsi="Times New Roman" w:cs="Times New Roman"/>
          <w:smallCaps/>
          <w:sz w:val="20"/>
          <w:szCs w:val="20"/>
        </w:rPr>
        <w:t>, Pablo</w:t>
      </w:r>
      <w:r w:rsidRPr="00CC5472">
        <w:rPr>
          <w:rFonts w:ascii="Times New Roman" w:hAnsi="Times New Roman" w:cs="Times New Roman"/>
          <w:sz w:val="20"/>
          <w:szCs w:val="20"/>
        </w:rPr>
        <w:t xml:space="preserve">, “Liability of Intermediary Service Providers in the EU Directive on Electronic Commerce”, </w:t>
      </w:r>
      <w:r w:rsidRPr="00CC5472">
        <w:rPr>
          <w:rFonts w:ascii="Times New Roman" w:hAnsi="Times New Roman" w:cs="Times New Roman"/>
          <w:i/>
          <w:iCs/>
          <w:sz w:val="20"/>
          <w:szCs w:val="20"/>
        </w:rPr>
        <w:t>Santa Clara High Technology Law Journal</w:t>
      </w:r>
      <w:r w:rsidRPr="00CC5472">
        <w:rPr>
          <w:rFonts w:ascii="Times New Roman" w:hAnsi="Times New Roman" w:cs="Times New Roman"/>
          <w:sz w:val="20"/>
          <w:szCs w:val="20"/>
        </w:rPr>
        <w:t>, 19, (2003).</w:t>
      </w:r>
    </w:p>
    <w:p w14:paraId="27336A64"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Bertolini</w:t>
      </w:r>
      <w:proofErr w:type="spellEnd"/>
      <w:r w:rsidRPr="00CC5472">
        <w:rPr>
          <w:rFonts w:ascii="Times New Roman" w:hAnsi="Times New Roman" w:cs="Times New Roman"/>
          <w:smallCaps/>
          <w:sz w:val="20"/>
          <w:szCs w:val="20"/>
        </w:rPr>
        <w:t>, Andrea</w:t>
      </w:r>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Liability of online platforms</w:t>
      </w:r>
      <w:r w:rsidRPr="00CC5472">
        <w:rPr>
          <w:rFonts w:ascii="Times New Roman" w:hAnsi="Times New Roman" w:cs="Times New Roman"/>
          <w:sz w:val="20"/>
          <w:szCs w:val="20"/>
        </w:rPr>
        <w:t xml:space="preserve">, </w:t>
      </w:r>
      <w:hyperlink r:id="rId10" w:history="1">
        <w:r w:rsidRPr="00CC5472">
          <w:rPr>
            <w:rStyle w:val="Hiperligao"/>
            <w:rFonts w:ascii="Times New Roman" w:hAnsi="Times New Roman" w:cs="Times New Roman"/>
            <w:sz w:val="20"/>
            <w:szCs w:val="20"/>
          </w:rPr>
          <w:t>https://www.europarl.europa.eu/</w:t>
        </w:r>
      </w:hyperlink>
      <w:r w:rsidRPr="00CC5472">
        <w:rPr>
          <w:rFonts w:ascii="Times New Roman" w:hAnsi="Times New Roman" w:cs="Times New Roman"/>
          <w:sz w:val="20"/>
          <w:szCs w:val="20"/>
        </w:rPr>
        <w:t>, 2021.</w:t>
      </w:r>
    </w:p>
    <w:p w14:paraId="7A8537CB" w14:textId="77777777" w:rsidR="00E62CB2" w:rsidRPr="00CC5472" w:rsidRDefault="00E62CB2" w:rsidP="00757F8A">
      <w:pPr>
        <w:spacing w:after="0" w:line="360" w:lineRule="auto"/>
        <w:jc w:val="both"/>
        <w:rPr>
          <w:rFonts w:ascii="Times New Roman" w:hAnsi="Times New Roman" w:cs="Times New Roman"/>
          <w:sz w:val="20"/>
          <w:szCs w:val="20"/>
          <w:lang w:val="fr-FR"/>
        </w:rPr>
      </w:pPr>
      <w:r w:rsidRPr="00CC5472">
        <w:rPr>
          <w:rFonts w:ascii="Times New Roman" w:hAnsi="Times New Roman" w:cs="Times New Roman"/>
          <w:smallCaps/>
          <w:sz w:val="20"/>
          <w:szCs w:val="20"/>
          <w:lang w:val="fr-FR"/>
        </w:rPr>
        <w:t>Bertrand, André R.</w:t>
      </w:r>
      <w:r w:rsidRPr="00CC5472">
        <w:rPr>
          <w:rFonts w:ascii="Times New Roman" w:hAnsi="Times New Roman" w:cs="Times New Roman"/>
          <w:sz w:val="20"/>
          <w:szCs w:val="20"/>
          <w:lang w:val="fr-FR"/>
        </w:rPr>
        <w:t xml:space="preserve">, </w:t>
      </w:r>
      <w:r w:rsidRPr="00CC5472">
        <w:rPr>
          <w:rFonts w:ascii="Times New Roman" w:hAnsi="Times New Roman" w:cs="Times New Roman"/>
          <w:i/>
          <w:iCs/>
          <w:sz w:val="20"/>
          <w:szCs w:val="20"/>
          <w:lang w:val="fr-FR"/>
        </w:rPr>
        <w:t>Droit d’Auteur</w:t>
      </w:r>
      <w:r w:rsidRPr="00CC5472">
        <w:rPr>
          <w:rFonts w:ascii="Times New Roman" w:hAnsi="Times New Roman" w:cs="Times New Roman"/>
          <w:sz w:val="20"/>
          <w:szCs w:val="20"/>
          <w:lang w:val="fr-FR"/>
        </w:rPr>
        <w:t xml:space="preserve">, Dalloz, </w:t>
      </w:r>
      <w:proofErr w:type="spellStart"/>
      <w:r w:rsidRPr="00CC5472">
        <w:rPr>
          <w:rFonts w:ascii="Times New Roman" w:hAnsi="Times New Roman" w:cs="Times New Roman"/>
          <w:sz w:val="20"/>
          <w:szCs w:val="20"/>
          <w:lang w:val="fr-FR"/>
        </w:rPr>
        <w:t>troisiéme</w:t>
      </w:r>
      <w:proofErr w:type="spellEnd"/>
      <w:r w:rsidRPr="00CC5472">
        <w:rPr>
          <w:rFonts w:ascii="Times New Roman" w:hAnsi="Times New Roman" w:cs="Times New Roman"/>
          <w:sz w:val="20"/>
          <w:szCs w:val="20"/>
          <w:lang w:val="fr-FR"/>
        </w:rPr>
        <w:t xml:space="preserve"> édition, 2010.</w:t>
      </w:r>
    </w:p>
    <w:p w14:paraId="63BA7329" w14:textId="77777777" w:rsidR="00E62CB2" w:rsidRPr="00CC5472" w:rsidRDefault="00E62CB2" w:rsidP="00757F8A">
      <w:pPr>
        <w:spacing w:after="0" w:line="360" w:lineRule="auto"/>
        <w:jc w:val="both"/>
        <w:rPr>
          <w:rFonts w:ascii="Times New Roman" w:hAnsi="Times New Roman" w:cs="Times New Roman"/>
          <w:sz w:val="20"/>
          <w:szCs w:val="20"/>
          <w:lang w:val="fr-FR"/>
        </w:rPr>
      </w:pPr>
      <w:proofErr w:type="spellStart"/>
      <w:r w:rsidRPr="00CC5472">
        <w:rPr>
          <w:rFonts w:ascii="Times New Roman" w:hAnsi="Times New Roman" w:cs="Times New Roman"/>
          <w:smallCaps/>
          <w:sz w:val="20"/>
          <w:szCs w:val="20"/>
          <w:lang w:val="fr-FR"/>
        </w:rPr>
        <w:t>Binctin</w:t>
      </w:r>
      <w:proofErr w:type="spellEnd"/>
      <w:r w:rsidRPr="00CC5472">
        <w:rPr>
          <w:rFonts w:ascii="Times New Roman" w:hAnsi="Times New Roman" w:cs="Times New Roman"/>
          <w:smallCaps/>
          <w:sz w:val="20"/>
          <w:szCs w:val="20"/>
          <w:lang w:val="fr-FR"/>
        </w:rPr>
        <w:t>, Nicolas</w:t>
      </w:r>
      <w:r w:rsidRPr="00CC5472">
        <w:rPr>
          <w:rFonts w:ascii="Times New Roman" w:hAnsi="Times New Roman" w:cs="Times New Roman"/>
          <w:sz w:val="20"/>
          <w:szCs w:val="20"/>
          <w:lang w:val="fr-FR"/>
        </w:rPr>
        <w:t xml:space="preserve">, </w:t>
      </w:r>
      <w:r w:rsidRPr="00CC5472">
        <w:rPr>
          <w:rFonts w:ascii="Times New Roman" w:hAnsi="Times New Roman" w:cs="Times New Roman"/>
          <w:i/>
          <w:iCs/>
          <w:sz w:val="20"/>
          <w:szCs w:val="20"/>
          <w:lang w:val="fr-FR"/>
        </w:rPr>
        <w:t>Droit de la Propriété Intellectuelle</w:t>
      </w:r>
      <w:r w:rsidRPr="00CC5472">
        <w:rPr>
          <w:rFonts w:ascii="Times New Roman" w:hAnsi="Times New Roman" w:cs="Times New Roman"/>
          <w:sz w:val="20"/>
          <w:szCs w:val="20"/>
          <w:lang w:val="fr-FR"/>
        </w:rPr>
        <w:t>, 3.</w:t>
      </w:r>
      <w:r w:rsidRPr="00CC5472">
        <w:rPr>
          <w:rFonts w:ascii="Times New Roman" w:hAnsi="Times New Roman" w:cs="Times New Roman"/>
          <w:sz w:val="20"/>
          <w:szCs w:val="20"/>
          <w:vertAlign w:val="superscript"/>
          <w:lang w:val="fr-FR"/>
        </w:rPr>
        <w:t>e</w:t>
      </w:r>
      <w:r w:rsidRPr="00CC5472">
        <w:rPr>
          <w:rFonts w:ascii="Times New Roman" w:hAnsi="Times New Roman" w:cs="Times New Roman"/>
          <w:sz w:val="20"/>
          <w:szCs w:val="20"/>
          <w:lang w:val="fr-FR"/>
        </w:rPr>
        <w:t xml:space="preserve"> édition, LGDJ, 2014.</w:t>
      </w:r>
    </w:p>
    <w:p w14:paraId="02E0D506"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Bridy</w:t>
      </w:r>
      <w:proofErr w:type="spellEnd"/>
      <w:r w:rsidRPr="00CC5472">
        <w:rPr>
          <w:rFonts w:ascii="Times New Roman" w:hAnsi="Times New Roman" w:cs="Times New Roman"/>
          <w:smallCaps/>
          <w:sz w:val="20"/>
          <w:szCs w:val="20"/>
        </w:rPr>
        <w:t>, Annemarie</w:t>
      </w:r>
      <w:r w:rsidRPr="00CC5472">
        <w:rPr>
          <w:rFonts w:ascii="Times New Roman" w:hAnsi="Times New Roman" w:cs="Times New Roman"/>
          <w:sz w:val="20"/>
          <w:szCs w:val="20"/>
        </w:rPr>
        <w:t xml:space="preserve">, “The Price of Closing the Value Gap: How the Music Industry Hacked EU Copyright Reform”, </w:t>
      </w:r>
      <w:r w:rsidRPr="00CC5472">
        <w:rPr>
          <w:rFonts w:ascii="Times New Roman" w:hAnsi="Times New Roman" w:cs="Times New Roman"/>
          <w:i/>
          <w:iCs/>
          <w:sz w:val="20"/>
          <w:szCs w:val="20"/>
        </w:rPr>
        <w:t>Vanderbilt Journal of Entertainment and Technology Law</w:t>
      </w:r>
      <w:r w:rsidRPr="00CC5472">
        <w:rPr>
          <w:rFonts w:ascii="Times New Roman" w:hAnsi="Times New Roman" w:cs="Times New Roman"/>
          <w:sz w:val="20"/>
          <w:szCs w:val="20"/>
        </w:rPr>
        <w:t>, 22 (2020) (</w:t>
      </w:r>
      <w:hyperlink r:id="rId11" w:history="1">
        <w:r w:rsidRPr="00CC5472">
          <w:rPr>
            <w:rStyle w:val="Hiperligao"/>
            <w:rFonts w:ascii="Times New Roman" w:hAnsi="Times New Roman" w:cs="Times New Roman"/>
            <w:sz w:val="20"/>
            <w:szCs w:val="20"/>
          </w:rPr>
          <w:t>https://scholarship.law.vanderbilt.edu/jetlaw/vol22/iss2/4</w:t>
        </w:r>
      </w:hyperlink>
      <w:r w:rsidRPr="00CC5472">
        <w:rPr>
          <w:rFonts w:ascii="Times New Roman" w:hAnsi="Times New Roman" w:cs="Times New Roman"/>
          <w:sz w:val="20"/>
          <w:szCs w:val="20"/>
        </w:rPr>
        <w:t>).</w:t>
      </w:r>
    </w:p>
    <w:p w14:paraId="0658F497"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Buck, Philippe de</w:t>
      </w:r>
      <w:r w:rsidRPr="00CC5472">
        <w:rPr>
          <w:rFonts w:ascii="Times New Roman" w:hAnsi="Times New Roman" w:cs="Times New Roman"/>
          <w:sz w:val="20"/>
          <w:szCs w:val="20"/>
        </w:rPr>
        <w:t xml:space="preserve">, “Expectations of European companies as regards Intellectual Property in Europe &amp; globally”, </w:t>
      </w:r>
      <w:r w:rsidRPr="00CC5472">
        <w:rPr>
          <w:rFonts w:ascii="Times New Roman" w:hAnsi="Times New Roman" w:cs="Times New Roman"/>
          <w:i/>
          <w:iCs/>
          <w:sz w:val="20"/>
          <w:szCs w:val="20"/>
        </w:rPr>
        <w:t>in:</w:t>
      </w:r>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The Future Prospects for Intellectual Property in the EU: 2012-2022</w:t>
      </w:r>
      <w:r w:rsidRPr="00CC5472">
        <w:rPr>
          <w:rFonts w:ascii="Times New Roman" w:hAnsi="Times New Roman" w:cs="Times New Roman"/>
          <w:sz w:val="20"/>
          <w:szCs w:val="20"/>
        </w:rPr>
        <w:t xml:space="preserve">, </w:t>
      </w:r>
      <w:proofErr w:type="spellStart"/>
      <w:r w:rsidRPr="00CC5472">
        <w:rPr>
          <w:rFonts w:ascii="Times New Roman" w:hAnsi="Times New Roman" w:cs="Times New Roman"/>
          <w:sz w:val="20"/>
          <w:szCs w:val="20"/>
        </w:rPr>
        <w:t>L’Ingénieur</w:t>
      </w:r>
      <w:proofErr w:type="spellEnd"/>
      <w:r w:rsidRPr="00CC5472">
        <w:rPr>
          <w:rFonts w:ascii="Times New Roman" w:hAnsi="Times New Roman" w:cs="Times New Roman"/>
          <w:sz w:val="20"/>
          <w:szCs w:val="20"/>
        </w:rPr>
        <w:t xml:space="preserve"> Conseil – Intellectual Property, GEVERS, Brussels, 2011.</w:t>
      </w:r>
    </w:p>
    <w:p w14:paraId="1DABFB2F" w14:textId="77777777" w:rsidR="00E62CB2" w:rsidRPr="00CC5472" w:rsidRDefault="00E62CB2" w:rsidP="00757F8A">
      <w:pPr>
        <w:spacing w:after="0" w:line="360" w:lineRule="auto"/>
        <w:jc w:val="both"/>
        <w:rPr>
          <w:rFonts w:ascii="Times New Roman" w:hAnsi="Times New Roman" w:cs="Times New Roman"/>
          <w:sz w:val="20"/>
          <w:szCs w:val="20"/>
          <w:lang w:val="fr-FR"/>
        </w:rPr>
      </w:pPr>
      <w:proofErr w:type="spellStart"/>
      <w:r w:rsidRPr="00CC5472">
        <w:rPr>
          <w:rFonts w:ascii="Times New Roman" w:hAnsi="Times New Roman" w:cs="Times New Roman"/>
          <w:smallCaps/>
          <w:sz w:val="20"/>
          <w:szCs w:val="20"/>
          <w:lang w:val="fr-FR"/>
        </w:rPr>
        <w:t>Buydens</w:t>
      </w:r>
      <w:proofErr w:type="spellEnd"/>
      <w:r w:rsidRPr="00CC5472">
        <w:rPr>
          <w:rFonts w:ascii="Times New Roman" w:hAnsi="Times New Roman" w:cs="Times New Roman"/>
          <w:smallCaps/>
          <w:sz w:val="20"/>
          <w:szCs w:val="20"/>
          <w:lang w:val="fr-FR"/>
        </w:rPr>
        <w:t>, Mireille</w:t>
      </w:r>
      <w:r w:rsidRPr="00CC5472">
        <w:rPr>
          <w:rFonts w:ascii="Times New Roman" w:hAnsi="Times New Roman" w:cs="Times New Roman"/>
          <w:sz w:val="20"/>
          <w:szCs w:val="20"/>
          <w:lang w:val="fr-FR"/>
        </w:rPr>
        <w:t xml:space="preserve">, </w:t>
      </w:r>
      <w:r w:rsidRPr="00CC5472">
        <w:rPr>
          <w:rFonts w:ascii="Times New Roman" w:hAnsi="Times New Roman" w:cs="Times New Roman"/>
          <w:i/>
          <w:iCs/>
          <w:sz w:val="20"/>
          <w:szCs w:val="20"/>
          <w:lang w:val="fr-FR"/>
        </w:rPr>
        <w:t>La propriété intellectuelle. Évolution historique et philosophique</w:t>
      </w:r>
      <w:r w:rsidRPr="00CC5472">
        <w:rPr>
          <w:rFonts w:ascii="Times New Roman" w:hAnsi="Times New Roman" w:cs="Times New Roman"/>
          <w:sz w:val="20"/>
          <w:szCs w:val="20"/>
          <w:lang w:val="fr-FR"/>
        </w:rPr>
        <w:t>, Bruylant, Brussels, 2012.</w:t>
      </w:r>
    </w:p>
    <w:p w14:paraId="69CFF8A1"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Cornish/Llewelyn/</w:t>
      </w:r>
      <w:proofErr w:type="spellStart"/>
      <w:r w:rsidRPr="00CC5472">
        <w:rPr>
          <w:rFonts w:ascii="Times New Roman" w:hAnsi="Times New Roman" w:cs="Times New Roman"/>
          <w:smallCaps/>
          <w:sz w:val="20"/>
          <w:szCs w:val="20"/>
        </w:rPr>
        <w:t>Aplin</w:t>
      </w:r>
      <w:proofErr w:type="spellEnd"/>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 xml:space="preserve">Intellectual Property: Patents, Copyright, </w:t>
      </w:r>
      <w:proofErr w:type="gramStart"/>
      <w:r w:rsidRPr="00CC5472">
        <w:rPr>
          <w:rFonts w:ascii="Times New Roman" w:hAnsi="Times New Roman" w:cs="Times New Roman"/>
          <w:i/>
          <w:iCs/>
          <w:sz w:val="20"/>
          <w:szCs w:val="20"/>
        </w:rPr>
        <w:t>Trade Marks</w:t>
      </w:r>
      <w:proofErr w:type="gramEnd"/>
      <w:r w:rsidRPr="00CC5472">
        <w:rPr>
          <w:rFonts w:ascii="Times New Roman" w:hAnsi="Times New Roman" w:cs="Times New Roman"/>
          <w:i/>
          <w:iCs/>
          <w:sz w:val="20"/>
          <w:szCs w:val="20"/>
        </w:rPr>
        <w:t xml:space="preserve"> and Allied Rights</w:t>
      </w:r>
      <w:r w:rsidRPr="00CC5472">
        <w:rPr>
          <w:rFonts w:ascii="Times New Roman" w:hAnsi="Times New Roman" w:cs="Times New Roman"/>
          <w:sz w:val="20"/>
          <w:szCs w:val="20"/>
        </w:rPr>
        <w:t>, Ninth Edition, Thompson Reuters, 2019.</w:t>
      </w:r>
    </w:p>
    <w:p w14:paraId="6A821CC7" w14:textId="77777777" w:rsidR="00E62CB2" w:rsidRPr="00CC5472" w:rsidRDefault="00E62CB2" w:rsidP="00757F8A">
      <w:pPr>
        <w:spacing w:after="0" w:line="360" w:lineRule="auto"/>
        <w:jc w:val="both"/>
        <w:rPr>
          <w:rFonts w:ascii="Times New Roman" w:hAnsi="Times New Roman" w:cs="Times New Roman"/>
          <w:sz w:val="20"/>
          <w:szCs w:val="20"/>
          <w:lang w:val="fr-FR"/>
        </w:rPr>
      </w:pPr>
      <w:proofErr w:type="spellStart"/>
      <w:r w:rsidRPr="00CC5472">
        <w:rPr>
          <w:rFonts w:ascii="Times New Roman" w:hAnsi="Times New Roman" w:cs="Times New Roman"/>
          <w:smallCaps/>
          <w:sz w:val="20"/>
          <w:szCs w:val="20"/>
          <w:lang w:val="fr-FR"/>
        </w:rPr>
        <w:t>Féral-Schuhl</w:t>
      </w:r>
      <w:proofErr w:type="spellEnd"/>
      <w:r w:rsidRPr="00CC5472">
        <w:rPr>
          <w:rFonts w:ascii="Times New Roman" w:hAnsi="Times New Roman" w:cs="Times New Roman"/>
          <w:smallCaps/>
          <w:sz w:val="20"/>
          <w:szCs w:val="20"/>
          <w:lang w:val="fr-FR"/>
        </w:rPr>
        <w:t>, Christiane</w:t>
      </w:r>
      <w:r w:rsidRPr="00CC5472">
        <w:rPr>
          <w:rFonts w:ascii="Times New Roman" w:hAnsi="Times New Roman" w:cs="Times New Roman"/>
          <w:sz w:val="20"/>
          <w:szCs w:val="20"/>
          <w:lang w:val="fr-FR"/>
        </w:rPr>
        <w:t xml:space="preserve">, </w:t>
      </w:r>
      <w:proofErr w:type="spellStart"/>
      <w:r w:rsidRPr="00CC5472">
        <w:rPr>
          <w:rFonts w:ascii="Times New Roman" w:hAnsi="Times New Roman" w:cs="Times New Roman"/>
          <w:i/>
          <w:iCs/>
          <w:sz w:val="20"/>
          <w:szCs w:val="20"/>
          <w:lang w:val="fr-FR"/>
        </w:rPr>
        <w:t>Cyberdroit</w:t>
      </w:r>
      <w:proofErr w:type="spellEnd"/>
      <w:r w:rsidRPr="00CC5472">
        <w:rPr>
          <w:rFonts w:ascii="Times New Roman" w:hAnsi="Times New Roman" w:cs="Times New Roman"/>
          <w:i/>
          <w:iCs/>
          <w:sz w:val="20"/>
          <w:szCs w:val="20"/>
          <w:lang w:val="fr-FR"/>
        </w:rPr>
        <w:t>, Le Droit à l’Épreuve de l’Internet</w:t>
      </w:r>
      <w:r w:rsidRPr="00CC5472">
        <w:rPr>
          <w:rFonts w:ascii="Times New Roman" w:hAnsi="Times New Roman" w:cs="Times New Roman"/>
          <w:sz w:val="20"/>
          <w:szCs w:val="20"/>
          <w:lang w:val="fr-FR"/>
        </w:rPr>
        <w:t>, Dalloz, sixième édition, 2010.</w:t>
      </w:r>
    </w:p>
    <w:p w14:paraId="1C96F030" w14:textId="77777777" w:rsidR="00E62CB2" w:rsidRPr="00CC5472" w:rsidRDefault="00E62CB2" w:rsidP="00757F8A">
      <w:pPr>
        <w:spacing w:after="0" w:line="360" w:lineRule="auto"/>
        <w:jc w:val="both"/>
        <w:rPr>
          <w:rStyle w:val="Hiperligao"/>
          <w:rFonts w:ascii="Times New Roman" w:hAnsi="Times New Roman" w:cs="Times New Roman"/>
          <w:color w:val="auto"/>
          <w:sz w:val="20"/>
          <w:szCs w:val="20"/>
          <w:u w:val="none"/>
        </w:rPr>
      </w:pPr>
      <w:proofErr w:type="spellStart"/>
      <w:r w:rsidRPr="00CC5472">
        <w:rPr>
          <w:rFonts w:ascii="Times New Roman" w:hAnsi="Times New Roman" w:cs="Times New Roman"/>
          <w:smallCaps/>
          <w:sz w:val="20"/>
          <w:szCs w:val="20"/>
        </w:rPr>
        <w:t>Ferri</w:t>
      </w:r>
      <w:proofErr w:type="spellEnd"/>
      <w:r w:rsidRPr="00CC5472">
        <w:rPr>
          <w:rFonts w:ascii="Times New Roman" w:hAnsi="Times New Roman" w:cs="Times New Roman"/>
          <w:smallCaps/>
          <w:sz w:val="20"/>
          <w:szCs w:val="20"/>
        </w:rPr>
        <w:t>, Federico</w:t>
      </w:r>
      <w:r w:rsidRPr="00CC5472">
        <w:rPr>
          <w:rFonts w:ascii="Times New Roman" w:hAnsi="Times New Roman" w:cs="Times New Roman"/>
          <w:sz w:val="20"/>
          <w:szCs w:val="20"/>
        </w:rPr>
        <w:t xml:space="preserve">, “The dark side(s) of the EU Directive on copyright and related rights in the Digital Single Market”, </w:t>
      </w:r>
      <w:r w:rsidRPr="00CC5472">
        <w:rPr>
          <w:rFonts w:ascii="Times New Roman" w:hAnsi="Times New Roman" w:cs="Times New Roman"/>
          <w:i/>
          <w:iCs/>
          <w:sz w:val="20"/>
          <w:szCs w:val="20"/>
        </w:rPr>
        <w:t>China-EU Law Journal</w:t>
      </w:r>
      <w:r w:rsidRPr="00CC5472">
        <w:rPr>
          <w:rFonts w:ascii="Times New Roman" w:hAnsi="Times New Roman" w:cs="Times New Roman"/>
          <w:sz w:val="20"/>
          <w:szCs w:val="20"/>
        </w:rPr>
        <w:t xml:space="preserve">, (2020), </w:t>
      </w:r>
      <w:hyperlink r:id="rId12" w:history="1">
        <w:r w:rsidRPr="00CC5472">
          <w:rPr>
            <w:rStyle w:val="Hiperligao"/>
            <w:rFonts w:ascii="Times New Roman" w:hAnsi="Times New Roman" w:cs="Times New Roman"/>
            <w:sz w:val="20"/>
            <w:szCs w:val="20"/>
          </w:rPr>
          <w:t>https://doi.org/10.1007/s12689-020-00089-5</w:t>
        </w:r>
      </w:hyperlink>
      <w:r w:rsidRPr="00CC5472">
        <w:rPr>
          <w:rStyle w:val="Hiperligao"/>
          <w:rFonts w:ascii="Times New Roman" w:hAnsi="Times New Roman" w:cs="Times New Roman"/>
          <w:color w:val="auto"/>
          <w:sz w:val="20"/>
          <w:szCs w:val="20"/>
          <w:u w:val="none"/>
        </w:rPr>
        <w:t>.</w:t>
      </w:r>
    </w:p>
    <w:p w14:paraId="65891882"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Finck</w:t>
      </w:r>
      <w:proofErr w:type="spellEnd"/>
      <w:r w:rsidRPr="00CC5472">
        <w:rPr>
          <w:rFonts w:ascii="Times New Roman" w:hAnsi="Times New Roman" w:cs="Times New Roman"/>
          <w:smallCaps/>
          <w:sz w:val="20"/>
          <w:szCs w:val="20"/>
        </w:rPr>
        <w:t xml:space="preserve">, Michèle / </w:t>
      </w:r>
      <w:proofErr w:type="spellStart"/>
      <w:r w:rsidRPr="00CC5472">
        <w:rPr>
          <w:rFonts w:ascii="Times New Roman" w:hAnsi="Times New Roman" w:cs="Times New Roman"/>
          <w:smallCaps/>
          <w:sz w:val="20"/>
          <w:szCs w:val="20"/>
        </w:rPr>
        <w:t>Moscon</w:t>
      </w:r>
      <w:proofErr w:type="spellEnd"/>
      <w:r w:rsidRPr="00CC5472">
        <w:rPr>
          <w:rFonts w:ascii="Times New Roman" w:hAnsi="Times New Roman" w:cs="Times New Roman"/>
          <w:smallCaps/>
          <w:sz w:val="20"/>
          <w:szCs w:val="20"/>
        </w:rPr>
        <w:t>, Valentina</w:t>
      </w:r>
      <w:r w:rsidRPr="00CC5472">
        <w:rPr>
          <w:rFonts w:ascii="Times New Roman" w:hAnsi="Times New Roman" w:cs="Times New Roman"/>
          <w:sz w:val="20"/>
          <w:szCs w:val="20"/>
        </w:rPr>
        <w:t xml:space="preserve">, “Copyright Law on Blockchains: Between New Forms of Rights Administration and Digital Rights Management 2.0”, </w:t>
      </w:r>
      <w:r w:rsidRPr="00CC5472">
        <w:rPr>
          <w:rFonts w:ascii="Times New Roman" w:hAnsi="Times New Roman" w:cs="Times New Roman"/>
          <w:i/>
          <w:iCs/>
          <w:sz w:val="20"/>
          <w:szCs w:val="20"/>
        </w:rPr>
        <w:t>IIC</w:t>
      </w:r>
      <w:r w:rsidRPr="00CC5472">
        <w:rPr>
          <w:rFonts w:ascii="Times New Roman" w:hAnsi="Times New Roman" w:cs="Times New Roman"/>
          <w:sz w:val="20"/>
          <w:szCs w:val="20"/>
        </w:rPr>
        <w:t xml:space="preserve"> 50 (2019).</w:t>
      </w:r>
    </w:p>
    <w:p w14:paraId="577E2079" w14:textId="77777777" w:rsidR="00E62CB2" w:rsidRPr="00CC5472" w:rsidRDefault="00E62CB2" w:rsidP="00757F8A">
      <w:pPr>
        <w:spacing w:after="0" w:line="360" w:lineRule="auto"/>
        <w:jc w:val="both"/>
        <w:rPr>
          <w:rFonts w:ascii="Times New Roman" w:hAnsi="Times New Roman" w:cs="Times New Roman"/>
          <w:sz w:val="20"/>
          <w:szCs w:val="20"/>
          <w:lang w:val="it-IT"/>
        </w:rPr>
      </w:pPr>
      <w:r w:rsidRPr="00CC5472">
        <w:rPr>
          <w:rFonts w:ascii="Times New Roman" w:hAnsi="Times New Roman" w:cs="Times New Roman"/>
          <w:smallCaps/>
          <w:sz w:val="20"/>
          <w:szCs w:val="20"/>
          <w:lang w:val="it-IT"/>
        </w:rPr>
        <w:t>Frassi, Paola A. E.</w:t>
      </w:r>
      <w:r w:rsidRPr="00CC5472">
        <w:rPr>
          <w:rFonts w:ascii="Times New Roman" w:hAnsi="Times New Roman" w:cs="Times New Roman"/>
          <w:sz w:val="20"/>
          <w:szCs w:val="20"/>
          <w:lang w:val="it-IT"/>
        </w:rPr>
        <w:t xml:space="preserve">, “Diritti degli autori e diritti degli utenti nella rete internet: problemi e prospettive”, </w:t>
      </w:r>
      <w:r w:rsidRPr="00CC5472">
        <w:rPr>
          <w:rFonts w:ascii="Times New Roman" w:hAnsi="Times New Roman" w:cs="Times New Roman"/>
          <w:i/>
          <w:iCs/>
          <w:sz w:val="20"/>
          <w:szCs w:val="20"/>
          <w:lang w:val="it-IT"/>
        </w:rPr>
        <w:t>in: Scritti scelti di Diritto Industriale e Diritto d’Autore</w:t>
      </w:r>
      <w:r w:rsidRPr="00CC5472">
        <w:rPr>
          <w:rFonts w:ascii="Times New Roman" w:hAnsi="Times New Roman" w:cs="Times New Roman"/>
          <w:sz w:val="20"/>
          <w:szCs w:val="20"/>
          <w:lang w:val="it-IT"/>
        </w:rPr>
        <w:t>, Giuffrê Editore, 2013.</w:t>
      </w:r>
    </w:p>
    <w:p w14:paraId="1CB0955B"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 xml:space="preserve">Geiger, Christophe / </w:t>
      </w:r>
      <w:proofErr w:type="spellStart"/>
      <w:r w:rsidRPr="00CC5472">
        <w:rPr>
          <w:rFonts w:ascii="Times New Roman" w:hAnsi="Times New Roman" w:cs="Times New Roman"/>
          <w:smallCaps/>
          <w:sz w:val="20"/>
          <w:szCs w:val="20"/>
        </w:rPr>
        <w:t>Izyumenko</w:t>
      </w:r>
      <w:proofErr w:type="spellEnd"/>
      <w:r w:rsidRPr="00CC5472">
        <w:rPr>
          <w:rFonts w:ascii="Times New Roman" w:hAnsi="Times New Roman" w:cs="Times New Roman"/>
          <w:smallCaps/>
          <w:sz w:val="20"/>
          <w:szCs w:val="20"/>
        </w:rPr>
        <w:t>, Elena</w:t>
      </w:r>
      <w:r w:rsidRPr="00CC5472">
        <w:rPr>
          <w:rFonts w:ascii="Times New Roman" w:hAnsi="Times New Roman" w:cs="Times New Roman"/>
          <w:sz w:val="20"/>
          <w:szCs w:val="20"/>
        </w:rPr>
        <w:t xml:space="preserve">, “The </w:t>
      </w:r>
      <w:proofErr w:type="spellStart"/>
      <w:r w:rsidRPr="00CC5472">
        <w:rPr>
          <w:rFonts w:ascii="Times New Roman" w:hAnsi="Times New Roman" w:cs="Times New Roman"/>
          <w:sz w:val="20"/>
          <w:szCs w:val="20"/>
        </w:rPr>
        <w:t>Constitutionalization</w:t>
      </w:r>
      <w:proofErr w:type="spellEnd"/>
      <w:r w:rsidRPr="00CC5472">
        <w:rPr>
          <w:rFonts w:ascii="Times New Roman" w:hAnsi="Times New Roman" w:cs="Times New Roman"/>
          <w:sz w:val="20"/>
          <w:szCs w:val="20"/>
        </w:rPr>
        <w:t xml:space="preserve"> of Intellectual Property Law in the EU and the Funke </w:t>
      </w:r>
      <w:proofErr w:type="spellStart"/>
      <w:r w:rsidRPr="00CC5472">
        <w:rPr>
          <w:rFonts w:ascii="Times New Roman" w:hAnsi="Times New Roman" w:cs="Times New Roman"/>
          <w:sz w:val="20"/>
          <w:szCs w:val="20"/>
        </w:rPr>
        <w:t>Medien</w:t>
      </w:r>
      <w:proofErr w:type="spellEnd"/>
      <w:r w:rsidRPr="00CC5472">
        <w:rPr>
          <w:rFonts w:ascii="Times New Roman" w:hAnsi="Times New Roman" w:cs="Times New Roman"/>
          <w:sz w:val="20"/>
          <w:szCs w:val="20"/>
        </w:rPr>
        <w:t xml:space="preserve">, Pelham and Spiegel Online Decisions of the CJEU: Progress, But Still Some Way to Go!”, </w:t>
      </w:r>
      <w:r w:rsidRPr="00CC5472">
        <w:rPr>
          <w:rFonts w:ascii="Times New Roman" w:hAnsi="Times New Roman" w:cs="Times New Roman"/>
          <w:i/>
          <w:iCs/>
          <w:sz w:val="20"/>
          <w:szCs w:val="20"/>
        </w:rPr>
        <w:t>International Review of Intellectual Property and Competition Law</w:t>
      </w:r>
      <w:r w:rsidRPr="00CC5472">
        <w:rPr>
          <w:rFonts w:ascii="Times New Roman" w:hAnsi="Times New Roman" w:cs="Times New Roman"/>
          <w:sz w:val="20"/>
          <w:szCs w:val="20"/>
        </w:rPr>
        <w:t xml:space="preserve">, 51 (2020), 3, Centre for International Intellectual Property Studies (CEIPI), Research Paper No. 2019-09, https://ssrn.com/abstract=3472852 or </w:t>
      </w:r>
      <w:hyperlink r:id="rId13" w:history="1">
        <w:r w:rsidRPr="00CC5472">
          <w:rPr>
            <w:rStyle w:val="Hiperligao"/>
            <w:rFonts w:ascii="Times New Roman" w:hAnsi="Times New Roman" w:cs="Times New Roman"/>
            <w:sz w:val="20"/>
            <w:szCs w:val="20"/>
          </w:rPr>
          <w:t>http://dx.doi.org/10.2139/ssrn.3472852</w:t>
        </w:r>
      </w:hyperlink>
      <w:r w:rsidRPr="00CC5472">
        <w:rPr>
          <w:rFonts w:ascii="Times New Roman" w:hAnsi="Times New Roman" w:cs="Times New Roman"/>
          <w:sz w:val="20"/>
          <w:szCs w:val="20"/>
        </w:rPr>
        <w:t>.</w:t>
      </w:r>
    </w:p>
    <w:p w14:paraId="3D5E7DE7" w14:textId="77777777" w:rsidR="00E62CB2" w:rsidRPr="00CC5472" w:rsidRDefault="00E62CB2" w:rsidP="00757F8A">
      <w:pPr>
        <w:spacing w:after="0" w:line="360" w:lineRule="auto"/>
        <w:jc w:val="both"/>
        <w:rPr>
          <w:rFonts w:ascii="Times New Roman" w:hAnsi="Times New Roman" w:cs="Times New Roman"/>
          <w:sz w:val="20"/>
          <w:szCs w:val="20"/>
          <w:lang w:val="es-ES_tradnl"/>
        </w:rPr>
      </w:pPr>
      <w:r w:rsidRPr="00CC5472">
        <w:rPr>
          <w:rFonts w:ascii="Times New Roman" w:hAnsi="Times New Roman" w:cs="Times New Roman"/>
          <w:smallCaps/>
          <w:sz w:val="20"/>
          <w:szCs w:val="20"/>
          <w:lang w:val="es-ES_tradnl"/>
        </w:rPr>
        <w:lastRenderedPageBreak/>
        <w:t>Gómez, Eduardo Serrano</w:t>
      </w:r>
      <w:r w:rsidRPr="00CC5472">
        <w:rPr>
          <w:rFonts w:ascii="Times New Roman" w:hAnsi="Times New Roman" w:cs="Times New Roman"/>
          <w:sz w:val="20"/>
          <w:szCs w:val="20"/>
          <w:lang w:val="es-ES_tradnl"/>
        </w:rPr>
        <w:t xml:space="preserve">, “Nuevos retos de la propriedad intelectual en el marco de la unión europea”, </w:t>
      </w:r>
      <w:r w:rsidRPr="00CC5472">
        <w:rPr>
          <w:rFonts w:ascii="Times New Roman" w:hAnsi="Times New Roman" w:cs="Times New Roman"/>
          <w:i/>
          <w:iCs/>
          <w:sz w:val="20"/>
          <w:szCs w:val="20"/>
          <w:lang w:val="es-ES_tradnl"/>
        </w:rPr>
        <w:t xml:space="preserve">Revista de </w:t>
      </w:r>
      <w:proofErr w:type="spellStart"/>
      <w:r w:rsidRPr="00CC5472">
        <w:rPr>
          <w:rFonts w:ascii="Times New Roman" w:hAnsi="Times New Roman" w:cs="Times New Roman"/>
          <w:i/>
          <w:iCs/>
          <w:sz w:val="20"/>
          <w:szCs w:val="20"/>
          <w:lang w:val="es-ES_tradnl"/>
        </w:rPr>
        <w:t>Direito</w:t>
      </w:r>
      <w:proofErr w:type="spellEnd"/>
      <w:r w:rsidRPr="00CC5472">
        <w:rPr>
          <w:rFonts w:ascii="Times New Roman" w:hAnsi="Times New Roman" w:cs="Times New Roman"/>
          <w:i/>
          <w:iCs/>
          <w:sz w:val="20"/>
          <w:szCs w:val="20"/>
          <w:lang w:val="es-ES_tradnl"/>
        </w:rPr>
        <w:t xml:space="preserve"> Intelectual</w:t>
      </w:r>
      <w:r w:rsidRPr="00CC5472">
        <w:rPr>
          <w:rFonts w:ascii="Times New Roman" w:hAnsi="Times New Roman" w:cs="Times New Roman"/>
          <w:sz w:val="20"/>
          <w:szCs w:val="20"/>
          <w:lang w:val="es-ES_tradnl"/>
        </w:rPr>
        <w:t>, 2(2020).</w:t>
      </w:r>
    </w:p>
    <w:p w14:paraId="6D10E972"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Gonçalves, Couto</w:t>
      </w:r>
      <w:r w:rsidRPr="00CC5472">
        <w:rPr>
          <w:rFonts w:ascii="Times New Roman" w:hAnsi="Times New Roman" w:cs="Times New Roman"/>
          <w:sz w:val="20"/>
          <w:szCs w:val="20"/>
          <w:lang w:val="pt-PT"/>
        </w:rPr>
        <w:t xml:space="preserve">, “Revisitando o </w:t>
      </w:r>
      <w:r w:rsidRPr="00CC5472">
        <w:rPr>
          <w:rFonts w:ascii="Times New Roman" w:hAnsi="Times New Roman" w:cs="Times New Roman"/>
          <w:i/>
          <w:iCs/>
          <w:sz w:val="20"/>
          <w:szCs w:val="20"/>
          <w:lang w:val="pt-PT"/>
        </w:rPr>
        <w:t>Acórdão Google</w:t>
      </w:r>
      <w:r w:rsidRPr="00CC5472">
        <w:rPr>
          <w:rFonts w:ascii="Times New Roman" w:hAnsi="Times New Roman" w:cs="Times New Roman"/>
          <w:sz w:val="20"/>
          <w:szCs w:val="20"/>
          <w:lang w:val="pt-PT"/>
        </w:rPr>
        <w:t xml:space="preserve"> do Tribunal de Justiça da União Europeia”, </w:t>
      </w:r>
      <w:r w:rsidRPr="00CC5472">
        <w:rPr>
          <w:rFonts w:ascii="Times New Roman" w:hAnsi="Times New Roman" w:cs="Times New Roman"/>
          <w:i/>
          <w:iCs/>
          <w:sz w:val="20"/>
          <w:szCs w:val="20"/>
          <w:lang w:val="pt-PT"/>
        </w:rPr>
        <w:t>in: Estudos de Direito Intelectual em Homenagem ao Prof. Doutor José de Oliveira Ascensão</w:t>
      </w:r>
      <w:r w:rsidRPr="00CC5472">
        <w:rPr>
          <w:rFonts w:ascii="Times New Roman" w:hAnsi="Times New Roman" w:cs="Times New Roman"/>
          <w:sz w:val="20"/>
          <w:szCs w:val="20"/>
          <w:lang w:val="pt-PT"/>
        </w:rPr>
        <w:t>, Almedina, 2015.</w:t>
      </w:r>
    </w:p>
    <w:p w14:paraId="3CD8B526"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Helberger</w:t>
      </w:r>
      <w:proofErr w:type="spellEnd"/>
      <w:r w:rsidRPr="00CC5472">
        <w:rPr>
          <w:rFonts w:ascii="Times New Roman" w:hAnsi="Times New Roman" w:cs="Times New Roman"/>
          <w:smallCaps/>
          <w:sz w:val="20"/>
          <w:szCs w:val="20"/>
        </w:rPr>
        <w:t>, Natali</w:t>
      </w:r>
      <w:r w:rsidRPr="00CC5472">
        <w:rPr>
          <w:rFonts w:ascii="Times New Roman" w:hAnsi="Times New Roman" w:cs="Times New Roman"/>
          <w:sz w:val="20"/>
          <w:szCs w:val="20"/>
        </w:rPr>
        <w:t xml:space="preserve">, “The Political Power of Platforms: How Current Attempts to Regulate Misinformation Amplify Opinion Power”, </w:t>
      </w:r>
      <w:r w:rsidRPr="00CC5472">
        <w:rPr>
          <w:rFonts w:ascii="Times New Roman" w:hAnsi="Times New Roman" w:cs="Times New Roman"/>
          <w:i/>
          <w:iCs/>
          <w:sz w:val="20"/>
          <w:szCs w:val="20"/>
        </w:rPr>
        <w:t>Digital Journalism</w:t>
      </w:r>
      <w:r w:rsidRPr="00CC5472">
        <w:rPr>
          <w:rFonts w:ascii="Times New Roman" w:hAnsi="Times New Roman" w:cs="Times New Roman"/>
          <w:sz w:val="20"/>
          <w:szCs w:val="20"/>
        </w:rPr>
        <w:t>, 2020, 8:6, 842-854, DOI: 10.1080/21670811.2020.1773888.</w:t>
      </w:r>
    </w:p>
    <w:p w14:paraId="60AA3AA9"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Kuczerawy</w:t>
      </w:r>
      <w:proofErr w:type="spellEnd"/>
      <w:r w:rsidRPr="00CC5472">
        <w:rPr>
          <w:rFonts w:ascii="Times New Roman" w:hAnsi="Times New Roman" w:cs="Times New Roman"/>
          <w:smallCaps/>
          <w:sz w:val="20"/>
          <w:szCs w:val="20"/>
        </w:rPr>
        <w:t>, Aleksandra</w:t>
      </w:r>
      <w:r w:rsidRPr="00CC5472">
        <w:rPr>
          <w:rFonts w:ascii="Times New Roman" w:hAnsi="Times New Roman" w:cs="Times New Roman"/>
          <w:sz w:val="20"/>
          <w:szCs w:val="20"/>
        </w:rPr>
        <w:t xml:space="preserve">, “The Power of Positive Thinking: Intermediary Liability and the Effective Enjoyment of the Right to Freedom of Expression”, </w:t>
      </w:r>
      <w:r w:rsidRPr="00CC5472">
        <w:rPr>
          <w:rFonts w:ascii="Times New Roman" w:hAnsi="Times New Roman" w:cs="Times New Roman"/>
          <w:i/>
          <w:sz w:val="20"/>
          <w:szCs w:val="20"/>
        </w:rPr>
        <w:t>JIPITEC</w:t>
      </w:r>
      <w:r w:rsidRPr="00CC5472">
        <w:rPr>
          <w:rFonts w:ascii="Times New Roman" w:hAnsi="Times New Roman" w:cs="Times New Roman"/>
          <w:sz w:val="20"/>
          <w:szCs w:val="20"/>
        </w:rPr>
        <w:t>, 8 (2017).</w:t>
      </w:r>
    </w:p>
    <w:p w14:paraId="7D9946A6" w14:textId="77777777" w:rsidR="00E62CB2" w:rsidRPr="00CC5472" w:rsidRDefault="00E62CB2" w:rsidP="00757F8A">
      <w:pPr>
        <w:spacing w:after="0" w:line="360" w:lineRule="auto"/>
        <w:jc w:val="both"/>
        <w:rPr>
          <w:rFonts w:ascii="Times New Roman" w:hAnsi="Times New Roman" w:cs="Times New Roman"/>
          <w:sz w:val="20"/>
          <w:szCs w:val="20"/>
          <w:lang w:val="fr-FR"/>
        </w:rPr>
      </w:pPr>
      <w:r w:rsidRPr="00CC5472">
        <w:rPr>
          <w:rFonts w:ascii="Times New Roman" w:hAnsi="Times New Roman" w:cs="Times New Roman"/>
          <w:smallCaps/>
          <w:sz w:val="20"/>
          <w:szCs w:val="20"/>
          <w:lang w:val="fr-FR"/>
        </w:rPr>
        <w:t>Larrieu, Jacques</w:t>
      </w:r>
      <w:r w:rsidRPr="00CC5472">
        <w:rPr>
          <w:rFonts w:ascii="Times New Roman" w:hAnsi="Times New Roman" w:cs="Times New Roman"/>
          <w:sz w:val="20"/>
          <w:szCs w:val="20"/>
          <w:lang w:val="fr-FR"/>
        </w:rPr>
        <w:t xml:space="preserve">, </w:t>
      </w:r>
      <w:r w:rsidRPr="00CC5472">
        <w:rPr>
          <w:rFonts w:ascii="Times New Roman" w:hAnsi="Times New Roman" w:cs="Times New Roman"/>
          <w:i/>
          <w:iCs/>
          <w:sz w:val="20"/>
          <w:szCs w:val="20"/>
          <w:lang w:val="fr-FR"/>
        </w:rPr>
        <w:t>Droit de l’Internet</w:t>
      </w:r>
      <w:r w:rsidRPr="00CC5472">
        <w:rPr>
          <w:rFonts w:ascii="Times New Roman" w:hAnsi="Times New Roman" w:cs="Times New Roman"/>
          <w:sz w:val="20"/>
          <w:szCs w:val="20"/>
          <w:lang w:val="fr-FR"/>
        </w:rPr>
        <w:t>, 2</w:t>
      </w:r>
      <w:r w:rsidRPr="00CC5472">
        <w:rPr>
          <w:rFonts w:ascii="Times New Roman" w:hAnsi="Times New Roman" w:cs="Times New Roman"/>
          <w:sz w:val="20"/>
          <w:szCs w:val="20"/>
          <w:vertAlign w:val="superscript"/>
          <w:lang w:val="fr-FR"/>
        </w:rPr>
        <w:t>e</w:t>
      </w:r>
      <w:r w:rsidRPr="00CC5472">
        <w:rPr>
          <w:rFonts w:ascii="Times New Roman" w:hAnsi="Times New Roman" w:cs="Times New Roman"/>
          <w:sz w:val="20"/>
          <w:szCs w:val="20"/>
          <w:lang w:val="fr-FR"/>
        </w:rPr>
        <w:t xml:space="preserve"> édition, </w:t>
      </w:r>
      <w:proofErr w:type="spellStart"/>
      <w:r w:rsidRPr="00CC5472">
        <w:rPr>
          <w:rFonts w:ascii="Times New Roman" w:hAnsi="Times New Roman" w:cs="Times New Roman"/>
          <w:sz w:val="20"/>
          <w:szCs w:val="20"/>
          <w:lang w:val="fr-FR"/>
        </w:rPr>
        <w:t>elipses</w:t>
      </w:r>
      <w:proofErr w:type="spellEnd"/>
      <w:r w:rsidRPr="00CC5472">
        <w:rPr>
          <w:rFonts w:ascii="Times New Roman" w:hAnsi="Times New Roman" w:cs="Times New Roman"/>
          <w:sz w:val="20"/>
          <w:szCs w:val="20"/>
          <w:lang w:val="fr-FR"/>
        </w:rPr>
        <w:t>, Paris, 2010.</w:t>
      </w:r>
    </w:p>
    <w:p w14:paraId="7C3845AA"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Leitão</w:t>
      </w:r>
      <w:r w:rsidRPr="00CC5472">
        <w:rPr>
          <w:rFonts w:ascii="Times New Roman" w:hAnsi="Times New Roman" w:cs="Times New Roman"/>
          <w:sz w:val="20"/>
          <w:szCs w:val="20"/>
          <w:lang w:val="pt-PT"/>
        </w:rPr>
        <w:t xml:space="preserve">, </w:t>
      </w:r>
      <w:r w:rsidRPr="00CC5472">
        <w:rPr>
          <w:rFonts w:ascii="Times New Roman" w:hAnsi="Times New Roman" w:cs="Times New Roman"/>
          <w:smallCaps/>
          <w:sz w:val="20"/>
          <w:szCs w:val="20"/>
          <w:lang w:val="pt-PT"/>
        </w:rPr>
        <w:t xml:space="preserve">Menezes, </w:t>
      </w:r>
      <w:r w:rsidRPr="00CC5472">
        <w:rPr>
          <w:rFonts w:ascii="Times New Roman" w:hAnsi="Times New Roman" w:cs="Times New Roman"/>
          <w:i/>
          <w:iCs/>
          <w:sz w:val="20"/>
          <w:szCs w:val="20"/>
          <w:lang w:val="pt-PT"/>
        </w:rPr>
        <w:t>Direito de Autor</w:t>
      </w:r>
      <w:r w:rsidRPr="00CC5472">
        <w:rPr>
          <w:rFonts w:ascii="Times New Roman" w:hAnsi="Times New Roman" w:cs="Times New Roman"/>
          <w:sz w:val="20"/>
          <w:szCs w:val="20"/>
          <w:lang w:val="pt-PT"/>
        </w:rPr>
        <w:t>, Almedina, Coimbra, 2011.</w:t>
      </w:r>
    </w:p>
    <w:p w14:paraId="15D5723D" w14:textId="77777777" w:rsidR="00E62CB2" w:rsidRPr="00CC5472" w:rsidRDefault="00E62CB2" w:rsidP="00757F8A">
      <w:pPr>
        <w:spacing w:after="0" w:line="360" w:lineRule="auto"/>
        <w:jc w:val="both"/>
        <w:rPr>
          <w:rStyle w:val="Hiperligao"/>
          <w:rFonts w:ascii="Times New Roman" w:hAnsi="Times New Roman" w:cs="Times New Roman"/>
          <w:sz w:val="20"/>
          <w:szCs w:val="20"/>
        </w:rPr>
      </w:pPr>
      <w:proofErr w:type="spellStart"/>
      <w:r w:rsidRPr="00CC5472">
        <w:rPr>
          <w:rFonts w:ascii="Times New Roman" w:hAnsi="Times New Roman" w:cs="Times New Roman"/>
          <w:smallCaps/>
          <w:sz w:val="20"/>
          <w:szCs w:val="20"/>
        </w:rPr>
        <w:t>Madiega</w:t>
      </w:r>
      <w:proofErr w:type="spellEnd"/>
      <w:r w:rsidRPr="00CC5472">
        <w:rPr>
          <w:rFonts w:ascii="Times New Roman" w:hAnsi="Times New Roman" w:cs="Times New Roman"/>
          <w:smallCaps/>
          <w:sz w:val="20"/>
          <w:szCs w:val="20"/>
        </w:rPr>
        <w:t xml:space="preserve">, </w:t>
      </w:r>
      <w:proofErr w:type="spellStart"/>
      <w:r w:rsidRPr="00CC5472">
        <w:rPr>
          <w:rFonts w:ascii="Times New Roman" w:hAnsi="Times New Roman" w:cs="Times New Roman"/>
          <w:smallCaps/>
          <w:sz w:val="20"/>
          <w:szCs w:val="20"/>
        </w:rPr>
        <w:t>Tambiama</w:t>
      </w:r>
      <w:proofErr w:type="spellEnd"/>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Reform of the EU liability regime for online intermediaries</w:t>
      </w:r>
      <w:r w:rsidRPr="00CC5472">
        <w:rPr>
          <w:rFonts w:ascii="Times New Roman" w:hAnsi="Times New Roman" w:cs="Times New Roman"/>
          <w:sz w:val="20"/>
          <w:szCs w:val="20"/>
        </w:rPr>
        <w:t xml:space="preserve">, </w:t>
      </w:r>
      <w:hyperlink r:id="rId14" w:history="1">
        <w:r w:rsidRPr="00CC5472">
          <w:rPr>
            <w:rStyle w:val="Hiperligao"/>
            <w:rFonts w:ascii="Times New Roman" w:hAnsi="Times New Roman" w:cs="Times New Roman"/>
            <w:sz w:val="20"/>
            <w:szCs w:val="20"/>
          </w:rPr>
          <w:t>https://www.europarl.europa.eu/</w:t>
        </w:r>
      </w:hyperlink>
      <w:r w:rsidRPr="00CC5472">
        <w:rPr>
          <w:rStyle w:val="Hiperligao"/>
          <w:rFonts w:ascii="Times New Roman" w:hAnsi="Times New Roman" w:cs="Times New Roman"/>
          <w:sz w:val="20"/>
          <w:szCs w:val="20"/>
        </w:rPr>
        <w:t>, 2020.</w:t>
      </w:r>
    </w:p>
    <w:p w14:paraId="388C3BCB"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Mello, Alberto de Sá e</w:t>
      </w:r>
      <w:r w:rsidRPr="00CC5472">
        <w:rPr>
          <w:rFonts w:ascii="Times New Roman" w:hAnsi="Times New Roman" w:cs="Times New Roman"/>
          <w:sz w:val="20"/>
          <w:szCs w:val="20"/>
          <w:lang w:val="pt-PT"/>
        </w:rPr>
        <w:t xml:space="preserve">, </w:t>
      </w:r>
      <w:r w:rsidRPr="00CC5472">
        <w:rPr>
          <w:rFonts w:ascii="Times New Roman" w:hAnsi="Times New Roman" w:cs="Times New Roman"/>
          <w:i/>
          <w:iCs/>
          <w:sz w:val="20"/>
          <w:szCs w:val="20"/>
          <w:lang w:val="pt-PT"/>
        </w:rPr>
        <w:t>Manual de Direito de Autor</w:t>
      </w:r>
      <w:r w:rsidRPr="00CC5472">
        <w:rPr>
          <w:rFonts w:ascii="Times New Roman" w:hAnsi="Times New Roman" w:cs="Times New Roman"/>
          <w:sz w:val="20"/>
          <w:szCs w:val="20"/>
          <w:lang w:val="pt-PT"/>
        </w:rPr>
        <w:t>, Almedina, Coimbra, 2014.</w:t>
      </w:r>
    </w:p>
    <w:p w14:paraId="76DEA5F9"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Montagnani</w:t>
      </w:r>
      <w:proofErr w:type="spellEnd"/>
      <w:r w:rsidRPr="00CC5472">
        <w:rPr>
          <w:rFonts w:ascii="Times New Roman" w:hAnsi="Times New Roman" w:cs="Times New Roman"/>
          <w:smallCaps/>
          <w:sz w:val="20"/>
          <w:szCs w:val="20"/>
        </w:rPr>
        <w:t xml:space="preserve">, Maria </w:t>
      </w:r>
      <w:proofErr w:type="spellStart"/>
      <w:r w:rsidRPr="00CC5472">
        <w:rPr>
          <w:rFonts w:ascii="Times New Roman" w:hAnsi="Times New Roman" w:cs="Times New Roman"/>
          <w:smallCaps/>
          <w:sz w:val="20"/>
          <w:szCs w:val="20"/>
        </w:rPr>
        <w:t>Lillà</w:t>
      </w:r>
      <w:proofErr w:type="spellEnd"/>
      <w:r w:rsidRPr="00CC5472">
        <w:rPr>
          <w:rFonts w:ascii="Times New Roman" w:hAnsi="Times New Roman" w:cs="Times New Roman"/>
          <w:smallCaps/>
          <w:sz w:val="20"/>
          <w:szCs w:val="20"/>
        </w:rPr>
        <w:t xml:space="preserve"> / </w:t>
      </w:r>
      <w:proofErr w:type="spellStart"/>
      <w:r w:rsidRPr="00CC5472">
        <w:rPr>
          <w:rFonts w:ascii="Times New Roman" w:hAnsi="Times New Roman" w:cs="Times New Roman"/>
          <w:smallCaps/>
          <w:sz w:val="20"/>
          <w:szCs w:val="20"/>
        </w:rPr>
        <w:t>Trapova</w:t>
      </w:r>
      <w:proofErr w:type="spellEnd"/>
      <w:r w:rsidRPr="00CC5472">
        <w:rPr>
          <w:rFonts w:ascii="Times New Roman" w:hAnsi="Times New Roman" w:cs="Times New Roman"/>
          <w:smallCaps/>
          <w:sz w:val="20"/>
          <w:szCs w:val="20"/>
        </w:rPr>
        <w:t>, Alina</w:t>
      </w:r>
      <w:r w:rsidRPr="00CC5472">
        <w:rPr>
          <w:rFonts w:ascii="Times New Roman" w:hAnsi="Times New Roman" w:cs="Times New Roman"/>
          <w:sz w:val="20"/>
          <w:szCs w:val="20"/>
        </w:rPr>
        <w:t xml:space="preserve">, “New obligations for internet intermediaries in the Digital Single Market – safe harbours in turmoil?”, </w:t>
      </w:r>
      <w:r w:rsidRPr="00CC5472">
        <w:rPr>
          <w:rFonts w:ascii="Times New Roman" w:hAnsi="Times New Roman" w:cs="Times New Roman"/>
          <w:i/>
          <w:iCs/>
          <w:sz w:val="20"/>
          <w:szCs w:val="20"/>
        </w:rPr>
        <w:t>Journal of Internet Law</w:t>
      </w:r>
      <w:r w:rsidRPr="00CC5472">
        <w:rPr>
          <w:rFonts w:ascii="Times New Roman" w:hAnsi="Times New Roman" w:cs="Times New Roman"/>
          <w:sz w:val="20"/>
          <w:szCs w:val="20"/>
        </w:rPr>
        <w:t>, 22 (2019), 7.</w:t>
      </w:r>
    </w:p>
    <w:p w14:paraId="56922962" w14:textId="77777777" w:rsidR="00E62CB2" w:rsidRPr="00CC5472" w:rsidRDefault="00E62CB2" w:rsidP="00757F8A">
      <w:pPr>
        <w:spacing w:after="0" w:line="360" w:lineRule="auto"/>
        <w:jc w:val="both"/>
        <w:rPr>
          <w:rStyle w:val="Hiperligao"/>
          <w:rFonts w:ascii="Times New Roman" w:hAnsi="Times New Roman" w:cs="Times New Roman"/>
          <w:color w:val="auto"/>
          <w:sz w:val="20"/>
          <w:szCs w:val="20"/>
          <w:u w:val="none"/>
        </w:rPr>
      </w:pPr>
      <w:proofErr w:type="spellStart"/>
      <w:r w:rsidRPr="00CC5472">
        <w:rPr>
          <w:rFonts w:ascii="Times New Roman" w:hAnsi="Times New Roman" w:cs="Times New Roman"/>
          <w:smallCaps/>
          <w:sz w:val="20"/>
          <w:szCs w:val="20"/>
        </w:rPr>
        <w:t>Moscon</w:t>
      </w:r>
      <w:proofErr w:type="spellEnd"/>
      <w:r w:rsidRPr="00CC5472">
        <w:rPr>
          <w:rFonts w:ascii="Times New Roman" w:hAnsi="Times New Roman" w:cs="Times New Roman"/>
          <w:smallCaps/>
          <w:sz w:val="20"/>
          <w:szCs w:val="20"/>
        </w:rPr>
        <w:t>, Valentina</w:t>
      </w:r>
      <w:r w:rsidRPr="00CC5472">
        <w:rPr>
          <w:rFonts w:ascii="Times New Roman" w:hAnsi="Times New Roman" w:cs="Times New Roman"/>
          <w:sz w:val="20"/>
          <w:szCs w:val="20"/>
        </w:rPr>
        <w:t xml:space="preserve">, “Free Circulation of Information and Online Intermediaries – Replacing One “Value Gap” with Another”, </w:t>
      </w:r>
      <w:r w:rsidRPr="00CC5472">
        <w:rPr>
          <w:rFonts w:ascii="Times New Roman" w:hAnsi="Times New Roman" w:cs="Times New Roman"/>
          <w:i/>
          <w:iCs/>
          <w:sz w:val="20"/>
          <w:szCs w:val="20"/>
        </w:rPr>
        <w:t>IIC</w:t>
      </w:r>
      <w:r w:rsidRPr="00CC5472">
        <w:rPr>
          <w:rFonts w:ascii="Times New Roman" w:hAnsi="Times New Roman" w:cs="Times New Roman"/>
          <w:sz w:val="20"/>
          <w:szCs w:val="20"/>
        </w:rPr>
        <w:t xml:space="preserve"> (2020), </w:t>
      </w:r>
      <w:hyperlink r:id="rId15" w:history="1">
        <w:r w:rsidRPr="00CC5472">
          <w:rPr>
            <w:rStyle w:val="Hiperligao"/>
            <w:rFonts w:ascii="Times New Roman" w:hAnsi="Times New Roman" w:cs="Times New Roman"/>
            <w:sz w:val="20"/>
            <w:szCs w:val="20"/>
          </w:rPr>
          <w:t>https://doi.org/10.1007/s40319-020-00982-3</w:t>
        </w:r>
      </w:hyperlink>
      <w:r w:rsidRPr="00CC5472">
        <w:rPr>
          <w:rStyle w:val="Hiperligao"/>
          <w:rFonts w:ascii="Times New Roman" w:hAnsi="Times New Roman" w:cs="Times New Roman"/>
          <w:color w:val="auto"/>
          <w:sz w:val="20"/>
          <w:szCs w:val="20"/>
          <w:u w:val="none"/>
        </w:rPr>
        <w:t>.</w:t>
      </w:r>
    </w:p>
    <w:p w14:paraId="404A6C0B" w14:textId="77777777" w:rsidR="00E62CB2" w:rsidRPr="00CC5472" w:rsidRDefault="00E62CB2" w:rsidP="00757F8A">
      <w:pPr>
        <w:spacing w:after="0" w:line="360" w:lineRule="auto"/>
        <w:jc w:val="both"/>
        <w:rPr>
          <w:rFonts w:ascii="Times New Roman" w:hAnsi="Times New Roman" w:cs="Times New Roman"/>
          <w:sz w:val="20"/>
          <w:szCs w:val="20"/>
          <w:lang w:val="es-ES_tradnl"/>
        </w:rPr>
      </w:pPr>
      <w:r w:rsidRPr="00CC5472">
        <w:rPr>
          <w:rFonts w:ascii="Times New Roman" w:hAnsi="Times New Roman" w:cs="Times New Roman"/>
          <w:smallCaps/>
          <w:sz w:val="20"/>
          <w:szCs w:val="20"/>
          <w:lang w:val="es-ES_tradnl"/>
        </w:rPr>
        <w:t>Muñoz</w:t>
      </w:r>
      <w:r w:rsidRPr="00CC5472">
        <w:rPr>
          <w:rFonts w:ascii="Times New Roman" w:hAnsi="Times New Roman" w:cs="Times New Roman"/>
          <w:sz w:val="20"/>
          <w:szCs w:val="20"/>
          <w:lang w:val="es-ES_tradnl"/>
        </w:rPr>
        <w:t xml:space="preserve"> </w:t>
      </w:r>
      <w:r w:rsidRPr="00CC5472">
        <w:rPr>
          <w:rFonts w:ascii="Times New Roman" w:hAnsi="Times New Roman" w:cs="Times New Roman"/>
          <w:smallCaps/>
          <w:sz w:val="20"/>
          <w:szCs w:val="20"/>
          <w:lang w:val="es-ES_tradnl"/>
        </w:rPr>
        <w:t xml:space="preserve">Miguel Ruiz, </w:t>
      </w:r>
      <w:r w:rsidRPr="00CC5472">
        <w:rPr>
          <w:rFonts w:ascii="Times New Roman" w:hAnsi="Times New Roman" w:cs="Times New Roman"/>
          <w:i/>
          <w:iCs/>
          <w:sz w:val="20"/>
          <w:szCs w:val="20"/>
          <w:lang w:val="es-ES_tradnl"/>
        </w:rPr>
        <w:t>et al.</w:t>
      </w:r>
      <w:r w:rsidRPr="00CC5472">
        <w:rPr>
          <w:rFonts w:ascii="Times New Roman" w:hAnsi="Times New Roman" w:cs="Times New Roman"/>
          <w:sz w:val="20"/>
          <w:szCs w:val="20"/>
          <w:lang w:val="es-ES_tradnl"/>
        </w:rPr>
        <w:t xml:space="preserve">, </w:t>
      </w:r>
      <w:r w:rsidRPr="00CC5472">
        <w:rPr>
          <w:rFonts w:ascii="Times New Roman" w:hAnsi="Times New Roman" w:cs="Times New Roman"/>
          <w:i/>
          <w:iCs/>
          <w:sz w:val="20"/>
          <w:szCs w:val="20"/>
          <w:lang w:val="es-ES_tradnl"/>
        </w:rPr>
        <w:t>Derecho de la Propriedad Intelectual</w:t>
      </w:r>
      <w:r w:rsidRPr="00CC5472">
        <w:rPr>
          <w:rFonts w:ascii="Times New Roman" w:hAnsi="Times New Roman" w:cs="Times New Roman"/>
          <w:sz w:val="20"/>
          <w:szCs w:val="20"/>
          <w:lang w:val="es-ES_tradnl"/>
        </w:rPr>
        <w:t xml:space="preserve">, </w:t>
      </w:r>
      <w:proofErr w:type="spellStart"/>
      <w:r w:rsidRPr="00CC5472">
        <w:rPr>
          <w:rFonts w:ascii="Times New Roman" w:hAnsi="Times New Roman" w:cs="Times New Roman"/>
          <w:sz w:val="20"/>
          <w:szCs w:val="20"/>
          <w:lang w:val="es-ES_tradnl"/>
        </w:rPr>
        <w:t>tirant</w:t>
      </w:r>
      <w:proofErr w:type="spellEnd"/>
      <w:r w:rsidRPr="00CC5472">
        <w:rPr>
          <w:rFonts w:ascii="Times New Roman" w:hAnsi="Times New Roman" w:cs="Times New Roman"/>
          <w:sz w:val="20"/>
          <w:szCs w:val="20"/>
          <w:lang w:val="es-ES_tradnl"/>
        </w:rPr>
        <w:t xml:space="preserve"> lo </w:t>
      </w:r>
      <w:proofErr w:type="spellStart"/>
      <w:r w:rsidRPr="00CC5472">
        <w:rPr>
          <w:rFonts w:ascii="Times New Roman" w:hAnsi="Times New Roman" w:cs="Times New Roman"/>
          <w:sz w:val="20"/>
          <w:szCs w:val="20"/>
          <w:lang w:val="es-ES_tradnl"/>
        </w:rPr>
        <w:t>blanch</w:t>
      </w:r>
      <w:proofErr w:type="spellEnd"/>
      <w:r w:rsidRPr="00CC5472">
        <w:rPr>
          <w:rFonts w:ascii="Times New Roman" w:hAnsi="Times New Roman" w:cs="Times New Roman"/>
          <w:sz w:val="20"/>
          <w:szCs w:val="20"/>
          <w:lang w:val="es-ES_tradnl"/>
        </w:rPr>
        <w:t>, Valencia, 2017.</w:t>
      </w:r>
    </w:p>
    <w:p w14:paraId="021FBADD" w14:textId="77777777" w:rsidR="00E62CB2" w:rsidRPr="00CC5472" w:rsidRDefault="00E62CB2" w:rsidP="00757F8A">
      <w:pPr>
        <w:spacing w:after="0" w:line="360" w:lineRule="auto"/>
        <w:jc w:val="both"/>
        <w:rPr>
          <w:rFonts w:ascii="Times New Roman" w:hAnsi="Times New Roman" w:cs="Times New Roman"/>
          <w:sz w:val="20"/>
          <w:szCs w:val="20"/>
          <w:lang w:val="es-ES_tradnl"/>
        </w:rPr>
      </w:pPr>
      <w:r w:rsidRPr="00CC5472">
        <w:rPr>
          <w:rFonts w:ascii="Times New Roman" w:hAnsi="Times New Roman" w:cs="Times New Roman"/>
          <w:smallCaps/>
          <w:sz w:val="20"/>
          <w:szCs w:val="20"/>
          <w:lang w:val="es-ES_tradnl"/>
        </w:rPr>
        <w:t>Otero, Begoña González</w:t>
      </w:r>
      <w:r w:rsidRPr="00CC5472">
        <w:rPr>
          <w:rFonts w:ascii="Times New Roman" w:hAnsi="Times New Roman" w:cs="Times New Roman"/>
          <w:sz w:val="20"/>
          <w:szCs w:val="20"/>
          <w:lang w:val="es-ES_tradnl"/>
        </w:rPr>
        <w:t>, “La computación en la nube (</w:t>
      </w:r>
      <w:proofErr w:type="spellStart"/>
      <w:r w:rsidRPr="00CC5472">
        <w:rPr>
          <w:rFonts w:ascii="Times New Roman" w:hAnsi="Times New Roman" w:cs="Times New Roman"/>
          <w:i/>
          <w:iCs/>
          <w:sz w:val="20"/>
          <w:szCs w:val="20"/>
          <w:lang w:val="es-ES_tradnl"/>
        </w:rPr>
        <w:t>cloud</w:t>
      </w:r>
      <w:proofErr w:type="spellEnd"/>
      <w:r w:rsidRPr="00CC5472">
        <w:rPr>
          <w:rFonts w:ascii="Times New Roman" w:hAnsi="Times New Roman" w:cs="Times New Roman"/>
          <w:i/>
          <w:iCs/>
          <w:sz w:val="20"/>
          <w:szCs w:val="20"/>
          <w:lang w:val="es-ES_tradnl"/>
        </w:rPr>
        <w:t xml:space="preserve"> </w:t>
      </w:r>
      <w:proofErr w:type="spellStart"/>
      <w:r w:rsidRPr="00CC5472">
        <w:rPr>
          <w:rFonts w:ascii="Times New Roman" w:hAnsi="Times New Roman" w:cs="Times New Roman"/>
          <w:i/>
          <w:iCs/>
          <w:sz w:val="20"/>
          <w:szCs w:val="20"/>
          <w:lang w:val="es-ES_tradnl"/>
        </w:rPr>
        <w:t>computing</w:t>
      </w:r>
      <w:proofErr w:type="spellEnd"/>
      <w:r w:rsidRPr="00CC5472">
        <w:rPr>
          <w:rFonts w:ascii="Times New Roman" w:hAnsi="Times New Roman" w:cs="Times New Roman"/>
          <w:sz w:val="20"/>
          <w:szCs w:val="20"/>
          <w:lang w:val="es-ES_tradnl"/>
        </w:rPr>
        <w:t xml:space="preserve">): nuevos retos para el derecho de autor?”, </w:t>
      </w:r>
      <w:r w:rsidRPr="00CC5472">
        <w:rPr>
          <w:rFonts w:ascii="Times New Roman" w:hAnsi="Times New Roman" w:cs="Times New Roman"/>
          <w:i/>
          <w:iCs/>
          <w:sz w:val="20"/>
          <w:szCs w:val="20"/>
          <w:lang w:val="es-ES_tradnl"/>
        </w:rPr>
        <w:t>in Estudios de Derecho Mercantil – Libro homenaje al Prof. Dr. Dr. h. c. José Antonio Gómez Segade</w:t>
      </w:r>
      <w:r w:rsidRPr="00CC5472">
        <w:rPr>
          <w:rFonts w:ascii="Times New Roman" w:hAnsi="Times New Roman" w:cs="Times New Roman"/>
          <w:sz w:val="20"/>
          <w:szCs w:val="20"/>
          <w:lang w:val="es-ES_tradnl"/>
        </w:rPr>
        <w:t>, Marcial Pons, Madrid, 2013.</w:t>
      </w:r>
    </w:p>
    <w:p w14:paraId="16507419"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Pereira, Dias</w:t>
      </w:r>
      <w:r w:rsidRPr="00CC5472">
        <w:rPr>
          <w:rFonts w:ascii="Times New Roman" w:hAnsi="Times New Roman" w:cs="Times New Roman"/>
          <w:sz w:val="20"/>
          <w:szCs w:val="20"/>
          <w:lang w:val="pt-PT"/>
        </w:rPr>
        <w:t xml:space="preserve">, “Comunicação ao público: um “grande direito” na jurisprudência do Tribunal de Justiça da União Europeia?”, </w:t>
      </w:r>
      <w:r w:rsidRPr="00CC5472">
        <w:rPr>
          <w:rFonts w:ascii="Times New Roman" w:hAnsi="Times New Roman" w:cs="Times New Roman"/>
          <w:i/>
          <w:iCs/>
          <w:sz w:val="20"/>
          <w:szCs w:val="20"/>
          <w:lang w:val="pt-PT"/>
        </w:rPr>
        <w:t>in: Direito da Propriedade Intelectual &amp; Novas Tecnologias</w:t>
      </w:r>
      <w:r w:rsidRPr="00CC5472">
        <w:rPr>
          <w:rFonts w:ascii="Times New Roman" w:hAnsi="Times New Roman" w:cs="Times New Roman"/>
          <w:sz w:val="20"/>
          <w:szCs w:val="20"/>
          <w:lang w:val="pt-PT"/>
        </w:rPr>
        <w:t xml:space="preserve">, vol. I, 1.ª edição, </w:t>
      </w:r>
      <w:proofErr w:type="spellStart"/>
      <w:r w:rsidRPr="00CC5472">
        <w:rPr>
          <w:rFonts w:ascii="Times New Roman" w:hAnsi="Times New Roman" w:cs="Times New Roman"/>
          <w:sz w:val="20"/>
          <w:szCs w:val="20"/>
          <w:lang w:val="pt-PT"/>
        </w:rPr>
        <w:t>Gestlegal</w:t>
      </w:r>
      <w:proofErr w:type="spellEnd"/>
      <w:r w:rsidRPr="00CC5472">
        <w:rPr>
          <w:rFonts w:ascii="Times New Roman" w:hAnsi="Times New Roman" w:cs="Times New Roman"/>
          <w:sz w:val="20"/>
          <w:szCs w:val="20"/>
          <w:lang w:val="pt-PT"/>
        </w:rPr>
        <w:t>, 2019.</w:t>
      </w:r>
    </w:p>
    <w:p w14:paraId="2782A553"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Pereira</w:t>
      </w:r>
      <w:r w:rsidRPr="00CC5472">
        <w:rPr>
          <w:rFonts w:ascii="Times New Roman" w:hAnsi="Times New Roman" w:cs="Times New Roman"/>
          <w:sz w:val="20"/>
          <w:szCs w:val="20"/>
          <w:lang w:val="pt-PT"/>
        </w:rPr>
        <w:t xml:space="preserve">, </w:t>
      </w:r>
      <w:r w:rsidRPr="00CC5472">
        <w:rPr>
          <w:rFonts w:ascii="Times New Roman" w:hAnsi="Times New Roman" w:cs="Times New Roman"/>
          <w:smallCaps/>
          <w:sz w:val="20"/>
          <w:szCs w:val="20"/>
          <w:lang w:val="pt-PT"/>
        </w:rPr>
        <w:t>Dias</w:t>
      </w:r>
      <w:r w:rsidRPr="00CC5472">
        <w:rPr>
          <w:rFonts w:ascii="Times New Roman" w:hAnsi="Times New Roman" w:cs="Times New Roman"/>
          <w:sz w:val="20"/>
          <w:szCs w:val="20"/>
          <w:lang w:val="pt-PT"/>
        </w:rPr>
        <w:t xml:space="preserve">, “O direito de autor e a liberdade de informação num contexto de confinamento social, </w:t>
      </w:r>
      <w:r w:rsidRPr="00CC5472">
        <w:rPr>
          <w:rFonts w:ascii="Times New Roman" w:hAnsi="Times New Roman" w:cs="Times New Roman"/>
          <w:i/>
          <w:iCs/>
          <w:sz w:val="20"/>
          <w:szCs w:val="20"/>
          <w:lang w:val="pt-PT"/>
        </w:rPr>
        <w:t>Revista de Direito Intelectual</w:t>
      </w:r>
      <w:r w:rsidRPr="00CC5472">
        <w:rPr>
          <w:rFonts w:ascii="Times New Roman" w:hAnsi="Times New Roman" w:cs="Times New Roman"/>
          <w:sz w:val="20"/>
          <w:szCs w:val="20"/>
          <w:lang w:val="pt-PT"/>
        </w:rPr>
        <w:t>, 2 (2020).</w:t>
      </w:r>
    </w:p>
    <w:p w14:paraId="5A0D1B25"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Pereira, Dias</w:t>
      </w:r>
      <w:r w:rsidRPr="00CC5472">
        <w:rPr>
          <w:rFonts w:ascii="Times New Roman" w:hAnsi="Times New Roman" w:cs="Times New Roman"/>
          <w:sz w:val="20"/>
          <w:szCs w:val="20"/>
          <w:lang w:val="pt-PT"/>
        </w:rPr>
        <w:t xml:space="preserve">, “Os direitos autorais nas plataformas de partilha em linha de conteúdos digitais linha: as inovações trazidas pela Diretiva 2019/790/EU”, </w:t>
      </w:r>
      <w:r w:rsidRPr="00CC5472">
        <w:rPr>
          <w:rFonts w:ascii="Times New Roman" w:hAnsi="Times New Roman" w:cs="Times New Roman"/>
          <w:i/>
          <w:iCs/>
          <w:sz w:val="20"/>
          <w:szCs w:val="20"/>
          <w:lang w:val="pt-PT"/>
        </w:rPr>
        <w:t>in: Direito da Propriedade Intelectual &amp; Novas Tecnologias</w:t>
      </w:r>
      <w:r w:rsidRPr="00CC5472">
        <w:rPr>
          <w:rFonts w:ascii="Times New Roman" w:hAnsi="Times New Roman" w:cs="Times New Roman"/>
          <w:sz w:val="20"/>
          <w:szCs w:val="20"/>
          <w:lang w:val="pt-PT"/>
        </w:rPr>
        <w:t xml:space="preserve">, Estudos, Volume II, </w:t>
      </w:r>
      <w:proofErr w:type="spellStart"/>
      <w:r w:rsidRPr="00CC5472">
        <w:rPr>
          <w:rFonts w:ascii="Times New Roman" w:hAnsi="Times New Roman" w:cs="Times New Roman"/>
          <w:sz w:val="20"/>
          <w:szCs w:val="20"/>
          <w:lang w:val="pt-PT"/>
        </w:rPr>
        <w:t>Gestlegal</w:t>
      </w:r>
      <w:proofErr w:type="spellEnd"/>
      <w:r w:rsidRPr="00CC5472">
        <w:rPr>
          <w:rFonts w:ascii="Times New Roman" w:hAnsi="Times New Roman" w:cs="Times New Roman"/>
          <w:sz w:val="20"/>
          <w:szCs w:val="20"/>
          <w:lang w:val="pt-PT"/>
        </w:rPr>
        <w:t>, Coimbra, 2021.</w:t>
      </w:r>
    </w:p>
    <w:p w14:paraId="43D74AE9"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Pereira, Dias</w:t>
      </w:r>
      <w:r w:rsidRPr="00CC5472">
        <w:rPr>
          <w:rFonts w:ascii="Times New Roman" w:hAnsi="Times New Roman" w:cs="Times New Roman"/>
          <w:sz w:val="20"/>
          <w:szCs w:val="20"/>
          <w:lang w:val="pt-PT"/>
        </w:rPr>
        <w:t xml:space="preserve">, “Os direitos de autor na balança constitucional dos direitos fundamentais”, </w:t>
      </w:r>
      <w:r w:rsidRPr="00CC5472">
        <w:rPr>
          <w:rFonts w:ascii="Times New Roman" w:hAnsi="Times New Roman" w:cs="Times New Roman"/>
          <w:i/>
          <w:iCs/>
          <w:sz w:val="20"/>
          <w:szCs w:val="20"/>
          <w:lang w:val="pt-PT"/>
        </w:rPr>
        <w:t>in: Direito da Propriedade Intelectual &amp; Novas Tecnologias</w:t>
      </w:r>
      <w:r w:rsidRPr="00CC5472">
        <w:rPr>
          <w:rFonts w:ascii="Times New Roman" w:hAnsi="Times New Roman" w:cs="Times New Roman"/>
          <w:sz w:val="20"/>
          <w:szCs w:val="20"/>
          <w:lang w:val="pt-PT"/>
        </w:rPr>
        <w:t xml:space="preserve">, Estudos, Volume II, </w:t>
      </w:r>
      <w:proofErr w:type="spellStart"/>
      <w:r w:rsidRPr="00CC5472">
        <w:rPr>
          <w:rFonts w:ascii="Times New Roman" w:hAnsi="Times New Roman" w:cs="Times New Roman"/>
          <w:sz w:val="20"/>
          <w:szCs w:val="20"/>
          <w:lang w:val="pt-PT"/>
        </w:rPr>
        <w:t>Gestlegal</w:t>
      </w:r>
      <w:proofErr w:type="spellEnd"/>
      <w:r w:rsidRPr="00CC5472">
        <w:rPr>
          <w:rFonts w:ascii="Times New Roman" w:hAnsi="Times New Roman" w:cs="Times New Roman"/>
          <w:sz w:val="20"/>
          <w:szCs w:val="20"/>
          <w:lang w:val="pt-PT"/>
        </w:rPr>
        <w:t>, Coimbra, 2021.</w:t>
      </w:r>
    </w:p>
    <w:p w14:paraId="356198C6"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Peukert</w:t>
      </w:r>
      <w:proofErr w:type="spellEnd"/>
      <w:r w:rsidRPr="00CC5472">
        <w:rPr>
          <w:rFonts w:ascii="Times New Roman" w:hAnsi="Times New Roman" w:cs="Times New Roman"/>
          <w:smallCaps/>
          <w:sz w:val="20"/>
          <w:szCs w:val="20"/>
        </w:rPr>
        <w:t>,</w:t>
      </w:r>
      <w:r w:rsidRPr="00CC5472">
        <w:rPr>
          <w:rFonts w:ascii="Times New Roman" w:hAnsi="Times New Roman" w:cs="Times New Roman"/>
          <w:sz w:val="20"/>
          <w:szCs w:val="20"/>
        </w:rPr>
        <w:t xml:space="preserve"> </w:t>
      </w:r>
      <w:r w:rsidRPr="00CC5472">
        <w:rPr>
          <w:rFonts w:ascii="Times New Roman" w:hAnsi="Times New Roman" w:cs="Times New Roman"/>
          <w:smallCaps/>
          <w:sz w:val="20"/>
          <w:szCs w:val="20"/>
        </w:rPr>
        <w:t xml:space="preserve">Alexander </w:t>
      </w:r>
      <w:r w:rsidRPr="00CC5472">
        <w:rPr>
          <w:rFonts w:ascii="Times New Roman" w:hAnsi="Times New Roman" w:cs="Times New Roman"/>
          <w:i/>
          <w:iCs/>
          <w:sz w:val="20"/>
          <w:szCs w:val="20"/>
        </w:rPr>
        <w:t>et al.</w:t>
      </w:r>
      <w:r w:rsidRPr="00CC5472">
        <w:rPr>
          <w:rFonts w:ascii="Times New Roman" w:hAnsi="Times New Roman" w:cs="Times New Roman"/>
          <w:sz w:val="20"/>
          <w:szCs w:val="20"/>
        </w:rPr>
        <w:t xml:space="preserve">, «European Copyright Society – Comment on Copyright and the Digital Services Act Proposal», </w:t>
      </w:r>
      <w:r w:rsidRPr="00CC5472">
        <w:rPr>
          <w:rFonts w:ascii="Times New Roman" w:hAnsi="Times New Roman" w:cs="Times New Roman"/>
          <w:i/>
          <w:iCs/>
          <w:sz w:val="20"/>
          <w:szCs w:val="20"/>
        </w:rPr>
        <w:t>in IIC</w:t>
      </w:r>
      <w:r w:rsidRPr="00CC5472">
        <w:rPr>
          <w:rFonts w:ascii="Times New Roman" w:hAnsi="Times New Roman" w:cs="Times New Roman"/>
          <w:sz w:val="20"/>
          <w:szCs w:val="20"/>
        </w:rPr>
        <w:t>, 2022, 53.</w:t>
      </w:r>
    </w:p>
    <w:p w14:paraId="7C2EAC62" w14:textId="77777777" w:rsidR="00E62CB2" w:rsidRPr="00CC5472" w:rsidRDefault="00E62CB2" w:rsidP="00757F8A">
      <w:pPr>
        <w:spacing w:after="0" w:line="360" w:lineRule="auto"/>
        <w:jc w:val="both"/>
        <w:rPr>
          <w:rStyle w:val="Hiperligao"/>
          <w:rFonts w:ascii="Times New Roman" w:hAnsi="Times New Roman" w:cs="Times New Roman"/>
          <w:color w:val="auto"/>
          <w:sz w:val="20"/>
          <w:szCs w:val="20"/>
          <w:u w:val="none"/>
        </w:rPr>
      </w:pPr>
      <w:proofErr w:type="spellStart"/>
      <w:r w:rsidRPr="00CC5472">
        <w:rPr>
          <w:rFonts w:ascii="Times New Roman" w:hAnsi="Times New Roman" w:cs="Times New Roman"/>
          <w:smallCaps/>
          <w:sz w:val="20"/>
          <w:szCs w:val="20"/>
        </w:rPr>
        <w:t>Quintais</w:t>
      </w:r>
      <w:proofErr w:type="spellEnd"/>
      <w:r w:rsidRPr="00CC5472">
        <w:rPr>
          <w:rFonts w:ascii="Times New Roman" w:hAnsi="Times New Roman" w:cs="Times New Roman"/>
          <w:smallCaps/>
          <w:sz w:val="20"/>
          <w:szCs w:val="20"/>
        </w:rPr>
        <w:t>, Pedro</w:t>
      </w:r>
      <w:r w:rsidRPr="00CC5472">
        <w:rPr>
          <w:rFonts w:ascii="Times New Roman" w:hAnsi="Times New Roman" w:cs="Times New Roman"/>
          <w:sz w:val="20"/>
          <w:szCs w:val="20"/>
        </w:rPr>
        <w:t xml:space="preserve">, “The New Copyright in the Digital Single Market Directive: A Critical Look”, </w:t>
      </w:r>
      <w:r w:rsidRPr="00CC5472">
        <w:rPr>
          <w:rFonts w:ascii="Times New Roman" w:hAnsi="Times New Roman" w:cs="Times New Roman"/>
          <w:i/>
          <w:iCs/>
          <w:sz w:val="20"/>
          <w:szCs w:val="20"/>
        </w:rPr>
        <w:t>European Intellectual Property Review</w:t>
      </w:r>
      <w:r w:rsidRPr="00CC5472">
        <w:rPr>
          <w:rFonts w:ascii="Times New Roman" w:hAnsi="Times New Roman" w:cs="Times New Roman"/>
          <w:sz w:val="20"/>
          <w:szCs w:val="20"/>
        </w:rPr>
        <w:t xml:space="preserve">, 42(1), </w:t>
      </w:r>
      <w:hyperlink r:id="rId16" w:history="1">
        <w:r w:rsidRPr="00CC5472">
          <w:rPr>
            <w:rStyle w:val="Hiperligao"/>
            <w:rFonts w:ascii="Times New Roman" w:hAnsi="Times New Roman" w:cs="Times New Roman"/>
            <w:sz w:val="20"/>
            <w:szCs w:val="20"/>
          </w:rPr>
          <w:t>https://doi.org/10.2139/ssrn.3424770</w:t>
        </w:r>
      </w:hyperlink>
      <w:r w:rsidRPr="00CC5472">
        <w:rPr>
          <w:rStyle w:val="Hiperligao"/>
          <w:rFonts w:ascii="Times New Roman" w:hAnsi="Times New Roman" w:cs="Times New Roman"/>
          <w:color w:val="auto"/>
          <w:sz w:val="20"/>
          <w:szCs w:val="20"/>
          <w:u w:val="none"/>
        </w:rPr>
        <w:t>.</w:t>
      </w:r>
    </w:p>
    <w:p w14:paraId="25981E3E"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Quintais</w:t>
      </w:r>
      <w:proofErr w:type="spellEnd"/>
      <w:r w:rsidRPr="00CC5472">
        <w:rPr>
          <w:rFonts w:ascii="Times New Roman" w:hAnsi="Times New Roman" w:cs="Times New Roman"/>
          <w:smallCaps/>
          <w:sz w:val="20"/>
          <w:szCs w:val="20"/>
        </w:rPr>
        <w:t xml:space="preserve">, Pedro, </w:t>
      </w:r>
      <w:proofErr w:type="spellStart"/>
      <w:r w:rsidRPr="00CC5472">
        <w:rPr>
          <w:rFonts w:ascii="Times New Roman" w:hAnsi="Times New Roman" w:cs="Times New Roman"/>
          <w:smallCaps/>
          <w:sz w:val="20"/>
          <w:szCs w:val="20"/>
        </w:rPr>
        <w:t>Frosio</w:t>
      </w:r>
      <w:proofErr w:type="spellEnd"/>
      <w:r w:rsidRPr="00CC5472">
        <w:rPr>
          <w:rFonts w:ascii="Times New Roman" w:hAnsi="Times New Roman" w:cs="Times New Roman"/>
          <w:smallCaps/>
          <w:sz w:val="20"/>
          <w:szCs w:val="20"/>
        </w:rPr>
        <w:t>,</w:t>
      </w:r>
      <w:r w:rsidRPr="00CC5472">
        <w:rPr>
          <w:rFonts w:ascii="Times New Roman" w:hAnsi="Times New Roman" w:cs="Times New Roman"/>
          <w:sz w:val="20"/>
          <w:szCs w:val="20"/>
        </w:rPr>
        <w:t xml:space="preserve"> </w:t>
      </w:r>
      <w:r w:rsidRPr="00CC5472">
        <w:rPr>
          <w:rFonts w:ascii="Times New Roman" w:hAnsi="Times New Roman" w:cs="Times New Roman"/>
          <w:smallCaps/>
          <w:sz w:val="20"/>
          <w:szCs w:val="20"/>
        </w:rPr>
        <w:t xml:space="preserve">Giancarlo </w:t>
      </w:r>
      <w:r w:rsidRPr="00CC5472">
        <w:rPr>
          <w:rFonts w:ascii="Times New Roman" w:hAnsi="Times New Roman" w:cs="Times New Roman"/>
          <w:i/>
          <w:iCs/>
          <w:sz w:val="20"/>
          <w:szCs w:val="20"/>
        </w:rPr>
        <w:t>et al.</w:t>
      </w:r>
      <w:r w:rsidRPr="00CC5472">
        <w:rPr>
          <w:rFonts w:ascii="Times New Roman" w:hAnsi="Times New Roman" w:cs="Times New Roman"/>
          <w:sz w:val="20"/>
          <w:szCs w:val="20"/>
        </w:rPr>
        <w:t xml:space="preserve">, “Safeguarding User Freedoms in Implementing Article 17 of the Copyright in the Digital Single Market Directive”, </w:t>
      </w:r>
      <w:r w:rsidRPr="00CC5472">
        <w:rPr>
          <w:rFonts w:ascii="Times New Roman" w:hAnsi="Times New Roman" w:cs="Times New Roman"/>
          <w:i/>
          <w:iCs/>
          <w:sz w:val="20"/>
          <w:szCs w:val="20"/>
        </w:rPr>
        <w:t>JIPITEC</w:t>
      </w:r>
      <w:r w:rsidRPr="00CC5472">
        <w:rPr>
          <w:rFonts w:ascii="Times New Roman" w:hAnsi="Times New Roman" w:cs="Times New Roman"/>
          <w:sz w:val="20"/>
          <w:szCs w:val="20"/>
        </w:rPr>
        <w:t>, 10 (2019).</w:t>
      </w:r>
    </w:p>
    <w:p w14:paraId="57CD0711" w14:textId="77777777" w:rsidR="00E62CB2" w:rsidRPr="00CC5472" w:rsidRDefault="00E62CB2" w:rsidP="00757F8A">
      <w:pPr>
        <w:spacing w:after="0" w:line="360" w:lineRule="auto"/>
        <w:jc w:val="both"/>
        <w:rPr>
          <w:rStyle w:val="Hiperligao"/>
          <w:rFonts w:ascii="Times New Roman" w:hAnsi="Times New Roman" w:cs="Times New Roman"/>
          <w:color w:val="auto"/>
          <w:sz w:val="20"/>
          <w:szCs w:val="20"/>
          <w:u w:val="none"/>
        </w:rPr>
      </w:pPr>
      <w:bookmarkStart w:id="0" w:name="_Hlk83897825"/>
      <w:r w:rsidRPr="00CC5472">
        <w:rPr>
          <w:rFonts w:ascii="Times New Roman" w:hAnsi="Times New Roman" w:cs="Times New Roman"/>
          <w:smallCaps/>
          <w:sz w:val="20"/>
          <w:szCs w:val="20"/>
        </w:rPr>
        <w:lastRenderedPageBreak/>
        <w:t xml:space="preserve">Reda, Julia / Selinger, </w:t>
      </w:r>
      <w:proofErr w:type="spellStart"/>
      <w:r w:rsidRPr="00CC5472">
        <w:rPr>
          <w:rFonts w:ascii="Times New Roman" w:hAnsi="Times New Roman" w:cs="Times New Roman"/>
          <w:smallCaps/>
          <w:sz w:val="20"/>
          <w:szCs w:val="20"/>
        </w:rPr>
        <w:t>Joschka</w:t>
      </w:r>
      <w:proofErr w:type="spellEnd"/>
      <w:r w:rsidRPr="00CC5472">
        <w:rPr>
          <w:rFonts w:ascii="Times New Roman" w:hAnsi="Times New Roman" w:cs="Times New Roman"/>
          <w:smallCaps/>
          <w:sz w:val="20"/>
          <w:szCs w:val="20"/>
        </w:rPr>
        <w:t xml:space="preserve"> / Servatius, Michael</w:t>
      </w:r>
      <w:r w:rsidRPr="00CC5472">
        <w:rPr>
          <w:rFonts w:ascii="Times New Roman" w:hAnsi="Times New Roman" w:cs="Times New Roman"/>
          <w:sz w:val="20"/>
          <w:szCs w:val="20"/>
        </w:rPr>
        <w:t xml:space="preserve">, “Article 17 of the Directive on Copyright in the Digital Single Market: A Fundamental Rights Assessment”, 8 (2020), https://ssrn.com/abstract=3732223 or </w:t>
      </w:r>
      <w:hyperlink r:id="rId17" w:history="1">
        <w:r w:rsidRPr="00CC5472">
          <w:rPr>
            <w:rStyle w:val="Hiperligao"/>
            <w:rFonts w:ascii="Times New Roman" w:hAnsi="Times New Roman" w:cs="Times New Roman"/>
            <w:sz w:val="20"/>
            <w:szCs w:val="20"/>
          </w:rPr>
          <w:t>http://dx.doi.org/10.2139/ssrn.3732223</w:t>
        </w:r>
      </w:hyperlink>
      <w:bookmarkEnd w:id="0"/>
      <w:r w:rsidRPr="00CC5472">
        <w:rPr>
          <w:rStyle w:val="Hiperligao"/>
          <w:rFonts w:ascii="Times New Roman" w:hAnsi="Times New Roman" w:cs="Times New Roman"/>
          <w:color w:val="auto"/>
          <w:sz w:val="20"/>
          <w:szCs w:val="20"/>
          <w:u w:val="none"/>
        </w:rPr>
        <w:t>.</w:t>
      </w:r>
    </w:p>
    <w:p w14:paraId="6F94E925" w14:textId="77777777" w:rsidR="00E62CB2" w:rsidRPr="00CC5472" w:rsidRDefault="00E62CB2" w:rsidP="00757F8A">
      <w:pPr>
        <w:spacing w:after="0" w:line="360" w:lineRule="auto"/>
        <w:jc w:val="both"/>
        <w:rPr>
          <w:rStyle w:val="Hiperligao"/>
          <w:rFonts w:ascii="Times New Roman" w:hAnsi="Times New Roman" w:cs="Times New Roman"/>
          <w:color w:val="auto"/>
          <w:sz w:val="20"/>
          <w:szCs w:val="20"/>
          <w:u w:val="none"/>
        </w:rPr>
      </w:pPr>
      <w:r w:rsidRPr="00CC5472">
        <w:rPr>
          <w:rFonts w:ascii="Times New Roman" w:hAnsi="Times New Roman" w:cs="Times New Roman"/>
          <w:smallCaps/>
          <w:sz w:val="20"/>
          <w:szCs w:val="20"/>
        </w:rPr>
        <w:t>Riis, Thomas</w:t>
      </w:r>
      <w:r w:rsidRPr="00CC5472">
        <w:rPr>
          <w:rFonts w:ascii="Times New Roman" w:hAnsi="Times New Roman" w:cs="Times New Roman"/>
          <w:sz w:val="20"/>
          <w:szCs w:val="20"/>
        </w:rPr>
        <w:t xml:space="preserve">, </w:t>
      </w:r>
      <w:proofErr w:type="spellStart"/>
      <w:r w:rsidRPr="00CC5472">
        <w:rPr>
          <w:rFonts w:ascii="Times New Roman" w:hAnsi="Times New Roman" w:cs="Times New Roman"/>
          <w:smallCaps/>
          <w:sz w:val="20"/>
          <w:szCs w:val="20"/>
        </w:rPr>
        <w:t>Schwemer</w:t>
      </w:r>
      <w:proofErr w:type="spellEnd"/>
      <w:r w:rsidRPr="00CC5472">
        <w:rPr>
          <w:rFonts w:ascii="Times New Roman" w:hAnsi="Times New Roman" w:cs="Times New Roman"/>
          <w:smallCaps/>
          <w:sz w:val="20"/>
          <w:szCs w:val="20"/>
        </w:rPr>
        <w:t>, Sebastian Felix</w:t>
      </w:r>
      <w:r w:rsidRPr="00CC5472">
        <w:rPr>
          <w:rFonts w:ascii="Times New Roman" w:hAnsi="Times New Roman" w:cs="Times New Roman"/>
          <w:sz w:val="20"/>
          <w:szCs w:val="20"/>
        </w:rPr>
        <w:t xml:space="preserve">, “Leaving the European Safe </w:t>
      </w:r>
      <w:proofErr w:type="spellStart"/>
      <w:r w:rsidRPr="00CC5472">
        <w:rPr>
          <w:rFonts w:ascii="Times New Roman" w:hAnsi="Times New Roman" w:cs="Times New Roman"/>
          <w:sz w:val="20"/>
          <w:szCs w:val="20"/>
        </w:rPr>
        <w:t>Harbor</w:t>
      </w:r>
      <w:proofErr w:type="spellEnd"/>
      <w:r w:rsidRPr="00CC5472">
        <w:rPr>
          <w:rFonts w:ascii="Times New Roman" w:hAnsi="Times New Roman" w:cs="Times New Roman"/>
          <w:sz w:val="20"/>
          <w:szCs w:val="20"/>
        </w:rPr>
        <w:t xml:space="preserve">, Sailing Towards Algorithmic Content Regulation”, </w:t>
      </w:r>
      <w:r w:rsidRPr="00CC5472">
        <w:rPr>
          <w:rFonts w:ascii="Times New Roman" w:hAnsi="Times New Roman" w:cs="Times New Roman"/>
          <w:i/>
          <w:iCs/>
          <w:sz w:val="20"/>
          <w:szCs w:val="20"/>
        </w:rPr>
        <w:t>Journal of Internet Law</w:t>
      </w:r>
      <w:r w:rsidRPr="00CC5472">
        <w:rPr>
          <w:rFonts w:ascii="Times New Roman" w:hAnsi="Times New Roman" w:cs="Times New Roman"/>
          <w:sz w:val="20"/>
          <w:szCs w:val="20"/>
        </w:rPr>
        <w:t xml:space="preserve">, 22 (2019), No. 7, University of Copenhagen Faculty of Law Research Paper No. 2019-64, https://ssrn.com/abstract=3300159 or </w:t>
      </w:r>
      <w:hyperlink r:id="rId18" w:history="1">
        <w:r w:rsidRPr="00CC5472">
          <w:rPr>
            <w:rStyle w:val="Hiperligao"/>
            <w:rFonts w:ascii="Times New Roman" w:hAnsi="Times New Roman" w:cs="Times New Roman"/>
            <w:sz w:val="20"/>
            <w:szCs w:val="20"/>
          </w:rPr>
          <w:t>http://dx.doi.org/10.2139/ssrn.3300159</w:t>
        </w:r>
      </w:hyperlink>
      <w:r w:rsidRPr="00CC5472">
        <w:rPr>
          <w:rStyle w:val="Hiperligao"/>
          <w:rFonts w:ascii="Times New Roman" w:hAnsi="Times New Roman" w:cs="Times New Roman"/>
          <w:color w:val="auto"/>
          <w:sz w:val="20"/>
          <w:szCs w:val="20"/>
          <w:u w:val="none"/>
        </w:rPr>
        <w:t>.</w:t>
      </w:r>
    </w:p>
    <w:p w14:paraId="3EC125B4"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Robbins, Tyler D.</w:t>
      </w:r>
      <w:r w:rsidRPr="00CC5472">
        <w:rPr>
          <w:rFonts w:ascii="Times New Roman" w:hAnsi="Times New Roman" w:cs="Times New Roman"/>
          <w:sz w:val="20"/>
          <w:szCs w:val="20"/>
        </w:rPr>
        <w:t xml:space="preserve">, “The Justification, Consequences, and Controversy of the Directive on Copyright in the Digital Single Market’s Article 17”, </w:t>
      </w:r>
      <w:r w:rsidRPr="00CC5472">
        <w:rPr>
          <w:rFonts w:ascii="Times New Roman" w:hAnsi="Times New Roman" w:cs="Times New Roman"/>
          <w:i/>
          <w:iCs/>
          <w:sz w:val="20"/>
          <w:szCs w:val="20"/>
        </w:rPr>
        <w:t>Stanford-Vienna European Union Law Working Paper No. 42</w:t>
      </w:r>
      <w:r w:rsidRPr="00CC5472">
        <w:rPr>
          <w:rFonts w:ascii="Times New Roman" w:hAnsi="Times New Roman" w:cs="Times New Roman"/>
          <w:sz w:val="20"/>
          <w:szCs w:val="20"/>
        </w:rPr>
        <w:t xml:space="preserve">, </w:t>
      </w:r>
      <w:hyperlink r:id="rId19" w:history="1">
        <w:r w:rsidRPr="00CC5472">
          <w:rPr>
            <w:rStyle w:val="Hiperligao"/>
            <w:rFonts w:ascii="Times New Roman" w:hAnsi="Times New Roman" w:cs="Times New Roman"/>
            <w:sz w:val="20"/>
            <w:szCs w:val="20"/>
          </w:rPr>
          <w:t>http://ttlf.stanford.edu</w:t>
        </w:r>
      </w:hyperlink>
      <w:r w:rsidRPr="00CC5472">
        <w:rPr>
          <w:rFonts w:ascii="Times New Roman" w:hAnsi="Times New Roman" w:cs="Times New Roman"/>
          <w:sz w:val="20"/>
          <w:szCs w:val="20"/>
        </w:rPr>
        <w:t>., 2019.</w:t>
      </w:r>
    </w:p>
    <w:p w14:paraId="12D04E93"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Rocha, Maria Victória</w:t>
      </w:r>
      <w:r w:rsidRPr="00CC5472">
        <w:rPr>
          <w:rFonts w:ascii="Times New Roman" w:hAnsi="Times New Roman" w:cs="Times New Roman"/>
          <w:sz w:val="20"/>
          <w:szCs w:val="20"/>
          <w:lang w:val="pt-PT"/>
        </w:rPr>
        <w:t xml:space="preserve">, “Decisão Tom </w:t>
      </w:r>
      <w:proofErr w:type="spellStart"/>
      <w:r w:rsidRPr="00CC5472">
        <w:rPr>
          <w:rFonts w:ascii="Times New Roman" w:hAnsi="Times New Roman" w:cs="Times New Roman"/>
          <w:sz w:val="20"/>
          <w:szCs w:val="20"/>
          <w:lang w:val="pt-PT"/>
        </w:rPr>
        <w:t>Kabinet</w:t>
      </w:r>
      <w:proofErr w:type="spellEnd"/>
      <w:r w:rsidRPr="00CC5472">
        <w:rPr>
          <w:rFonts w:ascii="Times New Roman" w:hAnsi="Times New Roman" w:cs="Times New Roman"/>
          <w:sz w:val="20"/>
          <w:szCs w:val="20"/>
          <w:lang w:val="pt-PT"/>
        </w:rPr>
        <w:t xml:space="preserve">: um forte retrocesso do esgotamento digital na União Europeia?”, </w:t>
      </w:r>
      <w:r w:rsidRPr="00CC5472">
        <w:rPr>
          <w:rFonts w:ascii="Times New Roman" w:hAnsi="Times New Roman" w:cs="Times New Roman"/>
          <w:i/>
          <w:iCs/>
          <w:sz w:val="20"/>
          <w:szCs w:val="20"/>
          <w:lang w:val="pt-PT"/>
        </w:rPr>
        <w:t>Revista de Direito Intelectual</w:t>
      </w:r>
      <w:r w:rsidRPr="00CC5472">
        <w:rPr>
          <w:rFonts w:ascii="Times New Roman" w:hAnsi="Times New Roman" w:cs="Times New Roman"/>
          <w:sz w:val="20"/>
          <w:szCs w:val="20"/>
          <w:lang w:val="pt-PT"/>
        </w:rPr>
        <w:t>, 1(2020).</w:t>
      </w:r>
    </w:p>
    <w:p w14:paraId="5C630B42" w14:textId="77777777" w:rsidR="00E62CB2" w:rsidRPr="00CC5472" w:rsidRDefault="00E62CB2" w:rsidP="00757F8A">
      <w:pPr>
        <w:spacing w:after="0" w:line="360" w:lineRule="auto"/>
        <w:jc w:val="both"/>
        <w:rPr>
          <w:rStyle w:val="Hiperligao"/>
          <w:rFonts w:ascii="Times New Roman" w:hAnsi="Times New Roman" w:cs="Times New Roman"/>
          <w:color w:val="auto"/>
          <w:sz w:val="20"/>
          <w:szCs w:val="20"/>
          <w:u w:val="none"/>
        </w:rPr>
      </w:pPr>
      <w:r w:rsidRPr="00CC5472">
        <w:rPr>
          <w:rFonts w:ascii="Times New Roman" w:hAnsi="Times New Roman" w:cs="Times New Roman"/>
          <w:smallCaps/>
          <w:sz w:val="20"/>
          <w:szCs w:val="20"/>
        </w:rPr>
        <w:t>Rosati, Eleonora</w:t>
      </w:r>
      <w:r w:rsidRPr="00CC5472">
        <w:rPr>
          <w:rFonts w:ascii="Times New Roman" w:hAnsi="Times New Roman" w:cs="Times New Roman"/>
          <w:sz w:val="20"/>
          <w:szCs w:val="20"/>
        </w:rPr>
        <w:t xml:space="preserve">, “The DSM Directive Two Years On: Do Things Ever Get Easier?”, </w:t>
      </w:r>
      <w:r w:rsidRPr="00CC5472">
        <w:rPr>
          <w:rFonts w:ascii="Times New Roman" w:hAnsi="Times New Roman" w:cs="Times New Roman"/>
          <w:i/>
          <w:iCs/>
          <w:sz w:val="20"/>
          <w:szCs w:val="20"/>
        </w:rPr>
        <w:t>IIC</w:t>
      </w:r>
      <w:r w:rsidRPr="00CC5472">
        <w:rPr>
          <w:rFonts w:ascii="Times New Roman" w:hAnsi="Times New Roman" w:cs="Times New Roman"/>
          <w:sz w:val="20"/>
          <w:szCs w:val="20"/>
        </w:rPr>
        <w:t xml:space="preserve"> (2021), </w:t>
      </w:r>
      <w:hyperlink r:id="rId20" w:history="1">
        <w:r w:rsidRPr="00CC5472">
          <w:rPr>
            <w:rStyle w:val="Hiperligao"/>
            <w:rFonts w:ascii="Times New Roman" w:hAnsi="Times New Roman" w:cs="Times New Roman"/>
            <w:sz w:val="20"/>
            <w:szCs w:val="20"/>
          </w:rPr>
          <w:t>https://doi.org/10.1007/s40319-021-01082-6</w:t>
        </w:r>
      </w:hyperlink>
      <w:r w:rsidRPr="00CC5472">
        <w:rPr>
          <w:rStyle w:val="Hiperligao"/>
          <w:rFonts w:ascii="Times New Roman" w:hAnsi="Times New Roman" w:cs="Times New Roman"/>
          <w:color w:val="auto"/>
          <w:sz w:val="20"/>
          <w:szCs w:val="20"/>
          <w:u w:val="none"/>
        </w:rPr>
        <w:t>.</w:t>
      </w:r>
    </w:p>
    <w:p w14:paraId="5EB3C31C"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Rosati, Eleonora</w:t>
      </w:r>
      <w:r w:rsidRPr="00CC5472">
        <w:rPr>
          <w:rFonts w:ascii="Times New Roman" w:hAnsi="Times New Roman" w:cs="Times New Roman"/>
          <w:sz w:val="20"/>
          <w:szCs w:val="20"/>
        </w:rPr>
        <w:t xml:space="preserve">, “The DSM Directive Two Years On: Do Things Ever Get Easier?”, </w:t>
      </w:r>
      <w:r w:rsidRPr="00CC5472">
        <w:rPr>
          <w:rFonts w:ascii="Times New Roman" w:hAnsi="Times New Roman" w:cs="Times New Roman"/>
          <w:i/>
          <w:iCs/>
          <w:sz w:val="20"/>
          <w:szCs w:val="20"/>
        </w:rPr>
        <w:t>IIC</w:t>
      </w:r>
      <w:r w:rsidRPr="00CC5472">
        <w:rPr>
          <w:rFonts w:ascii="Times New Roman" w:hAnsi="Times New Roman" w:cs="Times New Roman"/>
          <w:sz w:val="20"/>
          <w:szCs w:val="20"/>
        </w:rPr>
        <w:t>, 52 (2021).</w:t>
      </w:r>
    </w:p>
    <w:p w14:paraId="3150E4BC"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Sartor, Giovanni</w:t>
      </w:r>
      <w:r w:rsidRPr="00CC5472">
        <w:rPr>
          <w:rFonts w:ascii="Times New Roman" w:hAnsi="Times New Roman" w:cs="Times New Roman"/>
          <w:sz w:val="20"/>
          <w:szCs w:val="20"/>
        </w:rPr>
        <w:t xml:space="preserve">, “Providers’ liabilities in the new EU Data Protection Regulation: A threat to Internet Freedoms?”, </w:t>
      </w:r>
      <w:r w:rsidRPr="00CC5472">
        <w:rPr>
          <w:rFonts w:ascii="Times New Roman" w:hAnsi="Times New Roman" w:cs="Times New Roman"/>
          <w:i/>
          <w:iCs/>
          <w:sz w:val="20"/>
          <w:szCs w:val="20"/>
        </w:rPr>
        <w:t>International Data Privacy Law</w:t>
      </w:r>
      <w:r w:rsidRPr="00CC5472">
        <w:rPr>
          <w:rFonts w:ascii="Times New Roman" w:hAnsi="Times New Roman" w:cs="Times New Roman"/>
          <w:sz w:val="20"/>
          <w:szCs w:val="20"/>
        </w:rPr>
        <w:t>, 3 (2013).</w:t>
      </w:r>
    </w:p>
    <w:p w14:paraId="0763D8CA"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Sartor, Giovanni</w:t>
      </w:r>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Providers Liability: From the eCommerce Directive to the future</w:t>
      </w:r>
      <w:r w:rsidRPr="00CC5472">
        <w:rPr>
          <w:rFonts w:ascii="Times New Roman" w:hAnsi="Times New Roman" w:cs="Times New Roman"/>
          <w:sz w:val="20"/>
          <w:szCs w:val="20"/>
        </w:rPr>
        <w:t xml:space="preserve">, </w:t>
      </w:r>
      <w:hyperlink r:id="rId21" w:history="1">
        <w:r w:rsidRPr="00CC5472">
          <w:rPr>
            <w:rStyle w:val="Hiperligao"/>
            <w:rFonts w:ascii="Times New Roman" w:hAnsi="Times New Roman" w:cs="Times New Roman"/>
            <w:sz w:val="20"/>
            <w:szCs w:val="20"/>
          </w:rPr>
          <w:t>https://www.europarl.europa.eu/studies</w:t>
        </w:r>
      </w:hyperlink>
      <w:r w:rsidRPr="00CC5472">
        <w:rPr>
          <w:rFonts w:ascii="Times New Roman" w:hAnsi="Times New Roman" w:cs="Times New Roman"/>
          <w:sz w:val="20"/>
          <w:szCs w:val="20"/>
        </w:rPr>
        <w:t>, 2017.</w:t>
      </w:r>
    </w:p>
    <w:p w14:paraId="1C8084B8" w14:textId="77777777" w:rsidR="00E62CB2" w:rsidRPr="00CC5472" w:rsidRDefault="00E62CB2" w:rsidP="00757F8A">
      <w:pPr>
        <w:spacing w:after="0" w:line="360" w:lineRule="auto"/>
        <w:jc w:val="both"/>
        <w:rPr>
          <w:rStyle w:val="Hiperligao"/>
          <w:rFonts w:ascii="Times New Roman" w:hAnsi="Times New Roman" w:cs="Times New Roman"/>
          <w:color w:val="auto"/>
          <w:sz w:val="20"/>
          <w:szCs w:val="20"/>
          <w:u w:val="none"/>
        </w:rPr>
      </w:pPr>
      <w:proofErr w:type="spellStart"/>
      <w:r w:rsidRPr="00CC5472">
        <w:rPr>
          <w:rFonts w:ascii="Times New Roman" w:hAnsi="Times New Roman" w:cs="Times New Roman"/>
          <w:smallCaps/>
          <w:sz w:val="20"/>
          <w:szCs w:val="20"/>
        </w:rPr>
        <w:t>Schwemer</w:t>
      </w:r>
      <w:proofErr w:type="spellEnd"/>
      <w:r w:rsidRPr="00CC5472">
        <w:rPr>
          <w:rFonts w:ascii="Times New Roman" w:hAnsi="Times New Roman" w:cs="Times New Roman"/>
          <w:smallCaps/>
          <w:sz w:val="20"/>
          <w:szCs w:val="20"/>
        </w:rPr>
        <w:t xml:space="preserve">, Sebastian Felix / </w:t>
      </w:r>
      <w:proofErr w:type="spellStart"/>
      <w:r w:rsidRPr="00CC5472">
        <w:rPr>
          <w:rFonts w:ascii="Times New Roman" w:hAnsi="Times New Roman" w:cs="Times New Roman"/>
          <w:smallCaps/>
          <w:sz w:val="20"/>
          <w:szCs w:val="20"/>
        </w:rPr>
        <w:t>Schovsbo</w:t>
      </w:r>
      <w:proofErr w:type="spellEnd"/>
      <w:r w:rsidRPr="00CC5472">
        <w:rPr>
          <w:rFonts w:ascii="Times New Roman" w:hAnsi="Times New Roman" w:cs="Times New Roman"/>
          <w:smallCaps/>
          <w:sz w:val="20"/>
          <w:szCs w:val="20"/>
        </w:rPr>
        <w:t>, Jens</w:t>
      </w:r>
      <w:r w:rsidRPr="00CC5472">
        <w:rPr>
          <w:rFonts w:ascii="Times New Roman" w:hAnsi="Times New Roman" w:cs="Times New Roman"/>
          <w:sz w:val="20"/>
          <w:szCs w:val="20"/>
        </w:rPr>
        <w:t xml:space="preserve">, “What is Left of User Rights? – Algorithmic Copyright Enforcement and Free Speech in the Light of the Article 17 Regime”, </w:t>
      </w:r>
      <w:r w:rsidRPr="00CC5472">
        <w:rPr>
          <w:rFonts w:ascii="Times New Roman" w:hAnsi="Times New Roman" w:cs="Times New Roman"/>
          <w:i/>
          <w:iCs/>
          <w:sz w:val="20"/>
          <w:szCs w:val="20"/>
        </w:rPr>
        <w:t xml:space="preserve">in:, Intellectual Property Law and Human Rights </w:t>
      </w:r>
      <w:r w:rsidRPr="00CC5472">
        <w:rPr>
          <w:rFonts w:ascii="Times New Roman" w:hAnsi="Times New Roman" w:cs="Times New Roman"/>
          <w:iCs/>
          <w:sz w:val="20"/>
          <w:szCs w:val="20"/>
        </w:rPr>
        <w:t xml:space="preserve">(ed. </w:t>
      </w:r>
      <w:r w:rsidRPr="00CC5472">
        <w:rPr>
          <w:rFonts w:ascii="Times New Roman" w:hAnsi="Times New Roman" w:cs="Times New Roman"/>
          <w:sz w:val="20"/>
          <w:szCs w:val="20"/>
        </w:rPr>
        <w:t xml:space="preserve">Paul </w:t>
      </w:r>
      <w:proofErr w:type="spellStart"/>
      <w:r w:rsidRPr="00CC5472">
        <w:rPr>
          <w:rFonts w:ascii="Times New Roman" w:hAnsi="Times New Roman" w:cs="Times New Roman"/>
          <w:sz w:val="20"/>
          <w:szCs w:val="20"/>
        </w:rPr>
        <w:t>Torremans</w:t>
      </w:r>
      <w:proofErr w:type="spellEnd"/>
      <w:r w:rsidRPr="00CC5472">
        <w:rPr>
          <w:rFonts w:ascii="Times New Roman" w:hAnsi="Times New Roman" w:cs="Times New Roman"/>
          <w:sz w:val="20"/>
          <w:szCs w:val="20"/>
        </w:rPr>
        <w:t xml:space="preserve">), 4th edition, Wolters Kluwer, 2020, available at SSRN: https://ssrn.com/abstract=3507542 or </w:t>
      </w:r>
      <w:hyperlink r:id="rId22" w:history="1">
        <w:r w:rsidRPr="00CC5472">
          <w:rPr>
            <w:rStyle w:val="Hiperligao"/>
            <w:rFonts w:ascii="Times New Roman" w:hAnsi="Times New Roman" w:cs="Times New Roman"/>
            <w:sz w:val="20"/>
            <w:szCs w:val="20"/>
          </w:rPr>
          <w:t>http://dx.doi.org/10.2139/ssrn.3507542</w:t>
        </w:r>
      </w:hyperlink>
      <w:r w:rsidRPr="00CC5472">
        <w:rPr>
          <w:rStyle w:val="Hiperligao"/>
          <w:rFonts w:ascii="Times New Roman" w:hAnsi="Times New Roman" w:cs="Times New Roman"/>
          <w:color w:val="auto"/>
          <w:sz w:val="20"/>
          <w:szCs w:val="20"/>
          <w:u w:val="none"/>
        </w:rPr>
        <w:t>.</w:t>
      </w:r>
    </w:p>
    <w:p w14:paraId="09703753"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Senftleben</w:t>
      </w:r>
      <w:proofErr w:type="spellEnd"/>
      <w:r w:rsidRPr="00CC5472">
        <w:rPr>
          <w:rFonts w:ascii="Times New Roman" w:hAnsi="Times New Roman" w:cs="Times New Roman"/>
          <w:smallCaps/>
          <w:sz w:val="20"/>
          <w:szCs w:val="20"/>
        </w:rPr>
        <w:t xml:space="preserve">, Martin / </w:t>
      </w:r>
      <w:proofErr w:type="spellStart"/>
      <w:r w:rsidRPr="00CC5472">
        <w:rPr>
          <w:rFonts w:ascii="Times New Roman" w:hAnsi="Times New Roman" w:cs="Times New Roman"/>
          <w:smallCaps/>
          <w:sz w:val="20"/>
          <w:szCs w:val="20"/>
        </w:rPr>
        <w:t>Kerk</w:t>
      </w:r>
      <w:proofErr w:type="spellEnd"/>
      <w:r w:rsidRPr="00CC5472">
        <w:rPr>
          <w:rFonts w:ascii="Times New Roman" w:hAnsi="Times New Roman" w:cs="Times New Roman"/>
          <w:smallCaps/>
          <w:sz w:val="20"/>
          <w:szCs w:val="20"/>
        </w:rPr>
        <w:t>, Maximilian / Buiten, Miriam</w:t>
      </w:r>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et al.</w:t>
      </w:r>
      <w:r w:rsidRPr="00CC5472">
        <w:rPr>
          <w:rFonts w:ascii="Times New Roman" w:hAnsi="Times New Roman" w:cs="Times New Roman"/>
          <w:sz w:val="20"/>
          <w:szCs w:val="20"/>
        </w:rPr>
        <w:t xml:space="preserve">, “New Rights or New Business Models? An Inquiry into the Future of Publishing in the Digital Era”, </w:t>
      </w:r>
      <w:r w:rsidRPr="00CC5472">
        <w:rPr>
          <w:rFonts w:ascii="Times New Roman" w:hAnsi="Times New Roman" w:cs="Times New Roman"/>
          <w:i/>
          <w:iCs/>
          <w:sz w:val="20"/>
          <w:szCs w:val="20"/>
        </w:rPr>
        <w:t>IIC</w:t>
      </w:r>
      <w:r w:rsidRPr="00CC5472">
        <w:rPr>
          <w:rFonts w:ascii="Times New Roman" w:hAnsi="Times New Roman" w:cs="Times New Roman"/>
          <w:iCs/>
          <w:sz w:val="20"/>
          <w:szCs w:val="20"/>
        </w:rPr>
        <w:t>,</w:t>
      </w:r>
      <w:r w:rsidRPr="00CC5472">
        <w:rPr>
          <w:rFonts w:ascii="Times New Roman" w:hAnsi="Times New Roman" w:cs="Times New Roman"/>
          <w:sz w:val="20"/>
          <w:szCs w:val="20"/>
        </w:rPr>
        <w:t xml:space="preserve"> 48 (2017), pp. 538–561.</w:t>
      </w:r>
    </w:p>
    <w:p w14:paraId="310732A3" w14:textId="77777777" w:rsidR="00E62CB2" w:rsidRPr="00CC5472" w:rsidRDefault="00E62CB2" w:rsidP="00757F8A">
      <w:pPr>
        <w:spacing w:after="0" w:line="360" w:lineRule="auto"/>
        <w:jc w:val="both"/>
        <w:rPr>
          <w:rFonts w:ascii="Times New Roman" w:hAnsi="Times New Roman" w:cs="Times New Roman"/>
          <w:sz w:val="20"/>
          <w:szCs w:val="20"/>
          <w:lang w:val="pt-PT"/>
        </w:rPr>
      </w:pPr>
      <w:r w:rsidRPr="00CC5472">
        <w:rPr>
          <w:rFonts w:ascii="Times New Roman" w:hAnsi="Times New Roman" w:cs="Times New Roman"/>
          <w:smallCaps/>
          <w:sz w:val="20"/>
          <w:szCs w:val="20"/>
          <w:lang w:val="pt-PT"/>
        </w:rPr>
        <w:t>Silva, Nuno Sousa e</w:t>
      </w:r>
      <w:r w:rsidRPr="00CC5472">
        <w:rPr>
          <w:rFonts w:ascii="Times New Roman" w:hAnsi="Times New Roman" w:cs="Times New Roman"/>
          <w:sz w:val="20"/>
          <w:szCs w:val="20"/>
          <w:lang w:val="pt-PT"/>
        </w:rPr>
        <w:t xml:space="preserve">, “Subsídios para a transposição da Diretiva 2019/790”, </w:t>
      </w:r>
      <w:r w:rsidRPr="00CC5472">
        <w:rPr>
          <w:rFonts w:ascii="Times New Roman" w:hAnsi="Times New Roman" w:cs="Times New Roman"/>
          <w:i/>
          <w:iCs/>
          <w:sz w:val="20"/>
          <w:szCs w:val="20"/>
          <w:lang w:val="pt-PT"/>
        </w:rPr>
        <w:t>Revista de Direito Intelectual</w:t>
      </w:r>
      <w:r w:rsidRPr="00CC5472">
        <w:rPr>
          <w:rFonts w:ascii="Times New Roman" w:hAnsi="Times New Roman" w:cs="Times New Roman"/>
          <w:sz w:val="20"/>
          <w:szCs w:val="20"/>
          <w:lang w:val="pt-PT"/>
        </w:rPr>
        <w:t>, 1 (2020).</w:t>
      </w:r>
    </w:p>
    <w:p w14:paraId="7C2E55A0"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Sloot, Bart van der</w:t>
      </w:r>
      <w:r w:rsidRPr="00CC5472">
        <w:rPr>
          <w:rFonts w:ascii="Times New Roman" w:hAnsi="Times New Roman" w:cs="Times New Roman"/>
          <w:sz w:val="20"/>
          <w:szCs w:val="20"/>
        </w:rPr>
        <w:t xml:space="preserve">, “Welcome to the Jungle: </w:t>
      </w:r>
      <w:proofErr w:type="gramStart"/>
      <w:r w:rsidRPr="00CC5472">
        <w:rPr>
          <w:rFonts w:ascii="Times New Roman" w:hAnsi="Times New Roman" w:cs="Times New Roman"/>
          <w:sz w:val="20"/>
          <w:szCs w:val="20"/>
        </w:rPr>
        <w:t>the</w:t>
      </w:r>
      <w:proofErr w:type="gramEnd"/>
      <w:r w:rsidRPr="00CC5472">
        <w:rPr>
          <w:rFonts w:ascii="Times New Roman" w:hAnsi="Times New Roman" w:cs="Times New Roman"/>
          <w:sz w:val="20"/>
          <w:szCs w:val="20"/>
        </w:rPr>
        <w:t xml:space="preserve"> Liability of Internet Intermediaries for Privacy Violations in Europe”,</w:t>
      </w:r>
      <w:r w:rsidRPr="00CC5472">
        <w:rPr>
          <w:rFonts w:ascii="Times New Roman" w:hAnsi="Times New Roman" w:cs="Times New Roman"/>
          <w:i/>
          <w:sz w:val="20"/>
          <w:szCs w:val="20"/>
        </w:rPr>
        <w:t xml:space="preserve"> JIPITEC</w:t>
      </w:r>
      <w:r w:rsidRPr="00CC5472">
        <w:rPr>
          <w:rFonts w:ascii="Times New Roman" w:hAnsi="Times New Roman" w:cs="Times New Roman"/>
          <w:sz w:val="20"/>
          <w:szCs w:val="20"/>
        </w:rPr>
        <w:t>, 6 (2015).</w:t>
      </w:r>
    </w:p>
    <w:p w14:paraId="1897E718"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Snijders</w:t>
      </w:r>
      <w:proofErr w:type="spellEnd"/>
      <w:r w:rsidRPr="00CC5472">
        <w:rPr>
          <w:rFonts w:ascii="Times New Roman" w:hAnsi="Times New Roman" w:cs="Times New Roman"/>
          <w:smallCaps/>
          <w:sz w:val="20"/>
          <w:szCs w:val="20"/>
        </w:rPr>
        <w:t xml:space="preserve">, Thom / </w:t>
      </w:r>
      <w:proofErr w:type="spellStart"/>
      <w:r w:rsidRPr="00CC5472">
        <w:rPr>
          <w:rFonts w:ascii="Times New Roman" w:hAnsi="Times New Roman" w:cs="Times New Roman"/>
          <w:smallCaps/>
          <w:sz w:val="20"/>
          <w:szCs w:val="20"/>
        </w:rPr>
        <w:t>Deursen</w:t>
      </w:r>
      <w:proofErr w:type="spellEnd"/>
      <w:r w:rsidRPr="00CC5472">
        <w:rPr>
          <w:rFonts w:ascii="Times New Roman" w:hAnsi="Times New Roman" w:cs="Times New Roman"/>
          <w:smallCaps/>
          <w:sz w:val="20"/>
          <w:szCs w:val="20"/>
        </w:rPr>
        <w:t xml:space="preserve">, </w:t>
      </w:r>
      <w:proofErr w:type="spellStart"/>
      <w:r w:rsidRPr="00CC5472">
        <w:rPr>
          <w:rFonts w:ascii="Times New Roman" w:hAnsi="Times New Roman" w:cs="Times New Roman"/>
          <w:smallCaps/>
          <w:sz w:val="20"/>
          <w:szCs w:val="20"/>
        </w:rPr>
        <w:t>Stijin</w:t>
      </w:r>
      <w:proofErr w:type="spellEnd"/>
      <w:r w:rsidRPr="00CC5472">
        <w:rPr>
          <w:rFonts w:ascii="Times New Roman" w:hAnsi="Times New Roman" w:cs="Times New Roman"/>
          <w:smallCaps/>
          <w:sz w:val="20"/>
          <w:szCs w:val="20"/>
        </w:rPr>
        <w:t xml:space="preserve"> van</w:t>
      </w:r>
      <w:r w:rsidRPr="00CC5472">
        <w:rPr>
          <w:rFonts w:ascii="Times New Roman" w:hAnsi="Times New Roman" w:cs="Times New Roman"/>
          <w:sz w:val="20"/>
          <w:szCs w:val="20"/>
        </w:rPr>
        <w:t xml:space="preserve">, “The Road Not Taken – the CJEU Sheds Light on the Role of Fundamental Rights in the European Copyright Framework – a Case Note on the </w:t>
      </w:r>
      <w:r w:rsidRPr="00CC5472">
        <w:rPr>
          <w:rFonts w:ascii="Times New Roman" w:hAnsi="Times New Roman" w:cs="Times New Roman"/>
          <w:i/>
          <w:iCs/>
          <w:sz w:val="20"/>
          <w:szCs w:val="20"/>
        </w:rPr>
        <w:t>Pelham</w:t>
      </w:r>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Spiegel Online</w:t>
      </w:r>
      <w:r w:rsidRPr="00CC5472">
        <w:rPr>
          <w:rFonts w:ascii="Times New Roman" w:hAnsi="Times New Roman" w:cs="Times New Roman"/>
          <w:sz w:val="20"/>
          <w:szCs w:val="20"/>
        </w:rPr>
        <w:t xml:space="preserve"> and </w:t>
      </w:r>
      <w:r w:rsidRPr="00CC5472">
        <w:rPr>
          <w:rFonts w:ascii="Times New Roman" w:hAnsi="Times New Roman" w:cs="Times New Roman"/>
          <w:i/>
          <w:iCs/>
          <w:sz w:val="20"/>
          <w:szCs w:val="20"/>
        </w:rPr>
        <w:t xml:space="preserve">Funke </w:t>
      </w:r>
      <w:proofErr w:type="spellStart"/>
      <w:r w:rsidRPr="00CC5472">
        <w:rPr>
          <w:rFonts w:ascii="Times New Roman" w:hAnsi="Times New Roman" w:cs="Times New Roman"/>
          <w:i/>
          <w:iCs/>
          <w:sz w:val="20"/>
          <w:szCs w:val="20"/>
        </w:rPr>
        <w:t>Medien</w:t>
      </w:r>
      <w:proofErr w:type="spellEnd"/>
      <w:r w:rsidRPr="00CC5472">
        <w:rPr>
          <w:rFonts w:ascii="Times New Roman" w:hAnsi="Times New Roman" w:cs="Times New Roman"/>
          <w:sz w:val="20"/>
          <w:szCs w:val="20"/>
        </w:rPr>
        <w:t xml:space="preserve"> Decisions”, </w:t>
      </w:r>
      <w:r w:rsidRPr="00CC5472">
        <w:rPr>
          <w:rFonts w:ascii="Times New Roman" w:hAnsi="Times New Roman" w:cs="Times New Roman"/>
          <w:i/>
          <w:iCs/>
          <w:sz w:val="20"/>
          <w:szCs w:val="20"/>
        </w:rPr>
        <w:t>IIC</w:t>
      </w:r>
      <w:r w:rsidRPr="00CC5472">
        <w:rPr>
          <w:rFonts w:ascii="Times New Roman" w:hAnsi="Times New Roman" w:cs="Times New Roman"/>
          <w:sz w:val="20"/>
          <w:szCs w:val="20"/>
        </w:rPr>
        <w:t xml:space="preserve">, 50 (2019), </w:t>
      </w:r>
      <w:hyperlink r:id="rId23" w:history="1">
        <w:r w:rsidRPr="00CC5472">
          <w:rPr>
            <w:rStyle w:val="Hiperligao"/>
            <w:rFonts w:ascii="Times New Roman" w:hAnsi="Times New Roman" w:cs="Times New Roman"/>
            <w:sz w:val="20"/>
            <w:szCs w:val="20"/>
          </w:rPr>
          <w:t>https://doi.org/10.1007/s40319-019-00883-0</w:t>
        </w:r>
      </w:hyperlink>
      <w:r w:rsidRPr="00CC5472">
        <w:rPr>
          <w:rFonts w:ascii="Times New Roman" w:hAnsi="Times New Roman" w:cs="Times New Roman"/>
          <w:sz w:val="20"/>
          <w:szCs w:val="20"/>
        </w:rPr>
        <w:t>.</w:t>
      </w:r>
    </w:p>
    <w:p w14:paraId="168942E3" w14:textId="77777777" w:rsidR="00E62CB2" w:rsidRPr="00CC5472" w:rsidRDefault="00E62CB2" w:rsidP="00757F8A">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t>Stalla-Bourdillon</w:t>
      </w:r>
      <w:proofErr w:type="spellEnd"/>
      <w:r w:rsidRPr="00CC5472">
        <w:rPr>
          <w:rFonts w:ascii="Times New Roman" w:hAnsi="Times New Roman" w:cs="Times New Roman"/>
          <w:smallCaps/>
          <w:sz w:val="20"/>
          <w:szCs w:val="20"/>
        </w:rPr>
        <w:t>, Sophie</w:t>
      </w:r>
      <w:r w:rsidRPr="00CC5472">
        <w:rPr>
          <w:rFonts w:ascii="Times New Roman" w:hAnsi="Times New Roman" w:cs="Times New Roman"/>
          <w:sz w:val="20"/>
          <w:szCs w:val="20"/>
        </w:rPr>
        <w:t xml:space="preserve">, “Sometimes one is not enough! Securing freedom of expression, encouraging private regulation, or subsidizing internet intermediaries or all three at the same time: the dilemma of internet intermediaries’ liability”, </w:t>
      </w:r>
      <w:r w:rsidRPr="00CC5472">
        <w:rPr>
          <w:rFonts w:ascii="Times New Roman" w:hAnsi="Times New Roman" w:cs="Times New Roman"/>
          <w:i/>
          <w:iCs/>
          <w:sz w:val="20"/>
          <w:szCs w:val="20"/>
        </w:rPr>
        <w:t>Journal of International Commercial Law and Technology</w:t>
      </w:r>
      <w:r w:rsidRPr="00CC5472">
        <w:rPr>
          <w:rFonts w:ascii="Times New Roman" w:hAnsi="Times New Roman" w:cs="Times New Roman"/>
          <w:sz w:val="20"/>
          <w:szCs w:val="20"/>
        </w:rPr>
        <w:t>, Vol. 7, 2 (2012).</w:t>
      </w:r>
    </w:p>
    <w:p w14:paraId="2AD7B6AA" w14:textId="77777777" w:rsidR="00E62CB2" w:rsidRPr="00CC5472" w:rsidRDefault="00E62CB2" w:rsidP="00757F8A">
      <w:pPr>
        <w:spacing w:after="0" w:line="360" w:lineRule="auto"/>
        <w:jc w:val="both"/>
        <w:rPr>
          <w:rFonts w:ascii="Times New Roman" w:hAnsi="Times New Roman" w:cs="Times New Roman"/>
          <w:sz w:val="20"/>
          <w:szCs w:val="20"/>
        </w:rPr>
      </w:pPr>
      <w:r w:rsidRPr="00CC5472">
        <w:rPr>
          <w:rFonts w:ascii="Times New Roman" w:hAnsi="Times New Roman" w:cs="Times New Roman"/>
          <w:smallCaps/>
          <w:sz w:val="20"/>
          <w:szCs w:val="20"/>
        </w:rPr>
        <w:t xml:space="preserve">Valcke, Peggy / </w:t>
      </w:r>
      <w:proofErr w:type="spellStart"/>
      <w:r w:rsidRPr="00CC5472">
        <w:rPr>
          <w:rFonts w:ascii="Times New Roman" w:hAnsi="Times New Roman" w:cs="Times New Roman"/>
          <w:smallCaps/>
          <w:sz w:val="20"/>
          <w:szCs w:val="20"/>
        </w:rPr>
        <w:t>Kuczerawy</w:t>
      </w:r>
      <w:proofErr w:type="spellEnd"/>
      <w:r w:rsidRPr="00CC5472">
        <w:rPr>
          <w:rFonts w:ascii="Times New Roman" w:hAnsi="Times New Roman" w:cs="Times New Roman"/>
          <w:smallCaps/>
          <w:sz w:val="20"/>
          <w:szCs w:val="20"/>
        </w:rPr>
        <w:t xml:space="preserve">, Aleksandra / </w:t>
      </w:r>
      <w:proofErr w:type="spellStart"/>
      <w:r w:rsidRPr="00CC5472">
        <w:rPr>
          <w:rFonts w:ascii="Times New Roman" w:hAnsi="Times New Roman" w:cs="Times New Roman"/>
          <w:smallCaps/>
          <w:sz w:val="20"/>
          <w:szCs w:val="20"/>
        </w:rPr>
        <w:t>Ombelet</w:t>
      </w:r>
      <w:proofErr w:type="spellEnd"/>
      <w:r w:rsidRPr="00CC5472">
        <w:rPr>
          <w:rFonts w:ascii="Times New Roman" w:hAnsi="Times New Roman" w:cs="Times New Roman"/>
          <w:smallCaps/>
          <w:sz w:val="20"/>
          <w:szCs w:val="20"/>
        </w:rPr>
        <w:t>, Pieter-Jan</w:t>
      </w:r>
      <w:r w:rsidRPr="00CC5472">
        <w:rPr>
          <w:rFonts w:ascii="Times New Roman" w:hAnsi="Times New Roman" w:cs="Times New Roman"/>
          <w:sz w:val="20"/>
          <w:szCs w:val="20"/>
        </w:rPr>
        <w:t xml:space="preserve">, “Did the Romans Get it Right? What </w:t>
      </w:r>
      <w:proofErr w:type="spellStart"/>
      <w:r w:rsidRPr="00CC5472">
        <w:rPr>
          <w:rFonts w:ascii="Times New Roman" w:hAnsi="Times New Roman" w:cs="Times New Roman"/>
          <w:sz w:val="20"/>
          <w:szCs w:val="20"/>
        </w:rPr>
        <w:t>Delfi</w:t>
      </w:r>
      <w:proofErr w:type="spellEnd"/>
      <w:r w:rsidRPr="00CC5472">
        <w:rPr>
          <w:rFonts w:ascii="Times New Roman" w:hAnsi="Times New Roman" w:cs="Times New Roman"/>
          <w:sz w:val="20"/>
          <w:szCs w:val="20"/>
        </w:rPr>
        <w:t xml:space="preserve">, Google, eBay, and UPC </w:t>
      </w:r>
      <w:proofErr w:type="spellStart"/>
      <w:r w:rsidRPr="00CC5472">
        <w:rPr>
          <w:rFonts w:ascii="Times New Roman" w:hAnsi="Times New Roman" w:cs="Times New Roman"/>
          <w:sz w:val="20"/>
          <w:szCs w:val="20"/>
        </w:rPr>
        <w:t>TeleKabel</w:t>
      </w:r>
      <w:proofErr w:type="spellEnd"/>
      <w:r w:rsidRPr="00CC5472">
        <w:rPr>
          <w:rFonts w:ascii="Times New Roman" w:hAnsi="Times New Roman" w:cs="Times New Roman"/>
          <w:sz w:val="20"/>
          <w:szCs w:val="20"/>
        </w:rPr>
        <w:t xml:space="preserve"> Wien Have in Common”, </w:t>
      </w:r>
      <w:r w:rsidRPr="00CC5472">
        <w:rPr>
          <w:rFonts w:ascii="Times New Roman" w:hAnsi="Times New Roman" w:cs="Times New Roman"/>
          <w:i/>
          <w:iCs/>
          <w:sz w:val="20"/>
          <w:szCs w:val="20"/>
        </w:rPr>
        <w:t>in:</w:t>
      </w:r>
      <w:r w:rsidRPr="00CC5472">
        <w:rPr>
          <w:rFonts w:ascii="Times New Roman" w:hAnsi="Times New Roman" w:cs="Times New Roman"/>
          <w:sz w:val="20"/>
          <w:szCs w:val="20"/>
        </w:rPr>
        <w:t xml:space="preserve"> </w:t>
      </w:r>
      <w:r w:rsidRPr="00CC5472">
        <w:rPr>
          <w:rFonts w:ascii="Times New Roman" w:hAnsi="Times New Roman" w:cs="Times New Roman"/>
          <w:smallCaps/>
          <w:sz w:val="20"/>
          <w:szCs w:val="20"/>
        </w:rPr>
        <w:t xml:space="preserve">L. </w:t>
      </w:r>
      <w:proofErr w:type="spellStart"/>
      <w:r w:rsidRPr="00CC5472">
        <w:rPr>
          <w:rFonts w:ascii="Times New Roman" w:hAnsi="Times New Roman" w:cs="Times New Roman"/>
          <w:smallCaps/>
          <w:sz w:val="20"/>
          <w:szCs w:val="20"/>
        </w:rPr>
        <w:t>Floridi</w:t>
      </w:r>
      <w:proofErr w:type="spellEnd"/>
      <w:r w:rsidRPr="00CC5472">
        <w:rPr>
          <w:rFonts w:ascii="Times New Roman" w:hAnsi="Times New Roman" w:cs="Times New Roman"/>
          <w:smallCaps/>
          <w:sz w:val="20"/>
          <w:szCs w:val="20"/>
        </w:rPr>
        <w:t>, M. Taddeo</w:t>
      </w:r>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The Responsibilities of Online Service Providers</w:t>
      </w:r>
      <w:r w:rsidRPr="00CC5472">
        <w:rPr>
          <w:rFonts w:ascii="Times New Roman" w:hAnsi="Times New Roman" w:cs="Times New Roman"/>
          <w:sz w:val="20"/>
          <w:szCs w:val="20"/>
        </w:rPr>
        <w:t xml:space="preserve">, </w:t>
      </w:r>
      <w:hyperlink r:id="rId24" w:history="1">
        <w:r w:rsidRPr="00CC5472">
          <w:rPr>
            <w:rStyle w:val="Hiperligao"/>
            <w:rFonts w:ascii="Times New Roman" w:hAnsi="Times New Roman" w:cs="Times New Roman"/>
            <w:sz w:val="20"/>
            <w:szCs w:val="20"/>
          </w:rPr>
          <w:t>http://dx.doi.org/10.2139/ssrn.2839213</w:t>
        </w:r>
      </w:hyperlink>
      <w:r w:rsidRPr="00CC5472">
        <w:rPr>
          <w:rFonts w:ascii="Times New Roman" w:hAnsi="Times New Roman" w:cs="Times New Roman"/>
          <w:sz w:val="20"/>
          <w:szCs w:val="20"/>
        </w:rPr>
        <w:t>, Springer, 2016.</w:t>
      </w:r>
    </w:p>
    <w:p w14:paraId="3FCF8DAE" w14:textId="64718C9E" w:rsidR="00584638" w:rsidRPr="00DE3ABB" w:rsidRDefault="00E62CB2" w:rsidP="00DE3ABB">
      <w:pPr>
        <w:spacing w:after="0" w:line="360" w:lineRule="auto"/>
        <w:jc w:val="both"/>
        <w:rPr>
          <w:rFonts w:ascii="Times New Roman" w:hAnsi="Times New Roman" w:cs="Times New Roman"/>
          <w:sz w:val="20"/>
          <w:szCs w:val="20"/>
        </w:rPr>
      </w:pPr>
      <w:proofErr w:type="spellStart"/>
      <w:r w:rsidRPr="00CC5472">
        <w:rPr>
          <w:rFonts w:ascii="Times New Roman" w:hAnsi="Times New Roman" w:cs="Times New Roman"/>
          <w:smallCaps/>
          <w:sz w:val="20"/>
          <w:szCs w:val="20"/>
        </w:rPr>
        <w:lastRenderedPageBreak/>
        <w:t>Westkamp</w:t>
      </w:r>
      <w:proofErr w:type="spellEnd"/>
      <w:r w:rsidRPr="00CC5472">
        <w:rPr>
          <w:rFonts w:ascii="Times New Roman" w:hAnsi="Times New Roman" w:cs="Times New Roman"/>
          <w:smallCaps/>
          <w:sz w:val="20"/>
          <w:szCs w:val="20"/>
        </w:rPr>
        <w:t>, Guido</w:t>
      </w:r>
      <w:r w:rsidRPr="00CC5472">
        <w:rPr>
          <w:rFonts w:ascii="Times New Roman" w:hAnsi="Times New Roman" w:cs="Times New Roman"/>
          <w:sz w:val="20"/>
          <w:szCs w:val="20"/>
        </w:rPr>
        <w:t xml:space="preserve">, «Two Constitutional Cultures, Technological Enforcement and User Creativity: The Impending Collapse of the EU Copyright </w:t>
      </w:r>
      <w:proofErr w:type="gramStart"/>
      <w:r w:rsidRPr="00CC5472">
        <w:rPr>
          <w:rFonts w:ascii="Times New Roman" w:hAnsi="Times New Roman" w:cs="Times New Roman"/>
          <w:sz w:val="20"/>
          <w:szCs w:val="20"/>
        </w:rPr>
        <w:t>Regime?»</w:t>
      </w:r>
      <w:proofErr w:type="gramEnd"/>
      <w:r w:rsidRPr="00CC5472">
        <w:rPr>
          <w:rFonts w:ascii="Times New Roman" w:hAnsi="Times New Roman" w:cs="Times New Roman"/>
          <w:sz w:val="20"/>
          <w:szCs w:val="20"/>
        </w:rPr>
        <w:t xml:space="preserve">, </w:t>
      </w:r>
      <w:r w:rsidRPr="00CC5472">
        <w:rPr>
          <w:rFonts w:ascii="Times New Roman" w:hAnsi="Times New Roman" w:cs="Times New Roman"/>
          <w:i/>
          <w:iCs/>
          <w:sz w:val="20"/>
          <w:szCs w:val="20"/>
        </w:rPr>
        <w:t>in IIC</w:t>
      </w:r>
      <w:r w:rsidRPr="00CC5472">
        <w:rPr>
          <w:rFonts w:ascii="Times New Roman" w:hAnsi="Times New Roman" w:cs="Times New Roman"/>
          <w:sz w:val="20"/>
          <w:szCs w:val="20"/>
        </w:rPr>
        <w:t>, 2022, 53.</w:t>
      </w:r>
    </w:p>
    <w:sectPr w:rsidR="00584638" w:rsidRPr="00DE3ABB" w:rsidSect="007B2673">
      <w:footerReference w:type="default" r:id="rId2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2F92E" w14:textId="77777777" w:rsidR="00BD3659" w:rsidRDefault="00BD3659" w:rsidP="00B21005">
      <w:pPr>
        <w:spacing w:after="0" w:line="240" w:lineRule="auto"/>
      </w:pPr>
      <w:r>
        <w:separator/>
      </w:r>
    </w:p>
  </w:endnote>
  <w:endnote w:type="continuationSeparator" w:id="0">
    <w:p w14:paraId="05558B7D" w14:textId="77777777" w:rsidR="00BD3659" w:rsidRDefault="00BD3659" w:rsidP="00B21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491631"/>
      <w:docPartObj>
        <w:docPartGallery w:val="Page Numbers (Bottom of Page)"/>
        <w:docPartUnique/>
      </w:docPartObj>
    </w:sdtPr>
    <w:sdtContent>
      <w:p w14:paraId="14358F08" w14:textId="0A021102" w:rsidR="00546B31" w:rsidRDefault="00546B31">
        <w:pPr>
          <w:pStyle w:val="Rodap"/>
          <w:jc w:val="right"/>
        </w:pPr>
        <w:r>
          <w:fldChar w:fldCharType="begin"/>
        </w:r>
        <w:r>
          <w:instrText>PAGE   \* MERGEFORMAT</w:instrText>
        </w:r>
        <w:r>
          <w:fldChar w:fldCharType="separate"/>
        </w:r>
        <w:r>
          <w:rPr>
            <w:lang w:val="pt-PT"/>
          </w:rPr>
          <w:t>2</w:t>
        </w:r>
        <w:r>
          <w:fldChar w:fldCharType="end"/>
        </w:r>
      </w:p>
    </w:sdtContent>
  </w:sdt>
  <w:p w14:paraId="3D405B60" w14:textId="77777777" w:rsidR="00546B31" w:rsidRDefault="00546B3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95DD0" w14:textId="77777777" w:rsidR="00BD3659" w:rsidRDefault="00BD3659" w:rsidP="00B21005">
      <w:pPr>
        <w:spacing w:after="0" w:line="240" w:lineRule="auto"/>
      </w:pPr>
      <w:r>
        <w:separator/>
      </w:r>
    </w:p>
  </w:footnote>
  <w:footnote w:type="continuationSeparator" w:id="0">
    <w:p w14:paraId="524898A4" w14:textId="77777777" w:rsidR="00BD3659" w:rsidRDefault="00BD3659" w:rsidP="00B21005">
      <w:pPr>
        <w:spacing w:after="0" w:line="240" w:lineRule="auto"/>
      </w:pPr>
      <w:r>
        <w:continuationSeparator/>
      </w:r>
    </w:p>
  </w:footnote>
  <w:footnote w:id="1">
    <w:p w14:paraId="2AD9C15F" w14:textId="0FDEE34E" w:rsidR="00B21005" w:rsidRPr="00B21005" w:rsidRDefault="00B21005" w:rsidP="00B21005">
      <w:pPr>
        <w:pStyle w:val="Textodenotaderodap"/>
        <w:jc w:val="both"/>
        <w:rPr>
          <w:lang w:val="pt-PT"/>
        </w:rPr>
      </w:pPr>
      <w:r>
        <w:rPr>
          <w:rStyle w:val="Refdenotaderodap"/>
        </w:rPr>
        <w:footnoteRef/>
      </w:r>
      <w:r w:rsidRPr="00B21005">
        <w:rPr>
          <w:lang w:val="es-ES_tradnl"/>
        </w:rPr>
        <w:t xml:space="preserve"> </w:t>
      </w:r>
      <w:r w:rsidRPr="00B21005">
        <w:rPr>
          <w:lang w:val="es-ES_tradnl"/>
        </w:rPr>
        <w:t>El presente texto, en versión completa, se puede leer en</w:t>
      </w:r>
      <w:r w:rsidRPr="00B21005">
        <w:rPr>
          <w:lang w:val="es-ES_tradnl"/>
        </w:rPr>
        <w:t xml:space="preserve"> «</w:t>
      </w:r>
      <w:r w:rsidRPr="00B21005">
        <w:rPr>
          <w:i/>
          <w:iCs/>
          <w:lang w:val="es-ES_tradnl"/>
        </w:rPr>
        <w:t xml:space="preserve">In Dubio Pro </w:t>
      </w:r>
      <w:proofErr w:type="spellStart"/>
      <w:r w:rsidRPr="00B21005">
        <w:rPr>
          <w:i/>
          <w:iCs/>
          <w:lang w:val="es-ES_tradnl"/>
        </w:rPr>
        <w:t>Libertate</w:t>
      </w:r>
      <w:proofErr w:type="spellEnd"/>
      <w:r w:rsidRPr="00B21005">
        <w:rPr>
          <w:lang w:val="es-ES_tradnl"/>
        </w:rPr>
        <w:t xml:space="preserve">. </w:t>
      </w:r>
      <w:r w:rsidRPr="00B21005">
        <w:rPr>
          <w:lang w:val="pt-PT"/>
        </w:rPr>
        <w:t xml:space="preserve">Um contributo para a interpretação do artigo 17 da Diretiva 2019/790/CE», </w:t>
      </w:r>
      <w:r w:rsidRPr="00C25F78">
        <w:rPr>
          <w:i/>
          <w:iCs/>
          <w:lang w:val="pt-PT"/>
        </w:rPr>
        <w:t>in Revista de Direito Intelectual</w:t>
      </w:r>
      <w:r w:rsidRPr="00B21005">
        <w:rPr>
          <w:lang w:val="pt-PT"/>
        </w:rPr>
        <w:t>, n.º 1/2022, 15-57</w:t>
      </w:r>
      <w:r>
        <w:rPr>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12ED5"/>
    <w:multiLevelType w:val="hybridMultilevel"/>
    <w:tmpl w:val="CEF05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704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0AC"/>
    <w:rsid w:val="000156E9"/>
    <w:rsid w:val="00027745"/>
    <w:rsid w:val="00042764"/>
    <w:rsid w:val="00054FB4"/>
    <w:rsid w:val="00075D97"/>
    <w:rsid w:val="000A2FCD"/>
    <w:rsid w:val="000A553F"/>
    <w:rsid w:val="000D5407"/>
    <w:rsid w:val="00102562"/>
    <w:rsid w:val="00145788"/>
    <w:rsid w:val="001661EF"/>
    <w:rsid w:val="0017154B"/>
    <w:rsid w:val="001B2528"/>
    <w:rsid w:val="001D606F"/>
    <w:rsid w:val="001E2D32"/>
    <w:rsid w:val="00203B06"/>
    <w:rsid w:val="00231918"/>
    <w:rsid w:val="00237DDA"/>
    <w:rsid w:val="002449B5"/>
    <w:rsid w:val="002623AE"/>
    <w:rsid w:val="00277056"/>
    <w:rsid w:val="00293D3C"/>
    <w:rsid w:val="002C713D"/>
    <w:rsid w:val="002F4573"/>
    <w:rsid w:val="003168F2"/>
    <w:rsid w:val="003223E3"/>
    <w:rsid w:val="00331C76"/>
    <w:rsid w:val="00357198"/>
    <w:rsid w:val="00362C90"/>
    <w:rsid w:val="0037084D"/>
    <w:rsid w:val="00377087"/>
    <w:rsid w:val="003817C1"/>
    <w:rsid w:val="003B53A5"/>
    <w:rsid w:val="003D1036"/>
    <w:rsid w:val="004025DA"/>
    <w:rsid w:val="00402B3B"/>
    <w:rsid w:val="0042707C"/>
    <w:rsid w:val="004377E9"/>
    <w:rsid w:val="004842A2"/>
    <w:rsid w:val="0048451F"/>
    <w:rsid w:val="004A4513"/>
    <w:rsid w:val="004D0A02"/>
    <w:rsid w:val="004E38F0"/>
    <w:rsid w:val="004E7A9C"/>
    <w:rsid w:val="00500847"/>
    <w:rsid w:val="00524F1A"/>
    <w:rsid w:val="00542710"/>
    <w:rsid w:val="00546B31"/>
    <w:rsid w:val="0056060C"/>
    <w:rsid w:val="00565554"/>
    <w:rsid w:val="00573008"/>
    <w:rsid w:val="005806E8"/>
    <w:rsid w:val="00584638"/>
    <w:rsid w:val="00585240"/>
    <w:rsid w:val="00624197"/>
    <w:rsid w:val="00634CBF"/>
    <w:rsid w:val="006352D3"/>
    <w:rsid w:val="00655D63"/>
    <w:rsid w:val="0068521F"/>
    <w:rsid w:val="006A0892"/>
    <w:rsid w:val="006D0E06"/>
    <w:rsid w:val="006F3C4B"/>
    <w:rsid w:val="007025EC"/>
    <w:rsid w:val="00702E9B"/>
    <w:rsid w:val="00727313"/>
    <w:rsid w:val="007450D4"/>
    <w:rsid w:val="007501BD"/>
    <w:rsid w:val="007518F5"/>
    <w:rsid w:val="00751D81"/>
    <w:rsid w:val="00757F8A"/>
    <w:rsid w:val="00760C99"/>
    <w:rsid w:val="00763A17"/>
    <w:rsid w:val="00771E43"/>
    <w:rsid w:val="007960E7"/>
    <w:rsid w:val="007A1E2E"/>
    <w:rsid w:val="007A7E8B"/>
    <w:rsid w:val="007B2673"/>
    <w:rsid w:val="007C72A4"/>
    <w:rsid w:val="007D25F1"/>
    <w:rsid w:val="007F7351"/>
    <w:rsid w:val="008103F3"/>
    <w:rsid w:val="00856BA3"/>
    <w:rsid w:val="00862313"/>
    <w:rsid w:val="00871DE0"/>
    <w:rsid w:val="00875AB8"/>
    <w:rsid w:val="00894DEA"/>
    <w:rsid w:val="008C6EFE"/>
    <w:rsid w:val="009457C9"/>
    <w:rsid w:val="009A6485"/>
    <w:rsid w:val="009A6983"/>
    <w:rsid w:val="009D578A"/>
    <w:rsid w:val="009F50F6"/>
    <w:rsid w:val="00A2455E"/>
    <w:rsid w:val="00A44D7A"/>
    <w:rsid w:val="00A67DCA"/>
    <w:rsid w:val="00AC7465"/>
    <w:rsid w:val="00AE0570"/>
    <w:rsid w:val="00AE24AD"/>
    <w:rsid w:val="00AE5AD0"/>
    <w:rsid w:val="00B202E5"/>
    <w:rsid w:val="00B21005"/>
    <w:rsid w:val="00B2736C"/>
    <w:rsid w:val="00B31764"/>
    <w:rsid w:val="00B370AC"/>
    <w:rsid w:val="00B77C05"/>
    <w:rsid w:val="00B865FE"/>
    <w:rsid w:val="00B903DC"/>
    <w:rsid w:val="00BA39B6"/>
    <w:rsid w:val="00BC192F"/>
    <w:rsid w:val="00BD348D"/>
    <w:rsid w:val="00BD3659"/>
    <w:rsid w:val="00BD3CB3"/>
    <w:rsid w:val="00BD5AA8"/>
    <w:rsid w:val="00C06CA0"/>
    <w:rsid w:val="00C23952"/>
    <w:rsid w:val="00C25F78"/>
    <w:rsid w:val="00CA1C17"/>
    <w:rsid w:val="00CC5472"/>
    <w:rsid w:val="00CE7ED0"/>
    <w:rsid w:val="00D15085"/>
    <w:rsid w:val="00D251E1"/>
    <w:rsid w:val="00D3787E"/>
    <w:rsid w:val="00D66907"/>
    <w:rsid w:val="00D70564"/>
    <w:rsid w:val="00D950EF"/>
    <w:rsid w:val="00DA2312"/>
    <w:rsid w:val="00DE3ABB"/>
    <w:rsid w:val="00E316B1"/>
    <w:rsid w:val="00E62CB2"/>
    <w:rsid w:val="00E73CC0"/>
    <w:rsid w:val="00E86FE3"/>
    <w:rsid w:val="00EC24A8"/>
    <w:rsid w:val="00EE7DC2"/>
    <w:rsid w:val="00F4363D"/>
    <w:rsid w:val="00F50265"/>
    <w:rsid w:val="00F8123D"/>
    <w:rsid w:val="00FA1F88"/>
    <w:rsid w:val="00FC449F"/>
    <w:rsid w:val="00FD76F6"/>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BBC6"/>
  <w15:chartTrackingRefBased/>
  <w15:docId w15:val="{C8B5B106-85CE-4848-AE64-37E4E358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F8A"/>
    <w:pPr>
      <w:spacing w:line="25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757F8A"/>
    <w:rPr>
      <w:color w:val="0563C1" w:themeColor="hyperlink"/>
      <w:u w:val="single"/>
    </w:rPr>
  </w:style>
  <w:style w:type="paragraph" w:styleId="PargrafodaLista">
    <w:name w:val="List Paragraph"/>
    <w:basedOn w:val="Normal"/>
    <w:uiPriority w:val="34"/>
    <w:qFormat/>
    <w:rsid w:val="0017154B"/>
    <w:pPr>
      <w:ind w:left="720"/>
      <w:contextualSpacing/>
    </w:pPr>
  </w:style>
  <w:style w:type="character" w:styleId="MenoNoResolvida">
    <w:name w:val="Unresolved Mention"/>
    <w:basedOn w:val="Tipodeletrapredefinidodopargrafo"/>
    <w:uiPriority w:val="99"/>
    <w:semiHidden/>
    <w:unhideWhenUsed/>
    <w:rsid w:val="009457C9"/>
    <w:rPr>
      <w:color w:val="605E5C"/>
      <w:shd w:val="clear" w:color="auto" w:fill="E1DFDD"/>
    </w:rPr>
  </w:style>
  <w:style w:type="paragraph" w:styleId="Textodenotaderodap">
    <w:name w:val="footnote text"/>
    <w:basedOn w:val="Normal"/>
    <w:link w:val="TextodenotaderodapCarter"/>
    <w:uiPriority w:val="99"/>
    <w:semiHidden/>
    <w:unhideWhenUsed/>
    <w:rsid w:val="00B21005"/>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21005"/>
    <w:rPr>
      <w:sz w:val="20"/>
      <w:szCs w:val="20"/>
    </w:rPr>
  </w:style>
  <w:style w:type="character" w:styleId="Refdenotaderodap">
    <w:name w:val="footnote reference"/>
    <w:basedOn w:val="Tipodeletrapredefinidodopargrafo"/>
    <w:uiPriority w:val="99"/>
    <w:semiHidden/>
    <w:unhideWhenUsed/>
    <w:rsid w:val="00B21005"/>
    <w:rPr>
      <w:vertAlign w:val="superscript"/>
    </w:rPr>
  </w:style>
  <w:style w:type="paragraph" w:styleId="Cabealho">
    <w:name w:val="header"/>
    <w:basedOn w:val="Normal"/>
    <w:link w:val="CabealhoCarter"/>
    <w:uiPriority w:val="99"/>
    <w:unhideWhenUsed/>
    <w:rsid w:val="00546B3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46B31"/>
  </w:style>
  <w:style w:type="paragraph" w:styleId="Rodap">
    <w:name w:val="footer"/>
    <w:basedOn w:val="Normal"/>
    <w:link w:val="RodapCarter"/>
    <w:uiPriority w:val="99"/>
    <w:unhideWhenUsed/>
    <w:rsid w:val="00546B3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46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4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beirodealmeida@por.ulusiada.pt" TargetMode="External"/><Relationship Id="rId13" Type="http://schemas.openxmlformats.org/officeDocument/2006/relationships/hyperlink" Target="http://dx.doi.org/10.2139/ssrn.3472852" TargetMode="External"/><Relationship Id="rId18" Type="http://schemas.openxmlformats.org/officeDocument/2006/relationships/hyperlink" Target="http://dx.doi.org/10.2139/ssrn.330015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studies" TargetMode="External"/><Relationship Id="rId7" Type="http://schemas.openxmlformats.org/officeDocument/2006/relationships/endnotes" Target="endnotes.xml"/><Relationship Id="rId12" Type="http://schemas.openxmlformats.org/officeDocument/2006/relationships/hyperlink" Target="https://doi.org/10.1007/s12689-020-00089-5" TargetMode="External"/><Relationship Id="rId17" Type="http://schemas.openxmlformats.org/officeDocument/2006/relationships/hyperlink" Target="http://dx.doi.org/10.2139/ssrn.3732223"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2139/ssrn.3424770" TargetMode="External"/><Relationship Id="rId20" Type="http://schemas.openxmlformats.org/officeDocument/2006/relationships/hyperlink" Target="https://doi.org/10.1007/s40319-021-0108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ship.law.vanderbilt.edu/jetlaw/vol22/iss2/4" TargetMode="External"/><Relationship Id="rId24" Type="http://schemas.openxmlformats.org/officeDocument/2006/relationships/hyperlink" Target="http://dx.doi.org/10.2139/ssrn.2839213" TargetMode="External"/><Relationship Id="rId5" Type="http://schemas.openxmlformats.org/officeDocument/2006/relationships/webSettings" Target="webSettings.xml"/><Relationship Id="rId15" Type="http://schemas.openxmlformats.org/officeDocument/2006/relationships/hyperlink" Target="https://doi.org/10.1007/s40319-020-00982-3" TargetMode="External"/><Relationship Id="rId23" Type="http://schemas.openxmlformats.org/officeDocument/2006/relationships/hyperlink" Target="https://doi.org/10.1007/s40319-019-00883-0" TargetMode="External"/><Relationship Id="rId10" Type="http://schemas.openxmlformats.org/officeDocument/2006/relationships/hyperlink" Target="https://www.europarl.europa.eu/" TargetMode="External"/><Relationship Id="rId19" Type="http://schemas.openxmlformats.org/officeDocument/2006/relationships/hyperlink" Target="http://ttlf.stanford.edu" TargetMode="External"/><Relationship Id="rId4" Type="http://schemas.openxmlformats.org/officeDocument/2006/relationships/settings" Target="settings.xml"/><Relationship Id="rId9" Type="http://schemas.openxmlformats.org/officeDocument/2006/relationships/hyperlink" Target="mailto:afribeirodealmeida@gmail.com" TargetMode="External"/><Relationship Id="rId14" Type="http://schemas.openxmlformats.org/officeDocument/2006/relationships/hyperlink" Target="https://www.europarl.europa.eu/" TargetMode="External"/><Relationship Id="rId22" Type="http://schemas.openxmlformats.org/officeDocument/2006/relationships/hyperlink" Target="http://dx.doi.org/10.2139/ssrn.3507542" TargetMode="External"/><Relationship Id="rId27"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65715-011E-4161-A0AE-6A21F8A38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24</Pages>
  <Words>9468</Words>
  <Characters>53974</Characters>
  <Application>Microsoft Office Word</Application>
  <DocSecurity>0</DocSecurity>
  <Lines>449</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Ribeiro de Almeida</dc:creator>
  <cp:keywords/>
  <dc:description/>
  <cp:lastModifiedBy>Ribeiro de Almeida</cp:lastModifiedBy>
  <cp:revision>141</cp:revision>
  <dcterms:created xsi:type="dcterms:W3CDTF">2023-03-24T10:14:00Z</dcterms:created>
  <dcterms:modified xsi:type="dcterms:W3CDTF">2023-04-24T14:52:00Z</dcterms:modified>
</cp:coreProperties>
</file>