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BAD25" w14:textId="143B54A9" w:rsidR="00311A0F" w:rsidRPr="00187FD3" w:rsidRDefault="00ED7017" w:rsidP="00ED7017">
      <w:pPr>
        <w:jc w:val="center"/>
        <w:rPr>
          <w:rFonts w:ascii="Times New Roman" w:hAnsi="Times New Roman" w:cs="Times New Roman"/>
          <w:b/>
          <w:bCs/>
        </w:rPr>
      </w:pPr>
      <w:bookmarkStart w:id="0" w:name="_GoBack"/>
      <w:bookmarkEnd w:id="0"/>
      <w:r w:rsidRPr="00187FD3">
        <w:rPr>
          <w:rFonts w:ascii="Times New Roman" w:hAnsi="Times New Roman" w:cs="Times New Roman"/>
          <w:b/>
          <w:bCs/>
        </w:rPr>
        <w:t>La Corte Interamericana de Derechos Humanos y las nuevas generaciones de derechos</w:t>
      </w:r>
    </w:p>
    <w:p w14:paraId="432B9057" w14:textId="794D353D" w:rsidR="00ED7017" w:rsidRPr="00187FD3" w:rsidRDefault="00ED7017">
      <w:pPr>
        <w:rPr>
          <w:rFonts w:ascii="Times New Roman" w:hAnsi="Times New Roman" w:cs="Times New Roman"/>
          <w:b/>
          <w:bCs/>
        </w:rPr>
      </w:pPr>
    </w:p>
    <w:p w14:paraId="3D9B484B" w14:textId="77777777" w:rsidR="00ED7017" w:rsidRPr="00187FD3" w:rsidRDefault="00ED7017" w:rsidP="00ED7017">
      <w:pPr>
        <w:jc w:val="right"/>
        <w:rPr>
          <w:rFonts w:ascii="Times New Roman" w:hAnsi="Times New Roman" w:cs="Times New Roman"/>
        </w:rPr>
      </w:pPr>
      <w:r w:rsidRPr="00187FD3">
        <w:rPr>
          <w:rFonts w:ascii="Times New Roman" w:hAnsi="Times New Roman" w:cs="Times New Roman"/>
        </w:rPr>
        <w:t>Nicolás Egües</w:t>
      </w:r>
      <w:r w:rsidRPr="00187FD3">
        <w:rPr>
          <w:rStyle w:val="Refdenotaalpie"/>
          <w:rFonts w:ascii="Times New Roman" w:hAnsi="Times New Roman" w:cs="Times New Roman"/>
        </w:rPr>
        <w:footnoteReference w:id="1"/>
      </w:r>
    </w:p>
    <w:p w14:paraId="0931404A" w14:textId="77777777" w:rsidR="00ED7017" w:rsidRPr="00187FD3" w:rsidRDefault="00ED7017" w:rsidP="00460FCA">
      <w:pPr>
        <w:rPr>
          <w:rFonts w:ascii="Times New Roman" w:hAnsi="Times New Roman" w:cs="Times New Roman"/>
        </w:rPr>
      </w:pPr>
    </w:p>
    <w:p w14:paraId="4D844AF8" w14:textId="293B757A" w:rsidR="00ED7017" w:rsidRPr="00187FD3" w:rsidRDefault="00460FCA" w:rsidP="00A44795">
      <w:pPr>
        <w:rPr>
          <w:rFonts w:ascii="Times New Roman" w:hAnsi="Times New Roman" w:cs="Times New Roman"/>
        </w:rPr>
      </w:pPr>
      <w:bookmarkStart w:id="1" w:name="_Hlk130402820"/>
      <w:r w:rsidRPr="00187FD3">
        <w:rPr>
          <w:rFonts w:ascii="Times New Roman" w:hAnsi="Times New Roman" w:cs="Times New Roman"/>
        </w:rPr>
        <w:t>Sumario: I. Introducción. II. Neoconstitucionalismo. III. Neoconstitucionalismo dogmático. Nuevas generaciones de derechos.    IV.</w:t>
      </w:r>
      <w:r w:rsidRPr="00187FD3">
        <w:rPr>
          <w:rFonts w:ascii="Times New Roman" w:hAnsi="Times New Roman" w:cs="Times New Roman"/>
        </w:rPr>
        <w:tab/>
        <w:t>Neoconstitucionalismo orgánico.</w:t>
      </w:r>
      <w:r w:rsidR="00A44795" w:rsidRPr="00187FD3">
        <w:rPr>
          <w:rFonts w:ascii="Times New Roman" w:hAnsi="Times New Roman" w:cs="Times New Roman"/>
        </w:rPr>
        <w:t xml:space="preserve"> Optimismo vs Pesimismo judicial.</w:t>
      </w:r>
      <w:r w:rsidRPr="00187FD3">
        <w:rPr>
          <w:rFonts w:ascii="Times New Roman" w:hAnsi="Times New Roman" w:cs="Times New Roman"/>
        </w:rPr>
        <w:t xml:space="preserve"> Remisión. V. Internacionalización de la protección jurídica de los derechos. VI.</w:t>
      </w:r>
      <w:r w:rsidR="00A44795" w:rsidRPr="00187FD3">
        <w:rPr>
          <w:rFonts w:ascii="Times New Roman" w:hAnsi="Times New Roman" w:cs="Times New Roman"/>
        </w:rPr>
        <w:t xml:space="preserve"> Los nuevos derechos en la jurisprudencia de la Corte Interamericana.</w:t>
      </w:r>
      <w:r w:rsidRPr="00187FD3">
        <w:rPr>
          <w:rFonts w:ascii="Times New Roman" w:hAnsi="Times New Roman" w:cs="Times New Roman"/>
        </w:rPr>
        <w:t xml:space="preserve"> </w:t>
      </w:r>
      <w:r w:rsidR="00A44795" w:rsidRPr="00187FD3">
        <w:rPr>
          <w:rFonts w:ascii="Times New Roman" w:hAnsi="Times New Roman" w:cs="Times New Roman"/>
        </w:rPr>
        <w:t xml:space="preserve">VII. </w:t>
      </w:r>
      <w:r w:rsidRPr="00187FD3">
        <w:rPr>
          <w:rFonts w:ascii="Times New Roman" w:hAnsi="Times New Roman" w:cs="Times New Roman"/>
        </w:rPr>
        <w:t>Conclusiones. V</w:t>
      </w:r>
      <w:r w:rsidR="00A44795" w:rsidRPr="00187FD3">
        <w:rPr>
          <w:rFonts w:ascii="Times New Roman" w:hAnsi="Times New Roman" w:cs="Times New Roman"/>
        </w:rPr>
        <w:t>I</w:t>
      </w:r>
      <w:r w:rsidRPr="00187FD3">
        <w:rPr>
          <w:rFonts w:ascii="Times New Roman" w:hAnsi="Times New Roman" w:cs="Times New Roman"/>
        </w:rPr>
        <w:t>II. Bibliografía.</w:t>
      </w:r>
    </w:p>
    <w:bookmarkEnd w:id="1"/>
    <w:p w14:paraId="0857FFBC" w14:textId="77777777" w:rsidR="00460FCA" w:rsidRPr="00187FD3" w:rsidRDefault="00460FCA" w:rsidP="00ED7017">
      <w:pPr>
        <w:rPr>
          <w:rFonts w:ascii="Times New Roman" w:hAnsi="Times New Roman" w:cs="Times New Roman"/>
          <w:b/>
          <w:bCs/>
        </w:rPr>
      </w:pPr>
    </w:p>
    <w:p w14:paraId="3CF99523" w14:textId="262EA47F" w:rsidR="00ED7017" w:rsidRPr="00187FD3" w:rsidRDefault="00ED7017" w:rsidP="00ED7017">
      <w:pPr>
        <w:rPr>
          <w:rFonts w:ascii="Times New Roman" w:hAnsi="Times New Roman" w:cs="Times New Roman"/>
          <w:b/>
          <w:bCs/>
        </w:rPr>
      </w:pPr>
      <w:r w:rsidRPr="00187FD3">
        <w:rPr>
          <w:rFonts w:ascii="Times New Roman" w:hAnsi="Times New Roman" w:cs="Times New Roman"/>
          <w:b/>
          <w:bCs/>
        </w:rPr>
        <w:t>I. I</w:t>
      </w:r>
      <w:r w:rsidR="00460FCA" w:rsidRPr="00187FD3">
        <w:rPr>
          <w:rFonts w:ascii="Times New Roman" w:hAnsi="Times New Roman" w:cs="Times New Roman"/>
          <w:b/>
          <w:bCs/>
        </w:rPr>
        <w:t>ntroducción.</w:t>
      </w:r>
    </w:p>
    <w:p w14:paraId="4DDB46F7" w14:textId="77777777" w:rsidR="00ED7017" w:rsidRPr="00187FD3" w:rsidRDefault="00ED7017" w:rsidP="004263BE">
      <w:pPr>
        <w:ind w:firstLine="708"/>
        <w:rPr>
          <w:rFonts w:ascii="Times New Roman" w:hAnsi="Times New Roman" w:cs="Times New Roman"/>
        </w:rPr>
      </w:pPr>
      <w:r w:rsidRPr="00187FD3">
        <w:rPr>
          <w:rFonts w:ascii="Times New Roman" w:hAnsi="Times New Roman" w:cs="Times New Roman"/>
        </w:rPr>
        <w:t>El siglo XX fue testigo del nacimiento del constitucionalismo social, con la aparición de las Constituciones de Querétero en México (1917) y Weimar en Alemania (1919) que consagraban en el más alto nivel normativo de esos Estados un nuevo conjunto de derechos –sociales- y daban paso a un modelo estatal que difería sensiblemente del que había visto la luz con las Constituciones liberales –Estado de bienestar-</w:t>
      </w:r>
      <w:r w:rsidRPr="00187FD3">
        <w:rPr>
          <w:rStyle w:val="Refdenotaalpie"/>
          <w:rFonts w:ascii="Times New Roman" w:hAnsi="Times New Roman" w:cs="Times New Roman"/>
        </w:rPr>
        <w:footnoteReference w:id="2"/>
      </w:r>
      <w:r w:rsidRPr="00187FD3">
        <w:rPr>
          <w:rFonts w:ascii="Times New Roman" w:hAnsi="Times New Roman" w:cs="Times New Roman"/>
        </w:rPr>
        <w:t>.</w:t>
      </w:r>
    </w:p>
    <w:p w14:paraId="703E571B" w14:textId="77777777" w:rsidR="00ED7017" w:rsidRPr="00187FD3" w:rsidRDefault="00ED7017" w:rsidP="004263BE">
      <w:pPr>
        <w:ind w:firstLine="708"/>
        <w:rPr>
          <w:rFonts w:ascii="Times New Roman" w:hAnsi="Times New Roman" w:cs="Times New Roman"/>
        </w:rPr>
      </w:pPr>
      <w:r w:rsidRPr="00187FD3">
        <w:rPr>
          <w:rFonts w:ascii="Times New Roman" w:hAnsi="Times New Roman" w:cs="Times New Roman"/>
        </w:rPr>
        <w:t>Consolidado este movimiento en prácticamente todos los Estados de occidente, el escenario constitucional dio paso a nuevos fenómenos cuya comprensión y explicación han ocupado la literatura en la materia desde el final de la segunda guerra hasta nuestros días.</w:t>
      </w:r>
    </w:p>
    <w:p w14:paraId="22A09DCC" w14:textId="77777777"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lastRenderedPageBreak/>
        <w:t>De este modo, haciendo hincapié en diversos aspectos que se han visto modificados en lo atinente a la organización del Estado y a las declaraciones de derechos, se han realizado intentos por definir una nueva etapa en el movimiento constitucional.</w:t>
      </w:r>
    </w:p>
    <w:p w14:paraId="06D25FAC" w14:textId="77777777"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Se ha hablado en este sentido de constitucionalismo post-industrial o finisecular</w:t>
      </w:r>
      <w:r w:rsidRPr="00187FD3">
        <w:rPr>
          <w:rStyle w:val="Refdenotaalpie"/>
          <w:rFonts w:ascii="Times New Roman" w:hAnsi="Times New Roman" w:cs="Times New Roman"/>
        </w:rPr>
        <w:footnoteReference w:id="3"/>
      </w:r>
      <w:r w:rsidRPr="00187FD3">
        <w:rPr>
          <w:rFonts w:ascii="Times New Roman" w:hAnsi="Times New Roman" w:cs="Times New Roman"/>
        </w:rPr>
        <w:t>, constitucionalismo principialista y constitucionalismo garantista</w:t>
      </w:r>
      <w:r w:rsidRPr="00187FD3">
        <w:rPr>
          <w:rStyle w:val="Refdenotaalpie"/>
          <w:rFonts w:ascii="Times New Roman" w:hAnsi="Times New Roman" w:cs="Times New Roman"/>
        </w:rPr>
        <w:footnoteReference w:id="4"/>
      </w:r>
      <w:r w:rsidRPr="00187FD3">
        <w:rPr>
          <w:rFonts w:ascii="Times New Roman" w:hAnsi="Times New Roman" w:cs="Times New Roman"/>
        </w:rPr>
        <w:t>, constitucionalismo transnacional</w:t>
      </w:r>
      <w:r w:rsidRPr="00187FD3">
        <w:rPr>
          <w:rStyle w:val="Refdenotaalpie"/>
          <w:rFonts w:ascii="Times New Roman" w:hAnsi="Times New Roman" w:cs="Times New Roman"/>
        </w:rPr>
        <w:footnoteReference w:id="5"/>
      </w:r>
      <w:r w:rsidRPr="00187FD3">
        <w:rPr>
          <w:rFonts w:ascii="Times New Roman" w:hAnsi="Times New Roman" w:cs="Times New Roman"/>
        </w:rPr>
        <w:t>, pero sin dudas la expresión más utilizada para tratar de definir todo aquello que ha variado desde el movimiento social hasta la fecha, ha sido la de “neoconstitucionalismo”</w:t>
      </w:r>
      <w:r w:rsidRPr="00187FD3">
        <w:rPr>
          <w:rStyle w:val="Refdenotaalpie"/>
          <w:rFonts w:ascii="Times New Roman" w:hAnsi="Times New Roman" w:cs="Times New Roman"/>
        </w:rPr>
        <w:footnoteReference w:id="6"/>
      </w:r>
      <w:r w:rsidRPr="00187FD3">
        <w:rPr>
          <w:rFonts w:ascii="Times New Roman" w:hAnsi="Times New Roman" w:cs="Times New Roman"/>
        </w:rPr>
        <w:t>.</w:t>
      </w:r>
    </w:p>
    <w:p w14:paraId="4FAD04AD" w14:textId="77777777"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Esta expresión se ha utilizado de manera indistinta para referir a cambios producidos en lo atinente a los derechos como a la organización estatal, e incluso refiriendo a su contenido filosófico o vinculado con la concepción del Estado.</w:t>
      </w:r>
    </w:p>
    <w:p w14:paraId="3B994DB8" w14:textId="7ACA4352" w:rsidR="00ED7017" w:rsidRPr="00187FD3" w:rsidRDefault="00ED7017" w:rsidP="00EF4BE9">
      <w:pPr>
        <w:ind w:firstLine="708"/>
        <w:rPr>
          <w:rFonts w:ascii="Times New Roman" w:hAnsi="Times New Roman" w:cs="Times New Roman"/>
          <w:bCs/>
        </w:rPr>
      </w:pPr>
      <w:r w:rsidRPr="00187FD3">
        <w:rPr>
          <w:rFonts w:ascii="Times New Roman" w:hAnsi="Times New Roman" w:cs="Times New Roman"/>
        </w:rPr>
        <w:t>Lo cierto es que no caben dudas que una vez asentado el movimiento social, se advierte el reconocimiento gradual de nuevos derechos que escapan a la lógica de las etapas anteriores, tanto en su contenido, como en los sujetos legitimados para reclamarlos y/o los sujetos obligados a su cumplimiento. Aparecen los denominados</w:t>
      </w:r>
      <w:r w:rsidRPr="00187FD3">
        <w:rPr>
          <w:rFonts w:ascii="Times New Roman" w:hAnsi="Times New Roman" w:cs="Times New Roman"/>
          <w:bCs/>
        </w:rPr>
        <w:t xml:space="preserve"> derechos de incidencia colectiva y se amplía el contenido y significación de los derechos económicos sociales y culturales, </w:t>
      </w:r>
      <w:r w:rsidR="00460FCA" w:rsidRPr="00187FD3">
        <w:rPr>
          <w:rFonts w:ascii="Times New Roman" w:hAnsi="Times New Roman" w:cs="Times New Roman"/>
          <w:bCs/>
        </w:rPr>
        <w:t>incrementando</w:t>
      </w:r>
      <w:r w:rsidRPr="00187FD3">
        <w:rPr>
          <w:rFonts w:ascii="Times New Roman" w:hAnsi="Times New Roman" w:cs="Times New Roman"/>
          <w:bCs/>
        </w:rPr>
        <w:t xml:space="preserve"> de manera considerable la cantidad de prerrogativas </w:t>
      </w:r>
      <w:r w:rsidRPr="00187FD3">
        <w:rPr>
          <w:rFonts w:ascii="Times New Roman" w:hAnsi="Times New Roman" w:cs="Times New Roman"/>
          <w:bCs/>
        </w:rPr>
        <w:lastRenderedPageBreak/>
        <w:t>en cabeza de los ciudadanos y de obligaciones en cabeza del Estado. Incluso aparecen derechos que e</w:t>
      </w:r>
      <w:r w:rsidR="00460FCA" w:rsidRPr="00187FD3">
        <w:rPr>
          <w:rFonts w:ascii="Times New Roman" w:hAnsi="Times New Roman" w:cs="Times New Roman"/>
          <w:bCs/>
        </w:rPr>
        <w:t xml:space="preserve">scapan de </w:t>
      </w:r>
      <w:r w:rsidRPr="00187FD3">
        <w:rPr>
          <w:rFonts w:ascii="Times New Roman" w:hAnsi="Times New Roman" w:cs="Times New Roman"/>
          <w:bCs/>
        </w:rPr>
        <w:t xml:space="preserve">la lógica estatal, tal el caso de los derechos de los migrantes o el derecho a la paz, cuya titularidad excede el marco de la ciudadanía </w:t>
      </w:r>
      <w:r w:rsidR="006A7610" w:rsidRPr="00187FD3">
        <w:rPr>
          <w:rFonts w:ascii="Times New Roman" w:hAnsi="Times New Roman" w:cs="Times New Roman"/>
          <w:bCs/>
        </w:rPr>
        <w:t>de los Estados</w:t>
      </w:r>
      <w:r w:rsidRPr="00187FD3">
        <w:rPr>
          <w:rFonts w:ascii="Times New Roman" w:hAnsi="Times New Roman" w:cs="Times New Roman"/>
          <w:bCs/>
        </w:rPr>
        <w:t>.</w:t>
      </w:r>
    </w:p>
    <w:p w14:paraId="034762C4" w14:textId="4EC91A56" w:rsidR="00ED7017" w:rsidRPr="00187FD3" w:rsidRDefault="00EF4BE9" w:rsidP="00EF4BE9">
      <w:pPr>
        <w:ind w:firstLine="708"/>
        <w:rPr>
          <w:rFonts w:ascii="Times New Roman" w:hAnsi="Times New Roman" w:cs="Times New Roman"/>
          <w:bCs/>
        </w:rPr>
      </w:pPr>
      <w:r w:rsidRPr="00187FD3">
        <w:rPr>
          <w:rFonts w:ascii="Times New Roman" w:hAnsi="Times New Roman" w:cs="Times New Roman"/>
          <w:bCs/>
        </w:rPr>
        <w:t>Desde el punto de vista de la organización del poder</w:t>
      </w:r>
      <w:r w:rsidR="00ED7017" w:rsidRPr="00187FD3">
        <w:rPr>
          <w:rFonts w:ascii="Times New Roman" w:hAnsi="Times New Roman" w:cs="Times New Roman"/>
          <w:bCs/>
        </w:rPr>
        <w:t>, se advierte una resignificación de la labor judicial, como respuesta –quizá inadecuada- ante el crecimiento de los catálogos de derecho y la marcada incapacidad de los otros órganos para garantizar el pleno goce de estos nuevos derechos. La ineficacia estatal o quizás la desmesura a la hora de incorporar derechos, se traduce en la judicialización como mecanismo para el acceso a estos nuevos -y no tan nuevos- derechos, todo lo cual redunda en el crecimiento cuantitativo del Poder Judicial, como así también en la ampliación de sus funciones</w:t>
      </w:r>
      <w:r w:rsidR="006A7610" w:rsidRPr="00187FD3">
        <w:rPr>
          <w:rFonts w:ascii="Times New Roman" w:hAnsi="Times New Roman" w:cs="Times New Roman"/>
          <w:bCs/>
        </w:rPr>
        <w:t xml:space="preserve"> y</w:t>
      </w:r>
      <w:r w:rsidR="00ED7017" w:rsidRPr="00187FD3">
        <w:rPr>
          <w:rFonts w:ascii="Times New Roman" w:hAnsi="Times New Roman" w:cs="Times New Roman"/>
          <w:bCs/>
        </w:rPr>
        <w:t xml:space="preserve"> responsabilidades.</w:t>
      </w:r>
    </w:p>
    <w:p w14:paraId="64A4A14A" w14:textId="17DFF4BF" w:rsidR="00ED7017" w:rsidRPr="00187FD3" w:rsidRDefault="00EF4BE9" w:rsidP="00EF4BE9">
      <w:pPr>
        <w:ind w:firstLine="708"/>
        <w:rPr>
          <w:rFonts w:ascii="Times New Roman" w:hAnsi="Times New Roman" w:cs="Times New Roman"/>
          <w:bCs/>
        </w:rPr>
      </w:pPr>
      <w:r w:rsidRPr="00187FD3">
        <w:rPr>
          <w:rFonts w:ascii="Times New Roman" w:hAnsi="Times New Roman" w:cs="Times New Roman"/>
          <w:bCs/>
        </w:rPr>
        <w:t>Ambos</w:t>
      </w:r>
      <w:r w:rsidR="00ED7017" w:rsidRPr="00187FD3">
        <w:rPr>
          <w:rFonts w:ascii="Times New Roman" w:hAnsi="Times New Roman" w:cs="Times New Roman"/>
          <w:bCs/>
        </w:rPr>
        <w:t xml:space="preserve"> aspectos se ven atravesados, a su vez, por el fenómeno de la internacionalización, que en esta materia consiste en el intento </w:t>
      </w:r>
      <w:r w:rsidR="00460FCA" w:rsidRPr="00187FD3">
        <w:rPr>
          <w:rFonts w:ascii="Times New Roman" w:hAnsi="Times New Roman" w:cs="Times New Roman"/>
          <w:bCs/>
        </w:rPr>
        <w:t xml:space="preserve">-concretado en muchos casos- </w:t>
      </w:r>
      <w:r w:rsidR="00ED7017" w:rsidRPr="00187FD3">
        <w:rPr>
          <w:rFonts w:ascii="Times New Roman" w:hAnsi="Times New Roman" w:cs="Times New Roman"/>
          <w:bCs/>
        </w:rPr>
        <w:t>por llevar la tutela de los derechos fundamentales al plano internacional o al menos de complementar la tarea de los Estados con instancias internacionales.</w:t>
      </w:r>
    </w:p>
    <w:p w14:paraId="1ACC748C" w14:textId="77777777" w:rsidR="00ED7017" w:rsidRPr="00187FD3" w:rsidRDefault="00ED7017" w:rsidP="00EF4BE9">
      <w:pPr>
        <w:ind w:firstLine="708"/>
        <w:rPr>
          <w:rFonts w:ascii="Times New Roman" w:hAnsi="Times New Roman" w:cs="Times New Roman"/>
          <w:bCs/>
        </w:rPr>
      </w:pPr>
      <w:r w:rsidRPr="00187FD3">
        <w:rPr>
          <w:rFonts w:ascii="Times New Roman" w:hAnsi="Times New Roman" w:cs="Times New Roman"/>
          <w:bCs/>
        </w:rPr>
        <w:t>En América Latina, el sistema de internacionalización asienta sobre el Pacto de San José de Costa Rica que establece dos órganos que funcionan como instancias supraestatales de tutela: la Comisión Interamericana de Derechos Humanos y la Corte Interamericana, siendo ésta última la que resuelve, en última instancia, los casos de violación de derechos.</w:t>
      </w:r>
    </w:p>
    <w:p w14:paraId="309FCF1D" w14:textId="7E48F246" w:rsidR="00ED7017" w:rsidRPr="00187FD3" w:rsidRDefault="00ED7017" w:rsidP="00EF4BE9">
      <w:pPr>
        <w:ind w:firstLine="708"/>
        <w:rPr>
          <w:rFonts w:ascii="Times New Roman" w:hAnsi="Times New Roman" w:cs="Times New Roman"/>
          <w:bCs/>
        </w:rPr>
      </w:pPr>
      <w:r w:rsidRPr="00187FD3">
        <w:rPr>
          <w:rFonts w:ascii="Times New Roman" w:hAnsi="Times New Roman" w:cs="Times New Roman"/>
          <w:bCs/>
        </w:rPr>
        <w:t>Tenemos entonces tres grandes ejes</w:t>
      </w:r>
      <w:r w:rsidR="006A7610" w:rsidRPr="00187FD3">
        <w:rPr>
          <w:rFonts w:ascii="Times New Roman" w:hAnsi="Times New Roman" w:cs="Times New Roman"/>
          <w:bCs/>
        </w:rPr>
        <w:t xml:space="preserve"> que definen al constitucionalismo contemporáneo</w:t>
      </w:r>
      <w:r w:rsidRPr="00187FD3">
        <w:rPr>
          <w:rFonts w:ascii="Times New Roman" w:hAnsi="Times New Roman" w:cs="Times New Roman"/>
          <w:bCs/>
        </w:rPr>
        <w:t xml:space="preserve">: </w:t>
      </w:r>
    </w:p>
    <w:p w14:paraId="7DD96479" w14:textId="62E064ED" w:rsidR="00ED7017" w:rsidRPr="00187FD3" w:rsidRDefault="00ED7017" w:rsidP="00ED7017">
      <w:pPr>
        <w:rPr>
          <w:rFonts w:ascii="Times New Roman" w:hAnsi="Times New Roman" w:cs="Times New Roman"/>
          <w:bCs/>
        </w:rPr>
      </w:pPr>
      <w:r w:rsidRPr="00187FD3">
        <w:rPr>
          <w:rFonts w:ascii="Times New Roman" w:hAnsi="Times New Roman" w:cs="Times New Roman"/>
          <w:bCs/>
        </w:rPr>
        <w:t xml:space="preserve">- </w:t>
      </w:r>
      <w:r w:rsidR="006A7610" w:rsidRPr="00187FD3">
        <w:rPr>
          <w:rFonts w:ascii="Times New Roman" w:hAnsi="Times New Roman" w:cs="Times New Roman"/>
          <w:bCs/>
        </w:rPr>
        <w:t>La aparición y consagración de n</w:t>
      </w:r>
      <w:r w:rsidRPr="00187FD3">
        <w:rPr>
          <w:rFonts w:ascii="Times New Roman" w:hAnsi="Times New Roman" w:cs="Times New Roman"/>
          <w:bCs/>
        </w:rPr>
        <w:t>uevos derechos</w:t>
      </w:r>
      <w:r w:rsidR="006A7610" w:rsidRPr="00187FD3">
        <w:rPr>
          <w:rFonts w:ascii="Times New Roman" w:hAnsi="Times New Roman" w:cs="Times New Roman"/>
          <w:bCs/>
        </w:rPr>
        <w:t>;</w:t>
      </w:r>
    </w:p>
    <w:p w14:paraId="17F0671A" w14:textId="2E2B7FDD" w:rsidR="00ED7017" w:rsidRPr="00187FD3" w:rsidRDefault="00ED7017" w:rsidP="00ED7017">
      <w:pPr>
        <w:rPr>
          <w:rFonts w:ascii="Times New Roman" w:hAnsi="Times New Roman" w:cs="Times New Roman"/>
          <w:bCs/>
        </w:rPr>
      </w:pPr>
      <w:r w:rsidRPr="00187FD3">
        <w:rPr>
          <w:rFonts w:ascii="Times New Roman" w:hAnsi="Times New Roman" w:cs="Times New Roman"/>
          <w:bCs/>
        </w:rPr>
        <w:t xml:space="preserve">- </w:t>
      </w:r>
      <w:r w:rsidR="006A7610" w:rsidRPr="00187FD3">
        <w:rPr>
          <w:rFonts w:ascii="Times New Roman" w:hAnsi="Times New Roman" w:cs="Times New Roman"/>
          <w:bCs/>
        </w:rPr>
        <w:t>Una n</w:t>
      </w:r>
      <w:r w:rsidRPr="00187FD3">
        <w:rPr>
          <w:rFonts w:ascii="Times New Roman" w:hAnsi="Times New Roman" w:cs="Times New Roman"/>
          <w:bCs/>
        </w:rPr>
        <w:t>ueva configuración del Poder</w:t>
      </w:r>
      <w:r w:rsidR="006A7610" w:rsidRPr="00187FD3">
        <w:rPr>
          <w:rFonts w:ascii="Times New Roman" w:hAnsi="Times New Roman" w:cs="Times New Roman"/>
          <w:bCs/>
        </w:rPr>
        <w:t>;</w:t>
      </w:r>
    </w:p>
    <w:p w14:paraId="7CB00EB5" w14:textId="38CC5CDA" w:rsidR="00ED7017" w:rsidRPr="00187FD3" w:rsidRDefault="00ED7017" w:rsidP="00ED7017">
      <w:pPr>
        <w:rPr>
          <w:rFonts w:ascii="Times New Roman" w:hAnsi="Times New Roman" w:cs="Times New Roman"/>
          <w:bCs/>
        </w:rPr>
      </w:pPr>
      <w:r w:rsidRPr="00187FD3">
        <w:rPr>
          <w:rFonts w:ascii="Times New Roman" w:hAnsi="Times New Roman" w:cs="Times New Roman"/>
          <w:bCs/>
        </w:rPr>
        <w:t xml:space="preserve">- </w:t>
      </w:r>
      <w:r w:rsidR="006A7610" w:rsidRPr="00187FD3">
        <w:rPr>
          <w:rFonts w:ascii="Times New Roman" w:hAnsi="Times New Roman" w:cs="Times New Roman"/>
          <w:bCs/>
        </w:rPr>
        <w:t>Procesos de i</w:t>
      </w:r>
      <w:r w:rsidRPr="00187FD3">
        <w:rPr>
          <w:rFonts w:ascii="Times New Roman" w:hAnsi="Times New Roman" w:cs="Times New Roman"/>
          <w:bCs/>
        </w:rPr>
        <w:t>nternacionalización de la protección jurídica de los derechos</w:t>
      </w:r>
      <w:r w:rsidR="006A7610" w:rsidRPr="00187FD3">
        <w:rPr>
          <w:rFonts w:ascii="Times New Roman" w:hAnsi="Times New Roman" w:cs="Times New Roman"/>
          <w:bCs/>
        </w:rPr>
        <w:t>;</w:t>
      </w:r>
    </w:p>
    <w:p w14:paraId="093133C9" w14:textId="7DFA228F" w:rsidR="00ED7017" w:rsidRPr="00187FD3" w:rsidRDefault="00ED7017" w:rsidP="00EF4BE9">
      <w:pPr>
        <w:ind w:firstLine="708"/>
        <w:rPr>
          <w:rFonts w:ascii="Times New Roman" w:hAnsi="Times New Roman" w:cs="Times New Roman"/>
          <w:bCs/>
        </w:rPr>
      </w:pPr>
      <w:r w:rsidRPr="00187FD3">
        <w:rPr>
          <w:rFonts w:ascii="Times New Roman" w:hAnsi="Times New Roman" w:cs="Times New Roman"/>
          <w:bCs/>
        </w:rPr>
        <w:t xml:space="preserve">En este contexto, tanto la Corte Interamericana de Derechos Humanos en especial, como los Tribunales Internacionales en general, aparecen como un punto en el que confluyen las notas centrales de este nuevo fenómeno constitucional, de tal modo </w:t>
      </w:r>
      <w:proofErr w:type="gramStart"/>
      <w:r w:rsidRPr="00187FD3">
        <w:rPr>
          <w:rFonts w:ascii="Times New Roman" w:hAnsi="Times New Roman" w:cs="Times New Roman"/>
          <w:bCs/>
        </w:rPr>
        <w:t>que  el</w:t>
      </w:r>
      <w:proofErr w:type="gramEnd"/>
      <w:r w:rsidRPr="00187FD3">
        <w:rPr>
          <w:rFonts w:ascii="Times New Roman" w:hAnsi="Times New Roman" w:cs="Times New Roman"/>
          <w:bCs/>
        </w:rPr>
        <w:t xml:space="preserve"> conocimiento de las limitaciones a las que debe enfrentarse como así también las perspectivas respecto de su desarrollo, permitirán determinar cuál es el rumbo del nuevo constitucionalismo</w:t>
      </w:r>
      <w:r w:rsidR="006A7610" w:rsidRPr="00187FD3">
        <w:rPr>
          <w:rFonts w:ascii="Times New Roman" w:hAnsi="Times New Roman" w:cs="Times New Roman"/>
          <w:bCs/>
        </w:rPr>
        <w:t xml:space="preserve"> y de sus diversos elementos.</w:t>
      </w:r>
    </w:p>
    <w:p w14:paraId="2244B53B" w14:textId="208D6CB3" w:rsidR="00460FCA" w:rsidRPr="00187FD3" w:rsidRDefault="00ED7017" w:rsidP="00EF4BE9">
      <w:pPr>
        <w:ind w:firstLine="708"/>
        <w:rPr>
          <w:rFonts w:ascii="Times New Roman" w:hAnsi="Times New Roman" w:cs="Times New Roman"/>
        </w:rPr>
      </w:pPr>
      <w:r w:rsidRPr="00187FD3">
        <w:rPr>
          <w:rFonts w:ascii="Times New Roman" w:hAnsi="Times New Roman" w:cs="Times New Roman"/>
        </w:rPr>
        <w:lastRenderedPageBreak/>
        <w:t xml:space="preserve">El presente estudio persigue </w:t>
      </w:r>
      <w:r w:rsidR="006A7610" w:rsidRPr="00187FD3">
        <w:rPr>
          <w:rFonts w:ascii="Times New Roman" w:hAnsi="Times New Roman" w:cs="Times New Roman"/>
        </w:rPr>
        <w:t>analizar</w:t>
      </w:r>
      <w:r w:rsidR="00460FCA" w:rsidRPr="00187FD3">
        <w:rPr>
          <w:rFonts w:ascii="Times New Roman" w:hAnsi="Times New Roman" w:cs="Times New Roman"/>
        </w:rPr>
        <w:t xml:space="preserve"> la relación existente en el ámbito interamericano entre el desarrollo de los derechos y la labor de la Corte, con especial atención a los derechos de más reciente aparición.</w:t>
      </w:r>
    </w:p>
    <w:p w14:paraId="6F248C26" w14:textId="77777777" w:rsidR="00ED7017" w:rsidRPr="00187FD3" w:rsidRDefault="00ED7017" w:rsidP="00ED7017">
      <w:pPr>
        <w:rPr>
          <w:rFonts w:ascii="Times New Roman" w:hAnsi="Times New Roman" w:cs="Times New Roman"/>
          <w:b/>
          <w:bCs/>
        </w:rPr>
      </w:pPr>
      <w:r w:rsidRPr="00187FD3">
        <w:rPr>
          <w:rFonts w:ascii="Times New Roman" w:hAnsi="Times New Roman" w:cs="Times New Roman"/>
          <w:b/>
          <w:bCs/>
        </w:rPr>
        <w:t>II. Neoconstitucionalismo.</w:t>
      </w:r>
    </w:p>
    <w:p w14:paraId="68216F49" w14:textId="77777777"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Conforme hemos señalado en el apartado anterior, “Neoconstitucionalismo” es una expresión utilizada por diversos autores para hacer referencia a distintos aspectos novedosos en el proceso constitucional occidental.</w:t>
      </w:r>
    </w:p>
    <w:p w14:paraId="65B7297F" w14:textId="7DDFDDB2"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El concepto se acuñó a fines del siglo pasado y tuvo una “muy rápida propagación por el escenario de la iusfilosofía y el derecho constitucional”</w:t>
      </w:r>
      <w:r w:rsidRPr="00187FD3">
        <w:rPr>
          <w:rStyle w:val="Refdenotaalpie"/>
          <w:rFonts w:ascii="Times New Roman" w:hAnsi="Times New Roman" w:cs="Times New Roman"/>
        </w:rPr>
        <w:footnoteReference w:id="7"/>
      </w:r>
      <w:r w:rsidRPr="00187FD3">
        <w:rPr>
          <w:rFonts w:ascii="Times New Roman" w:hAnsi="Times New Roman" w:cs="Times New Roman"/>
        </w:rPr>
        <w:t xml:space="preserve">. Fue introducido al léxico filosófico-jurídico y teórico-constitucional por profesores italianos como </w:t>
      </w:r>
      <w:r w:rsidR="00EF4BE9" w:rsidRPr="00187FD3">
        <w:rPr>
          <w:rFonts w:ascii="Times New Roman" w:hAnsi="Times New Roman" w:cs="Times New Roman"/>
        </w:rPr>
        <w:t xml:space="preserve">MAZZAREZE, POZZOLO, BARBERIS Y COMANDUCCI </w:t>
      </w:r>
      <w:r w:rsidRPr="00187FD3">
        <w:rPr>
          <w:rFonts w:ascii="Times New Roman" w:hAnsi="Times New Roman" w:cs="Times New Roman"/>
        </w:rPr>
        <w:t>y luego receptado en España y en América Latina. Si bien dentro de la academia jurídica italiana y española se empezó a hablar de un nuevo derecho constitucional, la primera ocasión donde se expuso en América Latina el concepto fue en 1997 en el XVIII Congreso de la Asociación Mundial de Filosofía del Derecho y Filosofía Social, celebrado en Buenos Aires.</w:t>
      </w:r>
      <w:r w:rsidRPr="00187FD3">
        <w:rPr>
          <w:rStyle w:val="Refdenotaalpie"/>
          <w:rFonts w:ascii="Times New Roman" w:hAnsi="Times New Roman" w:cs="Times New Roman"/>
        </w:rPr>
        <w:footnoteReference w:id="8"/>
      </w:r>
    </w:p>
    <w:p w14:paraId="3EBFCF25" w14:textId="5AA290AB"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 xml:space="preserve">Como bien señala </w:t>
      </w:r>
      <w:r w:rsidR="00EF4BE9" w:rsidRPr="00187FD3">
        <w:rPr>
          <w:rFonts w:ascii="Times New Roman" w:hAnsi="Times New Roman" w:cs="Times New Roman"/>
        </w:rPr>
        <w:t>ARBALLO</w:t>
      </w:r>
      <w:r w:rsidRPr="00187FD3">
        <w:rPr>
          <w:rFonts w:ascii="Times New Roman" w:hAnsi="Times New Roman" w:cs="Times New Roman"/>
        </w:rPr>
        <w:t xml:space="preserve"> en relación al fenómeno neoconstitucional, lo “primero que debe señalarse y ya es lugar común aceptado es su dispersión: no es una corriente signada por un autor, o por una teoría concreta, o por una tradición nacional concreta, sino está caracterizada por la hibridación y la mixtura.”</w:t>
      </w:r>
      <w:r w:rsidRPr="00187FD3">
        <w:rPr>
          <w:rStyle w:val="Refdenotaalpie"/>
          <w:rFonts w:ascii="Times New Roman" w:hAnsi="Times New Roman" w:cs="Times New Roman"/>
        </w:rPr>
        <w:footnoteReference w:id="9"/>
      </w:r>
    </w:p>
    <w:p w14:paraId="7ACF6F3E" w14:textId="23EDEC9A"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 xml:space="preserve">La amplitud del término, es puesta de relieve por </w:t>
      </w:r>
      <w:r w:rsidR="00EF4BE9" w:rsidRPr="00187FD3">
        <w:rPr>
          <w:rFonts w:ascii="Times New Roman" w:hAnsi="Times New Roman" w:cs="Times New Roman"/>
        </w:rPr>
        <w:t>PRIETO SANCHÍS</w:t>
      </w:r>
      <w:r w:rsidRPr="00187FD3">
        <w:rPr>
          <w:rFonts w:ascii="Times New Roman" w:hAnsi="Times New Roman" w:cs="Times New Roman"/>
        </w:rPr>
        <w:t xml:space="preserve">, quien enseña que </w:t>
      </w:r>
      <w:r w:rsidR="00EF4BE9" w:rsidRPr="00187FD3">
        <w:rPr>
          <w:rFonts w:ascii="Times New Roman" w:hAnsi="Times New Roman" w:cs="Times New Roman"/>
        </w:rPr>
        <w:t>“</w:t>
      </w:r>
      <w:r w:rsidRPr="00187FD3">
        <w:rPr>
          <w:rFonts w:ascii="Times New Roman" w:hAnsi="Times New Roman" w:cs="Times New Roman"/>
        </w:rPr>
        <w:t xml:space="preserve">el neoconstitucionalismo tiende a convertirse en una respuesta global, en una nueva cultura jurídico-política si se quiere, que se halla presente en toda clase de debates; en los debates de filosofía política acerca del mejor modo de organizar las instituciones democráticas; en los conceptuales a propósito de qué debemos entender por Derecho y de </w:t>
      </w:r>
      <w:r w:rsidRPr="00187FD3">
        <w:rPr>
          <w:rFonts w:ascii="Times New Roman" w:hAnsi="Times New Roman" w:cs="Times New Roman"/>
        </w:rPr>
        <w:lastRenderedPageBreak/>
        <w:t>cómo se explica su relación con la moral; en los metateóricos sobre la función de la ciencia jurídica y el enfoque más adecuado para la comprensión del Derecho; en los teóricos relativos a la naturaleza de las normas y de su interpretación.</w:t>
      </w:r>
      <w:r w:rsidR="00EF4BE9" w:rsidRPr="00187FD3">
        <w:rPr>
          <w:rFonts w:ascii="Times New Roman" w:hAnsi="Times New Roman" w:cs="Times New Roman"/>
        </w:rPr>
        <w:t>”</w:t>
      </w:r>
      <w:r w:rsidRPr="00187FD3">
        <w:rPr>
          <w:rStyle w:val="Refdenotaalpie"/>
          <w:rFonts w:ascii="Times New Roman" w:hAnsi="Times New Roman" w:cs="Times New Roman"/>
        </w:rPr>
        <w:footnoteReference w:id="10"/>
      </w:r>
    </w:p>
    <w:p w14:paraId="22B00A19" w14:textId="50D3B646"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 xml:space="preserve">En la misma línea, </w:t>
      </w:r>
      <w:r w:rsidR="00EF4BE9" w:rsidRPr="00187FD3">
        <w:rPr>
          <w:rFonts w:ascii="Times New Roman" w:hAnsi="Times New Roman" w:cs="Times New Roman"/>
        </w:rPr>
        <w:t>COMANDUCCI</w:t>
      </w:r>
      <w:r w:rsidRPr="00187FD3">
        <w:rPr>
          <w:rFonts w:ascii="Times New Roman" w:hAnsi="Times New Roman" w:cs="Times New Roman"/>
        </w:rPr>
        <w:t xml:space="preserve"> propone distinguir entre neoconstitucionalismo teórico, ideológico y metodológico, argumentando que </w:t>
      </w:r>
      <w:r w:rsidR="00EF4BE9" w:rsidRPr="00187FD3">
        <w:rPr>
          <w:rFonts w:ascii="Times New Roman" w:hAnsi="Times New Roman" w:cs="Times New Roman"/>
        </w:rPr>
        <w:t>“</w:t>
      </w:r>
      <w:r w:rsidRPr="00187FD3">
        <w:rPr>
          <w:rFonts w:ascii="Times New Roman" w:hAnsi="Times New Roman" w:cs="Times New Roman"/>
        </w:rPr>
        <w:t xml:space="preserve">La utilización de esta tripartición permite por otro lado evidenciar las diferencias existentes entre constitucionalismo y neoconstitucionalismo. El constitucionalismo ha sido fundamentalmente una ideología dirigida a la limitación del poder y a la defensa de una esfera de libertades naturales o de derechos fundamentales. Tal ideología, por un lado, tiene como trasfondo habitual, aunque no necesario, al iusnaturalismo </w:t>
      </w:r>
      <w:proofErr w:type="gramStart"/>
      <w:r w:rsidRPr="00187FD3">
        <w:rPr>
          <w:rFonts w:ascii="Times New Roman" w:hAnsi="Times New Roman" w:cs="Times New Roman"/>
        </w:rPr>
        <w:t>que</w:t>
      </w:r>
      <w:proofErr w:type="gramEnd"/>
      <w:r w:rsidRPr="00187FD3">
        <w:rPr>
          <w:rFonts w:ascii="Times New Roman" w:hAnsi="Times New Roman" w:cs="Times New Roman"/>
        </w:rPr>
        <w:t xml:space="preserve"> por un lado, sostiene la tesis de la conexión identificatoria entre derecho y moral, y, por otro, tiene como adversario directo el positivismo ideológico. El constitucionalismo no es, sin embargo, relevante como teoría del derecho: la teoría dominante en el siglo XIX y en la primera mitad del siglo XX es sin duda la positivista, y no me parece que el constitucionalismo haya nunca intentado destronar tal hegemonía con una diferente propuesta teórica. El neoconstitucionalismo, por su parte, no se presenta solamente como una ideología, y su correlativa metodología, sino también, y explícitamente, como una teoría concurrente con la positivista.</w:t>
      </w:r>
      <w:r w:rsidR="00EF4BE9" w:rsidRPr="00187FD3">
        <w:rPr>
          <w:rFonts w:ascii="Times New Roman" w:hAnsi="Times New Roman" w:cs="Times New Roman"/>
        </w:rPr>
        <w:t>”</w:t>
      </w:r>
      <w:r w:rsidRPr="00187FD3">
        <w:rPr>
          <w:rStyle w:val="Refdenotaalpie"/>
          <w:rFonts w:ascii="Times New Roman" w:hAnsi="Times New Roman" w:cs="Times New Roman"/>
        </w:rPr>
        <w:footnoteReference w:id="11"/>
      </w:r>
    </w:p>
    <w:p w14:paraId="56801F20" w14:textId="231999B1" w:rsidR="00ED7017" w:rsidRPr="00187FD3" w:rsidRDefault="00ED7017" w:rsidP="00EF4BE9">
      <w:pPr>
        <w:ind w:firstLine="708"/>
        <w:rPr>
          <w:rFonts w:ascii="Times New Roman" w:hAnsi="Times New Roman" w:cs="Times New Roman"/>
        </w:rPr>
      </w:pPr>
      <w:r w:rsidRPr="00187FD3">
        <w:rPr>
          <w:rFonts w:ascii="Times New Roman" w:hAnsi="Times New Roman" w:cs="Times New Roman"/>
        </w:rPr>
        <w:t>A los fines del presente trabajo, prescindiremos por razones de extensión de muchos de los aspectos señalados, para centrarnos en l</w:t>
      </w:r>
      <w:r w:rsidR="009F0165" w:rsidRPr="00187FD3">
        <w:rPr>
          <w:rFonts w:ascii="Times New Roman" w:hAnsi="Times New Roman" w:cs="Times New Roman"/>
        </w:rPr>
        <w:t>as</w:t>
      </w:r>
      <w:r w:rsidRPr="00187FD3">
        <w:rPr>
          <w:rFonts w:ascii="Times New Roman" w:hAnsi="Times New Roman" w:cs="Times New Roman"/>
        </w:rPr>
        <w:t xml:space="preserve"> dos </w:t>
      </w:r>
      <w:r w:rsidR="009F0165" w:rsidRPr="00187FD3">
        <w:rPr>
          <w:rFonts w:ascii="Times New Roman" w:hAnsi="Times New Roman" w:cs="Times New Roman"/>
        </w:rPr>
        <w:t>notas</w:t>
      </w:r>
      <w:r w:rsidRPr="00187FD3">
        <w:rPr>
          <w:rFonts w:ascii="Times New Roman" w:hAnsi="Times New Roman" w:cs="Times New Roman"/>
        </w:rPr>
        <w:t xml:space="preserve"> centrales del movimiento constitucional: La consagración de los derechos y la limitación del Poder. De este modo, hablaremos siguiendo a García Jaramillo de un neoconstitucionalismo dogmático y uno orgánico</w:t>
      </w:r>
      <w:r w:rsidRPr="00187FD3">
        <w:rPr>
          <w:rStyle w:val="Refdenotaalpie"/>
          <w:rFonts w:ascii="Times New Roman" w:hAnsi="Times New Roman" w:cs="Times New Roman"/>
        </w:rPr>
        <w:footnoteReference w:id="12"/>
      </w:r>
      <w:r w:rsidRPr="00187FD3">
        <w:rPr>
          <w:rFonts w:ascii="Times New Roman" w:hAnsi="Times New Roman" w:cs="Times New Roman"/>
        </w:rPr>
        <w:t xml:space="preserve">, en el convencimiento que el principal impacto del </w:t>
      </w:r>
      <w:r w:rsidRPr="00187FD3">
        <w:rPr>
          <w:rFonts w:ascii="Times New Roman" w:hAnsi="Times New Roman" w:cs="Times New Roman"/>
        </w:rPr>
        <w:lastRenderedPageBreak/>
        <w:t>movimiento se encuentra en estos dos puntos que han caracterizado desde sus inicios al constitucionalismo.</w:t>
      </w:r>
    </w:p>
    <w:p w14:paraId="0C36E865" w14:textId="77777777" w:rsidR="00ED7017" w:rsidRPr="00187FD3" w:rsidRDefault="00ED7017" w:rsidP="00ED7017">
      <w:pPr>
        <w:rPr>
          <w:rFonts w:ascii="Times New Roman" w:hAnsi="Times New Roman" w:cs="Times New Roman"/>
          <w:b/>
          <w:bCs/>
        </w:rPr>
      </w:pPr>
      <w:r w:rsidRPr="00187FD3">
        <w:rPr>
          <w:rFonts w:ascii="Times New Roman" w:hAnsi="Times New Roman" w:cs="Times New Roman"/>
          <w:b/>
          <w:bCs/>
        </w:rPr>
        <w:t>III. Neoconstitucionalismo dogmático. Nuevas generaciones de derechos.</w:t>
      </w:r>
    </w:p>
    <w:p w14:paraId="0A489062" w14:textId="77777777" w:rsidR="004263BE" w:rsidRPr="00187FD3" w:rsidRDefault="004263BE" w:rsidP="00EF4BE9">
      <w:pPr>
        <w:ind w:firstLine="708"/>
        <w:rPr>
          <w:rFonts w:ascii="Times New Roman" w:hAnsi="Times New Roman" w:cs="Times New Roman"/>
        </w:rPr>
      </w:pPr>
      <w:r w:rsidRPr="00187FD3">
        <w:rPr>
          <w:rFonts w:ascii="Times New Roman" w:hAnsi="Times New Roman" w:cs="Times New Roman"/>
        </w:rPr>
        <w:t>Partimos de la base de que los derechos son, desde el punto de vista teórico, “derechos históricos”, esto es que “nacen gradualmente, no todos de una vez y para siempre, sino en determinadas circunstancias, caracterizadas por luchas por la defensa de nuevas libertades contra viejos poderes; los derechos nacen cuando deben o pueden.”</w:t>
      </w:r>
      <w:r w:rsidRPr="00187FD3">
        <w:rPr>
          <w:rStyle w:val="Refdenotaalpie"/>
          <w:rFonts w:ascii="Times New Roman" w:hAnsi="Times New Roman" w:cs="Times New Roman"/>
        </w:rPr>
        <w:footnoteReference w:id="13"/>
      </w:r>
    </w:p>
    <w:p w14:paraId="4C13836B" w14:textId="73126771" w:rsidR="00ED7017" w:rsidRPr="00187FD3" w:rsidRDefault="0077665F" w:rsidP="00EF4BE9">
      <w:pPr>
        <w:ind w:firstLine="708"/>
        <w:rPr>
          <w:rFonts w:ascii="Times New Roman" w:hAnsi="Times New Roman" w:cs="Times New Roman"/>
        </w:rPr>
      </w:pPr>
      <w:r w:rsidRPr="00187FD3">
        <w:rPr>
          <w:rFonts w:ascii="Times New Roman" w:hAnsi="Times New Roman" w:cs="Times New Roman"/>
        </w:rPr>
        <w:t xml:space="preserve">En este sentido, el constitucionalismo clásico se caracteriza por consagrar derechos con </w:t>
      </w:r>
      <w:r w:rsidR="00ED7017" w:rsidRPr="00187FD3">
        <w:rPr>
          <w:rFonts w:ascii="Times New Roman" w:hAnsi="Times New Roman" w:cs="Times New Roman"/>
        </w:rPr>
        <w:t>lógica individual</w:t>
      </w:r>
      <w:r w:rsidRPr="00187FD3">
        <w:rPr>
          <w:rFonts w:ascii="Times New Roman" w:hAnsi="Times New Roman" w:cs="Times New Roman"/>
        </w:rPr>
        <w:t xml:space="preserve"> en el marco de un </w:t>
      </w:r>
      <w:r w:rsidR="00ED7017" w:rsidRPr="00187FD3">
        <w:rPr>
          <w:rFonts w:ascii="Times New Roman" w:hAnsi="Times New Roman" w:cs="Times New Roman"/>
        </w:rPr>
        <w:t xml:space="preserve">modelo de Estado liberal, </w:t>
      </w:r>
      <w:r w:rsidRPr="00187FD3">
        <w:rPr>
          <w:rFonts w:ascii="Times New Roman" w:hAnsi="Times New Roman" w:cs="Times New Roman"/>
        </w:rPr>
        <w:t xml:space="preserve">que evoluciona hacia </w:t>
      </w:r>
      <w:r w:rsidR="00ED7017" w:rsidRPr="00187FD3">
        <w:rPr>
          <w:rFonts w:ascii="Times New Roman" w:hAnsi="Times New Roman" w:cs="Times New Roman"/>
        </w:rPr>
        <w:t xml:space="preserve">una lógica situacional del sujeto, que en base a su pertenencia a determinados grupos o por encontrarse en una situación social determinada, </w:t>
      </w:r>
      <w:r w:rsidRPr="00187FD3">
        <w:rPr>
          <w:rFonts w:ascii="Times New Roman" w:hAnsi="Times New Roman" w:cs="Times New Roman"/>
        </w:rPr>
        <w:t>logra acceder</w:t>
      </w:r>
      <w:r w:rsidR="00ED7017" w:rsidRPr="00187FD3">
        <w:rPr>
          <w:rFonts w:ascii="Times New Roman" w:hAnsi="Times New Roman" w:cs="Times New Roman"/>
        </w:rPr>
        <w:t xml:space="preserve"> a un catálogo de derechos en los que el Estado mediante su intervención, </w:t>
      </w:r>
      <w:r w:rsidRPr="00187FD3">
        <w:rPr>
          <w:rFonts w:ascii="Times New Roman" w:hAnsi="Times New Roman" w:cs="Times New Roman"/>
        </w:rPr>
        <w:t xml:space="preserve">debe garantizar </w:t>
      </w:r>
      <w:r w:rsidR="00ED7017" w:rsidRPr="00187FD3">
        <w:rPr>
          <w:rFonts w:ascii="Times New Roman" w:hAnsi="Times New Roman" w:cs="Times New Roman"/>
        </w:rPr>
        <w:t>prestaciones o al menos, un piso mínimo que escapaba al ámbito de la libre disposición de las partes.</w:t>
      </w:r>
    </w:p>
    <w:p w14:paraId="27138327" w14:textId="77777777" w:rsidR="0077665F" w:rsidRPr="00187FD3" w:rsidRDefault="0077665F" w:rsidP="0077665F">
      <w:pPr>
        <w:ind w:firstLine="708"/>
        <w:rPr>
          <w:rFonts w:ascii="Times New Roman" w:hAnsi="Times New Roman" w:cs="Times New Roman"/>
        </w:rPr>
      </w:pPr>
      <w:r w:rsidRPr="00187FD3">
        <w:rPr>
          <w:rFonts w:ascii="Times New Roman" w:hAnsi="Times New Roman" w:cs="Times New Roman"/>
        </w:rPr>
        <w:t>O como enseña PETRACCHI, “,,,Mientras que el Estado de derecho implicaba que se levantaran barreras contra la acción estatal, en el de bienestar se daba impulso a la intervención creadora, dirigida a la satisfacción de los nuevos derechos sociales y económicos: ellos no podrían realizarse sin una nueva comprensión de las libertades y especialmente de las económicas y del derecho de propiedad privada.”</w:t>
      </w:r>
      <w:r w:rsidRPr="00187FD3">
        <w:rPr>
          <w:rStyle w:val="Refdenotaalpie"/>
          <w:rFonts w:ascii="Times New Roman" w:hAnsi="Times New Roman" w:cs="Times New Roman"/>
        </w:rPr>
        <w:footnoteReference w:id="14"/>
      </w:r>
    </w:p>
    <w:p w14:paraId="6A19157E" w14:textId="1DDDEEA3" w:rsidR="009F0165" w:rsidRPr="00187FD3" w:rsidRDefault="009F0165" w:rsidP="00EF4BE9">
      <w:pPr>
        <w:ind w:firstLine="708"/>
        <w:rPr>
          <w:rFonts w:ascii="Times New Roman" w:hAnsi="Times New Roman" w:cs="Times New Roman"/>
        </w:rPr>
      </w:pPr>
      <w:r w:rsidRPr="00187FD3">
        <w:rPr>
          <w:rFonts w:ascii="Times New Roman" w:hAnsi="Times New Roman" w:cs="Times New Roman"/>
        </w:rPr>
        <w:t xml:space="preserve">Señala DOMÍNGUEZ, haciendo foco en el impacto de los derechos en la estructura estatal, </w:t>
      </w:r>
      <w:proofErr w:type="gramStart"/>
      <w:r w:rsidRPr="00187FD3">
        <w:rPr>
          <w:rFonts w:ascii="Times New Roman" w:hAnsi="Times New Roman" w:cs="Times New Roman"/>
        </w:rPr>
        <w:t>que  como</w:t>
      </w:r>
      <w:proofErr w:type="gramEnd"/>
      <w:r w:rsidRPr="00187FD3">
        <w:rPr>
          <w:rFonts w:ascii="Times New Roman" w:hAnsi="Times New Roman" w:cs="Times New Roman"/>
        </w:rPr>
        <w:t xml:space="preserve"> “Expresión o reflejo en el orden político y jurídico de una concepción del mundo, del hombre y de la vida, los derechos humanos, en sus diversas manifestaciones, acompañaron y estimularon las variaciones en la organización y </w:t>
      </w:r>
      <w:r w:rsidRPr="00187FD3">
        <w:rPr>
          <w:rFonts w:ascii="Times New Roman" w:hAnsi="Times New Roman" w:cs="Times New Roman"/>
        </w:rPr>
        <w:lastRenderedPageBreak/>
        <w:t>delimitación del Estado moderno. Limitando la acción estatal de un individuo autosuficiente, en un tiempo; asegurando su activa intervención para nivelar grupos sociales desprotegidos, en otro; y propiciando su total expansión en vistas de un individuo desorientado y de una sociedad fragmentada, finalmente; estas declaraciones de derechos demuestran cabalmente el camino recorrido en la búsqueda de soluciones al antagonismo entre lo individual y lo colectivo.”</w:t>
      </w:r>
      <w:r w:rsidRPr="00187FD3">
        <w:rPr>
          <w:rStyle w:val="Refdenotaalpie"/>
          <w:rFonts w:ascii="Times New Roman" w:hAnsi="Times New Roman" w:cs="Times New Roman"/>
        </w:rPr>
        <w:footnoteReference w:id="15"/>
      </w:r>
    </w:p>
    <w:p w14:paraId="23A56DB9" w14:textId="72389569" w:rsidR="00ED7017" w:rsidRPr="00187FD3" w:rsidRDefault="00D02C70" w:rsidP="003B580F">
      <w:pPr>
        <w:ind w:firstLine="708"/>
        <w:rPr>
          <w:rFonts w:ascii="Times New Roman" w:hAnsi="Times New Roman" w:cs="Times New Roman"/>
        </w:rPr>
      </w:pPr>
      <w:r w:rsidRPr="00187FD3">
        <w:rPr>
          <w:rFonts w:ascii="Times New Roman" w:hAnsi="Times New Roman" w:cs="Times New Roman"/>
        </w:rPr>
        <w:t xml:space="preserve">En este proceso evolutivo de los derechos, </w:t>
      </w:r>
      <w:r w:rsidR="0077665F" w:rsidRPr="00187FD3">
        <w:rPr>
          <w:rFonts w:ascii="Times New Roman" w:hAnsi="Times New Roman" w:cs="Times New Roman"/>
        </w:rPr>
        <w:t xml:space="preserve"> -siempre </w:t>
      </w:r>
      <w:r w:rsidRPr="00187FD3">
        <w:rPr>
          <w:rFonts w:ascii="Times New Roman" w:hAnsi="Times New Roman" w:cs="Times New Roman"/>
        </w:rPr>
        <w:t>acompañado por adaptaciones en la estructura estatal</w:t>
      </w:r>
      <w:r w:rsidR="0077665F" w:rsidRPr="00187FD3">
        <w:rPr>
          <w:rFonts w:ascii="Times New Roman" w:hAnsi="Times New Roman" w:cs="Times New Roman"/>
        </w:rPr>
        <w:t>-</w:t>
      </w:r>
      <w:r w:rsidR="0077665F" w:rsidRPr="00187FD3">
        <w:rPr>
          <w:rStyle w:val="Refdenotaalpie"/>
          <w:rFonts w:ascii="Times New Roman" w:hAnsi="Times New Roman" w:cs="Times New Roman"/>
        </w:rPr>
        <w:footnoteReference w:id="16"/>
      </w:r>
      <w:r w:rsidRPr="00187FD3">
        <w:rPr>
          <w:rFonts w:ascii="Times New Roman" w:hAnsi="Times New Roman" w:cs="Times New Roman"/>
        </w:rPr>
        <w:t>, l</w:t>
      </w:r>
      <w:r w:rsidR="00ED7017" w:rsidRPr="00187FD3">
        <w:rPr>
          <w:rFonts w:ascii="Times New Roman" w:hAnsi="Times New Roman" w:cs="Times New Roman"/>
        </w:rPr>
        <w:t>as profundas transformaciones sociales experimentadas a partir de la segunda mitad del siglo pasado, con la finalización de la Segunda Guerra como hito fundante, dieron lugar a la aparición de derechos que escapan a los enunciados propios de las dos primeras etapas del constitucionalismo.</w:t>
      </w:r>
    </w:p>
    <w:p w14:paraId="19EF8BB6" w14:textId="77777777" w:rsidR="0077665F" w:rsidRPr="00187FD3" w:rsidRDefault="0077665F" w:rsidP="0077665F">
      <w:pPr>
        <w:ind w:firstLine="708"/>
        <w:rPr>
          <w:rFonts w:ascii="Times New Roman" w:hAnsi="Times New Roman" w:cs="Times New Roman"/>
        </w:rPr>
      </w:pPr>
      <w:r w:rsidRPr="00187FD3">
        <w:rPr>
          <w:rFonts w:ascii="Times New Roman" w:hAnsi="Times New Roman" w:cs="Times New Roman"/>
        </w:rPr>
        <w:t>Tal como hemos señalado en los capítulos anteriores, la doctrina es conteste en identificar a partir de mediados del Siglo XX, cambios en materia de derechos, que adquieren características que los diferencian sustancialmente de aquellos propios del constitucionalismo clásico y del social.</w:t>
      </w:r>
    </w:p>
    <w:p w14:paraId="0C4BA1FC" w14:textId="7EA01295" w:rsidR="00A6559A" w:rsidRPr="00187FD3" w:rsidRDefault="00A6559A" w:rsidP="003B580F">
      <w:pPr>
        <w:ind w:firstLine="708"/>
        <w:rPr>
          <w:rFonts w:ascii="Times New Roman" w:hAnsi="Times New Roman" w:cs="Times New Roman"/>
        </w:rPr>
      </w:pPr>
      <w:r w:rsidRPr="00187FD3">
        <w:rPr>
          <w:rFonts w:ascii="Times New Roman" w:hAnsi="Times New Roman" w:cs="Times New Roman"/>
        </w:rPr>
        <w:t xml:space="preserve">Advertía en este sentido </w:t>
      </w:r>
      <w:r w:rsidR="003B580F" w:rsidRPr="00187FD3">
        <w:rPr>
          <w:rFonts w:ascii="Times New Roman" w:hAnsi="Times New Roman" w:cs="Times New Roman"/>
        </w:rPr>
        <w:t>LAPORTA</w:t>
      </w:r>
      <w:r w:rsidRPr="00187FD3">
        <w:rPr>
          <w:rFonts w:ascii="Times New Roman" w:hAnsi="Times New Roman" w:cs="Times New Roman"/>
        </w:rPr>
        <w:t xml:space="preserve"> que “No sólo se han multiplicado y diversificado hasta grados de concreción sorprendentes los venerables derechos del hombre y del ciudadano, sino que se dan por sentados derechos de contenido social y económico cada vez más minucioso y se anuncia todavía el nacimiento de una nueva “generación” de derechos relacionados con cosas tales como las nuevas tecnologías o la conservación del medio ambiente natural.”</w:t>
      </w:r>
      <w:r w:rsidRPr="00187FD3">
        <w:rPr>
          <w:rStyle w:val="Refdenotaalpie"/>
          <w:rFonts w:ascii="Times New Roman" w:hAnsi="Times New Roman" w:cs="Times New Roman"/>
        </w:rPr>
        <w:footnoteReference w:id="17"/>
      </w:r>
    </w:p>
    <w:p w14:paraId="258C92EA" w14:textId="7B19DA88" w:rsidR="004947CD" w:rsidRPr="00187FD3" w:rsidRDefault="004947CD" w:rsidP="003B580F">
      <w:pPr>
        <w:ind w:firstLine="708"/>
        <w:rPr>
          <w:rFonts w:ascii="Times New Roman" w:hAnsi="Times New Roman" w:cs="Times New Roman"/>
        </w:rPr>
      </w:pPr>
      <w:r w:rsidRPr="00187FD3">
        <w:rPr>
          <w:rFonts w:ascii="Times New Roman" w:hAnsi="Times New Roman" w:cs="Times New Roman"/>
        </w:rPr>
        <w:lastRenderedPageBreak/>
        <w:t>La cita transcripta sirve para introducir dos nociones que nos resultan de interés como son las generaciones de derechos y la posibilidad de distinguir una nueva generación vinculada con la tecnología. Tradicionalmente, la doctrina distinguía dos generaciones de derechos, coincidentes con las primeras etapas del constitucionalismo, y que como hemos señalado, caracterizan los textos normativos de cada etapa y delimitan la tarea del Estado. Y así como la segunda mitad del Siglo XX marca el inicio de una nueva era constitucional cuya caracterización no encuentra, aún, consenso, lo mismo ocurre con la forma de agrupar y caracterizar a los derechos que acompañan este cambio constitucional.</w:t>
      </w:r>
    </w:p>
    <w:p w14:paraId="6E1E41E9" w14:textId="001A02A0" w:rsidR="004947CD" w:rsidRPr="00187FD3" w:rsidRDefault="004947CD" w:rsidP="003B580F">
      <w:pPr>
        <w:ind w:firstLine="708"/>
        <w:rPr>
          <w:rFonts w:ascii="Times New Roman" w:hAnsi="Times New Roman" w:cs="Times New Roman"/>
        </w:rPr>
      </w:pPr>
      <w:r w:rsidRPr="00187FD3">
        <w:rPr>
          <w:rFonts w:ascii="Times New Roman" w:hAnsi="Times New Roman" w:cs="Times New Roman"/>
        </w:rPr>
        <w:t>A quienes identifican un único grupo de nuevos derechos, se contraponen quienes advierten sobre la posibilidad de caracterizar dos o hasta tres nuevos grupos o generaciones</w:t>
      </w:r>
      <w:r w:rsidR="001E5F60" w:rsidRPr="00187FD3">
        <w:rPr>
          <w:rFonts w:ascii="Times New Roman" w:hAnsi="Times New Roman" w:cs="Times New Roman"/>
        </w:rPr>
        <w:t xml:space="preserve"> de derechos.</w:t>
      </w:r>
    </w:p>
    <w:p w14:paraId="7D78D815" w14:textId="765532EF" w:rsidR="00413CF8" w:rsidRPr="00187FD3" w:rsidRDefault="004947CD" w:rsidP="003B580F">
      <w:pPr>
        <w:ind w:firstLine="708"/>
        <w:rPr>
          <w:rFonts w:ascii="Times New Roman" w:hAnsi="Times New Roman" w:cs="Times New Roman"/>
        </w:rPr>
      </w:pPr>
      <w:r w:rsidRPr="00187FD3">
        <w:rPr>
          <w:rFonts w:ascii="Times New Roman" w:hAnsi="Times New Roman" w:cs="Times New Roman"/>
        </w:rPr>
        <w:t xml:space="preserve">Enrolado en el primer grupo, </w:t>
      </w:r>
      <w:r w:rsidR="003B580F" w:rsidRPr="00187FD3">
        <w:rPr>
          <w:rFonts w:ascii="Times New Roman" w:hAnsi="Times New Roman" w:cs="Times New Roman"/>
        </w:rPr>
        <w:t xml:space="preserve">PÉREZ LUÑO </w:t>
      </w:r>
      <w:r w:rsidR="00A6559A" w:rsidRPr="00187FD3">
        <w:rPr>
          <w:rFonts w:ascii="Times New Roman" w:hAnsi="Times New Roman" w:cs="Times New Roman"/>
        </w:rPr>
        <w:t>enseña que</w:t>
      </w:r>
      <w:r w:rsidR="00ED7017" w:rsidRPr="00187FD3">
        <w:rPr>
          <w:rFonts w:ascii="Times New Roman" w:hAnsi="Times New Roman" w:cs="Times New Roman"/>
        </w:rPr>
        <w:t xml:space="preserve"> </w:t>
      </w:r>
      <w:bookmarkStart w:id="12" w:name="_Hlk109753337"/>
      <w:r w:rsidR="00ED7017" w:rsidRPr="00187FD3">
        <w:rPr>
          <w:rFonts w:ascii="Times New Roman" w:hAnsi="Times New Roman" w:cs="Times New Roman"/>
        </w:rPr>
        <w:t>“Si la libertad fue el valor guía de los derechos de la primera generación, como lo fue la igualdad para los derechos de signo económico, social y cultural, los derechos de la tercera generación tienen como principal valor de referencia a la solidaridad.”</w:t>
      </w:r>
      <w:r w:rsidR="00ED7017" w:rsidRPr="00187FD3">
        <w:rPr>
          <w:rStyle w:val="Refdenotaalpie"/>
          <w:rFonts w:ascii="Times New Roman" w:hAnsi="Times New Roman" w:cs="Times New Roman"/>
        </w:rPr>
        <w:footnoteReference w:id="18"/>
      </w:r>
      <w:r w:rsidR="00ED7017" w:rsidRPr="00187FD3">
        <w:rPr>
          <w:rFonts w:ascii="Times New Roman" w:hAnsi="Times New Roman" w:cs="Times New Roman"/>
        </w:rPr>
        <w:t xml:space="preserve"> </w:t>
      </w:r>
    </w:p>
    <w:p w14:paraId="4B9E4B3E" w14:textId="3FB3B52F" w:rsidR="00ED7017" w:rsidRPr="00187FD3" w:rsidRDefault="004947CD" w:rsidP="003B580F">
      <w:pPr>
        <w:ind w:firstLine="708"/>
        <w:rPr>
          <w:rFonts w:ascii="Times New Roman" w:hAnsi="Times New Roman" w:cs="Times New Roman"/>
        </w:rPr>
      </w:pPr>
      <w:r w:rsidRPr="00187FD3">
        <w:rPr>
          <w:rFonts w:ascii="Times New Roman" w:hAnsi="Times New Roman" w:cs="Times New Roman"/>
        </w:rPr>
        <w:t xml:space="preserve">Por su parte, existen </w:t>
      </w:r>
      <w:r w:rsidR="00ED7017" w:rsidRPr="00187FD3">
        <w:rPr>
          <w:rFonts w:ascii="Times New Roman" w:hAnsi="Times New Roman" w:cs="Times New Roman"/>
        </w:rPr>
        <w:t>autores que distinguen una cuarta -o incluso quinta- generación integrada por derechos que son “producto de la evolución científica y técnica.”</w:t>
      </w:r>
      <w:r w:rsidR="00ED7017" w:rsidRPr="00187FD3">
        <w:rPr>
          <w:rStyle w:val="Refdenotaalpie"/>
          <w:rFonts w:ascii="Times New Roman" w:hAnsi="Times New Roman" w:cs="Times New Roman"/>
        </w:rPr>
        <w:footnoteReference w:id="19"/>
      </w:r>
      <w:r w:rsidR="00ED7017" w:rsidRPr="00187FD3">
        <w:rPr>
          <w:rFonts w:ascii="Times New Roman" w:hAnsi="Times New Roman" w:cs="Times New Roman"/>
        </w:rPr>
        <w:t xml:space="preserve"> En este sentido,</w:t>
      </w:r>
      <w:r w:rsidR="003B580F" w:rsidRPr="00187FD3">
        <w:rPr>
          <w:rFonts w:ascii="Times New Roman" w:hAnsi="Times New Roman" w:cs="Times New Roman"/>
        </w:rPr>
        <w:t xml:space="preserve"> “…E</w:t>
      </w:r>
      <w:r w:rsidR="00ED7017" w:rsidRPr="00187FD3">
        <w:rPr>
          <w:rFonts w:ascii="Times New Roman" w:hAnsi="Times New Roman" w:cs="Times New Roman"/>
        </w:rPr>
        <w:t xml:space="preserve">stán por un lado quienes sostienen…que los derechos de cuarta generación son las nuevas formas que cobran los derechos de primera, segunda y tercera generación en el entorno del ciberespacio. Frente a dicha postura está la de quienes sostenemos, como hemos apuntado, que los derechos de cuarta generación incluyen tanto un nuevo conjunto de derechos vinculados a la biomedicina y la genética por un lado (identidad genética, integridad genética, consentimiento informado en todas las intervenciones relacionadas con la salud…) y a las tecnologías de la información y de la </w:t>
      </w:r>
      <w:r w:rsidR="00ED7017" w:rsidRPr="00187FD3">
        <w:rPr>
          <w:rFonts w:ascii="Times New Roman" w:hAnsi="Times New Roman" w:cs="Times New Roman"/>
        </w:rPr>
        <w:lastRenderedPageBreak/>
        <w:t>comunicación por otro (el acceso universal a las nuevas tecnologías, la protección de datos personales, etc.).</w:t>
      </w:r>
      <w:r w:rsidR="003B580F" w:rsidRPr="00187FD3">
        <w:rPr>
          <w:rFonts w:ascii="Times New Roman" w:hAnsi="Times New Roman" w:cs="Times New Roman"/>
        </w:rPr>
        <w:t>”</w:t>
      </w:r>
      <w:r w:rsidR="00ED7017" w:rsidRPr="00187FD3">
        <w:rPr>
          <w:rStyle w:val="Refdenotaalpie"/>
          <w:rFonts w:ascii="Times New Roman" w:hAnsi="Times New Roman" w:cs="Times New Roman"/>
        </w:rPr>
        <w:footnoteReference w:id="20"/>
      </w:r>
    </w:p>
    <w:p w14:paraId="1E843CE4" w14:textId="77777777" w:rsidR="004947CD" w:rsidRPr="00187FD3" w:rsidRDefault="004947CD" w:rsidP="004947CD">
      <w:pPr>
        <w:ind w:firstLine="708"/>
        <w:rPr>
          <w:rFonts w:ascii="Times New Roman" w:hAnsi="Times New Roman" w:cs="Times New Roman"/>
        </w:rPr>
      </w:pPr>
      <w:r w:rsidRPr="00187FD3">
        <w:rPr>
          <w:rFonts w:ascii="Times New Roman" w:hAnsi="Times New Roman" w:cs="Times New Roman"/>
        </w:rPr>
        <w:t>No faltan voces disidentes en la materia, alertando que estos pretendidos derechos de tercera generación, “presentan un carácter menos unívoco”</w:t>
      </w:r>
      <w:r w:rsidRPr="00187FD3">
        <w:rPr>
          <w:rStyle w:val="Refdenotaalpie"/>
          <w:rFonts w:ascii="Times New Roman" w:hAnsi="Times New Roman" w:cs="Times New Roman"/>
        </w:rPr>
        <w:footnoteReference w:id="21"/>
      </w:r>
      <w:r w:rsidRPr="00187FD3">
        <w:rPr>
          <w:rFonts w:ascii="Times New Roman" w:hAnsi="Times New Roman" w:cs="Times New Roman"/>
        </w:rPr>
        <w:t xml:space="preserve"> lo que los lleva a cuestionar este tipo de clasificaciones  por considerar que “no presenta un carácter lo suficientemente preciso para poder ser utilizada como una noción jurídica, ni en el plano legislativo, ni en el de la interpretación sistemática; sea en el ámbito doctrinal, jurisprudencial o cualquier otro.”</w:t>
      </w:r>
      <w:r w:rsidRPr="00187FD3">
        <w:rPr>
          <w:rStyle w:val="Refdenotaalpie"/>
          <w:rFonts w:ascii="Times New Roman" w:hAnsi="Times New Roman" w:cs="Times New Roman"/>
        </w:rPr>
        <w:footnoteReference w:id="22"/>
      </w:r>
    </w:p>
    <w:p w14:paraId="12B97978" w14:textId="77777777" w:rsidR="00ED7017" w:rsidRPr="00187FD3" w:rsidRDefault="00ED7017" w:rsidP="00230E49">
      <w:pPr>
        <w:ind w:firstLine="708"/>
        <w:rPr>
          <w:rFonts w:ascii="Times New Roman" w:hAnsi="Times New Roman" w:cs="Times New Roman"/>
        </w:rPr>
      </w:pPr>
      <w:r w:rsidRPr="00187FD3">
        <w:rPr>
          <w:rFonts w:ascii="Times New Roman" w:hAnsi="Times New Roman" w:cs="Times New Roman"/>
        </w:rPr>
        <w:t>Cualquiera sea la posición que se adopte respecto del agrupamiento de los derechos en “generaciones”, no nos quedan dudas que los derechos que ha alumbrado el constitucionalismo contemporáneo, se alejan de la lógica que caracterizó al movimiento en su vertiente clásica y social.</w:t>
      </w:r>
    </w:p>
    <w:p w14:paraId="7075B24E" w14:textId="77777777" w:rsidR="00ED7017" w:rsidRPr="00187FD3" w:rsidRDefault="00ED7017" w:rsidP="00230E49">
      <w:pPr>
        <w:ind w:firstLine="708"/>
        <w:rPr>
          <w:rFonts w:ascii="Times New Roman" w:hAnsi="Times New Roman" w:cs="Times New Roman"/>
        </w:rPr>
      </w:pPr>
      <w:r w:rsidRPr="00187FD3">
        <w:rPr>
          <w:rFonts w:ascii="Times New Roman" w:hAnsi="Times New Roman" w:cs="Times New Roman"/>
        </w:rPr>
        <w:t>Hablamos de derechos que tutelan aspectos que no eran considerados o valorados en etapas anteriores y que plantean, en consecuencia, diversos desafíos en su aplicación práctica.</w:t>
      </w:r>
    </w:p>
    <w:bookmarkEnd w:id="12"/>
    <w:p w14:paraId="6E463FA3" w14:textId="6614CD76" w:rsidR="00ED7017" w:rsidRPr="00187FD3" w:rsidRDefault="00ED7017" w:rsidP="00230E49">
      <w:pPr>
        <w:ind w:firstLine="708"/>
        <w:rPr>
          <w:rFonts w:ascii="Times New Roman" w:hAnsi="Times New Roman" w:cs="Times New Roman"/>
        </w:rPr>
      </w:pPr>
      <w:r w:rsidRPr="00187FD3">
        <w:rPr>
          <w:rFonts w:ascii="Times New Roman" w:hAnsi="Times New Roman" w:cs="Times New Roman"/>
        </w:rPr>
        <w:t>Las nuevas concepciones sobre el derecho a la dignidad a la luz de los avances biotecnológicos, los estudios recientes sobre el derecho a la paz o la realidad de los migrantes, la complejidad que alcanza el dilema intimidad/libertad de expresión en entornos virtuales</w:t>
      </w:r>
      <w:r w:rsidRPr="00187FD3">
        <w:rPr>
          <w:rStyle w:val="Refdenotaalpie"/>
          <w:rFonts w:ascii="Times New Roman" w:hAnsi="Times New Roman" w:cs="Times New Roman"/>
        </w:rPr>
        <w:footnoteReference w:id="23"/>
      </w:r>
      <w:r w:rsidRPr="00187FD3">
        <w:rPr>
          <w:rFonts w:ascii="Times New Roman" w:hAnsi="Times New Roman" w:cs="Times New Roman"/>
        </w:rPr>
        <w:t xml:space="preserve">, por poner algunos ejemplos, dan la pauta de un esquema “dogmático” que exige nuevas respuestas, no solo desde el punto de vista institucional, </w:t>
      </w:r>
      <w:r w:rsidRPr="00187FD3">
        <w:rPr>
          <w:rFonts w:ascii="Times New Roman" w:hAnsi="Times New Roman" w:cs="Times New Roman"/>
        </w:rPr>
        <w:lastRenderedPageBreak/>
        <w:t>como veremos en el apartado que sigue, sino también en el marco procedimental, donde cuestiones como la legitimación, los efectos de las sentencias, las acciones colectivas y otros medios de tutela han cobrado especial protagonismo.</w:t>
      </w:r>
    </w:p>
    <w:p w14:paraId="471B0D78" w14:textId="75D080EF" w:rsidR="0078613E" w:rsidRPr="00187FD3" w:rsidRDefault="0078613E" w:rsidP="00230E49">
      <w:pPr>
        <w:ind w:firstLine="708"/>
        <w:rPr>
          <w:rFonts w:ascii="Times New Roman" w:hAnsi="Times New Roman" w:cs="Times New Roman"/>
        </w:rPr>
      </w:pPr>
      <w:r w:rsidRPr="00187FD3">
        <w:rPr>
          <w:rFonts w:ascii="Times New Roman" w:hAnsi="Times New Roman" w:cs="Times New Roman"/>
        </w:rPr>
        <w:t>Es un hecho innegable la aparición de estos nuevos derechos, con el consecuente incremento de los catálogos que comienzan por manifestaciones normativa de naturaleza local</w:t>
      </w:r>
      <w:r w:rsidRPr="00187FD3">
        <w:rPr>
          <w:rStyle w:val="Refdenotaalpie"/>
          <w:rFonts w:ascii="Times New Roman" w:hAnsi="Times New Roman" w:cs="Times New Roman"/>
        </w:rPr>
        <w:footnoteReference w:id="24"/>
      </w:r>
      <w:r w:rsidRPr="00187FD3">
        <w:rPr>
          <w:rFonts w:ascii="Times New Roman" w:hAnsi="Times New Roman" w:cs="Times New Roman"/>
        </w:rPr>
        <w:t xml:space="preserve"> y gradualmente obtienen reconocimiento en los textos constitucionales nacionales, hasta su consagración en el plano internacional. Claro que ese incremento lleva ínsito el riesgo que señalara hace más de 30 años LAPORTA al indicar que resulta razonable suponer que “cuanto más se multiplique la nómina de los derechos humanos menos fuerza tendrán…”</w:t>
      </w:r>
      <w:r w:rsidRPr="00187FD3">
        <w:rPr>
          <w:rStyle w:val="Refdenotaalpie"/>
          <w:rFonts w:ascii="Times New Roman" w:hAnsi="Times New Roman" w:cs="Times New Roman"/>
        </w:rPr>
        <w:footnoteReference w:id="25"/>
      </w:r>
      <w:r w:rsidRPr="00187FD3">
        <w:rPr>
          <w:rFonts w:ascii="Times New Roman" w:hAnsi="Times New Roman" w:cs="Times New Roman"/>
        </w:rPr>
        <w:t xml:space="preserve"> pero no es menos cierto que la historia de los derechos da cuenta de que su consagración y puesta en vigencia se traduce en un proceso espiralado, de acumulación </w:t>
      </w:r>
      <w:r w:rsidR="00AD46F1" w:rsidRPr="00187FD3">
        <w:rPr>
          <w:rFonts w:ascii="Times New Roman" w:hAnsi="Times New Roman" w:cs="Times New Roman"/>
        </w:rPr>
        <w:t xml:space="preserve">en el que </w:t>
      </w:r>
      <w:r w:rsidRPr="00187FD3">
        <w:rPr>
          <w:rFonts w:ascii="Times New Roman" w:hAnsi="Times New Roman" w:cs="Times New Roman"/>
        </w:rPr>
        <w:t xml:space="preserve">se produce una </w:t>
      </w:r>
      <w:r w:rsidR="00AD46F1" w:rsidRPr="00187FD3">
        <w:rPr>
          <w:rFonts w:ascii="Times New Roman" w:hAnsi="Times New Roman" w:cs="Times New Roman"/>
        </w:rPr>
        <w:t xml:space="preserve">natural </w:t>
      </w:r>
      <w:r w:rsidRPr="00187FD3">
        <w:rPr>
          <w:rFonts w:ascii="Times New Roman" w:hAnsi="Times New Roman" w:cs="Times New Roman"/>
        </w:rPr>
        <w:t>selección, especialmente a través de la labor de los Tribunales.</w:t>
      </w:r>
    </w:p>
    <w:p w14:paraId="596D516C" w14:textId="2605811E" w:rsidR="0078613E" w:rsidRPr="00187FD3" w:rsidRDefault="00AD46F1" w:rsidP="00230E49">
      <w:pPr>
        <w:ind w:firstLine="708"/>
        <w:rPr>
          <w:rFonts w:ascii="Times New Roman" w:hAnsi="Times New Roman" w:cs="Times New Roman"/>
        </w:rPr>
      </w:pPr>
      <w:r w:rsidRPr="00187FD3">
        <w:rPr>
          <w:rFonts w:ascii="Times New Roman" w:hAnsi="Times New Roman" w:cs="Times New Roman"/>
        </w:rPr>
        <w:t>En este entendimiento, resulta de especial interés analizar cuál es el estado del reconocimiento de los derechos más novedosos, en el ámbito de la jurisprudencia de la Corte Interamericana, cuestión de la que nos ocuparemos en los últimos capítulos.</w:t>
      </w:r>
    </w:p>
    <w:p w14:paraId="2B7C769B" w14:textId="16F91377" w:rsidR="00230E49" w:rsidRPr="00187FD3" w:rsidRDefault="00230E49" w:rsidP="00230E49">
      <w:pPr>
        <w:rPr>
          <w:rFonts w:ascii="Times New Roman" w:hAnsi="Times New Roman" w:cs="Times New Roman"/>
          <w:b/>
          <w:bCs/>
        </w:rPr>
      </w:pPr>
      <w:r w:rsidRPr="00187FD3">
        <w:rPr>
          <w:rFonts w:ascii="Times New Roman" w:hAnsi="Times New Roman" w:cs="Times New Roman"/>
          <w:b/>
          <w:bCs/>
        </w:rPr>
        <w:t>IV. Neoconstitucionalismo orgánico. Optimismo vs pesimismo judicial. Remisión.</w:t>
      </w:r>
    </w:p>
    <w:p w14:paraId="65B6392D" w14:textId="77777777" w:rsidR="00F93753" w:rsidRPr="00187FD3" w:rsidRDefault="00F93753" w:rsidP="00F93753">
      <w:pPr>
        <w:ind w:firstLine="708"/>
        <w:rPr>
          <w:rFonts w:ascii="Times New Roman" w:hAnsi="Times New Roman" w:cs="Times New Roman"/>
          <w:lang w:val="es-ES"/>
        </w:rPr>
      </w:pPr>
      <w:r w:rsidRPr="00187FD3">
        <w:rPr>
          <w:rFonts w:ascii="Times New Roman" w:hAnsi="Times New Roman" w:cs="Times New Roman"/>
          <w:lang w:val="es-ES"/>
        </w:rPr>
        <w:t>En el plano orgánico o institucional, el nuevo movimiento constitucional se caracteriza por un marcado avance y resignificación de la labor del Poder Judicial, lo que resulta a todas luces novedoso.</w:t>
      </w:r>
    </w:p>
    <w:p w14:paraId="1ABC5FB2" w14:textId="77777777" w:rsidR="00F93753" w:rsidRPr="00187FD3" w:rsidRDefault="00F93753" w:rsidP="00F93753">
      <w:pPr>
        <w:ind w:firstLine="708"/>
        <w:rPr>
          <w:rFonts w:ascii="Times New Roman" w:hAnsi="Times New Roman" w:cs="Times New Roman"/>
          <w:lang w:val="es-ES"/>
        </w:rPr>
      </w:pPr>
      <w:r w:rsidRPr="00187FD3">
        <w:rPr>
          <w:rFonts w:ascii="Times New Roman" w:hAnsi="Times New Roman" w:cs="Times New Roman"/>
          <w:lang w:val="es-ES"/>
        </w:rPr>
        <w:t>Ello por cuanto la literatura constitucional clásica se detuvo durante años a analizar la dinámica de la relación entre el Poder Ejecutivo y el Poder Legislativo, dándole preeminencia a uno o al otro en una relación oscilante y que explica las diferencias entre los modelos “europeos” de corte parlamentario y los “americanos” de corte presidencial, dejando de lado al tercer poder que, vale la pena remarcarlo, ha tenido una evolución menos lineal y desde un plano secundario o no protagónico.</w:t>
      </w:r>
    </w:p>
    <w:p w14:paraId="47AFFC2A" w14:textId="77777777" w:rsidR="00F93753" w:rsidRPr="00187FD3" w:rsidRDefault="00F93753" w:rsidP="00F93753">
      <w:pPr>
        <w:ind w:firstLine="708"/>
        <w:rPr>
          <w:rFonts w:ascii="Times New Roman" w:hAnsi="Times New Roman" w:cs="Times New Roman"/>
        </w:rPr>
      </w:pPr>
      <w:r w:rsidRPr="00187FD3">
        <w:rPr>
          <w:rFonts w:ascii="Times New Roman" w:hAnsi="Times New Roman" w:cs="Times New Roman"/>
          <w:lang w:val="es-ES"/>
        </w:rPr>
        <w:lastRenderedPageBreak/>
        <w:t xml:space="preserve">En este punto, planteamos </w:t>
      </w:r>
      <w:r w:rsidRPr="00187FD3">
        <w:rPr>
          <w:rFonts w:ascii="Times New Roman" w:hAnsi="Times New Roman" w:cs="Times New Roman"/>
        </w:rPr>
        <w:t>que el incremento y perfeccionamiento de los derechos que hemos reseñado en el apartado anterior, no ha encontrado respuesta adecuada en las estructuras estatales vigentes hasta el Siglo XX, lo que ha llevado a la irrupción de los Tribunales como partícipes activos y necesarios en la tutela de los derechos.</w:t>
      </w:r>
    </w:p>
    <w:p w14:paraId="4569C28E" w14:textId="77777777"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 xml:space="preserve">Aquello que en los orígenes del constitucionalismo estaba reservado casi con exclusividad al Poder Legislativo mediante la sanción de normas generales destinadas a preservar esferas o ámbitos de libertad, o al Ejecutivo mediante la tutela efectiva de esos ámbitos frente a cualquier </w:t>
      </w:r>
      <w:proofErr w:type="gramStart"/>
      <w:r w:rsidRPr="00187FD3">
        <w:rPr>
          <w:rFonts w:ascii="Times New Roman" w:hAnsi="Times New Roman" w:cs="Times New Roman"/>
        </w:rPr>
        <w:t>intromisión,  a</w:t>
      </w:r>
      <w:proofErr w:type="gramEnd"/>
      <w:r w:rsidRPr="00187FD3">
        <w:rPr>
          <w:rFonts w:ascii="Times New Roman" w:hAnsi="Times New Roman" w:cs="Times New Roman"/>
        </w:rPr>
        <w:t xml:space="preserve"> partir de las modificaciones en el perfil de los derechos, fue trasladándose al Poder Judicial.</w:t>
      </w:r>
    </w:p>
    <w:p w14:paraId="05599FA0" w14:textId="77777777"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La mutación en el contenido y principalmente, en la cantidad de los derechos asumidos como obligaciones por los estados, determinó la insuficiencia del tradicional esquema de reparto de poderes para hacer frente a esa mayor demanda, todo lo cual converge en un momento de “ascenso” del Poder Judicial.</w:t>
      </w:r>
    </w:p>
    <w:p w14:paraId="5A4D6F07" w14:textId="7A705CEA"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 xml:space="preserve">Con el objeto de explicar esa evolución, se propone la existencia de dos grandes modelos judiciales que parten de esquemas mentales o ideológicos respecto del rol del Poder Judicial. </w:t>
      </w:r>
    </w:p>
    <w:p w14:paraId="67A93855" w14:textId="77777777"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Tomando como base una expresión de Carl Schmitt para quien “Toda idea política se enfrenta de algún modo con la naturaleza del hombre, partiendo de la hipótesis de que éste, por naturaleza, es bueno o malo”</w:t>
      </w:r>
      <w:r w:rsidRPr="00187FD3">
        <w:rPr>
          <w:rFonts w:ascii="Times New Roman" w:hAnsi="Times New Roman" w:cs="Times New Roman"/>
          <w:vertAlign w:val="superscript"/>
        </w:rPr>
        <w:t xml:space="preserve"> </w:t>
      </w:r>
      <w:r w:rsidRPr="00187FD3">
        <w:rPr>
          <w:rFonts w:ascii="Times New Roman" w:hAnsi="Times New Roman" w:cs="Times New Roman"/>
          <w:vertAlign w:val="superscript"/>
        </w:rPr>
        <w:footnoteReference w:id="26"/>
      </w:r>
      <w:r w:rsidRPr="00187FD3">
        <w:rPr>
          <w:rFonts w:ascii="Times New Roman" w:hAnsi="Times New Roman" w:cs="Times New Roman"/>
        </w:rPr>
        <w:t xml:space="preserve"> se pueden clasificar los sistemas políticos según partan de considerar al hombre como bueno o malo por naturaleza: partiendo de una visión optimista del hombre, nos encontramos con sistemas marcados por un amplísimo ámbito de libertad y de escasa regulación o intervención del estado. Por el contrario, en caso de pregonar una visión pesimista en torno al ser humano y su condición, debemos articular un sistema de mayor injerencia del estado en desmedro de las libertades personales.</w:t>
      </w:r>
    </w:p>
    <w:p w14:paraId="61E2F815" w14:textId="77777777"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Este esquema, proponemos trasladarlo al ámbito judicial a fin de delinear distintos modelos según pregonemos una mayor o menor confianza en torno a la magistratura.</w:t>
      </w:r>
    </w:p>
    <w:p w14:paraId="5B542A59" w14:textId="77777777"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 xml:space="preserve">La actitud de desconfianza en la labor de los jueces, que denominamos pesimismo judicial, se traduce en limitaciones a las funciones de los magistrados, en especial en lo </w:t>
      </w:r>
      <w:r w:rsidRPr="00187FD3">
        <w:rPr>
          <w:rFonts w:ascii="Times New Roman" w:hAnsi="Times New Roman" w:cs="Times New Roman"/>
        </w:rPr>
        <w:lastRenderedPageBreak/>
        <w:t xml:space="preserve">atinente al control de constitucionalidad y a la facultad de interpretación de las normas, lo que repercute de manera directa al tener que resolver sobre los alcances de un derecho en un caso puntual. </w:t>
      </w:r>
    </w:p>
    <w:p w14:paraId="46E987AD" w14:textId="77777777"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La postura contraria, parte de una visión optimista sobre la función judicial, pregonando la confianza en el rol de los jueces, con el consecuente aumento en la atribución de funciones y libertades para el desempeño de esa tarea.</w:t>
      </w:r>
    </w:p>
    <w:p w14:paraId="0806CE8B" w14:textId="2A13B0DF"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 xml:space="preserve">Es el juez </w:t>
      </w:r>
      <w:r w:rsidR="00C550E0" w:rsidRPr="00187FD3">
        <w:rPr>
          <w:rFonts w:ascii="Times New Roman" w:hAnsi="Times New Roman" w:cs="Times New Roman"/>
        </w:rPr>
        <w:t>HOLMES</w:t>
      </w:r>
      <w:r w:rsidRPr="00187FD3">
        <w:rPr>
          <w:rFonts w:ascii="Times New Roman" w:hAnsi="Times New Roman" w:cs="Times New Roman"/>
        </w:rPr>
        <w:t xml:space="preserve"> quien mejor resume esta postura cuando define al Derecho como “Las profecías de lo que harán efectivamente los jueces y los Tribunales.”</w:t>
      </w:r>
      <w:r w:rsidRPr="00187FD3">
        <w:rPr>
          <w:rStyle w:val="Refdenotaalpie"/>
          <w:rFonts w:ascii="Times New Roman" w:hAnsi="Times New Roman" w:cs="Times New Roman"/>
        </w:rPr>
        <w:t xml:space="preserve"> </w:t>
      </w:r>
      <w:r w:rsidRPr="00187FD3">
        <w:rPr>
          <w:rStyle w:val="Refdenotaalpie"/>
          <w:rFonts w:ascii="Times New Roman" w:hAnsi="Times New Roman" w:cs="Times New Roman"/>
        </w:rPr>
        <w:footnoteReference w:id="27"/>
      </w:r>
    </w:p>
    <w:p w14:paraId="76C0C0A7" w14:textId="1006393D"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 xml:space="preserve">Lo cierto es que el desarrollo judicial ha seguido una lógica oscilante o pendular, entre una y otra postura desde los orígenes del constitucionalismo, donde imperaba la desconfianza en la labor judicial en los modelos constitucionales europeos, siguiendo la doctrina de Locke o Montesquieu, mientras </w:t>
      </w:r>
      <w:proofErr w:type="gramStart"/>
      <w:r w:rsidRPr="00187FD3">
        <w:rPr>
          <w:rFonts w:ascii="Times New Roman" w:hAnsi="Times New Roman" w:cs="Times New Roman"/>
        </w:rPr>
        <w:t>que</w:t>
      </w:r>
      <w:proofErr w:type="gramEnd"/>
      <w:r w:rsidRPr="00187FD3">
        <w:rPr>
          <w:rFonts w:ascii="Times New Roman" w:hAnsi="Times New Roman" w:cs="Times New Roman"/>
        </w:rPr>
        <w:t xml:space="preserve"> en el otro gran núcleo constitucional del siglo XIX, la suerte de los jueces era distinta.</w:t>
      </w:r>
    </w:p>
    <w:p w14:paraId="5BABAB85" w14:textId="59CE8CA2" w:rsidR="00F93753" w:rsidRPr="00187FD3" w:rsidRDefault="00F93753" w:rsidP="00F93753">
      <w:pPr>
        <w:ind w:firstLine="708"/>
        <w:rPr>
          <w:rFonts w:ascii="Times New Roman" w:hAnsi="Times New Roman" w:cs="Times New Roman"/>
        </w:rPr>
      </w:pPr>
      <w:r w:rsidRPr="00187FD3">
        <w:rPr>
          <w:rFonts w:ascii="Times New Roman" w:hAnsi="Times New Roman" w:cs="Times New Roman"/>
        </w:rPr>
        <w:t xml:space="preserve">Esta evolución oscilante puede advertirse a uno y otro lado del atlántico, pero la tendencia cambia con claridad en el siglo XX, pudiendo reconocer en la segunda mitad una clara tendencia al optimismo. </w:t>
      </w:r>
    </w:p>
    <w:p w14:paraId="53A81F70" w14:textId="2A07D485" w:rsidR="00C550E0" w:rsidRPr="00187FD3" w:rsidRDefault="00C550E0" w:rsidP="00C550E0">
      <w:pPr>
        <w:ind w:firstLine="708"/>
        <w:rPr>
          <w:rFonts w:ascii="Times New Roman" w:hAnsi="Times New Roman" w:cs="Times New Roman"/>
        </w:rPr>
      </w:pPr>
      <w:r w:rsidRPr="00187FD3">
        <w:rPr>
          <w:rFonts w:ascii="Times New Roman" w:hAnsi="Times New Roman" w:cs="Times New Roman"/>
        </w:rPr>
        <w:t>Enseña BACHOF, comentando la Ley Fundamental de Bonn, cuáles son los argumentos que motivaron el paso de un esquema basado en la confianza en el legislador y la desconfianza en el juez, a un esquema inverso, señaland</w:t>
      </w:r>
      <w:r w:rsidR="00CA33CE" w:rsidRPr="00187FD3">
        <w:rPr>
          <w:rFonts w:ascii="Times New Roman" w:hAnsi="Times New Roman" w:cs="Times New Roman"/>
        </w:rPr>
        <w:t>o que “En caso de duda, es el juez el que tiene de hecho la última palabra. ¿Por qué se ha creído conveniente someter los otros órganos estatales y particularmente los órganos legislativos a este control del juez? La respuesta no es difícil: La relación del hombre con la ley ha cambiado totalmente. Esto se ha marcado actualmente a través de un sentimiento muy generalizado de profundo malestar y, aún, radical desconfianza; de una desconfianza que, salvo para una minoría, no se basa verdaderamente en un conocimiento racional de las causas, sino en la impresión dominante, imprecisa, pero no por ello falsa de que la ley, en otro tiempo escudo de la libertad y del Derecho, se ha convertido en una amenaza para estos bienes</w:t>
      </w:r>
      <w:proofErr w:type="gramStart"/>
      <w:r w:rsidR="00CA33CE" w:rsidRPr="00187FD3">
        <w:rPr>
          <w:rFonts w:ascii="Times New Roman" w:hAnsi="Times New Roman" w:cs="Times New Roman"/>
        </w:rPr>
        <w:t>…</w:t>
      </w:r>
      <w:r w:rsidRPr="00187FD3">
        <w:rPr>
          <w:rFonts w:ascii="Times New Roman" w:hAnsi="Times New Roman" w:cs="Times New Roman"/>
        </w:rPr>
        <w:t>¿</w:t>
      </w:r>
      <w:proofErr w:type="gramEnd"/>
      <w:r w:rsidRPr="00187FD3">
        <w:rPr>
          <w:rFonts w:ascii="Times New Roman" w:hAnsi="Times New Roman" w:cs="Times New Roman"/>
        </w:rPr>
        <w:t>Cómo se ha llegado a esto? Porque esta desconfianza frente a la ley no ha existido siempre</w:t>
      </w:r>
      <w:r w:rsidR="00CA33CE" w:rsidRPr="00187FD3">
        <w:rPr>
          <w:rFonts w:ascii="Times New Roman" w:hAnsi="Times New Roman" w:cs="Times New Roman"/>
        </w:rPr>
        <w:t>…</w:t>
      </w:r>
      <w:r w:rsidRPr="00187FD3">
        <w:rPr>
          <w:rFonts w:ascii="Times New Roman" w:hAnsi="Times New Roman" w:cs="Times New Roman"/>
        </w:rPr>
        <w:t xml:space="preserve"> La ley ha sufrido ya, en el transcurso del siglo XIX, un amplio cambio </w:t>
      </w:r>
      <w:r w:rsidRPr="00187FD3">
        <w:rPr>
          <w:rFonts w:ascii="Times New Roman" w:hAnsi="Times New Roman" w:cs="Times New Roman"/>
        </w:rPr>
        <w:lastRenderedPageBreak/>
        <w:t xml:space="preserve">de funciones, pero especialmente desde el tempestuoso desarrollo de las dos guerras mundiales. La ley, en su sentido clásico, la regla general y abstracta de comportamiento humano para cierto tiempo, no se encuentra ya en el primer plano de la realidad legislativa. En el moderno </w:t>
      </w:r>
      <w:r w:rsidRPr="00187FD3">
        <w:rPr>
          <w:rFonts w:ascii="Times New Roman" w:hAnsi="Times New Roman" w:cs="Times New Roman"/>
          <w:i/>
          <w:iCs/>
        </w:rPr>
        <w:t xml:space="preserve">Estado social, Estado de prestaciones, Estado distribuidor </w:t>
      </w:r>
      <w:r w:rsidRPr="00187FD3">
        <w:rPr>
          <w:rFonts w:ascii="Times New Roman" w:hAnsi="Times New Roman" w:cs="Times New Roman"/>
        </w:rPr>
        <w:t>-o como se lo quiera llama</w:t>
      </w:r>
      <w:r w:rsidR="00CA33CE" w:rsidRPr="00187FD3">
        <w:rPr>
          <w:rFonts w:ascii="Times New Roman" w:hAnsi="Times New Roman" w:cs="Times New Roman"/>
        </w:rPr>
        <w:t>r</w:t>
      </w:r>
      <w:r w:rsidRPr="00187FD3">
        <w:rPr>
          <w:rFonts w:ascii="Times New Roman" w:hAnsi="Times New Roman" w:cs="Times New Roman"/>
        </w:rPr>
        <w:t>-, la ley ha pasado a primer plano como acto de conformación política orientado a un fin, como una medida determinada para superar una situación totalmente concreta y, por ello, planeada a corto plazo y negociada a menudo en el conflicto de grupos contrapuestos de intereses…”</w:t>
      </w:r>
      <w:r w:rsidR="00CA33CE" w:rsidRPr="00187FD3">
        <w:rPr>
          <w:rFonts w:ascii="Times New Roman" w:hAnsi="Times New Roman" w:cs="Times New Roman"/>
        </w:rPr>
        <w:t>.</w:t>
      </w:r>
      <w:r w:rsidRPr="00187FD3">
        <w:rPr>
          <w:rStyle w:val="Refdenotaalpie"/>
          <w:rFonts w:ascii="Times New Roman" w:hAnsi="Times New Roman" w:cs="Times New Roman"/>
        </w:rPr>
        <w:footnoteReference w:id="28"/>
      </w:r>
    </w:p>
    <w:p w14:paraId="4C1323D9" w14:textId="48FC4F17" w:rsidR="00C550E0" w:rsidRPr="00187FD3" w:rsidRDefault="00C550E0" w:rsidP="00C550E0">
      <w:pPr>
        <w:ind w:firstLine="708"/>
        <w:rPr>
          <w:rFonts w:ascii="Times New Roman" w:hAnsi="Times New Roman" w:cs="Times New Roman"/>
        </w:rPr>
      </w:pPr>
      <w:r w:rsidRPr="00187FD3">
        <w:rPr>
          <w:rFonts w:ascii="Times New Roman" w:hAnsi="Times New Roman" w:cs="Times New Roman"/>
        </w:rPr>
        <w:t>Estos fenómenos descriptos como inevitables por el autor, a los que agrega la irrupción de los partidos con sus mandatos vinculantes y la carga de trabajo excesiva que enfrenta el legislativo en un modelo de estado de bienestar, llevan a la necesidad de un contrapeso que “al menos se preocupe de que… los valores superiores del Derecho y del orden, que la Constitución ha establecido como fundamentales, permanezcan protegidos”</w:t>
      </w:r>
      <w:r w:rsidRPr="00187FD3">
        <w:rPr>
          <w:rStyle w:val="Refdenotaalpie"/>
          <w:rFonts w:ascii="Times New Roman" w:hAnsi="Times New Roman" w:cs="Times New Roman"/>
        </w:rPr>
        <w:footnoteReference w:id="29"/>
      </w:r>
      <w:r w:rsidRPr="00187FD3">
        <w:rPr>
          <w:rFonts w:ascii="Times New Roman" w:hAnsi="Times New Roman" w:cs="Times New Roman"/>
        </w:rPr>
        <w:t>. Esa fuerza o poder que irrumpe ante la desconfianza en el Legislativo, en palabras del autor, “sólo puede ser el juez”</w:t>
      </w:r>
      <w:r w:rsidRPr="00187FD3">
        <w:rPr>
          <w:rStyle w:val="Refdenotaalpie"/>
          <w:rFonts w:ascii="Times New Roman" w:hAnsi="Times New Roman" w:cs="Times New Roman"/>
        </w:rPr>
        <w:footnoteReference w:id="30"/>
      </w:r>
      <w:r w:rsidRPr="00187FD3">
        <w:rPr>
          <w:rFonts w:ascii="Times New Roman" w:hAnsi="Times New Roman" w:cs="Times New Roman"/>
        </w:rPr>
        <w:t>, que goza en este esquema de suficiente confianza y sobre el que ahora reposan “grandes esperanzas”</w:t>
      </w:r>
      <w:r w:rsidRPr="00187FD3">
        <w:rPr>
          <w:rStyle w:val="Refdenotaalpie"/>
          <w:rFonts w:ascii="Times New Roman" w:hAnsi="Times New Roman" w:cs="Times New Roman"/>
        </w:rPr>
        <w:footnoteReference w:id="31"/>
      </w:r>
      <w:r w:rsidRPr="00187FD3">
        <w:rPr>
          <w:rFonts w:ascii="Times New Roman" w:hAnsi="Times New Roman" w:cs="Times New Roman"/>
        </w:rPr>
        <w:t xml:space="preserve"> en tanto “fuerza llamada a la salvaguardia de la Constitución, de su sistema de valores y de su orden político.”</w:t>
      </w:r>
      <w:r w:rsidRPr="00187FD3">
        <w:rPr>
          <w:rStyle w:val="Refdenotaalpie"/>
          <w:rFonts w:ascii="Times New Roman" w:hAnsi="Times New Roman" w:cs="Times New Roman"/>
        </w:rPr>
        <w:footnoteReference w:id="32"/>
      </w:r>
    </w:p>
    <w:p w14:paraId="47DED3F9" w14:textId="09A93B39" w:rsidR="00774E02" w:rsidRPr="00187FD3" w:rsidRDefault="00F93753" w:rsidP="00F93753">
      <w:pPr>
        <w:ind w:firstLine="708"/>
        <w:rPr>
          <w:rFonts w:ascii="Times New Roman" w:hAnsi="Times New Roman" w:cs="Times New Roman"/>
        </w:rPr>
      </w:pPr>
      <w:r w:rsidRPr="00187FD3">
        <w:rPr>
          <w:rFonts w:ascii="Times New Roman" w:hAnsi="Times New Roman" w:cs="Times New Roman"/>
        </w:rPr>
        <w:t>Hemos dedicado, en el marco del Tercer Congreso Internacional de la Red Iberoamericana de Estudios Jurídicos 1812</w:t>
      </w:r>
      <w:r w:rsidR="00C34C75" w:rsidRPr="00187FD3">
        <w:rPr>
          <w:rFonts w:ascii="Times New Roman" w:hAnsi="Times New Roman" w:cs="Times New Roman"/>
        </w:rPr>
        <w:t>,</w:t>
      </w:r>
      <w:r w:rsidRPr="00187FD3">
        <w:rPr>
          <w:rFonts w:ascii="Times New Roman" w:hAnsi="Times New Roman" w:cs="Times New Roman"/>
        </w:rPr>
        <w:t xml:space="preserve"> un trabajo al análisis de estas  posturas</w:t>
      </w:r>
      <w:r w:rsidR="00774E02" w:rsidRPr="00187FD3">
        <w:rPr>
          <w:rStyle w:val="Refdenotaalpie"/>
          <w:rFonts w:ascii="Times New Roman" w:hAnsi="Times New Roman" w:cs="Times New Roman"/>
        </w:rPr>
        <w:footnoteReference w:id="33"/>
      </w:r>
      <w:r w:rsidR="00774E02" w:rsidRPr="00187FD3">
        <w:rPr>
          <w:rFonts w:ascii="Times New Roman" w:hAnsi="Times New Roman" w:cs="Times New Roman"/>
        </w:rPr>
        <w:t>, por lo que remitimos al lector al mencionado trabajo para un desarrollo in extenso del tema.</w:t>
      </w:r>
    </w:p>
    <w:p w14:paraId="1E8C0FBF" w14:textId="77777777" w:rsidR="001E5F60" w:rsidRPr="00187FD3" w:rsidRDefault="001E5F60" w:rsidP="00774E02">
      <w:pPr>
        <w:rPr>
          <w:rFonts w:ascii="Times New Roman" w:hAnsi="Times New Roman" w:cs="Times New Roman"/>
          <w:b/>
          <w:bCs/>
        </w:rPr>
      </w:pPr>
    </w:p>
    <w:p w14:paraId="6F64DD46" w14:textId="6C3A95A7" w:rsidR="00ED7017" w:rsidRPr="00187FD3" w:rsidRDefault="00774E02" w:rsidP="00774E02">
      <w:pPr>
        <w:rPr>
          <w:rFonts w:ascii="Times New Roman" w:hAnsi="Times New Roman" w:cs="Times New Roman"/>
          <w:b/>
          <w:bCs/>
        </w:rPr>
      </w:pPr>
      <w:r w:rsidRPr="00187FD3">
        <w:rPr>
          <w:rFonts w:ascii="Times New Roman" w:hAnsi="Times New Roman" w:cs="Times New Roman"/>
          <w:b/>
          <w:bCs/>
        </w:rPr>
        <w:t>V</w:t>
      </w:r>
      <w:r w:rsidR="00ED7017" w:rsidRPr="00187FD3">
        <w:rPr>
          <w:rFonts w:ascii="Times New Roman" w:hAnsi="Times New Roman" w:cs="Times New Roman"/>
          <w:b/>
          <w:bCs/>
        </w:rPr>
        <w:t xml:space="preserve">. Internacionalización de la protección jurídica de los derechos. </w:t>
      </w:r>
    </w:p>
    <w:p w14:paraId="0B89A6F1" w14:textId="77777777" w:rsidR="00ED7017" w:rsidRPr="00187FD3" w:rsidRDefault="00ED7017" w:rsidP="00230E49">
      <w:pPr>
        <w:ind w:firstLine="708"/>
        <w:rPr>
          <w:rFonts w:ascii="Times New Roman" w:hAnsi="Times New Roman" w:cs="Times New Roman"/>
          <w:lang w:val="es-ES"/>
        </w:rPr>
      </w:pPr>
      <w:r w:rsidRPr="00187FD3">
        <w:rPr>
          <w:rFonts w:ascii="Times New Roman" w:hAnsi="Times New Roman" w:cs="Times New Roman"/>
          <w:lang w:val="es-ES"/>
        </w:rPr>
        <w:t>Hemos desarrollado hasta aquí, dos elementos que tradicionalmente definen al movimiento constitucional en su formulación contemporánea.</w:t>
      </w:r>
    </w:p>
    <w:p w14:paraId="3AD61D3B" w14:textId="77777777" w:rsidR="00ED7017" w:rsidRPr="00187FD3" w:rsidRDefault="00ED7017" w:rsidP="00230E49">
      <w:pPr>
        <w:ind w:firstLine="708"/>
        <w:rPr>
          <w:rFonts w:ascii="Times New Roman" w:hAnsi="Times New Roman" w:cs="Times New Roman"/>
          <w:lang w:val="es-ES"/>
        </w:rPr>
      </w:pPr>
      <w:r w:rsidRPr="00187FD3">
        <w:rPr>
          <w:rFonts w:ascii="Times New Roman" w:hAnsi="Times New Roman" w:cs="Times New Roman"/>
          <w:lang w:val="es-ES"/>
        </w:rPr>
        <w:lastRenderedPageBreak/>
        <w:t>En este sentido, se ha hecho mención a la evolución en materia de derechos, que podemos definir como espiralada o acumulativa, de modo que las constituciones de la segunda mitad del Siglo XX lejos de optar por un tipo u otro de derechos, se inclinan por su acumulación, generando un importante cúmulo de obligaciones a los estados.</w:t>
      </w:r>
    </w:p>
    <w:p w14:paraId="432C2452" w14:textId="77777777" w:rsidR="00ED7017" w:rsidRPr="00187FD3" w:rsidRDefault="00ED7017" w:rsidP="00722F0F">
      <w:pPr>
        <w:ind w:firstLine="708"/>
        <w:rPr>
          <w:rFonts w:ascii="Times New Roman" w:hAnsi="Times New Roman" w:cs="Times New Roman"/>
          <w:lang w:val="es-ES"/>
        </w:rPr>
      </w:pPr>
      <w:r w:rsidRPr="00187FD3">
        <w:rPr>
          <w:rFonts w:ascii="Times New Roman" w:hAnsi="Times New Roman" w:cs="Times New Roman"/>
          <w:lang w:val="es-ES"/>
        </w:rPr>
        <w:t>Este fenómeno ha generado una reacción en el ámbito institucional, encabezada por el Poder Judicial, cuya evolución, por el contrario, resulta oscilante o pendular.</w:t>
      </w:r>
    </w:p>
    <w:p w14:paraId="0F7A26FF" w14:textId="77777777" w:rsidR="00ED7017" w:rsidRPr="00187FD3" w:rsidRDefault="00ED7017" w:rsidP="00722F0F">
      <w:pPr>
        <w:ind w:firstLine="708"/>
        <w:rPr>
          <w:rFonts w:ascii="Times New Roman" w:hAnsi="Times New Roman" w:cs="Times New Roman"/>
          <w:lang w:val="es-ES"/>
        </w:rPr>
      </w:pPr>
      <w:r w:rsidRPr="00187FD3">
        <w:rPr>
          <w:rFonts w:ascii="Times New Roman" w:hAnsi="Times New Roman" w:cs="Times New Roman"/>
          <w:lang w:val="es-ES"/>
        </w:rPr>
        <w:t>Llegados a este punto nos interesa remarcar que ambas figuras del péndulo y el espiral, se ven atravesadas luego de la segunda post-guerra por otro fenómeno que influye decididamente sobre ambas. Me refiero a la internacionalización de la tutela de los Derechos Humanos, que tiene como hito de mayor relevancia la creación de la ONU y la sanción de la Declaración Universal de los Derechos Humanos el 10 de diciembre de 1948, fruto de la labor encabezada por el intelectual francés Rene Cassin.</w:t>
      </w:r>
      <w:r w:rsidRPr="00187FD3">
        <w:rPr>
          <w:rStyle w:val="Refdenotaalpie"/>
          <w:rFonts w:ascii="Times New Roman" w:hAnsi="Times New Roman" w:cs="Times New Roman"/>
          <w:lang w:val="es-ES"/>
        </w:rPr>
        <w:footnoteReference w:id="34"/>
      </w:r>
    </w:p>
    <w:p w14:paraId="5C36C9DE" w14:textId="77777777" w:rsidR="00ED7017" w:rsidRPr="00187FD3" w:rsidRDefault="00ED7017" w:rsidP="00722F0F">
      <w:pPr>
        <w:ind w:firstLine="708"/>
        <w:rPr>
          <w:rFonts w:ascii="Times New Roman" w:hAnsi="Times New Roman" w:cs="Times New Roman"/>
          <w:lang w:val="es-ES"/>
        </w:rPr>
      </w:pPr>
      <w:r w:rsidRPr="00187FD3">
        <w:rPr>
          <w:rFonts w:ascii="Times New Roman" w:hAnsi="Times New Roman" w:cs="Times New Roman"/>
          <w:lang w:val="es-ES"/>
        </w:rPr>
        <w:t>Surge de este modo un período caracterizado por el nacimiento del Derecho Internacional de los Derechos Humanos, que como señala Manili “no fue mágica ni instantánea”</w:t>
      </w:r>
      <w:r w:rsidRPr="00187FD3">
        <w:rPr>
          <w:rStyle w:val="Refdenotaalpie"/>
          <w:rFonts w:ascii="Times New Roman" w:hAnsi="Times New Roman" w:cs="Times New Roman"/>
          <w:lang w:val="es-ES"/>
        </w:rPr>
        <w:footnoteReference w:id="35"/>
      </w:r>
      <w:r w:rsidRPr="00187FD3">
        <w:rPr>
          <w:rFonts w:ascii="Times New Roman" w:hAnsi="Times New Roman" w:cs="Times New Roman"/>
          <w:lang w:val="es-ES"/>
        </w:rPr>
        <w:t xml:space="preserve"> sino que es fruto de un proceso que inicia a principios del Siglo XX con los primeros tratados o normas del Derecho Internacional Público directamente aplicables a los individuos y que “se pone en el tapete en 1945, puesto que allí comenzó la preocupación de la comunidad internacional de crear un sistema que sirviera de barrera -en todo tiempo y lugar- a los gobiernos despóticos que avasallan las normas de derecho interno en un marco de impunidad que ellos mismos generan.”</w:t>
      </w:r>
      <w:r w:rsidRPr="00187FD3">
        <w:rPr>
          <w:rStyle w:val="Refdenotaalpie"/>
          <w:rFonts w:ascii="Times New Roman" w:hAnsi="Times New Roman" w:cs="Times New Roman"/>
          <w:lang w:val="es-ES"/>
        </w:rPr>
        <w:footnoteReference w:id="36"/>
      </w:r>
    </w:p>
    <w:p w14:paraId="3CEB438F" w14:textId="77777777" w:rsidR="00ED7017" w:rsidRPr="00187FD3" w:rsidRDefault="00ED7017" w:rsidP="00722F0F">
      <w:pPr>
        <w:ind w:firstLine="708"/>
        <w:rPr>
          <w:rFonts w:ascii="Times New Roman" w:hAnsi="Times New Roman" w:cs="Times New Roman"/>
          <w:bCs/>
        </w:rPr>
      </w:pPr>
      <w:r w:rsidRPr="00187FD3">
        <w:rPr>
          <w:rFonts w:ascii="Times New Roman" w:hAnsi="Times New Roman" w:cs="Times New Roman"/>
          <w:bCs/>
        </w:rPr>
        <w:t>A las Declaraciones como manifestación unilateral de Organismos Internacionales, le seguirán años después los Pactos -en especial el de Derechos Civiles y Políticos y el de Derechos Económicos, Sociales y Culturales en la década del 60- ya con la asunción de obligaciones y responsabilidades por parte de los Estados firmantes</w:t>
      </w:r>
      <w:r w:rsidRPr="00187FD3">
        <w:rPr>
          <w:rStyle w:val="Refdenotaalpie"/>
          <w:rFonts w:ascii="Times New Roman" w:hAnsi="Times New Roman" w:cs="Times New Roman"/>
          <w:bCs/>
        </w:rPr>
        <w:footnoteReference w:id="37"/>
      </w:r>
      <w:r w:rsidRPr="00187FD3">
        <w:rPr>
          <w:rFonts w:ascii="Times New Roman" w:hAnsi="Times New Roman" w:cs="Times New Roman"/>
          <w:bCs/>
        </w:rPr>
        <w:t xml:space="preserve">, </w:t>
      </w:r>
      <w:r w:rsidRPr="00187FD3">
        <w:rPr>
          <w:rFonts w:ascii="Times New Roman" w:hAnsi="Times New Roman" w:cs="Times New Roman"/>
          <w:bCs/>
        </w:rPr>
        <w:lastRenderedPageBreak/>
        <w:t>concluyendo el ciclo con la creación de Tribunales Internacionales con facultades para velar por el cumplimiento de las obligaciones asumidas y sancionar/reparar las violaciones constatadas.</w:t>
      </w:r>
    </w:p>
    <w:p w14:paraId="288B8CBB" w14:textId="77777777" w:rsidR="00ED7017" w:rsidRPr="00187FD3" w:rsidRDefault="00ED7017" w:rsidP="00722F0F">
      <w:pPr>
        <w:ind w:firstLine="708"/>
        <w:rPr>
          <w:rFonts w:ascii="Times New Roman" w:hAnsi="Times New Roman" w:cs="Times New Roman"/>
          <w:bCs/>
        </w:rPr>
      </w:pPr>
      <w:r w:rsidRPr="00187FD3">
        <w:rPr>
          <w:rFonts w:ascii="Times New Roman" w:hAnsi="Times New Roman" w:cs="Times New Roman"/>
          <w:bCs/>
        </w:rPr>
        <w:t>Este proceso tiene un eje central de corte occidental con el sistema de la ONU, con correlatos “continentales” en Europa, América y más recientemente, África.</w:t>
      </w:r>
    </w:p>
    <w:p w14:paraId="2D6FB32B" w14:textId="77777777" w:rsidR="00D61002" w:rsidRPr="00187FD3" w:rsidRDefault="00D61002" w:rsidP="00D61002">
      <w:pPr>
        <w:ind w:firstLine="708"/>
        <w:rPr>
          <w:rFonts w:ascii="Times New Roman" w:hAnsi="Times New Roman" w:cs="Times New Roman"/>
          <w:bCs/>
        </w:rPr>
      </w:pPr>
      <w:r w:rsidRPr="00187FD3">
        <w:rPr>
          <w:rFonts w:ascii="Times New Roman" w:hAnsi="Times New Roman" w:cs="Times New Roman"/>
          <w:bCs/>
        </w:rPr>
        <w:t>El proceso americano que comienza en 1948 con la Declaración Americana de los Derechos y Deberes del Hombre, adoptada en abril de ese año en la IX Conferencia Interamericana  celebrada en Bogotá, reconoce hitos fundantes en la creación de la Comisión Interamericana de Derechos Humanos en la V Reunión de Consulta de Ministros de Relaciones Exteriores celebrada en Chile , su entrada en funciones en el año 1960, la ampliación de las mismas en el año 1965 en el marco de la II Conferencia Interamericana Extraordinaria celebrada en Río de Janeiro y finalmente con su elevación a la categoría de órgano principal de la Organización de Estados Americanos en el año 1967 en el marco de la III Conferencia Interamericana Extraordinaria celebrada en la ciudad de Buenos Aires.</w:t>
      </w:r>
      <w:r w:rsidRPr="00187FD3">
        <w:rPr>
          <w:rStyle w:val="Refdenotaalpie"/>
          <w:rFonts w:ascii="Times New Roman" w:hAnsi="Times New Roman" w:cs="Times New Roman"/>
          <w:bCs/>
        </w:rPr>
        <w:footnoteReference w:id="38"/>
      </w:r>
    </w:p>
    <w:p w14:paraId="313943C7" w14:textId="77777777" w:rsidR="00D61002" w:rsidRPr="00187FD3" w:rsidRDefault="00D61002" w:rsidP="00D61002">
      <w:pPr>
        <w:ind w:firstLine="708"/>
        <w:rPr>
          <w:rFonts w:ascii="Times New Roman" w:hAnsi="Times New Roman" w:cs="Times New Roman"/>
          <w:bCs/>
        </w:rPr>
      </w:pPr>
      <w:r w:rsidRPr="00187FD3">
        <w:rPr>
          <w:rFonts w:ascii="Times New Roman" w:hAnsi="Times New Roman" w:cs="Times New Roman"/>
          <w:bCs/>
        </w:rPr>
        <w:t>Pero no será hasta el año 1978 con la entrada en vigencia de la Convención Americana de Derechos Humanos o Pacto de San José de Costa Rica del año 1969, que se termine de definir la estructura orgánica del sistema interamericano, que quedará definitivamente integrada por la Comisión Interamericana de Derechos Humanos -ya existente y ahora incorporada al Pacto de San José- y la Corte Interamericana de Derechos Humanos que, en palabras del Pacto, puede decidir cuando “hubo violación de un derecho o libertad protegidos en esta Convención” en cuyo caso “dispondrá que se garantice al lesionado en el goce de su derecho o libertad conculcados. Dispondrá asimismo si ello fuera procedente que se reparen las consecuencias de ir a medida o situación que ha configurado la vulneración de esos derechos y el pago de una justa indemnización a la parte lesionada.” (art. 63) Ello junto con la posibilidad de adoptar medidas provisionales.</w:t>
      </w:r>
    </w:p>
    <w:p w14:paraId="7CE9E3E2" w14:textId="77777777" w:rsidR="00D61002" w:rsidRPr="00187FD3" w:rsidRDefault="00D61002" w:rsidP="00D61002">
      <w:pPr>
        <w:ind w:firstLine="708"/>
        <w:rPr>
          <w:rFonts w:ascii="Times New Roman" w:hAnsi="Times New Roman" w:cs="Times New Roman"/>
          <w:bCs/>
        </w:rPr>
      </w:pPr>
      <w:r w:rsidRPr="00187FD3">
        <w:rPr>
          <w:rFonts w:ascii="Times New Roman" w:hAnsi="Times New Roman" w:cs="Times New Roman"/>
          <w:bCs/>
        </w:rPr>
        <w:t xml:space="preserve">Surge de esta breve reseña que el proceso de internacionalización </w:t>
      </w:r>
      <w:proofErr w:type="gramStart"/>
      <w:r w:rsidRPr="00187FD3">
        <w:rPr>
          <w:rFonts w:ascii="Times New Roman" w:hAnsi="Times New Roman" w:cs="Times New Roman"/>
          <w:bCs/>
        </w:rPr>
        <w:t>Americano</w:t>
      </w:r>
      <w:proofErr w:type="gramEnd"/>
      <w:r w:rsidRPr="00187FD3">
        <w:rPr>
          <w:rFonts w:ascii="Times New Roman" w:hAnsi="Times New Roman" w:cs="Times New Roman"/>
          <w:bCs/>
        </w:rPr>
        <w:t xml:space="preserve"> culmina, en lo que a la tutela de derechos se refiere, con la consagración de la Corte Interamericana como último guardián del sistema, con facultades para sancionar los casos de violación a los derechos.</w:t>
      </w:r>
    </w:p>
    <w:p w14:paraId="5A1BABD3" w14:textId="77777777" w:rsidR="00ED7017" w:rsidRPr="00187FD3" w:rsidRDefault="00ED7017" w:rsidP="00722F0F">
      <w:pPr>
        <w:ind w:firstLine="708"/>
        <w:rPr>
          <w:rFonts w:ascii="Times New Roman" w:hAnsi="Times New Roman" w:cs="Times New Roman"/>
          <w:bCs/>
        </w:rPr>
      </w:pPr>
      <w:r w:rsidRPr="00187FD3">
        <w:rPr>
          <w:rFonts w:ascii="Times New Roman" w:hAnsi="Times New Roman" w:cs="Times New Roman"/>
          <w:bCs/>
        </w:rPr>
        <w:lastRenderedPageBreak/>
        <w:t>Lo expuesto plantea diversos desafíos, vinculados principalmente con la coexistencia y coordinación entre las instancias nacionales y las internacionales</w:t>
      </w:r>
      <w:r w:rsidRPr="00187FD3">
        <w:rPr>
          <w:rStyle w:val="Refdenotaalpie"/>
          <w:rFonts w:ascii="Times New Roman" w:hAnsi="Times New Roman" w:cs="Times New Roman"/>
          <w:bCs/>
        </w:rPr>
        <w:footnoteReference w:id="39"/>
      </w:r>
      <w:r w:rsidRPr="00187FD3">
        <w:rPr>
          <w:rFonts w:ascii="Times New Roman" w:hAnsi="Times New Roman" w:cs="Times New Roman"/>
          <w:bCs/>
        </w:rPr>
        <w:t xml:space="preserve">. Y esos desafíos varían, según se haga foco en la realidad </w:t>
      </w:r>
      <w:proofErr w:type="gramStart"/>
      <w:r w:rsidRPr="00187FD3">
        <w:rPr>
          <w:rFonts w:ascii="Times New Roman" w:hAnsi="Times New Roman" w:cs="Times New Roman"/>
          <w:bCs/>
        </w:rPr>
        <w:t>Americana</w:t>
      </w:r>
      <w:proofErr w:type="gramEnd"/>
      <w:r w:rsidRPr="00187FD3">
        <w:rPr>
          <w:rFonts w:ascii="Times New Roman" w:hAnsi="Times New Roman" w:cs="Times New Roman"/>
          <w:bCs/>
        </w:rPr>
        <w:t xml:space="preserve"> o la Europea, considerando las diversas realidades de los modelos de integración en uno y otro caso.</w:t>
      </w:r>
    </w:p>
    <w:p w14:paraId="729BA4AD" w14:textId="297B173C" w:rsidR="00ED7017" w:rsidRPr="00187FD3" w:rsidRDefault="001E5F60" w:rsidP="001E5F60">
      <w:pPr>
        <w:ind w:firstLine="708"/>
        <w:rPr>
          <w:rFonts w:ascii="Times New Roman" w:hAnsi="Times New Roman" w:cs="Times New Roman"/>
          <w:bCs/>
        </w:rPr>
      </w:pPr>
      <w:r w:rsidRPr="00187FD3">
        <w:rPr>
          <w:rFonts w:ascii="Times New Roman" w:hAnsi="Times New Roman" w:cs="Times New Roman"/>
          <w:bCs/>
        </w:rPr>
        <w:t xml:space="preserve">GARCÍA JARAMILLO </w:t>
      </w:r>
      <w:r w:rsidR="00ED7017" w:rsidRPr="00187FD3">
        <w:rPr>
          <w:rFonts w:ascii="Times New Roman" w:hAnsi="Times New Roman" w:cs="Times New Roman"/>
          <w:bCs/>
        </w:rPr>
        <w:t>advierte que “El neoconstitucionalismo sintetiza el esquema ideológico y doctrinario dentro del cual se han desarrollado los avances del constitucionalismo en los últimos 20 años en América Latina. Enmarca los procesos de internacionalización del derecho constitucional que se han venido desarrollando desde que varios países empezaron a cambiar sus Constituciones o a incluirles reformas, lo cual condujo a un cambio en los sistemas jurídicos con graduales, pero significativas, repercusiones políticas y culturales.”</w:t>
      </w:r>
      <w:r w:rsidR="00ED7017" w:rsidRPr="00187FD3">
        <w:rPr>
          <w:rStyle w:val="Refdenotaalpie"/>
          <w:rFonts w:ascii="Times New Roman" w:hAnsi="Times New Roman" w:cs="Times New Roman"/>
          <w:bCs/>
        </w:rPr>
        <w:footnoteReference w:id="40"/>
      </w:r>
    </w:p>
    <w:p w14:paraId="580977AF" w14:textId="77777777" w:rsidR="00ED7017" w:rsidRPr="00187FD3" w:rsidRDefault="00ED7017" w:rsidP="00722F0F">
      <w:pPr>
        <w:ind w:firstLine="708"/>
        <w:rPr>
          <w:rFonts w:ascii="Times New Roman" w:hAnsi="Times New Roman" w:cs="Times New Roman"/>
          <w:bCs/>
        </w:rPr>
      </w:pPr>
      <w:r w:rsidRPr="00187FD3">
        <w:rPr>
          <w:rFonts w:ascii="Times New Roman" w:hAnsi="Times New Roman" w:cs="Times New Roman"/>
          <w:bCs/>
        </w:rPr>
        <w:t>Sin perjuicio de ello y resaltando la imposibilidad de avanzar en estas líneas con un análisis diferenciado de cada caso, existen rasgos comunes vinculados con la defensa judicial, ahora en el plano internacional, de los derechos humanos.</w:t>
      </w:r>
    </w:p>
    <w:p w14:paraId="2AE8847E" w14:textId="45EA7189" w:rsidR="00ED7017" w:rsidRPr="00187FD3" w:rsidRDefault="00ED7017" w:rsidP="00722F0F">
      <w:pPr>
        <w:ind w:firstLine="708"/>
        <w:rPr>
          <w:rFonts w:ascii="Times New Roman" w:hAnsi="Times New Roman" w:cs="Times New Roman"/>
          <w:bCs/>
        </w:rPr>
      </w:pPr>
      <w:r w:rsidRPr="00187FD3">
        <w:rPr>
          <w:rFonts w:ascii="Times New Roman" w:hAnsi="Times New Roman" w:cs="Times New Roman"/>
          <w:bCs/>
        </w:rPr>
        <w:t xml:space="preserve">Se ha dicho en este sentido que los tribunales internacionales  “sufren” a la par que los tribunales internos, </w:t>
      </w:r>
      <w:r w:rsidR="00722F0F" w:rsidRPr="00187FD3">
        <w:rPr>
          <w:rFonts w:ascii="Times New Roman" w:hAnsi="Times New Roman" w:cs="Times New Roman"/>
          <w:bCs/>
        </w:rPr>
        <w:t>“</w:t>
      </w:r>
      <w:r w:rsidRPr="00187FD3">
        <w:rPr>
          <w:rFonts w:ascii="Times New Roman" w:hAnsi="Times New Roman" w:cs="Times New Roman"/>
          <w:bCs/>
        </w:rPr>
        <w:t xml:space="preserve">los influjos de la judicialización, vinculados, sobre todo, a la protección de los derechos humanos que ha ganado fuerza, en la esfera internacional, con la tendencia de creación de tribunales y de cortes internacionales, encargados de aplicar  </w:t>
      </w:r>
      <w:r w:rsidRPr="00187FD3">
        <w:rPr>
          <w:rFonts w:ascii="Times New Roman" w:hAnsi="Times New Roman" w:cs="Times New Roman"/>
          <w:bCs/>
        </w:rPr>
        <w:lastRenderedPageBreak/>
        <w:t>y de juzgas casos en los que esté configurada una violación de tales derechos por parte de los Estados-miembro, más allá de las meras declaraciones sin carácter constitutivo.</w:t>
      </w:r>
      <w:r w:rsidR="00722F0F" w:rsidRPr="00187FD3">
        <w:rPr>
          <w:rFonts w:ascii="Times New Roman" w:hAnsi="Times New Roman" w:cs="Times New Roman"/>
          <w:bCs/>
        </w:rPr>
        <w:t>”</w:t>
      </w:r>
      <w:r w:rsidRPr="00187FD3">
        <w:rPr>
          <w:rStyle w:val="Refdenotaalpie"/>
          <w:rFonts w:ascii="Times New Roman" w:hAnsi="Times New Roman" w:cs="Times New Roman"/>
          <w:bCs/>
        </w:rPr>
        <w:footnoteReference w:id="41"/>
      </w:r>
    </w:p>
    <w:p w14:paraId="352F9371" w14:textId="77777777" w:rsidR="00ED7017" w:rsidRPr="00187FD3" w:rsidRDefault="00ED7017" w:rsidP="00722F0F">
      <w:pPr>
        <w:ind w:firstLine="708"/>
        <w:rPr>
          <w:rFonts w:ascii="Times New Roman" w:hAnsi="Times New Roman" w:cs="Times New Roman"/>
          <w:bCs/>
        </w:rPr>
      </w:pPr>
      <w:r w:rsidRPr="00187FD3">
        <w:rPr>
          <w:rFonts w:ascii="Times New Roman" w:hAnsi="Times New Roman" w:cs="Times New Roman"/>
          <w:bCs/>
        </w:rPr>
        <w:t>Ese desplazamiento que hemos advertido hacia el poder judicial en el ámbito interno, se da también en el plano internacional, asumiendo los tribunales internacionales un rol fundamental ya no solo en la tutela de los derechos, sino también en su interpretación y delimitación.</w:t>
      </w:r>
      <w:bookmarkStart w:id="20" w:name="_Hlk131019548"/>
    </w:p>
    <w:p w14:paraId="31222D0B" w14:textId="52FBADB4" w:rsidR="001E5F60" w:rsidRPr="00187FD3" w:rsidRDefault="00ED7017" w:rsidP="00ED7017">
      <w:pPr>
        <w:rPr>
          <w:rFonts w:ascii="Times New Roman" w:hAnsi="Times New Roman" w:cs="Times New Roman"/>
          <w:b/>
          <w:bCs/>
        </w:rPr>
      </w:pPr>
      <w:r w:rsidRPr="00187FD3">
        <w:rPr>
          <w:rFonts w:ascii="Times New Roman" w:hAnsi="Times New Roman" w:cs="Times New Roman"/>
          <w:b/>
          <w:bCs/>
        </w:rPr>
        <w:t xml:space="preserve">VI. </w:t>
      </w:r>
      <w:r w:rsidR="001E5F60" w:rsidRPr="00187FD3">
        <w:rPr>
          <w:rFonts w:ascii="Times New Roman" w:hAnsi="Times New Roman" w:cs="Times New Roman"/>
          <w:b/>
          <w:bCs/>
        </w:rPr>
        <w:t>L</w:t>
      </w:r>
      <w:r w:rsidR="00A44795" w:rsidRPr="00187FD3">
        <w:rPr>
          <w:rFonts w:ascii="Times New Roman" w:hAnsi="Times New Roman" w:cs="Times New Roman"/>
          <w:b/>
          <w:bCs/>
        </w:rPr>
        <w:t>os nuevos derechos en la jurisprudencia de la</w:t>
      </w:r>
      <w:r w:rsidR="001E5F60" w:rsidRPr="00187FD3">
        <w:rPr>
          <w:rFonts w:ascii="Times New Roman" w:hAnsi="Times New Roman" w:cs="Times New Roman"/>
          <w:b/>
          <w:bCs/>
        </w:rPr>
        <w:t xml:space="preserve"> Corte Interamericana</w:t>
      </w:r>
      <w:r w:rsidR="00A44795" w:rsidRPr="00187FD3">
        <w:rPr>
          <w:rFonts w:ascii="Times New Roman" w:hAnsi="Times New Roman" w:cs="Times New Roman"/>
          <w:b/>
          <w:bCs/>
        </w:rPr>
        <w:t>.</w:t>
      </w:r>
    </w:p>
    <w:bookmarkEnd w:id="20"/>
    <w:p w14:paraId="1D75B31B" w14:textId="4949FC9E" w:rsidR="001E5F60" w:rsidRPr="00187FD3" w:rsidRDefault="001E5F60" w:rsidP="00ED7017">
      <w:pPr>
        <w:rPr>
          <w:rFonts w:ascii="Times New Roman" w:hAnsi="Times New Roman" w:cs="Times New Roman"/>
        </w:rPr>
      </w:pPr>
      <w:r w:rsidRPr="00187FD3">
        <w:rPr>
          <w:rFonts w:ascii="Times New Roman" w:hAnsi="Times New Roman" w:cs="Times New Roman"/>
        </w:rPr>
        <w:tab/>
        <w:t xml:space="preserve">Conforme hemos indicado en el apartado anterior y a la luz de la importancia y protagonismo que han adquirido los Tribunales Internacionales en el reconocimiento y tutela de los derechos, </w:t>
      </w:r>
      <w:r w:rsidR="0045628E" w:rsidRPr="00187FD3">
        <w:rPr>
          <w:rFonts w:ascii="Times New Roman" w:hAnsi="Times New Roman" w:cs="Times New Roman"/>
        </w:rPr>
        <w:t xml:space="preserve">y considerando como hemos sostenido, que en la Corte Interamericana confluyen los elementos del neoconstitucionalismo, </w:t>
      </w:r>
      <w:r w:rsidRPr="00187FD3">
        <w:rPr>
          <w:rFonts w:ascii="Times New Roman" w:hAnsi="Times New Roman" w:cs="Times New Roman"/>
        </w:rPr>
        <w:t xml:space="preserve">cabe preguntarse cuál es la situación de la Corte Interamericana en </w:t>
      </w:r>
      <w:r w:rsidR="0045628E" w:rsidRPr="00187FD3">
        <w:rPr>
          <w:rFonts w:ascii="Times New Roman" w:hAnsi="Times New Roman" w:cs="Times New Roman"/>
        </w:rPr>
        <w:t>relación a los nuevos derechos</w:t>
      </w:r>
      <w:r w:rsidRPr="00187FD3">
        <w:rPr>
          <w:rFonts w:ascii="Times New Roman" w:hAnsi="Times New Roman" w:cs="Times New Roman"/>
        </w:rPr>
        <w:t xml:space="preserve">, </w:t>
      </w:r>
      <w:r w:rsidR="0045628E" w:rsidRPr="00187FD3">
        <w:rPr>
          <w:rFonts w:ascii="Times New Roman" w:hAnsi="Times New Roman" w:cs="Times New Roman"/>
        </w:rPr>
        <w:t>teniendo en cuenta</w:t>
      </w:r>
      <w:r w:rsidRPr="00187FD3">
        <w:rPr>
          <w:rFonts w:ascii="Times New Roman" w:hAnsi="Times New Roman" w:cs="Times New Roman"/>
        </w:rPr>
        <w:t xml:space="preserve"> especialmente las limitaciones que debe sortear ni bien se advierte que la Convención Americana </w:t>
      </w:r>
      <w:r w:rsidR="0045628E" w:rsidRPr="00187FD3">
        <w:rPr>
          <w:rFonts w:ascii="Times New Roman" w:hAnsi="Times New Roman" w:cs="Times New Roman"/>
        </w:rPr>
        <w:t>sobre</w:t>
      </w:r>
      <w:r w:rsidRPr="00187FD3">
        <w:rPr>
          <w:rFonts w:ascii="Times New Roman" w:hAnsi="Times New Roman" w:cs="Times New Roman"/>
        </w:rPr>
        <w:t xml:space="preserve"> Derechos Humanos o Pacto de San José de Costa Rica, si bien de avanzada para su época, </w:t>
      </w:r>
      <w:r w:rsidR="0045628E" w:rsidRPr="00187FD3">
        <w:rPr>
          <w:rFonts w:ascii="Times New Roman" w:hAnsi="Times New Roman" w:cs="Times New Roman"/>
        </w:rPr>
        <w:t>entró en vigencia</w:t>
      </w:r>
      <w:r w:rsidRPr="00187FD3">
        <w:rPr>
          <w:rFonts w:ascii="Times New Roman" w:hAnsi="Times New Roman" w:cs="Times New Roman"/>
        </w:rPr>
        <w:t xml:space="preserve"> en el año 196</w:t>
      </w:r>
      <w:r w:rsidR="0045628E" w:rsidRPr="00187FD3">
        <w:rPr>
          <w:rFonts w:ascii="Times New Roman" w:hAnsi="Times New Roman" w:cs="Times New Roman"/>
        </w:rPr>
        <w:t>9</w:t>
      </w:r>
      <w:r w:rsidRPr="00187FD3">
        <w:rPr>
          <w:rFonts w:ascii="Times New Roman" w:hAnsi="Times New Roman" w:cs="Times New Roman"/>
        </w:rPr>
        <w:t xml:space="preserve"> cuando varios de los dilemas que hoy nos aquejan en materia de derechos estaban aún en pleno desarrollo.</w:t>
      </w:r>
    </w:p>
    <w:p w14:paraId="5CBEE9BB" w14:textId="77777777" w:rsidR="00A44795" w:rsidRPr="00187FD3" w:rsidRDefault="005C36B2" w:rsidP="005C36B2">
      <w:pPr>
        <w:ind w:firstLine="708"/>
        <w:rPr>
          <w:rFonts w:ascii="Times New Roman" w:hAnsi="Times New Roman" w:cs="Times New Roman"/>
        </w:rPr>
      </w:pPr>
      <w:r w:rsidRPr="00187FD3">
        <w:rPr>
          <w:rFonts w:ascii="Times New Roman" w:hAnsi="Times New Roman" w:cs="Times New Roman"/>
        </w:rPr>
        <w:t xml:space="preserve">Ninguna duda cabe sobre el rol protagónico de la Corte Interamericana en la consagración, delimitación y difusión respecto de los derechos que PÉREZ LUÑO </w:t>
      </w:r>
      <w:r w:rsidRPr="00187FD3">
        <w:rPr>
          <w:rFonts w:ascii="Times New Roman" w:hAnsi="Times New Roman" w:cs="Times New Roman"/>
        </w:rPr>
        <w:lastRenderedPageBreak/>
        <w:t>denomina de solidaridad, como es el caso del derecho al medio ambiente</w:t>
      </w:r>
      <w:r w:rsidRPr="00187FD3">
        <w:rPr>
          <w:rStyle w:val="Refdenotaalpie"/>
          <w:rFonts w:ascii="Times New Roman" w:hAnsi="Times New Roman" w:cs="Times New Roman"/>
        </w:rPr>
        <w:footnoteReference w:id="42"/>
      </w:r>
      <w:r w:rsidRPr="00187FD3">
        <w:rPr>
          <w:rFonts w:ascii="Times New Roman" w:hAnsi="Times New Roman" w:cs="Times New Roman"/>
        </w:rPr>
        <w:t xml:space="preserve"> o el derecho de las personas en situación de desplazamiento</w:t>
      </w:r>
      <w:r w:rsidR="00A44795" w:rsidRPr="00187FD3">
        <w:rPr>
          <w:rStyle w:val="Refdenotaalpie"/>
          <w:rFonts w:ascii="Times New Roman" w:hAnsi="Times New Roman" w:cs="Times New Roman"/>
        </w:rPr>
        <w:footnoteReference w:id="43"/>
      </w:r>
      <w:r w:rsidR="0045628E" w:rsidRPr="00187FD3">
        <w:rPr>
          <w:rFonts w:ascii="Times New Roman" w:hAnsi="Times New Roman" w:cs="Times New Roman"/>
        </w:rPr>
        <w:t>, por poner algunos ejemplos</w:t>
      </w:r>
      <w:r w:rsidRPr="00187FD3">
        <w:rPr>
          <w:rFonts w:ascii="Times New Roman" w:hAnsi="Times New Roman" w:cs="Times New Roman"/>
        </w:rPr>
        <w:t>.</w:t>
      </w:r>
    </w:p>
    <w:p w14:paraId="6DED73C5" w14:textId="0951156C" w:rsidR="001E5F60" w:rsidRPr="00187FD3" w:rsidRDefault="0045628E" w:rsidP="001E5F60">
      <w:pPr>
        <w:ind w:firstLine="708"/>
        <w:rPr>
          <w:rFonts w:ascii="Times New Roman" w:hAnsi="Times New Roman" w:cs="Times New Roman"/>
        </w:rPr>
      </w:pPr>
      <w:r w:rsidRPr="00187FD3">
        <w:rPr>
          <w:rFonts w:ascii="Times New Roman" w:hAnsi="Times New Roman" w:cs="Times New Roman"/>
        </w:rPr>
        <w:t xml:space="preserve">Distinta es la situación </w:t>
      </w:r>
      <w:r w:rsidR="001E5F60" w:rsidRPr="00187FD3">
        <w:rPr>
          <w:rFonts w:ascii="Times New Roman" w:hAnsi="Times New Roman" w:cs="Times New Roman"/>
        </w:rPr>
        <w:t>cuando se habla de derechos en el ámbito tecnológico</w:t>
      </w:r>
      <w:r w:rsidR="005C36B2" w:rsidRPr="00187FD3">
        <w:rPr>
          <w:rFonts w:ascii="Times New Roman" w:hAnsi="Times New Roman" w:cs="Times New Roman"/>
        </w:rPr>
        <w:t xml:space="preserve"> o de cuarta o quinta generació</w:t>
      </w:r>
      <w:r w:rsidR="00DF09CF" w:rsidRPr="00187FD3">
        <w:rPr>
          <w:rFonts w:ascii="Times New Roman" w:hAnsi="Times New Roman" w:cs="Times New Roman"/>
        </w:rPr>
        <w:t xml:space="preserve">n. Como hemos advertido, los instrumentos internacionales en general, y la Convención Americana en particular, no han receptado aún con la especificidad necesaria este tipo de derechos, no </w:t>
      </w:r>
      <w:proofErr w:type="gramStart"/>
      <w:r w:rsidR="00DF09CF" w:rsidRPr="00187FD3">
        <w:rPr>
          <w:rFonts w:ascii="Times New Roman" w:hAnsi="Times New Roman" w:cs="Times New Roman"/>
        </w:rPr>
        <w:t>obstante</w:t>
      </w:r>
      <w:proofErr w:type="gramEnd"/>
      <w:r w:rsidR="00DF09CF" w:rsidRPr="00187FD3">
        <w:rPr>
          <w:rFonts w:ascii="Times New Roman" w:hAnsi="Times New Roman" w:cs="Times New Roman"/>
        </w:rPr>
        <w:t xml:space="preserve"> lo cual la Corte ha recurrido a sus facultades -asignadas o asumidas- de ampliación pretoriana de los márgenes de los derechos, para receptar diversos impactos de la tecnología en los derechos que sí se encuentran consagrados en los tratados. </w:t>
      </w:r>
    </w:p>
    <w:p w14:paraId="15E9A8AD" w14:textId="77777777" w:rsidR="002268F2" w:rsidRPr="00187FD3" w:rsidRDefault="00DF09CF" w:rsidP="00DF09CF">
      <w:pPr>
        <w:ind w:firstLine="708"/>
        <w:rPr>
          <w:rFonts w:ascii="Times New Roman" w:hAnsi="Times New Roman" w:cs="Times New Roman"/>
        </w:rPr>
      </w:pPr>
      <w:r w:rsidRPr="00187FD3">
        <w:rPr>
          <w:rFonts w:ascii="Times New Roman" w:hAnsi="Times New Roman" w:cs="Times New Roman"/>
        </w:rPr>
        <w:t xml:space="preserve">En este sentido y a modo de ejemplo, con motivo de discutir los alcances del derecho a la educación, que constituye un derecho propio de las primeras generaciones, aprovecha para introducir la noción de educación a distancia como una de las opciones para garantizar la accesibilidad. De este modo, en el caso “Gonzalez Lluy y otros vs. </w:t>
      </w:r>
      <w:r w:rsidRPr="00187FD3">
        <w:rPr>
          <w:rFonts w:ascii="Times New Roman" w:hAnsi="Times New Roman" w:cs="Times New Roman"/>
        </w:rPr>
        <w:lastRenderedPageBreak/>
        <w:t>Ecuador”</w:t>
      </w:r>
      <w:r w:rsidRPr="00187FD3">
        <w:rPr>
          <w:rStyle w:val="Refdenotaalpie"/>
          <w:rFonts w:ascii="Times New Roman" w:hAnsi="Times New Roman" w:cs="Times New Roman"/>
        </w:rPr>
        <w:footnoteReference w:id="44"/>
      </w:r>
      <w:r w:rsidR="002268F2" w:rsidRPr="00187FD3">
        <w:rPr>
          <w:rFonts w:ascii="Times New Roman" w:hAnsi="Times New Roman" w:cs="Times New Roman"/>
        </w:rPr>
        <w:t xml:space="preserve"> señala la Corte IDH que para “</w:t>
      </w:r>
      <w:r w:rsidRPr="00187FD3">
        <w:rPr>
          <w:rFonts w:ascii="Times New Roman" w:hAnsi="Times New Roman" w:cs="Times New Roman"/>
        </w:rPr>
        <w:t>garantizar el derecho a la educación debe velarse por que en todos los niveles educativos se cumpla con cuatro características esenciales e interrelacionadas: i) disponibilidad, ii) accesibilidad, iii) aceptabilidad y iv) adaptabilidad</w:t>
      </w:r>
      <w:r w:rsidR="002268F2" w:rsidRPr="00187FD3">
        <w:rPr>
          <w:rFonts w:ascii="Times New Roman" w:hAnsi="Times New Roman" w:cs="Times New Roman"/>
        </w:rPr>
        <w:t>”. La accesibilidad implica que “</w:t>
      </w:r>
      <w:r w:rsidRPr="00187FD3">
        <w:rPr>
          <w:rFonts w:ascii="Times New Roman" w:hAnsi="Times New Roman" w:cs="Times New Roman"/>
        </w:rPr>
        <w:t>Las instituciones y los programas de enseñanza han de ser accesibles a todos, sin discriminación, en el ámbito del Estado Parte. La accesibilidad consta de tres dimensiones que coinciden parcialmente: i) No discriminación</w:t>
      </w:r>
      <w:r w:rsidR="002268F2" w:rsidRPr="00187FD3">
        <w:rPr>
          <w:rFonts w:ascii="Times New Roman" w:hAnsi="Times New Roman" w:cs="Times New Roman"/>
        </w:rPr>
        <w:t>…</w:t>
      </w:r>
      <w:r w:rsidRPr="00187FD3">
        <w:rPr>
          <w:rFonts w:ascii="Times New Roman" w:hAnsi="Times New Roman" w:cs="Times New Roman"/>
        </w:rPr>
        <w:t xml:space="preserve">; ii) Accesibilidad material. La educación ha de ser asequible materialmente, ya sea por su localización geográfica de acceso razonable (por ejemplo, una escuela vecinal) </w:t>
      </w:r>
      <w:r w:rsidRPr="00187FD3">
        <w:rPr>
          <w:rFonts w:ascii="Times New Roman" w:hAnsi="Times New Roman" w:cs="Times New Roman"/>
          <w:b/>
          <w:bCs/>
        </w:rPr>
        <w:t>o por medio de la tecnología moderna (mediante el acceso a programas de educación a distancia</w:t>
      </w:r>
      <w:r w:rsidRPr="00187FD3">
        <w:rPr>
          <w:rFonts w:ascii="Times New Roman" w:hAnsi="Times New Roman" w:cs="Times New Roman"/>
        </w:rPr>
        <w:t>); iii) Accesibilidad económica</w:t>
      </w:r>
      <w:r w:rsidR="002268F2" w:rsidRPr="00187FD3">
        <w:rPr>
          <w:rFonts w:ascii="Times New Roman" w:hAnsi="Times New Roman" w:cs="Times New Roman"/>
        </w:rPr>
        <w:t>…” (el destacado es nuestro)</w:t>
      </w:r>
    </w:p>
    <w:p w14:paraId="39DCA7CB" w14:textId="7644BCEC" w:rsidR="002268F2" w:rsidRPr="00187FD3" w:rsidRDefault="002268F2" w:rsidP="00DF09CF">
      <w:pPr>
        <w:ind w:firstLine="708"/>
        <w:rPr>
          <w:rFonts w:ascii="Times New Roman" w:hAnsi="Times New Roman" w:cs="Times New Roman"/>
        </w:rPr>
      </w:pPr>
      <w:r w:rsidRPr="00187FD3">
        <w:rPr>
          <w:rFonts w:ascii="Times New Roman" w:hAnsi="Times New Roman" w:cs="Times New Roman"/>
        </w:rPr>
        <w:t xml:space="preserve">Similar técnica utiliza al hablar de la libertad de expresión, también un derecho propio del constitucionalismo clásico influenciado en sus contornos por las nuevas tecnologías. Indica la Corte IDH </w:t>
      </w:r>
      <w:r w:rsidR="00FF49F5" w:rsidRPr="00187FD3">
        <w:rPr>
          <w:rFonts w:ascii="Times New Roman" w:hAnsi="Times New Roman" w:cs="Times New Roman"/>
        </w:rPr>
        <w:t>interpretando los alcances del art. 13.3 de la Convención</w:t>
      </w:r>
      <w:r w:rsidR="00FF49F5" w:rsidRPr="00187FD3">
        <w:rPr>
          <w:rStyle w:val="Refdenotaalpie"/>
          <w:rFonts w:ascii="Times New Roman" w:hAnsi="Times New Roman" w:cs="Times New Roman"/>
        </w:rPr>
        <w:footnoteReference w:id="45"/>
      </w:r>
      <w:r w:rsidR="00FF49F5" w:rsidRPr="00187FD3">
        <w:rPr>
          <w:rFonts w:ascii="Times New Roman" w:hAnsi="Times New Roman" w:cs="Times New Roman"/>
        </w:rPr>
        <w:t xml:space="preserve"> respecto de la prohibición de vías o medios indirectos que restrinjan la libertad de expresión, que la norma  “no es taxativa ni impide considerar </w:t>
      </w:r>
      <w:r w:rsidR="00FF49F5" w:rsidRPr="00187FD3">
        <w:rPr>
          <w:rFonts w:ascii="Times New Roman" w:hAnsi="Times New Roman" w:cs="Times New Roman"/>
          <w:i/>
          <w:iCs/>
        </w:rPr>
        <w:t>cualesquiera otros medios</w:t>
      </w:r>
      <w:r w:rsidR="00FF49F5" w:rsidRPr="00187FD3">
        <w:rPr>
          <w:rFonts w:ascii="Times New Roman" w:hAnsi="Times New Roman" w:cs="Times New Roman"/>
        </w:rPr>
        <w:t xml:space="preserve"> o vías indirectas </w:t>
      </w:r>
      <w:r w:rsidR="00FF49F5" w:rsidRPr="00187FD3">
        <w:rPr>
          <w:rFonts w:ascii="Times New Roman" w:hAnsi="Times New Roman" w:cs="Times New Roman"/>
          <w:b/>
          <w:bCs/>
        </w:rPr>
        <w:t>derivados de nuevas tecnologías.”</w:t>
      </w:r>
      <w:r w:rsidR="00FF49F5" w:rsidRPr="00187FD3">
        <w:rPr>
          <w:rStyle w:val="Refdenotaalpie"/>
          <w:rFonts w:ascii="Times New Roman" w:hAnsi="Times New Roman" w:cs="Times New Roman"/>
          <w:b/>
          <w:bCs/>
        </w:rPr>
        <w:footnoteReference w:id="46"/>
      </w:r>
      <w:r w:rsidR="00FF49F5" w:rsidRPr="00187FD3">
        <w:rPr>
          <w:rFonts w:ascii="Times New Roman" w:hAnsi="Times New Roman" w:cs="Times New Roman"/>
          <w:b/>
          <w:bCs/>
        </w:rPr>
        <w:t xml:space="preserve"> </w:t>
      </w:r>
      <w:r w:rsidR="00FF49F5" w:rsidRPr="00187FD3">
        <w:rPr>
          <w:rFonts w:ascii="Times New Roman" w:hAnsi="Times New Roman" w:cs="Times New Roman"/>
        </w:rPr>
        <w:t>(el destacado es nuestro)</w:t>
      </w:r>
    </w:p>
    <w:p w14:paraId="2165B744" w14:textId="4719D597" w:rsidR="00ED43A0" w:rsidRPr="00187FD3" w:rsidRDefault="00ED43A0" w:rsidP="00DF09CF">
      <w:pPr>
        <w:ind w:firstLine="708"/>
        <w:rPr>
          <w:rFonts w:ascii="Times New Roman" w:hAnsi="Times New Roman" w:cs="Times New Roman"/>
        </w:rPr>
      </w:pPr>
      <w:r w:rsidRPr="00187FD3">
        <w:rPr>
          <w:rFonts w:ascii="Times New Roman" w:hAnsi="Times New Roman" w:cs="Times New Roman"/>
        </w:rPr>
        <w:t xml:space="preserve">Amplía también la Corte los alcances del derecho a la intimidad, aclarando que la prohibición de injerencia en la vida privada que consagra el artículo 11 de la Convención, no se limita al domicilio o la correspondencia, tal como indica el texto de la norma, sino que “La fluidez informativa que existe hoy en día coloca al derecho a la vida privada de las personas en una situación de mayor riesgo debido a las nuevas herramientas tecnológicas y su utilización cada vez más frecuente. Este progreso, en especial cuando se trata de interceptaciones y grabaciones telefónicas, no significa que las personas deban </w:t>
      </w:r>
      <w:r w:rsidRPr="00187FD3">
        <w:rPr>
          <w:rFonts w:ascii="Times New Roman" w:hAnsi="Times New Roman" w:cs="Times New Roman"/>
        </w:rPr>
        <w:lastRenderedPageBreak/>
        <w:t>quedar en una situación de vulnerabilidad frente al Estado o a los particulares. De allí que el Estado debe asumir un compromiso, aún mayor, con el fin de adecuar a los tiempos actuales las fórmulas tradicionales de protección del derecho a la vida privada.”</w:t>
      </w:r>
      <w:r w:rsidRPr="00187FD3">
        <w:rPr>
          <w:rStyle w:val="Refdenotaalpie"/>
          <w:rFonts w:ascii="Times New Roman" w:hAnsi="Times New Roman" w:cs="Times New Roman"/>
        </w:rPr>
        <w:footnoteReference w:id="47"/>
      </w:r>
    </w:p>
    <w:p w14:paraId="111A8385" w14:textId="15816E00" w:rsidR="00FF49F5" w:rsidRPr="00187FD3" w:rsidRDefault="00FF49F5" w:rsidP="00DF09CF">
      <w:pPr>
        <w:ind w:firstLine="708"/>
        <w:rPr>
          <w:rFonts w:ascii="Times New Roman" w:hAnsi="Times New Roman" w:cs="Times New Roman"/>
        </w:rPr>
      </w:pPr>
      <w:r w:rsidRPr="00187FD3">
        <w:rPr>
          <w:rFonts w:ascii="Times New Roman" w:hAnsi="Times New Roman" w:cs="Times New Roman"/>
        </w:rPr>
        <w:t>Es en materia de salud donde el Tribunal ha desarrollado con mayor extensión conceptos vinculados a los nuevos medios tecnológicos, de manera de incorporar en la noción de “derecho a la salud”, tratamientos y procedimientos de última generación en materia científica.</w:t>
      </w:r>
    </w:p>
    <w:p w14:paraId="7DD086DB" w14:textId="24897482" w:rsidR="00FF49F5" w:rsidRPr="00187FD3" w:rsidRDefault="00FF49F5" w:rsidP="00DF09CF">
      <w:pPr>
        <w:ind w:firstLine="708"/>
        <w:rPr>
          <w:rFonts w:ascii="Times New Roman" w:hAnsi="Times New Roman" w:cs="Times New Roman"/>
        </w:rPr>
      </w:pPr>
      <w:r w:rsidRPr="00187FD3">
        <w:rPr>
          <w:rFonts w:ascii="Times New Roman" w:hAnsi="Times New Roman" w:cs="Times New Roman"/>
        </w:rPr>
        <w:t>Así, en relación a l</w:t>
      </w:r>
      <w:r w:rsidR="001543D3" w:rsidRPr="00187FD3">
        <w:rPr>
          <w:rFonts w:ascii="Times New Roman" w:hAnsi="Times New Roman" w:cs="Times New Roman"/>
        </w:rPr>
        <w:t>as personas con VIH ha resuelto que “el derecho a la salud de las personas que viven con el VIH incluye el acceso a bienes de calidad, servicios e información para la prevención, tratamiento, atención y apoyo de la infección, incluida la terapia antirretrovírica y otros medicamentos, pruebas diagnósticas y tecnologías relacionadas seguras y eficaces para la atención preventiva, curativa y paliativa del VIH, de las enfermedades oportunistas y de las enfermedades conexas, así como el apoyo social y psicológico, la atención familiar y comunitaria, y el acceso a las tecnologías de prevención.”</w:t>
      </w:r>
      <w:r w:rsidR="001543D3" w:rsidRPr="00187FD3">
        <w:rPr>
          <w:rStyle w:val="Refdenotaalpie"/>
          <w:rFonts w:ascii="Times New Roman" w:hAnsi="Times New Roman" w:cs="Times New Roman"/>
        </w:rPr>
        <w:footnoteReference w:id="48"/>
      </w:r>
    </w:p>
    <w:p w14:paraId="4EFDD0AD" w14:textId="40846437" w:rsidR="00D27EED" w:rsidRPr="00187FD3" w:rsidRDefault="001543D3" w:rsidP="00D27EED">
      <w:pPr>
        <w:ind w:firstLine="708"/>
        <w:rPr>
          <w:rFonts w:ascii="Times New Roman" w:hAnsi="Times New Roman" w:cs="Times New Roman"/>
        </w:rPr>
      </w:pPr>
      <w:r w:rsidRPr="00187FD3">
        <w:rPr>
          <w:rFonts w:ascii="Times New Roman" w:hAnsi="Times New Roman" w:cs="Times New Roman"/>
        </w:rPr>
        <w:t xml:space="preserve">Finalmente, en este breve repaso jurisprudencial, destacamos el precedente “Artavia Murillo y otros (Fecundación in Vitro) Vs. Costa Rica”, donde la Corte se explaya sobre los alcances </w:t>
      </w:r>
      <w:proofErr w:type="gramStart"/>
      <w:r w:rsidRPr="00187FD3">
        <w:rPr>
          <w:rFonts w:ascii="Times New Roman" w:hAnsi="Times New Roman" w:cs="Times New Roman"/>
        </w:rPr>
        <w:t>del derechos</w:t>
      </w:r>
      <w:proofErr w:type="gramEnd"/>
      <w:r w:rsidRPr="00187FD3">
        <w:rPr>
          <w:rFonts w:ascii="Times New Roman" w:hAnsi="Times New Roman" w:cs="Times New Roman"/>
        </w:rPr>
        <w:t xml:space="preserve"> a la vida </w:t>
      </w:r>
      <w:r w:rsidR="00D27EED" w:rsidRPr="00187FD3">
        <w:rPr>
          <w:rFonts w:ascii="Times New Roman" w:hAnsi="Times New Roman" w:cs="Times New Roman"/>
        </w:rPr>
        <w:t xml:space="preserve">y la significación de la “concepción” como momento a partir del cual opera la tutela convencional. </w:t>
      </w:r>
    </w:p>
    <w:p w14:paraId="5F150F38" w14:textId="7861B70A" w:rsidR="005C4F78" w:rsidRPr="00187FD3" w:rsidRDefault="00D27EED" w:rsidP="00D27EED">
      <w:pPr>
        <w:ind w:firstLine="708"/>
        <w:rPr>
          <w:rFonts w:ascii="Times New Roman" w:hAnsi="Times New Roman" w:cs="Times New Roman"/>
        </w:rPr>
      </w:pPr>
      <w:r w:rsidRPr="00187FD3">
        <w:rPr>
          <w:rFonts w:ascii="Times New Roman" w:hAnsi="Times New Roman" w:cs="Times New Roman"/>
        </w:rPr>
        <w:t>Junto a ello, incorpora las nociones de “autonomía reproductiva” y “salud reproductiva” como vinculadas al derecho a la vida y que, en palabras de la Corte, “</w:t>
      </w:r>
      <w:r w:rsidR="005C4F78" w:rsidRPr="00187FD3">
        <w:rPr>
          <w:rFonts w:ascii="Times New Roman" w:hAnsi="Times New Roman" w:cs="Times New Roman"/>
        </w:rPr>
        <w:t xml:space="preserve">involucra el derecho de acceder a la tecnología médica necesaria para ejercer ese derecho. El derecho a la autonomía reproductiva está reconocido también en el artículo 16 (e) de la Convención para la Eliminación de todas las Formas de Discriminación contra la Mujer, según el cual las mujeres gozan del derecho “a decidir libre y responsablemente el número de sus hijos y el intervalo entre los nacimientos y a tener acceso a la información, la educación y los medios que les permitan ejercer estos derechos”. Este </w:t>
      </w:r>
      <w:r w:rsidR="005C4F78" w:rsidRPr="00187FD3">
        <w:rPr>
          <w:rFonts w:ascii="Times New Roman" w:hAnsi="Times New Roman" w:cs="Times New Roman"/>
        </w:rPr>
        <w:lastRenderedPageBreak/>
        <w:t>derecho es vulnerado cuando se obstaculizan los medios a través de los cuales una mujer puede ejercer el derecho a controlar su fecundidad. Así, la protección a la vida privada incluye el respeto de las decisiones tanto de convertirse en padre o madre, incluyendo la decisión de la pareja de convertirse en padres genéticos</w:t>
      </w:r>
      <w:r w:rsidRPr="00187FD3">
        <w:rPr>
          <w:rFonts w:ascii="Times New Roman" w:hAnsi="Times New Roman" w:cs="Times New Roman"/>
        </w:rPr>
        <w:t>…</w:t>
      </w:r>
      <w:r w:rsidR="005C4F78" w:rsidRPr="00187FD3">
        <w:rPr>
          <w:rFonts w:ascii="Times New Roman" w:hAnsi="Times New Roman" w:cs="Times New Roman"/>
        </w:rPr>
        <w:t xml:space="preserve"> Finalmente, el derecho a la vida privada y la libertad reproductiva guarda relación con el derecho de acceder a la tecnología médica necesaria para ejercer ese derecho. El derecho al goce de los beneficios del progreso científico ha sido reconocido internacionalmente y, en el ámbito interamericano, se encuentra contemplado en el artículo XIII de la Declaración Americana y en el artículo 14.1 b) del Protocolo de San Salvador. Cabe mencionar que la Asamblea General de Naciones Unidas, en su Declaración sobre este derecho, señaló la relación entre éste y la satisfacción de las necesidades materiales y espirituales de todos los sectores de la población. Por tanto, y conforme al artículo 29 b) de la Convención Americana, el alcance de los derechos a la vida privada, autonomía reproductiva y a fundar una familia, derivado de los artículos 11.2 y 17.2 de la Convención Americana, se extiende al derecho de toda persona a beneficiarse del progreso científico y de sus aplicaciones. Del derecho de acceso al más alto y efectivo progreso científico para el ejercicio de la autonomía reproductiva y la posibilidad de formar una familia se deriva el derecho a acceder a los mejores servicios de salud en técnicas de asistencia reproductiva, y, en consecuencia, la prohibición de restricciones desproporcionadas e innecesarias de iure o de facto para ejercer las decisiones reproductivas que correspondan en cada persona</w:t>
      </w:r>
      <w:r w:rsidRPr="00187FD3">
        <w:rPr>
          <w:rFonts w:ascii="Times New Roman" w:hAnsi="Times New Roman" w:cs="Times New Roman"/>
        </w:rPr>
        <w:t>.”</w:t>
      </w:r>
      <w:r w:rsidRPr="00187FD3">
        <w:rPr>
          <w:rStyle w:val="Refdenotaalpie"/>
          <w:rFonts w:ascii="Times New Roman" w:hAnsi="Times New Roman" w:cs="Times New Roman"/>
        </w:rPr>
        <w:footnoteReference w:id="49"/>
      </w:r>
    </w:p>
    <w:p w14:paraId="7D381C55" w14:textId="62775118" w:rsidR="00ED7017" w:rsidRPr="00187FD3" w:rsidRDefault="00493D06" w:rsidP="00ED7017">
      <w:pPr>
        <w:rPr>
          <w:rFonts w:ascii="Times New Roman" w:hAnsi="Times New Roman" w:cs="Times New Roman"/>
          <w:b/>
          <w:bCs/>
        </w:rPr>
      </w:pPr>
      <w:r w:rsidRPr="00187FD3">
        <w:rPr>
          <w:rFonts w:ascii="Times New Roman" w:hAnsi="Times New Roman" w:cs="Times New Roman"/>
          <w:b/>
          <w:bCs/>
        </w:rPr>
        <w:t xml:space="preserve">VII. </w:t>
      </w:r>
      <w:r w:rsidR="00ED7017" w:rsidRPr="00187FD3">
        <w:rPr>
          <w:rFonts w:ascii="Times New Roman" w:hAnsi="Times New Roman" w:cs="Times New Roman"/>
          <w:b/>
          <w:bCs/>
        </w:rPr>
        <w:t>Conclusiones.</w:t>
      </w:r>
    </w:p>
    <w:p w14:paraId="6CA3D140" w14:textId="77777777" w:rsidR="00ED7017" w:rsidRPr="00187FD3" w:rsidRDefault="00ED7017" w:rsidP="00722F0F">
      <w:pPr>
        <w:ind w:firstLine="708"/>
        <w:rPr>
          <w:rFonts w:ascii="Times New Roman" w:hAnsi="Times New Roman" w:cs="Times New Roman"/>
          <w:bCs/>
        </w:rPr>
      </w:pPr>
      <w:r w:rsidRPr="00187FD3">
        <w:rPr>
          <w:rFonts w:ascii="Times New Roman" w:hAnsi="Times New Roman" w:cs="Times New Roman"/>
          <w:bCs/>
        </w:rPr>
        <w:t>Comenzamos el presente trabajo postulando que la Corte Interamericana de Derechos Humanos aparece, en nuestro ámbito, como una síntesis del neoconstitucionalismo.</w:t>
      </w:r>
    </w:p>
    <w:p w14:paraId="639F8580" w14:textId="77777777" w:rsidR="00ED7017" w:rsidRPr="00187FD3" w:rsidRDefault="00ED7017" w:rsidP="00ED43A0">
      <w:pPr>
        <w:ind w:firstLine="708"/>
        <w:rPr>
          <w:rFonts w:ascii="Times New Roman" w:hAnsi="Times New Roman" w:cs="Times New Roman"/>
          <w:bCs/>
        </w:rPr>
      </w:pPr>
      <w:r w:rsidRPr="00187FD3">
        <w:rPr>
          <w:rFonts w:ascii="Times New Roman" w:hAnsi="Times New Roman" w:cs="Times New Roman"/>
          <w:bCs/>
        </w:rPr>
        <w:t>A los fines de analizar esta idea, hemos desarrollado el concepto del neoconstitucionalismo y los que consideramos sus elementos centrales: la ampliación de derechos en relación a las etapas clásica y social, la resignificación del rol del Poder Judicial y la internacionalización como un proceso que atraviesa estos dos elementos.</w:t>
      </w:r>
    </w:p>
    <w:p w14:paraId="27225C34" w14:textId="52E7DE04" w:rsidR="00ED7017" w:rsidRPr="00187FD3" w:rsidRDefault="00D61002" w:rsidP="00D61002">
      <w:pPr>
        <w:ind w:firstLine="708"/>
        <w:rPr>
          <w:rFonts w:ascii="Times New Roman" w:hAnsi="Times New Roman" w:cs="Times New Roman"/>
          <w:bCs/>
        </w:rPr>
      </w:pPr>
      <w:r w:rsidRPr="00187FD3">
        <w:rPr>
          <w:rFonts w:ascii="Times New Roman" w:hAnsi="Times New Roman" w:cs="Times New Roman"/>
          <w:bCs/>
        </w:rPr>
        <w:lastRenderedPageBreak/>
        <w:t>Destacamos, que siguiendo la lógica que caracteriza orgánicamente al neoconstitucionalismo, t</w:t>
      </w:r>
      <w:r w:rsidR="00ED7017" w:rsidRPr="00187FD3">
        <w:rPr>
          <w:rFonts w:ascii="Times New Roman" w:hAnsi="Times New Roman" w:cs="Times New Roman"/>
          <w:bCs/>
        </w:rPr>
        <w:t>odo el esquema institucional interamericano, reposa sobre la labor de la Corte. Sin desconocer el aporte de la Comisión, no podemos dejar de destacar que la última palabra en términos de Pizzolo</w:t>
      </w:r>
      <w:r w:rsidR="00ED7017" w:rsidRPr="00187FD3">
        <w:rPr>
          <w:rStyle w:val="Refdenotaalpie"/>
          <w:rFonts w:ascii="Times New Roman" w:hAnsi="Times New Roman" w:cs="Times New Roman"/>
          <w:bCs/>
        </w:rPr>
        <w:footnoteReference w:id="50"/>
      </w:r>
      <w:r w:rsidR="00ED7017" w:rsidRPr="00187FD3">
        <w:rPr>
          <w:rFonts w:ascii="Times New Roman" w:hAnsi="Times New Roman" w:cs="Times New Roman"/>
          <w:bCs/>
        </w:rPr>
        <w:t>, en el sistema interamericano, corresponde a la Corte.</w:t>
      </w:r>
    </w:p>
    <w:p w14:paraId="6C3806D6" w14:textId="77777777" w:rsidR="00ED7017" w:rsidRPr="00187FD3" w:rsidRDefault="00ED7017" w:rsidP="00D61002">
      <w:pPr>
        <w:ind w:firstLine="708"/>
        <w:rPr>
          <w:rFonts w:ascii="Times New Roman" w:hAnsi="Times New Roman" w:cs="Times New Roman"/>
          <w:bCs/>
        </w:rPr>
      </w:pPr>
      <w:r w:rsidRPr="00187FD3">
        <w:rPr>
          <w:rFonts w:ascii="Times New Roman" w:hAnsi="Times New Roman" w:cs="Times New Roman"/>
          <w:bCs/>
        </w:rPr>
        <w:t>Y la ausencia de un legislador interamericano o de otra estructura que haga las veces de un órgano ejecutivo transnacional -como sí encontramos en el caso europeo- lleva a la Corte a una posición de preeminencia que se ha encargado de usufructuar con la creación de herramientas como el control de convencionalidad.</w:t>
      </w:r>
      <w:r w:rsidRPr="00187FD3">
        <w:rPr>
          <w:rStyle w:val="Refdenotaalpie"/>
          <w:rFonts w:ascii="Times New Roman" w:hAnsi="Times New Roman" w:cs="Times New Roman"/>
          <w:bCs/>
        </w:rPr>
        <w:footnoteReference w:id="51"/>
      </w:r>
      <w:r w:rsidRPr="00187FD3">
        <w:rPr>
          <w:rFonts w:ascii="Times New Roman" w:hAnsi="Times New Roman" w:cs="Times New Roman"/>
          <w:bCs/>
        </w:rPr>
        <w:t xml:space="preserve"> </w:t>
      </w:r>
    </w:p>
    <w:p w14:paraId="3C6B38AD" w14:textId="63545217" w:rsidR="00ED7017" w:rsidRPr="00187FD3" w:rsidRDefault="00D61002" w:rsidP="00D61002">
      <w:pPr>
        <w:ind w:firstLine="708"/>
        <w:rPr>
          <w:rFonts w:ascii="Times New Roman" w:hAnsi="Times New Roman" w:cs="Times New Roman"/>
          <w:bCs/>
        </w:rPr>
      </w:pPr>
      <w:r w:rsidRPr="00187FD3">
        <w:rPr>
          <w:rFonts w:ascii="Times New Roman" w:hAnsi="Times New Roman" w:cs="Times New Roman"/>
          <w:bCs/>
        </w:rPr>
        <w:t>Esa trascendencia de la Corte, la erige en una figura central para garantizar, en el ámbito interamericano, los avances en el campo de los derechos. N</w:t>
      </w:r>
      <w:r w:rsidR="00ED7017" w:rsidRPr="00187FD3">
        <w:rPr>
          <w:rFonts w:ascii="Times New Roman" w:hAnsi="Times New Roman" w:cs="Times New Roman"/>
          <w:bCs/>
        </w:rPr>
        <w:t xml:space="preserve">o quedan dudas de los aportes de la Corte en lo que hemos definido como derechos de tercera generación o derechos de solidaridad. Existen numerosos pronunciamientos vinculados con el derecho </w:t>
      </w:r>
      <w:r w:rsidRPr="00187FD3">
        <w:rPr>
          <w:rFonts w:ascii="Times New Roman" w:hAnsi="Times New Roman" w:cs="Times New Roman"/>
          <w:bCs/>
        </w:rPr>
        <w:t xml:space="preserve">al medio ambiente, </w:t>
      </w:r>
      <w:r w:rsidR="00ED7017" w:rsidRPr="00187FD3">
        <w:rPr>
          <w:rFonts w:ascii="Times New Roman" w:hAnsi="Times New Roman" w:cs="Times New Roman"/>
          <w:bCs/>
        </w:rPr>
        <w:t>a la paz, el derecho de las personas desplazadas, a la autodeterminación, desarrollo, integridad, entre otros, que dan cuenta de un Tribunal de avanzada, que ha producido incesantemente material para el desarrollo de los nuevos derechos.</w:t>
      </w:r>
    </w:p>
    <w:p w14:paraId="786A2547" w14:textId="3A5AF3BE" w:rsidR="00ED7017" w:rsidRPr="00187FD3" w:rsidRDefault="00ED7017" w:rsidP="00D61002">
      <w:pPr>
        <w:ind w:firstLine="708"/>
        <w:rPr>
          <w:rFonts w:ascii="Times New Roman" w:hAnsi="Times New Roman" w:cs="Times New Roman"/>
          <w:bCs/>
        </w:rPr>
      </w:pPr>
      <w:r w:rsidRPr="00187FD3">
        <w:rPr>
          <w:rFonts w:ascii="Times New Roman" w:hAnsi="Times New Roman" w:cs="Times New Roman"/>
          <w:bCs/>
        </w:rPr>
        <w:t xml:space="preserve">Cabe aclarar que atento la “antigüedad” del Pacto de San José y su falta de actualización, lo que limita el listado de derechos a un texto de hace más de 50 años -situación que no acontece en Europa donde las normas convencionales se han ido actualizando, al punto que la Carta Europea de Derechos tiene escasos 22 años de vigencia y sólo 15 desde su obligatoriedad- y ello explica el escaso desarrollo en </w:t>
      </w:r>
      <w:r w:rsidR="00D61002" w:rsidRPr="00187FD3">
        <w:rPr>
          <w:rFonts w:ascii="Times New Roman" w:hAnsi="Times New Roman" w:cs="Times New Roman"/>
          <w:bCs/>
        </w:rPr>
        <w:t xml:space="preserve">el texto convencional en </w:t>
      </w:r>
      <w:r w:rsidRPr="00187FD3">
        <w:rPr>
          <w:rFonts w:ascii="Times New Roman" w:hAnsi="Times New Roman" w:cs="Times New Roman"/>
          <w:bCs/>
        </w:rPr>
        <w:t xml:space="preserve">materia de derechos </w:t>
      </w:r>
      <w:r w:rsidR="00D61002" w:rsidRPr="00187FD3">
        <w:rPr>
          <w:rFonts w:ascii="Times New Roman" w:hAnsi="Times New Roman" w:cs="Times New Roman"/>
          <w:bCs/>
        </w:rPr>
        <w:t>v</w:t>
      </w:r>
      <w:r w:rsidRPr="00187FD3">
        <w:rPr>
          <w:rFonts w:ascii="Times New Roman" w:hAnsi="Times New Roman" w:cs="Times New Roman"/>
          <w:bCs/>
        </w:rPr>
        <w:t>incula</w:t>
      </w:r>
      <w:r w:rsidR="00D61002" w:rsidRPr="00187FD3">
        <w:rPr>
          <w:rFonts w:ascii="Times New Roman" w:hAnsi="Times New Roman" w:cs="Times New Roman"/>
          <w:bCs/>
        </w:rPr>
        <w:t>dos</w:t>
      </w:r>
      <w:r w:rsidRPr="00187FD3">
        <w:rPr>
          <w:rFonts w:ascii="Times New Roman" w:hAnsi="Times New Roman" w:cs="Times New Roman"/>
          <w:bCs/>
        </w:rPr>
        <w:t xml:space="preserve"> con la tecnología.</w:t>
      </w:r>
      <w:r w:rsidRPr="00187FD3">
        <w:rPr>
          <w:rStyle w:val="Refdenotaalpie"/>
          <w:rFonts w:ascii="Times New Roman" w:hAnsi="Times New Roman" w:cs="Times New Roman"/>
          <w:bCs/>
        </w:rPr>
        <w:footnoteReference w:id="52"/>
      </w:r>
      <w:r w:rsidRPr="00187FD3">
        <w:rPr>
          <w:rFonts w:ascii="Times New Roman" w:hAnsi="Times New Roman" w:cs="Times New Roman"/>
          <w:bCs/>
        </w:rPr>
        <w:t xml:space="preserve"> </w:t>
      </w:r>
    </w:p>
    <w:p w14:paraId="600F9ABD" w14:textId="1710826B" w:rsidR="00D61002" w:rsidRPr="00187FD3" w:rsidRDefault="00D61002" w:rsidP="00ED7017">
      <w:pPr>
        <w:rPr>
          <w:rFonts w:ascii="Times New Roman" w:hAnsi="Times New Roman" w:cs="Times New Roman"/>
          <w:bCs/>
        </w:rPr>
      </w:pPr>
      <w:r w:rsidRPr="00187FD3">
        <w:rPr>
          <w:rFonts w:ascii="Times New Roman" w:hAnsi="Times New Roman" w:cs="Times New Roman"/>
          <w:bCs/>
        </w:rPr>
        <w:lastRenderedPageBreak/>
        <w:tab/>
        <w:t>Conforme hemos desarrollado en el capítulo anterior, esta orfandad normativa no ha sido obstáculo para que la Corte, en uso de atribuciones reconocidas o asumidas, haya ampliado los alcances de los derechos consagrados en la convención, de modo de abarcar el impacto que las nuevas tecnologías han tenido en ellos.</w:t>
      </w:r>
    </w:p>
    <w:p w14:paraId="6F67F5AB" w14:textId="30BB0DE7" w:rsidR="007C669B" w:rsidRPr="00187FD3" w:rsidRDefault="007C669B" w:rsidP="007C669B">
      <w:pPr>
        <w:rPr>
          <w:rFonts w:ascii="Times New Roman" w:hAnsi="Times New Roman" w:cs="Times New Roman"/>
          <w:bCs/>
        </w:rPr>
      </w:pPr>
      <w:r w:rsidRPr="00187FD3">
        <w:rPr>
          <w:rFonts w:ascii="Times New Roman" w:hAnsi="Times New Roman" w:cs="Times New Roman"/>
          <w:bCs/>
        </w:rPr>
        <w:tab/>
      </w:r>
      <w:r w:rsidR="00D26057" w:rsidRPr="00187FD3">
        <w:rPr>
          <w:rFonts w:ascii="Times New Roman" w:hAnsi="Times New Roman" w:cs="Times New Roman"/>
          <w:bCs/>
        </w:rPr>
        <w:t>A</w:t>
      </w:r>
      <w:r w:rsidRPr="00187FD3">
        <w:rPr>
          <w:rFonts w:ascii="Times New Roman" w:hAnsi="Times New Roman" w:cs="Times New Roman"/>
          <w:bCs/>
        </w:rPr>
        <w:t xml:space="preserve">dvertimos con </w:t>
      </w:r>
      <w:r w:rsidR="00D26057" w:rsidRPr="00187FD3">
        <w:rPr>
          <w:rFonts w:ascii="Times New Roman" w:hAnsi="Times New Roman" w:cs="Times New Roman"/>
          <w:bCs/>
        </w:rPr>
        <w:t>FROSINI</w:t>
      </w:r>
      <w:r w:rsidRPr="00187FD3">
        <w:rPr>
          <w:rFonts w:ascii="Times New Roman" w:hAnsi="Times New Roman" w:cs="Times New Roman"/>
          <w:bCs/>
        </w:rPr>
        <w:t xml:space="preserve"> que “Ciertamente, el progreso tecnológico puede ser portador de beneficios o de perjuicios, según como lo encauce la voluntad humana; ciertamente, ha dado origen a nuevas situaciones que han provocado la necesidad de nuevas elecciones y decisiones, en ocasiones incluso angustiosas, como en el caso de la ingeniería genética (el nacimiento de bebés-probeta, la modificación prenatal del sexo); ciertamente, tal progreso no debe ser considerado como un bien absoluto al que se subordinan o sacrifican todos los demás valores. El observador social debe, sin embargo, constatar que es precisamente en coincidencia histórica con la irrupción de la civilización tecnológica tras la Segunda Guerra Mundial, también en parte por una reacción de la conciencia humana ante los horrores que había presenciado, cuando la sociedad civil ha reivindicado avances decisivos en el plano del reconocimiento y de las garantías jurídicas de los derechos humanos en el marco planetario.”</w:t>
      </w:r>
      <w:r w:rsidRPr="00187FD3">
        <w:rPr>
          <w:rStyle w:val="Refdenotaalpie"/>
          <w:rFonts w:ascii="Times New Roman" w:hAnsi="Times New Roman" w:cs="Times New Roman"/>
          <w:bCs/>
        </w:rPr>
        <w:footnoteReference w:id="53"/>
      </w:r>
    </w:p>
    <w:p w14:paraId="479262E5" w14:textId="77777777" w:rsidR="00D26057" w:rsidRPr="00187FD3" w:rsidRDefault="00D26057" w:rsidP="007C669B">
      <w:pPr>
        <w:rPr>
          <w:rFonts w:ascii="Times New Roman" w:hAnsi="Times New Roman" w:cs="Times New Roman"/>
          <w:bCs/>
        </w:rPr>
      </w:pPr>
      <w:r w:rsidRPr="00187FD3">
        <w:rPr>
          <w:rFonts w:ascii="Times New Roman" w:hAnsi="Times New Roman" w:cs="Times New Roman"/>
          <w:bCs/>
        </w:rPr>
        <w:tab/>
        <w:t xml:space="preserve">No </w:t>
      </w:r>
      <w:proofErr w:type="gramStart"/>
      <w:r w:rsidRPr="00187FD3">
        <w:rPr>
          <w:rFonts w:ascii="Times New Roman" w:hAnsi="Times New Roman" w:cs="Times New Roman"/>
          <w:bCs/>
        </w:rPr>
        <w:t>obstante</w:t>
      </w:r>
      <w:proofErr w:type="gramEnd"/>
      <w:r w:rsidRPr="00187FD3">
        <w:rPr>
          <w:rFonts w:ascii="Times New Roman" w:hAnsi="Times New Roman" w:cs="Times New Roman"/>
          <w:bCs/>
        </w:rPr>
        <w:t xml:space="preserve"> ello, celebramos los avances en la materia, convencidos que la tecnología ha impactado positivamente en los derechos, ampliando su espectro y campo de acción y que resultan mucho más claros los beneficios de esa ampliación, que sus riesgos. </w:t>
      </w:r>
    </w:p>
    <w:p w14:paraId="458AA69F" w14:textId="13D929F2" w:rsidR="00ED7017" w:rsidRPr="00187FD3" w:rsidRDefault="00D26057" w:rsidP="007C669B">
      <w:pPr>
        <w:rPr>
          <w:rFonts w:ascii="Times New Roman" w:hAnsi="Times New Roman" w:cs="Times New Roman"/>
        </w:rPr>
      </w:pPr>
      <w:r w:rsidRPr="00187FD3">
        <w:rPr>
          <w:rFonts w:ascii="Times New Roman" w:hAnsi="Times New Roman" w:cs="Times New Roman"/>
          <w:bCs/>
        </w:rPr>
        <w:tab/>
      </w:r>
      <w:r w:rsidR="00D61002" w:rsidRPr="00187FD3">
        <w:rPr>
          <w:rFonts w:ascii="Times New Roman" w:hAnsi="Times New Roman" w:cs="Times New Roman"/>
          <w:bCs/>
        </w:rPr>
        <w:tab/>
      </w:r>
    </w:p>
    <w:p w14:paraId="732708C9" w14:textId="77777777" w:rsidR="00ED7017" w:rsidRPr="00187FD3" w:rsidRDefault="00ED7017" w:rsidP="00ED7017">
      <w:pPr>
        <w:rPr>
          <w:rFonts w:ascii="Times New Roman" w:hAnsi="Times New Roman" w:cs="Times New Roman"/>
          <w:b/>
          <w:bCs/>
        </w:rPr>
      </w:pPr>
      <w:r w:rsidRPr="00187FD3">
        <w:rPr>
          <w:rFonts w:ascii="Times New Roman" w:hAnsi="Times New Roman" w:cs="Times New Roman"/>
          <w:b/>
          <w:bCs/>
        </w:rPr>
        <w:t>VII. Bibliografía</w:t>
      </w:r>
    </w:p>
    <w:p w14:paraId="3B88FDDB" w14:textId="2B64F8DB"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bCs/>
        </w:rPr>
        <w:t>ACOSTA ALVARADO</w:t>
      </w:r>
      <w:r w:rsidRPr="00187FD3">
        <w:rPr>
          <w:rFonts w:ascii="Times New Roman" w:hAnsi="Times New Roman" w:cs="Times New Roman"/>
          <w:bCs/>
        </w:rPr>
        <w:t>, Paola, “</w:t>
      </w:r>
      <w:r w:rsidRPr="00187FD3">
        <w:rPr>
          <w:rFonts w:ascii="Times New Roman" w:hAnsi="Times New Roman" w:cs="Times New Roman"/>
        </w:rPr>
        <w:t>Zombis Vs. Frankenstein: Sobre las relaciones entre el Derecho Internacional y el Derecho Interno” en Estudios Constitucionales, Año 14, Nº 1, 2016, pp. 15-60.</w:t>
      </w:r>
    </w:p>
    <w:p w14:paraId="117F97B3" w14:textId="6371BFE5" w:rsidR="00ED7017" w:rsidRPr="00187FD3" w:rsidRDefault="00ED7017" w:rsidP="00ED7017">
      <w:pPr>
        <w:rPr>
          <w:rFonts w:ascii="Times New Roman" w:hAnsi="Times New Roman" w:cs="Times New Roman"/>
        </w:rPr>
      </w:pPr>
      <w:r w:rsidRPr="00187FD3">
        <w:rPr>
          <w:rFonts w:ascii="Times New Roman" w:hAnsi="Times New Roman" w:cs="Times New Roman"/>
        </w:rPr>
        <w:lastRenderedPageBreak/>
        <w:t xml:space="preserve">- </w:t>
      </w:r>
      <w:r w:rsidR="00EF4BE9" w:rsidRPr="00187FD3">
        <w:rPr>
          <w:rFonts w:ascii="Times New Roman" w:hAnsi="Times New Roman" w:cs="Times New Roman"/>
        </w:rPr>
        <w:t>ARBALLO</w:t>
      </w:r>
      <w:r w:rsidRPr="00187FD3">
        <w:rPr>
          <w:rFonts w:ascii="Times New Roman" w:hAnsi="Times New Roman" w:cs="Times New Roman"/>
        </w:rPr>
        <w:t xml:space="preserve">, Gustavo, “Memoria y Balance del Neoconstitucionalismo” en Revista Jurídica de la Universidad de Palermo, Año 18, Nº 2, </w:t>
      </w:r>
      <w:proofErr w:type="gramStart"/>
      <w:r w:rsidRPr="00187FD3">
        <w:rPr>
          <w:rFonts w:ascii="Times New Roman" w:hAnsi="Times New Roman" w:cs="Times New Roman"/>
        </w:rPr>
        <w:t>Noviembre</w:t>
      </w:r>
      <w:proofErr w:type="gramEnd"/>
      <w:r w:rsidRPr="00187FD3">
        <w:rPr>
          <w:rFonts w:ascii="Times New Roman" w:hAnsi="Times New Roman" w:cs="Times New Roman"/>
        </w:rPr>
        <w:t xml:space="preserve"> de 2020, pp. 9-30.</w:t>
      </w:r>
    </w:p>
    <w:p w14:paraId="66EB5909" w14:textId="0CD5E435" w:rsidR="00ED7017" w:rsidRPr="00187FD3" w:rsidRDefault="00ED7017" w:rsidP="00ED7017">
      <w:pPr>
        <w:rPr>
          <w:rFonts w:ascii="Times New Roman" w:hAnsi="Times New Roman" w:cs="Times New Roman"/>
          <w:lang w:val="es-ES"/>
        </w:rPr>
      </w:pPr>
      <w:r w:rsidRPr="00187FD3">
        <w:rPr>
          <w:rFonts w:ascii="Times New Roman" w:hAnsi="Times New Roman" w:cs="Times New Roman"/>
        </w:rPr>
        <w:t xml:space="preserve">- </w:t>
      </w:r>
      <w:r w:rsidR="00EF4BE9" w:rsidRPr="00187FD3">
        <w:rPr>
          <w:rFonts w:ascii="Times New Roman" w:hAnsi="Times New Roman" w:cs="Times New Roman"/>
          <w:lang w:val="es-ES"/>
        </w:rPr>
        <w:t>BACHOF</w:t>
      </w:r>
      <w:r w:rsidRPr="00187FD3">
        <w:rPr>
          <w:rFonts w:ascii="Times New Roman" w:hAnsi="Times New Roman" w:cs="Times New Roman"/>
          <w:lang w:val="es-ES"/>
        </w:rPr>
        <w:t xml:space="preserve">, Otto, </w:t>
      </w:r>
      <w:r w:rsidRPr="00187FD3">
        <w:rPr>
          <w:rFonts w:ascii="Times New Roman" w:hAnsi="Times New Roman" w:cs="Times New Roman"/>
          <w:i/>
          <w:iCs/>
          <w:lang w:val="es-ES"/>
        </w:rPr>
        <w:t xml:space="preserve">Jueces y constitución, </w:t>
      </w:r>
      <w:r w:rsidRPr="00187FD3">
        <w:rPr>
          <w:rFonts w:ascii="Times New Roman" w:hAnsi="Times New Roman" w:cs="Times New Roman"/>
          <w:lang w:val="es-ES"/>
        </w:rPr>
        <w:t>traducción de Bercovitz Rodríguez-Cano, Rodrigo, Madrid, Taurus, 1963.</w:t>
      </w:r>
    </w:p>
    <w:p w14:paraId="02CA9A85" w14:textId="42889CD4"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CARDUCCI</w:t>
      </w:r>
      <w:r w:rsidRPr="00187FD3">
        <w:rPr>
          <w:rFonts w:ascii="Times New Roman" w:hAnsi="Times New Roman" w:cs="Times New Roman"/>
        </w:rPr>
        <w:t xml:space="preserve">, Michele e </w:t>
      </w:r>
      <w:r w:rsidR="00EF4BE9" w:rsidRPr="00187FD3">
        <w:rPr>
          <w:rFonts w:ascii="Times New Roman" w:hAnsi="Times New Roman" w:cs="Times New Roman"/>
        </w:rPr>
        <w:t>ISONI,</w:t>
      </w:r>
      <w:r w:rsidRPr="00187FD3">
        <w:rPr>
          <w:rFonts w:ascii="Times New Roman" w:hAnsi="Times New Roman" w:cs="Times New Roman"/>
        </w:rPr>
        <w:t xml:space="preserve"> Alessandro, “¿Es posible un derecho constitucional transnacional?”, en </w:t>
      </w:r>
      <w:r w:rsidR="00EF4BE9" w:rsidRPr="00187FD3">
        <w:rPr>
          <w:rFonts w:ascii="Times New Roman" w:hAnsi="Times New Roman" w:cs="Times New Roman"/>
        </w:rPr>
        <w:t>RIBERI</w:t>
      </w:r>
      <w:r w:rsidRPr="00187FD3">
        <w:rPr>
          <w:rFonts w:ascii="Times New Roman" w:hAnsi="Times New Roman" w:cs="Times New Roman"/>
        </w:rPr>
        <w:t xml:space="preserve">, Pablo (Coordinador), </w:t>
      </w:r>
      <w:r w:rsidRPr="00187FD3">
        <w:rPr>
          <w:rFonts w:ascii="Times New Roman" w:hAnsi="Times New Roman" w:cs="Times New Roman"/>
          <w:i/>
          <w:iCs/>
        </w:rPr>
        <w:t>Fundamentos y desafíos de la teoría constitucional contemporánea</w:t>
      </w:r>
      <w:r w:rsidRPr="00187FD3">
        <w:rPr>
          <w:rFonts w:ascii="Times New Roman" w:hAnsi="Times New Roman" w:cs="Times New Roman"/>
        </w:rPr>
        <w:t>, Buenos Aires, Rubinzal Culzoni, 2019, p. 361.</w:t>
      </w:r>
    </w:p>
    <w:p w14:paraId="31968435" w14:textId="4D3F9DB5"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COMANDUCCI</w:t>
      </w:r>
      <w:r w:rsidRPr="00187FD3">
        <w:rPr>
          <w:rFonts w:ascii="Times New Roman" w:hAnsi="Times New Roman" w:cs="Times New Roman"/>
        </w:rPr>
        <w:t xml:space="preserve">, Paolo, </w:t>
      </w:r>
      <w:r w:rsidR="00EF4BE9" w:rsidRPr="00187FD3">
        <w:rPr>
          <w:rFonts w:ascii="Times New Roman" w:hAnsi="Times New Roman" w:cs="Times New Roman"/>
        </w:rPr>
        <w:t>AHUMADA</w:t>
      </w:r>
      <w:r w:rsidRPr="00187FD3">
        <w:rPr>
          <w:rFonts w:ascii="Times New Roman" w:hAnsi="Times New Roman" w:cs="Times New Roman"/>
        </w:rPr>
        <w:t xml:space="preserve">, María Ángeles y </w:t>
      </w:r>
      <w:r w:rsidR="00EF4BE9" w:rsidRPr="00187FD3">
        <w:rPr>
          <w:rFonts w:ascii="Times New Roman" w:hAnsi="Times New Roman" w:cs="Times New Roman"/>
        </w:rPr>
        <w:t>GONZÁLEZ LAGIER</w:t>
      </w:r>
      <w:r w:rsidRPr="00187FD3">
        <w:rPr>
          <w:rFonts w:ascii="Times New Roman" w:hAnsi="Times New Roman" w:cs="Times New Roman"/>
        </w:rPr>
        <w:t xml:space="preserve">, Daniel, </w:t>
      </w:r>
      <w:r w:rsidRPr="00187FD3">
        <w:rPr>
          <w:rFonts w:ascii="Times New Roman" w:hAnsi="Times New Roman" w:cs="Times New Roman"/>
          <w:i/>
          <w:iCs/>
        </w:rPr>
        <w:t>Positivismo jurídico y neoconstitucionalismo</w:t>
      </w:r>
      <w:r w:rsidRPr="00187FD3">
        <w:rPr>
          <w:rFonts w:ascii="Times New Roman" w:hAnsi="Times New Roman" w:cs="Times New Roman"/>
        </w:rPr>
        <w:t>, Madrid, Fundación Coloquio Jurídico Europeo, 2009.</w:t>
      </w:r>
    </w:p>
    <w:p w14:paraId="1C91F75B" w14:textId="0BB72E6A" w:rsidR="009F0165" w:rsidRPr="00187FD3" w:rsidRDefault="009F0165" w:rsidP="00ED7017">
      <w:pPr>
        <w:rPr>
          <w:rFonts w:ascii="Times New Roman" w:hAnsi="Times New Roman" w:cs="Times New Roman"/>
        </w:rPr>
      </w:pPr>
      <w:r w:rsidRPr="00187FD3">
        <w:rPr>
          <w:rFonts w:ascii="Times New Roman" w:hAnsi="Times New Roman" w:cs="Times New Roman"/>
        </w:rPr>
        <w:t xml:space="preserve">- </w:t>
      </w:r>
      <w:r w:rsidRPr="00187FD3">
        <w:rPr>
          <w:rFonts w:ascii="Times New Roman" w:hAnsi="Times New Roman" w:cs="Times New Roman"/>
          <w:lang w:val="es-ES"/>
        </w:rPr>
        <w:t>DOMÍNGUEZ, Mariano, “Los Derechos Humanos y la reforma de la Constitución de Mendoza”, en Historia, Teoría y Realidad Constitucional, Reforma de la Constitución de Mendoza (I), Año 1, Nº 1, Mendoza, 2005, pp. 12</w:t>
      </w:r>
      <w:r w:rsidR="00314E19" w:rsidRPr="00187FD3">
        <w:rPr>
          <w:rFonts w:ascii="Times New Roman" w:hAnsi="Times New Roman" w:cs="Times New Roman"/>
          <w:lang w:val="es-ES"/>
        </w:rPr>
        <w:t>1-163</w:t>
      </w:r>
      <w:r w:rsidRPr="00187FD3">
        <w:rPr>
          <w:rFonts w:ascii="Times New Roman" w:hAnsi="Times New Roman" w:cs="Times New Roman"/>
          <w:lang w:val="es-ES"/>
        </w:rPr>
        <w:t>.</w:t>
      </w:r>
    </w:p>
    <w:p w14:paraId="765ABF51" w14:textId="0E1BD211" w:rsidR="00ED7017" w:rsidRPr="00187FD3" w:rsidRDefault="00ED7017" w:rsidP="00ED7017">
      <w:pPr>
        <w:rPr>
          <w:rStyle w:val="Hipervnculo"/>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EGÜES</w:t>
      </w:r>
      <w:r w:rsidRPr="00187FD3">
        <w:rPr>
          <w:rFonts w:ascii="Times New Roman" w:hAnsi="Times New Roman" w:cs="Times New Roman"/>
        </w:rPr>
        <w:t xml:space="preserve">, Nicolás, “Modelos judiciales y procesos constitucionales”, publicado en Revista “Actualidad Jurídica”, año II, Vol. 24, Julio/Agosto 2016, </w:t>
      </w:r>
      <w:hyperlink r:id="rId7" w:history="1">
        <w:r w:rsidRPr="00187FD3">
          <w:rPr>
            <w:rStyle w:val="Hipervnculo"/>
            <w:rFonts w:ascii="Times New Roman" w:hAnsi="Times New Roman" w:cs="Times New Roman"/>
          </w:rPr>
          <w:t>www.actualidadjuridica.com.ar</w:t>
        </w:r>
      </w:hyperlink>
    </w:p>
    <w:p w14:paraId="226F3ACF" w14:textId="09E12E77" w:rsidR="00774E02" w:rsidRPr="00187FD3" w:rsidRDefault="00774E02" w:rsidP="00774E02">
      <w:pPr>
        <w:pStyle w:val="Textonotapie"/>
        <w:rPr>
          <w:sz w:val="24"/>
          <w:szCs w:val="24"/>
        </w:rPr>
      </w:pPr>
      <w:r w:rsidRPr="00187FD3">
        <w:rPr>
          <w:sz w:val="24"/>
          <w:szCs w:val="24"/>
          <w:lang w:val="es-ES"/>
        </w:rPr>
        <w:t xml:space="preserve">- </w:t>
      </w:r>
      <w:r w:rsidRPr="00187FD3">
        <w:rPr>
          <w:sz w:val="24"/>
          <w:szCs w:val="24"/>
        </w:rPr>
        <w:t xml:space="preserve">“Visiones en torno al rol del poder judicial”, puede verse en </w:t>
      </w:r>
      <w:hyperlink r:id="rId8" w:history="1">
        <w:r w:rsidRPr="00187FD3">
          <w:rPr>
            <w:rStyle w:val="Hipervnculo"/>
            <w:sz w:val="24"/>
            <w:szCs w:val="24"/>
          </w:rPr>
          <w:t>https://riej1812.com/ponencias-iii/</w:t>
        </w:r>
      </w:hyperlink>
      <w:r w:rsidRPr="00187FD3">
        <w:rPr>
          <w:sz w:val="24"/>
          <w:szCs w:val="24"/>
        </w:rPr>
        <w:t xml:space="preserve">. </w:t>
      </w:r>
    </w:p>
    <w:p w14:paraId="1B5704B0" w14:textId="7F44B954" w:rsidR="00ED7017" w:rsidRPr="00187FD3" w:rsidRDefault="00ED7017" w:rsidP="00ED7017">
      <w:pPr>
        <w:pStyle w:val="Textonotapie"/>
        <w:rPr>
          <w:sz w:val="24"/>
          <w:szCs w:val="24"/>
        </w:rPr>
      </w:pPr>
      <w:r w:rsidRPr="00187FD3">
        <w:rPr>
          <w:sz w:val="24"/>
          <w:szCs w:val="24"/>
          <w:lang w:val="es-ES"/>
        </w:rPr>
        <w:t xml:space="preserve">- </w:t>
      </w:r>
      <w:r w:rsidR="00EF4BE9" w:rsidRPr="00187FD3">
        <w:rPr>
          <w:sz w:val="24"/>
          <w:szCs w:val="24"/>
        </w:rPr>
        <w:t>FERRAJOLI</w:t>
      </w:r>
      <w:r w:rsidRPr="00187FD3">
        <w:rPr>
          <w:sz w:val="24"/>
          <w:szCs w:val="24"/>
        </w:rPr>
        <w:t xml:space="preserve">, Luigi, </w:t>
      </w:r>
      <w:r w:rsidRPr="00187FD3">
        <w:rPr>
          <w:i/>
          <w:sz w:val="24"/>
          <w:szCs w:val="24"/>
        </w:rPr>
        <w:t xml:space="preserve">Un debate sobre el </w:t>
      </w:r>
      <w:proofErr w:type="gramStart"/>
      <w:r w:rsidRPr="00187FD3">
        <w:rPr>
          <w:i/>
          <w:sz w:val="24"/>
          <w:szCs w:val="24"/>
        </w:rPr>
        <w:t xml:space="preserve">constitucionalismo, </w:t>
      </w:r>
      <w:r w:rsidRPr="00187FD3">
        <w:rPr>
          <w:sz w:val="24"/>
          <w:szCs w:val="24"/>
        </w:rPr>
        <w:t xml:space="preserve"> Madrid</w:t>
      </w:r>
      <w:proofErr w:type="gramEnd"/>
      <w:r w:rsidRPr="00187FD3">
        <w:rPr>
          <w:sz w:val="24"/>
          <w:szCs w:val="24"/>
        </w:rPr>
        <w:t>, Marcial Pons, 2012.</w:t>
      </w:r>
    </w:p>
    <w:p w14:paraId="377DCD61" w14:textId="4A0BBAE3" w:rsidR="005B5621" w:rsidRPr="00187FD3" w:rsidRDefault="005B5621" w:rsidP="005B5621">
      <w:pPr>
        <w:pStyle w:val="Textonotapie"/>
        <w:rPr>
          <w:sz w:val="24"/>
          <w:szCs w:val="24"/>
          <w:lang w:val="es-ES"/>
        </w:rPr>
      </w:pPr>
      <w:r w:rsidRPr="00187FD3">
        <w:rPr>
          <w:sz w:val="24"/>
          <w:szCs w:val="24"/>
        </w:rPr>
        <w:t xml:space="preserve">- </w:t>
      </w:r>
      <w:r w:rsidRPr="00187FD3">
        <w:rPr>
          <w:sz w:val="24"/>
          <w:szCs w:val="24"/>
          <w:lang w:val="es-ES"/>
        </w:rPr>
        <w:t xml:space="preserve">FROSINI, VIttorio, “Los derechos humanos en la era tecnológica” en SORIANO DÍAZ, Ramón, ALARCÓN CABRERA, Carlos y MORA MOLINA, Juan (Directores), </w:t>
      </w:r>
      <w:r w:rsidRPr="00187FD3">
        <w:rPr>
          <w:i/>
          <w:iCs/>
          <w:sz w:val="24"/>
          <w:szCs w:val="24"/>
          <w:lang w:val="es-ES"/>
        </w:rPr>
        <w:t xml:space="preserve">Diccionario Crítico de los Derechos Humanos, </w:t>
      </w:r>
      <w:r w:rsidRPr="00187FD3">
        <w:rPr>
          <w:sz w:val="24"/>
          <w:szCs w:val="24"/>
          <w:lang w:val="es-ES"/>
        </w:rPr>
        <w:t>España, Universidad Internacional de Andalucía, 2000, pp. 79-87.</w:t>
      </w:r>
    </w:p>
    <w:p w14:paraId="7AB3ADA5" w14:textId="6C7DF71C" w:rsidR="00ED7017" w:rsidRPr="00187FD3" w:rsidRDefault="00ED7017" w:rsidP="00ED7017">
      <w:pPr>
        <w:pStyle w:val="Textonotapie"/>
        <w:rPr>
          <w:sz w:val="24"/>
          <w:szCs w:val="24"/>
        </w:rPr>
      </w:pPr>
      <w:r w:rsidRPr="00187FD3">
        <w:rPr>
          <w:sz w:val="24"/>
          <w:szCs w:val="24"/>
        </w:rPr>
        <w:t xml:space="preserve">- </w:t>
      </w:r>
      <w:r w:rsidR="00EF4BE9" w:rsidRPr="00187FD3">
        <w:rPr>
          <w:sz w:val="24"/>
          <w:szCs w:val="24"/>
        </w:rPr>
        <w:t>GARCÍA JARAMILLO</w:t>
      </w:r>
      <w:r w:rsidRPr="00187FD3">
        <w:rPr>
          <w:sz w:val="24"/>
          <w:szCs w:val="24"/>
        </w:rPr>
        <w:t xml:space="preserve">, </w:t>
      </w:r>
      <w:proofErr w:type="gramStart"/>
      <w:r w:rsidRPr="00187FD3">
        <w:rPr>
          <w:sz w:val="24"/>
          <w:szCs w:val="24"/>
        </w:rPr>
        <w:t xml:space="preserve">Leonardo,  </w:t>
      </w:r>
      <w:r w:rsidRPr="00187FD3">
        <w:rPr>
          <w:i/>
          <w:iCs/>
          <w:sz w:val="24"/>
          <w:szCs w:val="24"/>
        </w:rPr>
        <w:t>Activismo</w:t>
      </w:r>
      <w:proofErr w:type="gramEnd"/>
      <w:r w:rsidRPr="00187FD3">
        <w:rPr>
          <w:i/>
          <w:iCs/>
          <w:sz w:val="24"/>
          <w:szCs w:val="24"/>
        </w:rPr>
        <w:t xml:space="preserve"> Judicial y Dogmática de los Márgenes de Acción: Una discusión en clave Neoconstitucional, </w:t>
      </w:r>
      <w:r w:rsidRPr="00187FD3">
        <w:rPr>
          <w:sz w:val="24"/>
          <w:szCs w:val="24"/>
        </w:rPr>
        <w:t>México, Instituto de Estudios Constitucionales del Estado de Querétaro, 2016.</w:t>
      </w:r>
    </w:p>
    <w:p w14:paraId="214E8E47" w14:textId="0CF324EE" w:rsidR="00ED7017" w:rsidRPr="00187FD3" w:rsidRDefault="00ED7017" w:rsidP="00ED7017">
      <w:pPr>
        <w:pStyle w:val="Textonotapie"/>
        <w:rPr>
          <w:i/>
          <w:iCs/>
          <w:sz w:val="24"/>
          <w:szCs w:val="24"/>
          <w:lang w:val="es-ES"/>
        </w:rPr>
      </w:pPr>
      <w:r w:rsidRPr="00187FD3">
        <w:rPr>
          <w:sz w:val="24"/>
          <w:szCs w:val="24"/>
          <w:lang w:val="es-ES"/>
        </w:rPr>
        <w:t xml:space="preserve">- </w:t>
      </w:r>
      <w:r w:rsidR="00EF4BE9" w:rsidRPr="00187FD3">
        <w:rPr>
          <w:sz w:val="24"/>
          <w:szCs w:val="24"/>
          <w:lang w:val="es-ES"/>
        </w:rPr>
        <w:t>GARGARELLA</w:t>
      </w:r>
      <w:r w:rsidRPr="00187FD3">
        <w:rPr>
          <w:sz w:val="24"/>
          <w:szCs w:val="24"/>
          <w:lang w:val="es-ES"/>
        </w:rPr>
        <w:t xml:space="preserve">, Roberto, </w:t>
      </w:r>
      <w:r w:rsidRPr="00187FD3">
        <w:rPr>
          <w:i/>
          <w:iCs/>
          <w:sz w:val="24"/>
          <w:szCs w:val="24"/>
          <w:lang w:val="es-ES"/>
        </w:rPr>
        <w:t>La sala de máquinas de la Constitución. Dos siglos de constitucionalismo en América Lantina (1810-2010),</w:t>
      </w:r>
      <w:r w:rsidRPr="00187FD3">
        <w:rPr>
          <w:sz w:val="24"/>
          <w:szCs w:val="24"/>
          <w:lang w:val="es-ES"/>
        </w:rPr>
        <w:t xml:space="preserve"> Buenos Aires, Katz Editores, 2014.</w:t>
      </w:r>
      <w:r w:rsidRPr="00187FD3">
        <w:rPr>
          <w:i/>
          <w:iCs/>
          <w:sz w:val="24"/>
          <w:szCs w:val="24"/>
          <w:lang w:val="es-ES"/>
        </w:rPr>
        <w:t xml:space="preserve"> </w:t>
      </w:r>
    </w:p>
    <w:p w14:paraId="5DB50252" w14:textId="77777777" w:rsidR="00ED7017" w:rsidRPr="00187FD3" w:rsidRDefault="00ED7017" w:rsidP="00ED7017">
      <w:pPr>
        <w:pStyle w:val="Textonotapie"/>
        <w:rPr>
          <w:sz w:val="24"/>
          <w:szCs w:val="24"/>
        </w:rPr>
      </w:pPr>
      <w:r w:rsidRPr="00187FD3">
        <w:rPr>
          <w:i/>
          <w:iCs/>
          <w:sz w:val="24"/>
          <w:szCs w:val="24"/>
          <w:lang w:val="es-ES"/>
        </w:rPr>
        <w:lastRenderedPageBreak/>
        <w:t xml:space="preserve">- </w:t>
      </w:r>
      <w:r w:rsidRPr="00187FD3">
        <w:rPr>
          <w:i/>
          <w:iCs/>
          <w:sz w:val="24"/>
          <w:szCs w:val="24"/>
        </w:rPr>
        <w:t xml:space="preserve">El derecho como una conversación entre iguales, </w:t>
      </w:r>
      <w:bookmarkStart w:id="21" w:name="_Hlk110258882"/>
      <w:r w:rsidRPr="00187FD3">
        <w:rPr>
          <w:sz w:val="24"/>
          <w:szCs w:val="24"/>
        </w:rPr>
        <w:t>Buenos Aires, Siglo Veintiuno Editores, 2021</w:t>
      </w:r>
    </w:p>
    <w:bookmarkEnd w:id="21"/>
    <w:p w14:paraId="49CD811B" w14:textId="6ABECE56" w:rsidR="00EF4BE9" w:rsidRPr="00187FD3" w:rsidRDefault="00EF4BE9" w:rsidP="00ED7017">
      <w:pPr>
        <w:rPr>
          <w:rFonts w:ascii="Times New Roman" w:hAnsi="Times New Roman" w:cs="Times New Roman"/>
        </w:rPr>
      </w:pPr>
      <w:r w:rsidRPr="00187FD3">
        <w:rPr>
          <w:rFonts w:ascii="Times New Roman" w:hAnsi="Times New Roman" w:cs="Times New Roman"/>
        </w:rPr>
        <w:t>- LAPORTA, Francisco, “Sobre el concepto de Derechos Humanos”, Doxa A- 1987, pp. 22-46.</w:t>
      </w:r>
    </w:p>
    <w:p w14:paraId="0426FD67" w14:textId="303FEA8E"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lang w:val="es-ES"/>
        </w:rPr>
        <w:t>LINARES</w:t>
      </w:r>
      <w:r w:rsidRPr="00187FD3">
        <w:rPr>
          <w:rFonts w:ascii="Times New Roman" w:hAnsi="Times New Roman" w:cs="Times New Roman"/>
          <w:lang w:val="es-ES"/>
        </w:rPr>
        <w:t xml:space="preserve">, Sebastián, </w:t>
      </w:r>
      <w:r w:rsidRPr="00187FD3">
        <w:rPr>
          <w:rFonts w:ascii="Times New Roman" w:hAnsi="Times New Roman" w:cs="Times New Roman"/>
          <w:i/>
          <w:iCs/>
        </w:rPr>
        <w:t xml:space="preserve">La ilegitimidad democrática del control judicial de las Leyes, </w:t>
      </w:r>
      <w:r w:rsidRPr="00187FD3">
        <w:rPr>
          <w:rFonts w:ascii="Times New Roman" w:hAnsi="Times New Roman" w:cs="Times New Roman"/>
        </w:rPr>
        <w:t>Buenos Aires, Marcial Pons, 2008.</w:t>
      </w:r>
    </w:p>
    <w:p w14:paraId="66D40453" w14:textId="2A9CD4D9" w:rsidR="00ED7017" w:rsidRPr="00187FD3" w:rsidRDefault="00ED7017" w:rsidP="00ED7017">
      <w:pPr>
        <w:rPr>
          <w:rFonts w:ascii="Times New Roman" w:hAnsi="Times New Roman" w:cs="Times New Roman"/>
          <w:lang w:val="es-ES"/>
        </w:rPr>
      </w:pPr>
      <w:r w:rsidRPr="00187FD3">
        <w:rPr>
          <w:rFonts w:ascii="Times New Roman" w:hAnsi="Times New Roman" w:cs="Times New Roman"/>
        </w:rPr>
        <w:t xml:space="preserve">- </w:t>
      </w:r>
      <w:r w:rsidR="00EF4BE9" w:rsidRPr="00187FD3">
        <w:rPr>
          <w:rFonts w:ascii="Times New Roman" w:hAnsi="Times New Roman" w:cs="Times New Roman"/>
        </w:rPr>
        <w:t>LOWENSTEIN</w:t>
      </w:r>
      <w:r w:rsidRPr="00187FD3">
        <w:rPr>
          <w:rFonts w:ascii="Times New Roman" w:hAnsi="Times New Roman" w:cs="Times New Roman"/>
        </w:rPr>
        <w:t xml:space="preserve">, Karl, </w:t>
      </w:r>
      <w:r w:rsidRPr="00187FD3">
        <w:rPr>
          <w:rFonts w:ascii="Times New Roman" w:hAnsi="Times New Roman" w:cs="Times New Roman"/>
          <w:i/>
        </w:rPr>
        <w:t xml:space="preserve">Teoría de la Constitución, </w:t>
      </w:r>
      <w:r w:rsidRPr="00187FD3">
        <w:rPr>
          <w:rFonts w:ascii="Times New Roman" w:hAnsi="Times New Roman" w:cs="Times New Roman"/>
        </w:rPr>
        <w:t>Barcelona, 1976.</w:t>
      </w:r>
    </w:p>
    <w:p w14:paraId="6EB6CEEC" w14:textId="1C53DF2A" w:rsidR="00ED7017" w:rsidRPr="00187FD3" w:rsidRDefault="00ED7017" w:rsidP="00ED7017">
      <w:pPr>
        <w:rPr>
          <w:rFonts w:ascii="Times New Roman" w:hAnsi="Times New Roman" w:cs="Times New Roman"/>
          <w:lang w:val="es-ES"/>
        </w:rPr>
      </w:pPr>
      <w:r w:rsidRPr="00187FD3">
        <w:rPr>
          <w:rFonts w:ascii="Times New Roman" w:hAnsi="Times New Roman" w:cs="Times New Roman"/>
        </w:rPr>
        <w:t>-</w:t>
      </w:r>
      <w:r w:rsidRPr="00187FD3">
        <w:rPr>
          <w:rFonts w:ascii="Times New Roman" w:hAnsi="Times New Roman" w:cs="Times New Roman"/>
          <w:lang w:val="es-ES"/>
        </w:rPr>
        <w:t xml:space="preserve"> </w:t>
      </w:r>
      <w:r w:rsidR="00EF4BE9" w:rsidRPr="00187FD3">
        <w:rPr>
          <w:rFonts w:ascii="Times New Roman" w:hAnsi="Times New Roman" w:cs="Times New Roman"/>
        </w:rPr>
        <w:t>MANILI</w:t>
      </w:r>
      <w:r w:rsidRPr="00187FD3">
        <w:rPr>
          <w:rFonts w:ascii="Times New Roman" w:hAnsi="Times New Roman" w:cs="Times New Roman"/>
        </w:rPr>
        <w:t>, Pablo Luis, “Evolución histórica de la protección jurídica de los Derechos Humanos (El tránsito del Derecho Constitucional al Internacional, y de vuelta al Constitucional)”, en Revista Argentina de Derecho Constitucional, Año. II, no. 4 (2001), pp. 68-98.</w:t>
      </w:r>
    </w:p>
    <w:p w14:paraId="762D2DB7" w14:textId="4F628265" w:rsidR="00ED7017" w:rsidRPr="00187FD3" w:rsidRDefault="00ED7017" w:rsidP="00ED7017">
      <w:pPr>
        <w:rPr>
          <w:rFonts w:ascii="Times New Roman" w:hAnsi="Times New Roman" w:cs="Times New Roman"/>
          <w:lang w:val="es-ES"/>
        </w:rPr>
      </w:pPr>
      <w:r w:rsidRPr="00187FD3">
        <w:rPr>
          <w:rFonts w:ascii="Times New Roman" w:hAnsi="Times New Roman" w:cs="Times New Roman"/>
          <w:lang w:val="es-ES"/>
        </w:rPr>
        <w:t xml:space="preserve">- </w:t>
      </w:r>
      <w:r w:rsidR="00EF4BE9" w:rsidRPr="00187FD3">
        <w:rPr>
          <w:rFonts w:ascii="Times New Roman" w:hAnsi="Times New Roman" w:cs="Times New Roman"/>
          <w:lang w:val="es-ES"/>
        </w:rPr>
        <w:t>OST</w:t>
      </w:r>
      <w:r w:rsidRPr="00187FD3">
        <w:rPr>
          <w:rFonts w:ascii="Times New Roman" w:hAnsi="Times New Roman" w:cs="Times New Roman"/>
          <w:lang w:val="es-ES"/>
        </w:rPr>
        <w:t>, Francois, “Júpiter, Hércules, Hermes: tres modelos de juez”, trad. Lifante Vidal, Isabel, Academia, Revista de Enseñanza del Derecho, año 4, núm. 8, 2007, pp. 101-130.</w:t>
      </w:r>
    </w:p>
    <w:p w14:paraId="2DE62F76" w14:textId="3AA4AD38"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PÉREZ LUÑO</w:t>
      </w:r>
      <w:r w:rsidRPr="00187FD3">
        <w:rPr>
          <w:rFonts w:ascii="Times New Roman" w:hAnsi="Times New Roman" w:cs="Times New Roman"/>
        </w:rPr>
        <w:t xml:space="preserve">, Antonio Enrique, “Las Generaciones de Derechos Humanos” en Revista del Centro de Estudios Constitucionales, Num. 10, </w:t>
      </w:r>
      <w:proofErr w:type="gramStart"/>
      <w:r w:rsidRPr="00187FD3">
        <w:rPr>
          <w:rFonts w:ascii="Times New Roman" w:hAnsi="Times New Roman" w:cs="Times New Roman"/>
        </w:rPr>
        <w:t>Septiembre</w:t>
      </w:r>
      <w:proofErr w:type="gramEnd"/>
      <w:r w:rsidRPr="00187FD3">
        <w:rPr>
          <w:rFonts w:ascii="Times New Roman" w:hAnsi="Times New Roman" w:cs="Times New Roman"/>
        </w:rPr>
        <w:t>-Diciembre 1991, pp. 203-217.</w:t>
      </w:r>
    </w:p>
    <w:p w14:paraId="758DFD9E" w14:textId="48F34F8B" w:rsidR="004263BE" w:rsidRPr="00187FD3" w:rsidRDefault="004263BE"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PETRACCHI</w:t>
      </w:r>
      <w:r w:rsidRPr="00187FD3">
        <w:rPr>
          <w:rFonts w:ascii="Times New Roman" w:hAnsi="Times New Roman" w:cs="Times New Roman"/>
        </w:rPr>
        <w:t>, Enrique S., “Los derechos humanos en la jurisprudencia de la Corte Suprema de Justicia de la República Argentina”, en Anuario de Derecho Constitucional Latinoamericano, Año 2006, Tomo II, pp. 1253-1278.</w:t>
      </w:r>
    </w:p>
    <w:p w14:paraId="72B79E53" w14:textId="1AC7D8BC"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PIZZOLO</w:t>
      </w:r>
      <w:r w:rsidRPr="00187FD3">
        <w:rPr>
          <w:rFonts w:ascii="Times New Roman" w:hAnsi="Times New Roman" w:cs="Times New Roman"/>
        </w:rPr>
        <w:t xml:space="preserve">, Calógero y </w:t>
      </w:r>
      <w:r w:rsidR="00EF4BE9" w:rsidRPr="00187FD3">
        <w:rPr>
          <w:rFonts w:ascii="Times New Roman" w:hAnsi="Times New Roman" w:cs="Times New Roman"/>
        </w:rPr>
        <w:t>MEZZETTI</w:t>
      </w:r>
      <w:r w:rsidRPr="00187FD3">
        <w:rPr>
          <w:rFonts w:ascii="Times New Roman" w:hAnsi="Times New Roman" w:cs="Times New Roman"/>
        </w:rPr>
        <w:t xml:space="preserve">, Luca (Coord.), </w:t>
      </w:r>
      <w:r w:rsidRPr="00187FD3">
        <w:rPr>
          <w:rFonts w:ascii="Times New Roman" w:hAnsi="Times New Roman" w:cs="Times New Roman"/>
          <w:i/>
          <w:iCs/>
        </w:rPr>
        <w:t xml:space="preserve">Tribunales supranacionales y tribunales nacionales, </w:t>
      </w:r>
      <w:r w:rsidRPr="00187FD3">
        <w:rPr>
          <w:rFonts w:ascii="Times New Roman" w:hAnsi="Times New Roman" w:cs="Times New Roman"/>
        </w:rPr>
        <w:t>Buenos Aires, Astrea, 2016.</w:t>
      </w:r>
    </w:p>
    <w:p w14:paraId="0941DBE7" w14:textId="1A759727" w:rsidR="00ED7017" w:rsidRPr="00187FD3" w:rsidRDefault="00EF4BE9" w:rsidP="00ED7017">
      <w:pPr>
        <w:rPr>
          <w:rFonts w:ascii="Times New Roman" w:hAnsi="Times New Roman" w:cs="Times New Roman"/>
        </w:rPr>
      </w:pPr>
      <w:r w:rsidRPr="00187FD3">
        <w:rPr>
          <w:rFonts w:ascii="Times New Roman" w:hAnsi="Times New Roman" w:cs="Times New Roman"/>
        </w:rPr>
        <w:t>- PIZZORUSSO</w:t>
      </w:r>
      <w:r w:rsidR="00ED7017" w:rsidRPr="00187FD3">
        <w:rPr>
          <w:rFonts w:ascii="Times New Roman" w:hAnsi="Times New Roman" w:cs="Times New Roman"/>
        </w:rPr>
        <w:t>, Alessandro, “Las generaciones de derechos”, Anuario de Derechos Humanos, Vol. 3, año 2002, pp. 291-307.</w:t>
      </w:r>
    </w:p>
    <w:p w14:paraId="3E9DE93C" w14:textId="72DF47C3" w:rsidR="00ED7017" w:rsidRPr="00187FD3" w:rsidRDefault="00EF4BE9" w:rsidP="00ED7017">
      <w:pPr>
        <w:rPr>
          <w:rFonts w:ascii="Times New Roman" w:hAnsi="Times New Roman" w:cs="Times New Roman"/>
        </w:rPr>
      </w:pPr>
      <w:r w:rsidRPr="00187FD3">
        <w:rPr>
          <w:rFonts w:ascii="Times New Roman" w:hAnsi="Times New Roman" w:cs="Times New Roman"/>
        </w:rPr>
        <w:t>- PRIETO SANCHÍS</w:t>
      </w:r>
      <w:r w:rsidR="00ED7017" w:rsidRPr="00187FD3">
        <w:rPr>
          <w:rFonts w:ascii="Times New Roman" w:hAnsi="Times New Roman" w:cs="Times New Roman"/>
        </w:rPr>
        <w:t xml:space="preserve">, Luis, voz “neoconstitucionalismo” en Miguel Carbonell (coord.), </w:t>
      </w:r>
      <w:r w:rsidR="00ED7017" w:rsidRPr="00187FD3">
        <w:rPr>
          <w:rFonts w:ascii="Times New Roman" w:hAnsi="Times New Roman" w:cs="Times New Roman"/>
          <w:i/>
          <w:iCs/>
        </w:rPr>
        <w:t>Diccionario de Derecho Constitucional</w:t>
      </w:r>
      <w:r w:rsidR="00ED7017" w:rsidRPr="00187FD3">
        <w:rPr>
          <w:rFonts w:ascii="Times New Roman" w:hAnsi="Times New Roman" w:cs="Times New Roman"/>
        </w:rPr>
        <w:t>, México, Porrúa y UNAM, 2005.</w:t>
      </w:r>
    </w:p>
    <w:p w14:paraId="4B09851A" w14:textId="408660E1" w:rsidR="00ED7017" w:rsidRPr="00187FD3" w:rsidRDefault="00EF4BE9" w:rsidP="00ED7017">
      <w:pPr>
        <w:rPr>
          <w:rFonts w:ascii="Times New Roman" w:hAnsi="Times New Roman" w:cs="Times New Roman"/>
        </w:rPr>
      </w:pPr>
      <w:r w:rsidRPr="00187FD3">
        <w:rPr>
          <w:rFonts w:ascii="Times New Roman" w:hAnsi="Times New Roman" w:cs="Times New Roman"/>
        </w:rPr>
        <w:t>- ROMERO</w:t>
      </w:r>
      <w:r w:rsidR="00ED7017" w:rsidRPr="00187FD3">
        <w:rPr>
          <w:rFonts w:ascii="Times New Roman" w:hAnsi="Times New Roman" w:cs="Times New Roman"/>
        </w:rPr>
        <w:t xml:space="preserve">, Cesar Enrique, </w:t>
      </w:r>
      <w:r w:rsidR="00ED7017" w:rsidRPr="00187FD3">
        <w:rPr>
          <w:rFonts w:ascii="Times New Roman" w:hAnsi="Times New Roman" w:cs="Times New Roman"/>
          <w:i/>
        </w:rPr>
        <w:t>Introducción al derecho constitucional</w:t>
      </w:r>
      <w:r w:rsidR="00ED7017" w:rsidRPr="00187FD3">
        <w:rPr>
          <w:rFonts w:ascii="Times New Roman" w:hAnsi="Times New Roman" w:cs="Times New Roman"/>
        </w:rPr>
        <w:t>, Buenos Aires, Zavalía, 1973.</w:t>
      </w:r>
    </w:p>
    <w:p w14:paraId="1AFD7D80" w14:textId="210D4851" w:rsidR="00ED7017" w:rsidRPr="00187FD3" w:rsidRDefault="00ED7017" w:rsidP="00ED7017">
      <w:pPr>
        <w:rPr>
          <w:rFonts w:ascii="Times New Roman" w:hAnsi="Times New Roman" w:cs="Times New Roman"/>
        </w:rPr>
      </w:pPr>
      <w:r w:rsidRPr="00187FD3">
        <w:rPr>
          <w:rFonts w:ascii="Times New Roman" w:hAnsi="Times New Roman" w:cs="Times New Roman"/>
        </w:rPr>
        <w:lastRenderedPageBreak/>
        <w:t xml:space="preserve">- </w:t>
      </w:r>
      <w:r w:rsidR="00EF4BE9" w:rsidRPr="00187FD3">
        <w:rPr>
          <w:rFonts w:ascii="Times New Roman" w:hAnsi="Times New Roman" w:cs="Times New Roman"/>
        </w:rPr>
        <w:t>SANTIAGO</w:t>
      </w:r>
      <w:r w:rsidRPr="00187FD3">
        <w:rPr>
          <w:rFonts w:ascii="Times New Roman" w:hAnsi="Times New Roman" w:cs="Times New Roman"/>
        </w:rPr>
        <w:t xml:space="preserve">, Alfonso, </w:t>
      </w:r>
      <w:r w:rsidRPr="00187FD3">
        <w:rPr>
          <w:rFonts w:ascii="Times New Roman" w:hAnsi="Times New Roman" w:cs="Times New Roman"/>
          <w:i/>
        </w:rPr>
        <w:t xml:space="preserve">En las fronteras entre el Derecho Constitucional y la Filosofía del Derecho. Consideraciones iusfilosóficas acerca de algunos temas constitucionales, </w:t>
      </w:r>
      <w:r w:rsidRPr="00187FD3">
        <w:rPr>
          <w:rFonts w:ascii="Times New Roman" w:hAnsi="Times New Roman" w:cs="Times New Roman"/>
        </w:rPr>
        <w:t>Buenos Aires, Marcial Pons, 2010.</w:t>
      </w:r>
    </w:p>
    <w:p w14:paraId="09C469B3" w14:textId="20A50684"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SEGOVIA</w:t>
      </w:r>
      <w:r w:rsidRPr="00187FD3">
        <w:rPr>
          <w:rFonts w:ascii="Times New Roman" w:hAnsi="Times New Roman" w:cs="Times New Roman"/>
        </w:rPr>
        <w:t>, Juan Fernando, “El Nuevo Constitucionalismo -Sobre la Evolución y la Crisis del Derecho Constitucional</w:t>
      </w:r>
      <w:proofErr w:type="gramStart"/>
      <w:r w:rsidRPr="00187FD3">
        <w:rPr>
          <w:rFonts w:ascii="Times New Roman" w:hAnsi="Times New Roman" w:cs="Times New Roman"/>
        </w:rPr>
        <w:t>-“ en</w:t>
      </w:r>
      <w:proofErr w:type="gramEnd"/>
      <w:r w:rsidRPr="00187FD3">
        <w:rPr>
          <w:rFonts w:ascii="Times New Roman" w:hAnsi="Times New Roman" w:cs="Times New Roman"/>
        </w:rPr>
        <w:t xml:space="preserve"> Pérez Guilhou, Dardo y ots., </w:t>
      </w:r>
      <w:r w:rsidRPr="00187FD3">
        <w:rPr>
          <w:rFonts w:ascii="Times New Roman" w:hAnsi="Times New Roman" w:cs="Times New Roman"/>
          <w:i/>
          <w:iCs/>
        </w:rPr>
        <w:t>Derecho Público Provincial y Municipal,</w:t>
      </w:r>
      <w:r w:rsidRPr="00187FD3">
        <w:rPr>
          <w:rFonts w:ascii="Times New Roman" w:hAnsi="Times New Roman" w:cs="Times New Roman"/>
        </w:rPr>
        <w:t xml:space="preserve"> Buenos Aires, La Ley, 2003, T. I.</w:t>
      </w:r>
    </w:p>
    <w:p w14:paraId="4F17B578" w14:textId="3E44B7EB"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SCHMITT</w:t>
      </w:r>
      <w:r w:rsidRPr="00187FD3">
        <w:rPr>
          <w:rFonts w:ascii="Times New Roman" w:hAnsi="Times New Roman" w:cs="Times New Roman"/>
        </w:rPr>
        <w:t xml:space="preserve">, Carl, </w:t>
      </w:r>
      <w:r w:rsidRPr="00187FD3">
        <w:rPr>
          <w:rFonts w:ascii="Times New Roman" w:hAnsi="Times New Roman" w:cs="Times New Roman"/>
          <w:i/>
        </w:rPr>
        <w:t>Interpretación europea de Donoso Cortés</w:t>
      </w:r>
      <w:r w:rsidRPr="00187FD3">
        <w:rPr>
          <w:rFonts w:ascii="Times New Roman" w:hAnsi="Times New Roman" w:cs="Times New Roman"/>
        </w:rPr>
        <w:t>, Madrid, Ediciones Rialp S.A., 1973.</w:t>
      </w:r>
    </w:p>
    <w:p w14:paraId="72D81E16" w14:textId="43BEEEED" w:rsidR="00ED7017" w:rsidRPr="00187FD3" w:rsidRDefault="00ED7017" w:rsidP="00ED7017">
      <w:pPr>
        <w:rPr>
          <w:rFonts w:ascii="Times New Roman" w:hAnsi="Times New Roman" w:cs="Times New Roman"/>
        </w:rPr>
      </w:pPr>
      <w:r w:rsidRPr="00187FD3">
        <w:rPr>
          <w:rFonts w:ascii="Times New Roman" w:hAnsi="Times New Roman" w:cs="Times New Roman"/>
        </w:rPr>
        <w:t xml:space="preserve">- </w:t>
      </w:r>
      <w:r w:rsidR="00EF4BE9" w:rsidRPr="00187FD3">
        <w:rPr>
          <w:rFonts w:ascii="Times New Roman" w:hAnsi="Times New Roman" w:cs="Times New Roman"/>
        </w:rPr>
        <w:t>VILLARINO MARZO</w:t>
      </w:r>
      <w:r w:rsidRPr="00187FD3">
        <w:rPr>
          <w:rFonts w:ascii="Times New Roman" w:hAnsi="Times New Roman" w:cs="Times New Roman"/>
        </w:rPr>
        <w:t>, Jorge, “Cuarta Generación de Derechos:  Reflexiones sobre la libertad de expresión en Internet”, en Revista de las Cortes Generales, Nº 100-101-102, Primer, Segundo y Tercer Cuatrimestre (2017), pp. 47-99.</w:t>
      </w:r>
    </w:p>
    <w:p w14:paraId="254DFF02" w14:textId="77777777" w:rsidR="00ED7017" w:rsidRPr="00187FD3" w:rsidRDefault="00ED7017" w:rsidP="00ED7017">
      <w:pPr>
        <w:rPr>
          <w:rFonts w:ascii="Times New Roman" w:hAnsi="Times New Roman" w:cs="Times New Roman"/>
        </w:rPr>
      </w:pPr>
    </w:p>
    <w:p w14:paraId="22006AFC" w14:textId="77777777" w:rsidR="00ED7017" w:rsidRPr="00187FD3" w:rsidRDefault="00ED7017">
      <w:pPr>
        <w:rPr>
          <w:rFonts w:ascii="Times New Roman" w:hAnsi="Times New Roman" w:cs="Times New Roman"/>
          <w:b/>
          <w:bCs/>
        </w:rPr>
      </w:pPr>
    </w:p>
    <w:sectPr w:rsidR="00ED7017" w:rsidRPr="00187FD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4C6AA" w14:textId="77777777" w:rsidR="00752B4C" w:rsidRDefault="00752B4C" w:rsidP="00ED7017">
      <w:pPr>
        <w:spacing w:after="0" w:line="240" w:lineRule="auto"/>
      </w:pPr>
      <w:r>
        <w:separator/>
      </w:r>
    </w:p>
  </w:endnote>
  <w:endnote w:type="continuationSeparator" w:id="0">
    <w:p w14:paraId="6F3D19DE" w14:textId="77777777" w:rsidR="00752B4C" w:rsidRDefault="00752B4C" w:rsidP="00ED7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AD44D" w14:textId="77777777" w:rsidR="00752B4C" w:rsidRDefault="00752B4C" w:rsidP="00ED7017">
      <w:pPr>
        <w:spacing w:after="0" w:line="240" w:lineRule="auto"/>
      </w:pPr>
      <w:r>
        <w:separator/>
      </w:r>
    </w:p>
  </w:footnote>
  <w:footnote w:type="continuationSeparator" w:id="0">
    <w:p w14:paraId="4B4EA44C" w14:textId="77777777" w:rsidR="00752B4C" w:rsidRDefault="00752B4C" w:rsidP="00ED7017">
      <w:pPr>
        <w:spacing w:after="0" w:line="240" w:lineRule="auto"/>
      </w:pPr>
      <w:r>
        <w:continuationSeparator/>
      </w:r>
    </w:p>
  </w:footnote>
  <w:footnote w:id="1">
    <w:p w14:paraId="4CE2F166" w14:textId="77777777" w:rsidR="00ED7017" w:rsidRPr="005B5621" w:rsidRDefault="00ED7017"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Abogado. Profesor de Derecho Constitucional en la Universidad de Mendoza, Universidad Nacional de Cuyo y Universidad del Aconcagua. Miembro titular del Instituto Argentino de Estudios Constitucionales y Políticos y de la Asociación Argentina de Derecho Constitucional.</w:t>
      </w:r>
    </w:p>
  </w:footnote>
  <w:footnote w:id="2">
    <w:p w14:paraId="7621068D" w14:textId="73FC3611" w:rsidR="00ED7017" w:rsidRPr="005B5621" w:rsidRDefault="00ED7017" w:rsidP="005B5621">
      <w:pPr>
        <w:pStyle w:val="Textonotapie"/>
        <w:spacing w:line="240" w:lineRule="auto"/>
        <w:rPr>
          <w:rFonts w:ascii="Arial" w:hAnsi="Arial" w:cs="Arial"/>
        </w:rPr>
      </w:pPr>
      <w:r w:rsidRPr="005B5621">
        <w:rPr>
          <w:rFonts w:ascii="Arial" w:hAnsi="Arial" w:cs="Arial"/>
        </w:rPr>
        <w:footnoteRef/>
      </w:r>
      <w:r w:rsidRPr="005B5621">
        <w:rPr>
          <w:rFonts w:ascii="Arial" w:hAnsi="Arial" w:cs="Arial"/>
        </w:rPr>
        <w:t xml:space="preserve"> Señala </w:t>
      </w:r>
      <w:r w:rsidR="00EF4BE9" w:rsidRPr="005B5621">
        <w:rPr>
          <w:rFonts w:ascii="Arial" w:hAnsi="Arial" w:cs="Arial"/>
        </w:rPr>
        <w:t xml:space="preserve">PÉREZ LUÑO </w:t>
      </w:r>
      <w:r w:rsidRPr="005B5621">
        <w:rPr>
          <w:rFonts w:ascii="Arial" w:hAnsi="Arial" w:cs="Arial"/>
        </w:rPr>
        <w:t xml:space="preserve">que </w:t>
      </w:r>
      <w:bookmarkStart w:id="2" w:name="_Hlk109753274"/>
      <w:r w:rsidRPr="005B5621">
        <w:rPr>
          <w:rFonts w:ascii="Arial" w:hAnsi="Arial" w:cs="Arial"/>
        </w:rPr>
        <w:t>“Los derechos humanos nacen, como es notorio, con marcada impronta individualista, como libertades individuales que configuran la primera fase o generación de los derechos humanos. Dicha matriz ideológica individualista sufrirá un amplio proceso de erosión e impugnación en las luchas sociales del siglo XIX. Estos movimientos reivindicativos evidenciarán la necesidad de completar el catálogo de los derechos y libertades de la primera generación con una segunda generación de derechos: los derechos económicos, sociales, culturales. Estos derechos alcanzan su paulatina consagración jurídica y política en la sustitución del Estado liberal de Derecho por el Estado social de Derecho.”</w:t>
      </w:r>
      <w:bookmarkEnd w:id="2"/>
      <w:r w:rsidRPr="005B5621">
        <w:rPr>
          <w:rFonts w:ascii="Arial" w:hAnsi="Arial" w:cs="Arial"/>
        </w:rPr>
        <w:t xml:space="preserve"> </w:t>
      </w:r>
      <w:bookmarkStart w:id="3" w:name="_Hlk110192582"/>
      <w:r w:rsidR="00EF4BE9" w:rsidRPr="005B5621">
        <w:rPr>
          <w:rFonts w:ascii="Arial" w:hAnsi="Arial" w:cs="Arial"/>
        </w:rPr>
        <w:t>PÉREZ LUÑO</w:t>
      </w:r>
      <w:r w:rsidRPr="005B5621">
        <w:rPr>
          <w:rFonts w:ascii="Arial" w:hAnsi="Arial" w:cs="Arial"/>
        </w:rPr>
        <w:t xml:space="preserve">, </w:t>
      </w:r>
      <w:bookmarkStart w:id="4" w:name="_Hlk109753222"/>
      <w:r w:rsidRPr="005B5621">
        <w:rPr>
          <w:rFonts w:ascii="Arial" w:hAnsi="Arial" w:cs="Arial"/>
        </w:rPr>
        <w:t xml:space="preserve">Antonio Enrique, “Las Generaciones de Derechos Humanos” en Revista del Centro de Estudios Constitucionales, Num. 10, </w:t>
      </w:r>
      <w:proofErr w:type="gramStart"/>
      <w:r w:rsidRPr="005B5621">
        <w:rPr>
          <w:rFonts w:ascii="Arial" w:hAnsi="Arial" w:cs="Arial"/>
        </w:rPr>
        <w:t>Septiembre</w:t>
      </w:r>
      <w:proofErr w:type="gramEnd"/>
      <w:r w:rsidRPr="005B5621">
        <w:rPr>
          <w:rFonts w:ascii="Arial" w:hAnsi="Arial" w:cs="Arial"/>
        </w:rPr>
        <w:t>-Diciembre 1991, p. 205.</w:t>
      </w:r>
      <w:bookmarkEnd w:id="3"/>
    </w:p>
    <w:bookmarkEnd w:id="4"/>
  </w:footnote>
  <w:footnote w:id="3">
    <w:p w14:paraId="6C05375F" w14:textId="7B071F5B"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bookmarkStart w:id="5" w:name="_Hlk110192616"/>
      <w:r w:rsidR="00EF4BE9" w:rsidRPr="005B5621">
        <w:rPr>
          <w:rFonts w:ascii="Arial" w:hAnsi="Arial" w:cs="Arial"/>
        </w:rPr>
        <w:t>SEGOVIA</w:t>
      </w:r>
      <w:r w:rsidRPr="005B5621">
        <w:rPr>
          <w:rFonts w:ascii="Arial" w:hAnsi="Arial" w:cs="Arial"/>
        </w:rPr>
        <w:t>, Juan Fernando, “El Nuevo Constitucionalismo -Sobre la Evolución y la Crisis del Derecho Constitucional</w:t>
      </w:r>
      <w:proofErr w:type="gramStart"/>
      <w:r w:rsidRPr="005B5621">
        <w:rPr>
          <w:rFonts w:ascii="Arial" w:hAnsi="Arial" w:cs="Arial"/>
        </w:rPr>
        <w:t>-“ en</w:t>
      </w:r>
      <w:proofErr w:type="gramEnd"/>
      <w:r w:rsidRPr="005B5621">
        <w:rPr>
          <w:rFonts w:ascii="Arial" w:hAnsi="Arial" w:cs="Arial"/>
        </w:rPr>
        <w:t xml:space="preserve"> Pérez Guilhou, Dardo y ots., </w:t>
      </w:r>
      <w:r w:rsidRPr="005B5621">
        <w:rPr>
          <w:rFonts w:ascii="Arial" w:hAnsi="Arial" w:cs="Arial"/>
          <w:i/>
          <w:iCs/>
        </w:rPr>
        <w:t>Derecho Público Provincial y Municipal,</w:t>
      </w:r>
      <w:r w:rsidRPr="005B5621">
        <w:rPr>
          <w:rFonts w:ascii="Arial" w:hAnsi="Arial" w:cs="Arial"/>
        </w:rPr>
        <w:t xml:space="preserve"> Buenos Aires, La Ley, 2003, T. I, p. 91. </w:t>
      </w:r>
    </w:p>
    <w:bookmarkEnd w:id="5"/>
  </w:footnote>
  <w:footnote w:id="4">
    <w:p w14:paraId="1F2A23EF" w14:textId="063B6912"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EF4BE9" w:rsidRPr="005B5621">
        <w:rPr>
          <w:rFonts w:ascii="Arial" w:hAnsi="Arial" w:cs="Arial"/>
        </w:rPr>
        <w:t>FERRAJOLI</w:t>
      </w:r>
      <w:r w:rsidRPr="005B5621">
        <w:rPr>
          <w:rFonts w:ascii="Arial" w:hAnsi="Arial" w:cs="Arial"/>
        </w:rPr>
        <w:t xml:space="preserve">, Luigi, “Constitucionalismo principialista y Constitucionalismo Garantista” en </w:t>
      </w:r>
      <w:r w:rsidR="00EF4BE9" w:rsidRPr="005B5621">
        <w:rPr>
          <w:rFonts w:ascii="Arial" w:hAnsi="Arial" w:cs="Arial"/>
        </w:rPr>
        <w:t>FERRAJOL</w:t>
      </w:r>
      <w:r w:rsidRPr="005B5621">
        <w:rPr>
          <w:rFonts w:ascii="Arial" w:hAnsi="Arial" w:cs="Arial"/>
        </w:rPr>
        <w:t xml:space="preserve">i, Luigi y ots., </w:t>
      </w:r>
      <w:r w:rsidRPr="005B5621">
        <w:rPr>
          <w:rFonts w:ascii="Arial" w:hAnsi="Arial" w:cs="Arial"/>
          <w:i/>
          <w:iCs/>
        </w:rPr>
        <w:t xml:space="preserve">Un debate sobre el constitucionalismo, </w:t>
      </w:r>
      <w:r w:rsidRPr="005B5621">
        <w:rPr>
          <w:rFonts w:ascii="Arial" w:hAnsi="Arial" w:cs="Arial"/>
        </w:rPr>
        <w:t>Madrid, Marcial Pons, 2012, p. 11-50.</w:t>
      </w:r>
    </w:p>
  </w:footnote>
  <w:footnote w:id="5">
    <w:p w14:paraId="2EB15B5F" w14:textId="63FC226C"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bookmarkStart w:id="6" w:name="_Hlk110192677"/>
      <w:r w:rsidR="00EF4BE9" w:rsidRPr="005B5621">
        <w:rPr>
          <w:rFonts w:ascii="Arial" w:hAnsi="Arial" w:cs="Arial"/>
        </w:rPr>
        <w:t>PIZZOLO</w:t>
      </w:r>
      <w:r w:rsidRPr="005B5621">
        <w:rPr>
          <w:rFonts w:ascii="Arial" w:hAnsi="Arial" w:cs="Arial"/>
        </w:rPr>
        <w:t xml:space="preserve">, Calógero, “Una comunidad de intérpretes finales en materia de Derechos Humanos” en </w:t>
      </w:r>
      <w:r w:rsidR="00EF4BE9" w:rsidRPr="005B5621">
        <w:rPr>
          <w:rFonts w:ascii="Arial" w:hAnsi="Arial" w:cs="Arial"/>
        </w:rPr>
        <w:t>PIZZOLO</w:t>
      </w:r>
      <w:r w:rsidRPr="005B5621">
        <w:rPr>
          <w:rFonts w:ascii="Arial" w:hAnsi="Arial" w:cs="Arial"/>
        </w:rPr>
        <w:t xml:space="preserve">, Calógero y </w:t>
      </w:r>
      <w:r w:rsidR="00EF4BE9" w:rsidRPr="005B5621">
        <w:rPr>
          <w:rFonts w:ascii="Arial" w:hAnsi="Arial" w:cs="Arial"/>
        </w:rPr>
        <w:t>MEZZETTI</w:t>
      </w:r>
      <w:r w:rsidRPr="005B5621">
        <w:rPr>
          <w:rFonts w:ascii="Arial" w:hAnsi="Arial" w:cs="Arial"/>
        </w:rPr>
        <w:t xml:space="preserve">, Luca (Coord.), </w:t>
      </w:r>
      <w:r w:rsidRPr="005B5621">
        <w:rPr>
          <w:rFonts w:ascii="Arial" w:hAnsi="Arial" w:cs="Arial"/>
          <w:i/>
          <w:iCs/>
        </w:rPr>
        <w:t xml:space="preserve">Tribunales supranacionales y tribunales nacionales, </w:t>
      </w:r>
      <w:r w:rsidRPr="005B5621">
        <w:rPr>
          <w:rFonts w:ascii="Arial" w:hAnsi="Arial" w:cs="Arial"/>
        </w:rPr>
        <w:t>Buenos Aires, Astrea, 2016, T. 1, p. 250</w:t>
      </w:r>
      <w:bookmarkEnd w:id="6"/>
      <w:r w:rsidRPr="005B5621">
        <w:rPr>
          <w:rFonts w:ascii="Arial" w:hAnsi="Arial" w:cs="Arial"/>
        </w:rPr>
        <w:t xml:space="preserve">. Idéntica expresión puede encontrarse en </w:t>
      </w:r>
      <w:bookmarkStart w:id="7" w:name="_Hlk110192713"/>
      <w:r w:rsidR="00EF4BE9" w:rsidRPr="005B5621">
        <w:rPr>
          <w:rFonts w:ascii="Arial" w:hAnsi="Arial" w:cs="Arial"/>
        </w:rPr>
        <w:t>CARDUCCI,</w:t>
      </w:r>
      <w:r w:rsidRPr="005B5621">
        <w:rPr>
          <w:rFonts w:ascii="Arial" w:hAnsi="Arial" w:cs="Arial"/>
        </w:rPr>
        <w:t xml:space="preserve"> Michele e </w:t>
      </w:r>
      <w:r w:rsidR="00EF4BE9" w:rsidRPr="005B5621">
        <w:rPr>
          <w:rFonts w:ascii="Arial" w:hAnsi="Arial" w:cs="Arial"/>
        </w:rPr>
        <w:t>ISONI</w:t>
      </w:r>
      <w:r w:rsidRPr="005B5621">
        <w:rPr>
          <w:rFonts w:ascii="Arial" w:hAnsi="Arial" w:cs="Arial"/>
        </w:rPr>
        <w:t xml:space="preserve">, Alessandro, “¿Es posible un derecho constitucional transnacional?”, en </w:t>
      </w:r>
      <w:r w:rsidR="00EF4BE9" w:rsidRPr="005B5621">
        <w:rPr>
          <w:rFonts w:ascii="Arial" w:hAnsi="Arial" w:cs="Arial"/>
        </w:rPr>
        <w:t>RIBERI</w:t>
      </w:r>
      <w:r w:rsidRPr="005B5621">
        <w:rPr>
          <w:rFonts w:ascii="Arial" w:hAnsi="Arial" w:cs="Arial"/>
        </w:rPr>
        <w:t xml:space="preserve">, Pablo (Coordinador), </w:t>
      </w:r>
      <w:r w:rsidRPr="005B5621">
        <w:rPr>
          <w:rFonts w:ascii="Arial" w:hAnsi="Arial" w:cs="Arial"/>
          <w:i/>
          <w:iCs/>
        </w:rPr>
        <w:t>Fundamentos y desafíos de la teoría constitucional contemporánea</w:t>
      </w:r>
      <w:r w:rsidRPr="005B5621">
        <w:rPr>
          <w:rFonts w:ascii="Arial" w:hAnsi="Arial" w:cs="Arial"/>
        </w:rPr>
        <w:t>, Buenos Aires, Rubinzal Culzoni, 2019, p. 361.</w:t>
      </w:r>
    </w:p>
    <w:bookmarkEnd w:id="7"/>
  </w:footnote>
  <w:footnote w:id="6">
    <w:p w14:paraId="650B134B" w14:textId="300DE5D3"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La expresión es utilizada por un gran número de autores. Dice </w:t>
      </w:r>
      <w:r w:rsidR="00EF4BE9" w:rsidRPr="005B5621">
        <w:rPr>
          <w:rFonts w:ascii="Arial" w:hAnsi="Arial" w:cs="Arial"/>
        </w:rPr>
        <w:t>COMANDUCCI</w:t>
      </w:r>
      <w:r w:rsidRPr="005B5621">
        <w:rPr>
          <w:rFonts w:ascii="Arial" w:hAnsi="Arial" w:cs="Arial"/>
        </w:rPr>
        <w:t xml:space="preserve"> que “Neoconstitucionalismo es una etiqueta que, a finales de los años noventa del siglo pasado, unos integrantes de la escuela genovesa de teoría del derecho (Susanna Pozzolo, Mauro Barberis y yo mismo) han empezado a usar, como forma de clasificar, para criticarlas, algunas tendencias post-positivistas de la filosofía jurídica contemporánea, que presentan rasgos comunes, pero también diferencias entre sí. La etiqueta ha tenido mucho éxito, pero sobre todo se han multiplicado, en Europa (particularmente en España e Italia) y Latinoamérica (particularmente en Argentina y México) los estudios de esas tendencias, y su comparación con el positivismo jurídico.” </w:t>
      </w:r>
      <w:r w:rsidR="00EF4BE9" w:rsidRPr="005B5621">
        <w:rPr>
          <w:rFonts w:ascii="Arial" w:hAnsi="Arial" w:cs="Arial"/>
        </w:rPr>
        <w:t>COMANDUCCI,</w:t>
      </w:r>
      <w:r w:rsidRPr="005B5621">
        <w:rPr>
          <w:rFonts w:ascii="Arial" w:hAnsi="Arial" w:cs="Arial"/>
        </w:rPr>
        <w:t xml:space="preserve"> Paolo, “Constitucionalización y Neoconstitucionalismo” en</w:t>
      </w:r>
      <w:bookmarkStart w:id="8" w:name="_Hlk110192749"/>
      <w:r w:rsidRPr="005B5621">
        <w:rPr>
          <w:rFonts w:ascii="Arial" w:hAnsi="Arial" w:cs="Arial"/>
        </w:rPr>
        <w:t xml:space="preserve"> </w:t>
      </w:r>
      <w:bookmarkStart w:id="9" w:name="_Hlk110185564"/>
      <w:r w:rsidR="00EF4BE9" w:rsidRPr="005B5621">
        <w:rPr>
          <w:rFonts w:ascii="Arial" w:hAnsi="Arial" w:cs="Arial"/>
        </w:rPr>
        <w:t>COMANDUCCI</w:t>
      </w:r>
      <w:r w:rsidRPr="005B5621">
        <w:rPr>
          <w:rFonts w:ascii="Arial" w:hAnsi="Arial" w:cs="Arial"/>
        </w:rPr>
        <w:t xml:space="preserve">, Paolo, </w:t>
      </w:r>
      <w:r w:rsidR="00EF4BE9" w:rsidRPr="005B5621">
        <w:rPr>
          <w:rFonts w:ascii="Arial" w:hAnsi="Arial" w:cs="Arial"/>
        </w:rPr>
        <w:t>AHUMADA</w:t>
      </w:r>
      <w:r w:rsidRPr="005B5621">
        <w:rPr>
          <w:rFonts w:ascii="Arial" w:hAnsi="Arial" w:cs="Arial"/>
        </w:rPr>
        <w:t xml:space="preserve">, María Ángeles y </w:t>
      </w:r>
      <w:r w:rsidR="00EF4BE9" w:rsidRPr="005B5621">
        <w:rPr>
          <w:rFonts w:ascii="Arial" w:hAnsi="Arial" w:cs="Arial"/>
        </w:rPr>
        <w:t>GONZÁLEZ LAGIER</w:t>
      </w:r>
      <w:r w:rsidRPr="005B5621">
        <w:rPr>
          <w:rFonts w:ascii="Arial" w:hAnsi="Arial" w:cs="Arial"/>
        </w:rPr>
        <w:t xml:space="preserve">, Daniel, </w:t>
      </w:r>
      <w:r w:rsidRPr="005B5621">
        <w:rPr>
          <w:rFonts w:ascii="Arial" w:hAnsi="Arial" w:cs="Arial"/>
          <w:i/>
          <w:iCs/>
        </w:rPr>
        <w:t>Positivismo jurídico y neoconstitucionalismo</w:t>
      </w:r>
      <w:r w:rsidRPr="005B5621">
        <w:rPr>
          <w:rFonts w:ascii="Arial" w:hAnsi="Arial" w:cs="Arial"/>
        </w:rPr>
        <w:t>, Madrid, Fundación Coloquio Jurídico Europeo, 2009</w:t>
      </w:r>
      <w:bookmarkEnd w:id="9"/>
      <w:r w:rsidRPr="005B5621">
        <w:rPr>
          <w:rFonts w:ascii="Arial" w:hAnsi="Arial" w:cs="Arial"/>
        </w:rPr>
        <w:t>, p. 87.</w:t>
      </w:r>
    </w:p>
    <w:bookmarkEnd w:id="8"/>
  </w:footnote>
  <w:footnote w:id="7">
    <w:p w14:paraId="74EFFE88" w14:textId="4F702D5F"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bookmarkStart w:id="10" w:name="_Hlk110192796"/>
      <w:r w:rsidR="00EF4BE9" w:rsidRPr="005B5621">
        <w:rPr>
          <w:rFonts w:ascii="Arial" w:hAnsi="Arial" w:cs="Arial"/>
        </w:rPr>
        <w:t>ARBALLO</w:t>
      </w:r>
      <w:r w:rsidRPr="005B5621">
        <w:rPr>
          <w:rFonts w:ascii="Arial" w:hAnsi="Arial" w:cs="Arial"/>
        </w:rPr>
        <w:t xml:space="preserve">, Gustavo, “Memoria y Balance del Neoconstitucionalismo” en Revista Jurídica de la Universidad de Palermo, Año 18, Nº 2, </w:t>
      </w:r>
      <w:proofErr w:type="gramStart"/>
      <w:r w:rsidRPr="005B5621">
        <w:rPr>
          <w:rFonts w:ascii="Arial" w:hAnsi="Arial" w:cs="Arial"/>
        </w:rPr>
        <w:t>Noviembre</w:t>
      </w:r>
      <w:proofErr w:type="gramEnd"/>
      <w:r w:rsidRPr="005B5621">
        <w:rPr>
          <w:rFonts w:ascii="Arial" w:hAnsi="Arial" w:cs="Arial"/>
        </w:rPr>
        <w:t xml:space="preserve"> de 2020, p. 10.</w:t>
      </w:r>
    </w:p>
    <w:bookmarkEnd w:id="10"/>
  </w:footnote>
  <w:footnote w:id="8">
    <w:p w14:paraId="3604A2E4" w14:textId="3BC10A08"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bookmarkStart w:id="11" w:name="_Hlk110192852"/>
      <w:r w:rsidR="00EF4BE9" w:rsidRPr="005B5621">
        <w:rPr>
          <w:rFonts w:ascii="Arial" w:hAnsi="Arial" w:cs="Arial"/>
        </w:rPr>
        <w:t>GARCÍA JARAMILLO</w:t>
      </w:r>
      <w:r w:rsidRPr="005B5621">
        <w:rPr>
          <w:rFonts w:ascii="Arial" w:hAnsi="Arial" w:cs="Arial"/>
        </w:rPr>
        <w:t xml:space="preserve">, </w:t>
      </w:r>
      <w:proofErr w:type="gramStart"/>
      <w:r w:rsidRPr="005B5621">
        <w:rPr>
          <w:rFonts w:ascii="Arial" w:hAnsi="Arial" w:cs="Arial"/>
        </w:rPr>
        <w:t xml:space="preserve">Leonardo,  </w:t>
      </w:r>
      <w:r w:rsidRPr="005B5621">
        <w:rPr>
          <w:rFonts w:ascii="Arial" w:hAnsi="Arial" w:cs="Arial"/>
          <w:i/>
          <w:iCs/>
        </w:rPr>
        <w:t>Activismo</w:t>
      </w:r>
      <w:proofErr w:type="gramEnd"/>
      <w:r w:rsidRPr="005B5621">
        <w:rPr>
          <w:rFonts w:ascii="Arial" w:hAnsi="Arial" w:cs="Arial"/>
          <w:i/>
          <w:iCs/>
        </w:rPr>
        <w:t xml:space="preserve"> Judicial y Dogmática de los Márgenes de Acción: Una discusión en clave Neoconstitucional, </w:t>
      </w:r>
      <w:r w:rsidRPr="005B5621">
        <w:rPr>
          <w:rFonts w:ascii="Arial" w:hAnsi="Arial" w:cs="Arial"/>
        </w:rPr>
        <w:t>México, Instituto de Estudios Constitucionales del Estado de Querétaro, 2016, p. 41.</w:t>
      </w:r>
    </w:p>
    <w:bookmarkEnd w:id="11"/>
  </w:footnote>
  <w:footnote w:id="9">
    <w:p w14:paraId="6AE9C57D" w14:textId="0ABE8ED6"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003B580F" w:rsidRPr="005B5621">
        <w:rPr>
          <w:rFonts w:ascii="Arial" w:hAnsi="Arial" w:cs="Arial"/>
        </w:rPr>
        <w:t xml:space="preserve"> ARBALLO</w:t>
      </w:r>
      <w:r w:rsidRPr="005B5621">
        <w:rPr>
          <w:rFonts w:ascii="Arial" w:hAnsi="Arial" w:cs="Arial"/>
        </w:rPr>
        <w:t>, Gustavo, op. cit., p. 11. En sentido similar</w:t>
      </w:r>
      <w:r w:rsidR="003B580F" w:rsidRPr="005B5621">
        <w:rPr>
          <w:rFonts w:ascii="Arial" w:hAnsi="Arial" w:cs="Arial"/>
        </w:rPr>
        <w:t xml:space="preserve">, GARCÍA JARAMILLO </w:t>
      </w:r>
      <w:r w:rsidRPr="005B5621">
        <w:rPr>
          <w:rFonts w:ascii="Arial" w:hAnsi="Arial" w:cs="Arial"/>
        </w:rPr>
        <w:t xml:space="preserve">señala que “La profusión de investigaciones y estudios, a nivel trasnacional y local, sobre los elementos medulares del neoconstitucionalismo no ha conducido sin embargo a una clarificación particularmente meridiana del concepto ni a una delimitación precisa de los límites de su contenido.” </w:t>
      </w:r>
      <w:r w:rsidR="003B580F" w:rsidRPr="005B5621">
        <w:rPr>
          <w:rFonts w:ascii="Arial" w:hAnsi="Arial" w:cs="Arial"/>
        </w:rPr>
        <w:t>GARCÍA JARAMILLO</w:t>
      </w:r>
      <w:r w:rsidRPr="005B5621">
        <w:rPr>
          <w:rFonts w:ascii="Arial" w:hAnsi="Arial" w:cs="Arial"/>
        </w:rPr>
        <w:t xml:space="preserve">, Leonardo, </w:t>
      </w:r>
      <w:r w:rsidRPr="005B5621">
        <w:rPr>
          <w:rFonts w:ascii="Arial" w:hAnsi="Arial" w:cs="Arial"/>
          <w:i/>
          <w:iCs/>
        </w:rPr>
        <w:t>Op. Cit.,</w:t>
      </w:r>
      <w:r w:rsidRPr="005B5621">
        <w:rPr>
          <w:rFonts w:ascii="Arial" w:hAnsi="Arial" w:cs="Arial"/>
        </w:rPr>
        <w:t xml:space="preserve"> p. 39.</w:t>
      </w:r>
    </w:p>
  </w:footnote>
  <w:footnote w:id="10">
    <w:p w14:paraId="254A4340" w14:textId="0458D7FE"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3B580F" w:rsidRPr="005B5621">
        <w:rPr>
          <w:rFonts w:ascii="Arial" w:hAnsi="Arial" w:cs="Arial"/>
        </w:rPr>
        <w:t>PRIETO SANCHÍS</w:t>
      </w:r>
      <w:r w:rsidRPr="005B5621">
        <w:rPr>
          <w:rFonts w:ascii="Arial" w:hAnsi="Arial" w:cs="Arial"/>
        </w:rPr>
        <w:t xml:space="preserve">, Luis, “Neoconstitucionalismos (un catálogo de problemas y argumentos)”, En Anales de la Cátedra Francisco Suárez, Nº 44, 2010, p. 467 citado por </w:t>
      </w:r>
      <w:r w:rsidR="003B580F" w:rsidRPr="005B5621">
        <w:rPr>
          <w:rFonts w:ascii="Arial" w:hAnsi="Arial" w:cs="Arial"/>
        </w:rPr>
        <w:t>ARBALLO</w:t>
      </w:r>
      <w:r w:rsidRPr="005B5621">
        <w:rPr>
          <w:rFonts w:ascii="Arial" w:hAnsi="Arial" w:cs="Arial"/>
        </w:rPr>
        <w:t>, Gustavo, Op. Cit., p. 10.</w:t>
      </w:r>
    </w:p>
  </w:footnote>
  <w:footnote w:id="11">
    <w:p w14:paraId="2D02A506" w14:textId="7AEABD81"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EF4BE9" w:rsidRPr="005B5621">
        <w:rPr>
          <w:rFonts w:ascii="Arial" w:hAnsi="Arial" w:cs="Arial"/>
        </w:rPr>
        <w:t>COMANDUCCI,</w:t>
      </w:r>
      <w:r w:rsidRPr="005B5621">
        <w:rPr>
          <w:rFonts w:ascii="Arial" w:hAnsi="Arial" w:cs="Arial"/>
        </w:rPr>
        <w:t xml:space="preserve"> Paolo, Op. Cit., p. </w:t>
      </w:r>
    </w:p>
  </w:footnote>
  <w:footnote w:id="12">
    <w:p w14:paraId="5981A88D" w14:textId="0964FDC8"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Afirma el autor que “El neoconstitucionalismo como tal es un concepto general o una idea amplia. Básicamente es la idea de que a partir de la segunda los textos constitucionales se formularon de una manera radicalmente distinta respecto de la tradicional consagración de competencias y el establecimiento de funciones, la creación de instituciones y la inclusión de principios como los de legalidad y seguridad jurídica, y los derechos de libertad.” </w:t>
      </w:r>
      <w:r w:rsidR="00EF4BE9" w:rsidRPr="005B5621">
        <w:rPr>
          <w:rFonts w:ascii="Arial" w:hAnsi="Arial" w:cs="Arial"/>
        </w:rPr>
        <w:t>GARCÍA JARAMILLO</w:t>
      </w:r>
      <w:r w:rsidRPr="005B5621">
        <w:rPr>
          <w:rFonts w:ascii="Arial" w:hAnsi="Arial" w:cs="Arial"/>
        </w:rPr>
        <w:t xml:space="preserve">, Leonardo, Op. Cit., p. 40. También que “A nivel de los derechos, se establece que tienen valor normativo pleno en lugar de ser normas programáticas que serán eventualmente desarrolladas por el Legislativo; efecto de irradiación hacia todo el ordenamiento jurídico; fuerza vinculante no sólo hacia organismos del Estado, sino también hacia privados y particulares —Drittwirkung der Grundrechte—; y tienen un “contenido esencial” que se debe respetar cuando se resuelven casos de tensiones entre derechos mediante el principio de proporcionalidad... A nivel del Poder Judicial, como novedad, se establece que </w:t>
      </w:r>
      <w:proofErr w:type="gramStart"/>
      <w:r w:rsidRPr="005B5621">
        <w:rPr>
          <w:rFonts w:ascii="Arial" w:hAnsi="Arial" w:cs="Arial"/>
        </w:rPr>
        <w:t>interpreta</w:t>
      </w:r>
      <w:proofErr w:type="gramEnd"/>
      <w:r w:rsidRPr="005B5621">
        <w:rPr>
          <w:rFonts w:ascii="Arial" w:hAnsi="Arial" w:cs="Arial"/>
        </w:rPr>
        <w:t xml:space="preserve"> pero también crea derecho; que es un poder político porque versa sobre la integridad y supremacía del texto político por excelencia; y que sobre todos los poderes puede recaer el control jurisdiccional, lo cual ha derivado en una judicialización de la política. Estrechamente relacionado con el cambio en el rol del juez, se encuentra el cambio a nivel de la jurisprudencia. Ahora se establece que la aplicación efectiva de los derechos se debe a la renovación en las prácticas jurisprudenciales, incluso más que a su consagración” </w:t>
      </w:r>
      <w:r w:rsidR="00EF4BE9" w:rsidRPr="005B5621">
        <w:rPr>
          <w:rFonts w:ascii="Arial" w:hAnsi="Arial" w:cs="Arial"/>
        </w:rPr>
        <w:t>GARCÍA JARAMILLO</w:t>
      </w:r>
      <w:r w:rsidRPr="005B5621">
        <w:rPr>
          <w:rFonts w:ascii="Arial" w:hAnsi="Arial" w:cs="Arial"/>
        </w:rPr>
        <w:t>, Leonardo, Op. Cit., p. 45.</w:t>
      </w:r>
    </w:p>
  </w:footnote>
  <w:footnote w:id="13">
    <w:p w14:paraId="1CD7BB66" w14:textId="00900922" w:rsidR="004263BE" w:rsidRPr="005B5621" w:rsidRDefault="004263BE"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EF4BE9" w:rsidRPr="005B5621">
        <w:rPr>
          <w:rFonts w:ascii="Arial" w:hAnsi="Arial" w:cs="Arial"/>
        </w:rPr>
        <w:t>PETRACCHI</w:t>
      </w:r>
      <w:r w:rsidRPr="005B5621">
        <w:rPr>
          <w:rFonts w:ascii="Arial" w:hAnsi="Arial" w:cs="Arial"/>
        </w:rPr>
        <w:t>, Enrique S., “Los derechos humanos en la jurisprudencia de la Corte Suprema de Justicia de la República Argentina”, en Anuario de Derecho Constitucional Latinoamericano, Año 2006, Tomo II, p. 1253.</w:t>
      </w:r>
    </w:p>
  </w:footnote>
  <w:footnote w:id="14">
    <w:p w14:paraId="329B34DA" w14:textId="77777777" w:rsidR="0077665F" w:rsidRPr="005B5621" w:rsidRDefault="0077665F"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PETRACCHI, Enrique S., Op. Cit., p. 1254.</w:t>
      </w:r>
    </w:p>
  </w:footnote>
  <w:footnote w:id="15">
    <w:p w14:paraId="6618B4E2" w14:textId="5F407445" w:rsidR="009F0165" w:rsidRPr="005B5621" w:rsidRDefault="009F0165"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w:t>
      </w:r>
      <w:r w:rsidRPr="005B5621">
        <w:rPr>
          <w:rFonts w:ascii="Arial" w:hAnsi="Arial" w:cs="Arial"/>
          <w:lang w:val="es-ES"/>
        </w:rPr>
        <w:t>DOMÍNGUEZ, Mariano, “Los Derechos Humanos y la reforma de la Constitución de Mendoza”, en Historia, Teoría y Realidad Constitucional, Reforma de la Constitución de Mendoza (I), Año 1, Nº 1, Mendoza, 2005, p. 123.</w:t>
      </w:r>
    </w:p>
  </w:footnote>
  <w:footnote w:id="16">
    <w:p w14:paraId="7FC8E283" w14:textId="21CD69E8" w:rsidR="0077665F" w:rsidRPr="005B5621" w:rsidRDefault="0077665F" w:rsidP="005B5621">
      <w:pPr>
        <w:pStyle w:val="Textonotapie"/>
        <w:spacing w:line="240" w:lineRule="auto"/>
        <w:rPr>
          <w:rFonts w:ascii="Arial" w:hAnsi="Arial" w:cs="Arial"/>
          <w:i/>
          <w:iCs/>
          <w:lang w:val="es-ES"/>
        </w:rPr>
      </w:pPr>
      <w:r w:rsidRPr="005B5621">
        <w:rPr>
          <w:rStyle w:val="Refdenotaalpie"/>
          <w:rFonts w:ascii="Arial" w:hAnsi="Arial" w:cs="Arial"/>
        </w:rPr>
        <w:footnoteRef/>
      </w:r>
      <w:r w:rsidRPr="005B5621">
        <w:rPr>
          <w:rFonts w:ascii="Arial" w:hAnsi="Arial" w:cs="Arial"/>
        </w:rPr>
        <w:t xml:space="preserve"> La</w:t>
      </w:r>
      <w:r w:rsidR="00CA33CE" w:rsidRPr="005B5621">
        <w:rPr>
          <w:rFonts w:ascii="Arial" w:hAnsi="Arial" w:cs="Arial"/>
        </w:rPr>
        <w:t xml:space="preserve"> referencia a</w:t>
      </w:r>
      <w:r w:rsidRPr="005B5621">
        <w:rPr>
          <w:rFonts w:ascii="Arial" w:hAnsi="Arial" w:cs="Arial"/>
        </w:rPr>
        <w:t xml:space="preserve"> esas adaptaciones, no implica desconocer su insuficiencia, como señala GARGARELLA, para quien </w:t>
      </w:r>
      <w:r w:rsidR="00C34C75" w:rsidRPr="005B5621">
        <w:rPr>
          <w:rFonts w:ascii="Arial" w:hAnsi="Arial" w:cs="Arial"/>
        </w:rPr>
        <w:t xml:space="preserve">“El nuevo siglo trajo consigo algunos acontecimientos extraordinarios, desde el sufragio universal hasta la entrada de la clase trabajadora en la arena pública. Estos cambios tuvieron ciertamente un profundo impacto en el viejo paradigma de “orden y progreso”. Sin embargo, </w:t>
      </w:r>
      <w:proofErr w:type="gramStart"/>
      <w:r w:rsidR="00C34C75" w:rsidRPr="005B5621">
        <w:rPr>
          <w:rFonts w:ascii="Arial" w:hAnsi="Arial" w:cs="Arial"/>
        </w:rPr>
        <w:t>notablemente,  estos</w:t>
      </w:r>
      <w:proofErr w:type="gramEnd"/>
      <w:r w:rsidR="00C34C75" w:rsidRPr="005B5621">
        <w:rPr>
          <w:rFonts w:ascii="Arial" w:hAnsi="Arial" w:cs="Arial"/>
        </w:rPr>
        <w:t xml:space="preserve"> cambios solo encontraron una traducción parcial en lo que respecta a la Constitución. Las nuevas Constituciones reconocieron estas novedades sobre todo a través de la incorporación de nuevos derechos socioeconómicos. En otras palabras, estos significativos cambios sociopolíticos no se tradujeron en una nueva organización del poder en la Constitución…lo que quedó fue un nuevo modelo constitucional, caracterizado por robustas declaraciones de derechos y una organización del poder todavía altamente concentrada.”, GARGARELLA, Roberto, </w:t>
      </w:r>
      <w:r w:rsidR="00CA33CE" w:rsidRPr="005B5621">
        <w:rPr>
          <w:rFonts w:ascii="Arial" w:hAnsi="Arial" w:cs="Arial"/>
        </w:rPr>
        <w:t>La sala de máquinas de la Constitución. Dos siglos de constitucionalismo en América Lantina (1810-2010), Buenos Aires, Katz Editores, 2014, p. 353.</w:t>
      </w:r>
    </w:p>
  </w:footnote>
  <w:footnote w:id="17">
    <w:p w14:paraId="11C04395" w14:textId="322B8209" w:rsidR="00A6559A" w:rsidRPr="005B5621" w:rsidRDefault="00A6559A"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EF4BE9" w:rsidRPr="005B5621">
        <w:rPr>
          <w:rFonts w:ascii="Arial" w:hAnsi="Arial" w:cs="Arial"/>
        </w:rPr>
        <w:t>LAPORTA</w:t>
      </w:r>
      <w:r w:rsidRPr="005B5621">
        <w:rPr>
          <w:rFonts w:ascii="Arial" w:hAnsi="Arial" w:cs="Arial"/>
        </w:rPr>
        <w:t>, Francisco, “Sobre el concepto de Derechos Humanos”, Doxa A- 1987, p. 23.</w:t>
      </w:r>
    </w:p>
  </w:footnote>
  <w:footnote w:id="18">
    <w:p w14:paraId="5E2C0D1A" w14:textId="2B9FB554"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230E49" w:rsidRPr="005B5621">
        <w:rPr>
          <w:rFonts w:ascii="Arial" w:hAnsi="Arial" w:cs="Arial"/>
        </w:rPr>
        <w:t>PÉREZ LUÑO</w:t>
      </w:r>
      <w:r w:rsidRPr="005B5621">
        <w:rPr>
          <w:rFonts w:ascii="Arial" w:hAnsi="Arial" w:cs="Arial"/>
        </w:rPr>
        <w:t xml:space="preserve">, Antonio Enrique, op. cit., p. 210. En igual sentido, </w:t>
      </w:r>
      <w:r w:rsidR="00230E49" w:rsidRPr="005B5621">
        <w:rPr>
          <w:rFonts w:ascii="Arial" w:hAnsi="Arial" w:cs="Arial"/>
        </w:rPr>
        <w:t xml:space="preserve">VILLARINO MARZO </w:t>
      </w:r>
      <w:r w:rsidRPr="005B5621">
        <w:rPr>
          <w:rFonts w:ascii="Arial" w:hAnsi="Arial" w:cs="Arial"/>
        </w:rPr>
        <w:t xml:space="preserve">afirma que “La tercera de las generaciones de derechos tiene su origen en la conocida distinción que elaboró el jurista checo-francés Karel </w:t>
      </w:r>
      <w:r w:rsidR="00230E49" w:rsidRPr="005B5621">
        <w:rPr>
          <w:rFonts w:ascii="Arial" w:hAnsi="Arial" w:cs="Arial"/>
        </w:rPr>
        <w:t xml:space="preserve">VASAK </w:t>
      </w:r>
      <w:r w:rsidRPr="005B5621">
        <w:rPr>
          <w:rFonts w:ascii="Arial" w:hAnsi="Arial" w:cs="Arial"/>
        </w:rPr>
        <w:t xml:space="preserve">quien en 1979 afirmaba que, frente a los derechos de primera generación, asentados en el principio de libertad; y los derechos de segunda generación, asentados en el principio de igualdad, los derechos de tercera generación se sostienen sobre el principio de solidaridad.” </w:t>
      </w:r>
      <w:bookmarkStart w:id="13" w:name="_Hlk110192908"/>
      <w:r w:rsidR="00230E49" w:rsidRPr="005B5621">
        <w:rPr>
          <w:rFonts w:ascii="Arial" w:hAnsi="Arial" w:cs="Arial"/>
        </w:rPr>
        <w:t>VILLARINO MARZO</w:t>
      </w:r>
      <w:r w:rsidRPr="005B5621">
        <w:rPr>
          <w:rFonts w:ascii="Arial" w:hAnsi="Arial" w:cs="Arial"/>
        </w:rPr>
        <w:t>, Jorge, “Cuarta Generación de Derechos:  Reflexiones sobre la libertad de expresión en Internet”, en Revista de las Cortes Generales, Nº 100-101-102, Primer, Segundo y Tercer Cuatrimestre (2017), p. 50</w:t>
      </w:r>
    </w:p>
    <w:bookmarkEnd w:id="13"/>
  </w:footnote>
  <w:footnote w:id="19">
    <w:p w14:paraId="0F8FC616" w14:textId="4AF35F28"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00230E49" w:rsidRPr="005B5621">
        <w:rPr>
          <w:rFonts w:ascii="Arial" w:hAnsi="Arial" w:cs="Arial"/>
        </w:rPr>
        <w:t xml:space="preserve"> VILLARINO MARZO</w:t>
      </w:r>
      <w:r w:rsidRPr="005B5621">
        <w:rPr>
          <w:rFonts w:ascii="Arial" w:hAnsi="Arial" w:cs="Arial"/>
        </w:rPr>
        <w:t>, Jorge, op. cit., p. 50</w:t>
      </w:r>
      <w:bookmarkStart w:id="14" w:name="_Hlk109757946"/>
      <w:r w:rsidRPr="005B5621">
        <w:rPr>
          <w:rFonts w:ascii="Arial" w:hAnsi="Arial" w:cs="Arial"/>
        </w:rPr>
        <w:t>.</w:t>
      </w:r>
    </w:p>
    <w:bookmarkEnd w:id="14"/>
  </w:footnote>
  <w:footnote w:id="20">
    <w:p w14:paraId="19AEFA35" w14:textId="77777777"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Ibidem, p. 55.</w:t>
      </w:r>
    </w:p>
  </w:footnote>
  <w:footnote w:id="21">
    <w:p w14:paraId="5220C487" w14:textId="77777777" w:rsidR="004947CD" w:rsidRPr="005B5621" w:rsidRDefault="004947CD" w:rsidP="005B5621">
      <w:pPr>
        <w:spacing w:line="240" w:lineRule="auto"/>
        <w:rPr>
          <w:rFonts w:ascii="Arial" w:hAnsi="Arial" w:cs="Arial"/>
          <w:sz w:val="20"/>
          <w:szCs w:val="20"/>
        </w:rPr>
      </w:pPr>
      <w:r w:rsidRPr="005B5621">
        <w:rPr>
          <w:rStyle w:val="Refdenotaalpie"/>
          <w:rFonts w:ascii="Arial" w:hAnsi="Arial" w:cs="Arial"/>
          <w:sz w:val="20"/>
          <w:szCs w:val="20"/>
        </w:rPr>
        <w:footnoteRef/>
      </w:r>
      <w:r w:rsidRPr="005B5621">
        <w:rPr>
          <w:rFonts w:ascii="Arial" w:hAnsi="Arial" w:cs="Arial"/>
          <w:sz w:val="20"/>
          <w:szCs w:val="20"/>
        </w:rPr>
        <w:t xml:space="preserve"> </w:t>
      </w:r>
      <w:bookmarkStart w:id="15" w:name="_Hlk110193020"/>
      <w:r w:rsidRPr="005B5621">
        <w:rPr>
          <w:rFonts w:ascii="Arial" w:hAnsi="Arial" w:cs="Arial"/>
          <w:sz w:val="20"/>
          <w:szCs w:val="20"/>
        </w:rPr>
        <w:t>PIZZORUSSO, Alessandro, “Las generaciones de derechos”, Anuario de Derechos Humanos, Vol. 3, año 2002</w:t>
      </w:r>
      <w:bookmarkEnd w:id="15"/>
      <w:r w:rsidRPr="005B5621">
        <w:rPr>
          <w:rFonts w:ascii="Arial" w:hAnsi="Arial" w:cs="Arial"/>
          <w:sz w:val="20"/>
          <w:szCs w:val="20"/>
        </w:rPr>
        <w:t xml:space="preserve">, p. 305. Advierte este autor que </w:t>
      </w:r>
      <w:bookmarkStart w:id="16" w:name="_Hlk109754931"/>
      <w:r w:rsidRPr="005B5621">
        <w:rPr>
          <w:rFonts w:ascii="Arial" w:hAnsi="Arial" w:cs="Arial"/>
          <w:sz w:val="20"/>
          <w:szCs w:val="20"/>
        </w:rPr>
        <w:t xml:space="preserve">“Mientras los derechos de las dos primeras «generaciones» presentan un factor de diferenciación bastante claro para calificar a los de la primera como derechos «individuales» y a los de la segunda como derechos «sociales» (o bien, con mayor precisión, en derechos tendentes a defender al individuo de las interferencias de los poderes públicos, los primeros; y en «pretensiones» a conseguir de prestaciones públicas de vario género, los segundos), los mencionados derechos de tercera generación presentan un carácter menos unívoco, con lo que, a veces, parece que se aproximan a los primeros y, otras, a los segundos.” </w:t>
      </w:r>
      <w:bookmarkEnd w:id="16"/>
    </w:p>
  </w:footnote>
  <w:footnote w:id="22">
    <w:p w14:paraId="4E2056BE" w14:textId="77777777" w:rsidR="004947CD" w:rsidRPr="005B5621" w:rsidRDefault="004947CD"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PIZZORUSSO, Alejandro, op. cit.</w:t>
      </w:r>
      <w:r w:rsidRPr="005B5621">
        <w:rPr>
          <w:rFonts w:ascii="Arial" w:hAnsi="Arial" w:cs="Arial"/>
          <w:lang w:val="es-ES"/>
        </w:rPr>
        <w:t>, p. 306.</w:t>
      </w:r>
    </w:p>
  </w:footnote>
  <w:footnote w:id="23">
    <w:p w14:paraId="68C19047" w14:textId="2733C95C"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proofErr w:type="gramStart"/>
      <w:r w:rsidRPr="005B5621">
        <w:rPr>
          <w:rFonts w:ascii="Arial" w:hAnsi="Arial" w:cs="Arial"/>
        </w:rPr>
        <w:t xml:space="preserve">Señala  </w:t>
      </w:r>
      <w:r w:rsidR="00722F0F" w:rsidRPr="005B5621">
        <w:rPr>
          <w:rFonts w:ascii="Arial" w:hAnsi="Arial" w:cs="Arial"/>
        </w:rPr>
        <w:t>PÉREZ</w:t>
      </w:r>
      <w:proofErr w:type="gramEnd"/>
      <w:r w:rsidR="00722F0F" w:rsidRPr="005B5621">
        <w:rPr>
          <w:rFonts w:ascii="Arial" w:hAnsi="Arial" w:cs="Arial"/>
        </w:rPr>
        <w:t xml:space="preserve"> LUÑO </w:t>
      </w:r>
      <w:r w:rsidRPr="005B5621">
        <w:rPr>
          <w:rFonts w:ascii="Arial" w:hAnsi="Arial" w:cs="Arial"/>
        </w:rPr>
        <w:t xml:space="preserve">que “La revolución tecnológica ha redimensionado las relaciones del hombre con los demás hombres, las relaciones entre el hombre y la naturaleza, así como las relaciones del ser humano con su contexto o marco de convivencia. Estas mutaciones no han dejado de incidir en la esfera de los derechos humanos.” </w:t>
      </w:r>
      <w:r w:rsidR="00722F0F" w:rsidRPr="005B5621">
        <w:rPr>
          <w:rFonts w:ascii="Arial" w:hAnsi="Arial" w:cs="Arial"/>
        </w:rPr>
        <w:t>PÉREZ LUÑO</w:t>
      </w:r>
      <w:r w:rsidRPr="005B5621">
        <w:rPr>
          <w:rFonts w:ascii="Arial" w:hAnsi="Arial" w:cs="Arial"/>
        </w:rPr>
        <w:t>, Antonio Enrique, op. cit., p. 206.</w:t>
      </w:r>
    </w:p>
  </w:footnote>
  <w:footnote w:id="24">
    <w:p w14:paraId="0166537E" w14:textId="098982CD" w:rsidR="0078613E" w:rsidRPr="005B5621" w:rsidRDefault="0078613E"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El caso del Derecho Público Provincial argentino es un claro ejemplo del camino ascendente -normativamente hablando- que en general deben recorrer los derechos más “nuevos” hasta su consagración en el plano constitucional nacional y luego internacional. Puede verse sobre el particular el trabajo ya citado de DOMÍNGUEZ, Mariano, “Los Derechos Humanos y la reforma de la Constitución de Mendoza”. </w:t>
      </w:r>
    </w:p>
  </w:footnote>
  <w:footnote w:id="25">
    <w:p w14:paraId="06D1995E" w14:textId="117F9E1B" w:rsidR="0078613E" w:rsidRPr="005B5621" w:rsidRDefault="0078613E"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LAPORTA, Francisco, op. cit., p. 23.</w:t>
      </w:r>
    </w:p>
  </w:footnote>
  <w:footnote w:id="26">
    <w:p w14:paraId="22881A9D" w14:textId="77777777" w:rsidR="00F93753" w:rsidRPr="005B5621" w:rsidRDefault="00F93753"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Schmitt, Carl, </w:t>
      </w:r>
      <w:r w:rsidRPr="005B5621">
        <w:rPr>
          <w:rFonts w:ascii="Arial" w:hAnsi="Arial" w:cs="Arial"/>
          <w:i/>
        </w:rPr>
        <w:t>Interpretación europea de Donoso Cortés</w:t>
      </w:r>
      <w:r w:rsidRPr="005B5621">
        <w:rPr>
          <w:rFonts w:ascii="Arial" w:hAnsi="Arial" w:cs="Arial"/>
        </w:rPr>
        <w:t>, Madrid, Ediciones Rialp S.A., 1973, p. 77.</w:t>
      </w:r>
    </w:p>
  </w:footnote>
  <w:footnote w:id="27">
    <w:p w14:paraId="5A71CFBA" w14:textId="19AF0D91" w:rsidR="00F93753" w:rsidRPr="005B5621" w:rsidRDefault="00F93753"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w:t>
      </w:r>
      <w:bookmarkStart w:id="17" w:name="_Hlk92993250"/>
      <w:r w:rsidRPr="005B5621">
        <w:rPr>
          <w:rFonts w:ascii="Arial" w:hAnsi="Arial" w:cs="Arial"/>
          <w:lang w:val="es-ES"/>
        </w:rPr>
        <w:t>OST, Francois, “Júpiter, Hércules, Hermes: tres modelos de juez”, trad. LIFANTE VIDAL, Isabel, Academia, Revista de Enseñanza del Derecho, año 4, núm. 8, 2007, p. 110.</w:t>
      </w:r>
      <w:bookmarkEnd w:id="17"/>
    </w:p>
  </w:footnote>
  <w:footnote w:id="28">
    <w:p w14:paraId="15532928" w14:textId="6EFA132E" w:rsidR="00C550E0" w:rsidRPr="005B5621" w:rsidRDefault="00C550E0"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BACHOF, Otto, </w:t>
      </w:r>
      <w:r w:rsidRPr="005B5621">
        <w:rPr>
          <w:rFonts w:ascii="Arial" w:hAnsi="Arial" w:cs="Arial"/>
          <w:i/>
          <w:iCs/>
          <w:lang w:val="es-ES"/>
        </w:rPr>
        <w:t xml:space="preserve">Jueces y constitución, </w:t>
      </w:r>
      <w:r w:rsidRPr="005B5621">
        <w:rPr>
          <w:rFonts w:ascii="Arial" w:hAnsi="Arial" w:cs="Arial"/>
          <w:lang w:val="es-ES"/>
        </w:rPr>
        <w:t>Madrid, Taurus, 1963,</w:t>
      </w:r>
      <w:r w:rsidRPr="005B5621">
        <w:rPr>
          <w:rFonts w:ascii="Arial" w:hAnsi="Arial" w:cs="Arial"/>
        </w:rPr>
        <w:t xml:space="preserve"> 3</w:t>
      </w:r>
      <w:r w:rsidR="00CA33CE" w:rsidRPr="005B5621">
        <w:rPr>
          <w:rFonts w:ascii="Arial" w:hAnsi="Arial" w:cs="Arial"/>
        </w:rPr>
        <w:t>7</w:t>
      </w:r>
      <w:r w:rsidRPr="005B5621">
        <w:rPr>
          <w:rFonts w:ascii="Arial" w:hAnsi="Arial" w:cs="Arial"/>
        </w:rPr>
        <w:t>-42.</w:t>
      </w:r>
    </w:p>
  </w:footnote>
  <w:footnote w:id="29">
    <w:p w14:paraId="325E9788" w14:textId="77777777" w:rsidR="00C550E0" w:rsidRPr="005B5621" w:rsidRDefault="00C550E0"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Ibidem, p. 45.</w:t>
      </w:r>
    </w:p>
  </w:footnote>
  <w:footnote w:id="30">
    <w:p w14:paraId="71E8187E" w14:textId="77777777" w:rsidR="00C550E0" w:rsidRPr="005B5621" w:rsidRDefault="00C550E0"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Ibidem, p. 45.</w:t>
      </w:r>
    </w:p>
  </w:footnote>
  <w:footnote w:id="31">
    <w:p w14:paraId="70007CAD" w14:textId="77777777" w:rsidR="00C550E0" w:rsidRPr="005B5621" w:rsidRDefault="00C550E0"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Ibidem, p. 57</w:t>
      </w:r>
    </w:p>
  </w:footnote>
  <w:footnote w:id="32">
    <w:p w14:paraId="5DBBF00F" w14:textId="77777777" w:rsidR="00C550E0" w:rsidRPr="005B5621" w:rsidRDefault="00C550E0"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Ibidem, p. 61.</w:t>
      </w:r>
    </w:p>
  </w:footnote>
  <w:footnote w:id="33">
    <w:p w14:paraId="6A9B68D8" w14:textId="6664DE5E" w:rsidR="00774E02" w:rsidRPr="005B5621" w:rsidRDefault="00774E02"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EGÜES, Nicolás, “Visiones en torno al rol del poder judicial”, puede verse en </w:t>
      </w:r>
      <w:hyperlink r:id="rId1" w:history="1">
        <w:r w:rsidRPr="005B5621">
          <w:rPr>
            <w:rFonts w:ascii="Arial" w:hAnsi="Arial" w:cs="Arial"/>
          </w:rPr>
          <w:t>https://riej1812.com/ponencias-iii/</w:t>
        </w:r>
      </w:hyperlink>
      <w:r w:rsidRPr="005B5621">
        <w:rPr>
          <w:rFonts w:ascii="Arial" w:hAnsi="Arial" w:cs="Arial"/>
        </w:rPr>
        <w:t xml:space="preserve">. </w:t>
      </w:r>
    </w:p>
  </w:footnote>
  <w:footnote w:id="34">
    <w:p w14:paraId="0D75C4A2" w14:textId="13868151"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bookmarkStart w:id="18" w:name="_Hlk110193716"/>
      <w:r w:rsidR="00722F0F" w:rsidRPr="005B5621">
        <w:rPr>
          <w:rFonts w:ascii="Arial" w:hAnsi="Arial" w:cs="Arial"/>
        </w:rPr>
        <w:t>MANILI</w:t>
      </w:r>
      <w:r w:rsidRPr="005B5621">
        <w:rPr>
          <w:rFonts w:ascii="Arial" w:hAnsi="Arial" w:cs="Arial"/>
        </w:rPr>
        <w:t>, Pablo Luis, “Evolución histórica de la protección jurídica de los Derechos Humanos (El tránsito del Derecho Constitucional al Internacional, y de vuelta al Constitucional)”, en Revista Argentina de Derecho Constitucional, Año. II, no. 4 (2001), p. 83.</w:t>
      </w:r>
    </w:p>
    <w:bookmarkEnd w:id="18"/>
  </w:footnote>
  <w:footnote w:id="35">
    <w:p w14:paraId="7A0545B4" w14:textId="77777777"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Ibidem, p. 82.</w:t>
      </w:r>
    </w:p>
  </w:footnote>
  <w:footnote w:id="36">
    <w:p w14:paraId="374FF5D7" w14:textId="77777777"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Ibidem, p. 82.</w:t>
      </w:r>
    </w:p>
  </w:footnote>
  <w:footnote w:id="37">
    <w:p w14:paraId="1196FEDE" w14:textId="77777777"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“En síntesis, los pactos de 1966 implicaron un importante avance en cuanto a: elevar a la categoría de tratado el contenido de la Declaración Universal; especificar, explicitar y definir los derechos contenidos en ella; ampliar la lista de los mismos; y crear órganos de control del respeto de los derechos humanos.” Manili, Pablo Luis, op. cit., p. 87.</w:t>
      </w:r>
    </w:p>
  </w:footnote>
  <w:footnote w:id="38">
    <w:p w14:paraId="33D856F4" w14:textId="77777777" w:rsidR="00D61002" w:rsidRPr="005B5621" w:rsidRDefault="00D61002"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w:t>
      </w:r>
      <w:r w:rsidRPr="005B5621">
        <w:rPr>
          <w:rFonts w:ascii="Arial" w:hAnsi="Arial" w:cs="Arial"/>
          <w:lang w:val="es-ES"/>
        </w:rPr>
        <w:t>Manili, Pablo Luis, op. cit., p. 88.</w:t>
      </w:r>
    </w:p>
  </w:footnote>
  <w:footnote w:id="39">
    <w:p w14:paraId="19463C30" w14:textId="6ECFB597" w:rsidR="00ED7017" w:rsidRPr="005B5621" w:rsidRDefault="00ED7017" w:rsidP="005B5621">
      <w:pPr>
        <w:spacing w:line="240" w:lineRule="auto"/>
        <w:rPr>
          <w:rFonts w:ascii="Arial" w:hAnsi="Arial" w:cs="Arial"/>
          <w:sz w:val="20"/>
          <w:szCs w:val="20"/>
        </w:rPr>
      </w:pPr>
      <w:r w:rsidRPr="005B5621">
        <w:rPr>
          <w:rStyle w:val="Refdenotaalpie"/>
          <w:rFonts w:ascii="Arial" w:hAnsi="Arial" w:cs="Arial"/>
          <w:sz w:val="20"/>
          <w:szCs w:val="20"/>
        </w:rPr>
        <w:footnoteRef/>
      </w:r>
      <w:r w:rsidRPr="005B5621">
        <w:rPr>
          <w:rFonts w:ascii="Arial" w:hAnsi="Arial" w:cs="Arial"/>
          <w:sz w:val="20"/>
          <w:szCs w:val="20"/>
        </w:rPr>
        <w:t xml:space="preserve"> Señala </w:t>
      </w:r>
      <w:r w:rsidR="00722F0F" w:rsidRPr="005B5621">
        <w:rPr>
          <w:rFonts w:ascii="Arial" w:hAnsi="Arial" w:cs="Arial"/>
          <w:sz w:val="20"/>
          <w:szCs w:val="20"/>
        </w:rPr>
        <w:t xml:space="preserve">VON BOGDANDY </w:t>
      </w:r>
      <w:r w:rsidRPr="005B5621">
        <w:rPr>
          <w:rFonts w:ascii="Arial" w:hAnsi="Arial" w:cs="Arial"/>
          <w:sz w:val="20"/>
          <w:szCs w:val="20"/>
        </w:rPr>
        <w:t xml:space="preserve">que </w:t>
      </w:r>
      <w:r w:rsidRPr="005B5621">
        <w:rPr>
          <w:rFonts w:ascii="Arial" w:hAnsi="Arial" w:cs="Arial"/>
          <w:bCs/>
          <w:sz w:val="20"/>
          <w:szCs w:val="20"/>
        </w:rPr>
        <w:t xml:space="preserve">“Como ocurre a menudo con las elaboraciones jurídicas, el contexto de sus orígenes ha sido en gran medida olvidado. Y si se compara la situación actual con la de cien años atrás, se observa que casi todos sus elementos constitutivos han cambiado: la evolución del Estado-nación en el marco del proceso de globalización, el espectacular desarrollo del derecho internacional, </w:t>
      </w:r>
      <w:proofErr w:type="gramStart"/>
      <w:r w:rsidRPr="005B5621">
        <w:rPr>
          <w:rFonts w:ascii="Arial" w:hAnsi="Arial" w:cs="Arial"/>
          <w:bCs/>
          <w:sz w:val="20"/>
          <w:szCs w:val="20"/>
        </w:rPr>
        <w:t>y</w:t>
      </w:r>
      <w:proofErr w:type="gramEnd"/>
      <w:r w:rsidRPr="005B5621">
        <w:rPr>
          <w:rFonts w:ascii="Arial" w:hAnsi="Arial" w:cs="Arial"/>
          <w:bCs/>
          <w:sz w:val="20"/>
          <w:szCs w:val="20"/>
        </w:rPr>
        <w:t xml:space="preserve"> sobre todo, la introducción de disposiciones constitucionales específicas relativas al papel del derecho internacional en los ordenamientos jurídicos nacionales. Como teorías, el monismo y el dualismo son hoy en día insatisfactorias: sus argumentos son bastante herméticos, sus tesis centrales están poco desarrolladas, los puntos de vista opuestos son simplemente desechados por ‘ilógicos’, y sus planteamientos no se vinculan al debate teórico contemporáneo. En tanto que doctrinas, son igualmente insatisfactorias, ya que no contribuyen a la solución de los problemas jurídicos concretos. Por todo ello, al discutir la relación entre el derecho internacional y el derecho interno, la mejor opción es prescindir de los conceptos doctrinales y teóricos de monismo y dualismo”. </w:t>
      </w:r>
      <w:r w:rsidR="00722F0F" w:rsidRPr="005B5621">
        <w:rPr>
          <w:rFonts w:ascii="Arial" w:hAnsi="Arial" w:cs="Arial"/>
          <w:bCs/>
          <w:sz w:val="20"/>
          <w:szCs w:val="20"/>
        </w:rPr>
        <w:t>VON BOGDANDY</w:t>
      </w:r>
      <w:r w:rsidRPr="005B5621">
        <w:rPr>
          <w:rFonts w:ascii="Arial" w:hAnsi="Arial" w:cs="Arial"/>
          <w:bCs/>
          <w:sz w:val="20"/>
          <w:szCs w:val="20"/>
        </w:rPr>
        <w:t xml:space="preserve">, Armin, </w:t>
      </w:r>
      <w:r w:rsidR="00722F0F" w:rsidRPr="005B5621">
        <w:rPr>
          <w:rFonts w:ascii="Arial" w:hAnsi="Arial" w:cs="Arial"/>
          <w:bCs/>
          <w:sz w:val="20"/>
          <w:szCs w:val="20"/>
        </w:rPr>
        <w:t>FERRER MAC-GREGOR</w:t>
      </w:r>
      <w:r w:rsidRPr="005B5621">
        <w:rPr>
          <w:rFonts w:ascii="Arial" w:hAnsi="Arial" w:cs="Arial"/>
          <w:bCs/>
          <w:sz w:val="20"/>
          <w:szCs w:val="20"/>
        </w:rPr>
        <w:t xml:space="preserve">, Eduardo, </w:t>
      </w:r>
      <w:r w:rsidR="00722F0F" w:rsidRPr="005B5621">
        <w:rPr>
          <w:rFonts w:ascii="Arial" w:hAnsi="Arial" w:cs="Arial"/>
          <w:bCs/>
          <w:sz w:val="20"/>
          <w:szCs w:val="20"/>
        </w:rPr>
        <w:t xml:space="preserve">MORALES ANTONIAZZI </w:t>
      </w:r>
      <w:r w:rsidRPr="005B5621">
        <w:rPr>
          <w:rFonts w:ascii="Arial" w:hAnsi="Arial" w:cs="Arial"/>
          <w:bCs/>
          <w:sz w:val="20"/>
          <w:szCs w:val="20"/>
        </w:rPr>
        <w:t xml:space="preserve">Mariela (Coordinadores), </w:t>
      </w:r>
      <w:r w:rsidRPr="005B5621">
        <w:rPr>
          <w:rFonts w:ascii="Arial" w:hAnsi="Arial" w:cs="Arial"/>
          <w:bCs/>
          <w:i/>
          <w:iCs/>
          <w:sz w:val="20"/>
          <w:szCs w:val="20"/>
        </w:rPr>
        <w:t>La Justicia Constitucional y su internalización. ¿Hacia un ius constitucion de commune en América Latina?</w:t>
      </w:r>
      <w:r w:rsidRPr="005B5621">
        <w:rPr>
          <w:rFonts w:ascii="Arial" w:hAnsi="Arial" w:cs="Arial"/>
          <w:bCs/>
          <w:sz w:val="20"/>
          <w:szCs w:val="20"/>
        </w:rPr>
        <w:t xml:space="preserve">” México, UNAM, 2010, p. 287 citado por </w:t>
      </w:r>
      <w:bookmarkStart w:id="19" w:name="_Hlk110193793"/>
      <w:r w:rsidR="00722F0F" w:rsidRPr="005B5621">
        <w:rPr>
          <w:rFonts w:ascii="Arial" w:hAnsi="Arial" w:cs="Arial"/>
          <w:bCs/>
          <w:sz w:val="20"/>
          <w:szCs w:val="20"/>
        </w:rPr>
        <w:t>ACOSTA ALVARADO</w:t>
      </w:r>
      <w:r w:rsidRPr="005B5621">
        <w:rPr>
          <w:rFonts w:ascii="Arial" w:hAnsi="Arial" w:cs="Arial"/>
          <w:bCs/>
          <w:sz w:val="20"/>
          <w:szCs w:val="20"/>
        </w:rPr>
        <w:t>, Paola, “</w:t>
      </w:r>
      <w:r w:rsidRPr="005B5621">
        <w:rPr>
          <w:rFonts w:ascii="Arial" w:hAnsi="Arial" w:cs="Arial"/>
          <w:sz w:val="20"/>
          <w:szCs w:val="20"/>
        </w:rPr>
        <w:t>Zombis Vs. Frankenstein: Sobre las relaciones entre el Derecho Internacional y el Derecho Interno” en Estudios Constitucionales, Año 14, Nº 1, 2016, p. 25.</w:t>
      </w:r>
      <w:bookmarkEnd w:id="19"/>
    </w:p>
  </w:footnote>
  <w:footnote w:id="40">
    <w:p w14:paraId="367FB3FC" w14:textId="7F431CC6"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722F0F" w:rsidRPr="005B5621">
        <w:rPr>
          <w:rFonts w:ascii="Arial" w:hAnsi="Arial" w:cs="Arial"/>
        </w:rPr>
        <w:t>GARCÍA JARAMILLO</w:t>
      </w:r>
      <w:r w:rsidRPr="005B5621">
        <w:rPr>
          <w:rFonts w:ascii="Arial" w:hAnsi="Arial" w:cs="Arial"/>
        </w:rPr>
        <w:t>, Leonardo, op. cit., p. 44.</w:t>
      </w:r>
    </w:p>
  </w:footnote>
  <w:footnote w:id="41">
    <w:p w14:paraId="5C28AD60" w14:textId="6468D66C"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1E5F60" w:rsidRPr="005B5621">
        <w:rPr>
          <w:rFonts w:ascii="Arial" w:hAnsi="Arial" w:cs="Arial"/>
        </w:rPr>
        <w:t xml:space="preserve">HENNIG LEAL, </w:t>
      </w:r>
      <w:r w:rsidRPr="005B5621">
        <w:rPr>
          <w:rFonts w:ascii="Arial" w:hAnsi="Arial" w:cs="Arial"/>
        </w:rPr>
        <w:t xml:space="preserve">Mónica Clarisa, “¿Hasta dónde deben llegar los Tribunales Internacionales de Derechos Humanos? Los Tribunales Internacionales y la Jurisdicción Constitucional ante los fenómenos de judicialización y de activismo judicial”, en Riberi, Pablo (Coordinador), </w:t>
      </w:r>
      <w:r w:rsidRPr="005B5621">
        <w:rPr>
          <w:rFonts w:ascii="Arial" w:hAnsi="Arial" w:cs="Arial"/>
          <w:i/>
          <w:iCs/>
        </w:rPr>
        <w:t xml:space="preserve">Fundamentos y desafíos de la Teoría Constitucional Contemporánea, </w:t>
      </w:r>
      <w:r w:rsidRPr="005B5621">
        <w:rPr>
          <w:rFonts w:ascii="Arial" w:hAnsi="Arial" w:cs="Arial"/>
        </w:rPr>
        <w:t>Buenos Aires, Rubinzal Culzoni, 2019, p. 389.</w:t>
      </w:r>
    </w:p>
  </w:footnote>
  <w:footnote w:id="42">
    <w:p w14:paraId="47DE2C3E" w14:textId="564AD3FE" w:rsidR="005C36B2" w:rsidRPr="005B5621" w:rsidRDefault="005C36B2"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w:t>
      </w:r>
      <w:r w:rsidR="006E3798" w:rsidRPr="005B5621">
        <w:rPr>
          <w:rFonts w:ascii="Arial" w:hAnsi="Arial" w:cs="Arial"/>
        </w:rPr>
        <w:t>En la Opinión Consultiva OC-23/17 de 15 de noviembre de 2017. Serie A No. 23, la Corte sostuvo “la importancia de la protección, preservación y mejoramiento del medio ambiente contenido en el artículo 11 del Protocolo Adicional a la Convención Americana sobre Derechos Económicos, Sociales y Culturales “Protocolo de San Salvador” como un derecho humano esencial relacionado con el derecho a la vida digna derivado del artículo 4 de la Convención a la luz del corpus iuris internacional existente sobre la protección especial que requieren los miembros de las comunidades indígenas “en relación con el deber general de garantía contenido en el artículo 1.1 y con el deber de desarrollo progresivo contenido en el artículo 26 de la misma.” En igual sentido, en el plano contencioso en el “Caso Pueblos Kaliña y Lokono Vs. Surinam</w:t>
      </w:r>
      <w:r w:rsidR="00DF09CF" w:rsidRPr="005B5621">
        <w:rPr>
          <w:rFonts w:ascii="Arial" w:hAnsi="Arial" w:cs="Arial"/>
        </w:rPr>
        <w:t>”</w:t>
      </w:r>
      <w:r w:rsidR="006E3798" w:rsidRPr="005B5621">
        <w:rPr>
          <w:rFonts w:ascii="Arial" w:hAnsi="Arial" w:cs="Arial"/>
        </w:rPr>
        <w:t>,</w:t>
      </w:r>
      <w:r w:rsidR="0045628E" w:rsidRPr="005B5621">
        <w:rPr>
          <w:rFonts w:ascii="Arial" w:hAnsi="Arial" w:cs="Arial"/>
        </w:rPr>
        <w:t xml:space="preserve"> -entre muchos otros casos- ha resuelto </w:t>
      </w:r>
      <w:r w:rsidR="006E3798" w:rsidRPr="005B5621">
        <w:rPr>
          <w:rFonts w:ascii="Arial" w:hAnsi="Arial" w:cs="Arial"/>
        </w:rPr>
        <w:t>que “el Tribunal ha resaltado la importancia de la protección, preservación y mejoramiento del medio ambiente contenido en el artículo 11 del Protocolo Adicional a la Convención Americana sobre Derechos Económicos, Sociales y Culturales “Protocolo de San Salvador” como un derecho humano esencial relacionado con el derecho a la vida digna derivado del artículo 4 de la Convención a la luz del corpus iuris internacional existente sobre la protección especial que requieren los miembros de las comunidades indígenas “en relación con el deber general de garantía contenido en el artículo 1.1 y con el deber de desarrollo progresivo contenido en el artículo 26 de la misma.”</w:t>
      </w:r>
      <w:r w:rsidR="00DF09CF" w:rsidRPr="005B5621">
        <w:rPr>
          <w:rFonts w:ascii="Arial" w:hAnsi="Arial" w:cs="Arial"/>
        </w:rPr>
        <w:t xml:space="preserve"> Corte IDH “Caso Pueblos Kaliña y Lokono Vs. Surinam. Fondo, Reparaciones y Costas” Sentencia de 25 de noviembre de 2015. Serie C No. 309.</w:t>
      </w:r>
    </w:p>
  </w:footnote>
  <w:footnote w:id="43">
    <w:p w14:paraId="2313FDDD" w14:textId="65070A65" w:rsidR="00A44795" w:rsidRPr="005B5621" w:rsidRDefault="00A44795"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Es también abundante la jurisprudencia de la Corte Interamericana en la materia. Destacamos especialmente aquellos rasgos que asigna al derecho de las personas migrantes y que escapan de los postulados tradicionales en materia de derechos. En este sentido, en el “Caso de las niñas Yean y Bosico Vs. República Dominicana.” la Corte sostuvo que “La determinación de quienes son nacionales sigue siendo competencia interna de los Estados. Sin embargo, su discrecionalidad en esa materia sufre un constante proceso de restricción conforme a la evolución del derecho internacional, con vistas a una mayor protección de la persona frente a la arbitrariedad de los Estados. Así </w:t>
      </w:r>
      <w:proofErr w:type="gramStart"/>
      <w:r w:rsidRPr="005B5621">
        <w:rPr>
          <w:rFonts w:ascii="Arial" w:hAnsi="Arial" w:cs="Arial"/>
        </w:rPr>
        <w:t>que</w:t>
      </w:r>
      <w:proofErr w:type="gramEnd"/>
      <w:r w:rsidRPr="005B5621">
        <w:rPr>
          <w:rFonts w:ascii="Arial" w:hAnsi="Arial" w:cs="Arial"/>
        </w:rPr>
        <w:t xml:space="preserve"> en la actual etapa de desarrollo del derecho internacional de los derechos humanos, dicha facultad de los Estados está limitada, por un lado, por su deber de brindar a los individuos una protección igualitaria y efectiva de la ley y sin discriminación y, por otro lado, por su deber de prevenir, evitar y reducir la apatridia.”</w:t>
      </w:r>
      <w:r w:rsidR="00DF09CF" w:rsidRPr="005B5621">
        <w:rPr>
          <w:rFonts w:ascii="Arial" w:hAnsi="Arial" w:cs="Arial"/>
        </w:rPr>
        <w:t xml:space="preserve"> Corte IDH, “Caso de las niñas Yean y Bosico Vs. República Dominicana.” Sentencia de 8 de septiembre de 2005. Serie C No. 1305 140.</w:t>
      </w:r>
    </w:p>
  </w:footnote>
  <w:footnote w:id="44">
    <w:p w14:paraId="694F964F" w14:textId="77777777" w:rsidR="00DF09CF" w:rsidRPr="005B5621" w:rsidRDefault="00DF09CF" w:rsidP="005B5621">
      <w:pPr>
        <w:pStyle w:val="Textonotapie"/>
        <w:spacing w:line="240" w:lineRule="auto"/>
        <w:rPr>
          <w:rFonts w:ascii="Arial" w:hAnsi="Arial" w:cs="Arial"/>
          <w:b/>
          <w:bCs/>
        </w:rPr>
      </w:pPr>
      <w:r w:rsidRPr="005B5621">
        <w:rPr>
          <w:rStyle w:val="Refdenotaalpie"/>
          <w:rFonts w:ascii="Arial" w:hAnsi="Arial" w:cs="Arial"/>
        </w:rPr>
        <w:footnoteRef/>
      </w:r>
      <w:r w:rsidRPr="005B5621">
        <w:rPr>
          <w:rFonts w:ascii="Arial" w:hAnsi="Arial" w:cs="Arial"/>
        </w:rPr>
        <w:t xml:space="preserve"> Corte IDH. Caso Gonzales Lluy y otros Vs. Ecuador. Excepciones Preliminares, Fondo, Reparaciones y Costas. Sentencia de 1 de septiembre de 2015. Serie C No. 298.</w:t>
      </w:r>
    </w:p>
    <w:p w14:paraId="1A17DD45" w14:textId="2D463BBA" w:rsidR="00DF09CF" w:rsidRPr="005B5621" w:rsidRDefault="00DF09CF" w:rsidP="005B5621">
      <w:pPr>
        <w:pStyle w:val="Textonotapie"/>
        <w:spacing w:line="240" w:lineRule="auto"/>
        <w:rPr>
          <w:rFonts w:ascii="Arial" w:hAnsi="Arial" w:cs="Arial"/>
        </w:rPr>
      </w:pPr>
    </w:p>
  </w:footnote>
  <w:footnote w:id="45">
    <w:p w14:paraId="73C4F224" w14:textId="06A96AFF" w:rsidR="00FF49F5" w:rsidRPr="005B5621" w:rsidRDefault="00FF49F5"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Artículo 13.3: “No se puede restringir el derecho de expresión por vías o medios indirectos, tales como el abuso de controles oficiales o particulares de papel para periódicos, de frecuencias radioeléctricas, o de enseres y aparatos usados en la difusión de información o por cualesquiera otros medios encaminados a impedir la comunicación y la circulación de ideas y opiniones.”</w:t>
      </w:r>
    </w:p>
  </w:footnote>
  <w:footnote w:id="46">
    <w:p w14:paraId="08E9CFEA" w14:textId="602A9903" w:rsidR="00FF49F5" w:rsidRPr="005B5621" w:rsidRDefault="00FF49F5"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Corte IDH. Caso Granier y otros (Radio Caracas Televisión) Vs. Venezuela. Excepciones Preliminares, Fondo, Reparaciones y Costas. Sentencia de 22 de junio de 2015. Serie C No. 293.</w:t>
      </w:r>
    </w:p>
  </w:footnote>
  <w:footnote w:id="47">
    <w:p w14:paraId="4523E104" w14:textId="052E0059" w:rsidR="00ED43A0" w:rsidRPr="005B5621" w:rsidRDefault="00ED43A0"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Corte IDH. Caso Escher y otros Vs. Brasil. Interpretación de la Sentencia de Excepciones Preliminares, Fondo, Reparaciones y Costas. Sentencia de 20 de noviembre de 2009. Serie C No. 208</w:t>
      </w:r>
    </w:p>
  </w:footnote>
  <w:footnote w:id="48">
    <w:p w14:paraId="484766EF" w14:textId="47AEFF15" w:rsidR="001543D3" w:rsidRPr="005B5621" w:rsidRDefault="001543D3"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Corte IDH. Caso Cuscul Pivaral y otros Vs. Guatemala. Excepción Preliminar, Fondo, Reparaciones y Costas. Sentencia de 23 de agosto de 2018. Serie C No. 359.</w:t>
      </w:r>
    </w:p>
  </w:footnote>
  <w:footnote w:id="49">
    <w:p w14:paraId="57B7E5EE" w14:textId="6A73734A" w:rsidR="00D27EED" w:rsidRPr="005B5621" w:rsidRDefault="00D27EED"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Corte IDH. Caso Artavia Murillo y otros (Fecundación in Vitro) Vs. Costa Rica. Excepciones Preliminares, Fondo, Reparaciones y Costas. Sentencia de 28 de noviembre de 2012. Serie C No. 257. 146.</w:t>
      </w:r>
    </w:p>
  </w:footnote>
  <w:footnote w:id="50">
    <w:p w14:paraId="78F9587B" w14:textId="77777777" w:rsidR="00ED7017" w:rsidRPr="005B5621" w:rsidRDefault="00ED7017" w:rsidP="005B5621">
      <w:pPr>
        <w:pStyle w:val="Textonotapie"/>
        <w:spacing w:line="240" w:lineRule="auto"/>
        <w:rPr>
          <w:rFonts w:ascii="Arial" w:hAnsi="Arial" w:cs="Arial"/>
        </w:rPr>
      </w:pPr>
      <w:r w:rsidRPr="005B5621">
        <w:rPr>
          <w:rStyle w:val="Refdenotaalpie"/>
          <w:rFonts w:ascii="Arial" w:hAnsi="Arial" w:cs="Arial"/>
        </w:rPr>
        <w:footnoteRef/>
      </w:r>
      <w:r w:rsidRPr="005B5621">
        <w:rPr>
          <w:rFonts w:ascii="Arial" w:hAnsi="Arial" w:cs="Arial"/>
        </w:rPr>
        <w:t xml:space="preserve"> Pizzolo, Calógero, op. cit., p. 258.</w:t>
      </w:r>
    </w:p>
  </w:footnote>
  <w:footnote w:id="51">
    <w:p w14:paraId="10C461DE" w14:textId="77777777" w:rsidR="00ED7017" w:rsidRPr="005B5621" w:rsidRDefault="00ED7017"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w:t>
      </w:r>
      <w:r w:rsidRPr="005B5621">
        <w:rPr>
          <w:rFonts w:ascii="Arial" w:hAnsi="Arial" w:cs="Arial"/>
          <w:lang w:val="es-ES"/>
        </w:rPr>
        <w:t xml:space="preserve">El término se utilizó por primera vez en11111 el voto del Juez García Ramírez en el fallo “Myrna Mack Chang vs Guatemala y en el precedente “Almonacid Arellano vs Chile” la Corte dispuso “que la responsabilidad internacional de los Estados de cumplir con las obligaciones internacionalmente asumidas abarca a todos sus órganos y, por ende, el Poder Judicial tiene el deber de hacer respetar y garantizar la observancia del derecho internacional de los derechos humanos, ejerciendo por supuesto el control de convencionalidad.” Mensa González, Andrea, “El control de convencionalidad como pilar del sistema interamericano” en Pizzolo, Calógero y Mezzetti, Luca, </w:t>
      </w:r>
      <w:r w:rsidRPr="005B5621">
        <w:rPr>
          <w:rFonts w:ascii="Arial" w:hAnsi="Arial" w:cs="Arial"/>
          <w:i/>
          <w:iCs/>
          <w:lang w:val="es-ES"/>
        </w:rPr>
        <w:t>Tribunales supranacionales y tribunales nacionales</w:t>
      </w:r>
      <w:r w:rsidRPr="005B5621">
        <w:rPr>
          <w:rFonts w:ascii="Arial" w:hAnsi="Arial" w:cs="Arial"/>
          <w:lang w:val="es-ES"/>
        </w:rPr>
        <w:t xml:space="preserve">, Buenos Aires, Astrea, 2016, p. 188. </w:t>
      </w:r>
    </w:p>
  </w:footnote>
  <w:footnote w:id="52">
    <w:p w14:paraId="58EB4CCD" w14:textId="77777777" w:rsidR="00ED7017" w:rsidRPr="005B5621" w:rsidRDefault="00ED7017" w:rsidP="005B5621">
      <w:pPr>
        <w:pStyle w:val="Textonotapie"/>
        <w:spacing w:line="240" w:lineRule="auto"/>
        <w:rPr>
          <w:rFonts w:ascii="Arial" w:hAnsi="Arial" w:cs="Arial"/>
          <w:lang w:val="es-ES"/>
        </w:rPr>
      </w:pPr>
      <w:r w:rsidRPr="005B5621">
        <w:rPr>
          <w:rStyle w:val="Refdenotaalpie"/>
          <w:rFonts w:ascii="Arial" w:hAnsi="Arial" w:cs="Arial"/>
        </w:rPr>
        <w:footnoteRef/>
      </w:r>
      <w:r w:rsidRPr="005B5621">
        <w:rPr>
          <w:rFonts w:ascii="Arial" w:hAnsi="Arial" w:cs="Arial"/>
        </w:rPr>
        <w:t xml:space="preserve"> </w:t>
      </w:r>
      <w:r w:rsidRPr="005B5621">
        <w:rPr>
          <w:rFonts w:ascii="Arial" w:hAnsi="Arial" w:cs="Arial"/>
          <w:lang w:val="es-ES"/>
        </w:rPr>
        <w:t xml:space="preserve">No se nos escapa que, por un lado, existen pronunciamientos vinculados con aspectos biotecnológicos de avanzada, como el caso “Artavio Murillo vs Costa Rica”, pero en el fondo la discusión giraba en torno al derecho a la vida y </w:t>
      </w:r>
      <w:proofErr w:type="gramStart"/>
      <w:r w:rsidRPr="005B5621">
        <w:rPr>
          <w:rFonts w:ascii="Arial" w:hAnsi="Arial" w:cs="Arial"/>
          <w:lang w:val="es-ES"/>
        </w:rPr>
        <w:t>que</w:t>
      </w:r>
      <w:proofErr w:type="gramEnd"/>
      <w:r w:rsidRPr="005B5621">
        <w:rPr>
          <w:rFonts w:ascii="Arial" w:hAnsi="Arial" w:cs="Arial"/>
          <w:lang w:val="es-ES"/>
        </w:rPr>
        <w:t xml:space="preserve"> por otro lado, la Corte no ha dudado en analizar, interpretar y aplicar otros tratados, siendo el caso citado un buen ejemplo de ello. Lo cierto es que no existe todavía un desarrollo sistemático en los fallos de </w:t>
      </w:r>
      <w:proofErr w:type="gramStart"/>
      <w:r w:rsidRPr="005B5621">
        <w:rPr>
          <w:rFonts w:ascii="Arial" w:hAnsi="Arial" w:cs="Arial"/>
          <w:lang w:val="es-ES"/>
        </w:rPr>
        <w:t>la  Corte</w:t>
      </w:r>
      <w:proofErr w:type="gramEnd"/>
      <w:r w:rsidRPr="005B5621">
        <w:rPr>
          <w:rFonts w:ascii="Arial" w:hAnsi="Arial" w:cs="Arial"/>
          <w:lang w:val="es-ES"/>
        </w:rPr>
        <w:t>, vinculado en forma directa con los derechos y la tecnología (acceso a internet, biotecnología, etc)</w:t>
      </w:r>
    </w:p>
    <w:p w14:paraId="55EE356E" w14:textId="77777777" w:rsidR="00ED7017" w:rsidRPr="005B5621" w:rsidRDefault="00ED7017" w:rsidP="005B5621">
      <w:pPr>
        <w:pStyle w:val="Textonotapie"/>
        <w:spacing w:line="240" w:lineRule="auto"/>
        <w:rPr>
          <w:rFonts w:ascii="Arial" w:hAnsi="Arial" w:cs="Arial"/>
          <w:lang w:val="es-ES"/>
        </w:rPr>
      </w:pPr>
      <w:r w:rsidRPr="005B5621">
        <w:rPr>
          <w:rFonts w:ascii="Arial" w:hAnsi="Arial" w:cs="Arial"/>
          <w:lang w:val="es-ES"/>
        </w:rPr>
        <w:t xml:space="preserve">  </w:t>
      </w:r>
    </w:p>
  </w:footnote>
  <w:footnote w:id="53">
    <w:p w14:paraId="57B9B74A" w14:textId="2A10008D" w:rsidR="007C669B" w:rsidRPr="007C669B" w:rsidRDefault="007C669B" w:rsidP="005B5621">
      <w:pPr>
        <w:pStyle w:val="Textonotapie"/>
        <w:spacing w:line="240" w:lineRule="auto"/>
        <w:rPr>
          <w:lang w:val="es-ES"/>
        </w:rPr>
      </w:pPr>
      <w:r w:rsidRPr="005B5621">
        <w:rPr>
          <w:rStyle w:val="Refdenotaalpie"/>
          <w:rFonts w:ascii="Arial" w:hAnsi="Arial" w:cs="Arial"/>
        </w:rPr>
        <w:footnoteRef/>
      </w:r>
      <w:r w:rsidRPr="005B5621">
        <w:rPr>
          <w:rFonts w:ascii="Arial" w:hAnsi="Arial" w:cs="Arial"/>
        </w:rPr>
        <w:t xml:space="preserve"> </w:t>
      </w:r>
      <w:r w:rsidRPr="005B5621">
        <w:rPr>
          <w:rFonts w:ascii="Arial" w:hAnsi="Arial" w:cs="Arial"/>
          <w:lang w:val="es-ES"/>
        </w:rPr>
        <w:t>FROSINI, V</w:t>
      </w:r>
      <w:r w:rsidR="005B5621">
        <w:rPr>
          <w:rFonts w:ascii="Arial" w:hAnsi="Arial" w:cs="Arial"/>
          <w:lang w:val="es-ES"/>
        </w:rPr>
        <w:t>ittorio</w:t>
      </w:r>
      <w:r w:rsidRPr="005B5621">
        <w:rPr>
          <w:rFonts w:ascii="Arial" w:hAnsi="Arial" w:cs="Arial"/>
          <w:lang w:val="es-ES"/>
        </w:rPr>
        <w:t xml:space="preserve">, “Los derechos humanos en la era tecnológica” en SORIANO DÍAZ, Ramón, ALARCÓN CABRERA, Carlos y MORA MOLINA, Juan (Directores), </w:t>
      </w:r>
      <w:r w:rsidRPr="005B5621">
        <w:rPr>
          <w:rFonts w:ascii="Arial" w:hAnsi="Arial" w:cs="Arial"/>
          <w:i/>
          <w:iCs/>
          <w:lang w:val="es-ES"/>
        </w:rPr>
        <w:t xml:space="preserve">Diccionario Crítico de los Derechos Humanos, </w:t>
      </w:r>
      <w:r w:rsidRPr="005B5621">
        <w:rPr>
          <w:rFonts w:ascii="Arial" w:hAnsi="Arial" w:cs="Arial"/>
          <w:lang w:val="es-ES"/>
        </w:rPr>
        <w:t xml:space="preserve">España, Universidad Internacional de Andalucía, </w:t>
      </w:r>
      <w:r w:rsidR="005B5621" w:rsidRPr="005B5621">
        <w:rPr>
          <w:rFonts w:ascii="Arial" w:hAnsi="Arial" w:cs="Arial"/>
          <w:lang w:val="es-ES"/>
        </w:rPr>
        <w:t>2000, p. 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017"/>
    <w:rsid w:val="001543D3"/>
    <w:rsid w:val="00187FD3"/>
    <w:rsid w:val="001E5F60"/>
    <w:rsid w:val="002268F2"/>
    <w:rsid w:val="00230E49"/>
    <w:rsid w:val="00311A0F"/>
    <w:rsid w:val="00314E19"/>
    <w:rsid w:val="003B580F"/>
    <w:rsid w:val="00413CF8"/>
    <w:rsid w:val="004263BE"/>
    <w:rsid w:val="0045628E"/>
    <w:rsid w:val="00460FCA"/>
    <w:rsid w:val="00477A16"/>
    <w:rsid w:val="00493D06"/>
    <w:rsid w:val="004947CD"/>
    <w:rsid w:val="00585648"/>
    <w:rsid w:val="005945CA"/>
    <w:rsid w:val="005B5621"/>
    <w:rsid w:val="005C36B2"/>
    <w:rsid w:val="005C4F78"/>
    <w:rsid w:val="006A7610"/>
    <w:rsid w:val="006E3798"/>
    <w:rsid w:val="00722F0F"/>
    <w:rsid w:val="00752B4C"/>
    <w:rsid w:val="00774E02"/>
    <w:rsid w:val="0077665F"/>
    <w:rsid w:val="0078613E"/>
    <w:rsid w:val="007C669B"/>
    <w:rsid w:val="00954432"/>
    <w:rsid w:val="009F0165"/>
    <w:rsid w:val="00A335A9"/>
    <w:rsid w:val="00A44795"/>
    <w:rsid w:val="00A6559A"/>
    <w:rsid w:val="00AD46F1"/>
    <w:rsid w:val="00C30999"/>
    <w:rsid w:val="00C34C75"/>
    <w:rsid w:val="00C550E0"/>
    <w:rsid w:val="00C94798"/>
    <w:rsid w:val="00CA33CE"/>
    <w:rsid w:val="00D02C70"/>
    <w:rsid w:val="00D26057"/>
    <w:rsid w:val="00D27EED"/>
    <w:rsid w:val="00D61002"/>
    <w:rsid w:val="00DF09CF"/>
    <w:rsid w:val="00ED43A0"/>
    <w:rsid w:val="00ED7017"/>
    <w:rsid w:val="00EF4BE9"/>
    <w:rsid w:val="00F93753"/>
    <w:rsid w:val="00F959AF"/>
    <w:rsid w:val="00FF49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F92C5"/>
  <w15:chartTrackingRefBased/>
  <w15:docId w15:val="{B964C5F9-C387-486F-9B49-0AAEFAF22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ED7017"/>
    <w:pPr>
      <w:spacing w:after="200"/>
    </w:pPr>
    <w:rPr>
      <w:rFonts w:ascii="Times New Roman" w:eastAsia="Calibri" w:hAnsi="Times New Roman" w:cs="Times New Roman"/>
      <w:kern w:val="0"/>
      <w:sz w:val="20"/>
      <w:szCs w:val="20"/>
      <w14:ligatures w14:val="none"/>
    </w:rPr>
  </w:style>
  <w:style w:type="character" w:customStyle="1" w:styleId="TextonotapieCar">
    <w:name w:val="Texto nota pie Car"/>
    <w:basedOn w:val="Fuentedeprrafopredeter"/>
    <w:link w:val="Textonotapie"/>
    <w:uiPriority w:val="99"/>
    <w:rsid w:val="00ED7017"/>
    <w:rPr>
      <w:rFonts w:ascii="Times New Roman" w:eastAsia="Calibri" w:hAnsi="Times New Roman" w:cs="Times New Roman"/>
      <w:kern w:val="0"/>
      <w:sz w:val="20"/>
      <w:szCs w:val="20"/>
      <w14:ligatures w14:val="none"/>
    </w:rPr>
  </w:style>
  <w:style w:type="character" w:styleId="Refdenotaalpie">
    <w:name w:val="footnote reference"/>
    <w:uiPriority w:val="99"/>
    <w:semiHidden/>
    <w:unhideWhenUsed/>
    <w:rsid w:val="00ED7017"/>
    <w:rPr>
      <w:vertAlign w:val="superscript"/>
    </w:rPr>
  </w:style>
  <w:style w:type="character" w:styleId="Hipervnculo">
    <w:name w:val="Hyperlink"/>
    <w:basedOn w:val="Fuentedeprrafopredeter"/>
    <w:uiPriority w:val="99"/>
    <w:unhideWhenUsed/>
    <w:rsid w:val="00ED7017"/>
    <w:rPr>
      <w:color w:val="0563C1" w:themeColor="hyperlink"/>
      <w:u w:val="single"/>
    </w:rPr>
  </w:style>
  <w:style w:type="paragraph" w:styleId="Encabezado">
    <w:name w:val="header"/>
    <w:basedOn w:val="Normal"/>
    <w:link w:val="EncabezadoCar"/>
    <w:uiPriority w:val="99"/>
    <w:unhideWhenUsed/>
    <w:rsid w:val="00230E4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30E49"/>
  </w:style>
  <w:style w:type="paragraph" w:styleId="Piedepgina">
    <w:name w:val="footer"/>
    <w:basedOn w:val="Normal"/>
    <w:link w:val="PiedepginaCar"/>
    <w:uiPriority w:val="99"/>
    <w:unhideWhenUsed/>
    <w:rsid w:val="00230E4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30E49"/>
  </w:style>
  <w:style w:type="character" w:customStyle="1" w:styleId="UnresolvedMention">
    <w:name w:val="Unresolved Mention"/>
    <w:basedOn w:val="Fuentedeprrafopredeter"/>
    <w:uiPriority w:val="99"/>
    <w:semiHidden/>
    <w:unhideWhenUsed/>
    <w:rsid w:val="00774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ej1812.com/ponencias-iii/" TargetMode="External"/><Relationship Id="rId3" Type="http://schemas.openxmlformats.org/officeDocument/2006/relationships/settings" Target="settings.xml"/><Relationship Id="rId7" Type="http://schemas.openxmlformats.org/officeDocument/2006/relationships/hyperlink" Target="http://www.actualidadjuridica.com.a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iej1812.com/ponencias-ii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EE968-B813-4800-B63C-F90711C8E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7120</Words>
  <Characters>39160</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Usuario de Windows</cp:lastModifiedBy>
  <cp:revision>2</cp:revision>
  <dcterms:created xsi:type="dcterms:W3CDTF">2023-04-11T08:23:00Z</dcterms:created>
  <dcterms:modified xsi:type="dcterms:W3CDTF">2023-04-11T08:23:00Z</dcterms:modified>
</cp:coreProperties>
</file>