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44F" w:rsidRDefault="00E27E1F" w:rsidP="00F026B6">
      <w:pPr>
        <w:spacing w:line="360" w:lineRule="auto"/>
        <w:ind w:firstLine="708"/>
        <w:jc w:val="center"/>
        <w:rPr>
          <w:b/>
          <w:sz w:val="28"/>
          <w:szCs w:val="28"/>
          <w:lang w:val="es-ES"/>
        </w:rPr>
      </w:pPr>
      <w:bookmarkStart w:id="0" w:name="_GoBack"/>
      <w:bookmarkEnd w:id="0"/>
      <w:r>
        <w:rPr>
          <w:b/>
          <w:sz w:val="28"/>
          <w:szCs w:val="28"/>
          <w:lang w:val="es-ES"/>
        </w:rPr>
        <w:t>Evidencia digital</w:t>
      </w:r>
      <w:r w:rsidR="00BD144F">
        <w:rPr>
          <w:b/>
          <w:sz w:val="28"/>
          <w:szCs w:val="28"/>
          <w:lang w:val="es-ES"/>
        </w:rPr>
        <w:t>. T</w:t>
      </w:r>
      <w:r>
        <w:rPr>
          <w:b/>
          <w:sz w:val="28"/>
          <w:szCs w:val="28"/>
          <w:lang w:val="es-ES"/>
        </w:rPr>
        <w:t>est para su valoración en el proceso penal</w:t>
      </w:r>
    </w:p>
    <w:p w:rsidR="00D42126" w:rsidRPr="00D42126" w:rsidRDefault="00E27E1F" w:rsidP="00C42696">
      <w:pPr>
        <w:spacing w:line="360" w:lineRule="auto"/>
        <w:ind w:left="5664"/>
        <w:jc w:val="right"/>
        <w:rPr>
          <w:lang w:val="es-ES"/>
        </w:rPr>
      </w:pPr>
      <w:r w:rsidRPr="00D42126">
        <w:rPr>
          <w:lang w:val="es-ES"/>
        </w:rPr>
        <w:t>Juan Manuel Pina González</w:t>
      </w:r>
    </w:p>
    <w:p w:rsidR="00D42126" w:rsidRPr="00D42126" w:rsidRDefault="00936D0E" w:rsidP="00936D0E">
      <w:pPr>
        <w:spacing w:line="360" w:lineRule="auto"/>
        <w:ind w:left="3540"/>
        <w:jc w:val="right"/>
        <w:rPr>
          <w:rFonts w:eastAsiaTheme="minorHAnsi"/>
          <w:sz w:val="20"/>
          <w:szCs w:val="20"/>
          <w:lang w:val="es-ES_tradnl"/>
        </w:rPr>
      </w:pPr>
      <w:r>
        <w:rPr>
          <w:rFonts w:eastAsiaTheme="minorHAnsi"/>
          <w:sz w:val="20"/>
          <w:szCs w:val="20"/>
          <w:lang w:val="es-ES_tradnl"/>
        </w:rPr>
        <w:t xml:space="preserve">           </w:t>
      </w:r>
      <w:r w:rsidR="00D42126" w:rsidRPr="00D42126">
        <w:rPr>
          <w:rFonts w:eastAsiaTheme="minorHAnsi"/>
          <w:sz w:val="20"/>
          <w:szCs w:val="20"/>
          <w:lang w:val="es-ES_tradnl"/>
        </w:rPr>
        <w:t xml:space="preserve">Magister en Derecho Penal por la Universidad de Sevilla. </w:t>
      </w:r>
    </w:p>
    <w:p w:rsidR="00936D0E" w:rsidRDefault="00D42126" w:rsidP="00936D0E">
      <w:pPr>
        <w:spacing w:line="360" w:lineRule="auto"/>
        <w:ind w:left="2832" w:firstLine="708"/>
        <w:jc w:val="right"/>
        <w:rPr>
          <w:rFonts w:eastAsiaTheme="minorHAnsi"/>
          <w:sz w:val="20"/>
          <w:szCs w:val="20"/>
          <w:lang w:val="es-ES_tradnl"/>
        </w:rPr>
      </w:pPr>
      <w:r w:rsidRPr="00D42126">
        <w:rPr>
          <w:rFonts w:eastAsiaTheme="minorHAnsi"/>
          <w:sz w:val="20"/>
          <w:szCs w:val="20"/>
          <w:lang w:val="es-ES_tradnl"/>
        </w:rPr>
        <w:t>Especialista en Ciencias Penales por la Universidad de Mendoza.</w:t>
      </w:r>
    </w:p>
    <w:p w:rsidR="00936D0E" w:rsidRDefault="00936D0E" w:rsidP="00936D0E">
      <w:pPr>
        <w:spacing w:line="360" w:lineRule="auto"/>
        <w:ind w:left="2832" w:firstLine="708"/>
        <w:jc w:val="right"/>
        <w:rPr>
          <w:rFonts w:eastAsiaTheme="minorHAnsi"/>
          <w:sz w:val="20"/>
          <w:szCs w:val="20"/>
          <w:lang w:val="es-ES_tradnl"/>
        </w:rPr>
      </w:pPr>
      <w:r>
        <w:rPr>
          <w:rFonts w:eastAsiaTheme="minorHAnsi"/>
          <w:sz w:val="20"/>
          <w:szCs w:val="20"/>
          <w:lang w:val="es-ES_tradnl"/>
        </w:rPr>
        <w:t xml:space="preserve">Profesor </w:t>
      </w:r>
      <w:r w:rsidR="00D42126" w:rsidRPr="00D42126">
        <w:rPr>
          <w:rFonts w:eastAsiaTheme="minorHAnsi"/>
          <w:sz w:val="20"/>
          <w:szCs w:val="20"/>
          <w:lang w:val="es-ES_tradnl"/>
        </w:rPr>
        <w:t>Ayudante de Trabajos Prácticos de la Cátedras de</w:t>
      </w:r>
      <w:r>
        <w:rPr>
          <w:rFonts w:eastAsiaTheme="minorHAnsi"/>
          <w:sz w:val="20"/>
          <w:szCs w:val="20"/>
          <w:lang w:val="es-ES_tradnl"/>
        </w:rPr>
        <w:t xml:space="preserve"> </w:t>
      </w:r>
      <w:r w:rsidR="00D42126" w:rsidRPr="00D42126">
        <w:rPr>
          <w:rFonts w:eastAsiaTheme="minorHAnsi"/>
          <w:sz w:val="20"/>
          <w:szCs w:val="20"/>
          <w:lang w:val="es-ES_tradnl"/>
        </w:rPr>
        <w:t>Derech</w:t>
      </w:r>
      <w:r>
        <w:rPr>
          <w:rFonts w:eastAsiaTheme="minorHAnsi"/>
          <w:sz w:val="20"/>
          <w:szCs w:val="20"/>
          <w:lang w:val="es-ES_tradnl"/>
        </w:rPr>
        <w:t xml:space="preserve">o </w:t>
      </w:r>
      <w:r w:rsidR="00D42126" w:rsidRPr="00D42126">
        <w:rPr>
          <w:rFonts w:eastAsiaTheme="minorHAnsi"/>
          <w:sz w:val="20"/>
          <w:szCs w:val="20"/>
          <w:lang w:val="es-ES_tradnl"/>
        </w:rPr>
        <w:t>Procesal Penal de la Universidad de Mendoza.</w:t>
      </w:r>
    </w:p>
    <w:p w:rsidR="00650FAA" w:rsidRPr="00936D0E" w:rsidRDefault="00D42126" w:rsidP="00936D0E">
      <w:pPr>
        <w:spacing w:line="360" w:lineRule="auto"/>
        <w:ind w:left="2124" w:firstLine="708"/>
        <w:jc w:val="right"/>
        <w:rPr>
          <w:rFonts w:eastAsiaTheme="minorHAnsi"/>
          <w:sz w:val="20"/>
          <w:szCs w:val="20"/>
          <w:lang w:val="es-ES_tradnl"/>
        </w:rPr>
      </w:pPr>
      <w:r w:rsidRPr="00D42126">
        <w:rPr>
          <w:rFonts w:eastAsiaTheme="minorHAnsi"/>
          <w:sz w:val="20"/>
          <w:szCs w:val="20"/>
          <w:lang w:val="es-ES_tradnl"/>
        </w:rPr>
        <w:t xml:space="preserve"> Juez del Juzgado Penal Colegiado Nº 1, Primera Circunscripción Judicial, Poder Judicial de Mendoza.</w:t>
      </w:r>
      <w:r w:rsidRPr="00D42126">
        <w:rPr>
          <w:sz w:val="20"/>
          <w:szCs w:val="20"/>
          <w:lang w:val="es-ES"/>
        </w:rPr>
        <w:t xml:space="preserve"> </w:t>
      </w:r>
    </w:p>
    <w:p w:rsidR="00923FC3" w:rsidRDefault="00923FC3" w:rsidP="00C42696">
      <w:pPr>
        <w:spacing w:line="360" w:lineRule="auto"/>
        <w:jc w:val="right"/>
        <w:rPr>
          <w:sz w:val="20"/>
          <w:szCs w:val="20"/>
          <w:lang w:eastAsia="zh-CN"/>
        </w:rPr>
      </w:pPr>
    </w:p>
    <w:p w:rsidR="00465672" w:rsidRPr="00AB3F5C" w:rsidRDefault="00465672" w:rsidP="00465672">
      <w:pPr>
        <w:spacing w:line="360" w:lineRule="auto"/>
        <w:jc w:val="both"/>
        <w:rPr>
          <w:sz w:val="20"/>
          <w:szCs w:val="20"/>
          <w:lang w:val="es-ES"/>
        </w:rPr>
      </w:pPr>
      <w:r w:rsidRPr="00AB3F5C">
        <w:rPr>
          <w:b/>
          <w:sz w:val="20"/>
          <w:szCs w:val="20"/>
          <w:lang w:val="es-ES"/>
        </w:rPr>
        <w:t>Sumario</w:t>
      </w:r>
      <w:r w:rsidR="00B4060E" w:rsidRPr="00AB3F5C">
        <w:rPr>
          <w:b/>
          <w:sz w:val="20"/>
          <w:szCs w:val="20"/>
          <w:lang w:val="es-ES"/>
        </w:rPr>
        <w:t>:</w:t>
      </w:r>
      <w:r w:rsidR="00B4060E" w:rsidRPr="00AB3F5C">
        <w:rPr>
          <w:sz w:val="20"/>
          <w:szCs w:val="20"/>
          <w:lang w:val="es-ES"/>
        </w:rPr>
        <w:t xml:space="preserve"> I.- Introducción. II.- Nuevas realidades. La evidencia digital e informática forense. 1.- La evidencia digital: concepto. 1.1.- Caracteres de la prueba digital.- 2.- La informática forense o computación forense. III.- El problema de la ausencia de regulación normativa y el principio de libertad probatoria. IV.- Pasos y recaudos para asegurar la autenticidad e integridad de la evidencia digital. 1.- Desafíos ante la ausencia de regulación normativa. 2.- Difer</w:t>
      </w:r>
      <w:r w:rsidR="00AB3F5C">
        <w:rPr>
          <w:sz w:val="20"/>
          <w:szCs w:val="20"/>
          <w:lang w:val="es-ES"/>
        </w:rPr>
        <w:t>enciación de</w:t>
      </w:r>
      <w:r w:rsidR="00B4060E" w:rsidRPr="00AB3F5C">
        <w:rPr>
          <w:sz w:val="20"/>
          <w:szCs w:val="20"/>
          <w:lang w:val="es-ES"/>
        </w:rPr>
        <w:t xml:space="preserve"> instancias claves: secuestro de dispositivos </w:t>
      </w:r>
      <w:r w:rsidR="00B4060E" w:rsidRPr="00AB3F5C">
        <w:rPr>
          <w:i/>
          <w:sz w:val="20"/>
          <w:szCs w:val="20"/>
          <w:lang w:val="es-ES"/>
        </w:rPr>
        <w:t xml:space="preserve">vs </w:t>
      </w:r>
      <w:r w:rsidR="00B4060E" w:rsidRPr="00AB3F5C">
        <w:rPr>
          <w:sz w:val="20"/>
          <w:szCs w:val="20"/>
          <w:lang w:val="es-ES"/>
        </w:rPr>
        <w:t xml:space="preserve">extracción, recolección, análisis y presentación de la evidencia digital. 3.-Análisis de los pasos o recaudos necesarios para asegurar la autenticidad e integridad de la evidencia digital. 4.- La importancia en la preservación de la evidencia digital. V.- El </w:t>
      </w:r>
      <w:r w:rsidR="00923FC3" w:rsidRPr="00AB3F5C">
        <w:rPr>
          <w:sz w:val="20"/>
          <w:szCs w:val="20"/>
          <w:lang w:val="es-ES"/>
        </w:rPr>
        <w:t>test para la valoración de la evidencia digital. 1.- Licitud. 2.- Autenticidad del origen 3.- La integridad e inalterabilidad del contenido. VI.- Propuesta para el uso válido y útil de conversaciones de mensajería electrónica en el proceso penal. VII.-Conclusiones. VIII.- Bibliografía.</w:t>
      </w:r>
      <w:r w:rsidR="00B4060E" w:rsidRPr="00AB3F5C">
        <w:rPr>
          <w:sz w:val="20"/>
          <w:szCs w:val="20"/>
          <w:lang w:val="es-ES"/>
        </w:rPr>
        <w:t xml:space="preserve"> </w:t>
      </w:r>
    </w:p>
    <w:p w:rsidR="00650FAA" w:rsidRDefault="00650FAA">
      <w:pPr>
        <w:jc w:val="center"/>
        <w:rPr>
          <w:sz w:val="22"/>
          <w:szCs w:val="22"/>
          <w:lang w:val="es-ES"/>
        </w:rPr>
      </w:pPr>
    </w:p>
    <w:p w:rsidR="00650FAA" w:rsidRDefault="00E27E1F">
      <w:pPr>
        <w:pStyle w:val="Ttulo1"/>
        <w:snapToGrid w:val="0"/>
        <w:rPr>
          <w:szCs w:val="24"/>
        </w:rPr>
      </w:pPr>
      <w:bookmarkStart w:id="1" w:name="_Toc89525235"/>
      <w:bookmarkStart w:id="2" w:name="_Toc89524811"/>
      <w:r>
        <w:rPr>
          <w:szCs w:val="24"/>
        </w:rPr>
        <w:t>Introducción</w:t>
      </w:r>
      <w:bookmarkEnd w:id="1"/>
      <w:bookmarkEnd w:id="2"/>
    </w:p>
    <w:p w:rsidR="00650FAA" w:rsidRDefault="00E27E1F">
      <w:pPr>
        <w:snapToGrid w:val="0"/>
        <w:spacing w:before="240" w:line="360" w:lineRule="auto"/>
        <w:ind w:firstLine="708"/>
        <w:jc w:val="both"/>
      </w:pPr>
      <w:r>
        <w:t>Las primeras décadas del siglo XXI se han caracterizado por un vertiginoso avance de las tecnologías de la información y de la comunicación (TIC). La influencia de esas tecnologías ha causado una verdadera revolución en diferentes áreas del desarrollo humano, no siendo el Derecho la excepción.</w:t>
      </w:r>
      <w:r>
        <w:rPr>
          <w:b/>
        </w:rPr>
        <w:t xml:space="preserve"> </w:t>
      </w:r>
      <w:r>
        <w:t>En este sentido, Sueiro</w:t>
      </w:r>
      <w:r w:rsidR="00D42126">
        <w:rPr>
          <w:rStyle w:val="Refdenotaalpie"/>
        </w:rPr>
        <w:footnoteReference w:id="1"/>
      </w:r>
      <w:r>
        <w:t>, sostiene que estamos ante la era digital y explica que debemos tomar conciencia del cambio de paradigma que implica la transición de la sociedad analógica del S. XX a la sociedad de la información y la revolución digital del S. XXI.</w:t>
      </w:r>
    </w:p>
    <w:p w:rsidR="00650FAA" w:rsidRDefault="00E27E1F">
      <w:pPr>
        <w:snapToGrid w:val="0"/>
        <w:spacing w:before="240" w:line="360" w:lineRule="auto"/>
        <w:ind w:firstLine="708"/>
        <w:jc w:val="both"/>
        <w:rPr>
          <w:b/>
        </w:rPr>
      </w:pPr>
      <w:r>
        <w:t xml:space="preserve">En el mundo jurídico, también se ha producido un desplazamiento de lo físico a lo digital. Las nuevas tecnologías han tenido una fuerte influencia en la esfera del Derecho penal, toda vez que, la implementación de las TIC en los diferentes aspectos de la vida cotidiana, genera un gran volumen de datos e información, que constituye potencial evidencia, de gran interés en materia investigativa. </w:t>
      </w:r>
    </w:p>
    <w:p w:rsidR="00650FAA" w:rsidRDefault="00E27E1F">
      <w:pPr>
        <w:snapToGrid w:val="0"/>
        <w:spacing w:before="240" w:line="360" w:lineRule="auto"/>
        <w:ind w:firstLine="708"/>
        <w:jc w:val="both"/>
      </w:pPr>
      <w:r>
        <w:t xml:space="preserve">En el presente trabajo analizaremos la evidencia digital y sus diferencias con la prueba física o corpórea. Asimismo, efectuaremos algunas precisiones sobre la informática forense, dado que, se trata de una disciplina de fundamental importancia para la obtención, recolección, análisis, preservación y presentación de la evidencia digital. </w:t>
      </w:r>
    </w:p>
    <w:p w:rsidR="00650FAA" w:rsidRDefault="00E27E1F">
      <w:pPr>
        <w:snapToGrid w:val="0"/>
        <w:spacing w:before="240" w:line="360" w:lineRule="auto"/>
        <w:ind w:firstLine="708"/>
        <w:jc w:val="both"/>
      </w:pPr>
      <w:r>
        <w:t xml:space="preserve">Por otro lado, en virtud de la diversidad de fuentes de obtención de evidencia digital y, el principio de libertad probatoria previsto en nuestro digesto procesal, analizaremos los diferentes protocolos y reglas de buenas prácticas que recomiendan diferentes pasos a seguir </w:t>
      </w:r>
      <w:r>
        <w:lastRenderedPageBreak/>
        <w:t xml:space="preserve">a fin de asegurar la trazabilidad de la evidencia digital y su presentación en el </w:t>
      </w:r>
      <w:r w:rsidRPr="00C431A5">
        <w:t>juicio</w:t>
      </w:r>
      <w:r>
        <w:t xml:space="preserve"> por los </w:t>
      </w:r>
      <w:r w:rsidRPr="00C431A5">
        <w:t>litigantes</w:t>
      </w:r>
      <w:r>
        <w:t xml:space="preserve">. Asimismo, proponemos un test para la correcta valoración de la evidencia digital por el Juez. </w:t>
      </w:r>
    </w:p>
    <w:p w:rsidR="00936D0E" w:rsidRDefault="00E27E1F" w:rsidP="00936D0E">
      <w:pPr>
        <w:snapToGrid w:val="0"/>
        <w:spacing w:before="240" w:line="360" w:lineRule="auto"/>
        <w:ind w:firstLine="708"/>
        <w:jc w:val="both"/>
      </w:pPr>
      <w:r>
        <w:t xml:space="preserve">Finalmente, en razón de los principales pronunciamientos del Tribunal Supremo </w:t>
      </w:r>
      <w:r w:rsidR="00936D0E">
        <w:t>e</w:t>
      </w:r>
      <w:r>
        <w:t xml:space="preserve">spañol, analizaremos los </w:t>
      </w:r>
      <w:r w:rsidRPr="00C172BF">
        <w:t>recaudos</w:t>
      </w:r>
      <w:r>
        <w:t xml:space="preserve"> necesarios que deberían cumplir los litigantes para la utilización de conversaciones provenientes de </w:t>
      </w:r>
      <w:r w:rsidRPr="00C172BF">
        <w:t>mensajería instantánea</w:t>
      </w:r>
      <w:r>
        <w:t xml:space="preserve"> </w:t>
      </w:r>
      <w:r>
        <w:rPr>
          <w:i/>
        </w:rPr>
        <w:t>(</w:t>
      </w:r>
      <w:r w:rsidRPr="00C172BF">
        <w:rPr>
          <w:i/>
        </w:rPr>
        <w:t>Whatsapp</w:t>
      </w:r>
      <w:r>
        <w:rPr>
          <w:i/>
        </w:rPr>
        <w:t xml:space="preserve">) </w:t>
      </w:r>
      <w:r>
        <w:t xml:space="preserve">en un proceso penal. A tal efecto, intentaremos dar respuesta al interrogante sobre la utilidad de los </w:t>
      </w:r>
      <w:r w:rsidRPr="00C172BF">
        <w:t>“</w:t>
      </w:r>
      <w:r w:rsidRPr="00C172BF">
        <w:rPr>
          <w:iCs/>
        </w:rPr>
        <w:t>pantallazos</w:t>
      </w:r>
      <w:r w:rsidRPr="00C172BF">
        <w:t>”</w:t>
      </w:r>
      <w:r>
        <w:t xml:space="preserve"> o capturas de mensajes provenientes de dicha aplicación. </w:t>
      </w:r>
      <w:bookmarkStart w:id="3" w:name="_Toc89254634"/>
      <w:bookmarkStart w:id="4" w:name="_Toc89524812"/>
      <w:bookmarkStart w:id="5" w:name="_Toc89525236"/>
    </w:p>
    <w:p w:rsidR="00936D0E" w:rsidRDefault="00936D0E" w:rsidP="00936D0E">
      <w:pPr>
        <w:snapToGrid w:val="0"/>
        <w:spacing w:before="240" w:line="360" w:lineRule="auto"/>
        <w:ind w:firstLine="708"/>
        <w:jc w:val="center"/>
        <w:rPr>
          <w:b/>
        </w:rPr>
      </w:pPr>
      <w:r w:rsidRPr="00936D0E">
        <w:rPr>
          <w:b/>
        </w:rPr>
        <w:t xml:space="preserve">I.- </w:t>
      </w:r>
      <w:r w:rsidR="00E27E1F" w:rsidRPr="00936D0E">
        <w:rPr>
          <w:b/>
        </w:rPr>
        <w:t>Nuevas realidades. La evidencia digital e informática forense</w:t>
      </w:r>
      <w:bookmarkStart w:id="6" w:name="_Toc89254635"/>
      <w:bookmarkStart w:id="7" w:name="_Toc89525237"/>
      <w:bookmarkStart w:id="8" w:name="_Toc89524813"/>
      <w:bookmarkEnd w:id="3"/>
      <w:bookmarkEnd w:id="4"/>
      <w:bookmarkEnd w:id="5"/>
    </w:p>
    <w:p w:rsidR="00650FAA" w:rsidRPr="003E1753" w:rsidRDefault="00936D0E" w:rsidP="00936D0E">
      <w:pPr>
        <w:snapToGrid w:val="0"/>
        <w:spacing w:before="240" w:line="360" w:lineRule="auto"/>
        <w:ind w:firstLine="708"/>
      </w:pPr>
      <w:r w:rsidRPr="003E1753">
        <w:t xml:space="preserve">1.- </w:t>
      </w:r>
      <w:r w:rsidR="00E27E1F" w:rsidRPr="003E1753">
        <w:t>La evidencia digital: concepto</w:t>
      </w:r>
      <w:bookmarkEnd w:id="6"/>
      <w:bookmarkEnd w:id="7"/>
      <w:bookmarkEnd w:id="8"/>
    </w:p>
    <w:p w:rsidR="00650FAA" w:rsidRDefault="00E27E1F">
      <w:pPr>
        <w:snapToGrid w:val="0"/>
        <w:spacing w:before="240" w:line="360" w:lineRule="auto"/>
        <w:ind w:firstLine="708"/>
        <w:jc w:val="both"/>
      </w:pPr>
      <w:r>
        <w:rPr>
          <w:color w:val="000000" w:themeColor="text1"/>
        </w:rPr>
        <w:t xml:space="preserve">A grandes rasgos, podemos anticipar que la evidencia digital </w:t>
      </w:r>
      <w:r>
        <w:t xml:space="preserve">es toda información o dato que se encuentra almacenada en dispositivos informáticos o electrónicos que emplean la electricidad para su almacenamiento y conducción. Esos dispositivos pueden ser </w:t>
      </w:r>
      <w:r>
        <w:rPr>
          <w:i/>
        </w:rPr>
        <w:t>pendrives</w:t>
      </w:r>
      <w:r>
        <w:t xml:space="preserve">, tarjetas de memorias, discos externos, discos de computadoras, celulares </w:t>
      </w:r>
      <w:r>
        <w:rPr>
          <w:i/>
        </w:rPr>
        <w:t>(Smartphones)</w:t>
      </w:r>
      <w:r>
        <w:t xml:space="preserve">, computadoras </w:t>
      </w:r>
      <w:r>
        <w:rPr>
          <w:i/>
        </w:rPr>
        <w:t>(notebook, netbook)</w:t>
      </w:r>
      <w:r>
        <w:t xml:space="preserve">, </w:t>
      </w:r>
      <w:r>
        <w:rPr>
          <w:i/>
        </w:rPr>
        <w:t>tablets</w:t>
      </w:r>
      <w:r>
        <w:t xml:space="preserve">, </w:t>
      </w:r>
      <w:r>
        <w:rPr>
          <w:i/>
        </w:rPr>
        <w:t>smartswatch</w:t>
      </w:r>
      <w:r>
        <w:t xml:space="preserve">, etcétera. </w:t>
      </w:r>
    </w:p>
    <w:p w:rsidR="00650FAA" w:rsidRDefault="00E27E1F" w:rsidP="00710C30">
      <w:pPr>
        <w:snapToGrid w:val="0"/>
        <w:spacing w:before="240" w:line="360" w:lineRule="auto"/>
        <w:ind w:firstLine="708"/>
        <w:jc w:val="both"/>
      </w:pPr>
      <w:r>
        <w:t>Según la Guía de Prueba Electrónica del Consejo de Europa, la evidencia digital es “[</w:t>
      </w:r>
      <w:r w:rsidR="00710C30">
        <w:t>a</w:t>
      </w:r>
      <w:r w:rsidR="00710C30">
        <w:rPr>
          <w:rFonts w:eastAsiaTheme="minorHAnsi"/>
          <w:lang w:eastAsia="en-US"/>
        </w:rPr>
        <w:t>]</w:t>
      </w:r>
      <w:r w:rsidRPr="00C172BF">
        <w:t>quella</w:t>
      </w:r>
      <w:r>
        <w:t xml:space="preserve"> incorporación de datos o información que han sido creados, almacenados o transmitidos a través de dispositivos electrónicos y tienen relevancia en un proceso judicial”</w:t>
      </w:r>
      <w:r>
        <w:rPr>
          <w:rStyle w:val="Refdenotaalpie"/>
        </w:rPr>
        <w:footnoteReference w:id="2"/>
      </w:r>
      <w:r>
        <w:t>. Sostiene Sain</w:t>
      </w:r>
      <w:r>
        <w:rPr>
          <w:rStyle w:val="Refdenotaalpie"/>
        </w:rPr>
        <w:footnoteReference w:id="3"/>
      </w:r>
      <w:r>
        <w:t xml:space="preserve">, que la evidencia digital comprende los datos e información que se almacenan, transmiten o reciben en un dispositivo informático y que tiene valor probatorio en el marco de una investigación judicial. </w:t>
      </w:r>
    </w:p>
    <w:p w:rsidR="00650FAA" w:rsidRDefault="00E27E1F">
      <w:pPr>
        <w:snapToGrid w:val="0"/>
        <w:spacing w:before="240" w:line="360" w:lineRule="auto"/>
        <w:ind w:firstLine="708"/>
        <w:jc w:val="both"/>
      </w:pPr>
      <w:r>
        <w:t xml:space="preserve">Podemos afirmar entonces, que la evidencia digital es un conjunto de información o datos, que se encuentra almacenada o trasmitida en dispositivos electrónicos y tienen relevancia para una investigación. </w:t>
      </w:r>
      <w:r>
        <w:rPr>
          <w:color w:val="000000" w:themeColor="text1"/>
        </w:rPr>
        <w:t>La principal diferencia que presenta con la evidencia física es su inmaterialidad, por lo que es intangible. Es decir, que la</w:t>
      </w:r>
      <w:r>
        <w:t xml:space="preserve"> evidencia digital tiene la particularidad de no ser corpórea, tangible o visible pues, la información contenida en esos dispositivos, se encuentra codificada. En todo caso, lo corpóreo, material o tangible es el dispositivo que almacena esa información (ejemplo, la computadora o el teléfono).</w:t>
      </w:r>
      <w:r>
        <w:rPr>
          <w:color w:val="000000" w:themeColor="text1"/>
        </w:rPr>
        <w:t xml:space="preserve"> </w:t>
      </w:r>
      <w:r>
        <w:t>En definitiva, la información allí contenida, que es la evidencia digital, se encuentra codificada en diversos lenguajes informáticos que utiliza como vehículo conductor a la electricidad y que se aloja o almacena en dispositivos electrónicos</w:t>
      </w:r>
      <w:r>
        <w:rPr>
          <w:rStyle w:val="Refdenotaalpie"/>
        </w:rPr>
        <w:footnoteReference w:id="4"/>
      </w:r>
      <w:r>
        <w:t>.</w:t>
      </w:r>
    </w:p>
    <w:p w:rsidR="00650FAA" w:rsidRDefault="00E27E1F">
      <w:pPr>
        <w:snapToGrid w:val="0"/>
        <w:spacing w:before="240" w:line="360" w:lineRule="auto"/>
        <w:ind w:firstLine="708"/>
        <w:jc w:val="both"/>
        <w:rPr>
          <w:color w:val="000000" w:themeColor="text1"/>
        </w:rPr>
      </w:pPr>
      <w:r>
        <w:rPr>
          <w:color w:val="000000" w:themeColor="text1"/>
        </w:rPr>
        <w:t xml:space="preserve">Estas particularidades que presenta, requieren que su extracción, análisis y resguardo sea efectuado de manera limpia, clara y cautelosa pues, tal como veremos, al ser muy volátil </w:t>
      </w:r>
      <w:r>
        <w:rPr>
          <w:color w:val="000000" w:themeColor="text1"/>
        </w:rPr>
        <w:lastRenderedPageBreak/>
        <w:t>y frágil puede ser fácilmente eliminada tanto de manera accidental como intencional, perjudicando en ambos casos una investigación penal.</w:t>
      </w:r>
      <w:bookmarkStart w:id="9" w:name="_Toc89525238"/>
      <w:bookmarkStart w:id="10" w:name="_Toc89524814"/>
      <w:bookmarkStart w:id="11" w:name="_Toc89254636"/>
    </w:p>
    <w:p w:rsidR="00650FAA" w:rsidRPr="003E1753" w:rsidRDefault="00E27E1F" w:rsidP="00710C30">
      <w:pPr>
        <w:snapToGrid w:val="0"/>
        <w:spacing w:before="240" w:line="360" w:lineRule="auto"/>
        <w:ind w:firstLine="708"/>
      </w:pPr>
      <w:r w:rsidRPr="003E1753">
        <w:rPr>
          <w:i/>
          <w:color w:val="000000" w:themeColor="text1"/>
        </w:rPr>
        <w:t>1.1.-</w:t>
      </w:r>
      <w:r w:rsidRPr="003E1753">
        <w:rPr>
          <w:color w:val="000000" w:themeColor="text1"/>
        </w:rPr>
        <w:t xml:space="preserve"> Características de la prueba digital</w:t>
      </w:r>
      <w:bookmarkEnd w:id="9"/>
      <w:bookmarkEnd w:id="10"/>
      <w:bookmarkEnd w:id="11"/>
    </w:p>
    <w:p w:rsidR="00650FAA" w:rsidRDefault="00E27E1F">
      <w:pPr>
        <w:snapToGrid w:val="0"/>
        <w:spacing w:before="240" w:line="360" w:lineRule="auto"/>
        <w:ind w:firstLine="708"/>
        <w:jc w:val="both"/>
      </w:pPr>
      <w:r>
        <w:t xml:space="preserve">Hemos afirmado que la prueba digital es información contenida en dispositivos que utilizan electricidad (discos rígidos, computadora, celular, etc.). Asimismo, señalamos que, en no pocas ocasiones se suele confundir a la prueba digital con el dispositivo que la contiene. Ahora bien, la prueba digital posee ciertas características intrínsecas como consecuencia de su propia naturaleza, lo cual requiere de un tratamiento diferenciado a los fines de su utilización. A continuación, analizaremos las principales características de la evidencia digital. </w:t>
      </w:r>
      <w:bookmarkStart w:id="12" w:name="_Toc89524815"/>
      <w:bookmarkStart w:id="13" w:name="_Toc89525239"/>
      <w:bookmarkStart w:id="14" w:name="_Toc89254637"/>
    </w:p>
    <w:p w:rsidR="00650FAA" w:rsidRPr="003E1753" w:rsidRDefault="00710C30">
      <w:pPr>
        <w:snapToGrid w:val="0"/>
        <w:spacing w:before="240" w:line="360" w:lineRule="auto"/>
        <w:ind w:firstLine="708"/>
        <w:jc w:val="both"/>
      </w:pPr>
      <w:r w:rsidRPr="003E1753">
        <w:rPr>
          <w:color w:val="000000" w:themeColor="text1"/>
        </w:rPr>
        <w:t>A</w:t>
      </w:r>
      <w:r w:rsidR="00E27E1F" w:rsidRPr="003E1753">
        <w:rPr>
          <w:color w:val="000000" w:themeColor="text1"/>
        </w:rPr>
        <w:t>.- Es latente e intangible</w:t>
      </w:r>
      <w:bookmarkEnd w:id="12"/>
      <w:bookmarkEnd w:id="13"/>
      <w:bookmarkEnd w:id="14"/>
    </w:p>
    <w:p w:rsidR="00650FAA" w:rsidRDefault="00E27E1F">
      <w:pPr>
        <w:snapToGrid w:val="0"/>
        <w:spacing w:before="240" w:line="360" w:lineRule="auto"/>
        <w:ind w:firstLine="708"/>
        <w:jc w:val="both"/>
      </w:pPr>
      <w:r>
        <w:t>Enseñan Sain y Azzolin</w:t>
      </w:r>
      <w:r>
        <w:rPr>
          <w:rStyle w:val="Refdenotaalpie"/>
        </w:rPr>
        <w:footnoteReference w:id="5"/>
      </w:r>
      <w:r>
        <w:t xml:space="preserve">, que la evidencia digital es latente porque en su estado natural, no nos permite conocer su información de manera ostensible. Se encuentra oculta en un objeto físico que la almacena. </w:t>
      </w:r>
      <w:r>
        <w:rPr>
          <w:color w:val="000000"/>
        </w:rPr>
        <w:t>Por su parte Sueiro</w:t>
      </w:r>
      <w:r>
        <w:rPr>
          <w:rStyle w:val="Refdenotaalpie"/>
          <w:color w:val="000000"/>
        </w:rPr>
        <w:footnoteReference w:id="6"/>
      </w:r>
      <w:r>
        <w:rPr>
          <w:color w:val="000000"/>
        </w:rPr>
        <w:t xml:space="preserve">, explica que es intangible porque </w:t>
      </w:r>
      <w:r>
        <w:t xml:space="preserve">para conocer esa información, si bien utiliza un soporte físico que es la memoria, precisa de la electricidad (no es aprehensible ni asequible). Lo único que es tangible es el dispositivo que la almacena (ej. teléfono móvil) pero no la evidencia en sí (ej. video o foto). </w:t>
      </w:r>
      <w:r>
        <w:rPr>
          <w:color w:val="000000"/>
        </w:rPr>
        <w:t>La evidencia digital reside en un soporte físico pero no es el soporte físico en sí.</w:t>
      </w:r>
    </w:p>
    <w:p w:rsidR="00650FAA" w:rsidRDefault="00E27E1F">
      <w:pPr>
        <w:snapToGrid w:val="0"/>
        <w:spacing w:before="240" w:line="360" w:lineRule="auto"/>
        <w:ind w:firstLine="708"/>
        <w:jc w:val="both"/>
      </w:pPr>
      <w:r>
        <w:t xml:space="preserve">Entonces esa información, si bien está en la memoria de un celular o </w:t>
      </w:r>
      <w:r>
        <w:rPr>
          <w:i/>
        </w:rPr>
        <w:t>Tablet</w:t>
      </w:r>
      <w:r>
        <w:t xml:space="preserve">, no es apreciable a través de los sentidos, requiere de un traductor (programa), que va desde un sistema operativo hasta el programa que permite visualizarlo. (ej. video). Precisa de medios de traducción. </w:t>
      </w:r>
      <w:bookmarkStart w:id="15" w:name="_Toc89254638"/>
      <w:bookmarkStart w:id="16" w:name="_Toc89525240"/>
      <w:bookmarkStart w:id="17" w:name="_Toc89524816"/>
    </w:p>
    <w:p w:rsidR="00650FAA" w:rsidRPr="003E1753" w:rsidRDefault="00710C30">
      <w:pPr>
        <w:snapToGrid w:val="0"/>
        <w:spacing w:before="240" w:line="360" w:lineRule="auto"/>
        <w:ind w:firstLine="708"/>
        <w:jc w:val="both"/>
      </w:pPr>
      <w:r w:rsidRPr="003E1753">
        <w:rPr>
          <w:color w:val="000000" w:themeColor="text1"/>
        </w:rPr>
        <w:t>B</w:t>
      </w:r>
      <w:r w:rsidR="00E27E1F" w:rsidRPr="003E1753">
        <w:rPr>
          <w:color w:val="000000" w:themeColor="text1"/>
        </w:rPr>
        <w:t>.- Fragilidad</w:t>
      </w:r>
      <w:bookmarkEnd w:id="15"/>
      <w:bookmarkEnd w:id="16"/>
      <w:bookmarkEnd w:id="17"/>
    </w:p>
    <w:p w:rsidR="00650FAA" w:rsidRDefault="00E27E1F">
      <w:pPr>
        <w:snapToGrid w:val="0"/>
        <w:spacing w:before="240" w:line="360" w:lineRule="auto"/>
        <w:ind w:firstLine="708"/>
        <w:jc w:val="both"/>
      </w:pPr>
      <w:r>
        <w:t>La evidencia digital es frágil porque puede ser alterada, dañada o incluso destruida fácilmente, sin dejar rastros.</w:t>
      </w:r>
      <w:r>
        <w:rPr>
          <w:b/>
        </w:rPr>
        <w:t xml:space="preserve"> </w:t>
      </w:r>
      <w:r>
        <w:t xml:space="preserve">Puntualmente por almacenarse en dispositivos con memorias y utilizar la electricidad como vehículo, puede modificar el registro de esa actividad. Así, por ejemplo, puede ser dañada físicamente por medio de fuentes magnéticas, exposición a temperaturas extremas, impactos sobre el dispositivo de almacenamiento. En tanto que, desde el punto de vista virtual, puede ser afectada o alterada, a través de </w:t>
      </w:r>
      <w:r w:rsidRPr="00C172BF">
        <w:rPr>
          <w:i/>
        </w:rPr>
        <w:t>software</w:t>
      </w:r>
      <w:r>
        <w:t xml:space="preserve"> de formateo, encriptación, acceso remoto, etcétera</w:t>
      </w:r>
      <w:r>
        <w:rPr>
          <w:rStyle w:val="Refdenotaalpie"/>
        </w:rPr>
        <w:footnoteReference w:id="7"/>
      </w:r>
      <w:r>
        <w:t xml:space="preserve">. </w:t>
      </w:r>
    </w:p>
    <w:p w:rsidR="00650FAA" w:rsidRDefault="00E27E1F">
      <w:pPr>
        <w:snapToGrid w:val="0"/>
        <w:spacing w:before="240" w:line="360" w:lineRule="auto"/>
        <w:ind w:firstLine="708"/>
        <w:jc w:val="both"/>
      </w:pPr>
      <w:r>
        <w:t xml:space="preserve">A fin de explicar las diferencias entre la evidencia física y digital, Giovagnoli señala“[a] modo de ejemplo, constituido el personal policial en la residencia del imputado, lo cierto es que los elementos que se encontrarán en el domicilio no variarán con el transcurso de las horas. Es decir, todo lo que esté en el inmueble al inicio del procedimiento estará hasta </w:t>
      </w:r>
      <w:r>
        <w:lastRenderedPageBreak/>
        <w:t xml:space="preserve">su finalización. En tal caso, dependerá de los alcances de la orden de allanamiento y de la </w:t>
      </w:r>
      <w:r>
        <w:rPr>
          <w:i/>
        </w:rPr>
        <w:t>expertise</w:t>
      </w:r>
      <w:r>
        <w:t xml:space="preserve"> de los investigadores el hallar el arma homicida que tan inteligentemente se encontraba camuflada en un cajón. Por el contrario, tal situación, no se verificará con los dispositivos electrónicos, toda vez que una vez secuestrado el aparto de telefonía celular, y de no resguardarse el mismo adecuadamente, permitirá a un no tan avezado técnico informático borrar todo su contendio a distancia, en cuestión de minutos, antes incluso de que el </w:t>
      </w:r>
      <w:r w:rsidRPr="00241CFC">
        <w:t>dispositivo</w:t>
      </w:r>
      <w:r>
        <w:t xml:space="preserve"> llegue a la fiscalía. </w:t>
      </w:r>
    </w:p>
    <w:p w:rsidR="00650FAA" w:rsidRDefault="00E27E1F">
      <w:pPr>
        <w:snapToGrid w:val="0"/>
        <w:spacing w:before="240" w:line="360" w:lineRule="auto"/>
        <w:ind w:firstLine="708"/>
        <w:jc w:val="both"/>
      </w:pPr>
      <w:r>
        <w:t xml:space="preserve">La naturaleza y las características propias de la información y los datos en formato electrónico alojados en soportes </w:t>
      </w:r>
      <w:r w:rsidRPr="00241CFC">
        <w:t>digitales</w:t>
      </w:r>
      <w:r>
        <w:t xml:space="preserve"> hacen que este tipo de prueba sean más </w:t>
      </w:r>
      <w:r w:rsidRPr="00241CFC">
        <w:t>fáciles</w:t>
      </w:r>
      <w:r>
        <w:t xml:space="preserve"> de manipular (y por mecanismos </w:t>
      </w:r>
      <w:r w:rsidRPr="00241CFC">
        <w:t>absolutamente</w:t>
      </w:r>
      <w:r>
        <w:t xml:space="preserve"> novedosos) que las pruebas tradicionales”</w:t>
      </w:r>
      <w:r>
        <w:rPr>
          <w:rStyle w:val="Refdenotaalpie"/>
        </w:rPr>
        <w:footnoteReference w:id="8"/>
      </w:r>
      <w:r>
        <w:t>.</w:t>
      </w:r>
      <w:bookmarkStart w:id="18" w:name="_Toc89525241"/>
      <w:bookmarkStart w:id="19" w:name="_Toc89254639"/>
      <w:bookmarkStart w:id="20" w:name="_Toc89524817"/>
    </w:p>
    <w:p w:rsidR="00650FAA" w:rsidRPr="003E1753" w:rsidRDefault="003E1753">
      <w:pPr>
        <w:snapToGrid w:val="0"/>
        <w:spacing w:before="240" w:line="360" w:lineRule="auto"/>
        <w:ind w:firstLine="708"/>
        <w:jc w:val="both"/>
      </w:pPr>
      <w:r w:rsidRPr="003E1753">
        <w:rPr>
          <w:color w:val="000000" w:themeColor="text1"/>
        </w:rPr>
        <w:t>C</w:t>
      </w:r>
      <w:r w:rsidR="00E27E1F" w:rsidRPr="003E1753">
        <w:rPr>
          <w:color w:val="000000" w:themeColor="text1"/>
        </w:rPr>
        <w:t>.- Altamente volátil</w:t>
      </w:r>
      <w:bookmarkEnd w:id="18"/>
      <w:bookmarkEnd w:id="19"/>
      <w:bookmarkEnd w:id="20"/>
    </w:p>
    <w:p w:rsidR="00650FAA" w:rsidRDefault="00E27E1F">
      <w:pPr>
        <w:snapToGrid w:val="0"/>
        <w:spacing w:before="240" w:line="360" w:lineRule="auto"/>
        <w:ind w:firstLine="708"/>
        <w:jc w:val="both"/>
      </w:pPr>
      <w:r>
        <w:t>Explican Sain y Azzolin</w:t>
      </w:r>
      <w:r>
        <w:rPr>
          <w:rStyle w:val="Refdenotaalpie"/>
        </w:rPr>
        <w:footnoteReference w:id="9"/>
      </w:r>
      <w:r>
        <w:t xml:space="preserve">, que la información puede desaparecer en cuestión de segundos. Particularmente los datos almacenados en la memoria RAM o en la memoria caché del microprocesador suele constituir información temporal almacenada, que puede ser alterada. </w:t>
      </w:r>
    </w:p>
    <w:p w:rsidR="00650FAA" w:rsidRDefault="00E27E1F">
      <w:pPr>
        <w:snapToGrid w:val="0"/>
        <w:spacing w:before="240" w:line="360" w:lineRule="auto"/>
        <w:ind w:firstLine="708"/>
        <w:jc w:val="both"/>
      </w:pPr>
      <w:r>
        <w:t>Por su parte Dupuy</w:t>
      </w:r>
      <w:r>
        <w:rPr>
          <w:rStyle w:val="Refdenotaalpie"/>
        </w:rPr>
        <w:footnoteReference w:id="10"/>
      </w:r>
      <w:r>
        <w:t xml:space="preserve"> expresa que una de las características fundamentales de la evidencia digital y que la distingue de la prueba </w:t>
      </w:r>
      <w:r w:rsidRPr="00241CFC">
        <w:t>física</w:t>
      </w:r>
      <w:r>
        <w:t>,</w:t>
      </w:r>
      <w:r>
        <w:rPr>
          <w:b/>
        </w:rPr>
        <w:t xml:space="preserve"> </w:t>
      </w:r>
      <w:r>
        <w:t>es su volatilidad; su lógica es diferente,</w:t>
      </w:r>
      <w:r>
        <w:rPr>
          <w:b/>
        </w:rPr>
        <w:t xml:space="preserve"> </w:t>
      </w:r>
      <w:r>
        <w:t>siendo de vital importancia su preservación,</w:t>
      </w:r>
      <w:r>
        <w:rPr>
          <w:b/>
        </w:rPr>
        <w:t xml:space="preserve"> </w:t>
      </w:r>
      <w:r>
        <w:t>extracción, análisis y presentación en</w:t>
      </w:r>
      <w:r>
        <w:rPr>
          <w:b/>
        </w:rPr>
        <w:t xml:space="preserve"> </w:t>
      </w:r>
      <w:r>
        <w:t>el marco de una investigación penal. A tal efecto, explica que, el tiempo es su peor enemigo: entre que el hecho se comete en entornos digitales, se descubre el acto delictivo y es entregado a las autoridades competentes para su correspondiente investigación, es factible que la evidencia digital, cuando sea necesaria, se haya borrado.</w:t>
      </w:r>
      <w:bookmarkStart w:id="21" w:name="_Toc89524818"/>
      <w:bookmarkStart w:id="22" w:name="_Toc89254640"/>
      <w:bookmarkStart w:id="23" w:name="_Toc89525242"/>
    </w:p>
    <w:p w:rsidR="00650FAA" w:rsidRPr="003E1753" w:rsidRDefault="003E1753">
      <w:pPr>
        <w:snapToGrid w:val="0"/>
        <w:spacing w:before="240" w:line="360" w:lineRule="auto"/>
        <w:ind w:firstLine="708"/>
        <w:jc w:val="both"/>
      </w:pPr>
      <w:r w:rsidRPr="003E1753">
        <w:rPr>
          <w:color w:val="000000" w:themeColor="text1"/>
        </w:rPr>
        <w:t>D</w:t>
      </w:r>
      <w:r w:rsidR="00E27E1F" w:rsidRPr="003E1753">
        <w:rPr>
          <w:color w:val="000000" w:themeColor="text1"/>
        </w:rPr>
        <w:t>.- Replicable</w:t>
      </w:r>
      <w:bookmarkEnd w:id="21"/>
      <w:bookmarkEnd w:id="22"/>
      <w:bookmarkEnd w:id="23"/>
    </w:p>
    <w:p w:rsidR="00650FAA" w:rsidRDefault="00E27E1F">
      <w:pPr>
        <w:snapToGrid w:val="0"/>
        <w:spacing w:before="240" w:line="360" w:lineRule="auto"/>
        <w:ind w:firstLine="708"/>
        <w:jc w:val="both"/>
      </w:pPr>
      <w:r>
        <w:t xml:space="preserve">El mismo documento o archivo </w:t>
      </w:r>
      <w:r w:rsidRPr="00241CFC">
        <w:t>puede</w:t>
      </w:r>
      <w:r>
        <w:t xml:space="preserve"> replicarse y reproducirse tantas veces </w:t>
      </w:r>
      <w:r>
        <w:rPr>
          <w:color w:val="000000" w:themeColor="text1"/>
        </w:rPr>
        <w:t xml:space="preserve">como sea necesario. </w:t>
      </w:r>
      <w:r>
        <w:t>Para duplicarla basta con que se pueda copiar y, una vez efectuada la copia, el nuevo documento adquiere las mismas características de manera instantánea</w:t>
      </w:r>
      <w:r>
        <w:rPr>
          <w:rStyle w:val="Refdenotaalpie"/>
        </w:rPr>
        <w:t xml:space="preserve"> </w:t>
      </w:r>
      <w:r>
        <w:rPr>
          <w:rStyle w:val="Refdenotaalpie"/>
        </w:rPr>
        <w:footnoteReference w:id="11"/>
      </w:r>
      <w:r>
        <w:t xml:space="preserve">. </w:t>
      </w:r>
      <w:bookmarkStart w:id="24" w:name="_Toc89525243"/>
      <w:bookmarkStart w:id="25" w:name="_Toc89524819"/>
      <w:bookmarkStart w:id="26" w:name="_Toc89254641"/>
    </w:p>
    <w:p w:rsidR="00650FAA" w:rsidRPr="003E1753" w:rsidRDefault="003E1753">
      <w:pPr>
        <w:snapToGrid w:val="0"/>
        <w:spacing w:before="240" w:line="360" w:lineRule="auto"/>
        <w:ind w:firstLine="708"/>
        <w:jc w:val="both"/>
      </w:pPr>
      <w:r w:rsidRPr="003E1753">
        <w:rPr>
          <w:color w:val="000000" w:themeColor="text1"/>
        </w:rPr>
        <w:t>E</w:t>
      </w:r>
      <w:r w:rsidR="00E27E1F" w:rsidRPr="003E1753">
        <w:rPr>
          <w:color w:val="000000" w:themeColor="text1"/>
        </w:rPr>
        <w:t>.- Trasversal a todos los delitos, no solo a los informáticos</w:t>
      </w:r>
      <w:r w:rsidR="00E27E1F" w:rsidRPr="003E1753">
        <w:rPr>
          <w:rStyle w:val="Refdenotaalpie"/>
          <w:color w:val="000000" w:themeColor="text1"/>
        </w:rPr>
        <w:footnoteReference w:id="12"/>
      </w:r>
      <w:bookmarkEnd w:id="24"/>
      <w:bookmarkEnd w:id="25"/>
      <w:bookmarkEnd w:id="26"/>
    </w:p>
    <w:p w:rsidR="00241CFC" w:rsidRDefault="00E27E1F" w:rsidP="003E1753">
      <w:pPr>
        <w:snapToGrid w:val="0"/>
        <w:spacing w:before="240" w:line="360" w:lineRule="auto"/>
        <w:ind w:firstLine="708"/>
        <w:jc w:val="both"/>
      </w:pPr>
      <w:r>
        <w:t xml:space="preserve">La evidencia digital no es patrimonio exclusivo de los delitos informáticos, trasciende los mismos y se extiende hacia cualquier tipo de delito de los ya conocidos por todos. En este </w:t>
      </w:r>
      <w:r>
        <w:lastRenderedPageBreak/>
        <w:t>sentido, señala González- Cuellar Serrano</w:t>
      </w:r>
      <w:r>
        <w:rPr>
          <w:rStyle w:val="Refdenotaalpie"/>
        </w:rPr>
        <w:footnoteReference w:id="13"/>
      </w:r>
      <w:r>
        <w:t>, que cualquier infracción penal es susceptible de ser investigada y probada gracias a la obtención de información digitalizada. El autor cita como ejemplo, el joven violento que graba en video, con su teléfono móvil, la brutal paliza que propina a un mendigo o el narcotraficante que anota los detalles de las transacciones en un documento electrónico en su ordenador portátil. No son ciberdelincuentes</w:t>
      </w:r>
      <w:r>
        <w:rPr>
          <w:i/>
        </w:rPr>
        <w:t>,</w:t>
      </w:r>
      <w:r>
        <w:t xml:space="preserve"> pero crean datos digitales que informan del hecho punible. </w:t>
      </w:r>
      <w:bookmarkStart w:id="27" w:name="_Toc89254642"/>
      <w:bookmarkStart w:id="28" w:name="_Toc89524820"/>
      <w:bookmarkStart w:id="29" w:name="_Toc89525244"/>
    </w:p>
    <w:p w:rsidR="00650FAA" w:rsidRPr="003E1753" w:rsidRDefault="003E1753">
      <w:pPr>
        <w:snapToGrid w:val="0"/>
        <w:spacing w:before="240" w:line="360" w:lineRule="auto"/>
        <w:ind w:firstLine="708"/>
        <w:jc w:val="both"/>
      </w:pPr>
      <w:r>
        <w:rPr>
          <w:color w:val="000000" w:themeColor="text1"/>
        </w:rPr>
        <w:t>F</w:t>
      </w:r>
      <w:r w:rsidR="00E27E1F" w:rsidRPr="003E1753">
        <w:rPr>
          <w:color w:val="000000" w:themeColor="text1"/>
        </w:rPr>
        <w:t>.- Puede transmitirse transfronterizamente, de manera veloz y sencilla</w:t>
      </w:r>
      <w:bookmarkEnd w:id="27"/>
      <w:bookmarkEnd w:id="28"/>
      <w:bookmarkEnd w:id="29"/>
      <w:r w:rsidR="00E27E1F" w:rsidRPr="003E1753">
        <w:rPr>
          <w:color w:val="000000" w:themeColor="text1"/>
        </w:rPr>
        <w:t xml:space="preserve"> </w:t>
      </w:r>
    </w:p>
    <w:p w:rsidR="00650FAA" w:rsidRDefault="00E27E1F">
      <w:pPr>
        <w:snapToGrid w:val="0"/>
        <w:spacing w:before="240" w:line="360" w:lineRule="auto"/>
        <w:ind w:firstLine="708"/>
        <w:jc w:val="both"/>
        <w:rPr>
          <w:b/>
        </w:rPr>
      </w:pPr>
      <w:r>
        <w:t>La evidencia digital tiene la facilidad de ser enviada de un país al otro en cuestión de segundos. Consta de archivos digitales (impulsos eléctricos), puede ser fácilmente duplicada -clonada- y transmitida a la velocidad de la luz por las redes</w:t>
      </w:r>
      <w:r>
        <w:rPr>
          <w:rStyle w:val="Refdenotaalpie"/>
        </w:rPr>
        <w:footnoteReference w:id="14"/>
      </w:r>
      <w:r>
        <w:t>.</w:t>
      </w:r>
      <w:r>
        <w:rPr>
          <w:b/>
        </w:rPr>
        <w:t xml:space="preserve"> </w:t>
      </w:r>
    </w:p>
    <w:p w:rsidR="00650FAA" w:rsidRDefault="00E27E1F">
      <w:pPr>
        <w:snapToGrid w:val="0"/>
        <w:spacing w:before="240" w:line="360" w:lineRule="auto"/>
        <w:ind w:firstLine="708"/>
        <w:jc w:val="both"/>
      </w:pPr>
      <w:r>
        <w:t>Frente a la posibilidad de que la evidencia digital atraviese las fronteras de los países en cuestión de segundos, en esta materia, es fundamental la cooperación internacional entre los Estados. En este sentido, Dupuy</w:t>
      </w:r>
      <w:r>
        <w:rPr>
          <w:rStyle w:val="Refdenotaalpie"/>
        </w:rPr>
        <w:footnoteReference w:id="15"/>
      </w:r>
      <w:r>
        <w:t xml:space="preserve"> expresa que una importante particularidad del fenómeno digital es la transnacionalidad, la ubicuidad. El autor del hecho puede encontrarse en un lugar, las víctimas distribuidas en diferentes países y la evidencia digital que se necesita para comprobar uno de los aspectos de la teoría del caso de cualquiera de las partes, puede estar alojada en un servidor en otra ciudad, o bien los datos pueden estar fragmentados y ubicados en diferentes servidores en varios Estados. </w:t>
      </w:r>
      <w:r>
        <w:rPr>
          <w:color w:val="000000"/>
        </w:rPr>
        <w:t>Los límites o fronteras se vuelven difusos entre la comisión del evento delictivo y su resultado, debilitándose el tradicional principio de territorialidad y soberanía nacional</w:t>
      </w:r>
      <w:r>
        <w:rPr>
          <w:rStyle w:val="Refdenotaalpie"/>
          <w:color w:val="000000"/>
        </w:rPr>
        <w:footnoteReference w:id="16"/>
      </w:r>
      <w:r>
        <w:rPr>
          <w:color w:val="000000"/>
        </w:rPr>
        <w:t>. En razón de ello, explica que es fundamental profundizar los mecanismos de cooperación internacional entre los Estados.</w:t>
      </w:r>
    </w:p>
    <w:p w:rsidR="003E1753" w:rsidRDefault="00E27E1F" w:rsidP="003E1753">
      <w:pPr>
        <w:snapToGrid w:val="0"/>
        <w:spacing w:before="240" w:line="360" w:lineRule="auto"/>
        <w:ind w:firstLine="708"/>
        <w:jc w:val="both"/>
      </w:pPr>
      <w:r>
        <w:t>Las características analizadas hacen que la evidencia digital sea distinta a la prueba física o corpórea, lo que justifica otro tipo de tratamiento y regulación normativa.</w:t>
      </w:r>
      <w:bookmarkStart w:id="30" w:name="_Toc89254643"/>
      <w:bookmarkStart w:id="31" w:name="_Toc89525245"/>
      <w:bookmarkStart w:id="32" w:name="_Toc89524821"/>
    </w:p>
    <w:p w:rsidR="00650FAA" w:rsidRPr="003E1753" w:rsidRDefault="00E27E1F" w:rsidP="003E1753">
      <w:pPr>
        <w:snapToGrid w:val="0"/>
        <w:spacing w:before="240" w:line="360" w:lineRule="auto"/>
        <w:ind w:firstLine="708"/>
        <w:jc w:val="both"/>
      </w:pPr>
      <w:r w:rsidRPr="003E1753">
        <w:rPr>
          <w:color w:val="000000" w:themeColor="text1"/>
        </w:rPr>
        <w:t>2.- La Informática forense o computación forense</w:t>
      </w:r>
      <w:bookmarkEnd w:id="30"/>
      <w:bookmarkEnd w:id="31"/>
      <w:bookmarkEnd w:id="32"/>
    </w:p>
    <w:p w:rsidR="00650FAA" w:rsidRDefault="00E27E1F">
      <w:pPr>
        <w:snapToGrid w:val="0"/>
        <w:spacing w:before="240" w:line="360" w:lineRule="auto"/>
        <w:ind w:firstLine="708"/>
        <w:jc w:val="both"/>
      </w:pPr>
      <w:r>
        <w:t xml:space="preserve">A grandes rasgos se podría decir que la informática forense es la disciplina que procura obtener evidencias digitales a través de diferentes medios y recursos informáticos. En la práctica dichas evidencias se obtienen a partir de programas informáticos que permiten que el contenido de esa información pueda ser apreciado por el hombre. </w:t>
      </w:r>
    </w:p>
    <w:p w:rsidR="00650FAA" w:rsidRDefault="00E27E1F">
      <w:pPr>
        <w:snapToGrid w:val="0"/>
        <w:spacing w:before="240" w:line="360" w:lineRule="auto"/>
        <w:ind w:firstLine="708"/>
        <w:jc w:val="both"/>
        <w:rPr>
          <w:b/>
        </w:rPr>
      </w:pPr>
      <w:r>
        <w:lastRenderedPageBreak/>
        <w:t>Arias</w:t>
      </w:r>
      <w:r>
        <w:rPr>
          <w:rStyle w:val="Refdenotaalpie"/>
        </w:rPr>
        <w:footnoteReference w:id="17"/>
      </w:r>
      <w:r>
        <w:t xml:space="preserve"> sostiene que la informática forense o computación </w:t>
      </w:r>
      <w:r w:rsidRPr="003E4992">
        <w:t>forense</w:t>
      </w:r>
      <w:r>
        <w:t xml:space="preserve"> es la ciencia de adquirir, preservar, obtener y presentar datos que han sido procesados electrónicamente y guardados en soportes informáticos. Dicha disciplina surgió en Estados Unidos, a principios de los años 80, ante la necesidad de obtener elementos probatorios a partir de datos e información provenientes de las tecnologías informáticas. </w:t>
      </w:r>
    </w:p>
    <w:p w:rsidR="00650FAA" w:rsidRPr="005029BC" w:rsidRDefault="00E27E1F" w:rsidP="005029BC">
      <w:pPr>
        <w:snapToGrid w:val="0"/>
        <w:spacing w:before="240" w:line="360" w:lineRule="auto"/>
        <w:ind w:firstLine="708"/>
        <w:jc w:val="both"/>
      </w:pPr>
      <w:r>
        <w:t>Finalmente, Piccirilli, enseña que la forensia o informática forense “[…] es la ciencia de adquirir, preservar, obtener y presentar datos que han sido procesados electrónicamente y guardados en un medio computacional”</w:t>
      </w:r>
      <w:r>
        <w:rPr>
          <w:rStyle w:val="Refdenotaalpie"/>
        </w:rPr>
        <w:footnoteReference w:id="18"/>
      </w:r>
      <w:r>
        <w:rPr>
          <w:i/>
        </w:rPr>
        <w:t xml:space="preserve">. </w:t>
      </w:r>
      <w:r>
        <w:t xml:space="preserve">En el Capítulo tercero estudiaremos los diferentes pasos para asegurar la autenticidad e integridad de la evidencia digital en el proceso. </w:t>
      </w:r>
    </w:p>
    <w:p w:rsidR="00650FAA" w:rsidRDefault="000F75B7">
      <w:pPr>
        <w:snapToGrid w:val="0"/>
        <w:spacing w:before="240" w:line="360" w:lineRule="auto"/>
        <w:ind w:firstLine="708"/>
        <w:jc w:val="center"/>
        <w:rPr>
          <w:b/>
        </w:rPr>
      </w:pPr>
      <w:r>
        <w:rPr>
          <w:b/>
        </w:rPr>
        <w:t xml:space="preserve">II.- </w:t>
      </w:r>
      <w:r w:rsidR="00E27E1F">
        <w:rPr>
          <w:b/>
        </w:rPr>
        <w:t>El problema de la ausencia de regulación normativa y el principio de libertad probatoria</w:t>
      </w:r>
    </w:p>
    <w:p w:rsidR="00650FAA" w:rsidRDefault="00E27E1F">
      <w:pPr>
        <w:snapToGrid w:val="0"/>
        <w:spacing w:before="240" w:line="360" w:lineRule="auto"/>
        <w:ind w:firstLine="708"/>
        <w:jc w:val="both"/>
      </w:pPr>
      <w:r>
        <w:rPr>
          <w:lang w:val="es-ES"/>
        </w:rPr>
        <w:t>En nuestro país y en la provincia de Mendoza, no existen normas procesales que regulen la</w:t>
      </w:r>
      <w:r>
        <w:t xml:space="preserve"> recolección</w:t>
      </w:r>
      <w:r>
        <w:rPr>
          <w:lang w:val="es-ES"/>
        </w:rPr>
        <w:t xml:space="preserve"> </w:t>
      </w:r>
      <w:r>
        <w:t>y valoración de la evidencia digital en</w:t>
      </w:r>
      <w:r>
        <w:rPr>
          <w:lang w:val="es-ES"/>
        </w:rPr>
        <w:t xml:space="preserve"> </w:t>
      </w:r>
      <w:r>
        <w:t>el proceso penal. Menos aún que contemplen los medios de</w:t>
      </w:r>
      <w:r>
        <w:rPr>
          <w:lang w:val="es-ES"/>
        </w:rPr>
        <w:t xml:space="preserve"> </w:t>
      </w:r>
      <w:r>
        <w:t>investigación modernos, adaptados a las nuevas</w:t>
      </w:r>
      <w:r>
        <w:rPr>
          <w:lang w:val="es-ES"/>
        </w:rPr>
        <w:t xml:space="preserve"> </w:t>
      </w:r>
      <w:r>
        <w:t xml:space="preserve">tecnologías (por ejemplo, allanamiento remoto, agente encubierto digital, vigilancia acústica, etc.). </w:t>
      </w:r>
    </w:p>
    <w:p w:rsidR="00650FAA" w:rsidRDefault="00E27E1F">
      <w:pPr>
        <w:snapToGrid w:val="0"/>
        <w:spacing w:before="240" w:line="360" w:lineRule="auto"/>
        <w:ind w:firstLine="708"/>
        <w:jc w:val="both"/>
      </w:pPr>
      <w:r>
        <w:t>La ausencia de regulación normativa, en la práctica se suple acudiendo a la aplicación del principio de libertad probatoria. Es decir, la</w:t>
      </w:r>
      <w:r>
        <w:rPr>
          <w:lang w:val="es-ES"/>
        </w:rPr>
        <w:t xml:space="preserve"> </w:t>
      </w:r>
      <w:r>
        <w:t>adaptación analógica de las normas previstas para la recolección de prueba física en investigaciones que requieren de evidencia digital. El principio de libertad probatoria es reconocido por la doctrina mayoritaria y se encuentra previsto expresamente en algunas regulaciones procesales argentinas</w:t>
      </w:r>
      <w:r w:rsidR="000F75B7">
        <w:rPr>
          <w:rStyle w:val="Refdenotaalpie"/>
        </w:rPr>
        <w:footnoteReference w:id="19"/>
      </w:r>
      <w:r>
        <w:t>. Consiste en la posibilidad de incorporar prueba al proceso penal, ya no únicamente por los medios de prueba que se encuentran expresamente regulados sino</w:t>
      </w:r>
      <w:r w:rsidR="000F75B7">
        <w:t>,</w:t>
      </w:r>
      <w:r>
        <w:t xml:space="preserve"> también</w:t>
      </w:r>
      <w:r w:rsidR="000F75B7">
        <w:t>,</w:t>
      </w:r>
      <w:r>
        <w:t xml:space="preserve"> mediante cualquier otro no reglamentado, siempre que sea idóneo para contribuir al descubrimiento de la verdad y que no se vulneren garantías constitucionales, ni sean contrarios a la ley. Para ello, se deberá buscar el medio de prueba analógicamente más aplicable que se encuentre regulado y se utiliza el procedimiento allí señalado, respetando sus formas y bajo las mismas sanciones</w:t>
      </w:r>
      <w:r>
        <w:rPr>
          <w:rStyle w:val="Refdenotaalpie"/>
        </w:rPr>
        <w:footnoteReference w:id="20"/>
      </w:r>
      <w:r>
        <w:t xml:space="preserve">. </w:t>
      </w:r>
    </w:p>
    <w:p w:rsidR="00650FAA" w:rsidRDefault="00E27E1F">
      <w:pPr>
        <w:snapToGrid w:val="0"/>
        <w:spacing w:before="240" w:line="360" w:lineRule="auto"/>
        <w:ind w:firstLine="708"/>
        <w:jc w:val="both"/>
      </w:pPr>
      <w:r>
        <w:t xml:space="preserve">Desde otro sector, la aplicación de este principio es cuestionada por Pérez Barberá, quien sostiene que en materia procesal penal también debe regir la protección constitucional amplia de prohibición de analogía de la ley </w:t>
      </w:r>
      <w:r>
        <w:rPr>
          <w:i/>
        </w:rPr>
        <w:t>in malam parte</w:t>
      </w:r>
      <w:r>
        <w:t>, ya que incluir por analogía normas procesales que no han sido expresamente previstas genera un perjuicio a la posición del imputado en el proceso</w:t>
      </w:r>
      <w:r>
        <w:rPr>
          <w:rStyle w:val="Refdenotaalpie"/>
        </w:rPr>
        <w:footnoteReference w:id="21"/>
      </w:r>
      <w:r>
        <w:t xml:space="preserve">. </w:t>
      </w:r>
    </w:p>
    <w:p w:rsidR="00650FAA" w:rsidRDefault="00E27E1F">
      <w:pPr>
        <w:snapToGrid w:val="0"/>
        <w:spacing w:before="240" w:line="360" w:lineRule="auto"/>
        <w:ind w:firstLine="708"/>
        <w:jc w:val="both"/>
      </w:pPr>
      <w:r>
        <w:lastRenderedPageBreak/>
        <w:t>Por nuestra parte, si bien propiciamos la aplicación del principio de libertad probatoria, destacamos la importancia de contar con normas específicas</w:t>
      </w:r>
      <w:r>
        <w:rPr>
          <w:rStyle w:val="Refdenotaalpie"/>
        </w:rPr>
        <w:footnoteReference w:id="22"/>
      </w:r>
      <w:r>
        <w:t xml:space="preserve">. Así, dicha regulación debería, por un lado, admitir la incorporación al proceso de nuevas herramientas tecnológicas, eficaces para investigaciones en entornos digitales y acordes a las complejas y sofisticadas conductas delictivas del S. XXI. Es decir, prever la adaptación de nuevas tecnologías a las investigaciones penales e introducirlas expresamente al Código Procesal Penal, amplificando el catálogo de medios de prueba, previsto por el legislador para las investigaciones en entornos físicos. </w:t>
      </w:r>
    </w:p>
    <w:p w:rsidR="00650FAA" w:rsidRDefault="00E27E1F">
      <w:pPr>
        <w:snapToGrid w:val="0"/>
        <w:spacing w:before="240" w:line="360" w:lineRule="auto"/>
        <w:ind w:firstLine="708"/>
        <w:jc w:val="both"/>
      </w:pPr>
      <w:r>
        <w:t>En segundo lugar, dicha normativa, debería contemplar – con claridad y precisión- los casos o hipótesis -excepcionales- en los que podría acudirse a estos medios extraordinarios, sus requisitos de aplicación, la autoridad competente para disponerlos, etc., procurando de esta manera, evitar un avance indebido sobre los derechos fundamentales de los ciudadanos (intimidad, privacidad, patrimonio, autodeterminación informática, indemnidad sexual, imagen etc.)</w:t>
      </w:r>
      <w:r>
        <w:rPr>
          <w:rStyle w:val="Refdenotaalpie"/>
        </w:rPr>
        <w:footnoteReference w:id="23"/>
      </w:r>
      <w:r>
        <w:t xml:space="preserve">. </w:t>
      </w:r>
      <w:r w:rsidR="000F75B7">
        <w:t>Asimismo</w:t>
      </w:r>
      <w:r>
        <w:t>, debería establecer reglas claras para</w:t>
      </w:r>
      <w:r w:rsidR="000F75B7">
        <w:t xml:space="preserve"> la</w:t>
      </w:r>
      <w:r>
        <w:t xml:space="preserve"> obtención y preservación de la evidencia digital</w:t>
      </w:r>
      <w:r>
        <w:rPr>
          <w:rFonts w:ascii="AppleSystemUIFont" w:eastAsiaTheme="minorHAnsi" w:hAnsi="AppleSystemUIFont" w:cs="AppleSystemUIFont"/>
          <w:sz w:val="26"/>
          <w:szCs w:val="26"/>
          <w:lang w:eastAsia="en-US"/>
        </w:rPr>
        <w:t>,</w:t>
      </w:r>
      <w:r>
        <w:t xml:space="preserve"> su ulterior análisis forense y presentación por las partes y finalmente, su valoración por el Juez, siempre que se encuentr</w:t>
      </w:r>
      <w:r w:rsidR="000F75B7">
        <w:t>e</w:t>
      </w:r>
      <w:r>
        <w:t xml:space="preserve"> acreditada su trazabilidad. </w:t>
      </w:r>
    </w:p>
    <w:p w:rsidR="00F1791F" w:rsidRDefault="00E27E1F" w:rsidP="00F1791F">
      <w:pPr>
        <w:snapToGrid w:val="0"/>
        <w:spacing w:before="240" w:line="360" w:lineRule="auto"/>
        <w:ind w:firstLine="708"/>
        <w:jc w:val="both"/>
        <w:rPr>
          <w:color w:val="000000" w:themeColor="text1"/>
        </w:rPr>
      </w:pPr>
      <w:r>
        <w:rPr>
          <w:color w:val="000000"/>
        </w:rPr>
        <w:t xml:space="preserve">Cabe destacar que en la Legislatura de Mendoza se presentaron algunos proyectos de </w:t>
      </w:r>
      <w:r>
        <w:rPr>
          <w:color w:val="000000" w:themeColor="text1"/>
        </w:rPr>
        <w:t>modificación al Código Procesal Penal que aspiran a la incorporación de la evidencia digital</w:t>
      </w:r>
      <w:r>
        <w:rPr>
          <w:rStyle w:val="Refdenotaalpie"/>
          <w:color w:val="000000" w:themeColor="text1"/>
        </w:rPr>
        <w:footnoteReference w:id="24"/>
      </w:r>
      <w:r>
        <w:rPr>
          <w:color w:val="000000" w:themeColor="text1"/>
        </w:rPr>
        <w:t>. El último, presentado por el Fiscal de delitos informáticos, Dr. Santiago Garay, apunta a la creación de la figura del “agente encubierto digital” para casos graves y propone la incorporación de herramientas procesales para organizar, de manera limitada, la recolección, manipulación y preservación de la evidencia digital</w:t>
      </w:r>
      <w:r>
        <w:rPr>
          <w:rStyle w:val="Refdenotaalpie"/>
          <w:color w:val="000000" w:themeColor="text1"/>
        </w:rPr>
        <w:footnoteReference w:id="25"/>
      </w:r>
      <w:r>
        <w:rPr>
          <w:color w:val="000000" w:themeColor="text1"/>
        </w:rPr>
        <w:t xml:space="preserve">. </w:t>
      </w:r>
    </w:p>
    <w:p w:rsidR="00650FAA" w:rsidRPr="00F1791F" w:rsidRDefault="00F1791F" w:rsidP="00F1791F">
      <w:pPr>
        <w:snapToGrid w:val="0"/>
        <w:spacing w:before="240" w:line="360" w:lineRule="auto"/>
        <w:ind w:firstLine="708"/>
        <w:jc w:val="center"/>
        <w:rPr>
          <w:color w:val="000000" w:themeColor="text1"/>
        </w:rPr>
      </w:pPr>
      <w:r>
        <w:rPr>
          <w:b/>
        </w:rPr>
        <w:t>III.- P</w:t>
      </w:r>
      <w:r w:rsidR="00E27E1F">
        <w:rPr>
          <w:b/>
        </w:rPr>
        <w:t xml:space="preserve">asos y </w:t>
      </w:r>
      <w:r w:rsidR="00E27E1F" w:rsidRPr="005029BC">
        <w:rPr>
          <w:b/>
        </w:rPr>
        <w:t xml:space="preserve">recaudos </w:t>
      </w:r>
      <w:r w:rsidR="00E27E1F">
        <w:rPr>
          <w:b/>
        </w:rPr>
        <w:t>para asegurar la autenticidad e integridad de la evidencia digital</w:t>
      </w:r>
    </w:p>
    <w:p w:rsidR="00650FAA" w:rsidRPr="00F1791F" w:rsidRDefault="00E27E1F">
      <w:pPr>
        <w:snapToGrid w:val="0"/>
        <w:spacing w:before="240" w:line="360" w:lineRule="auto"/>
        <w:ind w:firstLine="708"/>
        <w:jc w:val="both"/>
      </w:pPr>
      <w:r w:rsidRPr="00F1791F">
        <w:t xml:space="preserve">1.- Desafíos ante la ausencia de regulación normativa </w:t>
      </w:r>
    </w:p>
    <w:p w:rsidR="00650FAA" w:rsidRDefault="00E27E1F">
      <w:pPr>
        <w:snapToGrid w:val="0"/>
        <w:spacing w:before="240" w:line="360" w:lineRule="auto"/>
        <w:ind w:firstLine="708"/>
        <w:jc w:val="both"/>
        <w:rPr>
          <w:lang w:val="es-ES"/>
        </w:rPr>
      </w:pPr>
      <w:r>
        <w:t xml:space="preserve"> Ante la falta de regulación normativa y, encontrándose vigente el principio de libertad probatoria,</w:t>
      </w:r>
      <w:r>
        <w:rPr>
          <w:color w:val="000000"/>
        </w:rPr>
        <w:t xml:space="preserve"> que significa que “[…] en el proceso penal todo puede ser probado, y por </w:t>
      </w:r>
      <w:r>
        <w:rPr>
          <w:color w:val="000000"/>
        </w:rPr>
        <w:lastRenderedPageBreak/>
        <w:t>cualquier medio de prueba”</w:t>
      </w:r>
      <w:r>
        <w:rPr>
          <w:rStyle w:val="Refdenotaalpie"/>
          <w:color w:val="000000"/>
        </w:rPr>
        <w:footnoteReference w:id="26"/>
      </w:r>
      <w:r>
        <w:rPr>
          <w:color w:val="000000"/>
        </w:rPr>
        <w:t>,</w:t>
      </w:r>
      <w:r>
        <w:rPr>
          <w:lang w:val="es-ES"/>
        </w:rPr>
        <w:t xml:space="preserve"> no podemos quedar de brazos cruzados, pues las TIC repercuten en todos los ámbitos de la vida y el Derecho no es la excepción</w:t>
      </w:r>
      <w:r>
        <w:rPr>
          <w:rStyle w:val="Refdenotaalpie"/>
          <w:lang w:val="es-ES"/>
        </w:rPr>
        <w:footnoteReference w:id="27"/>
      </w:r>
      <w:r>
        <w:rPr>
          <w:lang w:val="es-ES"/>
        </w:rPr>
        <w:t xml:space="preserve">. </w:t>
      </w:r>
    </w:p>
    <w:p w:rsidR="00650FAA" w:rsidRDefault="00E27E1F">
      <w:pPr>
        <w:snapToGrid w:val="0"/>
        <w:spacing w:before="240" w:line="360" w:lineRule="auto"/>
        <w:ind w:firstLine="708"/>
        <w:jc w:val="both"/>
        <w:rPr>
          <w:lang w:val="es-ES"/>
        </w:rPr>
      </w:pPr>
      <w:r>
        <w:t xml:space="preserve">Entonces, frente al continuo avance de las nuevas tecnologías y ante el silencio legislativo, </w:t>
      </w:r>
      <w:r>
        <w:rPr>
          <w:lang w:val="es-ES"/>
        </w:rPr>
        <w:t>corresponde buscar un justo equilibro entre la necesidad de investigar delitos y el respeto por las garantías fundamentales de las personas. A tal efecto, consideramos que resulta imperioso acudir a las guías de buenas prácticas, nacionales e internacionales, que llenan este vacío y contemplan procedimientos eficaces para la extracción, análisis y resguardo de la evidencia digital, garantizando su trazabilidad y ulterior valoración por el Juez.</w:t>
      </w:r>
    </w:p>
    <w:p w:rsidR="00650FAA" w:rsidRDefault="00E27E1F">
      <w:pPr>
        <w:snapToGrid w:val="0"/>
        <w:spacing w:before="240" w:line="360" w:lineRule="auto"/>
        <w:ind w:firstLine="708"/>
        <w:jc w:val="both"/>
        <w:rPr>
          <w:i/>
        </w:rPr>
      </w:pPr>
      <w:r>
        <w:rPr>
          <w:color w:val="000000"/>
        </w:rPr>
        <w:t>En este sentido, Márquez y Perzán</w:t>
      </w:r>
      <w:r>
        <w:rPr>
          <w:rStyle w:val="Refdenotaalpie"/>
          <w:color w:val="000000"/>
        </w:rPr>
        <w:footnoteReference w:id="28"/>
      </w:r>
      <w:r>
        <w:rPr>
          <w:color w:val="000000"/>
        </w:rPr>
        <w:t xml:space="preserve"> señalan que es posible producir prueba no sólo a través de los medios expresamente regulados por la ley sino con cualquier otro reglamentado, siempre que el mismo resulte </w:t>
      </w:r>
      <w:r w:rsidRPr="00042267">
        <w:rPr>
          <w:color w:val="000000"/>
        </w:rPr>
        <w:t>cient</w:t>
      </w:r>
      <w:r w:rsidR="00042267">
        <w:rPr>
          <w:color w:val="000000"/>
        </w:rPr>
        <w:t>i</w:t>
      </w:r>
      <w:r w:rsidRPr="00042267">
        <w:rPr>
          <w:color w:val="000000"/>
        </w:rPr>
        <w:t>ficamente</w:t>
      </w:r>
      <w:r>
        <w:rPr>
          <w:color w:val="000000"/>
        </w:rPr>
        <w:t xml:space="preserve"> adecuado para descubrir la verdad. De esta manera, ante la falta de regulación normativa y, sin pretensiones de establecerlas como únicas guías acabadas respecto de la materia, </w:t>
      </w:r>
      <w:r>
        <w:t xml:space="preserve">señalan que existen algunos documentos guía, por ejemplo, el </w:t>
      </w:r>
      <w:r>
        <w:rPr>
          <w:color w:val="000000"/>
        </w:rPr>
        <w:t xml:space="preserve">Convenio sobre la Ciberdelincuencia del Consejo de Europa, </w:t>
      </w:r>
      <w:r>
        <w:t>el Protocolo general de actuación para las fuerzas policiales y de seguridad en la investigación y proceso de recolección de pruebas en ciberdelitos del Ministerio de Seguridad, la Guía de obtención, preservación y tratamiento de evidencia digital, de la Procuración General de la Nación</w:t>
      </w:r>
      <w:r>
        <w:rPr>
          <w:rStyle w:val="Refdenotaalpie"/>
        </w:rPr>
        <w:footnoteReference w:id="29"/>
      </w:r>
      <w:r>
        <w:t>; las Normas ISO/IEC 27037, del año 2012</w:t>
      </w:r>
      <w:r>
        <w:rPr>
          <w:rStyle w:val="Refdenotaalpie"/>
        </w:rPr>
        <w:footnoteReference w:id="30"/>
      </w:r>
      <w:r>
        <w:t>, entre otras</w:t>
      </w:r>
      <w:r>
        <w:rPr>
          <w:rStyle w:val="Refdenotaalpie"/>
        </w:rPr>
        <w:footnoteReference w:id="31"/>
      </w:r>
      <w:r>
        <w:t>.</w:t>
      </w:r>
    </w:p>
    <w:p w:rsidR="00650FAA" w:rsidRDefault="00E27E1F">
      <w:pPr>
        <w:snapToGrid w:val="0"/>
        <w:spacing w:line="360" w:lineRule="auto"/>
        <w:jc w:val="both"/>
        <w:rPr>
          <w:lang w:val="es-ES"/>
        </w:rPr>
      </w:pPr>
      <w:r>
        <w:tab/>
      </w:r>
      <w:r w:rsidRPr="00042267">
        <w:rPr>
          <w:color w:val="000000" w:themeColor="text1"/>
        </w:rPr>
        <w:t>Por lo tanto, ante la falta de regulación normativa y, e</w:t>
      </w:r>
      <w:r w:rsidRPr="00042267">
        <w:rPr>
          <w:color w:val="000000" w:themeColor="text1"/>
          <w:lang w:val="es-ES"/>
        </w:rPr>
        <w:t>n función de las características de la evidencia digital y las diferencias con la prueba física o corpórea, intentaremos esbozar algunos recaudos o pasos mínimos que deberían asumir los litigantes para procurar el ingreso de la evidencia digital y su ulterior valoración por el Juez. En otras palabras, ahora analizaremos qué deberían hacer los litigantes para asegurar la evidencia digital y demostrar</w:t>
      </w:r>
      <w:r w:rsidRPr="00042267">
        <w:rPr>
          <w:color w:val="000000" w:themeColor="text1"/>
        </w:rPr>
        <w:t xml:space="preserve"> su trazabilidad a lo largo de todo el proceso.</w:t>
      </w:r>
    </w:p>
    <w:p w:rsidR="00650FAA" w:rsidRPr="00A77A5A" w:rsidRDefault="00E27E1F">
      <w:pPr>
        <w:snapToGrid w:val="0"/>
        <w:spacing w:before="240" w:line="360" w:lineRule="auto"/>
        <w:ind w:firstLine="708"/>
        <w:jc w:val="both"/>
      </w:pPr>
      <w:r w:rsidRPr="00A77A5A">
        <w:t>2.- Diferenciación de instancias claves</w:t>
      </w:r>
      <w:r w:rsidRPr="00A77A5A">
        <w:rPr>
          <w:rFonts w:eastAsiaTheme="minorHAnsi"/>
          <w:lang w:eastAsia="en-US"/>
        </w:rPr>
        <w:t>:</w:t>
      </w:r>
      <w:r w:rsidRPr="00A77A5A">
        <w:t xml:space="preserve"> secuestro de dispositivos </w:t>
      </w:r>
      <w:r w:rsidRPr="00A77A5A">
        <w:rPr>
          <w:i/>
        </w:rPr>
        <w:t>vs</w:t>
      </w:r>
      <w:r w:rsidRPr="00A77A5A">
        <w:t xml:space="preserve"> extracción, recolección, análisis y presentación de la evidencia digital</w:t>
      </w:r>
    </w:p>
    <w:p w:rsidR="00650FAA" w:rsidRDefault="00E27E1F">
      <w:pPr>
        <w:snapToGrid w:val="0"/>
        <w:spacing w:before="240" w:line="360" w:lineRule="auto"/>
        <w:ind w:firstLine="708"/>
        <w:jc w:val="both"/>
      </w:pPr>
      <w:r>
        <w:lastRenderedPageBreak/>
        <w:t>A modo de introito, podemos señalar que existen dos instancias, que se llevan a cabo en escenarios diferentes. Una física y la otra digital. La primera (física), se lleva a cabo en el domicilio allanado. Supone el dictado de una orden por un Juez, debidamente fundada, que autoriza el ingreso a un domicilio, donde se llevará a cabo el secuestro del o los dispositivos que, presumiblemente, contendrían l</w:t>
      </w:r>
      <w:r w:rsidR="009242F5">
        <w:t>a</w:t>
      </w:r>
      <w:r>
        <w:t xml:space="preserve"> evidencia digital útil para el proceso. Aquí, quienes ejecut</w:t>
      </w:r>
      <w:r w:rsidR="007802FE">
        <w:t>en</w:t>
      </w:r>
      <w:r>
        <w:t xml:space="preserve"> la orden, </w:t>
      </w:r>
      <w:r w:rsidRPr="00042267">
        <w:t>incautarán</w:t>
      </w:r>
      <w:r>
        <w:t xml:space="preserve"> los dispositivos electrónicos (ejemplo </w:t>
      </w:r>
      <w:r w:rsidRPr="00042267">
        <w:t>computadoras</w:t>
      </w:r>
      <w:r>
        <w:t xml:space="preserve">, teléfonos. etc.), los cuales – como se verá- deben ser resguardados debidamente para conservar su integridad (por ejemplo, se les deben fajar sus puertos). </w:t>
      </w:r>
    </w:p>
    <w:p w:rsidR="00650FAA" w:rsidRDefault="00E27E1F">
      <w:pPr>
        <w:snapToGrid w:val="0"/>
        <w:spacing w:before="240" w:line="360" w:lineRule="auto"/>
        <w:ind w:firstLine="708"/>
        <w:jc w:val="both"/>
      </w:pPr>
      <w:r>
        <w:t>En la segunda fase, llevada a cabo en el laboratorio forense, es fundamental preservar las evidencias, detallando en documentos todo tratamiento y procedimiento que se realice en ellas, garantizando la cadena de custodia</w:t>
      </w:r>
      <w:r>
        <w:rPr>
          <w:rStyle w:val="Refdenotaalpie"/>
        </w:rPr>
        <w:footnoteReference w:id="32"/>
      </w:r>
      <w:r>
        <w:t>. Allí, los expertos analizarán las evidencias siguiendo una metodología forense especializada y empleando las herramientas de análisis forense adecuadas para cada caso. Por último, se presentarán los resultados obtenidos en forma aclara y precisa a través de un informe técnico elaborado por los especialistas informáticos</w:t>
      </w:r>
      <w:r>
        <w:rPr>
          <w:rStyle w:val="Refdenotaalpie"/>
        </w:rPr>
        <w:footnoteReference w:id="33"/>
      </w:r>
      <w:r>
        <w:t xml:space="preserve">. </w:t>
      </w:r>
    </w:p>
    <w:p w:rsidR="00650FAA" w:rsidRDefault="00E27E1F">
      <w:pPr>
        <w:snapToGrid w:val="0"/>
        <w:spacing w:before="240" w:line="360" w:lineRule="auto"/>
        <w:ind w:firstLine="708"/>
        <w:jc w:val="both"/>
      </w:pPr>
      <w:r>
        <w:t>Por su parte, Marquez y Perzán</w:t>
      </w:r>
      <w:r>
        <w:rPr>
          <w:rStyle w:val="Refdenotaalpie"/>
        </w:rPr>
        <w:footnoteReference w:id="34"/>
      </w:r>
      <w:r>
        <w:t xml:space="preserve"> señalan que las diligencias deberán ser ejecutadas por personal idóneo y especializado, que deberá tomar ciertos recaudos para que el contenido del equipo pueda ser conservado, se mantenga indemne (a salvo de intromisiones remotas), se preserve la integridad de la información obtenida y</w:t>
      </w:r>
      <w:r w:rsidR="00A77A5A">
        <w:t>,</w:t>
      </w:r>
      <w:r>
        <w:t xml:space="preserve"> sobre todo, garantice la cadena de custodia. Los autores enfatizan la importancia de respetar determinados protocolos que regulan el proceso de obtención, preservación, análisis y presentación de la evidencia digital, a los fines de garantizar la autenticidad e integridad de la misma. No es objeto de este trabajo abordar el interesante tema de la informática forense, simplemente analizaremos de manera sintética las principales recomendaciones a fin de garantizar la integridad y autenticidad de la evidencia digital y su incorporación al proceso. </w:t>
      </w:r>
    </w:p>
    <w:p w:rsidR="00650FAA" w:rsidRPr="00A77A5A" w:rsidRDefault="00E27E1F">
      <w:pPr>
        <w:snapToGrid w:val="0"/>
        <w:spacing w:before="240" w:line="360" w:lineRule="auto"/>
        <w:ind w:firstLine="708"/>
        <w:jc w:val="both"/>
      </w:pPr>
      <w:r w:rsidRPr="00A77A5A">
        <w:t>3.- Análisis de los pasos o recaudos necesarios para asegurar la autenticidad e integridad de la evidencia digital</w:t>
      </w:r>
    </w:p>
    <w:p w:rsidR="00650FAA" w:rsidRDefault="00E27E1F">
      <w:pPr>
        <w:snapToGrid w:val="0"/>
        <w:spacing w:before="240" w:line="360" w:lineRule="auto"/>
        <w:ind w:firstLine="708"/>
        <w:jc w:val="both"/>
      </w:pPr>
      <w:r>
        <w:t>Explica Sueiro</w:t>
      </w:r>
      <w:r>
        <w:rPr>
          <w:rStyle w:val="Refdenotaalpie"/>
        </w:rPr>
        <w:footnoteReference w:id="35"/>
      </w:r>
      <w:r>
        <w:t xml:space="preserve"> que la volatilidad y sensibilidad de la prueba digital torna indispensable el empleo de procedimientos no convencionales, que impliquen capacitación </w:t>
      </w:r>
      <w:r>
        <w:lastRenderedPageBreak/>
        <w:t xml:space="preserve">especializada de los auxiliares en la </w:t>
      </w:r>
      <w:r w:rsidR="00A77A5A">
        <w:t>A</w:t>
      </w:r>
      <w:r>
        <w:t xml:space="preserve">dministración de </w:t>
      </w:r>
      <w:r w:rsidR="00A77A5A">
        <w:t>J</w:t>
      </w:r>
      <w:r>
        <w:t xml:space="preserve">usticia, como también de empleados, funcionarios y </w:t>
      </w:r>
      <w:r w:rsidR="004215C2">
        <w:t>M</w:t>
      </w:r>
      <w:r>
        <w:t>agistrados. Por ejemplo, el secuestro de un efecto físico, como un arma de fuego, requiere de mecanismos de preservación en la cadena de custodia, muy distintos a los de la preservación de un dispositivo electrónico que contiene prueba digital o intangible. El arma de fuego, expresa el autor, puede ser preservada en una bolsa plástica dentro de una caja de seguridad en el juzgado pero</w:t>
      </w:r>
      <w:r w:rsidR="004215C2">
        <w:t>,</w:t>
      </w:r>
      <w:r>
        <w:t xml:space="preserve"> tal modo de preservación, para un teléfono celular con información en su </w:t>
      </w:r>
      <w:r w:rsidRPr="007802FE">
        <w:t>tarjeta</w:t>
      </w:r>
      <w:r>
        <w:t xml:space="preserve"> (SIM), claramente resulta ineficiente e inidóneo a los fines de resguardo de la información que contiene. A tal efecto, explica que cualquier sujeto podría, a través de un dispositivo electrónico, conectarse a esa unidad y borrar la información contenida en él o bien realizar una descarga de electroestática sobre el dispositivo, obteniendo el mismo resultado. Por tal motivo, la persona encargada de realizar el secuestro del dispositivo electrónico, como medida de preservación básica debe: 1.- identificarlo correctamente; 2.- apagarlo o colocarlo en modo de avión e introducirlo en bolsas antiestáticos o bolsas de </w:t>
      </w:r>
      <w:r>
        <w:rPr>
          <w:i/>
        </w:rPr>
        <w:t>Faraday</w:t>
      </w:r>
      <w:r>
        <w:rPr>
          <w:rStyle w:val="Refdenotaalpie"/>
        </w:rPr>
        <w:footnoteReference w:id="36"/>
      </w:r>
      <w:r>
        <w:t xml:space="preserve">, las cuales deberán </w:t>
      </w:r>
      <w:r w:rsidRPr="005961DE">
        <w:t xml:space="preserve">estar </w:t>
      </w:r>
      <w:r>
        <w:t>correctamente precintadas.</w:t>
      </w:r>
    </w:p>
    <w:p w:rsidR="00650FAA" w:rsidRDefault="00E27E1F">
      <w:pPr>
        <w:snapToGrid w:val="0"/>
        <w:spacing w:before="240" w:line="360" w:lineRule="auto"/>
        <w:ind w:firstLine="708"/>
        <w:jc w:val="both"/>
        <w:rPr>
          <w:lang w:val="es-ES"/>
        </w:rPr>
      </w:pPr>
      <w:r>
        <w:t xml:space="preserve">Asimismo, se recomienda que el laboratorio o recinto donde se realizará el análisis, sea un lugar seguro, a los fines de evitar posibles ciberataques o ataques electrónicos (virus, códigos maliciosos o </w:t>
      </w:r>
      <w:r>
        <w:rPr>
          <w:i/>
        </w:rPr>
        <w:t>malware</w:t>
      </w:r>
      <w:r>
        <w:t xml:space="preserve">, conexiones remotas no autorizadas mediante </w:t>
      </w:r>
      <w:r>
        <w:rPr>
          <w:i/>
        </w:rPr>
        <w:t>wifi</w:t>
      </w:r>
      <w:r>
        <w:t xml:space="preserve"> o </w:t>
      </w:r>
      <w:r>
        <w:rPr>
          <w:i/>
        </w:rPr>
        <w:t>bluetooth</w:t>
      </w:r>
      <w:r>
        <w:t xml:space="preserve">). Una vez en el laboratorio el experto encargado de la pericia debe retirar el dispositivo electrónico de la bolsa </w:t>
      </w:r>
      <w:r>
        <w:rPr>
          <w:i/>
        </w:rPr>
        <w:t>Faraday</w:t>
      </w:r>
      <w:r>
        <w:t xml:space="preserve"> y emplear la indumentaria segura para realizar el acto</w:t>
      </w:r>
      <w:r>
        <w:rPr>
          <w:rStyle w:val="Refdenotaalpie"/>
        </w:rPr>
        <w:footnoteReference w:id="37"/>
      </w:r>
      <w:r>
        <w:t xml:space="preserve"> (guantes de</w:t>
      </w:r>
      <w:r w:rsidR="005961DE">
        <w:t xml:space="preserve"> </w:t>
      </w:r>
      <w:r w:rsidRPr="005961DE">
        <w:t>látex</w:t>
      </w:r>
      <w:r>
        <w:t xml:space="preserve"> antiestática y una pulsera antiestática o brazalete antiestática de descarga a tierra), a fin de no afectar los dispositivos electrónicos (</w:t>
      </w:r>
      <w:r>
        <w:rPr>
          <w:i/>
        </w:rPr>
        <w:t>hardware</w:t>
      </w:r>
      <w:r>
        <w:t xml:space="preserve">) en los que se encuentra almacenada la información, mediante descargas involuntarias que puedan llegar a inutilizar o dañar los dispositivos. Una vez que se ha colocado los guantes de látex y la pulsera o brazalete de descarga a tierra, el perito debe comenzar con la manipulación del dispositivo. </w:t>
      </w:r>
      <w:r>
        <w:rPr>
          <w:lang w:val="es-ES"/>
        </w:rPr>
        <w:t>A tal fin, se realizan las siguientes recomendaciones</w:t>
      </w:r>
      <w:r>
        <w:rPr>
          <w:rStyle w:val="Refdenotaalpie"/>
          <w:lang w:val="es-ES"/>
        </w:rPr>
        <w:footnoteReference w:id="38"/>
      </w:r>
      <w:r>
        <w:rPr>
          <w:lang w:val="es-ES"/>
        </w:rPr>
        <w:t>:</w:t>
      </w:r>
      <w:bookmarkStart w:id="33" w:name="_Toc89525289"/>
      <w:bookmarkStart w:id="34" w:name="_Toc89524865"/>
      <w:bookmarkStart w:id="35" w:name="_Toc89254687"/>
    </w:p>
    <w:p w:rsidR="00650FAA" w:rsidRPr="004215C2" w:rsidRDefault="004215C2">
      <w:pPr>
        <w:snapToGrid w:val="0"/>
        <w:spacing w:before="240" w:line="360" w:lineRule="auto"/>
        <w:ind w:firstLine="708"/>
        <w:jc w:val="both"/>
      </w:pPr>
      <w:r w:rsidRPr="004215C2">
        <w:rPr>
          <w:color w:val="000000" w:themeColor="text1"/>
          <w:lang w:val="es-ES"/>
        </w:rPr>
        <w:t>A</w:t>
      </w:r>
      <w:r w:rsidR="00E27E1F" w:rsidRPr="004215C2">
        <w:rPr>
          <w:color w:val="000000" w:themeColor="text1"/>
          <w:lang w:val="es-ES"/>
        </w:rPr>
        <w:t>.- Identificación del dispositivo</w:t>
      </w:r>
      <w:bookmarkEnd w:id="33"/>
      <w:bookmarkEnd w:id="34"/>
      <w:bookmarkEnd w:id="35"/>
      <w:r w:rsidR="00E27E1F" w:rsidRPr="004215C2">
        <w:rPr>
          <w:color w:val="000000" w:themeColor="text1"/>
          <w:lang w:val="es-ES"/>
        </w:rPr>
        <w:t xml:space="preserve"> </w:t>
      </w:r>
    </w:p>
    <w:p w:rsidR="00650FAA" w:rsidRDefault="00E27E1F">
      <w:pPr>
        <w:snapToGrid w:val="0"/>
        <w:spacing w:before="240" w:line="360" w:lineRule="auto"/>
        <w:ind w:firstLine="708"/>
        <w:jc w:val="both"/>
        <w:rPr>
          <w:lang w:val="es-ES"/>
        </w:rPr>
      </w:pPr>
      <w:r>
        <w:rPr>
          <w:lang w:val="es-ES"/>
        </w:rPr>
        <w:t xml:space="preserve">Una vez que los dispositivos llegan al laboratorio, el perito debe controlar la identidad de los mismos y la forma en que los recibe. Así, por ejemplo, al extraer el dispositivo de la bolsa </w:t>
      </w:r>
      <w:r>
        <w:rPr>
          <w:i/>
          <w:lang w:val="es-ES"/>
        </w:rPr>
        <w:t>Faraday</w:t>
      </w:r>
      <w:r>
        <w:rPr>
          <w:lang w:val="es-ES"/>
        </w:rPr>
        <w:t xml:space="preserve">, debe controlar y comprobar la identidad del dispositivo al que accederá (computadora, celular, </w:t>
      </w:r>
      <w:r>
        <w:rPr>
          <w:i/>
          <w:lang w:val="es-ES"/>
        </w:rPr>
        <w:t>tablet</w:t>
      </w:r>
      <w:r>
        <w:rPr>
          <w:lang w:val="es-ES"/>
        </w:rPr>
        <w:t>, etc.). En caso de acceder a un celular, deberá identificar el numero de IMEI</w:t>
      </w:r>
      <w:r>
        <w:rPr>
          <w:rStyle w:val="Refdenotaalpie"/>
          <w:lang w:val="es-ES"/>
        </w:rPr>
        <w:footnoteReference w:id="39"/>
      </w:r>
      <w:r>
        <w:rPr>
          <w:lang w:val="es-ES"/>
        </w:rPr>
        <w:t>.</w:t>
      </w:r>
      <w:bookmarkStart w:id="36" w:name="_Toc89524866"/>
      <w:bookmarkStart w:id="37" w:name="_Toc89254688"/>
      <w:bookmarkStart w:id="38" w:name="_Toc89525290"/>
    </w:p>
    <w:p w:rsidR="00650FAA" w:rsidRPr="004215C2" w:rsidRDefault="004215C2">
      <w:pPr>
        <w:snapToGrid w:val="0"/>
        <w:spacing w:before="240" w:line="360" w:lineRule="auto"/>
        <w:ind w:firstLine="708"/>
        <w:jc w:val="both"/>
        <w:rPr>
          <w:lang w:val="es-ES"/>
        </w:rPr>
      </w:pPr>
      <w:r w:rsidRPr="004215C2">
        <w:rPr>
          <w:color w:val="000000" w:themeColor="text1"/>
          <w:lang w:val="es-ES"/>
        </w:rPr>
        <w:lastRenderedPageBreak/>
        <w:t>B</w:t>
      </w:r>
      <w:r w:rsidR="00E27E1F" w:rsidRPr="004215C2">
        <w:rPr>
          <w:color w:val="000000" w:themeColor="text1"/>
          <w:lang w:val="es-ES"/>
        </w:rPr>
        <w:t>.- Realizar una copia forense o imagen forense de la información contenida en el dispositivo electrónico</w:t>
      </w:r>
      <w:bookmarkEnd w:id="36"/>
      <w:bookmarkEnd w:id="37"/>
      <w:bookmarkEnd w:id="38"/>
      <w:r w:rsidR="00E27E1F" w:rsidRPr="004215C2">
        <w:rPr>
          <w:color w:val="000000" w:themeColor="text1"/>
          <w:lang w:val="es-ES"/>
        </w:rPr>
        <w:t xml:space="preserve"> </w:t>
      </w:r>
    </w:p>
    <w:p w:rsidR="00650FAA" w:rsidRDefault="00E27E1F">
      <w:pPr>
        <w:snapToGrid w:val="0"/>
        <w:spacing w:before="240" w:line="360" w:lineRule="auto"/>
        <w:ind w:firstLine="708"/>
        <w:jc w:val="both"/>
      </w:pPr>
      <w:r>
        <w:rPr>
          <w:lang w:val="es-ES"/>
        </w:rPr>
        <w:t xml:space="preserve">Cuando se trata de evidencia almacenada en dispositivos como discos rígidos o </w:t>
      </w:r>
      <w:r>
        <w:rPr>
          <w:i/>
          <w:lang w:val="es-ES"/>
        </w:rPr>
        <w:t>pendrives</w:t>
      </w:r>
      <w:r>
        <w:rPr>
          <w:lang w:val="es-ES"/>
        </w:rPr>
        <w:t>, las guías de buenas prácticas recomiendan que el análisis se realice sobr</w:t>
      </w:r>
      <w:r w:rsidR="005961DE">
        <w:rPr>
          <w:lang w:val="es-ES"/>
        </w:rPr>
        <w:t>e</w:t>
      </w:r>
      <w:r>
        <w:rPr>
          <w:lang w:val="es-ES"/>
        </w:rPr>
        <w:t xml:space="preserve"> una copia y no sobre la evidencia original, a efectos de evitar alterarla. Por tal motivo, a fin de garantizar que la información extraída pertenece al dispositivo y es fidedigna, el perito debe hacer un clon o copia espejo de la información almacenada en la memoria o disco (copia </w:t>
      </w:r>
      <w:r>
        <w:rPr>
          <w:i/>
          <w:lang w:val="es-ES"/>
        </w:rPr>
        <w:t>bit a bit</w:t>
      </w:r>
      <w:r>
        <w:rPr>
          <w:lang w:val="es-ES"/>
        </w:rPr>
        <w:t>)</w:t>
      </w:r>
      <w:r>
        <w:rPr>
          <w:rStyle w:val="Refdenotaalpie"/>
          <w:lang w:val="es-ES"/>
        </w:rPr>
        <w:footnoteReference w:id="40"/>
      </w:r>
      <w:r>
        <w:rPr>
          <w:lang w:val="es-ES"/>
        </w:rPr>
        <w:t xml:space="preserve">. </w:t>
      </w:r>
    </w:p>
    <w:p w:rsidR="00650FAA" w:rsidRDefault="00E27E1F">
      <w:pPr>
        <w:snapToGrid w:val="0"/>
        <w:spacing w:before="240" w:line="360" w:lineRule="auto"/>
        <w:ind w:firstLine="708"/>
        <w:jc w:val="both"/>
      </w:pPr>
      <w:r>
        <w:rPr>
          <w:lang w:val="es-ES"/>
        </w:rPr>
        <w:t>De esta manera, el dispositivo genera un archivo donde se dice todo lo que se clonó y se le aplican procedimientos que garantizan su inalterabilidad. Esta copia, puede ser obtenida en el lugar del allanamiento o se puede secuestrar la unidad física de almacenamiento (el disco rígido) y obtenerla, en una etapa posterior, en un laboratorio de informática forense por personal especializado. En este ultimo caso, Sueiro</w:t>
      </w:r>
      <w:r>
        <w:rPr>
          <w:rStyle w:val="Refdenotaalpie"/>
          <w:lang w:val="es-ES"/>
        </w:rPr>
        <w:footnoteReference w:id="41"/>
      </w:r>
      <w:r>
        <w:rPr>
          <w:lang w:val="es-ES"/>
        </w:rPr>
        <w:t xml:space="preserve"> explica que el perito, en forma previa a la realización de la copia, deberá analizar el dispositivo objeto de la pericia y constatar la identidad del mismo, asegurándose que se trate del mismo dispositivo que fuera oportunamente secuestrado y remitido al laboratorio. </w:t>
      </w:r>
    </w:p>
    <w:p w:rsidR="00650FAA" w:rsidRDefault="00E27E1F">
      <w:pPr>
        <w:snapToGrid w:val="0"/>
        <w:spacing w:before="240" w:line="360" w:lineRule="auto"/>
        <w:ind w:firstLine="708"/>
        <w:jc w:val="both"/>
        <w:rPr>
          <w:lang w:val="es-ES"/>
        </w:rPr>
      </w:pPr>
      <w:r>
        <w:rPr>
          <w:lang w:val="es-ES"/>
        </w:rPr>
        <w:t xml:space="preserve">Finalmente, una vez efectuada la copia, el dispositivo de almacenamiento secuestrado debe ser colocado en otra bolsa de </w:t>
      </w:r>
      <w:r>
        <w:rPr>
          <w:i/>
          <w:lang w:val="es-ES"/>
        </w:rPr>
        <w:t>Faraday</w:t>
      </w:r>
      <w:r>
        <w:rPr>
          <w:lang w:val="es-ES"/>
        </w:rPr>
        <w:t xml:space="preserve"> que llevará un precinto de un color distinto al primero, a los fines de individualizar que ya ha sido peritado. Es indispensable que toda la evidencia digital se encuentre debidamente documentada, etiquetada, marcada, fotografiada e inventariada, una vez terminada la pericia. Los manuales de practica forense recomiendan que además de realizar la copia forense, se debe labrar en acta la actividad realizada (hoja de ruta)</w:t>
      </w:r>
      <w:r>
        <w:rPr>
          <w:rStyle w:val="Refdenotaalpie"/>
          <w:lang w:val="es-ES"/>
        </w:rPr>
        <w:footnoteReference w:id="42"/>
      </w:r>
      <w:r>
        <w:rPr>
          <w:lang w:val="es-ES"/>
        </w:rPr>
        <w:t xml:space="preserve">. </w:t>
      </w:r>
      <w:bookmarkStart w:id="39" w:name="_Toc89525291"/>
      <w:bookmarkStart w:id="40" w:name="_Toc89524867"/>
      <w:bookmarkStart w:id="41" w:name="_Toc89254689"/>
    </w:p>
    <w:p w:rsidR="00650FAA" w:rsidRPr="004215C2" w:rsidRDefault="004215C2">
      <w:pPr>
        <w:snapToGrid w:val="0"/>
        <w:spacing w:before="240" w:line="360" w:lineRule="auto"/>
        <w:ind w:firstLine="708"/>
        <w:jc w:val="both"/>
        <w:rPr>
          <w:lang w:val="es-ES"/>
        </w:rPr>
      </w:pPr>
      <w:r>
        <w:rPr>
          <w:color w:val="000000" w:themeColor="text1"/>
          <w:lang w:val="es-ES"/>
        </w:rPr>
        <w:t>C</w:t>
      </w:r>
      <w:r w:rsidR="00E27E1F" w:rsidRPr="004215C2">
        <w:rPr>
          <w:color w:val="000000" w:themeColor="text1"/>
          <w:lang w:val="es-ES"/>
        </w:rPr>
        <w:t>.- Resguardo de la evidencia</w:t>
      </w:r>
      <w:bookmarkEnd w:id="39"/>
      <w:bookmarkEnd w:id="40"/>
      <w:bookmarkEnd w:id="41"/>
      <w:r w:rsidR="00E27E1F" w:rsidRPr="004215C2">
        <w:rPr>
          <w:color w:val="000000" w:themeColor="text1"/>
          <w:lang w:val="es-ES"/>
        </w:rPr>
        <w:t xml:space="preserve"> mediante la imposición de un código único </w:t>
      </w:r>
    </w:p>
    <w:p w:rsidR="00650FAA" w:rsidRDefault="00E27E1F">
      <w:pPr>
        <w:snapToGrid w:val="0"/>
        <w:spacing w:before="240" w:line="360" w:lineRule="auto"/>
        <w:ind w:firstLine="708"/>
        <w:jc w:val="both"/>
        <w:rPr>
          <w:lang w:val="es-ES"/>
        </w:rPr>
      </w:pPr>
      <w:r>
        <w:rPr>
          <w:lang w:val="es-ES"/>
        </w:rPr>
        <w:t>Explica Polansky</w:t>
      </w:r>
      <w:r>
        <w:rPr>
          <w:rStyle w:val="Refdenotaalpie"/>
          <w:lang w:val="es-ES"/>
        </w:rPr>
        <w:footnoteReference w:id="43"/>
      </w:r>
      <w:r>
        <w:rPr>
          <w:lang w:val="es-ES"/>
        </w:rPr>
        <w:t xml:space="preserve"> que una vez obtenida la copia forense de la totalidad del dispositivo secuestrado, se debe obtener su correspondiente código </w:t>
      </w:r>
      <w:r>
        <w:rPr>
          <w:i/>
          <w:lang w:val="es-ES"/>
        </w:rPr>
        <w:t xml:space="preserve">hash. </w:t>
      </w:r>
      <w:r>
        <w:rPr>
          <w:lang w:val="es-ES"/>
        </w:rPr>
        <w:t xml:space="preserve">Este código consiste en una compleja función matemática que sirve para determinar si dos archivos digitales son idénticos. Básicamente, cualquiera de los algoritmos que se utilicen transformará la totalidad de la información contenida en la imagen forense y arroja como resultado un código único que la representa. </w:t>
      </w:r>
    </w:p>
    <w:p w:rsidR="00650FAA" w:rsidRDefault="00E27E1F">
      <w:pPr>
        <w:snapToGrid w:val="0"/>
        <w:spacing w:before="240" w:line="360" w:lineRule="auto"/>
        <w:ind w:firstLine="708"/>
        <w:jc w:val="both"/>
        <w:rPr>
          <w:lang w:val="es-ES"/>
        </w:rPr>
      </w:pPr>
      <w:r>
        <w:rPr>
          <w:lang w:val="es-ES"/>
        </w:rPr>
        <w:t xml:space="preserve">El autor señala que, la utilidad práctica del código radica en que, si con posterioridad se ingresarse a la computadora y se modificase una sola letra en un archivo de </w:t>
      </w:r>
      <w:r>
        <w:rPr>
          <w:i/>
          <w:lang w:val="es-ES"/>
        </w:rPr>
        <w:t xml:space="preserve">Microsoft </w:t>
      </w:r>
      <w:r>
        <w:rPr>
          <w:i/>
          <w:lang w:val="es-ES"/>
        </w:rPr>
        <w:lastRenderedPageBreak/>
        <w:t>Word</w:t>
      </w:r>
      <w:r>
        <w:rPr>
          <w:lang w:val="es-ES"/>
        </w:rPr>
        <w:t xml:space="preserve">, el código daría un valor completamente diferente. De esta forma, al obtener el código </w:t>
      </w:r>
      <w:r>
        <w:rPr>
          <w:i/>
          <w:lang w:val="es-ES"/>
        </w:rPr>
        <w:t>hash</w:t>
      </w:r>
      <w:r>
        <w:rPr>
          <w:lang w:val="es-ES"/>
        </w:rPr>
        <w:t xml:space="preserve"> de la imagen forense secuestrada, se puede asegurar la integridad de todos los datos allí almacenados, toda vez que, si los agentes estatales intentaran ingresar un archivo incriminante, al volver a calcular el valor </w:t>
      </w:r>
      <w:r>
        <w:rPr>
          <w:i/>
          <w:lang w:val="es-ES"/>
        </w:rPr>
        <w:t>hash</w:t>
      </w:r>
      <w:r>
        <w:rPr>
          <w:lang w:val="es-ES"/>
        </w:rPr>
        <w:t xml:space="preserve">, el resultado será una secuencia numérica diferente y la utilización de la evidencia que surja de esa imagen forense con código </w:t>
      </w:r>
      <w:r>
        <w:rPr>
          <w:i/>
          <w:lang w:val="es-ES"/>
        </w:rPr>
        <w:t>hash</w:t>
      </w:r>
      <w:r>
        <w:rPr>
          <w:lang w:val="es-ES"/>
        </w:rPr>
        <w:t xml:space="preserve"> alterado será altamente cuestionable. En este sentido, la obtención del código </w:t>
      </w:r>
      <w:r>
        <w:rPr>
          <w:i/>
          <w:lang w:val="es-ES"/>
        </w:rPr>
        <w:t>hash</w:t>
      </w:r>
      <w:r>
        <w:rPr>
          <w:lang w:val="es-ES"/>
        </w:rPr>
        <w:t xml:space="preserve"> vendría a ser como el aseguramiento del lugar en versión digital. En otras palabras, dicho código asegura la inalterabilidad de la evidencia luego de la pericia. </w:t>
      </w:r>
      <w:bookmarkStart w:id="42" w:name="_Toc89524868"/>
      <w:bookmarkStart w:id="43" w:name="_Toc89254690"/>
      <w:bookmarkStart w:id="44" w:name="_Toc89525292"/>
    </w:p>
    <w:p w:rsidR="00650FAA" w:rsidRDefault="00E27E1F">
      <w:pPr>
        <w:snapToGrid w:val="0"/>
        <w:spacing w:before="240" w:line="360" w:lineRule="auto"/>
        <w:ind w:firstLine="708"/>
        <w:jc w:val="both"/>
        <w:rPr>
          <w:lang w:val="es-ES"/>
        </w:rPr>
      </w:pPr>
      <w:r>
        <w:rPr>
          <w:lang w:val="es-ES"/>
        </w:rPr>
        <w:t xml:space="preserve">Previo a continuar con el siguiente paso, cabe dejar asentado que en la actualidad se discute si, antes de practicarse la copia </w:t>
      </w:r>
      <w:r>
        <w:rPr>
          <w:i/>
          <w:lang w:val="es-ES"/>
        </w:rPr>
        <w:t>bit o bit</w:t>
      </w:r>
      <w:r>
        <w:rPr>
          <w:lang w:val="es-ES"/>
        </w:rPr>
        <w:t>, resulta necesaria la notificación a la defensa, bajo sanción de nulidad. Siguiendo a Dupuy</w:t>
      </w:r>
      <w:r>
        <w:rPr>
          <w:rStyle w:val="Refdenotaalpie"/>
          <w:lang w:val="es-ES"/>
        </w:rPr>
        <w:footnoteReference w:id="44"/>
      </w:r>
      <w:r>
        <w:rPr>
          <w:lang w:val="es-ES"/>
        </w:rPr>
        <w:t xml:space="preserve">, creemos que la notificación a la defensa, si bien es recomendable, no es un requisito de validez del acto. En efecto, se trata de una clonación o copia de la evidencia digital que se encuentra en el dispositivo de almacenamiento del sospechoso. Es una medida reproductible, pues, se puede hacer tantas copias como sean necesaria, siempre que se utilicen herramientas forenses que garanticen mediante un valor </w:t>
      </w:r>
      <w:r>
        <w:rPr>
          <w:i/>
          <w:lang w:val="es-ES"/>
        </w:rPr>
        <w:t>hash</w:t>
      </w:r>
      <w:r>
        <w:rPr>
          <w:lang w:val="es-ES"/>
        </w:rPr>
        <w:t>, la inalterabilidad del original</w:t>
      </w:r>
      <w:r>
        <w:rPr>
          <w:rStyle w:val="Refdenotaalpie"/>
          <w:lang w:val="es-ES"/>
        </w:rPr>
        <w:footnoteReference w:id="45"/>
      </w:r>
      <w:r>
        <w:rPr>
          <w:lang w:val="es-ES"/>
        </w:rPr>
        <w:t>.</w:t>
      </w:r>
    </w:p>
    <w:p w:rsidR="00650FAA" w:rsidRPr="00896436" w:rsidRDefault="00896436">
      <w:pPr>
        <w:snapToGrid w:val="0"/>
        <w:spacing w:before="240" w:line="360" w:lineRule="auto"/>
        <w:ind w:firstLine="708"/>
        <w:jc w:val="both"/>
        <w:rPr>
          <w:lang w:val="es-ES"/>
        </w:rPr>
      </w:pPr>
      <w:r w:rsidRPr="00896436">
        <w:rPr>
          <w:color w:val="000000" w:themeColor="text1"/>
          <w:lang w:val="es-ES"/>
        </w:rPr>
        <w:t>D</w:t>
      </w:r>
      <w:r w:rsidR="00E27E1F" w:rsidRPr="00896436">
        <w:rPr>
          <w:color w:val="000000" w:themeColor="text1"/>
          <w:lang w:val="es-ES"/>
        </w:rPr>
        <w:t>.-Análisis de la evidencia digital</w:t>
      </w:r>
      <w:bookmarkEnd w:id="42"/>
      <w:bookmarkEnd w:id="43"/>
      <w:bookmarkEnd w:id="44"/>
      <w:r w:rsidR="00E27E1F" w:rsidRPr="00896436">
        <w:rPr>
          <w:color w:val="000000" w:themeColor="text1"/>
          <w:lang w:val="es-ES"/>
        </w:rPr>
        <w:t xml:space="preserve"> </w:t>
      </w:r>
    </w:p>
    <w:p w:rsidR="00650FAA" w:rsidRDefault="00E27E1F">
      <w:pPr>
        <w:snapToGrid w:val="0"/>
        <w:spacing w:before="240" w:line="360" w:lineRule="auto"/>
        <w:ind w:firstLine="708"/>
        <w:jc w:val="both"/>
      </w:pPr>
      <w:r>
        <w:rPr>
          <w:lang w:val="es-ES"/>
        </w:rPr>
        <w:t>Explica Polansky</w:t>
      </w:r>
      <w:r>
        <w:rPr>
          <w:rStyle w:val="Refdenotaalpie"/>
          <w:lang w:val="es-ES"/>
        </w:rPr>
        <w:footnoteReference w:id="46"/>
      </w:r>
      <w:r>
        <w:rPr>
          <w:lang w:val="es-ES"/>
        </w:rPr>
        <w:t xml:space="preserve"> que el análisis de información o evidencia digital consiste en la realización de las medidas tendientes a determinar qué archivos contenidos en los dispositivos secuestrados revisten interés para la investigación. </w:t>
      </w:r>
    </w:p>
    <w:p w:rsidR="00650FAA" w:rsidRDefault="00E27E1F">
      <w:pPr>
        <w:snapToGrid w:val="0"/>
        <w:spacing w:before="240" w:line="360" w:lineRule="auto"/>
        <w:ind w:firstLine="708"/>
        <w:jc w:val="both"/>
      </w:pPr>
      <w:r>
        <w:rPr>
          <w:lang w:val="es-ES"/>
        </w:rPr>
        <w:t xml:space="preserve">Los dispositivos móviles resguardan un reservorio de información de distinta naturaleza (laboral, académica, profesional, familiar, social, afectiva, etc.). Por ello, a la hora de conducir el análisis de la información allí almacenada, se deberá desarrollar la medida de manera eficaz y, al mismo tiempo, evitar ingresar en esferas de la privacidad que no poseen relación alguna con el delito investigado. </w:t>
      </w:r>
    </w:p>
    <w:p w:rsidR="00650FAA" w:rsidRDefault="00E27E1F">
      <w:pPr>
        <w:snapToGrid w:val="0"/>
        <w:spacing w:before="240" w:line="360" w:lineRule="auto"/>
        <w:ind w:firstLine="708"/>
        <w:jc w:val="both"/>
        <w:rPr>
          <w:lang w:val="es-ES"/>
        </w:rPr>
      </w:pPr>
      <w:r>
        <w:t>En esta etapa, cobra vital importancia la selección del método de búsqueda y análisis de la información contenida en el dispositivo extremo que, en la medida de lo posible, debería afrontarse en la resolución judicial</w:t>
      </w:r>
      <w:r>
        <w:rPr>
          <w:rStyle w:val="Refdenotaalpie"/>
        </w:rPr>
        <w:footnoteReference w:id="47"/>
      </w:r>
      <w:r>
        <w:t>.</w:t>
      </w:r>
      <w:r>
        <w:rPr>
          <w:lang w:val="es-ES"/>
        </w:rPr>
        <w:t xml:space="preserve"> Acá el perito aplicará técnicas científicas y analíticas a la copia, a través del procedimiento forense para poder encontrar pruebas de ciertas conductas. A tal fin se pueden realizar búsquedas de cadenas de caracteres, acciones específicas del o de los usuarios de la máquina, búsqueda de archivos específicos, recuperación de identificación de correos electrónicos, recuperación de los últimos sitios </w:t>
      </w:r>
      <w:r>
        <w:rPr>
          <w:lang w:val="es-ES"/>
        </w:rPr>
        <w:lastRenderedPageBreak/>
        <w:t>visitados, etc.</w:t>
      </w:r>
      <w:r>
        <w:rPr>
          <w:rStyle w:val="Refdenotaalpie"/>
          <w:lang w:val="es-ES"/>
        </w:rPr>
        <w:footnoteReference w:id="48"/>
      </w:r>
      <w:r>
        <w:rPr>
          <w:lang w:val="es-ES"/>
        </w:rPr>
        <w:t>.</w:t>
      </w:r>
      <w:r>
        <w:rPr>
          <w:color w:val="000000" w:themeColor="text1"/>
          <w:lang w:val="es-ES"/>
        </w:rPr>
        <w:t xml:space="preserve"> Sin embargo</w:t>
      </w:r>
      <w:r>
        <w:rPr>
          <w:lang w:val="es-ES"/>
        </w:rPr>
        <w:t xml:space="preserve">, los archivos de interés suelen estar distribuidos u ocultos en cualquier lugar del dispositivo de almacenamiento y, en ocasiones, encriptados, lo que dificulta el análisis de la información y promueve el acceso a la totalidad de la información almacenada. </w:t>
      </w:r>
      <w:bookmarkStart w:id="45" w:name="_Toc89254691"/>
      <w:bookmarkStart w:id="46" w:name="_Toc89525293"/>
      <w:bookmarkStart w:id="47" w:name="_Toc89524869"/>
    </w:p>
    <w:p w:rsidR="00650FAA" w:rsidRPr="00896436" w:rsidRDefault="00896436">
      <w:pPr>
        <w:snapToGrid w:val="0"/>
        <w:spacing w:before="240" w:line="360" w:lineRule="auto"/>
        <w:ind w:firstLine="708"/>
        <w:jc w:val="both"/>
        <w:rPr>
          <w:color w:val="000000" w:themeColor="text1"/>
          <w:lang w:val="es-ES"/>
        </w:rPr>
      </w:pPr>
      <w:r w:rsidRPr="00896436">
        <w:rPr>
          <w:color w:val="000000" w:themeColor="text1"/>
          <w:lang w:val="es-ES"/>
        </w:rPr>
        <w:t>E</w:t>
      </w:r>
      <w:r w:rsidR="00E27E1F" w:rsidRPr="00896436">
        <w:rPr>
          <w:color w:val="000000" w:themeColor="text1"/>
          <w:lang w:val="es-ES"/>
        </w:rPr>
        <w:t>.-Presentación de los resultados</w:t>
      </w:r>
      <w:bookmarkEnd w:id="45"/>
      <w:bookmarkEnd w:id="46"/>
      <w:bookmarkEnd w:id="47"/>
    </w:p>
    <w:p w:rsidR="00650FAA" w:rsidRDefault="00E27E1F">
      <w:pPr>
        <w:snapToGrid w:val="0"/>
        <w:spacing w:before="240" w:line="360" w:lineRule="auto"/>
        <w:ind w:firstLine="708"/>
        <w:jc w:val="both"/>
        <w:rPr>
          <w:lang w:val="es-ES"/>
        </w:rPr>
      </w:pPr>
      <w:r>
        <w:rPr>
          <w:lang w:val="es-ES"/>
        </w:rPr>
        <w:t>La presentación consiste en recopilar toda la información que se obtuvo a partir del análisis. En esta etapa el experto deberá explicar el procedimiento y las conclusiones en un informe claro y detallado, a fin de que las partes y el Juez puedan valorar la evidencia incorporada.</w:t>
      </w:r>
      <w:bookmarkStart w:id="48" w:name="_Toc89524870"/>
      <w:bookmarkStart w:id="49" w:name="_Toc89254692"/>
      <w:bookmarkStart w:id="50" w:name="_Toc89525294"/>
    </w:p>
    <w:p w:rsidR="00650FAA" w:rsidRPr="00896436" w:rsidRDefault="00E27E1F">
      <w:pPr>
        <w:snapToGrid w:val="0"/>
        <w:spacing w:before="240" w:line="360" w:lineRule="auto"/>
        <w:ind w:firstLine="708"/>
        <w:jc w:val="both"/>
        <w:rPr>
          <w:color w:val="000000" w:themeColor="text1"/>
        </w:rPr>
      </w:pPr>
      <w:r w:rsidRPr="00896436">
        <w:rPr>
          <w:color w:val="000000" w:themeColor="text1"/>
          <w:lang w:val="es-ES"/>
        </w:rPr>
        <w:t xml:space="preserve">4.- La </w:t>
      </w:r>
      <w:r w:rsidRPr="00896436">
        <w:rPr>
          <w:color w:val="000000" w:themeColor="text1"/>
        </w:rPr>
        <w:t>importancia en la preservación de la E</w:t>
      </w:r>
      <w:r w:rsidR="00896436" w:rsidRPr="00896436">
        <w:rPr>
          <w:color w:val="000000" w:themeColor="text1"/>
        </w:rPr>
        <w:t xml:space="preserve">videncia </w:t>
      </w:r>
      <w:r w:rsidRPr="00896436">
        <w:rPr>
          <w:color w:val="000000" w:themeColor="text1"/>
        </w:rPr>
        <w:t>D</w:t>
      </w:r>
      <w:r w:rsidR="00896436" w:rsidRPr="00896436">
        <w:rPr>
          <w:color w:val="000000" w:themeColor="text1"/>
        </w:rPr>
        <w:t>igital</w:t>
      </w:r>
    </w:p>
    <w:p w:rsidR="00650FAA" w:rsidRDefault="00E27E1F">
      <w:pPr>
        <w:snapToGrid w:val="0"/>
        <w:spacing w:before="240" w:line="360" w:lineRule="auto"/>
        <w:ind w:firstLine="708"/>
        <w:jc w:val="both"/>
        <w:rPr>
          <w:lang w:val="es-ES"/>
        </w:rPr>
      </w:pPr>
      <w:r>
        <w:rPr>
          <w:lang w:val="es-ES"/>
        </w:rPr>
        <w:t xml:space="preserve">Cumplidos dichos pasos, podemos afirmar que la evidencia ha sido preservada y podrá ser presentada en el proceso a fin de su valoración por el Juez. </w:t>
      </w:r>
    </w:p>
    <w:p w:rsidR="00650FAA" w:rsidRDefault="00E27E1F">
      <w:pPr>
        <w:snapToGrid w:val="0"/>
        <w:spacing w:before="240" w:line="360" w:lineRule="auto"/>
        <w:ind w:firstLine="708"/>
        <w:jc w:val="both"/>
      </w:pPr>
      <w:r>
        <w:rPr>
          <w:lang w:val="es-ES"/>
        </w:rPr>
        <w:t>Sostiene Gorini</w:t>
      </w:r>
      <w:r>
        <w:rPr>
          <w:rStyle w:val="Refdenotaalpie"/>
          <w:lang w:val="es-ES"/>
        </w:rPr>
        <w:footnoteReference w:id="49"/>
      </w:r>
      <w:r>
        <w:rPr>
          <w:lang w:val="es-ES"/>
        </w:rPr>
        <w:t xml:space="preserve"> que l</w:t>
      </w:r>
      <w:r>
        <w:t xml:space="preserve">a preservación de la evidencia digital es muy importante por la potencia probatoria que posee (fuerza convictiva). A modo ejemplo, puede señalarse el caso en que una persona graba con su celular el momento en que dos sujetos discuten y uno de ellos saca un arma de fuego disparándole a la otra, quien muere en el lugar. Dicho video, será una valiosa prueba pues no solo probará el suceso mismo (homicidio) sino que, además, los metadatos (datos sobre los datos) informarán sobre la fecha, hora, geolocalización, etc, lo que permitirá identificar al autor. </w:t>
      </w:r>
    </w:p>
    <w:p w:rsidR="00650FAA" w:rsidRDefault="00E27E1F">
      <w:pPr>
        <w:snapToGrid w:val="0"/>
        <w:spacing w:before="240" w:line="360" w:lineRule="auto"/>
        <w:ind w:firstLine="708"/>
        <w:jc w:val="both"/>
        <w:rPr>
          <w:lang w:val="es-ES"/>
        </w:rPr>
      </w:pPr>
      <w:r>
        <w:t xml:space="preserve">Ahora bien, ello sucederá en la medida en que se respeten las etapas y procedimientos analizados pues, ante la importancia de ésta fuente de prueba, posiblemente las criticas de la defensa se dirigirán a cuestionar la cadena de custodia y preservación de la evidencia. </w:t>
      </w:r>
      <w:r>
        <w:rPr>
          <w:lang w:val="es-ES"/>
        </w:rPr>
        <w:t>En este sentido, Bielli y Ordoñez señalan “[a] mayor confiabilidad de los soportes utilizados y de los procedimientos técnicos que se apliquen a su creación, mayor será la fuerza probatoria de la misma en juicio, e inversamente, a menor confiabilidad, menor fuerza probatoria en el pleito”</w:t>
      </w:r>
      <w:r>
        <w:rPr>
          <w:rStyle w:val="Refdenotaalpie"/>
          <w:lang w:val="es-ES"/>
        </w:rPr>
        <w:footnoteReference w:id="50"/>
      </w:r>
      <w:r>
        <w:rPr>
          <w:lang w:val="es-ES"/>
        </w:rPr>
        <w:t>.</w:t>
      </w:r>
    </w:p>
    <w:p w:rsidR="00650FAA" w:rsidRPr="00896436" w:rsidRDefault="00E27E1F" w:rsidP="00896436">
      <w:pPr>
        <w:snapToGrid w:val="0"/>
        <w:spacing w:before="240" w:line="360" w:lineRule="auto"/>
        <w:ind w:firstLine="708"/>
        <w:jc w:val="both"/>
        <w:rPr>
          <w:color w:val="000000" w:themeColor="text1"/>
        </w:rPr>
      </w:pPr>
      <w:r>
        <w:rPr>
          <w:color w:val="000000" w:themeColor="text1"/>
        </w:rPr>
        <w:t xml:space="preserve">Las diferentes etapas y pasos analizados, apuntan al resguardo o custodia de la evidencia, permitiendo conocer el </w:t>
      </w:r>
      <w:r>
        <w:rPr>
          <w:i/>
          <w:color w:val="000000" w:themeColor="text1"/>
        </w:rPr>
        <w:t xml:space="preserve">iter </w:t>
      </w:r>
      <w:r>
        <w:rPr>
          <w:color w:val="000000" w:themeColor="text1"/>
        </w:rPr>
        <w:t xml:space="preserve">que ha seguido y las personas que han podido acceder y/o manipularla hasta que llega al juzgador. De esta manera, se podrá asegurar el denominado </w:t>
      </w:r>
      <w:r>
        <w:rPr>
          <w:rFonts w:eastAsiaTheme="minorHAnsi"/>
          <w:lang w:eastAsia="en-US"/>
        </w:rPr>
        <w:t>“</w:t>
      </w:r>
      <w:r>
        <w:rPr>
          <w:color w:val="000000" w:themeColor="text1"/>
        </w:rPr>
        <w:t>principio de mismidad de la prueba</w:t>
      </w:r>
      <w:r>
        <w:rPr>
          <w:rFonts w:eastAsiaTheme="minorHAnsi"/>
          <w:lang w:eastAsia="en-US"/>
        </w:rPr>
        <w:t>”</w:t>
      </w:r>
      <w:r>
        <w:rPr>
          <w:color w:val="000000" w:themeColor="text1"/>
        </w:rPr>
        <w:t>. Explica P</w:t>
      </w:r>
      <w:r w:rsidR="00896436">
        <w:rPr>
          <w:color w:val="000000" w:themeColor="text1"/>
        </w:rPr>
        <w:t>ilarche</w:t>
      </w:r>
      <w:r>
        <w:rPr>
          <w:color w:val="000000" w:themeColor="text1"/>
        </w:rPr>
        <w:t xml:space="preserve"> que </w:t>
      </w:r>
      <w:r w:rsidR="00896436">
        <w:rPr>
          <w:color w:val="000000" w:themeColor="text1"/>
        </w:rPr>
        <w:t>e</w:t>
      </w:r>
      <w:r>
        <w:rPr>
          <w:color w:val="000000" w:themeColor="text1"/>
        </w:rPr>
        <w:t xml:space="preserve">l Tribunal Supremo español en su resolución 2197/2012, ha delineado en forma clara el alcance de este principio, </w:t>
      </w:r>
      <w:r>
        <w:rPr>
          <w:color w:val="000000" w:themeColor="text1"/>
        </w:rPr>
        <w:lastRenderedPageBreak/>
        <w:t>sosteniendo que: "</w:t>
      </w:r>
      <w:r>
        <w:rPr>
          <w:rFonts w:eastAsiaTheme="minorHAnsi"/>
          <w:lang w:eastAsia="en-US"/>
        </w:rPr>
        <w:t>[</w:t>
      </w:r>
      <w:r w:rsidR="00906FB0">
        <w:rPr>
          <w:rFonts w:eastAsiaTheme="minorHAnsi"/>
          <w:lang w:eastAsia="en-US"/>
        </w:rPr>
        <w:t>…</w:t>
      </w:r>
      <w:r>
        <w:rPr>
          <w:rFonts w:eastAsiaTheme="minorHAnsi"/>
          <w:lang w:eastAsia="en-US"/>
        </w:rPr>
        <w:t>]</w:t>
      </w:r>
      <w:r w:rsidR="00906FB0">
        <w:rPr>
          <w:color w:val="000000" w:themeColor="text1"/>
        </w:rPr>
        <w:t xml:space="preserve"> </w:t>
      </w:r>
      <w:r>
        <w:rPr>
          <w:color w:val="000000" w:themeColor="text1"/>
        </w:rPr>
        <w:t>es necesario tener la completa seguridad de que lo que se traslada, lo que se mide, lo que se pesa y lo que se analiza es lo mismo en todo momento, desde el instante mismo en que se recoge del lugar del delito hasta el momento final en que se estudia y se destruye...", denotando la importancia de la inalterabilidad del objeto a peritar</w:t>
      </w:r>
      <w:r>
        <w:rPr>
          <w:rFonts w:eastAsiaTheme="minorHAnsi"/>
          <w:lang w:eastAsia="en-US"/>
        </w:rPr>
        <w:t>”</w:t>
      </w:r>
      <w:r>
        <w:rPr>
          <w:rStyle w:val="Refdenotaalpie"/>
          <w:rFonts w:eastAsiaTheme="minorHAnsi"/>
          <w:lang w:eastAsia="en-US"/>
        </w:rPr>
        <w:footnoteReference w:id="51"/>
      </w:r>
      <w:r>
        <w:rPr>
          <w:color w:val="000000" w:themeColor="text1"/>
        </w:rPr>
        <w:t>.</w:t>
      </w:r>
    </w:p>
    <w:p w:rsidR="00650FAA" w:rsidRDefault="00E27E1F">
      <w:pPr>
        <w:snapToGrid w:val="0"/>
        <w:spacing w:before="240" w:line="360" w:lineRule="auto"/>
        <w:ind w:firstLine="708"/>
        <w:jc w:val="both"/>
      </w:pPr>
      <w:r>
        <w:t xml:space="preserve">Por lo expuesto, las etapas analizadas </w:t>
      </w:r>
      <w:r w:rsidR="00906FB0">
        <w:t xml:space="preserve">permiten </w:t>
      </w:r>
      <w:r w:rsidRPr="00906FB0">
        <w:t>garantiz</w:t>
      </w:r>
      <w:r w:rsidR="00906FB0">
        <w:t>ar</w:t>
      </w:r>
      <w:r>
        <w:t xml:space="preserve"> la trazabilidad </w:t>
      </w:r>
      <w:r w:rsidR="00906FB0">
        <w:t>en</w:t>
      </w:r>
      <w:r>
        <w:t xml:space="preserve"> la recolección, almacenamiento y custodia de los elementos que sirven de prueba en el marco de una investigación</w:t>
      </w:r>
      <w:r>
        <w:rPr>
          <w:i/>
        </w:rPr>
        <w:t xml:space="preserve">, </w:t>
      </w:r>
      <w:r>
        <w:t>las que además,</w:t>
      </w:r>
      <w:r>
        <w:rPr>
          <w:i/>
        </w:rPr>
        <w:t xml:space="preserve"> </w:t>
      </w:r>
      <w:r>
        <w:t>permitirán su valoración por el Juez. A continuación proponemos el test de valoración que debería realizar el Juez.</w:t>
      </w:r>
    </w:p>
    <w:p w:rsidR="00650FAA" w:rsidRDefault="00896436" w:rsidP="00896436">
      <w:pPr>
        <w:snapToGrid w:val="0"/>
        <w:spacing w:before="240" w:line="360" w:lineRule="auto"/>
        <w:ind w:firstLine="708"/>
        <w:jc w:val="center"/>
        <w:rPr>
          <w:b/>
          <w:lang w:val="es-ES"/>
        </w:rPr>
      </w:pPr>
      <w:r>
        <w:rPr>
          <w:b/>
        </w:rPr>
        <w:t>IV.- T</w:t>
      </w:r>
      <w:r w:rsidR="00E27E1F">
        <w:rPr>
          <w:b/>
          <w:lang w:val="es-ES"/>
        </w:rPr>
        <w:t>est</w:t>
      </w:r>
      <w:r w:rsidR="00E27E1F">
        <w:rPr>
          <w:b/>
          <w:i/>
          <w:lang w:val="es-ES"/>
        </w:rPr>
        <w:t xml:space="preserve"> </w:t>
      </w:r>
      <w:r w:rsidR="00E27E1F">
        <w:rPr>
          <w:b/>
          <w:lang w:val="es-ES"/>
        </w:rPr>
        <w:t>de valoración de la prueba digital</w:t>
      </w:r>
    </w:p>
    <w:p w:rsidR="00650FAA" w:rsidRDefault="00E27E1F">
      <w:pPr>
        <w:snapToGrid w:val="0"/>
        <w:spacing w:before="240" w:line="360" w:lineRule="auto"/>
        <w:ind w:firstLine="708"/>
        <w:jc w:val="both"/>
        <w:rPr>
          <w:lang w:val="es-ES"/>
        </w:rPr>
      </w:pPr>
      <w:r>
        <w:rPr>
          <w:lang w:val="es-ES"/>
        </w:rPr>
        <w:t>La mayoría de los códigos procesales modernos se enrolan en el sistema de las libres convicciones razonadas o sana crítica racional para la valoración de la prueba</w:t>
      </w:r>
      <w:r>
        <w:rPr>
          <w:rStyle w:val="Refdenotaalpie"/>
          <w:lang w:val="es-ES"/>
        </w:rPr>
        <w:footnoteReference w:id="52"/>
      </w:r>
      <w:r>
        <w:rPr>
          <w:lang w:val="es-ES"/>
        </w:rPr>
        <w:t>. La evidencia digital no es ajena a tal método. Sin embargo, en razón del carácter técnico-informático que reviste la misma, creemos que las partes deberán superar ciertos filtros o capas, tendientes a garantizar la calidad de la evidencia y la ulterior valoración de la misma por el Juez</w:t>
      </w:r>
      <w:r>
        <w:rPr>
          <w:rStyle w:val="Refdenotaalpie"/>
          <w:lang w:val="es-ES"/>
        </w:rPr>
        <w:footnoteReference w:id="53"/>
      </w:r>
      <w:r>
        <w:rPr>
          <w:lang w:val="es-ES"/>
        </w:rPr>
        <w:t xml:space="preserve">. </w:t>
      </w:r>
    </w:p>
    <w:p w:rsidR="00650FAA" w:rsidRDefault="00E27E1F">
      <w:pPr>
        <w:snapToGrid w:val="0"/>
        <w:spacing w:before="240" w:line="360" w:lineRule="auto"/>
        <w:ind w:firstLine="708"/>
        <w:jc w:val="both"/>
        <w:rPr>
          <w:color w:val="000000" w:themeColor="text1"/>
          <w:spacing w:val="-8"/>
        </w:rPr>
      </w:pPr>
      <w:r>
        <w:rPr>
          <w:lang w:val="es-ES"/>
        </w:rPr>
        <w:t>A continuación</w:t>
      </w:r>
      <w:r w:rsidR="00896436">
        <w:rPr>
          <w:lang w:val="es-ES"/>
        </w:rPr>
        <w:t>, proponemos</w:t>
      </w:r>
      <w:r>
        <w:rPr>
          <w:rStyle w:val="Refdenotaalpie"/>
          <w:lang w:val="es-ES"/>
        </w:rPr>
        <w:footnoteReference w:id="54"/>
      </w:r>
      <w:r>
        <w:rPr>
          <w:lang w:val="es-ES"/>
        </w:rPr>
        <w:t xml:space="preserve"> un estándar mínimo para la valoración racional de la prueba digital. A tal efecto, la propuesta consiste en afirmar que </w:t>
      </w:r>
      <w:r>
        <w:rPr>
          <w:color w:val="000000" w:themeColor="text1"/>
          <w:spacing w:val="-8"/>
          <w:lang w:val="es-ES"/>
        </w:rPr>
        <w:t xml:space="preserve">la prueba digital debe superar un triple test para tener eficacia probatoria </w:t>
      </w:r>
      <w:r>
        <w:rPr>
          <w:rFonts w:eastAsiaTheme="minorHAnsi"/>
          <w:lang w:eastAsia="en-US"/>
        </w:rPr>
        <w:t>(</w:t>
      </w:r>
      <w:r>
        <w:rPr>
          <w:color w:val="000000" w:themeColor="text1"/>
          <w:spacing w:val="-8"/>
          <w:lang w:val="es-ES"/>
        </w:rPr>
        <w:t xml:space="preserve">1.- </w:t>
      </w:r>
      <w:r>
        <w:rPr>
          <w:color w:val="000000" w:themeColor="text1"/>
          <w:spacing w:val="-8"/>
        </w:rPr>
        <w:t>licitud, 2.- autenticidad y 3.- Integridad e inalterabildad</w:t>
      </w:r>
      <w:r>
        <w:rPr>
          <w:rFonts w:eastAsiaTheme="minorHAnsi"/>
          <w:lang w:eastAsia="en-US"/>
        </w:rPr>
        <w:t>)</w:t>
      </w:r>
      <w:r>
        <w:rPr>
          <w:color w:val="000000" w:themeColor="text1"/>
          <w:spacing w:val="-8"/>
          <w:lang w:val="es-ES"/>
        </w:rPr>
        <w:t xml:space="preserve">. </w:t>
      </w:r>
      <w:r w:rsidR="00896436">
        <w:rPr>
          <w:color w:val="000000" w:themeColor="text1"/>
          <w:spacing w:val="-8"/>
        </w:rPr>
        <w:t xml:space="preserve">Seguidamente </w:t>
      </w:r>
      <w:r>
        <w:rPr>
          <w:color w:val="000000" w:themeColor="text1"/>
          <w:spacing w:val="-8"/>
        </w:rPr>
        <w:t xml:space="preserve">veremos estos requisitos. </w:t>
      </w:r>
    </w:p>
    <w:p w:rsidR="004F6E47" w:rsidRDefault="004F6E47">
      <w:pPr>
        <w:snapToGrid w:val="0"/>
        <w:spacing w:before="240" w:line="360" w:lineRule="auto"/>
        <w:ind w:firstLine="708"/>
        <w:jc w:val="both"/>
        <w:rPr>
          <w:color w:val="000000" w:themeColor="text1"/>
          <w:spacing w:val="-8"/>
          <w:lang w:val="es-ES"/>
        </w:rPr>
      </w:pPr>
      <w:r>
        <w:rPr>
          <w:color w:val="000000" w:themeColor="text1"/>
          <w:spacing w:val="-8"/>
          <w:lang w:val="es-ES"/>
        </w:rPr>
        <w:t>1.- Licitud</w:t>
      </w:r>
    </w:p>
    <w:p w:rsidR="00650FAA" w:rsidRDefault="00E27E1F">
      <w:pPr>
        <w:snapToGrid w:val="0"/>
        <w:spacing w:before="240" w:line="360" w:lineRule="auto"/>
        <w:ind w:firstLine="708"/>
        <w:jc w:val="both"/>
      </w:pPr>
      <w:r>
        <w:t xml:space="preserve">Para que pueda ingresar al proceso, la evidencia digital, además de </w:t>
      </w:r>
      <w:r w:rsidRPr="00BE6913">
        <w:t>pertinente</w:t>
      </w:r>
      <w:r>
        <w:t xml:space="preserve"> y útil, debe ser lícita. Este requisito se relaciona con el modo y/o obtención del elemento probatorio. Reclama que en su obtención e incorporación al proceso no se violen garantías constitucionales -vgr., derecho a la intimidad (Art. 19 de la Const. Nacional), inviolabilidad de la correspondencia, derecho de defensa (Art. 18 de la misma norma fundamental). Por otro lado, la licitud se relaciona con un doble aspecto: a.- obtención de la evidencia y b.- incorporación al proceso, respetando las garantías constitucionales y el debido proceso. </w:t>
      </w:r>
    </w:p>
    <w:p w:rsidR="00650FAA" w:rsidRDefault="00E27E1F">
      <w:pPr>
        <w:snapToGrid w:val="0"/>
        <w:spacing w:before="240" w:line="360" w:lineRule="auto"/>
        <w:ind w:firstLine="708"/>
        <w:jc w:val="both"/>
      </w:pPr>
      <w:r>
        <w:t xml:space="preserve">El acceso ilegitimo – sin autorización de un Juez- al teléfono móvil del </w:t>
      </w:r>
      <w:r w:rsidRPr="00BE6913">
        <w:t>sospechoso</w:t>
      </w:r>
      <w:r>
        <w:t xml:space="preserve"> y la ulterior extracción de la información allí contenida, sería un claro ejemplo del primer caso pues, se encuentra amparada por el Art. 18 de la CN. En igual sentido, como ejemplo del </w:t>
      </w:r>
      <w:r>
        <w:lastRenderedPageBreak/>
        <w:t>primer caso, se ha desestimado la prueba de mensajes de texto (SMS), por su obtención ilegal, a través del apoderamiento ilegal de un teléfono, vulnerando de tal modo la garantía de inviolabilidad de la correspondencia y el derecho a la intimidad</w:t>
      </w:r>
      <w:r w:rsidR="001B7787">
        <w:rPr>
          <w:rStyle w:val="Refdenotaalpie"/>
        </w:rPr>
        <w:footnoteReference w:id="55"/>
      </w:r>
    </w:p>
    <w:p w:rsidR="00650FAA" w:rsidRDefault="00E27E1F">
      <w:pPr>
        <w:snapToGrid w:val="0"/>
        <w:spacing w:before="240" w:line="360" w:lineRule="auto"/>
        <w:ind w:firstLine="708"/>
        <w:jc w:val="both"/>
      </w:pPr>
      <w:r>
        <w:t xml:space="preserve">El segundo caso se daría por ejemplo, si en un allanamiento se secuestran dispositivos móviles y luego el Ministerio Público accede al contenido de los mismos, sin requerir la orden de un Juez. En este caso, si bien la </w:t>
      </w:r>
      <w:r w:rsidR="00231A70">
        <w:t>F</w:t>
      </w:r>
      <w:r>
        <w:t xml:space="preserve">iscalía se hizo legalmente del secuestro del dispositivo pues, la orden de allanamiento facultaba al secuestro de dispositivos móviles, fue ilegal el acceso a la información digital, contenida en el mismo. En otras palabras, lo ilegal fue el acceso y ulterior </w:t>
      </w:r>
      <w:r w:rsidRPr="00BE6913">
        <w:t>análisis</w:t>
      </w:r>
      <w:r>
        <w:t xml:space="preserve"> de la información contenida en el dispositivo. </w:t>
      </w:r>
    </w:p>
    <w:p w:rsidR="00650FAA" w:rsidRDefault="00E27E1F">
      <w:pPr>
        <w:snapToGrid w:val="0"/>
        <w:spacing w:before="240" w:line="360" w:lineRule="auto"/>
        <w:ind w:firstLine="708"/>
        <w:jc w:val="both"/>
      </w:pPr>
      <w:r>
        <w:t xml:space="preserve">Por otro lado, teniendo en cuenta que es cada vez más frecuente que las partes de una conversación, mantenida mediante medios </w:t>
      </w:r>
      <w:r w:rsidRPr="00BE6913">
        <w:t>electrónicos</w:t>
      </w:r>
      <w:r>
        <w:t xml:space="preserve"> (por ejemplo, mails, </w:t>
      </w:r>
      <w:r w:rsidR="00231A70">
        <w:rPr>
          <w:i/>
        </w:rPr>
        <w:t>W</w:t>
      </w:r>
      <w:r>
        <w:rPr>
          <w:i/>
        </w:rPr>
        <w:t>hatApp</w:t>
      </w:r>
      <w:r>
        <w:t xml:space="preserve">, etc.), luego procuren utilizarla a fin de acreditar un hecho relevante para el proceso, analizaremos el art. 318 del </w:t>
      </w:r>
      <w:r w:rsidRPr="00BE6913">
        <w:t>Código</w:t>
      </w:r>
      <w:r>
        <w:t xml:space="preserve"> Civil y Comercial de la Nación (CCyC)</w:t>
      </w:r>
      <w:r w:rsidR="00231A70">
        <w:rPr>
          <w:rStyle w:val="Refdenotaalpie"/>
        </w:rPr>
        <w:footnoteReference w:id="56"/>
      </w:r>
      <w:r>
        <w:t xml:space="preserve">, relativo al uso de mensajes entre las partes y la interpretación que se ha hecho sobre el mismo. </w:t>
      </w:r>
    </w:p>
    <w:p w:rsidR="0036209F" w:rsidRDefault="00E27E1F" w:rsidP="0036209F">
      <w:pPr>
        <w:snapToGrid w:val="0"/>
        <w:spacing w:before="240" w:line="360" w:lineRule="auto"/>
        <w:ind w:firstLine="708"/>
        <w:jc w:val="both"/>
      </w:pPr>
      <w:r>
        <w:t xml:space="preserve">La norma </w:t>
      </w:r>
      <w:r w:rsidR="004F6E47">
        <w:t xml:space="preserve">citada </w:t>
      </w:r>
      <w:r>
        <w:t xml:space="preserve">distingue según quien pretenda utilizar la conversación sea una de las partes de la conversación (interlocutor) o un tercero (extraño). En el ultimo caso, resulta claro que el contendio del mensaje (datos de contendio) tiene protección constitucional (Art. 18 CN) y se encuentra al resguardo de terceros. En otras palabras, solo se podría acceder a dicho contenido, a </w:t>
      </w:r>
      <w:r w:rsidRPr="00663D1F">
        <w:t>través</w:t>
      </w:r>
      <w:r>
        <w:t xml:space="preserve"> de la orden de un Juez. </w:t>
      </w:r>
    </w:p>
    <w:p w:rsidR="004F6E47" w:rsidRDefault="00E27E1F" w:rsidP="0036209F">
      <w:pPr>
        <w:snapToGrid w:val="0"/>
        <w:spacing w:before="240" w:line="360" w:lineRule="auto"/>
        <w:ind w:firstLine="708"/>
        <w:jc w:val="both"/>
        <w:rPr>
          <w:color w:val="000000" w:themeColor="text1"/>
          <w:spacing w:val="15"/>
        </w:rPr>
      </w:pPr>
      <w:r>
        <w:t>Con relación al uso de la correspondencia entre las partes de una comunicación, Bielli -citando a Bueres- explica</w:t>
      </w:r>
      <w:r w:rsidR="00231A70">
        <w:t xml:space="preserve"> </w:t>
      </w:r>
      <w:r w:rsidR="00231A70" w:rsidRPr="00231A70">
        <w:rPr>
          <w:rFonts w:eastAsiaTheme="minorHAnsi"/>
          <w:lang w:val="es-ES_tradnl"/>
        </w:rPr>
        <w:t>"[…]</w:t>
      </w:r>
      <w:r>
        <w:t xml:space="preserve"> </w:t>
      </w:r>
      <w:r w:rsidR="00231A70">
        <w:t>si bien han existido reparos y discusión de la prohibición contenida en el art. 318 CCyc, es decir la relativa a la confidencialidad de la correspondencia y su imposibilidad de uso sin consentimiento del remitente, se indica que en general, y ya desde antaño, que entre las partes en litigio no hay secretos, relevando en ese aspecto, la carga de contar con la aprobación del remitente para su incorporación como prueba en juicio</w:t>
      </w:r>
      <w:r w:rsidRPr="00231A70">
        <w:rPr>
          <w:rFonts w:eastAsiaTheme="minorHAnsi"/>
          <w:color w:val="000000" w:themeColor="text1"/>
          <w:lang w:eastAsia="en-US"/>
        </w:rPr>
        <w:t>”</w:t>
      </w:r>
      <w:r w:rsidR="001B7787">
        <w:rPr>
          <w:rStyle w:val="Refdenotaalpie"/>
          <w:rFonts w:eastAsiaTheme="minorHAnsi"/>
          <w:color w:val="000000" w:themeColor="text1"/>
          <w:lang w:eastAsia="en-US"/>
        </w:rPr>
        <w:footnoteReference w:id="57"/>
      </w:r>
      <w:r w:rsidRPr="00231A70">
        <w:rPr>
          <w:color w:val="000000" w:themeColor="text1"/>
          <w:spacing w:val="15"/>
        </w:rPr>
        <w:t>.</w:t>
      </w:r>
      <w:r w:rsidR="00D40C6F">
        <w:rPr>
          <w:color w:val="000000" w:themeColor="text1"/>
          <w:spacing w:val="15"/>
        </w:rPr>
        <w:t xml:space="preserve"> </w:t>
      </w:r>
      <w:r w:rsidR="001B7787">
        <w:t>En igual sentido, se ha sostenido que</w:t>
      </w:r>
      <w:r w:rsidR="001B7787">
        <w:rPr>
          <w:color w:val="000000" w:themeColor="text1"/>
          <w:spacing w:val="15"/>
        </w:rPr>
        <w:t xml:space="preserve"> </w:t>
      </w:r>
      <w:r w:rsidR="00231A70" w:rsidRPr="00231A70">
        <w:rPr>
          <w:rFonts w:eastAsiaTheme="minorHAnsi"/>
          <w:lang w:val="es-ES_tradnl"/>
        </w:rPr>
        <w:t>"[…]</w:t>
      </w:r>
      <w:r w:rsidR="00231A70">
        <w:rPr>
          <w:rFonts w:eastAsiaTheme="minorHAnsi"/>
          <w:lang w:val="es-ES_tradnl"/>
        </w:rPr>
        <w:t xml:space="preserve"> es que si la prueba es presentada por el titular del aparato al cual se le realizó la captura y él es parte de la comunicación (remitente de algunas y destinatario de otros), no se discute su legalidad, siempre que de los textos en cuestión no surja, expresa ni implícitamente el carácter confidencial</w:t>
      </w:r>
      <w:r w:rsidR="00231A70" w:rsidRPr="00231A70">
        <w:rPr>
          <w:rFonts w:eastAsiaTheme="minorHAnsi"/>
          <w:lang w:val="es-ES_tradnl"/>
        </w:rPr>
        <w:t>”</w:t>
      </w:r>
      <w:r w:rsidR="0036209F">
        <w:rPr>
          <w:rStyle w:val="Refdenotaalpie"/>
          <w:rFonts w:eastAsiaTheme="minorHAnsi"/>
          <w:lang w:val="es-ES_tradnl"/>
        </w:rPr>
        <w:footnoteReference w:id="58"/>
      </w:r>
      <w:r w:rsidRPr="00231A70">
        <w:rPr>
          <w:color w:val="000000" w:themeColor="text1"/>
          <w:spacing w:val="15"/>
        </w:rPr>
        <w:t xml:space="preserve">. </w:t>
      </w:r>
    </w:p>
    <w:p w:rsidR="002961C8" w:rsidRDefault="004F6E47" w:rsidP="001B7787">
      <w:pPr>
        <w:snapToGrid w:val="0"/>
        <w:spacing w:before="240" w:line="360" w:lineRule="auto"/>
        <w:ind w:firstLine="708"/>
        <w:jc w:val="both"/>
        <w:rPr>
          <w:rFonts w:eastAsiaTheme="minorHAnsi"/>
          <w:lang w:val="es-ES_tradnl"/>
        </w:rPr>
      </w:pPr>
      <w:r>
        <w:t xml:space="preserve">En el mismo sentido se pronunció la Tercera Cámara </w:t>
      </w:r>
      <w:r>
        <w:rPr>
          <w:rFonts w:eastAsiaTheme="minorHAnsi"/>
          <w:lang w:val="es-ES_tradnl"/>
        </w:rPr>
        <w:t xml:space="preserve">de Apelaciones en lo civil, comercial, minas, de paz y tributario de Mendoza, al señalar que </w:t>
      </w:r>
      <w:r w:rsidR="0036209F" w:rsidRPr="00231A70">
        <w:rPr>
          <w:rFonts w:eastAsiaTheme="minorHAnsi"/>
          <w:lang w:val="es-ES_tradnl"/>
        </w:rPr>
        <w:t>"[…]</w:t>
      </w:r>
      <w:r>
        <w:rPr>
          <w:rFonts w:eastAsiaTheme="minorHAnsi"/>
          <w:lang w:val="es-ES_tradnl"/>
        </w:rPr>
        <w:t xml:space="preserve"> </w:t>
      </w:r>
      <w:r w:rsidR="0036209F">
        <w:rPr>
          <w:rFonts w:eastAsiaTheme="minorHAnsi"/>
          <w:lang w:val="es-ES_tradnl"/>
        </w:rPr>
        <w:t xml:space="preserve">conforme a los e-mails </w:t>
      </w:r>
      <w:r w:rsidR="0036209F">
        <w:rPr>
          <w:rFonts w:eastAsiaTheme="minorHAnsi"/>
          <w:lang w:val="es-ES_tradnl"/>
        </w:rPr>
        <w:lastRenderedPageBreak/>
        <w:t>y mensajes de WhatsApp fueron remitidos entre las partes en conflicto no puede sustentarse sobre ella el carácter confidencial de las mismas, pudiendo ser utilizadas en juicio por estos”</w:t>
      </w:r>
      <w:r>
        <w:rPr>
          <w:rStyle w:val="Refdenotaalpie"/>
          <w:rFonts w:eastAsiaTheme="minorHAnsi"/>
          <w:lang w:val="es-ES_tradnl"/>
        </w:rPr>
        <w:footnoteReference w:id="59"/>
      </w:r>
      <w:r w:rsidR="0036209F">
        <w:rPr>
          <w:rFonts w:eastAsiaTheme="minorHAnsi"/>
          <w:lang w:val="es-ES_tradnl"/>
        </w:rPr>
        <w:t xml:space="preserve">. </w:t>
      </w:r>
    </w:p>
    <w:p w:rsidR="00650FAA" w:rsidRDefault="002961C8" w:rsidP="001B7787">
      <w:pPr>
        <w:snapToGrid w:val="0"/>
        <w:spacing w:before="240" w:line="360" w:lineRule="auto"/>
        <w:ind w:firstLine="708"/>
        <w:jc w:val="both"/>
        <w:rPr>
          <w:rFonts w:eastAsiaTheme="minorHAnsi"/>
          <w:lang w:val="es-ES_tradnl"/>
        </w:rPr>
      </w:pPr>
      <w:r>
        <w:rPr>
          <w:rFonts w:eastAsiaTheme="minorHAnsi"/>
          <w:lang w:val="es-ES_tradnl"/>
        </w:rPr>
        <w:t>2.- La autenticidad del origen</w:t>
      </w:r>
    </w:p>
    <w:p w:rsidR="00650FAA" w:rsidRDefault="00F11132">
      <w:pPr>
        <w:snapToGrid w:val="0"/>
        <w:spacing w:before="240" w:line="360" w:lineRule="auto"/>
        <w:ind w:firstLine="708"/>
        <w:jc w:val="both"/>
        <w:rPr>
          <w:color w:val="1D3D3F"/>
          <w:spacing w:val="-8"/>
        </w:rPr>
      </w:pPr>
      <w:r>
        <w:t>La autenticidad es</w:t>
      </w:r>
      <w:r w:rsidR="00E27E1F">
        <w:t xml:space="preserve"> la correspondencia entre el autor aparente y el autor real del documento digital. </w:t>
      </w:r>
      <w:r>
        <w:t>Es decir, se debe intentar</w:t>
      </w:r>
      <w:r w:rsidR="00E27E1F">
        <w:t xml:space="preserve"> acreditar quien ha sido el autor real del mensaje</w:t>
      </w:r>
      <w:r w:rsidR="00E27E1F">
        <w:rPr>
          <w:rStyle w:val="Refdenotaalpie"/>
        </w:rPr>
        <w:footnoteReference w:id="60"/>
      </w:r>
      <w:r w:rsidR="00E27E1F">
        <w:t>.</w:t>
      </w:r>
      <w:r w:rsidRPr="00F11132">
        <w:t xml:space="preserve"> </w:t>
      </w:r>
      <w:r>
        <w:t>Por ejemplo, mediandante la identificación del número de teléfono, su usuario y el código de IMEI.</w:t>
      </w:r>
    </w:p>
    <w:p w:rsidR="00650FAA" w:rsidRDefault="00E27E1F">
      <w:pPr>
        <w:snapToGrid w:val="0"/>
        <w:spacing w:before="240" w:line="360" w:lineRule="auto"/>
        <w:ind w:firstLine="708"/>
        <w:jc w:val="both"/>
        <w:rPr>
          <w:color w:val="1D3D3F"/>
          <w:spacing w:val="-8"/>
        </w:rPr>
      </w:pPr>
      <w:r>
        <w:t xml:space="preserve">En algunos casos puede determinarse el dispositivo u ordenador del que se envía el mensaje, pero podría suceder que en el caso concreto no pueda afirmarse certeramente quien ha sido el autor, si cualquier sujeto podría acceder -vgr., teléfono móvil sin clave de acceso o computadora de un </w:t>
      </w:r>
      <w:r>
        <w:rPr>
          <w:i/>
        </w:rPr>
        <w:t>cibercafé</w:t>
      </w:r>
      <w:r>
        <w:t xml:space="preserve">- y remitirlo sin ningún problema. Esta situación impone la necesidad de demostrar la autenticidad del documento electrónico a </w:t>
      </w:r>
      <w:r w:rsidRPr="00CD11FA">
        <w:t>través</w:t>
      </w:r>
      <w:r>
        <w:t xml:space="preserve"> de otras vías complementarias: fecha de generación del documento, identificación de las personas que ingresaron a dicho dispositivo para tal fecha, etc.-.</w:t>
      </w:r>
    </w:p>
    <w:p w:rsidR="00650FAA" w:rsidRDefault="00E27E1F">
      <w:pPr>
        <w:snapToGrid w:val="0"/>
        <w:spacing w:before="240" w:line="360" w:lineRule="auto"/>
        <w:ind w:firstLine="708"/>
        <w:jc w:val="both"/>
        <w:rPr>
          <w:color w:val="1D3D3F"/>
          <w:spacing w:val="-8"/>
        </w:rPr>
      </w:pPr>
      <w:r>
        <w:rPr>
          <w:lang w:val="es-ES"/>
        </w:rPr>
        <w:t>Explica Dupuy</w:t>
      </w:r>
      <w:r>
        <w:rPr>
          <w:rStyle w:val="Refdenotaalpie"/>
          <w:lang w:val="es-ES"/>
        </w:rPr>
        <w:footnoteReference w:id="61"/>
      </w:r>
      <w:r w:rsidR="002961C8">
        <w:rPr>
          <w:lang w:val="es-ES"/>
        </w:rPr>
        <w:t>,</w:t>
      </w:r>
      <w:r>
        <w:rPr>
          <w:lang w:val="es-ES"/>
        </w:rPr>
        <w:t xml:space="preserve"> que e</w:t>
      </w:r>
      <w:r>
        <w:t>n Estados Unidos, las normas procesales federales requieren que la parte que solicita la incorporación al proceso de pruebas digitales demuestre su autenticidad</w:t>
      </w:r>
      <w:r w:rsidR="00CD11FA">
        <w:t>,</w:t>
      </w:r>
      <w:r>
        <w:t xml:space="preserve"> acreditando el respeto a la cadena de custodia</w:t>
      </w:r>
      <w:r w:rsidR="00CD11FA">
        <w:t>. E</w:t>
      </w:r>
      <w:r>
        <w:t xml:space="preserve">l incumplimiento </w:t>
      </w:r>
      <w:r w:rsidR="00CD11FA">
        <w:t>de</w:t>
      </w:r>
      <w:r>
        <w:t xml:space="preserve"> esta exigencia puede determinar la inadmisibilidad de la evidencia. </w:t>
      </w:r>
      <w:r>
        <w:rPr>
          <w:lang w:val="es-ES"/>
        </w:rPr>
        <w:t>Por tal motivo,</w:t>
      </w:r>
      <w:r w:rsidR="00CD11FA">
        <w:rPr>
          <w:lang w:val="es-ES"/>
        </w:rPr>
        <w:t xml:space="preserve"> expresa la autora, </w:t>
      </w:r>
      <w:r>
        <w:rPr>
          <w:lang w:val="es-ES"/>
        </w:rPr>
        <w:t>que en el</w:t>
      </w:r>
      <w:r>
        <w:t xml:space="preserve"> juicio es fundamental que las partes</w:t>
      </w:r>
      <w:r>
        <w:rPr>
          <w:b/>
          <w:lang w:val="es-ES"/>
        </w:rPr>
        <w:t xml:space="preserve"> </w:t>
      </w:r>
      <w:r>
        <w:t>demuestren a través de las declaraciones de</w:t>
      </w:r>
      <w:r>
        <w:rPr>
          <w:b/>
          <w:lang w:val="es-ES"/>
        </w:rPr>
        <w:t xml:space="preserve"> </w:t>
      </w:r>
      <w:r>
        <w:t>los expertos informáticos, el paso a paso y el</w:t>
      </w:r>
      <w:r>
        <w:rPr>
          <w:b/>
          <w:lang w:val="es-ES"/>
        </w:rPr>
        <w:t xml:space="preserve"> </w:t>
      </w:r>
      <w:r>
        <w:t>respeto de la cadena de custodia, con específica</w:t>
      </w:r>
      <w:r>
        <w:rPr>
          <w:b/>
          <w:lang w:val="es-ES"/>
        </w:rPr>
        <w:t xml:space="preserve"> </w:t>
      </w:r>
      <w:r>
        <w:t>y detallada referencia a las fases estudiadas.</w:t>
      </w:r>
    </w:p>
    <w:p w:rsidR="00650FAA" w:rsidRPr="0031364B" w:rsidRDefault="00E27E1F">
      <w:pPr>
        <w:snapToGrid w:val="0"/>
        <w:spacing w:before="240" w:line="360" w:lineRule="auto"/>
        <w:ind w:firstLine="708"/>
        <w:jc w:val="both"/>
        <w:rPr>
          <w:color w:val="000000" w:themeColor="text1"/>
          <w:spacing w:val="-8"/>
        </w:rPr>
      </w:pPr>
      <w:r w:rsidRPr="0031364B">
        <w:rPr>
          <w:bCs/>
          <w:color w:val="000000" w:themeColor="text1"/>
          <w:spacing w:val="-8"/>
        </w:rPr>
        <w:t>3.- La integridad e inalterabiliad del contenido</w:t>
      </w:r>
    </w:p>
    <w:p w:rsidR="00650FAA" w:rsidRDefault="00E27E1F">
      <w:pPr>
        <w:snapToGrid w:val="0"/>
        <w:spacing w:before="240" w:line="360" w:lineRule="auto"/>
        <w:ind w:firstLine="708"/>
        <w:jc w:val="both"/>
        <w:rPr>
          <w:color w:val="000000" w:themeColor="text1"/>
          <w:spacing w:val="-8"/>
        </w:rPr>
      </w:pPr>
      <w:r>
        <w:rPr>
          <w:color w:val="000000" w:themeColor="text1"/>
          <w:spacing w:val="-8"/>
        </w:rPr>
        <w:t xml:space="preserve">Este requisito se complementa con el anterior. Se debe acreditar, </w:t>
      </w:r>
      <w:r>
        <w:rPr>
          <w:color w:val="000000" w:themeColor="text1"/>
        </w:rPr>
        <w:t xml:space="preserve">a través de procedimientos específicos que el documento no ha sido alterado o modificado. </w:t>
      </w:r>
      <w:r>
        <w:rPr>
          <w:color w:val="000000" w:themeColor="text1"/>
          <w:spacing w:val="-8"/>
        </w:rPr>
        <w:t xml:space="preserve">Por ejemplo, que la conversación por </w:t>
      </w:r>
      <w:r w:rsidRPr="00CD11FA">
        <w:rPr>
          <w:color w:val="000000" w:themeColor="text1"/>
          <w:spacing w:val="-8"/>
        </w:rPr>
        <w:t>W</w:t>
      </w:r>
      <w:r w:rsidRPr="00CD11FA">
        <w:rPr>
          <w:i/>
          <w:color w:val="000000" w:themeColor="text1"/>
          <w:spacing w:val="-8"/>
        </w:rPr>
        <w:t>hatsApp</w:t>
      </w:r>
      <w:r>
        <w:rPr>
          <w:color w:val="000000" w:themeColor="text1"/>
          <w:spacing w:val="-8"/>
        </w:rPr>
        <w:t xml:space="preserve"> o el video incorporado al proceso no han sido editados o creados fraudulentamente. Si surgen sospechas sobre la autenticidad y/o integridad de los datos es muy probable que el juez termine negando la eficacia de la prueba electrónica. </w:t>
      </w:r>
    </w:p>
    <w:p w:rsidR="00650FAA" w:rsidRDefault="00E27E1F">
      <w:pPr>
        <w:snapToGrid w:val="0"/>
        <w:spacing w:before="240" w:line="360" w:lineRule="auto"/>
        <w:ind w:firstLine="708"/>
        <w:jc w:val="both"/>
        <w:rPr>
          <w:color w:val="000000" w:themeColor="text1"/>
          <w:spacing w:val="-8"/>
        </w:rPr>
      </w:pPr>
      <w:r>
        <w:rPr>
          <w:color w:val="000000" w:themeColor="text1"/>
          <w:spacing w:val="-8"/>
        </w:rPr>
        <w:t xml:space="preserve">A tal efecto resulta de suma importancia </w:t>
      </w:r>
      <w:r w:rsidRPr="00CD11FA">
        <w:rPr>
          <w:color w:val="000000" w:themeColor="text1"/>
          <w:spacing w:val="-8"/>
        </w:rPr>
        <w:t>la informática</w:t>
      </w:r>
      <w:r>
        <w:rPr>
          <w:color w:val="000000" w:themeColor="text1"/>
          <w:spacing w:val="-8"/>
        </w:rPr>
        <w:t xml:space="preserve"> forense, tal como la pericia </w:t>
      </w:r>
      <w:r w:rsidRPr="0031364B">
        <w:rPr>
          <w:color w:val="000000" w:themeColor="text1"/>
          <w:spacing w:val="-8"/>
        </w:rPr>
        <w:t>forense,</w:t>
      </w:r>
      <w:r>
        <w:rPr>
          <w:color w:val="000000" w:themeColor="text1"/>
          <w:spacing w:val="-8"/>
        </w:rPr>
        <w:t xml:space="preserve"> los terceros de confianza y otras formas tendientes a acreditar la autenticidad, integridad e inalterabilidad del documento digital. En definitiva, se trata de</w:t>
      </w:r>
      <w:r>
        <w:rPr>
          <w:b/>
          <w:bCs/>
          <w:color w:val="000000" w:themeColor="text1"/>
          <w:spacing w:val="-8"/>
        </w:rPr>
        <w:t> </w:t>
      </w:r>
      <w:r>
        <w:rPr>
          <w:bCs/>
          <w:color w:val="000000" w:themeColor="text1"/>
          <w:spacing w:val="-8"/>
        </w:rPr>
        <w:t xml:space="preserve">llevar al proceso recaudos y cautelas </w:t>
      </w:r>
      <w:r>
        <w:rPr>
          <w:color w:val="000000" w:themeColor="text1"/>
          <w:spacing w:val="-8"/>
        </w:rPr>
        <w:t>que permitan convencer al Juez o Tribunal sobre la autenticidad de la prueba electrónica aportada.</w:t>
      </w:r>
    </w:p>
    <w:p w:rsidR="00650FAA" w:rsidRDefault="0031364B" w:rsidP="0031364B">
      <w:pPr>
        <w:spacing w:line="360" w:lineRule="auto"/>
        <w:ind w:firstLine="708"/>
        <w:jc w:val="center"/>
        <w:rPr>
          <w:b/>
          <w:lang w:val="es-ES"/>
        </w:rPr>
      </w:pPr>
      <w:r>
        <w:rPr>
          <w:b/>
        </w:rPr>
        <w:lastRenderedPageBreak/>
        <w:t>V.-</w:t>
      </w:r>
      <w:r w:rsidR="00E27E1F">
        <w:rPr>
          <w:b/>
          <w:lang w:val="es-ES"/>
        </w:rPr>
        <w:t>Propuesta para el uso válido y útil de conversaciones de mensajería electrónica en el proceso penal</w:t>
      </w:r>
    </w:p>
    <w:p w:rsidR="00650FAA" w:rsidRDefault="00E27E1F">
      <w:pPr>
        <w:spacing w:line="360" w:lineRule="auto"/>
        <w:ind w:firstLine="708"/>
        <w:jc w:val="both"/>
        <w:rPr>
          <w:lang w:val="es-ES"/>
        </w:rPr>
      </w:pPr>
      <w:r>
        <w:rPr>
          <w:lang w:val="es-ES"/>
        </w:rPr>
        <w:t>Frente al desuso de la correspondencia escrita en papel</w:t>
      </w:r>
      <w:r w:rsidR="00AF24E5">
        <w:rPr>
          <w:lang w:val="es-ES"/>
        </w:rPr>
        <w:t>,</w:t>
      </w:r>
      <w:r>
        <w:rPr>
          <w:lang w:val="es-ES"/>
        </w:rPr>
        <w:t xml:space="preserve"> ha proliferado la utilización de las comunicaciones mediante soporte electrónico </w:t>
      </w:r>
      <w:r>
        <w:t xml:space="preserve">(por ejemplo, </w:t>
      </w:r>
      <w:r>
        <w:rPr>
          <w:i/>
        </w:rPr>
        <w:t>WhatsApp</w:t>
      </w:r>
      <w:r>
        <w:t xml:space="preserve">, </w:t>
      </w:r>
      <w:r>
        <w:rPr>
          <w:i/>
        </w:rPr>
        <w:t>Messenger</w:t>
      </w:r>
      <w:r>
        <w:t>, mensajes de textos, entre otros).</w:t>
      </w:r>
      <w:r>
        <w:rPr>
          <w:lang w:val="es-ES"/>
        </w:rPr>
        <w:t xml:space="preserve"> </w:t>
      </w:r>
      <w:r w:rsidR="00AF24E5">
        <w:rPr>
          <w:lang w:val="es-ES"/>
        </w:rPr>
        <w:t>A continuación</w:t>
      </w:r>
      <w:r w:rsidR="002961C8">
        <w:rPr>
          <w:lang w:val="es-ES"/>
        </w:rPr>
        <w:t>,</w:t>
      </w:r>
      <w:r w:rsidR="00AF24E5">
        <w:rPr>
          <w:lang w:val="es-ES"/>
        </w:rPr>
        <w:t xml:space="preserve"> </w:t>
      </w:r>
      <w:r>
        <w:rPr>
          <w:lang w:val="es-ES"/>
        </w:rPr>
        <w:t>nos detendremos en estas formas comunicación y su utilidad para el proceso.</w:t>
      </w:r>
    </w:p>
    <w:p w:rsidR="00650FAA" w:rsidRDefault="00E27E1F">
      <w:pPr>
        <w:spacing w:line="360" w:lineRule="auto"/>
        <w:ind w:firstLine="708"/>
        <w:jc w:val="both"/>
      </w:pPr>
      <w:r>
        <w:rPr>
          <w:lang w:val="es-ES"/>
        </w:rPr>
        <w:t>Es muy frecuente que en la praxis judicial penal las partes de un proceso, sobre todo la acusación, recurran – a los efectos de intentar acreditar los extremos de la imputación delictiva- al sistema de mensajería instantánea</w:t>
      </w:r>
      <w:r>
        <w:rPr>
          <w:i/>
        </w:rPr>
        <w:t xml:space="preserve"> WhatsApp</w:t>
      </w:r>
      <w:r>
        <w:t xml:space="preserve">, entre otros, por lo que nos detendremos en particular en su análisis probatorio. </w:t>
      </w:r>
    </w:p>
    <w:p w:rsidR="00650FAA" w:rsidRDefault="00E27E1F">
      <w:pPr>
        <w:spacing w:line="360" w:lineRule="auto"/>
        <w:ind w:firstLine="708"/>
        <w:jc w:val="both"/>
      </w:pPr>
      <w:r>
        <w:t xml:space="preserve">Así, muchas veces se limitan a aportar </w:t>
      </w:r>
      <w:r>
        <w:rPr>
          <w:i/>
          <w:lang w:val="es-ES"/>
        </w:rPr>
        <w:t>capturas de pantallas</w:t>
      </w:r>
      <w:r>
        <w:rPr>
          <w:lang w:val="es-ES"/>
        </w:rPr>
        <w:t xml:space="preserve">, por medio de una fotografía, de conversaciones mantenidas por mensajería instantánea, donde aparecen – por ejemplo- los dichos amenazantes supuestamente proferidos por un sujeto a otro. </w:t>
      </w:r>
      <w:bookmarkEnd w:id="48"/>
      <w:bookmarkEnd w:id="49"/>
      <w:bookmarkEnd w:id="50"/>
      <w:r>
        <w:rPr>
          <w:lang w:val="es-ES"/>
        </w:rPr>
        <w:t>En otras oportunidades, dicha actividad probatoria se complementa con una actuación notarial donde el escribano certifica que la hoja impresa que tiene ante sí, se corresponde con una conversación supuestamente mantenida entre dos personas.</w:t>
      </w:r>
    </w:p>
    <w:p w:rsidR="00650FAA" w:rsidRDefault="00E27E1F">
      <w:pPr>
        <w:spacing w:line="360" w:lineRule="auto"/>
        <w:ind w:firstLine="708"/>
        <w:jc w:val="both"/>
      </w:pPr>
      <w:r>
        <w:t xml:space="preserve"> Hemos señalado que en nuestro sistema rige el principio de libertad </w:t>
      </w:r>
      <w:r w:rsidRPr="00CD11FA">
        <w:t>probatoria,</w:t>
      </w:r>
      <w:r>
        <w:t xml:space="preserve"> sin embargo, también dijimos que la prueba digital es volátil y, en consecuencia, es más fácil de manipular que la evidencia física o </w:t>
      </w:r>
      <w:r w:rsidRPr="00CD11FA">
        <w:t>corpórea.</w:t>
      </w:r>
      <w:r>
        <w:t xml:space="preserve"> Es decir, puede sufrir alteraciones y supresiones.</w:t>
      </w:r>
    </w:p>
    <w:p w:rsidR="00650FAA" w:rsidRDefault="00E27E1F">
      <w:pPr>
        <w:spacing w:line="360" w:lineRule="auto"/>
        <w:ind w:firstLine="708"/>
        <w:jc w:val="both"/>
        <w:rPr>
          <w:bCs/>
          <w:lang w:val="es-ES"/>
        </w:rPr>
      </w:pPr>
      <w:r>
        <w:t xml:space="preserve">Las capturas de pantallas </w:t>
      </w:r>
      <w:r>
        <w:rPr>
          <w:bCs/>
          <w:lang w:val="es-ES"/>
        </w:rPr>
        <w:t>son fotografías de lo que exhibe la pantalla de un dispositivo digital, que se acompañan en soporte de papel o también digital.</w:t>
      </w:r>
      <w:r>
        <w:t xml:space="preserve"> </w:t>
      </w:r>
      <w:r>
        <w:rPr>
          <w:bCs/>
          <w:lang w:val="es-ES"/>
        </w:rPr>
        <w:t xml:space="preserve">Es una imagen de lo que la pantalla de un dispositivo móvil (en general un teléfono) mostró en un momento determinado. En tales condiciones, son papeles aportados por una de las partes, sin posibilidad de control por la contraria. </w:t>
      </w:r>
    </w:p>
    <w:p w:rsidR="00650FAA" w:rsidRDefault="00E27E1F">
      <w:pPr>
        <w:spacing w:line="360" w:lineRule="auto"/>
        <w:ind w:firstLine="708"/>
        <w:jc w:val="both"/>
        <w:rPr>
          <w:lang w:val="es-ES"/>
        </w:rPr>
      </w:pPr>
      <w:r>
        <w:t xml:space="preserve"> Ahora bien,</w:t>
      </w:r>
      <w:r>
        <w:rPr>
          <w:lang w:val="es-ES"/>
        </w:rPr>
        <w:t xml:space="preserve"> esas capturas generalmente son realizadas por una de las partes (denunciante o en su caso el imputado), siempre con el objetivo de intentar acreditar hechos que hacen a su teoría del caso. De esta manera, quien lo aporta lo hace con un doble objetivo: primero, acreditar la existencia de un determinado dato, por ejemplo, una comunicación que se llevó a cabo entre dos personas, a través de aplicaciones: </w:t>
      </w:r>
      <w:r>
        <w:rPr>
          <w:i/>
          <w:lang w:val="es-ES"/>
        </w:rPr>
        <w:t>WhatsApp</w:t>
      </w:r>
      <w:r>
        <w:rPr>
          <w:lang w:val="es-ES"/>
        </w:rPr>
        <w:t xml:space="preserve">, </w:t>
      </w:r>
      <w:r>
        <w:rPr>
          <w:i/>
          <w:lang w:val="es-ES"/>
        </w:rPr>
        <w:t>Telegram, Instagram, Facebook</w:t>
      </w:r>
      <w:r>
        <w:rPr>
          <w:lang w:val="es-ES"/>
        </w:rPr>
        <w:t>, etc.; y segundo, acreditar su contenido (p.ej. una frase que podría considerarse amenaza). Sin embargo, tal captura no es suficiente para probar ni una cosa ni la otra.</w:t>
      </w:r>
    </w:p>
    <w:p w:rsidR="00650FAA" w:rsidRDefault="00E27E1F">
      <w:pPr>
        <w:spacing w:line="360" w:lineRule="auto"/>
        <w:ind w:firstLine="708"/>
        <w:jc w:val="both"/>
        <w:rPr>
          <w:lang w:val="es-ES"/>
        </w:rPr>
      </w:pPr>
      <w:r>
        <w:rPr>
          <w:lang w:val="es-ES"/>
        </w:rPr>
        <w:t>De esta manera, las capturas de pantalla carecen</w:t>
      </w:r>
      <w:r>
        <w:rPr>
          <w:bCs/>
          <w:lang w:val="es-ES"/>
        </w:rPr>
        <w:t xml:space="preserve"> de eficacia probatoria y, </w:t>
      </w:r>
      <w:r>
        <w:rPr>
          <w:lang w:val="es-ES"/>
        </w:rPr>
        <w:t>presentadas en tales condiciones</w:t>
      </w:r>
      <w:r>
        <w:rPr>
          <w:bCs/>
          <w:lang w:val="es-ES"/>
        </w:rPr>
        <w:t xml:space="preserve">, son un indicio de muy baja calidad. </w:t>
      </w:r>
      <w:r>
        <w:rPr>
          <w:lang w:val="es-ES"/>
        </w:rPr>
        <w:t xml:space="preserve">Sólo muestra el nombre agendado, pero no el número de origen. </w:t>
      </w:r>
      <w:r>
        <w:t>Ejemplo, Juan</w:t>
      </w:r>
      <w:r>
        <w:rPr>
          <w:lang w:val="es-ES"/>
        </w:rPr>
        <w:t xml:space="preserve"> le pide a Pedro que le envíe un mensaje con determinado contenido (que signifique amenaza o una injuria, etc.). En la libreta de direcciones de Juan, Pedro está agendado como Carlos</w:t>
      </w:r>
      <w:r w:rsidR="00CD11FA">
        <w:rPr>
          <w:lang w:val="es-ES"/>
        </w:rPr>
        <w:t>.</w:t>
      </w:r>
      <w:r>
        <w:rPr>
          <w:lang w:val="es-ES"/>
        </w:rPr>
        <w:t xml:space="preserve"> </w:t>
      </w:r>
      <w:r w:rsidR="00CD11FA">
        <w:rPr>
          <w:lang w:val="es-ES"/>
        </w:rPr>
        <w:t>S</w:t>
      </w:r>
      <w:r>
        <w:rPr>
          <w:lang w:val="es-ES"/>
        </w:rPr>
        <w:t>i solo vemos la pantalla del teléfono de Juan, aparece que Carlos fue quien envió ese mensaje, lo cual no era cierto, pero no lo podremos verificar porque no contamos con el dispositivo</w:t>
      </w:r>
      <w:r>
        <w:rPr>
          <w:rStyle w:val="Refdenotaalpie"/>
          <w:lang w:val="es-ES"/>
        </w:rPr>
        <w:footnoteReference w:id="62"/>
      </w:r>
      <w:r>
        <w:rPr>
          <w:lang w:val="es-ES"/>
        </w:rPr>
        <w:t>.</w:t>
      </w:r>
    </w:p>
    <w:p w:rsidR="00650FAA" w:rsidRDefault="00E27E1F">
      <w:pPr>
        <w:spacing w:line="360" w:lineRule="auto"/>
        <w:ind w:firstLine="708"/>
        <w:jc w:val="both"/>
      </w:pPr>
      <w:r>
        <w:lastRenderedPageBreak/>
        <w:t xml:space="preserve">De tal manera, la prueba por excelencia para este medio será la pericia informativa, donde el experto </w:t>
      </w:r>
      <w:r w:rsidRPr="000316B7">
        <w:t>informático</w:t>
      </w:r>
      <w:r>
        <w:t xml:space="preserve"> requerirá los dispositivos utilizados, a los efectos de extraer la información y/o conversación original, certificarla y asegurar la intangibilidad de la información (cadena de custodia). Ahora bien, creemos que no debemos caer en el error de considerar que la pericia informática es el único medio probatorio -útil- para la acreditación de tal conversación. </w:t>
      </w:r>
    </w:p>
    <w:p w:rsidR="00650FAA" w:rsidRDefault="00E27E1F">
      <w:pPr>
        <w:spacing w:line="360" w:lineRule="auto"/>
        <w:ind w:firstLine="708"/>
        <w:jc w:val="both"/>
        <w:rPr>
          <w:lang w:val="es-ES"/>
        </w:rPr>
      </w:pPr>
      <w:r>
        <w:rPr>
          <w:lang w:val="es-ES"/>
        </w:rPr>
        <w:t xml:space="preserve">A continuación, nos detendremos en dos precedentes del Tribunal Supremo español que tratan sobre la evidencia digital y su valoración probatoria en el proceso penal. </w:t>
      </w:r>
    </w:p>
    <w:p w:rsidR="00650FAA" w:rsidRPr="002961C8" w:rsidRDefault="00E27E1F">
      <w:pPr>
        <w:spacing w:line="360" w:lineRule="auto"/>
        <w:ind w:firstLine="708"/>
        <w:jc w:val="both"/>
        <w:rPr>
          <w:lang w:val="es-ES"/>
        </w:rPr>
      </w:pPr>
      <w:r w:rsidRPr="002961C8">
        <w:rPr>
          <w:lang w:val="es-ES"/>
        </w:rPr>
        <w:t xml:space="preserve">1.- </w:t>
      </w:r>
      <w:r w:rsidRPr="002961C8">
        <w:rPr>
          <w:bCs/>
        </w:rPr>
        <w:t>S</w:t>
      </w:r>
      <w:r w:rsidR="00AF24E5" w:rsidRPr="002961C8">
        <w:rPr>
          <w:bCs/>
        </w:rPr>
        <w:t>TS</w:t>
      </w:r>
      <w:r w:rsidRPr="002961C8">
        <w:rPr>
          <w:bCs/>
        </w:rPr>
        <w:t xml:space="preserve"> 300/2015</w:t>
      </w:r>
      <w:r w:rsidRPr="002961C8">
        <w:rPr>
          <w:rStyle w:val="Refdenotaalpie"/>
          <w:bCs/>
        </w:rPr>
        <w:footnoteReference w:id="63"/>
      </w:r>
    </w:p>
    <w:p w:rsidR="00650FAA" w:rsidRDefault="00E27E1F">
      <w:pPr>
        <w:spacing w:line="360" w:lineRule="auto"/>
        <w:ind w:firstLine="708"/>
        <w:jc w:val="both"/>
        <w:rPr>
          <w:color w:val="000000" w:themeColor="text1"/>
          <w:spacing w:val="-8"/>
        </w:rPr>
      </w:pPr>
      <w:r>
        <w:rPr>
          <w:lang w:val="es-ES"/>
        </w:rPr>
        <w:t xml:space="preserve">En esta sentencia el alto Tribunal sentó como doctrina que, </w:t>
      </w:r>
      <w:r>
        <w:rPr>
          <w:color w:val="000000" w:themeColor="text1"/>
          <w:spacing w:val="-8"/>
        </w:rPr>
        <w:t>en caso de impugnarse la autenticidad de conversaciones (mantenida por vía electrónica, que en el caso eran</w:t>
      </w:r>
      <w:r w:rsidR="00AF24E5">
        <w:rPr>
          <w:color w:val="000000" w:themeColor="text1"/>
          <w:spacing w:val="-8"/>
        </w:rPr>
        <w:t xml:space="preserve"> </w:t>
      </w:r>
      <w:r w:rsidR="00AF24E5">
        <w:rPr>
          <w:lang w:val="es-ES"/>
        </w:rPr>
        <w:t xml:space="preserve">“pantallazos” </w:t>
      </w:r>
      <w:r>
        <w:rPr>
          <w:lang w:val="es-ES"/>
        </w:rPr>
        <w:t xml:space="preserve">de una charla mantenida a través de la red social </w:t>
      </w:r>
      <w:r>
        <w:rPr>
          <w:i/>
          <w:lang w:val="es-ES"/>
        </w:rPr>
        <w:t>Tuenti</w:t>
      </w:r>
      <w:r>
        <w:rPr>
          <w:rStyle w:val="Refdenotaalpie"/>
          <w:i/>
          <w:lang w:val="es-ES"/>
        </w:rPr>
        <w:footnoteReference w:id="64"/>
      </w:r>
      <w:r>
        <w:rPr>
          <w:color w:val="000000" w:themeColor="text1"/>
          <w:spacing w:val="-8"/>
        </w:rPr>
        <w:t xml:space="preserve">), se desplaza la carga de la prueba hacia quien pretende darle valor, señalando la importancia de una prueba pericial que identifique el origen, identidad de los interlocutores e integridad de su contenido. </w:t>
      </w:r>
    </w:p>
    <w:p w:rsidR="00650FAA" w:rsidRDefault="00E27E1F">
      <w:pPr>
        <w:spacing w:line="360" w:lineRule="auto"/>
        <w:ind w:firstLine="708"/>
        <w:jc w:val="both"/>
        <w:rPr>
          <w:lang w:val="es-ES"/>
        </w:rPr>
      </w:pPr>
      <w:r>
        <w:rPr>
          <w:lang w:val="es-ES"/>
        </w:rPr>
        <w:t xml:space="preserve">En efecto, el Tribunal sostuvo </w:t>
      </w:r>
      <w:r>
        <w:rPr>
          <w:rFonts w:eastAsiaTheme="minorHAnsi"/>
          <w:lang w:eastAsia="en-US"/>
        </w:rPr>
        <w:t>“</w:t>
      </w:r>
      <w:r w:rsidR="002961C8" w:rsidRPr="00231A70">
        <w:rPr>
          <w:rFonts w:eastAsiaTheme="minorHAnsi"/>
          <w:lang w:val="es-ES_tradnl"/>
        </w:rPr>
        <w:t>[</w:t>
      </w:r>
      <w:r w:rsidR="002961C8">
        <w:rPr>
          <w:rFonts w:eastAsiaTheme="minorHAnsi"/>
          <w:lang w:val="es-ES_tradnl"/>
        </w:rPr>
        <w:t>r</w:t>
      </w:r>
      <w:r w:rsidR="002961C8" w:rsidRPr="00231A70">
        <w:rPr>
          <w:rFonts w:eastAsiaTheme="minorHAnsi"/>
          <w:lang w:val="es-ES_tradnl"/>
        </w:rPr>
        <w:t>]</w:t>
      </w:r>
      <w:r w:rsidRPr="000316B7">
        <w:t>especto</w:t>
      </w:r>
      <w:r>
        <w:t xml:space="preserve"> a la queja sobre la falta de autenticidad del diálogo mantenido por Ana María con Constancio a través de </w:t>
      </w:r>
      <w:r>
        <w:rPr>
          <w:i/>
        </w:rPr>
        <w:t>Tuenti</w:t>
      </w:r>
      <w:r>
        <w:t>, la Sala quiere puntualizar una idea básica. Y es que la prueba de una comunicación bidireccional mediante cualquiera de los múltiples sistemas de mensajería instantánea debe ser abordada con todas las cautelas. La posibilidad de una manipulación de los archivos digitales mediante los que se materializa ese intercambio de ideas, forma parte de la realidad de las cosas. El anonimato que autorizan tales sistemas y la libre creación de cuentas con una identidad fingida, hacen perfectamente posible aparentar una comunicación en la que un único usuario se relaciona consigo mismo. De ahí que la impugnación de la autenticidad de cualquiera de esas conversaciones, cuando son aportadas a la causa mediante archivos de impresión, desplaza la carga de la prueba hacia quien pretende aprovechar su idoneidad probatoria. Será indispensable en tal caso la práctica de una prueba pericial que identifique el verdadero origen de esa comunicación, la identidad de los interlocutores y, en fin, la integridad de su contenido</w:t>
      </w:r>
      <w:r>
        <w:rPr>
          <w:i/>
          <w:iCs/>
          <w:color w:val="000000" w:themeColor="text1"/>
          <w:spacing w:val="-8"/>
          <w:shd w:val="clear" w:color="auto" w:fill="FFFFFF"/>
        </w:rPr>
        <w:t xml:space="preserve">” . </w:t>
      </w:r>
    </w:p>
    <w:p w:rsidR="00650FAA" w:rsidRDefault="00E27E1F">
      <w:pPr>
        <w:spacing w:line="360" w:lineRule="auto"/>
        <w:ind w:firstLine="708"/>
        <w:jc w:val="both"/>
        <w:rPr>
          <w:lang w:val="es-ES"/>
        </w:rPr>
      </w:pPr>
      <w:r>
        <w:rPr>
          <w:lang w:val="es-ES"/>
        </w:rPr>
        <w:t>Bueno de la Mata</w:t>
      </w:r>
      <w:r>
        <w:rPr>
          <w:rStyle w:val="Refdenotaalpie"/>
          <w:lang w:val="es-ES"/>
        </w:rPr>
        <w:footnoteReference w:id="65"/>
      </w:r>
      <w:r>
        <w:rPr>
          <w:lang w:val="es-ES"/>
        </w:rPr>
        <w:t xml:space="preserve">, sin cuestionar el sentido del fallo, ni discutir la veracidad de los hechos acaecidos, efectúa algunas criticas a la sentencia. </w:t>
      </w:r>
    </w:p>
    <w:p w:rsidR="00650FAA" w:rsidRDefault="000316B7">
      <w:pPr>
        <w:spacing w:line="360" w:lineRule="auto"/>
        <w:ind w:firstLine="708"/>
        <w:jc w:val="both"/>
      </w:pPr>
      <w:r w:rsidRPr="000316B7">
        <w:rPr>
          <w:b/>
          <w:lang w:val="es-ES"/>
        </w:rPr>
        <w:t>a.-</w:t>
      </w:r>
      <w:r>
        <w:rPr>
          <w:lang w:val="es-ES"/>
        </w:rPr>
        <w:t xml:space="preserve"> </w:t>
      </w:r>
      <w:r w:rsidR="00E27E1F">
        <w:rPr>
          <w:lang w:val="es-ES"/>
        </w:rPr>
        <w:t>En primer lugar, señala que la sentencia posee contradicciones internas entre sus fundamentos. A tal efecto, el</w:t>
      </w:r>
      <w:r w:rsidR="00E27E1F">
        <w:t xml:space="preserve"> autor expresa que el TS adopta una posición bastante contradictoria entre las valoraciones globales e iniciales que realiza sobre este tipo de pruebas electrónicas y la admisión posterior que realiza de estas conversaciones motivada en una serie </w:t>
      </w:r>
      <w:r w:rsidR="00E27E1F">
        <w:lastRenderedPageBreak/>
        <w:t>de actuaciones, basadas en la supuesta buena fe de la parte proponente de la prueba (representante de la víctima), pero que pueden denotar debilidades procedimentales a nivel técnico.</w:t>
      </w:r>
    </w:p>
    <w:p w:rsidR="00650FAA" w:rsidRDefault="00E27E1F">
      <w:pPr>
        <w:spacing w:line="360" w:lineRule="auto"/>
        <w:ind w:firstLine="708"/>
        <w:jc w:val="both"/>
      </w:pPr>
      <w:r>
        <w:t>A tal efecto y, a fin de explicar dicha contradicción señala</w:t>
      </w:r>
      <w:r>
        <w:rPr>
          <w:rFonts w:ascii="AppleSystemUIFont" w:eastAsiaTheme="minorHAnsi" w:hAnsi="AppleSystemUIFont" w:cs="AppleSystemUIFont"/>
          <w:sz w:val="26"/>
          <w:szCs w:val="26"/>
          <w:lang w:eastAsia="en-US"/>
        </w:rPr>
        <w:t xml:space="preserve"> </w:t>
      </w:r>
      <w:r w:rsidR="002961C8" w:rsidRPr="002961C8">
        <w:rPr>
          <w:rFonts w:eastAsiaTheme="minorHAnsi"/>
          <w:lang w:eastAsia="en-US"/>
        </w:rPr>
        <w:t xml:space="preserve">que </w:t>
      </w:r>
      <w:r>
        <w:rPr>
          <w:rFonts w:eastAsiaTheme="minorHAnsi"/>
          <w:lang w:eastAsia="en-US"/>
        </w:rPr>
        <w:t>“[</w:t>
      </w:r>
      <w:r w:rsidR="002961C8">
        <w:rPr>
          <w:rFonts w:eastAsiaTheme="minorHAnsi"/>
          <w:lang w:eastAsia="en-US"/>
        </w:rPr>
        <w:t>e</w:t>
      </w:r>
      <w:r>
        <w:rPr>
          <w:rFonts w:eastAsiaTheme="minorHAnsi"/>
          <w:lang w:eastAsia="en-US"/>
        </w:rPr>
        <w:t>]</w:t>
      </w:r>
      <w:r>
        <w:t xml:space="preserve">sta postura colisiona frontalmente con las advertencias dadas al principio de la sentencia, pues realmente el juzgador no aplica ninguna cautela a la hora de admitir este tipo de prueba. Igualmente, admitir una digitalización indirecta o incluso un pantallazo sin ni siquiera adjuntar un archivo de sellado de tiempo genera cierta inseguridad. Esta afirmación viene motivada en razón a que tal y como reconoce el TS, la manipulación de este tipo de evidencias resulta relativamente fácil para personas con ciertos conocimientos tecnólogicos. Si a esto le sumamos que muchas aplicaciones como </w:t>
      </w:r>
      <w:r>
        <w:rPr>
          <w:i/>
        </w:rPr>
        <w:t>WhatssApp</w:t>
      </w:r>
      <w:r>
        <w:t xml:space="preserve"> o </w:t>
      </w:r>
      <w:r>
        <w:rPr>
          <w:i/>
        </w:rPr>
        <w:t xml:space="preserve">Telegram </w:t>
      </w:r>
      <w:r>
        <w:t xml:space="preserve">o en redes sociales como </w:t>
      </w:r>
      <w:r>
        <w:rPr>
          <w:i/>
        </w:rPr>
        <w:t>Facebook</w:t>
      </w:r>
      <w:r>
        <w:t xml:space="preserve"> o </w:t>
      </w:r>
      <w:r>
        <w:rPr>
          <w:i/>
        </w:rPr>
        <w:t>Tuenti</w:t>
      </w:r>
      <w:r>
        <w:t xml:space="preserve">, es muy sencillo borrar partes de la conversación o incluso, remitir mensajes de otras cuentas de correo por una misma persona y simular conversaciones falsas </w:t>
      </w:r>
      <w:r>
        <w:rPr>
          <w:rFonts w:eastAsiaTheme="minorHAnsi"/>
          <w:lang w:eastAsia="en-US"/>
        </w:rPr>
        <w:t>[…]”.</w:t>
      </w:r>
    </w:p>
    <w:p w:rsidR="00650FAA" w:rsidRDefault="00E27E1F">
      <w:pPr>
        <w:spacing w:line="360" w:lineRule="auto"/>
        <w:ind w:firstLine="708"/>
        <w:jc w:val="both"/>
      </w:pPr>
      <w:r>
        <w:t xml:space="preserve">Creemos que el autor lleva la razón pues, por un lado el TS establece que en caso de impugnarse la autenticidad de las conversaciones </w:t>
      </w:r>
      <w:r w:rsidRPr="000316B7">
        <w:t>electrónicas</w:t>
      </w:r>
      <w:r>
        <w:t xml:space="preserve">, se desplaza la carga de la prueba hacia quien pretende darle valor, </w:t>
      </w:r>
      <w:r w:rsidRPr="000316B7">
        <w:t>otorgándole</w:t>
      </w:r>
      <w:r>
        <w:t xml:space="preserve"> vital importancia a la prueba pericial. Por otro lado, las capturas con las que se pretendía acreditar dichas conversaciones virtuales, fueron impugnadas, no se logró la realización de una pericia informática, ni se llevó a cabo ninguna diligencia o cautela a fin de acreditar la autenticidad e integridad de la comunicación. Sin embargo, el TS homologó la sentencia que condenó al imputado y le dio pleno valor a dicha prueba</w:t>
      </w:r>
      <w:r>
        <w:rPr>
          <w:color w:val="000000" w:themeColor="text1"/>
        </w:rPr>
        <w:t xml:space="preserve">. </w:t>
      </w:r>
    </w:p>
    <w:p w:rsidR="00650FAA" w:rsidRPr="00275323" w:rsidRDefault="00E27E1F">
      <w:pPr>
        <w:spacing w:line="360" w:lineRule="auto"/>
        <w:ind w:firstLine="708"/>
        <w:jc w:val="both"/>
        <w:rPr>
          <w:lang w:val="es-ES"/>
        </w:rPr>
      </w:pPr>
      <w:r w:rsidRPr="00275323">
        <w:rPr>
          <w:b/>
          <w:lang w:val="es-ES"/>
        </w:rPr>
        <w:t>b.-</w:t>
      </w:r>
      <w:r w:rsidRPr="00275323">
        <w:rPr>
          <w:lang w:val="es-ES"/>
        </w:rPr>
        <w:t xml:space="preserve"> Por otro lado, destaca que el Tribunal adoptó una postura muy estricta pues, allí se dijo que, en caso de impugnación, es ineludible recurrir a la pericial informática, con el consiguiente riesgo de encarecer y demorar los procesos.  </w:t>
      </w:r>
    </w:p>
    <w:p w:rsidR="00650FAA" w:rsidRPr="00275323" w:rsidRDefault="00E27E1F">
      <w:pPr>
        <w:spacing w:line="360" w:lineRule="auto"/>
        <w:ind w:firstLine="708"/>
        <w:jc w:val="both"/>
        <w:rPr>
          <w:color w:val="000000" w:themeColor="text1"/>
        </w:rPr>
      </w:pPr>
      <w:r w:rsidRPr="00275323">
        <w:t xml:space="preserve">En este sentido el autor expresa </w:t>
      </w:r>
      <w:r w:rsidRPr="00275323">
        <w:rPr>
          <w:rFonts w:eastAsiaTheme="minorHAnsi"/>
          <w:lang w:eastAsia="en-US"/>
        </w:rPr>
        <w:t xml:space="preserve">“ […] </w:t>
      </w:r>
      <w:r w:rsidRPr="00275323">
        <w:rPr>
          <w:color w:val="000000" w:themeColor="text1"/>
        </w:rPr>
        <w:t>nos mostramos en desacuerdo con la sentencia del TS al dar como única opción posible el recurso a la pericial informática en estos casos, ya que el tribunal defiende que si la contraparte procede a la impugnación, la parte a la que se le impugna la evidencia deberá probar que el material probatorio es veraz a través de un peritaje electrónico que identifique el verdadero origen de esa comunicación, la identidad de los interlocutores y, en fin, la integridad de su contenido</w:t>
      </w:r>
      <w:r w:rsidRPr="00275323">
        <w:rPr>
          <w:rFonts w:eastAsiaTheme="minorHAnsi"/>
          <w:sz w:val="26"/>
          <w:szCs w:val="26"/>
          <w:lang w:eastAsia="en-US"/>
        </w:rPr>
        <w:t>”</w:t>
      </w:r>
      <w:r w:rsidRPr="00275323">
        <w:rPr>
          <w:color w:val="000000" w:themeColor="text1"/>
        </w:rPr>
        <w:t xml:space="preserve">. </w:t>
      </w:r>
    </w:p>
    <w:p w:rsidR="00650FAA" w:rsidRDefault="00E27E1F">
      <w:pPr>
        <w:spacing w:line="360" w:lineRule="auto"/>
        <w:ind w:firstLine="708"/>
        <w:jc w:val="both"/>
        <w:rPr>
          <w:color w:val="000000" w:themeColor="text1"/>
        </w:rPr>
      </w:pPr>
      <w:r>
        <w:rPr>
          <w:color w:val="000000" w:themeColor="text1"/>
        </w:rPr>
        <w:t xml:space="preserve">Pensamos que con esta afirmación tan rotunda </w:t>
      </w:r>
      <w:r>
        <w:rPr>
          <w:rFonts w:eastAsiaTheme="minorHAnsi"/>
          <w:lang w:eastAsia="en-US"/>
        </w:rPr>
        <w:t>(en todos los casos debe acudirse a la pericia informática)</w:t>
      </w:r>
      <w:r>
        <w:rPr>
          <w:color w:val="000000" w:themeColor="text1"/>
        </w:rPr>
        <w:t xml:space="preserve">, desembocaríamos ante un proceso no solo más costoso sino también mucho más lento. Sin embargo, veremos que en la </w:t>
      </w:r>
      <w:r w:rsidR="002961C8">
        <w:rPr>
          <w:color w:val="000000" w:themeColor="text1"/>
        </w:rPr>
        <w:t>STS</w:t>
      </w:r>
      <w:r>
        <w:rPr>
          <w:color w:val="000000" w:themeColor="text1"/>
        </w:rPr>
        <w:t xml:space="preserve"> 777</w:t>
      </w:r>
      <w:r>
        <w:rPr>
          <w:b/>
          <w:bCs/>
          <w:iCs/>
        </w:rPr>
        <w:t>/</w:t>
      </w:r>
      <w:r>
        <w:rPr>
          <w:bCs/>
          <w:iCs/>
        </w:rPr>
        <w:t>22</w:t>
      </w:r>
      <w:r w:rsidR="00275323">
        <w:rPr>
          <w:bCs/>
          <w:iCs/>
        </w:rPr>
        <w:t xml:space="preserve"> del TS</w:t>
      </w:r>
      <w:r>
        <w:rPr>
          <w:bCs/>
          <w:iCs/>
        </w:rPr>
        <w:t>, dicha postura se flexibiliza</w:t>
      </w:r>
      <w:r>
        <w:t xml:space="preserve">. </w:t>
      </w:r>
    </w:p>
    <w:p w:rsidR="00650FAA" w:rsidRDefault="00E27E1F">
      <w:pPr>
        <w:spacing w:line="360" w:lineRule="auto"/>
        <w:ind w:firstLine="708"/>
        <w:jc w:val="both"/>
        <w:rPr>
          <w:highlight w:val="yellow"/>
        </w:rPr>
      </w:pPr>
      <w:r>
        <w:rPr>
          <w:b/>
          <w:color w:val="000000" w:themeColor="text1"/>
        </w:rPr>
        <w:t>c.-</w:t>
      </w:r>
      <w:r>
        <w:rPr>
          <w:color w:val="000000" w:themeColor="text1"/>
        </w:rPr>
        <w:t xml:space="preserve"> Por último, el autor concluye que la sentencia ha tenido más </w:t>
      </w:r>
      <w:r>
        <w:t>repercusión mediática que jurídica. Así, considera que dicha resolución debió contemplar algunas referencias a otras técnicas para preservar las fuentes de prueba electrónica</w:t>
      </w:r>
      <w:r w:rsidR="00275323" w:rsidRPr="00275323">
        <w:rPr>
          <w:rFonts w:eastAsiaTheme="minorHAnsi"/>
          <w:sz w:val="26"/>
          <w:szCs w:val="26"/>
          <w:lang w:val="es-ES_tradnl"/>
        </w:rPr>
        <w:t>;</w:t>
      </w:r>
      <w:r w:rsidR="00275323">
        <w:rPr>
          <w:rFonts w:eastAsiaTheme="minorHAnsi"/>
          <w:sz w:val="26"/>
          <w:szCs w:val="26"/>
          <w:lang w:val="es-ES_tradnl"/>
        </w:rPr>
        <w:t xml:space="preserve"> </w:t>
      </w:r>
      <w:r>
        <w:t xml:space="preserve">es decir, haber realizado una referencia mucho más amplia a </w:t>
      </w:r>
      <w:r>
        <w:rPr>
          <w:color w:val="000000" w:themeColor="text1"/>
        </w:rPr>
        <w:t>técnicas de aseguramiento de prueba.</w:t>
      </w:r>
      <w:r>
        <w:t xml:space="preserve"> </w:t>
      </w:r>
    </w:p>
    <w:p w:rsidR="00650FAA" w:rsidRDefault="00E27E1F">
      <w:pPr>
        <w:spacing w:line="360" w:lineRule="auto"/>
        <w:ind w:firstLine="708"/>
        <w:jc w:val="both"/>
      </w:pPr>
      <w:r>
        <w:t>En otras palabras, en lugar de limitarse solo a la pericia informática, debió abordar de forma más exhaustiva la presentación de pruebas electrónicas en el proceso, haciendo referencia a otros criterios de autenticación e incorporación, por ejemplo, la aportación de</w:t>
      </w:r>
      <w:r w:rsidR="00275323">
        <w:t xml:space="preserve"> </w:t>
      </w:r>
      <w:r>
        <w:t xml:space="preserve">al </w:t>
      </w:r>
      <w:r>
        <w:lastRenderedPageBreak/>
        <w:t xml:space="preserve">menos un </w:t>
      </w:r>
      <w:r>
        <w:rPr>
          <w:i/>
        </w:rPr>
        <w:t>software</w:t>
      </w:r>
      <w:r>
        <w:t xml:space="preserve"> que garantice la autoría de esas conversaciones y de que las pruebas no han sido manipuladas</w:t>
      </w:r>
      <w:r>
        <w:rPr>
          <w:rStyle w:val="Refdenotaalpie"/>
        </w:rPr>
        <w:footnoteReference w:id="66"/>
      </w:r>
      <w:r>
        <w:t>.</w:t>
      </w:r>
    </w:p>
    <w:p w:rsidR="00650FAA" w:rsidRPr="00C8085D" w:rsidRDefault="00E27E1F">
      <w:pPr>
        <w:spacing w:line="360" w:lineRule="auto"/>
        <w:ind w:firstLine="708"/>
        <w:jc w:val="both"/>
        <w:rPr>
          <w:bCs/>
          <w:iCs/>
        </w:rPr>
      </w:pPr>
      <w:r w:rsidRPr="00C8085D">
        <w:rPr>
          <w:lang w:val="es-ES"/>
        </w:rPr>
        <w:t xml:space="preserve">2.- </w:t>
      </w:r>
      <w:r w:rsidR="002961C8" w:rsidRPr="00C8085D">
        <w:rPr>
          <w:bCs/>
        </w:rPr>
        <w:t xml:space="preserve">STS </w:t>
      </w:r>
      <w:r w:rsidRPr="00C8085D">
        <w:rPr>
          <w:bCs/>
          <w:iCs/>
        </w:rPr>
        <w:t>777/2022</w:t>
      </w:r>
      <w:r w:rsidRPr="00C8085D">
        <w:rPr>
          <w:rStyle w:val="Refdenotaalpie"/>
          <w:bCs/>
          <w:iCs/>
        </w:rPr>
        <w:footnoteReference w:id="67"/>
      </w:r>
    </w:p>
    <w:p w:rsidR="00650FAA" w:rsidRDefault="00E27E1F">
      <w:pPr>
        <w:spacing w:line="360" w:lineRule="auto"/>
        <w:ind w:firstLine="708"/>
        <w:jc w:val="both"/>
        <w:rPr>
          <w:lang w:val="es-ES"/>
        </w:rPr>
      </w:pPr>
      <w:r>
        <w:rPr>
          <w:lang w:val="es-ES"/>
        </w:rPr>
        <w:t xml:space="preserve">En este caso la defensa interpuso recurso de casación contra la sentencia condenatoria y trajo a </w:t>
      </w:r>
      <w:r>
        <w:rPr>
          <w:rFonts w:eastAsiaTheme="minorHAnsi"/>
          <w:color w:val="000000"/>
          <w:lang w:eastAsia="en-US"/>
        </w:rPr>
        <w:t xml:space="preserve">colación la </w:t>
      </w:r>
      <w:r w:rsidR="002961C8">
        <w:rPr>
          <w:rFonts w:eastAsiaTheme="minorHAnsi"/>
          <w:color w:val="000000"/>
          <w:lang w:eastAsia="en-US"/>
        </w:rPr>
        <w:t>STS</w:t>
      </w:r>
      <w:r>
        <w:rPr>
          <w:rFonts w:eastAsiaTheme="minorHAnsi"/>
          <w:color w:val="000000"/>
          <w:lang w:eastAsia="en-US"/>
        </w:rPr>
        <w:t xml:space="preserve"> 300/2015, de fecha 19 de mayo, acerca del valor de los </w:t>
      </w:r>
      <w:r>
        <w:rPr>
          <w:rFonts w:eastAsiaTheme="minorHAnsi"/>
          <w:i/>
          <w:iCs/>
          <w:color w:val="000000"/>
          <w:lang w:eastAsia="en-US"/>
        </w:rPr>
        <w:t>pantallazos</w:t>
      </w:r>
      <w:r>
        <w:rPr>
          <w:rFonts w:eastAsiaTheme="minorHAnsi"/>
          <w:color w:val="000000"/>
          <w:lang w:eastAsia="en-US"/>
        </w:rPr>
        <w:t xml:space="preserve"> de conversaciones mantenidas en redes sociales o sistemas de mensajería cuando su realidad es negada por alguno de los interlocutores</w:t>
      </w:r>
      <w:r>
        <w:rPr>
          <w:rStyle w:val="Refdenotaalpie"/>
          <w:rFonts w:eastAsiaTheme="minorHAnsi"/>
          <w:color w:val="000000"/>
          <w:lang w:eastAsia="en-US"/>
        </w:rPr>
        <w:footnoteReference w:id="68"/>
      </w:r>
      <w:r>
        <w:rPr>
          <w:rFonts w:eastAsiaTheme="minorHAnsi"/>
          <w:color w:val="000000"/>
          <w:lang w:eastAsia="en-US"/>
        </w:rPr>
        <w:t>.</w:t>
      </w:r>
    </w:p>
    <w:p w:rsidR="00650FAA" w:rsidRDefault="00E27E1F">
      <w:pPr>
        <w:spacing w:line="360" w:lineRule="auto"/>
        <w:ind w:firstLine="708"/>
        <w:jc w:val="both"/>
        <w:rPr>
          <w:lang w:val="es-ES"/>
        </w:rPr>
      </w:pPr>
      <w:r>
        <w:rPr>
          <w:iCs/>
          <w:color w:val="000000" w:themeColor="text1"/>
          <w:spacing w:val="-8"/>
          <w:shd w:val="clear" w:color="auto" w:fill="FFFFFF"/>
        </w:rPr>
        <w:t>Frente a tal agravio el TS respondió que no siempre resulta exigible el dictamen pericial.</w:t>
      </w:r>
      <w:r>
        <w:rPr>
          <w:i/>
          <w:iCs/>
          <w:color w:val="000000" w:themeColor="text1"/>
          <w:spacing w:val="-8"/>
          <w:shd w:val="clear" w:color="auto" w:fill="FFFFFF"/>
        </w:rPr>
        <w:t xml:space="preserve"> </w:t>
      </w:r>
      <w:r>
        <w:rPr>
          <w:rFonts w:eastAsiaTheme="minorHAnsi"/>
          <w:color w:val="000000"/>
          <w:lang w:eastAsia="en-US"/>
        </w:rPr>
        <w:t xml:space="preserve">Las conversaciones de </w:t>
      </w:r>
      <w:r>
        <w:rPr>
          <w:rFonts w:eastAsiaTheme="minorHAnsi"/>
          <w:i/>
          <w:color w:val="000000"/>
          <w:lang w:eastAsia="en-US"/>
        </w:rPr>
        <w:t>WhatsApp</w:t>
      </w:r>
      <w:r>
        <w:rPr>
          <w:rFonts w:eastAsiaTheme="minorHAnsi"/>
          <w:color w:val="000000"/>
          <w:lang w:eastAsia="en-US"/>
        </w:rPr>
        <w:t xml:space="preserve"> sin dictamen pericial pueden considerarse auténticas, siempre y cuando existan en la causa otros elementos que aseveren la comunicación y descarten cualquier tipo de duda.</w:t>
      </w:r>
    </w:p>
    <w:p w:rsidR="00650FAA" w:rsidRDefault="00E27E1F">
      <w:pPr>
        <w:spacing w:line="360" w:lineRule="auto"/>
        <w:ind w:firstLine="708"/>
        <w:jc w:val="both"/>
        <w:rPr>
          <w:rFonts w:eastAsiaTheme="minorHAnsi"/>
          <w:color w:val="000000"/>
          <w:lang w:eastAsia="en-US"/>
        </w:rPr>
      </w:pPr>
      <w:r>
        <w:rPr>
          <w:rFonts w:eastAsiaTheme="minorHAnsi"/>
          <w:color w:val="000000"/>
          <w:lang w:eastAsia="en-US"/>
        </w:rPr>
        <w:t xml:space="preserve">Allí el tribunal, retomó la línea argumental de la sentencia de núm. 300/2015, y dijo </w:t>
      </w:r>
    </w:p>
    <w:p w:rsidR="00650FAA" w:rsidRDefault="00E27E1F" w:rsidP="00C8085D">
      <w:pPr>
        <w:spacing w:line="360" w:lineRule="auto"/>
        <w:jc w:val="both"/>
        <w:rPr>
          <w:rFonts w:eastAsiaTheme="minorHAnsi"/>
          <w:color w:val="000000"/>
          <w:lang w:eastAsia="en-US"/>
        </w:rPr>
      </w:pPr>
      <w:r>
        <w:t>"</w:t>
      </w:r>
      <w:r>
        <w:rPr>
          <w:rFonts w:eastAsiaTheme="minorHAnsi"/>
          <w:lang w:eastAsia="en-US"/>
        </w:rPr>
        <w:t>[…]</w:t>
      </w:r>
      <w:r>
        <w:rPr>
          <w:rFonts w:eastAsiaTheme="minorHAnsi"/>
          <w:sz w:val="20"/>
          <w:szCs w:val="20"/>
          <w:lang w:eastAsia="en-US"/>
        </w:rPr>
        <w:t xml:space="preserve"> </w:t>
      </w:r>
      <w:r>
        <w:rPr>
          <w:rFonts w:eastAsiaTheme="minorHAnsi"/>
          <w:color w:val="000000"/>
          <w:lang w:eastAsia="en-US"/>
        </w:rPr>
        <w:t>en efecto, en aquella resolución nos pronunciamos acerca del valor probatorio de los documentos impresos que reflejaban conversaciones telemáticas mantenidas entre dos o más interlocutores. Decíamos entonces: "... la prueba de una comunicación bidireccional mediante cualquiera de los múltiples sistemas de mensajería instantánea debe ser abordada con todas las cautelas. La posibilidad de una manipulación de los archivos digitales mediante los que se materializa ese intercambio de ideas forma parte de la realidad de las cosas. El anonimato que autorizan tales sistemas y la libre creación de cuentas con una identidad fingida, hacen perfectamente posible aparentar una comunicación en la que un único usuario se relaciona consigo mismo. De ahí que la impugnación de la autenticidad de cualquiera de esas conversaciones, cuando son aportadas a la causa mediante archivos de impresión, desplaza la carga de la prueba hacia quien pretende aprovechar su idoneidad probatoria. Será indispensable en tal caso la práctica de una prueba pericial que identifique el verdadero origen de esa comunicación, la identidad de los interlocutores y, en fin, la integridad de su contenido".</w:t>
      </w:r>
    </w:p>
    <w:p w:rsidR="00650FAA" w:rsidRDefault="00E27E1F">
      <w:pPr>
        <w:spacing w:line="360" w:lineRule="auto"/>
        <w:ind w:firstLine="708"/>
        <w:jc w:val="both"/>
        <w:rPr>
          <w:rFonts w:eastAsiaTheme="minorHAnsi"/>
          <w:color w:val="000000"/>
          <w:lang w:eastAsia="en-US"/>
        </w:rPr>
      </w:pPr>
      <w:r>
        <w:rPr>
          <w:rFonts w:eastAsiaTheme="minorHAnsi"/>
          <w:color w:val="000000"/>
          <w:lang w:eastAsia="en-US"/>
        </w:rPr>
        <w:t xml:space="preserve">Luego señala </w:t>
      </w:r>
      <w:r>
        <w:t>"</w:t>
      </w:r>
      <w:r>
        <w:rPr>
          <w:rFonts w:eastAsiaTheme="minorHAnsi"/>
          <w:lang w:eastAsia="en-US"/>
        </w:rPr>
        <w:t>[</w:t>
      </w:r>
      <w:r w:rsidR="00C8085D">
        <w:rPr>
          <w:rFonts w:eastAsiaTheme="minorHAnsi"/>
          <w:lang w:eastAsia="en-US"/>
        </w:rPr>
        <w:t>…</w:t>
      </w:r>
      <w:r>
        <w:rPr>
          <w:rFonts w:eastAsiaTheme="minorHAnsi"/>
          <w:lang w:eastAsia="en-US"/>
        </w:rPr>
        <w:t>]</w:t>
      </w:r>
      <w:r w:rsidR="00C8085D">
        <w:rPr>
          <w:rFonts w:eastAsiaTheme="minorHAnsi"/>
          <w:lang w:eastAsia="en-US"/>
        </w:rPr>
        <w:t>c</w:t>
      </w:r>
      <w:r>
        <w:rPr>
          <w:rFonts w:eastAsiaTheme="minorHAnsi"/>
          <w:color w:val="000000"/>
          <w:lang w:eastAsia="en-US"/>
        </w:rPr>
        <w:t xml:space="preserve">on la misma claridad que proclamábamos esa doctrina, puntualizábamos que en aquellas ocasiones en las que existan otros elementos de prueba que permitan adverar esa comunicación y descartar cualquier duda sobre su autenticidad, ninguna vulneración del derecho a la presunción de inocencia puede sostenerse. En el supuesto entonces enjuiciado, la entrega voluntaria de la contraseña por la víctima y el hecho de que un testigo de esas conversaciones fuera interrogado en juicio, llevaron a excluir cualquier vulneración de alcance constitucional. </w:t>
      </w:r>
      <w:r>
        <w:rPr>
          <w:rFonts w:eastAsiaTheme="minorHAnsi"/>
          <w:lang w:eastAsia="en-US"/>
        </w:rPr>
        <w:t xml:space="preserve">[…] </w:t>
      </w:r>
      <w:r>
        <w:rPr>
          <w:iCs/>
          <w:color w:val="000000" w:themeColor="text1"/>
          <w:spacing w:val="-8"/>
          <w:shd w:val="clear" w:color="auto" w:fill="FFFFFF"/>
        </w:rPr>
        <w:t>Por consiguiente, la falta de un dictamen pericial de autenticidad, cuando uno de los interlocutores niegue</w:t>
      </w:r>
      <w:r>
        <w:rPr>
          <w:rFonts w:eastAsiaTheme="minorHAnsi"/>
          <w:color w:val="000000"/>
          <w:lang w:eastAsia="en-US"/>
        </w:rPr>
        <w:t xml:space="preserve"> </w:t>
      </w:r>
      <w:r>
        <w:rPr>
          <w:iCs/>
          <w:color w:val="000000" w:themeColor="text1"/>
          <w:spacing w:val="-8"/>
          <w:shd w:val="clear" w:color="auto" w:fill="FFFFFF"/>
        </w:rPr>
        <w:t>ser el autor de los mensajes vertidos en un sistema de comunicación telemática, obliga a descartar cualquier</w:t>
      </w:r>
      <w:r>
        <w:rPr>
          <w:rFonts w:eastAsiaTheme="minorHAnsi"/>
          <w:color w:val="000000"/>
          <w:lang w:eastAsia="en-US"/>
        </w:rPr>
        <w:t xml:space="preserve"> </w:t>
      </w:r>
      <w:r>
        <w:rPr>
          <w:iCs/>
          <w:color w:val="000000" w:themeColor="text1"/>
          <w:spacing w:val="-8"/>
          <w:shd w:val="clear" w:color="auto" w:fill="FFFFFF"/>
        </w:rPr>
        <w:t xml:space="preserve">duda acerca del origen de esas </w:t>
      </w:r>
      <w:r>
        <w:rPr>
          <w:iCs/>
          <w:color w:val="000000" w:themeColor="text1"/>
          <w:spacing w:val="-8"/>
          <w:shd w:val="clear" w:color="auto" w:fill="FFFFFF"/>
        </w:rPr>
        <w:lastRenderedPageBreak/>
        <w:t>afirmaciones, salvo en aquellos casos en los que existan otros elementos de</w:t>
      </w:r>
      <w:r>
        <w:rPr>
          <w:rFonts w:eastAsiaTheme="minorHAnsi"/>
          <w:color w:val="000000"/>
          <w:lang w:eastAsia="en-US"/>
        </w:rPr>
        <w:t xml:space="preserve"> </w:t>
      </w:r>
      <w:r>
        <w:rPr>
          <w:iCs/>
          <w:color w:val="000000" w:themeColor="text1"/>
          <w:spacing w:val="-8"/>
          <w:shd w:val="clear" w:color="auto" w:fill="FFFFFF"/>
        </w:rPr>
        <w:t>prueba, debidamente valorados por el órgano decisorio, que pongan de manifiesto, más allá de cualquier duda</w:t>
      </w:r>
      <w:r>
        <w:rPr>
          <w:rFonts w:eastAsiaTheme="minorHAnsi"/>
          <w:color w:val="000000"/>
          <w:lang w:eastAsia="en-US"/>
        </w:rPr>
        <w:t xml:space="preserve"> </w:t>
      </w:r>
      <w:r>
        <w:rPr>
          <w:iCs/>
          <w:color w:val="000000" w:themeColor="text1"/>
          <w:spacing w:val="-8"/>
          <w:shd w:val="clear" w:color="auto" w:fill="FFFFFF"/>
        </w:rPr>
        <w:t>razonable, el origen y la autoría de esos enunciados.</w:t>
      </w:r>
      <w:r>
        <w:rPr>
          <w:rFonts w:eastAsiaTheme="minorHAnsi"/>
          <w:color w:val="000000"/>
          <w:lang w:eastAsia="en-US"/>
        </w:rPr>
        <w:t xml:space="preserve"> </w:t>
      </w:r>
      <w:r>
        <w:rPr>
          <w:iCs/>
          <w:color w:val="000000" w:themeColor="text1"/>
          <w:spacing w:val="-8"/>
          <w:shd w:val="clear" w:color="auto" w:fill="FFFFFF"/>
        </w:rPr>
        <w:t>Así lo expresó esta sala en su</w:t>
      </w:r>
      <w:r>
        <w:rPr>
          <w:i/>
          <w:iCs/>
          <w:color w:val="000000" w:themeColor="text1"/>
          <w:spacing w:val="-8"/>
          <w:shd w:val="clear" w:color="auto" w:fill="FFFFFF"/>
        </w:rPr>
        <w:t xml:space="preserve"> </w:t>
      </w:r>
      <w:r>
        <w:rPr>
          <w:iCs/>
          <w:color w:val="000000" w:themeColor="text1"/>
          <w:spacing w:val="-8"/>
          <w:shd w:val="clear" w:color="auto" w:fill="FFFFFF"/>
        </w:rPr>
        <w:t>STC 375</w:t>
      </w:r>
      <w:r>
        <w:rPr>
          <w:rFonts w:eastAsiaTheme="minorHAnsi"/>
          <w:color w:val="000000"/>
          <w:lang w:eastAsia="en-US"/>
        </w:rPr>
        <w:t xml:space="preserve">/2018, 19 de julio, siguiendo la doctrina apuntada en la STS 754/2015, 27 de noviembre:"...no es posible entender como se deduce del recurso, que estas resoluciones establezcan una presunción </w:t>
      </w:r>
      <w:r>
        <w:rPr>
          <w:rFonts w:eastAsiaTheme="minorHAnsi"/>
          <w:i/>
          <w:color w:val="000000"/>
          <w:lang w:eastAsia="en-US"/>
        </w:rPr>
        <w:t>iuris tantum</w:t>
      </w:r>
      <w:r>
        <w:rPr>
          <w:rFonts w:eastAsiaTheme="minorHAnsi"/>
          <w:color w:val="000000"/>
          <w:lang w:eastAsia="en-US"/>
        </w:rPr>
        <w:t xml:space="preserve"> de falsedad de estas modalidades de mensajería, que debe ser destruida mediante prueba pericial que ratifique su autenticidad y que se deba practicar en todo caso; sino que, en el caso de una impugnación (no meramente retórica y en términos generales) de su autenticidad – por la existencia de sospechas o indicios de manipulación -se debe realizar tal pericia acerca del verdadero emisor de los mensajes y su contenido. Ahora bien, tal pericia no será precisa cuando no exista duda al respecto mediante la valoración de otros elementos de la causa o la práctica de otros medios de prueba".</w:t>
      </w:r>
    </w:p>
    <w:p w:rsidR="00650FAA" w:rsidRDefault="00E27E1F">
      <w:pPr>
        <w:spacing w:line="360" w:lineRule="auto"/>
        <w:ind w:firstLine="708"/>
        <w:jc w:val="both"/>
        <w:rPr>
          <w:rFonts w:eastAsiaTheme="minorHAnsi"/>
          <w:color w:val="000000"/>
          <w:lang w:eastAsia="en-US"/>
        </w:rPr>
      </w:pPr>
      <w:r>
        <w:rPr>
          <w:rFonts w:eastAsiaTheme="minorHAnsi"/>
          <w:color w:val="000000"/>
          <w:lang w:eastAsia="en-US"/>
        </w:rPr>
        <w:t xml:space="preserve">Creemos que dicha sentencia viene a poner orden sobre el asunto y adopta una postura intermedia, toda vez que no siempre que se impugne la existencia de la comunicación y la evidencia, resulta indispensable acudir a una pericia informática. Razonar de tal manera, implicaría caer en sistema de la prueba legal o tasada, propia de los sistemas inquisitivos. </w:t>
      </w:r>
    </w:p>
    <w:p w:rsidR="00650FAA" w:rsidRDefault="00E27E1F">
      <w:pPr>
        <w:spacing w:line="360" w:lineRule="auto"/>
        <w:ind w:firstLine="708"/>
        <w:jc w:val="both"/>
        <w:rPr>
          <w:rFonts w:eastAsiaTheme="minorHAnsi"/>
          <w:color w:val="000000"/>
          <w:lang w:eastAsia="en-US"/>
        </w:rPr>
      </w:pPr>
      <w:r>
        <w:rPr>
          <w:rFonts w:eastAsiaTheme="minorHAnsi"/>
          <w:color w:val="000000"/>
          <w:lang w:eastAsia="en-US"/>
        </w:rPr>
        <w:t>En otras palabras, dichos sistemas de mensajerías pueden probarse por diferentes medios</w:t>
      </w:r>
      <w:r w:rsidR="00275323">
        <w:rPr>
          <w:rFonts w:eastAsiaTheme="minorHAnsi"/>
          <w:color w:val="000000"/>
          <w:lang w:eastAsia="en-US"/>
        </w:rPr>
        <w:t xml:space="preserve"> </w:t>
      </w:r>
      <w:r w:rsidR="00275323" w:rsidRPr="00A55A09">
        <w:rPr>
          <w:rFonts w:eastAsiaTheme="minorHAnsi"/>
          <w:lang w:val="es-ES_tradnl"/>
        </w:rPr>
        <w:t>(testi</w:t>
      </w:r>
      <w:r w:rsidR="00A55A09">
        <w:rPr>
          <w:rFonts w:eastAsiaTheme="minorHAnsi"/>
          <w:lang w:val="es-ES_tradnl"/>
        </w:rPr>
        <w:t xml:space="preserve">moniales, </w:t>
      </w:r>
      <w:r w:rsidR="00275323" w:rsidRPr="00A55A09">
        <w:rPr>
          <w:rFonts w:eastAsiaTheme="minorHAnsi"/>
          <w:lang w:val="es-ES_tradnl"/>
        </w:rPr>
        <w:t>informes, etc.)</w:t>
      </w:r>
      <w:r>
        <w:rPr>
          <w:rFonts w:eastAsiaTheme="minorHAnsi"/>
          <w:color w:val="000000"/>
          <w:lang w:eastAsia="en-US"/>
        </w:rPr>
        <w:t xml:space="preserve"> y, quien pretenda probar la conversación – autenticidad e integridad- deberá asumir determinas cautelas, siendo una de ellas, quizás la más fiable pero también más costosa- la pericia informática.</w:t>
      </w:r>
    </w:p>
    <w:p w:rsidR="00650FAA" w:rsidRDefault="00E27E1F">
      <w:pPr>
        <w:spacing w:line="360" w:lineRule="auto"/>
        <w:ind w:firstLine="708"/>
        <w:jc w:val="both"/>
        <w:rPr>
          <w:color w:val="000000" w:themeColor="text1"/>
        </w:rPr>
      </w:pPr>
      <w:r>
        <w:rPr>
          <w:rFonts w:eastAsiaTheme="minorHAnsi"/>
          <w:color w:val="000000"/>
          <w:lang w:eastAsia="en-US"/>
        </w:rPr>
        <w:t>En este sentido, siguiendo el interesante trabajo de Bueno de la Mata</w:t>
      </w:r>
      <w:r>
        <w:rPr>
          <w:rStyle w:val="Refdenotaalpie"/>
          <w:rFonts w:eastAsiaTheme="minorHAnsi"/>
          <w:color w:val="000000"/>
          <w:lang w:eastAsia="en-US"/>
        </w:rPr>
        <w:footnoteReference w:id="69"/>
      </w:r>
      <w:r>
        <w:rPr>
          <w:rFonts w:eastAsiaTheme="minorHAnsi"/>
          <w:color w:val="000000"/>
          <w:lang w:eastAsia="en-US"/>
        </w:rPr>
        <w:t xml:space="preserve">, podemos apreciar que, además de la pericia informática, existen otras técnicas informáticas de aseguramiento de prueba. </w:t>
      </w:r>
      <w:r>
        <w:t>Entre ellas, destaca la relevancia del papel de los</w:t>
      </w:r>
      <w:r>
        <w:rPr>
          <w:rFonts w:eastAsiaTheme="minorHAnsi"/>
          <w:color w:val="000000"/>
          <w:lang w:eastAsia="en-US"/>
        </w:rPr>
        <w:t xml:space="preserve"> </w:t>
      </w:r>
      <w:r>
        <w:rPr>
          <w:rFonts w:eastAsiaTheme="minorHAnsi"/>
          <w:lang w:eastAsia="en-US"/>
        </w:rPr>
        <w:t>“</w:t>
      </w:r>
      <w:r>
        <w:rPr>
          <w:rFonts w:eastAsiaTheme="minorHAnsi"/>
          <w:color w:val="000000"/>
          <w:lang w:eastAsia="en-US"/>
        </w:rPr>
        <w:t>garantes digitales</w:t>
      </w:r>
      <w:r>
        <w:rPr>
          <w:rFonts w:eastAsiaTheme="minorHAnsi"/>
          <w:lang w:eastAsia="en-US"/>
        </w:rPr>
        <w:t xml:space="preserve"> ”</w:t>
      </w:r>
      <w:r>
        <w:t xml:space="preserve">, que utilizan el mecanismo de </w:t>
      </w:r>
      <w:r>
        <w:rPr>
          <w:color w:val="000000" w:themeColor="text1"/>
        </w:rPr>
        <w:t xml:space="preserve">sellado de tiempo o </w:t>
      </w:r>
      <w:r>
        <w:rPr>
          <w:i/>
          <w:color w:val="000000" w:themeColor="text1"/>
        </w:rPr>
        <w:t>timestamp</w:t>
      </w:r>
      <w:r>
        <w:t xml:space="preserve">, consistente en realizar una especie de cristalización de contenido de un conjunto de datos en un momento temporal determinado. Al mismo tiempo, señala que </w:t>
      </w:r>
      <w:r>
        <w:rPr>
          <w:color w:val="000000" w:themeColor="text1"/>
        </w:rPr>
        <w:t>a esta técnica se le incorpora un valor añadido consistente en una firma electrónica normalmente proporcionada por un tercero de confianza que da fe de que el sellado ha sido realizado correctamente</w:t>
      </w:r>
      <w:r>
        <w:t>. Destaca que</w:t>
      </w:r>
      <w:r>
        <w:rPr>
          <w:color w:val="000000" w:themeColor="text1"/>
        </w:rPr>
        <w:t xml:space="preserve"> esto le daría una autenticidad elevada a esta prueba pues, ya no es la parte proponente de la prueba la que firma electrónicamente el documento, sino que es alguien ajeno al proceso quién lo certifica</w:t>
      </w:r>
      <w:r>
        <w:rPr>
          <w:rStyle w:val="Refdenotaalpie"/>
          <w:color w:val="000000" w:themeColor="text1"/>
        </w:rPr>
        <w:footnoteReference w:id="70"/>
      </w:r>
      <w:r>
        <w:rPr>
          <w:color w:val="000000" w:themeColor="text1"/>
        </w:rPr>
        <w:t>.</w:t>
      </w:r>
    </w:p>
    <w:p w:rsidR="00650FAA" w:rsidRDefault="00E27E1F">
      <w:pPr>
        <w:spacing w:line="360" w:lineRule="auto"/>
        <w:ind w:firstLine="708"/>
        <w:jc w:val="both"/>
      </w:pPr>
      <w:r>
        <w:rPr>
          <w:color w:val="000000" w:themeColor="text1"/>
        </w:rPr>
        <w:t xml:space="preserve"> Finalmente, </w:t>
      </w:r>
      <w:r>
        <w:t xml:space="preserve">destaca el autor que con todo ello las posibilidades de impugnación se reducen al tiempo que no es necesario desembolsar elevadas cantidades de dinero en periciales electrónicas, pues muchas de estas funciones son ofrecidas por empresas informáticas mediante </w:t>
      </w:r>
      <w:r>
        <w:rPr>
          <w:i/>
        </w:rPr>
        <w:t>softwares</w:t>
      </w:r>
      <w:r>
        <w:t xml:space="preserve"> creados a tal efecto. </w:t>
      </w:r>
    </w:p>
    <w:p w:rsidR="00650FAA" w:rsidRDefault="00E27E1F">
      <w:pPr>
        <w:spacing w:line="360" w:lineRule="auto"/>
        <w:ind w:firstLine="708"/>
        <w:jc w:val="both"/>
      </w:pPr>
      <w:r>
        <w:lastRenderedPageBreak/>
        <w:t xml:space="preserve">Creemos que le asiste razón al jurista español pues, este tipo de técnicas favorece el principio de economía procesal y celeridad, permitiendo la incorporación de otros medios igualmente idóneos y sin dilaciones. </w:t>
      </w:r>
    </w:p>
    <w:p w:rsidR="00650FAA" w:rsidRPr="00A55A09" w:rsidRDefault="00E27E1F" w:rsidP="00C8085D">
      <w:pPr>
        <w:spacing w:line="360" w:lineRule="auto"/>
        <w:ind w:left="708" w:firstLine="708"/>
        <w:jc w:val="center"/>
        <w:rPr>
          <w:rFonts w:eastAsiaTheme="minorHAnsi"/>
          <w:color w:val="000000"/>
          <w:lang w:eastAsia="en-US"/>
        </w:rPr>
      </w:pPr>
      <w:r w:rsidRPr="00A55A09">
        <w:rPr>
          <w:rFonts w:eastAsiaTheme="minorHAnsi"/>
          <w:b/>
          <w:color w:val="000000"/>
          <w:lang w:eastAsia="en-US"/>
        </w:rPr>
        <w:t>Conclusiones</w:t>
      </w:r>
    </w:p>
    <w:p w:rsidR="00650FAA" w:rsidRDefault="00E27E1F">
      <w:pPr>
        <w:snapToGrid w:val="0"/>
        <w:spacing w:before="240" w:line="360" w:lineRule="auto"/>
        <w:ind w:firstLine="708"/>
        <w:jc w:val="both"/>
        <w:rPr>
          <w:lang w:val="es-ES"/>
        </w:rPr>
      </w:pPr>
      <w:r>
        <w:t xml:space="preserve">Frente al avance de nuevas tecnologías y ante el silencio legislativo, </w:t>
      </w:r>
      <w:r>
        <w:rPr>
          <w:lang w:val="es-ES"/>
        </w:rPr>
        <w:t>corresponde buscar el equilibro entre la necesidad de investigar delitos y el respeto por las garantías fundamentales de las personas. Para ello, resulta imperioso acudir a las guías de buenas prácticas, que llenan este vacío y contemplan procedimientos eficaces para la extracción, análisis y resguardo de la evidencia digital, garantizando su trazabilidad y ulterior valoración por el Juez.</w:t>
      </w:r>
    </w:p>
    <w:p w:rsidR="00650FAA" w:rsidRDefault="00E27E1F">
      <w:pPr>
        <w:snapToGrid w:val="0"/>
        <w:spacing w:before="240" w:line="360" w:lineRule="auto"/>
        <w:ind w:firstLine="708"/>
        <w:jc w:val="both"/>
        <w:rPr>
          <w:rFonts w:eastAsiaTheme="minorHAnsi"/>
          <w:lang w:eastAsia="en-US"/>
        </w:rPr>
      </w:pPr>
      <w:r>
        <w:t xml:space="preserve">Frene a dicha meta y, </w:t>
      </w:r>
      <w:r>
        <w:rPr>
          <w:lang w:val="es-ES"/>
        </w:rPr>
        <w:t xml:space="preserve">en razón del carácter técnico-informático que reviste la evidencia digital, desconocido hasta ahora por los operadores judiciales, se torna imperioso proponer una cuidadosa y prudente tarea de valoración de aquella por el Juez. Es por tal motivo, que aquí efectuamos esta propuesta, </w:t>
      </w:r>
      <w:r>
        <w:rPr>
          <w:rFonts w:eastAsiaTheme="minorHAnsi"/>
          <w:lang w:eastAsia="en-US"/>
        </w:rPr>
        <w:t>que puede no ser la última, atento a que la andadura en las</w:t>
      </w:r>
      <w:r>
        <w:rPr>
          <w:lang w:val="es-ES"/>
        </w:rPr>
        <w:t xml:space="preserve"> </w:t>
      </w:r>
      <w:r>
        <w:rPr>
          <w:rFonts w:eastAsiaTheme="minorHAnsi"/>
          <w:lang w:eastAsia="en-US"/>
        </w:rPr>
        <w:t>nuevas tecnologías recién ha comenzado.</w:t>
      </w:r>
    </w:p>
    <w:p w:rsidR="00691397" w:rsidRDefault="00691397">
      <w:pPr>
        <w:snapToGrid w:val="0"/>
        <w:spacing w:before="240" w:line="360" w:lineRule="auto"/>
        <w:ind w:firstLine="708"/>
        <w:jc w:val="both"/>
        <w:rPr>
          <w:rFonts w:eastAsiaTheme="minorHAnsi"/>
          <w:lang w:eastAsia="en-US"/>
        </w:rPr>
      </w:pPr>
    </w:p>
    <w:p w:rsidR="00691397" w:rsidRDefault="00691397">
      <w:pPr>
        <w:snapToGrid w:val="0"/>
        <w:spacing w:before="240" w:line="360" w:lineRule="auto"/>
        <w:ind w:firstLine="708"/>
        <w:jc w:val="both"/>
        <w:rPr>
          <w:rFonts w:eastAsiaTheme="minorHAnsi"/>
          <w:lang w:eastAsia="en-US"/>
        </w:rPr>
      </w:pPr>
    </w:p>
    <w:p w:rsidR="00691397" w:rsidRDefault="00691397">
      <w:pPr>
        <w:snapToGrid w:val="0"/>
        <w:spacing w:before="240" w:line="360" w:lineRule="auto"/>
        <w:ind w:firstLine="708"/>
        <w:jc w:val="both"/>
        <w:rPr>
          <w:rFonts w:eastAsiaTheme="minorHAnsi"/>
          <w:lang w:eastAsia="en-US"/>
        </w:rPr>
      </w:pPr>
    </w:p>
    <w:p w:rsidR="00691397" w:rsidRDefault="00691397">
      <w:pPr>
        <w:snapToGrid w:val="0"/>
        <w:spacing w:before="240" w:line="360" w:lineRule="auto"/>
        <w:ind w:firstLine="708"/>
        <w:jc w:val="both"/>
        <w:rPr>
          <w:rFonts w:eastAsiaTheme="minorHAnsi"/>
          <w:lang w:eastAsia="en-US"/>
        </w:rPr>
      </w:pPr>
    </w:p>
    <w:p w:rsidR="00691397" w:rsidRDefault="00691397">
      <w:pPr>
        <w:snapToGrid w:val="0"/>
        <w:spacing w:before="240" w:line="360" w:lineRule="auto"/>
        <w:ind w:firstLine="708"/>
        <w:jc w:val="both"/>
        <w:rPr>
          <w:rFonts w:eastAsiaTheme="minorHAnsi"/>
          <w:lang w:eastAsia="en-US"/>
        </w:rPr>
      </w:pPr>
    </w:p>
    <w:p w:rsidR="00691397" w:rsidRDefault="00691397">
      <w:pPr>
        <w:snapToGrid w:val="0"/>
        <w:spacing w:before="240" w:line="360" w:lineRule="auto"/>
        <w:ind w:firstLine="708"/>
        <w:jc w:val="both"/>
        <w:rPr>
          <w:rFonts w:eastAsiaTheme="minorHAnsi"/>
          <w:lang w:eastAsia="en-US"/>
        </w:rPr>
      </w:pPr>
    </w:p>
    <w:p w:rsidR="00691397" w:rsidRDefault="00691397">
      <w:pPr>
        <w:snapToGrid w:val="0"/>
        <w:spacing w:before="240" w:line="360" w:lineRule="auto"/>
        <w:ind w:firstLine="708"/>
        <w:jc w:val="both"/>
        <w:rPr>
          <w:rFonts w:eastAsiaTheme="minorHAnsi"/>
          <w:lang w:eastAsia="en-US"/>
        </w:rPr>
      </w:pPr>
    </w:p>
    <w:p w:rsidR="00691397" w:rsidRDefault="00691397">
      <w:pPr>
        <w:snapToGrid w:val="0"/>
        <w:spacing w:before="240" w:line="360" w:lineRule="auto"/>
        <w:ind w:firstLine="708"/>
        <w:jc w:val="both"/>
        <w:rPr>
          <w:rFonts w:eastAsiaTheme="minorHAnsi"/>
          <w:lang w:eastAsia="en-US"/>
        </w:rPr>
      </w:pPr>
    </w:p>
    <w:p w:rsidR="00691397" w:rsidRDefault="00691397">
      <w:pPr>
        <w:snapToGrid w:val="0"/>
        <w:spacing w:before="240" w:line="360" w:lineRule="auto"/>
        <w:ind w:firstLine="708"/>
        <w:jc w:val="both"/>
        <w:rPr>
          <w:rFonts w:eastAsiaTheme="minorHAnsi"/>
          <w:lang w:eastAsia="en-US"/>
        </w:rPr>
      </w:pPr>
    </w:p>
    <w:p w:rsidR="00691397" w:rsidRDefault="00691397">
      <w:pPr>
        <w:snapToGrid w:val="0"/>
        <w:spacing w:before="240" w:line="360" w:lineRule="auto"/>
        <w:ind w:firstLine="708"/>
        <w:jc w:val="both"/>
        <w:rPr>
          <w:rFonts w:eastAsiaTheme="minorHAnsi"/>
          <w:lang w:eastAsia="en-US"/>
        </w:rPr>
      </w:pPr>
    </w:p>
    <w:p w:rsidR="00691397" w:rsidRDefault="00691397">
      <w:pPr>
        <w:snapToGrid w:val="0"/>
        <w:spacing w:before="240" w:line="360" w:lineRule="auto"/>
        <w:ind w:firstLine="708"/>
        <w:jc w:val="both"/>
        <w:rPr>
          <w:rFonts w:eastAsiaTheme="minorHAnsi"/>
          <w:lang w:eastAsia="en-US"/>
        </w:rPr>
      </w:pPr>
    </w:p>
    <w:p w:rsidR="00691397" w:rsidRDefault="00691397">
      <w:pPr>
        <w:snapToGrid w:val="0"/>
        <w:spacing w:before="240" w:line="360" w:lineRule="auto"/>
        <w:ind w:firstLine="708"/>
        <w:jc w:val="both"/>
        <w:rPr>
          <w:rFonts w:eastAsiaTheme="minorHAnsi"/>
          <w:lang w:eastAsia="en-US"/>
        </w:rPr>
      </w:pPr>
    </w:p>
    <w:p w:rsidR="00691397" w:rsidRDefault="00691397">
      <w:pPr>
        <w:snapToGrid w:val="0"/>
        <w:spacing w:before="240" w:line="360" w:lineRule="auto"/>
        <w:ind w:firstLine="708"/>
        <w:jc w:val="both"/>
        <w:rPr>
          <w:rFonts w:eastAsiaTheme="minorHAnsi"/>
          <w:lang w:eastAsia="en-US"/>
        </w:rPr>
      </w:pPr>
    </w:p>
    <w:p w:rsidR="00691397" w:rsidRDefault="00691397">
      <w:pPr>
        <w:snapToGrid w:val="0"/>
        <w:spacing w:before="240" w:line="360" w:lineRule="auto"/>
        <w:ind w:firstLine="708"/>
        <w:jc w:val="both"/>
        <w:rPr>
          <w:rFonts w:eastAsiaTheme="minorHAnsi"/>
          <w:lang w:eastAsia="en-US"/>
        </w:rPr>
      </w:pPr>
    </w:p>
    <w:p w:rsidR="00691397" w:rsidRDefault="00691397">
      <w:pPr>
        <w:snapToGrid w:val="0"/>
        <w:spacing w:before="240" w:line="360" w:lineRule="auto"/>
        <w:ind w:firstLine="708"/>
        <w:jc w:val="both"/>
        <w:rPr>
          <w:rFonts w:eastAsiaTheme="minorHAnsi"/>
          <w:lang w:eastAsia="en-US"/>
        </w:rPr>
      </w:pPr>
    </w:p>
    <w:p w:rsidR="00691397" w:rsidRDefault="00691397">
      <w:pPr>
        <w:snapToGrid w:val="0"/>
        <w:spacing w:before="240" w:line="360" w:lineRule="auto"/>
        <w:ind w:firstLine="708"/>
        <w:jc w:val="both"/>
        <w:rPr>
          <w:rFonts w:eastAsiaTheme="minorHAnsi"/>
          <w:lang w:eastAsia="en-US"/>
        </w:rPr>
      </w:pPr>
    </w:p>
    <w:p w:rsidR="00691397" w:rsidRPr="001B7DA1" w:rsidRDefault="00691397" w:rsidP="00691397">
      <w:pPr>
        <w:spacing w:line="360" w:lineRule="auto"/>
        <w:ind w:left="708" w:firstLine="708"/>
        <w:rPr>
          <w:b/>
          <w:lang w:val="es-ES"/>
        </w:rPr>
      </w:pPr>
      <w:r w:rsidRPr="001B7DA1">
        <w:rPr>
          <w:b/>
          <w:lang w:val="es-ES"/>
        </w:rPr>
        <w:lastRenderedPageBreak/>
        <w:t>Bibliografía</w:t>
      </w:r>
    </w:p>
    <w:p w:rsidR="00691397" w:rsidRPr="001B7DA1" w:rsidRDefault="00691397" w:rsidP="00691397">
      <w:pPr>
        <w:spacing w:line="360" w:lineRule="auto"/>
        <w:jc w:val="both"/>
        <w:rPr>
          <w:b/>
          <w:lang w:val="es-ES"/>
        </w:rPr>
      </w:pPr>
    </w:p>
    <w:p w:rsidR="00691397" w:rsidRPr="001B7DA1" w:rsidRDefault="00691397" w:rsidP="00691397">
      <w:pPr>
        <w:pStyle w:val="Textonotapie"/>
        <w:spacing w:line="360" w:lineRule="auto"/>
        <w:ind w:firstLine="708"/>
        <w:jc w:val="both"/>
        <w:rPr>
          <w:sz w:val="24"/>
          <w:szCs w:val="24"/>
        </w:rPr>
      </w:pPr>
      <w:r w:rsidRPr="001B7DA1">
        <w:rPr>
          <w:sz w:val="24"/>
          <w:szCs w:val="24"/>
        </w:rPr>
        <w:t xml:space="preserve">.- ARIAS, Carolina I., “Investigación forense: allanamientos digitales y pericias informáticas en redes sociales” en </w:t>
      </w:r>
      <w:r w:rsidRPr="001B7DA1">
        <w:rPr>
          <w:i/>
          <w:sz w:val="24"/>
          <w:szCs w:val="24"/>
        </w:rPr>
        <w:t>Medios de Prueba en el proceso penal 4. Prueba digital</w:t>
      </w:r>
      <w:r w:rsidRPr="001B7DA1">
        <w:rPr>
          <w:sz w:val="24"/>
          <w:szCs w:val="24"/>
        </w:rPr>
        <w:t>. (Dir. ORDOÑEZ PABLO). Ed. Hammurabi, 2021, Buenos Aires.</w:t>
      </w:r>
    </w:p>
    <w:p w:rsidR="00691397" w:rsidRPr="001B7DA1" w:rsidRDefault="00691397" w:rsidP="00691397">
      <w:pPr>
        <w:autoSpaceDE w:val="0"/>
        <w:autoSpaceDN w:val="0"/>
        <w:adjustRightInd w:val="0"/>
        <w:spacing w:line="360" w:lineRule="auto"/>
        <w:ind w:firstLine="708"/>
        <w:jc w:val="both"/>
        <w:rPr>
          <w:lang w:val="es-ES_tradnl"/>
        </w:rPr>
      </w:pPr>
      <w:r w:rsidRPr="001B7DA1">
        <w:rPr>
          <w:lang w:val="es-ES_tradnl"/>
        </w:rPr>
        <w:t xml:space="preserve">.- BIELLI, Gastón E.- ORDOÑEZ, Carlos Jonathan, </w:t>
      </w:r>
      <w:r w:rsidRPr="001B7DA1">
        <w:t>“</w:t>
      </w:r>
      <w:r w:rsidRPr="001B7DA1">
        <w:rPr>
          <w:lang w:val="es-ES_tradnl"/>
        </w:rPr>
        <w:t>La prueba electrónica: teoría y práctica</w:t>
      </w:r>
      <w:r w:rsidRPr="001B7DA1">
        <w:t>”</w:t>
      </w:r>
      <w:r w:rsidRPr="001B7DA1">
        <w:rPr>
          <w:lang w:val="es-ES_tradnl"/>
        </w:rPr>
        <w:t>, La Ley, Buenos Aires, 2019.</w:t>
      </w:r>
    </w:p>
    <w:p w:rsidR="00691397" w:rsidRPr="001B7DA1" w:rsidRDefault="00691397" w:rsidP="00691397">
      <w:pPr>
        <w:snapToGrid w:val="0"/>
        <w:spacing w:line="360" w:lineRule="auto"/>
        <w:ind w:firstLine="708"/>
        <w:jc w:val="both"/>
        <w:rPr>
          <w:color w:val="222222"/>
        </w:rPr>
      </w:pPr>
      <w:r w:rsidRPr="001B7DA1">
        <w:rPr>
          <w:color w:val="222222"/>
          <w:spacing w:val="15"/>
          <w:shd w:val="clear" w:color="auto" w:fill="FFFFFF"/>
        </w:rPr>
        <w:t xml:space="preserve">.- BIELLI, Gastón </w:t>
      </w:r>
      <w:r w:rsidRPr="001B7DA1">
        <w:rPr>
          <w:lang w:val="es-ES_tradnl"/>
        </w:rPr>
        <w:t>“</w:t>
      </w:r>
      <w:r w:rsidRPr="001B7DA1">
        <w:rPr>
          <w:color w:val="111111"/>
        </w:rPr>
        <w:t>Los mensajes de WhatsApp y su acreditación en el proceso civil</w:t>
      </w:r>
      <w:r w:rsidRPr="001B7DA1">
        <w:rPr>
          <w:lang w:val="es-ES_tradnl"/>
        </w:rPr>
        <w:t>”</w:t>
      </w:r>
      <w:r w:rsidRPr="001B7DA1">
        <w:rPr>
          <w:color w:val="111111"/>
        </w:rPr>
        <w:t xml:space="preserve">, </w:t>
      </w:r>
      <w:r w:rsidRPr="001B7DA1">
        <w:rPr>
          <w:color w:val="222222"/>
        </w:rPr>
        <w:t xml:space="preserve">publicado en la edición especial Diario La Ley de fecha 29 de octubre de 2018. </w:t>
      </w:r>
      <w:r w:rsidRPr="001B7DA1">
        <w:rPr>
          <w:color w:val="222222"/>
          <w:spacing w:val="15"/>
          <w:shd w:val="clear" w:color="auto" w:fill="FFFFFF"/>
        </w:rPr>
        <w:t>Cita Online: AR/DOC/1962/2</w:t>
      </w:r>
    </w:p>
    <w:p w:rsidR="00691397" w:rsidRPr="001B7DA1" w:rsidRDefault="00691397" w:rsidP="00691397">
      <w:pPr>
        <w:spacing w:line="360" w:lineRule="auto"/>
        <w:ind w:firstLine="708"/>
        <w:jc w:val="both"/>
      </w:pPr>
      <w:r w:rsidRPr="001B7DA1">
        <w:rPr>
          <w:bCs/>
        </w:rPr>
        <w:t>.- BUENO DE MATA, Federico.</w:t>
      </w:r>
      <w:r w:rsidRPr="001B7DA1">
        <w:rPr>
          <w:b/>
          <w:bCs/>
        </w:rPr>
        <w:t xml:space="preserve"> </w:t>
      </w:r>
      <w:r w:rsidRPr="001B7DA1">
        <w:rPr>
          <w:bCs/>
          <w:color w:val="000000" w:themeColor="text1"/>
        </w:rPr>
        <w:t xml:space="preserve">La validez de los pantallazos como prueba electrónica: comentarios y reflexiones sobre la STS 300/2015 y las últimas reformas procesales en materia tecnológica, en </w:t>
      </w:r>
      <w:r w:rsidRPr="001B7DA1">
        <w:rPr>
          <w:i/>
        </w:rPr>
        <w:t>Diario La Ley</w:t>
      </w:r>
      <w:r w:rsidRPr="001B7DA1">
        <w:t>, Nº 8728, Sección Tribuna, 23 de Marzo de 2016, Ref. D-126, LA LEY.</w:t>
      </w:r>
    </w:p>
    <w:p w:rsidR="00691397" w:rsidRPr="001B7DA1" w:rsidRDefault="00691397" w:rsidP="00691397">
      <w:pPr>
        <w:spacing w:line="360" w:lineRule="auto"/>
        <w:ind w:firstLine="708"/>
        <w:jc w:val="both"/>
      </w:pPr>
      <w:r w:rsidRPr="001B7DA1">
        <w:t xml:space="preserve">.- </w:t>
      </w:r>
      <w:r w:rsidRPr="001B7DA1">
        <w:rPr>
          <w:lang w:val="es-ES_tradnl"/>
        </w:rPr>
        <w:t>CAFFERATA NORES, José. I. – HAIRABEDIÁN, Maximiliano, “La prueba en el Proceso Penal”, Abeledo-Perrot, Buenos Aires, 6a ed.</w:t>
      </w:r>
    </w:p>
    <w:p w:rsidR="00691397" w:rsidRPr="001B7DA1" w:rsidRDefault="00691397" w:rsidP="00691397">
      <w:pPr>
        <w:spacing w:line="360" w:lineRule="auto"/>
        <w:ind w:firstLine="708"/>
        <w:jc w:val="both"/>
      </w:pPr>
      <w:r w:rsidRPr="001B7DA1">
        <w:rPr>
          <w:lang w:val="es-ES"/>
        </w:rPr>
        <w:t xml:space="preserve">.- CAFFERATA NORES, José I.- HAIRABEDIÁN, Maximiliano, </w:t>
      </w:r>
      <w:r w:rsidRPr="001B7DA1">
        <w:rPr>
          <w:lang w:val="es-ES_tradnl"/>
        </w:rPr>
        <w:t>“</w:t>
      </w:r>
      <w:r w:rsidRPr="001B7DA1">
        <w:rPr>
          <w:lang w:val="es-ES"/>
        </w:rPr>
        <w:t>La prueba en el proceso penal. Con especial referencia a los códigos procesales penales de la Nación y de la provincia de Córdoba</w:t>
      </w:r>
      <w:r w:rsidRPr="001B7DA1">
        <w:rPr>
          <w:lang w:val="es-ES_tradnl"/>
        </w:rPr>
        <w:t>”</w:t>
      </w:r>
      <w:r w:rsidRPr="001B7DA1">
        <w:rPr>
          <w:lang w:val="es-ES"/>
        </w:rPr>
        <w:t>, Abeledo Perrot, 7ª ed, Buenos Aires, 2011</w:t>
      </w:r>
    </w:p>
    <w:p w:rsidR="00691397" w:rsidRPr="001B7DA1" w:rsidRDefault="00691397" w:rsidP="00691397">
      <w:pPr>
        <w:spacing w:line="360" w:lineRule="auto"/>
        <w:ind w:firstLine="708"/>
        <w:jc w:val="both"/>
      </w:pPr>
      <w:r w:rsidRPr="001B7DA1">
        <w:t>.- DUPUY, Daniela “</w:t>
      </w:r>
      <w:r w:rsidRPr="001B7DA1">
        <w:rPr>
          <w:lang w:val="es-ES_tradnl"/>
        </w:rPr>
        <w:t>Litigación &amp; cibercrimen</w:t>
      </w:r>
      <w:r w:rsidRPr="001B7DA1">
        <w:t>”</w:t>
      </w:r>
      <w:r w:rsidRPr="001B7DA1">
        <w:rPr>
          <w:lang w:val="es-ES_tradnl"/>
        </w:rPr>
        <w:t xml:space="preserve">, </w:t>
      </w:r>
      <w:r>
        <w:rPr>
          <w:i/>
          <w:lang w:val="es-ES_tradnl"/>
        </w:rPr>
        <w:t>E</w:t>
      </w:r>
      <w:r w:rsidRPr="001B7DA1">
        <w:rPr>
          <w:i/>
          <w:lang w:val="es-ES_tradnl"/>
        </w:rPr>
        <w:t xml:space="preserve">xperiencias </w:t>
      </w:r>
      <w:r>
        <w:rPr>
          <w:i/>
          <w:lang w:val="es-ES_tradnl"/>
        </w:rPr>
        <w:t>L</w:t>
      </w:r>
      <w:r w:rsidRPr="001B7DA1">
        <w:rPr>
          <w:i/>
          <w:lang w:val="es-ES_tradnl"/>
        </w:rPr>
        <w:t>atinoamericanas</w:t>
      </w:r>
      <w:r w:rsidRPr="001B7DA1">
        <w:rPr>
          <w:lang w:val="es-ES_tradnl"/>
        </w:rPr>
        <w:t xml:space="preserve">. Disponible en internet </w:t>
      </w:r>
      <w:r w:rsidRPr="001B7DA1">
        <w:rPr>
          <w:color w:val="202124"/>
          <w:shd w:val="clear" w:color="auto" w:fill="F8F9FA"/>
        </w:rPr>
        <w:t> </w:t>
      </w:r>
      <w:hyperlink r:id="rId9" w:history="1">
        <w:r w:rsidRPr="001B7DA1">
          <w:rPr>
            <w:rStyle w:val="Hipervnculo"/>
            <w:color w:val="1A0DAB"/>
            <w:bdr w:val="none" w:sz="0" w:space="0" w:color="auto" w:frame="1"/>
            <w:shd w:val="clear" w:color="auto" w:fill="F8F9FA"/>
          </w:rPr>
          <w:t>https://sistemasjudiciales.org/wp-content/uploads/2021/10/4.-SJ24.-Dupuy.pdf</w:t>
        </w:r>
      </w:hyperlink>
      <w:r w:rsidRPr="001B7DA1">
        <w:rPr>
          <w:color w:val="202124"/>
          <w:shd w:val="clear" w:color="auto" w:fill="F8F9FA"/>
        </w:rPr>
        <w:t>. </w:t>
      </w:r>
    </w:p>
    <w:p w:rsidR="00691397" w:rsidRPr="001B7DA1" w:rsidRDefault="00691397" w:rsidP="00691397">
      <w:pPr>
        <w:spacing w:line="360" w:lineRule="auto"/>
        <w:ind w:firstLine="708"/>
        <w:jc w:val="both"/>
      </w:pPr>
      <w:r w:rsidRPr="001B7DA1">
        <w:t xml:space="preserve">.-GIOVAGNOLI, María Luz, “Video vigilancia y proceso penal” en </w:t>
      </w:r>
      <w:r w:rsidRPr="001B7DA1">
        <w:rPr>
          <w:i/>
        </w:rPr>
        <w:t>Medios de Prueba en el proceso penal 4. Prueba digital</w:t>
      </w:r>
      <w:r w:rsidRPr="001B7DA1">
        <w:t xml:space="preserve"> (Dir. ORDOÑEZ, PABLO) Ed. Hammurabi, 2021, Buenos Aires</w:t>
      </w:r>
    </w:p>
    <w:p w:rsidR="00691397" w:rsidRPr="001B7DA1" w:rsidRDefault="00691397" w:rsidP="00691397">
      <w:pPr>
        <w:spacing w:line="360" w:lineRule="auto"/>
        <w:ind w:firstLine="708"/>
        <w:jc w:val="both"/>
      </w:pPr>
      <w:r w:rsidRPr="001B7DA1">
        <w:t xml:space="preserve">.- GONZÁLEZ- CUELLAR SERRANO, Nicolás “Garantías constitucionales de la persecución penal en el entorno digital”, en </w:t>
      </w:r>
      <w:r w:rsidRPr="001B7DA1">
        <w:rPr>
          <w:i/>
        </w:rPr>
        <w:t>Prueba y proceso penal</w:t>
      </w:r>
      <w:r w:rsidRPr="001B7DA1">
        <w:t>, (Coord. Juan Luis, GOMEZ COLOMER, Tirant Lo Blanch, Valencia, 2008</w:t>
      </w:r>
    </w:p>
    <w:p w:rsidR="00691397" w:rsidRPr="001B7DA1" w:rsidRDefault="00691397" w:rsidP="00691397">
      <w:pPr>
        <w:spacing w:line="360" w:lineRule="auto"/>
        <w:ind w:firstLine="708"/>
        <w:jc w:val="both"/>
      </w:pPr>
      <w:r w:rsidRPr="001B7DA1">
        <w:t xml:space="preserve">.- GORINI, Jorge Luciano, “Estándares probatorios de la evidencia digital en el proceso penal”. Charla impartida el 15/10/21 en el canal de YouTube de la Asociación de Magistrados de Tucumán. Video disponible en internet: </w:t>
      </w:r>
      <w:hyperlink r:id="rId10" w:history="1">
        <w:r w:rsidRPr="001B7DA1">
          <w:rPr>
            <w:rStyle w:val="Hipervnculo"/>
          </w:rPr>
          <w:t>https://www.youtube.com/watch?v=BTRPCyGlG8M</w:t>
        </w:r>
      </w:hyperlink>
    </w:p>
    <w:p w:rsidR="00691397" w:rsidRPr="001B7DA1" w:rsidRDefault="00691397" w:rsidP="00691397">
      <w:pPr>
        <w:spacing w:line="360" w:lineRule="auto"/>
        <w:ind w:firstLine="708"/>
        <w:jc w:val="both"/>
        <w:rPr>
          <w:rStyle w:val="Hipervnculo"/>
        </w:rPr>
      </w:pPr>
      <w:r w:rsidRPr="001B7DA1">
        <w:t xml:space="preserve">.- MARQUEZ, Iván M.- PERZAN, María Cecilia, “Acerca de los nuevos límites en materia coercitiva estatal. Dospositivos móviles: su acceso mediante códigos de bloqueo y/o datos biométricos” en </w:t>
      </w:r>
      <w:r w:rsidRPr="001B7DA1">
        <w:rPr>
          <w:i/>
        </w:rPr>
        <w:t>Medios de Prueba en el proceso penal 4. Prueba digital</w:t>
      </w:r>
      <w:r w:rsidRPr="001B7DA1">
        <w:t>. (Dir. ORDOÑEZ PABLO). Ed. Hammurabi, 2021, Buenos Aires</w:t>
      </w:r>
      <w:r>
        <w:t>.</w:t>
      </w:r>
    </w:p>
    <w:p w:rsidR="00691397" w:rsidRPr="001B7DA1" w:rsidRDefault="00691397" w:rsidP="00691397">
      <w:pPr>
        <w:spacing w:line="360" w:lineRule="auto"/>
        <w:ind w:firstLine="708"/>
        <w:jc w:val="both"/>
      </w:pPr>
      <w:r w:rsidRPr="007A5966">
        <w:rPr>
          <w:rStyle w:val="Hipervnculo"/>
          <w:u w:val="none"/>
        </w:rPr>
        <w:t xml:space="preserve">.- </w:t>
      </w:r>
      <w:r w:rsidRPr="001B7DA1">
        <w:rPr>
          <w:lang w:val="es-ES_tradnl"/>
        </w:rPr>
        <w:t>PÉREZ BARBERÁ, Gabriel, “Allanamiento remoto, agente encubierto digital, vigilancia acústica, etc.) Nuevas Tecnologías y libertad probatoria en el proceso penal”. Ponencia llevada a cabo en el IV Encuentro de Profesores de Derecho Procesal Penal, Salta, 2009.</w:t>
      </w:r>
    </w:p>
    <w:p w:rsidR="00691397" w:rsidRPr="001B7DA1" w:rsidRDefault="00691397" w:rsidP="00691397">
      <w:pPr>
        <w:spacing w:line="360" w:lineRule="auto"/>
        <w:ind w:firstLine="708"/>
        <w:jc w:val="both"/>
      </w:pPr>
      <w:r w:rsidRPr="001B7DA1">
        <w:t xml:space="preserve">.- PICCIRILLI, Darío A. “La forensia como herramienta en la pericia informática”, en </w:t>
      </w:r>
      <w:r w:rsidRPr="001B7DA1">
        <w:rPr>
          <w:i/>
        </w:rPr>
        <w:t>Revista Latinoamericana de Ingeniería en Software</w:t>
      </w:r>
      <w:r w:rsidRPr="001B7DA1">
        <w:t>, 2013, Buenos Aíres 2</w:t>
      </w:r>
    </w:p>
    <w:p w:rsidR="00691397" w:rsidRPr="001B7DA1" w:rsidRDefault="00691397" w:rsidP="00691397">
      <w:pPr>
        <w:spacing w:line="360" w:lineRule="auto"/>
        <w:ind w:firstLine="708"/>
        <w:jc w:val="both"/>
        <w:rPr>
          <w:lang w:val="es-ES_tradnl"/>
        </w:rPr>
      </w:pPr>
      <w:r w:rsidRPr="001B7DA1">
        <w:lastRenderedPageBreak/>
        <w:t xml:space="preserve">.- </w:t>
      </w:r>
      <w:r w:rsidRPr="001B7DA1">
        <w:rPr>
          <w:lang w:val="es-ES_tradnl"/>
        </w:rPr>
        <w:t xml:space="preserve">POLANSKY, Jonthan A. </w:t>
      </w:r>
      <w:r w:rsidRPr="001B7DA1">
        <w:rPr>
          <w:i/>
          <w:lang w:val="es-ES_tradnl"/>
        </w:rPr>
        <w:t>Garantías Constitucionales del procedimiento penal en el entorno digital</w:t>
      </w:r>
      <w:r w:rsidRPr="001B7DA1">
        <w:rPr>
          <w:lang w:val="es-ES_tradnl"/>
        </w:rPr>
        <w:t>, Hammurabi, Buenos Aires, 2020.</w:t>
      </w:r>
    </w:p>
    <w:p w:rsidR="00691397" w:rsidRPr="001B7DA1" w:rsidRDefault="00691397" w:rsidP="00691397">
      <w:pPr>
        <w:spacing w:line="360" w:lineRule="auto"/>
        <w:ind w:firstLine="708"/>
        <w:jc w:val="both"/>
      </w:pPr>
      <w:r w:rsidRPr="001B7DA1">
        <w:rPr>
          <w:lang w:val="es-ES_tradnl"/>
        </w:rPr>
        <w:t xml:space="preserve">.- </w:t>
      </w:r>
      <w:r w:rsidRPr="001B7DA1">
        <w:t>PILARCHE, Sergio Luis, “La prueba digital y su valor probatorio en el Proceso Penal”. Editorial: IJ Editores ~ Cita online: IJ-MI-537.</w:t>
      </w:r>
    </w:p>
    <w:p w:rsidR="00691397" w:rsidRPr="001B7DA1" w:rsidRDefault="00691397" w:rsidP="00691397">
      <w:pPr>
        <w:spacing w:line="360" w:lineRule="auto"/>
        <w:ind w:firstLine="708"/>
        <w:jc w:val="both"/>
      </w:pPr>
      <w:r w:rsidRPr="001B7DA1">
        <w:rPr>
          <w:lang w:val="es-ES_tradnl"/>
        </w:rPr>
        <w:t>.- PRESMAN, Gustavo. D. “La cadena de custodia en la</w:t>
      </w:r>
      <w:r w:rsidRPr="001B7DA1">
        <w:t xml:space="preserve"> </w:t>
      </w:r>
      <w:r w:rsidRPr="001B7DA1">
        <w:rPr>
          <w:lang w:val="es-ES_tradnl"/>
        </w:rPr>
        <w:t xml:space="preserve">evidencia digital”, en </w:t>
      </w:r>
      <w:r w:rsidRPr="001B7DA1">
        <w:rPr>
          <w:i/>
          <w:lang w:val="es-ES_tradnl"/>
        </w:rPr>
        <w:t>Cibercrimen II</w:t>
      </w:r>
      <w:r w:rsidRPr="001B7DA1">
        <w:rPr>
          <w:lang w:val="es-ES_tradnl"/>
        </w:rPr>
        <w:t>, dir. Dupuy, D., coord.</w:t>
      </w:r>
      <w:r w:rsidRPr="001B7DA1">
        <w:t xml:space="preserve"> </w:t>
      </w:r>
      <w:r w:rsidRPr="001B7DA1">
        <w:rPr>
          <w:lang w:val="es-ES_tradnl"/>
        </w:rPr>
        <w:t>Kiefer, M. B de F, Buenos Aires, 2018</w:t>
      </w:r>
    </w:p>
    <w:p w:rsidR="00691397" w:rsidRPr="001B7DA1" w:rsidRDefault="00691397" w:rsidP="00691397">
      <w:pPr>
        <w:spacing w:line="360" w:lineRule="auto"/>
        <w:ind w:firstLine="708"/>
        <w:jc w:val="both"/>
      </w:pPr>
      <w:r w:rsidRPr="001B7DA1">
        <w:t>-.</w:t>
      </w:r>
      <w:r w:rsidRPr="001B7DA1">
        <w:rPr>
          <w:rFonts w:eastAsiaTheme="majorEastAsia"/>
        </w:rPr>
        <w:t xml:space="preserve"> </w:t>
      </w:r>
      <w:r w:rsidRPr="001B7DA1">
        <w:t xml:space="preserve">SAIN, Gustavo – AZZOLIN, Horacio, </w:t>
      </w:r>
      <w:r w:rsidRPr="001B7DA1">
        <w:rPr>
          <w:i/>
        </w:rPr>
        <w:t>Delitos informáticos.</w:t>
      </w:r>
      <w:r w:rsidRPr="001B7DA1">
        <w:t xml:space="preserve"> </w:t>
      </w:r>
      <w:r w:rsidRPr="001B7DA1">
        <w:rPr>
          <w:i/>
        </w:rPr>
        <w:t>Investigación criminal, marco legal y peritaje</w:t>
      </w:r>
      <w:r w:rsidRPr="001B7DA1">
        <w:t>, B de F, Montevideo, 2017</w:t>
      </w:r>
    </w:p>
    <w:p w:rsidR="00691397" w:rsidRPr="001B7DA1" w:rsidRDefault="00691397" w:rsidP="00691397">
      <w:pPr>
        <w:spacing w:line="360" w:lineRule="auto"/>
        <w:ind w:firstLine="708"/>
        <w:jc w:val="both"/>
      </w:pPr>
      <w:r w:rsidRPr="001B7DA1">
        <w:t>- SAIN, GUSTAVO, “</w:t>
      </w:r>
      <w:r w:rsidRPr="001B7DA1">
        <w:rPr>
          <w:lang w:val="es-ES_tradnl"/>
        </w:rPr>
        <w:t xml:space="preserve">La evidencia digital en el proceso de investigación criminal”, Boletín de </w:t>
      </w:r>
      <w:r w:rsidRPr="001B7DA1">
        <w:rPr>
          <w:i/>
          <w:lang w:val="es-ES_tradnl"/>
        </w:rPr>
        <w:t>Rubinzal Culzoni</w:t>
      </w:r>
      <w:r w:rsidRPr="001B7DA1">
        <w:rPr>
          <w:lang w:val="es-ES_tradnl"/>
        </w:rPr>
        <w:t>, Cita online: RC D 1312/2015</w:t>
      </w:r>
    </w:p>
    <w:p w:rsidR="00691397" w:rsidRPr="001B7DA1" w:rsidRDefault="00691397" w:rsidP="00691397">
      <w:pPr>
        <w:spacing w:line="360" w:lineRule="auto"/>
        <w:ind w:firstLine="708"/>
        <w:jc w:val="both"/>
      </w:pPr>
      <w:r w:rsidRPr="001B7DA1">
        <w:t xml:space="preserve">- SUEIRO, Carlos Christian, </w:t>
      </w:r>
      <w:r w:rsidRPr="001B7DA1">
        <w:rPr>
          <w:i/>
        </w:rPr>
        <w:t>Vigilancia electrónica y otros modernos medios de prueba. Análisis doctrinal y Jurisprudencial</w:t>
      </w:r>
      <w:r w:rsidRPr="001B7DA1">
        <w:t>. Hammurabi. 2º edición, Buenos Aires, 2019.</w:t>
      </w:r>
    </w:p>
    <w:p w:rsidR="00691397" w:rsidRPr="001B7DA1" w:rsidRDefault="00691397" w:rsidP="00691397">
      <w:pPr>
        <w:spacing w:line="360" w:lineRule="auto"/>
        <w:ind w:firstLine="708"/>
        <w:jc w:val="both"/>
      </w:pPr>
      <w:r w:rsidRPr="001B7DA1">
        <w:rPr>
          <w:lang w:val="es-ES"/>
        </w:rPr>
        <w:t xml:space="preserve">.- </w:t>
      </w:r>
      <w:r w:rsidRPr="001B7DA1">
        <w:rPr>
          <w:color w:val="000000" w:themeColor="text1"/>
          <w:lang w:val="es-ES"/>
        </w:rPr>
        <w:t xml:space="preserve">SUEIRO, Carlos Christian y DOS SANTOS, </w:t>
      </w:r>
      <w:r w:rsidRPr="001B7DA1">
        <w:rPr>
          <w:lang w:val="es-ES"/>
        </w:rPr>
        <w:t xml:space="preserve">Magali. Clase virtual </w:t>
      </w:r>
      <w:r w:rsidRPr="001B7DA1">
        <w:rPr>
          <w:i/>
          <w:lang w:val="es-ES"/>
        </w:rPr>
        <w:t>Aspectos técnicos forenses de la evidencia digital</w:t>
      </w:r>
      <w:r w:rsidRPr="001B7DA1">
        <w:rPr>
          <w:lang w:val="es-ES"/>
        </w:rPr>
        <w:t>, organizada por el Instituto de altos estudios de Derecho, dictada el 8/09/2020. Disponible en internet:</w:t>
      </w:r>
    </w:p>
    <w:p w:rsidR="00691397" w:rsidRPr="001B7DA1" w:rsidRDefault="004D42AB" w:rsidP="00691397">
      <w:pPr>
        <w:spacing w:line="360" w:lineRule="auto"/>
        <w:jc w:val="both"/>
        <w:rPr>
          <w:lang w:val="es-ES"/>
        </w:rPr>
      </w:pPr>
      <w:hyperlink r:id="rId11" w:history="1">
        <w:r w:rsidR="00691397" w:rsidRPr="001B7DA1">
          <w:rPr>
            <w:rStyle w:val="Hipervnculo"/>
            <w:lang w:val="es-ES"/>
          </w:rPr>
          <w:t>https://www.youtube.com/watch?v=a2BcIQAGV5k</w:t>
        </w:r>
      </w:hyperlink>
    </w:p>
    <w:p w:rsidR="00691397" w:rsidRPr="001B7DA1" w:rsidRDefault="00691397" w:rsidP="00691397">
      <w:pPr>
        <w:spacing w:line="360" w:lineRule="auto"/>
        <w:jc w:val="both"/>
        <w:rPr>
          <w:lang w:val="es-ES"/>
        </w:rPr>
      </w:pPr>
    </w:p>
    <w:p w:rsidR="00691397" w:rsidRPr="001B7DA1" w:rsidRDefault="00691397" w:rsidP="00691397">
      <w:pPr>
        <w:spacing w:line="360" w:lineRule="auto"/>
        <w:jc w:val="both"/>
        <w:rPr>
          <w:b/>
          <w:lang w:val="es-ES"/>
        </w:rPr>
      </w:pPr>
    </w:p>
    <w:p w:rsidR="00691397" w:rsidRPr="001B7DA1" w:rsidRDefault="00691397" w:rsidP="00691397">
      <w:pPr>
        <w:snapToGrid w:val="0"/>
        <w:spacing w:before="240" w:line="360" w:lineRule="auto"/>
        <w:jc w:val="both"/>
        <w:rPr>
          <w:b/>
          <w:lang w:val="es-ES"/>
        </w:rPr>
      </w:pPr>
    </w:p>
    <w:p w:rsidR="00691397" w:rsidRPr="001B7DA1" w:rsidRDefault="00691397" w:rsidP="00691397">
      <w:pPr>
        <w:snapToGrid w:val="0"/>
        <w:spacing w:before="240" w:line="360" w:lineRule="auto"/>
        <w:ind w:firstLine="708"/>
        <w:jc w:val="both"/>
        <w:rPr>
          <w:b/>
        </w:rPr>
      </w:pPr>
    </w:p>
    <w:p w:rsidR="00691397" w:rsidRPr="001B7DA1" w:rsidRDefault="00691397" w:rsidP="00691397">
      <w:pPr>
        <w:snapToGrid w:val="0"/>
        <w:spacing w:before="240" w:line="360" w:lineRule="auto"/>
        <w:ind w:firstLine="708"/>
        <w:jc w:val="both"/>
        <w:rPr>
          <w:b/>
        </w:rPr>
      </w:pPr>
    </w:p>
    <w:p w:rsidR="00691397" w:rsidRDefault="00691397">
      <w:pPr>
        <w:snapToGrid w:val="0"/>
        <w:spacing w:before="240" w:line="360" w:lineRule="auto"/>
        <w:ind w:firstLine="708"/>
        <w:jc w:val="both"/>
        <w:rPr>
          <w:rFonts w:eastAsiaTheme="minorHAnsi"/>
          <w:lang w:eastAsia="en-US"/>
        </w:rPr>
      </w:pPr>
    </w:p>
    <w:p w:rsidR="00650FAA" w:rsidRDefault="00650FAA">
      <w:pPr>
        <w:jc w:val="both"/>
        <w:rPr>
          <w:lang w:val="es-ES"/>
        </w:rPr>
      </w:pPr>
    </w:p>
    <w:p w:rsidR="00650FAA" w:rsidRDefault="00650FAA">
      <w:pPr>
        <w:snapToGrid w:val="0"/>
        <w:spacing w:before="240" w:line="360" w:lineRule="auto"/>
        <w:ind w:firstLine="708"/>
        <w:jc w:val="both"/>
        <w:rPr>
          <w:i/>
        </w:rPr>
      </w:pPr>
    </w:p>
    <w:p w:rsidR="00650FAA" w:rsidRDefault="00650FAA"/>
    <w:p w:rsidR="00650FAA" w:rsidRDefault="00650FAA">
      <w:pPr>
        <w:rPr>
          <w:lang w:val="es-ES"/>
        </w:rPr>
      </w:pPr>
    </w:p>
    <w:p w:rsidR="00650FAA" w:rsidRDefault="00650FAA">
      <w:pPr>
        <w:rPr>
          <w:lang w:val="es-ES"/>
        </w:rPr>
      </w:pPr>
    </w:p>
    <w:sectPr w:rsidR="00650FAA">
      <w:footerReference w:type="even" r:id="rId12"/>
      <w:footerReference w:type="default" r:id="rId13"/>
      <w:pgSz w:w="12240" w:h="2016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42AB" w:rsidRDefault="004D42AB">
      <w:r>
        <w:separator/>
      </w:r>
    </w:p>
  </w:endnote>
  <w:endnote w:type="continuationSeparator" w:id="0">
    <w:p w:rsidR="004D42AB" w:rsidRDefault="004D4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Roboto">
    <w:altName w:val="Verdana"/>
    <w:panose1 w:val="00000000000000000000"/>
    <w:charset w:val="00"/>
    <w:family w:val="modern"/>
    <w:notTrueType/>
    <w:pitch w:val="default"/>
    <w:sig w:usb0="00000003" w:usb1="00000000" w:usb2="00000000" w:usb3="00000000" w:csb0="00000001" w:csb1="00000000"/>
  </w:font>
  <w:font w:name="AppleSystemUIFont">
    <w:altName w:val="Calibri"/>
    <w:panose1 w:val="00000000000000000000"/>
    <w:charset w:val="00"/>
    <w:family w:val="auto"/>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829446259"/>
      <w:docPartObj>
        <w:docPartGallery w:val="Page Numbers (Bottom of Page)"/>
        <w:docPartUnique/>
      </w:docPartObj>
    </w:sdtPr>
    <w:sdtEndPr>
      <w:rPr>
        <w:rStyle w:val="Nmerodepgina"/>
      </w:rPr>
    </w:sdtEndPr>
    <w:sdtContent>
      <w:p w:rsidR="00896436" w:rsidRDefault="00896436" w:rsidP="0089643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rsidR="00896436" w:rsidRDefault="00896436" w:rsidP="00551F0C">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094750401"/>
      <w:docPartObj>
        <w:docPartGallery w:val="Page Numbers (Bottom of Page)"/>
        <w:docPartUnique/>
      </w:docPartObj>
    </w:sdtPr>
    <w:sdtEndPr>
      <w:rPr>
        <w:rStyle w:val="Nmerodepgina"/>
      </w:rPr>
    </w:sdtEndPr>
    <w:sdtContent>
      <w:p w:rsidR="00896436" w:rsidRDefault="00896436" w:rsidP="0089643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BB602C">
          <w:rPr>
            <w:rStyle w:val="Nmerodepgina"/>
            <w:noProof/>
          </w:rPr>
          <w:t>1</w:t>
        </w:r>
        <w:r>
          <w:rPr>
            <w:rStyle w:val="Nmerodepgina"/>
          </w:rPr>
          <w:fldChar w:fldCharType="end"/>
        </w:r>
      </w:p>
    </w:sdtContent>
  </w:sdt>
  <w:p w:rsidR="00896436" w:rsidRDefault="00896436" w:rsidP="00551F0C">
    <w:pPr>
      <w:pStyle w:val="Piedepgina"/>
      <w:ind w:right="360"/>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42AB" w:rsidRDefault="004D42AB">
      <w:r>
        <w:separator/>
      </w:r>
    </w:p>
  </w:footnote>
  <w:footnote w:type="continuationSeparator" w:id="0">
    <w:p w:rsidR="004D42AB" w:rsidRDefault="004D42AB">
      <w:r>
        <w:continuationSeparator/>
      </w:r>
    </w:p>
  </w:footnote>
  <w:footnote w:id="1">
    <w:p w:rsidR="00896436" w:rsidRPr="00D42126" w:rsidRDefault="00896436">
      <w:pPr>
        <w:pStyle w:val="Textonotapie"/>
      </w:pPr>
      <w:r>
        <w:rPr>
          <w:rStyle w:val="Refdenotaalpie"/>
        </w:rPr>
        <w:footnoteRef/>
      </w:r>
      <w:r>
        <w:t xml:space="preserve"> </w:t>
      </w:r>
      <w:r w:rsidRPr="00D42126">
        <w:t xml:space="preserve">Sueiro, Carlos Christian, </w:t>
      </w:r>
      <w:r w:rsidRPr="00D42126">
        <w:rPr>
          <w:i/>
        </w:rPr>
        <w:t>Vigilancia electrónica y otros modernos medios de prueba. Análisis doctrinal y Jurisprudencial</w:t>
      </w:r>
      <w:r w:rsidRPr="00D42126">
        <w:t>. Hammurabi. 2º edición, Buenos Aires, 2019, págs. 33 y 34.</w:t>
      </w:r>
    </w:p>
  </w:footnote>
  <w:footnote w:id="2">
    <w:p w:rsidR="00896436" w:rsidRDefault="00896436">
      <w:pPr>
        <w:pStyle w:val="Textonotapie"/>
      </w:pPr>
      <w:r>
        <w:rPr>
          <w:rStyle w:val="Refdenotaalpie"/>
          <w:rFonts w:eastAsiaTheme="majorEastAsia"/>
        </w:rPr>
        <w:footnoteRef/>
      </w:r>
      <w:r>
        <w:t xml:space="preserve"> Guía de prueba electrónica del consejo de Europa, 2013, p. 23.</w:t>
      </w:r>
    </w:p>
  </w:footnote>
  <w:footnote w:id="3">
    <w:p w:rsidR="00896436" w:rsidRDefault="00896436">
      <w:pPr>
        <w:pStyle w:val="Textonotapie"/>
        <w:jc w:val="both"/>
      </w:pPr>
      <w:r>
        <w:rPr>
          <w:rStyle w:val="Refdenotaalpie"/>
          <w:rFonts w:eastAsiaTheme="majorEastAsia"/>
        </w:rPr>
        <w:footnoteRef/>
      </w:r>
      <w:r>
        <w:t xml:space="preserve">Sain, Gustavo, “La evidencia digital en el proceso de investigación criminal”, Boletín de </w:t>
      </w:r>
      <w:r>
        <w:rPr>
          <w:i/>
        </w:rPr>
        <w:t>Rubinzal Culzoni</w:t>
      </w:r>
      <w:r>
        <w:t>, Cita online: RC D 1312/2015.</w:t>
      </w:r>
    </w:p>
  </w:footnote>
  <w:footnote w:id="4">
    <w:p w:rsidR="00896436" w:rsidRDefault="00896436">
      <w:pPr>
        <w:pStyle w:val="Textonotapie"/>
        <w:jc w:val="both"/>
        <w:rPr>
          <w:sz w:val="24"/>
          <w:szCs w:val="24"/>
        </w:rPr>
      </w:pPr>
      <w:r>
        <w:rPr>
          <w:rStyle w:val="Refdenotaalpie"/>
          <w:rFonts w:eastAsiaTheme="majorEastAsia"/>
        </w:rPr>
        <w:footnoteRef/>
      </w:r>
      <w:r>
        <w:t xml:space="preserve"> Sueiro, Carlos Christian, “Vigilancia electrónica …, op. cit., p. 58.</w:t>
      </w:r>
    </w:p>
  </w:footnote>
  <w:footnote w:id="5">
    <w:p w:rsidR="00896436" w:rsidRDefault="00896436">
      <w:pPr>
        <w:pStyle w:val="Textonotapie"/>
        <w:jc w:val="both"/>
      </w:pPr>
      <w:r>
        <w:rPr>
          <w:rStyle w:val="Refdenotaalpie"/>
          <w:rFonts w:eastAsiaTheme="majorEastAsia"/>
        </w:rPr>
        <w:footnoteRef/>
      </w:r>
      <w:r>
        <w:t xml:space="preserve"> Sain, Gustavo – Azzolin, Horacio, </w:t>
      </w:r>
      <w:r>
        <w:rPr>
          <w:i/>
        </w:rPr>
        <w:t>Delitos informáticos.</w:t>
      </w:r>
      <w:r>
        <w:t xml:space="preserve"> </w:t>
      </w:r>
      <w:r>
        <w:rPr>
          <w:i/>
        </w:rPr>
        <w:t>Investigación criminal, marco legal y peritaje</w:t>
      </w:r>
      <w:r>
        <w:t>, B de F, Montevideo, 2017. pág. 23</w:t>
      </w:r>
    </w:p>
  </w:footnote>
  <w:footnote w:id="6">
    <w:p w:rsidR="00896436" w:rsidRDefault="00896436">
      <w:pPr>
        <w:pStyle w:val="Textonotapie"/>
        <w:jc w:val="both"/>
        <w:rPr>
          <w:sz w:val="24"/>
          <w:szCs w:val="24"/>
        </w:rPr>
      </w:pPr>
      <w:r>
        <w:rPr>
          <w:rStyle w:val="Refdenotaalpie"/>
          <w:rFonts w:eastAsiaTheme="majorEastAsia"/>
        </w:rPr>
        <w:footnoteRef/>
      </w:r>
      <w:r>
        <w:t xml:space="preserve"> Sueiro, Carlos Christian, “Vigilancia electrónica …, op. cit., p. 58.</w:t>
      </w:r>
    </w:p>
  </w:footnote>
  <w:footnote w:id="7">
    <w:p w:rsidR="00896436" w:rsidRDefault="00896436">
      <w:pPr>
        <w:pStyle w:val="Textonotapie"/>
        <w:rPr>
          <w:i/>
        </w:rPr>
      </w:pPr>
      <w:r>
        <w:rPr>
          <w:rStyle w:val="Refdenotaalpie"/>
          <w:rFonts w:eastAsiaTheme="majorEastAsia"/>
        </w:rPr>
        <w:footnoteRef/>
      </w:r>
      <w:r>
        <w:t xml:space="preserve"> Sain, Gustavo – Azzolin, Horacio, </w:t>
      </w:r>
      <w:r>
        <w:rPr>
          <w:i/>
        </w:rPr>
        <w:t>Delitos informáticos</w:t>
      </w:r>
      <w:r>
        <w:t>…, op. cit., p. 23.</w:t>
      </w:r>
    </w:p>
  </w:footnote>
  <w:footnote w:id="8">
    <w:p w:rsidR="00896436" w:rsidRDefault="00896436">
      <w:pPr>
        <w:pStyle w:val="Textonotapie"/>
        <w:jc w:val="both"/>
      </w:pPr>
      <w:r>
        <w:rPr>
          <w:rStyle w:val="Refdenotaalpie"/>
          <w:rFonts w:eastAsiaTheme="majorEastAsia"/>
        </w:rPr>
        <w:footnoteRef/>
      </w:r>
      <w:r>
        <w:t xml:space="preserve"> Giovagnoli, María Luz, “Video vigilancia y proceso penal” en </w:t>
      </w:r>
      <w:r>
        <w:rPr>
          <w:i/>
        </w:rPr>
        <w:t>Medios de Prueba en el proceso penal 4. Prueba digital</w:t>
      </w:r>
      <w:r>
        <w:t xml:space="preserve"> (Dir. ORDOÑEZ, PABLO) Ed. Hammurabi, 2021, Buenos Aires, ps. 154 y 155. </w:t>
      </w:r>
    </w:p>
  </w:footnote>
  <w:footnote w:id="9">
    <w:p w:rsidR="00896436" w:rsidRDefault="00896436">
      <w:pPr>
        <w:pStyle w:val="Textonotapie"/>
        <w:jc w:val="both"/>
      </w:pPr>
      <w:r>
        <w:rPr>
          <w:rStyle w:val="Refdenotaalpie"/>
          <w:rFonts w:eastAsiaTheme="majorEastAsia"/>
        </w:rPr>
        <w:footnoteRef/>
      </w:r>
      <w:r>
        <w:t xml:space="preserve"> Ibidem, p. 23.</w:t>
      </w:r>
    </w:p>
  </w:footnote>
  <w:footnote w:id="10">
    <w:p w:rsidR="00896436" w:rsidRDefault="00896436">
      <w:pPr>
        <w:snapToGrid w:val="0"/>
        <w:jc w:val="both"/>
        <w:rPr>
          <w:sz w:val="20"/>
          <w:szCs w:val="20"/>
        </w:rPr>
      </w:pPr>
      <w:r>
        <w:rPr>
          <w:rStyle w:val="Refdenotaalpie"/>
          <w:sz w:val="20"/>
          <w:szCs w:val="20"/>
        </w:rPr>
        <w:footnoteRef/>
      </w:r>
      <w:r>
        <w:rPr>
          <w:sz w:val="20"/>
          <w:szCs w:val="20"/>
        </w:rPr>
        <w:t xml:space="preserve"> Dupuy, Daniela “Litigación &amp; cibercrimen”, </w:t>
      </w:r>
      <w:r>
        <w:rPr>
          <w:i/>
          <w:sz w:val="20"/>
          <w:szCs w:val="20"/>
        </w:rPr>
        <w:t>Experiencias Latinoamericanas</w:t>
      </w:r>
      <w:r>
        <w:rPr>
          <w:sz w:val="20"/>
          <w:szCs w:val="20"/>
        </w:rPr>
        <w:t xml:space="preserve">. Disponible en internet </w:t>
      </w:r>
      <w:r>
        <w:rPr>
          <w:color w:val="202124"/>
          <w:sz w:val="20"/>
          <w:szCs w:val="20"/>
          <w:shd w:val="clear" w:color="auto" w:fill="F8F9FA"/>
        </w:rPr>
        <w:t> </w:t>
      </w:r>
      <w:hyperlink r:id="rId1" w:history="1">
        <w:r>
          <w:rPr>
            <w:rStyle w:val="Hipervnculo"/>
            <w:color w:val="1A0DAB"/>
            <w:sz w:val="20"/>
            <w:szCs w:val="20"/>
            <w:shd w:val="clear" w:color="auto" w:fill="F8F9FA"/>
          </w:rPr>
          <w:t>https://sistemasjudiciales.org/wp-content/uploads/2021/10/4.-SJ24.-Dupuy.pdf</w:t>
        </w:r>
      </w:hyperlink>
      <w:r>
        <w:rPr>
          <w:color w:val="202124"/>
          <w:sz w:val="20"/>
          <w:szCs w:val="20"/>
          <w:shd w:val="clear" w:color="auto" w:fill="F8F9FA"/>
        </w:rPr>
        <w:t>. </w:t>
      </w:r>
    </w:p>
  </w:footnote>
  <w:footnote w:id="11">
    <w:p w:rsidR="00896436" w:rsidRDefault="00896436">
      <w:pPr>
        <w:pStyle w:val="Textonotapie"/>
        <w:jc w:val="both"/>
      </w:pPr>
      <w:r>
        <w:rPr>
          <w:rStyle w:val="Refdenotaalpie"/>
          <w:rFonts w:eastAsiaTheme="majorEastAsia"/>
        </w:rPr>
        <w:footnoteRef/>
      </w:r>
      <w:r>
        <w:t xml:space="preserve"> Sueiro, Carlos Christian, “Vigilancia electrónica …”, op. cit., p. 58.</w:t>
      </w:r>
    </w:p>
  </w:footnote>
  <w:footnote w:id="12">
    <w:p w:rsidR="00896436" w:rsidRDefault="00896436">
      <w:pPr>
        <w:jc w:val="both"/>
        <w:rPr>
          <w:sz w:val="20"/>
          <w:szCs w:val="20"/>
        </w:rPr>
      </w:pPr>
      <w:r>
        <w:rPr>
          <w:rStyle w:val="Refdenotaalpie"/>
          <w:sz w:val="20"/>
          <w:szCs w:val="20"/>
        </w:rPr>
        <w:footnoteRef/>
      </w:r>
      <w:r>
        <w:rPr>
          <w:sz w:val="20"/>
          <w:szCs w:val="20"/>
        </w:rPr>
        <w:t xml:space="preserve"> Gorini, Jorge Luciano, “Estándares probatorios de la evidencia digital en el proceso penal”. Charla impartida el 15/10/21 en el canal de YouTube de la Asociación de Magistrados de Tucumán. Video disponible en internet: </w:t>
      </w:r>
      <w:hyperlink r:id="rId2" w:history="1">
        <w:r>
          <w:rPr>
            <w:rStyle w:val="Hipervnculo"/>
            <w:sz w:val="20"/>
            <w:szCs w:val="20"/>
          </w:rPr>
          <w:t>https://www.youtube.com/watch?v=BTRPCyGlG8M</w:t>
        </w:r>
      </w:hyperlink>
    </w:p>
  </w:footnote>
  <w:footnote w:id="13">
    <w:p w:rsidR="00896436" w:rsidRDefault="00896436">
      <w:pPr>
        <w:pStyle w:val="Textonotapie"/>
        <w:jc w:val="both"/>
      </w:pPr>
      <w:r>
        <w:rPr>
          <w:rStyle w:val="Refdenotaalpie"/>
          <w:rFonts w:eastAsiaTheme="majorEastAsia"/>
        </w:rPr>
        <w:footnoteRef/>
      </w:r>
      <w:r>
        <w:t xml:space="preserve"> González- Cuellar Serrano, Nicolás “Garantías constitucionales de la persecución penal en el entorno digital”, en </w:t>
      </w:r>
      <w:r w:rsidRPr="003E1753">
        <w:rPr>
          <w:i/>
        </w:rPr>
        <w:t>Prueba y proceso penal</w:t>
      </w:r>
      <w:r>
        <w:t>, (Coord. Juan Luis, GOMEZ COLOMER, Tirant Lo Blanch, Valencia, 2008. Pág. 151.</w:t>
      </w:r>
    </w:p>
  </w:footnote>
  <w:footnote w:id="14">
    <w:p w:rsidR="00896436" w:rsidRPr="00241CFC" w:rsidRDefault="00896436">
      <w:pPr>
        <w:autoSpaceDE w:val="0"/>
        <w:autoSpaceDN w:val="0"/>
        <w:adjustRightInd w:val="0"/>
        <w:jc w:val="both"/>
        <w:rPr>
          <w:sz w:val="20"/>
          <w:szCs w:val="20"/>
        </w:rPr>
      </w:pPr>
      <w:r w:rsidRPr="00241CFC">
        <w:rPr>
          <w:rStyle w:val="Refdenotaalpie"/>
          <w:sz w:val="20"/>
          <w:szCs w:val="20"/>
        </w:rPr>
        <w:footnoteRef/>
      </w:r>
      <w:r w:rsidRPr="00241CFC">
        <w:rPr>
          <w:sz w:val="20"/>
          <w:szCs w:val="20"/>
        </w:rPr>
        <w:t xml:space="preserve"> Sain, Gustavo, “La evidencia digital en el proceso…”.</w:t>
      </w:r>
    </w:p>
  </w:footnote>
  <w:footnote w:id="15">
    <w:p w:rsidR="00896436" w:rsidRPr="00241CFC" w:rsidRDefault="00896436">
      <w:pPr>
        <w:snapToGrid w:val="0"/>
        <w:jc w:val="both"/>
        <w:rPr>
          <w:sz w:val="20"/>
          <w:szCs w:val="20"/>
        </w:rPr>
      </w:pPr>
      <w:r w:rsidRPr="00241CFC">
        <w:rPr>
          <w:rStyle w:val="Refdenotaalpie"/>
          <w:sz w:val="20"/>
          <w:szCs w:val="20"/>
        </w:rPr>
        <w:footnoteRef/>
      </w:r>
      <w:r w:rsidRPr="00241CFC">
        <w:rPr>
          <w:sz w:val="20"/>
          <w:szCs w:val="20"/>
        </w:rPr>
        <w:t xml:space="preserve">Dupuy, Daniela, “Litigación &amp; cibercrimen”, </w:t>
      </w:r>
      <w:r w:rsidRPr="00241CFC">
        <w:rPr>
          <w:i/>
          <w:sz w:val="20"/>
          <w:szCs w:val="20"/>
        </w:rPr>
        <w:t>experiencias latinoamericanas</w:t>
      </w:r>
      <w:r w:rsidRPr="00241CFC">
        <w:rPr>
          <w:sz w:val="20"/>
          <w:szCs w:val="20"/>
        </w:rPr>
        <w:t xml:space="preserve">. Disponible en internet </w:t>
      </w:r>
      <w:r w:rsidRPr="00241CFC">
        <w:rPr>
          <w:color w:val="202124"/>
          <w:sz w:val="20"/>
          <w:szCs w:val="20"/>
          <w:shd w:val="clear" w:color="auto" w:fill="F8F9FA"/>
        </w:rPr>
        <w:t> </w:t>
      </w:r>
      <w:hyperlink r:id="rId3" w:history="1">
        <w:r w:rsidRPr="00241CFC">
          <w:rPr>
            <w:rStyle w:val="Hipervnculo"/>
            <w:color w:val="1A0DAB"/>
            <w:sz w:val="20"/>
            <w:szCs w:val="20"/>
            <w:shd w:val="clear" w:color="auto" w:fill="F8F9FA"/>
          </w:rPr>
          <w:t>https://sistemasjudiciales.org/wp-content/uploads/2021/10/4.-SJ24.-Dupuy.pdf</w:t>
        </w:r>
      </w:hyperlink>
      <w:r w:rsidRPr="00241CFC">
        <w:rPr>
          <w:color w:val="202124"/>
          <w:sz w:val="20"/>
          <w:szCs w:val="20"/>
          <w:shd w:val="clear" w:color="auto" w:fill="F8F9FA"/>
        </w:rPr>
        <w:t>. </w:t>
      </w:r>
    </w:p>
  </w:footnote>
  <w:footnote w:id="16">
    <w:p w:rsidR="00896436" w:rsidRPr="00241CFC" w:rsidRDefault="00896436">
      <w:pPr>
        <w:autoSpaceDE w:val="0"/>
        <w:autoSpaceDN w:val="0"/>
        <w:adjustRightInd w:val="0"/>
        <w:jc w:val="both"/>
        <w:rPr>
          <w:sz w:val="20"/>
          <w:szCs w:val="20"/>
        </w:rPr>
      </w:pPr>
      <w:r w:rsidRPr="00241CFC">
        <w:rPr>
          <w:rStyle w:val="Refdenotaalpie"/>
          <w:sz w:val="20"/>
          <w:szCs w:val="20"/>
        </w:rPr>
        <w:footnoteRef/>
      </w:r>
      <w:r w:rsidRPr="00241CFC">
        <w:rPr>
          <w:sz w:val="20"/>
          <w:szCs w:val="20"/>
        </w:rPr>
        <w:t xml:space="preserve"> </w:t>
      </w:r>
      <w:r w:rsidRPr="00241CFC">
        <w:rPr>
          <w:i/>
          <w:sz w:val="20"/>
          <w:szCs w:val="20"/>
        </w:rPr>
        <w:t xml:space="preserve">Ibidem. </w:t>
      </w:r>
      <w:r w:rsidRPr="00241CFC">
        <w:rPr>
          <w:sz w:val="20"/>
          <w:szCs w:val="20"/>
        </w:rPr>
        <w:t xml:space="preserve">Explica Dupuy que la solución puede encontrarse determinando en qué lugar se entiende cometido el hecho. Hay tres teorías: </w:t>
      </w:r>
      <w:r w:rsidRPr="00092732">
        <w:rPr>
          <w:b/>
          <w:sz w:val="20"/>
          <w:szCs w:val="20"/>
        </w:rPr>
        <w:t>1) la teoría de la actividad:</w:t>
      </w:r>
      <w:r w:rsidRPr="00241CFC">
        <w:rPr>
          <w:sz w:val="20"/>
          <w:szCs w:val="20"/>
        </w:rPr>
        <w:t xml:space="preserve"> el delito se entiende cometido donde el sujeto lleva a cabo externamente la conducta delictiva; </w:t>
      </w:r>
      <w:r w:rsidRPr="00092732">
        <w:rPr>
          <w:b/>
          <w:sz w:val="20"/>
          <w:szCs w:val="20"/>
        </w:rPr>
        <w:t>2) la teoría del resultado:</w:t>
      </w:r>
      <w:r w:rsidRPr="00241CFC">
        <w:rPr>
          <w:sz w:val="20"/>
          <w:szCs w:val="20"/>
        </w:rPr>
        <w:t xml:space="preserve"> el delito se perpetra donde tiene lugar el resultado; y </w:t>
      </w:r>
      <w:r w:rsidRPr="00092732">
        <w:rPr>
          <w:b/>
          <w:sz w:val="20"/>
          <w:szCs w:val="20"/>
        </w:rPr>
        <w:t>3) la teoría de la ubicuidad:</w:t>
      </w:r>
      <w:r w:rsidRPr="00241CFC">
        <w:rPr>
          <w:sz w:val="20"/>
          <w:szCs w:val="20"/>
        </w:rPr>
        <w:t xml:space="preserve"> el delito se entiende cometido donde se lleva a cabo la actividad o se manifiesta el resultado. La última tiene mayor aceptación en </w:t>
      </w:r>
      <w:r>
        <w:rPr>
          <w:sz w:val="20"/>
          <w:szCs w:val="20"/>
        </w:rPr>
        <w:t>D</w:t>
      </w:r>
      <w:r w:rsidRPr="00241CFC">
        <w:rPr>
          <w:sz w:val="20"/>
          <w:szCs w:val="20"/>
        </w:rPr>
        <w:t>erecho comparado (9.1 del Código Penal alemán; TS España sala 2, del 30/11/2017).</w:t>
      </w:r>
    </w:p>
  </w:footnote>
  <w:footnote w:id="17">
    <w:p w:rsidR="00896436" w:rsidRDefault="00896436" w:rsidP="000F75B7">
      <w:pPr>
        <w:pStyle w:val="Textonotapie"/>
        <w:jc w:val="both"/>
      </w:pPr>
      <w:r w:rsidRPr="00241CFC">
        <w:rPr>
          <w:rStyle w:val="Refdenotaalpie"/>
          <w:rFonts w:eastAsiaTheme="majorEastAsia"/>
        </w:rPr>
        <w:footnoteRef/>
      </w:r>
      <w:r w:rsidRPr="00241CFC">
        <w:t xml:space="preserve"> Arias, Carolina I., “Investigación forense: allanamientos digitales y pericias informáticas en redes sociales” en </w:t>
      </w:r>
      <w:r w:rsidRPr="00241CFC">
        <w:rPr>
          <w:i/>
        </w:rPr>
        <w:t>Medios de Prueba en el proceso penal 4. Prueba digital</w:t>
      </w:r>
      <w:r w:rsidRPr="00241CFC">
        <w:t>. (Dir. ORDOÑEZ PABLO). Ed. Hammurabi, 2021, Buenos Aires, 28.</w:t>
      </w:r>
    </w:p>
  </w:footnote>
  <w:footnote w:id="18">
    <w:p w:rsidR="00896436" w:rsidRDefault="00896436" w:rsidP="000F75B7">
      <w:pPr>
        <w:pStyle w:val="Textonotapie"/>
        <w:jc w:val="both"/>
      </w:pPr>
      <w:r>
        <w:rPr>
          <w:rStyle w:val="Refdenotaalpie"/>
          <w:rFonts w:eastAsiaTheme="majorEastAsia"/>
        </w:rPr>
        <w:footnoteRef/>
      </w:r>
      <w:r>
        <w:t xml:space="preserve"> Piccirilli, Darío A. “La forensia como herramienta en la pericia informática”, en </w:t>
      </w:r>
      <w:r>
        <w:rPr>
          <w:i/>
        </w:rPr>
        <w:t>Revista Latinoamericana de Ingeniería en Software</w:t>
      </w:r>
      <w:r>
        <w:t>, 2013, Buenos Aíres 2, p. 238.</w:t>
      </w:r>
    </w:p>
  </w:footnote>
  <w:footnote w:id="19">
    <w:p w:rsidR="00896436" w:rsidRPr="000F75B7" w:rsidRDefault="00896436" w:rsidP="000F75B7">
      <w:pPr>
        <w:pStyle w:val="Textonotapie"/>
      </w:pPr>
      <w:r>
        <w:rPr>
          <w:rStyle w:val="Refdenotaalpie"/>
        </w:rPr>
        <w:footnoteRef/>
      </w:r>
      <w:r>
        <w:t xml:space="preserve"> En el Código Procesal Penal de la Nación se encuentra regulado en art. 193, y en Mendoza en el Art. 205.</w:t>
      </w:r>
    </w:p>
  </w:footnote>
  <w:footnote w:id="20">
    <w:p w:rsidR="00896436" w:rsidRDefault="00896436" w:rsidP="000F75B7">
      <w:pPr>
        <w:snapToGrid w:val="0"/>
        <w:jc w:val="both"/>
        <w:rPr>
          <w:sz w:val="20"/>
          <w:szCs w:val="20"/>
        </w:rPr>
      </w:pPr>
      <w:r>
        <w:rPr>
          <w:rStyle w:val="Refdenotaalpie"/>
          <w:sz w:val="20"/>
          <w:szCs w:val="20"/>
        </w:rPr>
        <w:footnoteRef/>
      </w:r>
      <w:r>
        <w:rPr>
          <w:sz w:val="20"/>
          <w:szCs w:val="20"/>
        </w:rPr>
        <w:t xml:space="preserve"> En este sentido, ver Cafferata Nores, José. I. – Hairabedián, Maximiliano, </w:t>
      </w:r>
      <w:r w:rsidRPr="000F75B7">
        <w:rPr>
          <w:i/>
          <w:sz w:val="20"/>
          <w:szCs w:val="20"/>
        </w:rPr>
        <w:t>La prueba en el Proceso Penal</w:t>
      </w:r>
      <w:r>
        <w:rPr>
          <w:sz w:val="20"/>
          <w:szCs w:val="20"/>
        </w:rPr>
        <w:t>, Abeledo-Perrot, Buenos Aires, 6a ed., pp. 49 y ss.</w:t>
      </w:r>
    </w:p>
  </w:footnote>
  <w:footnote w:id="21">
    <w:p w:rsidR="00896436" w:rsidRDefault="00896436" w:rsidP="000F75B7">
      <w:pPr>
        <w:snapToGrid w:val="0"/>
        <w:jc w:val="both"/>
        <w:rPr>
          <w:sz w:val="20"/>
          <w:szCs w:val="20"/>
        </w:rPr>
      </w:pPr>
      <w:r>
        <w:rPr>
          <w:rStyle w:val="Refdenotaalpie"/>
          <w:sz w:val="20"/>
          <w:szCs w:val="20"/>
        </w:rPr>
        <w:footnoteRef/>
      </w:r>
      <w:r>
        <w:rPr>
          <w:sz w:val="20"/>
          <w:szCs w:val="20"/>
        </w:rPr>
        <w:t xml:space="preserve"> Pérez Barberá, Gabriel, “Allanamiento remoto, agente encubierto digital, vigilancia acústica, etc.) Nuevas Tecnologías y libertad probatoria en el proceso penal”. Ponencia llevada a cabo en el IV Encuentro de Profesores de Derecho Procesal Penal, Salta, 2009.</w:t>
      </w:r>
    </w:p>
  </w:footnote>
  <w:footnote w:id="22">
    <w:p w:rsidR="00896436" w:rsidRDefault="00896436">
      <w:pPr>
        <w:pStyle w:val="Textonotapie"/>
        <w:jc w:val="both"/>
        <w:rPr>
          <w:lang w:val="es-ES"/>
        </w:rPr>
      </w:pPr>
      <w:r>
        <w:rPr>
          <w:rStyle w:val="Refdenotaalpie"/>
        </w:rPr>
        <w:footnoteRef/>
      </w:r>
      <w:r>
        <w:t xml:space="preserve"> Mientas tal legislación procesal no exista, consideramos que la evidencia digital puede ser aportada al proceso, siempre que se cumplan los recaudos que analizaremos en el capítulo siguiente.</w:t>
      </w:r>
    </w:p>
  </w:footnote>
  <w:footnote w:id="23">
    <w:p w:rsidR="00896436" w:rsidRDefault="00896436">
      <w:pPr>
        <w:snapToGrid w:val="0"/>
        <w:jc w:val="both"/>
        <w:rPr>
          <w:rFonts w:eastAsiaTheme="minorHAnsi"/>
          <w:sz w:val="20"/>
          <w:szCs w:val="20"/>
          <w:lang w:eastAsia="en-US"/>
        </w:rPr>
      </w:pPr>
      <w:r>
        <w:rPr>
          <w:rStyle w:val="Refdenotaalpie"/>
          <w:sz w:val="20"/>
          <w:szCs w:val="20"/>
        </w:rPr>
        <w:footnoteRef/>
      </w:r>
      <w:r>
        <w:rPr>
          <w:sz w:val="20"/>
          <w:szCs w:val="20"/>
        </w:rPr>
        <w:t xml:space="preserve"> </w:t>
      </w:r>
      <w:r>
        <w:rPr>
          <w:rFonts w:eastAsiaTheme="minorHAnsi"/>
          <w:sz w:val="20"/>
          <w:szCs w:val="20"/>
          <w:lang w:eastAsia="en-US"/>
        </w:rPr>
        <w:t>En este sentido, cabe destacar que el Comité de Derechos Humanos de las Naciones</w:t>
      </w:r>
      <w:r>
        <w:rPr>
          <w:sz w:val="20"/>
          <w:szCs w:val="20"/>
        </w:rPr>
        <w:t xml:space="preserve"> </w:t>
      </w:r>
      <w:r>
        <w:rPr>
          <w:rFonts w:eastAsiaTheme="minorHAnsi"/>
          <w:sz w:val="20"/>
          <w:szCs w:val="20"/>
          <w:lang w:eastAsia="en-US"/>
        </w:rPr>
        <w:t>Unidas ha sostenido que “[l]as medidas restrictivas deben ajustarse al principio de</w:t>
      </w:r>
      <w:r>
        <w:rPr>
          <w:sz w:val="20"/>
          <w:szCs w:val="20"/>
        </w:rPr>
        <w:t xml:space="preserve"> </w:t>
      </w:r>
      <w:r>
        <w:rPr>
          <w:rFonts w:eastAsiaTheme="minorHAnsi"/>
          <w:sz w:val="20"/>
          <w:szCs w:val="20"/>
          <w:lang w:eastAsia="en-US"/>
        </w:rPr>
        <w:t>proporcionalidad; deben ser adecuadas para desempeñar su función protectora; deben ser el</w:t>
      </w:r>
      <w:r>
        <w:rPr>
          <w:sz w:val="20"/>
          <w:szCs w:val="20"/>
        </w:rPr>
        <w:t xml:space="preserve"> </w:t>
      </w:r>
      <w:r>
        <w:rPr>
          <w:rFonts w:eastAsiaTheme="minorHAnsi"/>
          <w:sz w:val="20"/>
          <w:szCs w:val="20"/>
          <w:lang w:eastAsia="en-US"/>
        </w:rPr>
        <w:t>instrumento menos perturbador de los que permitan conseguir el resultado deseado, y deben</w:t>
      </w:r>
      <w:r>
        <w:rPr>
          <w:sz w:val="20"/>
          <w:szCs w:val="20"/>
        </w:rPr>
        <w:t xml:space="preserve"> </w:t>
      </w:r>
      <w:r>
        <w:rPr>
          <w:rFonts w:eastAsiaTheme="minorHAnsi"/>
          <w:sz w:val="20"/>
          <w:szCs w:val="20"/>
          <w:lang w:eastAsia="en-US"/>
        </w:rPr>
        <w:t>guardar proporción con el interés que debe protegerse. El principio de proporcionalidad debe</w:t>
      </w:r>
      <w:r>
        <w:rPr>
          <w:sz w:val="20"/>
          <w:szCs w:val="20"/>
        </w:rPr>
        <w:t xml:space="preserve"> </w:t>
      </w:r>
      <w:r>
        <w:rPr>
          <w:rFonts w:eastAsiaTheme="minorHAnsi"/>
          <w:sz w:val="20"/>
          <w:szCs w:val="20"/>
          <w:lang w:eastAsia="en-US"/>
        </w:rPr>
        <w:t>respetarse no solo en la ley que defina las restricciones, sino también por las autoridades</w:t>
      </w:r>
      <w:r>
        <w:rPr>
          <w:sz w:val="20"/>
          <w:szCs w:val="20"/>
        </w:rPr>
        <w:t xml:space="preserve"> </w:t>
      </w:r>
      <w:r>
        <w:rPr>
          <w:rFonts w:eastAsiaTheme="minorHAnsi"/>
          <w:sz w:val="20"/>
          <w:szCs w:val="20"/>
          <w:lang w:eastAsia="en-US"/>
        </w:rPr>
        <w:t>administrativas y judiciales que la apliquen”. Comité de Derechos Humanos de Naciones Unidas, Observación General N° 34, de 21 de julio de 2011, sobre “El Derecho a la Libertad de Opinión y de Expresión Garantizado en el Artículo 19 del Pacto Internacional de Derechos Civiles y Políticos”, párrafo 34.</w:t>
      </w:r>
    </w:p>
  </w:footnote>
  <w:footnote w:id="24">
    <w:p w:rsidR="00896436" w:rsidRDefault="00896436">
      <w:pPr>
        <w:jc w:val="both"/>
        <w:rPr>
          <w:sz w:val="20"/>
          <w:szCs w:val="20"/>
          <w:lang w:val="es-ES"/>
        </w:rPr>
      </w:pPr>
      <w:r>
        <w:rPr>
          <w:rStyle w:val="Refdenotaalpie"/>
          <w:sz w:val="20"/>
          <w:szCs w:val="20"/>
        </w:rPr>
        <w:footnoteRef/>
      </w:r>
      <w:r>
        <w:rPr>
          <w:sz w:val="20"/>
          <w:szCs w:val="20"/>
        </w:rPr>
        <w:t xml:space="preserve"> El </w:t>
      </w:r>
      <w:r>
        <w:rPr>
          <w:sz w:val="20"/>
          <w:szCs w:val="20"/>
          <w:lang w:val="es-ES"/>
        </w:rPr>
        <w:t>Primer proyecto fue presentado el 30 de octubre de 2018 (</w:t>
      </w:r>
      <w:r>
        <w:rPr>
          <w:sz w:val="20"/>
          <w:szCs w:val="20"/>
        </w:rPr>
        <w:t xml:space="preserve">Expte. Nro.: 0000072000) pero no tuvo éxito.  </w:t>
      </w:r>
    </w:p>
  </w:footnote>
  <w:footnote w:id="25">
    <w:p w:rsidR="00896436" w:rsidRDefault="00896436">
      <w:pPr>
        <w:shd w:val="clear" w:color="auto" w:fill="FDFDFD"/>
        <w:jc w:val="both"/>
        <w:rPr>
          <w:color w:val="303030"/>
          <w:sz w:val="20"/>
          <w:szCs w:val="20"/>
        </w:rPr>
      </w:pPr>
      <w:r>
        <w:rPr>
          <w:rStyle w:val="Refdenotaalpie"/>
          <w:color w:val="000000" w:themeColor="text1"/>
          <w:sz w:val="20"/>
          <w:szCs w:val="20"/>
        </w:rPr>
        <w:footnoteRef/>
      </w:r>
      <w:r>
        <w:rPr>
          <w:color w:val="000000" w:themeColor="text1"/>
          <w:sz w:val="20"/>
          <w:szCs w:val="20"/>
        </w:rPr>
        <w:t xml:space="preserve"> A tal efecto, véase:</w:t>
      </w:r>
      <w:r>
        <w:rPr>
          <w:bCs/>
          <w:color w:val="000000" w:themeColor="text1"/>
          <w:kern w:val="36"/>
          <w:sz w:val="20"/>
          <w:szCs w:val="20"/>
        </w:rPr>
        <w:t xml:space="preserve"> “El fiscal Santiago Garay propuso la creación del agente encubierto para casos graves”. Diario Uno. Nota publicada el 3/11/2021. Disponible en internet</w:t>
      </w:r>
      <w:r>
        <w:rPr>
          <w:bCs/>
          <w:color w:val="303030"/>
          <w:kern w:val="36"/>
          <w:sz w:val="20"/>
          <w:szCs w:val="20"/>
        </w:rPr>
        <w:t xml:space="preserve">: </w:t>
      </w:r>
      <w:hyperlink r:id="rId4" w:history="1">
        <w:r>
          <w:rPr>
            <w:rStyle w:val="Hipervnculo"/>
            <w:sz w:val="20"/>
            <w:szCs w:val="20"/>
          </w:rPr>
          <w:t>https://www.diariouno.com.ar/politica/el-fiscal-santiago-garay-propuso-la-creacion-del-agente-encubierto-casos-graves-n874288</w:t>
        </w:r>
      </w:hyperlink>
    </w:p>
  </w:footnote>
  <w:footnote w:id="26">
    <w:p w:rsidR="00896436" w:rsidRDefault="00896436">
      <w:pPr>
        <w:pStyle w:val="Textonotapie"/>
        <w:jc w:val="both"/>
        <w:rPr>
          <w:lang w:val="es-ES"/>
        </w:rPr>
      </w:pPr>
      <w:r>
        <w:rPr>
          <w:rStyle w:val="Refdenotaalpie"/>
          <w:rFonts w:eastAsiaTheme="majorEastAsia"/>
        </w:rPr>
        <w:footnoteRef/>
      </w:r>
      <w:r>
        <w:t xml:space="preserve"> </w:t>
      </w:r>
      <w:r>
        <w:rPr>
          <w:lang w:val="es-ES"/>
        </w:rPr>
        <w:t xml:space="preserve">Cafferata Nores, José I.- Hairabedián, Maximiliano, </w:t>
      </w:r>
      <w:r>
        <w:rPr>
          <w:i/>
          <w:lang w:val="es-ES"/>
        </w:rPr>
        <w:t>La prueba en el proceso penal. Con especial referencia a los códigos procesales penales de la Nación y de la provincia de Córdoba</w:t>
      </w:r>
      <w:r>
        <w:rPr>
          <w:lang w:val="es-ES"/>
        </w:rPr>
        <w:t xml:space="preserve">, Abeledo Perrot, 7ª ed, Buenos Aires, 2011, ps. 46 y 47. </w:t>
      </w:r>
    </w:p>
  </w:footnote>
  <w:footnote w:id="27">
    <w:p w:rsidR="00896436" w:rsidRDefault="00896436">
      <w:pPr>
        <w:snapToGrid w:val="0"/>
        <w:jc w:val="both"/>
        <w:rPr>
          <w:sz w:val="20"/>
          <w:szCs w:val="20"/>
        </w:rPr>
      </w:pPr>
      <w:r>
        <w:rPr>
          <w:rStyle w:val="Refdenotaalpie"/>
          <w:sz w:val="20"/>
          <w:szCs w:val="20"/>
        </w:rPr>
        <w:footnoteRef/>
      </w:r>
      <w:r>
        <w:rPr>
          <w:sz w:val="20"/>
          <w:szCs w:val="20"/>
        </w:rPr>
        <w:t xml:space="preserve"> </w:t>
      </w:r>
      <w:r>
        <w:rPr>
          <w:sz w:val="20"/>
          <w:szCs w:val="20"/>
          <w:lang w:val="es-ES"/>
        </w:rPr>
        <w:t xml:space="preserve">En tal sentido se dicho </w:t>
      </w:r>
      <w:r>
        <w:rPr>
          <w:sz w:val="20"/>
          <w:szCs w:val="20"/>
        </w:rPr>
        <w:t xml:space="preserve">“[…] los juristas no podemos morir de fascinación y tampoco de negación. La tecnología se ha convertido en un elemento fundamental en nuestras vidas. Por ello, tenemos que estar atentos a ella”. </w:t>
      </w:r>
      <w:r>
        <w:rPr>
          <w:color w:val="000000" w:themeColor="text1"/>
          <w:sz w:val="20"/>
          <w:szCs w:val="20"/>
        </w:rPr>
        <w:t xml:space="preserve">Barona Vilar, Silvia, ponencia “La incidencia de la Inteligencia Artificial en los ordenamientos juridicos”. Seminario virtual: </w:t>
      </w:r>
      <w:r>
        <w:rPr>
          <w:i/>
          <w:color w:val="000000" w:themeColor="text1"/>
          <w:sz w:val="20"/>
          <w:szCs w:val="20"/>
        </w:rPr>
        <w:t>La prueba y las nuevas tecnologias</w:t>
      </w:r>
      <w:r>
        <w:rPr>
          <w:color w:val="000000" w:themeColor="text1"/>
          <w:sz w:val="20"/>
          <w:szCs w:val="20"/>
        </w:rPr>
        <w:t>, Universidad de Sevilla, fecha 8/10/21.</w:t>
      </w:r>
    </w:p>
  </w:footnote>
  <w:footnote w:id="28">
    <w:p w:rsidR="00896436" w:rsidRDefault="00896436">
      <w:pPr>
        <w:pStyle w:val="Textonotapie"/>
        <w:jc w:val="both"/>
      </w:pPr>
      <w:r>
        <w:rPr>
          <w:rStyle w:val="Refdenotaalpie"/>
        </w:rPr>
        <w:footnoteRef/>
      </w:r>
      <w:r>
        <w:t xml:space="preserve"> Marquez, Iván M.- P</w:t>
      </w:r>
      <w:r w:rsidRPr="00F1791F">
        <w:t>erzan</w:t>
      </w:r>
      <w:r>
        <w:t xml:space="preserve">, María Cecilia, “Acerca de los nuevos límites en materia coercitiva estatal. Dospositivos móviles: su acceso mediante códigos de bloqueo y/o datos biométricos” en </w:t>
      </w:r>
      <w:r>
        <w:rPr>
          <w:i/>
        </w:rPr>
        <w:t>Medios de Prueba en el proceso penal 4. Prueba digital</w:t>
      </w:r>
      <w:r>
        <w:t>. (Dir. Ordoñez Pablo). Ed. Hammurabi, 2021, Buenos Aires, pág. 241.</w:t>
      </w:r>
    </w:p>
  </w:footnote>
  <w:footnote w:id="29">
    <w:p w:rsidR="00896436" w:rsidRDefault="00896436">
      <w:pPr>
        <w:pStyle w:val="Textonotapie"/>
        <w:jc w:val="both"/>
        <w:rPr>
          <w:lang w:val="es-ES"/>
        </w:rPr>
      </w:pPr>
      <w:r>
        <w:rPr>
          <w:rStyle w:val="Refdenotaalpie"/>
          <w:rFonts w:eastAsiaTheme="majorEastAsia"/>
        </w:rPr>
        <w:footnoteRef/>
      </w:r>
      <w:r>
        <w:t xml:space="preserve"> Resolución 756/2016, del 31 de marzo de 2016.</w:t>
      </w:r>
    </w:p>
  </w:footnote>
  <w:footnote w:id="30">
    <w:p w:rsidR="00896436" w:rsidRDefault="00896436">
      <w:pPr>
        <w:pStyle w:val="Textonotapie"/>
        <w:jc w:val="both"/>
        <w:rPr>
          <w:lang w:val="en-US"/>
        </w:rPr>
      </w:pPr>
      <w:r>
        <w:rPr>
          <w:rStyle w:val="Refdenotaalpie"/>
          <w:rFonts w:eastAsiaTheme="majorEastAsia"/>
        </w:rPr>
        <w:footnoteRef/>
      </w:r>
      <w:r>
        <w:t xml:space="preserve"> Directrices para identificación, adquisición y preservación de la evidencia digital, establecen criterios que aseguran la identificación, recopilación, adquisición y preservación de la evidencia digital. </w:t>
      </w:r>
      <w:r>
        <w:rPr>
          <w:i/>
          <w:lang w:val="en-US"/>
        </w:rPr>
        <w:t>Guidelines for Identification, Collection, Acquisition and Preservation of Digital Evidence</w:t>
      </w:r>
      <w:r>
        <w:rPr>
          <w:lang w:val="en-US"/>
        </w:rPr>
        <w:t>, www.iso.org</w:t>
      </w:r>
    </w:p>
  </w:footnote>
  <w:footnote w:id="31">
    <w:p w:rsidR="00896436" w:rsidRDefault="00896436">
      <w:pPr>
        <w:snapToGrid w:val="0"/>
        <w:jc w:val="both"/>
        <w:rPr>
          <w:color w:val="FCB26B"/>
          <w:sz w:val="20"/>
          <w:szCs w:val="20"/>
        </w:rPr>
      </w:pPr>
      <w:r>
        <w:rPr>
          <w:rStyle w:val="Refdenotaalpie"/>
          <w:sz w:val="20"/>
          <w:szCs w:val="20"/>
        </w:rPr>
        <w:footnoteRef/>
      </w:r>
      <w:r>
        <w:rPr>
          <w:sz w:val="20"/>
          <w:szCs w:val="20"/>
        </w:rPr>
        <w:t xml:space="preserve"> Por su parte, Dupuy destaca la importancia de otros intrumentos internacionales, tales como: Protocolo elaborado por el Instituto Nacional de Justicia del Departamento de Justicia de Estados Unidos. </w:t>
      </w:r>
      <w:r>
        <w:rPr>
          <w:color w:val="000000"/>
          <w:sz w:val="20"/>
          <w:szCs w:val="20"/>
        </w:rPr>
        <w:t>En Europa, los lineamientos</w:t>
      </w:r>
      <w:r>
        <w:rPr>
          <w:sz w:val="20"/>
          <w:szCs w:val="20"/>
        </w:rPr>
        <w:t xml:space="preserve"> </w:t>
      </w:r>
      <w:r>
        <w:rPr>
          <w:color w:val="000000"/>
          <w:sz w:val="20"/>
          <w:szCs w:val="20"/>
        </w:rPr>
        <w:t xml:space="preserve">establecidos por la </w:t>
      </w:r>
      <w:r>
        <w:rPr>
          <w:i/>
          <w:color w:val="000000"/>
          <w:sz w:val="20"/>
          <w:szCs w:val="20"/>
        </w:rPr>
        <w:t>Association of Chief Police</w:t>
      </w:r>
      <w:r>
        <w:rPr>
          <w:i/>
          <w:sz w:val="20"/>
          <w:szCs w:val="20"/>
        </w:rPr>
        <w:t xml:space="preserve"> </w:t>
      </w:r>
      <w:r>
        <w:rPr>
          <w:i/>
          <w:color w:val="000000"/>
          <w:sz w:val="20"/>
          <w:szCs w:val="20"/>
        </w:rPr>
        <w:t xml:space="preserve">Officers </w:t>
      </w:r>
      <w:r>
        <w:rPr>
          <w:color w:val="000000"/>
          <w:sz w:val="20"/>
          <w:szCs w:val="20"/>
        </w:rPr>
        <w:t>del Reino Unido.</w:t>
      </w:r>
      <w:r>
        <w:rPr>
          <w:color w:val="FCB26B"/>
          <w:sz w:val="20"/>
          <w:szCs w:val="20"/>
        </w:rPr>
        <w:t xml:space="preserve"> </w:t>
      </w:r>
      <w:r>
        <w:rPr>
          <w:sz w:val="20"/>
          <w:szCs w:val="20"/>
        </w:rPr>
        <w:t xml:space="preserve">Dupuy, “Litigación &amp; cibercrimen”, </w:t>
      </w:r>
      <w:r>
        <w:rPr>
          <w:i/>
          <w:sz w:val="20"/>
          <w:szCs w:val="20"/>
        </w:rPr>
        <w:t>Experiencias Latinoamericanas</w:t>
      </w:r>
      <w:r>
        <w:rPr>
          <w:sz w:val="20"/>
          <w:szCs w:val="20"/>
        </w:rPr>
        <w:t xml:space="preserve">. Disponible en internet </w:t>
      </w:r>
      <w:r>
        <w:rPr>
          <w:color w:val="202124"/>
          <w:sz w:val="20"/>
          <w:szCs w:val="20"/>
          <w:shd w:val="clear" w:color="auto" w:fill="F8F9FA"/>
        </w:rPr>
        <w:t> </w:t>
      </w:r>
      <w:hyperlink r:id="rId5" w:history="1">
        <w:r>
          <w:rPr>
            <w:rStyle w:val="Hipervnculo"/>
            <w:color w:val="1A0DAB"/>
            <w:sz w:val="20"/>
            <w:szCs w:val="20"/>
            <w:shd w:val="clear" w:color="auto" w:fill="F8F9FA"/>
          </w:rPr>
          <w:t>https://sistemasjudiciales.org/wp-content/uploads/2021/10/4.-SJ24.-Dupuy.pdf</w:t>
        </w:r>
      </w:hyperlink>
      <w:r>
        <w:rPr>
          <w:color w:val="202124"/>
          <w:sz w:val="20"/>
          <w:szCs w:val="20"/>
          <w:shd w:val="clear" w:color="auto" w:fill="F8F9FA"/>
        </w:rPr>
        <w:t>. </w:t>
      </w:r>
    </w:p>
  </w:footnote>
  <w:footnote w:id="32">
    <w:p w:rsidR="00896436" w:rsidRPr="00A77A5A" w:rsidRDefault="00896436" w:rsidP="00A77A5A">
      <w:pPr>
        <w:jc w:val="both"/>
        <w:rPr>
          <w:color w:val="000000" w:themeColor="text1"/>
          <w:sz w:val="20"/>
          <w:szCs w:val="20"/>
        </w:rPr>
      </w:pPr>
      <w:r w:rsidRPr="00A77A5A">
        <w:rPr>
          <w:rStyle w:val="Refdenotaalpie"/>
          <w:sz w:val="20"/>
          <w:szCs w:val="20"/>
        </w:rPr>
        <w:footnoteRef/>
      </w:r>
      <w:r w:rsidRPr="00A77A5A">
        <w:rPr>
          <w:sz w:val="20"/>
          <w:szCs w:val="20"/>
        </w:rPr>
        <w:t xml:space="preserve"> Enseña Presman que la cadena de custodia es el conjunto de documentos sobre los elementos de prueba que permitirán asegurar y demostrar la identidad, integridad, preservación y registro de la evidencia digital. Presman, Gustavo. D. “La cadena de custodia en la evidencia digital”, en </w:t>
      </w:r>
      <w:r w:rsidRPr="00A77A5A">
        <w:rPr>
          <w:i/>
          <w:sz w:val="20"/>
          <w:szCs w:val="20"/>
        </w:rPr>
        <w:t>Cibercrimen II</w:t>
      </w:r>
      <w:r w:rsidRPr="00A77A5A">
        <w:rPr>
          <w:sz w:val="20"/>
          <w:szCs w:val="20"/>
        </w:rPr>
        <w:t>, dir. Dupuy, D., coord. Kiefer, M. B de F, Buenos Aires, 2018, p.318 y ss.</w:t>
      </w:r>
      <w:r w:rsidRPr="00A77A5A">
        <w:rPr>
          <w:color w:val="000000" w:themeColor="text1"/>
          <w:sz w:val="20"/>
          <w:szCs w:val="20"/>
        </w:rPr>
        <w:t xml:space="preserve"> </w:t>
      </w:r>
    </w:p>
    <w:p w:rsidR="00896436" w:rsidRPr="00A77A5A" w:rsidRDefault="00896436" w:rsidP="00A77A5A">
      <w:pPr>
        <w:jc w:val="both"/>
        <w:rPr>
          <w:sz w:val="20"/>
          <w:szCs w:val="20"/>
        </w:rPr>
      </w:pPr>
      <w:r w:rsidRPr="00A77A5A">
        <w:rPr>
          <w:color w:val="000000" w:themeColor="text1"/>
          <w:sz w:val="20"/>
          <w:szCs w:val="20"/>
        </w:rPr>
        <w:t xml:space="preserve">Por su parte </w:t>
      </w:r>
      <w:r w:rsidRPr="00A77A5A">
        <w:rPr>
          <w:sz w:val="20"/>
          <w:szCs w:val="20"/>
        </w:rPr>
        <w:t>Pilarche</w:t>
      </w:r>
      <w:r w:rsidRPr="00A77A5A">
        <w:rPr>
          <w:color w:val="000000" w:themeColor="text1"/>
          <w:sz w:val="20"/>
          <w:szCs w:val="20"/>
        </w:rPr>
        <w:t xml:space="preserve"> aclara que la cadena de custodia del material secuestrado, adquiere un valor superlativo, con el objeto de mantener la autenticidad, la inalterabilidad e indemnidad de la evidencia digital que contiene el objeto incautado en el procedimiento. El autor entiende por condena de custodia </w:t>
      </w:r>
      <w:r w:rsidRPr="00A77A5A">
        <w:rPr>
          <w:rFonts w:eastAsiaTheme="minorHAnsi"/>
          <w:sz w:val="20"/>
          <w:szCs w:val="20"/>
          <w:lang w:eastAsia="en-US"/>
        </w:rPr>
        <w:t>“</w:t>
      </w:r>
      <w:r w:rsidRPr="00A77A5A">
        <w:rPr>
          <w:color w:val="000000" w:themeColor="text1"/>
          <w:sz w:val="20"/>
          <w:szCs w:val="20"/>
        </w:rPr>
        <w:t xml:space="preserve"> </w:t>
      </w:r>
      <w:r w:rsidRPr="00A77A5A">
        <w:rPr>
          <w:rFonts w:eastAsiaTheme="minorHAnsi"/>
          <w:sz w:val="20"/>
          <w:szCs w:val="20"/>
          <w:lang w:eastAsia="en-US"/>
        </w:rPr>
        <w:t xml:space="preserve">[…] </w:t>
      </w:r>
      <w:r w:rsidRPr="00A77A5A">
        <w:rPr>
          <w:color w:val="000000" w:themeColor="text1"/>
          <w:sz w:val="20"/>
          <w:szCs w:val="20"/>
        </w:rPr>
        <w:t>al conjunto de actos que conforman la recolección, traslado y custodia de la evidencia electrónica y/o digital obtenida en un proceso penal con aquella finalidad</w:t>
      </w:r>
      <w:r w:rsidRPr="00A77A5A">
        <w:rPr>
          <w:rFonts w:eastAsiaTheme="minorHAnsi"/>
          <w:sz w:val="20"/>
          <w:szCs w:val="20"/>
          <w:lang w:eastAsia="en-US"/>
        </w:rPr>
        <w:t>”.</w:t>
      </w:r>
      <w:r w:rsidRPr="00A77A5A">
        <w:rPr>
          <w:sz w:val="20"/>
          <w:szCs w:val="20"/>
        </w:rPr>
        <w:t xml:space="preserve"> Pilarche, Sergio Luis, “La prueba digital y su valor probatorio en el Proceso Penal”. Editorial: IJ Editores ~ Cita online: IJ-MI-537.</w:t>
      </w:r>
    </w:p>
  </w:footnote>
  <w:footnote w:id="33">
    <w:p w:rsidR="00896436" w:rsidRPr="00A77A5A" w:rsidRDefault="00896436" w:rsidP="00A77A5A">
      <w:pPr>
        <w:snapToGrid w:val="0"/>
        <w:jc w:val="both"/>
        <w:rPr>
          <w:sz w:val="20"/>
          <w:szCs w:val="20"/>
        </w:rPr>
      </w:pPr>
      <w:r w:rsidRPr="00A77A5A">
        <w:rPr>
          <w:rStyle w:val="Refdenotaalpie"/>
          <w:sz w:val="20"/>
          <w:szCs w:val="20"/>
        </w:rPr>
        <w:footnoteRef/>
      </w:r>
      <w:r w:rsidRPr="00A77A5A">
        <w:rPr>
          <w:sz w:val="20"/>
          <w:szCs w:val="20"/>
        </w:rPr>
        <w:t xml:space="preserve"> Dupuy recomienda dejar asentado y documentado lo sucedido en cada fase, al extremo que pueda explicarse  detalladamente en el juicio oral, demostrando su intangibilidad y trazabilidad desde el primer momento hasta la entrega del informe técnico a las partes. Ver Dupuy, Daniela “Litigación &amp; cibercrimen”,</w:t>
      </w:r>
      <w:r>
        <w:rPr>
          <w:sz w:val="20"/>
          <w:szCs w:val="20"/>
        </w:rPr>
        <w:t xml:space="preserve"> </w:t>
      </w:r>
      <w:r w:rsidRPr="00A77A5A">
        <w:rPr>
          <w:sz w:val="20"/>
          <w:szCs w:val="20"/>
        </w:rPr>
        <w:t>op cit.</w:t>
      </w:r>
      <w:r w:rsidRPr="00A77A5A">
        <w:rPr>
          <w:color w:val="202124"/>
          <w:sz w:val="20"/>
          <w:szCs w:val="20"/>
          <w:shd w:val="clear" w:color="auto" w:fill="F8F9FA"/>
        </w:rPr>
        <w:t> </w:t>
      </w:r>
    </w:p>
  </w:footnote>
  <w:footnote w:id="34">
    <w:p w:rsidR="00896436" w:rsidRDefault="00896436" w:rsidP="00A77A5A">
      <w:pPr>
        <w:pStyle w:val="Textonotapie"/>
        <w:jc w:val="both"/>
      </w:pPr>
      <w:r w:rsidRPr="00A77A5A">
        <w:rPr>
          <w:rStyle w:val="Refdenotaalpie"/>
          <w:rFonts w:eastAsiaTheme="majorEastAsia"/>
        </w:rPr>
        <w:footnoteRef/>
      </w:r>
      <w:r w:rsidRPr="00A77A5A">
        <w:t xml:space="preserve"> Marquez, Iván M.- Perzan, María Cecilia, “Acerca de los nuevos límites en materia coercitiva estatal…,  op. cit, p. 250. </w:t>
      </w:r>
    </w:p>
  </w:footnote>
  <w:footnote w:id="35">
    <w:p w:rsidR="00896436" w:rsidRDefault="00896436">
      <w:pPr>
        <w:pStyle w:val="Textonotapie"/>
        <w:jc w:val="both"/>
      </w:pPr>
      <w:r>
        <w:rPr>
          <w:rStyle w:val="Refdenotaalpie"/>
          <w:rFonts w:eastAsiaTheme="majorEastAsia"/>
        </w:rPr>
        <w:footnoteRef/>
      </w:r>
      <w:r>
        <w:t xml:space="preserve"> Sueiro, Carlos Christian, </w:t>
      </w:r>
      <w:r>
        <w:rPr>
          <w:i/>
        </w:rPr>
        <w:t>Vigilancia electrónica…</w:t>
      </w:r>
      <w:r>
        <w:t xml:space="preserve">, </w:t>
      </w:r>
      <w:r>
        <w:rPr>
          <w:i/>
        </w:rPr>
        <w:t>op. cit</w:t>
      </w:r>
      <w:r>
        <w:t>., págs. 52.</w:t>
      </w:r>
    </w:p>
  </w:footnote>
  <w:footnote w:id="36">
    <w:p w:rsidR="00896436" w:rsidRDefault="00896436">
      <w:pPr>
        <w:pStyle w:val="Textonotapie"/>
        <w:jc w:val="both"/>
      </w:pPr>
      <w:r>
        <w:rPr>
          <w:rStyle w:val="Refdenotaalpie"/>
          <w:rFonts w:eastAsiaTheme="majorEastAsia"/>
        </w:rPr>
        <w:footnoteRef/>
      </w:r>
      <w:r>
        <w:t xml:space="preserve"> Explcia Sueiro que las bolsas </w:t>
      </w:r>
      <w:r>
        <w:rPr>
          <w:i/>
        </w:rPr>
        <w:t>Faraday</w:t>
      </w:r>
      <w:r>
        <w:t xml:space="preserve"> son bolsas de embalaje, para dispositivos electrónicos, antiestáticas. Forman una jaula alrededor del objeto que contienen, lo que las aísla de las posibles descargas electrostáticas (ESD). Las ESD destrozan los componentes electrónicos sensibles y pueden reducir incluso inadvertidamente su vida útil. Sueiro, Carlos Christian, </w:t>
      </w:r>
      <w:r>
        <w:rPr>
          <w:i/>
        </w:rPr>
        <w:t>Vigilancia electrónica…</w:t>
      </w:r>
      <w:r>
        <w:t xml:space="preserve">, </w:t>
      </w:r>
      <w:r>
        <w:rPr>
          <w:i/>
        </w:rPr>
        <w:t>op. cit</w:t>
      </w:r>
      <w:r>
        <w:t>. págs. 53.</w:t>
      </w:r>
    </w:p>
  </w:footnote>
  <w:footnote w:id="37">
    <w:p w:rsidR="00896436" w:rsidRDefault="00896436">
      <w:pPr>
        <w:pStyle w:val="Textonotapie"/>
        <w:jc w:val="both"/>
      </w:pPr>
      <w:r>
        <w:rPr>
          <w:rStyle w:val="Refdenotaalpie"/>
          <w:rFonts w:eastAsiaTheme="majorEastAsia"/>
        </w:rPr>
        <w:footnoteRef/>
      </w:r>
      <w:r>
        <w:t xml:space="preserve"> En razón de que</w:t>
      </w:r>
      <w:r>
        <w:rPr>
          <w:lang w:val="es-ES"/>
        </w:rPr>
        <w:t xml:space="preserve"> muchos componentes de dispositivos electrónicos son extremadamente sensibles por ejemplo de bajo voltaje, como es el caso de los microprocesadores, memorias, discos rígidos, memorias </w:t>
      </w:r>
      <w:r>
        <w:rPr>
          <w:i/>
          <w:lang w:val="es-ES"/>
        </w:rPr>
        <w:t>Flash</w:t>
      </w:r>
      <w:r>
        <w:rPr>
          <w:lang w:val="es-ES"/>
        </w:rPr>
        <w:t xml:space="preserve">, resulta indispensable usar indumentaria segura para la realización de la pericia. </w:t>
      </w:r>
      <w:r>
        <w:t xml:space="preserve">Sueiro, Carlos Christian, </w:t>
      </w:r>
      <w:r>
        <w:rPr>
          <w:i/>
        </w:rPr>
        <w:t>Vigilancia electrónica…</w:t>
      </w:r>
      <w:r>
        <w:t xml:space="preserve">, </w:t>
      </w:r>
      <w:r>
        <w:rPr>
          <w:i/>
        </w:rPr>
        <w:t>op. cit</w:t>
      </w:r>
      <w:r>
        <w:t>. págs. 108.</w:t>
      </w:r>
    </w:p>
  </w:footnote>
  <w:footnote w:id="38">
    <w:p w:rsidR="00896436" w:rsidRDefault="00896436">
      <w:pPr>
        <w:jc w:val="both"/>
        <w:rPr>
          <w:sz w:val="20"/>
          <w:szCs w:val="20"/>
          <w:lang w:val="es-ES"/>
        </w:rPr>
      </w:pPr>
      <w:r>
        <w:rPr>
          <w:rStyle w:val="Refdenotaalpie"/>
          <w:sz w:val="20"/>
          <w:szCs w:val="20"/>
        </w:rPr>
        <w:footnoteRef/>
      </w:r>
      <w:r>
        <w:rPr>
          <w:sz w:val="20"/>
          <w:szCs w:val="20"/>
        </w:rPr>
        <w:t xml:space="preserve"> </w:t>
      </w:r>
      <w:r>
        <w:rPr>
          <w:color w:val="000000" w:themeColor="text1"/>
          <w:sz w:val="20"/>
          <w:szCs w:val="20"/>
          <w:lang w:val="es-ES"/>
        </w:rPr>
        <w:t xml:space="preserve">Sueiro, Carlos Christian y Dos Santos, </w:t>
      </w:r>
      <w:r>
        <w:rPr>
          <w:sz w:val="20"/>
          <w:szCs w:val="20"/>
          <w:lang w:val="es-ES"/>
        </w:rPr>
        <w:t xml:space="preserve">Magali. Clase virtual </w:t>
      </w:r>
      <w:r>
        <w:rPr>
          <w:i/>
          <w:sz w:val="20"/>
          <w:szCs w:val="20"/>
          <w:lang w:val="es-ES"/>
        </w:rPr>
        <w:t>Aspectos técnicos forenses de la evidencia digital</w:t>
      </w:r>
      <w:r>
        <w:rPr>
          <w:sz w:val="20"/>
          <w:szCs w:val="20"/>
          <w:lang w:val="es-ES"/>
        </w:rPr>
        <w:t>, organizada por el Instituto de altos estudios de Derecho, dictada el 8/09/2020. Disponible en internet:</w:t>
      </w:r>
    </w:p>
    <w:p w:rsidR="00896436" w:rsidRDefault="004D42AB">
      <w:pPr>
        <w:pStyle w:val="Textonotapie"/>
        <w:jc w:val="both"/>
        <w:rPr>
          <w:lang w:val="es-ES"/>
        </w:rPr>
      </w:pPr>
      <w:hyperlink r:id="rId6" w:history="1">
        <w:r w:rsidR="00896436">
          <w:rPr>
            <w:rStyle w:val="Hipervnculo"/>
            <w:lang w:val="es-ES"/>
          </w:rPr>
          <w:t>https://www.youtube.com/watch?v=a2BcIQAGV5k</w:t>
        </w:r>
      </w:hyperlink>
    </w:p>
  </w:footnote>
  <w:footnote w:id="39">
    <w:p w:rsidR="00896436" w:rsidRDefault="00896436">
      <w:pPr>
        <w:pStyle w:val="Textonotapie"/>
        <w:jc w:val="both"/>
      </w:pPr>
      <w:r>
        <w:rPr>
          <w:rStyle w:val="Refdenotaalpie"/>
          <w:rFonts w:eastAsiaTheme="majorEastAsia"/>
        </w:rPr>
        <w:footnoteRef/>
      </w:r>
      <w:r>
        <w:t xml:space="preserve"> </w:t>
      </w:r>
      <w:r>
        <w:rPr>
          <w:color w:val="333333"/>
          <w:shd w:val="clear" w:color="auto" w:fill="FFFFFF"/>
        </w:rPr>
        <w:t xml:space="preserve">IMEI significa </w:t>
      </w:r>
      <w:r>
        <w:rPr>
          <w:i/>
          <w:color w:val="333333"/>
          <w:shd w:val="clear" w:color="auto" w:fill="FFFFFF"/>
        </w:rPr>
        <w:t>International Mobile Equipment Identity</w:t>
      </w:r>
      <w:r>
        <w:rPr>
          <w:color w:val="333333"/>
          <w:shd w:val="clear" w:color="auto" w:fill="FFFFFF"/>
        </w:rPr>
        <w:t xml:space="preserve">, </w:t>
      </w:r>
      <w:r>
        <w:rPr>
          <w:color w:val="3F3F42"/>
          <w:shd w:val="clear" w:color="auto" w:fill="FDFDFD"/>
        </w:rPr>
        <w:t>en español se traduce como "identidad internacional de equipo móvil"</w:t>
      </w:r>
      <w:r>
        <w:rPr>
          <w:color w:val="333333"/>
          <w:shd w:val="clear" w:color="auto" w:fill="FFFFFF"/>
        </w:rPr>
        <w:t>.El IMEI es un identificador único que tiene cada teléfono móvil. Esto quiere</w:t>
      </w:r>
      <w:r>
        <w:rPr>
          <w:color w:val="333333"/>
          <w:sz w:val="32"/>
          <w:szCs w:val="32"/>
          <w:shd w:val="clear" w:color="auto" w:fill="FFFFFF"/>
        </w:rPr>
        <w:t xml:space="preserve"> </w:t>
      </w:r>
      <w:r>
        <w:rPr>
          <w:color w:val="333333"/>
          <w:shd w:val="clear" w:color="auto" w:fill="FFFFFF"/>
        </w:rPr>
        <w:t>decir que </w:t>
      </w:r>
      <w:r>
        <w:rPr>
          <w:rStyle w:val="Textoennegrita"/>
          <w:b w:val="0"/>
          <w:color w:val="333333"/>
          <w:shd w:val="clear" w:color="auto" w:fill="FFFFFF"/>
        </w:rPr>
        <w:t>el número IMEI es irrepetible</w:t>
      </w:r>
      <w:r>
        <w:rPr>
          <w:rStyle w:val="Textoennegrita"/>
          <w:color w:val="333333"/>
          <w:shd w:val="clear" w:color="auto" w:fill="FFFFFF"/>
        </w:rPr>
        <w:t>.</w:t>
      </w:r>
      <w:r>
        <w:rPr>
          <w:color w:val="333333"/>
          <w:shd w:val="clear" w:color="auto" w:fill="FFFFFF"/>
        </w:rPr>
        <w:t xml:space="preserve"> Cuando un dispositivo se conecta a una red le envía automáticamente este identificador.</w:t>
      </w:r>
      <w:r>
        <w:t xml:space="preserve"> A tal efecto,</w:t>
      </w:r>
      <w:r>
        <w:rPr>
          <w:lang w:val="es-ES"/>
        </w:rPr>
        <w:t xml:space="preserve"> deberá colocar en el teclado *#06# y aparecerá el numero de IMEI que identifica al celular y permite determinar que de ese dispositivo y no de otro se va a extraer la información. </w:t>
      </w:r>
      <w:r>
        <w:t>Fuente: “Qué es el código imei y cómo usarlo para bloquear y desbloquar tu celular”. BBC Mundo, 22 de enero de 2018. https://www.bbc.com/mundo/noticias-42774859</w:t>
      </w:r>
    </w:p>
  </w:footnote>
  <w:footnote w:id="40">
    <w:p w:rsidR="00896436" w:rsidRDefault="00896436">
      <w:pPr>
        <w:autoSpaceDE w:val="0"/>
        <w:autoSpaceDN w:val="0"/>
        <w:adjustRightInd w:val="0"/>
        <w:jc w:val="both"/>
        <w:rPr>
          <w:rFonts w:eastAsiaTheme="minorHAnsi"/>
          <w:sz w:val="20"/>
          <w:szCs w:val="20"/>
          <w:lang w:eastAsia="en-US"/>
        </w:rPr>
      </w:pPr>
      <w:r>
        <w:rPr>
          <w:rStyle w:val="Refdenotaalpie"/>
          <w:rFonts w:eastAsiaTheme="majorEastAsia"/>
          <w:sz w:val="20"/>
          <w:szCs w:val="20"/>
        </w:rPr>
        <w:footnoteRef/>
      </w:r>
      <w:r>
        <w:rPr>
          <w:sz w:val="20"/>
          <w:szCs w:val="20"/>
        </w:rPr>
        <w:t xml:space="preserve"> Explica Polansky que </w:t>
      </w:r>
      <w:r>
        <w:rPr>
          <w:sz w:val="20"/>
          <w:szCs w:val="20"/>
          <w:lang w:val="es-ES"/>
        </w:rPr>
        <w:t xml:space="preserve">esta imagen forense es una réplica exacta del disco rígido. Es decir, es una copia idéntica de todos y cada uno de los </w:t>
      </w:r>
      <w:r>
        <w:rPr>
          <w:i/>
          <w:sz w:val="20"/>
          <w:szCs w:val="20"/>
          <w:lang w:val="es-ES"/>
        </w:rPr>
        <w:t>bits</w:t>
      </w:r>
      <w:r>
        <w:rPr>
          <w:sz w:val="20"/>
          <w:szCs w:val="20"/>
          <w:lang w:val="es-ES"/>
        </w:rPr>
        <w:t xml:space="preserve"> del disco rígido, lo que incluye la totalidad de los archivos almacenados, el espacio libre y el no asignado, en el orden preciso en que se encuentran en el disco original.</w:t>
      </w:r>
      <w:r>
        <w:rPr>
          <w:rFonts w:eastAsiaTheme="minorHAnsi"/>
          <w:sz w:val="20"/>
          <w:szCs w:val="20"/>
          <w:lang w:eastAsia="en-US"/>
        </w:rPr>
        <w:t xml:space="preserve"> Polansky, Jonthan A. </w:t>
      </w:r>
      <w:r>
        <w:rPr>
          <w:rFonts w:eastAsiaTheme="minorHAnsi"/>
          <w:i/>
          <w:sz w:val="20"/>
          <w:szCs w:val="20"/>
          <w:lang w:eastAsia="en-US"/>
        </w:rPr>
        <w:t>Garantías Constitucionales del procedimiento penal en el entorno digital</w:t>
      </w:r>
      <w:r>
        <w:rPr>
          <w:rFonts w:eastAsiaTheme="minorHAnsi"/>
          <w:sz w:val="20"/>
          <w:szCs w:val="20"/>
          <w:lang w:eastAsia="en-US"/>
        </w:rPr>
        <w:t>, Hammurabi, Buenos Aires, 2020.</w:t>
      </w:r>
    </w:p>
  </w:footnote>
  <w:footnote w:id="41">
    <w:p w:rsidR="00896436" w:rsidRDefault="00896436">
      <w:pPr>
        <w:pStyle w:val="Textonotapie"/>
        <w:jc w:val="both"/>
      </w:pPr>
      <w:r>
        <w:rPr>
          <w:rStyle w:val="Refdenotaalpie"/>
          <w:rFonts w:eastAsiaTheme="majorEastAsia"/>
        </w:rPr>
        <w:footnoteRef/>
      </w:r>
      <w:r>
        <w:t xml:space="preserve"> Sueiro, Carlos Christian, </w:t>
      </w:r>
      <w:r>
        <w:rPr>
          <w:i/>
        </w:rPr>
        <w:t>Vigilancia electrónica…</w:t>
      </w:r>
      <w:r>
        <w:t xml:space="preserve">, </w:t>
      </w:r>
      <w:r>
        <w:rPr>
          <w:i/>
        </w:rPr>
        <w:t>op. cit</w:t>
      </w:r>
      <w:r>
        <w:t>., págs. 109.</w:t>
      </w:r>
    </w:p>
  </w:footnote>
  <w:footnote w:id="42">
    <w:p w:rsidR="00896436" w:rsidRDefault="00896436">
      <w:pPr>
        <w:pStyle w:val="Textonotapie"/>
      </w:pPr>
      <w:r>
        <w:rPr>
          <w:rStyle w:val="Refdenotaalpie"/>
          <w:rFonts w:eastAsiaTheme="majorEastAsia"/>
        </w:rPr>
        <w:footnoteRef/>
      </w:r>
      <w:r>
        <w:t xml:space="preserve"> </w:t>
      </w:r>
      <w:r w:rsidRPr="004215C2">
        <w:rPr>
          <w:i/>
        </w:rPr>
        <w:t>Ibidem.</w:t>
      </w:r>
      <w:r>
        <w:t xml:space="preserve"> pág. 111</w:t>
      </w:r>
    </w:p>
  </w:footnote>
  <w:footnote w:id="43">
    <w:p w:rsidR="00896436" w:rsidRDefault="00896436">
      <w:pPr>
        <w:pStyle w:val="Textonotapie"/>
      </w:pPr>
      <w:r>
        <w:rPr>
          <w:rStyle w:val="Refdenotaalpie"/>
          <w:rFonts w:eastAsiaTheme="majorEastAsia"/>
        </w:rPr>
        <w:footnoteRef/>
      </w:r>
      <w:r>
        <w:t xml:space="preserve"> Polansky, Jonthan A </w:t>
      </w:r>
      <w:r>
        <w:rPr>
          <w:i/>
        </w:rPr>
        <w:t xml:space="preserve">Garantías Constitucionales del procedimiento…, </w:t>
      </w:r>
      <w:r>
        <w:t>op. cit</w:t>
      </w:r>
      <w:r>
        <w:rPr>
          <w:i/>
        </w:rPr>
        <w:t>.,</w:t>
      </w:r>
      <w:r>
        <w:t>p. 170.</w:t>
      </w:r>
    </w:p>
  </w:footnote>
  <w:footnote w:id="44">
    <w:p w:rsidR="00896436" w:rsidRDefault="00896436">
      <w:pPr>
        <w:pStyle w:val="Textonotapie"/>
        <w:jc w:val="both"/>
        <w:rPr>
          <w:lang w:val="es-ES"/>
        </w:rPr>
      </w:pPr>
      <w:r>
        <w:rPr>
          <w:rStyle w:val="Refdenotaalpie"/>
        </w:rPr>
        <w:footnoteRef/>
      </w:r>
      <w:r>
        <w:t>Dupuy, Daniela “Litigación &amp; cibercrimen…”,</w:t>
      </w:r>
      <w:r>
        <w:rPr>
          <w:i/>
        </w:rPr>
        <w:t xml:space="preserve"> </w:t>
      </w:r>
      <w:r w:rsidRPr="004215C2">
        <w:t>ob. cit</w:t>
      </w:r>
      <w:r>
        <w:rPr>
          <w:i/>
        </w:rPr>
        <w:t>.</w:t>
      </w:r>
      <w:r>
        <w:rPr>
          <w:color w:val="202124"/>
          <w:shd w:val="clear" w:color="auto" w:fill="F8F9FA"/>
        </w:rPr>
        <w:t> </w:t>
      </w:r>
    </w:p>
  </w:footnote>
  <w:footnote w:id="45">
    <w:p w:rsidR="00896436" w:rsidRDefault="00896436">
      <w:pPr>
        <w:snapToGrid w:val="0"/>
        <w:jc w:val="both"/>
        <w:rPr>
          <w:color w:val="000000"/>
          <w:sz w:val="20"/>
          <w:szCs w:val="20"/>
        </w:rPr>
      </w:pPr>
      <w:r>
        <w:rPr>
          <w:rStyle w:val="Refdenotaalpie"/>
          <w:sz w:val="20"/>
          <w:szCs w:val="20"/>
        </w:rPr>
        <w:footnoteRef/>
      </w:r>
      <w:r>
        <w:rPr>
          <w:sz w:val="20"/>
          <w:szCs w:val="20"/>
        </w:rPr>
        <w:t xml:space="preserve"> </w:t>
      </w:r>
      <w:r>
        <w:rPr>
          <w:color w:val="000000"/>
          <w:sz w:val="20"/>
          <w:szCs w:val="20"/>
        </w:rPr>
        <w:t>Explica Dupuy que en ese sentido se han pronunciado la Cámara Nacional de Apelaciones Criminal y Correccional,</w:t>
      </w:r>
      <w:r>
        <w:rPr>
          <w:sz w:val="20"/>
          <w:szCs w:val="20"/>
          <w:lang w:val="es-ES"/>
        </w:rPr>
        <w:t xml:space="preserve"> </w:t>
      </w:r>
      <w:r>
        <w:rPr>
          <w:color w:val="000000"/>
          <w:sz w:val="20"/>
          <w:szCs w:val="20"/>
        </w:rPr>
        <w:t>Sala IV causa A, J.A y otros s/nulidad. En idéntica línea se expidió el Tribunal Supremo Español, Sala en lo penal. Sentencia 767/2019 de 12 de septiembre. No obstante, la autora aclara que</w:t>
      </w:r>
      <w:r>
        <w:rPr>
          <w:lang w:val="es-ES"/>
        </w:rPr>
        <w:t xml:space="preserve"> </w:t>
      </w:r>
      <w:r>
        <w:rPr>
          <w:sz w:val="20"/>
          <w:szCs w:val="20"/>
          <w:lang w:val="es-ES"/>
        </w:rPr>
        <w:t>en la práctica es común notificar a la defensa de su realización para demostrar un procedimiento que garantiza la cadena de custodia de los elementos secuestrados y cuya copia se efectuará; como así también, con el fin de evitar futuros planteos que puedan dilatar el trámite del caso.</w:t>
      </w:r>
    </w:p>
  </w:footnote>
  <w:footnote w:id="46">
    <w:p w:rsidR="00896436" w:rsidRDefault="00896436">
      <w:pPr>
        <w:pStyle w:val="Textonotapie"/>
      </w:pPr>
      <w:r>
        <w:rPr>
          <w:rStyle w:val="Refdenotaalpie"/>
          <w:rFonts w:eastAsiaTheme="majorEastAsia"/>
        </w:rPr>
        <w:footnoteRef/>
      </w:r>
      <w:r>
        <w:t xml:space="preserve">Polansky, Jonthan A </w:t>
      </w:r>
      <w:r>
        <w:rPr>
          <w:i/>
        </w:rPr>
        <w:t xml:space="preserve">Garantías Constitucionales del procedimiento…, </w:t>
      </w:r>
      <w:r>
        <w:t>op. cit</w:t>
      </w:r>
      <w:r>
        <w:rPr>
          <w:i/>
        </w:rPr>
        <w:t>.,</w:t>
      </w:r>
      <w:r>
        <w:t>p.</w:t>
      </w:r>
      <w:r>
        <w:rPr>
          <w:lang w:val="es-ES"/>
        </w:rPr>
        <w:t>, 160</w:t>
      </w:r>
    </w:p>
  </w:footnote>
  <w:footnote w:id="47">
    <w:p w:rsidR="00896436" w:rsidRDefault="00896436">
      <w:pPr>
        <w:pStyle w:val="Textonotapie"/>
        <w:jc w:val="both"/>
      </w:pPr>
      <w:r>
        <w:rPr>
          <w:rStyle w:val="Refdenotaalpie"/>
          <w:rFonts w:eastAsiaTheme="majorEastAsia"/>
        </w:rPr>
        <w:footnoteRef/>
      </w:r>
      <w:r>
        <w:t xml:space="preserve"> González- Cuellar Serrano, Nicolás “Garantías constitucionales...”, op. cit., pág.160. </w:t>
      </w:r>
    </w:p>
  </w:footnote>
  <w:footnote w:id="48">
    <w:p w:rsidR="00896436" w:rsidRDefault="00896436">
      <w:pPr>
        <w:pStyle w:val="Textonotapie"/>
        <w:jc w:val="both"/>
      </w:pPr>
      <w:r>
        <w:rPr>
          <w:rStyle w:val="Refdenotaalpie"/>
          <w:rFonts w:eastAsiaTheme="majorEastAsia"/>
        </w:rPr>
        <w:footnoteRef/>
      </w:r>
      <w:r>
        <w:t xml:space="preserve"> </w:t>
      </w:r>
      <w:r>
        <w:rPr>
          <w:lang w:val="es-ES"/>
        </w:rPr>
        <w:t xml:space="preserve">Suerio y Dos santos señalan que, en principio, el perito debe </w:t>
      </w:r>
      <w:r>
        <w:rPr>
          <w:color w:val="000000" w:themeColor="text1"/>
          <w:lang w:val="es-ES"/>
        </w:rPr>
        <w:t xml:space="preserve">identificar el programa forense que va a utilizar. Por ejemplo, si la orden tiene por objeto la búsqueda de fotografías de contenido pornográfico infantil, bastaría con utilizar un programa identificador de imágenes para no tener que invadir otras áreas del dispositivo y no generar una violación innecesaria a la intimidad. Así, por ejemplo, carecería de sentido ingresar a la agenda telefónica. (Sueiro, Carlos Christian y Dos Santos, </w:t>
      </w:r>
      <w:r>
        <w:rPr>
          <w:lang w:val="es-ES"/>
        </w:rPr>
        <w:t xml:space="preserve">Magali. Clase virtual </w:t>
      </w:r>
      <w:r>
        <w:rPr>
          <w:i/>
          <w:lang w:val="es-ES"/>
        </w:rPr>
        <w:t>Aspectos técnicos forenses de la evidencia…</w:t>
      </w:r>
      <w:r>
        <w:rPr>
          <w:lang w:val="es-ES"/>
        </w:rPr>
        <w:t>).</w:t>
      </w:r>
    </w:p>
  </w:footnote>
  <w:footnote w:id="49">
    <w:p w:rsidR="00896436" w:rsidRDefault="00896436">
      <w:pPr>
        <w:jc w:val="both"/>
        <w:rPr>
          <w:sz w:val="20"/>
          <w:szCs w:val="20"/>
        </w:rPr>
      </w:pPr>
      <w:r>
        <w:rPr>
          <w:rStyle w:val="Refdenotaalpie"/>
          <w:sz w:val="20"/>
          <w:szCs w:val="20"/>
        </w:rPr>
        <w:footnoteRef/>
      </w:r>
      <w:r>
        <w:rPr>
          <w:sz w:val="20"/>
          <w:szCs w:val="20"/>
        </w:rPr>
        <w:t xml:space="preserve"> Gorini, Jorge Luciano, “Estándares probatorios de la evidencia digital en el proceso penal”. Charla impartida el 15/10/21 en el canal de YouTube de la Asociación de Magistrados de Tucumán. Video disponible en internet: </w:t>
      </w:r>
      <w:hyperlink r:id="rId7" w:history="1">
        <w:r>
          <w:rPr>
            <w:rStyle w:val="Hipervnculo"/>
            <w:sz w:val="20"/>
            <w:szCs w:val="20"/>
          </w:rPr>
          <w:t>https://www.youtube.com/watch?v=BTRPCyGlG8M</w:t>
        </w:r>
      </w:hyperlink>
    </w:p>
  </w:footnote>
  <w:footnote w:id="50">
    <w:p w:rsidR="00896436" w:rsidRDefault="00896436">
      <w:pPr>
        <w:pStyle w:val="Textonotapie"/>
        <w:jc w:val="both"/>
      </w:pPr>
      <w:r>
        <w:rPr>
          <w:rStyle w:val="Refdenotaalpie"/>
          <w:rFonts w:eastAsiaTheme="majorEastAsia"/>
        </w:rPr>
        <w:footnoteRef/>
      </w:r>
      <w:r>
        <w:t>Bielli, Gastón E.- Ordoñez, Carlos Jonathan, La prueba electrónica: teoría y práctica, La Ley, Buenos Aires, 2019</w:t>
      </w:r>
      <w:r>
        <w:rPr>
          <w:i/>
        </w:rPr>
        <w:t xml:space="preserve">. </w:t>
      </w:r>
      <w:r>
        <w:t>pág. 377.</w:t>
      </w:r>
    </w:p>
  </w:footnote>
  <w:footnote w:id="51">
    <w:p w:rsidR="00896436" w:rsidRDefault="00896436">
      <w:pPr>
        <w:jc w:val="both"/>
        <w:rPr>
          <w:color w:val="D9D9D9" w:themeColor="background1" w:themeShade="D9"/>
        </w:rPr>
      </w:pPr>
      <w:r>
        <w:rPr>
          <w:rStyle w:val="Refdenotaalpie"/>
          <w:sz w:val="20"/>
          <w:szCs w:val="20"/>
        </w:rPr>
        <w:footnoteRef/>
      </w:r>
      <w:r>
        <w:rPr>
          <w:sz w:val="20"/>
          <w:szCs w:val="20"/>
        </w:rPr>
        <w:t xml:space="preserve"> Pilarche, Sergio Luis, “La prueba digital y su valor probatorio en el Proceso Penal”. Editorial: IJ Editores ~ Cita online: IJ-MI-537.</w:t>
      </w:r>
    </w:p>
  </w:footnote>
  <w:footnote w:id="52">
    <w:p w:rsidR="00896436" w:rsidRDefault="00896436">
      <w:pPr>
        <w:jc w:val="both"/>
        <w:rPr>
          <w:sz w:val="20"/>
          <w:szCs w:val="20"/>
        </w:rPr>
      </w:pPr>
      <w:r>
        <w:rPr>
          <w:rStyle w:val="Refdenotaalpie"/>
          <w:sz w:val="20"/>
          <w:szCs w:val="20"/>
        </w:rPr>
        <w:footnoteRef/>
      </w:r>
      <w:r>
        <w:rPr>
          <w:sz w:val="20"/>
          <w:szCs w:val="20"/>
        </w:rPr>
        <w:t xml:space="preserve"> </w:t>
      </w:r>
      <w:r>
        <w:rPr>
          <w:sz w:val="20"/>
          <w:szCs w:val="20"/>
          <w:lang w:val="es-ES"/>
        </w:rPr>
        <w:t>Art. 206 del CPP de Mendoza,</w:t>
      </w:r>
      <w:r>
        <w:rPr>
          <w:sz w:val="20"/>
          <w:szCs w:val="20"/>
        </w:rPr>
        <w:t xml:space="preserve"> 398 del CPPN y art. 210 del CPPBA. "...consiste básicamente en que la ley no impone normas específicas para acreditar algunos hechos delictivos..." (Donna-Maiza, Código Procesal Penal de la Nación, Ed. Astrea, pág. 463, año 1994), lo cual exige que el Juzgador plasme en la resolución el juicio de logicidad que permite abastecer la misma y, en consecuencia, deberá explicar el valor que le asigna a la prueba.</w:t>
      </w:r>
    </w:p>
  </w:footnote>
  <w:footnote w:id="53">
    <w:p w:rsidR="00896436" w:rsidRDefault="00896436">
      <w:pPr>
        <w:pStyle w:val="Textonotapie"/>
        <w:jc w:val="both"/>
        <w:rPr>
          <w:lang w:val="es-ES"/>
        </w:rPr>
      </w:pPr>
      <w:r>
        <w:rPr>
          <w:rStyle w:val="Refdenotaalpie"/>
        </w:rPr>
        <w:footnoteRef/>
      </w:r>
      <w:r>
        <w:t xml:space="preserve"> Pilarche, Sergio Luis, “La prueba digital y su valor probatorio en el Proceso Penal”. Editorial: IJ Editores ~ Cita online: IJ-MI-537</w:t>
      </w:r>
    </w:p>
  </w:footnote>
  <w:footnote w:id="54">
    <w:p w:rsidR="00896436" w:rsidRDefault="00896436">
      <w:pPr>
        <w:jc w:val="both"/>
        <w:rPr>
          <w:sz w:val="20"/>
          <w:szCs w:val="20"/>
        </w:rPr>
      </w:pPr>
      <w:r>
        <w:rPr>
          <w:rStyle w:val="Refdenotaalpie"/>
          <w:sz w:val="20"/>
          <w:szCs w:val="20"/>
        </w:rPr>
        <w:footnoteRef/>
      </w:r>
      <w:r>
        <w:rPr>
          <w:sz w:val="20"/>
          <w:szCs w:val="20"/>
        </w:rPr>
        <w:t xml:space="preserve"> En éste tópico hemos consultado, entre otros autores a: </w:t>
      </w:r>
      <w:r>
        <w:rPr>
          <w:rStyle w:val="a"/>
          <w:color w:val="000000"/>
          <w:sz w:val="20"/>
          <w:szCs w:val="20"/>
        </w:rPr>
        <w:t xml:space="preserve">Delgado Martín, Joaquín. </w:t>
      </w:r>
      <w:r>
        <w:rPr>
          <w:sz w:val="20"/>
          <w:szCs w:val="20"/>
        </w:rPr>
        <w:t>“</w:t>
      </w:r>
      <w:r>
        <w:rPr>
          <w:rStyle w:val="a"/>
          <w:bCs/>
          <w:color w:val="000000"/>
          <w:sz w:val="20"/>
          <w:szCs w:val="20"/>
        </w:rPr>
        <w:t>La valoración de la prueba digital</w:t>
      </w:r>
      <w:r>
        <w:rPr>
          <w:sz w:val="20"/>
          <w:szCs w:val="20"/>
        </w:rPr>
        <w:t>”</w:t>
      </w:r>
      <w:r>
        <w:rPr>
          <w:color w:val="000000"/>
          <w:sz w:val="20"/>
          <w:szCs w:val="20"/>
        </w:rPr>
        <w:t xml:space="preserve">. en </w:t>
      </w:r>
      <w:r>
        <w:rPr>
          <w:rStyle w:val="a"/>
          <w:bCs/>
          <w:i/>
          <w:color w:val="000000"/>
          <w:sz w:val="20"/>
          <w:szCs w:val="20"/>
        </w:rPr>
        <w:t>Diario La Ley</w:t>
      </w:r>
      <w:r>
        <w:rPr>
          <w:rStyle w:val="a"/>
          <w:i/>
          <w:color w:val="000000"/>
          <w:sz w:val="20"/>
          <w:szCs w:val="20"/>
        </w:rPr>
        <w:t>, Nº 6, Sección Ciberderecho,</w:t>
      </w:r>
      <w:r>
        <w:rPr>
          <w:rStyle w:val="a"/>
          <w:color w:val="000000"/>
          <w:sz w:val="20"/>
          <w:szCs w:val="20"/>
        </w:rPr>
        <w:t xml:space="preserve"> 11 de Abril de 2017, Editorial</w:t>
      </w:r>
      <w:r>
        <w:rPr>
          <w:color w:val="000000"/>
          <w:sz w:val="20"/>
          <w:szCs w:val="20"/>
        </w:rPr>
        <w:t xml:space="preserve"> </w:t>
      </w:r>
      <w:r>
        <w:rPr>
          <w:rStyle w:val="a"/>
          <w:bCs/>
          <w:color w:val="000000"/>
          <w:sz w:val="20"/>
          <w:szCs w:val="20"/>
        </w:rPr>
        <w:t xml:space="preserve">Wolters Kluwer. En igual sentido, </w:t>
      </w:r>
      <w:r>
        <w:rPr>
          <w:sz w:val="20"/>
          <w:szCs w:val="20"/>
        </w:rPr>
        <w:t>Pilarche, Sergio Luis, “La prueba digital y su valor probatorio en el Proceso Penal”. Editorial: IJ Editores ~ Cita online: IJ-MI-537.</w:t>
      </w:r>
    </w:p>
  </w:footnote>
  <w:footnote w:id="55">
    <w:p w:rsidR="001B7787" w:rsidRPr="001B7787" w:rsidRDefault="001B7787" w:rsidP="0036209F">
      <w:pPr>
        <w:snapToGrid w:val="0"/>
        <w:jc w:val="both"/>
        <w:rPr>
          <w:sz w:val="20"/>
          <w:szCs w:val="20"/>
        </w:rPr>
      </w:pPr>
      <w:r w:rsidRPr="001B7787">
        <w:rPr>
          <w:rStyle w:val="Refdenotaalpie"/>
          <w:sz w:val="20"/>
          <w:szCs w:val="20"/>
        </w:rPr>
        <w:footnoteRef/>
      </w:r>
      <w:r w:rsidRPr="001B7787">
        <w:rPr>
          <w:sz w:val="20"/>
          <w:szCs w:val="20"/>
        </w:rPr>
        <w:t xml:space="preserve"> Cámara en lo civil, comercial, minas y laboral de Reconquista. Autos: “Gregoret, Martín y Otro C/ Bianchini, Gustavo Arturo y Otros S/ Incidente de Rescisión Procedimiento”, Expte. Nº 59, año 2016. Citado por Bielli, Gaston: Los mensajes de WhatsApp y su acreditación en el proceso civil”, publicado en la edición especial Diario La Ley de fecha 29 de octubre de 2018. Cita on line: AR/DOC/1962/2.</w:t>
      </w:r>
    </w:p>
  </w:footnote>
  <w:footnote w:id="56">
    <w:p w:rsidR="00231A70" w:rsidRPr="001B7787" w:rsidRDefault="00231A70" w:rsidP="0036209F">
      <w:pPr>
        <w:snapToGrid w:val="0"/>
        <w:jc w:val="both"/>
        <w:rPr>
          <w:sz w:val="20"/>
          <w:szCs w:val="20"/>
        </w:rPr>
      </w:pPr>
      <w:r w:rsidRPr="001B7787">
        <w:rPr>
          <w:rStyle w:val="Refdenotaalpie"/>
          <w:sz w:val="20"/>
          <w:szCs w:val="20"/>
        </w:rPr>
        <w:footnoteRef/>
      </w:r>
      <w:r w:rsidRPr="001B7787">
        <w:rPr>
          <w:sz w:val="20"/>
          <w:szCs w:val="20"/>
        </w:rPr>
        <w:t xml:space="preserve"> Dicha norma establece</w:t>
      </w:r>
      <w:r w:rsidRPr="001B7787">
        <w:rPr>
          <w:b/>
          <w:sz w:val="20"/>
          <w:szCs w:val="20"/>
        </w:rPr>
        <w:t xml:space="preserve">: </w:t>
      </w:r>
      <w:r w:rsidRPr="001B7787">
        <w:rPr>
          <w:sz w:val="20"/>
          <w:szCs w:val="20"/>
        </w:rPr>
        <w:t>“Art. 318.-</w:t>
      </w:r>
      <w:r w:rsidRPr="001B7787">
        <w:rPr>
          <w:b/>
          <w:sz w:val="20"/>
          <w:szCs w:val="20"/>
        </w:rPr>
        <w:t xml:space="preserve"> </w:t>
      </w:r>
      <w:r w:rsidRPr="001B7787">
        <w:rPr>
          <w:sz w:val="20"/>
          <w:szCs w:val="20"/>
        </w:rPr>
        <w:t>Correspondencia. La correspondencia, cualquiera sea el medio empleado para crearlo o transmitirla, puede presentarse como prueba por el destinatario, pero la que es confidencial no puede ser utilizada sin consentimiento del remitente. Los terceros no pueden valerse de la correspondencia sin asentimiento del destinatario y el remitente si es confidencial”.</w:t>
      </w:r>
    </w:p>
  </w:footnote>
  <w:footnote w:id="57">
    <w:p w:rsidR="001B7787" w:rsidRPr="0036209F" w:rsidRDefault="001B7787" w:rsidP="0036209F">
      <w:pPr>
        <w:snapToGrid w:val="0"/>
        <w:jc w:val="both"/>
        <w:rPr>
          <w:sz w:val="20"/>
          <w:szCs w:val="20"/>
        </w:rPr>
      </w:pPr>
      <w:r w:rsidRPr="001B7787">
        <w:rPr>
          <w:rStyle w:val="Refdenotaalpie"/>
          <w:sz w:val="20"/>
          <w:szCs w:val="20"/>
        </w:rPr>
        <w:footnoteRef/>
      </w:r>
      <w:r w:rsidRPr="001B7787">
        <w:rPr>
          <w:sz w:val="20"/>
          <w:szCs w:val="20"/>
        </w:rPr>
        <w:t xml:space="preserve"> Bueres, A. J. (Director), “Codigo Civil y Comercial de la Nación”, Ed. Hammurabi, T, I, p. 271. Autor citado por Bielli, G. en </w:t>
      </w:r>
      <w:r w:rsidRPr="001B7787">
        <w:rPr>
          <w:i/>
          <w:sz w:val="20"/>
          <w:szCs w:val="20"/>
        </w:rPr>
        <w:t>Los mensajes de WhatsApp y su acreditación en el proceso civil</w:t>
      </w:r>
      <w:r w:rsidRPr="001B7787">
        <w:rPr>
          <w:sz w:val="20"/>
          <w:szCs w:val="20"/>
        </w:rPr>
        <w:t>…</w:t>
      </w:r>
      <w:r>
        <w:rPr>
          <w:sz w:val="20"/>
          <w:szCs w:val="20"/>
        </w:rPr>
        <w:t xml:space="preserve">. </w:t>
      </w:r>
    </w:p>
  </w:footnote>
  <w:footnote w:id="58">
    <w:p w:rsidR="0036209F" w:rsidRPr="0036209F" w:rsidRDefault="0036209F" w:rsidP="0036209F">
      <w:pPr>
        <w:pStyle w:val="Textonotapie"/>
      </w:pPr>
      <w:r>
        <w:rPr>
          <w:rStyle w:val="Refdenotaalpie"/>
        </w:rPr>
        <w:footnoteRef/>
      </w:r>
      <w:r>
        <w:t xml:space="preserve"> Juzgado de Conciliación de Primera Nominación, Secretaria 1. Autos “Szilagyi Cazzulani, María Ángeles C</w:t>
      </w:r>
      <w:r w:rsidRPr="001B7787">
        <w:t>/</w:t>
      </w:r>
      <w:r>
        <w:t xml:space="preserve"> Be There Argentina S.A. y Otro” – Ordinario- Despdido- Expediente nº 3350238. Interlocutorio nº 90. Citado por </w:t>
      </w:r>
      <w:r w:rsidRPr="001B7787">
        <w:t xml:space="preserve">Bielli, G. en </w:t>
      </w:r>
      <w:r w:rsidRPr="001B7787">
        <w:rPr>
          <w:i/>
        </w:rPr>
        <w:t>Los mensajes de WhatsApp y su acreditación en el proceso civil</w:t>
      </w:r>
      <w:r w:rsidRPr="001B7787">
        <w:t>…</w:t>
      </w:r>
      <w:r>
        <w:t>.</w:t>
      </w:r>
    </w:p>
  </w:footnote>
  <w:footnote w:id="59">
    <w:p w:rsidR="004F6E47" w:rsidRPr="0031364B" w:rsidRDefault="004F6E47" w:rsidP="0031364B">
      <w:pPr>
        <w:snapToGrid w:val="0"/>
        <w:jc w:val="both"/>
        <w:rPr>
          <w:sz w:val="20"/>
          <w:szCs w:val="20"/>
        </w:rPr>
      </w:pPr>
      <w:r w:rsidRPr="004F6E47">
        <w:rPr>
          <w:rStyle w:val="Refdenotaalpie"/>
          <w:sz w:val="20"/>
          <w:szCs w:val="20"/>
        </w:rPr>
        <w:footnoteRef/>
      </w:r>
      <w:r w:rsidRPr="004F6E47">
        <w:rPr>
          <w:sz w:val="20"/>
          <w:szCs w:val="20"/>
        </w:rPr>
        <w:t xml:space="preserve"> </w:t>
      </w:r>
      <w:r w:rsidRPr="004F6E47">
        <w:rPr>
          <w:rFonts w:eastAsiaTheme="minorHAnsi"/>
          <w:sz w:val="20"/>
          <w:szCs w:val="20"/>
          <w:lang w:val="es-ES_tradnl"/>
        </w:rPr>
        <w:t>Tercera Cámara de Apelaciones en lo civil, comercial, minas, de paz y tributario de Mendoza 01</w:t>
      </w:r>
      <w:r w:rsidRPr="004F6E47">
        <w:rPr>
          <w:sz w:val="20"/>
          <w:szCs w:val="20"/>
        </w:rPr>
        <w:t xml:space="preserve">/06/201, Autos Nº 253184/52190- “Llopart, Ricardo José c/ Lombardich Luis y Ots. P/ Cob. de Pesos”. citado por G. en </w:t>
      </w:r>
      <w:r w:rsidRPr="004F6E47">
        <w:rPr>
          <w:i/>
          <w:sz w:val="20"/>
          <w:szCs w:val="20"/>
        </w:rPr>
        <w:t>Los mensajes de WhatsApp y su acreditación en el proceso civil</w:t>
      </w:r>
      <w:r w:rsidRPr="004F6E47">
        <w:rPr>
          <w:sz w:val="20"/>
          <w:szCs w:val="20"/>
        </w:rPr>
        <w:t>….</w:t>
      </w:r>
    </w:p>
  </w:footnote>
  <w:footnote w:id="60">
    <w:p w:rsidR="00896436" w:rsidRDefault="00896436">
      <w:pPr>
        <w:pStyle w:val="Textonotapie"/>
        <w:rPr>
          <w:lang w:val="es-ES"/>
        </w:rPr>
      </w:pPr>
      <w:r>
        <w:rPr>
          <w:rStyle w:val="Refdenotaalpie"/>
        </w:rPr>
        <w:footnoteRef/>
      </w:r>
      <w:r>
        <w:t xml:space="preserve"> Nos referimos a los recaudos necesarios para asegurar el respeto por la cadena de custodia de la evidencia digital, analizados en el capítulo anterior. </w:t>
      </w:r>
    </w:p>
  </w:footnote>
  <w:footnote w:id="61">
    <w:p w:rsidR="00896436" w:rsidRDefault="00896436">
      <w:pPr>
        <w:pStyle w:val="Textonotapie"/>
        <w:jc w:val="both"/>
        <w:rPr>
          <w:lang w:val="es-ES"/>
        </w:rPr>
      </w:pPr>
      <w:r>
        <w:rPr>
          <w:rStyle w:val="Refdenotaalpie"/>
        </w:rPr>
        <w:footnoteRef/>
      </w:r>
      <w:r>
        <w:t xml:space="preserve"> D</w:t>
      </w:r>
      <w:r w:rsidR="0031364B">
        <w:t>upuy</w:t>
      </w:r>
      <w:r>
        <w:t xml:space="preserve">, Daniela “Litigación &amp; cibercrimen”, </w:t>
      </w:r>
      <w:r>
        <w:rPr>
          <w:i/>
        </w:rPr>
        <w:t>experiencias latinoamericanas</w:t>
      </w:r>
      <w:r>
        <w:t xml:space="preserve">. Disponible en internet </w:t>
      </w:r>
      <w:r>
        <w:rPr>
          <w:color w:val="202124"/>
          <w:shd w:val="clear" w:color="auto" w:fill="F8F9FA"/>
        </w:rPr>
        <w:t> </w:t>
      </w:r>
      <w:hyperlink r:id="rId8" w:history="1">
        <w:r>
          <w:rPr>
            <w:rStyle w:val="Hipervnculo"/>
            <w:color w:val="1A0DAB"/>
            <w:shd w:val="clear" w:color="auto" w:fill="F8F9FA"/>
          </w:rPr>
          <w:t>https://sistemasjudiciales.org/wp-content/uploads/2021/10/4.-SJ24.-Dupuy.pdf</w:t>
        </w:r>
      </w:hyperlink>
      <w:r>
        <w:rPr>
          <w:color w:val="202124"/>
          <w:shd w:val="clear" w:color="auto" w:fill="F8F9FA"/>
        </w:rPr>
        <w:t>. </w:t>
      </w:r>
    </w:p>
    <w:p w:rsidR="00896436" w:rsidRDefault="00896436">
      <w:pPr>
        <w:pStyle w:val="Textonotapie"/>
        <w:rPr>
          <w:lang w:val="es-ES"/>
        </w:rPr>
      </w:pPr>
    </w:p>
  </w:footnote>
  <w:footnote w:id="62">
    <w:p w:rsidR="00896436" w:rsidRDefault="00896436">
      <w:pPr>
        <w:jc w:val="both"/>
        <w:rPr>
          <w:sz w:val="20"/>
          <w:szCs w:val="20"/>
        </w:rPr>
      </w:pPr>
      <w:r>
        <w:rPr>
          <w:rStyle w:val="Refdenotaalpie"/>
          <w:sz w:val="20"/>
          <w:szCs w:val="20"/>
        </w:rPr>
        <w:footnoteRef/>
      </w:r>
      <w:r>
        <w:rPr>
          <w:sz w:val="20"/>
          <w:szCs w:val="20"/>
        </w:rPr>
        <w:t xml:space="preserve"> Explica P</w:t>
      </w:r>
      <w:r w:rsidR="00AF24E5">
        <w:rPr>
          <w:sz w:val="20"/>
          <w:szCs w:val="20"/>
        </w:rPr>
        <w:t>ilarche</w:t>
      </w:r>
      <w:r>
        <w:rPr>
          <w:sz w:val="20"/>
          <w:szCs w:val="20"/>
        </w:rPr>
        <w:t xml:space="preserve"> que </w:t>
      </w:r>
      <w:r>
        <w:rPr>
          <w:rFonts w:eastAsiaTheme="minorHAnsi"/>
          <w:sz w:val="20"/>
          <w:szCs w:val="20"/>
          <w:lang w:eastAsia="en-US"/>
        </w:rPr>
        <w:t>“[E]</w:t>
      </w:r>
      <w:r>
        <w:rPr>
          <w:sz w:val="20"/>
          <w:szCs w:val="20"/>
        </w:rPr>
        <w:t>n google "</w:t>
      </w:r>
      <w:r>
        <w:rPr>
          <w:i/>
          <w:sz w:val="20"/>
          <w:szCs w:val="20"/>
        </w:rPr>
        <w:t>Play Store</w:t>
      </w:r>
      <w:r>
        <w:rPr>
          <w:sz w:val="20"/>
          <w:szCs w:val="20"/>
        </w:rPr>
        <w:t xml:space="preserve">" existen aplicaciones como </w:t>
      </w:r>
      <w:r>
        <w:rPr>
          <w:i/>
          <w:sz w:val="20"/>
          <w:szCs w:val="20"/>
        </w:rPr>
        <w:t>"WHATSFAKE"</w:t>
      </w:r>
      <w:r>
        <w:rPr>
          <w:sz w:val="20"/>
          <w:szCs w:val="20"/>
        </w:rPr>
        <w:t xml:space="preserve"> o </w:t>
      </w:r>
      <w:r>
        <w:rPr>
          <w:i/>
          <w:sz w:val="20"/>
          <w:szCs w:val="20"/>
        </w:rPr>
        <w:t>"FAKE CHAT"</w:t>
      </w:r>
      <w:r>
        <w:rPr>
          <w:sz w:val="20"/>
          <w:szCs w:val="20"/>
        </w:rPr>
        <w:t xml:space="preserve">, cuya finalidad es entretener y divertir, son </w:t>
      </w:r>
      <w:r>
        <w:rPr>
          <w:i/>
          <w:sz w:val="20"/>
          <w:szCs w:val="20"/>
        </w:rPr>
        <w:t>App</w:t>
      </w:r>
      <w:r>
        <w:rPr>
          <w:sz w:val="20"/>
          <w:szCs w:val="20"/>
        </w:rPr>
        <w:t xml:space="preserve"> que permiten modificar, reemplazar o sustituir una conversación real de </w:t>
      </w:r>
      <w:r>
        <w:rPr>
          <w:i/>
          <w:sz w:val="20"/>
          <w:szCs w:val="20"/>
        </w:rPr>
        <w:t>WhatsApp</w:t>
      </w:r>
      <w:r>
        <w:rPr>
          <w:sz w:val="20"/>
          <w:szCs w:val="20"/>
        </w:rPr>
        <w:t>, modificando la hora de envió, estado de recepción, el emisor del mensaje, enviar audios, videos, etc. Además, permiten cambiar los ajustes de los perfiles y estados de las personas implicadas tal y como aparece en las conversaciones de WhatApss reales</w:t>
      </w:r>
      <w:r>
        <w:rPr>
          <w:rFonts w:eastAsiaTheme="minorHAnsi"/>
          <w:sz w:val="20"/>
          <w:szCs w:val="20"/>
          <w:lang w:eastAsia="en-US"/>
        </w:rPr>
        <w:t>”</w:t>
      </w:r>
      <w:r>
        <w:rPr>
          <w:sz w:val="20"/>
          <w:szCs w:val="20"/>
        </w:rPr>
        <w:t>. PILARCHE, Sergio Luis, “La prueba digital y su valor probatorio en el Proceso Penal”. Editorial: IJ Editores ~ Cita online: IJ-MI-537.</w:t>
      </w:r>
    </w:p>
  </w:footnote>
  <w:footnote w:id="63">
    <w:p w:rsidR="00896436" w:rsidRPr="00AF24E5" w:rsidRDefault="00896436">
      <w:pPr>
        <w:jc w:val="both"/>
        <w:rPr>
          <w:bCs/>
          <w:sz w:val="20"/>
          <w:szCs w:val="20"/>
        </w:rPr>
      </w:pPr>
      <w:r>
        <w:rPr>
          <w:rStyle w:val="Refdenotaalpie"/>
          <w:sz w:val="20"/>
          <w:szCs w:val="20"/>
        </w:rPr>
        <w:footnoteRef/>
      </w:r>
      <w:r w:rsidRPr="00AF24E5">
        <w:rPr>
          <w:sz w:val="20"/>
          <w:szCs w:val="20"/>
        </w:rPr>
        <w:t xml:space="preserve"> </w:t>
      </w:r>
      <w:r w:rsidRPr="00AF24E5">
        <w:rPr>
          <w:bCs/>
          <w:sz w:val="20"/>
          <w:szCs w:val="20"/>
        </w:rPr>
        <w:t>S</w:t>
      </w:r>
      <w:r w:rsidR="00AF24E5" w:rsidRPr="00AF24E5">
        <w:rPr>
          <w:bCs/>
          <w:sz w:val="20"/>
          <w:szCs w:val="20"/>
        </w:rPr>
        <w:t>TS</w:t>
      </w:r>
      <w:r w:rsidRPr="00AF24E5">
        <w:rPr>
          <w:bCs/>
          <w:sz w:val="20"/>
          <w:szCs w:val="20"/>
        </w:rPr>
        <w:t xml:space="preserve"> </w:t>
      </w:r>
      <w:r w:rsidR="00AF24E5" w:rsidRPr="00AF24E5">
        <w:rPr>
          <w:bCs/>
          <w:sz w:val="20"/>
          <w:szCs w:val="20"/>
        </w:rPr>
        <w:t>de</w:t>
      </w:r>
      <w:r w:rsidRPr="00AF24E5">
        <w:rPr>
          <w:bCs/>
          <w:sz w:val="20"/>
          <w:szCs w:val="20"/>
        </w:rPr>
        <w:t xml:space="preserve"> 19 May</w:t>
      </w:r>
      <w:r w:rsidR="00AF24E5" w:rsidRPr="00AF24E5">
        <w:rPr>
          <w:bCs/>
          <w:sz w:val="20"/>
          <w:szCs w:val="20"/>
        </w:rPr>
        <w:t>o de 2015</w:t>
      </w:r>
      <w:r w:rsidRPr="00AF24E5">
        <w:rPr>
          <w:bCs/>
          <w:sz w:val="20"/>
          <w:szCs w:val="20"/>
        </w:rPr>
        <w:t xml:space="preserve">. </w:t>
      </w:r>
      <w:r w:rsidR="00AF24E5" w:rsidRPr="00AF24E5">
        <w:rPr>
          <w:bCs/>
          <w:sz w:val="20"/>
          <w:szCs w:val="20"/>
        </w:rPr>
        <w:t>(RJ</w:t>
      </w:r>
      <w:r w:rsidRPr="00AF24E5">
        <w:rPr>
          <w:bCs/>
          <w:sz w:val="20"/>
          <w:szCs w:val="20"/>
        </w:rPr>
        <w:t>,</w:t>
      </w:r>
      <w:r w:rsidR="00AF24E5" w:rsidRPr="00F026B6">
        <w:rPr>
          <w:bCs/>
          <w:sz w:val="20"/>
          <w:szCs w:val="20"/>
        </w:rPr>
        <w:t xml:space="preserve"> 300/2015</w:t>
      </w:r>
      <w:r w:rsidR="00AF24E5">
        <w:rPr>
          <w:bCs/>
          <w:sz w:val="20"/>
          <w:szCs w:val="20"/>
        </w:rPr>
        <w:t xml:space="preserve"> </w:t>
      </w:r>
      <w:r w:rsidRPr="00F026B6">
        <w:rPr>
          <w:bCs/>
          <w:sz w:val="20"/>
          <w:szCs w:val="20"/>
        </w:rPr>
        <w:t>Rec. 2387/2014</w:t>
      </w:r>
      <w:r w:rsidR="00AF24E5" w:rsidRPr="00F026B6">
        <w:rPr>
          <w:bCs/>
          <w:sz w:val="20"/>
          <w:szCs w:val="20"/>
        </w:rPr>
        <w:t>)</w:t>
      </w:r>
      <w:r w:rsidRPr="00AF24E5">
        <w:rPr>
          <w:bCs/>
          <w:sz w:val="20"/>
          <w:szCs w:val="20"/>
        </w:rPr>
        <w:t xml:space="preserve">. </w:t>
      </w:r>
      <w:r>
        <w:rPr>
          <w:bCs/>
          <w:sz w:val="20"/>
          <w:szCs w:val="20"/>
        </w:rPr>
        <w:t>Sala en lo Penal. Ponente</w:t>
      </w:r>
      <w:r>
        <w:rPr>
          <w:bCs/>
          <w:i/>
          <w:iCs/>
          <w:sz w:val="20"/>
          <w:szCs w:val="20"/>
        </w:rPr>
        <w:t xml:space="preserve"> </w:t>
      </w:r>
      <w:r>
        <w:rPr>
          <w:bCs/>
          <w:iCs/>
          <w:sz w:val="20"/>
          <w:szCs w:val="20"/>
        </w:rPr>
        <w:t>Excmo. Sr. D.</w:t>
      </w:r>
      <w:r>
        <w:rPr>
          <w:bCs/>
          <w:i/>
          <w:iCs/>
          <w:sz w:val="20"/>
          <w:szCs w:val="20"/>
        </w:rPr>
        <w:t>:</w:t>
      </w:r>
      <w:r>
        <w:rPr>
          <w:bCs/>
          <w:sz w:val="20"/>
          <w:szCs w:val="20"/>
        </w:rPr>
        <w:t>: Marchena Gómez, Manuel.</w:t>
      </w:r>
    </w:p>
  </w:footnote>
  <w:footnote w:id="64">
    <w:p w:rsidR="00896436" w:rsidRDefault="00896436">
      <w:pPr>
        <w:pStyle w:val="Textonotapie"/>
        <w:jc w:val="both"/>
      </w:pPr>
      <w:r>
        <w:rPr>
          <w:rStyle w:val="Refdenotaalpie"/>
        </w:rPr>
        <w:footnoteRef/>
      </w:r>
      <w:r>
        <w:t xml:space="preserve"> En el caso se trataba de</w:t>
      </w:r>
      <w:r>
        <w:rPr>
          <w:lang w:val="es-ES"/>
        </w:rPr>
        <w:t xml:space="preserve"> capturas</w:t>
      </w:r>
      <w:r w:rsidR="00AF24E5">
        <w:rPr>
          <w:lang w:val="es-ES"/>
        </w:rPr>
        <w:t xml:space="preserve"> “pantallazos” </w:t>
      </w:r>
      <w:r>
        <w:rPr>
          <w:lang w:val="es-ES"/>
        </w:rPr>
        <w:t xml:space="preserve"> de una conversación mantenida a través de la red social </w:t>
      </w:r>
      <w:r>
        <w:rPr>
          <w:i/>
          <w:lang w:val="es-ES"/>
        </w:rPr>
        <w:t xml:space="preserve">Tuenti, </w:t>
      </w:r>
      <w:r>
        <w:rPr>
          <w:lang w:val="es-ES"/>
        </w:rPr>
        <w:t>entre la víctima y un amigo, donde aquella confesaba ser abusada por su padrastro.</w:t>
      </w:r>
    </w:p>
  </w:footnote>
  <w:footnote w:id="65">
    <w:p w:rsidR="00896436" w:rsidRDefault="00896436">
      <w:pPr>
        <w:jc w:val="both"/>
        <w:rPr>
          <w:color w:val="000000" w:themeColor="text1"/>
          <w:sz w:val="20"/>
          <w:szCs w:val="20"/>
        </w:rPr>
      </w:pPr>
      <w:r>
        <w:rPr>
          <w:rStyle w:val="Refdenotaalpie"/>
          <w:sz w:val="20"/>
          <w:szCs w:val="20"/>
        </w:rPr>
        <w:footnoteRef/>
      </w:r>
      <w:r>
        <w:rPr>
          <w:sz w:val="20"/>
          <w:szCs w:val="20"/>
        </w:rPr>
        <w:t xml:space="preserve"> </w:t>
      </w:r>
      <w:r>
        <w:rPr>
          <w:bCs/>
          <w:sz w:val="20"/>
          <w:szCs w:val="20"/>
        </w:rPr>
        <w:t>B</w:t>
      </w:r>
      <w:r w:rsidR="00AF24E5">
        <w:rPr>
          <w:bCs/>
          <w:sz w:val="20"/>
          <w:szCs w:val="20"/>
        </w:rPr>
        <w:t>ueno</w:t>
      </w:r>
      <w:r>
        <w:rPr>
          <w:bCs/>
          <w:sz w:val="20"/>
          <w:szCs w:val="20"/>
        </w:rPr>
        <w:t xml:space="preserve"> D</w:t>
      </w:r>
      <w:r w:rsidR="00AF24E5">
        <w:rPr>
          <w:bCs/>
          <w:sz w:val="20"/>
          <w:szCs w:val="20"/>
        </w:rPr>
        <w:t>e</w:t>
      </w:r>
      <w:r>
        <w:rPr>
          <w:bCs/>
          <w:sz w:val="20"/>
          <w:szCs w:val="20"/>
        </w:rPr>
        <w:t xml:space="preserve"> M</w:t>
      </w:r>
      <w:r w:rsidR="00AF24E5">
        <w:rPr>
          <w:bCs/>
          <w:sz w:val="20"/>
          <w:szCs w:val="20"/>
        </w:rPr>
        <w:t>ata</w:t>
      </w:r>
      <w:r>
        <w:rPr>
          <w:bCs/>
          <w:sz w:val="20"/>
          <w:szCs w:val="20"/>
        </w:rPr>
        <w:t>, Federico.</w:t>
      </w:r>
      <w:r>
        <w:rPr>
          <w:b/>
          <w:bCs/>
          <w:sz w:val="20"/>
          <w:szCs w:val="20"/>
        </w:rPr>
        <w:t xml:space="preserve"> </w:t>
      </w:r>
      <w:r>
        <w:rPr>
          <w:bCs/>
          <w:color w:val="000000" w:themeColor="text1"/>
          <w:sz w:val="20"/>
          <w:szCs w:val="20"/>
        </w:rPr>
        <w:t xml:space="preserve">La validez de los pantallazos como prueba electrónica: comentarios y reflexiones sobre la STS 300/2015 y las últimas reformas procesales en materia tecnológica, en </w:t>
      </w:r>
      <w:r>
        <w:rPr>
          <w:i/>
          <w:sz w:val="20"/>
          <w:szCs w:val="20"/>
        </w:rPr>
        <w:t>Diario La Ley</w:t>
      </w:r>
      <w:r>
        <w:rPr>
          <w:sz w:val="20"/>
          <w:szCs w:val="20"/>
        </w:rPr>
        <w:t xml:space="preserve">, Nº 8728, Sección Tribuna, 23 de Marzo de 2016, Ref. D-126, LA LEY. </w:t>
      </w:r>
    </w:p>
    <w:p w:rsidR="00896436" w:rsidRDefault="00896436">
      <w:pPr>
        <w:pStyle w:val="Textonotapie"/>
        <w:rPr>
          <w:lang w:val="es-ES"/>
        </w:rPr>
      </w:pPr>
    </w:p>
    <w:p w:rsidR="00896436" w:rsidRDefault="00896436">
      <w:pPr>
        <w:pStyle w:val="Textonotapie"/>
        <w:rPr>
          <w:lang w:val="es-ES"/>
        </w:rPr>
      </w:pPr>
    </w:p>
  </w:footnote>
  <w:footnote w:id="66">
    <w:p w:rsidR="00896436" w:rsidRDefault="00896436">
      <w:pPr>
        <w:pStyle w:val="Textonotapie"/>
        <w:rPr>
          <w:lang w:val="es-ES"/>
        </w:rPr>
      </w:pPr>
      <w:r>
        <w:rPr>
          <w:rStyle w:val="Refdenotaalpie"/>
        </w:rPr>
        <w:footnoteRef/>
      </w:r>
      <w:r>
        <w:t xml:space="preserve"> </w:t>
      </w:r>
      <w:r>
        <w:rPr>
          <w:bCs/>
          <w:i/>
        </w:rPr>
        <w:t xml:space="preserve">Ob. cit. </w:t>
      </w:r>
      <w:r>
        <w:rPr>
          <w:bCs/>
        </w:rPr>
        <w:t>págs. 7 y 9.</w:t>
      </w:r>
    </w:p>
  </w:footnote>
  <w:footnote w:id="67">
    <w:p w:rsidR="002961C8" w:rsidRPr="00C8085D" w:rsidRDefault="00896436">
      <w:pPr>
        <w:jc w:val="both"/>
        <w:rPr>
          <w:bCs/>
          <w:sz w:val="20"/>
          <w:szCs w:val="20"/>
        </w:rPr>
      </w:pPr>
      <w:r>
        <w:rPr>
          <w:rStyle w:val="Refdenotaalpie"/>
          <w:sz w:val="20"/>
          <w:szCs w:val="20"/>
        </w:rPr>
        <w:footnoteRef/>
      </w:r>
      <w:r>
        <w:rPr>
          <w:sz w:val="20"/>
          <w:szCs w:val="20"/>
        </w:rPr>
        <w:t xml:space="preserve"> </w:t>
      </w:r>
      <w:r>
        <w:rPr>
          <w:bCs/>
          <w:sz w:val="20"/>
          <w:szCs w:val="20"/>
        </w:rPr>
        <w:t>S</w:t>
      </w:r>
      <w:r w:rsidR="002961C8">
        <w:rPr>
          <w:bCs/>
          <w:sz w:val="20"/>
          <w:szCs w:val="20"/>
        </w:rPr>
        <w:t>TS</w:t>
      </w:r>
      <w:r>
        <w:rPr>
          <w:bCs/>
          <w:sz w:val="20"/>
          <w:szCs w:val="20"/>
        </w:rPr>
        <w:t xml:space="preserve"> </w:t>
      </w:r>
      <w:r>
        <w:rPr>
          <w:bCs/>
          <w:iCs/>
          <w:sz w:val="20"/>
          <w:szCs w:val="20"/>
        </w:rPr>
        <w:t>777/2022</w:t>
      </w:r>
      <w:r w:rsidR="002961C8">
        <w:rPr>
          <w:bCs/>
          <w:iCs/>
          <w:sz w:val="20"/>
          <w:szCs w:val="20"/>
        </w:rPr>
        <w:t xml:space="preserve"> </w:t>
      </w:r>
      <w:r>
        <w:rPr>
          <w:bCs/>
          <w:iCs/>
          <w:sz w:val="20"/>
          <w:szCs w:val="20"/>
        </w:rPr>
        <w:t xml:space="preserve">de </w:t>
      </w:r>
      <w:r w:rsidR="002961C8">
        <w:rPr>
          <w:bCs/>
          <w:iCs/>
          <w:sz w:val="20"/>
          <w:szCs w:val="20"/>
        </w:rPr>
        <w:t xml:space="preserve">22 de </w:t>
      </w:r>
      <w:r>
        <w:rPr>
          <w:bCs/>
          <w:iCs/>
          <w:sz w:val="20"/>
          <w:szCs w:val="20"/>
        </w:rPr>
        <w:t xml:space="preserve">Sep. 2022, </w:t>
      </w:r>
      <w:r w:rsidR="002961C8" w:rsidRPr="00AF24E5">
        <w:rPr>
          <w:bCs/>
          <w:sz w:val="20"/>
          <w:szCs w:val="20"/>
        </w:rPr>
        <w:t>(RJ,</w:t>
      </w:r>
      <w:r w:rsidR="002961C8" w:rsidRPr="002961C8">
        <w:rPr>
          <w:bCs/>
          <w:sz w:val="20"/>
          <w:szCs w:val="20"/>
        </w:rPr>
        <w:t xml:space="preserve"> </w:t>
      </w:r>
      <w:r>
        <w:rPr>
          <w:sz w:val="20"/>
          <w:szCs w:val="20"/>
        </w:rPr>
        <w:t>4317</w:t>
      </w:r>
      <w:r>
        <w:rPr>
          <w:bCs/>
          <w:iCs/>
          <w:sz w:val="20"/>
          <w:szCs w:val="20"/>
        </w:rPr>
        <w:t>/20</w:t>
      </w:r>
      <w:r w:rsidR="002961C8" w:rsidRPr="002961C8">
        <w:rPr>
          <w:bCs/>
          <w:sz w:val="20"/>
          <w:szCs w:val="20"/>
        </w:rPr>
        <w:t>)</w:t>
      </w:r>
      <w:r w:rsidR="002961C8" w:rsidRPr="00AF24E5">
        <w:rPr>
          <w:bCs/>
          <w:sz w:val="20"/>
          <w:szCs w:val="20"/>
        </w:rPr>
        <w:t>.</w:t>
      </w:r>
      <w:r>
        <w:rPr>
          <w:bCs/>
          <w:sz w:val="20"/>
          <w:szCs w:val="20"/>
        </w:rPr>
        <w:t xml:space="preserve"> Sala en lo Penal. Ponente</w:t>
      </w:r>
      <w:r>
        <w:rPr>
          <w:bCs/>
          <w:i/>
          <w:iCs/>
          <w:sz w:val="20"/>
          <w:szCs w:val="20"/>
        </w:rPr>
        <w:t xml:space="preserve"> </w:t>
      </w:r>
      <w:r>
        <w:rPr>
          <w:bCs/>
          <w:iCs/>
          <w:sz w:val="20"/>
          <w:szCs w:val="20"/>
        </w:rPr>
        <w:t>Excmo. Sr. D.</w:t>
      </w:r>
      <w:r>
        <w:rPr>
          <w:bCs/>
          <w:i/>
          <w:iCs/>
          <w:sz w:val="20"/>
          <w:szCs w:val="20"/>
        </w:rPr>
        <w:t>:</w:t>
      </w:r>
      <w:r>
        <w:rPr>
          <w:bCs/>
          <w:sz w:val="20"/>
          <w:szCs w:val="20"/>
        </w:rPr>
        <w:t>: Marchena Gómez, Manuel.</w:t>
      </w:r>
    </w:p>
  </w:footnote>
  <w:footnote w:id="68">
    <w:p w:rsidR="00896436" w:rsidRDefault="00896436">
      <w:pPr>
        <w:jc w:val="both"/>
        <w:rPr>
          <w:rFonts w:eastAsiaTheme="minorHAnsi"/>
          <w:color w:val="000000"/>
          <w:sz w:val="20"/>
          <w:szCs w:val="20"/>
          <w:lang w:eastAsia="en-US"/>
        </w:rPr>
      </w:pPr>
      <w:r>
        <w:rPr>
          <w:rStyle w:val="Refdenotaalpie"/>
          <w:sz w:val="20"/>
          <w:szCs w:val="20"/>
        </w:rPr>
        <w:footnoteRef/>
      </w:r>
      <w:r>
        <w:rPr>
          <w:sz w:val="20"/>
          <w:szCs w:val="20"/>
        </w:rPr>
        <w:t xml:space="preserve"> La defensa alegó que los mensajes intercambiados por el acusado con las víctimas no fueron introducidos en la causa de forma correcta, lo que llevó a un error en la valoración probatoria, de modo singular, en lo que afecta a la cadena de custodia, la indemnidad de las conversaciones y la acreditación de los titulares de las distintas cuentas desde la que se produjeron esas conversaciones. Lo habitual -razonó la defensa- es "</w:t>
      </w:r>
      <w:r>
        <w:rPr>
          <w:rFonts w:eastAsiaTheme="minorHAnsi"/>
          <w:sz w:val="20"/>
          <w:szCs w:val="20"/>
          <w:lang w:eastAsia="en-US"/>
        </w:rPr>
        <w:t>[…]</w:t>
      </w:r>
      <w:r>
        <w:rPr>
          <w:sz w:val="20"/>
          <w:szCs w:val="20"/>
        </w:rPr>
        <w:t xml:space="preserve"> utilizar herramientas y </w:t>
      </w:r>
      <w:r>
        <w:rPr>
          <w:i/>
          <w:sz w:val="20"/>
          <w:szCs w:val="20"/>
        </w:rPr>
        <w:t>software</w:t>
      </w:r>
      <w:r>
        <w:rPr>
          <w:sz w:val="20"/>
          <w:szCs w:val="20"/>
        </w:rPr>
        <w:t xml:space="preserve"> forense informático como por ejemplo </w:t>
      </w:r>
      <w:r>
        <w:rPr>
          <w:i/>
          <w:sz w:val="20"/>
          <w:szCs w:val="20"/>
        </w:rPr>
        <w:t>Cellebrite UFED</w:t>
      </w:r>
      <w:r>
        <w:rPr>
          <w:sz w:val="20"/>
          <w:szCs w:val="20"/>
        </w:rPr>
        <w:t xml:space="preserve"> u </w:t>
      </w:r>
      <w:r>
        <w:rPr>
          <w:i/>
          <w:sz w:val="20"/>
          <w:szCs w:val="20"/>
        </w:rPr>
        <w:t>Oxygen Forensic</w:t>
      </w:r>
      <w:r>
        <w:rPr>
          <w:sz w:val="20"/>
          <w:szCs w:val="20"/>
        </w:rPr>
        <w:t xml:space="preserve"> y verificar la información almacenada en la base de datos. D</w:t>
      </w:r>
      <w:r>
        <w:rPr>
          <w:rFonts w:eastAsiaTheme="minorHAnsi"/>
          <w:color w:val="000000"/>
          <w:sz w:val="20"/>
          <w:szCs w:val="20"/>
          <w:lang w:eastAsia="en-US"/>
        </w:rPr>
        <w:t>ebió existir un informe pericial</w:t>
      </w:r>
      <w:r>
        <w:rPr>
          <w:sz w:val="20"/>
          <w:szCs w:val="20"/>
        </w:rPr>
        <w:t xml:space="preserve"> </w:t>
      </w:r>
      <w:r>
        <w:rPr>
          <w:rFonts w:eastAsiaTheme="minorHAnsi"/>
          <w:color w:val="000000"/>
          <w:sz w:val="20"/>
          <w:szCs w:val="20"/>
          <w:lang w:eastAsia="en-US"/>
        </w:rPr>
        <w:t>que, ajustado a las exigencias técnicas, despejara las dudas sobre la autenticidad del material informático</w:t>
      </w:r>
      <w:r>
        <w:rPr>
          <w:sz w:val="20"/>
          <w:szCs w:val="20"/>
        </w:rPr>
        <w:t xml:space="preserve"> </w:t>
      </w:r>
      <w:r>
        <w:rPr>
          <w:rFonts w:eastAsiaTheme="minorHAnsi"/>
          <w:color w:val="000000"/>
          <w:sz w:val="20"/>
          <w:szCs w:val="20"/>
          <w:lang w:eastAsia="en-US"/>
        </w:rPr>
        <w:t>intervenido en la causa</w:t>
      </w:r>
      <w:r>
        <w:rPr>
          <w:rFonts w:eastAsiaTheme="minorHAnsi"/>
          <w:sz w:val="20"/>
          <w:szCs w:val="20"/>
          <w:lang w:eastAsia="en-US"/>
        </w:rPr>
        <w:t>”.</w:t>
      </w:r>
      <w:r>
        <w:rPr>
          <w:rFonts w:eastAsiaTheme="minorHAnsi"/>
          <w:color w:val="000000"/>
          <w:sz w:val="20"/>
          <w:szCs w:val="20"/>
          <w:lang w:eastAsia="en-US"/>
        </w:rPr>
        <w:t xml:space="preserve"> </w:t>
      </w:r>
    </w:p>
  </w:footnote>
  <w:footnote w:id="69">
    <w:p w:rsidR="00896436" w:rsidRDefault="00896436">
      <w:pPr>
        <w:jc w:val="both"/>
        <w:rPr>
          <w:sz w:val="20"/>
          <w:szCs w:val="20"/>
        </w:rPr>
      </w:pPr>
      <w:r>
        <w:rPr>
          <w:rStyle w:val="Refdenotaalpie"/>
        </w:rPr>
        <w:footnoteRef/>
      </w:r>
      <w:r>
        <w:t xml:space="preserve"> </w:t>
      </w:r>
      <w:r>
        <w:rPr>
          <w:bCs/>
          <w:sz w:val="20"/>
          <w:szCs w:val="20"/>
        </w:rPr>
        <w:t>B</w:t>
      </w:r>
      <w:r w:rsidR="00C8085D">
        <w:rPr>
          <w:bCs/>
          <w:sz w:val="20"/>
          <w:szCs w:val="20"/>
        </w:rPr>
        <w:t>ueno</w:t>
      </w:r>
      <w:r>
        <w:rPr>
          <w:bCs/>
          <w:sz w:val="20"/>
          <w:szCs w:val="20"/>
        </w:rPr>
        <w:t xml:space="preserve"> D</w:t>
      </w:r>
      <w:r w:rsidR="00C8085D">
        <w:rPr>
          <w:bCs/>
          <w:sz w:val="20"/>
          <w:szCs w:val="20"/>
        </w:rPr>
        <w:t>e</w:t>
      </w:r>
      <w:r>
        <w:rPr>
          <w:bCs/>
          <w:sz w:val="20"/>
          <w:szCs w:val="20"/>
        </w:rPr>
        <w:t xml:space="preserve"> M</w:t>
      </w:r>
      <w:r w:rsidR="00C8085D">
        <w:rPr>
          <w:bCs/>
          <w:sz w:val="20"/>
          <w:szCs w:val="20"/>
        </w:rPr>
        <w:t>ata</w:t>
      </w:r>
      <w:r>
        <w:rPr>
          <w:bCs/>
          <w:sz w:val="20"/>
          <w:szCs w:val="20"/>
        </w:rPr>
        <w:t>, Federico</w:t>
      </w:r>
      <w:r>
        <w:rPr>
          <w:bCs/>
          <w:color w:val="000000" w:themeColor="text1"/>
          <w:sz w:val="20"/>
          <w:szCs w:val="20"/>
        </w:rPr>
        <w:t xml:space="preserve"> ob. cit. </w:t>
      </w:r>
    </w:p>
  </w:footnote>
  <w:footnote w:id="70">
    <w:p w:rsidR="00896436" w:rsidRDefault="00896436">
      <w:pPr>
        <w:jc w:val="both"/>
        <w:rPr>
          <w:rFonts w:eastAsiaTheme="minorHAnsi"/>
          <w:color w:val="000000"/>
          <w:sz w:val="20"/>
          <w:szCs w:val="20"/>
          <w:lang w:eastAsia="en-US"/>
        </w:rPr>
      </w:pPr>
      <w:r>
        <w:rPr>
          <w:rStyle w:val="Refdenotaalpie"/>
          <w:sz w:val="20"/>
          <w:szCs w:val="20"/>
        </w:rPr>
        <w:footnoteRef/>
      </w:r>
      <w:r>
        <w:rPr>
          <w:sz w:val="20"/>
          <w:szCs w:val="20"/>
        </w:rPr>
        <w:t xml:space="preserve"> El autor aclara que el sellado de tiempo tiene una parte menos positiva referida a su automaticidad. Esto quiere decir que no existe alguien que realmente supervise el contenido de la prueba pues es un </w:t>
      </w:r>
      <w:r>
        <w:rPr>
          <w:i/>
          <w:sz w:val="20"/>
          <w:szCs w:val="20"/>
        </w:rPr>
        <w:t>software</w:t>
      </w:r>
      <w:r>
        <w:rPr>
          <w:sz w:val="20"/>
          <w:szCs w:val="20"/>
        </w:rPr>
        <w:t xml:space="preserve"> informático el que sella los datos en un momento determinado pero no entra a valorar las manipulaciones que haya podido sufrir esa conversación. Por este motivo, siempre que hubiera dudas sobre la posible manipulación de la prueba se debería impugnar no el sellado de tiempo, si no la posible falsificación del contenido del archivo para que ya un perito informático dictamine si el archivo ha sido modificado en el pasado.</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4528F"/>
    <w:multiLevelType w:val="hybridMultilevel"/>
    <w:tmpl w:val="4FBEACA2"/>
    <w:lvl w:ilvl="0" w:tplc="040A000F">
      <w:start w:val="1"/>
      <w:numFmt w:val="decimal"/>
      <w:lvlText w:val="%1."/>
      <w:lvlJc w:val="left"/>
      <w:pPr>
        <w:ind w:left="720" w:hanging="360"/>
      </w:pPr>
      <w:rPr>
        <w:rFonts w:hint="default"/>
        <w:b/>
        <w:i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50AC28D4"/>
    <w:multiLevelType w:val="hybridMultilevel"/>
    <w:tmpl w:val="F9E215F8"/>
    <w:lvl w:ilvl="0" w:tplc="2084DB04">
      <w:start w:val="1"/>
      <w:numFmt w:val="upperRoman"/>
      <w:lvlText w:val="%1."/>
      <w:lvlJc w:val="left"/>
      <w:pPr>
        <w:ind w:left="720" w:hanging="360"/>
      </w:pPr>
      <w:rPr>
        <w:rFonts w:hint="default"/>
        <w:b/>
        <w:i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18E"/>
    <w:rsid w:val="000316B7"/>
    <w:rsid w:val="00042267"/>
    <w:rsid w:val="000427F2"/>
    <w:rsid w:val="000456DB"/>
    <w:rsid w:val="0005433A"/>
    <w:rsid w:val="00065B93"/>
    <w:rsid w:val="00071FF9"/>
    <w:rsid w:val="000910F7"/>
    <w:rsid w:val="00091FD4"/>
    <w:rsid w:val="00092732"/>
    <w:rsid w:val="000927A5"/>
    <w:rsid w:val="000964A1"/>
    <w:rsid w:val="000A0248"/>
    <w:rsid w:val="000A32AA"/>
    <w:rsid w:val="000A3EB1"/>
    <w:rsid w:val="000B250E"/>
    <w:rsid w:val="000D15E4"/>
    <w:rsid w:val="000D6BBC"/>
    <w:rsid w:val="000E0D2D"/>
    <w:rsid w:val="000E511A"/>
    <w:rsid w:val="000F5884"/>
    <w:rsid w:val="000F75B7"/>
    <w:rsid w:val="001015F6"/>
    <w:rsid w:val="001063FD"/>
    <w:rsid w:val="00130C8F"/>
    <w:rsid w:val="001310FB"/>
    <w:rsid w:val="001430DC"/>
    <w:rsid w:val="00155424"/>
    <w:rsid w:val="00161898"/>
    <w:rsid w:val="00175ED0"/>
    <w:rsid w:val="001910BF"/>
    <w:rsid w:val="001A1EB8"/>
    <w:rsid w:val="001B7787"/>
    <w:rsid w:val="001C5D57"/>
    <w:rsid w:val="001C76C7"/>
    <w:rsid w:val="001D523C"/>
    <w:rsid w:val="001E560C"/>
    <w:rsid w:val="00203761"/>
    <w:rsid w:val="00217D92"/>
    <w:rsid w:val="002202D1"/>
    <w:rsid w:val="0022290D"/>
    <w:rsid w:val="002275F7"/>
    <w:rsid w:val="00231A70"/>
    <w:rsid w:val="00233E37"/>
    <w:rsid w:val="00234ADE"/>
    <w:rsid w:val="002403A5"/>
    <w:rsid w:val="00241CFC"/>
    <w:rsid w:val="00242257"/>
    <w:rsid w:val="00245E2E"/>
    <w:rsid w:val="00246B1D"/>
    <w:rsid w:val="00250D39"/>
    <w:rsid w:val="0025371C"/>
    <w:rsid w:val="00257852"/>
    <w:rsid w:val="002647AB"/>
    <w:rsid w:val="00271834"/>
    <w:rsid w:val="00275323"/>
    <w:rsid w:val="002868CE"/>
    <w:rsid w:val="002961C8"/>
    <w:rsid w:val="002A7F98"/>
    <w:rsid w:val="002C2115"/>
    <w:rsid w:val="002C621F"/>
    <w:rsid w:val="002D1FA5"/>
    <w:rsid w:val="002D4376"/>
    <w:rsid w:val="002E234E"/>
    <w:rsid w:val="002F1549"/>
    <w:rsid w:val="002F6956"/>
    <w:rsid w:val="0030029A"/>
    <w:rsid w:val="00300F31"/>
    <w:rsid w:val="003129AB"/>
    <w:rsid w:val="0031364B"/>
    <w:rsid w:val="00321F10"/>
    <w:rsid w:val="00330571"/>
    <w:rsid w:val="00333C12"/>
    <w:rsid w:val="0034521F"/>
    <w:rsid w:val="00346777"/>
    <w:rsid w:val="0036209F"/>
    <w:rsid w:val="003642DD"/>
    <w:rsid w:val="00366E01"/>
    <w:rsid w:val="0037014D"/>
    <w:rsid w:val="003724C9"/>
    <w:rsid w:val="0037592C"/>
    <w:rsid w:val="003861C5"/>
    <w:rsid w:val="003A3EE9"/>
    <w:rsid w:val="003A5D22"/>
    <w:rsid w:val="003D3D48"/>
    <w:rsid w:val="003D787B"/>
    <w:rsid w:val="003E1753"/>
    <w:rsid w:val="003E4992"/>
    <w:rsid w:val="003E69E9"/>
    <w:rsid w:val="003F04C6"/>
    <w:rsid w:val="00400FDF"/>
    <w:rsid w:val="004032B9"/>
    <w:rsid w:val="004215C2"/>
    <w:rsid w:val="00431F36"/>
    <w:rsid w:val="00432ADB"/>
    <w:rsid w:val="004347F7"/>
    <w:rsid w:val="00445041"/>
    <w:rsid w:val="00447829"/>
    <w:rsid w:val="00454F25"/>
    <w:rsid w:val="00460218"/>
    <w:rsid w:val="00461782"/>
    <w:rsid w:val="00465672"/>
    <w:rsid w:val="004841C1"/>
    <w:rsid w:val="004853C2"/>
    <w:rsid w:val="00491DE8"/>
    <w:rsid w:val="00497290"/>
    <w:rsid w:val="004A4868"/>
    <w:rsid w:val="004B6F6D"/>
    <w:rsid w:val="004C1936"/>
    <w:rsid w:val="004D3402"/>
    <w:rsid w:val="004D42AB"/>
    <w:rsid w:val="004D4317"/>
    <w:rsid w:val="004E365F"/>
    <w:rsid w:val="004F3321"/>
    <w:rsid w:val="004F6E47"/>
    <w:rsid w:val="005029BC"/>
    <w:rsid w:val="00513FBE"/>
    <w:rsid w:val="00536DA6"/>
    <w:rsid w:val="005463E9"/>
    <w:rsid w:val="00547F52"/>
    <w:rsid w:val="00550482"/>
    <w:rsid w:val="00551461"/>
    <w:rsid w:val="00551F0C"/>
    <w:rsid w:val="00570EBB"/>
    <w:rsid w:val="005755A6"/>
    <w:rsid w:val="00594294"/>
    <w:rsid w:val="005961DE"/>
    <w:rsid w:val="005C1CD1"/>
    <w:rsid w:val="005C6DD5"/>
    <w:rsid w:val="005D16A4"/>
    <w:rsid w:val="005D4302"/>
    <w:rsid w:val="005D7F75"/>
    <w:rsid w:val="005F0412"/>
    <w:rsid w:val="005F42BD"/>
    <w:rsid w:val="005F71BB"/>
    <w:rsid w:val="00605795"/>
    <w:rsid w:val="006058C7"/>
    <w:rsid w:val="00627ED4"/>
    <w:rsid w:val="00632041"/>
    <w:rsid w:val="00650FAA"/>
    <w:rsid w:val="006608BC"/>
    <w:rsid w:val="00663D1F"/>
    <w:rsid w:val="00665078"/>
    <w:rsid w:val="006800EE"/>
    <w:rsid w:val="00690BE7"/>
    <w:rsid w:val="00691397"/>
    <w:rsid w:val="006A1B7D"/>
    <w:rsid w:val="006A59D3"/>
    <w:rsid w:val="006A6218"/>
    <w:rsid w:val="006A75B4"/>
    <w:rsid w:val="006B636A"/>
    <w:rsid w:val="006C629A"/>
    <w:rsid w:val="006D078C"/>
    <w:rsid w:val="006D7D94"/>
    <w:rsid w:val="006E01DA"/>
    <w:rsid w:val="006E0EB8"/>
    <w:rsid w:val="006E2713"/>
    <w:rsid w:val="006F5175"/>
    <w:rsid w:val="00701B52"/>
    <w:rsid w:val="00702ABD"/>
    <w:rsid w:val="00710C30"/>
    <w:rsid w:val="007123E4"/>
    <w:rsid w:val="00716D20"/>
    <w:rsid w:val="00720514"/>
    <w:rsid w:val="007342F9"/>
    <w:rsid w:val="0074192C"/>
    <w:rsid w:val="0074713F"/>
    <w:rsid w:val="007513DB"/>
    <w:rsid w:val="00752B51"/>
    <w:rsid w:val="00753E69"/>
    <w:rsid w:val="007543E8"/>
    <w:rsid w:val="00763830"/>
    <w:rsid w:val="007673D3"/>
    <w:rsid w:val="007802FE"/>
    <w:rsid w:val="007909BC"/>
    <w:rsid w:val="0079188D"/>
    <w:rsid w:val="0079365B"/>
    <w:rsid w:val="00796F89"/>
    <w:rsid w:val="007B245D"/>
    <w:rsid w:val="007C5210"/>
    <w:rsid w:val="007D3F46"/>
    <w:rsid w:val="007E4539"/>
    <w:rsid w:val="00805DEF"/>
    <w:rsid w:val="0081120D"/>
    <w:rsid w:val="0083052A"/>
    <w:rsid w:val="00857681"/>
    <w:rsid w:val="00896436"/>
    <w:rsid w:val="008A2E4D"/>
    <w:rsid w:val="008D0959"/>
    <w:rsid w:val="008D2263"/>
    <w:rsid w:val="008E6FDB"/>
    <w:rsid w:val="008F7555"/>
    <w:rsid w:val="00906FB0"/>
    <w:rsid w:val="00917D7E"/>
    <w:rsid w:val="00923D7A"/>
    <w:rsid w:val="00923FC3"/>
    <w:rsid w:val="009242C4"/>
    <w:rsid w:val="009242F5"/>
    <w:rsid w:val="009245E3"/>
    <w:rsid w:val="00930374"/>
    <w:rsid w:val="00936D0E"/>
    <w:rsid w:val="009455D7"/>
    <w:rsid w:val="00957162"/>
    <w:rsid w:val="00957D2F"/>
    <w:rsid w:val="0097084E"/>
    <w:rsid w:val="0098614C"/>
    <w:rsid w:val="00986C95"/>
    <w:rsid w:val="009C3A74"/>
    <w:rsid w:val="009D29C0"/>
    <w:rsid w:val="009D4F23"/>
    <w:rsid w:val="009D5DFC"/>
    <w:rsid w:val="009E56CC"/>
    <w:rsid w:val="009E6592"/>
    <w:rsid w:val="00A00268"/>
    <w:rsid w:val="00A05D08"/>
    <w:rsid w:val="00A14218"/>
    <w:rsid w:val="00A54694"/>
    <w:rsid w:val="00A55A09"/>
    <w:rsid w:val="00A56A5E"/>
    <w:rsid w:val="00A709C2"/>
    <w:rsid w:val="00A70BA9"/>
    <w:rsid w:val="00A73003"/>
    <w:rsid w:val="00A77A5A"/>
    <w:rsid w:val="00A908C2"/>
    <w:rsid w:val="00A9646A"/>
    <w:rsid w:val="00AA31B0"/>
    <w:rsid w:val="00AA413C"/>
    <w:rsid w:val="00AA71CB"/>
    <w:rsid w:val="00AB3F5C"/>
    <w:rsid w:val="00AB4483"/>
    <w:rsid w:val="00AB5804"/>
    <w:rsid w:val="00AE0C35"/>
    <w:rsid w:val="00AF24E5"/>
    <w:rsid w:val="00AF3541"/>
    <w:rsid w:val="00B03E12"/>
    <w:rsid w:val="00B062D8"/>
    <w:rsid w:val="00B06781"/>
    <w:rsid w:val="00B35310"/>
    <w:rsid w:val="00B36402"/>
    <w:rsid w:val="00B4060E"/>
    <w:rsid w:val="00B45BB0"/>
    <w:rsid w:val="00B763E2"/>
    <w:rsid w:val="00B7706B"/>
    <w:rsid w:val="00BB602C"/>
    <w:rsid w:val="00BB67E9"/>
    <w:rsid w:val="00BD144F"/>
    <w:rsid w:val="00BD423B"/>
    <w:rsid w:val="00BE0856"/>
    <w:rsid w:val="00BE6913"/>
    <w:rsid w:val="00C101D2"/>
    <w:rsid w:val="00C172BF"/>
    <w:rsid w:val="00C272A7"/>
    <w:rsid w:val="00C27328"/>
    <w:rsid w:val="00C31489"/>
    <w:rsid w:val="00C339CB"/>
    <w:rsid w:val="00C3494D"/>
    <w:rsid w:val="00C373D3"/>
    <w:rsid w:val="00C375F0"/>
    <w:rsid w:val="00C42696"/>
    <w:rsid w:val="00C431A5"/>
    <w:rsid w:val="00C73FFD"/>
    <w:rsid w:val="00C80214"/>
    <w:rsid w:val="00C8085D"/>
    <w:rsid w:val="00C80F7F"/>
    <w:rsid w:val="00C958C7"/>
    <w:rsid w:val="00C975CA"/>
    <w:rsid w:val="00CA352D"/>
    <w:rsid w:val="00CA7BF5"/>
    <w:rsid w:val="00CB47D1"/>
    <w:rsid w:val="00CB5D6A"/>
    <w:rsid w:val="00CB793C"/>
    <w:rsid w:val="00CB7CBF"/>
    <w:rsid w:val="00CD11FA"/>
    <w:rsid w:val="00CE04A9"/>
    <w:rsid w:val="00CE3297"/>
    <w:rsid w:val="00D03307"/>
    <w:rsid w:val="00D23FE2"/>
    <w:rsid w:val="00D2533D"/>
    <w:rsid w:val="00D30568"/>
    <w:rsid w:val="00D30578"/>
    <w:rsid w:val="00D34273"/>
    <w:rsid w:val="00D40C6F"/>
    <w:rsid w:val="00D42126"/>
    <w:rsid w:val="00D518AC"/>
    <w:rsid w:val="00D70F1C"/>
    <w:rsid w:val="00D7280C"/>
    <w:rsid w:val="00D860DF"/>
    <w:rsid w:val="00D87E5E"/>
    <w:rsid w:val="00DB211F"/>
    <w:rsid w:val="00DB3888"/>
    <w:rsid w:val="00DB5260"/>
    <w:rsid w:val="00DC4943"/>
    <w:rsid w:val="00DE465D"/>
    <w:rsid w:val="00DE57C2"/>
    <w:rsid w:val="00DF2B3F"/>
    <w:rsid w:val="00E078E2"/>
    <w:rsid w:val="00E14103"/>
    <w:rsid w:val="00E23127"/>
    <w:rsid w:val="00E2643D"/>
    <w:rsid w:val="00E27E1F"/>
    <w:rsid w:val="00E4225C"/>
    <w:rsid w:val="00E51AC0"/>
    <w:rsid w:val="00E76DBF"/>
    <w:rsid w:val="00E83862"/>
    <w:rsid w:val="00E93349"/>
    <w:rsid w:val="00EA17BC"/>
    <w:rsid w:val="00EA341E"/>
    <w:rsid w:val="00EB6EE5"/>
    <w:rsid w:val="00EC12FB"/>
    <w:rsid w:val="00EC1953"/>
    <w:rsid w:val="00EC19B6"/>
    <w:rsid w:val="00ED6D5D"/>
    <w:rsid w:val="00EE317D"/>
    <w:rsid w:val="00EE37C4"/>
    <w:rsid w:val="00F026B6"/>
    <w:rsid w:val="00F11132"/>
    <w:rsid w:val="00F15661"/>
    <w:rsid w:val="00F1791F"/>
    <w:rsid w:val="00F22880"/>
    <w:rsid w:val="00F2718E"/>
    <w:rsid w:val="00F36E16"/>
    <w:rsid w:val="00F4554B"/>
    <w:rsid w:val="00F50A46"/>
    <w:rsid w:val="00F50D00"/>
    <w:rsid w:val="00F528B3"/>
    <w:rsid w:val="00F5794D"/>
    <w:rsid w:val="00F63F82"/>
    <w:rsid w:val="00F659A7"/>
    <w:rsid w:val="00F70421"/>
    <w:rsid w:val="00F71826"/>
    <w:rsid w:val="00F72E46"/>
    <w:rsid w:val="00F7439E"/>
    <w:rsid w:val="00F76846"/>
    <w:rsid w:val="00F81B46"/>
    <w:rsid w:val="00F8339A"/>
    <w:rsid w:val="00F86FE5"/>
    <w:rsid w:val="00F87D82"/>
    <w:rsid w:val="00FB108E"/>
    <w:rsid w:val="00FD33DE"/>
    <w:rsid w:val="00FF2596"/>
    <w:rsid w:val="3BD140DC"/>
  </w:rsids>
  <m:mathPr>
    <m:mathFont m:val="Cambria Math"/>
    <m:brkBin m:val="before"/>
    <m:brkBinSub m:val="--"/>
    <m:smallFrac m:val="0"/>
    <m:dispDef/>
    <m:lMargin m:val="0"/>
    <m:rMargin m:val="0"/>
    <m:defJc m:val="centerGroup"/>
    <m:wrapIndent m:val="1440"/>
    <m:intLim m:val="subSup"/>
    <m:naryLim m:val="undOvr"/>
  </m:mathPr>
  <w:themeFontLang w:val="es-A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573BB-C90C-AE4F-AD9E-02172DB8C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s-AR" w:eastAsia="es-ES_trad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rPr>
  </w:style>
  <w:style w:type="paragraph" w:styleId="Ttulo1">
    <w:name w:val="heading 1"/>
    <w:basedOn w:val="Normal"/>
    <w:next w:val="Normal"/>
    <w:link w:val="Ttulo1Car"/>
    <w:uiPriority w:val="9"/>
    <w:qFormat/>
    <w:pPr>
      <w:spacing w:after="120" w:line="360" w:lineRule="auto"/>
      <w:jc w:val="center"/>
      <w:outlineLvl w:val="0"/>
    </w:pPr>
    <w:rPr>
      <w:b/>
      <w:bCs/>
      <w:color w:val="000000" w:themeColor="text1"/>
      <w:szCs w:val="28"/>
    </w:rPr>
  </w:style>
  <w:style w:type="paragraph" w:styleId="Ttulo2">
    <w:name w:val="heading 2"/>
    <w:basedOn w:val="Normal"/>
    <w:next w:val="Normal"/>
    <w:link w:val="Ttulo2Car"/>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pPr>
      <w:keepNext/>
      <w:keepLines/>
      <w:spacing w:before="40"/>
      <w:outlineLvl w:val="2"/>
    </w:pPr>
    <w:rPr>
      <w:rFonts w:asciiTheme="majorHAnsi" w:eastAsiaTheme="majorEastAsia" w:hAnsiTheme="majorHAnsi" w:cstheme="majorBidi"/>
      <w:color w:val="1F3864" w:themeColor="accent1" w:themeShade="80"/>
    </w:rPr>
  </w:style>
  <w:style w:type="paragraph" w:styleId="Ttulo4">
    <w:name w:val="heading 4"/>
    <w:basedOn w:val="Normal"/>
    <w:next w:val="Normal"/>
    <w:link w:val="Ttulo4Car"/>
    <w:uiPriority w:val="9"/>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unhideWhenUsed/>
    <w:qFormat/>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qFormat/>
    <w:rPr>
      <w:sz w:val="20"/>
      <w:szCs w:val="20"/>
    </w:rPr>
  </w:style>
  <w:style w:type="paragraph" w:styleId="NormalWeb">
    <w:name w:val="Normal (Web)"/>
    <w:basedOn w:val="Normal"/>
    <w:uiPriority w:val="99"/>
    <w:unhideWhenUsed/>
    <w:pPr>
      <w:spacing w:before="100" w:beforeAutospacing="1" w:after="100" w:afterAutospacing="1"/>
    </w:pPr>
  </w:style>
  <w:style w:type="character" w:styleId="Refdenotaalpie">
    <w:name w:val="footnote reference"/>
    <w:basedOn w:val="Fuentedeprrafopredeter"/>
    <w:uiPriority w:val="99"/>
    <w:unhideWhenUsed/>
    <w:rPr>
      <w:vertAlign w:val="superscript"/>
    </w:rPr>
  </w:style>
  <w:style w:type="character" w:styleId="Hipervnculo">
    <w:name w:val="Hyperlink"/>
    <w:basedOn w:val="Fuentedeprrafopredeter"/>
    <w:uiPriority w:val="99"/>
    <w:unhideWhenUsed/>
    <w:rPr>
      <w:color w:val="0563C1" w:themeColor="hyperlink"/>
      <w:u w:val="single"/>
    </w:rPr>
  </w:style>
  <w:style w:type="character" w:styleId="Textoennegrita">
    <w:name w:val="Strong"/>
    <w:basedOn w:val="Fuentedeprrafopredeter"/>
    <w:uiPriority w:val="22"/>
    <w:qFormat/>
    <w:rPr>
      <w:b/>
      <w:bCs/>
    </w:rPr>
  </w:style>
  <w:style w:type="character" w:customStyle="1" w:styleId="Ttulo1Car">
    <w:name w:val="Título 1 Car"/>
    <w:basedOn w:val="Fuentedeprrafopredeter"/>
    <w:link w:val="Ttulo1"/>
    <w:uiPriority w:val="9"/>
    <w:rPr>
      <w:rFonts w:ascii="Times New Roman" w:eastAsia="Times New Roman" w:hAnsi="Times New Roman" w:cs="Times New Roman"/>
      <w:b/>
      <w:bCs/>
      <w:color w:val="000000" w:themeColor="text1"/>
      <w:szCs w:val="28"/>
    </w:rPr>
  </w:style>
  <w:style w:type="character" w:customStyle="1" w:styleId="TextonotapieCar">
    <w:name w:val="Texto nota pie Car"/>
    <w:basedOn w:val="Fuentedeprrafopredeter"/>
    <w:link w:val="Textonotapie"/>
    <w:uiPriority w:val="99"/>
    <w:rPr>
      <w:rFonts w:ascii="Times New Roman" w:eastAsia="Times New Roman" w:hAnsi="Times New Roman" w:cs="Times New Roman"/>
      <w:sz w:val="20"/>
      <w:szCs w:val="20"/>
    </w:rPr>
  </w:style>
  <w:style w:type="character" w:customStyle="1" w:styleId="Ttulo2Car">
    <w:name w:val="Título 2 Car"/>
    <w:basedOn w:val="Fuentedeprrafopredeter"/>
    <w:link w:val="Ttulo2"/>
    <w:uiPriority w:val="9"/>
    <w:semiHidden/>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semiHidden/>
    <w:rPr>
      <w:rFonts w:asciiTheme="majorHAnsi" w:eastAsiaTheme="majorEastAsia" w:hAnsiTheme="majorHAnsi" w:cstheme="majorBidi"/>
      <w:color w:val="1F3864" w:themeColor="accent1" w:themeShade="80"/>
    </w:rPr>
  </w:style>
  <w:style w:type="character" w:customStyle="1" w:styleId="Ttulo4Car">
    <w:name w:val="Título 4 Car"/>
    <w:basedOn w:val="Fuentedeprrafopredeter"/>
    <w:link w:val="Ttulo4"/>
    <w:uiPriority w:val="9"/>
    <w:semiHidden/>
    <w:rPr>
      <w:rFonts w:asciiTheme="majorHAnsi" w:eastAsiaTheme="majorEastAsia" w:hAnsiTheme="majorHAnsi" w:cstheme="majorBidi"/>
      <w:i/>
      <w:iCs/>
      <w:color w:val="2F5496" w:themeColor="accent1" w:themeShade="BF"/>
    </w:rPr>
  </w:style>
  <w:style w:type="character" w:customStyle="1" w:styleId="Ttulo5Car">
    <w:name w:val="Título 5 Car"/>
    <w:basedOn w:val="Fuentedeprrafopredeter"/>
    <w:link w:val="Ttulo5"/>
    <w:uiPriority w:val="9"/>
    <w:semiHidden/>
    <w:qFormat/>
    <w:rPr>
      <w:rFonts w:asciiTheme="majorHAnsi" w:eastAsiaTheme="majorEastAsia" w:hAnsiTheme="majorHAnsi" w:cstheme="majorBidi"/>
      <w:color w:val="2F5496" w:themeColor="accent1" w:themeShade="BF"/>
    </w:rPr>
  </w:style>
  <w:style w:type="character" w:customStyle="1" w:styleId="a">
    <w:name w:val="a"/>
    <w:basedOn w:val="Fuentedeprrafopredeter"/>
  </w:style>
  <w:style w:type="paragraph" w:customStyle="1" w:styleId="Default">
    <w:name w:val="Default"/>
    <w:pPr>
      <w:autoSpaceDE w:val="0"/>
      <w:autoSpaceDN w:val="0"/>
      <w:adjustRightInd w:val="0"/>
    </w:pPr>
    <w:rPr>
      <w:rFonts w:ascii="Roboto" w:hAnsi="Roboto" w:cs="Roboto"/>
      <w:color w:val="000000"/>
      <w:sz w:val="24"/>
      <w:szCs w:val="24"/>
      <w:lang w:eastAsia="en-US"/>
    </w:rPr>
  </w:style>
  <w:style w:type="paragraph" w:customStyle="1" w:styleId="Prrafodelista1">
    <w:name w:val="Párrafo de lista1"/>
    <w:basedOn w:val="Normal"/>
    <w:uiPriority w:val="34"/>
    <w:qFormat/>
    <w:pPr>
      <w:ind w:left="720"/>
      <w:contextualSpacing/>
    </w:pPr>
  </w:style>
  <w:style w:type="paragraph" w:styleId="Prrafodelista">
    <w:name w:val="List Paragraph"/>
    <w:basedOn w:val="Normal"/>
    <w:uiPriority w:val="99"/>
    <w:rsid w:val="00BD144F"/>
    <w:pPr>
      <w:ind w:left="720"/>
      <w:contextualSpacing/>
    </w:pPr>
  </w:style>
  <w:style w:type="paragraph" w:styleId="Encabezado">
    <w:name w:val="header"/>
    <w:basedOn w:val="Normal"/>
    <w:link w:val="EncabezadoCar"/>
    <w:uiPriority w:val="99"/>
    <w:unhideWhenUsed/>
    <w:rsid w:val="00BD144F"/>
    <w:pPr>
      <w:tabs>
        <w:tab w:val="center" w:pos="4419"/>
        <w:tab w:val="right" w:pos="8838"/>
      </w:tabs>
    </w:pPr>
  </w:style>
  <w:style w:type="character" w:customStyle="1" w:styleId="EncabezadoCar">
    <w:name w:val="Encabezado Car"/>
    <w:basedOn w:val="Fuentedeprrafopredeter"/>
    <w:link w:val="Encabezado"/>
    <w:uiPriority w:val="99"/>
    <w:rsid w:val="00BD144F"/>
    <w:rPr>
      <w:rFonts w:ascii="Times New Roman" w:eastAsia="Times New Roman" w:hAnsi="Times New Roman" w:cs="Times New Roman"/>
      <w:sz w:val="24"/>
      <w:szCs w:val="24"/>
    </w:rPr>
  </w:style>
  <w:style w:type="paragraph" w:styleId="Piedepgina">
    <w:name w:val="footer"/>
    <w:basedOn w:val="Normal"/>
    <w:link w:val="PiedepginaCar"/>
    <w:uiPriority w:val="99"/>
    <w:unhideWhenUsed/>
    <w:rsid w:val="00BD144F"/>
    <w:pPr>
      <w:tabs>
        <w:tab w:val="center" w:pos="4419"/>
        <w:tab w:val="right" w:pos="8838"/>
      </w:tabs>
    </w:pPr>
  </w:style>
  <w:style w:type="character" w:customStyle="1" w:styleId="PiedepginaCar">
    <w:name w:val="Pie de página Car"/>
    <w:basedOn w:val="Fuentedeprrafopredeter"/>
    <w:link w:val="Piedepgina"/>
    <w:uiPriority w:val="99"/>
    <w:rsid w:val="00BD144F"/>
    <w:rPr>
      <w:rFonts w:ascii="Times New Roman" w:eastAsia="Times New Roman" w:hAnsi="Times New Roman" w:cs="Times New Roman"/>
      <w:sz w:val="24"/>
      <w:szCs w:val="24"/>
    </w:rPr>
  </w:style>
  <w:style w:type="character" w:styleId="Nmerodepgina">
    <w:name w:val="page number"/>
    <w:basedOn w:val="Fuentedeprrafopredeter"/>
    <w:uiPriority w:val="99"/>
    <w:semiHidden/>
    <w:unhideWhenUsed/>
    <w:rsid w:val="00551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a2BcIQAGV5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youtube.com/watch?v=BTRPCyGlG8M" TargetMode="External"/><Relationship Id="rId4" Type="http://schemas.openxmlformats.org/officeDocument/2006/relationships/styles" Target="styles.xml"/><Relationship Id="rId9" Type="http://schemas.openxmlformats.org/officeDocument/2006/relationships/hyperlink" Target="https://sistemasjudiciales.org/wp-content/uploads/2021/10/4.-SJ24.-Dupuy.pdf"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sistemasjudiciales.org/wp-content/uploads/2021/10/4.-SJ24.-Dupuy.pdf" TargetMode="External"/><Relationship Id="rId3" Type="http://schemas.openxmlformats.org/officeDocument/2006/relationships/hyperlink" Target="https://sistemasjudiciales.org/wp-content/uploads/2021/10/4.-SJ24.-Dupuy.pdf" TargetMode="External"/><Relationship Id="rId7" Type="http://schemas.openxmlformats.org/officeDocument/2006/relationships/hyperlink" Target="https://www.youtube.com/watch?v=BTRPCyGlG8M" TargetMode="External"/><Relationship Id="rId2" Type="http://schemas.openxmlformats.org/officeDocument/2006/relationships/hyperlink" Target="https://www.youtube.com/watch?v=BTRPCyGlG8M" TargetMode="External"/><Relationship Id="rId1" Type="http://schemas.openxmlformats.org/officeDocument/2006/relationships/hyperlink" Target="https://sistemasjudiciales.org/wp-content/uploads/2021/10/4.-SJ24.-Dupuy.pdf" TargetMode="External"/><Relationship Id="rId6" Type="http://schemas.openxmlformats.org/officeDocument/2006/relationships/hyperlink" Target="https://www.youtube.com/watch?v=a2BcIQAGV5k" TargetMode="External"/><Relationship Id="rId5" Type="http://schemas.openxmlformats.org/officeDocument/2006/relationships/hyperlink" Target="https://sistemasjudiciales.org/wp-content/uploads/2021/10/4.-SJ24.-Dupuy.pdf" TargetMode="External"/><Relationship Id="rId4" Type="http://schemas.openxmlformats.org/officeDocument/2006/relationships/hyperlink" Target="https://www.diariouno.com.ar/politica/el-fiscal-santiago-garay-propuso-la-creacion-del-agente-encubierto-casos-graves-n87428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E45B1A-DFBA-4B95-93F7-0F7DE880D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9318</Words>
  <Characters>51254</Characters>
  <Application>Microsoft Office Word</Application>
  <DocSecurity>0</DocSecurity>
  <Lines>427</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Usuario de Windows</cp:lastModifiedBy>
  <cp:revision>2</cp:revision>
  <dcterms:created xsi:type="dcterms:W3CDTF">2023-04-25T20:06:00Z</dcterms:created>
  <dcterms:modified xsi:type="dcterms:W3CDTF">2023-04-25T20:06:00Z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3082-10.2.0.5845</vt:lpwstr>
  </property>
</Properties>
</file>