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548BE1" w14:textId="34C41C17" w:rsidR="2CB70441" w:rsidRDefault="2CB70441" w:rsidP="2742513F">
      <w:pPr>
        <w:jc w:val="center"/>
        <w:rPr>
          <w:sz w:val="28"/>
          <w:szCs w:val="28"/>
        </w:rPr>
      </w:pPr>
      <w:bookmarkStart w:id="0" w:name="_GoBack"/>
      <w:bookmarkEnd w:id="0"/>
      <w:r w:rsidRPr="2742513F">
        <w:rPr>
          <w:b/>
          <w:bCs/>
          <w:sz w:val="28"/>
          <w:szCs w:val="28"/>
        </w:rPr>
        <w:t xml:space="preserve">La </w:t>
      </w:r>
      <w:r w:rsidR="003549E4">
        <w:rPr>
          <w:b/>
          <w:bCs/>
          <w:sz w:val="28"/>
          <w:szCs w:val="28"/>
        </w:rPr>
        <w:t xml:space="preserve">expansión </w:t>
      </w:r>
      <w:r w:rsidRPr="2742513F">
        <w:rPr>
          <w:b/>
          <w:bCs/>
          <w:sz w:val="28"/>
          <w:szCs w:val="28"/>
        </w:rPr>
        <w:t xml:space="preserve">de los derechos de niñas, niños y adolescentes </w:t>
      </w:r>
      <w:r w:rsidR="003549E4">
        <w:rPr>
          <w:b/>
          <w:bCs/>
          <w:sz w:val="28"/>
          <w:szCs w:val="28"/>
        </w:rPr>
        <w:t>en México a partir de la</w:t>
      </w:r>
      <w:r w:rsidRPr="2742513F">
        <w:rPr>
          <w:b/>
          <w:bCs/>
          <w:sz w:val="28"/>
          <w:szCs w:val="28"/>
        </w:rPr>
        <w:t xml:space="preserve"> mirada judicial</w:t>
      </w:r>
    </w:p>
    <w:p w14:paraId="7EB81A52" w14:textId="367BE970" w:rsidR="2CB70441" w:rsidRDefault="2CB70441" w:rsidP="2742513F">
      <w:pPr>
        <w:jc w:val="right"/>
      </w:pPr>
      <w:r w:rsidRPr="2742513F">
        <w:t xml:space="preserve">Dr. Ricardo Alberto Ortega Soriano </w:t>
      </w:r>
    </w:p>
    <w:p w14:paraId="2F3B139F" w14:textId="1E7D4149" w:rsidR="2CB70441" w:rsidRDefault="2CB70441" w:rsidP="2742513F">
      <w:pPr>
        <w:jc w:val="right"/>
      </w:pPr>
      <w:r w:rsidRPr="2742513F">
        <w:t>Doctor en Derecho</w:t>
      </w:r>
    </w:p>
    <w:p w14:paraId="03AEBABB" w14:textId="134E349F" w:rsidR="2CB70441" w:rsidRDefault="2CB70441" w:rsidP="2742513F">
      <w:pPr>
        <w:jc w:val="right"/>
      </w:pPr>
      <w:r w:rsidRPr="2742513F">
        <w:t>Universidad Iberoamericana Ciudad de México</w:t>
      </w:r>
    </w:p>
    <w:p w14:paraId="7AD3DE21" w14:textId="3867FE8A" w:rsidR="2CB70441" w:rsidRDefault="007A75A8" w:rsidP="2742513F">
      <w:pPr>
        <w:jc w:val="right"/>
      </w:pPr>
      <w:hyperlink r:id="rId11">
        <w:r w:rsidR="2CB70441" w:rsidRPr="2742513F">
          <w:rPr>
            <w:rStyle w:val="Hipervnculo"/>
          </w:rPr>
          <w:t>ricardo.ortega@ibero.mx</w:t>
        </w:r>
      </w:hyperlink>
    </w:p>
    <w:p w14:paraId="4D2395DB" w14:textId="5AE55FB1" w:rsidR="55033B22" w:rsidRPr="00983273" w:rsidRDefault="55033B22" w:rsidP="005842D7">
      <w:pPr>
        <w:pStyle w:val="Prrafodelista"/>
        <w:numPr>
          <w:ilvl w:val="0"/>
          <w:numId w:val="1"/>
        </w:numPr>
        <w:spacing w:after="120" w:line="276" w:lineRule="auto"/>
        <w:jc w:val="both"/>
        <w:rPr>
          <w:b/>
          <w:bCs/>
        </w:rPr>
      </w:pPr>
      <w:r w:rsidRPr="00983273">
        <w:rPr>
          <w:b/>
          <w:bCs/>
        </w:rPr>
        <w:t>Introducción</w:t>
      </w:r>
    </w:p>
    <w:p w14:paraId="00164D69" w14:textId="73F0B5CA" w:rsidR="004E672A" w:rsidRPr="004E672A" w:rsidRDefault="004E672A" w:rsidP="004E672A">
      <w:pPr>
        <w:spacing w:after="120" w:line="276" w:lineRule="auto"/>
        <w:jc w:val="both"/>
      </w:pPr>
      <w:r w:rsidRPr="004E672A">
        <w:t>El reconocimiento de los derechos de niñas, niños y adolescentes desde un</w:t>
      </w:r>
      <w:r>
        <w:t xml:space="preserve"> enfoque</w:t>
      </w:r>
      <w:r w:rsidRPr="004E672A">
        <w:t xml:space="preserve"> integral se encuentra vinculado con la adopción de la Convención sobre los Derechos del Niño en 1989, hace poco más de 30 años. Sin embargo, a pesar de que este enfoque o perspectiva de protección cuenta con un historial relativamente breve, lo cierto es que su desarrollo a nivel universal, regional y en los Estados ha ocurrido relativamente rápido, comparado con los derechos de otros grupos en situación de exclusión o desventaja. En este sentido, puede decirse que a partir de la firma de la Convención</w:t>
      </w:r>
      <w:r>
        <w:t>,</w:t>
      </w:r>
      <w:r w:rsidRPr="004E672A">
        <w:t xml:space="preserve"> los Estados que la han suscrito han ido, de manera paulatina y progresiva, creando leyes e instituciones para dar cumplimiento a las obligaciones establecidas en dicho ordenamiento internacional. </w:t>
      </w:r>
    </w:p>
    <w:p w14:paraId="2F7911A7" w14:textId="77777777" w:rsidR="004E672A" w:rsidRDefault="004E672A" w:rsidP="005842D7">
      <w:pPr>
        <w:spacing w:after="120" w:line="276" w:lineRule="auto"/>
        <w:jc w:val="both"/>
      </w:pPr>
      <w:r w:rsidRPr="004E672A">
        <w:t xml:space="preserve">No obstante lo anterior, podría afirmarse que si bien la Convención sobre los Derechos del Niño estableció algunos principios que sustentan el denominado paradigma de la protección integral o enfoque de derechos de la infancia, lo cierto es que ese mismo instrumento internacional cuenta con una serie de cláusulas ambiguas e indeterminadas, cuya interpretación muchas veces ha sido comprendida en clave restrictiva generando con ello una importante limitación en el ejercicio de derechos de niñas, niños y adolescentes. </w:t>
      </w:r>
    </w:p>
    <w:p w14:paraId="68E43DC4" w14:textId="77777777" w:rsidR="004E672A" w:rsidRDefault="004E672A" w:rsidP="005842D7">
      <w:pPr>
        <w:spacing w:after="120" w:line="276" w:lineRule="auto"/>
        <w:jc w:val="both"/>
      </w:pPr>
      <w:r w:rsidRPr="004E672A">
        <w:t xml:space="preserve">Puede decirse que, si bien la Convención ha establecido una serie de cánones y principios que pueden ampliar de forma considerable el ejercicio de derechos de las personas menores de edad, lo cierto es que de la misma forma se pueden generar importantes tensiones cuando la interpretación de ese mismo instrumento se verifica desde criterios o enfoques de tipo tutelar, que generan un efecto contrario, limitando de manera importante el ejercicio de derechos. </w:t>
      </w:r>
    </w:p>
    <w:p w14:paraId="59D91767" w14:textId="1722712E" w:rsidR="2742513F" w:rsidRDefault="004E672A" w:rsidP="005842D7">
      <w:pPr>
        <w:spacing w:after="120" w:line="276" w:lineRule="auto"/>
        <w:jc w:val="both"/>
      </w:pPr>
      <w:r w:rsidRPr="004E672A">
        <w:t xml:space="preserve">De ahí que la interpretación y el trabajo que realizan los órganos jurisdiccionales, así como otro tipo de órganos especializados en materia de derechos de la infancia, constituya un aspecto central para una protección adecuada de tales derechos. Puede decirse que los tribunales constitucionales, organismos de derecho internacional especializados como el Comité sobre los Derechos del Niño, tribunales internacionales especializados como la Corte Interamericana de Derechos Humanos llevan a cabo una tarea interpretativa que ha sido, sin duda medular para la confección y desarrollo de una multiplicidad de derechos en una importante cantidad de temas. </w:t>
      </w:r>
    </w:p>
    <w:p w14:paraId="1F5CB78C" w14:textId="66803271" w:rsidR="004E672A" w:rsidRDefault="004E672A" w:rsidP="005842D7">
      <w:pPr>
        <w:spacing w:after="120" w:line="276" w:lineRule="auto"/>
        <w:jc w:val="both"/>
      </w:pPr>
      <w:r>
        <w:t xml:space="preserve">Con el propósito de comprender la importancia que ha tenido la expansión e incluso, la re-caracterización de los derechos de niñas, niños y adolescentes en México, en primer lugar, se presentará un breve recuento de la situación normativa que enfrentan los derechos de la infancia, así como su evolución en este país. Posteriormente, se presentarán algunos ejemplos que dan cuenta de los procesos interpretativos que han </w:t>
      </w:r>
      <w:r w:rsidR="007976E5">
        <w:t xml:space="preserve">impulsado cambios sustanciales en el alcance de diversos derechos. </w:t>
      </w:r>
    </w:p>
    <w:p w14:paraId="2CD3ED5B" w14:textId="555666EF" w:rsidR="55033B22" w:rsidRPr="00983273" w:rsidRDefault="0046540B" w:rsidP="005842D7">
      <w:pPr>
        <w:pStyle w:val="Prrafodelista"/>
        <w:numPr>
          <w:ilvl w:val="0"/>
          <w:numId w:val="1"/>
        </w:numPr>
        <w:spacing w:after="120" w:line="276" w:lineRule="auto"/>
        <w:jc w:val="both"/>
        <w:rPr>
          <w:b/>
          <w:bCs/>
        </w:rPr>
      </w:pPr>
      <w:r w:rsidRPr="00983273">
        <w:rPr>
          <w:b/>
          <w:bCs/>
        </w:rPr>
        <w:t xml:space="preserve">Recuento histórico en México: de la Convención a </w:t>
      </w:r>
      <w:r w:rsidR="00983273">
        <w:rPr>
          <w:b/>
          <w:bCs/>
        </w:rPr>
        <w:t>la Constitución.</w:t>
      </w:r>
    </w:p>
    <w:p w14:paraId="6B27505C" w14:textId="63376925" w:rsidR="004E672A" w:rsidRPr="004E672A" w:rsidRDefault="004E672A" w:rsidP="004E672A">
      <w:pPr>
        <w:spacing w:after="120" w:line="276" w:lineRule="auto"/>
        <w:jc w:val="both"/>
      </w:pPr>
      <w:r w:rsidRPr="004E672A">
        <w:lastRenderedPageBreak/>
        <w:t xml:space="preserve">Puede decirse que México asumiría con una cierta lentitud un marco normativo e institucional que reconociera de manera efectiva los derechos de niñas y niños. Lo anterior, considerando que este país ratificó la Convención de los Derechos del Niño en 1991, y fue hasta 2014 que entró en vigor la ley especializada que </w:t>
      </w:r>
      <w:r w:rsidR="007976E5">
        <w:t>reconocería de manera general</w:t>
      </w:r>
      <w:r w:rsidRPr="004E672A">
        <w:t xml:space="preserve"> los estándares que la Convención establecía. </w:t>
      </w:r>
      <w:r w:rsidR="007976E5">
        <w:t xml:space="preserve">La adopción de la Ley General de Derechos de Niñas, Niños y Adolescentes representó la consolidación de un proceso que implicó la adopción de diversas leyes en materia de protección a la niñez, que por diversas razones que escapan al presente estudio, no incorporaron plenamente el enfoque de la Convención. </w:t>
      </w:r>
      <w:r w:rsidR="00FD1FDC">
        <w:t xml:space="preserve">Sin embargo, puede decirse que </w:t>
      </w:r>
      <w:r w:rsidRPr="004E672A">
        <w:t xml:space="preserve">la Ley General </w:t>
      </w:r>
      <w:r w:rsidR="00FD1FDC">
        <w:t>antes referida</w:t>
      </w:r>
      <w:r w:rsidRPr="004E672A">
        <w:t xml:space="preserve"> </w:t>
      </w:r>
      <w:r w:rsidR="00FD1FDC">
        <w:t>constituye una</w:t>
      </w:r>
      <w:r w:rsidRPr="004E672A">
        <w:t xml:space="preserve"> norma </w:t>
      </w:r>
      <w:r w:rsidR="00FD1FDC">
        <w:t xml:space="preserve">jurídica que, </w:t>
      </w:r>
      <w:r w:rsidRPr="004E672A">
        <w:t>además de reconocer los derechos</w:t>
      </w:r>
      <w:r w:rsidR="00FD1FDC">
        <w:t xml:space="preserve"> de niñas, niños y adolescentes</w:t>
      </w:r>
      <w:r w:rsidRPr="004E672A">
        <w:t>, establece instituciones, mecanismos y procedimientos para su garantía, protección y restitución</w:t>
      </w:r>
      <w:r w:rsidR="00FD1FDC">
        <w:t xml:space="preserve"> en sintonía con la Convención de 1991.</w:t>
      </w:r>
    </w:p>
    <w:p w14:paraId="401EB244" w14:textId="7812A987" w:rsidR="27C225F0" w:rsidRDefault="00FD1FDC" w:rsidP="005842D7">
      <w:pPr>
        <w:spacing w:after="120" w:line="276" w:lineRule="auto"/>
        <w:jc w:val="both"/>
      </w:pPr>
      <w:r>
        <w:t>Puede decirse que, además de la adopción de la Ley General en 2014, d</w:t>
      </w:r>
      <w:r w:rsidR="27C225F0" w:rsidRPr="2742513F">
        <w:t xml:space="preserve">os acontecimientos </w:t>
      </w:r>
      <w:r w:rsidR="4EC20E6B" w:rsidRPr="2742513F">
        <w:t xml:space="preserve">son los que, a mi parecer impulsan </w:t>
      </w:r>
      <w:r>
        <w:t xml:space="preserve">de manera definitiva </w:t>
      </w:r>
      <w:r w:rsidR="4EC20E6B" w:rsidRPr="2742513F">
        <w:t>el desarrollo</w:t>
      </w:r>
      <w:r>
        <w:t xml:space="preserve"> normativo</w:t>
      </w:r>
      <w:r w:rsidR="4EC20E6B" w:rsidRPr="2742513F">
        <w:t xml:space="preserve"> de los derechos de las y los niños en el país, y </w:t>
      </w:r>
      <w:r>
        <w:t xml:space="preserve">que sería </w:t>
      </w:r>
      <w:r w:rsidR="4EC20E6B" w:rsidRPr="2742513F">
        <w:t xml:space="preserve">la base para la posterior </w:t>
      </w:r>
      <w:r w:rsidR="134957DF" w:rsidRPr="2742513F">
        <w:t>ampliación de los derechos que ha realizado la Suprema Corte</w:t>
      </w:r>
      <w:r>
        <w:t xml:space="preserve"> de Justicia de la Nación:</w:t>
      </w:r>
      <w:r w:rsidR="134957DF" w:rsidRPr="2742513F">
        <w:t xml:space="preserve"> El primero se refiere a la reforma </w:t>
      </w:r>
      <w:r>
        <w:t>d</w:t>
      </w:r>
      <w:r w:rsidR="134957DF" w:rsidRPr="2742513F">
        <w:t>el artículo 4</w:t>
      </w:r>
      <w:r>
        <w:t>º</w:t>
      </w:r>
      <w:r w:rsidR="134957DF" w:rsidRPr="2742513F">
        <w:t xml:space="preserve"> constitucional</w:t>
      </w:r>
      <w:r>
        <w:t xml:space="preserve"> que </w:t>
      </w:r>
      <w:r w:rsidR="00A47EAE">
        <w:t>reconocería el principio del interés superior</w:t>
      </w:r>
      <w:r>
        <w:t xml:space="preserve"> de la infancia, mientras que, el</w:t>
      </w:r>
      <w:r w:rsidR="134957DF" w:rsidRPr="2742513F">
        <w:t xml:space="preserve"> segundo hace referencia a la reforma constitucional de derechos humanos y la incorporación de herramientas de interpretación constitucional. </w:t>
      </w:r>
    </w:p>
    <w:p w14:paraId="165CC307" w14:textId="1B3D88D2" w:rsidR="525BA036" w:rsidRDefault="00A47EAE" w:rsidP="005842D7">
      <w:pPr>
        <w:spacing w:after="120" w:line="276" w:lineRule="auto"/>
        <w:jc w:val="both"/>
      </w:pPr>
      <w:r>
        <w:t>En cuanto al reconocimiento del principio del interés superior en el marco del principio del interés superior, conviene recordar algunos acontecimientos previos. Por ejemplo, e</w:t>
      </w:r>
      <w:r w:rsidR="525BA036" w:rsidRPr="2742513F">
        <w:t xml:space="preserve">n 1980 se incorporó al artículo 4º constitucional el deber de los padres de preservar el derecho de los </w:t>
      </w:r>
      <w:r w:rsidR="525BA036" w:rsidRPr="2742513F">
        <w:rPr>
          <w:i/>
          <w:iCs/>
        </w:rPr>
        <w:t xml:space="preserve">menores </w:t>
      </w:r>
      <w:r w:rsidR="525BA036" w:rsidRPr="2742513F">
        <w:t>para la satisfacción de sus necesidades, a la salud física y mental</w:t>
      </w:r>
      <w:r w:rsidR="11008568" w:rsidRPr="2742513F">
        <w:t>, y señalaba que la Ley establecería los apoyos a la protecci</w:t>
      </w:r>
      <w:r w:rsidR="23B01672" w:rsidRPr="2742513F">
        <w:t xml:space="preserve">ón de </w:t>
      </w:r>
      <w:r w:rsidR="23B01672" w:rsidRPr="2742513F">
        <w:rPr>
          <w:i/>
          <w:iCs/>
        </w:rPr>
        <w:t xml:space="preserve">menores </w:t>
      </w:r>
      <w:r w:rsidR="23B01672" w:rsidRPr="2742513F">
        <w:t>a cargo de instituciones públicas.</w:t>
      </w:r>
      <w:r w:rsidR="525BA036" w:rsidRPr="2742513F">
        <w:rPr>
          <w:rStyle w:val="Refdenotaalpie"/>
        </w:rPr>
        <w:footnoteReference w:id="1"/>
      </w:r>
      <w:r w:rsidR="3907A3FF" w:rsidRPr="2742513F">
        <w:t xml:space="preserve"> Esta cláusula se incorporó en el marco del Día Internacional del Niño, antes de que la Convención </w:t>
      </w:r>
      <w:r w:rsidR="65812A48" w:rsidRPr="2742513F">
        <w:t>fuera aprobada</w:t>
      </w:r>
      <w:r w:rsidR="525BA036" w:rsidRPr="2742513F">
        <w:rPr>
          <w:rStyle w:val="Refdenotaalpie"/>
        </w:rPr>
        <w:footnoteReference w:id="2"/>
      </w:r>
      <w:r w:rsidR="3D6AB509" w:rsidRPr="2742513F">
        <w:t>, por lo que es reflejo de un paradigma de tratamiento de niñas y niños</w:t>
      </w:r>
      <w:r w:rsidR="525BA036" w:rsidRPr="2742513F">
        <w:rPr>
          <w:rStyle w:val="Refdenotaalpie"/>
        </w:rPr>
        <w:footnoteReference w:id="3"/>
      </w:r>
      <w:r w:rsidR="3D6AB509" w:rsidRPr="2742513F">
        <w:t xml:space="preserve"> lejano al paradigma de protección integral que </w:t>
      </w:r>
      <w:r w:rsidR="00CE35D8">
        <w:t>derivaría de</w:t>
      </w:r>
      <w:r w:rsidR="3D6AB509" w:rsidRPr="2742513F">
        <w:t xml:space="preserve"> la Convención. </w:t>
      </w:r>
    </w:p>
    <w:p w14:paraId="52062E38" w14:textId="6207BEA8" w:rsidR="0B941A2E" w:rsidRDefault="00CE35D8" w:rsidP="005842D7">
      <w:pPr>
        <w:spacing w:after="120" w:line="276" w:lineRule="auto"/>
        <w:jc w:val="both"/>
      </w:pPr>
      <w:r>
        <w:t>Posteriormente, e</w:t>
      </w:r>
      <w:r w:rsidR="0B941A2E" w:rsidRPr="2742513F">
        <w:t>n el año 2000</w:t>
      </w:r>
      <w:r>
        <w:t>,</w:t>
      </w:r>
      <w:r w:rsidR="0B941A2E" w:rsidRPr="2742513F">
        <w:t xml:space="preserve"> se reforma</w:t>
      </w:r>
      <w:r>
        <w:t>ría</w:t>
      </w:r>
      <w:r w:rsidR="0B941A2E" w:rsidRPr="2742513F">
        <w:t xml:space="preserve"> la Constitución </w:t>
      </w:r>
      <w:r w:rsidR="57E0391D" w:rsidRPr="2742513F">
        <w:t xml:space="preserve">para establecer que </w:t>
      </w:r>
      <w:r>
        <w:t>“</w:t>
      </w:r>
      <w:r w:rsidRPr="00CE35D8">
        <w:rPr>
          <w:i/>
          <w:iCs/>
        </w:rPr>
        <w:t>l</w:t>
      </w:r>
      <w:r w:rsidR="57E0391D" w:rsidRPr="2742513F">
        <w:rPr>
          <w:i/>
          <w:iCs/>
        </w:rPr>
        <w:t>os niños y las niñas tienen derecho a la satisfacción de sus necesidades de alimentación, salud, educación y sano esparcimiento para su desarrollo integral</w:t>
      </w:r>
      <w:r>
        <w:rPr>
          <w:i/>
          <w:iCs/>
        </w:rPr>
        <w:t>”</w:t>
      </w:r>
      <w:r w:rsidR="57E0391D" w:rsidRPr="2742513F">
        <w:t xml:space="preserve"> </w:t>
      </w:r>
      <w:r>
        <w:t xml:space="preserve">por lo que </w:t>
      </w:r>
      <w:r w:rsidR="57E0391D" w:rsidRPr="2742513F">
        <w:t>establece</w:t>
      </w:r>
      <w:r>
        <w:t>ría</w:t>
      </w:r>
      <w:r w:rsidR="57E0391D" w:rsidRPr="2742513F">
        <w:t xml:space="preserve"> que es obligación de los ascendientes, tutores y custodios preservar e</w:t>
      </w:r>
      <w:r w:rsidR="58646B3F" w:rsidRPr="2742513F">
        <w:t xml:space="preserve">sos derechos, y del Estado proveer lo necesario para </w:t>
      </w:r>
      <w:r w:rsidR="58646B3F" w:rsidRPr="2742513F">
        <w:rPr>
          <w:i/>
          <w:iCs/>
        </w:rPr>
        <w:t>propiciar la dignidad de la niñez y el ejercicio pleno de sus derechos</w:t>
      </w:r>
      <w:r w:rsidR="58646B3F" w:rsidRPr="2742513F">
        <w:t>. Por último establec</w:t>
      </w:r>
      <w:r>
        <w:t>ió</w:t>
      </w:r>
      <w:r w:rsidR="58646B3F" w:rsidRPr="2742513F">
        <w:t xml:space="preserve"> que el Estado </w:t>
      </w:r>
      <w:r w:rsidR="52F0CFA7" w:rsidRPr="2742513F">
        <w:t>apoyará a los particulares para que coadyuven con el cumplimiento de estos derechos.</w:t>
      </w:r>
      <w:r w:rsidR="0B941A2E" w:rsidRPr="2742513F">
        <w:rPr>
          <w:rStyle w:val="Refdenotaalpie"/>
        </w:rPr>
        <w:footnoteReference w:id="4"/>
      </w:r>
      <w:r w:rsidR="52F0CFA7" w:rsidRPr="2742513F">
        <w:t xml:space="preserve"> </w:t>
      </w:r>
      <w:r>
        <w:t>Como puede verse, e</w:t>
      </w:r>
      <w:r w:rsidR="52F0CFA7" w:rsidRPr="2742513F">
        <w:t>sta nueva redacción se acerca</w:t>
      </w:r>
      <w:r>
        <w:t>ría</w:t>
      </w:r>
      <w:r w:rsidR="52F0CFA7" w:rsidRPr="2742513F">
        <w:t xml:space="preserve"> un poco más a los estándares de la Convención, sin llegar a enmarcarse en el paradigma de protección.</w:t>
      </w:r>
      <w:r w:rsidR="09769860" w:rsidRPr="2742513F">
        <w:t xml:space="preserve"> De esta </w:t>
      </w:r>
      <w:r w:rsidR="09769860" w:rsidRPr="2742513F">
        <w:lastRenderedPageBreak/>
        <w:t>reforma se desprende</w:t>
      </w:r>
      <w:r>
        <w:t>ría</w:t>
      </w:r>
      <w:r w:rsidR="09769860" w:rsidRPr="2742513F">
        <w:t xml:space="preserve"> la primera ley especializada en materia de niños, niñas y adolescentes, cuyos alcances fueron mínimos.</w:t>
      </w:r>
      <w:r w:rsidR="0B941A2E" w:rsidRPr="2742513F">
        <w:rPr>
          <w:rStyle w:val="Refdenotaalpie"/>
        </w:rPr>
        <w:footnoteReference w:id="5"/>
      </w:r>
    </w:p>
    <w:p w14:paraId="44239AA0" w14:textId="2290B026" w:rsidR="040A2D26" w:rsidRPr="00AF6B6B" w:rsidRDefault="14BE5F20" w:rsidP="005842D7">
      <w:pPr>
        <w:spacing w:after="120" w:line="276" w:lineRule="auto"/>
        <w:jc w:val="both"/>
        <w:rPr>
          <w:i/>
          <w:iCs/>
          <w:color w:val="000000" w:themeColor="text1"/>
        </w:rPr>
      </w:pPr>
      <w:r w:rsidRPr="2742513F">
        <w:t>Es hasta 2011</w:t>
      </w:r>
      <w:r w:rsidR="5FAC3EF7" w:rsidRPr="2742513F">
        <w:t xml:space="preserve"> que el principio del Interés Superior </w:t>
      </w:r>
      <w:r w:rsidR="00AF6B6B">
        <w:t>sería reconocido por</w:t>
      </w:r>
      <w:r w:rsidR="5FAC3EF7" w:rsidRPr="2742513F">
        <w:t xml:space="preserve"> la Constitución en los artículos 4º y el 73, fracción XXIX-P</w:t>
      </w:r>
      <w:r w:rsidRPr="2742513F">
        <w:rPr>
          <w:rStyle w:val="Refdenotaalpie"/>
        </w:rPr>
        <w:footnoteReference w:id="6"/>
      </w:r>
      <w:r w:rsidR="00AF6B6B">
        <w:t>.</w:t>
      </w:r>
      <w:r w:rsidR="040A2D26" w:rsidRPr="2742513F">
        <w:t xml:space="preserve"> </w:t>
      </w:r>
      <w:r w:rsidR="040A2D26" w:rsidRPr="2742513F">
        <w:rPr>
          <w:color w:val="000000" w:themeColor="text1"/>
        </w:rPr>
        <w:t xml:space="preserve">Esta última reforma </w:t>
      </w:r>
      <w:r w:rsidR="00AF6B6B">
        <w:rPr>
          <w:color w:val="000000" w:themeColor="text1"/>
        </w:rPr>
        <w:t xml:space="preserve">permitiría el desarrollo de </w:t>
      </w:r>
      <w:r w:rsidR="040A2D26" w:rsidRPr="2742513F">
        <w:rPr>
          <w:color w:val="000000" w:themeColor="text1"/>
        </w:rPr>
        <w:t>la Ley General de los Derechos de Niñas, Niños y Adolescentes, vigente actualmente, y que</w:t>
      </w:r>
      <w:r w:rsidR="00AF6B6B">
        <w:rPr>
          <w:color w:val="000000" w:themeColor="text1"/>
        </w:rPr>
        <w:t>, como señalamos previamente,</w:t>
      </w:r>
      <w:r w:rsidR="040A2D26" w:rsidRPr="2742513F">
        <w:rPr>
          <w:color w:val="000000" w:themeColor="text1"/>
        </w:rPr>
        <w:t xml:space="preserve"> </w:t>
      </w:r>
      <w:r w:rsidR="00AF6B6B">
        <w:rPr>
          <w:color w:val="000000" w:themeColor="text1"/>
        </w:rPr>
        <w:t>permitiría vincular plenamente el nuevo paradigma de la Convención con el marco jurídico mexicano</w:t>
      </w:r>
      <w:r w:rsidR="0D9CF22F" w:rsidRPr="2742513F">
        <w:rPr>
          <w:color w:val="000000" w:themeColor="text1"/>
        </w:rPr>
        <w:t xml:space="preserve">. </w:t>
      </w:r>
    </w:p>
    <w:p w14:paraId="42A4D06B" w14:textId="21CD95CD" w:rsidR="4C41D760" w:rsidRDefault="4C41D760" w:rsidP="005842D7">
      <w:pPr>
        <w:spacing w:after="120" w:line="276" w:lineRule="auto"/>
        <w:jc w:val="both"/>
        <w:rPr>
          <w:color w:val="000000" w:themeColor="text1"/>
        </w:rPr>
      </w:pPr>
      <w:r w:rsidRPr="2742513F">
        <w:rPr>
          <w:color w:val="000000" w:themeColor="text1"/>
        </w:rPr>
        <w:t xml:space="preserve">El segundo acontecimiento </w:t>
      </w:r>
      <w:r w:rsidR="008953A5">
        <w:rPr>
          <w:color w:val="000000" w:themeColor="text1"/>
        </w:rPr>
        <w:t>que establecería el marco para el desarrollo por vía interpretativa de los derechos de la infancia en México sería</w:t>
      </w:r>
      <w:r w:rsidRPr="2742513F">
        <w:rPr>
          <w:color w:val="000000" w:themeColor="text1"/>
        </w:rPr>
        <w:t xml:space="preserve"> la reforma </w:t>
      </w:r>
      <w:r w:rsidR="00AF6B6B">
        <w:rPr>
          <w:color w:val="000000" w:themeColor="text1"/>
        </w:rPr>
        <w:t xml:space="preserve">constitucional </w:t>
      </w:r>
      <w:r w:rsidR="55506A47" w:rsidRPr="2742513F">
        <w:rPr>
          <w:color w:val="000000" w:themeColor="text1"/>
        </w:rPr>
        <w:t xml:space="preserve">en materia </w:t>
      </w:r>
      <w:r w:rsidRPr="2742513F">
        <w:rPr>
          <w:color w:val="000000" w:themeColor="text1"/>
        </w:rPr>
        <w:t xml:space="preserve">de derechos </w:t>
      </w:r>
      <w:r w:rsidR="28D10D77" w:rsidRPr="2742513F">
        <w:rPr>
          <w:color w:val="000000" w:themeColor="text1"/>
        </w:rPr>
        <w:t>humanos</w:t>
      </w:r>
      <w:r w:rsidRPr="2742513F">
        <w:rPr>
          <w:color w:val="000000" w:themeColor="text1"/>
        </w:rPr>
        <w:t xml:space="preserve"> </w:t>
      </w:r>
      <w:r w:rsidR="00AF6B6B">
        <w:rPr>
          <w:color w:val="000000" w:themeColor="text1"/>
        </w:rPr>
        <w:t>del año</w:t>
      </w:r>
      <w:r w:rsidRPr="2742513F">
        <w:rPr>
          <w:color w:val="000000" w:themeColor="text1"/>
        </w:rPr>
        <w:t xml:space="preserve"> 2011</w:t>
      </w:r>
      <w:r w:rsidR="36DC10B9" w:rsidRPr="2742513F">
        <w:rPr>
          <w:color w:val="000000" w:themeColor="text1"/>
        </w:rPr>
        <w:t xml:space="preserve"> que </w:t>
      </w:r>
      <w:r w:rsidR="00AF6B6B">
        <w:rPr>
          <w:color w:val="000000" w:themeColor="text1"/>
        </w:rPr>
        <w:t>colocaría</w:t>
      </w:r>
      <w:r w:rsidR="36DC10B9" w:rsidRPr="2742513F">
        <w:rPr>
          <w:color w:val="000000" w:themeColor="text1"/>
        </w:rPr>
        <w:t xml:space="preserve"> los derechos humanos y su garantía en el centro de la actuación estatal, impactando así</w:t>
      </w:r>
      <w:r w:rsidR="00AF6B6B">
        <w:rPr>
          <w:color w:val="000000" w:themeColor="text1"/>
        </w:rPr>
        <w:t>, al menos desde una perspectiva normativa,</w:t>
      </w:r>
      <w:r w:rsidR="36DC10B9" w:rsidRPr="2742513F">
        <w:rPr>
          <w:color w:val="000000" w:themeColor="text1"/>
        </w:rPr>
        <w:t xml:space="preserve"> tod</w:t>
      </w:r>
      <w:r w:rsidR="498BA1C3" w:rsidRPr="2742513F">
        <w:rPr>
          <w:color w:val="000000" w:themeColor="text1"/>
        </w:rPr>
        <w:t>as las actividades de las autoridades en México</w:t>
      </w:r>
      <w:r w:rsidR="0E4106E8" w:rsidRPr="2742513F">
        <w:rPr>
          <w:color w:val="000000" w:themeColor="text1"/>
        </w:rPr>
        <w:t>, quienes deben dar cumplimiento a las obligaciones constituciones y convencionales.</w:t>
      </w:r>
      <w:r w:rsidRPr="2742513F">
        <w:rPr>
          <w:rStyle w:val="Refdenotaalpie"/>
          <w:color w:val="000000" w:themeColor="text1"/>
        </w:rPr>
        <w:footnoteReference w:id="7"/>
      </w:r>
    </w:p>
    <w:p w14:paraId="2C9CE1C3" w14:textId="390FD821" w:rsidR="2B372ACC" w:rsidRDefault="2B372ACC" w:rsidP="005842D7">
      <w:pPr>
        <w:spacing w:after="120" w:line="276" w:lineRule="auto"/>
        <w:jc w:val="both"/>
        <w:rPr>
          <w:color w:val="000000" w:themeColor="text1"/>
        </w:rPr>
      </w:pPr>
      <w:r w:rsidRPr="2742513F">
        <w:rPr>
          <w:color w:val="000000" w:themeColor="text1"/>
        </w:rPr>
        <w:t xml:space="preserve">De esta amplia reforma retomaré </w:t>
      </w:r>
      <w:r w:rsidR="17C47C97" w:rsidRPr="2742513F">
        <w:rPr>
          <w:color w:val="000000" w:themeColor="text1"/>
        </w:rPr>
        <w:t xml:space="preserve">solo dos aspectos que </w:t>
      </w:r>
      <w:r w:rsidR="001E1D70">
        <w:rPr>
          <w:color w:val="000000" w:themeColor="text1"/>
        </w:rPr>
        <w:t>han impactado de manera particular</w:t>
      </w:r>
      <w:r w:rsidR="17C47C97" w:rsidRPr="2742513F">
        <w:rPr>
          <w:color w:val="000000" w:themeColor="text1"/>
        </w:rPr>
        <w:t xml:space="preserve"> el desarrollo que han tenido los derechos de niñas, niños y adolescentes en las resoluciones de la Suprema Corte de Justicia de la Nación</w:t>
      </w:r>
      <w:r w:rsidR="3B30294F" w:rsidRPr="2742513F">
        <w:rPr>
          <w:color w:val="000000" w:themeColor="text1"/>
        </w:rPr>
        <w:t xml:space="preserve">: </w:t>
      </w:r>
      <w:r w:rsidR="69F0130E" w:rsidRPr="2742513F">
        <w:rPr>
          <w:color w:val="000000" w:themeColor="text1"/>
        </w:rPr>
        <w:t>la interpretación conforme</w:t>
      </w:r>
      <w:r w:rsidR="7D7D8593" w:rsidRPr="2742513F">
        <w:rPr>
          <w:color w:val="000000" w:themeColor="text1"/>
        </w:rPr>
        <w:t xml:space="preserve"> y </w:t>
      </w:r>
      <w:r w:rsidR="6D249C78" w:rsidRPr="2742513F">
        <w:rPr>
          <w:color w:val="000000" w:themeColor="text1"/>
        </w:rPr>
        <w:t>el control de convencionalidad</w:t>
      </w:r>
      <w:r w:rsidR="7D7D8593" w:rsidRPr="2742513F">
        <w:rPr>
          <w:color w:val="000000" w:themeColor="text1"/>
        </w:rPr>
        <w:t xml:space="preserve">. </w:t>
      </w:r>
      <w:r w:rsidR="16B73178" w:rsidRPr="2742513F">
        <w:rPr>
          <w:color w:val="000000" w:themeColor="text1"/>
        </w:rPr>
        <w:t>Cabe señalar que, si bien es cierto la interpretación de los derechos humanos contenidos en la Constitución dejaron de ser competencia únicamente del tribunal constitucional</w:t>
      </w:r>
      <w:r w:rsidR="6A51AC1B" w:rsidRPr="2742513F">
        <w:rPr>
          <w:color w:val="000000" w:themeColor="text1"/>
        </w:rPr>
        <w:t xml:space="preserve"> para alcanzar a tribunales o autoridades que anteriormente sólo tenían a su cargo la revisión del cumplimiento o no de la legalidad de los actos de autoridad,</w:t>
      </w:r>
      <w:r w:rsidR="15C908FD" w:rsidRPr="2742513F">
        <w:rPr>
          <w:color w:val="000000" w:themeColor="text1"/>
        </w:rPr>
        <w:t xml:space="preserve"> </w:t>
      </w:r>
      <w:r w:rsidR="6A51AC1B" w:rsidRPr="2742513F">
        <w:rPr>
          <w:color w:val="000000" w:themeColor="text1"/>
        </w:rPr>
        <w:t xml:space="preserve">también lo es que </w:t>
      </w:r>
      <w:r w:rsidR="001E1D70">
        <w:rPr>
          <w:color w:val="000000" w:themeColor="text1"/>
        </w:rPr>
        <w:t xml:space="preserve">el impacto de </w:t>
      </w:r>
      <w:r w:rsidR="6A51AC1B" w:rsidRPr="2742513F">
        <w:rPr>
          <w:color w:val="000000" w:themeColor="text1"/>
        </w:rPr>
        <w:t xml:space="preserve">las </w:t>
      </w:r>
      <w:r w:rsidR="001E1D70">
        <w:rPr>
          <w:color w:val="000000" w:themeColor="text1"/>
        </w:rPr>
        <w:t>decisiones del tribunal constitucional del país, constituye un espacio en donde la expansión de los derechos de niñas, niños y adolescentes puede apreciarse de manera clara.</w:t>
      </w:r>
    </w:p>
    <w:p w14:paraId="38292315" w14:textId="223842A2" w:rsidR="7C6F5F83" w:rsidRDefault="001E1D70" w:rsidP="005842D7">
      <w:pPr>
        <w:spacing w:after="120" w:line="276" w:lineRule="auto"/>
        <w:jc w:val="both"/>
        <w:rPr>
          <w:color w:val="000000" w:themeColor="text1"/>
        </w:rPr>
      </w:pPr>
      <w:r>
        <w:rPr>
          <w:color w:val="000000" w:themeColor="text1"/>
        </w:rPr>
        <w:t>Por un lado, puede decirse que l</w:t>
      </w:r>
      <w:r w:rsidR="3F1D1ECF" w:rsidRPr="2742513F">
        <w:rPr>
          <w:color w:val="000000" w:themeColor="text1"/>
        </w:rPr>
        <w:t>a interpretación conforme</w:t>
      </w:r>
      <w:r w:rsidR="2A5F0D58" w:rsidRPr="2742513F">
        <w:rPr>
          <w:color w:val="000000" w:themeColor="text1"/>
        </w:rPr>
        <w:t xml:space="preserve"> </w:t>
      </w:r>
      <w:r>
        <w:rPr>
          <w:color w:val="000000" w:themeColor="text1"/>
        </w:rPr>
        <w:t>constituye</w:t>
      </w:r>
      <w:r w:rsidR="2A5F0D58" w:rsidRPr="2742513F">
        <w:rPr>
          <w:color w:val="000000" w:themeColor="text1"/>
        </w:rPr>
        <w:t xml:space="preserve"> una herramienta presente en el artículo 1º constitucional y </w:t>
      </w:r>
      <w:r w:rsidR="003838D7">
        <w:rPr>
          <w:color w:val="000000" w:themeColor="text1"/>
        </w:rPr>
        <w:t>cuyo alcance ha sido delimitado</w:t>
      </w:r>
      <w:r w:rsidR="12514A2E" w:rsidRPr="2742513F">
        <w:rPr>
          <w:color w:val="000000" w:themeColor="text1"/>
        </w:rPr>
        <w:t xml:space="preserve"> por la </w:t>
      </w:r>
      <w:r w:rsidR="003838D7">
        <w:rPr>
          <w:color w:val="000000" w:themeColor="text1"/>
        </w:rPr>
        <w:t xml:space="preserve">propia </w:t>
      </w:r>
      <w:r w:rsidR="12514A2E" w:rsidRPr="2742513F">
        <w:rPr>
          <w:color w:val="000000" w:themeColor="text1"/>
        </w:rPr>
        <w:t>Suprema Corte</w:t>
      </w:r>
      <w:r w:rsidR="003838D7">
        <w:rPr>
          <w:color w:val="000000" w:themeColor="text1"/>
        </w:rPr>
        <w:t xml:space="preserve"> mexicana</w:t>
      </w:r>
      <w:r w:rsidR="44AD34B9" w:rsidRPr="2742513F">
        <w:rPr>
          <w:color w:val="000000" w:themeColor="text1"/>
        </w:rPr>
        <w:t>.</w:t>
      </w:r>
      <w:r w:rsidR="3F1D1ECF" w:rsidRPr="2742513F">
        <w:rPr>
          <w:rStyle w:val="Refdenotaalpie"/>
          <w:color w:val="000000" w:themeColor="text1"/>
        </w:rPr>
        <w:footnoteReference w:id="8"/>
      </w:r>
      <w:r w:rsidR="6029F5D6" w:rsidRPr="2742513F">
        <w:rPr>
          <w:color w:val="000000" w:themeColor="text1"/>
        </w:rPr>
        <w:t xml:space="preserve"> </w:t>
      </w:r>
      <w:r w:rsidR="003838D7">
        <w:rPr>
          <w:color w:val="000000" w:themeColor="text1"/>
        </w:rPr>
        <w:t>El tribunal constitucional mexicano estableció que, en</w:t>
      </w:r>
      <w:r w:rsidR="6029F5D6" w:rsidRPr="2742513F">
        <w:rPr>
          <w:color w:val="000000" w:themeColor="text1"/>
        </w:rPr>
        <w:t xml:space="preserve"> un sentido amplio</w:t>
      </w:r>
      <w:r w:rsidR="625E8F32" w:rsidRPr="2742513F">
        <w:rPr>
          <w:color w:val="000000" w:themeColor="text1"/>
        </w:rPr>
        <w:t>,</w:t>
      </w:r>
      <w:r w:rsidR="6029F5D6" w:rsidRPr="2742513F">
        <w:rPr>
          <w:color w:val="000000" w:themeColor="text1"/>
        </w:rPr>
        <w:t xml:space="preserve"> </w:t>
      </w:r>
      <w:r w:rsidR="11E396BC" w:rsidRPr="2742513F">
        <w:rPr>
          <w:color w:val="000000" w:themeColor="text1"/>
        </w:rPr>
        <w:t xml:space="preserve">la interpretación conforme implica determinar las obligaciones de las autoridades </w:t>
      </w:r>
      <w:r w:rsidR="0BF5E308" w:rsidRPr="2742513F">
        <w:rPr>
          <w:color w:val="000000" w:themeColor="text1"/>
        </w:rPr>
        <w:t>a la luz de los derechos humanos que están reconocidos tanto en la Constitución como en los tratados internacionales de los que México sea parte</w:t>
      </w:r>
      <w:r w:rsidR="685E0B03" w:rsidRPr="2742513F">
        <w:rPr>
          <w:color w:val="000000" w:themeColor="text1"/>
        </w:rPr>
        <w:t>,</w:t>
      </w:r>
      <w:r w:rsidR="3F1D1ECF" w:rsidRPr="2742513F">
        <w:rPr>
          <w:rStyle w:val="Refdenotaalpie"/>
          <w:color w:val="000000" w:themeColor="text1"/>
        </w:rPr>
        <w:footnoteReference w:id="9"/>
      </w:r>
      <w:r w:rsidR="0BF5E308" w:rsidRPr="2742513F">
        <w:rPr>
          <w:color w:val="000000" w:themeColor="text1"/>
        </w:rPr>
        <w:t xml:space="preserve"> de tal manera que se favo</w:t>
      </w:r>
      <w:r w:rsidR="1E8DEA08" w:rsidRPr="2742513F">
        <w:rPr>
          <w:color w:val="000000" w:themeColor="text1"/>
        </w:rPr>
        <w:t>r</w:t>
      </w:r>
      <w:r w:rsidR="0BF5E308" w:rsidRPr="2742513F">
        <w:rPr>
          <w:color w:val="000000" w:themeColor="text1"/>
        </w:rPr>
        <w:t>ezca la mayor protección a las personas</w:t>
      </w:r>
      <w:r w:rsidR="003838D7">
        <w:rPr>
          <w:color w:val="000000" w:themeColor="text1"/>
        </w:rPr>
        <w:t>, mientras que e</w:t>
      </w:r>
      <w:r w:rsidR="7C6F5F83" w:rsidRPr="2742513F">
        <w:rPr>
          <w:color w:val="000000" w:themeColor="text1"/>
        </w:rPr>
        <w:t xml:space="preserve">n un sentido estricto, </w:t>
      </w:r>
      <w:r w:rsidR="2BAEE1AA" w:rsidRPr="2742513F">
        <w:rPr>
          <w:color w:val="000000" w:themeColor="text1"/>
        </w:rPr>
        <w:t>implica</w:t>
      </w:r>
      <w:r w:rsidR="003838D7">
        <w:rPr>
          <w:color w:val="000000" w:themeColor="text1"/>
        </w:rPr>
        <w:t>ría</w:t>
      </w:r>
      <w:r w:rsidR="2BAEE1AA" w:rsidRPr="2742513F">
        <w:rPr>
          <w:color w:val="000000" w:themeColor="text1"/>
        </w:rPr>
        <w:t xml:space="preserve"> que</w:t>
      </w:r>
      <w:r w:rsidR="003838D7">
        <w:rPr>
          <w:color w:val="000000" w:themeColor="text1"/>
        </w:rPr>
        <w:t>,</w:t>
      </w:r>
      <w:r w:rsidR="2BAEE1AA" w:rsidRPr="2742513F">
        <w:rPr>
          <w:color w:val="000000" w:themeColor="text1"/>
        </w:rPr>
        <w:t xml:space="preserve"> en caso de que dos interpretaciones sean jurídicamente válidas, se debe preferir la que hace a la ley interna acorde a los </w:t>
      </w:r>
      <w:r w:rsidR="42D0DA66" w:rsidRPr="2742513F">
        <w:rPr>
          <w:color w:val="000000" w:themeColor="text1"/>
        </w:rPr>
        <w:t>derechos humanos consagrados en la Constitución</w:t>
      </w:r>
      <w:r w:rsidR="40AA5F77" w:rsidRPr="2742513F">
        <w:rPr>
          <w:color w:val="000000" w:themeColor="text1"/>
        </w:rPr>
        <w:t xml:space="preserve">. </w:t>
      </w:r>
      <w:r w:rsidR="003838D7">
        <w:rPr>
          <w:color w:val="000000" w:themeColor="text1"/>
        </w:rPr>
        <w:t>Sólo en el</w:t>
      </w:r>
      <w:r w:rsidR="40AA5F77" w:rsidRPr="2742513F">
        <w:rPr>
          <w:color w:val="000000" w:themeColor="text1"/>
        </w:rPr>
        <w:t xml:space="preserve"> caso de que ninguna de las opciones sea posible, entonces la obligación de las personas juzgadoras es la inaplicación de la norma.</w:t>
      </w:r>
    </w:p>
    <w:p w14:paraId="6146610F" w14:textId="5063C80F" w:rsidR="40AA5F77" w:rsidRDefault="003838D7" w:rsidP="005842D7">
      <w:pPr>
        <w:spacing w:after="120" w:line="276" w:lineRule="auto"/>
        <w:jc w:val="both"/>
        <w:rPr>
          <w:color w:val="000000" w:themeColor="text1"/>
        </w:rPr>
      </w:pPr>
      <w:r>
        <w:rPr>
          <w:color w:val="000000" w:themeColor="text1"/>
        </w:rPr>
        <w:t>Por otra parte</w:t>
      </w:r>
      <w:r w:rsidR="40AA5F77" w:rsidRPr="2742513F">
        <w:rPr>
          <w:color w:val="000000" w:themeColor="text1"/>
        </w:rPr>
        <w:t xml:space="preserve">, </w:t>
      </w:r>
      <w:r>
        <w:rPr>
          <w:color w:val="000000" w:themeColor="text1"/>
        </w:rPr>
        <w:t>la noción de</w:t>
      </w:r>
      <w:r w:rsidR="40AA5F77" w:rsidRPr="2742513F">
        <w:rPr>
          <w:color w:val="000000" w:themeColor="text1"/>
        </w:rPr>
        <w:t xml:space="preserve"> control de c</w:t>
      </w:r>
      <w:r w:rsidR="68C13285" w:rsidRPr="2742513F">
        <w:rPr>
          <w:color w:val="000000" w:themeColor="text1"/>
        </w:rPr>
        <w:t>onvencionalidad tiene su origen en la</w:t>
      </w:r>
      <w:r>
        <w:rPr>
          <w:color w:val="000000" w:themeColor="text1"/>
        </w:rPr>
        <w:t>s decisiones de la</w:t>
      </w:r>
      <w:r w:rsidR="68C13285" w:rsidRPr="2742513F">
        <w:rPr>
          <w:color w:val="000000" w:themeColor="text1"/>
        </w:rPr>
        <w:t xml:space="preserve"> Corte Interamericana de Derechos Humanos (Corte IDH)</w:t>
      </w:r>
      <w:r w:rsidR="40AA5F77" w:rsidRPr="2742513F">
        <w:rPr>
          <w:rStyle w:val="Refdenotaalpie"/>
          <w:color w:val="000000" w:themeColor="text1"/>
        </w:rPr>
        <w:footnoteReference w:id="10"/>
      </w:r>
      <w:r w:rsidR="000B7BCE">
        <w:rPr>
          <w:color w:val="000000" w:themeColor="text1"/>
        </w:rPr>
        <w:t xml:space="preserve">, y </w:t>
      </w:r>
      <w:r w:rsidR="1875902C" w:rsidRPr="2742513F">
        <w:rPr>
          <w:color w:val="000000" w:themeColor="text1"/>
        </w:rPr>
        <w:t xml:space="preserve">supone que las autoridades jurisdiccionales velen porque los efectos de las </w:t>
      </w:r>
      <w:r w:rsidR="000B7BCE">
        <w:rPr>
          <w:color w:val="000000" w:themeColor="text1"/>
        </w:rPr>
        <w:t xml:space="preserve">normas </w:t>
      </w:r>
      <w:r w:rsidR="1875902C" w:rsidRPr="2742513F">
        <w:rPr>
          <w:color w:val="000000" w:themeColor="text1"/>
        </w:rPr>
        <w:t>convenciones no se vean afectados por la aplicación de normas internas contrarias a</w:t>
      </w:r>
      <w:r w:rsidR="234E8E42" w:rsidRPr="2742513F">
        <w:rPr>
          <w:color w:val="000000" w:themeColor="text1"/>
        </w:rPr>
        <w:t xml:space="preserve"> las disposiciones convencionales, o bien, a las interpretaciones que los órganos internacionales competentes realicen de las mismas. </w:t>
      </w:r>
    </w:p>
    <w:p w14:paraId="2D593F6C" w14:textId="30FCD7C9" w:rsidR="7DD5E624" w:rsidRDefault="7DD5E624" w:rsidP="005842D7">
      <w:pPr>
        <w:spacing w:after="120" w:line="276" w:lineRule="auto"/>
        <w:jc w:val="both"/>
        <w:rPr>
          <w:color w:val="000000" w:themeColor="text1"/>
        </w:rPr>
      </w:pPr>
      <w:r w:rsidRPr="2742513F">
        <w:rPr>
          <w:color w:val="000000" w:themeColor="text1"/>
        </w:rPr>
        <w:t>Cabe recordar que son t</w:t>
      </w:r>
      <w:r w:rsidR="13618927" w:rsidRPr="2742513F">
        <w:rPr>
          <w:color w:val="000000" w:themeColor="text1"/>
        </w:rPr>
        <w:t>res</w:t>
      </w:r>
      <w:r w:rsidR="43D2681D" w:rsidRPr="2742513F">
        <w:rPr>
          <w:color w:val="000000" w:themeColor="text1"/>
        </w:rPr>
        <w:t xml:space="preserve"> los</w:t>
      </w:r>
      <w:r w:rsidR="13618927" w:rsidRPr="2742513F">
        <w:rPr>
          <w:color w:val="000000" w:themeColor="text1"/>
        </w:rPr>
        <w:t xml:space="preserve"> objetivos</w:t>
      </w:r>
      <w:r w:rsidR="7F753BD0" w:rsidRPr="2742513F">
        <w:rPr>
          <w:color w:val="000000" w:themeColor="text1"/>
        </w:rPr>
        <w:t xml:space="preserve"> que </w:t>
      </w:r>
      <w:r w:rsidR="13618927" w:rsidRPr="2742513F">
        <w:rPr>
          <w:color w:val="000000" w:themeColor="text1"/>
        </w:rPr>
        <w:t xml:space="preserve">se pueden observar en la utilización de esta herramienta: la prevención de violaciones de derechos humanos, evitar el incumplimiento del Estado frente a sus obligaciones internacionales y, por último, </w:t>
      </w:r>
      <w:r w:rsidR="36EDC4A4" w:rsidRPr="2742513F">
        <w:rPr>
          <w:color w:val="000000" w:themeColor="text1"/>
        </w:rPr>
        <w:t>permitir la exigencia de cumplimiento efectivo de estándares interamericanos, sin necesidad de que las personas tengan que acudir a tribunales nacionales o internacionales.</w:t>
      </w:r>
      <w:r w:rsidRPr="2742513F">
        <w:rPr>
          <w:rStyle w:val="Refdenotaalpie"/>
          <w:color w:val="000000" w:themeColor="text1"/>
        </w:rPr>
        <w:footnoteReference w:id="11"/>
      </w:r>
      <w:r w:rsidR="36EDC4A4" w:rsidRPr="2742513F">
        <w:rPr>
          <w:color w:val="000000" w:themeColor="text1"/>
        </w:rPr>
        <w:t xml:space="preserve"> </w:t>
      </w:r>
    </w:p>
    <w:p w14:paraId="6AE0D60F" w14:textId="33F44B20" w:rsidR="30C865A5" w:rsidRDefault="30C865A5" w:rsidP="005842D7">
      <w:pPr>
        <w:spacing w:after="120" w:line="276" w:lineRule="auto"/>
        <w:jc w:val="both"/>
        <w:rPr>
          <w:color w:val="000000" w:themeColor="text1"/>
        </w:rPr>
      </w:pPr>
      <w:r w:rsidRPr="2742513F">
        <w:rPr>
          <w:color w:val="000000" w:themeColor="text1"/>
        </w:rPr>
        <w:t>E</w:t>
      </w:r>
      <w:r w:rsidR="00A5AEF3" w:rsidRPr="2742513F">
        <w:rPr>
          <w:color w:val="000000" w:themeColor="text1"/>
        </w:rPr>
        <w:t xml:space="preserve">l desarrollo de estas </w:t>
      </w:r>
      <w:r w:rsidR="5425563E" w:rsidRPr="2742513F">
        <w:rPr>
          <w:color w:val="000000" w:themeColor="text1"/>
        </w:rPr>
        <w:t xml:space="preserve">dos herramientas no ha estado libre de discusiones y presenta numerosos retos, </w:t>
      </w:r>
      <w:r w:rsidR="0C0E7291" w:rsidRPr="2742513F">
        <w:rPr>
          <w:color w:val="000000" w:themeColor="text1"/>
        </w:rPr>
        <w:t xml:space="preserve">pero al mismo tiempo ha abierto la puerta </w:t>
      </w:r>
      <w:r w:rsidR="004A63D2">
        <w:rPr>
          <w:color w:val="000000" w:themeColor="text1"/>
        </w:rPr>
        <w:t>par</w:t>
      </w:r>
      <w:r w:rsidR="0C0E7291" w:rsidRPr="2742513F">
        <w:rPr>
          <w:color w:val="000000" w:themeColor="text1"/>
        </w:rPr>
        <w:t xml:space="preserve">a la expansión de la interpretación de derechos de diversas poblaciones en situación de desventaja en la que, sin duda alguna, se encuentran las y los niños y adolescentes. </w:t>
      </w:r>
      <w:r w:rsidR="575F87AC" w:rsidRPr="2742513F">
        <w:rPr>
          <w:color w:val="000000" w:themeColor="text1"/>
        </w:rPr>
        <w:t xml:space="preserve">Estas interpretaciones van desde la ampliación y/o definición de conceptos o principios, como la autonomía progresiva, o el interés superior; </w:t>
      </w:r>
      <w:r w:rsidR="54251FED" w:rsidRPr="2742513F">
        <w:rPr>
          <w:color w:val="000000" w:themeColor="text1"/>
        </w:rPr>
        <w:t xml:space="preserve">la revisión sustantiva de sus derechos desde figuras como la patria potestad, la representación o la </w:t>
      </w:r>
      <w:r w:rsidR="005842D7">
        <w:rPr>
          <w:color w:val="000000" w:themeColor="text1"/>
        </w:rPr>
        <w:t>no separación de la familia</w:t>
      </w:r>
      <w:r w:rsidR="54251FED" w:rsidRPr="2742513F">
        <w:rPr>
          <w:color w:val="000000" w:themeColor="text1"/>
        </w:rPr>
        <w:t xml:space="preserve">; hasta la revisión de temas procesales en relación </w:t>
      </w:r>
      <w:r w:rsidR="005842D7">
        <w:rPr>
          <w:color w:val="000000" w:themeColor="text1"/>
        </w:rPr>
        <w:t>con e</w:t>
      </w:r>
      <w:r w:rsidR="54251FED" w:rsidRPr="2742513F">
        <w:rPr>
          <w:color w:val="000000" w:themeColor="text1"/>
        </w:rPr>
        <w:t>l acceso a la justicia de</w:t>
      </w:r>
      <w:r w:rsidR="5A8BB651" w:rsidRPr="2742513F">
        <w:rPr>
          <w:color w:val="000000" w:themeColor="text1"/>
        </w:rPr>
        <w:t xml:space="preserve"> esta población. </w:t>
      </w:r>
    </w:p>
    <w:p w14:paraId="645B624A" w14:textId="30BC6DFB" w:rsidR="0046540B" w:rsidRDefault="5A8BB651" w:rsidP="005842D7">
      <w:pPr>
        <w:spacing w:after="120" w:line="276" w:lineRule="auto"/>
        <w:jc w:val="both"/>
        <w:rPr>
          <w:color w:val="000000" w:themeColor="text1"/>
        </w:rPr>
      </w:pPr>
      <w:r w:rsidRPr="2742513F">
        <w:rPr>
          <w:color w:val="000000" w:themeColor="text1"/>
        </w:rPr>
        <w:t>A continuación</w:t>
      </w:r>
      <w:r w:rsidR="005842D7">
        <w:rPr>
          <w:color w:val="000000" w:themeColor="text1"/>
        </w:rPr>
        <w:t>,</w:t>
      </w:r>
      <w:r w:rsidRPr="2742513F">
        <w:rPr>
          <w:color w:val="000000" w:themeColor="text1"/>
        </w:rPr>
        <w:t xml:space="preserve"> se revisarán </w:t>
      </w:r>
      <w:r w:rsidR="053AD16C" w:rsidRPr="2742513F">
        <w:rPr>
          <w:color w:val="000000" w:themeColor="text1"/>
        </w:rPr>
        <w:t xml:space="preserve">estas tres categorías de criterios que han sido ampliados bajo interpretación judicial, específicamente de la Suprema Corte de Justicia de la Nación, y se apuntarán, cuando sea pertinente, las aportaciones que la </w:t>
      </w:r>
      <w:r w:rsidR="19E850F1" w:rsidRPr="2742513F">
        <w:rPr>
          <w:color w:val="000000" w:themeColor="text1"/>
        </w:rPr>
        <w:t>Corte Interamericana</w:t>
      </w:r>
      <w:r w:rsidR="648D4404" w:rsidRPr="2742513F">
        <w:rPr>
          <w:color w:val="000000" w:themeColor="text1"/>
        </w:rPr>
        <w:t xml:space="preserve"> ha realizado</w:t>
      </w:r>
      <w:r w:rsidR="2C3120C1" w:rsidRPr="2742513F">
        <w:rPr>
          <w:color w:val="000000" w:themeColor="text1"/>
        </w:rPr>
        <w:t xml:space="preserve"> al respecto. </w:t>
      </w:r>
    </w:p>
    <w:p w14:paraId="6E52A20C" w14:textId="46144DB3" w:rsidR="000B7BCE" w:rsidRDefault="00B82CF9" w:rsidP="000B7BCE">
      <w:pPr>
        <w:pStyle w:val="Prrafodelista"/>
        <w:numPr>
          <w:ilvl w:val="0"/>
          <w:numId w:val="1"/>
        </w:numPr>
        <w:jc w:val="both"/>
        <w:rPr>
          <w:b/>
          <w:bCs/>
          <w:color w:val="000000" w:themeColor="text1"/>
        </w:rPr>
      </w:pPr>
      <w:r w:rsidRPr="00983273">
        <w:rPr>
          <w:b/>
          <w:bCs/>
          <w:color w:val="000000" w:themeColor="text1"/>
        </w:rPr>
        <w:t>Interpretaciones jurisprudenciales que han ampliado los derechos de niñas, niños y adolescentes</w:t>
      </w:r>
    </w:p>
    <w:p w14:paraId="13F5B6A8" w14:textId="77777777" w:rsidR="000B7BCE" w:rsidRPr="000B7BCE" w:rsidRDefault="000B7BCE" w:rsidP="000B7BCE">
      <w:pPr>
        <w:pStyle w:val="Prrafodelista"/>
        <w:jc w:val="both"/>
        <w:rPr>
          <w:b/>
          <w:bCs/>
          <w:color w:val="000000" w:themeColor="text1"/>
        </w:rPr>
      </w:pPr>
    </w:p>
    <w:p w14:paraId="553B517E" w14:textId="4FA08FC0" w:rsidR="00B82CF9" w:rsidRPr="00EC090C" w:rsidRDefault="00B82CF9" w:rsidP="00EC090C">
      <w:pPr>
        <w:pStyle w:val="Prrafodelista"/>
        <w:numPr>
          <w:ilvl w:val="1"/>
          <w:numId w:val="24"/>
        </w:numPr>
        <w:jc w:val="both"/>
        <w:rPr>
          <w:b/>
          <w:bCs/>
          <w:color w:val="000000" w:themeColor="text1"/>
        </w:rPr>
      </w:pPr>
      <w:r w:rsidRPr="00EC090C">
        <w:rPr>
          <w:b/>
          <w:bCs/>
          <w:color w:val="000000" w:themeColor="text1"/>
        </w:rPr>
        <w:t>Criterios procesales</w:t>
      </w:r>
    </w:p>
    <w:p w14:paraId="76489342" w14:textId="15FFD74D" w:rsidR="2742513F" w:rsidRDefault="00B82CF9" w:rsidP="00B82CF9">
      <w:pPr>
        <w:jc w:val="both"/>
        <w:rPr>
          <w:color w:val="000000" w:themeColor="text1"/>
        </w:rPr>
      </w:pPr>
      <w:r>
        <w:rPr>
          <w:color w:val="000000" w:themeColor="text1"/>
        </w:rPr>
        <w:t xml:space="preserve">Uno de los temas en donde México ha experimentado grandes e importantes avances en el reconocimiento de derechos en casos de niñas y niños es, </w:t>
      </w:r>
      <w:r w:rsidR="009A0989">
        <w:rPr>
          <w:color w:val="000000" w:themeColor="text1"/>
        </w:rPr>
        <w:t>sin lugar a duda</w:t>
      </w:r>
      <w:r>
        <w:rPr>
          <w:color w:val="000000" w:themeColor="text1"/>
        </w:rPr>
        <w:t>, el acceso a la justicia</w:t>
      </w:r>
      <w:r w:rsidR="005621FC">
        <w:rPr>
          <w:color w:val="000000" w:themeColor="text1"/>
        </w:rPr>
        <w:t>, entre ellas</w:t>
      </w:r>
      <w:r>
        <w:rPr>
          <w:color w:val="000000" w:themeColor="text1"/>
        </w:rPr>
        <w:t xml:space="preserve"> las formas de participación en aquellos asuntos que les afectan y que son tratados en sede administrativa o judicial</w:t>
      </w:r>
      <w:r w:rsidR="005621FC">
        <w:rPr>
          <w:color w:val="000000" w:themeColor="text1"/>
        </w:rPr>
        <w:t xml:space="preserve">, así como las adecuaciones pertinentes en el mismo procedimiento. </w:t>
      </w:r>
    </w:p>
    <w:p w14:paraId="0B6924D5" w14:textId="240683D8" w:rsidR="005621FC" w:rsidRPr="00983273" w:rsidRDefault="00F319A8" w:rsidP="009A0989">
      <w:pPr>
        <w:pStyle w:val="Prrafodelista"/>
        <w:numPr>
          <w:ilvl w:val="2"/>
          <w:numId w:val="1"/>
        </w:numPr>
        <w:ind w:left="851" w:hanging="284"/>
        <w:jc w:val="both"/>
        <w:rPr>
          <w:b/>
          <w:bCs/>
          <w:color w:val="000000" w:themeColor="text1"/>
        </w:rPr>
      </w:pPr>
      <w:r w:rsidRPr="00983273">
        <w:rPr>
          <w:b/>
          <w:bCs/>
          <w:color w:val="000000" w:themeColor="text1"/>
        </w:rPr>
        <w:t xml:space="preserve">Representación legal </w:t>
      </w:r>
    </w:p>
    <w:p w14:paraId="42076D26" w14:textId="7E12919B" w:rsidR="00A0026F" w:rsidRDefault="00A0026F" w:rsidP="00A04025">
      <w:pPr>
        <w:jc w:val="both"/>
        <w:rPr>
          <w:color w:val="000000" w:themeColor="text1"/>
        </w:rPr>
      </w:pPr>
      <w:r>
        <w:rPr>
          <w:color w:val="000000" w:themeColor="text1"/>
        </w:rPr>
        <w:t xml:space="preserve">La Ley sobre los Derechos </w:t>
      </w:r>
      <w:r w:rsidR="009A0989">
        <w:rPr>
          <w:color w:val="000000" w:themeColor="text1"/>
        </w:rPr>
        <w:t>de Niñas, Niños y Adolescentes</w:t>
      </w:r>
      <w:r>
        <w:rPr>
          <w:color w:val="000000" w:themeColor="text1"/>
        </w:rPr>
        <w:t xml:space="preserve"> reconoce el derecho </w:t>
      </w:r>
      <w:r w:rsidR="009A0989">
        <w:rPr>
          <w:color w:val="000000" w:themeColor="text1"/>
        </w:rPr>
        <w:t xml:space="preserve">que ellas y ellos tienen </w:t>
      </w:r>
      <w:r>
        <w:rPr>
          <w:color w:val="000000" w:themeColor="text1"/>
        </w:rPr>
        <w:t xml:space="preserve">a ser representados en procedimientos judiciales y administrativos; y establece para ello tres figuras de representación: la representación originaria, ejercida por quien ostenta la patria potestad o tutela; la representación coadyuvante, y la representación en suplencia, ambas ejercidas por la Procuraduría de Protección. Al ser las últimas figuras nuevas, </w:t>
      </w:r>
      <w:r w:rsidR="000603BC">
        <w:rPr>
          <w:color w:val="000000" w:themeColor="text1"/>
        </w:rPr>
        <w:t xml:space="preserve">que responden a ciertos supuestos de la situación que guarda la niña o niño en relación a quien ejerce la representación originaria, subsisten problemas de interpretación que inciden directamente en la forma en que este derecho se </w:t>
      </w:r>
      <w:r w:rsidR="009A0989">
        <w:rPr>
          <w:color w:val="000000" w:themeColor="text1"/>
        </w:rPr>
        <w:t>garantiza</w:t>
      </w:r>
      <w:r w:rsidR="000603BC">
        <w:rPr>
          <w:color w:val="000000" w:themeColor="text1"/>
        </w:rPr>
        <w:t xml:space="preserve">. </w:t>
      </w:r>
    </w:p>
    <w:p w14:paraId="46701747" w14:textId="0E3767E7" w:rsidR="000603BC" w:rsidRDefault="00B321CD" w:rsidP="00A04025">
      <w:pPr>
        <w:jc w:val="both"/>
        <w:rPr>
          <w:color w:val="000000" w:themeColor="text1"/>
        </w:rPr>
      </w:pPr>
      <w:r>
        <w:rPr>
          <w:color w:val="000000" w:themeColor="text1"/>
        </w:rPr>
        <w:t>La</w:t>
      </w:r>
      <w:r w:rsidR="000603BC">
        <w:rPr>
          <w:color w:val="000000" w:themeColor="text1"/>
        </w:rPr>
        <w:t xml:space="preserve"> Suprema Corte </w:t>
      </w:r>
      <w:r>
        <w:rPr>
          <w:color w:val="000000" w:themeColor="text1"/>
        </w:rPr>
        <w:t xml:space="preserve">se acerca al tema de representación con estas figuras que contempla la Ley General, a partir de dos sentencias </w:t>
      </w:r>
      <w:r w:rsidR="000603BC">
        <w:rPr>
          <w:color w:val="000000" w:themeColor="text1"/>
        </w:rPr>
        <w:t xml:space="preserve">que se recuperan en este apartado, </w:t>
      </w:r>
      <w:r w:rsidR="009A0989">
        <w:rPr>
          <w:color w:val="000000" w:themeColor="text1"/>
        </w:rPr>
        <w:t>y</w:t>
      </w:r>
      <w:r>
        <w:rPr>
          <w:color w:val="000000" w:themeColor="text1"/>
        </w:rPr>
        <w:t xml:space="preserve"> </w:t>
      </w:r>
      <w:r w:rsidR="000603BC">
        <w:rPr>
          <w:color w:val="000000" w:themeColor="text1"/>
        </w:rPr>
        <w:t>que han empezado a delinear los alcances de esta figura y su incidencia en los procedimientos judiciales. La primera</w:t>
      </w:r>
      <w:r w:rsidR="009A0989">
        <w:rPr>
          <w:color w:val="000000" w:themeColor="text1"/>
        </w:rPr>
        <w:t>,</w:t>
      </w:r>
      <w:r w:rsidR="000603BC">
        <w:rPr>
          <w:color w:val="000000" w:themeColor="text1"/>
        </w:rPr>
        <w:t xml:space="preserve"> brinda</w:t>
      </w:r>
      <w:r w:rsidR="00840ADE">
        <w:rPr>
          <w:color w:val="000000" w:themeColor="text1"/>
        </w:rPr>
        <w:t xml:space="preserve"> </w:t>
      </w:r>
      <w:r w:rsidR="000603BC">
        <w:rPr>
          <w:color w:val="000000" w:themeColor="text1"/>
        </w:rPr>
        <w:t xml:space="preserve">algunas características y obligaciones que se desprenden de la figura de la representación legal en relación </w:t>
      </w:r>
      <w:r w:rsidR="00F47D37">
        <w:rPr>
          <w:color w:val="000000" w:themeColor="text1"/>
        </w:rPr>
        <w:t>con e</w:t>
      </w:r>
      <w:r w:rsidR="000603BC">
        <w:rPr>
          <w:color w:val="000000" w:themeColor="text1"/>
        </w:rPr>
        <w:t>l derecho de acceso a la justicia y la debida tutela judicial.  La segund</w:t>
      </w:r>
      <w:r>
        <w:rPr>
          <w:color w:val="000000" w:themeColor="text1"/>
        </w:rPr>
        <w:t>a</w:t>
      </w:r>
      <w:r w:rsidR="009A0989">
        <w:rPr>
          <w:color w:val="000000" w:themeColor="text1"/>
        </w:rPr>
        <w:t>,</w:t>
      </w:r>
      <w:r w:rsidR="000603BC">
        <w:rPr>
          <w:color w:val="000000" w:themeColor="text1"/>
        </w:rPr>
        <w:t xml:space="preserve"> analiza y delimita la justificación de la activación de la figura de representación en suplencia. </w:t>
      </w:r>
    </w:p>
    <w:p w14:paraId="1570C712" w14:textId="7487BBDF" w:rsidR="000C018F" w:rsidRDefault="000F35C1" w:rsidP="00A04025">
      <w:pPr>
        <w:jc w:val="both"/>
        <w:rPr>
          <w:color w:val="000000" w:themeColor="text1"/>
        </w:rPr>
      </w:pPr>
      <w:r>
        <w:rPr>
          <w:color w:val="000000" w:themeColor="text1"/>
        </w:rPr>
        <w:t>En primer lugar</w:t>
      </w:r>
      <w:r w:rsidR="000603BC">
        <w:rPr>
          <w:color w:val="000000" w:themeColor="text1"/>
        </w:rPr>
        <w:t>,</w:t>
      </w:r>
      <w:r>
        <w:rPr>
          <w:color w:val="000000" w:themeColor="text1"/>
        </w:rPr>
        <w:t xml:space="preserve"> </w:t>
      </w:r>
      <w:r w:rsidR="009A0989">
        <w:rPr>
          <w:color w:val="000000" w:themeColor="text1"/>
        </w:rPr>
        <w:t xml:space="preserve">me gustaría hacer </w:t>
      </w:r>
      <w:r>
        <w:rPr>
          <w:color w:val="000000" w:themeColor="text1"/>
        </w:rPr>
        <w:t xml:space="preserve">referencia al </w:t>
      </w:r>
      <w:r w:rsidR="009A0989">
        <w:rPr>
          <w:color w:val="000000" w:themeColor="text1"/>
        </w:rPr>
        <w:t>a</w:t>
      </w:r>
      <w:r>
        <w:rPr>
          <w:color w:val="000000" w:themeColor="text1"/>
        </w:rPr>
        <w:t xml:space="preserve">mparo directo en </w:t>
      </w:r>
      <w:r w:rsidR="009A0989">
        <w:rPr>
          <w:color w:val="000000" w:themeColor="text1"/>
        </w:rPr>
        <w:t>r</w:t>
      </w:r>
      <w:r>
        <w:rPr>
          <w:color w:val="000000" w:themeColor="text1"/>
        </w:rPr>
        <w:t xml:space="preserve">evisión 5833/2019. Este caso </w:t>
      </w:r>
      <w:r w:rsidR="000C018F">
        <w:rPr>
          <w:color w:val="000000" w:themeColor="text1"/>
        </w:rPr>
        <w:t>llega</w:t>
      </w:r>
      <w:r w:rsidR="00F47D37">
        <w:rPr>
          <w:color w:val="000000" w:themeColor="text1"/>
        </w:rPr>
        <w:t>ría</w:t>
      </w:r>
      <w:r w:rsidR="000C018F">
        <w:rPr>
          <w:color w:val="000000" w:themeColor="text1"/>
        </w:rPr>
        <w:t xml:space="preserve"> a la Corte a través de una demanda de amparo firmada a nombre de una niña, por propio derecho, en contra de una sentencia </w:t>
      </w:r>
      <w:r w:rsidR="00911984">
        <w:rPr>
          <w:color w:val="000000" w:themeColor="text1"/>
        </w:rPr>
        <w:t>de apelación</w:t>
      </w:r>
      <w:r w:rsidR="00D90FE7">
        <w:rPr>
          <w:color w:val="000000" w:themeColor="text1"/>
        </w:rPr>
        <w:t xml:space="preserve"> de la que se había enterado el mismo día que presentó el amparo. Dicha sentencia </w:t>
      </w:r>
      <w:r w:rsidR="00911984">
        <w:rPr>
          <w:color w:val="000000" w:themeColor="text1"/>
        </w:rPr>
        <w:t>absolvía a su padre de perder la patria potestad respecto a ella, establecía un régimen de visitas y lo condenaba al pago de una pensión alimenticia. La demanda de amparo de la niña en cuestión controvertía dicha resolución</w:t>
      </w:r>
      <w:r w:rsidR="00B321CD">
        <w:rPr>
          <w:color w:val="000000" w:themeColor="text1"/>
        </w:rPr>
        <w:t>.</w:t>
      </w:r>
      <w:r w:rsidR="00101A6E">
        <w:rPr>
          <w:color w:val="000000" w:themeColor="text1"/>
        </w:rPr>
        <w:t xml:space="preserve"> </w:t>
      </w:r>
    </w:p>
    <w:p w14:paraId="2A64A2C2" w14:textId="2D512912" w:rsidR="00101A6E" w:rsidRDefault="003B66BE" w:rsidP="00A04025">
      <w:pPr>
        <w:jc w:val="both"/>
        <w:rPr>
          <w:color w:val="000000" w:themeColor="text1"/>
        </w:rPr>
      </w:pPr>
      <w:r>
        <w:rPr>
          <w:color w:val="000000" w:themeColor="text1"/>
        </w:rPr>
        <w:t xml:space="preserve">En este caso, el </w:t>
      </w:r>
      <w:r w:rsidR="00063E41">
        <w:rPr>
          <w:color w:val="000000" w:themeColor="text1"/>
        </w:rPr>
        <w:t>tribunal colegiado</w:t>
      </w:r>
      <w:r w:rsidR="00101A6E">
        <w:rPr>
          <w:color w:val="000000" w:themeColor="text1"/>
        </w:rPr>
        <w:t xml:space="preserve"> sobreseyó </w:t>
      </w:r>
      <w:r>
        <w:rPr>
          <w:color w:val="000000" w:themeColor="text1"/>
        </w:rPr>
        <w:t>el juicio</w:t>
      </w:r>
      <w:r w:rsidR="00101A6E">
        <w:rPr>
          <w:color w:val="000000" w:themeColor="text1"/>
        </w:rPr>
        <w:t xml:space="preserve"> por no haber</w:t>
      </w:r>
      <w:r>
        <w:rPr>
          <w:color w:val="000000" w:themeColor="text1"/>
        </w:rPr>
        <w:t>se</w:t>
      </w:r>
      <w:r w:rsidR="00101A6E">
        <w:rPr>
          <w:color w:val="000000" w:themeColor="text1"/>
        </w:rPr>
        <w:t xml:space="preserve"> </w:t>
      </w:r>
      <w:r>
        <w:rPr>
          <w:color w:val="000000" w:themeColor="text1"/>
        </w:rPr>
        <w:t>interpuesto la demanda</w:t>
      </w:r>
      <w:r w:rsidR="00101A6E">
        <w:rPr>
          <w:color w:val="000000" w:themeColor="text1"/>
        </w:rPr>
        <w:t xml:space="preserve"> dentro del plazo legal respectivo</w:t>
      </w:r>
      <w:r w:rsidR="00D90FE7">
        <w:rPr>
          <w:color w:val="000000" w:themeColor="text1"/>
        </w:rPr>
        <w:t xml:space="preserve">, tomando como fecha de notificación la realizada a la representante </w:t>
      </w:r>
      <w:r w:rsidR="008E6C54">
        <w:rPr>
          <w:color w:val="000000" w:themeColor="text1"/>
        </w:rPr>
        <w:t xml:space="preserve">(tutriz dativa especial de la niña nombrada en el juicio de origen) </w:t>
      </w:r>
      <w:r w:rsidR="00D90FE7">
        <w:rPr>
          <w:color w:val="000000" w:themeColor="text1"/>
        </w:rPr>
        <w:t xml:space="preserve">de la procuraduría social. </w:t>
      </w:r>
      <w:r>
        <w:rPr>
          <w:color w:val="000000" w:themeColor="text1"/>
        </w:rPr>
        <w:t xml:space="preserve">En aquella oportunidad, </w:t>
      </w:r>
      <w:r w:rsidR="00063E41">
        <w:rPr>
          <w:color w:val="000000" w:themeColor="text1"/>
        </w:rPr>
        <w:t>el tribunal colegiado</w:t>
      </w:r>
      <w:r w:rsidR="00D90FE7">
        <w:rPr>
          <w:color w:val="000000" w:themeColor="text1"/>
        </w:rPr>
        <w:t xml:space="preserve"> señaló que la notificación no podía realizarse personalmente a la niña </w:t>
      </w:r>
      <w:r w:rsidR="005D63A9">
        <w:rPr>
          <w:color w:val="000000" w:themeColor="text1"/>
        </w:rPr>
        <w:t>(la representada), debido a que</w:t>
      </w:r>
      <w:r w:rsidR="00CE1C25">
        <w:rPr>
          <w:color w:val="000000" w:themeColor="text1"/>
        </w:rPr>
        <w:t>,</w:t>
      </w:r>
      <w:r w:rsidR="005D63A9">
        <w:rPr>
          <w:color w:val="000000" w:themeColor="text1"/>
        </w:rPr>
        <w:t xml:space="preserve"> de acuerdo </w:t>
      </w:r>
      <w:r w:rsidR="008E6C54">
        <w:rPr>
          <w:color w:val="000000" w:themeColor="text1"/>
        </w:rPr>
        <w:t>con e</w:t>
      </w:r>
      <w:r w:rsidR="005D63A9">
        <w:rPr>
          <w:color w:val="000000" w:themeColor="text1"/>
        </w:rPr>
        <w:t>l sistema jurídico nacional</w:t>
      </w:r>
      <w:r w:rsidR="008E6C54">
        <w:rPr>
          <w:color w:val="000000" w:themeColor="text1"/>
        </w:rPr>
        <w:t>,</w:t>
      </w:r>
      <w:r w:rsidR="005D63A9">
        <w:rPr>
          <w:color w:val="000000" w:themeColor="text1"/>
        </w:rPr>
        <w:t xml:space="preserve"> los menores de edad carecen de capacidad de ejercicio, por lo que la notificación no puede surtir así efectos jurídicos. En ese sentido, no procedía a suplencia de la queja, ni se podían soslayar </w:t>
      </w:r>
      <w:r w:rsidR="008E6C54">
        <w:rPr>
          <w:color w:val="000000" w:themeColor="text1"/>
        </w:rPr>
        <w:t>cuestiones</w:t>
      </w:r>
      <w:r w:rsidR="005D63A9">
        <w:rPr>
          <w:color w:val="000000" w:themeColor="text1"/>
        </w:rPr>
        <w:t xml:space="preserve"> de procedencia. </w:t>
      </w:r>
    </w:p>
    <w:p w14:paraId="6EE64AC1" w14:textId="64A6EE9E" w:rsidR="00555F11" w:rsidRPr="008E6C54" w:rsidRDefault="005D63A9" w:rsidP="00F319A8">
      <w:pPr>
        <w:jc w:val="both"/>
        <w:rPr>
          <w:color w:val="000000" w:themeColor="text1"/>
        </w:rPr>
      </w:pPr>
      <w:r>
        <w:rPr>
          <w:color w:val="000000" w:themeColor="text1"/>
        </w:rPr>
        <w:t xml:space="preserve">El recurso de revisión </w:t>
      </w:r>
      <w:r w:rsidR="00063E41">
        <w:rPr>
          <w:color w:val="000000" w:themeColor="text1"/>
        </w:rPr>
        <w:t xml:space="preserve">del cual conoció </w:t>
      </w:r>
      <w:r>
        <w:rPr>
          <w:color w:val="000000" w:themeColor="text1"/>
        </w:rPr>
        <w:t xml:space="preserve">la Suprema Corte fue, igualmente, firmado por la niña quejosa, por propio derecho, en donde expuso </w:t>
      </w:r>
      <w:r w:rsidR="008E6C54">
        <w:rPr>
          <w:color w:val="000000" w:themeColor="text1"/>
        </w:rPr>
        <w:t xml:space="preserve">que tanto su representante legal como su madre habían omitido informarle sobre la resolución, y el mismo día que se enteró </w:t>
      </w:r>
      <w:r w:rsidR="00CE1C25">
        <w:rPr>
          <w:color w:val="000000" w:themeColor="text1"/>
        </w:rPr>
        <w:t xml:space="preserve">interpuso </w:t>
      </w:r>
      <w:r w:rsidR="008E6C54">
        <w:rPr>
          <w:color w:val="000000" w:themeColor="text1"/>
        </w:rPr>
        <w:t>el amparo y, en ese sentido, el juicio se encuentra viciado de origen porque ella tiene intereses diversos a quienes fungen como terceras interesadas.</w:t>
      </w:r>
    </w:p>
    <w:p w14:paraId="620C5CC7" w14:textId="731D1895" w:rsidR="00F33AB7" w:rsidRDefault="00BE6B23" w:rsidP="00F319A8">
      <w:pPr>
        <w:jc w:val="both"/>
        <w:rPr>
          <w:color w:val="000000" w:themeColor="text1"/>
          <w:lang w:val="es-ES_tradnl"/>
        </w:rPr>
      </w:pPr>
      <w:r>
        <w:rPr>
          <w:color w:val="000000" w:themeColor="text1"/>
          <w:lang w:val="es-ES_tradnl"/>
        </w:rPr>
        <w:t>La Suprema Corte consider</w:t>
      </w:r>
      <w:r w:rsidR="008E6C54">
        <w:rPr>
          <w:color w:val="000000" w:themeColor="text1"/>
          <w:lang w:val="es-ES_tradnl"/>
        </w:rPr>
        <w:t>ó</w:t>
      </w:r>
      <w:r>
        <w:rPr>
          <w:color w:val="000000" w:themeColor="text1"/>
          <w:lang w:val="es-ES_tradnl"/>
        </w:rPr>
        <w:t xml:space="preserve"> que los agravios hechos valer por la niña quejosa </w:t>
      </w:r>
      <w:r w:rsidR="008E6C54">
        <w:rPr>
          <w:color w:val="000000" w:themeColor="text1"/>
          <w:lang w:val="es-ES_tradnl"/>
        </w:rPr>
        <w:t>eran</w:t>
      </w:r>
      <w:r>
        <w:rPr>
          <w:color w:val="000000" w:themeColor="text1"/>
          <w:lang w:val="es-ES_tradnl"/>
        </w:rPr>
        <w:t xml:space="preserve"> fundados y revoc</w:t>
      </w:r>
      <w:r w:rsidR="008E6C54">
        <w:rPr>
          <w:color w:val="000000" w:themeColor="text1"/>
          <w:lang w:val="es-ES_tradnl"/>
        </w:rPr>
        <w:t xml:space="preserve">ó </w:t>
      </w:r>
      <w:r>
        <w:rPr>
          <w:color w:val="000000" w:themeColor="text1"/>
          <w:lang w:val="es-ES_tradnl"/>
        </w:rPr>
        <w:t>la sentencia de amparo recurrida, basado en</w:t>
      </w:r>
      <w:r w:rsidR="008E6C54">
        <w:rPr>
          <w:color w:val="000000" w:themeColor="text1"/>
          <w:lang w:val="es-ES_tradnl"/>
        </w:rPr>
        <w:t xml:space="preserve"> los derechos de representación legal en procedimientos judiciales o administrativos, el derecho a la participación y, como resultado, una reinterpretación del artículo 8 de la Ley de Amparo</w:t>
      </w:r>
      <w:r w:rsidR="00350F11">
        <w:rPr>
          <w:rStyle w:val="Refdenotaalpie"/>
          <w:color w:val="000000" w:themeColor="text1"/>
          <w:lang w:val="es-ES_tradnl"/>
        </w:rPr>
        <w:footnoteReference w:id="12"/>
      </w:r>
      <w:r w:rsidR="008E6C54">
        <w:rPr>
          <w:color w:val="000000" w:themeColor="text1"/>
          <w:lang w:val="es-ES_tradnl"/>
        </w:rPr>
        <w:t xml:space="preserve">. </w:t>
      </w:r>
    </w:p>
    <w:p w14:paraId="11752A2E" w14:textId="0BB8AA8A" w:rsidR="00F33AB7" w:rsidRDefault="00146380" w:rsidP="00F319A8">
      <w:pPr>
        <w:jc w:val="both"/>
        <w:rPr>
          <w:color w:val="000000" w:themeColor="text1"/>
          <w:lang w:val="es-ES_tradnl"/>
        </w:rPr>
      </w:pPr>
      <w:r>
        <w:rPr>
          <w:color w:val="000000" w:themeColor="text1"/>
          <w:lang w:val="es-ES_tradnl"/>
        </w:rPr>
        <w:t xml:space="preserve">Como parte del desarrollo argumentativo de la resolución, la Suprema Corte </w:t>
      </w:r>
      <w:r w:rsidR="00F33AB7">
        <w:rPr>
          <w:color w:val="000000" w:themeColor="text1"/>
          <w:lang w:val="es-ES_tradnl"/>
        </w:rPr>
        <w:t>reconoce la figura de la representación legal como una institución jurídica fundamental para la adecuada defensa de sus derechos, vinculada al derecho</w:t>
      </w:r>
      <w:r w:rsidR="00D70ECD">
        <w:rPr>
          <w:color w:val="000000" w:themeColor="text1"/>
          <w:lang w:val="es-ES_tradnl"/>
        </w:rPr>
        <w:t xml:space="preserve"> que tiene cualquier persona menor de edad</w:t>
      </w:r>
      <w:r w:rsidR="00F33AB7">
        <w:rPr>
          <w:color w:val="000000" w:themeColor="text1"/>
          <w:lang w:val="es-ES_tradnl"/>
        </w:rPr>
        <w:t xml:space="preserve"> de tutela judicial efectiva. En ese orden de ideas, </w:t>
      </w:r>
      <w:r>
        <w:rPr>
          <w:color w:val="000000" w:themeColor="text1"/>
          <w:lang w:val="es-ES_tradnl"/>
        </w:rPr>
        <w:t>establece que quien funja como representante legal de un</w:t>
      </w:r>
      <w:r w:rsidR="00063E41">
        <w:rPr>
          <w:color w:val="000000" w:themeColor="text1"/>
          <w:lang w:val="es-ES_tradnl"/>
        </w:rPr>
        <w:t>a</w:t>
      </w:r>
      <w:r>
        <w:rPr>
          <w:color w:val="000000" w:themeColor="text1"/>
          <w:lang w:val="es-ES_tradnl"/>
        </w:rPr>
        <w:t xml:space="preserve"> niñ</w:t>
      </w:r>
      <w:r w:rsidR="00063E41">
        <w:rPr>
          <w:color w:val="000000" w:themeColor="text1"/>
          <w:lang w:val="es-ES_tradnl"/>
        </w:rPr>
        <w:t>a</w:t>
      </w:r>
      <w:r>
        <w:rPr>
          <w:color w:val="000000" w:themeColor="text1"/>
          <w:lang w:val="es-ES_tradnl"/>
        </w:rPr>
        <w:t xml:space="preserve"> o niñ</w:t>
      </w:r>
      <w:r w:rsidR="00063E41">
        <w:rPr>
          <w:color w:val="000000" w:themeColor="text1"/>
          <w:lang w:val="es-ES_tradnl"/>
        </w:rPr>
        <w:t>o</w:t>
      </w:r>
      <w:r>
        <w:rPr>
          <w:color w:val="000000" w:themeColor="text1"/>
          <w:lang w:val="es-ES_tradnl"/>
        </w:rPr>
        <w:t xml:space="preserve">, debe actuar con perspectiva de </w:t>
      </w:r>
      <w:r w:rsidR="00063E41">
        <w:rPr>
          <w:color w:val="000000" w:themeColor="text1"/>
          <w:lang w:val="es-ES_tradnl"/>
        </w:rPr>
        <w:t xml:space="preserve">derechos de la </w:t>
      </w:r>
      <w:r>
        <w:rPr>
          <w:color w:val="000000" w:themeColor="text1"/>
          <w:lang w:val="es-ES_tradnl"/>
        </w:rPr>
        <w:t xml:space="preserve">infancia, que busque </w:t>
      </w:r>
      <w:r w:rsidR="00063E41">
        <w:rPr>
          <w:color w:val="000000" w:themeColor="text1"/>
          <w:lang w:val="es-ES_tradnl"/>
        </w:rPr>
        <w:t>una protección integral de tales derechos</w:t>
      </w:r>
      <w:r>
        <w:rPr>
          <w:color w:val="000000" w:themeColor="text1"/>
          <w:lang w:val="es-ES_tradnl"/>
        </w:rPr>
        <w:t xml:space="preserve">. Asimismo, </w:t>
      </w:r>
      <w:r w:rsidR="00063E41">
        <w:rPr>
          <w:color w:val="000000" w:themeColor="text1"/>
          <w:lang w:val="es-ES_tradnl"/>
        </w:rPr>
        <w:t xml:space="preserve">se reconoció que </w:t>
      </w:r>
      <w:r>
        <w:rPr>
          <w:color w:val="000000" w:themeColor="text1"/>
          <w:lang w:val="es-ES_tradnl"/>
        </w:rPr>
        <w:t>esta representación</w:t>
      </w:r>
      <w:r w:rsidR="00063E41">
        <w:rPr>
          <w:color w:val="000000" w:themeColor="text1"/>
          <w:lang w:val="es-ES_tradnl"/>
        </w:rPr>
        <w:t xml:space="preserve"> jurídica</w:t>
      </w:r>
      <w:r>
        <w:rPr>
          <w:color w:val="000000" w:themeColor="text1"/>
          <w:lang w:val="es-ES_tradnl"/>
        </w:rPr>
        <w:t xml:space="preserve"> debe cumplir con los principios de especialización, independencia y proporcionalidad.</w:t>
      </w:r>
      <w:r w:rsidR="00063E41">
        <w:rPr>
          <w:color w:val="000000" w:themeColor="text1"/>
          <w:lang w:val="es-ES_tradnl"/>
        </w:rPr>
        <w:t xml:space="preserve"> Al respecto</w:t>
      </w:r>
      <w:r w:rsidR="003D5372">
        <w:rPr>
          <w:color w:val="000000" w:themeColor="text1"/>
          <w:lang w:val="es-ES_tradnl"/>
        </w:rPr>
        <w:t xml:space="preserve">, la sentencia se refiere al deber de comunicación que recae sobre </w:t>
      </w:r>
      <w:r w:rsidR="00063E41">
        <w:rPr>
          <w:color w:val="000000" w:themeColor="text1"/>
          <w:lang w:val="es-ES_tradnl"/>
        </w:rPr>
        <w:t>las personas que desempeñen alguna clase de representación</w:t>
      </w:r>
      <w:r w:rsidR="003D5372">
        <w:rPr>
          <w:color w:val="000000" w:themeColor="text1"/>
          <w:lang w:val="es-ES_tradnl"/>
        </w:rPr>
        <w:t xml:space="preserve"> que, de omitir su cumplimiento, podrá ser elemento de responsabilidad </w:t>
      </w:r>
      <w:r w:rsidR="00DB5C7E">
        <w:rPr>
          <w:color w:val="000000" w:themeColor="text1"/>
          <w:lang w:val="es-ES_tradnl"/>
        </w:rPr>
        <w:t xml:space="preserve">sobre su actuación. </w:t>
      </w:r>
    </w:p>
    <w:p w14:paraId="30404485" w14:textId="37BD0390" w:rsidR="00DB5C7E" w:rsidRDefault="00063E41" w:rsidP="00F319A8">
      <w:pPr>
        <w:jc w:val="both"/>
        <w:rPr>
          <w:color w:val="000000" w:themeColor="text1"/>
          <w:lang w:val="es-ES_tradnl"/>
        </w:rPr>
      </w:pPr>
      <w:r>
        <w:rPr>
          <w:color w:val="000000" w:themeColor="text1"/>
          <w:lang w:val="es-ES_tradnl"/>
        </w:rPr>
        <w:t xml:space="preserve">Aunque la sentencia, busca asegurar una suerte de “efecto útil” en el ejercicio de la representación de niñas, niños y adolescentes, </w:t>
      </w:r>
      <w:r w:rsidR="00936423">
        <w:rPr>
          <w:color w:val="000000" w:themeColor="text1"/>
          <w:lang w:val="es-ES_tradnl"/>
        </w:rPr>
        <w:t xml:space="preserve">lo que también es cierto es que </w:t>
      </w:r>
      <w:r w:rsidR="00BA6213">
        <w:rPr>
          <w:color w:val="000000" w:themeColor="text1"/>
          <w:lang w:val="es-ES_tradnl"/>
        </w:rPr>
        <w:t xml:space="preserve">se pueden observar algunas ambivalencias argumentativas respecto a lo que implica una representación legal en casos de personas que son menores de edad, y en ocasiones podría criticarse que parecen acercarse </w:t>
      </w:r>
      <w:r w:rsidR="00936423">
        <w:rPr>
          <w:color w:val="000000" w:themeColor="text1"/>
          <w:lang w:val="es-ES_tradnl"/>
        </w:rPr>
        <w:t>visiones tutelares y basadas en la perspectiva de las personas adultas</w:t>
      </w:r>
      <w:r w:rsidR="00BA6213">
        <w:rPr>
          <w:color w:val="000000" w:themeColor="text1"/>
          <w:lang w:val="es-ES_tradnl"/>
        </w:rPr>
        <w:t xml:space="preserve">. Sin embargo, </w:t>
      </w:r>
      <w:r w:rsidR="00DB5C7E">
        <w:rPr>
          <w:color w:val="000000" w:themeColor="text1"/>
          <w:lang w:val="es-ES_tradnl"/>
        </w:rPr>
        <w:t xml:space="preserve">lo que aquí se busca resaltar es que </w:t>
      </w:r>
      <w:r w:rsidR="003D5372">
        <w:rPr>
          <w:color w:val="000000" w:themeColor="text1"/>
          <w:lang w:val="es-ES_tradnl"/>
        </w:rPr>
        <w:t xml:space="preserve">pone sobre la mesa, y empieza a delimitar los alcances de esta figura que, históricamente estaba completamente desdibujada, sobre todo como un derecho de </w:t>
      </w:r>
      <w:r w:rsidR="00936423">
        <w:rPr>
          <w:color w:val="000000" w:themeColor="text1"/>
          <w:lang w:val="es-ES_tradnl"/>
        </w:rPr>
        <w:t>niñas, niños y adolescentes</w:t>
      </w:r>
      <w:r w:rsidR="003D5372">
        <w:rPr>
          <w:color w:val="000000" w:themeColor="text1"/>
          <w:lang w:val="es-ES_tradnl"/>
        </w:rPr>
        <w:t>,</w:t>
      </w:r>
      <w:r w:rsidR="00DB5C7E">
        <w:rPr>
          <w:color w:val="000000" w:themeColor="text1"/>
          <w:lang w:val="es-ES_tradnl"/>
        </w:rPr>
        <w:t xml:space="preserve"> en donde </w:t>
      </w:r>
      <w:r w:rsidR="00CE1C25">
        <w:rPr>
          <w:color w:val="000000" w:themeColor="text1"/>
          <w:lang w:val="es-ES_tradnl"/>
        </w:rPr>
        <w:t>son</w:t>
      </w:r>
      <w:r w:rsidR="00DB5C7E">
        <w:rPr>
          <w:color w:val="000000" w:themeColor="text1"/>
          <w:lang w:val="es-ES_tradnl"/>
        </w:rPr>
        <w:t xml:space="preserve"> sus intereses y la protección de sus derechos los que </w:t>
      </w:r>
      <w:r w:rsidR="00CE1C25">
        <w:rPr>
          <w:color w:val="000000" w:themeColor="text1"/>
          <w:lang w:val="es-ES_tradnl"/>
        </w:rPr>
        <w:t xml:space="preserve">deben </w:t>
      </w:r>
      <w:r w:rsidR="00DB5C7E">
        <w:rPr>
          <w:color w:val="000000" w:themeColor="text1"/>
          <w:lang w:val="es-ES_tradnl"/>
        </w:rPr>
        <w:t xml:space="preserve">ser protegidos. </w:t>
      </w:r>
      <w:r w:rsidR="00936423">
        <w:rPr>
          <w:color w:val="000000" w:themeColor="text1"/>
          <w:lang w:val="es-ES_tradnl"/>
        </w:rPr>
        <w:t xml:space="preserve">Es decir, se empieza a pensar en la representación más como un derecho de niñas, niños y adolescentes para acceder a la justicia, que como un derecho de las personas adultas ejercido en relación con niñas y niños. </w:t>
      </w:r>
    </w:p>
    <w:p w14:paraId="364A9E50" w14:textId="461EB4A6" w:rsidR="00BA6213" w:rsidRDefault="002C49CA" w:rsidP="00F319A8">
      <w:pPr>
        <w:jc w:val="both"/>
        <w:rPr>
          <w:color w:val="000000" w:themeColor="text1"/>
          <w:lang w:val="es-ES_tradnl"/>
        </w:rPr>
      </w:pPr>
      <w:r>
        <w:rPr>
          <w:color w:val="000000" w:themeColor="text1"/>
          <w:lang w:val="es-ES_tradnl"/>
        </w:rPr>
        <w:t xml:space="preserve">En segundo lugar, </w:t>
      </w:r>
      <w:r w:rsidR="00936423">
        <w:rPr>
          <w:color w:val="000000" w:themeColor="text1"/>
          <w:lang w:val="es-ES_tradnl"/>
        </w:rPr>
        <w:t>quisiera hacer referencia</w:t>
      </w:r>
      <w:r>
        <w:rPr>
          <w:color w:val="000000" w:themeColor="text1"/>
          <w:lang w:val="es-ES_tradnl"/>
        </w:rPr>
        <w:t xml:space="preserve"> a</w:t>
      </w:r>
      <w:r w:rsidR="00DB5C7E">
        <w:rPr>
          <w:color w:val="000000" w:themeColor="text1"/>
          <w:lang w:val="es-ES_tradnl"/>
        </w:rPr>
        <w:t xml:space="preserve"> la sentencia del </w:t>
      </w:r>
      <w:r w:rsidR="00936423">
        <w:rPr>
          <w:color w:val="000000" w:themeColor="text1"/>
          <w:lang w:val="es-ES_tradnl"/>
        </w:rPr>
        <w:t>a</w:t>
      </w:r>
      <w:r w:rsidR="00DB5C7E">
        <w:rPr>
          <w:color w:val="000000" w:themeColor="text1"/>
          <w:lang w:val="es-ES_tradnl"/>
        </w:rPr>
        <w:t xml:space="preserve">mparo </w:t>
      </w:r>
      <w:r w:rsidR="00936423">
        <w:rPr>
          <w:color w:val="000000" w:themeColor="text1"/>
          <w:lang w:val="es-ES_tradnl"/>
        </w:rPr>
        <w:t>d</w:t>
      </w:r>
      <w:r w:rsidR="00DB5C7E">
        <w:rPr>
          <w:color w:val="000000" w:themeColor="text1"/>
          <w:lang w:val="es-ES_tradnl"/>
        </w:rPr>
        <w:t xml:space="preserve">irecto en </w:t>
      </w:r>
      <w:r w:rsidR="00936423">
        <w:rPr>
          <w:color w:val="000000" w:themeColor="text1"/>
          <w:lang w:val="es-ES_tradnl"/>
        </w:rPr>
        <w:t>r</w:t>
      </w:r>
      <w:r w:rsidR="00DB5C7E">
        <w:rPr>
          <w:color w:val="000000" w:themeColor="text1"/>
          <w:lang w:val="es-ES_tradnl"/>
        </w:rPr>
        <w:t>evisión 1775/2018 que revis</w:t>
      </w:r>
      <w:r w:rsidR="00F3494C">
        <w:rPr>
          <w:color w:val="000000" w:themeColor="text1"/>
          <w:lang w:val="es-ES_tradnl"/>
        </w:rPr>
        <w:t>ó</w:t>
      </w:r>
      <w:r w:rsidR="00DB5C7E">
        <w:rPr>
          <w:color w:val="000000" w:themeColor="text1"/>
          <w:lang w:val="es-ES_tradnl"/>
        </w:rPr>
        <w:t xml:space="preserve"> la constitucionalidad de l</w:t>
      </w:r>
      <w:r w:rsidR="00CE54B2">
        <w:rPr>
          <w:color w:val="000000" w:themeColor="text1"/>
          <w:lang w:val="es-ES_tradnl"/>
        </w:rPr>
        <w:t>os supuestos en que puede activarse la</w:t>
      </w:r>
      <w:r w:rsidR="00DB5C7E">
        <w:rPr>
          <w:color w:val="000000" w:themeColor="text1"/>
          <w:lang w:val="es-ES_tradnl"/>
        </w:rPr>
        <w:t xml:space="preserve"> figura de la representación en suplencia. El conflicto llega</w:t>
      </w:r>
      <w:r w:rsidR="00F3494C">
        <w:rPr>
          <w:color w:val="000000" w:themeColor="text1"/>
          <w:lang w:val="es-ES_tradnl"/>
        </w:rPr>
        <w:t>ría</w:t>
      </w:r>
      <w:r w:rsidR="00DB5C7E">
        <w:rPr>
          <w:color w:val="000000" w:themeColor="text1"/>
          <w:lang w:val="es-ES_tradnl"/>
        </w:rPr>
        <w:t xml:space="preserve"> a la Suprema Corte </w:t>
      </w:r>
      <w:r w:rsidR="00F3494C">
        <w:rPr>
          <w:color w:val="000000" w:themeColor="text1"/>
          <w:lang w:val="es-ES_tradnl"/>
        </w:rPr>
        <w:t xml:space="preserve">de Justicia de la Nación </w:t>
      </w:r>
      <w:r w:rsidR="0033419A">
        <w:rPr>
          <w:color w:val="000000" w:themeColor="text1"/>
          <w:lang w:val="es-ES_tradnl"/>
        </w:rPr>
        <w:t xml:space="preserve">a partir de la decisión </w:t>
      </w:r>
      <w:r w:rsidR="00DB5C7E">
        <w:rPr>
          <w:color w:val="000000" w:themeColor="text1"/>
          <w:lang w:val="es-ES_tradnl"/>
        </w:rPr>
        <w:t xml:space="preserve">de un Tribunal Colegiado que </w:t>
      </w:r>
      <w:r w:rsidR="0033419A">
        <w:rPr>
          <w:color w:val="000000" w:themeColor="text1"/>
          <w:lang w:val="es-ES_tradnl"/>
        </w:rPr>
        <w:t>determinaría</w:t>
      </w:r>
      <w:r w:rsidR="00DB5C7E">
        <w:rPr>
          <w:color w:val="000000" w:themeColor="text1"/>
          <w:lang w:val="es-ES_tradnl"/>
        </w:rPr>
        <w:t xml:space="preserve"> </w:t>
      </w:r>
      <w:r w:rsidR="00105CE4">
        <w:rPr>
          <w:color w:val="000000" w:themeColor="text1"/>
          <w:lang w:val="es-ES_tradnl"/>
        </w:rPr>
        <w:t>reponer un procedimiento de un juicio de suspensión de convivencias en contra un padre con su hija de 3 años</w:t>
      </w:r>
      <w:r w:rsidR="00805085">
        <w:rPr>
          <w:color w:val="000000" w:themeColor="text1"/>
          <w:lang w:val="es-ES_tradnl"/>
        </w:rPr>
        <w:t>. La madre solicitó esta suspensión argumentando que el padre había abusado sexualmente de la niña</w:t>
      </w:r>
      <w:r w:rsidR="00105CE4">
        <w:rPr>
          <w:color w:val="000000" w:themeColor="text1"/>
          <w:lang w:val="es-ES_tradnl"/>
        </w:rPr>
        <w:t xml:space="preserve">. El tribunal </w:t>
      </w:r>
      <w:r w:rsidR="00805085">
        <w:rPr>
          <w:color w:val="000000" w:themeColor="text1"/>
          <w:lang w:val="es-ES_tradnl"/>
        </w:rPr>
        <w:t xml:space="preserve">advierte </w:t>
      </w:r>
      <w:r w:rsidR="00805085">
        <w:rPr>
          <w:i/>
          <w:iCs/>
          <w:color w:val="000000" w:themeColor="text1"/>
          <w:lang w:val="es-ES_tradnl"/>
        </w:rPr>
        <w:t>indicios</w:t>
      </w:r>
      <w:r w:rsidR="00805085">
        <w:rPr>
          <w:color w:val="000000" w:themeColor="text1"/>
          <w:lang w:val="es-ES_tradnl"/>
        </w:rPr>
        <w:t xml:space="preserve"> de</w:t>
      </w:r>
      <w:r w:rsidR="00105CE4">
        <w:rPr>
          <w:color w:val="000000" w:themeColor="text1"/>
          <w:lang w:val="es-ES_tradnl"/>
        </w:rPr>
        <w:t xml:space="preserve"> la existencia de un conflicto de intereses entre progenitores y </w:t>
      </w:r>
      <w:r w:rsidR="00805085">
        <w:rPr>
          <w:color w:val="000000" w:themeColor="text1"/>
          <w:lang w:val="es-ES_tradnl"/>
        </w:rPr>
        <w:t xml:space="preserve">considera </w:t>
      </w:r>
      <w:r w:rsidR="00105CE4">
        <w:rPr>
          <w:color w:val="000000" w:themeColor="text1"/>
          <w:lang w:val="es-ES_tradnl"/>
        </w:rPr>
        <w:t>pertinente</w:t>
      </w:r>
      <w:r w:rsidR="00805085">
        <w:rPr>
          <w:color w:val="000000" w:themeColor="text1"/>
          <w:lang w:val="es-ES_tradnl"/>
        </w:rPr>
        <w:t xml:space="preserve"> que el procedimiento se reponga</w:t>
      </w:r>
      <w:r w:rsidR="00CE54B2">
        <w:rPr>
          <w:color w:val="000000" w:themeColor="text1"/>
          <w:lang w:val="es-ES_tradnl"/>
        </w:rPr>
        <w:t>, así como la restricción</w:t>
      </w:r>
      <w:r w:rsidR="00105CE4">
        <w:rPr>
          <w:color w:val="000000" w:themeColor="text1"/>
          <w:lang w:val="es-ES_tradnl"/>
        </w:rPr>
        <w:t xml:space="preserve"> </w:t>
      </w:r>
      <w:r w:rsidR="00D96F1B">
        <w:rPr>
          <w:color w:val="000000" w:themeColor="text1"/>
          <w:lang w:val="es-ES_tradnl"/>
        </w:rPr>
        <w:t>a</w:t>
      </w:r>
      <w:r w:rsidR="00105CE4">
        <w:rPr>
          <w:color w:val="000000" w:themeColor="text1"/>
          <w:lang w:val="es-ES_tradnl"/>
        </w:rPr>
        <w:t>l ejercicio de representación de la madr</w:t>
      </w:r>
      <w:r w:rsidR="00805085">
        <w:rPr>
          <w:color w:val="000000" w:themeColor="text1"/>
          <w:lang w:val="es-ES_tradnl"/>
        </w:rPr>
        <w:t xml:space="preserve">e, </w:t>
      </w:r>
      <w:r w:rsidR="00CE54B2">
        <w:rPr>
          <w:color w:val="000000" w:themeColor="text1"/>
          <w:lang w:val="es-ES_tradnl"/>
        </w:rPr>
        <w:t xml:space="preserve">activando </w:t>
      </w:r>
      <w:r w:rsidR="00805085">
        <w:rPr>
          <w:color w:val="000000" w:themeColor="text1"/>
          <w:lang w:val="es-ES_tradnl"/>
        </w:rPr>
        <w:t>en su lugar</w:t>
      </w:r>
      <w:r w:rsidR="00105CE4">
        <w:rPr>
          <w:color w:val="000000" w:themeColor="text1"/>
          <w:lang w:val="es-ES_tradnl"/>
        </w:rPr>
        <w:t xml:space="preserve"> la representación en suplencia de la Procuraduría de Protección estatal</w:t>
      </w:r>
      <w:r w:rsidR="00D96F1B">
        <w:rPr>
          <w:color w:val="000000" w:themeColor="text1"/>
          <w:lang w:val="es-ES_tradnl"/>
        </w:rPr>
        <w:t xml:space="preserve"> respectiva</w:t>
      </w:r>
      <w:r w:rsidR="00105CE4">
        <w:rPr>
          <w:color w:val="000000" w:themeColor="text1"/>
          <w:lang w:val="es-ES_tradnl"/>
        </w:rPr>
        <w:t xml:space="preserve">. </w:t>
      </w:r>
      <w:r w:rsidR="003D5372">
        <w:rPr>
          <w:color w:val="000000" w:themeColor="text1"/>
          <w:lang w:val="es-ES_tradnl"/>
        </w:rPr>
        <w:t xml:space="preserve"> </w:t>
      </w:r>
    </w:p>
    <w:p w14:paraId="2D25F89C" w14:textId="31AA11AB" w:rsidR="00805085" w:rsidRDefault="00805085" w:rsidP="00F319A8">
      <w:pPr>
        <w:jc w:val="both"/>
        <w:rPr>
          <w:color w:val="000000" w:themeColor="text1"/>
          <w:lang w:val="es-ES_tradnl"/>
        </w:rPr>
      </w:pPr>
      <w:r>
        <w:rPr>
          <w:color w:val="000000" w:themeColor="text1"/>
          <w:lang w:val="es-ES_tradnl"/>
        </w:rPr>
        <w:t xml:space="preserve">El criterio que aquí interesa es la interpretación que el tribunal constitucional </w:t>
      </w:r>
      <w:r w:rsidR="00D96F1B">
        <w:rPr>
          <w:color w:val="000000" w:themeColor="text1"/>
          <w:lang w:val="es-ES_tradnl"/>
        </w:rPr>
        <w:t xml:space="preserve">mexicano </w:t>
      </w:r>
      <w:r>
        <w:rPr>
          <w:color w:val="000000" w:themeColor="text1"/>
          <w:lang w:val="es-ES_tradnl"/>
        </w:rPr>
        <w:t>realiza</w:t>
      </w:r>
      <w:r w:rsidR="00D96F1B">
        <w:rPr>
          <w:color w:val="000000" w:themeColor="text1"/>
          <w:lang w:val="es-ES_tradnl"/>
        </w:rPr>
        <w:t>ría</w:t>
      </w:r>
      <w:r>
        <w:rPr>
          <w:color w:val="000000" w:themeColor="text1"/>
          <w:lang w:val="es-ES_tradnl"/>
        </w:rPr>
        <w:t xml:space="preserve"> </w:t>
      </w:r>
      <w:r w:rsidR="00CE54B2">
        <w:rPr>
          <w:color w:val="000000" w:themeColor="text1"/>
          <w:lang w:val="es-ES_tradnl"/>
        </w:rPr>
        <w:t>sobre las posibles afectaciones</w:t>
      </w:r>
      <w:r w:rsidR="00B36513">
        <w:rPr>
          <w:color w:val="000000" w:themeColor="text1"/>
          <w:lang w:val="es-ES_tradnl"/>
        </w:rPr>
        <w:t xml:space="preserve"> </w:t>
      </w:r>
      <w:r w:rsidR="00CE54B2">
        <w:rPr>
          <w:color w:val="000000" w:themeColor="text1"/>
          <w:lang w:val="es-ES_tradnl"/>
        </w:rPr>
        <w:t>a</w:t>
      </w:r>
      <w:r w:rsidR="00B36513">
        <w:rPr>
          <w:color w:val="000000" w:themeColor="text1"/>
          <w:lang w:val="es-ES_tradnl"/>
        </w:rPr>
        <w:t xml:space="preserve">l interés superior de un niño o niña al </w:t>
      </w:r>
      <w:r w:rsidR="00B36513">
        <w:rPr>
          <w:i/>
          <w:iCs/>
          <w:color w:val="000000" w:themeColor="text1"/>
          <w:lang w:val="es-ES_tradnl"/>
        </w:rPr>
        <w:t>suprimir</w:t>
      </w:r>
      <w:r w:rsidR="00B36513">
        <w:rPr>
          <w:color w:val="000000" w:themeColor="text1"/>
          <w:lang w:val="es-ES_tradnl"/>
        </w:rPr>
        <w:t xml:space="preserve"> la representación de progenitores para otorgarla en suplencia a las procuradurías de protección, en caso de conflictos de interés </w:t>
      </w:r>
      <w:r w:rsidR="00B36513">
        <w:rPr>
          <w:i/>
          <w:iCs/>
          <w:color w:val="000000" w:themeColor="text1"/>
          <w:lang w:val="es-ES_tradnl"/>
        </w:rPr>
        <w:t xml:space="preserve">entre progenitores. </w:t>
      </w:r>
      <w:r w:rsidR="00B36513">
        <w:rPr>
          <w:color w:val="000000" w:themeColor="text1"/>
          <w:lang w:val="es-ES_tradnl"/>
        </w:rPr>
        <w:t xml:space="preserve"> </w:t>
      </w:r>
    </w:p>
    <w:p w14:paraId="592CD934" w14:textId="650DA386" w:rsidR="00D52075" w:rsidRDefault="00B36513" w:rsidP="00D52075">
      <w:pPr>
        <w:jc w:val="both"/>
        <w:rPr>
          <w:color w:val="000000" w:themeColor="text1"/>
        </w:rPr>
      </w:pPr>
      <w:r>
        <w:rPr>
          <w:color w:val="000000" w:themeColor="text1"/>
          <w:lang w:val="es-ES_tradnl"/>
        </w:rPr>
        <w:t>La Corte consider</w:t>
      </w:r>
      <w:r w:rsidR="00E61014">
        <w:rPr>
          <w:color w:val="000000" w:themeColor="text1"/>
          <w:lang w:val="es-ES_tradnl"/>
        </w:rPr>
        <w:t>ó</w:t>
      </w:r>
      <w:r>
        <w:rPr>
          <w:color w:val="000000" w:themeColor="text1"/>
          <w:lang w:val="es-ES_tradnl"/>
        </w:rPr>
        <w:t xml:space="preserve"> que el artículo 3º del Código de Procedimientos Civiles del Estado de Guanajuato</w:t>
      </w:r>
      <w:r>
        <w:rPr>
          <w:rStyle w:val="Refdenotaalpie"/>
          <w:color w:val="000000" w:themeColor="text1"/>
          <w:lang w:val="es-ES_tradnl"/>
        </w:rPr>
        <w:footnoteReference w:id="13"/>
      </w:r>
      <w:r>
        <w:rPr>
          <w:color w:val="000000" w:themeColor="text1"/>
          <w:lang w:val="es-ES_tradnl"/>
        </w:rPr>
        <w:t xml:space="preserve"> en revisión es inconstitucional ya que</w:t>
      </w:r>
      <w:r w:rsidR="00CE54B2">
        <w:rPr>
          <w:color w:val="000000" w:themeColor="text1"/>
          <w:lang w:val="es-ES_tradnl"/>
        </w:rPr>
        <w:t>,</w:t>
      </w:r>
      <w:r w:rsidR="00D52075">
        <w:rPr>
          <w:color w:val="000000" w:themeColor="text1"/>
          <w:lang w:val="es-ES_tradnl"/>
        </w:rPr>
        <w:t xml:space="preserve"> de acuerdo </w:t>
      </w:r>
      <w:r w:rsidR="00CE54B2">
        <w:rPr>
          <w:color w:val="000000" w:themeColor="text1"/>
          <w:lang w:val="es-ES_tradnl"/>
        </w:rPr>
        <w:t>con</w:t>
      </w:r>
      <w:r w:rsidR="00D52075">
        <w:rPr>
          <w:color w:val="000000" w:themeColor="text1"/>
          <w:lang w:val="es-ES_tradnl"/>
        </w:rPr>
        <w:t xml:space="preserve"> la Suprema Corte, la activación de esta figura de representación en suplencia, cuando los derechos de la o el niño no está en riesgo, </w:t>
      </w:r>
      <w:r w:rsidR="00D52075" w:rsidRPr="00D52075">
        <w:rPr>
          <w:i/>
          <w:iCs/>
          <w:color w:val="000000" w:themeColor="text1"/>
        </w:rPr>
        <w:t xml:space="preserve">no persigue la tutela del interés superior del menor. </w:t>
      </w:r>
      <w:r w:rsidR="00CE54B2">
        <w:rPr>
          <w:color w:val="000000" w:themeColor="text1"/>
        </w:rPr>
        <w:t xml:space="preserve">Tomando como premisa que </w:t>
      </w:r>
      <w:r w:rsidR="009001FB">
        <w:rPr>
          <w:color w:val="000000" w:themeColor="text1"/>
        </w:rPr>
        <w:t>la representación que ejercen los progenitores sobre sus hijos, señalando que éste debe proteger los intereses del niño o niña mientras éstos adquieren la madurez suficiente para velar por sí mismas/os, de acuerdo a la evolución de su autonomía progresiva y agrega</w:t>
      </w:r>
      <w:r w:rsidR="00BE2AAF">
        <w:rPr>
          <w:color w:val="000000" w:themeColor="text1"/>
        </w:rPr>
        <w:t xml:space="preserve">ría que: </w:t>
      </w:r>
    </w:p>
    <w:p w14:paraId="1BDE1D99" w14:textId="5300C378" w:rsidR="009001FB" w:rsidRPr="009001FB" w:rsidRDefault="00BE2AAF" w:rsidP="009001FB">
      <w:pPr>
        <w:ind w:left="708"/>
        <w:jc w:val="both"/>
        <w:rPr>
          <w:i/>
          <w:iCs/>
          <w:color w:val="000000" w:themeColor="text1"/>
        </w:rPr>
      </w:pPr>
      <w:r>
        <w:rPr>
          <w:i/>
          <w:iCs/>
          <w:color w:val="000000" w:themeColor="text1"/>
        </w:rPr>
        <w:t>“</w:t>
      </w:r>
      <w:r w:rsidR="009001FB" w:rsidRPr="009001FB">
        <w:rPr>
          <w:i/>
          <w:iCs/>
          <w:color w:val="000000" w:themeColor="text1"/>
        </w:rPr>
        <w:t>En suma, la representación de un menor siempre perseguirá el máximo bienestar para éste y se debe entender como una institución que suple, en la medida que sea necesario, el desarrollo del menor, permitiéndole intervenir y decidir por sí mismo en los casos en los que sea posible, sin que esto pueda implicar dejarlo desprotegido</w:t>
      </w:r>
      <w:r>
        <w:rPr>
          <w:i/>
          <w:iCs/>
          <w:color w:val="000000" w:themeColor="text1"/>
        </w:rPr>
        <w:t>”</w:t>
      </w:r>
      <w:r w:rsidR="009001FB" w:rsidRPr="009001FB">
        <w:rPr>
          <w:i/>
          <w:iCs/>
          <w:color w:val="000000" w:themeColor="text1"/>
        </w:rPr>
        <w:t xml:space="preserve"> </w:t>
      </w:r>
    </w:p>
    <w:p w14:paraId="0DE9B0C0" w14:textId="0F41AC28" w:rsidR="009001FB" w:rsidRDefault="0048437F" w:rsidP="00D52075">
      <w:pPr>
        <w:jc w:val="both"/>
        <w:rPr>
          <w:color w:val="000000" w:themeColor="text1"/>
        </w:rPr>
      </w:pPr>
      <w:r>
        <w:rPr>
          <w:color w:val="000000" w:themeColor="text1"/>
        </w:rPr>
        <w:t>En ese sentido, el ejercicio de la representación de un</w:t>
      </w:r>
      <w:r w:rsidR="00BE2AAF">
        <w:rPr>
          <w:color w:val="000000" w:themeColor="text1"/>
        </w:rPr>
        <w:t>a</w:t>
      </w:r>
      <w:r>
        <w:rPr>
          <w:color w:val="000000" w:themeColor="text1"/>
        </w:rPr>
        <w:t xml:space="preserve"> niñ</w:t>
      </w:r>
      <w:r w:rsidR="00BE2AAF">
        <w:rPr>
          <w:color w:val="000000" w:themeColor="text1"/>
        </w:rPr>
        <w:t>a</w:t>
      </w:r>
      <w:r>
        <w:rPr>
          <w:color w:val="000000" w:themeColor="text1"/>
        </w:rPr>
        <w:t xml:space="preserve"> o niñ</w:t>
      </w:r>
      <w:r w:rsidR="00BE2AAF">
        <w:rPr>
          <w:color w:val="000000" w:themeColor="text1"/>
        </w:rPr>
        <w:t>o</w:t>
      </w:r>
      <w:r>
        <w:rPr>
          <w:color w:val="000000" w:themeColor="text1"/>
        </w:rPr>
        <w:t xml:space="preserve"> quedará siempre supeditado a la búsqueda de su interés superior, por lo que las decisiones no deben ser guiadas por los des</w:t>
      </w:r>
      <w:r w:rsidR="00A711BF">
        <w:rPr>
          <w:color w:val="000000" w:themeColor="text1"/>
        </w:rPr>
        <w:t>eo</w:t>
      </w:r>
      <w:r>
        <w:rPr>
          <w:color w:val="000000" w:themeColor="text1"/>
        </w:rPr>
        <w:t xml:space="preserve">s personales de los </w:t>
      </w:r>
      <w:r w:rsidR="00A711BF">
        <w:rPr>
          <w:color w:val="000000" w:themeColor="text1"/>
        </w:rPr>
        <w:t>progenito</w:t>
      </w:r>
      <w:r w:rsidR="009A03E2">
        <w:rPr>
          <w:color w:val="000000" w:themeColor="text1"/>
        </w:rPr>
        <w:t>re</w:t>
      </w:r>
      <w:r w:rsidR="00A711BF">
        <w:rPr>
          <w:color w:val="000000" w:themeColor="text1"/>
        </w:rPr>
        <w:t>s</w:t>
      </w:r>
      <w:r>
        <w:rPr>
          <w:color w:val="000000" w:themeColor="text1"/>
        </w:rPr>
        <w:t>, sino por el interés superior de</w:t>
      </w:r>
      <w:r w:rsidR="009A03E2">
        <w:rPr>
          <w:color w:val="000000" w:themeColor="text1"/>
        </w:rPr>
        <w:t xml:space="preserve"> </w:t>
      </w:r>
      <w:r>
        <w:rPr>
          <w:color w:val="000000" w:themeColor="text1"/>
        </w:rPr>
        <w:t>niñ</w:t>
      </w:r>
      <w:r w:rsidR="009A03E2">
        <w:rPr>
          <w:color w:val="000000" w:themeColor="text1"/>
        </w:rPr>
        <w:t>as</w:t>
      </w:r>
      <w:r>
        <w:rPr>
          <w:color w:val="000000" w:themeColor="text1"/>
        </w:rPr>
        <w:t xml:space="preserve"> o niñ</w:t>
      </w:r>
      <w:r w:rsidR="009A03E2">
        <w:rPr>
          <w:color w:val="000000" w:themeColor="text1"/>
        </w:rPr>
        <w:t>os</w:t>
      </w:r>
      <w:r>
        <w:rPr>
          <w:color w:val="000000" w:themeColor="text1"/>
        </w:rPr>
        <w:t xml:space="preserve">. </w:t>
      </w:r>
      <w:r w:rsidR="00A711BF">
        <w:rPr>
          <w:color w:val="000000" w:themeColor="text1"/>
        </w:rPr>
        <w:t xml:space="preserve">Este principio debe ser el eje rector de la determinación de la representación en suplencia cuando ésta es resultado del desplazamiento de la representación originaria. </w:t>
      </w:r>
    </w:p>
    <w:p w14:paraId="3455E9E9" w14:textId="7FAC03BF" w:rsidR="00B85176" w:rsidRDefault="00A711BF" w:rsidP="00D52075">
      <w:pPr>
        <w:jc w:val="both"/>
        <w:rPr>
          <w:color w:val="000000" w:themeColor="text1"/>
        </w:rPr>
      </w:pPr>
      <w:r>
        <w:rPr>
          <w:color w:val="000000" w:themeColor="text1"/>
        </w:rPr>
        <w:t>El artículo impugnado consideraba tres supuestos en los que se debía activar la representación en suplencia, dos de los cuales se re</w:t>
      </w:r>
      <w:r w:rsidR="00B85176">
        <w:rPr>
          <w:color w:val="000000" w:themeColor="text1"/>
        </w:rPr>
        <w:t>f</w:t>
      </w:r>
      <w:r>
        <w:rPr>
          <w:color w:val="000000" w:themeColor="text1"/>
        </w:rPr>
        <w:t xml:space="preserve">ieren a casos en donde el interés superior de la </w:t>
      </w:r>
      <w:r w:rsidR="00AE31FA">
        <w:rPr>
          <w:color w:val="000000" w:themeColor="text1"/>
        </w:rPr>
        <w:t xml:space="preserve">niña </w:t>
      </w:r>
      <w:r>
        <w:rPr>
          <w:color w:val="000000" w:themeColor="text1"/>
        </w:rPr>
        <w:t xml:space="preserve">o el niño se veían descuidados por la represnetación originaria, y el tercero cuando existían indicios de conflicto entre progenitores. Sobre esta útlima </w:t>
      </w:r>
      <w:r w:rsidR="004D30C7">
        <w:rPr>
          <w:color w:val="000000" w:themeColor="text1"/>
        </w:rPr>
        <w:t>la Corte señala que deben distinguirse dos escenarios, uno cuando ese conflicto afecta el interés superior del niñ</w:t>
      </w:r>
      <w:r w:rsidR="006C79BC">
        <w:rPr>
          <w:color w:val="000000" w:themeColor="text1"/>
        </w:rPr>
        <w:t>o</w:t>
      </w:r>
      <w:r w:rsidR="004D30C7">
        <w:rPr>
          <w:color w:val="000000" w:themeColor="text1"/>
        </w:rPr>
        <w:t>, y el otro cuando no. El primer escenario entraría en el supuesto de los conflictos entre niño y progenitor, mientras que el segundo escenario no repercute en la búsqueda del interés superior del niño mediante el ejercicio de la represe</w:t>
      </w:r>
      <w:r w:rsidR="00B85176">
        <w:rPr>
          <w:color w:val="000000" w:themeColor="text1"/>
        </w:rPr>
        <w:t>n</w:t>
      </w:r>
      <w:r w:rsidR="004D30C7">
        <w:rPr>
          <w:color w:val="000000" w:themeColor="text1"/>
        </w:rPr>
        <w:t xml:space="preserve">tación. </w:t>
      </w:r>
    </w:p>
    <w:p w14:paraId="03D2A6FE" w14:textId="570525F8" w:rsidR="00052543" w:rsidRDefault="00B85176" w:rsidP="00D52075">
      <w:pPr>
        <w:jc w:val="both"/>
        <w:rPr>
          <w:color w:val="000000" w:themeColor="text1"/>
        </w:rPr>
      </w:pPr>
      <w:r>
        <w:rPr>
          <w:color w:val="000000" w:themeColor="text1"/>
        </w:rPr>
        <w:t xml:space="preserve">Este último supuesto, </w:t>
      </w:r>
      <w:r w:rsidR="004A2643">
        <w:rPr>
          <w:color w:val="000000" w:themeColor="text1"/>
        </w:rPr>
        <w:t>cuando</w:t>
      </w:r>
      <w:r>
        <w:rPr>
          <w:color w:val="000000" w:themeColor="text1"/>
        </w:rPr>
        <w:t xml:space="preserve"> en realidad el conflicto de los progenitores no afecta la búsqueda del interés superior de la niña en cuestión, de acuerdo con la Suprema Corte, en realidad </w:t>
      </w:r>
      <w:r w:rsidR="006C6D56">
        <w:rPr>
          <w:color w:val="000000" w:themeColor="text1"/>
        </w:rPr>
        <w:t>implicaría una vulneración de</w:t>
      </w:r>
      <w:r>
        <w:rPr>
          <w:color w:val="000000" w:themeColor="text1"/>
        </w:rPr>
        <w:t xml:space="preserve"> los intereses del niño. Ademas, l</w:t>
      </w:r>
      <w:r w:rsidR="004D30C7">
        <w:rPr>
          <w:color w:val="000000" w:themeColor="text1"/>
        </w:rPr>
        <w:t xml:space="preserve">a Corte </w:t>
      </w:r>
      <w:r>
        <w:rPr>
          <w:color w:val="000000" w:themeColor="text1"/>
        </w:rPr>
        <w:t>analiza</w:t>
      </w:r>
      <w:r w:rsidR="004D30C7">
        <w:rPr>
          <w:color w:val="000000" w:themeColor="text1"/>
        </w:rPr>
        <w:t xml:space="preserve"> que esta disposición </w:t>
      </w:r>
      <w:r>
        <w:rPr>
          <w:color w:val="000000" w:themeColor="text1"/>
        </w:rPr>
        <w:t xml:space="preserve">en los hechos </w:t>
      </w:r>
      <w:r w:rsidR="004D30C7">
        <w:rPr>
          <w:color w:val="000000" w:themeColor="text1"/>
        </w:rPr>
        <w:t>ha</w:t>
      </w:r>
      <w:r>
        <w:rPr>
          <w:color w:val="000000" w:themeColor="text1"/>
        </w:rPr>
        <w:t>ría</w:t>
      </w:r>
      <w:r w:rsidR="004D30C7">
        <w:rPr>
          <w:color w:val="000000" w:themeColor="text1"/>
        </w:rPr>
        <w:t xml:space="preserve"> nugatoria la representaci</w:t>
      </w:r>
      <w:r w:rsidR="002C49CA">
        <w:rPr>
          <w:color w:val="000000" w:themeColor="text1"/>
        </w:rPr>
        <w:t>ó</w:t>
      </w:r>
      <w:r w:rsidR="004D30C7">
        <w:rPr>
          <w:color w:val="000000" w:themeColor="text1"/>
        </w:rPr>
        <w:t>n originaria</w:t>
      </w:r>
      <w:r>
        <w:rPr>
          <w:color w:val="000000" w:themeColor="text1"/>
        </w:rPr>
        <w:t xml:space="preserve">, y le otorga un rol de intervención desmedido al Estado en las controversias familiares, las cuales llegan a tribunales, en la mayoría de las ocasiones, precisamente por existir un conflicto de intereses entre ellos. </w:t>
      </w:r>
      <w:r w:rsidR="006C6D56">
        <w:rPr>
          <w:color w:val="000000" w:themeColor="text1"/>
        </w:rPr>
        <w:t>El tribunal constitucional mexicano</w:t>
      </w:r>
      <w:r>
        <w:rPr>
          <w:color w:val="000000" w:themeColor="text1"/>
        </w:rPr>
        <w:t xml:space="preserve"> reconoce</w:t>
      </w:r>
      <w:r w:rsidR="006C6D56">
        <w:rPr>
          <w:color w:val="000000" w:themeColor="text1"/>
        </w:rPr>
        <w:t xml:space="preserve">rá así </w:t>
      </w:r>
      <w:r>
        <w:rPr>
          <w:color w:val="000000" w:themeColor="text1"/>
        </w:rPr>
        <w:t>que</w:t>
      </w:r>
      <w:r w:rsidR="006C6D56">
        <w:rPr>
          <w:color w:val="000000" w:themeColor="text1"/>
        </w:rPr>
        <w:t>,</w:t>
      </w:r>
      <w:r>
        <w:rPr>
          <w:color w:val="000000" w:themeColor="text1"/>
        </w:rPr>
        <w:t xml:space="preserve"> en la mayoría de los casos se presume que, independientemente del conflicto entre progenitores, ambos buscan siempre la mayor protección a los intereses de sus hijos o hijas. </w:t>
      </w:r>
    </w:p>
    <w:p w14:paraId="3FBEC7B8" w14:textId="1B78C94F" w:rsidR="00BA6213" w:rsidRDefault="00052543" w:rsidP="00983273">
      <w:pPr>
        <w:jc w:val="both"/>
        <w:rPr>
          <w:color w:val="000000" w:themeColor="text1"/>
        </w:rPr>
      </w:pPr>
      <w:r>
        <w:rPr>
          <w:color w:val="000000" w:themeColor="text1"/>
        </w:rPr>
        <w:t xml:space="preserve">Finalmente, resuelve que el artículo en revisión solo es constitucional si elimina la porción normativa que hace referencia a este último supuesto de conflicto entre representantes, dando pie la representanción  solo </w:t>
      </w:r>
      <w:r w:rsidRPr="00052543">
        <w:rPr>
          <w:i/>
          <w:iCs/>
          <w:color w:val="000000" w:themeColor="text1"/>
        </w:rPr>
        <w:t>cuando existan indicios de conflicto de intereses entre quienes ejerzan la representación originaria con sus representados menores de edad o por una representación deficiente o dolosa</w:t>
      </w:r>
      <w:r>
        <w:rPr>
          <w:i/>
          <w:iCs/>
          <w:color w:val="000000" w:themeColor="text1"/>
        </w:rPr>
        <w:t xml:space="preserve">… </w:t>
      </w:r>
      <w:r>
        <w:rPr>
          <w:color w:val="000000" w:themeColor="text1"/>
        </w:rPr>
        <w:t>Bajo ese argumento, resuelve amparando y protegiendo a las quejosas</w:t>
      </w:r>
      <w:r w:rsidR="0092444A">
        <w:rPr>
          <w:color w:val="000000" w:themeColor="text1"/>
        </w:rPr>
        <w:t>, revoca la sentencia y solicita al Tribunal volver a evaluar la situación y resolver conforme a los criterios ahí establecidos.</w:t>
      </w:r>
    </w:p>
    <w:p w14:paraId="561A32D4" w14:textId="4A9FCD6F" w:rsidR="0092444A" w:rsidRPr="00983273" w:rsidRDefault="0092444A" w:rsidP="0029205C">
      <w:pPr>
        <w:pStyle w:val="Prrafodelista"/>
        <w:numPr>
          <w:ilvl w:val="2"/>
          <w:numId w:val="1"/>
        </w:numPr>
        <w:ind w:left="1134"/>
        <w:rPr>
          <w:b/>
          <w:bCs/>
          <w:color w:val="000000" w:themeColor="text1"/>
          <w:lang w:val="es-ES_tradnl"/>
        </w:rPr>
      </w:pPr>
      <w:r w:rsidRPr="00983273">
        <w:rPr>
          <w:b/>
          <w:bCs/>
          <w:color w:val="000000" w:themeColor="text1"/>
          <w:lang w:val="es-ES_tradnl"/>
        </w:rPr>
        <w:t>Procedimiento</w:t>
      </w:r>
    </w:p>
    <w:p w14:paraId="645433FE" w14:textId="3D8F22B6" w:rsidR="00AC7AF0" w:rsidRDefault="00AC7AF0" w:rsidP="00AC7AF0">
      <w:pPr>
        <w:jc w:val="both"/>
        <w:rPr>
          <w:color w:val="000000" w:themeColor="text1"/>
        </w:rPr>
      </w:pPr>
      <w:r w:rsidRPr="00AC7AF0">
        <w:rPr>
          <w:color w:val="000000" w:themeColor="text1"/>
        </w:rPr>
        <w:t xml:space="preserve">La garantía del acceso a la justicia de las y los niños en condiciones de igualdad tiene como premisa la necesidad de adecuar los procedimientos para que estos puedan ser transitados por </w:t>
      </w:r>
      <w:r w:rsidR="009A1EA1">
        <w:rPr>
          <w:color w:val="000000" w:themeColor="text1"/>
        </w:rPr>
        <w:t>las personas menores de edad</w:t>
      </w:r>
      <w:r w:rsidRPr="00AC7AF0">
        <w:rPr>
          <w:color w:val="000000" w:themeColor="text1"/>
        </w:rPr>
        <w:t xml:space="preserve"> sin </w:t>
      </w:r>
      <w:r w:rsidR="00DE411F">
        <w:rPr>
          <w:color w:val="000000" w:themeColor="text1"/>
        </w:rPr>
        <w:t>ser objeto de una revictimización</w:t>
      </w:r>
      <w:r w:rsidR="001E3301">
        <w:rPr>
          <w:color w:val="000000" w:themeColor="text1"/>
        </w:rPr>
        <w:t>, que</w:t>
      </w:r>
      <w:r w:rsidRPr="00AC7AF0">
        <w:rPr>
          <w:color w:val="000000" w:themeColor="text1"/>
        </w:rPr>
        <w:t xml:space="preserve"> les genere afectaciones a otros derechos. En ese sentido, </w:t>
      </w:r>
      <w:r w:rsidR="00601892">
        <w:rPr>
          <w:color w:val="000000" w:themeColor="text1"/>
        </w:rPr>
        <w:t>me gustaría hacer</w:t>
      </w:r>
      <w:r w:rsidRPr="00AC7AF0">
        <w:rPr>
          <w:color w:val="000000" w:themeColor="text1"/>
        </w:rPr>
        <w:t xml:space="preserve"> referencia a dos sentencias que se han acercado a </w:t>
      </w:r>
      <w:r w:rsidR="001E3301">
        <w:rPr>
          <w:color w:val="000000" w:themeColor="text1"/>
        </w:rPr>
        <w:t xml:space="preserve">lo que en términos generales se ha denominado como estándares para </w:t>
      </w:r>
      <w:r w:rsidRPr="00AC7AF0">
        <w:rPr>
          <w:color w:val="000000" w:themeColor="text1"/>
        </w:rPr>
        <w:t>una justicia amigable</w:t>
      </w:r>
      <w:r w:rsidR="00631163">
        <w:rPr>
          <w:color w:val="000000" w:themeColor="text1"/>
        </w:rPr>
        <w:t xml:space="preserve"> (</w:t>
      </w:r>
      <w:r w:rsidR="00631163" w:rsidRPr="00631163">
        <w:rPr>
          <w:i/>
          <w:iCs/>
          <w:color w:val="000000" w:themeColor="text1"/>
        </w:rPr>
        <w:t>child friendly justice</w:t>
      </w:r>
      <w:r w:rsidR="00631163">
        <w:rPr>
          <w:color w:val="000000" w:themeColor="text1"/>
        </w:rPr>
        <w:t>)</w:t>
      </w:r>
      <w:r w:rsidRPr="00AC7AF0">
        <w:rPr>
          <w:color w:val="000000" w:themeColor="text1"/>
        </w:rPr>
        <w:t xml:space="preserve"> reinterpretando normas para proteger de mejor manera los intereses de </w:t>
      </w:r>
      <w:r w:rsidR="00631163">
        <w:rPr>
          <w:color w:val="000000" w:themeColor="text1"/>
        </w:rPr>
        <w:t xml:space="preserve">aquellas </w:t>
      </w:r>
      <w:r w:rsidRPr="00AC7AF0">
        <w:rPr>
          <w:color w:val="000000" w:themeColor="text1"/>
        </w:rPr>
        <w:t xml:space="preserve">niñas, niños y adolescentes involucrados en procedimientos administrativos o judiciales. </w:t>
      </w:r>
    </w:p>
    <w:p w14:paraId="061CD06B" w14:textId="198658FD" w:rsidR="00AC7AF0" w:rsidRDefault="00AC7AF0" w:rsidP="00AC7AF0">
      <w:pPr>
        <w:jc w:val="both"/>
        <w:rPr>
          <w:color w:val="000000" w:themeColor="text1"/>
        </w:rPr>
      </w:pPr>
      <w:r>
        <w:rPr>
          <w:color w:val="000000" w:themeColor="text1"/>
        </w:rPr>
        <w:t>En ese sentido, existen dos aspectos procesales q</w:t>
      </w:r>
      <w:r w:rsidR="005138A2">
        <w:rPr>
          <w:color w:val="000000" w:themeColor="text1"/>
        </w:rPr>
        <w:t>ue merecen ser señalados aquí. Por un lado</w:t>
      </w:r>
      <w:r w:rsidR="00C96A3D">
        <w:rPr>
          <w:color w:val="000000" w:themeColor="text1"/>
        </w:rPr>
        <w:t>,</w:t>
      </w:r>
      <w:r w:rsidR="005138A2">
        <w:rPr>
          <w:color w:val="000000" w:themeColor="text1"/>
        </w:rPr>
        <w:t xml:space="preserve"> </w:t>
      </w:r>
      <w:r w:rsidR="00C96A3D">
        <w:rPr>
          <w:color w:val="000000" w:themeColor="text1"/>
        </w:rPr>
        <w:t>la posición de las personas juz</w:t>
      </w:r>
      <w:r w:rsidR="00530551">
        <w:rPr>
          <w:color w:val="000000" w:themeColor="text1"/>
        </w:rPr>
        <w:t>g</w:t>
      </w:r>
      <w:r w:rsidR="00C96A3D">
        <w:rPr>
          <w:color w:val="000000" w:themeColor="text1"/>
        </w:rPr>
        <w:t xml:space="preserve">adoras frente a </w:t>
      </w:r>
      <w:r w:rsidR="005138A2">
        <w:rPr>
          <w:color w:val="000000" w:themeColor="text1"/>
        </w:rPr>
        <w:t xml:space="preserve">las medidas de protección </w:t>
      </w:r>
      <w:r w:rsidR="005138A2">
        <w:rPr>
          <w:color w:val="000000" w:themeColor="text1"/>
        </w:rPr>
        <w:softHyphen/>
        <w:t>–cautelares o precautorias–</w:t>
      </w:r>
      <w:r w:rsidR="00C96A3D">
        <w:rPr>
          <w:color w:val="000000" w:themeColor="text1"/>
        </w:rPr>
        <w:t xml:space="preserve"> y el carácter de las mismas; y por el otro, </w:t>
      </w:r>
      <w:r w:rsidR="00530551">
        <w:rPr>
          <w:color w:val="000000" w:themeColor="text1"/>
        </w:rPr>
        <w:t xml:space="preserve">las adecuaciones para la participación de las y los niños en los procedimientos </w:t>
      </w:r>
      <w:r w:rsidR="0029205C">
        <w:rPr>
          <w:color w:val="000000" w:themeColor="text1"/>
        </w:rPr>
        <w:t>en donde participan</w:t>
      </w:r>
      <w:r w:rsidR="00530551">
        <w:rPr>
          <w:color w:val="000000" w:themeColor="text1"/>
        </w:rPr>
        <w:t xml:space="preserve">. </w:t>
      </w:r>
    </w:p>
    <w:p w14:paraId="2CEE79FB" w14:textId="6F5AA069" w:rsidR="00504477" w:rsidRPr="00983273" w:rsidRDefault="00530551" w:rsidP="00983273">
      <w:pPr>
        <w:pStyle w:val="Prrafodelista"/>
        <w:numPr>
          <w:ilvl w:val="0"/>
          <w:numId w:val="18"/>
        </w:numPr>
        <w:jc w:val="both"/>
        <w:rPr>
          <w:b/>
          <w:bCs/>
          <w:color w:val="000000" w:themeColor="text1"/>
        </w:rPr>
      </w:pPr>
      <w:r w:rsidRPr="00983273">
        <w:rPr>
          <w:b/>
          <w:bCs/>
          <w:color w:val="000000" w:themeColor="text1"/>
        </w:rPr>
        <w:t xml:space="preserve">Medidas de protección </w:t>
      </w:r>
    </w:p>
    <w:p w14:paraId="6E135B94" w14:textId="33283F8B" w:rsidR="009246E6" w:rsidRDefault="009246E6" w:rsidP="009246E6">
      <w:pPr>
        <w:jc w:val="both"/>
        <w:rPr>
          <w:color w:val="000000" w:themeColor="text1"/>
        </w:rPr>
      </w:pPr>
      <w:r>
        <w:rPr>
          <w:color w:val="000000" w:themeColor="text1"/>
        </w:rPr>
        <w:t xml:space="preserve">Los avances en materia familiar han permitido </w:t>
      </w:r>
      <w:r w:rsidR="00C16644">
        <w:rPr>
          <w:color w:val="000000" w:themeColor="text1"/>
        </w:rPr>
        <w:t>cuestionar algunas de</w:t>
      </w:r>
      <w:r>
        <w:rPr>
          <w:color w:val="000000" w:themeColor="text1"/>
        </w:rPr>
        <w:t xml:space="preserve"> las reglas que</w:t>
      </w:r>
      <w:r w:rsidR="00C16644">
        <w:rPr>
          <w:color w:val="000000" w:themeColor="text1"/>
        </w:rPr>
        <w:t xml:space="preserve"> históricamente han regido</w:t>
      </w:r>
      <w:r>
        <w:rPr>
          <w:color w:val="000000" w:themeColor="text1"/>
        </w:rPr>
        <w:t xml:space="preserve"> al derecho civil</w:t>
      </w:r>
      <w:r w:rsidR="002B5929">
        <w:rPr>
          <w:color w:val="000000" w:themeColor="text1"/>
        </w:rPr>
        <w:t>. Puede decirse que</w:t>
      </w:r>
      <w:r w:rsidR="00C01172">
        <w:rPr>
          <w:color w:val="000000" w:themeColor="text1"/>
        </w:rPr>
        <w:t>,</w:t>
      </w:r>
      <w:r w:rsidR="002B5929">
        <w:rPr>
          <w:color w:val="000000" w:themeColor="text1"/>
        </w:rPr>
        <w:t xml:space="preserve"> en el mismo sentido, l</w:t>
      </w:r>
      <w:r>
        <w:rPr>
          <w:color w:val="000000" w:themeColor="text1"/>
        </w:rPr>
        <w:t xml:space="preserve">os fallos del tribunal constitucional han permitido avanzar en </w:t>
      </w:r>
      <w:r w:rsidR="002B5929">
        <w:rPr>
          <w:color w:val="000000" w:themeColor="text1"/>
        </w:rPr>
        <w:t>esa misma dirección</w:t>
      </w:r>
      <w:r>
        <w:rPr>
          <w:color w:val="000000" w:themeColor="text1"/>
        </w:rPr>
        <w:t xml:space="preserve">. </w:t>
      </w:r>
      <w:r w:rsidR="00327D84">
        <w:rPr>
          <w:color w:val="000000" w:themeColor="text1"/>
        </w:rPr>
        <w:t>Precisamente en este contexto, h</w:t>
      </w:r>
      <w:r>
        <w:rPr>
          <w:color w:val="000000" w:themeColor="text1"/>
        </w:rPr>
        <w:t xml:space="preserve">a quedado claro </w:t>
      </w:r>
      <w:r w:rsidR="00F67F42">
        <w:rPr>
          <w:color w:val="000000" w:themeColor="text1"/>
        </w:rPr>
        <w:t>el rol de protección que tiene el Estado frente a las y los integrantes de las familias en sus distintas configuraciones,</w:t>
      </w:r>
      <w:r w:rsidR="00327D84">
        <w:rPr>
          <w:color w:val="000000" w:themeColor="text1"/>
        </w:rPr>
        <w:t xml:space="preserve"> reconociéndose</w:t>
      </w:r>
      <w:r w:rsidR="00F67F42">
        <w:rPr>
          <w:color w:val="000000" w:themeColor="text1"/>
        </w:rPr>
        <w:t xml:space="preserve"> </w:t>
      </w:r>
      <w:r w:rsidR="00327D84">
        <w:rPr>
          <w:color w:val="000000" w:themeColor="text1"/>
        </w:rPr>
        <w:t xml:space="preserve">que </w:t>
      </w:r>
      <w:r w:rsidR="00F67F42">
        <w:rPr>
          <w:color w:val="000000" w:themeColor="text1"/>
        </w:rPr>
        <w:t xml:space="preserve">existe una obligación de </w:t>
      </w:r>
      <w:r w:rsidR="00B36F2A">
        <w:rPr>
          <w:color w:val="000000" w:themeColor="text1"/>
        </w:rPr>
        <w:t>las y los juzgadores</w:t>
      </w:r>
      <w:r w:rsidR="00F67F42">
        <w:rPr>
          <w:color w:val="000000" w:themeColor="text1"/>
        </w:rPr>
        <w:t xml:space="preserve"> para evitar asumir una actitud pasiva frente a violaciones de derechos.</w:t>
      </w:r>
      <w:r w:rsidR="00F67F42">
        <w:rPr>
          <w:rStyle w:val="Refdenotaalpie"/>
          <w:color w:val="000000" w:themeColor="text1"/>
        </w:rPr>
        <w:footnoteReference w:id="14"/>
      </w:r>
      <w:r w:rsidR="00F67F42">
        <w:rPr>
          <w:color w:val="000000" w:themeColor="text1"/>
        </w:rPr>
        <w:t xml:space="preserve"> </w:t>
      </w:r>
    </w:p>
    <w:p w14:paraId="7FC8051F" w14:textId="09B3B7EF" w:rsidR="00F67F42" w:rsidRDefault="00F67F42" w:rsidP="009246E6">
      <w:pPr>
        <w:jc w:val="both"/>
        <w:rPr>
          <w:color w:val="000000" w:themeColor="text1"/>
        </w:rPr>
      </w:pPr>
      <w:r>
        <w:rPr>
          <w:color w:val="000000" w:themeColor="text1"/>
        </w:rPr>
        <w:t xml:space="preserve">Una de estas obligaciones </w:t>
      </w:r>
      <w:r w:rsidR="005A0774">
        <w:rPr>
          <w:color w:val="000000" w:themeColor="text1"/>
        </w:rPr>
        <w:t>está</w:t>
      </w:r>
      <w:r>
        <w:rPr>
          <w:color w:val="000000" w:themeColor="text1"/>
        </w:rPr>
        <w:t xml:space="preserve"> relacionada la oficiosidad en la emisión de medidas cautelares. Esto, en palabras de la Suprema Corte, implica una </w:t>
      </w:r>
      <w:r>
        <w:rPr>
          <w:i/>
          <w:iCs/>
          <w:color w:val="000000" w:themeColor="text1"/>
        </w:rPr>
        <w:t>facultad especial</w:t>
      </w:r>
      <w:r>
        <w:rPr>
          <w:color w:val="000000" w:themeColor="text1"/>
        </w:rPr>
        <w:t xml:space="preserve">, que se traduce en la facultad de intervenir </w:t>
      </w:r>
      <w:r>
        <w:rPr>
          <w:i/>
          <w:iCs/>
          <w:color w:val="000000" w:themeColor="text1"/>
        </w:rPr>
        <w:t>motu proprio</w:t>
      </w:r>
      <w:r>
        <w:rPr>
          <w:color w:val="000000" w:themeColor="text1"/>
        </w:rPr>
        <w:t xml:space="preserve"> sin que sea solicitada la intervención. Esta actitud proactiva </w:t>
      </w:r>
      <w:r w:rsidR="001A77D8">
        <w:rPr>
          <w:color w:val="000000" w:themeColor="text1"/>
        </w:rPr>
        <w:t xml:space="preserve">que se relaciona con las obligaciones que son reconocidas en el artículo 1º constitucional permite la protección de las personas que se encuentran en condición de desventaja y vulnerabilidad en este tipo de conflictos. Esto ya también ha sido señalado por la Corte Interamericana </w:t>
      </w:r>
      <w:r w:rsidR="009E6DB9">
        <w:rPr>
          <w:color w:val="000000" w:themeColor="text1"/>
        </w:rPr>
        <w:t>en diferentes oportunidades</w:t>
      </w:r>
      <w:r w:rsidR="009E6DB9">
        <w:rPr>
          <w:rStyle w:val="Refdenotaalpie"/>
          <w:color w:val="000000" w:themeColor="text1"/>
        </w:rPr>
        <w:footnoteReference w:id="15"/>
      </w:r>
      <w:r w:rsidR="009E6DB9">
        <w:rPr>
          <w:color w:val="000000" w:themeColor="text1"/>
        </w:rPr>
        <w:t>.</w:t>
      </w:r>
    </w:p>
    <w:p w14:paraId="6C1B1B61" w14:textId="5C015B59" w:rsidR="001A77D8" w:rsidRDefault="00C750C6" w:rsidP="009246E6">
      <w:pPr>
        <w:jc w:val="both"/>
        <w:rPr>
          <w:color w:val="000000" w:themeColor="text1"/>
        </w:rPr>
      </w:pPr>
      <w:r>
        <w:rPr>
          <w:color w:val="000000" w:themeColor="text1"/>
        </w:rPr>
        <w:t>En el caso particular de niñas y</w:t>
      </w:r>
      <w:r w:rsidR="001A77D8">
        <w:rPr>
          <w:color w:val="000000" w:themeColor="text1"/>
        </w:rPr>
        <w:t xml:space="preserve"> niños guarda una especial importancia, </w:t>
      </w:r>
      <w:r>
        <w:rPr>
          <w:color w:val="000000" w:themeColor="text1"/>
        </w:rPr>
        <w:t>ya qu</w:t>
      </w:r>
      <w:r w:rsidR="001A77D8">
        <w:rPr>
          <w:color w:val="000000" w:themeColor="text1"/>
        </w:rPr>
        <w:t>e permite que las autoridades judiciales puedan actuar sin la necesidad de que esa pretensión sea expresada por las partes</w:t>
      </w:r>
      <w:r>
        <w:rPr>
          <w:color w:val="000000" w:themeColor="text1"/>
        </w:rPr>
        <w:t xml:space="preserve">. Así, bastaría </w:t>
      </w:r>
      <w:r w:rsidR="001A77D8">
        <w:rPr>
          <w:color w:val="000000" w:themeColor="text1"/>
        </w:rPr>
        <w:t>con el simple hecho de tener indicios de que alguna de las personas que se ven involucradas pueda estar en riesgo</w:t>
      </w:r>
      <w:r w:rsidR="0011118C">
        <w:rPr>
          <w:color w:val="000000" w:themeColor="text1"/>
        </w:rPr>
        <w:t xml:space="preserve"> para que se adopten medidas</w:t>
      </w:r>
      <w:r w:rsidR="001A77D8">
        <w:rPr>
          <w:color w:val="000000" w:themeColor="text1"/>
        </w:rPr>
        <w:t>. Incluso cuando las y los niños no sean sujetos directamente involucrados en estos casos</w:t>
      </w:r>
      <w:r w:rsidR="006E4818">
        <w:rPr>
          <w:color w:val="000000" w:themeColor="text1"/>
        </w:rPr>
        <w:t xml:space="preserve">, como puede ser un caso de divorcio, en donde en el relato de los hechos, existe una ligera sospecha de violencia contra las y los hijos, como se refleja en el </w:t>
      </w:r>
      <w:r w:rsidR="00A377FE">
        <w:rPr>
          <w:color w:val="000000" w:themeColor="text1"/>
        </w:rPr>
        <w:t>a</w:t>
      </w:r>
      <w:r w:rsidR="006E4818">
        <w:rPr>
          <w:color w:val="000000" w:themeColor="text1"/>
        </w:rPr>
        <w:t xml:space="preserve">mparo </w:t>
      </w:r>
      <w:r w:rsidR="00A377FE">
        <w:rPr>
          <w:color w:val="000000" w:themeColor="text1"/>
        </w:rPr>
        <w:t>d</w:t>
      </w:r>
      <w:r w:rsidR="006E4818">
        <w:rPr>
          <w:color w:val="000000" w:themeColor="text1"/>
        </w:rPr>
        <w:t xml:space="preserve">irecto en </w:t>
      </w:r>
      <w:r w:rsidR="00A377FE">
        <w:rPr>
          <w:color w:val="000000" w:themeColor="text1"/>
        </w:rPr>
        <w:t>r</w:t>
      </w:r>
      <w:r w:rsidR="006E4818">
        <w:rPr>
          <w:color w:val="000000" w:themeColor="text1"/>
        </w:rPr>
        <w:t xml:space="preserve">evisión 6141/2014. </w:t>
      </w:r>
    </w:p>
    <w:p w14:paraId="61BDDEEC" w14:textId="2D93DAE0" w:rsidR="00E35705" w:rsidRPr="00E35705" w:rsidRDefault="00E35705" w:rsidP="009246E6">
      <w:pPr>
        <w:jc w:val="both"/>
        <w:rPr>
          <w:color w:val="000000" w:themeColor="text1"/>
        </w:rPr>
      </w:pPr>
      <w:r>
        <w:rPr>
          <w:color w:val="000000" w:themeColor="text1"/>
        </w:rPr>
        <w:t xml:space="preserve">Además del carácter </w:t>
      </w:r>
      <w:r>
        <w:rPr>
          <w:i/>
          <w:iCs/>
          <w:color w:val="000000" w:themeColor="text1"/>
        </w:rPr>
        <w:t>ex officio</w:t>
      </w:r>
      <w:r>
        <w:rPr>
          <w:color w:val="000000" w:themeColor="text1"/>
        </w:rPr>
        <w:t xml:space="preserve"> de estas medidas, la Corte se ha pronunciado sobre la constitucionalidad de </w:t>
      </w:r>
      <w:r w:rsidR="0023176A">
        <w:rPr>
          <w:color w:val="000000" w:themeColor="text1"/>
        </w:rPr>
        <w:t>las mismas</w:t>
      </w:r>
      <w:r>
        <w:rPr>
          <w:color w:val="000000" w:themeColor="text1"/>
        </w:rPr>
        <w:t xml:space="preserve"> frente </w:t>
      </w:r>
      <w:r w:rsidR="00003B9B">
        <w:rPr>
          <w:color w:val="000000" w:themeColor="text1"/>
        </w:rPr>
        <w:t xml:space="preserve">a diversos argumentos que consideran que las medidas </w:t>
      </w:r>
      <w:r w:rsidR="00CA1E01">
        <w:rPr>
          <w:color w:val="000000" w:themeColor="text1"/>
        </w:rPr>
        <w:t>de protección pueden resultar violatorias</w:t>
      </w:r>
      <w:r>
        <w:rPr>
          <w:color w:val="000000" w:themeColor="text1"/>
        </w:rPr>
        <w:t xml:space="preserve"> de derechos como las garantías procesales o la seguridad jurídica, </w:t>
      </w:r>
      <w:r w:rsidR="00CA1E01">
        <w:rPr>
          <w:color w:val="000000" w:themeColor="text1"/>
        </w:rPr>
        <w:t>como ha sucedido por ejemplo en casos donde se determina una</w:t>
      </w:r>
      <w:r>
        <w:rPr>
          <w:color w:val="000000" w:themeColor="text1"/>
        </w:rPr>
        <w:t xml:space="preserve"> pensión provisional. </w:t>
      </w:r>
    </w:p>
    <w:p w14:paraId="520D8974" w14:textId="211FE7F7" w:rsidR="00F27B83" w:rsidRPr="00F27B83" w:rsidRDefault="008C4D5C" w:rsidP="00F27B83">
      <w:pPr>
        <w:jc w:val="both"/>
        <w:rPr>
          <w:color w:val="000000" w:themeColor="text1"/>
        </w:rPr>
      </w:pPr>
      <w:r>
        <w:rPr>
          <w:color w:val="000000" w:themeColor="text1"/>
        </w:rPr>
        <w:t>A través de un juicio</w:t>
      </w:r>
      <w:r w:rsidR="00772D96">
        <w:rPr>
          <w:color w:val="000000" w:themeColor="text1"/>
        </w:rPr>
        <w:t xml:space="preserve"> de </w:t>
      </w:r>
      <w:r w:rsidR="00F8616B">
        <w:rPr>
          <w:color w:val="000000" w:themeColor="text1"/>
        </w:rPr>
        <w:t>amparo</w:t>
      </w:r>
      <w:r w:rsidR="00F8616B">
        <w:rPr>
          <w:rStyle w:val="Refdenotaalpie"/>
          <w:color w:val="000000" w:themeColor="text1"/>
        </w:rPr>
        <w:footnoteReference w:id="16"/>
      </w:r>
      <w:r w:rsidR="00F8616B">
        <w:rPr>
          <w:color w:val="000000" w:themeColor="text1"/>
        </w:rPr>
        <w:t xml:space="preserve"> </w:t>
      </w:r>
      <w:r w:rsidR="00F27B83" w:rsidRPr="00F27B83">
        <w:rPr>
          <w:color w:val="000000" w:themeColor="text1"/>
        </w:rPr>
        <w:t>la Suprema Corte de Justicia de la Nación ha reconocido la importancia de establecer medidas precautorias consistentes en el dictado provisional de alimentos en relación con las diferentes formas en que puede verificarse una relación familiar. Este tipo de relaciones podrían incluir “relaciones paterno­filiales, parentesco, matrimonio, concubinato, y otras relaciones de hecho y pensión compensatoria en caso de divorcio”</w:t>
      </w:r>
      <w:r w:rsidR="00772D96">
        <w:rPr>
          <w:rStyle w:val="Refdenotaalpie"/>
          <w:color w:val="000000" w:themeColor="text1"/>
        </w:rPr>
        <w:footnoteReference w:id="17"/>
      </w:r>
      <w:r w:rsidR="00772D96">
        <w:rPr>
          <w:color w:val="000000" w:themeColor="text1"/>
        </w:rPr>
        <w:t>.</w:t>
      </w:r>
    </w:p>
    <w:p w14:paraId="643E9F78" w14:textId="7613FAE8" w:rsidR="002B4BFB" w:rsidRDefault="00F27B83" w:rsidP="00F27B83">
      <w:pPr>
        <w:jc w:val="both"/>
        <w:rPr>
          <w:color w:val="000000" w:themeColor="text1"/>
        </w:rPr>
      </w:pPr>
      <w:r>
        <w:rPr>
          <w:color w:val="000000" w:themeColor="text1"/>
        </w:rPr>
        <w:t>L</w:t>
      </w:r>
      <w:r w:rsidRPr="00F27B83">
        <w:rPr>
          <w:color w:val="000000" w:themeColor="text1"/>
        </w:rPr>
        <w:t xml:space="preserve">a Suprema Corte de Justicia </w:t>
      </w:r>
      <w:r>
        <w:rPr>
          <w:color w:val="000000" w:themeColor="text1"/>
        </w:rPr>
        <w:t>ha reiterado</w:t>
      </w:r>
      <w:r w:rsidRPr="00F27B83">
        <w:rPr>
          <w:color w:val="000000" w:themeColor="text1"/>
        </w:rPr>
        <w:t xml:space="preserve"> que “el contenido de los alimentos comprende la satisfacción de los derechos a la alimentación, vestido, vivienda, educación y salud, cuyo conjunto permite el ac</w:t>
      </w:r>
      <w:r>
        <w:rPr>
          <w:color w:val="000000" w:themeColor="text1"/>
        </w:rPr>
        <w:t>c</w:t>
      </w:r>
      <w:r w:rsidRPr="00F27B83">
        <w:rPr>
          <w:color w:val="000000" w:themeColor="text1"/>
        </w:rPr>
        <w:t>eso a un nivel de vida adecuado o digno”, y destacó que el cumplimiento de la obligación “de procurar alimentos es de interés social y orden público por lo que trasciende a quienes integran el grupo familiar”</w:t>
      </w:r>
      <w:r w:rsidR="00F16F9F">
        <w:rPr>
          <w:rStyle w:val="Refdenotaalpie"/>
          <w:color w:val="000000" w:themeColor="text1"/>
        </w:rPr>
        <w:footnoteReference w:id="18"/>
      </w:r>
      <w:r>
        <w:rPr>
          <w:color w:val="000000" w:themeColor="text1"/>
        </w:rPr>
        <w:t>.</w:t>
      </w:r>
      <w:r w:rsidR="002B4BFB">
        <w:rPr>
          <w:color w:val="000000" w:themeColor="text1"/>
        </w:rPr>
        <w:t xml:space="preserve"> </w:t>
      </w:r>
    </w:p>
    <w:p w14:paraId="6439F7CC" w14:textId="6AD8BE70" w:rsidR="007C3BBE" w:rsidRDefault="007C3BBE" w:rsidP="007C3BBE">
      <w:pPr>
        <w:jc w:val="both"/>
        <w:rPr>
          <w:color w:val="000000" w:themeColor="text1"/>
        </w:rPr>
      </w:pPr>
      <w:r>
        <w:rPr>
          <w:color w:val="000000" w:themeColor="text1"/>
        </w:rPr>
        <w:t xml:space="preserve">A partir de estas intepretaciones, se puede ver que la </w:t>
      </w:r>
      <w:r w:rsidR="00F16F9F">
        <w:rPr>
          <w:color w:val="000000" w:themeColor="text1"/>
        </w:rPr>
        <w:t xml:space="preserve">Suprema </w:t>
      </w:r>
      <w:r>
        <w:rPr>
          <w:color w:val="000000" w:themeColor="text1"/>
        </w:rPr>
        <w:t xml:space="preserve">Corte </w:t>
      </w:r>
      <w:r w:rsidR="00F16F9F">
        <w:rPr>
          <w:color w:val="000000" w:themeColor="text1"/>
        </w:rPr>
        <w:t xml:space="preserve">mexicana </w:t>
      </w:r>
      <w:r>
        <w:rPr>
          <w:color w:val="000000" w:themeColor="text1"/>
        </w:rPr>
        <w:t>ha extraído el tema de alimentos de un ámbito meramente privado</w:t>
      </w:r>
      <w:r w:rsidR="00F16F9F">
        <w:rPr>
          <w:color w:val="000000" w:themeColor="text1"/>
        </w:rPr>
        <w:t>, para</w:t>
      </w:r>
      <w:r>
        <w:rPr>
          <w:color w:val="000000" w:themeColor="text1"/>
        </w:rPr>
        <w:t xml:space="preserve"> considerarlos </w:t>
      </w:r>
      <w:r w:rsidR="00F16F9F">
        <w:rPr>
          <w:color w:val="000000" w:themeColor="text1"/>
        </w:rPr>
        <w:t>como una cuestión de</w:t>
      </w:r>
      <w:r>
        <w:rPr>
          <w:color w:val="000000" w:themeColor="text1"/>
        </w:rPr>
        <w:t xml:space="preserve"> orden público, y en tanto ello, </w:t>
      </w:r>
      <w:r w:rsidR="00F16F9F">
        <w:rPr>
          <w:color w:val="000000" w:themeColor="text1"/>
        </w:rPr>
        <w:t xml:space="preserve">que existe una obligación para </w:t>
      </w:r>
      <w:r>
        <w:rPr>
          <w:color w:val="000000" w:themeColor="text1"/>
        </w:rPr>
        <w:t xml:space="preserve">blindarlos a través de medidas cautelares, para quien puede encontrarse en situación de desprotección. </w:t>
      </w:r>
    </w:p>
    <w:p w14:paraId="6C5EFFDA" w14:textId="51290EEF" w:rsidR="00F27B83" w:rsidRPr="00F27B83" w:rsidRDefault="007C3BBE" w:rsidP="00F27B83">
      <w:pPr>
        <w:jc w:val="both"/>
        <w:rPr>
          <w:color w:val="000000" w:themeColor="text1"/>
        </w:rPr>
      </w:pPr>
      <w:r>
        <w:rPr>
          <w:color w:val="000000" w:themeColor="text1"/>
        </w:rPr>
        <w:t xml:space="preserve">De manera específica, hablando de </w:t>
      </w:r>
      <w:r w:rsidR="00E216E7">
        <w:rPr>
          <w:color w:val="000000" w:themeColor="text1"/>
        </w:rPr>
        <w:t>derechos de la infancia y la adolescencia</w:t>
      </w:r>
      <w:r>
        <w:rPr>
          <w:color w:val="000000" w:themeColor="text1"/>
        </w:rPr>
        <w:t xml:space="preserve">, el </w:t>
      </w:r>
      <w:r w:rsidR="00E216E7">
        <w:rPr>
          <w:color w:val="000000" w:themeColor="text1"/>
        </w:rPr>
        <w:t>a</w:t>
      </w:r>
      <w:r>
        <w:rPr>
          <w:color w:val="000000" w:themeColor="text1"/>
        </w:rPr>
        <w:t xml:space="preserve">mparo </w:t>
      </w:r>
      <w:r w:rsidR="00E216E7">
        <w:rPr>
          <w:color w:val="000000" w:themeColor="text1"/>
        </w:rPr>
        <w:t>d</w:t>
      </w:r>
      <w:r>
        <w:rPr>
          <w:color w:val="000000" w:themeColor="text1"/>
        </w:rPr>
        <w:t xml:space="preserve">irecto en </w:t>
      </w:r>
      <w:r w:rsidR="00E216E7">
        <w:rPr>
          <w:color w:val="000000" w:themeColor="text1"/>
        </w:rPr>
        <w:t>r</w:t>
      </w:r>
      <w:r>
        <w:rPr>
          <w:color w:val="000000" w:themeColor="text1"/>
        </w:rPr>
        <w:t xml:space="preserve">evisión 448/2016 permitió a la Suprema Corte sostener </w:t>
      </w:r>
      <w:r w:rsidR="00721E5F">
        <w:rPr>
          <w:color w:val="000000" w:themeColor="text1"/>
        </w:rPr>
        <w:t xml:space="preserve">dos aspectos fundamentales para el tema que aquí abordamos: </w:t>
      </w:r>
      <w:r>
        <w:rPr>
          <w:color w:val="000000" w:themeColor="text1"/>
        </w:rPr>
        <w:t>que la suplencia de la deficiencia de la queja y las actuaciones de oficio del juez para allegarse de todo el material probatorio se fundamentan en la protección del interés superior</w:t>
      </w:r>
      <w:r w:rsidR="00721E5F">
        <w:rPr>
          <w:color w:val="000000" w:themeColor="text1"/>
        </w:rPr>
        <w:t xml:space="preserve"> de niñas y niños</w:t>
      </w:r>
      <w:r>
        <w:rPr>
          <w:color w:val="000000" w:themeColor="text1"/>
        </w:rPr>
        <w:t xml:space="preserve">. Esto implica que las y los jueces </w:t>
      </w:r>
      <w:r w:rsidR="00D13F97">
        <w:rPr>
          <w:color w:val="000000" w:themeColor="text1"/>
        </w:rPr>
        <w:t>cuentan con</w:t>
      </w:r>
      <w:r>
        <w:rPr>
          <w:color w:val="000000" w:themeColor="text1"/>
        </w:rPr>
        <w:t xml:space="preserve"> una </w:t>
      </w:r>
      <w:r>
        <w:rPr>
          <w:i/>
          <w:color w:val="000000" w:themeColor="text1"/>
        </w:rPr>
        <w:t xml:space="preserve">ventana procesal </w:t>
      </w:r>
      <w:r>
        <w:rPr>
          <w:color w:val="000000" w:themeColor="text1"/>
        </w:rPr>
        <w:t xml:space="preserve">para garantizar los intereses de las y los niños, incluso cuando vayan más allá de los agravios presentados por las partes. </w:t>
      </w:r>
      <w:r w:rsidR="0051369B">
        <w:rPr>
          <w:color w:val="000000" w:themeColor="text1"/>
        </w:rPr>
        <w:t xml:space="preserve"> </w:t>
      </w:r>
    </w:p>
    <w:p w14:paraId="138A50CC" w14:textId="172FEF15" w:rsidR="00F27B83" w:rsidRPr="00983273" w:rsidRDefault="00983273" w:rsidP="00983273">
      <w:pPr>
        <w:pStyle w:val="Prrafodelista"/>
        <w:numPr>
          <w:ilvl w:val="0"/>
          <w:numId w:val="19"/>
        </w:numPr>
        <w:jc w:val="both"/>
        <w:rPr>
          <w:b/>
          <w:bCs/>
          <w:color w:val="000000" w:themeColor="text1"/>
        </w:rPr>
      </w:pPr>
      <w:r>
        <w:rPr>
          <w:b/>
          <w:bCs/>
          <w:color w:val="000000" w:themeColor="text1"/>
        </w:rPr>
        <w:t>Participación adecuada en el procedimiento</w:t>
      </w:r>
    </w:p>
    <w:p w14:paraId="14649081" w14:textId="2672662C" w:rsidR="0046540B" w:rsidRDefault="0046540B" w:rsidP="00504477">
      <w:pPr>
        <w:jc w:val="both"/>
        <w:rPr>
          <w:color w:val="000000" w:themeColor="text1"/>
        </w:rPr>
      </w:pPr>
      <w:r>
        <w:rPr>
          <w:color w:val="000000" w:themeColor="text1"/>
        </w:rPr>
        <w:t xml:space="preserve">El desarrollo del derecho al acceso a la justicia y de participación en procesos judiciales o administrativos en México ha tenido un importante auge en los últimos años, y la Suprema Corte ha jugado un rol importante en este recorrido. Si bien todavía queda un camino largo para hacer la justicia verdaderamente accesible a las y los niños, lo cierto es que las pautas que ha dado la Suprema Corte han permitido ir modificando normas, prácticas e incluso, infraestructuras para garantizar a las y los niños que su paso por la justicia les garantizará un trato protegido y como sujetos de derechos. </w:t>
      </w:r>
    </w:p>
    <w:p w14:paraId="65DD4882" w14:textId="7E9D5270" w:rsidR="00FD6D03" w:rsidRDefault="005505E4" w:rsidP="00504477">
      <w:pPr>
        <w:jc w:val="both"/>
        <w:rPr>
          <w:color w:val="000000" w:themeColor="text1"/>
        </w:rPr>
      </w:pPr>
      <w:r>
        <w:rPr>
          <w:color w:val="000000" w:themeColor="text1"/>
        </w:rPr>
        <w:t xml:space="preserve">Como parte de este trabajo se puede ver el Protocolo para juzgar con perspectiva de infancia y adolescencia, que acaba de ser reeditado por tercera vez, y en donde establece pautas </w:t>
      </w:r>
      <w:r w:rsidR="00FD6D03">
        <w:rPr>
          <w:color w:val="000000" w:themeColor="text1"/>
        </w:rPr>
        <w:t>para que las personas juzgadoras garanticen una justicia adaptada a las necesidades de las personas menores de edad, de tal manera que respete el principio de igualdad sustantiva, adoptando un enfoque diferenciado. Además de este Protocolo, la Suprema Corte ha sumado una serie de resoluciones para consolidar derechos que ya se encuentran reconocidos en la Convención de los Derechos del Niño, la Constitución y en las leyes.</w:t>
      </w:r>
    </w:p>
    <w:p w14:paraId="74707F68" w14:textId="62A6D13E" w:rsidR="00C128A4" w:rsidRDefault="00C128A4" w:rsidP="00504477">
      <w:pPr>
        <w:jc w:val="both"/>
        <w:rPr>
          <w:color w:val="000000" w:themeColor="text1"/>
        </w:rPr>
      </w:pPr>
      <w:r>
        <w:rPr>
          <w:color w:val="000000" w:themeColor="text1"/>
        </w:rPr>
        <w:t>Para empezar, es necesario hablar del papel de las y los niños dentro de los procedimientos en aquellos asuntos que les afecten, desde las implicaciones del derecho de participación (ser escuchado y que sus opiniones sean tomadas en cuenta, como lo establece</w:t>
      </w:r>
      <w:r w:rsidR="00FF1E2B">
        <w:rPr>
          <w:color w:val="000000" w:themeColor="text1"/>
        </w:rPr>
        <w:t>n los distintos instrumentos especializados)</w:t>
      </w:r>
      <w:r>
        <w:rPr>
          <w:rStyle w:val="Refdenotaalpie"/>
          <w:color w:val="000000" w:themeColor="text1"/>
        </w:rPr>
        <w:footnoteReference w:id="19"/>
      </w:r>
      <w:r w:rsidR="00C8656D">
        <w:rPr>
          <w:color w:val="000000" w:themeColor="text1"/>
        </w:rPr>
        <w:t>,</w:t>
      </w:r>
      <w:r w:rsidR="00FF1E2B">
        <w:rPr>
          <w:color w:val="000000" w:themeColor="text1"/>
        </w:rPr>
        <w:t xml:space="preserve"> y posteriormente, las adecuaciones procesales que se han considerado para que esta participación sea garantizada. </w:t>
      </w:r>
    </w:p>
    <w:p w14:paraId="54520884" w14:textId="21469624" w:rsidR="001D7713" w:rsidRPr="00724A15" w:rsidRDefault="001D7713" w:rsidP="003D0028">
      <w:pPr>
        <w:pStyle w:val="Prrafodelista"/>
        <w:numPr>
          <w:ilvl w:val="0"/>
          <w:numId w:val="17"/>
        </w:numPr>
        <w:ind w:left="1418"/>
        <w:jc w:val="both"/>
        <w:rPr>
          <w:b/>
          <w:bCs/>
          <w:color w:val="000000" w:themeColor="text1"/>
        </w:rPr>
      </w:pPr>
      <w:r w:rsidRPr="00724A15">
        <w:rPr>
          <w:b/>
          <w:bCs/>
          <w:color w:val="000000" w:themeColor="text1"/>
        </w:rPr>
        <w:t>El derecho a participar en procedimientos administrativos o judiciales</w:t>
      </w:r>
    </w:p>
    <w:p w14:paraId="6977F0EF" w14:textId="70944B47" w:rsidR="00C128A4" w:rsidRDefault="00C8656D" w:rsidP="00504477">
      <w:pPr>
        <w:jc w:val="both"/>
        <w:rPr>
          <w:color w:val="000000" w:themeColor="text1"/>
        </w:rPr>
      </w:pPr>
      <w:r>
        <w:rPr>
          <w:color w:val="000000" w:themeColor="text1"/>
        </w:rPr>
        <w:t>Desde hace más de una década</w:t>
      </w:r>
      <w:r w:rsidR="002C7548">
        <w:rPr>
          <w:color w:val="000000" w:themeColor="text1"/>
        </w:rPr>
        <w:t>,</w:t>
      </w:r>
      <w:r>
        <w:rPr>
          <w:color w:val="000000" w:themeColor="text1"/>
        </w:rPr>
        <w:t xml:space="preserve"> la Primera Sala de la Suprema Corte </w:t>
      </w:r>
      <w:r w:rsidR="002C7548">
        <w:rPr>
          <w:color w:val="000000" w:themeColor="text1"/>
        </w:rPr>
        <w:t xml:space="preserve">de Justicia de la Nación </w:t>
      </w:r>
      <w:r>
        <w:rPr>
          <w:color w:val="000000" w:themeColor="text1"/>
        </w:rPr>
        <w:t>comenzó a desarrollar algunos estándares relacionados a la participación de niñas y niños en estos procedimientos. D</w:t>
      </w:r>
      <w:r w:rsidR="00C128A4">
        <w:rPr>
          <w:color w:val="000000" w:themeColor="text1"/>
        </w:rPr>
        <w:t xml:space="preserve">esde el </w:t>
      </w:r>
      <w:r w:rsidR="007A6557">
        <w:rPr>
          <w:color w:val="000000" w:themeColor="text1"/>
        </w:rPr>
        <w:t>a</w:t>
      </w:r>
      <w:r w:rsidR="00C128A4">
        <w:rPr>
          <w:color w:val="000000" w:themeColor="text1"/>
        </w:rPr>
        <w:t xml:space="preserve">mparo </w:t>
      </w:r>
      <w:r w:rsidR="007A6557">
        <w:rPr>
          <w:color w:val="000000" w:themeColor="text1"/>
        </w:rPr>
        <w:t>d</w:t>
      </w:r>
      <w:r w:rsidR="00C128A4">
        <w:rPr>
          <w:color w:val="000000" w:themeColor="text1"/>
        </w:rPr>
        <w:t xml:space="preserve">irecto en </w:t>
      </w:r>
      <w:r w:rsidR="007A6557">
        <w:rPr>
          <w:color w:val="000000" w:themeColor="text1"/>
        </w:rPr>
        <w:t>r</w:t>
      </w:r>
      <w:r w:rsidR="00C128A4">
        <w:rPr>
          <w:color w:val="000000" w:themeColor="text1"/>
        </w:rPr>
        <w:t>evisión 2479/2012 la Corte utiliz</w:t>
      </w:r>
      <w:r w:rsidR="00561AC5">
        <w:rPr>
          <w:color w:val="000000" w:themeColor="text1"/>
        </w:rPr>
        <w:t>ó ya</w:t>
      </w:r>
      <w:r w:rsidR="00C128A4">
        <w:rPr>
          <w:color w:val="000000" w:themeColor="text1"/>
        </w:rPr>
        <w:t xml:space="preserve"> el término </w:t>
      </w:r>
      <w:r w:rsidR="00561AC5">
        <w:rPr>
          <w:color w:val="000000" w:themeColor="text1"/>
        </w:rPr>
        <w:t xml:space="preserve">de </w:t>
      </w:r>
      <w:r w:rsidR="00C128A4">
        <w:rPr>
          <w:i/>
          <w:iCs/>
          <w:color w:val="000000" w:themeColor="text1"/>
        </w:rPr>
        <w:t>participación</w:t>
      </w:r>
      <w:r w:rsidR="00C128A4">
        <w:rPr>
          <w:color w:val="000000" w:themeColor="text1"/>
        </w:rPr>
        <w:t>, en lugar de replicar el derecho a ser escuchados</w:t>
      </w:r>
      <w:r w:rsidR="001D7713">
        <w:rPr>
          <w:rStyle w:val="Refdenotaalpie"/>
          <w:color w:val="000000" w:themeColor="text1"/>
        </w:rPr>
        <w:footnoteReference w:id="20"/>
      </w:r>
      <w:r w:rsidR="00C128A4">
        <w:rPr>
          <w:color w:val="000000" w:themeColor="text1"/>
        </w:rPr>
        <w:t xml:space="preserve">, </w:t>
      </w:r>
      <w:r w:rsidR="00651F7C">
        <w:rPr>
          <w:color w:val="000000" w:themeColor="text1"/>
        </w:rPr>
        <w:t xml:space="preserve">con la finalidad de </w:t>
      </w:r>
      <w:r w:rsidR="00C128A4">
        <w:rPr>
          <w:color w:val="000000" w:themeColor="text1"/>
        </w:rPr>
        <w:t xml:space="preserve">hacer énfasis en la necesidad de que la opinión o testimonio del niño o niña tuviera un impacto en las resoluciones tomadas, siempre tomando en cuenta la edad y madurez. </w:t>
      </w:r>
    </w:p>
    <w:p w14:paraId="54C1F49D" w14:textId="2B6FE18A" w:rsidR="001D7713" w:rsidRDefault="001D7713" w:rsidP="00504477">
      <w:pPr>
        <w:jc w:val="both"/>
        <w:rPr>
          <w:color w:val="000000" w:themeColor="text1"/>
        </w:rPr>
      </w:pPr>
      <w:r>
        <w:rPr>
          <w:color w:val="000000" w:themeColor="text1"/>
        </w:rPr>
        <w:t xml:space="preserve">La participación de </w:t>
      </w:r>
      <w:r w:rsidR="00651F7C">
        <w:rPr>
          <w:color w:val="000000" w:themeColor="text1"/>
        </w:rPr>
        <w:t>niñas y</w:t>
      </w:r>
      <w:r>
        <w:rPr>
          <w:color w:val="000000" w:themeColor="text1"/>
        </w:rPr>
        <w:t xml:space="preserve"> niños en los procedimientos judiciales o administrativos ha ido adquiriendo cada vez más relevancia, desde que la Suprema Corte señaló que la testimonial de niñas, niños y adolescentes en casos de divorcios puede implicar un acto de imposible reparación</w:t>
      </w:r>
      <w:r>
        <w:rPr>
          <w:rStyle w:val="Refdenotaalpie"/>
          <w:color w:val="000000" w:themeColor="text1"/>
        </w:rPr>
        <w:footnoteReference w:id="21"/>
      </w:r>
      <w:r w:rsidR="00AD3D43">
        <w:rPr>
          <w:color w:val="000000" w:themeColor="text1"/>
        </w:rPr>
        <w:t>, hasta su consideración como una formalidad esencial del procedimiento</w:t>
      </w:r>
      <w:r w:rsidR="00AD3D43">
        <w:rPr>
          <w:rStyle w:val="Refdenotaalpie"/>
          <w:color w:val="000000" w:themeColor="text1"/>
        </w:rPr>
        <w:footnoteReference w:id="22"/>
      </w:r>
      <w:r w:rsidR="00261075">
        <w:rPr>
          <w:color w:val="000000" w:themeColor="text1"/>
        </w:rPr>
        <w:t>.</w:t>
      </w:r>
    </w:p>
    <w:p w14:paraId="39EC89D4" w14:textId="4541C9B7" w:rsidR="00AD3D43" w:rsidRDefault="00AD3D43" w:rsidP="00AD3D43">
      <w:pPr>
        <w:jc w:val="both"/>
        <w:rPr>
          <w:color w:val="000000" w:themeColor="text1"/>
        </w:rPr>
      </w:pPr>
      <w:r>
        <w:rPr>
          <w:color w:val="000000" w:themeColor="text1"/>
        </w:rPr>
        <w:t xml:space="preserve">Específicamente en el </w:t>
      </w:r>
      <w:r w:rsidR="007A6557">
        <w:rPr>
          <w:color w:val="000000" w:themeColor="text1"/>
        </w:rPr>
        <w:t>a</w:t>
      </w:r>
      <w:r>
        <w:rPr>
          <w:color w:val="000000" w:themeColor="text1"/>
        </w:rPr>
        <w:t xml:space="preserve">mparo </w:t>
      </w:r>
      <w:r w:rsidR="007A6557">
        <w:rPr>
          <w:color w:val="000000" w:themeColor="text1"/>
        </w:rPr>
        <w:t>d</w:t>
      </w:r>
      <w:r>
        <w:rPr>
          <w:color w:val="000000" w:themeColor="text1"/>
        </w:rPr>
        <w:t xml:space="preserve">irecto en </w:t>
      </w:r>
      <w:r w:rsidR="007A6557">
        <w:rPr>
          <w:color w:val="000000" w:themeColor="text1"/>
        </w:rPr>
        <w:t>r</w:t>
      </w:r>
      <w:r>
        <w:rPr>
          <w:color w:val="000000" w:themeColor="text1"/>
        </w:rPr>
        <w:t xml:space="preserve">evisión 30/2008 </w:t>
      </w:r>
      <w:r w:rsidR="007A6557">
        <w:rPr>
          <w:color w:val="000000" w:themeColor="text1"/>
        </w:rPr>
        <w:t>el tribunal constitucional mexicano</w:t>
      </w:r>
      <w:r>
        <w:rPr>
          <w:color w:val="000000" w:themeColor="text1"/>
        </w:rPr>
        <w:t xml:space="preserve"> estableció que</w:t>
      </w:r>
      <w:r w:rsidR="001A6569">
        <w:rPr>
          <w:color w:val="000000" w:themeColor="text1"/>
        </w:rPr>
        <w:t>,</w:t>
      </w:r>
      <w:r>
        <w:rPr>
          <w:color w:val="000000" w:themeColor="text1"/>
        </w:rPr>
        <w:t xml:space="preserve"> el respeto al derecho de participación </w:t>
      </w:r>
      <w:r w:rsidR="00A141DB">
        <w:rPr>
          <w:color w:val="000000" w:themeColor="text1"/>
        </w:rPr>
        <w:t xml:space="preserve">derecho significa </w:t>
      </w:r>
      <w:r>
        <w:rPr>
          <w:color w:val="000000" w:themeColor="text1"/>
        </w:rPr>
        <w:t>reconocer</w:t>
      </w:r>
      <w:r w:rsidR="00A141DB">
        <w:rPr>
          <w:color w:val="000000" w:themeColor="text1"/>
        </w:rPr>
        <w:t xml:space="preserve"> su nivel de implicación activa dentro del juicio como sujeto derecho, además de que</w:t>
      </w:r>
      <w:r w:rsidR="00A141DB" w:rsidRPr="00A141DB">
        <w:rPr>
          <w:color w:val="000000" w:themeColor="text1"/>
        </w:rPr>
        <w:t xml:space="preserve"> sirve para una mejor </w:t>
      </w:r>
      <w:r w:rsidRPr="00A141DB">
        <w:rPr>
          <w:color w:val="000000" w:themeColor="text1"/>
        </w:rPr>
        <w:t>resolución</w:t>
      </w:r>
      <w:r w:rsidR="00A141DB" w:rsidRPr="00A141DB">
        <w:rPr>
          <w:color w:val="000000" w:themeColor="text1"/>
        </w:rPr>
        <w:t xml:space="preserve"> del caso del que trate la autoridad jurisdiccional</w:t>
      </w:r>
      <w:r w:rsidR="00A141DB">
        <w:rPr>
          <w:color w:val="000000" w:themeColor="text1"/>
        </w:rPr>
        <w:t xml:space="preserve">, </w:t>
      </w:r>
      <w:r w:rsidR="00A141DB">
        <w:rPr>
          <w:i/>
          <w:iCs/>
          <w:color w:val="000000" w:themeColor="text1"/>
        </w:rPr>
        <w:t xml:space="preserve">ya que su dicho puede aportar elementos para forjar en el juzgador una convicción más acabada de la </w:t>
      </w:r>
      <w:r>
        <w:rPr>
          <w:i/>
          <w:iCs/>
          <w:color w:val="000000" w:themeColor="text1"/>
        </w:rPr>
        <w:t>conflictiva</w:t>
      </w:r>
      <w:r w:rsidR="00A141DB">
        <w:rPr>
          <w:i/>
          <w:iCs/>
          <w:color w:val="000000" w:themeColor="text1"/>
        </w:rPr>
        <w:t xml:space="preserve"> de la familia y el mejor interés</w:t>
      </w:r>
      <w:r w:rsidR="00A141DB">
        <w:rPr>
          <w:color w:val="000000" w:themeColor="text1"/>
        </w:rPr>
        <w:t xml:space="preserve"> del niño. </w:t>
      </w:r>
      <w:r>
        <w:rPr>
          <w:color w:val="000000" w:themeColor="text1"/>
        </w:rPr>
        <w:t xml:space="preserve">En el caso </w:t>
      </w:r>
      <w:r w:rsidR="001A6569">
        <w:rPr>
          <w:color w:val="000000" w:themeColor="text1"/>
        </w:rPr>
        <w:t xml:space="preserve">del juicio </w:t>
      </w:r>
      <w:r w:rsidR="004C1C37">
        <w:rPr>
          <w:color w:val="000000" w:themeColor="text1"/>
        </w:rPr>
        <w:t>al que se hace referencia</w:t>
      </w:r>
      <w:r>
        <w:rPr>
          <w:color w:val="000000" w:themeColor="text1"/>
        </w:rPr>
        <w:t xml:space="preserve">, independientemente de que los hijos emitieron su opinión en el juicio, ésta no había sido tomada en cuenta por las personas juzgadoras, por lo que, de acuerdo con la Corte, </w:t>
      </w:r>
      <w:r w:rsidR="00257933">
        <w:rPr>
          <w:color w:val="000000" w:themeColor="text1"/>
        </w:rPr>
        <w:t xml:space="preserve">esto significa un incumplimiento de la obligación de la persona juzgadora de escuchar a </w:t>
      </w:r>
      <w:r w:rsidR="004C1C37">
        <w:rPr>
          <w:color w:val="000000" w:themeColor="text1"/>
        </w:rPr>
        <w:t>niñas y</w:t>
      </w:r>
      <w:r w:rsidR="00257933">
        <w:rPr>
          <w:color w:val="000000" w:themeColor="text1"/>
        </w:rPr>
        <w:t xml:space="preserve"> niños. </w:t>
      </w:r>
    </w:p>
    <w:p w14:paraId="0A97E1DA" w14:textId="1A830F19" w:rsidR="00916F43" w:rsidRDefault="00620793" w:rsidP="00504477">
      <w:pPr>
        <w:jc w:val="both"/>
        <w:rPr>
          <w:color w:val="000000" w:themeColor="text1"/>
        </w:rPr>
      </w:pPr>
      <w:r>
        <w:rPr>
          <w:color w:val="000000" w:themeColor="text1"/>
        </w:rPr>
        <w:t xml:space="preserve">En ese mismo orden de ideas, en el ámbito internacional, </w:t>
      </w:r>
      <w:r w:rsidR="00804C78">
        <w:rPr>
          <w:color w:val="000000" w:themeColor="text1"/>
        </w:rPr>
        <w:t xml:space="preserve">y </w:t>
      </w:r>
      <w:r>
        <w:rPr>
          <w:color w:val="000000" w:themeColor="text1"/>
        </w:rPr>
        <w:t>con motivo del c</w:t>
      </w:r>
      <w:r w:rsidR="00A141DB">
        <w:rPr>
          <w:color w:val="000000" w:themeColor="text1"/>
        </w:rPr>
        <w:t>aso Atala Riffo y Niñas vs. Chile</w:t>
      </w:r>
      <w:r>
        <w:rPr>
          <w:color w:val="000000" w:themeColor="text1"/>
        </w:rPr>
        <w:t>, la Corte Interamericana de Derechos Humanos</w:t>
      </w:r>
      <w:r w:rsidR="00A141DB">
        <w:rPr>
          <w:color w:val="000000" w:themeColor="text1"/>
        </w:rPr>
        <w:t xml:space="preserve"> </w:t>
      </w:r>
      <w:r w:rsidR="004C1C37">
        <w:rPr>
          <w:color w:val="000000" w:themeColor="text1"/>
        </w:rPr>
        <w:t>señaló</w:t>
      </w:r>
      <w:r w:rsidR="00A141DB">
        <w:rPr>
          <w:color w:val="000000" w:themeColor="text1"/>
        </w:rPr>
        <w:t xml:space="preserve"> la importancia de la participación</w:t>
      </w:r>
      <w:r>
        <w:rPr>
          <w:color w:val="000000" w:themeColor="text1"/>
        </w:rPr>
        <w:t xml:space="preserve"> de las niñas,</w:t>
      </w:r>
      <w:r w:rsidR="00A141DB">
        <w:rPr>
          <w:color w:val="000000" w:themeColor="text1"/>
        </w:rPr>
        <w:t xml:space="preserve"> destacando que para su protección es necesario romper con la idea y premisa de que no tienen capacidad para expresar sus opiniones. No es necesario que cuenten con un conocimiento total de los aspectos del asunto que se trata, sino </w:t>
      </w:r>
      <w:r w:rsidR="00804C78">
        <w:rPr>
          <w:color w:val="000000" w:themeColor="text1"/>
        </w:rPr>
        <w:t xml:space="preserve">que basta con </w:t>
      </w:r>
      <w:r w:rsidR="00A141DB">
        <w:rPr>
          <w:color w:val="000000" w:themeColor="text1"/>
        </w:rPr>
        <w:t>una comprensión que resulte suficiente para que puedan formarse una opinión propia, y que ésta se pueda expresar sin presión.</w:t>
      </w:r>
      <w:r>
        <w:rPr>
          <w:rStyle w:val="Refdenotaalpie"/>
          <w:color w:val="000000" w:themeColor="text1"/>
        </w:rPr>
        <w:footnoteReference w:id="23"/>
      </w:r>
      <w:r w:rsidR="00A141DB">
        <w:rPr>
          <w:color w:val="000000" w:themeColor="text1"/>
        </w:rPr>
        <w:t xml:space="preserve"> </w:t>
      </w:r>
    </w:p>
    <w:p w14:paraId="0637BB14" w14:textId="59214DB9" w:rsidR="00916F43" w:rsidRDefault="00A235D0" w:rsidP="00504477">
      <w:pPr>
        <w:jc w:val="both"/>
        <w:rPr>
          <w:color w:val="000000" w:themeColor="text1"/>
        </w:rPr>
      </w:pPr>
      <w:r>
        <w:rPr>
          <w:color w:val="000000" w:themeColor="text1"/>
        </w:rPr>
        <w:t>Por último, se ha establecido que l</w:t>
      </w:r>
      <w:r w:rsidR="002A5450">
        <w:rPr>
          <w:color w:val="000000" w:themeColor="text1"/>
        </w:rPr>
        <w:t xml:space="preserve">a participación es un derecho al que no se les puede obligar, y en caso de ejercerlo, hay una obligación correlativa de las autoridades de </w:t>
      </w:r>
      <w:r w:rsidR="00916F43">
        <w:rPr>
          <w:color w:val="000000" w:themeColor="text1"/>
        </w:rPr>
        <w:t>escucharles</w:t>
      </w:r>
      <w:r w:rsidR="002A5450">
        <w:rPr>
          <w:color w:val="000000" w:themeColor="text1"/>
        </w:rPr>
        <w:t xml:space="preserve">, e informarles de las posibles decisiones y consecuencias posibles después de su participación. </w:t>
      </w:r>
      <w:r w:rsidR="00916F43">
        <w:rPr>
          <w:color w:val="000000" w:themeColor="text1"/>
        </w:rPr>
        <w:t xml:space="preserve">Es importante aclarar que la Suprema Corte ha sido también clara respecto a la posibilidad de que las y los niños no participen cuando así sea su deseo, también cuando la participación pueda ir en contra de su interés superior. El caso más común es la reiteración de participaciones en donde no se aportan elementos nuevos relevantes para </w:t>
      </w:r>
      <w:r w:rsidR="00A850BF">
        <w:rPr>
          <w:color w:val="000000" w:themeColor="text1"/>
        </w:rPr>
        <w:t>un</w:t>
      </w:r>
      <w:r w:rsidR="00916F43">
        <w:rPr>
          <w:color w:val="000000" w:themeColor="text1"/>
        </w:rPr>
        <w:t xml:space="preserve"> caso, </w:t>
      </w:r>
      <w:r w:rsidR="00A850BF">
        <w:rPr>
          <w:color w:val="000000" w:themeColor="text1"/>
        </w:rPr>
        <w:t xml:space="preserve">en donde además </w:t>
      </w:r>
      <w:r w:rsidR="00916F43">
        <w:rPr>
          <w:color w:val="000000" w:themeColor="text1"/>
        </w:rPr>
        <w:t xml:space="preserve">se incurre en una práctica de revictimización hacia </w:t>
      </w:r>
      <w:r w:rsidR="00A850BF">
        <w:rPr>
          <w:color w:val="000000" w:themeColor="text1"/>
        </w:rPr>
        <w:t>la</w:t>
      </w:r>
      <w:r w:rsidR="00916F43">
        <w:rPr>
          <w:color w:val="000000" w:themeColor="text1"/>
        </w:rPr>
        <w:t xml:space="preserve"> niña </w:t>
      </w:r>
      <w:r w:rsidR="00A850BF">
        <w:rPr>
          <w:color w:val="000000" w:themeColor="text1"/>
        </w:rPr>
        <w:t xml:space="preserve">o niño </w:t>
      </w:r>
      <w:r w:rsidR="00916F43">
        <w:rPr>
          <w:color w:val="000000" w:themeColor="text1"/>
        </w:rPr>
        <w:t>en cuestión</w:t>
      </w:r>
      <w:r w:rsidRPr="00A235D0">
        <w:rPr>
          <w:rStyle w:val="Refdenotaalpie"/>
          <w:color w:val="000000" w:themeColor="text1"/>
        </w:rPr>
        <w:t xml:space="preserve"> </w:t>
      </w:r>
      <w:r>
        <w:rPr>
          <w:rStyle w:val="Refdenotaalpie"/>
          <w:color w:val="000000" w:themeColor="text1"/>
        </w:rPr>
        <w:footnoteReference w:id="24"/>
      </w:r>
      <w:r w:rsidR="00A850BF">
        <w:rPr>
          <w:rStyle w:val="Refdenotaalpie"/>
          <w:color w:val="000000" w:themeColor="text1"/>
        </w:rPr>
        <w:t>.</w:t>
      </w:r>
      <w:r w:rsidR="00916F43">
        <w:rPr>
          <w:color w:val="000000" w:themeColor="text1"/>
        </w:rPr>
        <w:t xml:space="preserve"> </w:t>
      </w:r>
    </w:p>
    <w:p w14:paraId="75C44D15" w14:textId="1AB797EC" w:rsidR="00263868" w:rsidRDefault="00A235D0" w:rsidP="00640821">
      <w:pPr>
        <w:jc w:val="both"/>
        <w:rPr>
          <w:color w:val="000000" w:themeColor="text1"/>
          <w:lang w:val="es-ES_tradnl"/>
        </w:rPr>
      </w:pPr>
      <w:r>
        <w:rPr>
          <w:color w:val="000000" w:themeColor="text1"/>
        </w:rPr>
        <w:t>Finalmente</w:t>
      </w:r>
      <w:r w:rsidR="00640821">
        <w:rPr>
          <w:color w:val="000000" w:themeColor="text1"/>
        </w:rPr>
        <w:t>,</w:t>
      </w:r>
      <w:r>
        <w:rPr>
          <w:color w:val="000000" w:themeColor="text1"/>
        </w:rPr>
        <w:t xml:space="preserve"> la comunicación sobre la decisión y la manera en la que su opinión fue tomada</w:t>
      </w:r>
      <w:r w:rsidR="00640821">
        <w:rPr>
          <w:color w:val="000000" w:themeColor="text1"/>
        </w:rPr>
        <w:t xml:space="preserve"> es parte esencial de ese derecho. </w:t>
      </w:r>
      <w:r w:rsidR="00623343">
        <w:rPr>
          <w:color w:val="000000" w:themeColor="text1"/>
        </w:rPr>
        <w:t>En el anteriormente referido</w:t>
      </w:r>
      <w:r w:rsidR="00640821">
        <w:rPr>
          <w:color w:val="000000" w:themeColor="text1"/>
        </w:rPr>
        <w:t xml:space="preserve"> </w:t>
      </w:r>
      <w:r w:rsidR="00623343">
        <w:rPr>
          <w:color w:val="000000" w:themeColor="text1"/>
        </w:rPr>
        <w:t>a</w:t>
      </w:r>
      <w:r w:rsidR="00640821">
        <w:rPr>
          <w:color w:val="000000" w:themeColor="text1"/>
        </w:rPr>
        <w:t xml:space="preserve">mparo </w:t>
      </w:r>
      <w:r w:rsidR="00623343">
        <w:rPr>
          <w:color w:val="000000" w:themeColor="text1"/>
        </w:rPr>
        <w:t>d</w:t>
      </w:r>
      <w:r w:rsidR="00640821">
        <w:rPr>
          <w:color w:val="000000" w:themeColor="text1"/>
        </w:rPr>
        <w:t xml:space="preserve">irecto en </w:t>
      </w:r>
      <w:r w:rsidR="00623343">
        <w:rPr>
          <w:color w:val="000000" w:themeColor="text1"/>
        </w:rPr>
        <w:t>r</w:t>
      </w:r>
      <w:r w:rsidR="00640821">
        <w:rPr>
          <w:color w:val="000000" w:themeColor="text1"/>
        </w:rPr>
        <w:t xml:space="preserve">evisión </w:t>
      </w:r>
      <w:r w:rsidR="00640821">
        <w:rPr>
          <w:color w:val="000000" w:themeColor="text1"/>
          <w:lang w:val="es-ES_tradnl"/>
        </w:rPr>
        <w:t xml:space="preserve">5833/2017 también abordó </w:t>
      </w:r>
      <w:r w:rsidR="00263868">
        <w:rPr>
          <w:color w:val="000000" w:themeColor="text1"/>
          <w:lang w:val="es-ES_tradnl"/>
        </w:rPr>
        <w:t>este deber al</w:t>
      </w:r>
      <w:r w:rsidR="00640821">
        <w:rPr>
          <w:color w:val="000000" w:themeColor="text1"/>
          <w:lang w:val="es-ES_tradnl"/>
        </w:rPr>
        <w:t xml:space="preserve"> señal</w:t>
      </w:r>
      <w:r w:rsidR="00263868">
        <w:rPr>
          <w:color w:val="000000" w:themeColor="text1"/>
          <w:lang w:val="es-ES_tradnl"/>
        </w:rPr>
        <w:t>ar</w:t>
      </w:r>
      <w:r w:rsidR="00640821">
        <w:rPr>
          <w:color w:val="000000" w:themeColor="text1"/>
          <w:lang w:val="es-ES_tradnl"/>
        </w:rPr>
        <w:t xml:space="preserve"> que tanto el representante legal como la autoridad resolutora </w:t>
      </w:r>
      <w:r w:rsidR="00623343">
        <w:rPr>
          <w:color w:val="000000" w:themeColor="text1"/>
          <w:lang w:val="es-ES_tradnl"/>
        </w:rPr>
        <w:t>cuentan con</w:t>
      </w:r>
      <w:r w:rsidR="00640821">
        <w:rPr>
          <w:color w:val="000000" w:themeColor="text1"/>
          <w:lang w:val="es-ES_tradnl"/>
        </w:rPr>
        <w:t xml:space="preserve"> el </w:t>
      </w:r>
      <w:r w:rsidR="00640821" w:rsidRPr="00F319A8">
        <w:rPr>
          <w:i/>
          <w:iCs/>
          <w:color w:val="000000" w:themeColor="text1"/>
          <w:lang w:val="es-ES_tradnl"/>
        </w:rPr>
        <w:t>deber de comunicación</w:t>
      </w:r>
      <w:r w:rsidR="00640821">
        <w:rPr>
          <w:color w:val="000000" w:themeColor="text1"/>
          <w:lang w:val="es-ES_tradnl"/>
        </w:rPr>
        <w:t xml:space="preserve"> que se traduce en informarle a </w:t>
      </w:r>
      <w:r w:rsidR="003C3C49">
        <w:rPr>
          <w:color w:val="000000" w:themeColor="text1"/>
          <w:lang w:val="es-ES_tradnl"/>
        </w:rPr>
        <w:t xml:space="preserve">na </w:t>
      </w:r>
      <w:r w:rsidR="00640821">
        <w:rPr>
          <w:color w:val="000000" w:themeColor="text1"/>
          <w:lang w:val="es-ES_tradnl"/>
        </w:rPr>
        <w:t>niñ</w:t>
      </w:r>
      <w:r w:rsidR="003C3C49">
        <w:rPr>
          <w:color w:val="000000" w:themeColor="text1"/>
          <w:lang w:val="es-ES_tradnl"/>
        </w:rPr>
        <w:t>a</w:t>
      </w:r>
      <w:r w:rsidR="00640821">
        <w:rPr>
          <w:color w:val="000000" w:themeColor="text1"/>
          <w:lang w:val="es-ES_tradnl"/>
        </w:rPr>
        <w:t>, niñ</w:t>
      </w:r>
      <w:r w:rsidR="003C3C49">
        <w:rPr>
          <w:color w:val="000000" w:themeColor="text1"/>
          <w:lang w:val="es-ES_tradnl"/>
        </w:rPr>
        <w:t>o</w:t>
      </w:r>
      <w:r w:rsidR="00640821">
        <w:rPr>
          <w:color w:val="000000" w:themeColor="text1"/>
          <w:lang w:val="es-ES_tradnl"/>
        </w:rPr>
        <w:t xml:space="preserve"> o adolescente sobre el procedimiento en donde sus derechos están involucrados, y el resultado del proceso, tomando en cuenta su opinión conforme a su autonomía progresiva.</w:t>
      </w:r>
    </w:p>
    <w:p w14:paraId="00DE23B5" w14:textId="796F3CF5" w:rsidR="00640821" w:rsidRPr="00640821" w:rsidRDefault="00640821" w:rsidP="00640821">
      <w:pPr>
        <w:jc w:val="both"/>
        <w:rPr>
          <w:color w:val="000000" w:themeColor="text1"/>
        </w:rPr>
      </w:pPr>
      <w:r>
        <w:rPr>
          <w:color w:val="000000" w:themeColor="text1"/>
          <w:lang w:val="es-ES_tradnl"/>
        </w:rPr>
        <w:t>Esta comunicación debe además de contar con características que la haga</w:t>
      </w:r>
      <w:r w:rsidR="003C3C49">
        <w:rPr>
          <w:color w:val="000000" w:themeColor="text1"/>
          <w:lang w:val="es-ES_tradnl"/>
        </w:rPr>
        <w:t>n</w:t>
      </w:r>
      <w:r>
        <w:rPr>
          <w:color w:val="000000" w:themeColor="text1"/>
          <w:lang w:val="es-ES_tradnl"/>
        </w:rPr>
        <w:t xml:space="preserve"> accesible a cada niñ</w:t>
      </w:r>
      <w:r w:rsidR="000566AF">
        <w:rPr>
          <w:color w:val="000000" w:themeColor="text1"/>
          <w:lang w:val="es-ES_tradnl"/>
        </w:rPr>
        <w:t>a</w:t>
      </w:r>
      <w:r>
        <w:rPr>
          <w:color w:val="000000" w:themeColor="text1"/>
          <w:lang w:val="es-ES_tradnl"/>
        </w:rPr>
        <w:t xml:space="preserve"> o niñ</w:t>
      </w:r>
      <w:r w:rsidR="000566AF">
        <w:rPr>
          <w:color w:val="000000" w:themeColor="text1"/>
          <w:lang w:val="es-ES_tradnl"/>
        </w:rPr>
        <w:t xml:space="preserve">o, asegurando con ello </w:t>
      </w:r>
      <w:r>
        <w:rPr>
          <w:color w:val="000000" w:themeColor="text1"/>
          <w:lang w:val="es-ES_tradnl"/>
        </w:rPr>
        <w:t>la comprensión del contenido esencial del fallo.</w:t>
      </w:r>
      <w:r>
        <w:rPr>
          <w:rStyle w:val="Refdenotaalpie"/>
          <w:color w:val="000000" w:themeColor="text1"/>
          <w:lang w:val="es-ES_tradnl"/>
        </w:rPr>
        <w:footnoteReference w:id="25"/>
      </w:r>
      <w:r>
        <w:rPr>
          <w:color w:val="000000" w:themeColor="text1"/>
          <w:lang w:val="es-ES_tradnl"/>
        </w:rPr>
        <w:t xml:space="preserve"> La actuación contraria por parte de la representación legal es considerada una </w:t>
      </w:r>
      <w:r w:rsidRPr="005016C9">
        <w:rPr>
          <w:i/>
          <w:iCs/>
          <w:color w:val="000000" w:themeColor="text1"/>
          <w:lang w:val="es-ES_tradnl"/>
        </w:rPr>
        <w:t>omisión injustificada</w:t>
      </w:r>
      <w:r>
        <w:rPr>
          <w:color w:val="000000" w:themeColor="text1"/>
          <w:lang w:val="es-ES_tradnl"/>
        </w:rPr>
        <w:t xml:space="preserve"> frente a sus obligaciones como representante legal, ya que se trata de un deber inherente a su función, en donde se debe recabar opinión y sentir sobre el caso, para que la defensa pueda realmente atender a su interés superior y garantizar una defensa adecuada de sus derechos.  </w:t>
      </w:r>
    </w:p>
    <w:p w14:paraId="56C6F645" w14:textId="55BDEFBD" w:rsidR="000F2B54" w:rsidRDefault="00440415" w:rsidP="00504477">
      <w:pPr>
        <w:jc w:val="both"/>
        <w:rPr>
          <w:color w:val="000000" w:themeColor="text1"/>
        </w:rPr>
      </w:pPr>
      <w:r>
        <w:rPr>
          <w:color w:val="000000" w:themeColor="text1"/>
        </w:rPr>
        <w:t xml:space="preserve">Por último, cabe resaltar que la Suprema Corte ha establecido </w:t>
      </w:r>
      <w:r w:rsidR="00983273">
        <w:rPr>
          <w:color w:val="000000" w:themeColor="text1"/>
        </w:rPr>
        <w:t>que garantizar esta participación no significa que la autoridad resuelva en sintonía con lo expresado con la o el niño, sino que esta manifestación deberá ser tomada en cuenta en valoración con un cúmulo de evidencia adicional, de tal manera que la resolución atienda a su interés superior.</w:t>
      </w:r>
      <w:r w:rsidR="00983273">
        <w:rPr>
          <w:rStyle w:val="Refdenotaalpie"/>
          <w:color w:val="000000" w:themeColor="text1"/>
        </w:rPr>
        <w:footnoteReference w:id="26"/>
      </w:r>
      <w:r w:rsidR="00983273">
        <w:rPr>
          <w:color w:val="000000" w:themeColor="text1"/>
        </w:rPr>
        <w:t xml:space="preserve">   </w:t>
      </w:r>
    </w:p>
    <w:p w14:paraId="3F030BD2" w14:textId="28F25D0C" w:rsidR="00440415" w:rsidRPr="00C64352" w:rsidRDefault="00F3485A" w:rsidP="005E2216">
      <w:pPr>
        <w:pStyle w:val="Prrafodelista"/>
        <w:numPr>
          <w:ilvl w:val="0"/>
          <w:numId w:val="17"/>
        </w:numPr>
        <w:ind w:left="1276"/>
        <w:jc w:val="both"/>
        <w:rPr>
          <w:b/>
          <w:bCs/>
          <w:color w:val="000000" w:themeColor="text1"/>
        </w:rPr>
      </w:pPr>
      <w:r w:rsidRPr="00C64352">
        <w:rPr>
          <w:b/>
          <w:bCs/>
          <w:color w:val="000000" w:themeColor="text1"/>
        </w:rPr>
        <w:t>Toma de declaración y valoración de la prueba</w:t>
      </w:r>
    </w:p>
    <w:p w14:paraId="79CF0832" w14:textId="5F7DFCE1" w:rsidR="00440415" w:rsidRDefault="00C8656D" w:rsidP="00504477">
      <w:pPr>
        <w:jc w:val="both"/>
        <w:rPr>
          <w:color w:val="000000" w:themeColor="text1"/>
        </w:rPr>
      </w:pPr>
      <w:r>
        <w:rPr>
          <w:color w:val="000000" w:themeColor="text1"/>
        </w:rPr>
        <w:t xml:space="preserve">La toma de declaración o testimonial infantil </w:t>
      </w:r>
      <w:r w:rsidR="00C66738">
        <w:rPr>
          <w:color w:val="000000" w:themeColor="text1"/>
        </w:rPr>
        <w:t>ha abierto</w:t>
      </w:r>
      <w:r>
        <w:rPr>
          <w:color w:val="000000" w:themeColor="text1"/>
        </w:rPr>
        <w:t xml:space="preserve"> </w:t>
      </w:r>
      <w:r w:rsidR="00A82264">
        <w:rPr>
          <w:color w:val="000000" w:themeColor="text1"/>
        </w:rPr>
        <w:t>una</w:t>
      </w:r>
      <w:r w:rsidR="00C66738">
        <w:rPr>
          <w:color w:val="000000" w:themeColor="text1"/>
        </w:rPr>
        <w:t xml:space="preserve"> </w:t>
      </w:r>
      <w:r w:rsidR="00A82264">
        <w:rPr>
          <w:color w:val="000000" w:themeColor="text1"/>
        </w:rPr>
        <w:t xml:space="preserve">importante </w:t>
      </w:r>
      <w:r w:rsidR="00C66738">
        <w:rPr>
          <w:color w:val="000000" w:themeColor="text1"/>
        </w:rPr>
        <w:t xml:space="preserve">brecha para reconfigurar la manera en </w:t>
      </w:r>
      <w:r w:rsidR="007640A1">
        <w:rPr>
          <w:color w:val="000000" w:themeColor="text1"/>
        </w:rPr>
        <w:t xml:space="preserve">que </w:t>
      </w:r>
      <w:r w:rsidR="00C66738">
        <w:rPr>
          <w:color w:val="000000" w:themeColor="text1"/>
        </w:rPr>
        <w:t xml:space="preserve">el sistema de justicia </w:t>
      </w:r>
      <w:r w:rsidR="007640A1">
        <w:rPr>
          <w:color w:val="000000" w:themeColor="text1"/>
        </w:rPr>
        <w:t xml:space="preserve">se acerca a </w:t>
      </w:r>
      <w:r w:rsidR="00B95B19">
        <w:rPr>
          <w:color w:val="000000" w:themeColor="text1"/>
        </w:rPr>
        <w:t>niñas, niños y adolescentes</w:t>
      </w:r>
      <w:r w:rsidR="00E359EA">
        <w:rPr>
          <w:color w:val="000000" w:themeColor="text1"/>
        </w:rPr>
        <w:t xml:space="preserve">. </w:t>
      </w:r>
      <w:r>
        <w:rPr>
          <w:color w:val="000000" w:themeColor="text1"/>
        </w:rPr>
        <w:t xml:space="preserve">Tomando en cuenta que las controversias judiciales en las que se ven involucradas suele darse en contextos </w:t>
      </w:r>
      <w:r w:rsidR="009F27A1">
        <w:rPr>
          <w:color w:val="000000" w:themeColor="text1"/>
        </w:rPr>
        <w:t xml:space="preserve">de conflicto familiar o distintos tipos de violencia, la manera en la que las y los sistemas de justicia se aproximan a estas niñas y niños tiene un alto impacto tanto en su desarrollo y vida personal, como en las consecuencias legales que su participación tendrá sobre la controversia que se resuelva. </w:t>
      </w:r>
    </w:p>
    <w:p w14:paraId="65B4F9E6" w14:textId="13381121" w:rsidR="00EE7CCB" w:rsidRDefault="00F3485A" w:rsidP="00504477">
      <w:pPr>
        <w:jc w:val="both"/>
        <w:rPr>
          <w:color w:val="000000" w:themeColor="text1"/>
        </w:rPr>
      </w:pPr>
      <w:r>
        <w:rPr>
          <w:color w:val="000000" w:themeColor="text1"/>
        </w:rPr>
        <w:t xml:space="preserve">A partir de un caso resuelto a través del </w:t>
      </w:r>
      <w:r w:rsidR="00883BE1">
        <w:rPr>
          <w:color w:val="000000" w:themeColor="text1"/>
        </w:rPr>
        <w:t>a</w:t>
      </w:r>
      <w:r>
        <w:rPr>
          <w:color w:val="000000" w:themeColor="text1"/>
        </w:rPr>
        <w:t xml:space="preserve">mparo </w:t>
      </w:r>
      <w:r w:rsidR="00883BE1">
        <w:rPr>
          <w:color w:val="000000" w:themeColor="text1"/>
        </w:rPr>
        <w:t>d</w:t>
      </w:r>
      <w:r>
        <w:rPr>
          <w:color w:val="000000" w:themeColor="text1"/>
        </w:rPr>
        <w:t xml:space="preserve">irecto en </w:t>
      </w:r>
      <w:r w:rsidR="00883BE1">
        <w:rPr>
          <w:color w:val="000000" w:themeColor="text1"/>
        </w:rPr>
        <w:t>r</w:t>
      </w:r>
      <w:r>
        <w:rPr>
          <w:color w:val="000000" w:themeColor="text1"/>
        </w:rPr>
        <w:t xml:space="preserve">evisión 3797/2014, </w:t>
      </w:r>
      <w:r w:rsidR="0005221F">
        <w:rPr>
          <w:color w:val="000000" w:themeColor="text1"/>
        </w:rPr>
        <w:t xml:space="preserve">la Corte amplió su interpretación sobre el derecho a participar y ser escuchado en procedimientos, a través de la declaración infantil y la valoración de ésta. Los hechos del caso que revisaba en aquella ocasión </w:t>
      </w:r>
      <w:r w:rsidR="00A0574D">
        <w:rPr>
          <w:color w:val="000000" w:themeColor="text1"/>
        </w:rPr>
        <w:t xml:space="preserve">el tribunal constitucional mexicano </w:t>
      </w:r>
      <w:r w:rsidR="0005221F">
        <w:rPr>
          <w:color w:val="000000" w:themeColor="text1"/>
        </w:rPr>
        <w:t xml:space="preserve">versaban sobre un niña </w:t>
      </w:r>
      <w:r w:rsidR="00434500">
        <w:rPr>
          <w:color w:val="000000" w:themeColor="text1"/>
        </w:rPr>
        <w:t xml:space="preserve">de cuatro años </w:t>
      </w:r>
      <w:r w:rsidR="0005221F">
        <w:rPr>
          <w:color w:val="000000" w:themeColor="text1"/>
        </w:rPr>
        <w:t xml:space="preserve">que había sido </w:t>
      </w:r>
      <w:r w:rsidR="00A0574D">
        <w:rPr>
          <w:color w:val="000000" w:themeColor="text1"/>
        </w:rPr>
        <w:t xml:space="preserve">víctima de abuso </w:t>
      </w:r>
      <w:r w:rsidR="0005221F">
        <w:rPr>
          <w:color w:val="000000" w:themeColor="text1"/>
        </w:rPr>
        <w:t xml:space="preserve">sexual por </w:t>
      </w:r>
      <w:r w:rsidR="00A0574D">
        <w:rPr>
          <w:color w:val="000000" w:themeColor="text1"/>
        </w:rPr>
        <w:t xml:space="preserve">parte de </w:t>
      </w:r>
      <w:r w:rsidR="0005221F">
        <w:rPr>
          <w:color w:val="000000" w:themeColor="text1"/>
        </w:rPr>
        <w:t xml:space="preserve">su padre. La madre inició procesos en materia penal y civil en su contra. En el primer caso para iniciar la investigación por el delito de abuso sexual, y en materia civil para reclamar, entre otras cosas, la patria potestad de la niña. </w:t>
      </w:r>
    </w:p>
    <w:p w14:paraId="59054492" w14:textId="163F46BC" w:rsidR="0034760F" w:rsidRDefault="0034760F" w:rsidP="00504477">
      <w:pPr>
        <w:jc w:val="both"/>
        <w:rPr>
          <w:color w:val="000000" w:themeColor="text1"/>
        </w:rPr>
      </w:pPr>
      <w:r>
        <w:rPr>
          <w:color w:val="000000" w:themeColor="text1"/>
        </w:rPr>
        <w:t xml:space="preserve">Dos temas son los que interesan resaltar: por un lado, las adecuaciones que deben hacerse para la </w:t>
      </w:r>
      <w:r w:rsidR="00EE7CCB">
        <w:rPr>
          <w:color w:val="000000" w:themeColor="text1"/>
        </w:rPr>
        <w:t>toma de declaraciones infantiles</w:t>
      </w:r>
      <w:r w:rsidR="009F27A1">
        <w:rPr>
          <w:color w:val="000000" w:themeColor="text1"/>
        </w:rPr>
        <w:t>;</w:t>
      </w:r>
      <w:r w:rsidR="00EE7CCB">
        <w:rPr>
          <w:color w:val="000000" w:themeColor="text1"/>
        </w:rPr>
        <w:t xml:space="preserve"> </w:t>
      </w:r>
      <w:r w:rsidR="00A0574D">
        <w:rPr>
          <w:color w:val="000000" w:themeColor="text1"/>
        </w:rPr>
        <w:t xml:space="preserve">mientras que </w:t>
      </w:r>
      <w:r w:rsidR="00EE7CCB">
        <w:rPr>
          <w:color w:val="000000" w:themeColor="text1"/>
        </w:rPr>
        <w:t>por otro, la valoración de esta prueba, en donde incluye</w:t>
      </w:r>
      <w:r w:rsidR="00A0574D">
        <w:rPr>
          <w:color w:val="000000" w:themeColor="text1"/>
        </w:rPr>
        <w:t>n</w:t>
      </w:r>
      <w:r w:rsidR="00EE7CCB">
        <w:rPr>
          <w:color w:val="000000" w:themeColor="text1"/>
        </w:rPr>
        <w:t xml:space="preserve"> los criterios para valorar la credibilidad, así como el estándar de prueba que debe </w:t>
      </w:r>
      <w:r w:rsidR="009F27A1">
        <w:rPr>
          <w:color w:val="000000" w:themeColor="text1"/>
        </w:rPr>
        <w:t xml:space="preserve">considerarse. El amparo que revisó la </w:t>
      </w:r>
      <w:r w:rsidR="00EF4A27">
        <w:rPr>
          <w:color w:val="000000" w:themeColor="text1"/>
        </w:rPr>
        <w:t xml:space="preserve">Suprema </w:t>
      </w:r>
      <w:r w:rsidR="009F27A1">
        <w:rPr>
          <w:color w:val="000000" w:themeColor="text1"/>
        </w:rPr>
        <w:t>Corte deriva del procedimiento civil, en el cual el Tribunal</w:t>
      </w:r>
      <w:r w:rsidR="00EF4A27">
        <w:rPr>
          <w:color w:val="000000" w:themeColor="text1"/>
        </w:rPr>
        <w:t xml:space="preserve"> Colegiado que conoció del asunto</w:t>
      </w:r>
      <w:r w:rsidR="009F27A1">
        <w:rPr>
          <w:color w:val="000000" w:themeColor="text1"/>
        </w:rPr>
        <w:t xml:space="preserve"> consideró que el abuso sexual no se encontraba acreditado de manera suficiente para determinar la pérdida de la patria potestad. </w:t>
      </w:r>
      <w:r w:rsidR="00EF3DD3">
        <w:rPr>
          <w:color w:val="000000" w:themeColor="text1"/>
        </w:rPr>
        <w:t>Esta decisión se basó en la valoración que hizo el Tribunal de las pruebas asociadas a la participación de la niña (entrevistas, declaraciones, periciales</w:t>
      </w:r>
      <w:r w:rsidR="00D70FCB">
        <w:rPr>
          <w:color w:val="000000" w:themeColor="text1"/>
        </w:rPr>
        <w:t>, etc</w:t>
      </w:r>
      <w:r w:rsidR="00F47D37">
        <w:rPr>
          <w:color w:val="000000" w:themeColor="text1"/>
        </w:rPr>
        <w:t>.</w:t>
      </w:r>
      <w:r w:rsidR="00D70FCB">
        <w:rPr>
          <w:color w:val="000000" w:themeColor="text1"/>
        </w:rPr>
        <w:t xml:space="preserve">). </w:t>
      </w:r>
    </w:p>
    <w:p w14:paraId="4D915199" w14:textId="335E39E1" w:rsidR="00752BDC" w:rsidRPr="00EC090C" w:rsidRDefault="00F3485A" w:rsidP="00EF4A27">
      <w:pPr>
        <w:pStyle w:val="Prrafodelista"/>
        <w:numPr>
          <w:ilvl w:val="0"/>
          <w:numId w:val="17"/>
        </w:numPr>
        <w:ind w:left="1134"/>
        <w:jc w:val="both"/>
        <w:rPr>
          <w:color w:val="000000" w:themeColor="text1"/>
        </w:rPr>
      </w:pPr>
      <w:r w:rsidRPr="00752BDC">
        <w:rPr>
          <w:color w:val="000000" w:themeColor="text1"/>
        </w:rPr>
        <w:t xml:space="preserve">La toma </w:t>
      </w:r>
      <w:r w:rsidR="00980BCD">
        <w:rPr>
          <w:color w:val="000000" w:themeColor="text1"/>
        </w:rPr>
        <w:t xml:space="preserve">de </w:t>
      </w:r>
      <w:r w:rsidRPr="00752BDC">
        <w:rPr>
          <w:color w:val="000000" w:themeColor="text1"/>
        </w:rPr>
        <w:t>la declaración</w:t>
      </w:r>
    </w:p>
    <w:p w14:paraId="63F0D766" w14:textId="32657E0F" w:rsidR="00752BDC" w:rsidRDefault="00C47780" w:rsidP="00752BDC">
      <w:pPr>
        <w:jc w:val="both"/>
        <w:rPr>
          <w:color w:val="000000" w:themeColor="text1"/>
        </w:rPr>
      </w:pPr>
      <w:r>
        <w:rPr>
          <w:color w:val="000000" w:themeColor="text1"/>
        </w:rPr>
        <w:t>La sentencia de amparo en comento representa un parteaguas respecto a las formalidades que deben presentarse para que la toma de declaración de cualquier niñ</w:t>
      </w:r>
      <w:r w:rsidR="00980BCD">
        <w:rPr>
          <w:color w:val="000000" w:themeColor="text1"/>
        </w:rPr>
        <w:t>a</w:t>
      </w:r>
      <w:r>
        <w:rPr>
          <w:color w:val="000000" w:themeColor="text1"/>
        </w:rPr>
        <w:t>, niñ</w:t>
      </w:r>
      <w:r w:rsidR="00980BCD">
        <w:rPr>
          <w:color w:val="000000" w:themeColor="text1"/>
        </w:rPr>
        <w:t>o</w:t>
      </w:r>
      <w:r>
        <w:rPr>
          <w:color w:val="000000" w:themeColor="text1"/>
        </w:rPr>
        <w:t xml:space="preserve"> o adolescente en un procedimiento judicial o administrativo, se de en condiciones adecuadas. </w:t>
      </w:r>
      <w:r w:rsidR="00CD311A">
        <w:rPr>
          <w:color w:val="000000" w:themeColor="text1"/>
        </w:rPr>
        <w:t xml:space="preserve">Tomando como base el derecho de acceso a la justicia y el derecho a expresar su opinión y que ésta sea tomada en cuenta en los temas que le atañen, </w:t>
      </w:r>
      <w:r w:rsidR="00D84FF0">
        <w:rPr>
          <w:color w:val="000000" w:themeColor="text1"/>
        </w:rPr>
        <w:t>la Suprema Corte se acerc</w:t>
      </w:r>
      <w:r w:rsidR="007009ED">
        <w:rPr>
          <w:color w:val="000000" w:themeColor="text1"/>
        </w:rPr>
        <w:t>ó</w:t>
      </w:r>
      <w:r w:rsidR="00D84FF0">
        <w:rPr>
          <w:color w:val="000000" w:themeColor="text1"/>
        </w:rPr>
        <w:t xml:space="preserve"> a dos aspectos fundamentales para su garantía: la especialización para la entrevista, y la forma en la que se debe producir esta entrevista</w:t>
      </w:r>
      <w:r w:rsidR="001637B2">
        <w:rPr>
          <w:color w:val="000000" w:themeColor="text1"/>
        </w:rPr>
        <w:t xml:space="preserve"> investigativa</w:t>
      </w:r>
      <w:r w:rsidR="00D84FF0">
        <w:rPr>
          <w:color w:val="000000" w:themeColor="text1"/>
        </w:rPr>
        <w:t xml:space="preserve">. </w:t>
      </w:r>
    </w:p>
    <w:p w14:paraId="78FB6436" w14:textId="211001A9" w:rsidR="00D84FF0" w:rsidRDefault="00D84FF0" w:rsidP="00752BDC">
      <w:pPr>
        <w:jc w:val="both"/>
        <w:rPr>
          <w:color w:val="000000" w:themeColor="text1"/>
        </w:rPr>
      </w:pPr>
      <w:r>
        <w:rPr>
          <w:color w:val="000000" w:themeColor="text1"/>
        </w:rPr>
        <w:t xml:space="preserve">En relación </w:t>
      </w:r>
      <w:r w:rsidR="00EF3DD3">
        <w:rPr>
          <w:color w:val="000000" w:themeColor="text1"/>
        </w:rPr>
        <w:t>con</w:t>
      </w:r>
      <w:r>
        <w:rPr>
          <w:color w:val="000000" w:themeColor="text1"/>
        </w:rPr>
        <w:t xml:space="preserve"> la especialización, </w:t>
      </w:r>
      <w:r w:rsidR="007009ED">
        <w:rPr>
          <w:color w:val="000000" w:themeColor="text1"/>
        </w:rPr>
        <w:t>el tribunal constitucional mexicano</w:t>
      </w:r>
      <w:r w:rsidR="001637B2">
        <w:rPr>
          <w:color w:val="000000" w:themeColor="text1"/>
        </w:rPr>
        <w:t xml:space="preserve"> part</w:t>
      </w:r>
      <w:r w:rsidR="007009ED">
        <w:rPr>
          <w:color w:val="000000" w:themeColor="text1"/>
        </w:rPr>
        <w:t>ió</w:t>
      </w:r>
      <w:r w:rsidR="001637B2">
        <w:rPr>
          <w:color w:val="000000" w:themeColor="text1"/>
        </w:rPr>
        <w:t xml:space="preserve"> de la obligación de las autoridades </w:t>
      </w:r>
      <w:r w:rsidR="007009ED">
        <w:rPr>
          <w:color w:val="000000" w:themeColor="text1"/>
        </w:rPr>
        <w:t>para</w:t>
      </w:r>
      <w:r w:rsidR="001637B2">
        <w:rPr>
          <w:color w:val="000000" w:themeColor="text1"/>
        </w:rPr>
        <w:t xml:space="preserve"> brindar al niño o niña el mayor apoyo profesional para proporcionar un testimonio que cumpla con los estándares del proceso, por lo que la entrevista debe ser recabada por un especialista que permita obtener la cantidad y calidad de información requerida para el procedimiento en cuestión</w:t>
      </w:r>
      <w:r w:rsidR="004B0116">
        <w:rPr>
          <w:color w:val="000000" w:themeColor="text1"/>
        </w:rPr>
        <w:t>. Así</w:t>
      </w:r>
      <w:r w:rsidR="00E22F9F">
        <w:rPr>
          <w:color w:val="000000" w:themeColor="text1"/>
        </w:rPr>
        <w:t>,</w:t>
      </w:r>
      <w:r w:rsidR="004B0116">
        <w:rPr>
          <w:color w:val="000000" w:themeColor="text1"/>
        </w:rPr>
        <w:t xml:space="preserve"> la</w:t>
      </w:r>
      <w:r w:rsidR="00E22F9F">
        <w:rPr>
          <w:color w:val="000000" w:themeColor="text1"/>
        </w:rPr>
        <w:t xml:space="preserve"> Suprema</w:t>
      </w:r>
      <w:r w:rsidR="004B0116">
        <w:rPr>
          <w:color w:val="000000" w:themeColor="text1"/>
        </w:rPr>
        <w:t xml:space="preserve"> Corte establec</w:t>
      </w:r>
      <w:r w:rsidR="00E22F9F">
        <w:rPr>
          <w:color w:val="000000" w:themeColor="text1"/>
        </w:rPr>
        <w:t>ió</w:t>
      </w:r>
      <w:r w:rsidR="004B0116">
        <w:rPr>
          <w:color w:val="000000" w:themeColor="text1"/>
        </w:rPr>
        <w:t xml:space="preserve"> que este especialista -psicólogo</w:t>
      </w:r>
      <w:r w:rsidR="00681B73">
        <w:rPr>
          <w:color w:val="000000" w:themeColor="text1"/>
        </w:rPr>
        <w:t xml:space="preserve"> capacitado para la toma de declaración infantil</w:t>
      </w:r>
      <w:r w:rsidR="004B0116">
        <w:rPr>
          <w:color w:val="000000" w:themeColor="text1"/>
        </w:rPr>
        <w:t>– s</w:t>
      </w:r>
      <w:r w:rsidR="001F67DB">
        <w:rPr>
          <w:color w:val="000000" w:themeColor="text1"/>
        </w:rPr>
        <w:t>ó</w:t>
      </w:r>
      <w:r w:rsidR="004B0116">
        <w:rPr>
          <w:color w:val="000000" w:themeColor="text1"/>
        </w:rPr>
        <w:t xml:space="preserve">lo </w:t>
      </w:r>
      <w:r w:rsidR="00E22F9F">
        <w:rPr>
          <w:color w:val="000000" w:themeColor="text1"/>
        </w:rPr>
        <w:t xml:space="preserve">debería </w:t>
      </w:r>
      <w:r w:rsidR="004B0116">
        <w:rPr>
          <w:color w:val="000000" w:themeColor="text1"/>
        </w:rPr>
        <w:t>utiliza</w:t>
      </w:r>
      <w:r w:rsidR="00E22F9F">
        <w:rPr>
          <w:color w:val="000000" w:themeColor="text1"/>
        </w:rPr>
        <w:t>r</w:t>
      </w:r>
      <w:r w:rsidR="004B0116">
        <w:rPr>
          <w:color w:val="000000" w:themeColor="text1"/>
        </w:rPr>
        <w:t xml:space="preserve"> sus conocimientos para obtener la declaración,</w:t>
      </w:r>
      <w:r w:rsidR="00E22F9F">
        <w:rPr>
          <w:color w:val="000000" w:themeColor="text1"/>
        </w:rPr>
        <w:t xml:space="preserve"> pero</w:t>
      </w:r>
      <w:r w:rsidR="004B0116">
        <w:rPr>
          <w:color w:val="000000" w:themeColor="text1"/>
        </w:rPr>
        <w:t xml:space="preserve"> nunca para interpretarla o valorarla.</w:t>
      </w:r>
      <w:r w:rsidR="00EF6803">
        <w:rPr>
          <w:color w:val="000000" w:themeColor="text1"/>
        </w:rPr>
        <w:t xml:space="preserve"> Es parte de esta especialización, de acuerdo </w:t>
      </w:r>
      <w:r w:rsidR="00EF3DD3">
        <w:rPr>
          <w:color w:val="000000" w:themeColor="text1"/>
        </w:rPr>
        <w:t>con</w:t>
      </w:r>
      <w:r w:rsidR="00EF6803">
        <w:rPr>
          <w:color w:val="000000" w:themeColor="text1"/>
        </w:rPr>
        <w:t xml:space="preserve"> la sentencia, procurar las condiciones óptimas para que el niño o niña sea protegido de sufrimientos durante el proceso. </w:t>
      </w:r>
    </w:p>
    <w:p w14:paraId="3F31D71C" w14:textId="233DDCE4" w:rsidR="00EF6803" w:rsidRDefault="00EF6803" w:rsidP="00752BDC">
      <w:pPr>
        <w:jc w:val="both"/>
        <w:rPr>
          <w:color w:val="000000" w:themeColor="text1"/>
        </w:rPr>
      </w:pPr>
      <w:r>
        <w:rPr>
          <w:color w:val="000000" w:themeColor="text1"/>
        </w:rPr>
        <w:t xml:space="preserve">Además de la especialización, </w:t>
      </w:r>
      <w:r w:rsidR="007226A0">
        <w:rPr>
          <w:color w:val="000000" w:themeColor="text1"/>
        </w:rPr>
        <w:t>el tribunal mexicano</w:t>
      </w:r>
      <w:r>
        <w:rPr>
          <w:color w:val="000000" w:themeColor="text1"/>
        </w:rPr>
        <w:t xml:space="preserve"> retomó algunos lineamientos mínimos que deben considerarse en la toma de declaraciones, entre las que destacan</w:t>
      </w:r>
      <w:r w:rsidR="00EF3DD3">
        <w:rPr>
          <w:color w:val="000000" w:themeColor="text1"/>
        </w:rPr>
        <w:t>, la planificación de la entrevista por parte del entrevistador</w:t>
      </w:r>
      <w:r w:rsidR="007226A0">
        <w:rPr>
          <w:color w:val="000000" w:themeColor="text1"/>
        </w:rPr>
        <w:t>;</w:t>
      </w:r>
      <w:r w:rsidR="00EF3DD3">
        <w:rPr>
          <w:color w:val="000000" w:themeColor="text1"/>
        </w:rPr>
        <w:t xml:space="preserve"> informarle a niñ</w:t>
      </w:r>
      <w:r w:rsidR="007226A0">
        <w:rPr>
          <w:color w:val="000000" w:themeColor="text1"/>
        </w:rPr>
        <w:t>a</w:t>
      </w:r>
      <w:r w:rsidR="00EF3DD3">
        <w:rPr>
          <w:color w:val="000000" w:themeColor="text1"/>
        </w:rPr>
        <w:t>s o niñ</w:t>
      </w:r>
      <w:r w:rsidR="007226A0">
        <w:rPr>
          <w:color w:val="000000" w:themeColor="text1"/>
        </w:rPr>
        <w:t xml:space="preserve">os </w:t>
      </w:r>
      <w:r w:rsidR="00EF3DD3">
        <w:rPr>
          <w:color w:val="000000" w:themeColor="text1"/>
        </w:rPr>
        <w:t xml:space="preserve">sobre la entrevista y algunas reglas básicas, formular preguntas en lenguaje adecuado a la edad y características de identidad del niño o niña, tomar en cuenta la perspectiva del niño o niña, y la videograbación de la entrevista. Así, </w:t>
      </w:r>
      <w:r w:rsidR="00BB2BAD">
        <w:rPr>
          <w:color w:val="000000" w:themeColor="text1"/>
        </w:rPr>
        <w:t>el tribunal constitucional</w:t>
      </w:r>
      <w:r w:rsidR="00EF3DD3">
        <w:rPr>
          <w:color w:val="000000" w:themeColor="text1"/>
        </w:rPr>
        <w:t xml:space="preserve"> </w:t>
      </w:r>
      <w:r w:rsidR="00BB2BAD">
        <w:rPr>
          <w:color w:val="000000" w:themeColor="text1"/>
        </w:rPr>
        <w:t>advirtió</w:t>
      </w:r>
      <w:r w:rsidR="00EF3DD3">
        <w:rPr>
          <w:color w:val="000000" w:themeColor="text1"/>
        </w:rPr>
        <w:t xml:space="preserve"> que es obligación de las distintas autoridades formular las políticas públicas que resulten idóneas para que las entrevistas investigativas a menores de edad cuenten con estos estándares mínimos. </w:t>
      </w:r>
    </w:p>
    <w:p w14:paraId="66F91D12" w14:textId="1AC96CC9" w:rsidR="00752BDC" w:rsidRDefault="00752BDC" w:rsidP="00752BDC">
      <w:pPr>
        <w:jc w:val="both"/>
        <w:rPr>
          <w:color w:val="000000" w:themeColor="text1"/>
        </w:rPr>
      </w:pPr>
      <w:r>
        <w:rPr>
          <w:color w:val="000000" w:themeColor="text1"/>
        </w:rPr>
        <w:t xml:space="preserve">Finalmente, cabe </w:t>
      </w:r>
      <w:r w:rsidR="004077DF">
        <w:rPr>
          <w:color w:val="000000" w:themeColor="text1"/>
        </w:rPr>
        <w:t>señalar</w:t>
      </w:r>
      <w:r>
        <w:rPr>
          <w:color w:val="000000" w:themeColor="text1"/>
        </w:rPr>
        <w:t>, que si bien la Corte no analiza en el caso, sí lo refiere y menciona en los estándares que forman parte del sustento de la resolución. Se trata de la reiteración de participaciones dentro de los procesos judiciales. Este tipo de prácticas que re</w:t>
      </w:r>
      <w:r w:rsidR="004077DF">
        <w:rPr>
          <w:color w:val="000000" w:themeColor="text1"/>
        </w:rPr>
        <w:t>-</w:t>
      </w:r>
      <w:r>
        <w:rPr>
          <w:color w:val="000000" w:themeColor="text1"/>
        </w:rPr>
        <w:t xml:space="preserve">victimizan a </w:t>
      </w:r>
      <w:r w:rsidR="008C495E">
        <w:rPr>
          <w:color w:val="000000" w:themeColor="text1"/>
        </w:rPr>
        <w:t>niñas y</w:t>
      </w:r>
      <w:r>
        <w:rPr>
          <w:color w:val="000000" w:themeColor="text1"/>
        </w:rPr>
        <w:t xml:space="preserve"> niños</w:t>
      </w:r>
      <w:r w:rsidR="00B32142">
        <w:rPr>
          <w:color w:val="000000" w:themeColor="text1"/>
        </w:rPr>
        <w:t>.</w:t>
      </w:r>
      <w:r w:rsidR="00B32142">
        <w:rPr>
          <w:rStyle w:val="Refdenotaalpie"/>
          <w:color w:val="000000" w:themeColor="text1"/>
        </w:rPr>
        <w:footnoteReference w:id="27"/>
      </w:r>
      <w:r w:rsidR="00B32142">
        <w:rPr>
          <w:color w:val="000000" w:themeColor="text1"/>
        </w:rPr>
        <w:t xml:space="preserve"> La misma Corte Interamericana ha señalado que el Estado debe limitarse a realizar las diligencias que requieran la participación del niño o niña que considere estrictamente necesarias para la recolección del material probatorio.</w:t>
      </w:r>
      <w:r w:rsidR="00B32142">
        <w:rPr>
          <w:rStyle w:val="Refdenotaalpie"/>
          <w:color w:val="000000" w:themeColor="text1"/>
        </w:rPr>
        <w:footnoteReference w:id="28"/>
      </w:r>
      <w:r w:rsidR="00B32142">
        <w:rPr>
          <w:color w:val="000000" w:themeColor="text1"/>
        </w:rPr>
        <w:t xml:space="preserve"> </w:t>
      </w:r>
    </w:p>
    <w:p w14:paraId="28C016ED" w14:textId="6731DB55" w:rsidR="00752BDC" w:rsidRDefault="00B32142" w:rsidP="00752BDC">
      <w:pPr>
        <w:jc w:val="both"/>
        <w:rPr>
          <w:color w:val="000000" w:themeColor="text1"/>
        </w:rPr>
      </w:pPr>
      <w:r>
        <w:rPr>
          <w:color w:val="000000" w:themeColor="text1"/>
        </w:rPr>
        <w:t xml:space="preserve">En el caso concreto, la participación reiterada de la niña que había sido víctima de abuso dio pie a valoraciones que, desde una mirada </w:t>
      </w:r>
      <w:r w:rsidR="008C495E">
        <w:rPr>
          <w:color w:val="000000" w:themeColor="text1"/>
        </w:rPr>
        <w:t>construida desde la perspectiva adulta</w:t>
      </w:r>
      <w:r>
        <w:rPr>
          <w:color w:val="000000" w:themeColor="text1"/>
        </w:rPr>
        <w:t xml:space="preserve"> y carente de </w:t>
      </w:r>
      <w:r w:rsidR="008C495E">
        <w:rPr>
          <w:color w:val="000000" w:themeColor="text1"/>
        </w:rPr>
        <w:t>un enfoque</w:t>
      </w:r>
      <w:r>
        <w:rPr>
          <w:color w:val="000000" w:themeColor="text1"/>
        </w:rPr>
        <w:t xml:space="preserve"> de</w:t>
      </w:r>
      <w:r w:rsidR="008C495E">
        <w:rPr>
          <w:color w:val="000000" w:themeColor="text1"/>
        </w:rPr>
        <w:t xml:space="preserve"> derechos de la</w:t>
      </w:r>
      <w:r>
        <w:rPr>
          <w:color w:val="000000" w:themeColor="text1"/>
        </w:rPr>
        <w:t xml:space="preserve"> infancia, desestimaron su dicho. </w:t>
      </w:r>
      <w:r w:rsidR="00C47780">
        <w:rPr>
          <w:color w:val="000000" w:themeColor="text1"/>
        </w:rPr>
        <w:t xml:space="preserve">Actitudes, reacciones y mecanismos que son propios de niños en ciertas edades y cuando fueron sometidos a eventos traumáticos, fueron valoradas como si se tratara de personas adultas.  </w:t>
      </w:r>
    </w:p>
    <w:p w14:paraId="7EB82B56" w14:textId="77777777" w:rsidR="00620BDA" w:rsidRPr="00EC090C" w:rsidRDefault="00620BDA" w:rsidP="00752BDC">
      <w:pPr>
        <w:jc w:val="both"/>
        <w:rPr>
          <w:color w:val="000000" w:themeColor="text1"/>
        </w:rPr>
      </w:pPr>
    </w:p>
    <w:p w14:paraId="7AF11DFA" w14:textId="5340913E" w:rsidR="000E5074" w:rsidRDefault="00F3485A" w:rsidP="008C495E">
      <w:pPr>
        <w:pStyle w:val="Prrafodelista"/>
        <w:numPr>
          <w:ilvl w:val="0"/>
          <w:numId w:val="17"/>
        </w:numPr>
        <w:ind w:left="1276"/>
        <w:jc w:val="both"/>
        <w:rPr>
          <w:color w:val="000000" w:themeColor="text1"/>
        </w:rPr>
      </w:pPr>
      <w:r w:rsidRPr="000E5074">
        <w:rPr>
          <w:color w:val="000000" w:themeColor="text1"/>
        </w:rPr>
        <w:t>Valoración</w:t>
      </w:r>
      <w:r w:rsidR="0005221F" w:rsidRPr="000E5074">
        <w:rPr>
          <w:color w:val="000000" w:themeColor="text1"/>
        </w:rPr>
        <w:t xml:space="preserve"> de la declaración</w:t>
      </w:r>
    </w:p>
    <w:p w14:paraId="2A1C2353" w14:textId="0DC10988" w:rsidR="2742513F" w:rsidRDefault="00846933" w:rsidP="00583C0C">
      <w:pPr>
        <w:jc w:val="both"/>
        <w:rPr>
          <w:color w:val="000000" w:themeColor="text1"/>
        </w:rPr>
      </w:pPr>
      <w:r>
        <w:rPr>
          <w:color w:val="000000" w:themeColor="text1"/>
        </w:rPr>
        <w:t xml:space="preserve">En la sentencia, la Suprema Corte realiza un estudio sobre la valoración de las pruebas y los criterios de credibilidad de éstas. Más allá de entrar en detalle sobre ello, me parece </w:t>
      </w:r>
      <w:r w:rsidR="006956D4">
        <w:rPr>
          <w:color w:val="000000" w:themeColor="text1"/>
        </w:rPr>
        <w:t>muy importante</w:t>
      </w:r>
      <w:r>
        <w:rPr>
          <w:color w:val="000000" w:themeColor="text1"/>
        </w:rPr>
        <w:t>, por un lado, reconocer que</w:t>
      </w:r>
      <w:r w:rsidR="00227FAA">
        <w:rPr>
          <w:color w:val="000000" w:themeColor="text1"/>
        </w:rPr>
        <w:t>,</w:t>
      </w:r>
      <w:r>
        <w:rPr>
          <w:color w:val="000000" w:themeColor="text1"/>
        </w:rPr>
        <w:t xml:space="preserve"> ante las carencias de la persona juzgadora en </w:t>
      </w:r>
      <w:r w:rsidR="000E128D">
        <w:rPr>
          <w:color w:val="000000" w:themeColor="text1"/>
        </w:rPr>
        <w:t>conocimientos de psicología infantil, para valorar esa prueba debe allegarse de ayuda profesional y especializada en la materia para determinar la existencia de indicadores de credibilidad en el relato de un</w:t>
      </w:r>
      <w:r w:rsidR="00664658">
        <w:rPr>
          <w:color w:val="000000" w:themeColor="text1"/>
        </w:rPr>
        <w:t>a</w:t>
      </w:r>
      <w:r w:rsidR="000E128D">
        <w:rPr>
          <w:color w:val="000000" w:themeColor="text1"/>
        </w:rPr>
        <w:t xml:space="preserve"> niñ</w:t>
      </w:r>
      <w:r w:rsidR="00664658">
        <w:rPr>
          <w:color w:val="000000" w:themeColor="text1"/>
        </w:rPr>
        <w:t>a</w:t>
      </w:r>
      <w:r w:rsidR="000E128D">
        <w:rPr>
          <w:color w:val="000000" w:themeColor="text1"/>
        </w:rPr>
        <w:t xml:space="preserve"> o niñ</w:t>
      </w:r>
      <w:r w:rsidR="00664658">
        <w:rPr>
          <w:color w:val="000000" w:themeColor="text1"/>
        </w:rPr>
        <w:t>o</w:t>
      </w:r>
      <w:r w:rsidR="000E128D">
        <w:rPr>
          <w:color w:val="000000" w:themeColor="text1"/>
        </w:rPr>
        <w:t xml:space="preserve">. </w:t>
      </w:r>
      <w:r w:rsidR="00DD1A17">
        <w:rPr>
          <w:color w:val="000000" w:themeColor="text1"/>
        </w:rPr>
        <w:t>Por otra parte</w:t>
      </w:r>
      <w:r w:rsidR="00936486">
        <w:rPr>
          <w:color w:val="000000" w:themeColor="text1"/>
        </w:rPr>
        <w:t xml:space="preserve">, la sentencia reconoce que el derecho </w:t>
      </w:r>
      <w:r w:rsidR="008B4CDB">
        <w:rPr>
          <w:color w:val="000000" w:themeColor="text1"/>
        </w:rPr>
        <w:t xml:space="preserve">de niñas y niños </w:t>
      </w:r>
      <w:r w:rsidR="00936486">
        <w:rPr>
          <w:color w:val="000000" w:themeColor="text1"/>
        </w:rPr>
        <w:t>a ser escuchados en los procedimientos, en conexión con el interés superior, impone a las autoridades judiciales, legislativas y ejecutivas, la obligación de implementar políticas públicas que garanticen que el personal en instituciones de procuración e impartición de justicia</w:t>
      </w:r>
      <w:r w:rsidR="00227FAA">
        <w:rPr>
          <w:color w:val="000000" w:themeColor="text1"/>
        </w:rPr>
        <w:t xml:space="preserve"> tenga la capacitación necesaria para evaluar este tipo de pruebas. </w:t>
      </w:r>
    </w:p>
    <w:p w14:paraId="41975F5A" w14:textId="77777777" w:rsidR="00620BDA" w:rsidRDefault="00620BDA" w:rsidP="00583C0C">
      <w:pPr>
        <w:jc w:val="both"/>
        <w:rPr>
          <w:color w:val="000000" w:themeColor="text1"/>
        </w:rPr>
      </w:pPr>
    </w:p>
    <w:p w14:paraId="3F1CFC10" w14:textId="09A6D9C7" w:rsidR="00736FE2" w:rsidRPr="00EC090C" w:rsidRDefault="00736FE2" w:rsidP="00EC090C">
      <w:pPr>
        <w:pStyle w:val="Prrafodelista"/>
        <w:numPr>
          <w:ilvl w:val="1"/>
          <w:numId w:val="24"/>
        </w:numPr>
        <w:rPr>
          <w:b/>
          <w:bCs/>
        </w:rPr>
      </w:pPr>
      <w:r w:rsidRPr="00EC090C">
        <w:rPr>
          <w:b/>
          <w:bCs/>
        </w:rPr>
        <w:t>Principios</w:t>
      </w:r>
      <w:r w:rsidR="006A53C9" w:rsidRPr="00EC090C">
        <w:rPr>
          <w:b/>
          <w:bCs/>
        </w:rPr>
        <w:t xml:space="preserve"> </w:t>
      </w:r>
      <w:r w:rsidR="00EC090C">
        <w:rPr>
          <w:b/>
          <w:bCs/>
        </w:rPr>
        <w:t>y herramientas interpretativas</w:t>
      </w:r>
    </w:p>
    <w:p w14:paraId="407CDBDF" w14:textId="216B9090" w:rsidR="006A53C9" w:rsidRDefault="005F6C26" w:rsidP="00297CB7">
      <w:pPr>
        <w:jc w:val="both"/>
        <w:rPr>
          <w:color w:val="000000" w:themeColor="text1"/>
        </w:rPr>
      </w:pPr>
      <w:r>
        <w:rPr>
          <w:color w:val="000000" w:themeColor="text1"/>
        </w:rPr>
        <w:t xml:space="preserve">Como ya se ha podido apreciar, </w:t>
      </w:r>
      <w:r w:rsidR="00297CB7">
        <w:rPr>
          <w:color w:val="000000" w:themeColor="text1"/>
        </w:rPr>
        <w:t>el desarrollo jurisprudencial en materia de derechos de niñ</w:t>
      </w:r>
      <w:r w:rsidR="002E3B47">
        <w:rPr>
          <w:color w:val="000000" w:themeColor="text1"/>
        </w:rPr>
        <w:t>a</w:t>
      </w:r>
      <w:r w:rsidR="00297CB7">
        <w:rPr>
          <w:color w:val="000000" w:themeColor="text1"/>
        </w:rPr>
        <w:t>s, niñ</w:t>
      </w:r>
      <w:r w:rsidR="002E3B47">
        <w:rPr>
          <w:color w:val="000000" w:themeColor="text1"/>
        </w:rPr>
        <w:t>o</w:t>
      </w:r>
      <w:r w:rsidR="00297CB7">
        <w:rPr>
          <w:color w:val="000000" w:themeColor="text1"/>
        </w:rPr>
        <w:t xml:space="preserve">s y adolescentes </w:t>
      </w:r>
      <w:r w:rsidR="002E3B47">
        <w:rPr>
          <w:color w:val="000000" w:themeColor="text1"/>
        </w:rPr>
        <w:t>se encuentra</w:t>
      </w:r>
      <w:r w:rsidR="00297CB7">
        <w:rPr>
          <w:color w:val="000000" w:themeColor="text1"/>
        </w:rPr>
        <w:t xml:space="preserve"> atravesado por el análisis del principio del interés superior. </w:t>
      </w:r>
      <w:r w:rsidR="00B91788">
        <w:rPr>
          <w:color w:val="000000" w:themeColor="text1"/>
        </w:rPr>
        <w:t xml:space="preserve">Es precisamente la constitucionalización de este principio, lo que ha permitido a la Corte pronunciarse sobre diversas temáticas que atañen los derechos de niñas y niños. </w:t>
      </w:r>
      <w:r w:rsidR="006A53C9">
        <w:rPr>
          <w:color w:val="000000" w:themeColor="text1"/>
        </w:rPr>
        <w:t xml:space="preserve">Aunado </w:t>
      </w:r>
      <w:r w:rsidR="00024A82">
        <w:rPr>
          <w:color w:val="000000" w:themeColor="text1"/>
        </w:rPr>
        <w:t>a lo anterior</w:t>
      </w:r>
      <w:r w:rsidR="006A53C9">
        <w:rPr>
          <w:color w:val="000000" w:themeColor="text1"/>
        </w:rPr>
        <w:t xml:space="preserve">, la autonomía progresiva ha sido aprehendida por la Suprema Corte, y ha funcionado también como un </w:t>
      </w:r>
      <w:r w:rsidR="00024A82">
        <w:rPr>
          <w:color w:val="000000" w:themeColor="text1"/>
        </w:rPr>
        <w:t>elemento</w:t>
      </w:r>
      <w:r w:rsidR="006A53C9">
        <w:rPr>
          <w:color w:val="000000" w:themeColor="text1"/>
        </w:rPr>
        <w:t xml:space="preserve"> que se encuentra presente de manera constante en las resoluciones que este tribunal emite en referencia a esta población. </w:t>
      </w:r>
    </w:p>
    <w:p w14:paraId="7C01A2E0" w14:textId="5D4EF051" w:rsidR="005F6C26" w:rsidRPr="00D2586E" w:rsidRDefault="006A53C9" w:rsidP="00024A82">
      <w:pPr>
        <w:jc w:val="both"/>
        <w:rPr>
          <w:highlight w:val="yellow"/>
        </w:rPr>
      </w:pPr>
      <w:r>
        <w:rPr>
          <w:color w:val="000000" w:themeColor="text1"/>
        </w:rPr>
        <w:t xml:space="preserve">Debido al impacto que estos principios han tenido en el desarrollo jurisprudencial en nuestro país, me interesa acercarme a la manera en que la Suprema Corte se ha aproximado a ellas para definirlas. </w:t>
      </w:r>
    </w:p>
    <w:p w14:paraId="2A72FBDE" w14:textId="2F600823" w:rsidR="00736FE2" w:rsidRPr="00EC090C" w:rsidRDefault="00736FE2" w:rsidP="00EC090C">
      <w:pPr>
        <w:pStyle w:val="Prrafodelista"/>
        <w:numPr>
          <w:ilvl w:val="0"/>
          <w:numId w:val="25"/>
        </w:numPr>
        <w:rPr>
          <w:b/>
          <w:bCs/>
          <w:color w:val="000000" w:themeColor="text1"/>
        </w:rPr>
      </w:pPr>
      <w:r w:rsidRPr="00EC090C">
        <w:rPr>
          <w:b/>
          <w:bCs/>
          <w:color w:val="000000" w:themeColor="text1"/>
        </w:rPr>
        <w:t>Interés Superior</w:t>
      </w:r>
    </w:p>
    <w:p w14:paraId="46C8CE80" w14:textId="6E719823" w:rsidR="006A53C9" w:rsidRDefault="00616686" w:rsidP="00736FE2">
      <w:pPr>
        <w:jc w:val="both"/>
        <w:rPr>
          <w:color w:val="000000" w:themeColor="text1"/>
        </w:rPr>
      </w:pPr>
      <w:r>
        <w:rPr>
          <w:color w:val="000000" w:themeColor="text1"/>
        </w:rPr>
        <w:t xml:space="preserve">El principio del interés superior de niñas, niños y adolescentes es, probablemente, el </w:t>
      </w:r>
      <w:r w:rsidR="00024A82">
        <w:rPr>
          <w:color w:val="000000" w:themeColor="text1"/>
        </w:rPr>
        <w:t>aspecto</w:t>
      </w:r>
      <w:r>
        <w:rPr>
          <w:color w:val="000000" w:themeColor="text1"/>
        </w:rPr>
        <w:t xml:space="preserve"> más famoso en materia de </w:t>
      </w:r>
      <w:r w:rsidR="00024A82">
        <w:rPr>
          <w:color w:val="000000" w:themeColor="text1"/>
        </w:rPr>
        <w:t xml:space="preserve">derechos de la </w:t>
      </w:r>
      <w:r>
        <w:rPr>
          <w:color w:val="000000" w:themeColor="text1"/>
        </w:rPr>
        <w:t xml:space="preserve">infancia, y probablemente el más citado cuando cualquier autoridad </w:t>
      </w:r>
      <w:r w:rsidR="006028F5">
        <w:rPr>
          <w:color w:val="000000" w:themeColor="text1"/>
        </w:rPr>
        <w:t>pretende</w:t>
      </w:r>
      <w:r>
        <w:rPr>
          <w:color w:val="000000" w:themeColor="text1"/>
        </w:rPr>
        <w:t xml:space="preserve"> justificar su actuar en relación </w:t>
      </w:r>
      <w:r w:rsidR="006028F5">
        <w:rPr>
          <w:color w:val="000000" w:themeColor="text1"/>
        </w:rPr>
        <w:t>con</w:t>
      </w:r>
      <w:r>
        <w:rPr>
          <w:color w:val="000000" w:themeColor="text1"/>
        </w:rPr>
        <w:t xml:space="preserve"> esta población. Eso mismo ha generado que, por la amplitud que caracteriza a cualquier principio jurídico, su uso arbitrario haya servido para justificar cualquier decisión sin que necesariamente resultara lo más benéfico o protector para </w:t>
      </w:r>
      <w:r w:rsidR="006028F5">
        <w:rPr>
          <w:color w:val="000000" w:themeColor="text1"/>
        </w:rPr>
        <w:t>una niña</w:t>
      </w:r>
      <w:r>
        <w:rPr>
          <w:color w:val="000000" w:themeColor="text1"/>
        </w:rPr>
        <w:t xml:space="preserve"> o niño</w:t>
      </w:r>
      <w:r w:rsidR="006028F5">
        <w:rPr>
          <w:color w:val="000000" w:themeColor="text1"/>
        </w:rPr>
        <w:t>.</w:t>
      </w:r>
      <w:r>
        <w:rPr>
          <w:color w:val="000000" w:themeColor="text1"/>
        </w:rPr>
        <w:t xml:space="preserve"> </w:t>
      </w:r>
    </w:p>
    <w:p w14:paraId="4B3F2E86" w14:textId="7F850437" w:rsidR="00616686" w:rsidRDefault="00616686" w:rsidP="00736FE2">
      <w:pPr>
        <w:jc w:val="both"/>
        <w:rPr>
          <w:color w:val="000000" w:themeColor="text1"/>
        </w:rPr>
      </w:pPr>
      <w:r>
        <w:rPr>
          <w:color w:val="000000" w:themeColor="text1"/>
        </w:rPr>
        <w:t xml:space="preserve">Así, resulta muy interesante </w:t>
      </w:r>
      <w:r w:rsidR="0072096D">
        <w:rPr>
          <w:color w:val="000000" w:themeColor="text1"/>
        </w:rPr>
        <w:t>observar</w:t>
      </w:r>
      <w:r>
        <w:rPr>
          <w:color w:val="000000" w:themeColor="text1"/>
        </w:rPr>
        <w:t xml:space="preserve"> el cambio tan radical que en unos cuantos años </w:t>
      </w:r>
      <w:r w:rsidR="0072096D">
        <w:rPr>
          <w:color w:val="000000" w:themeColor="text1"/>
        </w:rPr>
        <w:t>ha comenzado</w:t>
      </w:r>
      <w:r>
        <w:rPr>
          <w:color w:val="000000" w:themeColor="text1"/>
        </w:rPr>
        <w:t xml:space="preserve"> a tener el tratamiento de ese principio dentro de </w:t>
      </w:r>
      <w:r w:rsidR="00014C66">
        <w:rPr>
          <w:color w:val="000000" w:themeColor="text1"/>
        </w:rPr>
        <w:t>los criterios de la Suprema Corte</w:t>
      </w:r>
      <w:r w:rsidR="0072096D">
        <w:rPr>
          <w:color w:val="000000" w:themeColor="text1"/>
        </w:rPr>
        <w:t xml:space="preserve"> de Justicia mexicana</w:t>
      </w:r>
      <w:r w:rsidR="00014C66">
        <w:rPr>
          <w:color w:val="000000" w:themeColor="text1"/>
        </w:rPr>
        <w:t>. Como se indicaba al inicio, este principio forma parte de nuestra Constitución desde hace más de una década, sin embargo, se encuentra en el texto convencional desde 1989</w:t>
      </w:r>
      <w:r w:rsidR="00B479D4">
        <w:rPr>
          <w:color w:val="000000" w:themeColor="text1"/>
        </w:rPr>
        <w:t>. Ya desde ese entonces se establecía</w:t>
      </w:r>
      <w:r w:rsidR="00014C66">
        <w:rPr>
          <w:color w:val="000000" w:themeColor="text1"/>
        </w:rPr>
        <w:t xml:space="preserve"> </w:t>
      </w:r>
      <w:r w:rsidR="00CB5343">
        <w:rPr>
          <w:color w:val="000000" w:themeColor="text1"/>
        </w:rPr>
        <w:t xml:space="preserve">una clara </w:t>
      </w:r>
      <w:r w:rsidR="00014C66">
        <w:rPr>
          <w:color w:val="000000" w:themeColor="text1"/>
        </w:rPr>
        <w:t xml:space="preserve">obligación </w:t>
      </w:r>
      <w:r w:rsidR="00CB5343">
        <w:rPr>
          <w:color w:val="000000" w:themeColor="text1"/>
        </w:rPr>
        <w:t>para</w:t>
      </w:r>
      <w:r w:rsidR="00014C66">
        <w:rPr>
          <w:color w:val="000000" w:themeColor="text1"/>
        </w:rPr>
        <w:t xml:space="preserve"> que los Estados guiaran sus políticas, acciones y decisione</w:t>
      </w:r>
      <w:r w:rsidR="00B479D4">
        <w:rPr>
          <w:color w:val="000000" w:themeColor="text1"/>
        </w:rPr>
        <w:t>s por este principio. En el año 2003</w:t>
      </w:r>
      <w:r w:rsidR="0042176F">
        <w:rPr>
          <w:color w:val="000000" w:themeColor="text1"/>
        </w:rPr>
        <w:t>,</w:t>
      </w:r>
      <w:r w:rsidR="00B479D4">
        <w:rPr>
          <w:color w:val="000000" w:themeColor="text1"/>
        </w:rPr>
        <w:t xml:space="preserve"> el Comité de los Derechos del Niño publica la Observación General número 5</w:t>
      </w:r>
      <w:r w:rsidR="0042176F">
        <w:rPr>
          <w:color w:val="000000" w:themeColor="text1"/>
        </w:rPr>
        <w:t>,</w:t>
      </w:r>
      <w:r w:rsidR="00B479D4">
        <w:rPr>
          <w:color w:val="000000" w:themeColor="text1"/>
        </w:rPr>
        <w:t xml:space="preserve"> en donde </w:t>
      </w:r>
      <w:r w:rsidR="0042176F">
        <w:rPr>
          <w:color w:val="000000" w:themeColor="text1"/>
        </w:rPr>
        <w:t>establece</w:t>
      </w:r>
      <w:r w:rsidR="00B479D4">
        <w:rPr>
          <w:color w:val="000000" w:themeColor="text1"/>
        </w:rPr>
        <w:t xml:space="preserve"> lineamientos para la mejor compresión </w:t>
      </w:r>
      <w:r w:rsidR="0042176F">
        <w:rPr>
          <w:color w:val="000000" w:themeColor="text1"/>
        </w:rPr>
        <w:t>del interés superior</w:t>
      </w:r>
      <w:r w:rsidR="00B479D4">
        <w:rPr>
          <w:color w:val="000000" w:themeColor="text1"/>
        </w:rPr>
        <w:t>, y en 2013, a través de la Observación General número 1</w:t>
      </w:r>
      <w:r w:rsidR="003D34AE">
        <w:rPr>
          <w:color w:val="000000" w:themeColor="text1"/>
        </w:rPr>
        <w:t>4</w:t>
      </w:r>
      <w:r w:rsidR="00B479D4">
        <w:rPr>
          <w:color w:val="000000" w:themeColor="text1"/>
        </w:rPr>
        <w:t xml:space="preserve">, </w:t>
      </w:r>
      <w:r w:rsidR="00A51306">
        <w:rPr>
          <w:color w:val="000000" w:themeColor="text1"/>
        </w:rPr>
        <w:t>termina</w:t>
      </w:r>
      <w:r w:rsidR="00B479D4">
        <w:rPr>
          <w:color w:val="000000" w:themeColor="text1"/>
        </w:rPr>
        <w:t xml:space="preserve"> por delimitar los alcances, naturaleza y desarrollo del mismo. </w:t>
      </w:r>
    </w:p>
    <w:p w14:paraId="7552EAC5" w14:textId="7BDBC13A" w:rsidR="00B479D4" w:rsidRDefault="00B479D4" w:rsidP="00736FE2">
      <w:pPr>
        <w:jc w:val="both"/>
        <w:rPr>
          <w:color w:val="000000" w:themeColor="text1"/>
        </w:rPr>
      </w:pPr>
      <w:r>
        <w:rPr>
          <w:color w:val="000000" w:themeColor="text1"/>
        </w:rPr>
        <w:t xml:space="preserve">No obstante todo ese desarrollo, </w:t>
      </w:r>
      <w:r w:rsidR="003D34AE">
        <w:rPr>
          <w:color w:val="000000" w:themeColor="text1"/>
        </w:rPr>
        <w:t xml:space="preserve">todavía en sentencias posteriores a 2010 se podían observar argumentos </w:t>
      </w:r>
      <w:r w:rsidR="00A51306">
        <w:rPr>
          <w:color w:val="000000" w:themeColor="text1"/>
        </w:rPr>
        <w:t xml:space="preserve">de corte </w:t>
      </w:r>
      <w:r w:rsidR="003D34AE">
        <w:rPr>
          <w:color w:val="000000" w:themeColor="text1"/>
        </w:rPr>
        <w:t xml:space="preserve">tutelar, discriminatorios </w:t>
      </w:r>
      <w:r w:rsidR="00A51306">
        <w:rPr>
          <w:color w:val="000000" w:themeColor="text1"/>
        </w:rPr>
        <w:t xml:space="preserve">o construídos desde la perspectiva de las personas adultas, las cuales </w:t>
      </w:r>
      <w:r w:rsidR="003D34AE">
        <w:rPr>
          <w:color w:val="000000" w:themeColor="text1"/>
        </w:rPr>
        <w:t xml:space="preserve">se amparaban en el interés superior. En muchas ocasiones, </w:t>
      </w:r>
      <w:r w:rsidR="00A51306">
        <w:rPr>
          <w:color w:val="000000" w:themeColor="text1"/>
        </w:rPr>
        <w:t xml:space="preserve">el interés superior </w:t>
      </w:r>
      <w:r w:rsidR="003D34AE">
        <w:rPr>
          <w:color w:val="000000" w:themeColor="text1"/>
        </w:rPr>
        <w:t xml:space="preserve">incluso fue </w:t>
      </w:r>
      <w:r w:rsidR="00D03D3A">
        <w:rPr>
          <w:color w:val="000000" w:themeColor="text1"/>
        </w:rPr>
        <w:t xml:space="preserve">un </w:t>
      </w:r>
      <w:r w:rsidR="003D34AE">
        <w:rPr>
          <w:color w:val="000000" w:themeColor="text1"/>
        </w:rPr>
        <w:t xml:space="preserve">argumento para restringir o, abiertamente, afectar el ejercicio de derechos de terceras personas. </w:t>
      </w:r>
    </w:p>
    <w:p w14:paraId="317706A9" w14:textId="23C031C7" w:rsidR="003D34AE" w:rsidRDefault="00D03D3A" w:rsidP="00736FE2">
      <w:pPr>
        <w:jc w:val="both"/>
        <w:rPr>
          <w:color w:val="000000" w:themeColor="text1"/>
        </w:rPr>
      </w:pPr>
      <w:r>
        <w:rPr>
          <w:color w:val="000000" w:themeColor="text1"/>
        </w:rPr>
        <w:t>Frente a todo ello</w:t>
      </w:r>
      <w:r w:rsidR="003D34AE">
        <w:rPr>
          <w:color w:val="000000" w:themeColor="text1"/>
        </w:rPr>
        <w:t>, la Suprema Corte</w:t>
      </w:r>
      <w:r>
        <w:rPr>
          <w:color w:val="000000" w:themeColor="text1"/>
        </w:rPr>
        <w:t xml:space="preserve"> mexicana</w:t>
      </w:r>
      <w:r w:rsidR="003D34AE">
        <w:rPr>
          <w:color w:val="000000" w:themeColor="text1"/>
        </w:rPr>
        <w:t xml:space="preserve"> ha retomado los criterios generales desarrollados por la Observación General 14 para caracterizar y delimitar los alcances de esta figura que tiene como finalidad, hacer efectivos la protección y garantía de los derechos de niñas, niños y adolescentes. Este aterrizaje en la jurisprudencia impacta en dos aspectos:</w:t>
      </w:r>
    </w:p>
    <w:p w14:paraId="0453FCE3" w14:textId="5DEF698D" w:rsidR="00736FE2" w:rsidRPr="003D34AE" w:rsidRDefault="003D34AE" w:rsidP="00736FE2">
      <w:pPr>
        <w:pStyle w:val="Prrafodelista"/>
        <w:numPr>
          <w:ilvl w:val="0"/>
          <w:numId w:val="10"/>
        </w:numPr>
        <w:jc w:val="both"/>
        <w:rPr>
          <w:color w:val="000000" w:themeColor="text1"/>
        </w:rPr>
      </w:pPr>
      <w:r w:rsidRPr="003D34AE">
        <w:rPr>
          <w:color w:val="000000" w:themeColor="text1"/>
        </w:rPr>
        <w:t xml:space="preserve">El interés superior es entendido en tres dimensiones distintas: como principio, como norma de procedimiento </w:t>
      </w:r>
      <w:r w:rsidR="00736FE2" w:rsidRPr="003D34AE">
        <w:rPr>
          <w:color w:val="000000" w:themeColor="text1"/>
        </w:rPr>
        <w:t>(pauta interpretativa aplicable a las normas y actos que tengan injerencias respecto de los derechos de niñas y niños), y como derecho. Sobre todo las primeras dos son las que retoma la SCJN en sus fallos</w:t>
      </w:r>
      <w:r>
        <w:rPr>
          <w:color w:val="000000" w:themeColor="text1"/>
        </w:rPr>
        <w:t xml:space="preserve">, aunque ha señalado reiteradamente este carácter tridimensional. </w:t>
      </w:r>
    </w:p>
    <w:p w14:paraId="56CD12DD" w14:textId="68687F3E" w:rsidR="003D34AE" w:rsidRDefault="003D34AE" w:rsidP="00886A12">
      <w:pPr>
        <w:pStyle w:val="Prrafodelista"/>
        <w:numPr>
          <w:ilvl w:val="0"/>
          <w:numId w:val="10"/>
        </w:numPr>
        <w:jc w:val="both"/>
        <w:rPr>
          <w:color w:val="000000" w:themeColor="text1"/>
        </w:rPr>
      </w:pPr>
      <w:r w:rsidRPr="003D34AE">
        <w:rPr>
          <w:color w:val="000000" w:themeColor="text1"/>
        </w:rPr>
        <w:t>La transversalización del principio</w:t>
      </w:r>
      <w:r w:rsidR="00736FE2" w:rsidRPr="003D34AE">
        <w:rPr>
          <w:color w:val="000000" w:themeColor="text1"/>
        </w:rPr>
        <w:t xml:space="preserve"> </w:t>
      </w:r>
      <w:r w:rsidRPr="003D34AE">
        <w:rPr>
          <w:color w:val="000000" w:themeColor="text1"/>
        </w:rPr>
        <w:t>en</w:t>
      </w:r>
      <w:r w:rsidR="00736FE2" w:rsidRPr="003D34AE">
        <w:rPr>
          <w:color w:val="000000" w:themeColor="text1"/>
        </w:rPr>
        <w:t xml:space="preserve"> situaciones y derechos específic</w:t>
      </w:r>
      <w:r>
        <w:rPr>
          <w:color w:val="000000" w:themeColor="text1"/>
        </w:rPr>
        <w:t xml:space="preserve">os, como se ha visto anteriormente en criterios procesales, </w:t>
      </w:r>
      <w:r w:rsidR="00762081">
        <w:rPr>
          <w:color w:val="000000" w:themeColor="text1"/>
        </w:rPr>
        <w:t xml:space="preserve">pero también en casos en donde se resuelven asuntos de patria potestad, salud, adopciones, violencia, etc. </w:t>
      </w:r>
    </w:p>
    <w:p w14:paraId="0BE64A37" w14:textId="5D0F8A9E" w:rsidR="00762081" w:rsidRDefault="00762081" w:rsidP="00762081">
      <w:pPr>
        <w:jc w:val="both"/>
        <w:rPr>
          <w:color w:val="000000" w:themeColor="text1"/>
        </w:rPr>
      </w:pPr>
      <w:r>
        <w:rPr>
          <w:color w:val="000000" w:themeColor="text1"/>
        </w:rPr>
        <w:t>El uso del interés superior baj</w:t>
      </w:r>
      <w:r w:rsidR="00F45A9F">
        <w:rPr>
          <w:color w:val="000000" w:themeColor="text1"/>
        </w:rPr>
        <w:t xml:space="preserve">o </w:t>
      </w:r>
      <w:r>
        <w:rPr>
          <w:color w:val="000000" w:themeColor="text1"/>
        </w:rPr>
        <w:t xml:space="preserve">una perspectiva de </w:t>
      </w:r>
      <w:r w:rsidR="00F45A9F">
        <w:rPr>
          <w:color w:val="000000" w:themeColor="text1"/>
        </w:rPr>
        <w:t xml:space="preserve">derechos de la </w:t>
      </w:r>
      <w:r>
        <w:rPr>
          <w:color w:val="000000" w:themeColor="text1"/>
        </w:rPr>
        <w:t>infancia –no tutelar–, ha permitido derrotar ideas</w:t>
      </w:r>
      <w:r w:rsidR="00A46954">
        <w:rPr>
          <w:color w:val="000000" w:themeColor="text1"/>
        </w:rPr>
        <w:t xml:space="preserve"> que no corresponden a una protección integral de los derechos de niñas, niños y adolescentes</w:t>
      </w:r>
      <w:r>
        <w:rPr>
          <w:color w:val="000000" w:themeColor="text1"/>
        </w:rPr>
        <w:t xml:space="preserve">. Por ejemplo, </w:t>
      </w:r>
      <w:r w:rsidR="00FA1A98">
        <w:rPr>
          <w:color w:val="000000" w:themeColor="text1"/>
        </w:rPr>
        <w:t xml:space="preserve">durante mucho tiempo se pensó que </w:t>
      </w:r>
      <w:r>
        <w:rPr>
          <w:color w:val="000000" w:themeColor="text1"/>
        </w:rPr>
        <w:t xml:space="preserve">en </w:t>
      </w:r>
      <w:r w:rsidR="00FA1A98">
        <w:rPr>
          <w:color w:val="000000" w:themeColor="text1"/>
        </w:rPr>
        <w:t>l</w:t>
      </w:r>
      <w:r>
        <w:rPr>
          <w:color w:val="000000" w:themeColor="text1"/>
        </w:rPr>
        <w:t>a</w:t>
      </w:r>
      <w:r w:rsidR="00FA1A98">
        <w:rPr>
          <w:color w:val="000000" w:themeColor="text1"/>
        </w:rPr>
        <w:t>s</w:t>
      </w:r>
      <w:r>
        <w:rPr>
          <w:color w:val="000000" w:themeColor="text1"/>
        </w:rPr>
        <w:t xml:space="preserve"> controversia</w:t>
      </w:r>
      <w:r w:rsidR="00FA1A98">
        <w:rPr>
          <w:color w:val="000000" w:themeColor="text1"/>
        </w:rPr>
        <w:t>s</w:t>
      </w:r>
      <w:r>
        <w:rPr>
          <w:color w:val="000000" w:themeColor="text1"/>
        </w:rPr>
        <w:t xml:space="preserve"> de guarda y custodia por el divorcio de </w:t>
      </w:r>
      <w:r w:rsidR="00FA1A98">
        <w:rPr>
          <w:color w:val="000000" w:themeColor="text1"/>
        </w:rPr>
        <w:t xml:space="preserve">sus </w:t>
      </w:r>
      <w:r>
        <w:rPr>
          <w:color w:val="000000" w:themeColor="text1"/>
        </w:rPr>
        <w:t xml:space="preserve">progenitores, los hijos debían quedarse con la madre. Además de que ese criterio ya ha sido superado desde una perspectiva de género, aplicar el principio de interés superior ha permitido identificar que el caso debe mirarse de manera casuística, identificando la decisión que mejor proteja los derechos e intereses de </w:t>
      </w:r>
      <w:r w:rsidR="000A39AE">
        <w:rPr>
          <w:color w:val="000000" w:themeColor="text1"/>
        </w:rPr>
        <w:t xml:space="preserve">la </w:t>
      </w:r>
      <w:r>
        <w:rPr>
          <w:color w:val="000000" w:themeColor="text1"/>
        </w:rPr>
        <w:t>niñ</w:t>
      </w:r>
      <w:r w:rsidR="000A39AE">
        <w:rPr>
          <w:color w:val="000000" w:themeColor="text1"/>
        </w:rPr>
        <w:t>a</w:t>
      </w:r>
      <w:r>
        <w:rPr>
          <w:color w:val="000000" w:themeColor="text1"/>
        </w:rPr>
        <w:t xml:space="preserve"> o niñ</w:t>
      </w:r>
      <w:r w:rsidR="000A39AE">
        <w:rPr>
          <w:color w:val="000000" w:themeColor="text1"/>
        </w:rPr>
        <w:t>o</w:t>
      </w:r>
      <w:r>
        <w:rPr>
          <w:color w:val="000000" w:themeColor="text1"/>
        </w:rPr>
        <w:t>, y no por cláusulas generales que son, evidentemente, estereotipadas</w:t>
      </w:r>
      <w:r w:rsidR="000A39AE">
        <w:rPr>
          <w:color w:val="000000" w:themeColor="text1"/>
        </w:rPr>
        <w:t xml:space="preserve"> y suelen construirse desde la perspectiva adulta</w:t>
      </w:r>
      <w:r>
        <w:rPr>
          <w:color w:val="000000" w:themeColor="text1"/>
        </w:rPr>
        <w:t xml:space="preserve">. </w:t>
      </w:r>
    </w:p>
    <w:p w14:paraId="5561C096" w14:textId="6D00DCA6" w:rsidR="00C67ADF" w:rsidRDefault="00C67ADF" w:rsidP="00E975F7">
      <w:pPr>
        <w:jc w:val="both"/>
        <w:rPr>
          <w:color w:val="000000" w:themeColor="text1"/>
        </w:rPr>
      </w:pPr>
      <w:r>
        <w:rPr>
          <w:color w:val="000000" w:themeColor="text1"/>
        </w:rPr>
        <w:t>Est</w:t>
      </w:r>
      <w:r w:rsidR="00E975F7">
        <w:rPr>
          <w:color w:val="000000" w:themeColor="text1"/>
        </w:rPr>
        <w:t xml:space="preserve">e es el caso de una mujer que promovió una demanda </w:t>
      </w:r>
      <w:r w:rsidR="00990057">
        <w:rPr>
          <w:color w:val="000000" w:themeColor="text1"/>
        </w:rPr>
        <w:t xml:space="preserve">en </w:t>
      </w:r>
      <w:r w:rsidR="00E975F7">
        <w:rPr>
          <w:color w:val="000000" w:themeColor="text1"/>
        </w:rPr>
        <w:t>contra el padre de su hija de 6 meses de eda</w:t>
      </w:r>
      <w:r w:rsidR="000A39AE">
        <w:rPr>
          <w:color w:val="000000" w:themeColor="text1"/>
        </w:rPr>
        <w:t>d</w:t>
      </w:r>
      <w:r w:rsidR="00E975F7">
        <w:rPr>
          <w:color w:val="000000" w:themeColor="text1"/>
        </w:rPr>
        <w:t xml:space="preserve"> para solicitar </w:t>
      </w:r>
      <w:r w:rsidR="00990057">
        <w:rPr>
          <w:color w:val="000000" w:themeColor="text1"/>
        </w:rPr>
        <w:t>la</w:t>
      </w:r>
      <w:r w:rsidR="00E975F7">
        <w:rPr>
          <w:color w:val="000000" w:themeColor="text1"/>
        </w:rPr>
        <w:t xml:space="preserve"> guarda y custodia definitiva. En primer</w:t>
      </w:r>
      <w:r w:rsidR="00990057">
        <w:rPr>
          <w:color w:val="000000" w:themeColor="text1"/>
        </w:rPr>
        <w:t>a</w:t>
      </w:r>
      <w:r w:rsidR="00E975F7">
        <w:rPr>
          <w:color w:val="000000" w:themeColor="text1"/>
        </w:rPr>
        <w:t xml:space="preserve"> instancia</w:t>
      </w:r>
      <w:r w:rsidR="00990057">
        <w:rPr>
          <w:color w:val="000000" w:themeColor="text1"/>
        </w:rPr>
        <w:t>,</w:t>
      </w:r>
      <w:r w:rsidR="00E975F7">
        <w:rPr>
          <w:color w:val="000000" w:themeColor="text1"/>
        </w:rPr>
        <w:t xml:space="preserve"> le dieron la razón a la madre argumentando que </w:t>
      </w:r>
      <w:r w:rsidRPr="00E975F7">
        <w:rPr>
          <w:i/>
          <w:iCs/>
          <w:color w:val="000000" w:themeColor="text1"/>
        </w:rPr>
        <w:t>es la madre quien goza de la presunción legal y humana de ser la persona idónea para tener bajo su cuidado a los hijos que haya procreado, correspondiendo en todo caso al progenitor la carga procesal para demostrar lo contrario</w:t>
      </w:r>
      <w:r w:rsidR="00E975F7">
        <w:rPr>
          <w:i/>
          <w:iCs/>
          <w:color w:val="000000" w:themeColor="text1"/>
        </w:rPr>
        <w:t>.</w:t>
      </w:r>
      <w:r w:rsidR="00E975F7">
        <w:rPr>
          <w:color w:val="000000" w:themeColor="text1"/>
        </w:rPr>
        <w:t xml:space="preserve"> Bajo ese mismo razonamiento, el tribunal de alzada confirmó esta sentencia que había sido apelada por el padre. </w:t>
      </w:r>
    </w:p>
    <w:p w14:paraId="6F0350B7" w14:textId="29EFED20" w:rsidR="00541DBC" w:rsidRDefault="00D85FCF" w:rsidP="00541DBC">
      <w:pPr>
        <w:jc w:val="both"/>
        <w:rPr>
          <w:color w:val="000000" w:themeColor="text1"/>
        </w:rPr>
      </w:pPr>
      <w:r>
        <w:rPr>
          <w:color w:val="000000" w:themeColor="text1"/>
        </w:rPr>
        <w:t>En la demanda de amparo que interpuso el padre, si bien el Tribunal que conoció la causa reconoció que</w:t>
      </w:r>
      <w:r w:rsidR="00392A47">
        <w:rPr>
          <w:color w:val="000000" w:themeColor="text1"/>
        </w:rPr>
        <w:t>,</w:t>
      </w:r>
      <w:r>
        <w:rPr>
          <w:color w:val="000000" w:themeColor="text1"/>
        </w:rPr>
        <w:t xml:space="preserve"> tanto el padre como la madre deben de gozar </w:t>
      </w:r>
      <w:r w:rsidR="00541DBC">
        <w:rPr>
          <w:color w:val="000000" w:themeColor="text1"/>
        </w:rPr>
        <w:t xml:space="preserve">de los mismos derechos en condiciones igualdad, reiteró que por la edad de la hija, la madre es quien tiene la aptitud </w:t>
      </w:r>
      <w:r w:rsidR="00541DBC">
        <w:rPr>
          <w:i/>
          <w:iCs/>
          <w:color w:val="000000" w:themeColor="text1"/>
        </w:rPr>
        <w:t xml:space="preserve">natural y legal </w:t>
      </w:r>
      <w:r w:rsidR="00541DBC">
        <w:rPr>
          <w:color w:val="000000" w:themeColor="text1"/>
        </w:rPr>
        <w:t>para cuidar de ella. Además de que no existía ninguna prueba para considerar que la madre ponía en riesgo a la niña.</w:t>
      </w:r>
    </w:p>
    <w:p w14:paraId="7468C369" w14:textId="3E4276B6" w:rsidR="00541DBC" w:rsidRDefault="00541DBC" w:rsidP="00C67ADF">
      <w:pPr>
        <w:jc w:val="both"/>
        <w:rPr>
          <w:color w:val="000000" w:themeColor="text1"/>
        </w:rPr>
      </w:pPr>
      <w:r>
        <w:rPr>
          <w:color w:val="000000" w:themeColor="text1"/>
        </w:rPr>
        <w:t>El cas</w:t>
      </w:r>
      <w:r w:rsidR="00892E39">
        <w:rPr>
          <w:color w:val="000000" w:themeColor="text1"/>
        </w:rPr>
        <w:t>o</w:t>
      </w:r>
      <w:r>
        <w:rPr>
          <w:color w:val="000000" w:themeColor="text1"/>
        </w:rPr>
        <w:t xml:space="preserve"> lleg</w:t>
      </w:r>
      <w:r w:rsidR="00892E39">
        <w:rPr>
          <w:color w:val="000000" w:themeColor="text1"/>
        </w:rPr>
        <w:t>aría hasta</w:t>
      </w:r>
      <w:r>
        <w:rPr>
          <w:color w:val="000000" w:themeColor="text1"/>
        </w:rPr>
        <w:t xml:space="preserve"> la Suprema Corte, quien analizó la constitucionalidad de la regla contenida en el Código Civil de la entidad en donde se dio la controversial que establecía que</w:t>
      </w:r>
      <w:r w:rsidR="00C67ADF" w:rsidRPr="00541DBC">
        <w:rPr>
          <w:color w:val="000000" w:themeColor="text1"/>
        </w:rPr>
        <w:t xml:space="preserve">: </w:t>
      </w:r>
      <w:r w:rsidR="00C67ADF" w:rsidRPr="00541DBC">
        <w:rPr>
          <w:i/>
          <w:iCs/>
          <w:color w:val="000000" w:themeColor="text1"/>
        </w:rPr>
        <w:t>los menores de diez años quedarán al cuidado de la madre, salvo que sea perjudicial para el mism</w:t>
      </w:r>
      <w:r>
        <w:rPr>
          <w:color w:val="000000" w:themeColor="text1"/>
        </w:rPr>
        <w:t>o.</w:t>
      </w:r>
      <w:r w:rsidR="00C67ADF" w:rsidRPr="00541DBC">
        <w:rPr>
          <w:color w:val="000000" w:themeColor="text1"/>
        </w:rPr>
        <w:t xml:space="preserve"> </w:t>
      </w:r>
      <w:r w:rsidR="00CE5F77">
        <w:rPr>
          <w:color w:val="000000" w:themeColor="text1"/>
        </w:rPr>
        <w:t xml:space="preserve">Cabe señalar que este criterio ya había sufrido una evolución jurisprudencial en la misma Corte, y el trabajo ahora era </w:t>
      </w:r>
      <w:r w:rsidR="0071254A">
        <w:rPr>
          <w:color w:val="000000" w:themeColor="text1"/>
        </w:rPr>
        <w:t>eliminar</w:t>
      </w:r>
      <w:r w:rsidR="00CE5F77">
        <w:rPr>
          <w:color w:val="000000" w:themeColor="text1"/>
        </w:rPr>
        <w:t xml:space="preserve"> todos aquellos criterios estereotipados y discriminatorios que habían acompañado muchas de sus resoluciones en el tema</w:t>
      </w:r>
      <w:r w:rsidR="0071254A">
        <w:rPr>
          <w:color w:val="000000" w:themeColor="text1"/>
        </w:rPr>
        <w:t>, incluso sentencias de la propia Suprema Corte en momentos anteriores.</w:t>
      </w:r>
      <w:r w:rsidR="00CE5F77">
        <w:rPr>
          <w:color w:val="000000" w:themeColor="text1"/>
        </w:rPr>
        <w:t xml:space="preserve"> </w:t>
      </w:r>
    </w:p>
    <w:p w14:paraId="0C8C5DBD" w14:textId="230A4EFE" w:rsidR="00557AC3" w:rsidRDefault="00557AC3" w:rsidP="00C67ADF">
      <w:pPr>
        <w:jc w:val="both"/>
        <w:rPr>
          <w:color w:val="000000" w:themeColor="text1"/>
        </w:rPr>
      </w:pPr>
      <w:r>
        <w:rPr>
          <w:color w:val="000000" w:themeColor="text1"/>
        </w:rPr>
        <w:t>La Suprema Corte declaró constitucional el precepto puesto en análisis siempre y cuando se interprete conforme al interés superior. Argumentó lo que sigue:</w:t>
      </w:r>
    </w:p>
    <w:p w14:paraId="20ED6271" w14:textId="3A711706" w:rsidR="00C67ADF" w:rsidRPr="00557AC3" w:rsidRDefault="00C67ADF" w:rsidP="00557AC3">
      <w:pPr>
        <w:ind w:left="851"/>
        <w:jc w:val="both"/>
        <w:rPr>
          <w:i/>
          <w:iCs/>
          <w:color w:val="000000" w:themeColor="text1"/>
        </w:rPr>
      </w:pPr>
      <w:r w:rsidRPr="00557AC3">
        <w:rPr>
          <w:i/>
          <w:iCs/>
          <w:color w:val="000000" w:themeColor="text1"/>
        </w:rPr>
        <w:t>[...] en un primer momento, la justificación de las normas civiles que otorgaban preferencia a la madre en la guarda y custodia de los menores se fundamentaba en una idea preconcebida, bajo la cual, la mujer gozaba de una específica aptitud para cuidar a los hijos</w:t>
      </w:r>
      <w:r w:rsidR="00557AC3">
        <w:rPr>
          <w:i/>
          <w:iCs/>
          <w:color w:val="000000" w:themeColor="text1"/>
        </w:rPr>
        <w:t xml:space="preserve"> […]</w:t>
      </w:r>
      <w:r w:rsidRPr="00557AC3">
        <w:rPr>
          <w:i/>
          <w:iCs/>
          <w:color w:val="000000" w:themeColor="text1"/>
        </w:rPr>
        <w:t>esta justificación era acorde a una visión que establecía una clara división de los roles atribuidos al hombre y a la mujer</w:t>
      </w:r>
      <w:r w:rsidR="00557AC3">
        <w:rPr>
          <w:i/>
          <w:iCs/>
          <w:color w:val="000000" w:themeColor="text1"/>
        </w:rPr>
        <w:t xml:space="preserve"> [</w:t>
      </w:r>
      <w:r w:rsidRPr="00557AC3">
        <w:rPr>
          <w:i/>
          <w:iCs/>
          <w:color w:val="000000" w:themeColor="text1"/>
        </w:rPr>
        <w:t>en donde</w:t>
      </w:r>
      <w:r w:rsidR="00557AC3">
        <w:rPr>
          <w:i/>
          <w:iCs/>
          <w:color w:val="000000" w:themeColor="text1"/>
        </w:rPr>
        <w:t>]</w:t>
      </w:r>
      <w:r w:rsidRPr="00557AC3">
        <w:rPr>
          <w:i/>
          <w:iCs/>
          <w:color w:val="000000" w:themeColor="text1"/>
        </w:rPr>
        <w:t xml:space="preserve"> el género resultaba un factor determinante en el reparto de funciones y actividades, lo que conllevaba un claro dominio social del hombre sobre la mujeres, la cual se concebía únicamente como madre, ama de casa que debía permanecer en el hogar y velar por el cuidado y bienestar de los hijos</w:t>
      </w:r>
      <w:r w:rsidR="00557AC3" w:rsidRPr="00557AC3">
        <w:rPr>
          <w:i/>
          <w:iCs/>
          <w:color w:val="000000" w:themeColor="text1"/>
        </w:rPr>
        <w:t>.</w:t>
      </w:r>
    </w:p>
    <w:p w14:paraId="64017B86" w14:textId="6D05F75E" w:rsidR="00557AC3" w:rsidRDefault="00113E0B" w:rsidP="00C67ADF">
      <w:pPr>
        <w:jc w:val="both"/>
        <w:rPr>
          <w:color w:val="000000" w:themeColor="text1"/>
        </w:rPr>
      </w:pPr>
      <w:r>
        <w:rPr>
          <w:color w:val="000000" w:themeColor="text1"/>
        </w:rPr>
        <w:t>P</w:t>
      </w:r>
      <w:r w:rsidR="00557AC3">
        <w:rPr>
          <w:color w:val="000000" w:themeColor="text1"/>
        </w:rPr>
        <w:t>osteriormente</w:t>
      </w:r>
      <w:r>
        <w:rPr>
          <w:color w:val="000000" w:themeColor="text1"/>
        </w:rPr>
        <w:t>,</w:t>
      </w:r>
      <w:r w:rsidR="00557AC3">
        <w:rPr>
          <w:color w:val="000000" w:themeColor="text1"/>
        </w:rPr>
        <w:t xml:space="preserve"> aclaró que esta idea ya no e</w:t>
      </w:r>
      <w:r>
        <w:rPr>
          <w:color w:val="000000" w:themeColor="text1"/>
        </w:rPr>
        <w:t>ra</w:t>
      </w:r>
      <w:r w:rsidR="00557AC3">
        <w:rPr>
          <w:color w:val="000000" w:themeColor="text1"/>
        </w:rPr>
        <w:t xml:space="preserve"> compartida por la Corte pues resulta inadmisible en un sistema que tiene como base la igualdad y no </w:t>
      </w:r>
      <w:r w:rsidR="00BA4089">
        <w:rPr>
          <w:color w:val="000000" w:themeColor="text1"/>
        </w:rPr>
        <w:t>discriminación</w:t>
      </w:r>
      <w:r w:rsidR="00557AC3">
        <w:rPr>
          <w:color w:val="000000" w:themeColor="text1"/>
        </w:rPr>
        <w:t>.</w:t>
      </w:r>
      <w:r w:rsidR="00BA4089">
        <w:rPr>
          <w:color w:val="000000" w:themeColor="text1"/>
        </w:rPr>
        <w:t xml:space="preserve"> Así dejó claro, desde un análisis de género, que </w:t>
      </w:r>
      <w:r w:rsidR="001302BC">
        <w:rPr>
          <w:color w:val="000000" w:themeColor="text1"/>
        </w:rPr>
        <w:t xml:space="preserve">el propio tribunal constitucional reconoce la vigencia de </w:t>
      </w:r>
      <w:r w:rsidR="00BA4089">
        <w:rPr>
          <w:color w:val="000000" w:themeColor="text1"/>
        </w:rPr>
        <w:t>un concepto de familia en donde sus integrantes gozan de los mismos derechos</w:t>
      </w:r>
      <w:r w:rsidR="00911D25">
        <w:rPr>
          <w:color w:val="000000" w:themeColor="text1"/>
        </w:rPr>
        <w:t xml:space="preserve">, y existe una </w:t>
      </w:r>
      <w:r w:rsidR="00BA4089">
        <w:rPr>
          <w:color w:val="000000" w:themeColor="text1"/>
        </w:rPr>
        <w:t>evolución de roles que desempeñan madres y padres,</w:t>
      </w:r>
      <w:r w:rsidR="00911D25">
        <w:rPr>
          <w:color w:val="000000" w:themeColor="text1"/>
        </w:rPr>
        <w:t xml:space="preserve"> así como</w:t>
      </w:r>
      <w:r w:rsidR="00BA4089">
        <w:rPr>
          <w:color w:val="000000" w:themeColor="text1"/>
        </w:rPr>
        <w:t xml:space="preserve"> </w:t>
      </w:r>
      <w:r w:rsidR="00911D25">
        <w:rPr>
          <w:color w:val="000000" w:themeColor="text1"/>
        </w:rPr>
        <w:t>un</w:t>
      </w:r>
      <w:r w:rsidR="00BA4089">
        <w:rPr>
          <w:color w:val="000000" w:themeColor="text1"/>
        </w:rPr>
        <w:t xml:space="preserve"> reparto de funciones familiares </w:t>
      </w:r>
      <w:r w:rsidR="00911D25">
        <w:rPr>
          <w:color w:val="000000" w:themeColor="text1"/>
        </w:rPr>
        <w:t xml:space="preserve">que </w:t>
      </w:r>
      <w:r w:rsidR="00BA4089">
        <w:rPr>
          <w:color w:val="000000" w:themeColor="text1"/>
        </w:rPr>
        <w:t>debe</w:t>
      </w:r>
      <w:r w:rsidR="00911D25">
        <w:rPr>
          <w:color w:val="000000" w:themeColor="text1"/>
        </w:rPr>
        <w:t>n</w:t>
      </w:r>
      <w:r w:rsidR="00BA4089">
        <w:rPr>
          <w:color w:val="000000" w:themeColor="text1"/>
        </w:rPr>
        <w:t xml:space="preserve"> ser discutid</w:t>
      </w:r>
      <w:r w:rsidR="00911D25">
        <w:rPr>
          <w:color w:val="000000" w:themeColor="text1"/>
        </w:rPr>
        <w:t>as</w:t>
      </w:r>
      <w:r w:rsidR="00BA4089">
        <w:rPr>
          <w:color w:val="000000" w:themeColor="text1"/>
        </w:rPr>
        <w:t xml:space="preserve"> y pactad</w:t>
      </w:r>
      <w:r w:rsidR="00911D25">
        <w:rPr>
          <w:color w:val="000000" w:themeColor="text1"/>
        </w:rPr>
        <w:t>as</w:t>
      </w:r>
      <w:r w:rsidR="00BA4089">
        <w:rPr>
          <w:color w:val="000000" w:themeColor="text1"/>
        </w:rPr>
        <w:t xml:space="preserve"> entre cónyuges. </w:t>
      </w:r>
    </w:p>
    <w:p w14:paraId="779C9103" w14:textId="29DD8B19" w:rsidR="00BA4089" w:rsidRDefault="00BA4089" w:rsidP="00C67ADF">
      <w:pPr>
        <w:jc w:val="both"/>
        <w:rPr>
          <w:color w:val="000000" w:themeColor="text1"/>
        </w:rPr>
      </w:pPr>
      <w:r>
        <w:rPr>
          <w:color w:val="000000" w:themeColor="text1"/>
        </w:rPr>
        <w:t>En ese orden</w:t>
      </w:r>
      <w:r w:rsidR="00911D25">
        <w:rPr>
          <w:color w:val="000000" w:themeColor="text1"/>
        </w:rPr>
        <w:t xml:space="preserve"> </w:t>
      </w:r>
      <w:r>
        <w:rPr>
          <w:color w:val="000000" w:themeColor="text1"/>
        </w:rPr>
        <w:t>de ideas, la Suprema Corte estableció que l</w:t>
      </w:r>
      <w:r w:rsidR="00911D25">
        <w:rPr>
          <w:color w:val="000000" w:themeColor="text1"/>
        </w:rPr>
        <w:t>os</w:t>
      </w:r>
      <w:r>
        <w:rPr>
          <w:color w:val="000000" w:themeColor="text1"/>
        </w:rPr>
        <w:t xml:space="preserve"> </w:t>
      </w:r>
      <w:r w:rsidR="00911D25">
        <w:rPr>
          <w:color w:val="000000" w:themeColor="text1"/>
        </w:rPr>
        <w:t xml:space="preserve">temas de </w:t>
      </w:r>
      <w:r>
        <w:rPr>
          <w:color w:val="000000" w:themeColor="text1"/>
        </w:rPr>
        <w:t>guarda y custodia debe</w:t>
      </w:r>
      <w:r w:rsidR="00911D25">
        <w:rPr>
          <w:color w:val="000000" w:themeColor="text1"/>
        </w:rPr>
        <w:t>n</w:t>
      </w:r>
      <w:r>
        <w:rPr>
          <w:color w:val="000000" w:themeColor="text1"/>
        </w:rPr>
        <w:t xml:space="preserve"> revisarse </w:t>
      </w:r>
      <w:r w:rsidR="00911D25">
        <w:rPr>
          <w:color w:val="000000" w:themeColor="text1"/>
        </w:rPr>
        <w:t>bajo la óptica</w:t>
      </w:r>
      <w:r>
        <w:rPr>
          <w:color w:val="000000" w:themeColor="text1"/>
        </w:rPr>
        <w:t xml:space="preserve"> del interés superior, que al mismo tiempo funciona como su límite. Esto quiere decir que la única razón que puede dar preferencia a un progenitor sobre el otro para los cuidados de hijas o hijos debe ser la evaluación del interés superior. </w:t>
      </w:r>
      <w:r w:rsidR="00823DFD">
        <w:rPr>
          <w:color w:val="000000" w:themeColor="text1"/>
        </w:rPr>
        <w:t>Bajo esta consideración</w:t>
      </w:r>
      <w:r>
        <w:rPr>
          <w:color w:val="000000" w:themeColor="text1"/>
        </w:rPr>
        <w:t xml:space="preserve"> debe considerar evidencias para establecer lo más benéfico para </w:t>
      </w:r>
      <w:r w:rsidR="00823DFD">
        <w:rPr>
          <w:color w:val="000000" w:themeColor="text1"/>
        </w:rPr>
        <w:t xml:space="preserve">una niña </w:t>
      </w:r>
      <w:r>
        <w:rPr>
          <w:color w:val="000000" w:themeColor="text1"/>
        </w:rPr>
        <w:t>o niño, tomando en cuenta circunstancias personales, familiares, sociales, materiales y culturales.</w:t>
      </w:r>
    </w:p>
    <w:p w14:paraId="002827AB" w14:textId="0CCAAE15" w:rsidR="00736FE2" w:rsidRDefault="0021191F" w:rsidP="00374AD1">
      <w:pPr>
        <w:jc w:val="both"/>
        <w:rPr>
          <w:color w:val="000000" w:themeColor="text1"/>
        </w:rPr>
      </w:pPr>
      <w:r>
        <w:rPr>
          <w:color w:val="000000" w:themeColor="text1"/>
        </w:rPr>
        <w:t xml:space="preserve">En esta sentencia se puede identificar un efecto práctico: no puede tomarse una decisión relacionada </w:t>
      </w:r>
      <w:r w:rsidR="00832B39">
        <w:rPr>
          <w:color w:val="000000" w:themeColor="text1"/>
        </w:rPr>
        <w:t xml:space="preserve">con </w:t>
      </w:r>
      <w:r>
        <w:rPr>
          <w:color w:val="000000" w:themeColor="text1"/>
        </w:rPr>
        <w:t>la guarda y custodia de manera automática, sino que deben valorar</w:t>
      </w:r>
      <w:r w:rsidR="003D21B1">
        <w:rPr>
          <w:color w:val="000000" w:themeColor="text1"/>
        </w:rPr>
        <w:t>se</w:t>
      </w:r>
      <w:r>
        <w:rPr>
          <w:color w:val="000000" w:themeColor="text1"/>
        </w:rPr>
        <w:t xml:space="preserve"> las circunstancias especiales que concurren en el caso, para determinar el ambiente más propio para el desarrollo del niño niña. </w:t>
      </w:r>
    </w:p>
    <w:p w14:paraId="56852030" w14:textId="77777777" w:rsidR="005A5116" w:rsidRPr="00374AD1" w:rsidRDefault="005A5116" w:rsidP="00374AD1">
      <w:pPr>
        <w:jc w:val="both"/>
        <w:rPr>
          <w:color w:val="000000" w:themeColor="text1"/>
        </w:rPr>
      </w:pPr>
    </w:p>
    <w:p w14:paraId="1F866E31" w14:textId="7196E06A" w:rsidR="00736FE2" w:rsidRPr="00ED3749" w:rsidRDefault="00736FE2" w:rsidP="00EC090C">
      <w:pPr>
        <w:pStyle w:val="Prrafodelista"/>
        <w:numPr>
          <w:ilvl w:val="0"/>
          <w:numId w:val="25"/>
        </w:numPr>
        <w:rPr>
          <w:b/>
          <w:bCs/>
          <w:color w:val="000000" w:themeColor="text1"/>
        </w:rPr>
      </w:pPr>
      <w:r w:rsidRPr="00ED3749">
        <w:rPr>
          <w:b/>
          <w:bCs/>
          <w:color w:val="000000" w:themeColor="text1"/>
        </w:rPr>
        <w:t>Autonomía Progresiva</w:t>
      </w:r>
    </w:p>
    <w:p w14:paraId="4EF01EF2" w14:textId="5795BF7D" w:rsidR="00334E60" w:rsidRDefault="0096272F" w:rsidP="0096272F">
      <w:pPr>
        <w:jc w:val="both"/>
        <w:rPr>
          <w:color w:val="000000" w:themeColor="text1"/>
        </w:rPr>
      </w:pPr>
      <w:r>
        <w:rPr>
          <w:color w:val="000000" w:themeColor="text1"/>
        </w:rPr>
        <w:t>La autonomía progresiva, a diferencia del interés superior</w:t>
      </w:r>
      <w:r w:rsidR="00ED3749">
        <w:rPr>
          <w:color w:val="000000" w:themeColor="text1"/>
        </w:rPr>
        <w:t>, no ha sido identificad</w:t>
      </w:r>
      <w:r w:rsidR="00185914">
        <w:rPr>
          <w:color w:val="000000" w:themeColor="text1"/>
        </w:rPr>
        <w:t>a</w:t>
      </w:r>
      <w:r w:rsidR="00ED3749">
        <w:rPr>
          <w:color w:val="000000" w:themeColor="text1"/>
        </w:rPr>
        <w:t xml:space="preserve"> </w:t>
      </w:r>
      <w:r w:rsidR="00584C81">
        <w:rPr>
          <w:color w:val="000000" w:themeColor="text1"/>
        </w:rPr>
        <w:t xml:space="preserve">de forma expresa </w:t>
      </w:r>
      <w:r w:rsidR="00ED3749">
        <w:rPr>
          <w:color w:val="000000" w:themeColor="text1"/>
        </w:rPr>
        <w:t xml:space="preserve">en los estándares internacionales como un principio, y tampoco </w:t>
      </w:r>
      <w:r w:rsidR="00334E60">
        <w:rPr>
          <w:color w:val="000000" w:themeColor="text1"/>
        </w:rPr>
        <w:t xml:space="preserve">se encuentra en ninguna cláusula específica de nuestra Constitución. Aunque no es nombrada como tal, </w:t>
      </w:r>
      <w:r w:rsidR="00C6036A">
        <w:rPr>
          <w:color w:val="000000" w:themeColor="text1"/>
        </w:rPr>
        <w:t>la Convención se refiere en distintos artículos a la evolución de las facultades y madurez, para el ejercicio de derechos de manera autónoma, como el artículo 5º y el 12</w:t>
      </w:r>
      <w:r w:rsidR="00C6036A">
        <w:rPr>
          <w:rStyle w:val="Refdenotaalpie"/>
          <w:color w:val="000000" w:themeColor="text1"/>
        </w:rPr>
        <w:footnoteReference w:id="29"/>
      </w:r>
      <w:r w:rsidR="00C6036A">
        <w:rPr>
          <w:color w:val="000000" w:themeColor="text1"/>
        </w:rPr>
        <w:t>. Es s</w:t>
      </w:r>
      <w:r w:rsidR="00535B20">
        <w:rPr>
          <w:color w:val="000000" w:themeColor="text1"/>
        </w:rPr>
        <w:t>ó</w:t>
      </w:r>
      <w:r w:rsidR="00C6036A">
        <w:rPr>
          <w:color w:val="000000" w:themeColor="text1"/>
        </w:rPr>
        <w:t xml:space="preserve">lo en la Ley General de Derechos de Niñas, Niños y Adolescentes en donde la autonomía progresiva se reconoce dentro del listado de principios que orientan dicha legislación. </w:t>
      </w:r>
    </w:p>
    <w:p w14:paraId="31C82634" w14:textId="6E065510" w:rsidR="0096272F" w:rsidRPr="0065562B" w:rsidRDefault="00C6036A" w:rsidP="0096272F">
      <w:pPr>
        <w:jc w:val="both"/>
        <w:rPr>
          <w:color w:val="000000" w:themeColor="text1"/>
        </w:rPr>
      </w:pPr>
      <w:r>
        <w:rPr>
          <w:color w:val="000000" w:themeColor="text1"/>
        </w:rPr>
        <w:t xml:space="preserve">En sede judicial, </w:t>
      </w:r>
      <w:r w:rsidR="00334E60">
        <w:rPr>
          <w:color w:val="000000" w:themeColor="text1"/>
        </w:rPr>
        <w:t xml:space="preserve">desde hace casi una década ha </w:t>
      </w:r>
      <w:r w:rsidR="00185914">
        <w:rPr>
          <w:color w:val="000000" w:themeColor="text1"/>
        </w:rPr>
        <w:t>comenzado</w:t>
      </w:r>
      <w:r w:rsidR="00334E60">
        <w:rPr>
          <w:color w:val="000000" w:themeColor="text1"/>
        </w:rPr>
        <w:t xml:space="preserve"> a tener mayo</w:t>
      </w:r>
      <w:r w:rsidR="00185914">
        <w:rPr>
          <w:color w:val="000000" w:themeColor="text1"/>
        </w:rPr>
        <w:t>r</w:t>
      </w:r>
      <w:r w:rsidR="00334E60">
        <w:rPr>
          <w:color w:val="000000" w:themeColor="text1"/>
        </w:rPr>
        <w:t xml:space="preserve"> presencia en los criterios de la Suprema Corte</w:t>
      </w:r>
      <w:r w:rsidR="00CC481D">
        <w:rPr>
          <w:color w:val="000000" w:themeColor="text1"/>
        </w:rPr>
        <w:t xml:space="preserve">, casi siempre en </w:t>
      </w:r>
      <w:r w:rsidR="0065562B">
        <w:rPr>
          <w:color w:val="000000" w:themeColor="text1"/>
        </w:rPr>
        <w:t>conjunto</w:t>
      </w:r>
      <w:r w:rsidR="00CC481D">
        <w:rPr>
          <w:color w:val="000000" w:themeColor="text1"/>
        </w:rPr>
        <w:t xml:space="preserve"> con el interés superior. La autonomía progresiva ha funcionado como una herramienta que permite orientar las decisiones de las personas juzgadoras para evaluar el interés superior, pero también para </w:t>
      </w:r>
      <w:r w:rsidR="00EA1F26">
        <w:rPr>
          <w:color w:val="000000" w:themeColor="text1"/>
        </w:rPr>
        <w:t>decidir la manera en la que la garantía de un derecho resulte en la mayor protección del niño o niña.</w:t>
      </w:r>
    </w:p>
    <w:p w14:paraId="7CCF6055" w14:textId="0700D36F" w:rsidR="00736FE2" w:rsidRDefault="00EA1F26" w:rsidP="00EA1F26">
      <w:pPr>
        <w:ind w:left="567"/>
        <w:jc w:val="both"/>
        <w:rPr>
          <w:i/>
          <w:iCs/>
          <w:color w:val="000000" w:themeColor="text1"/>
        </w:rPr>
      </w:pPr>
      <w:r>
        <w:rPr>
          <w:i/>
          <w:iCs/>
          <w:color w:val="000000" w:themeColor="text1"/>
        </w:rPr>
        <w:t>[…]</w:t>
      </w:r>
      <w:r w:rsidR="00736FE2" w:rsidRPr="00EA1F26">
        <w:rPr>
          <w:i/>
          <w:iCs/>
          <w:color w:val="000000" w:themeColor="text1"/>
        </w:rPr>
        <w:t>a medida que los niños van adquiriendo competencias cada vez mayores, se reduce su necesidad de orientación y aumenta su capacidad de asumir responsabilidades respecto a las decisiones que afectan su vida.</w:t>
      </w:r>
      <w:r w:rsidR="00505A68">
        <w:rPr>
          <w:rStyle w:val="Refdenotaalpie"/>
          <w:i/>
          <w:iCs/>
          <w:color w:val="000000" w:themeColor="text1"/>
        </w:rPr>
        <w:footnoteReference w:id="30"/>
      </w:r>
      <w:r w:rsidR="00736FE2" w:rsidRPr="00EA1F26">
        <w:rPr>
          <w:i/>
          <w:iCs/>
          <w:color w:val="000000" w:themeColor="text1"/>
        </w:rPr>
        <w:t xml:space="preserve"> </w:t>
      </w:r>
    </w:p>
    <w:p w14:paraId="45BBF36F" w14:textId="0F9253EE" w:rsidR="00505A68" w:rsidRPr="00505A68" w:rsidRDefault="00505A68" w:rsidP="00505A68">
      <w:pPr>
        <w:jc w:val="both"/>
        <w:rPr>
          <w:color w:val="000000" w:themeColor="text1"/>
        </w:rPr>
      </w:pPr>
      <w:r>
        <w:rPr>
          <w:color w:val="000000" w:themeColor="text1"/>
        </w:rPr>
        <w:t xml:space="preserve">El desarrollo progresivo se encuentra en todas las facetas de las </w:t>
      </w:r>
      <w:r w:rsidR="0031707B">
        <w:rPr>
          <w:color w:val="000000" w:themeColor="text1"/>
        </w:rPr>
        <w:t>niñas y</w:t>
      </w:r>
      <w:r>
        <w:rPr>
          <w:color w:val="000000" w:themeColor="text1"/>
        </w:rPr>
        <w:t xml:space="preserve"> niños (físico, cognitivo, emotivo, psicológico y social). Esta relación entre </w:t>
      </w:r>
      <w:r w:rsidR="006516A0">
        <w:rPr>
          <w:color w:val="000000" w:themeColor="text1"/>
        </w:rPr>
        <w:t xml:space="preserve">personas </w:t>
      </w:r>
      <w:r>
        <w:rPr>
          <w:color w:val="000000" w:themeColor="text1"/>
        </w:rPr>
        <w:t>adult</w:t>
      </w:r>
      <w:r w:rsidR="006516A0">
        <w:rPr>
          <w:color w:val="000000" w:themeColor="text1"/>
        </w:rPr>
        <w:t>a</w:t>
      </w:r>
      <w:r>
        <w:rPr>
          <w:color w:val="000000" w:themeColor="text1"/>
        </w:rPr>
        <w:t>s y niñ</w:t>
      </w:r>
      <w:r w:rsidR="006516A0">
        <w:rPr>
          <w:color w:val="000000" w:themeColor="text1"/>
        </w:rPr>
        <w:t>a</w:t>
      </w:r>
      <w:r>
        <w:rPr>
          <w:color w:val="000000" w:themeColor="text1"/>
        </w:rPr>
        <w:t>s</w:t>
      </w:r>
      <w:r w:rsidR="006516A0">
        <w:rPr>
          <w:color w:val="000000" w:themeColor="text1"/>
        </w:rPr>
        <w:t xml:space="preserve"> y niños</w:t>
      </w:r>
      <w:r>
        <w:rPr>
          <w:color w:val="000000" w:themeColor="text1"/>
        </w:rPr>
        <w:t xml:space="preserve">, que la Corte ha llamado </w:t>
      </w:r>
      <w:r>
        <w:rPr>
          <w:i/>
          <w:iCs/>
          <w:color w:val="000000" w:themeColor="text1"/>
        </w:rPr>
        <w:t>dependencia</w:t>
      </w:r>
      <w:r>
        <w:rPr>
          <w:color w:val="000000" w:themeColor="text1"/>
        </w:rPr>
        <w:t xml:space="preserve"> de los segundos hacia los primeros, se ve modificada en función de la evolución de capacidades de cada niño o niña. </w:t>
      </w:r>
    </w:p>
    <w:p w14:paraId="5A657F53" w14:textId="3D599635" w:rsidR="00F36467" w:rsidRDefault="00EA1F26" w:rsidP="00F36467">
      <w:pPr>
        <w:spacing w:before="100" w:beforeAutospacing="1" w:after="100" w:afterAutospacing="1"/>
        <w:jc w:val="both"/>
        <w:rPr>
          <w:color w:val="000000" w:themeColor="text1"/>
        </w:rPr>
      </w:pPr>
      <w:r>
        <w:rPr>
          <w:color w:val="000000" w:themeColor="text1"/>
        </w:rPr>
        <w:t>Por otro lado, el reconocimiento de esta autonomía en desarrollo no puede implicar, según aclaró la Corte en la misma resolución, que el Estado pueda hacerse de lado de sus obligaciones. El Estado tiene obligaciones de protección a esta población y por tanto debe prevenir que</w:t>
      </w:r>
      <w:r w:rsidR="00693E31">
        <w:rPr>
          <w:color w:val="000000" w:themeColor="text1"/>
        </w:rPr>
        <w:t>,</w:t>
      </w:r>
      <w:r>
        <w:rPr>
          <w:color w:val="000000" w:themeColor="text1"/>
        </w:rPr>
        <w:t xml:space="preserve"> </w:t>
      </w:r>
      <w:r w:rsidR="00505A68">
        <w:rPr>
          <w:color w:val="000000" w:themeColor="text1"/>
        </w:rPr>
        <w:t>en ejercicio de esta autonomía</w:t>
      </w:r>
      <w:r w:rsidR="00693E31">
        <w:rPr>
          <w:color w:val="000000" w:themeColor="text1"/>
        </w:rPr>
        <w:t>,</w:t>
      </w:r>
      <w:r w:rsidR="00505A68">
        <w:rPr>
          <w:color w:val="000000" w:themeColor="text1"/>
        </w:rPr>
        <w:t xml:space="preserve"> los derechos de niños y niñas se vean vulnerados. </w:t>
      </w:r>
      <w:r w:rsidR="00F36467">
        <w:rPr>
          <w:color w:val="000000" w:themeColor="text1"/>
        </w:rPr>
        <w:t xml:space="preserve">Así es como se concibe la obligación de </w:t>
      </w:r>
      <w:r w:rsidR="00F36467">
        <w:rPr>
          <w:i/>
          <w:iCs/>
          <w:color w:val="000000" w:themeColor="text1"/>
        </w:rPr>
        <w:t xml:space="preserve">protección especializada, </w:t>
      </w:r>
      <w:r w:rsidR="00F36467">
        <w:rPr>
          <w:color w:val="000000" w:themeColor="text1"/>
        </w:rPr>
        <w:t xml:space="preserve">que implica en términos simples que todas las medidas que el Estado tome respecto a la niñez y sus derechos deben tener un carácter reforzado que tome en cuenta las necesidades, características y condiciones de </w:t>
      </w:r>
      <w:r w:rsidR="00142A50">
        <w:rPr>
          <w:color w:val="000000" w:themeColor="text1"/>
        </w:rPr>
        <w:t>niñas</w:t>
      </w:r>
      <w:r w:rsidR="00F36467">
        <w:rPr>
          <w:color w:val="000000" w:themeColor="text1"/>
        </w:rPr>
        <w:t xml:space="preserve"> y niños.</w:t>
      </w:r>
      <w:r w:rsidR="00F36467">
        <w:rPr>
          <w:rStyle w:val="Refdenotaalpie"/>
          <w:color w:val="000000" w:themeColor="text1"/>
        </w:rPr>
        <w:footnoteReference w:id="31"/>
      </w:r>
      <w:r w:rsidR="00F36467">
        <w:rPr>
          <w:color w:val="000000" w:themeColor="text1"/>
        </w:rPr>
        <w:t xml:space="preserve"> </w:t>
      </w:r>
    </w:p>
    <w:p w14:paraId="4BB13480" w14:textId="307DEAB3" w:rsidR="00D85575" w:rsidRDefault="00D85575" w:rsidP="00F36467">
      <w:pPr>
        <w:spacing w:before="100" w:beforeAutospacing="1" w:after="100" w:afterAutospacing="1"/>
        <w:jc w:val="both"/>
        <w:rPr>
          <w:color w:val="000000" w:themeColor="text1"/>
        </w:rPr>
      </w:pPr>
      <w:r>
        <w:rPr>
          <w:color w:val="000000" w:themeColor="text1"/>
        </w:rPr>
        <w:t>En 2017</w:t>
      </w:r>
      <w:r w:rsidR="003F30E0">
        <w:rPr>
          <w:color w:val="000000" w:themeColor="text1"/>
        </w:rPr>
        <w:t>,</w:t>
      </w:r>
      <w:r>
        <w:rPr>
          <w:color w:val="000000" w:themeColor="text1"/>
        </w:rPr>
        <w:t xml:space="preserve"> la Suprema Corte resolvió un Amparo </w:t>
      </w:r>
      <w:r w:rsidR="00A633FC">
        <w:rPr>
          <w:color w:val="000000" w:themeColor="text1"/>
        </w:rPr>
        <w:t>en Revisión (800/2017)</w:t>
      </w:r>
      <w:r>
        <w:rPr>
          <w:color w:val="000000" w:themeColor="text1"/>
        </w:rPr>
        <w:t xml:space="preserve"> que reclamaba el artículo 1º constitucional por la inserción de la palabra “género”, y </w:t>
      </w:r>
      <w:r w:rsidR="00A633FC">
        <w:rPr>
          <w:color w:val="000000" w:themeColor="text1"/>
        </w:rPr>
        <w:t>diversos</w:t>
      </w:r>
      <w:r>
        <w:rPr>
          <w:color w:val="000000" w:themeColor="text1"/>
        </w:rPr>
        <w:t xml:space="preserve"> de la Ley General de los Derechos de Niños, Niñas y Adolescentes, y la ley </w:t>
      </w:r>
      <w:r w:rsidR="00A633FC">
        <w:rPr>
          <w:color w:val="000000" w:themeColor="text1"/>
        </w:rPr>
        <w:t>especializada</w:t>
      </w:r>
      <w:r>
        <w:rPr>
          <w:color w:val="000000" w:themeColor="text1"/>
        </w:rPr>
        <w:t xml:space="preserve"> a nivel loca</w:t>
      </w:r>
      <w:r w:rsidR="00A633FC">
        <w:rPr>
          <w:color w:val="000000" w:themeColor="text1"/>
        </w:rPr>
        <w:t xml:space="preserve">l, entre muchos otros actos relacionados a la expedición de estas legislaciones. </w:t>
      </w:r>
    </w:p>
    <w:p w14:paraId="7F7CF1A2" w14:textId="3BB26823" w:rsidR="0096416F" w:rsidRDefault="0096416F" w:rsidP="00F36467">
      <w:pPr>
        <w:spacing w:before="100" w:beforeAutospacing="1" w:after="100" w:afterAutospacing="1"/>
        <w:jc w:val="both"/>
        <w:rPr>
          <w:color w:val="000000" w:themeColor="text1"/>
        </w:rPr>
      </w:pPr>
      <w:r>
        <w:rPr>
          <w:color w:val="000000" w:themeColor="text1"/>
        </w:rPr>
        <w:t>Una de las preocupaciones de la parte quejosa e</w:t>
      </w:r>
      <w:r w:rsidR="00EC7E5F">
        <w:rPr>
          <w:color w:val="000000" w:themeColor="text1"/>
        </w:rPr>
        <w:t>ra</w:t>
      </w:r>
      <w:r>
        <w:rPr>
          <w:color w:val="000000" w:themeColor="text1"/>
        </w:rPr>
        <w:t xml:space="preserve"> que</w:t>
      </w:r>
      <w:r w:rsidR="00EC7E5F">
        <w:rPr>
          <w:color w:val="000000" w:themeColor="text1"/>
        </w:rPr>
        <w:t>,</w:t>
      </w:r>
      <w:r>
        <w:rPr>
          <w:color w:val="000000" w:themeColor="text1"/>
        </w:rPr>
        <w:t xml:space="preserve"> estos derechos de libertad impiden el ejercicio de una función educadora y orientadora por parte de </w:t>
      </w:r>
      <w:r w:rsidR="00EC7E5F">
        <w:rPr>
          <w:color w:val="000000" w:themeColor="text1"/>
        </w:rPr>
        <w:t xml:space="preserve">las y </w:t>
      </w:r>
      <w:r>
        <w:rPr>
          <w:color w:val="000000" w:themeColor="text1"/>
        </w:rPr>
        <w:t>los progenitores o quienes son responsables del cuidado de hij</w:t>
      </w:r>
      <w:r w:rsidR="007A7E30">
        <w:rPr>
          <w:color w:val="000000" w:themeColor="text1"/>
        </w:rPr>
        <w:t>a</w:t>
      </w:r>
      <w:r>
        <w:rPr>
          <w:color w:val="000000" w:themeColor="text1"/>
        </w:rPr>
        <w:t>s e hij</w:t>
      </w:r>
      <w:r w:rsidR="007A7E30">
        <w:rPr>
          <w:color w:val="000000" w:themeColor="text1"/>
        </w:rPr>
        <w:t>o</w:t>
      </w:r>
      <w:r>
        <w:rPr>
          <w:color w:val="000000" w:themeColor="text1"/>
        </w:rPr>
        <w:t xml:space="preserve">s. En el desarrollo argumentativo de la Corte </w:t>
      </w:r>
      <w:r w:rsidR="007A7E30">
        <w:rPr>
          <w:color w:val="000000" w:themeColor="text1"/>
        </w:rPr>
        <w:t>relación con</w:t>
      </w:r>
      <w:r>
        <w:rPr>
          <w:color w:val="000000" w:themeColor="text1"/>
        </w:rPr>
        <w:t xml:space="preserve"> diversos derechos</w:t>
      </w:r>
      <w:r w:rsidR="007A7E30">
        <w:rPr>
          <w:color w:val="000000" w:themeColor="text1"/>
        </w:rPr>
        <w:t xml:space="preserve"> de niñas y niños</w:t>
      </w:r>
      <w:r>
        <w:rPr>
          <w:color w:val="000000" w:themeColor="text1"/>
        </w:rPr>
        <w:t xml:space="preserve">, se puede observar cómo la consideración de la autonomía progresiva permite a la Segunda Sala ir adoptando interpretaciones más protectoras de los derechos </w:t>
      </w:r>
      <w:r w:rsidR="00473940">
        <w:rPr>
          <w:color w:val="000000" w:themeColor="text1"/>
        </w:rPr>
        <w:t>de las personas menores de edad</w:t>
      </w:r>
      <w:r>
        <w:rPr>
          <w:color w:val="000000" w:themeColor="text1"/>
        </w:rPr>
        <w:t xml:space="preserve">. </w:t>
      </w:r>
    </w:p>
    <w:p w14:paraId="49170FF0" w14:textId="66DCD09D" w:rsidR="00C077F2" w:rsidRDefault="00C077F2" w:rsidP="00C077F2">
      <w:pPr>
        <w:spacing w:before="100" w:beforeAutospacing="1" w:after="100" w:afterAutospacing="1"/>
        <w:jc w:val="both"/>
        <w:rPr>
          <w:color w:val="000000" w:themeColor="text1"/>
        </w:rPr>
      </w:pPr>
      <w:r>
        <w:rPr>
          <w:color w:val="000000" w:themeColor="text1"/>
        </w:rPr>
        <w:t>Por ejemplo, cuando se refiere al derecho a la salud y, específicamente, al acceso a la información en materia de salud sexual, la Corte señaló que esta información no resulta inapropiada ni afecta el desarrollo de las y los niños, puesto que:</w:t>
      </w:r>
    </w:p>
    <w:p w14:paraId="54E331F5" w14:textId="0CDE595E" w:rsidR="00C077F2" w:rsidRPr="00C077F2" w:rsidRDefault="00C077F2" w:rsidP="00C077F2">
      <w:pPr>
        <w:spacing w:before="100" w:beforeAutospacing="1" w:after="100" w:afterAutospacing="1"/>
        <w:ind w:left="851"/>
        <w:jc w:val="both"/>
        <w:rPr>
          <w:color w:val="000000" w:themeColor="text1"/>
        </w:rPr>
      </w:pPr>
      <w:r w:rsidRPr="00C077F2">
        <w:rPr>
          <w:b/>
          <w:i/>
          <w:iCs/>
        </w:rPr>
        <w:t>(I)</w:t>
      </w:r>
      <w:r w:rsidRPr="00C077F2">
        <w:rPr>
          <w:i/>
          <w:iCs/>
        </w:rPr>
        <w:t xml:space="preserve"> Las oportunidades de educación, sensibilización y diálogo</w:t>
      </w:r>
      <w:r w:rsidRPr="00C077F2">
        <w:rPr>
          <w:i/>
          <w:iCs/>
          <w:lang w:val="es-ES_tradnl"/>
        </w:rPr>
        <w:t xml:space="preserve"> </w:t>
      </w:r>
      <w:r w:rsidRPr="00C077F2">
        <w:rPr>
          <w:i/>
          <w:iCs/>
        </w:rPr>
        <w:t xml:space="preserve">dirigidas a los menores de edad en servicios de salud sexual, no sólo debe tener en cuenta las diferencias de nivel de comprensión, sino que debe ajustarse a su edad; </w:t>
      </w:r>
    </w:p>
    <w:p w14:paraId="2B007021" w14:textId="2ECBAF58" w:rsidR="00C077F2" w:rsidRPr="00C077F2" w:rsidRDefault="00C077F2" w:rsidP="00C077F2">
      <w:pPr>
        <w:spacing w:before="100" w:beforeAutospacing="1" w:after="100" w:afterAutospacing="1"/>
        <w:ind w:left="851"/>
        <w:jc w:val="both"/>
        <w:rPr>
          <w:i/>
          <w:iCs/>
        </w:rPr>
      </w:pPr>
      <w:r w:rsidRPr="00C077F2">
        <w:rPr>
          <w:b/>
          <w:i/>
          <w:iCs/>
        </w:rPr>
        <w:t>(II)</w:t>
      </w:r>
      <w:r w:rsidRPr="00C077F2">
        <w:rPr>
          <w:i/>
          <w:iCs/>
        </w:rPr>
        <w:t xml:space="preserve"> Las libertades que comprende el derecho a controlar la propia salud y el propio cuerpo, se despliegan a medida que aumentan la capacidad y la madurez de los menores;</w:t>
      </w:r>
      <w:r w:rsidR="00623C6C">
        <w:rPr>
          <w:rStyle w:val="Refdenotaalpie"/>
          <w:i/>
          <w:iCs/>
        </w:rPr>
        <w:footnoteReference w:id="32"/>
      </w:r>
      <w:r w:rsidRPr="00C077F2">
        <w:rPr>
          <w:i/>
          <w:iCs/>
        </w:rPr>
        <w:t xml:space="preserve"> </w:t>
      </w:r>
    </w:p>
    <w:p w14:paraId="311D08D5" w14:textId="5D9C6E0B" w:rsidR="00C077F2" w:rsidRDefault="00C077F2" w:rsidP="00F36467">
      <w:pPr>
        <w:spacing w:before="100" w:beforeAutospacing="1" w:after="100" w:afterAutospacing="1"/>
        <w:jc w:val="both"/>
      </w:pPr>
      <w:r>
        <w:t xml:space="preserve">En esa misma sentencia, </w:t>
      </w:r>
      <w:r w:rsidR="00623C6C">
        <w:t>el tribunal constitucional mexicano</w:t>
      </w:r>
      <w:r>
        <w:t xml:space="preserve"> se refiere a la autonomía progresiva como un </w:t>
      </w:r>
      <w:r>
        <w:rPr>
          <w:i/>
          <w:iCs/>
        </w:rPr>
        <w:t>principio habilitador</w:t>
      </w:r>
      <w:r>
        <w:t xml:space="preserve"> de la totalidad de los derechos humanos reconocidos en la Constitución y tratados internacionales (parámetro de regularidad</w:t>
      </w:r>
      <w:r w:rsidR="0096416F">
        <w:t xml:space="preserve"> de Estado mexicano). Así, señala la evolución de facultades debe considerarse un proceso positivo y habilitador, y no una excusa para restringir el ejercicio de derechos y la autonomía de</w:t>
      </w:r>
      <w:r w:rsidR="00A73890">
        <w:t xml:space="preserve"> </w:t>
      </w:r>
      <w:r w:rsidR="0096416F">
        <w:t>l</w:t>
      </w:r>
      <w:r w:rsidR="00A73890">
        <w:t>a</w:t>
      </w:r>
      <w:r w:rsidR="0096416F">
        <w:t xml:space="preserve"> propi</w:t>
      </w:r>
      <w:r w:rsidR="00A73890">
        <w:t>a</w:t>
      </w:r>
      <w:r w:rsidR="0096416F">
        <w:t xml:space="preserve"> niñ</w:t>
      </w:r>
      <w:r w:rsidR="00A73890">
        <w:t>a</w:t>
      </w:r>
      <w:r w:rsidR="0096416F">
        <w:t xml:space="preserve"> o niñ</w:t>
      </w:r>
      <w:r w:rsidR="00A73890">
        <w:t>o</w:t>
      </w:r>
      <w:r w:rsidR="0096416F">
        <w:t xml:space="preserve">. </w:t>
      </w:r>
    </w:p>
    <w:p w14:paraId="77D8E0FF" w14:textId="7B42ACAF" w:rsidR="0096416F" w:rsidRDefault="0096416F" w:rsidP="00F36467">
      <w:pPr>
        <w:spacing w:before="100" w:beforeAutospacing="1" w:after="100" w:afterAutospacing="1"/>
        <w:jc w:val="both"/>
      </w:pPr>
      <w:r>
        <w:t xml:space="preserve">En ese sentido, y en el caso particular, la Corte </w:t>
      </w:r>
      <w:r w:rsidR="00A73890">
        <w:t xml:space="preserve">mexicana </w:t>
      </w:r>
      <w:r>
        <w:t>señala</w:t>
      </w:r>
      <w:r w:rsidR="00A73890">
        <w:t>ría</w:t>
      </w:r>
      <w:r>
        <w:t xml:space="preserve"> que este </w:t>
      </w:r>
      <w:r>
        <w:rPr>
          <w:i/>
          <w:iCs/>
        </w:rPr>
        <w:t>principio habilitador</w:t>
      </w:r>
      <w:r>
        <w:t xml:space="preserve"> implica</w:t>
      </w:r>
      <w:r w:rsidR="0007694D">
        <w:t>rá el</w:t>
      </w:r>
      <w:r>
        <w:t xml:space="preserve"> reconoc</w:t>
      </w:r>
      <w:r w:rsidR="0007694D">
        <w:t>imiento de</w:t>
      </w:r>
      <w:r>
        <w:t xml:space="preserve"> un proceso de maduración y aprendizaje que les </w:t>
      </w:r>
      <w:r w:rsidR="0007694D">
        <w:t>brin</w:t>
      </w:r>
      <w:r>
        <w:t xml:space="preserve">da elementos para </w:t>
      </w:r>
      <w:r w:rsidR="0053300B">
        <w:t>adquirir</w:t>
      </w:r>
      <w:r>
        <w:t xml:space="preserve"> mayores niveles de responsabilidad y ejercer sus derechos</w:t>
      </w:r>
      <w:r w:rsidR="0053300B">
        <w:t xml:space="preserve">, </w:t>
      </w:r>
      <w:r>
        <w:t>como la libertad de consciencia, pensamiento y religión o</w:t>
      </w:r>
      <w:r w:rsidR="0007694D">
        <w:t>,</w:t>
      </w:r>
      <w:r>
        <w:t xml:space="preserve"> el acceso a la información en materia de salud sexual</w:t>
      </w:r>
      <w:r w:rsidR="0053300B">
        <w:t xml:space="preserve">. Ello no impide la función orientadora de la familia, máxime que de acuerdo </w:t>
      </w:r>
      <w:r w:rsidR="0007694D">
        <w:t>con</w:t>
      </w:r>
      <w:r w:rsidR="0053300B">
        <w:t xml:space="preserve"> la Constitución y la Convención, son </w:t>
      </w:r>
      <w:r w:rsidR="0007694D">
        <w:t>padres</w:t>
      </w:r>
      <w:r w:rsidR="0053300B">
        <w:t xml:space="preserve"> y madres quienes tienen el derecho y obligación de promover el desarrollo y bienestar de sus hijos e hijas. </w:t>
      </w:r>
    </w:p>
    <w:p w14:paraId="12C74C68" w14:textId="4CE3CE36" w:rsidR="0053300B" w:rsidRPr="0053300B" w:rsidRDefault="0053300B" w:rsidP="0053300B">
      <w:pPr>
        <w:spacing w:before="100" w:beforeAutospacing="1" w:after="100" w:afterAutospacing="1"/>
        <w:jc w:val="both"/>
        <w:rPr>
          <w:b/>
          <w:lang w:val="es-ES_tradnl"/>
        </w:rPr>
      </w:pPr>
      <w:r>
        <w:t xml:space="preserve">Así, establece que </w:t>
      </w:r>
      <w:r w:rsidRPr="0053300B">
        <w:rPr>
          <w:bCs/>
          <w:i/>
          <w:iCs/>
          <w:lang w:val="es-ES_tradnl"/>
        </w:rPr>
        <w:t xml:space="preserve">la evolución progresiva de las facultades de los </w:t>
      </w:r>
      <w:r>
        <w:rPr>
          <w:bCs/>
          <w:i/>
          <w:iCs/>
          <w:lang w:val="es-ES_tradnl"/>
        </w:rPr>
        <w:t>[niños]</w:t>
      </w:r>
      <w:r w:rsidRPr="0053300B">
        <w:rPr>
          <w:bCs/>
          <w:i/>
          <w:iCs/>
          <w:lang w:val="es-ES_tradnl"/>
        </w:rPr>
        <w:t xml:space="preserve"> debe conllevar un creciente ejercicio de sus derechos y responsabilidades, aparejado con la guía, orientación e instrucción que los padres y otros cuidadores les brinden a ese respecto.</w:t>
      </w:r>
      <w:r w:rsidR="00575291">
        <w:rPr>
          <w:rStyle w:val="Refdenotaalpie"/>
          <w:bCs/>
          <w:i/>
          <w:iCs/>
          <w:lang w:val="es-ES_tradnl"/>
        </w:rPr>
        <w:footnoteReference w:id="33"/>
      </w:r>
    </w:p>
    <w:p w14:paraId="61547571" w14:textId="643D4F19" w:rsidR="00CC481D" w:rsidRPr="003D0028" w:rsidRDefault="76C3BBDA" w:rsidP="003D0028">
      <w:pPr>
        <w:pStyle w:val="Prrafodelista"/>
        <w:numPr>
          <w:ilvl w:val="1"/>
          <w:numId w:val="24"/>
        </w:numPr>
        <w:rPr>
          <w:rFonts w:eastAsiaTheme="minorEastAsia"/>
          <w:b/>
          <w:bCs/>
        </w:rPr>
      </w:pPr>
      <w:r w:rsidRPr="00EC090C">
        <w:rPr>
          <w:b/>
          <w:bCs/>
        </w:rPr>
        <w:t xml:space="preserve">Criterios sustantivos de derecho: </w:t>
      </w:r>
    </w:p>
    <w:p w14:paraId="51963360" w14:textId="77777777" w:rsidR="003D0028" w:rsidRPr="003D0028" w:rsidRDefault="003D0028" w:rsidP="003D0028">
      <w:pPr>
        <w:pStyle w:val="Prrafodelista"/>
        <w:ind w:left="360"/>
        <w:rPr>
          <w:rFonts w:eastAsiaTheme="minorEastAsia"/>
          <w:b/>
          <w:bCs/>
        </w:rPr>
      </w:pPr>
    </w:p>
    <w:p w14:paraId="431D1E2C" w14:textId="573175C9" w:rsidR="76C3BBDA" w:rsidRPr="00331E86" w:rsidRDefault="009415AC" w:rsidP="00EC090C">
      <w:pPr>
        <w:pStyle w:val="Prrafodelista"/>
        <w:numPr>
          <w:ilvl w:val="0"/>
          <w:numId w:val="26"/>
        </w:numPr>
        <w:rPr>
          <w:b/>
          <w:bCs/>
        </w:rPr>
      </w:pPr>
      <w:r w:rsidRPr="00331E86">
        <w:rPr>
          <w:b/>
          <w:bCs/>
        </w:rPr>
        <w:t xml:space="preserve">Derechos de familia </w:t>
      </w:r>
    </w:p>
    <w:p w14:paraId="6EBB667D" w14:textId="17DD698A" w:rsidR="008603DF" w:rsidRPr="008603DF" w:rsidRDefault="008603DF" w:rsidP="008603DF">
      <w:pPr>
        <w:jc w:val="both"/>
      </w:pPr>
      <w:r w:rsidRPr="008603DF">
        <w:t xml:space="preserve">La institución de la familia </w:t>
      </w:r>
      <w:r w:rsidR="004F55A1">
        <w:t>(</w:t>
      </w:r>
      <w:r w:rsidRPr="008603DF">
        <w:t>y todos los derechos que de ella se derivan para sus distintos integrantes</w:t>
      </w:r>
      <w:r w:rsidR="004F55A1">
        <w:t>)</w:t>
      </w:r>
      <w:r w:rsidRPr="008603DF">
        <w:t xml:space="preserve"> ha sido históricamente considerada como el pilar de la sociedad</w:t>
      </w:r>
      <w:r w:rsidR="004F55A1">
        <w:t>.</w:t>
      </w:r>
      <w:r w:rsidRPr="008603DF">
        <w:t xml:space="preserve"> </w:t>
      </w:r>
      <w:r w:rsidR="004F55A1">
        <w:t>A</w:t>
      </w:r>
      <w:r w:rsidRPr="008603DF">
        <w:t>sí lo reconocen en sus preámbulos la mayoría de los instrumentos internacionales de derechos humanos.</w:t>
      </w:r>
      <w:r w:rsidR="00397D2C">
        <w:t xml:space="preserve"> </w:t>
      </w:r>
      <w:r w:rsidRPr="008603DF">
        <w:t xml:space="preserve">En tanto ello, </w:t>
      </w:r>
      <w:r w:rsidR="003E47E0">
        <w:t xml:space="preserve">esta institución </w:t>
      </w:r>
      <w:r w:rsidRPr="008603DF">
        <w:t>ha gozado de una protección específica, que primero se entendía como la absoluta abstención del Estado para intervenir en cualquier asunto de la familia, al considerarse</w:t>
      </w:r>
      <w:r w:rsidR="003E47E0">
        <w:t xml:space="preserve"> como</w:t>
      </w:r>
      <w:r w:rsidRPr="008603DF">
        <w:t xml:space="preserve"> un espacio privado. El Estado actuaba, en el caso de las y los niños, únicamente cuando éstos se encontraban en una situación de desamparo o si habían cometido actos contrarios a la ley</w:t>
      </w:r>
      <w:r w:rsidR="00397D2C">
        <w:rPr>
          <w:rStyle w:val="Refdenotaalpie"/>
        </w:rPr>
        <w:footnoteReference w:id="34"/>
      </w:r>
      <w:r w:rsidRPr="008603DF">
        <w:t xml:space="preserve">. </w:t>
      </w:r>
    </w:p>
    <w:p w14:paraId="2657C498" w14:textId="54D2C1CA" w:rsidR="008603DF" w:rsidRDefault="008603DF" w:rsidP="008603DF">
      <w:pPr>
        <w:jc w:val="both"/>
      </w:pPr>
      <w:r w:rsidRPr="008603DF">
        <w:t xml:space="preserve">Posteriormente, se reconocieron las obligaciones que el mismo Estado tiene para la protección de la familia como institución, pero también de cada una de las personas que la componen. </w:t>
      </w:r>
      <w:r w:rsidR="0024094E">
        <w:t>Precisamente en</w:t>
      </w:r>
      <w:r w:rsidRPr="008603DF">
        <w:t xml:space="preserve"> ese contexto</w:t>
      </w:r>
      <w:r w:rsidR="0024094E">
        <w:t>,</w:t>
      </w:r>
      <w:r w:rsidRPr="008603DF">
        <w:t xml:space="preserve"> donde el Estado se asume como garante de las familias y de la protección de sus </w:t>
      </w:r>
      <w:r w:rsidR="008A12A9">
        <w:t>integrantes</w:t>
      </w:r>
      <w:r w:rsidRPr="008603DF">
        <w:t xml:space="preserve">, es que se encuentra la menor separación de la familia. La unidad familiar y que las y los niños crezcan en el seno familiar </w:t>
      </w:r>
      <w:r w:rsidR="00397D2C" w:rsidRPr="008603DF">
        <w:t>continúa</w:t>
      </w:r>
      <w:r w:rsidRPr="008603DF">
        <w:t xml:space="preserve"> siendo un valor que persigue el Estado, sin embargo, esto tiene que estar alineado con el </w:t>
      </w:r>
      <w:r w:rsidR="001474D3">
        <w:t xml:space="preserve">principio del </w:t>
      </w:r>
      <w:r w:rsidRPr="008603DF">
        <w:t>interés superior de</w:t>
      </w:r>
      <w:r w:rsidR="001474D3">
        <w:t xml:space="preserve"> la</w:t>
      </w:r>
      <w:r w:rsidRPr="008603DF">
        <w:t xml:space="preserve"> ni</w:t>
      </w:r>
      <w:r w:rsidR="001474D3">
        <w:t>ña</w:t>
      </w:r>
      <w:r w:rsidRPr="008603DF">
        <w:t xml:space="preserve"> o niñ</w:t>
      </w:r>
      <w:r w:rsidR="001474D3">
        <w:t>o</w:t>
      </w:r>
      <w:r w:rsidRPr="008603DF">
        <w:t>. Esto quiere decir que, tal como lo reconoce la misma Convención</w:t>
      </w:r>
      <w:r>
        <w:rPr>
          <w:rStyle w:val="Refdenotaalpie"/>
        </w:rPr>
        <w:footnoteReference w:id="35"/>
      </w:r>
      <w:r w:rsidRPr="008603DF">
        <w:t xml:space="preserve"> sobre los derechos del niño, la intervención estatal para proteger al niño o niña, separándolo de su familia puede estar justificado si es tal acción es necesaria en función de su interés superior. </w:t>
      </w:r>
    </w:p>
    <w:p w14:paraId="450EDE00" w14:textId="6056459A" w:rsidR="00A57DFA" w:rsidRPr="00331E86" w:rsidRDefault="00297077" w:rsidP="00EC090C">
      <w:pPr>
        <w:pStyle w:val="Prrafodelista"/>
        <w:numPr>
          <w:ilvl w:val="0"/>
          <w:numId w:val="27"/>
        </w:numPr>
        <w:rPr>
          <w:b/>
          <w:bCs/>
        </w:rPr>
      </w:pPr>
      <w:r>
        <w:rPr>
          <w:b/>
          <w:bCs/>
        </w:rPr>
        <w:t xml:space="preserve"> </w:t>
      </w:r>
      <w:r w:rsidR="76C3BBDA" w:rsidRPr="00725688">
        <w:rPr>
          <w:b/>
          <w:bCs/>
        </w:rPr>
        <w:t>Menor Separaci</w:t>
      </w:r>
      <w:r w:rsidR="003007EB" w:rsidRPr="00725688">
        <w:rPr>
          <w:b/>
          <w:bCs/>
        </w:rPr>
        <w:t>ó</w:t>
      </w:r>
      <w:r w:rsidR="76C3BBDA" w:rsidRPr="00725688">
        <w:rPr>
          <w:b/>
          <w:bCs/>
        </w:rPr>
        <w:t>n</w:t>
      </w:r>
      <w:r w:rsidR="00120E75" w:rsidRPr="00725688">
        <w:rPr>
          <w:b/>
          <w:bCs/>
        </w:rPr>
        <w:t xml:space="preserve"> de la familia</w:t>
      </w:r>
    </w:p>
    <w:p w14:paraId="33564753" w14:textId="30276510" w:rsidR="00397D2C" w:rsidRPr="00397D2C" w:rsidRDefault="00397D2C" w:rsidP="00397D2C">
      <w:pPr>
        <w:jc w:val="both"/>
      </w:pPr>
      <w:r>
        <w:t>En ese marco, la</w:t>
      </w:r>
      <w:r w:rsidRPr="008603DF">
        <w:t xml:space="preserve"> Corte</w:t>
      </w:r>
      <w:r w:rsidR="001A0B3A">
        <w:t xml:space="preserve"> mexicana</w:t>
      </w:r>
      <w:r w:rsidRPr="008603DF">
        <w:t xml:space="preserve"> ha tenido oportunidad de desarrollar </w:t>
      </w:r>
      <w:r>
        <w:t>el</w:t>
      </w:r>
      <w:r w:rsidRPr="008603DF">
        <w:t xml:space="preserve"> derecho </w:t>
      </w:r>
      <w:r>
        <w:t>a la unión familiar en casos de patria potestad, reconocimiento de paternidad y adopciones</w:t>
      </w:r>
      <w:r w:rsidRPr="008603DF">
        <w:t xml:space="preserve">. En </w:t>
      </w:r>
      <w:r w:rsidR="001A0B3A">
        <w:t>diferentes</w:t>
      </w:r>
      <w:r w:rsidRPr="008603DF">
        <w:t xml:space="preserve"> casos que la Corte ha resuelto en la última década ha establecido pautas para la valoración de </w:t>
      </w:r>
      <w:r w:rsidR="00A92559">
        <w:t xml:space="preserve">la </w:t>
      </w:r>
      <w:r w:rsidRPr="008603DF">
        <w:t xml:space="preserve">excepción a la menor separación, la importancia del mantenimiento de los lazos familiares biológicos, y los elementos que deben tomarse en cuenta para determinar la mejor situación del niño o niña. </w:t>
      </w:r>
    </w:p>
    <w:p w14:paraId="5BA349A5" w14:textId="714FBA60" w:rsidR="00397D2C" w:rsidRPr="00397D2C" w:rsidRDefault="00397D2C" w:rsidP="00397D2C">
      <w:pPr>
        <w:jc w:val="both"/>
        <w:rPr>
          <w:sz w:val="21"/>
          <w:szCs w:val="21"/>
        </w:rPr>
      </w:pPr>
      <w:r w:rsidRPr="00777BAB">
        <w:rPr>
          <w:rFonts w:eastAsia="Times"/>
          <w:color w:val="000000" w:themeColor="text1"/>
          <w:lang w:val="es"/>
        </w:rPr>
        <w:t xml:space="preserve">En materia de patria potestad es evidente el cambio de paradigma que se viene desarrollando y las sentencias </w:t>
      </w:r>
      <w:r w:rsidR="00CD2385">
        <w:rPr>
          <w:rFonts w:eastAsia="Times"/>
          <w:color w:val="000000" w:themeColor="text1"/>
          <w:lang w:val="es"/>
        </w:rPr>
        <w:t>posteriores</w:t>
      </w:r>
      <w:r w:rsidRPr="00777BAB">
        <w:rPr>
          <w:rFonts w:eastAsia="Times"/>
          <w:color w:val="000000" w:themeColor="text1"/>
          <w:lang w:val="es"/>
        </w:rPr>
        <w:t xml:space="preserve"> </w:t>
      </w:r>
      <w:r w:rsidR="00CD2385">
        <w:rPr>
          <w:rFonts w:eastAsia="Times"/>
          <w:color w:val="000000" w:themeColor="text1"/>
          <w:lang w:val="es"/>
        </w:rPr>
        <w:t xml:space="preserve">al año </w:t>
      </w:r>
      <w:r w:rsidRPr="00777BAB">
        <w:rPr>
          <w:rFonts w:eastAsia="Times"/>
          <w:color w:val="000000" w:themeColor="text1"/>
          <w:lang w:val="es"/>
        </w:rPr>
        <w:t xml:space="preserve">2011 dan cuenta de ello. A pesar de que el nombre “patria potestad” y las normas del Código Civil todavía </w:t>
      </w:r>
      <w:r w:rsidR="00CD2385">
        <w:rPr>
          <w:rFonts w:eastAsia="Times"/>
          <w:color w:val="000000" w:themeColor="text1"/>
          <w:lang w:val="es"/>
        </w:rPr>
        <w:t>dan cuenta de una concepción</w:t>
      </w:r>
      <w:r w:rsidR="00B91681">
        <w:rPr>
          <w:rFonts w:eastAsia="Times"/>
          <w:color w:val="000000" w:themeColor="text1"/>
          <w:lang w:val="es"/>
        </w:rPr>
        <w:t xml:space="preserve"> basada en perspectivas tradicionales del derecho</w:t>
      </w:r>
      <w:r w:rsidRPr="00777BAB">
        <w:rPr>
          <w:rFonts w:eastAsia="Times"/>
          <w:color w:val="000000" w:themeColor="text1"/>
          <w:lang w:val="es"/>
        </w:rPr>
        <w:t xml:space="preserve">, es necesario hacer notar que las interpretaciones que la </w:t>
      </w:r>
      <w:r w:rsidR="00AF09DD">
        <w:rPr>
          <w:rFonts w:eastAsia="Times"/>
          <w:color w:val="000000" w:themeColor="text1"/>
          <w:lang w:val="es"/>
        </w:rPr>
        <w:t xml:space="preserve">Suprema </w:t>
      </w:r>
      <w:r w:rsidRPr="00777BAB">
        <w:rPr>
          <w:rFonts w:eastAsia="Times"/>
          <w:color w:val="000000" w:themeColor="text1"/>
          <w:lang w:val="es"/>
        </w:rPr>
        <w:t xml:space="preserve">Corte ha </w:t>
      </w:r>
      <w:r w:rsidR="00AF09DD">
        <w:rPr>
          <w:rFonts w:eastAsia="Times"/>
          <w:color w:val="000000" w:themeColor="text1"/>
          <w:lang w:val="es"/>
        </w:rPr>
        <w:t>desarrollado sobre</w:t>
      </w:r>
      <w:r w:rsidRPr="00777BAB">
        <w:rPr>
          <w:rFonts w:eastAsia="Times"/>
          <w:color w:val="000000" w:themeColor="text1"/>
          <w:lang w:val="es"/>
        </w:rPr>
        <w:t xml:space="preserve"> esta institución en materia de adopciones, por ejemplo, se ha</w:t>
      </w:r>
      <w:r w:rsidR="00AF09DD">
        <w:rPr>
          <w:rFonts w:eastAsia="Times"/>
          <w:color w:val="000000" w:themeColor="text1"/>
          <w:lang w:val="es"/>
        </w:rPr>
        <w:t>n</w:t>
      </w:r>
      <w:r w:rsidRPr="00777BAB">
        <w:rPr>
          <w:rFonts w:eastAsia="Times"/>
          <w:color w:val="000000" w:themeColor="text1"/>
          <w:lang w:val="es"/>
        </w:rPr>
        <w:t xml:space="preserve"> movido de lugar para colocar a</w:t>
      </w:r>
      <w:r w:rsidR="00AF09DD">
        <w:rPr>
          <w:rFonts w:eastAsia="Times"/>
          <w:color w:val="000000" w:themeColor="text1"/>
          <w:lang w:val="es"/>
        </w:rPr>
        <w:t xml:space="preserve"> </w:t>
      </w:r>
      <w:r w:rsidRPr="00777BAB">
        <w:rPr>
          <w:rFonts w:eastAsia="Times"/>
          <w:color w:val="000000" w:themeColor="text1"/>
          <w:lang w:val="es"/>
        </w:rPr>
        <w:t>l</w:t>
      </w:r>
      <w:r w:rsidR="00AF09DD">
        <w:rPr>
          <w:rFonts w:eastAsia="Times"/>
          <w:color w:val="000000" w:themeColor="text1"/>
          <w:lang w:val="es"/>
        </w:rPr>
        <w:t>a</w:t>
      </w:r>
      <w:r w:rsidRPr="00777BAB">
        <w:rPr>
          <w:rFonts w:eastAsia="Times"/>
          <w:color w:val="000000" w:themeColor="text1"/>
          <w:lang w:val="es"/>
        </w:rPr>
        <w:t xml:space="preserve"> niñ</w:t>
      </w:r>
      <w:r w:rsidR="00AF09DD">
        <w:rPr>
          <w:rFonts w:eastAsia="Times"/>
          <w:color w:val="000000" w:themeColor="text1"/>
          <w:lang w:val="es"/>
        </w:rPr>
        <w:t>a</w:t>
      </w:r>
      <w:r w:rsidRPr="00777BAB">
        <w:rPr>
          <w:rFonts w:eastAsia="Times"/>
          <w:color w:val="000000" w:themeColor="text1"/>
          <w:lang w:val="es"/>
        </w:rPr>
        <w:t>, niñ</w:t>
      </w:r>
      <w:r w:rsidR="00AF09DD">
        <w:rPr>
          <w:rFonts w:eastAsia="Times"/>
          <w:color w:val="000000" w:themeColor="text1"/>
          <w:lang w:val="es"/>
        </w:rPr>
        <w:t>o</w:t>
      </w:r>
      <w:r w:rsidRPr="00777BAB">
        <w:rPr>
          <w:rFonts w:eastAsia="Times"/>
          <w:color w:val="000000" w:themeColor="text1"/>
          <w:lang w:val="es"/>
        </w:rPr>
        <w:t xml:space="preserve"> o adolescente y sus derechos en el centro de los análisis y las decisiones. Si bien es cierto que </w:t>
      </w:r>
      <w:r w:rsidR="00651E72">
        <w:rPr>
          <w:rFonts w:eastAsia="Times"/>
          <w:color w:val="000000" w:themeColor="text1"/>
          <w:lang w:val="es"/>
        </w:rPr>
        <w:t>existen</w:t>
      </w:r>
      <w:r w:rsidRPr="00777BAB">
        <w:rPr>
          <w:rFonts w:eastAsia="Times"/>
          <w:color w:val="000000" w:themeColor="text1"/>
          <w:lang w:val="es"/>
        </w:rPr>
        <w:t xml:space="preserve"> fallos </w:t>
      </w:r>
      <w:r w:rsidR="00651E72">
        <w:rPr>
          <w:rFonts w:eastAsia="Times"/>
          <w:color w:val="000000" w:themeColor="text1"/>
          <w:lang w:val="es"/>
        </w:rPr>
        <w:t>con los que,</w:t>
      </w:r>
      <w:r w:rsidRPr="00777BAB">
        <w:rPr>
          <w:rFonts w:eastAsia="Times"/>
          <w:color w:val="000000" w:themeColor="text1"/>
          <w:lang w:val="es"/>
        </w:rPr>
        <w:t xml:space="preserve"> tal vez no </w:t>
      </w:r>
      <w:r w:rsidR="00651E72">
        <w:rPr>
          <w:rFonts w:eastAsia="Times"/>
          <w:color w:val="000000" w:themeColor="text1"/>
          <w:lang w:val="es"/>
        </w:rPr>
        <w:t xml:space="preserve">se </w:t>
      </w:r>
      <w:r w:rsidRPr="00777BAB">
        <w:rPr>
          <w:rFonts w:eastAsia="Times"/>
          <w:color w:val="000000" w:themeColor="text1"/>
          <w:lang w:val="es"/>
        </w:rPr>
        <w:t>concuerde del todo con la decisión final</w:t>
      </w:r>
      <w:r w:rsidR="00651E72">
        <w:rPr>
          <w:rFonts w:eastAsia="Times"/>
          <w:color w:val="000000" w:themeColor="text1"/>
          <w:lang w:val="es"/>
        </w:rPr>
        <w:t xml:space="preserve"> alcanzada</w:t>
      </w:r>
      <w:r w:rsidRPr="00777BAB">
        <w:rPr>
          <w:rFonts w:eastAsia="Times"/>
          <w:color w:val="000000" w:themeColor="text1"/>
          <w:lang w:val="es"/>
        </w:rPr>
        <w:t xml:space="preserve">, no </w:t>
      </w:r>
      <w:r w:rsidR="00345BC0">
        <w:rPr>
          <w:rFonts w:eastAsia="Times"/>
          <w:color w:val="000000" w:themeColor="text1"/>
          <w:lang w:val="es"/>
        </w:rPr>
        <w:t>puede ignorarse un esfuerzo por impulsar algunos cambios en diversas concepciones.</w:t>
      </w:r>
    </w:p>
    <w:p w14:paraId="6A717B6A" w14:textId="3E4CCF00" w:rsidR="0088045D" w:rsidRDefault="00345BC0" w:rsidP="006958E6">
      <w:pPr>
        <w:jc w:val="both"/>
      </w:pPr>
      <w:r>
        <w:t>Por ejemplo, e</w:t>
      </w:r>
      <w:r w:rsidR="0088045D">
        <w:t xml:space="preserve">n el Amparo Directo en Revisión 348/2012 </w:t>
      </w:r>
      <w:r w:rsidR="00BC51D6">
        <w:t xml:space="preserve">se </w:t>
      </w:r>
      <w:r w:rsidR="00C73330">
        <w:t>resolvió</w:t>
      </w:r>
      <w:r w:rsidR="00BC51D6">
        <w:t xml:space="preserve"> una controversia que versaba sobre la patria potestad que reclamaba</w:t>
      </w:r>
      <w:r w:rsidR="009400B5">
        <w:t>,</w:t>
      </w:r>
      <w:r w:rsidR="00BC51D6">
        <w:t xml:space="preserve"> </w:t>
      </w:r>
      <w:r w:rsidR="009400B5">
        <w:t xml:space="preserve">por un lado, </w:t>
      </w:r>
      <w:r w:rsidR="00BC51D6">
        <w:t>la madre biológica</w:t>
      </w:r>
      <w:r w:rsidR="00485670">
        <w:t xml:space="preserve"> de la niña</w:t>
      </w:r>
      <w:r w:rsidR="00BC51D6">
        <w:t xml:space="preserve">, </w:t>
      </w:r>
      <w:r w:rsidR="00A21A81">
        <w:t>pero en donde</w:t>
      </w:r>
      <w:r w:rsidR="00BC51D6">
        <w:t xml:space="preserve"> </w:t>
      </w:r>
      <w:r w:rsidR="00150057">
        <w:t>un</w:t>
      </w:r>
      <w:r w:rsidR="00BC51D6">
        <w:t xml:space="preserve">a pareja había solicitado su adopción, por el otro. El tema que la Suprema Corte puso sobre la mesa </w:t>
      </w:r>
      <w:r w:rsidR="00C73330">
        <w:t xml:space="preserve">analizaba si </w:t>
      </w:r>
      <w:r w:rsidR="00C73330" w:rsidRPr="00C73330">
        <w:t>“</w:t>
      </w:r>
      <w:r w:rsidR="00C73330" w:rsidRPr="00485670">
        <w:rPr>
          <w:i/>
          <w:iCs/>
        </w:rPr>
        <w:t>el interés superior del menor, previsto en nuestra Constitución y en la normativa internacional, determina de alguna forma la interpretación de dos de las figuras más relevantes del Derecho de Familia: la patria potestad y la adopción</w:t>
      </w:r>
      <w:r w:rsidR="00C73330" w:rsidRPr="00C73330">
        <w:t>”.</w:t>
      </w:r>
    </w:p>
    <w:p w14:paraId="193215AF" w14:textId="07A294F2" w:rsidR="00056BEE" w:rsidRDefault="00056BEE" w:rsidP="006958E6">
      <w:pPr>
        <w:jc w:val="both"/>
      </w:pPr>
      <w:r>
        <w:t xml:space="preserve">El caso surge a partir de un acuerdo que aparentemente se realizó durante el embarazo </w:t>
      </w:r>
      <w:r w:rsidR="0066713C">
        <w:t>para, aparentemente, dar en adopción al bebé que nacería, ya que el bebé era fruto de violencia sexual; y la falta de recursos y condiciones económicas para hacerse cargo del bebé. La manifestación del acuerdo de adopción se dio frente al agente de Ministerio Público, y un funcionario del DIF. E</w:t>
      </w:r>
      <w:r w:rsidR="0066713C" w:rsidRPr="0066713C">
        <w:t>l agente del Ministerio Público determinó reconocer a favor de la pareja una tutela “por ministerio de ley”.</w:t>
      </w:r>
      <w:r w:rsidR="0066713C">
        <w:t xml:space="preserve"> Unos meses después los padres adoptivos promovieron juicio especial de adopción, obteniendo una resolución favorable a sus intereses, decretando la pérdida de la patria potestad por parte de la madre biológica. </w:t>
      </w:r>
      <w:r w:rsidR="00C90B7F">
        <w:t xml:space="preserve">Ante ello, la madre biológica manifestó oposición, y el Tribunal revocó la sentencia, estableciendo que el interés superior radicaba en estar al lado de su madre biológica. </w:t>
      </w:r>
    </w:p>
    <w:p w14:paraId="0338C908" w14:textId="655087E9" w:rsidR="00C90B7F" w:rsidRDefault="00C90B7F" w:rsidP="006958E6">
      <w:pPr>
        <w:jc w:val="both"/>
      </w:pPr>
      <w:r>
        <w:t>El amparo interpuesto por los padres adoptivos llegó a la Suprema Corte</w:t>
      </w:r>
      <w:r w:rsidR="003A01BA">
        <w:t xml:space="preserve"> de Justicia de la Nación, quien decidió la reinterpretación de la figura de la patria potestad, para entenderla desde dos premisas: a. el reconocimiento de niñas, niños y adolescentes como sujetos de derechos, y b) </w:t>
      </w:r>
      <w:r w:rsidR="00105E6E">
        <w:t xml:space="preserve">el reconocimiento de que </w:t>
      </w:r>
      <w:r w:rsidR="003A01BA">
        <w:t>la protección de niñ</w:t>
      </w:r>
      <w:r w:rsidR="00105E6E">
        <w:t>a</w:t>
      </w:r>
      <w:r w:rsidR="003A01BA">
        <w:t>s y niñ</w:t>
      </w:r>
      <w:r w:rsidR="00105E6E">
        <w:t>o</w:t>
      </w:r>
      <w:r w:rsidR="003A01BA">
        <w:t xml:space="preserve">s constituye un mandato constitucional impuesto a la familia y a los poderes públicos. En ese </w:t>
      </w:r>
      <w:r w:rsidR="00963026">
        <w:t>s</w:t>
      </w:r>
      <w:r w:rsidR="003A01BA">
        <w:t xml:space="preserve">entido, el interés superior </w:t>
      </w:r>
      <w:r w:rsidR="00963026">
        <w:t>de</w:t>
      </w:r>
      <w:r w:rsidR="00854F1E">
        <w:t xml:space="preserve"> niñas y</w:t>
      </w:r>
      <w:r w:rsidR="00963026">
        <w:t xml:space="preserve"> niños debe funcionar como el fundamento para decidir cualquier disputa sobre la patria potestad. </w:t>
      </w:r>
      <w:r w:rsidR="003A01BA">
        <w:t xml:space="preserve"> </w:t>
      </w:r>
      <w:r w:rsidR="00963026">
        <w:t xml:space="preserve">En ese sentido, la patria potestad no debería funcionar como una forma de sancionar a las personas adultas por su incumplimiento de deberes frente al niños o niña, sino que estas decisiones deben basarse en la protección de los intereses de la persona menor de edad. </w:t>
      </w:r>
    </w:p>
    <w:p w14:paraId="2D6AC489" w14:textId="214D1F13" w:rsidR="00963026" w:rsidRDefault="00963026" w:rsidP="006958E6">
      <w:pPr>
        <w:jc w:val="both"/>
      </w:pPr>
      <w:r>
        <w:t>Bajo estos supuestos</w:t>
      </w:r>
      <w:r w:rsidR="006F44E2">
        <w:t>, la menor separación de la familia no debe verse el derecho de los padres biológicos como un principio absoluto, sobre todo cua</w:t>
      </w:r>
      <w:r w:rsidR="002931AA">
        <w:t>n</w:t>
      </w:r>
      <w:r w:rsidR="006F44E2">
        <w:t xml:space="preserve">do se trata de adoptar medidas que protejan al niño o niña; y este derecho siempre estará subordinado al interés de la o el niño en cuestión. </w:t>
      </w:r>
    </w:p>
    <w:p w14:paraId="58AF7789" w14:textId="13B554A5" w:rsidR="0088045D" w:rsidRDefault="0088045D" w:rsidP="0088045D">
      <w:pPr>
        <w:jc w:val="both"/>
      </w:pPr>
      <w:r w:rsidRPr="006F44E2">
        <w:t>De esta manera, es posible observar c</w:t>
      </w:r>
      <w:r w:rsidR="006F44E2">
        <w:t>ó</w:t>
      </w:r>
      <w:r w:rsidRPr="006F44E2">
        <w:t>mo</w:t>
      </w:r>
      <w:r w:rsidR="006F44E2">
        <w:t>,</w:t>
      </w:r>
      <w:r w:rsidRPr="006F44E2">
        <w:t xml:space="preserve"> en principio, la Suprema Corte </w:t>
      </w:r>
      <w:r w:rsidR="009415AC">
        <w:t>utilizó</w:t>
      </w:r>
      <w:r w:rsidRPr="006F44E2">
        <w:t xml:space="preserve"> el marco de protección nacional e internacional de los derechos humanos para resignificar un concepto de naturaleza civil como es la institución de la “patria potestad” </w:t>
      </w:r>
      <w:r w:rsidR="009415AC">
        <w:t>que desde las entrañas del derecho civil, se reconoce como un derecho</w:t>
      </w:r>
      <w:r w:rsidRPr="006F44E2">
        <w:t xml:space="preserve"> </w:t>
      </w:r>
      <w:r w:rsidR="009415AC">
        <w:t>de</w:t>
      </w:r>
      <w:r w:rsidRPr="006F44E2">
        <w:t xml:space="preserve"> las personas adultas sobre la titularidad o posesión de una niña, niño o adolescentes</w:t>
      </w:r>
      <w:r w:rsidR="009415AC">
        <w:t>. Sin embargo, desde la perspectiva</w:t>
      </w:r>
      <w:r w:rsidRPr="006F44E2">
        <w:t xml:space="preserve"> de niñas, niños y adolescentes como sujetos de derechos, en realidad adquiere una conceptualización distinta en la medida que antepone el ejercicio de los derechos de niñas, niños y adolescentes.</w:t>
      </w:r>
    </w:p>
    <w:p w14:paraId="3B51856A" w14:textId="53076903" w:rsidR="009C7BE0" w:rsidRDefault="009415AC" w:rsidP="0088045D">
      <w:pPr>
        <w:jc w:val="both"/>
      </w:pPr>
      <w:r>
        <w:t>De esta manera, los casos de excepción a la menor separación de la familia deberán surgir de un análisis conjunto que identifique y proteja los principios del interés superior de niñas, niños y adolescentes, y la menor separación de la familia.</w:t>
      </w:r>
      <w:r w:rsidR="009C7BE0">
        <w:t xml:space="preserve"> Aquí se encuentra uno de los aspectos más interesantes de esta sentencia, en donde se puede identificar claramente el proceso de interpretación por medio del cual </w:t>
      </w:r>
      <w:r w:rsidR="00311823">
        <w:t xml:space="preserve">se buscó </w:t>
      </w:r>
      <w:r w:rsidR="009C7BE0">
        <w:t>coloca</w:t>
      </w:r>
      <w:r w:rsidR="00311823">
        <w:t>r</w:t>
      </w:r>
      <w:r w:rsidR="009C7BE0">
        <w:t xml:space="preserve"> a la niña en el centro de la decisión, pues </w:t>
      </w:r>
      <w:r w:rsidR="001C31D6">
        <w:t xml:space="preserve">el fallo </w:t>
      </w:r>
      <w:r w:rsidR="009C7BE0">
        <w:t xml:space="preserve">analiza los límites el principio de la unidad familiar </w:t>
      </w:r>
      <w:r w:rsidR="009C7BE0">
        <w:rPr>
          <w:i/>
        </w:rPr>
        <w:t xml:space="preserve">biológica, </w:t>
      </w:r>
      <w:r w:rsidR="0006393F">
        <w:t xml:space="preserve">y el impacto y posibles afectaciones de separarla de la familia social con la que había convivido durante cinco años, generando lazos de afectos. </w:t>
      </w:r>
      <w:r>
        <w:t xml:space="preserve"> </w:t>
      </w:r>
      <w:r w:rsidR="0006393F">
        <w:t xml:space="preserve">La sentencia otorga la patria potestad a la familia adoptante. Sin embargo, diversas críticas pueden surgir de esta resolución, pues, a pesar de hacer una interpretación evolutiva y protectora de la patria potestad, y el principio de la menor separación, en la decisión final parece perder de vista a la niña, y carece de perspectiva de género. </w:t>
      </w:r>
    </w:p>
    <w:p w14:paraId="4CA3281E" w14:textId="4BD6E9F4" w:rsidR="0006393F" w:rsidRDefault="0006393F" w:rsidP="006958E6">
      <w:pPr>
        <w:jc w:val="both"/>
      </w:pPr>
      <w:r>
        <w:t xml:space="preserve">En un caso similar, resuelto a través del Amparo Directo en Revisión 6179/2015, la </w:t>
      </w:r>
      <w:r w:rsidR="001C31D6">
        <w:t xml:space="preserve">Suprema </w:t>
      </w:r>
      <w:r>
        <w:t xml:space="preserve">Corte </w:t>
      </w:r>
      <w:r w:rsidR="001C31D6">
        <w:t xml:space="preserve">de México </w:t>
      </w:r>
      <w:r>
        <w:t xml:space="preserve">precisa </w:t>
      </w:r>
      <w:r w:rsidR="00DC5EB3">
        <w:t xml:space="preserve">los </w:t>
      </w:r>
      <w:r>
        <w:t>dos elementos que deben ser considerados en la determinación del interés superior para vencer la presunción de que éste representa el mantenimiento de la unión familiar</w:t>
      </w:r>
      <w:r w:rsidR="00DC5EB3">
        <w:t>, que ya había realizado en el</w:t>
      </w:r>
      <w:r w:rsidR="00EC5EB9">
        <w:t xml:space="preserve"> </w:t>
      </w:r>
      <w:r w:rsidR="00DC5EB3">
        <w:t xml:space="preserve">Amparo anteriormente descrito. </w:t>
      </w:r>
      <w:r>
        <w:t>En primer lugar, las condiciones en las que ocurrió la separación de padres o madres biológicas</w:t>
      </w:r>
      <w:r w:rsidR="00646C09">
        <w:t xml:space="preserve">. Sobre este punto hace una clara diferencia entre el abandono </w:t>
      </w:r>
      <w:r w:rsidR="00DC5EB3">
        <w:t xml:space="preserve">(omisión de cumplimiento de deberes inherentes a la patria potestad) </w:t>
      </w:r>
      <w:r w:rsidR="00646C09">
        <w:t xml:space="preserve">o puesta en riesgo del niño o niña y dejarle en custodia temporal de otras personas pero con el propósito de que se reintegre al núcleo familiar. La primera, de acuerdo con la Suprema Corte puede dar pie a la pérdida de la patria potestad, mientras que en la segunda debe primar el mantenimiento de lazos familiares. </w:t>
      </w:r>
    </w:p>
    <w:p w14:paraId="3D4F2D25" w14:textId="25B62D4F" w:rsidR="00646C09" w:rsidRDefault="00646C09" w:rsidP="006958E6">
      <w:pPr>
        <w:jc w:val="both"/>
      </w:pPr>
      <w:r>
        <w:t>En segundo lugar, la consolidación de una realidad social distinta a la biológica, en donde se deben de tomar en cuenta, de manera primordial los intereses del niño o niña, las afectaciones que puede producir un desprendimiento de su contexto social y familiar en el que se ha desarrolla</w:t>
      </w:r>
      <w:r w:rsidR="007350E7">
        <w:t>do</w:t>
      </w:r>
      <w:r>
        <w:t>, y relacionado con ello, la formación del apego y la identidad que ese contexto le ha brindado</w:t>
      </w:r>
      <w:r w:rsidR="007350E7">
        <w:t xml:space="preserve"> a la niña o niño</w:t>
      </w:r>
      <w:r>
        <w:t xml:space="preserve">. </w:t>
      </w:r>
      <w:r w:rsidR="00DC5EB3">
        <w:t>Finalmente, la Suprema Corte establece que en los casos de pérdida de patria potestad, se debe demostrar que mantener el vínculo jurídico con la familia generará un daño o una situación perjudicial para el niño o niña.</w:t>
      </w:r>
    </w:p>
    <w:p w14:paraId="462C747B" w14:textId="0C1C9BF8" w:rsidR="00DC5EB3" w:rsidRDefault="00DC5EB3" w:rsidP="006958E6">
      <w:pPr>
        <w:jc w:val="both"/>
      </w:pPr>
      <w:r>
        <w:t>Este mismo análisis para definir si el interés superior responde al retorno a la familia biológica o la familia social ha sido analizado y reiterado en distintos otros casos como el Amparo en Revisión 518/2013</w:t>
      </w:r>
      <w:r w:rsidR="00860EDA">
        <w:t xml:space="preserve"> y </w:t>
      </w:r>
      <w:r>
        <w:t>el 3482/2012.</w:t>
      </w:r>
      <w:r w:rsidR="00860EDA">
        <w:rPr>
          <w:rStyle w:val="Refdenotaalpie"/>
        </w:rPr>
        <w:footnoteReference w:id="36"/>
      </w:r>
    </w:p>
    <w:p w14:paraId="01BDC270" w14:textId="11005F80" w:rsidR="2742513F" w:rsidRPr="00331E86" w:rsidRDefault="00DC5EB3" w:rsidP="00331E86">
      <w:pPr>
        <w:jc w:val="both"/>
      </w:pPr>
      <w:r>
        <w:t xml:space="preserve">Por último, se resalta el reconocimiento de otras formas de familias más allá de la biológica que responden a la </w:t>
      </w:r>
      <w:r w:rsidR="009F6A7D">
        <w:t xml:space="preserve">complejidad de la </w:t>
      </w:r>
      <w:r>
        <w:t xml:space="preserve">realidad social. De acuerdo con nuestra corte constitucional, esta realidad social impacta de manera sustantiva en </w:t>
      </w:r>
      <w:r w:rsidR="0027010C">
        <w:t>las relaciones sociales</w:t>
      </w:r>
      <w:r>
        <w:t xml:space="preserve"> de</w:t>
      </w:r>
      <w:r w:rsidR="009F6A7D">
        <w:t xml:space="preserve"> </w:t>
      </w:r>
      <w:r>
        <w:t>l</w:t>
      </w:r>
      <w:r w:rsidR="009F6A7D">
        <w:t>a</w:t>
      </w:r>
      <w:r>
        <w:t xml:space="preserve"> niñ</w:t>
      </w:r>
      <w:r w:rsidR="009F6A7D">
        <w:t>a</w:t>
      </w:r>
      <w:r>
        <w:t xml:space="preserve"> o niñ</w:t>
      </w:r>
      <w:r w:rsidR="009F6A7D">
        <w:t>o</w:t>
      </w:r>
      <w:r>
        <w:t>, pero también en la configuración de su identidad</w:t>
      </w:r>
      <w:r w:rsidR="009F6A7D">
        <w:t>. Estos dos elementos resultan centrales</w:t>
      </w:r>
      <w:r w:rsidR="0027010C">
        <w:t xml:space="preserve"> </w:t>
      </w:r>
      <w:r w:rsidR="009F6A7D">
        <w:t>para la protección d</w:t>
      </w:r>
      <w:r w:rsidR="0027010C">
        <w:t>el derecho a vivir en familia.</w:t>
      </w:r>
      <w:r>
        <w:t xml:space="preserve"> </w:t>
      </w:r>
      <w:r w:rsidR="0027010C">
        <w:t>Además, e</w:t>
      </w:r>
      <w:r>
        <w:t xml:space="preserve">ste reconocimiento abre la puerta hacia adelante a entender otras formas de composición familiar, por medio de las cuáles se garantice </w:t>
      </w:r>
      <w:r w:rsidR="0027010C">
        <w:t>el principio de la menor separación</w:t>
      </w:r>
      <w:r w:rsidR="00017329">
        <w:t>.</w:t>
      </w:r>
      <w:r w:rsidR="00EA7943">
        <w:rPr>
          <w:rStyle w:val="Refdenotaalpie"/>
        </w:rPr>
        <w:footnoteReference w:id="37"/>
      </w:r>
    </w:p>
    <w:p w14:paraId="556B0646" w14:textId="79084B22" w:rsidR="00725688" w:rsidRPr="0027010C" w:rsidRDefault="00297077" w:rsidP="00EC090C">
      <w:pPr>
        <w:pStyle w:val="Prrafodelista"/>
        <w:numPr>
          <w:ilvl w:val="0"/>
          <w:numId w:val="27"/>
        </w:numPr>
        <w:rPr>
          <w:b/>
          <w:bCs/>
        </w:rPr>
      </w:pPr>
      <w:r>
        <w:rPr>
          <w:b/>
          <w:bCs/>
        </w:rPr>
        <w:t xml:space="preserve"> </w:t>
      </w:r>
      <w:r w:rsidR="006023F7" w:rsidRPr="00725688">
        <w:rPr>
          <w:b/>
          <w:bCs/>
        </w:rPr>
        <w:t xml:space="preserve">Derecho a la </w:t>
      </w:r>
      <w:r w:rsidR="76C3BBDA" w:rsidRPr="00725688">
        <w:rPr>
          <w:b/>
          <w:bCs/>
        </w:rPr>
        <w:t>Identidad</w:t>
      </w:r>
    </w:p>
    <w:p w14:paraId="48275681" w14:textId="2CEDE153" w:rsidR="00725688" w:rsidRDefault="0027010C" w:rsidP="00725688">
      <w:pPr>
        <w:jc w:val="both"/>
      </w:pPr>
      <w:r>
        <w:t>Las decisiones anteriores</w:t>
      </w:r>
      <w:r w:rsidR="009A0DD8">
        <w:t xml:space="preserve"> también</w:t>
      </w:r>
      <w:r>
        <w:t xml:space="preserve"> han dado pie a que </w:t>
      </w:r>
      <w:r w:rsidR="00445567">
        <w:t>la Suprema</w:t>
      </w:r>
      <w:r>
        <w:t xml:space="preserve"> Corte </w:t>
      </w:r>
      <w:r w:rsidR="00445567">
        <w:t xml:space="preserve">de Justicia </w:t>
      </w:r>
      <w:r>
        <w:t>se pronunciara sobre el derecho a la identidad de niñas y niños, más allá del derecho al nombre (ser registrado al momento del nacimiento), que era la manera de entender la identidad de niñas y niños</w:t>
      </w:r>
      <w:r w:rsidR="00725688">
        <w:t xml:space="preserve">. Sobre este </w:t>
      </w:r>
      <w:r>
        <w:t>tema</w:t>
      </w:r>
      <w:r w:rsidR="00725688">
        <w:t xml:space="preserve"> todavía queda mucho que desarrollar,</w:t>
      </w:r>
      <w:r w:rsidR="00ED66C7">
        <w:t xml:space="preserve"> particularmente </w:t>
      </w:r>
      <w:r w:rsidR="00725688">
        <w:t xml:space="preserve">ahora que </w:t>
      </w:r>
      <w:r w:rsidR="00ED66C7">
        <w:t xml:space="preserve">se han presentado frente al tribunal constitucional mexicano casos </w:t>
      </w:r>
      <w:r w:rsidR="00725688">
        <w:t xml:space="preserve">importantes </w:t>
      </w:r>
      <w:r w:rsidR="00ED66C7">
        <w:t xml:space="preserve">relacionados </w:t>
      </w:r>
      <w:r w:rsidR="00725688">
        <w:t>co</w:t>
      </w:r>
      <w:r w:rsidR="00ED66C7">
        <w:t>n</w:t>
      </w:r>
      <w:r w:rsidR="00725688">
        <w:t xml:space="preserve"> el cambio de nombre en el acta de nacimiento de</w:t>
      </w:r>
      <w:r w:rsidR="009A60B0">
        <w:t xml:space="preserve"> personas trans</w:t>
      </w:r>
      <w:r w:rsidR="00725688">
        <w:t>. En este caso interesa dedicarle unas líneas</w:t>
      </w:r>
      <w:r>
        <w:t xml:space="preserve"> a este derecho, </w:t>
      </w:r>
      <w:r w:rsidR="00283225">
        <w:t>ya que ello ha contribuido al desarrollo de</w:t>
      </w:r>
      <w:r w:rsidR="00725688">
        <w:t xml:space="preserve"> interpretaciones que </w:t>
      </w:r>
      <w:r w:rsidR="00283225">
        <w:t xml:space="preserve">han </w:t>
      </w:r>
      <w:r w:rsidR="00725688">
        <w:t xml:space="preserve">abonado a </w:t>
      </w:r>
      <w:r w:rsidR="008C0FAB">
        <w:t>redefinir los alcances de la figura de la familia, colocando en el centro los intereses, necesidades y derechos de niñ</w:t>
      </w:r>
      <w:r w:rsidR="00F25E76">
        <w:t>as</w:t>
      </w:r>
      <w:r w:rsidR="008C0FAB">
        <w:t xml:space="preserve"> o niñ</w:t>
      </w:r>
      <w:r w:rsidR="00F25E76">
        <w:t>os</w:t>
      </w:r>
      <w:r w:rsidR="008C0FAB">
        <w:t xml:space="preserve">. </w:t>
      </w:r>
    </w:p>
    <w:p w14:paraId="3F4EAB66" w14:textId="7D90AD08" w:rsidR="0027010C" w:rsidRDefault="0027010C" w:rsidP="00725688">
      <w:pPr>
        <w:jc w:val="both"/>
      </w:pPr>
      <w:r>
        <w:t>El análisis de este apartado se desprende de los casos de menor separación de la familia y patria potestad, por lo que la identidad se discute desde l</w:t>
      </w:r>
      <w:r w:rsidR="00E7452E">
        <w:t xml:space="preserve">as implicaciones de conocer </w:t>
      </w:r>
      <w:r>
        <w:t>o no los orígenes biológicos y de convivir con esa familia, en casos en que el niño, niña o adolescente se ha desarrollado en el seno de una familia social</w:t>
      </w:r>
      <w:r w:rsidR="004E6F84">
        <w:t xml:space="preserve">, o bien en casos de reconocimiento de paternidad biológica. </w:t>
      </w:r>
    </w:p>
    <w:p w14:paraId="324B0D4F" w14:textId="5FE8C61F" w:rsidR="004E386B" w:rsidRDefault="004E386B" w:rsidP="00725688">
      <w:pPr>
        <w:jc w:val="both"/>
      </w:pPr>
      <w:r>
        <w:t xml:space="preserve">La interpretación más importante que ha realizado la Suprema Corte en este sentido, y que sigue los criterios que, por ejemplo, el Tribunal Europeo ha establecido en casos de identidad, establece que ésta se configura por el reconocimiento de su origen biológico y de su realidad social. En relación </w:t>
      </w:r>
      <w:r w:rsidR="00193AC6">
        <w:t>con el</w:t>
      </w:r>
      <w:r>
        <w:t xml:space="preserve"> primer componente, la Suprema Corte ha sido reiterativa en señalar que el </w:t>
      </w:r>
      <w:r>
        <w:rPr>
          <w:i/>
          <w:iCs/>
        </w:rPr>
        <w:t>interés por conocer el propio origen contribuye a la formación de la identidad persona, física y psicológica</w:t>
      </w:r>
      <w:r w:rsidR="00727E53">
        <w:rPr>
          <w:i/>
          <w:iCs/>
        </w:rPr>
        <w:t>, en la que se apoyan la propia estima, el sentido de dignidad personal y el desarrollo personal</w:t>
      </w:r>
      <w:r w:rsidR="00727E53">
        <w:rPr>
          <w:rStyle w:val="Refdenotaalpie"/>
          <w:i/>
          <w:iCs/>
        </w:rPr>
        <w:footnoteReference w:id="38"/>
      </w:r>
      <w:r w:rsidR="00727E53">
        <w:rPr>
          <w:i/>
          <w:iCs/>
        </w:rPr>
        <w:t>.</w:t>
      </w:r>
      <w:r w:rsidR="00727E53">
        <w:t xml:space="preserve"> En ese sentido, ha destacado que la falta de este tipo de información podría generar inseguridad y otro tipo de problemas personales. </w:t>
      </w:r>
    </w:p>
    <w:p w14:paraId="2DC7F3E1" w14:textId="493173BF" w:rsidR="00727E53" w:rsidRDefault="00727E53" w:rsidP="00725688">
      <w:pPr>
        <w:jc w:val="both"/>
      </w:pPr>
      <w:r>
        <w:t xml:space="preserve">Sin embargo, de acuerdo con </w:t>
      </w:r>
      <w:r w:rsidR="00B5454A">
        <w:t xml:space="preserve">su desarrollo jurisprudencial, la identidad no se agota en el origen biológico, pues los factores sociales </w:t>
      </w:r>
      <w:r w:rsidR="007467BB">
        <w:t xml:space="preserve">pueden modelar en mayor medida el carácter del individuo, por encima de los genes adquiridos. Así, los primeros años de vida forman una parte esencial de </w:t>
      </w:r>
      <w:r w:rsidR="004F26A9">
        <w:t>la</w:t>
      </w:r>
      <w:r w:rsidR="007467BB">
        <w:t xml:space="preserve"> realidad interpersonal que forma parte integral de</w:t>
      </w:r>
      <w:r w:rsidR="00B47546">
        <w:t xml:space="preserve"> la</w:t>
      </w:r>
      <w:r w:rsidR="007467BB">
        <w:t xml:space="preserve"> identidad</w:t>
      </w:r>
      <w:r w:rsidR="00B47546">
        <w:t xml:space="preserve"> de una persona</w:t>
      </w:r>
      <w:r w:rsidR="00C54EAC">
        <w:t xml:space="preserve">, pues es a partir de la creación de vínculos con las personas que le proveen el cuidado, afecto y orientación, </w:t>
      </w:r>
      <w:r w:rsidR="00B47546">
        <w:t xml:space="preserve">es </w:t>
      </w:r>
      <w:r w:rsidR="00C54EAC">
        <w:t>que se desarrolla una parte importante de su personalidad</w:t>
      </w:r>
      <w:r w:rsidR="007467BB">
        <w:t>. Bajo este supuesto, a través del amparo directo en revisión 4481/2016 la Suprema Corte estableció que en ocasiones la identidad puede protegerse de menor manera a través del reconocimiento de la realidad social</w:t>
      </w:r>
      <w:r w:rsidR="001D7182">
        <w:rPr>
          <w:rStyle w:val="Refdenotaalpie"/>
        </w:rPr>
        <w:footnoteReference w:id="39"/>
      </w:r>
      <w:r w:rsidR="007467BB">
        <w:t xml:space="preserve">. </w:t>
      </w:r>
    </w:p>
    <w:p w14:paraId="42901B74" w14:textId="3DF1FB94" w:rsidR="007467BB" w:rsidRDefault="007467BB" w:rsidP="00725688">
      <w:pPr>
        <w:jc w:val="both"/>
      </w:pPr>
      <w:r>
        <w:t xml:space="preserve">Lo interesante de estas sentencias es que al interpretar el derecho a la identidad en relación </w:t>
      </w:r>
      <w:r w:rsidR="008312AA">
        <w:t>con</w:t>
      </w:r>
      <w:r>
        <w:t xml:space="preserve"> los orígenes biológicos, el principio del interés superior del niño o niña vuelve a colocarse como </w:t>
      </w:r>
      <w:r w:rsidR="008312AA">
        <w:t>elemento central que orienta</w:t>
      </w:r>
      <w:r>
        <w:t xml:space="preserve"> las decisiones judiciales. Así, la Suprema Corte ha establecido que la garantía y efectiva protección de la identidad atenderá a las circunstancias particulares de cada conflicto y las afectaciones al niño o niña, de tal manera que no puede establecer, por principio, que el conocimiento y reconocimiento de los orígenes biológicos debe primar por encima de</w:t>
      </w:r>
      <w:r w:rsidR="00CB520C">
        <w:t xml:space="preserve"> los vínculos sociales. </w:t>
      </w:r>
    </w:p>
    <w:p w14:paraId="134E9385" w14:textId="77DAB03A" w:rsidR="00CB520C" w:rsidRDefault="00CB520C" w:rsidP="00725688">
      <w:pPr>
        <w:jc w:val="both"/>
      </w:pPr>
      <w:r>
        <w:t>El reconocimiento de la identidad, además del impacto psicológico y social, tiene efectos legales que la Corte también ha estudiado en diversos casos. Por ejemplo, en los casos de reconocimiento de paternidad, como el Amparo Directo en Revisión 139/2017</w:t>
      </w:r>
      <w:r w:rsidR="00FE65A2">
        <w:rPr>
          <w:rStyle w:val="Refdenotaalpie"/>
        </w:rPr>
        <w:footnoteReference w:id="40"/>
      </w:r>
      <w:r>
        <w:t xml:space="preserve">, o el Recurso de </w:t>
      </w:r>
      <w:r w:rsidR="00A7555E">
        <w:t>Reclamación</w:t>
      </w:r>
      <w:r>
        <w:t xml:space="preserve"> 679/2019</w:t>
      </w:r>
      <w:r w:rsidR="00FE65A2">
        <w:rPr>
          <w:rStyle w:val="Refdenotaalpie"/>
        </w:rPr>
        <w:footnoteReference w:id="41"/>
      </w:r>
      <w:r>
        <w:t xml:space="preserve"> se han expuesto las consecuencias legales como la filiación, los derechos de </w:t>
      </w:r>
      <w:r w:rsidR="00E77008">
        <w:t xml:space="preserve">nacionalidad, nombre, derechos sucesorios, </w:t>
      </w:r>
      <w:r>
        <w:t xml:space="preserve">o de alimentos que se pueden desprender del reconocimiento jurídico de una identidad u otra. </w:t>
      </w:r>
    </w:p>
    <w:p w14:paraId="5E1F487F" w14:textId="552A3581" w:rsidR="00CB520C" w:rsidRDefault="00F31044" w:rsidP="00725688">
      <w:pPr>
        <w:jc w:val="both"/>
      </w:pPr>
      <w:r>
        <w:t>Sobre e</w:t>
      </w:r>
      <w:r w:rsidR="00A7555E">
        <w:t xml:space="preserve">ste último Recurso de Reclamación la Corte ordena que se estudie la revisión de un </w:t>
      </w:r>
      <w:r w:rsidR="00A33AF6">
        <w:t xml:space="preserve">amparo en donde una niña, con base en su derecho a la identidad, pone sobre la mesa </w:t>
      </w:r>
      <w:r>
        <w:t xml:space="preserve">que, de acuerdo al Código Civil en la Ciudad de México, no existe ninguna vía legal o recurso para que ella, siendo menor de edad, pueda solicitar el reconocimiento de paternidad de su padre biológico y los derechos que de ahí se derivan. Los supuestos para el reconocimiento de paternidad excluyen completamente que sea la misma niña quien solicite el reconocimiento de paternidad. </w:t>
      </w:r>
      <w:r w:rsidR="00E77008">
        <w:t xml:space="preserve"> Si bien ese recurso no resolvió el fondo del asunto, sí se pronunció respecto a que las probables afectaciones al derecho a la identidad y del interés superior era un tema de constitucionalidad, sobre la que la Corte debería pronunciarse. </w:t>
      </w:r>
    </w:p>
    <w:p w14:paraId="01347956" w14:textId="6638CECC" w:rsidR="009B6061" w:rsidRDefault="00E77008" w:rsidP="00257C3D">
      <w:pPr>
        <w:jc w:val="both"/>
      </w:pPr>
      <w:r>
        <w:t xml:space="preserve">Así, </w:t>
      </w:r>
      <w:r w:rsidR="00297077">
        <w:t>el desarrollo jurisprudencial ha permitido que algunos derechos como la identidad o la menor separación</w:t>
      </w:r>
      <w:r w:rsidR="00AB1748">
        <w:t xml:space="preserve"> de la familia se comiencen a consolidar alrededor del niño o niña como sujeto de derechos. </w:t>
      </w:r>
      <w:r w:rsidR="007F6117">
        <w:t xml:space="preserve">Frente a una normatividad que sigue careciendo de perspectiva de </w:t>
      </w:r>
      <w:r w:rsidR="006E108F">
        <w:t xml:space="preserve">derechos de la </w:t>
      </w:r>
      <w:r w:rsidR="007F6117">
        <w:t xml:space="preserve">infancia, colocando a niños, niñas y adolescentes como objetos de protección, las </w:t>
      </w:r>
      <w:r w:rsidR="00A30616">
        <w:t>resoluciones</w:t>
      </w:r>
      <w:r w:rsidR="007F6117">
        <w:t xml:space="preserve"> de la Suprema Corte de Justicia </w:t>
      </w:r>
      <w:r w:rsidR="00A30616">
        <w:t xml:space="preserve">de la Nación, bajo el uso de diversas herramientas </w:t>
      </w:r>
      <w:r w:rsidR="00F363D8">
        <w:t>interpretativas</w:t>
      </w:r>
      <w:r w:rsidR="00A30616">
        <w:t xml:space="preserve"> han permitido invertir esa lógica. </w:t>
      </w:r>
    </w:p>
    <w:p w14:paraId="69F28FFB" w14:textId="099F10EA" w:rsidR="00257C3D" w:rsidRPr="00583C0C" w:rsidRDefault="00257C3D" w:rsidP="00257C3D">
      <w:pPr>
        <w:rPr>
          <w:rFonts w:cstheme="minorHAnsi"/>
          <w:highlight w:val="yellow"/>
        </w:rPr>
      </w:pPr>
      <w:r>
        <w:t>A manera de conclusión.</w:t>
      </w:r>
    </w:p>
    <w:p w14:paraId="4A8538DA" w14:textId="2BEDBF81" w:rsidR="00A27683" w:rsidRDefault="00257C3D" w:rsidP="00E1294E">
      <w:pPr>
        <w:jc w:val="both"/>
      </w:pPr>
      <w:r>
        <w:t>Luego de llevar a cabo una revisión sobre diferentes espacios en donde la interpretación constitucional ha generado un importante proceso de expansión y transformación de los derechos de niñas, niños y adolescentes</w:t>
      </w:r>
      <w:r w:rsidR="00EC38D6">
        <w:t>, q</w:t>
      </w:r>
      <w:r w:rsidR="00103E71">
        <w:t>uisiera</w:t>
      </w:r>
      <w:r w:rsidR="00E1294E">
        <w:t xml:space="preserve"> </w:t>
      </w:r>
      <w:r>
        <w:t xml:space="preserve">simplemente poner sobre la mesa que, </w:t>
      </w:r>
      <w:r w:rsidR="00E1294E">
        <w:t xml:space="preserve">los grandes avances en la interpretación para el ejercicio de derechos de niños, niñas y adolescentes, ha tenido lugar gracias al uso </w:t>
      </w:r>
      <w:r w:rsidR="00A14988">
        <w:t xml:space="preserve">combinado </w:t>
      </w:r>
      <w:r w:rsidR="00E1294E">
        <w:t>de herramientas interpretativas que</w:t>
      </w:r>
      <w:r w:rsidR="00E47639">
        <w:t xml:space="preserve"> se potenciaron</w:t>
      </w:r>
      <w:r w:rsidR="00E1294E">
        <w:t xml:space="preserve"> con la reforma constitucional de</w:t>
      </w:r>
      <w:r w:rsidR="00E47639">
        <w:t>l año</w:t>
      </w:r>
      <w:r w:rsidR="00E1294E">
        <w:t xml:space="preserve"> 2011</w:t>
      </w:r>
      <w:r w:rsidR="00EC38D6">
        <w:t xml:space="preserve"> en un contexto en donde</w:t>
      </w:r>
      <w:r w:rsidR="0098470A">
        <w:t xml:space="preserve"> l</w:t>
      </w:r>
      <w:r w:rsidR="00E1294E">
        <w:t>a inclusión de principios como el interés superior en la Constitución, la firma y ratificación de la Convención sobre los Derechos del Niño, e incluso la publicación de la Ley General no ha</w:t>
      </w:r>
      <w:r w:rsidR="00EC38D6">
        <w:t>bían</w:t>
      </w:r>
      <w:r w:rsidR="00E1294E">
        <w:t xml:space="preserve"> resultado suficientes</w:t>
      </w:r>
      <w:r w:rsidR="00EC38D6">
        <w:t xml:space="preserve"> por si mismos </w:t>
      </w:r>
      <w:r w:rsidR="00E1294E">
        <w:t xml:space="preserve">para garantizar de manera efectiva </w:t>
      </w:r>
      <w:r w:rsidR="00A14988">
        <w:t>los derechos de este grupo</w:t>
      </w:r>
      <w:r w:rsidR="00E1294E">
        <w:t>.</w:t>
      </w:r>
    </w:p>
    <w:p w14:paraId="78060689" w14:textId="6F7D663A" w:rsidR="00E1294E" w:rsidRDefault="00A27683" w:rsidP="00E1294E">
      <w:pPr>
        <w:jc w:val="both"/>
      </w:pPr>
      <w:r>
        <w:t xml:space="preserve">El </w:t>
      </w:r>
      <w:r w:rsidR="00E1294E">
        <w:t xml:space="preserve">trabajo </w:t>
      </w:r>
      <w:r>
        <w:t xml:space="preserve">que </w:t>
      </w:r>
      <w:r w:rsidR="00E1294E">
        <w:t xml:space="preserve">la Suprema Corte </w:t>
      </w:r>
      <w:r w:rsidR="00583C0C">
        <w:t xml:space="preserve">de Justicia de la Nación ha realizado </w:t>
      </w:r>
      <w:r w:rsidR="006106A7">
        <w:t>al asumir el desarrollo de diferentes líneas interpretativas sobre</w:t>
      </w:r>
      <w:r w:rsidR="00E1294E">
        <w:t xml:space="preserve"> estos derechos ha sido fundamental</w:t>
      </w:r>
      <w:r w:rsidR="006106A7">
        <w:t xml:space="preserve">, ya que ha permitido la incorporación de diferentes elementos, no sólo teóricos, sino que </w:t>
      </w:r>
      <w:r w:rsidR="00F149CF">
        <w:t>son producto de una evolución en el plano internacional que durante los últimos años han permitido resignificar instituciones y conceptos que impactan directamente sobre los derechos de niñas, niños y adolescentes</w:t>
      </w:r>
      <w:r w:rsidR="00E1294E">
        <w:t>. El gran reto al que se enfrenta la puesta en práctica de los derechos de esta población</w:t>
      </w:r>
      <w:r w:rsidR="00B514DE">
        <w:t xml:space="preserve"> sigue siendo la persistencia de</w:t>
      </w:r>
      <w:r w:rsidR="00E1294E">
        <w:t xml:space="preserve"> un sistema jurídico construido desde una visión adulta</w:t>
      </w:r>
      <w:r w:rsidR="00583C0C">
        <w:t xml:space="preserve">, en donde </w:t>
      </w:r>
      <w:r w:rsidR="00B514DE">
        <w:t>los esfuerzos a nivel normativo</w:t>
      </w:r>
      <w:r w:rsidR="00583C0C">
        <w:t xml:space="preserve"> no ha sido suficiente</w:t>
      </w:r>
      <w:r w:rsidR="00B514DE">
        <w:t>s</w:t>
      </w:r>
      <w:r w:rsidR="00583C0C">
        <w:t xml:space="preserve"> para transformar todas las figuras</w:t>
      </w:r>
      <w:r w:rsidR="00B514DE">
        <w:t xml:space="preserve">, </w:t>
      </w:r>
      <w:r w:rsidR="00583C0C">
        <w:t xml:space="preserve">instituciones </w:t>
      </w:r>
      <w:r w:rsidR="00B514DE">
        <w:t xml:space="preserve">y comportamientos </w:t>
      </w:r>
      <w:r w:rsidR="00583C0C">
        <w:t>tutelares que rodean la vida de niños y niñas. Es por ello que</w:t>
      </w:r>
      <w:r w:rsidR="00225F54">
        <w:t>,</w:t>
      </w:r>
      <w:r w:rsidR="00583C0C">
        <w:t xml:space="preserve"> a golpe de sentencias</w:t>
      </w:r>
      <w:r w:rsidR="00225F54">
        <w:t>,</w:t>
      </w:r>
      <w:r w:rsidR="00583C0C">
        <w:t xml:space="preserve"> la </w:t>
      </w:r>
      <w:r w:rsidR="00225F54">
        <w:t xml:space="preserve">Suprema </w:t>
      </w:r>
      <w:r w:rsidR="00583C0C">
        <w:t>Corte</w:t>
      </w:r>
      <w:r w:rsidR="00225F54">
        <w:t xml:space="preserve"> de Justicia de la Nación</w:t>
      </w:r>
      <w:r w:rsidR="00583C0C">
        <w:t xml:space="preserve"> ha contribuido a modificar esos esquemas, reconociendo en el niño o niña su carácter de titular de derechos. </w:t>
      </w:r>
    </w:p>
    <w:p w14:paraId="4E5C6E91" w14:textId="47EC741C" w:rsidR="3F4420AB" w:rsidRDefault="00225F54" w:rsidP="003D6378">
      <w:pPr>
        <w:jc w:val="both"/>
      </w:pPr>
      <w:r>
        <w:t>Los esfuerzos emprendidos hasta ahora dan cuenta de un primer paso</w:t>
      </w:r>
      <w:r w:rsidR="00640204">
        <w:t>, pero la transformación de la conciencia social sobre algunos temas requerirá</w:t>
      </w:r>
      <w:r w:rsidR="00682CB5">
        <w:t xml:space="preserve"> de un importante esfuerzo para erradicar en la práctica </w:t>
      </w:r>
      <w:r w:rsidR="00583C0C">
        <w:t>criterios tutelares, estereotipos de género, y visi</w:t>
      </w:r>
      <w:r w:rsidR="00682CB5">
        <w:t xml:space="preserve">ones construidas desde la perspectiva adulta que </w:t>
      </w:r>
      <w:r w:rsidR="003D6378">
        <w:t>siguen reproduciéndose en diferentes espacios de la vida.</w:t>
      </w:r>
    </w:p>
    <w:p w14:paraId="5338DC95" w14:textId="77777777" w:rsidR="00772CE1" w:rsidRDefault="00772CE1" w:rsidP="003D6378">
      <w:pPr>
        <w:jc w:val="both"/>
        <w:rPr>
          <w:color w:val="000000" w:themeColor="text1"/>
        </w:rPr>
      </w:pPr>
    </w:p>
    <w:p w14:paraId="27110140" w14:textId="77777777" w:rsidR="00772CE1" w:rsidRDefault="00772CE1" w:rsidP="003D6378">
      <w:pPr>
        <w:jc w:val="both"/>
        <w:rPr>
          <w:color w:val="000000" w:themeColor="text1"/>
        </w:rPr>
      </w:pPr>
    </w:p>
    <w:p w14:paraId="3AE415C7" w14:textId="77777777" w:rsidR="00772CE1" w:rsidRDefault="00772CE1" w:rsidP="003D6378">
      <w:pPr>
        <w:jc w:val="both"/>
        <w:rPr>
          <w:color w:val="000000" w:themeColor="text1"/>
        </w:rPr>
      </w:pPr>
    </w:p>
    <w:p w14:paraId="552F3F38" w14:textId="5269AB79" w:rsidR="00D46C4D" w:rsidRPr="00772CE1" w:rsidRDefault="00D46C4D" w:rsidP="003D6378">
      <w:pPr>
        <w:jc w:val="both"/>
        <w:rPr>
          <w:b/>
          <w:bCs/>
          <w:color w:val="000000" w:themeColor="text1"/>
          <w:sz w:val="28"/>
          <w:szCs w:val="28"/>
        </w:rPr>
      </w:pPr>
      <w:r w:rsidRPr="00772CE1">
        <w:rPr>
          <w:b/>
          <w:bCs/>
          <w:color w:val="000000" w:themeColor="text1"/>
          <w:sz w:val="28"/>
          <w:szCs w:val="28"/>
        </w:rPr>
        <w:t>Bibliografía</w:t>
      </w:r>
    </w:p>
    <w:p w14:paraId="327B005E" w14:textId="08E96B24" w:rsidR="00D46C4D" w:rsidRDefault="00D46C4D" w:rsidP="003D6378">
      <w:pPr>
        <w:jc w:val="both"/>
        <w:rPr>
          <w:color w:val="000000" w:themeColor="text1"/>
        </w:rPr>
      </w:pPr>
    </w:p>
    <w:p w14:paraId="5BFCE00C" w14:textId="77777777" w:rsidR="00035EDD" w:rsidRPr="00017CEC" w:rsidRDefault="00035EDD" w:rsidP="00035EDD">
      <w:pPr>
        <w:ind w:left="709" w:hanging="709"/>
      </w:pPr>
      <w:r>
        <w:t xml:space="preserve">Comité DN. (2009)  </w:t>
      </w:r>
      <w:r w:rsidRPr="00017CEC">
        <w:rPr>
          <w:i/>
          <w:iCs/>
        </w:rPr>
        <w:t>Observación General número 12.</w:t>
      </w:r>
      <w:r w:rsidRPr="00017CEC">
        <w:t xml:space="preserve"> </w:t>
      </w:r>
      <w:r>
        <w:rPr>
          <w:i/>
          <w:iCs/>
        </w:rPr>
        <w:t xml:space="preserve">El derecho del nilño a ser escuchado. </w:t>
      </w:r>
      <w:r>
        <w:t>CRC/C/GC/12. 20 de julio de 2009. Comité de los Derechos del Niño de Naciones Unidas.</w:t>
      </w:r>
    </w:p>
    <w:p w14:paraId="2533C8E8" w14:textId="6F81FB2D" w:rsidR="00772CE1" w:rsidRDefault="00772CE1" w:rsidP="00047248">
      <w:pPr>
        <w:pStyle w:val="Textonotapie"/>
        <w:ind w:left="709" w:hanging="709"/>
        <w:rPr>
          <w:sz w:val="24"/>
          <w:szCs w:val="24"/>
        </w:rPr>
      </w:pPr>
      <w:r w:rsidRPr="00772CE1">
        <w:rPr>
          <w:sz w:val="24"/>
          <w:szCs w:val="24"/>
        </w:rPr>
        <w:t xml:space="preserve">García Méndez, Emilio. </w:t>
      </w:r>
      <w:r>
        <w:rPr>
          <w:sz w:val="24"/>
          <w:szCs w:val="24"/>
        </w:rPr>
        <w:t xml:space="preserve">(2017) </w:t>
      </w:r>
      <w:r w:rsidRPr="00772CE1">
        <w:rPr>
          <w:i/>
          <w:iCs/>
          <w:sz w:val="24"/>
          <w:szCs w:val="24"/>
        </w:rPr>
        <w:t xml:space="preserve">Infancia ¿para dónde van sus derechos? </w:t>
      </w:r>
      <w:r w:rsidRPr="00772CE1">
        <w:rPr>
          <w:sz w:val="24"/>
          <w:szCs w:val="24"/>
        </w:rPr>
        <w:t xml:space="preserve">Argentina, Ediciones Didot. </w:t>
      </w:r>
    </w:p>
    <w:p w14:paraId="202B1D9B" w14:textId="77777777" w:rsidR="00772CE1" w:rsidRPr="00772CE1" w:rsidRDefault="00772CE1" w:rsidP="00047248">
      <w:pPr>
        <w:pStyle w:val="Textonotapie"/>
        <w:ind w:left="709" w:hanging="709"/>
        <w:rPr>
          <w:sz w:val="24"/>
          <w:szCs w:val="24"/>
        </w:rPr>
      </w:pPr>
    </w:p>
    <w:p w14:paraId="7ABC23FF" w14:textId="17115C05" w:rsidR="00772CE1" w:rsidRPr="00772CE1" w:rsidRDefault="00D46C4D" w:rsidP="00047248">
      <w:pPr>
        <w:pStyle w:val="Textonotapie"/>
        <w:ind w:left="709" w:hanging="709"/>
        <w:jc w:val="both"/>
        <w:rPr>
          <w:sz w:val="24"/>
          <w:szCs w:val="24"/>
        </w:rPr>
      </w:pPr>
      <w:r w:rsidRPr="00772CE1">
        <w:rPr>
          <w:sz w:val="24"/>
          <w:szCs w:val="24"/>
        </w:rPr>
        <w:t>González Contró, Mónica.</w:t>
      </w:r>
      <w:r w:rsidR="00772CE1">
        <w:rPr>
          <w:sz w:val="24"/>
          <w:szCs w:val="24"/>
        </w:rPr>
        <w:t xml:space="preserve"> (2020) </w:t>
      </w:r>
      <w:r w:rsidRPr="00772CE1">
        <w:rPr>
          <w:sz w:val="24"/>
          <w:szCs w:val="24"/>
        </w:rPr>
        <w:t xml:space="preserve"> </w:t>
      </w:r>
      <w:r w:rsidRPr="00772CE1">
        <w:rPr>
          <w:i/>
          <w:iCs/>
          <w:sz w:val="24"/>
          <w:szCs w:val="24"/>
        </w:rPr>
        <w:t>La función del Interés Superior del Niño en el razonamiento práctico: un análisis de su evolución en México. Revista Electrónica. Instituto de Investigaciones Ambrosio L. Gioja, Número 23, diciembre 2019-mayo 2020, pp. 63-95</w:t>
      </w:r>
      <w:r w:rsidR="00772CE1">
        <w:rPr>
          <w:i/>
          <w:iCs/>
          <w:sz w:val="24"/>
          <w:szCs w:val="24"/>
        </w:rPr>
        <w:t>.</w:t>
      </w:r>
    </w:p>
    <w:p w14:paraId="7DBFE7BE" w14:textId="3E7AC676" w:rsidR="00D46C4D" w:rsidRPr="00772CE1" w:rsidRDefault="00D46C4D" w:rsidP="00047248">
      <w:pPr>
        <w:ind w:left="709" w:hanging="709"/>
        <w:jc w:val="both"/>
        <w:rPr>
          <w:color w:val="000000" w:themeColor="text1"/>
        </w:rPr>
      </w:pPr>
    </w:p>
    <w:p w14:paraId="071C72AA" w14:textId="29A224D1" w:rsidR="00D46C4D" w:rsidRPr="00772CE1" w:rsidRDefault="00772CE1" w:rsidP="00047248">
      <w:pPr>
        <w:ind w:left="709" w:hanging="709"/>
        <w:jc w:val="both"/>
      </w:pPr>
      <w:r>
        <w:t xml:space="preserve">ONU SCJN CDHDF. (2013)  </w:t>
      </w:r>
      <w:r w:rsidR="00D46C4D" w:rsidRPr="00772CE1">
        <w:rPr>
          <w:i/>
          <w:iCs/>
        </w:rPr>
        <w:t>Metodología para la Enseñanza de la Reforma Constitucional en materia de Derechos Humanos</w:t>
      </w:r>
      <w:r w:rsidR="00D46C4D" w:rsidRPr="00772CE1">
        <w:t>. ReformaDH</w:t>
      </w:r>
      <w:r w:rsidRPr="00772CE1">
        <w:t xml:space="preserve">. SCJN, CDHDF, OACNUDH México. </w:t>
      </w:r>
    </w:p>
    <w:p w14:paraId="32E96A6E" w14:textId="3FA4D88D" w:rsidR="00C01172" w:rsidRPr="00772CE1" w:rsidRDefault="00C01172" w:rsidP="00047248">
      <w:pPr>
        <w:ind w:left="709" w:hanging="709"/>
        <w:jc w:val="both"/>
        <w:rPr>
          <w:color w:val="000000" w:themeColor="text1"/>
        </w:rPr>
      </w:pPr>
    </w:p>
    <w:p w14:paraId="5D20E12D" w14:textId="516B746E" w:rsidR="0036795A" w:rsidRDefault="0036795A" w:rsidP="0036795A">
      <w:pPr>
        <w:ind w:left="709" w:hanging="709"/>
      </w:pPr>
      <w:r>
        <w:t xml:space="preserve">ONU. </w:t>
      </w:r>
      <w:r w:rsidRPr="0036795A">
        <w:t>Directrices sobre la Justicia en Asuntos Concernientes a los Niños Víctimas y Testigos de Delitos (2005), Consejo Económico y Social de las Naciones Unidas, aprobadas el 22 de julio de 2005. arts. 12, 23, 30 d), 31 a).</w:t>
      </w:r>
    </w:p>
    <w:p w14:paraId="225E8E2F" w14:textId="77777777" w:rsidR="0036795A" w:rsidRPr="00772CE1" w:rsidRDefault="0036795A" w:rsidP="0036795A">
      <w:pPr>
        <w:ind w:left="709" w:hanging="709"/>
      </w:pPr>
    </w:p>
    <w:p w14:paraId="534778BD" w14:textId="4C6B2E3B" w:rsidR="00C01172" w:rsidRPr="00772CE1" w:rsidRDefault="00C01172" w:rsidP="00047248">
      <w:pPr>
        <w:pStyle w:val="Textonotapie"/>
        <w:ind w:left="709" w:hanging="709"/>
        <w:jc w:val="both"/>
        <w:rPr>
          <w:i/>
          <w:iCs/>
          <w:sz w:val="24"/>
          <w:szCs w:val="24"/>
        </w:rPr>
      </w:pPr>
      <w:r w:rsidRPr="00772CE1">
        <w:rPr>
          <w:sz w:val="24"/>
          <w:szCs w:val="24"/>
        </w:rPr>
        <w:t>Ortega Soriano, Ricardo.</w:t>
      </w:r>
      <w:r w:rsidR="00772CE1">
        <w:rPr>
          <w:sz w:val="24"/>
          <w:szCs w:val="24"/>
        </w:rPr>
        <w:t xml:space="preserve"> (2019)</w:t>
      </w:r>
      <w:r w:rsidRPr="00772CE1">
        <w:rPr>
          <w:sz w:val="24"/>
          <w:szCs w:val="24"/>
        </w:rPr>
        <w:t xml:space="preserve"> </w:t>
      </w:r>
      <w:r w:rsidRPr="00772CE1">
        <w:rPr>
          <w:i/>
          <w:iCs/>
          <w:sz w:val="24"/>
          <w:szCs w:val="24"/>
        </w:rPr>
        <w:t>Control de Convencionalidad: Herramientas para la interpretación constitucional de los derechos humanos. G</w:t>
      </w:r>
      <w:r w:rsidRPr="00772CE1">
        <w:rPr>
          <w:sz w:val="24"/>
          <w:szCs w:val="24"/>
        </w:rPr>
        <w:t xml:space="preserve">uía de estudio. Posgrados en Derechos Humanos y Democracia. FLACSO México. </w:t>
      </w:r>
    </w:p>
    <w:p w14:paraId="321463DA" w14:textId="7B7E96C9" w:rsidR="00C01172" w:rsidRPr="00772CE1" w:rsidRDefault="00C01172" w:rsidP="00047248">
      <w:pPr>
        <w:ind w:left="709" w:hanging="709"/>
        <w:jc w:val="both"/>
        <w:rPr>
          <w:color w:val="000000" w:themeColor="text1"/>
        </w:rPr>
      </w:pPr>
    </w:p>
    <w:p w14:paraId="35C34226" w14:textId="0F2C077A" w:rsidR="00772CE1" w:rsidRDefault="00772CE1" w:rsidP="00047248">
      <w:pPr>
        <w:ind w:left="709" w:hanging="709"/>
      </w:pPr>
      <w:r w:rsidRPr="00772CE1">
        <w:t>Ortega</w:t>
      </w:r>
      <w:r>
        <w:t xml:space="preserve"> Soriano</w:t>
      </w:r>
      <w:r w:rsidRPr="00772CE1">
        <w:t>, Ricardo y Fuentes</w:t>
      </w:r>
      <w:r>
        <w:t xml:space="preserve"> Pérez</w:t>
      </w:r>
      <w:r w:rsidRPr="00772CE1">
        <w:t>, Berenice.</w:t>
      </w:r>
      <w:r>
        <w:t xml:space="preserve"> (2021) </w:t>
      </w:r>
      <w:r w:rsidRPr="00772CE1">
        <w:t xml:space="preserve"> </w:t>
      </w:r>
      <w:r w:rsidRPr="00772CE1">
        <w:rPr>
          <w:i/>
          <w:iCs/>
        </w:rPr>
        <w:t xml:space="preserve">El proceso familiar desde la perspectiva de género. </w:t>
      </w:r>
      <w:r w:rsidRPr="00772CE1">
        <w:t xml:space="preserve">En Coord. Estefanía Vela.  </w:t>
      </w:r>
      <w:r w:rsidRPr="00772CE1">
        <w:rPr>
          <w:u w:val="single"/>
        </w:rPr>
        <w:t>Manual para juzgar con perspectiva de género en materia familiar.</w:t>
      </w:r>
      <w:r w:rsidRPr="00772CE1">
        <w:t xml:space="preserve"> SCJN. </w:t>
      </w:r>
    </w:p>
    <w:p w14:paraId="1656DB25" w14:textId="77777777" w:rsidR="00017CEC" w:rsidRPr="00017CEC" w:rsidRDefault="00017CEC" w:rsidP="00017CEC">
      <w:pPr>
        <w:ind w:left="709" w:hanging="709"/>
      </w:pPr>
    </w:p>
    <w:p w14:paraId="13CD3EE3" w14:textId="77777777" w:rsidR="00017CEC" w:rsidRDefault="00017CEC" w:rsidP="00035EDD"/>
    <w:p w14:paraId="426B9F18" w14:textId="311B9821" w:rsidR="00772CE1" w:rsidRDefault="00772CE1" w:rsidP="003D6378">
      <w:pPr>
        <w:jc w:val="both"/>
        <w:rPr>
          <w:color w:val="000000" w:themeColor="text1"/>
        </w:rPr>
      </w:pPr>
    </w:p>
    <w:p w14:paraId="0AA7F525" w14:textId="77B468F1" w:rsidR="00772CE1" w:rsidRDefault="00772CE1" w:rsidP="003D6378">
      <w:pPr>
        <w:jc w:val="both"/>
        <w:rPr>
          <w:b/>
          <w:bCs/>
          <w:color w:val="000000" w:themeColor="text1"/>
        </w:rPr>
      </w:pPr>
      <w:r>
        <w:rPr>
          <w:b/>
          <w:bCs/>
          <w:color w:val="000000" w:themeColor="text1"/>
        </w:rPr>
        <w:t>Jurisprudencia Nacional</w:t>
      </w:r>
    </w:p>
    <w:p w14:paraId="13924FD3" w14:textId="27699BBA" w:rsidR="00772CE1" w:rsidRDefault="00772CE1" w:rsidP="00047248">
      <w:pPr>
        <w:ind w:left="709" w:hanging="709"/>
      </w:pPr>
      <w:r>
        <w:t xml:space="preserve">SCJN. (2005)  </w:t>
      </w:r>
      <w:r w:rsidRPr="00772CE1">
        <w:t>Contradicción de Tesis 130/2005-PS, primera sala, de fecha 21 de noviembre de 2005.</w:t>
      </w:r>
    </w:p>
    <w:p w14:paraId="19880258" w14:textId="49608EA8" w:rsidR="00017CEC" w:rsidRDefault="00017CEC" w:rsidP="00047248">
      <w:pPr>
        <w:ind w:left="709" w:hanging="709"/>
      </w:pPr>
      <w:r>
        <w:t xml:space="preserve">SCJN. (2008). Amparto Directo en Revisión 30/2008, primera sala, de fecha 11 de marzo de 2009. </w:t>
      </w:r>
    </w:p>
    <w:p w14:paraId="7B203F57" w14:textId="1F2ADB47" w:rsidR="00387F88" w:rsidRDefault="00387F88" w:rsidP="00387F88">
      <w:pPr>
        <w:ind w:left="709" w:hanging="709"/>
      </w:pPr>
      <w:r>
        <w:t xml:space="preserve">SCJN. (2011). </w:t>
      </w:r>
      <w:r w:rsidRPr="0036795A">
        <w:t>Expediente Varios 912/2010, tribunal pleno, de fecha 14 de julio de 2011</w:t>
      </w:r>
      <w:r>
        <w:t>.</w:t>
      </w:r>
    </w:p>
    <w:p w14:paraId="7E0FE136" w14:textId="73D2D0D4" w:rsidR="00017CEC" w:rsidRDefault="00387F88" w:rsidP="00387F88">
      <w:r>
        <w:t>SCJN. (2013</w:t>
      </w:r>
      <w:r w:rsidRPr="00387F88">
        <w:t>) Contradicción de Tesis 293/2011, tribunal</w:t>
      </w:r>
      <w:r>
        <w:t xml:space="preserve"> pleno, de fecha 3 de septiembre de 2013.</w:t>
      </w:r>
    </w:p>
    <w:p w14:paraId="6F0D0E91" w14:textId="6934625D" w:rsidR="00772CE1" w:rsidRPr="00772CE1" w:rsidRDefault="00772CE1" w:rsidP="00047248">
      <w:pPr>
        <w:pStyle w:val="NormalWeb"/>
        <w:ind w:left="709" w:hanging="709"/>
        <w:jc w:val="both"/>
      </w:pPr>
      <w:r w:rsidRPr="00772CE1">
        <w:t xml:space="preserve">SCJN. </w:t>
      </w:r>
      <w:r>
        <w:t xml:space="preserve">(2012) </w:t>
      </w:r>
      <w:r w:rsidRPr="00772CE1">
        <w:t xml:space="preserve">Amparo Directo en Revisión 2479/2012, primera sala, de fecha 24 de octubre de 2012; </w:t>
      </w:r>
    </w:p>
    <w:p w14:paraId="72342814" w14:textId="17F2634F" w:rsidR="00772CE1" w:rsidRPr="00772CE1" w:rsidRDefault="00772CE1" w:rsidP="00047248">
      <w:pPr>
        <w:pStyle w:val="Textonotapie"/>
        <w:ind w:left="709" w:hanging="709"/>
        <w:rPr>
          <w:sz w:val="24"/>
          <w:szCs w:val="24"/>
        </w:rPr>
      </w:pPr>
      <w:r w:rsidRPr="00772CE1">
        <w:rPr>
          <w:sz w:val="24"/>
          <w:szCs w:val="24"/>
        </w:rPr>
        <w:t xml:space="preserve">SCJN. </w:t>
      </w:r>
      <w:r>
        <w:rPr>
          <w:sz w:val="24"/>
          <w:szCs w:val="24"/>
        </w:rPr>
        <w:t xml:space="preserve">(2012) </w:t>
      </w:r>
      <w:r w:rsidRPr="00772CE1">
        <w:rPr>
          <w:sz w:val="24"/>
          <w:szCs w:val="24"/>
        </w:rPr>
        <w:t xml:space="preserve">Amparo Directo en Revisión 348/2012, primera sala, de fecha 5 de diciembre de 2012. </w:t>
      </w:r>
    </w:p>
    <w:p w14:paraId="567E6BDE" w14:textId="7A145B79" w:rsidR="00772CE1" w:rsidRPr="00772CE1" w:rsidRDefault="00772CE1" w:rsidP="00047248">
      <w:pPr>
        <w:pStyle w:val="NormalWeb"/>
        <w:ind w:left="709" w:hanging="709"/>
        <w:jc w:val="both"/>
      </w:pPr>
      <w:r w:rsidRPr="00772CE1">
        <w:t xml:space="preserve">SCJN. </w:t>
      </w:r>
      <w:r>
        <w:t xml:space="preserve">(2013) </w:t>
      </w:r>
      <w:r w:rsidRPr="00772CE1">
        <w:t>Amparo en Revi</w:t>
      </w:r>
      <w:r w:rsidRPr="00772CE1">
        <w:softHyphen/>
        <w:t xml:space="preserve">sión 386/2013, primera sala, de fecha 4 de diciembre de 2013; </w:t>
      </w:r>
    </w:p>
    <w:p w14:paraId="3061CDAF" w14:textId="77777777" w:rsidR="00772CE1" w:rsidRDefault="00772CE1" w:rsidP="00047248">
      <w:pPr>
        <w:pStyle w:val="NormalWeb"/>
        <w:ind w:left="709" w:hanging="709"/>
        <w:jc w:val="both"/>
      </w:pPr>
      <w:r w:rsidRPr="00772CE1">
        <w:t>SCJN.</w:t>
      </w:r>
      <w:r>
        <w:t xml:space="preserve"> (2014)</w:t>
      </w:r>
      <w:r w:rsidRPr="00772CE1">
        <w:t xml:space="preserve"> Amparo Directo en Revisión 266/2014, primera salam de fecha 2 de julio de 2014; </w:t>
      </w:r>
    </w:p>
    <w:p w14:paraId="4E28B9EC" w14:textId="64F98195" w:rsidR="00772CE1" w:rsidRPr="00772CE1" w:rsidRDefault="00772CE1" w:rsidP="00047248">
      <w:pPr>
        <w:pStyle w:val="NormalWeb"/>
        <w:ind w:left="709" w:hanging="709"/>
        <w:jc w:val="both"/>
      </w:pPr>
      <w:r w:rsidRPr="00772CE1">
        <w:t>SCJN.</w:t>
      </w:r>
      <w:r>
        <w:t xml:space="preserve"> (2014)</w:t>
      </w:r>
      <w:r w:rsidRPr="00772CE1">
        <w:t xml:space="preserve">  Amparo Directo en Revisión 1072/2014, primera sala, de fecha 1 de julio de 2014.</w:t>
      </w:r>
    </w:p>
    <w:p w14:paraId="560246DD" w14:textId="775BF4F3" w:rsidR="00772CE1" w:rsidRPr="00772CE1" w:rsidRDefault="00772CE1" w:rsidP="00047248">
      <w:pPr>
        <w:pStyle w:val="Textonotapie"/>
        <w:ind w:left="709" w:hanging="709"/>
        <w:jc w:val="both"/>
        <w:rPr>
          <w:sz w:val="24"/>
          <w:szCs w:val="24"/>
        </w:rPr>
      </w:pPr>
      <w:r w:rsidRPr="00772CE1">
        <w:rPr>
          <w:sz w:val="24"/>
          <w:szCs w:val="24"/>
        </w:rPr>
        <w:t xml:space="preserve">SCJN. (2014) </w:t>
      </w:r>
      <w:r>
        <w:rPr>
          <w:sz w:val="24"/>
          <w:szCs w:val="24"/>
        </w:rPr>
        <w:t xml:space="preserve"> </w:t>
      </w:r>
      <w:r w:rsidRPr="00772CE1">
        <w:rPr>
          <w:sz w:val="24"/>
          <w:szCs w:val="24"/>
        </w:rPr>
        <w:t>Amparo Directo en Revisión 3859/2014, primera sala, de fecha 23 de septiembre de 2014.</w:t>
      </w:r>
    </w:p>
    <w:p w14:paraId="6F80D30E" w14:textId="5B5EB2B0" w:rsidR="00772CE1" w:rsidRPr="00772CE1" w:rsidRDefault="00772CE1" w:rsidP="00047248">
      <w:pPr>
        <w:pStyle w:val="Textonotapie"/>
        <w:ind w:left="709" w:hanging="709"/>
        <w:rPr>
          <w:sz w:val="24"/>
          <w:szCs w:val="24"/>
        </w:rPr>
      </w:pPr>
      <w:r w:rsidRPr="00772CE1">
        <w:rPr>
          <w:sz w:val="24"/>
          <w:szCs w:val="24"/>
        </w:rPr>
        <w:t xml:space="preserve">SCJN. (2014) </w:t>
      </w:r>
      <w:r>
        <w:rPr>
          <w:sz w:val="24"/>
          <w:szCs w:val="24"/>
        </w:rPr>
        <w:t xml:space="preserve"> </w:t>
      </w:r>
      <w:r w:rsidRPr="00772CE1">
        <w:rPr>
          <w:sz w:val="24"/>
          <w:szCs w:val="24"/>
        </w:rPr>
        <w:t>Amparo en Revisión 518/2013, primera sala, de fecha 23 de abril de 2014</w:t>
      </w:r>
    </w:p>
    <w:p w14:paraId="0B716BFA" w14:textId="369C05BE" w:rsidR="00772CE1" w:rsidRPr="00772CE1" w:rsidRDefault="00772CE1" w:rsidP="00047248">
      <w:pPr>
        <w:pStyle w:val="NormalWeb"/>
        <w:ind w:left="709" w:hanging="709"/>
        <w:jc w:val="both"/>
      </w:pPr>
      <w:r w:rsidRPr="00772CE1">
        <w:t>SCJN. (201</w:t>
      </w:r>
      <w:r>
        <w:t>5</w:t>
      </w:r>
      <w:r w:rsidRPr="00772CE1">
        <w:t xml:space="preserve">) </w:t>
      </w:r>
      <w:r>
        <w:t xml:space="preserve"> </w:t>
      </w:r>
      <w:r w:rsidRPr="00772CE1">
        <w:t xml:space="preserve">Contradicción de Tesis 256/2014, primera sala, de fecha 25 de febrero de 2015.  </w:t>
      </w:r>
    </w:p>
    <w:p w14:paraId="62F4C45D" w14:textId="56CD22A9" w:rsidR="00772CE1" w:rsidRDefault="00772CE1" w:rsidP="00047248">
      <w:pPr>
        <w:pStyle w:val="NormalWeb"/>
        <w:ind w:left="709" w:hanging="709"/>
        <w:jc w:val="both"/>
      </w:pPr>
      <w:r w:rsidRPr="00772CE1">
        <w:t>SCJN.</w:t>
      </w:r>
      <w:r>
        <w:t xml:space="preserve"> </w:t>
      </w:r>
      <w:r w:rsidRPr="00772CE1">
        <w:t>201</w:t>
      </w:r>
      <w:r>
        <w:t>5</w:t>
      </w:r>
      <w:r w:rsidRPr="00772CE1">
        <w:t xml:space="preserve">)  Amparo Directo en Revisión 648/2014, primera sala,  de fecha 3 de junio de 2015; </w:t>
      </w:r>
    </w:p>
    <w:p w14:paraId="49AB5EFF" w14:textId="005B1A6A" w:rsidR="00772CE1" w:rsidRDefault="00772CE1" w:rsidP="00047248">
      <w:pPr>
        <w:pStyle w:val="Textonotapie"/>
        <w:ind w:left="709" w:hanging="709"/>
        <w:jc w:val="both"/>
        <w:rPr>
          <w:sz w:val="24"/>
          <w:szCs w:val="24"/>
        </w:rPr>
      </w:pPr>
      <w:r w:rsidRPr="00772CE1">
        <w:rPr>
          <w:sz w:val="24"/>
          <w:szCs w:val="24"/>
        </w:rPr>
        <w:t xml:space="preserve">SCJN. </w:t>
      </w:r>
      <w:r>
        <w:rPr>
          <w:sz w:val="24"/>
          <w:szCs w:val="24"/>
        </w:rPr>
        <w:t>(</w:t>
      </w:r>
      <w:r w:rsidRPr="00772CE1">
        <w:rPr>
          <w:sz w:val="24"/>
          <w:szCs w:val="24"/>
        </w:rPr>
        <w:t>20</w:t>
      </w:r>
      <w:r>
        <w:rPr>
          <w:sz w:val="24"/>
          <w:szCs w:val="24"/>
        </w:rPr>
        <w:t>15</w:t>
      </w:r>
      <w:r w:rsidRPr="00772CE1">
        <w:rPr>
          <w:sz w:val="24"/>
          <w:szCs w:val="24"/>
        </w:rPr>
        <w:t xml:space="preserve">) </w:t>
      </w:r>
      <w:r>
        <w:rPr>
          <w:sz w:val="24"/>
          <w:szCs w:val="24"/>
        </w:rPr>
        <w:t xml:space="preserve"> </w:t>
      </w:r>
      <w:r w:rsidRPr="00772CE1">
        <w:rPr>
          <w:sz w:val="24"/>
          <w:szCs w:val="24"/>
        </w:rPr>
        <w:t>Amparo Directo en Revisión 3797/2014, primera sala, de fecha 14 de octubre de 2015.</w:t>
      </w:r>
    </w:p>
    <w:p w14:paraId="4210FC25" w14:textId="3C644504" w:rsidR="000454B2" w:rsidRPr="00772CE1" w:rsidRDefault="000454B2" w:rsidP="00047248">
      <w:pPr>
        <w:pStyle w:val="Textonotapie"/>
        <w:ind w:left="709" w:hanging="709"/>
        <w:jc w:val="both"/>
        <w:rPr>
          <w:sz w:val="24"/>
          <w:szCs w:val="24"/>
        </w:rPr>
      </w:pPr>
      <w:r w:rsidRPr="00772CE1">
        <w:rPr>
          <w:sz w:val="24"/>
          <w:szCs w:val="24"/>
        </w:rPr>
        <w:t xml:space="preserve">SCJN. </w:t>
      </w:r>
      <w:r>
        <w:rPr>
          <w:sz w:val="24"/>
          <w:szCs w:val="24"/>
        </w:rPr>
        <w:t>(</w:t>
      </w:r>
      <w:r w:rsidRPr="00772CE1">
        <w:rPr>
          <w:sz w:val="24"/>
          <w:szCs w:val="24"/>
        </w:rPr>
        <w:t>20</w:t>
      </w:r>
      <w:r>
        <w:rPr>
          <w:sz w:val="24"/>
          <w:szCs w:val="24"/>
        </w:rPr>
        <w:t>15</w:t>
      </w:r>
      <w:r w:rsidRPr="00772CE1">
        <w:rPr>
          <w:sz w:val="24"/>
          <w:szCs w:val="24"/>
        </w:rPr>
        <w:t>)</w:t>
      </w:r>
      <w:r>
        <w:rPr>
          <w:sz w:val="24"/>
          <w:szCs w:val="24"/>
        </w:rPr>
        <w:t xml:space="preserve"> </w:t>
      </w:r>
      <w:r w:rsidRPr="000454B2">
        <w:rPr>
          <w:sz w:val="24"/>
          <w:szCs w:val="24"/>
        </w:rPr>
        <w:t>Amparo Directo en Revisión 1674/2014, primera sala, de fecha 15 de mayo de 2015</w:t>
      </w:r>
    </w:p>
    <w:p w14:paraId="791618E6" w14:textId="1F117E79" w:rsidR="00772CE1" w:rsidRDefault="00772CE1" w:rsidP="00047248">
      <w:pPr>
        <w:pStyle w:val="Textonotapie"/>
        <w:ind w:left="709" w:hanging="709"/>
        <w:jc w:val="both"/>
        <w:rPr>
          <w:sz w:val="24"/>
          <w:szCs w:val="24"/>
        </w:rPr>
      </w:pPr>
      <w:r w:rsidRPr="00772CE1">
        <w:rPr>
          <w:sz w:val="24"/>
          <w:szCs w:val="24"/>
        </w:rPr>
        <w:t xml:space="preserve">SCJN. </w:t>
      </w:r>
      <w:r>
        <w:rPr>
          <w:sz w:val="24"/>
          <w:szCs w:val="24"/>
        </w:rPr>
        <w:t>(</w:t>
      </w:r>
      <w:r w:rsidRPr="00772CE1">
        <w:rPr>
          <w:sz w:val="24"/>
          <w:szCs w:val="24"/>
        </w:rPr>
        <w:t>20</w:t>
      </w:r>
      <w:r>
        <w:rPr>
          <w:sz w:val="24"/>
          <w:szCs w:val="24"/>
        </w:rPr>
        <w:t>16</w:t>
      </w:r>
      <w:r w:rsidRPr="00772CE1">
        <w:rPr>
          <w:sz w:val="24"/>
          <w:szCs w:val="24"/>
        </w:rPr>
        <w:t xml:space="preserve">) </w:t>
      </w:r>
      <w:r>
        <w:rPr>
          <w:sz w:val="24"/>
          <w:szCs w:val="24"/>
        </w:rPr>
        <w:t xml:space="preserve"> Amparo Directo en Revisión 6179/2015, primera sala, de fecha 23 de nociembre de 2016</w:t>
      </w:r>
    </w:p>
    <w:p w14:paraId="4D38C55A" w14:textId="6AD231AF" w:rsidR="00772CE1" w:rsidRPr="00772CE1" w:rsidRDefault="00772CE1" w:rsidP="00047248">
      <w:pPr>
        <w:ind w:left="709" w:hanging="709"/>
      </w:pPr>
      <w:r w:rsidRPr="00772CE1">
        <w:t xml:space="preserve">SCJN. </w:t>
      </w:r>
      <w:r>
        <w:t>(</w:t>
      </w:r>
      <w:r w:rsidRPr="00772CE1">
        <w:t>20</w:t>
      </w:r>
      <w:r>
        <w:t>16</w:t>
      </w:r>
      <w:r w:rsidRPr="00772CE1">
        <w:t xml:space="preserve">) </w:t>
      </w:r>
      <w:r>
        <w:t xml:space="preserve"> </w:t>
      </w:r>
      <w:r w:rsidRPr="00602B9A">
        <w:t>Amparo en revisión 1272/2015, Segunda Sala</w:t>
      </w:r>
      <w:r w:rsidRPr="00772CE1">
        <w:t xml:space="preserve">, de fecha </w:t>
      </w:r>
      <w:r w:rsidRPr="00602B9A">
        <w:t>18 de mayo de 2016</w:t>
      </w:r>
      <w:r w:rsidRPr="00772CE1">
        <w:t>.</w:t>
      </w:r>
    </w:p>
    <w:p w14:paraId="229EEBEF" w14:textId="4F3755EB" w:rsidR="00772CE1" w:rsidRPr="00772CE1" w:rsidRDefault="00772CE1" w:rsidP="00047248">
      <w:pPr>
        <w:pStyle w:val="Textonotapie"/>
        <w:ind w:left="709" w:hanging="709"/>
        <w:jc w:val="both"/>
        <w:rPr>
          <w:sz w:val="24"/>
          <w:szCs w:val="24"/>
        </w:rPr>
      </w:pPr>
      <w:r w:rsidRPr="00772CE1">
        <w:rPr>
          <w:sz w:val="24"/>
          <w:szCs w:val="24"/>
        </w:rPr>
        <w:t xml:space="preserve">SCJN. </w:t>
      </w:r>
      <w:r>
        <w:rPr>
          <w:sz w:val="24"/>
          <w:szCs w:val="24"/>
        </w:rPr>
        <w:t>(</w:t>
      </w:r>
      <w:r w:rsidRPr="00772CE1">
        <w:rPr>
          <w:sz w:val="24"/>
          <w:szCs w:val="24"/>
        </w:rPr>
        <w:t>20</w:t>
      </w:r>
      <w:r>
        <w:rPr>
          <w:sz w:val="24"/>
          <w:szCs w:val="24"/>
        </w:rPr>
        <w:t>17)</w:t>
      </w:r>
      <w:r w:rsidRPr="00772CE1">
        <w:rPr>
          <w:sz w:val="24"/>
          <w:szCs w:val="24"/>
        </w:rPr>
        <w:t xml:space="preserve"> </w:t>
      </w:r>
      <w:r>
        <w:rPr>
          <w:sz w:val="24"/>
          <w:szCs w:val="24"/>
        </w:rPr>
        <w:t xml:space="preserve"> </w:t>
      </w:r>
      <w:r w:rsidRPr="00772CE1">
        <w:rPr>
          <w:sz w:val="24"/>
          <w:szCs w:val="24"/>
        </w:rPr>
        <w:t xml:space="preserve">Amparo en Revisión 800/2017, segunda sala, de fecha 29 de noviembre de 2017. </w:t>
      </w:r>
    </w:p>
    <w:p w14:paraId="1F6B7A19" w14:textId="158DC567" w:rsidR="00772CE1" w:rsidRPr="00772CE1" w:rsidRDefault="00772CE1" w:rsidP="00047248">
      <w:pPr>
        <w:pStyle w:val="Textonotapie"/>
        <w:ind w:left="709" w:hanging="709"/>
        <w:rPr>
          <w:sz w:val="24"/>
          <w:szCs w:val="24"/>
        </w:rPr>
      </w:pPr>
      <w:r w:rsidRPr="00772CE1">
        <w:rPr>
          <w:sz w:val="24"/>
          <w:szCs w:val="24"/>
        </w:rPr>
        <w:t>SCJN.</w:t>
      </w:r>
      <w:r>
        <w:rPr>
          <w:sz w:val="24"/>
          <w:szCs w:val="24"/>
        </w:rPr>
        <w:t xml:space="preserve"> (</w:t>
      </w:r>
      <w:r w:rsidRPr="00772CE1">
        <w:rPr>
          <w:sz w:val="24"/>
          <w:szCs w:val="24"/>
        </w:rPr>
        <w:t>20</w:t>
      </w:r>
      <w:r>
        <w:rPr>
          <w:sz w:val="24"/>
          <w:szCs w:val="24"/>
        </w:rPr>
        <w:t xml:space="preserve">17) </w:t>
      </w:r>
      <w:r w:rsidRPr="00772CE1">
        <w:rPr>
          <w:sz w:val="24"/>
          <w:szCs w:val="24"/>
        </w:rPr>
        <w:t>Amparo Directo 32/2016, primera sala, de fecha 3 de mato de 2017.</w:t>
      </w:r>
    </w:p>
    <w:p w14:paraId="6ED50D14" w14:textId="3727FC57" w:rsidR="00772CE1" w:rsidRPr="00772CE1" w:rsidRDefault="00772CE1" w:rsidP="00047248">
      <w:pPr>
        <w:pStyle w:val="Textonotapie"/>
        <w:ind w:left="709" w:hanging="709"/>
        <w:jc w:val="both"/>
        <w:rPr>
          <w:sz w:val="24"/>
          <w:szCs w:val="24"/>
        </w:rPr>
      </w:pPr>
      <w:r w:rsidRPr="00772CE1">
        <w:rPr>
          <w:sz w:val="24"/>
          <w:szCs w:val="24"/>
        </w:rPr>
        <w:t xml:space="preserve">SCJN. </w:t>
      </w:r>
      <w:r>
        <w:rPr>
          <w:sz w:val="24"/>
          <w:szCs w:val="24"/>
        </w:rPr>
        <w:t>(</w:t>
      </w:r>
      <w:r w:rsidRPr="00772CE1">
        <w:rPr>
          <w:sz w:val="24"/>
          <w:szCs w:val="24"/>
        </w:rPr>
        <w:t>20</w:t>
      </w:r>
      <w:r>
        <w:rPr>
          <w:sz w:val="24"/>
          <w:szCs w:val="24"/>
        </w:rPr>
        <w:t xml:space="preserve">17) </w:t>
      </w:r>
      <w:r w:rsidRPr="00772CE1">
        <w:rPr>
          <w:sz w:val="24"/>
          <w:szCs w:val="24"/>
        </w:rPr>
        <w:t xml:space="preserve">Amparo Directo en Revisión 4481/2016, primera sala, de fecha 17 de mayo de 2017. </w:t>
      </w:r>
    </w:p>
    <w:p w14:paraId="4C9DCB34" w14:textId="23B0AE31" w:rsidR="00772CE1" w:rsidRDefault="00772CE1" w:rsidP="00047248">
      <w:pPr>
        <w:pStyle w:val="Textonotapie"/>
        <w:ind w:left="709" w:hanging="709"/>
        <w:jc w:val="both"/>
        <w:rPr>
          <w:sz w:val="24"/>
          <w:szCs w:val="24"/>
        </w:rPr>
      </w:pPr>
      <w:r w:rsidRPr="00772CE1">
        <w:rPr>
          <w:sz w:val="24"/>
          <w:szCs w:val="24"/>
        </w:rPr>
        <w:t xml:space="preserve">SCJN. </w:t>
      </w:r>
      <w:r>
        <w:rPr>
          <w:sz w:val="24"/>
          <w:szCs w:val="24"/>
        </w:rPr>
        <w:t>(</w:t>
      </w:r>
      <w:r w:rsidRPr="00772CE1">
        <w:rPr>
          <w:sz w:val="24"/>
          <w:szCs w:val="24"/>
        </w:rPr>
        <w:t>20</w:t>
      </w:r>
      <w:r>
        <w:rPr>
          <w:sz w:val="24"/>
          <w:szCs w:val="24"/>
        </w:rPr>
        <w:t xml:space="preserve">17) </w:t>
      </w:r>
      <w:r w:rsidRPr="00772CE1">
        <w:rPr>
          <w:sz w:val="24"/>
          <w:szCs w:val="24"/>
        </w:rPr>
        <w:t>Amparo Directo en Revisión 139/2017, primera sala, de fecha 25 de octubre de 2017.</w:t>
      </w:r>
    </w:p>
    <w:p w14:paraId="5C8970B1" w14:textId="33CB4B7B" w:rsidR="00772CE1" w:rsidRPr="00772CE1" w:rsidRDefault="00772CE1" w:rsidP="00047248">
      <w:pPr>
        <w:pStyle w:val="Textonotapie"/>
        <w:ind w:left="709" w:hanging="709"/>
        <w:jc w:val="both"/>
        <w:rPr>
          <w:sz w:val="24"/>
          <w:szCs w:val="24"/>
        </w:rPr>
      </w:pPr>
      <w:r w:rsidRPr="00772CE1">
        <w:rPr>
          <w:sz w:val="24"/>
          <w:szCs w:val="24"/>
        </w:rPr>
        <w:t xml:space="preserve">SCJN. </w:t>
      </w:r>
      <w:r>
        <w:rPr>
          <w:sz w:val="24"/>
          <w:szCs w:val="24"/>
        </w:rPr>
        <w:t>(</w:t>
      </w:r>
      <w:r w:rsidRPr="00772CE1">
        <w:rPr>
          <w:sz w:val="24"/>
          <w:szCs w:val="24"/>
        </w:rPr>
        <w:t>20</w:t>
      </w:r>
      <w:r>
        <w:rPr>
          <w:sz w:val="24"/>
          <w:szCs w:val="24"/>
        </w:rPr>
        <w:t xml:space="preserve">17) Amparo directo en revisión 4481/2016, </w:t>
      </w:r>
      <w:r w:rsidRPr="00772CE1">
        <w:rPr>
          <w:sz w:val="24"/>
          <w:szCs w:val="24"/>
        </w:rPr>
        <w:t>primera sala, de fecha 17 de mayo de 2017.</w:t>
      </w:r>
    </w:p>
    <w:p w14:paraId="7E63B791" w14:textId="0DA7A4B0" w:rsidR="00772CE1" w:rsidRPr="00772CE1" w:rsidRDefault="00772CE1" w:rsidP="00047248">
      <w:pPr>
        <w:pStyle w:val="Textonotapie"/>
        <w:ind w:left="709" w:hanging="709"/>
        <w:jc w:val="both"/>
        <w:rPr>
          <w:sz w:val="24"/>
          <w:szCs w:val="24"/>
        </w:rPr>
      </w:pPr>
      <w:r w:rsidRPr="00772CE1">
        <w:rPr>
          <w:sz w:val="24"/>
          <w:szCs w:val="24"/>
        </w:rPr>
        <w:t xml:space="preserve">SCJN. </w:t>
      </w:r>
      <w:r>
        <w:rPr>
          <w:sz w:val="24"/>
          <w:szCs w:val="24"/>
        </w:rPr>
        <w:t>(</w:t>
      </w:r>
      <w:r w:rsidRPr="00772CE1">
        <w:rPr>
          <w:sz w:val="24"/>
          <w:szCs w:val="24"/>
        </w:rPr>
        <w:t>20</w:t>
      </w:r>
      <w:r>
        <w:rPr>
          <w:sz w:val="24"/>
          <w:szCs w:val="24"/>
        </w:rPr>
        <w:t xml:space="preserve">19) </w:t>
      </w:r>
      <w:r w:rsidRPr="00772CE1">
        <w:rPr>
          <w:sz w:val="24"/>
          <w:szCs w:val="24"/>
        </w:rPr>
        <w:t>Recurso de Reclamación 679/201, primera sala, de fecha 4 de diciembre de 2019.</w:t>
      </w:r>
    </w:p>
    <w:p w14:paraId="5F2AECA5" w14:textId="0CC562F7" w:rsidR="00772CE1" w:rsidRDefault="00772CE1" w:rsidP="003D6378">
      <w:pPr>
        <w:jc w:val="both"/>
        <w:rPr>
          <w:b/>
          <w:bCs/>
          <w:color w:val="000000" w:themeColor="text1"/>
        </w:rPr>
      </w:pPr>
    </w:p>
    <w:p w14:paraId="0B725C39" w14:textId="3D48BCEA" w:rsidR="00772CE1" w:rsidRDefault="00772CE1" w:rsidP="003D6378">
      <w:pPr>
        <w:jc w:val="both"/>
        <w:rPr>
          <w:b/>
          <w:bCs/>
          <w:color w:val="000000" w:themeColor="text1"/>
        </w:rPr>
      </w:pPr>
    </w:p>
    <w:p w14:paraId="2A843E6B" w14:textId="759C1C0B" w:rsidR="00772CE1" w:rsidRDefault="00772CE1" w:rsidP="003D6378">
      <w:pPr>
        <w:jc w:val="both"/>
        <w:rPr>
          <w:b/>
          <w:bCs/>
          <w:color w:val="000000" w:themeColor="text1"/>
        </w:rPr>
      </w:pPr>
      <w:r>
        <w:rPr>
          <w:b/>
          <w:bCs/>
          <w:color w:val="000000" w:themeColor="text1"/>
        </w:rPr>
        <w:t>Jurisprudencia Interamericana</w:t>
      </w:r>
    </w:p>
    <w:p w14:paraId="24FB5A39" w14:textId="59C108FC" w:rsidR="00772CE1" w:rsidRDefault="00772CE1" w:rsidP="003D6378">
      <w:pPr>
        <w:jc w:val="both"/>
        <w:rPr>
          <w:b/>
          <w:bCs/>
          <w:color w:val="000000" w:themeColor="text1"/>
        </w:rPr>
      </w:pPr>
    </w:p>
    <w:p w14:paraId="16C9FEF6" w14:textId="77777777" w:rsidR="00392B84" w:rsidRPr="00392B84" w:rsidRDefault="00772CE1" w:rsidP="00047248">
      <w:pPr>
        <w:ind w:left="709" w:hanging="709"/>
      </w:pPr>
      <w:r w:rsidRPr="00772CE1">
        <w:t>Corte IDH</w:t>
      </w:r>
      <w:r w:rsidR="00965EDB">
        <w:t>. (2015)</w:t>
      </w:r>
      <w:r w:rsidRPr="00772CE1">
        <w:t xml:space="preserve"> </w:t>
      </w:r>
      <w:r w:rsidRPr="008C5292">
        <w:t>Caso Gonzales Lluy Vs. Ecuador</w:t>
      </w:r>
      <w:r w:rsidRPr="00772CE1">
        <w:t>. Sentencia de 1 de septiembre de 2015. Excepciones preliminares, Fondo, Reparaciones y Costas.</w:t>
      </w:r>
      <w:r w:rsidR="00392B84">
        <w:t xml:space="preserve"> </w:t>
      </w:r>
      <w:r w:rsidR="00392B84" w:rsidRPr="00392B84">
        <w:t>Serie C No. 298. </w:t>
      </w:r>
    </w:p>
    <w:p w14:paraId="21069F65" w14:textId="5E46D053" w:rsidR="00965EDB" w:rsidRDefault="00772CE1" w:rsidP="00047248">
      <w:pPr>
        <w:ind w:left="709" w:hanging="709"/>
      </w:pPr>
      <w:r w:rsidRPr="00772CE1">
        <w:t xml:space="preserve"> </w:t>
      </w:r>
      <w:r w:rsidR="00392B84">
        <w:t xml:space="preserve">Disponible en </w:t>
      </w:r>
      <w:r w:rsidR="00392B84" w:rsidRPr="00392B84">
        <w:t>https://www.corteidh.or.cr/docs/casos/articulos/seriec_298_esp.pdf</w:t>
      </w:r>
    </w:p>
    <w:p w14:paraId="2488CDD2" w14:textId="640B8A26" w:rsidR="00392B84" w:rsidRPr="00392B84" w:rsidRDefault="00965EDB" w:rsidP="00047248">
      <w:pPr>
        <w:ind w:left="709" w:hanging="709"/>
      </w:pPr>
      <w:r>
        <w:t xml:space="preserve">Corte IDH. (2004) </w:t>
      </w:r>
      <w:r w:rsidR="00392B84" w:rsidRPr="008C5292">
        <w:t>Caso Furlán y familiares Vs. Argentina</w:t>
      </w:r>
      <w:r w:rsidR="00392B84" w:rsidRPr="00392B84">
        <w:rPr>
          <w:i/>
          <w:iCs/>
        </w:rPr>
        <w:t xml:space="preserve">. </w:t>
      </w:r>
      <w:r w:rsidR="00392B84" w:rsidRPr="00392B84">
        <w:t>Excepciones Preliminares, Fondo, Reparaciones y Costas. Sentencia de 31 de agosto de 2012. Serie C No. 246. </w:t>
      </w:r>
      <w:r w:rsidR="00392B84">
        <w:t xml:space="preserve">Disponible en </w:t>
      </w:r>
      <w:r w:rsidR="00392B84" w:rsidRPr="00392B84">
        <w:t>https://www.corteidh.or.cr/docs/casos/articulos/seriec_246_esp.pdf</w:t>
      </w:r>
    </w:p>
    <w:p w14:paraId="1BEE312B" w14:textId="683057A0" w:rsidR="00965EDB" w:rsidRDefault="00772CE1" w:rsidP="00047248">
      <w:pPr>
        <w:ind w:left="709" w:hanging="709"/>
      </w:pPr>
      <w:r w:rsidRPr="00772CE1">
        <w:t xml:space="preserve">Corte IDH. </w:t>
      </w:r>
      <w:r w:rsidR="00965EDB">
        <w:t>(2004)</w:t>
      </w:r>
      <w:r w:rsidR="00392B84">
        <w:t xml:space="preserve"> </w:t>
      </w:r>
      <w:r w:rsidRPr="00772CE1">
        <w:t>Caso de los Hermanos Gómez Paquiyauri Vs. Perú. Fondo, Reparaciones y Costas. Sentencia de 8 de julio de 2004</w:t>
      </w:r>
      <w:r w:rsidR="00392B84">
        <w:t xml:space="preserve">. </w:t>
      </w:r>
      <w:r w:rsidR="00392B84" w:rsidRPr="00392B84">
        <w:t> Serie C No. 110. </w:t>
      </w:r>
      <w:r w:rsidR="00392B84">
        <w:t xml:space="preserve">Disponible en </w:t>
      </w:r>
      <w:r w:rsidR="00392B84" w:rsidRPr="00392B84">
        <w:t>https://www.corteidh.or.cr/docs/casos/articulos/seriec_110_esp.pdf</w:t>
      </w:r>
    </w:p>
    <w:p w14:paraId="4C6574A4" w14:textId="2D0FA343" w:rsidR="00965EDB" w:rsidRPr="00772CE1" w:rsidRDefault="00772CE1" w:rsidP="00047248">
      <w:pPr>
        <w:ind w:left="709" w:hanging="709"/>
      </w:pPr>
      <w:r w:rsidRPr="00772CE1">
        <w:t>Corte IDH</w:t>
      </w:r>
      <w:r w:rsidR="00965EDB">
        <w:t>. (1989)</w:t>
      </w:r>
      <w:r w:rsidRPr="00772CE1">
        <w:t xml:space="preserve"> Caso Velásquez Rodríguez vs. Honduras. Reparaciones y Costas. Sen</w:t>
      </w:r>
      <w:r w:rsidRPr="00772CE1">
        <w:softHyphen/>
        <w:t>tencia de 21 de julio de 1989</w:t>
      </w:r>
      <w:r w:rsidR="00965EDB">
        <w:t xml:space="preserve">. </w:t>
      </w:r>
      <w:r w:rsidR="00965EDB" w:rsidRPr="00602B9A">
        <w:t>Serie C No. 7. Disponible en: «https://www.corteidh.or.cr/docs/casos/articulos/seriec_07_esp.pdf».</w:t>
      </w:r>
    </w:p>
    <w:p w14:paraId="090471D0" w14:textId="4C2CB33C" w:rsidR="00772CE1" w:rsidRPr="00772CE1" w:rsidRDefault="00772CE1" w:rsidP="00047248">
      <w:pPr>
        <w:ind w:left="709" w:hanging="709"/>
      </w:pPr>
      <w:r w:rsidRPr="00772CE1">
        <w:t>Corte IDH</w:t>
      </w:r>
      <w:r w:rsidR="00965EDB">
        <w:t xml:space="preserve"> (2009)</w:t>
      </w:r>
      <w:r w:rsidRPr="00772CE1">
        <w:t xml:space="preserve"> </w:t>
      </w:r>
      <w:r w:rsidRPr="008C5292">
        <w:t>Caso González y otras (“Campo Algodonero”) vs. México.</w:t>
      </w:r>
      <w:r w:rsidRPr="00772CE1">
        <w:t xml:space="preserve">  Excepción Preliminar, Fondo, Reparaciones y Costas. Sentencia de 16 de noviembre de 2009</w:t>
      </w:r>
      <w:r w:rsidR="00965EDB">
        <w:t>.</w:t>
      </w:r>
      <w:r w:rsidR="00965EDB" w:rsidRPr="00965EDB">
        <w:t xml:space="preserve"> </w:t>
      </w:r>
      <w:r w:rsidR="00965EDB" w:rsidRPr="00602B9A">
        <w:t>”, Serie C No. 205</w:t>
      </w:r>
      <w:r w:rsidR="00965EDB">
        <w:t xml:space="preserve"> </w:t>
      </w:r>
      <w:r w:rsidRPr="00602B9A">
        <w:t xml:space="preserve">Disponible en: «https://www.corteidh.or.cr/docs/casos/articulos/seriec_205_esp.pdf». </w:t>
      </w:r>
    </w:p>
    <w:p w14:paraId="2697DD9A" w14:textId="69E4E334" w:rsidR="00772CE1" w:rsidRPr="00772CE1" w:rsidRDefault="00772CE1" w:rsidP="00047248">
      <w:pPr>
        <w:ind w:left="709" w:hanging="709"/>
      </w:pPr>
      <w:r>
        <w:t>Corte IDH.</w:t>
      </w:r>
      <w:r w:rsidRPr="00263868">
        <w:t xml:space="preserve"> </w:t>
      </w:r>
      <w:r w:rsidR="00392B84">
        <w:t xml:space="preserve">(2012) </w:t>
      </w:r>
      <w:r>
        <w:t>C</w:t>
      </w:r>
      <w:r w:rsidRPr="00263868">
        <w:t xml:space="preserve">aso </w:t>
      </w:r>
      <w:r>
        <w:t>A</w:t>
      </w:r>
      <w:r w:rsidRPr="00263868">
        <w:t xml:space="preserve">tala </w:t>
      </w:r>
      <w:r>
        <w:t>R</w:t>
      </w:r>
      <w:r w:rsidRPr="00263868">
        <w:t>iffo y niñas vs. Chile</w:t>
      </w:r>
      <w:r>
        <w:t>.</w:t>
      </w:r>
      <w:r w:rsidRPr="00263868">
        <w:t xml:space="preserve"> </w:t>
      </w:r>
      <w:r>
        <w:t>S</w:t>
      </w:r>
      <w:r w:rsidRPr="00620793">
        <w:t>entencia de 24 de febrero de 2012</w:t>
      </w:r>
      <w:r>
        <w:t xml:space="preserve">. </w:t>
      </w:r>
      <w:r w:rsidRPr="00620793">
        <w:t>Fondo, Reparaciones y Costas</w:t>
      </w:r>
      <w:r>
        <w:t>.</w:t>
      </w:r>
      <w:r w:rsidR="00392B84" w:rsidRPr="00392B84">
        <w:rPr>
          <w:rFonts w:ascii="Open Sans" w:hAnsi="Open Sans" w:cs="Open Sans"/>
          <w:color w:val="494848"/>
          <w:sz w:val="20"/>
          <w:szCs w:val="20"/>
          <w:shd w:val="clear" w:color="auto" w:fill="FFFFFF"/>
        </w:rPr>
        <w:t xml:space="preserve"> </w:t>
      </w:r>
      <w:r w:rsidR="00392B84" w:rsidRPr="00392B84">
        <w:t>Serie C No. 254. </w:t>
      </w:r>
      <w:r w:rsidR="00392B84">
        <w:t xml:space="preserve">Disponible en: </w:t>
      </w:r>
      <w:r w:rsidRPr="00F8325D">
        <w:t>https://corteidh.or.cr/docs/casos/articulos/seriec_239_esp.pdf</w:t>
      </w:r>
    </w:p>
    <w:p w14:paraId="5D8281F0" w14:textId="1F21F950" w:rsidR="00772CE1" w:rsidRPr="00772CE1" w:rsidRDefault="00772CE1" w:rsidP="00047248">
      <w:pPr>
        <w:ind w:left="709" w:hanging="709"/>
        <w:jc w:val="both"/>
      </w:pPr>
      <w:r w:rsidRPr="00772CE1">
        <w:t>Corte IDH</w:t>
      </w:r>
      <w:r w:rsidR="00392B84">
        <w:t xml:space="preserve">. (2018) </w:t>
      </w:r>
      <w:r w:rsidRPr="00772CE1">
        <w:t>Caso V.R.P., V.P.C. y Otros vs. Nicaragua, "Excepciones Preliminares, Fondo, Repara</w:t>
      </w:r>
      <w:r w:rsidRPr="00772CE1">
        <w:softHyphen/>
        <w:t xml:space="preserve"> ciones y Costas. Sentencia de 8 de marzo de 2018", Serie C, No. 350 . </w:t>
      </w:r>
      <w:r w:rsidR="00392B84">
        <w:t xml:space="preserve">Disponible en </w:t>
      </w:r>
      <w:r w:rsidR="00392B84" w:rsidRPr="00392B84">
        <w:t>https://www.corteidh.or.cr/docs/casos/articulos/seriec_350_esp.pdf</w:t>
      </w:r>
    </w:p>
    <w:sectPr w:rsidR="00772CE1" w:rsidRPr="00772CE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DBD739" w14:textId="77777777" w:rsidR="00E70901" w:rsidRDefault="00E70901">
      <w:r>
        <w:separator/>
      </w:r>
    </w:p>
  </w:endnote>
  <w:endnote w:type="continuationSeparator" w:id="0">
    <w:p w14:paraId="2DFE998C" w14:textId="77777777" w:rsidR="00E70901" w:rsidRDefault="00E70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E95472" w14:textId="77777777" w:rsidR="00E70901" w:rsidRDefault="00E70901">
      <w:r>
        <w:separator/>
      </w:r>
    </w:p>
  </w:footnote>
  <w:footnote w:type="continuationSeparator" w:id="0">
    <w:p w14:paraId="4B68C72C" w14:textId="77777777" w:rsidR="00E70901" w:rsidRDefault="00E70901">
      <w:r>
        <w:continuationSeparator/>
      </w:r>
    </w:p>
  </w:footnote>
  <w:footnote w:id="1">
    <w:p w14:paraId="43B5A610" w14:textId="029E3218" w:rsidR="2742513F" w:rsidRPr="005842D7" w:rsidRDefault="2742513F" w:rsidP="00A47EAE">
      <w:pPr>
        <w:pStyle w:val="Textonotapie"/>
        <w:jc w:val="both"/>
      </w:pPr>
      <w:r w:rsidRPr="005842D7">
        <w:rPr>
          <w:rStyle w:val="Refdenotaalpie"/>
        </w:rPr>
        <w:footnoteRef/>
      </w:r>
      <w:r w:rsidRPr="005842D7">
        <w:t xml:space="preserve"> </w:t>
      </w:r>
      <w:r w:rsidR="00C811A4">
        <w:t xml:space="preserve">Diario Oficial de la Federación. 18 de marzo de 1980. </w:t>
      </w:r>
      <w:r w:rsidR="00D46C4D">
        <w:t xml:space="preserve">Primera sección, página 3. Disponible en </w:t>
      </w:r>
      <w:r w:rsidRPr="005842D7">
        <w:t>http://www.dof.gob.mx/nota_to_imagen_fs.php?codnota=4850209&amp;fecha=18/03/1980&amp;cod_diario=208557</w:t>
      </w:r>
    </w:p>
  </w:footnote>
  <w:footnote w:id="2">
    <w:p w14:paraId="0C1AAAC2" w14:textId="05940A45" w:rsidR="2742513F" w:rsidRPr="005842D7" w:rsidRDefault="2742513F" w:rsidP="00A47EAE">
      <w:pPr>
        <w:pStyle w:val="Textonotapie"/>
        <w:jc w:val="both"/>
      </w:pPr>
      <w:r w:rsidRPr="005842D7">
        <w:rPr>
          <w:rStyle w:val="Refdenotaalpie"/>
        </w:rPr>
        <w:footnoteRef/>
      </w:r>
      <w:r w:rsidRPr="005842D7">
        <w:t xml:space="preserve"> De hecho, es a partir de este año que comienzan</w:t>
      </w:r>
      <w:r w:rsidR="00A47EAE">
        <w:t>, en el ámbito internacional,</w:t>
      </w:r>
      <w:r w:rsidRPr="005842D7">
        <w:t xml:space="preserve"> las reuniones, negoci</w:t>
      </w:r>
      <w:r w:rsidR="00A47EAE">
        <w:t>a</w:t>
      </w:r>
      <w:r w:rsidRPr="005842D7">
        <w:t>ciones y discusiones para la aprobación de una Convención sobre los Derechos del Niño</w:t>
      </w:r>
    </w:p>
  </w:footnote>
  <w:footnote w:id="3">
    <w:p w14:paraId="6CB1B602" w14:textId="09E9F354" w:rsidR="2742513F" w:rsidRPr="005842D7" w:rsidRDefault="2742513F" w:rsidP="00A47EAE">
      <w:pPr>
        <w:pStyle w:val="Textonotapie"/>
        <w:jc w:val="both"/>
      </w:pPr>
      <w:r w:rsidRPr="005842D7">
        <w:rPr>
          <w:rStyle w:val="Refdenotaalpie"/>
        </w:rPr>
        <w:footnoteRef/>
      </w:r>
      <w:r w:rsidRPr="005842D7">
        <w:t xml:space="preserve"> Conocido en América Latina como la doctrina de la </w:t>
      </w:r>
      <w:r w:rsidR="00E1295B">
        <w:t>s</w:t>
      </w:r>
      <w:r w:rsidRPr="005842D7">
        <w:t xml:space="preserve">ituación </w:t>
      </w:r>
      <w:r w:rsidR="00E1295B">
        <w:t>i</w:t>
      </w:r>
      <w:r w:rsidRPr="005842D7">
        <w:t>rregular</w:t>
      </w:r>
      <w:r w:rsidR="00E1295B">
        <w:t xml:space="preserve"> o de la protección tutelar de niñas y niños.</w:t>
      </w:r>
    </w:p>
  </w:footnote>
  <w:footnote w:id="4">
    <w:p w14:paraId="38FE4E68" w14:textId="651A01E4" w:rsidR="2742513F" w:rsidRPr="005842D7" w:rsidRDefault="2742513F" w:rsidP="00A47EAE">
      <w:pPr>
        <w:pStyle w:val="Textonotapie"/>
        <w:jc w:val="both"/>
      </w:pPr>
      <w:r w:rsidRPr="005842D7">
        <w:rPr>
          <w:rStyle w:val="Refdenotaalpie"/>
        </w:rPr>
        <w:footnoteRef/>
      </w:r>
      <w:r w:rsidRPr="005842D7">
        <w:t xml:space="preserve"> </w:t>
      </w:r>
      <w:r w:rsidR="00D46C4D">
        <w:t xml:space="preserve">Diario Oficial de la Federación. 7 de abril de 2000. Primera Sección. Disponible en </w:t>
      </w:r>
      <w:r w:rsidRPr="005842D7">
        <w:t>http://www.dof.gob.mx/index_111.php?year=2000&amp;month=04&amp;day=07</w:t>
      </w:r>
    </w:p>
  </w:footnote>
  <w:footnote w:id="5">
    <w:p w14:paraId="221E400E" w14:textId="54F68F49" w:rsidR="2742513F" w:rsidRPr="00AF6B6B" w:rsidRDefault="2742513F" w:rsidP="004D2181">
      <w:pPr>
        <w:pStyle w:val="Textonotapie"/>
        <w:jc w:val="both"/>
      </w:pPr>
      <w:r w:rsidRPr="005842D7">
        <w:rPr>
          <w:rStyle w:val="Refdenotaalpie"/>
        </w:rPr>
        <w:footnoteRef/>
      </w:r>
      <w:r w:rsidRPr="005842D7">
        <w:t xml:space="preserve"> Para mayor análisis véase González Contró</w:t>
      </w:r>
      <w:r w:rsidR="00CE35D8">
        <w:t>,</w:t>
      </w:r>
      <w:r w:rsidR="00CE35D8" w:rsidRPr="00CE35D8">
        <w:t xml:space="preserve"> </w:t>
      </w:r>
      <w:r w:rsidR="00CE35D8" w:rsidRPr="005842D7">
        <w:t>Mónica</w:t>
      </w:r>
      <w:r w:rsidRPr="005842D7">
        <w:t xml:space="preserve">. </w:t>
      </w:r>
      <w:r w:rsidRPr="005842D7">
        <w:rPr>
          <w:i/>
          <w:iCs/>
        </w:rPr>
        <w:t xml:space="preserve">La función del Interés Superior del Niño en el razonamiento práctico: un análisis de su evolución en México. </w:t>
      </w:r>
      <w:r w:rsidR="004D2181" w:rsidRPr="004D2181">
        <w:rPr>
          <w:i/>
          <w:iCs/>
        </w:rPr>
        <w:t>Revista Electrónica. Instituto de Investigaciones Ambrosio L. Gioja, Número 23, diciembre 2019-mayo 2020, pp. 63-95, Buenos Aires, Argentina, ISSN 1851-3069</w:t>
      </w:r>
      <w:r w:rsidR="00AF6B6B">
        <w:rPr>
          <w:i/>
          <w:iCs/>
        </w:rPr>
        <w:t xml:space="preserve"> </w:t>
      </w:r>
      <w:r w:rsidR="00AF6B6B" w:rsidRPr="00AF6B6B">
        <w:t>p.</w:t>
      </w:r>
      <w:r w:rsidR="00AF6B6B">
        <w:t xml:space="preserve"> 69-70. </w:t>
      </w:r>
    </w:p>
  </w:footnote>
  <w:footnote w:id="6">
    <w:p w14:paraId="6B6B26AB" w14:textId="75CD85E0" w:rsidR="2742513F" w:rsidRDefault="2742513F" w:rsidP="005842D7">
      <w:pPr>
        <w:pStyle w:val="Textonotapie"/>
        <w:jc w:val="both"/>
      </w:pPr>
      <w:r w:rsidRPr="005842D7">
        <w:rPr>
          <w:rStyle w:val="Refdenotaalpie"/>
        </w:rPr>
        <w:footnoteRef/>
      </w:r>
      <w:r w:rsidRPr="005842D7">
        <w:t xml:space="preserve"> Artículo que enlista las Facultades del Congreso de la Unión, el poder legislativo en México.</w:t>
      </w:r>
    </w:p>
  </w:footnote>
  <w:footnote w:id="7">
    <w:p w14:paraId="0F05C3A4" w14:textId="2685079B" w:rsidR="2742513F" w:rsidRPr="005842D7" w:rsidRDefault="2742513F" w:rsidP="004D2181">
      <w:pPr>
        <w:pStyle w:val="Textonotapie"/>
        <w:jc w:val="both"/>
      </w:pPr>
      <w:r w:rsidRPr="005842D7">
        <w:rPr>
          <w:rStyle w:val="Refdenotaalpie"/>
        </w:rPr>
        <w:footnoteRef/>
      </w:r>
      <w:r w:rsidRPr="005842D7">
        <w:t xml:space="preserve"> Así fue descrito en la Presentación de la Metodología para la Enseñanza de la Reforma Constitucional en materia de Derechos Humanos. ReformaDH, realizada por el entonces Ministro Presidente Juan. N Silva Meza, el S</w:t>
      </w:r>
      <w:r w:rsidR="001E1D70">
        <w:t>r</w:t>
      </w:r>
      <w:r w:rsidRPr="005842D7">
        <w:t>. Javier Hernández Valencia, quien fungía como Representante en México de la Alta Comisionada de las Nacione</w:t>
      </w:r>
      <w:r w:rsidR="001E1D70">
        <w:t>s</w:t>
      </w:r>
      <w:r w:rsidRPr="005842D7">
        <w:t xml:space="preserve"> Unidas para los Derechos Humanos; </w:t>
      </w:r>
      <w:r w:rsidRPr="00054E3D">
        <w:t>y Luis González Placencia, entonces Presidente de la Comisión de Derechos Humanos del D.F.</w:t>
      </w:r>
      <w:r w:rsidR="003838D7" w:rsidRPr="00054E3D">
        <w:t xml:space="preserve"> (ahora CDMX)</w:t>
      </w:r>
      <w:r w:rsidR="00D46C4D" w:rsidRPr="00054E3D">
        <w:t>. Pág</w:t>
      </w:r>
      <w:r w:rsidR="00054E3D">
        <w:t>.</w:t>
      </w:r>
      <w:r w:rsidR="00D46C4D" w:rsidRPr="00054E3D">
        <w:t xml:space="preserve"> </w:t>
      </w:r>
      <w:r w:rsidR="00054E3D" w:rsidRPr="00054E3D">
        <w:t>4</w:t>
      </w:r>
      <w:r w:rsidR="00D46C4D" w:rsidRPr="00054E3D">
        <w:t xml:space="preserve"> de cada módulo.</w:t>
      </w:r>
      <w:r w:rsidR="00D46C4D">
        <w:t xml:space="preserve"> </w:t>
      </w:r>
    </w:p>
  </w:footnote>
  <w:footnote w:id="8">
    <w:p w14:paraId="44081ABD" w14:textId="48C4ADD9" w:rsidR="2742513F" w:rsidRPr="005842D7" w:rsidRDefault="2742513F" w:rsidP="2742513F">
      <w:pPr>
        <w:pStyle w:val="Textonotapie"/>
      </w:pPr>
      <w:r w:rsidRPr="005842D7">
        <w:rPr>
          <w:rStyle w:val="Refdenotaalpie"/>
        </w:rPr>
        <w:footnoteRef/>
      </w:r>
      <w:r w:rsidRPr="005842D7">
        <w:t xml:space="preserve"> </w:t>
      </w:r>
      <w:r w:rsidR="00D46C4D">
        <w:t>La Corte hizo un estudio de dicha herramienta a través del Expediente</w:t>
      </w:r>
      <w:r w:rsidRPr="005842D7">
        <w:t xml:space="preserve"> Varios 912/2010</w:t>
      </w:r>
      <w:r w:rsidR="00D46C4D">
        <w:t>.</w:t>
      </w:r>
    </w:p>
  </w:footnote>
  <w:footnote w:id="9">
    <w:p w14:paraId="1E01B004" w14:textId="682AA43C" w:rsidR="2742513F" w:rsidRDefault="2742513F" w:rsidP="003838D7">
      <w:pPr>
        <w:pStyle w:val="Textonotapie"/>
        <w:jc w:val="both"/>
      </w:pPr>
      <w:r w:rsidRPr="005842D7">
        <w:rPr>
          <w:rStyle w:val="Refdenotaalpie"/>
        </w:rPr>
        <w:footnoteRef/>
      </w:r>
      <w:r w:rsidRPr="005842D7">
        <w:t xml:space="preserve"> </w:t>
      </w:r>
      <w:r w:rsidR="003838D7">
        <w:t>En otras palabras, lo que</w:t>
      </w:r>
      <w:r w:rsidRPr="005842D7">
        <w:t xml:space="preserve"> ha sido </w:t>
      </w:r>
      <w:r w:rsidR="003838D7">
        <w:t xml:space="preserve">denominado </w:t>
      </w:r>
      <w:r w:rsidRPr="005842D7">
        <w:t xml:space="preserve">por la propia Suprema Corte como “parámetro de </w:t>
      </w:r>
      <w:r w:rsidR="003838D7">
        <w:t xml:space="preserve">control de </w:t>
      </w:r>
      <w:r w:rsidRPr="005842D7">
        <w:t xml:space="preserve">regularidad constitucional" </w:t>
      </w:r>
      <w:r w:rsidR="003838D7">
        <w:t>Véase</w:t>
      </w:r>
      <w:r w:rsidR="003838D7" w:rsidRPr="0036795A">
        <w:t xml:space="preserve">, </w:t>
      </w:r>
      <w:r w:rsidR="00054E3D" w:rsidRPr="0036795A">
        <w:t xml:space="preserve">Resolución de la Suprema Corte de Justicia de la Nación, recaída en el </w:t>
      </w:r>
      <w:r w:rsidRPr="0036795A">
        <w:t>Expediente Varios 912/2010</w:t>
      </w:r>
      <w:r w:rsidR="0036795A" w:rsidRPr="0036795A">
        <w:t>, tribunal pleno, de fecha 14 de julio de 2011</w:t>
      </w:r>
      <w:r w:rsidRPr="0036795A">
        <w:t xml:space="preserve"> y</w:t>
      </w:r>
      <w:r w:rsidR="00054E3D" w:rsidRPr="0036795A">
        <w:t xml:space="preserve"> Resolución de la Suprema Corte de Justicia de la Nación, recaída en</w:t>
      </w:r>
      <w:r w:rsidRPr="0036795A">
        <w:t xml:space="preserve"> la Contradicción de Tesis 293/2011</w:t>
      </w:r>
      <w:r w:rsidR="0036795A" w:rsidRPr="0036795A">
        <w:t>, tribunal pleno, de fecha 3 de septiembre de 2013.</w:t>
      </w:r>
      <w:r w:rsidR="0036795A">
        <w:t xml:space="preserve"> </w:t>
      </w:r>
    </w:p>
  </w:footnote>
  <w:footnote w:id="10">
    <w:p w14:paraId="6B94B0F9" w14:textId="61FB3CE0" w:rsidR="2742513F" w:rsidRPr="00C01172" w:rsidRDefault="2742513F" w:rsidP="005842D7">
      <w:pPr>
        <w:pStyle w:val="Textonotapie"/>
        <w:jc w:val="both"/>
        <w:rPr>
          <w:i/>
        </w:rPr>
      </w:pPr>
      <w:r w:rsidRPr="005842D7">
        <w:rPr>
          <w:rStyle w:val="Refdenotaalpie"/>
        </w:rPr>
        <w:footnoteRef/>
      </w:r>
      <w:r w:rsidRPr="005842D7">
        <w:t xml:space="preserve"> El concepto aparece propiamente en la sentencia del caso Almonacid Arellano vs. Chile en 2006</w:t>
      </w:r>
      <w:r w:rsidR="00D46C4D">
        <w:t xml:space="preserve">, en el párrafo 124, que señala </w:t>
      </w:r>
      <w:r w:rsidR="00C01172" w:rsidRPr="00C01172">
        <w:rPr>
          <w:i/>
        </w:rPr>
        <w:t>En otras palabras, el Poder Judicial debe ejercer una especie de “control de convencionalidad” entre las normas jurídicas internas que aplican en los casos concretos y la Convención Americana sobre Derechos Humanos. En esta tarea, el Poder Judicial debe tener en cuenta no solamente el tratado, sino también la interpretación que del mismo ha hecho la Corte Interamericana, intérprete última de la Convención Americana.</w:t>
      </w:r>
    </w:p>
  </w:footnote>
  <w:footnote w:id="11">
    <w:p w14:paraId="723A4BEC" w14:textId="1BBF22B7" w:rsidR="00C01172" w:rsidRPr="00C01172" w:rsidRDefault="2742513F" w:rsidP="005842D7">
      <w:pPr>
        <w:pStyle w:val="Textonotapie"/>
        <w:jc w:val="both"/>
      </w:pPr>
      <w:r w:rsidRPr="005842D7">
        <w:rPr>
          <w:rStyle w:val="Refdenotaalpie"/>
        </w:rPr>
        <w:footnoteRef/>
      </w:r>
      <w:r w:rsidRPr="005842D7">
        <w:t xml:space="preserve"> Ortega Soriano, Ricardo. </w:t>
      </w:r>
      <w:r w:rsidRPr="005842D7">
        <w:rPr>
          <w:i/>
          <w:iCs/>
        </w:rPr>
        <w:t>Control de Convencionalidad</w:t>
      </w:r>
      <w:r w:rsidR="000B7BCE">
        <w:rPr>
          <w:i/>
          <w:iCs/>
        </w:rPr>
        <w:t>:</w:t>
      </w:r>
      <w:r w:rsidRPr="005842D7">
        <w:rPr>
          <w:i/>
          <w:iCs/>
        </w:rPr>
        <w:t xml:space="preserve"> Herramientas para la interpretación constitucional de los derechos humanos. G</w:t>
      </w:r>
      <w:r w:rsidRPr="005842D7">
        <w:t xml:space="preserve">uía de estudio. Posgrados en Derechos Humanos y Democracia. FLACSO México. 2019. </w:t>
      </w:r>
      <w:r w:rsidR="00C01172">
        <w:t>Págs. 42 y 43.</w:t>
      </w:r>
    </w:p>
    <w:p w14:paraId="641007D9" w14:textId="44BC1DD8" w:rsidR="2742513F" w:rsidRDefault="2742513F" w:rsidP="2742513F">
      <w:pPr>
        <w:pStyle w:val="Textonotapie"/>
      </w:pPr>
    </w:p>
  </w:footnote>
  <w:footnote w:id="12">
    <w:p w14:paraId="340A69FB" w14:textId="754EC49A" w:rsidR="00350F11" w:rsidRPr="00350F11" w:rsidRDefault="00350F11" w:rsidP="00350F11">
      <w:pPr>
        <w:autoSpaceDE w:val="0"/>
        <w:autoSpaceDN w:val="0"/>
        <w:adjustRightInd w:val="0"/>
        <w:jc w:val="both"/>
        <w:rPr>
          <w:rFonts w:eastAsia="Arial Unicode MS"/>
          <w:iCs/>
          <w:sz w:val="20"/>
          <w:szCs w:val="20"/>
        </w:rPr>
      </w:pPr>
      <w:r w:rsidRPr="00350F11">
        <w:rPr>
          <w:rStyle w:val="Refdenotaalpie"/>
          <w:sz w:val="20"/>
          <w:szCs w:val="20"/>
        </w:rPr>
        <w:footnoteRef/>
      </w:r>
      <w:r w:rsidRPr="00350F11">
        <w:rPr>
          <w:sz w:val="20"/>
          <w:szCs w:val="20"/>
        </w:rPr>
        <w:t xml:space="preserve"> </w:t>
      </w:r>
      <w:r w:rsidRPr="00350F11">
        <w:rPr>
          <w:rFonts w:eastAsia="Arial Unicode MS"/>
          <w:bCs/>
          <w:iCs/>
          <w:sz w:val="20"/>
          <w:szCs w:val="20"/>
        </w:rPr>
        <w:t xml:space="preserve">Artículo 8. </w:t>
      </w:r>
      <w:r w:rsidRPr="00350F11">
        <w:rPr>
          <w:rFonts w:eastAsia="Arial Unicode MS"/>
          <w:iCs/>
          <w:sz w:val="20"/>
          <w:szCs w:val="20"/>
        </w:rPr>
        <w:t>El menor de edad, persona con discapacidad o mayor sujeto a interdicción podrá pedir amparo por sí o por cualquier persona en su nombre sin la intervención de su legítimo representante cuando éste se halle ausente, se ignore quién sea, esté impedido o se negare</w:t>
      </w:r>
      <w:r w:rsidRPr="001061C7">
        <w:rPr>
          <w:rFonts w:ascii="Arial" w:eastAsia="Arial Unicode MS" w:hAnsi="Arial" w:cs="Arial"/>
          <w:iCs/>
        </w:rPr>
        <w:t xml:space="preserve"> </w:t>
      </w:r>
      <w:r w:rsidRPr="00350F11">
        <w:rPr>
          <w:rFonts w:eastAsia="Arial Unicode MS"/>
          <w:iCs/>
          <w:sz w:val="20"/>
          <w:szCs w:val="20"/>
        </w:rPr>
        <w:t>a promoverlo. El órgano jurisdiccional, sin perjuicio de dictar las providencias que sean urgentes, le nombrará un representante especial para que intervenga en el juicio, debiendo preferir a un familiar cercano, salvo cuando haya conflicto de intereses o motivo que justifiquen la designación de persona diversa. Si el menor hubiere cumplido catorce años, podrá hacer la designación de representante en el escrito de demanda.</w:t>
      </w:r>
    </w:p>
  </w:footnote>
  <w:footnote w:id="13">
    <w:p w14:paraId="22FD1A77" w14:textId="77777777" w:rsidR="00B36513" w:rsidRPr="00350F11" w:rsidRDefault="00B36513" w:rsidP="00350F11">
      <w:pPr>
        <w:pStyle w:val="Textonotapie"/>
        <w:jc w:val="both"/>
      </w:pPr>
      <w:r w:rsidRPr="00350F11">
        <w:rPr>
          <w:rStyle w:val="Refdenotaalpie"/>
        </w:rPr>
        <w:footnoteRef/>
      </w:r>
      <w:r w:rsidRPr="00350F11">
        <w:t xml:space="preserve"> A petición del Ministerio Público, de la Procuraduría de Protección de Niñas, Niños y Adolescentes del Estado de Guanajuato, o de oficio, cuando existan indicios de conflicto de intereses entre quienes ejerzan la representación originaria, o de éstos con sus representados menores de edad o por una representación deficiente o dolosa, la Procuraduría de Protección de Niñas, Niños y Adolescentes del Estado de Guanajuato ejercerá su representación en suplencia, previo incidente de restricción, suspensión o revocación de la representación originaria. </w:t>
      </w:r>
    </w:p>
    <w:p w14:paraId="3BC84778" w14:textId="62ECFB4E" w:rsidR="00B36513" w:rsidRDefault="00B36513">
      <w:pPr>
        <w:pStyle w:val="Textonotapie"/>
      </w:pPr>
    </w:p>
  </w:footnote>
  <w:footnote w:id="14">
    <w:p w14:paraId="6CDC4D64" w14:textId="1FFC16FB" w:rsidR="00F67F42" w:rsidRPr="00010C70" w:rsidRDefault="00F67F42">
      <w:pPr>
        <w:pStyle w:val="Textonotapie"/>
      </w:pPr>
      <w:r w:rsidRPr="00EC090C">
        <w:rPr>
          <w:rStyle w:val="Refdenotaalpie"/>
        </w:rPr>
        <w:footnoteRef/>
      </w:r>
      <w:r w:rsidRPr="00EC090C">
        <w:t xml:space="preserve"> Ortega, Ricardo y Fuentes, Berenice. </w:t>
      </w:r>
      <w:r w:rsidRPr="00EC090C">
        <w:rPr>
          <w:i/>
          <w:iCs/>
        </w:rPr>
        <w:t xml:space="preserve">El proceso familiar desde la perspectiva de género. </w:t>
      </w:r>
      <w:r w:rsidRPr="00EC090C">
        <w:t>En</w:t>
      </w:r>
      <w:r w:rsidR="00010C70">
        <w:t xml:space="preserve"> Coord. Estefanía Vela. </w:t>
      </w:r>
      <w:r w:rsidRPr="00EC090C">
        <w:t xml:space="preserve"> </w:t>
      </w:r>
      <w:r w:rsidR="00010C70">
        <w:rPr>
          <w:u w:val="single"/>
        </w:rPr>
        <w:t>Manual para juzgar con perspectiva de género en materia familiar.</w:t>
      </w:r>
      <w:r w:rsidR="00010C70">
        <w:t xml:space="preserve"> SCJN. 2021.</w:t>
      </w:r>
      <w:r w:rsidR="00C01172">
        <w:t xml:space="preserve"> Pág. 101. </w:t>
      </w:r>
    </w:p>
  </w:footnote>
  <w:footnote w:id="15">
    <w:p w14:paraId="4EA3F39C" w14:textId="53D259B4" w:rsidR="009E6DB9" w:rsidRPr="00D87BE8" w:rsidRDefault="009E6DB9" w:rsidP="006971A4">
      <w:pPr>
        <w:rPr>
          <w:rFonts w:eastAsiaTheme="minorHAnsi"/>
          <w:sz w:val="20"/>
          <w:szCs w:val="20"/>
          <w:highlight w:val="yellow"/>
          <w:lang w:eastAsia="en-US"/>
        </w:rPr>
      </w:pPr>
      <w:r w:rsidRPr="006971A4">
        <w:rPr>
          <w:rStyle w:val="Refdenotaalpie"/>
          <w:rFonts w:eastAsiaTheme="minorHAnsi"/>
          <w:sz w:val="20"/>
          <w:szCs w:val="20"/>
          <w:lang w:val="es-ES" w:eastAsia="en-US"/>
        </w:rPr>
        <w:footnoteRef/>
      </w:r>
      <w:r w:rsidRPr="006971A4">
        <w:rPr>
          <w:rStyle w:val="Refdenotaalpie"/>
          <w:rFonts w:eastAsiaTheme="minorHAnsi"/>
          <w:sz w:val="20"/>
          <w:szCs w:val="20"/>
          <w:lang w:val="es-ES" w:eastAsia="en-US"/>
        </w:rPr>
        <w:t xml:space="preserve"> </w:t>
      </w:r>
      <w:r w:rsidRPr="006971A4">
        <w:rPr>
          <w:rFonts w:eastAsiaTheme="minorHAnsi"/>
          <w:sz w:val="20"/>
          <w:szCs w:val="20"/>
          <w:lang w:val="es-ES" w:eastAsia="en-US"/>
        </w:rPr>
        <w:t>Corte IDH</w:t>
      </w:r>
      <w:r w:rsidR="008B382C" w:rsidRPr="006971A4">
        <w:rPr>
          <w:rFonts w:eastAsiaTheme="minorHAnsi"/>
          <w:sz w:val="20"/>
          <w:szCs w:val="20"/>
          <w:lang w:val="es-ES" w:eastAsia="en-US"/>
        </w:rPr>
        <w:t xml:space="preserve">, Caso Gonzales Lluy Vs. Ecuador. Sentencia de 1 de septiembre de 2015. Excepciones preliminares, Fondo, Reparaciones y Costas. </w:t>
      </w:r>
      <w:r w:rsidR="005F2CBB" w:rsidRPr="006971A4">
        <w:rPr>
          <w:rFonts w:eastAsiaTheme="minorHAnsi"/>
          <w:sz w:val="20"/>
          <w:szCs w:val="20"/>
          <w:lang w:val="es-ES" w:eastAsia="en-US"/>
        </w:rPr>
        <w:t>Párr. 312. Caso Furlán y Familiares vs. Argenita. Párr. 196</w:t>
      </w:r>
      <w:r w:rsidR="00B70932" w:rsidRPr="006971A4">
        <w:rPr>
          <w:rFonts w:eastAsiaTheme="minorHAnsi"/>
          <w:sz w:val="20"/>
          <w:szCs w:val="20"/>
          <w:lang w:val="es-ES" w:eastAsia="en-US"/>
        </w:rPr>
        <w:t>. Corte IDH. Caso de los Hermanos Gómez Paquiyauri Vs. Perú. Fondo, Reparaciones y Costas. Sentencia de 8 de julio de 2004</w:t>
      </w:r>
      <w:r w:rsidR="00265EAE" w:rsidRPr="00D87BE8">
        <w:rPr>
          <w:rFonts w:eastAsiaTheme="minorHAnsi"/>
          <w:sz w:val="20"/>
          <w:szCs w:val="20"/>
          <w:lang w:val="es-ES" w:eastAsia="en-US"/>
        </w:rPr>
        <w:t xml:space="preserve">. Párr 154, entre otras. </w:t>
      </w:r>
      <w:r w:rsidR="00D87BE8" w:rsidRPr="00D87BE8">
        <w:rPr>
          <w:rFonts w:eastAsiaTheme="minorHAnsi"/>
          <w:sz w:val="20"/>
          <w:szCs w:val="20"/>
          <w:lang w:eastAsia="en-US"/>
        </w:rPr>
        <w:t>Corte IDH Caso Velásquez Rodríguez vs. Honduras. Reparaciones y Costas. Sen</w:t>
      </w:r>
      <w:r w:rsidR="00D87BE8" w:rsidRPr="00D87BE8">
        <w:rPr>
          <w:rFonts w:eastAsiaTheme="minorHAnsi"/>
          <w:sz w:val="20"/>
          <w:szCs w:val="20"/>
          <w:lang w:eastAsia="en-US"/>
        </w:rPr>
        <w:softHyphen/>
        <w:t xml:space="preserve">tencia de 21 de julio de 1989 </w:t>
      </w:r>
      <w:r w:rsidR="006971A4" w:rsidRPr="00D87BE8">
        <w:rPr>
          <w:rFonts w:eastAsiaTheme="minorHAnsi"/>
          <w:sz w:val="20"/>
          <w:szCs w:val="20"/>
          <w:lang w:val="es-ES" w:eastAsia="en-US"/>
        </w:rPr>
        <w:t>párr. 172, 2009</w:t>
      </w:r>
      <w:r w:rsidR="00D87BE8" w:rsidRPr="00D87BE8">
        <w:rPr>
          <w:rFonts w:eastAsiaTheme="minorHAnsi"/>
          <w:sz w:val="20"/>
          <w:szCs w:val="20"/>
          <w:lang w:val="es-ES" w:eastAsia="en-US"/>
        </w:rPr>
        <w:t>; Corte IDH C</w:t>
      </w:r>
      <w:r w:rsidR="00D87BE8" w:rsidRPr="00D87BE8">
        <w:rPr>
          <w:rFonts w:eastAsiaTheme="minorHAnsi"/>
          <w:sz w:val="20"/>
          <w:szCs w:val="20"/>
          <w:lang w:eastAsia="en-US"/>
        </w:rPr>
        <w:t xml:space="preserve">aso González y otras (“Campo Algodonero”) vs. México.  Excepción Preliminar, Fondo, Reparaciones y Costas. Sentencia de 16 de noviembre de 2009”, </w:t>
      </w:r>
      <w:r w:rsidR="00D87BE8" w:rsidRPr="00D87BE8">
        <w:rPr>
          <w:rFonts w:eastAsiaTheme="minorHAnsi"/>
          <w:sz w:val="20"/>
          <w:szCs w:val="20"/>
          <w:lang w:val="es-ES" w:eastAsia="en-US"/>
        </w:rPr>
        <w:t>párr. 258.</w:t>
      </w:r>
    </w:p>
  </w:footnote>
  <w:footnote w:id="16">
    <w:p w14:paraId="683985B8" w14:textId="78B618EB" w:rsidR="00F8616B" w:rsidRPr="00EC090C" w:rsidRDefault="00F8616B">
      <w:pPr>
        <w:pStyle w:val="Textonotapie"/>
      </w:pPr>
      <w:r w:rsidRPr="00EC090C">
        <w:rPr>
          <w:rStyle w:val="Refdenotaalpie"/>
        </w:rPr>
        <w:footnoteRef/>
      </w:r>
      <w:r w:rsidR="00010C70">
        <w:t xml:space="preserve"> </w:t>
      </w:r>
      <w:r w:rsidR="008C4D5C">
        <w:t>S</w:t>
      </w:r>
      <w:r w:rsidR="00054E3D" w:rsidRPr="008C4D5C">
        <w:t>entencia de la Suprema Corte de Justicia de la Nación, recaída en el</w:t>
      </w:r>
      <w:r w:rsidR="00010C70" w:rsidRPr="008C4D5C">
        <w:t xml:space="preserve"> </w:t>
      </w:r>
      <w:r w:rsidRPr="008C4D5C">
        <w:t>Amparo Directo en Revisión 1272/2015</w:t>
      </w:r>
      <w:r w:rsidR="00054E3D" w:rsidRPr="008C4D5C">
        <w:t xml:space="preserve">, de fecha </w:t>
      </w:r>
      <w:r w:rsidR="008C4D5C" w:rsidRPr="008C4D5C">
        <w:t>18 de mayo de 2016</w:t>
      </w:r>
      <w:r w:rsidR="008C4D5C">
        <w:t>.</w:t>
      </w:r>
    </w:p>
  </w:footnote>
  <w:footnote w:id="17">
    <w:p w14:paraId="07F40E0B" w14:textId="1DF1A0BB" w:rsidR="00772D96" w:rsidRPr="00D87BE8" w:rsidRDefault="00772D96">
      <w:pPr>
        <w:pStyle w:val="Textonotapie"/>
      </w:pPr>
      <w:r>
        <w:rPr>
          <w:rStyle w:val="Refdenotaalpie"/>
        </w:rPr>
        <w:footnoteRef/>
      </w:r>
      <w:r>
        <w:t xml:space="preserve"> </w:t>
      </w:r>
      <w:r w:rsidRPr="00EC090C">
        <w:t xml:space="preserve">Ortega, Ricardo y Fuentes, Berenice. </w:t>
      </w:r>
      <w:r w:rsidRPr="00EC090C">
        <w:rPr>
          <w:i/>
          <w:iCs/>
        </w:rPr>
        <w:t xml:space="preserve">El proceso familiar desde la perspectiva de género. </w:t>
      </w:r>
      <w:r w:rsidR="00D87BE8">
        <w:rPr>
          <w:i/>
          <w:iCs/>
        </w:rPr>
        <w:t xml:space="preserve">Op. Cit. </w:t>
      </w:r>
      <w:r w:rsidR="00D87BE8">
        <w:t>P. 110.</w:t>
      </w:r>
    </w:p>
  </w:footnote>
  <w:footnote w:id="18">
    <w:p w14:paraId="778D9488" w14:textId="30FD73ED" w:rsidR="00F16F9F" w:rsidRPr="002C0CF5" w:rsidRDefault="00F16F9F">
      <w:pPr>
        <w:pStyle w:val="Textonotapie"/>
      </w:pPr>
      <w:r>
        <w:rPr>
          <w:rStyle w:val="Refdenotaalpie"/>
        </w:rPr>
        <w:footnoteRef/>
      </w:r>
      <w:r>
        <w:t xml:space="preserve"> </w:t>
      </w:r>
      <w:r w:rsidR="00D87BE8" w:rsidRPr="00D87BE8">
        <w:t xml:space="preserve">Sentencia </w:t>
      </w:r>
      <w:r w:rsidR="002C0CF5">
        <w:t xml:space="preserve">de </w:t>
      </w:r>
      <w:r w:rsidR="00D87BE8" w:rsidRPr="00D87BE8">
        <w:rPr>
          <w:rFonts w:eastAsiaTheme="minorHAnsi"/>
          <w:lang w:val="es-ES" w:eastAsia="en-US"/>
        </w:rPr>
        <w:t xml:space="preserve">Amparo en revisión 1272/2015, </w:t>
      </w:r>
      <w:r w:rsidR="002C0CF5">
        <w:rPr>
          <w:i/>
          <w:iCs/>
        </w:rPr>
        <w:t xml:space="preserve">Op. Cit. </w:t>
      </w:r>
      <w:r w:rsidR="002C0CF5">
        <w:t>Pág. 17.</w:t>
      </w:r>
    </w:p>
  </w:footnote>
  <w:footnote w:id="19">
    <w:p w14:paraId="117619B6" w14:textId="12EECF60" w:rsidR="00C128A4" w:rsidRPr="00E95FF6" w:rsidRDefault="00C128A4" w:rsidP="00E95FF6">
      <w:pPr>
        <w:pStyle w:val="Textonotapie"/>
        <w:jc w:val="both"/>
      </w:pPr>
      <w:r w:rsidRPr="00E95FF6">
        <w:rPr>
          <w:rStyle w:val="Refdenotaalpie"/>
        </w:rPr>
        <w:footnoteRef/>
      </w:r>
      <w:r w:rsidRPr="00E95FF6">
        <w:t xml:space="preserve"> Artículo </w:t>
      </w:r>
      <w:r w:rsidR="00FF1E2B" w:rsidRPr="00E95FF6">
        <w:t>12 de la Convención de los Derechos del Niño. El Comité sobre los Derechos del Niño ha desarrollado este derecho en su Observación General número 12. La Ley General de Derechos de Niñas, Niños y Adolescentes lo reconocen también en los artículos 71 a 74.</w:t>
      </w:r>
    </w:p>
  </w:footnote>
  <w:footnote w:id="20">
    <w:p w14:paraId="48DA9802" w14:textId="1A5A16F6" w:rsidR="001D7713" w:rsidRDefault="001D7713" w:rsidP="00E95FF6">
      <w:pPr>
        <w:pStyle w:val="Textonotapie"/>
        <w:jc w:val="both"/>
      </w:pPr>
      <w:r w:rsidRPr="00E95FF6">
        <w:rPr>
          <w:rStyle w:val="Refdenotaalpie"/>
        </w:rPr>
        <w:footnoteRef/>
      </w:r>
      <w:r w:rsidRPr="00E95FF6">
        <w:t xml:space="preserve"> Así era la manera en la que se estaba considerando en los Códigos de Procedimientos Civiles. A diferencia de la descripción de la Convención sobre los Derechos del Niño, no se consideraba la obligación de que sus opiniones fueran tomadas en cuenta.</w:t>
      </w:r>
      <w:r>
        <w:t xml:space="preserve"> </w:t>
      </w:r>
    </w:p>
  </w:footnote>
  <w:footnote w:id="21">
    <w:p w14:paraId="1B74B77C" w14:textId="45C01010" w:rsidR="001D7713" w:rsidRPr="00263868" w:rsidRDefault="001D7713" w:rsidP="00263868">
      <w:pPr>
        <w:pStyle w:val="Textonotapie"/>
        <w:jc w:val="both"/>
      </w:pPr>
      <w:r w:rsidRPr="00263868">
        <w:rPr>
          <w:rStyle w:val="Refdenotaalpie"/>
        </w:rPr>
        <w:footnoteRef/>
      </w:r>
      <w:r w:rsidRPr="00263868">
        <w:t xml:space="preserve"> </w:t>
      </w:r>
      <w:r w:rsidR="002C0CF5">
        <w:t xml:space="preserve">Sentencia de la Suprema Corte de Justicia de la Nación, recaída en la </w:t>
      </w:r>
      <w:r w:rsidRPr="00263868">
        <w:rPr>
          <w:color w:val="000000" w:themeColor="text1"/>
        </w:rPr>
        <w:t>C</w:t>
      </w:r>
      <w:r w:rsidR="00EC090C">
        <w:rPr>
          <w:color w:val="000000" w:themeColor="text1"/>
        </w:rPr>
        <w:t xml:space="preserve">ontradicción de </w:t>
      </w:r>
      <w:r w:rsidRPr="00263868">
        <w:rPr>
          <w:color w:val="000000" w:themeColor="text1"/>
        </w:rPr>
        <w:t>T</w:t>
      </w:r>
      <w:r w:rsidR="00EC090C">
        <w:rPr>
          <w:color w:val="000000" w:themeColor="text1"/>
        </w:rPr>
        <w:t>esis</w:t>
      </w:r>
      <w:r w:rsidRPr="00263868">
        <w:rPr>
          <w:color w:val="000000" w:themeColor="text1"/>
        </w:rPr>
        <w:t xml:space="preserve"> 130/2005-PS</w:t>
      </w:r>
      <w:r w:rsidR="002C0CF5">
        <w:rPr>
          <w:color w:val="000000" w:themeColor="text1"/>
        </w:rPr>
        <w:t xml:space="preserve">, primera sala, de fecha 21 de noviembre de 2005. </w:t>
      </w:r>
      <w:r w:rsidR="00D93B26">
        <w:rPr>
          <w:color w:val="000000" w:themeColor="text1"/>
        </w:rPr>
        <w:t>Pág. 22</w:t>
      </w:r>
    </w:p>
  </w:footnote>
  <w:footnote w:id="22">
    <w:p w14:paraId="1E170053" w14:textId="00D08256" w:rsidR="00AD3D43" w:rsidRPr="00263868" w:rsidRDefault="00AD3D43" w:rsidP="00263868">
      <w:pPr>
        <w:pStyle w:val="NormalWeb"/>
        <w:jc w:val="both"/>
        <w:rPr>
          <w:sz w:val="20"/>
          <w:szCs w:val="20"/>
        </w:rPr>
      </w:pPr>
      <w:r w:rsidRPr="00263868">
        <w:rPr>
          <w:rStyle w:val="Refdenotaalpie"/>
          <w:sz w:val="20"/>
          <w:szCs w:val="20"/>
        </w:rPr>
        <w:footnoteRef/>
      </w:r>
      <w:r w:rsidRPr="00263868">
        <w:rPr>
          <w:sz w:val="20"/>
          <w:szCs w:val="20"/>
        </w:rPr>
        <w:t xml:space="preserve"> </w:t>
      </w:r>
      <w:r w:rsidR="00D93B26" w:rsidRPr="00D93B26">
        <w:rPr>
          <w:sz w:val="20"/>
          <w:szCs w:val="20"/>
        </w:rPr>
        <w:t xml:space="preserve">Sentencia de la Suprema Corte de Justicia de la Nación, recaída en </w:t>
      </w:r>
      <w:r w:rsidR="00D93B26">
        <w:rPr>
          <w:sz w:val="20"/>
          <w:szCs w:val="20"/>
        </w:rPr>
        <w:t xml:space="preserve">el </w:t>
      </w:r>
      <w:r w:rsidRPr="00263868">
        <w:rPr>
          <w:sz w:val="20"/>
          <w:szCs w:val="20"/>
        </w:rPr>
        <w:t>Amparo Directo en Revisión 2479/2012</w:t>
      </w:r>
      <w:r w:rsidR="00D93B26">
        <w:rPr>
          <w:sz w:val="20"/>
          <w:szCs w:val="20"/>
        </w:rPr>
        <w:t>, primera sala, de fecha 24 de octubre de 2012</w:t>
      </w:r>
      <w:r w:rsidR="00010C70">
        <w:rPr>
          <w:sz w:val="20"/>
          <w:szCs w:val="20"/>
        </w:rPr>
        <w:t xml:space="preserve">; </w:t>
      </w:r>
      <w:r w:rsidR="00D93B26" w:rsidRPr="00D93B26">
        <w:rPr>
          <w:sz w:val="20"/>
          <w:szCs w:val="20"/>
        </w:rPr>
        <w:t xml:space="preserve">Sentencia de la Suprema Corte de Justicia de la Nación, recaída en </w:t>
      </w:r>
      <w:r w:rsidR="00D93B26">
        <w:rPr>
          <w:sz w:val="20"/>
          <w:szCs w:val="20"/>
        </w:rPr>
        <w:t xml:space="preserve">el </w:t>
      </w:r>
      <w:r w:rsidRPr="00263868">
        <w:rPr>
          <w:sz w:val="20"/>
          <w:szCs w:val="20"/>
        </w:rPr>
        <w:t>Amparo Directo en Revisión 648/2014</w:t>
      </w:r>
      <w:r w:rsidR="00D93B26">
        <w:rPr>
          <w:sz w:val="20"/>
          <w:szCs w:val="20"/>
        </w:rPr>
        <w:t>, primera sala,  de fecha 3 de junio de 2015</w:t>
      </w:r>
      <w:r w:rsidR="00010C70">
        <w:rPr>
          <w:sz w:val="20"/>
          <w:szCs w:val="20"/>
        </w:rPr>
        <w:t>;</w:t>
      </w:r>
      <w:r w:rsidRPr="00263868">
        <w:rPr>
          <w:sz w:val="20"/>
          <w:szCs w:val="20"/>
        </w:rPr>
        <w:t xml:space="preserve"> </w:t>
      </w:r>
      <w:r w:rsidR="00D93B26" w:rsidRPr="00D93B26">
        <w:rPr>
          <w:sz w:val="20"/>
          <w:szCs w:val="20"/>
        </w:rPr>
        <w:t xml:space="preserve">Sentencia de la Suprema Corte de Justicia de la Nación, recaída en </w:t>
      </w:r>
      <w:r w:rsidR="00D93B26">
        <w:rPr>
          <w:sz w:val="20"/>
          <w:szCs w:val="20"/>
        </w:rPr>
        <w:t xml:space="preserve">el </w:t>
      </w:r>
      <w:r w:rsidR="00010C70">
        <w:rPr>
          <w:sz w:val="20"/>
          <w:szCs w:val="20"/>
        </w:rPr>
        <w:t>A</w:t>
      </w:r>
      <w:r w:rsidRPr="00263868">
        <w:rPr>
          <w:sz w:val="20"/>
          <w:szCs w:val="20"/>
        </w:rPr>
        <w:t>mparo en Revi</w:t>
      </w:r>
      <w:r w:rsidRPr="00263868">
        <w:rPr>
          <w:sz w:val="20"/>
          <w:szCs w:val="20"/>
        </w:rPr>
        <w:softHyphen/>
        <w:t>sión 386/2013</w:t>
      </w:r>
      <w:r w:rsidR="00D93B26">
        <w:rPr>
          <w:sz w:val="20"/>
          <w:szCs w:val="20"/>
        </w:rPr>
        <w:t>, primera sala, de fecha 4 de diciembre de 2013</w:t>
      </w:r>
      <w:r w:rsidR="00010C70">
        <w:rPr>
          <w:sz w:val="20"/>
          <w:szCs w:val="20"/>
        </w:rPr>
        <w:t>;</w:t>
      </w:r>
      <w:r w:rsidRPr="00263868">
        <w:rPr>
          <w:sz w:val="20"/>
          <w:szCs w:val="20"/>
        </w:rPr>
        <w:t xml:space="preserve"> </w:t>
      </w:r>
      <w:r w:rsidR="00D93B26" w:rsidRPr="00D93B26">
        <w:rPr>
          <w:sz w:val="20"/>
          <w:szCs w:val="20"/>
        </w:rPr>
        <w:t>Sentencia de la Suprema Corte de Justicia de la Nación, recaída en</w:t>
      </w:r>
      <w:r w:rsidR="00D93B26">
        <w:rPr>
          <w:sz w:val="20"/>
          <w:szCs w:val="20"/>
        </w:rPr>
        <w:t xml:space="preserve"> el</w:t>
      </w:r>
      <w:r w:rsidR="00010C70">
        <w:rPr>
          <w:sz w:val="20"/>
          <w:szCs w:val="20"/>
        </w:rPr>
        <w:t xml:space="preserve"> </w:t>
      </w:r>
      <w:r w:rsidRPr="00263868">
        <w:rPr>
          <w:sz w:val="20"/>
          <w:szCs w:val="20"/>
        </w:rPr>
        <w:t>Amparo Directo en Revisión 266/2014</w:t>
      </w:r>
      <w:r w:rsidR="003A2CC9">
        <w:rPr>
          <w:sz w:val="20"/>
          <w:szCs w:val="20"/>
        </w:rPr>
        <w:t>, primera salam de fecha 2 de julio de 2014</w:t>
      </w:r>
      <w:r w:rsidR="00010C70">
        <w:rPr>
          <w:sz w:val="20"/>
          <w:szCs w:val="20"/>
        </w:rPr>
        <w:t xml:space="preserve">; </w:t>
      </w:r>
      <w:r w:rsidR="003A2CC9" w:rsidRPr="00D93B26">
        <w:rPr>
          <w:sz w:val="20"/>
          <w:szCs w:val="20"/>
        </w:rPr>
        <w:t>Sentencia de la Suprema Corte de Justicia de la Nación, recaída en</w:t>
      </w:r>
      <w:r w:rsidR="003A2CC9">
        <w:rPr>
          <w:sz w:val="20"/>
          <w:szCs w:val="20"/>
        </w:rPr>
        <w:t xml:space="preserve"> el </w:t>
      </w:r>
      <w:r w:rsidRPr="00263868">
        <w:rPr>
          <w:sz w:val="20"/>
          <w:szCs w:val="20"/>
        </w:rPr>
        <w:t>Amparo Directo en Revisión 1072/2014</w:t>
      </w:r>
      <w:r w:rsidR="003A2CC9">
        <w:rPr>
          <w:sz w:val="20"/>
          <w:szCs w:val="20"/>
        </w:rPr>
        <w:t>, primera sala, de fecha 1 de julio de 2014</w:t>
      </w:r>
      <w:r w:rsidR="00010C70">
        <w:rPr>
          <w:sz w:val="20"/>
          <w:szCs w:val="20"/>
        </w:rPr>
        <w:t>.</w:t>
      </w:r>
    </w:p>
  </w:footnote>
  <w:footnote w:id="23">
    <w:p w14:paraId="554915C9" w14:textId="13FA7FA8" w:rsidR="00620793" w:rsidRPr="00263868" w:rsidRDefault="00620793" w:rsidP="00263868">
      <w:pPr>
        <w:pStyle w:val="Textonotapie"/>
        <w:jc w:val="both"/>
      </w:pPr>
      <w:r w:rsidRPr="00263868">
        <w:rPr>
          <w:rStyle w:val="Refdenotaalpie"/>
        </w:rPr>
        <w:footnoteRef/>
      </w:r>
      <w:r w:rsidRPr="00263868">
        <w:t xml:space="preserve"> </w:t>
      </w:r>
      <w:r w:rsidR="00BE73F8" w:rsidRPr="00BE73F8">
        <w:t>Corte IDH. Caso Atala Riffo y niñas Vs. Chile. Solicitud de Interpretación de la Sentencia de Fondo, Reparaciones y Costas. Sentencia de 21 de noviembre de 2012. Serie C No. 254. </w:t>
      </w:r>
      <w:r w:rsidR="003A2CC9">
        <w:t>Párrs. 199 y 200.</w:t>
      </w:r>
    </w:p>
  </w:footnote>
  <w:footnote w:id="24">
    <w:p w14:paraId="46CFA7C5" w14:textId="21571CB7" w:rsidR="00A235D0" w:rsidRPr="00263868" w:rsidRDefault="00A235D0" w:rsidP="00263868">
      <w:pPr>
        <w:pStyle w:val="NormalWeb"/>
        <w:jc w:val="both"/>
        <w:rPr>
          <w:sz w:val="20"/>
          <w:szCs w:val="20"/>
        </w:rPr>
      </w:pPr>
      <w:r w:rsidRPr="00263868">
        <w:rPr>
          <w:rStyle w:val="Refdenotaalpie"/>
          <w:sz w:val="20"/>
          <w:szCs w:val="20"/>
        </w:rPr>
        <w:footnoteRef/>
      </w:r>
      <w:r w:rsidRPr="00263868">
        <w:rPr>
          <w:sz w:val="20"/>
          <w:szCs w:val="20"/>
        </w:rPr>
        <w:t xml:space="preserve"> </w:t>
      </w:r>
      <w:r w:rsidR="003A2CC9" w:rsidRPr="00D93B26">
        <w:rPr>
          <w:sz w:val="20"/>
          <w:szCs w:val="20"/>
        </w:rPr>
        <w:t xml:space="preserve">Sentencia de la Suprema Corte de Justicia de la Nación, recaída en </w:t>
      </w:r>
      <w:r w:rsidR="003A2CC9">
        <w:rPr>
          <w:sz w:val="20"/>
          <w:szCs w:val="20"/>
        </w:rPr>
        <w:t xml:space="preserve">la </w:t>
      </w:r>
      <w:r w:rsidRPr="00263868">
        <w:rPr>
          <w:sz w:val="20"/>
          <w:szCs w:val="20"/>
        </w:rPr>
        <w:t>Contradicción de Tesis 256/2014</w:t>
      </w:r>
      <w:r w:rsidR="003A2CC9">
        <w:rPr>
          <w:sz w:val="20"/>
          <w:szCs w:val="20"/>
        </w:rPr>
        <w:t xml:space="preserve">, primera sala, de fecha </w:t>
      </w:r>
      <w:r w:rsidR="0084537F">
        <w:rPr>
          <w:sz w:val="20"/>
          <w:szCs w:val="20"/>
        </w:rPr>
        <w:t xml:space="preserve">25 de febrero de 2015. </w:t>
      </w:r>
      <w:r w:rsidRPr="00263868">
        <w:rPr>
          <w:sz w:val="20"/>
          <w:szCs w:val="20"/>
        </w:rPr>
        <w:t xml:space="preserve"> </w:t>
      </w:r>
    </w:p>
  </w:footnote>
  <w:footnote w:id="25">
    <w:p w14:paraId="0AE50E7D" w14:textId="77777777" w:rsidR="00640821" w:rsidRDefault="00640821" w:rsidP="00263868">
      <w:pPr>
        <w:pStyle w:val="Textonotapie"/>
        <w:jc w:val="both"/>
      </w:pPr>
      <w:r w:rsidRPr="00263868">
        <w:rPr>
          <w:rStyle w:val="Refdenotaalpie"/>
        </w:rPr>
        <w:footnoteRef/>
      </w:r>
      <w:r w:rsidRPr="00263868">
        <w:t xml:space="preserve"> Esto se verá más adelante en el apartado de participación en el procedimiento.</w:t>
      </w:r>
      <w:r>
        <w:t xml:space="preserve"> </w:t>
      </w:r>
    </w:p>
  </w:footnote>
  <w:footnote w:id="26">
    <w:p w14:paraId="34C227BC" w14:textId="2C2950E0" w:rsidR="00983273" w:rsidRPr="000F2B54" w:rsidRDefault="00983273" w:rsidP="000F2B54">
      <w:pPr>
        <w:pStyle w:val="Textonotapie"/>
        <w:jc w:val="both"/>
      </w:pPr>
      <w:r w:rsidRPr="000F2B54">
        <w:rPr>
          <w:rStyle w:val="Refdenotaalpie"/>
        </w:rPr>
        <w:footnoteRef/>
      </w:r>
      <w:r w:rsidRPr="000F2B54">
        <w:t xml:space="preserve"> </w:t>
      </w:r>
      <w:r w:rsidR="003A2CC9" w:rsidRPr="003A2CC9">
        <w:t>Sentencia de la Suprema Corte de Justicia de la Nación, recaída en el</w:t>
      </w:r>
      <w:r w:rsidR="003A2CC9" w:rsidRPr="003A2CC9">
        <w:rPr>
          <w:rFonts w:eastAsiaTheme="minorHAnsi"/>
        </w:rPr>
        <w:t xml:space="preserve"> </w:t>
      </w:r>
      <w:r w:rsidRPr="003A2CC9">
        <w:rPr>
          <w:rFonts w:eastAsiaTheme="minorHAnsi"/>
        </w:rPr>
        <w:t>A</w:t>
      </w:r>
      <w:r w:rsidR="00010C70" w:rsidRPr="003A2CC9">
        <w:rPr>
          <w:rFonts w:eastAsiaTheme="minorHAnsi"/>
        </w:rPr>
        <w:t xml:space="preserve">mparo </w:t>
      </w:r>
      <w:r w:rsidRPr="003A2CC9">
        <w:rPr>
          <w:rFonts w:eastAsiaTheme="minorHAnsi"/>
        </w:rPr>
        <w:t>D</w:t>
      </w:r>
      <w:r w:rsidR="00010C70" w:rsidRPr="003A2CC9">
        <w:rPr>
          <w:rFonts w:eastAsiaTheme="minorHAnsi"/>
        </w:rPr>
        <w:t xml:space="preserve">irecto en </w:t>
      </w:r>
      <w:r w:rsidRPr="003A2CC9">
        <w:rPr>
          <w:rFonts w:eastAsiaTheme="minorHAnsi"/>
        </w:rPr>
        <w:t>R</w:t>
      </w:r>
      <w:r w:rsidR="00010C70" w:rsidRPr="003A2CC9">
        <w:rPr>
          <w:rFonts w:eastAsiaTheme="minorHAnsi"/>
        </w:rPr>
        <w:t>evisión</w:t>
      </w:r>
      <w:r w:rsidRPr="003A2CC9">
        <w:rPr>
          <w:rFonts w:eastAsiaTheme="minorHAnsi"/>
        </w:rPr>
        <w:t xml:space="preserve"> 3859/201</w:t>
      </w:r>
      <w:r w:rsidR="00620BDA">
        <w:t>4</w:t>
      </w:r>
      <w:r w:rsidR="0084537F">
        <w:t xml:space="preserve">, primera sala, </w:t>
      </w:r>
      <w:r w:rsidR="00620BDA">
        <w:t>de fecha 23 de septiembre de 2014.</w:t>
      </w:r>
    </w:p>
  </w:footnote>
  <w:footnote w:id="27">
    <w:p w14:paraId="11ACAB33" w14:textId="0B9962FE" w:rsidR="00B32142" w:rsidRPr="00EC090C" w:rsidRDefault="00B32142" w:rsidP="00EC090C">
      <w:pPr>
        <w:pStyle w:val="NormalWeb"/>
        <w:contextualSpacing/>
        <w:rPr>
          <w:sz w:val="20"/>
          <w:szCs w:val="20"/>
        </w:rPr>
      </w:pPr>
      <w:r w:rsidRPr="00EC090C">
        <w:rPr>
          <w:rStyle w:val="Refdenotaalpie"/>
          <w:sz w:val="20"/>
          <w:szCs w:val="20"/>
        </w:rPr>
        <w:footnoteRef/>
      </w:r>
      <w:r w:rsidRPr="00EC090C">
        <w:rPr>
          <w:sz w:val="20"/>
          <w:szCs w:val="20"/>
        </w:rPr>
        <w:t xml:space="preserve"> Directrices sobre la Justicia en Asuntos Concernientes a los Niños Víctimas y Testigos de Delitos (2005), Consejo Económico y Social de las Naciones Unidas, aprobadas el 22 de julio de 2005. arts. 12, 23, 30 d), 31 a). </w:t>
      </w:r>
    </w:p>
  </w:footnote>
  <w:footnote w:id="28">
    <w:p w14:paraId="6FEBF1E0" w14:textId="58858D3C" w:rsidR="00B32142" w:rsidRPr="00B32142" w:rsidRDefault="00B32142" w:rsidP="00EC090C">
      <w:pPr>
        <w:pStyle w:val="NormalWeb"/>
        <w:contextualSpacing/>
      </w:pPr>
      <w:r w:rsidRPr="00EC090C">
        <w:rPr>
          <w:rStyle w:val="Refdenotaalpie"/>
          <w:sz w:val="20"/>
          <w:szCs w:val="20"/>
        </w:rPr>
        <w:footnoteRef/>
      </w:r>
      <w:r w:rsidRPr="00EC090C">
        <w:rPr>
          <w:sz w:val="20"/>
          <w:szCs w:val="20"/>
        </w:rPr>
        <w:t xml:space="preserve"> Corte IDH, Caso V.R.P., V.P.C. y Otros vs. Nicaragua, "Excepciones Preliminares, Fondo, Repara</w:t>
      </w:r>
      <w:r w:rsidRPr="00EC090C">
        <w:rPr>
          <w:sz w:val="20"/>
          <w:szCs w:val="20"/>
        </w:rPr>
        <w:softHyphen/>
        <w:t xml:space="preserve"> ciones y Costas. Sentencia de 8 de marzo de 2018", Serie C, No. 350</w:t>
      </w:r>
      <w:r w:rsidRPr="00620BDA">
        <w:rPr>
          <w:sz w:val="20"/>
          <w:szCs w:val="20"/>
        </w:rPr>
        <w:t xml:space="preserve"> </w:t>
      </w:r>
      <w:r w:rsidR="00620BDA" w:rsidRPr="00620BDA">
        <w:rPr>
          <w:sz w:val="20"/>
          <w:szCs w:val="20"/>
        </w:rPr>
        <w:t>. Pá</w:t>
      </w:r>
      <w:r w:rsidR="00682259">
        <w:rPr>
          <w:sz w:val="20"/>
          <w:szCs w:val="20"/>
        </w:rPr>
        <w:t xml:space="preserve">rr. 382. </w:t>
      </w:r>
    </w:p>
  </w:footnote>
  <w:footnote w:id="29">
    <w:p w14:paraId="75A9821F" w14:textId="5F96D3B8" w:rsidR="00C6036A" w:rsidRPr="00EC090C" w:rsidRDefault="00C6036A">
      <w:pPr>
        <w:pStyle w:val="Textonotapie"/>
      </w:pPr>
      <w:r w:rsidRPr="00EC090C">
        <w:rPr>
          <w:rStyle w:val="Refdenotaalpie"/>
        </w:rPr>
        <w:footnoteRef/>
      </w:r>
      <w:r w:rsidRPr="00EC090C">
        <w:t xml:space="preserve"> El artículo 51 se refiere a la dirección y orientación de padres y madres, mientras que el 12 es sobre el derecho a expresar su opinión. </w:t>
      </w:r>
    </w:p>
  </w:footnote>
  <w:footnote w:id="30">
    <w:p w14:paraId="41920096" w14:textId="1DC8C24B" w:rsidR="00505A68" w:rsidRPr="00EC090C" w:rsidRDefault="00505A68">
      <w:pPr>
        <w:pStyle w:val="Textonotapie"/>
      </w:pPr>
      <w:r w:rsidRPr="00EC090C">
        <w:rPr>
          <w:rStyle w:val="Refdenotaalpie"/>
        </w:rPr>
        <w:footnoteRef/>
      </w:r>
      <w:r w:rsidRPr="00EC090C">
        <w:t xml:space="preserve"> </w:t>
      </w:r>
      <w:r w:rsidR="005A5116" w:rsidRPr="003A2CC9">
        <w:t>Sentencia de la Suprema Corte de Justicia de la Nación, recaída en el</w:t>
      </w:r>
      <w:r w:rsidR="005A5116" w:rsidRPr="00EC090C">
        <w:t xml:space="preserve"> </w:t>
      </w:r>
      <w:r w:rsidRPr="00EC090C">
        <w:t xml:space="preserve">Amparo Directo en Revisión </w:t>
      </w:r>
      <w:r w:rsidR="00017329">
        <w:t>1674</w:t>
      </w:r>
      <w:r w:rsidRPr="00EC090C">
        <w:t>/2</w:t>
      </w:r>
      <w:r w:rsidR="005A5116">
        <w:t>0</w:t>
      </w:r>
      <w:r w:rsidRPr="00EC090C">
        <w:t>14</w:t>
      </w:r>
      <w:r w:rsidR="005A5116">
        <w:t xml:space="preserve">, primera sala, de fecha </w:t>
      </w:r>
      <w:r w:rsidR="00017329">
        <w:t>15 de mayo de 2015</w:t>
      </w:r>
      <w:r w:rsidR="005A5116">
        <w:t xml:space="preserve">. </w:t>
      </w:r>
      <w:r w:rsidR="000454B2">
        <w:t>Pág. 26</w:t>
      </w:r>
    </w:p>
  </w:footnote>
  <w:footnote w:id="31">
    <w:p w14:paraId="5B94D467" w14:textId="1B48F2DB" w:rsidR="00F36467" w:rsidRDefault="00F36467">
      <w:pPr>
        <w:pStyle w:val="Textonotapie"/>
      </w:pPr>
      <w:r w:rsidRPr="00EC090C">
        <w:rPr>
          <w:rStyle w:val="Refdenotaalpie"/>
        </w:rPr>
        <w:footnoteRef/>
      </w:r>
      <w:r w:rsidRPr="00EC090C">
        <w:t xml:space="preserve"> </w:t>
      </w:r>
      <w:r w:rsidR="00FF2B5F">
        <w:rPr>
          <w:i/>
          <w:iCs/>
        </w:rPr>
        <w:t>I</w:t>
      </w:r>
      <w:r w:rsidR="00010C70" w:rsidRPr="005A5116">
        <w:rPr>
          <w:i/>
          <w:iCs/>
        </w:rPr>
        <w:t>dem</w:t>
      </w:r>
    </w:p>
  </w:footnote>
  <w:footnote w:id="32">
    <w:p w14:paraId="57128940" w14:textId="39D200D8" w:rsidR="00623C6C" w:rsidRDefault="00623C6C">
      <w:pPr>
        <w:pStyle w:val="Textonotapie"/>
      </w:pPr>
      <w:r>
        <w:rPr>
          <w:rStyle w:val="Refdenotaalpie"/>
        </w:rPr>
        <w:footnoteRef/>
      </w:r>
      <w:r>
        <w:t xml:space="preserve"> </w:t>
      </w:r>
      <w:r w:rsidR="00FF2B5F" w:rsidRPr="003A2CC9">
        <w:t>Sentencia de la Suprema Corte de Justicia de la Nación, recaída en el</w:t>
      </w:r>
      <w:r w:rsidR="00FF2B5F" w:rsidRPr="00EC090C">
        <w:t xml:space="preserve"> </w:t>
      </w:r>
      <w:r w:rsidR="00FF2B5F">
        <w:t>Amparo en Revisión 800/2017, segunda sala,</w:t>
      </w:r>
      <w:r>
        <w:t xml:space="preserve"> </w:t>
      </w:r>
      <w:r w:rsidR="00FF2B5F">
        <w:t>de fecha 29 de noviembre de 2017. Pág. 63</w:t>
      </w:r>
    </w:p>
  </w:footnote>
  <w:footnote w:id="33">
    <w:p w14:paraId="5A6ABDA4" w14:textId="6B43C543" w:rsidR="00575291" w:rsidRPr="00FF2B5F" w:rsidRDefault="00575291">
      <w:pPr>
        <w:pStyle w:val="Textonotapie"/>
      </w:pPr>
      <w:r>
        <w:rPr>
          <w:rStyle w:val="Refdenotaalpie"/>
        </w:rPr>
        <w:footnoteRef/>
      </w:r>
      <w:r>
        <w:t xml:space="preserve"> </w:t>
      </w:r>
      <w:r w:rsidR="00FF2B5F">
        <w:rPr>
          <w:i/>
          <w:iCs/>
        </w:rPr>
        <w:t xml:space="preserve">Ibidem. </w:t>
      </w:r>
      <w:r w:rsidR="00FF2B5F">
        <w:t>Pág. 89</w:t>
      </w:r>
    </w:p>
  </w:footnote>
  <w:footnote w:id="34">
    <w:p w14:paraId="7C9F5435" w14:textId="55ECC6D5" w:rsidR="00397D2C" w:rsidRPr="00010C70" w:rsidRDefault="00397D2C">
      <w:pPr>
        <w:pStyle w:val="Textonotapie"/>
      </w:pPr>
      <w:r w:rsidRPr="00010C70">
        <w:rPr>
          <w:rStyle w:val="Refdenotaalpie"/>
        </w:rPr>
        <w:footnoteRef/>
      </w:r>
      <w:r w:rsidRPr="00010C70">
        <w:t xml:space="preserve"> </w:t>
      </w:r>
      <w:r w:rsidR="00010C70" w:rsidRPr="00010C70">
        <w:t xml:space="preserve">Véase </w:t>
      </w:r>
      <w:r w:rsidRPr="00010C70">
        <w:t xml:space="preserve">García Méndez, Emilio. </w:t>
      </w:r>
      <w:r w:rsidRPr="00010C70">
        <w:rPr>
          <w:i/>
          <w:iCs/>
        </w:rPr>
        <w:t>Infancia ¿para dónde van sus derechos?</w:t>
      </w:r>
      <w:r w:rsidR="00EC090C" w:rsidRPr="00010C70">
        <w:rPr>
          <w:i/>
          <w:iCs/>
        </w:rPr>
        <w:t xml:space="preserve"> </w:t>
      </w:r>
      <w:r w:rsidR="00010C70" w:rsidRPr="00010C70">
        <w:t xml:space="preserve">Argentina, </w:t>
      </w:r>
      <w:r w:rsidR="00EC090C" w:rsidRPr="00010C70">
        <w:t xml:space="preserve">Ediciones Didot. </w:t>
      </w:r>
      <w:r w:rsidR="00010C70" w:rsidRPr="00010C70">
        <w:t>2017</w:t>
      </w:r>
    </w:p>
  </w:footnote>
  <w:footnote w:id="35">
    <w:p w14:paraId="61500B78" w14:textId="77777777" w:rsidR="008603DF" w:rsidRDefault="008603DF" w:rsidP="008603DF">
      <w:pPr>
        <w:pStyle w:val="Textonotapie"/>
      </w:pPr>
      <w:r w:rsidRPr="00010C70">
        <w:rPr>
          <w:rStyle w:val="Refdenotaalpie"/>
        </w:rPr>
        <w:footnoteRef/>
      </w:r>
      <w:r w:rsidRPr="00010C70">
        <w:t xml:space="preserve"> Artículo 9 de la Convención sobre los Derechos del Niño.</w:t>
      </w:r>
    </w:p>
  </w:footnote>
  <w:footnote w:id="36">
    <w:p w14:paraId="40981EA2" w14:textId="42A4C4CF" w:rsidR="00860EDA" w:rsidRDefault="00860EDA">
      <w:pPr>
        <w:pStyle w:val="Textonotapie"/>
      </w:pPr>
      <w:r>
        <w:rPr>
          <w:rStyle w:val="Refdenotaalpie"/>
        </w:rPr>
        <w:footnoteRef/>
      </w:r>
      <w:r>
        <w:t xml:space="preserve"> </w:t>
      </w:r>
      <w:r w:rsidR="0016257A" w:rsidRPr="0016257A">
        <w:t>Sentencia de la Suprema Corte de Justicia de la Nación, recaída en el Amparo en Revisión 518/2013, primera sala, de fecha 23 de abril de 2014 y Sentencia de la Suprema Corte de Justicia de la Nación, recaída en el Amparo Directo en Revisión 348/2012, primera sala, de fecha 5 de diciembre de 2012.</w:t>
      </w:r>
      <w:r w:rsidR="0016257A">
        <w:t xml:space="preserve"> </w:t>
      </w:r>
    </w:p>
  </w:footnote>
  <w:footnote w:id="37">
    <w:p w14:paraId="089EC47B" w14:textId="737F1A6A" w:rsidR="00EA7943" w:rsidRPr="00010C70" w:rsidRDefault="00EA7943">
      <w:pPr>
        <w:pStyle w:val="Textonotapie"/>
      </w:pPr>
      <w:r w:rsidRPr="00010C70">
        <w:rPr>
          <w:rStyle w:val="Refdenotaalpie"/>
        </w:rPr>
        <w:footnoteRef/>
      </w:r>
      <w:r w:rsidR="00010C70">
        <w:t xml:space="preserve"> </w:t>
      </w:r>
      <w:r w:rsidR="0016257A" w:rsidRPr="003A2CC9">
        <w:t>Sentencia de la Suprema Corte de Justicia de la Nación, recaída en el</w:t>
      </w:r>
      <w:r w:rsidR="0016257A" w:rsidRPr="00EC090C">
        <w:t xml:space="preserve"> </w:t>
      </w:r>
      <w:r w:rsidRPr="00010C70">
        <w:t>Amparo Directo en Revisión 3797/2014</w:t>
      </w:r>
      <w:r w:rsidR="00533F99">
        <w:t>, primera sala, de fecha 14 de octubre de 2015</w:t>
      </w:r>
      <w:r w:rsidRPr="00010C70">
        <w:t>.</w:t>
      </w:r>
    </w:p>
  </w:footnote>
  <w:footnote w:id="38">
    <w:p w14:paraId="5F2F09BB" w14:textId="21A23D87" w:rsidR="00727E53" w:rsidRPr="00010C70" w:rsidRDefault="00727E53">
      <w:pPr>
        <w:pStyle w:val="Textonotapie"/>
      </w:pPr>
      <w:r w:rsidRPr="00010C70">
        <w:rPr>
          <w:rStyle w:val="Refdenotaalpie"/>
        </w:rPr>
        <w:footnoteRef/>
      </w:r>
      <w:r w:rsidRPr="00010C70">
        <w:t xml:space="preserve"> </w:t>
      </w:r>
      <w:r w:rsidR="0016257A" w:rsidRPr="003A2CC9">
        <w:t>Sentencia de la Suprema Corte de Justicia de la Nación, recaída en el</w:t>
      </w:r>
      <w:r w:rsidR="0016257A" w:rsidRPr="00EC090C">
        <w:t xml:space="preserve"> </w:t>
      </w:r>
      <w:r w:rsidRPr="00010C70">
        <w:t>Amparo Directo 32/2016</w:t>
      </w:r>
      <w:r w:rsidR="00F33BBA">
        <w:t>, primera sala, de fecha 3 de ma</w:t>
      </w:r>
      <w:r w:rsidR="00017329">
        <w:t>y</w:t>
      </w:r>
      <w:r w:rsidR="00F33BBA">
        <w:t>o de 2017</w:t>
      </w:r>
      <w:r w:rsidR="00723401">
        <w:t>.</w:t>
      </w:r>
      <w:r w:rsidR="00017329">
        <w:t xml:space="preserve"> Pág. 79</w:t>
      </w:r>
    </w:p>
  </w:footnote>
  <w:footnote w:id="39">
    <w:p w14:paraId="09323271" w14:textId="4C62FE8A" w:rsidR="001D7182" w:rsidRDefault="001D7182">
      <w:pPr>
        <w:pStyle w:val="Textonotapie"/>
      </w:pPr>
      <w:r>
        <w:rPr>
          <w:rStyle w:val="Refdenotaalpie"/>
        </w:rPr>
        <w:footnoteRef/>
      </w:r>
      <w:r>
        <w:t xml:space="preserve"> </w:t>
      </w:r>
      <w:r w:rsidR="00723401" w:rsidRPr="003A2CC9">
        <w:t>Sentencia de la Suprema Corte de Justicia de la Nación, recaída en</w:t>
      </w:r>
      <w:r w:rsidR="00723401">
        <w:t xml:space="preserve"> el Amparo Directo en Revisión 4481</w:t>
      </w:r>
      <w:r w:rsidR="00970C87">
        <w:t>/2016, primera sala, de fecha 17 de mayo de 2017. Págs 27 a 34.</w:t>
      </w:r>
    </w:p>
  </w:footnote>
  <w:footnote w:id="40">
    <w:p w14:paraId="11CEE1F1" w14:textId="167BD855" w:rsidR="00FE65A2" w:rsidRDefault="00FE65A2">
      <w:pPr>
        <w:pStyle w:val="Textonotapie"/>
      </w:pPr>
      <w:r>
        <w:rPr>
          <w:rStyle w:val="Refdenotaalpie"/>
        </w:rPr>
        <w:footnoteRef/>
      </w:r>
      <w:r>
        <w:t xml:space="preserve"> </w:t>
      </w:r>
      <w:r w:rsidR="00970C87" w:rsidRPr="003A2CC9">
        <w:t>Sentencia de la Suprema Corte de Justicia de la Nación, recaída en</w:t>
      </w:r>
      <w:r w:rsidR="00970C87">
        <w:t xml:space="preserve"> el </w:t>
      </w:r>
      <w:r w:rsidR="00970C87" w:rsidRPr="00970C87">
        <w:t>Amparo Directo en Revisión 139/2017</w:t>
      </w:r>
      <w:r w:rsidR="00970C87">
        <w:t>, primera sala, de fecha 25 de octubre de 2017.</w:t>
      </w:r>
    </w:p>
  </w:footnote>
  <w:footnote w:id="41">
    <w:p w14:paraId="1BA7A0D4" w14:textId="3129FD6F" w:rsidR="00FE65A2" w:rsidRDefault="00FE65A2">
      <w:pPr>
        <w:pStyle w:val="Textonotapie"/>
      </w:pPr>
      <w:r>
        <w:rPr>
          <w:rStyle w:val="Refdenotaalpie"/>
        </w:rPr>
        <w:footnoteRef/>
      </w:r>
      <w:r>
        <w:t xml:space="preserve"> </w:t>
      </w:r>
      <w:r w:rsidR="00970C87" w:rsidRPr="003A2CC9">
        <w:t>Sentencia de la Suprema Corte de Justicia de la Nación, recaída en</w:t>
      </w:r>
      <w:r w:rsidR="00970C87">
        <w:t xml:space="preserve"> el</w:t>
      </w:r>
      <w:r w:rsidR="00970C87">
        <w:rPr>
          <w:sz w:val="24"/>
          <w:szCs w:val="24"/>
        </w:rPr>
        <w:t xml:space="preserve"> </w:t>
      </w:r>
      <w:r w:rsidR="00970C87" w:rsidRPr="00970C87">
        <w:t>Recurso de Reclamación 679/201</w:t>
      </w:r>
      <w:r w:rsidR="00772CE1">
        <w:t xml:space="preserve">, primera sala, de fecha 4 de diciembre de 2019.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A6F5A"/>
    <w:multiLevelType w:val="hybridMultilevel"/>
    <w:tmpl w:val="22604414"/>
    <w:lvl w:ilvl="0" w:tplc="1E30A33E">
      <w:start w:val="1"/>
      <w:numFmt w:val="decimal"/>
      <w:lvlText w:val="%1."/>
      <w:lvlJc w:val="left"/>
      <w:pPr>
        <w:ind w:left="720" w:hanging="360"/>
      </w:pPr>
    </w:lvl>
    <w:lvl w:ilvl="1" w:tplc="0C7083EE">
      <w:start w:val="1"/>
      <w:numFmt w:val="lowerLetter"/>
      <w:lvlText w:val="%2."/>
      <w:lvlJc w:val="left"/>
      <w:pPr>
        <w:ind w:left="1440" w:hanging="360"/>
      </w:pPr>
    </w:lvl>
    <w:lvl w:ilvl="2" w:tplc="BD2613CA">
      <w:start w:val="1"/>
      <w:numFmt w:val="lowerRoman"/>
      <w:lvlText w:val="%3."/>
      <w:lvlJc w:val="right"/>
      <w:pPr>
        <w:ind w:left="2160" w:hanging="180"/>
      </w:pPr>
    </w:lvl>
    <w:lvl w:ilvl="3" w:tplc="90C20988">
      <w:start w:val="1"/>
      <w:numFmt w:val="decimal"/>
      <w:lvlText w:val="%4."/>
      <w:lvlJc w:val="left"/>
      <w:pPr>
        <w:ind w:left="2880" w:hanging="360"/>
      </w:pPr>
    </w:lvl>
    <w:lvl w:ilvl="4" w:tplc="E63884D0">
      <w:start w:val="1"/>
      <w:numFmt w:val="lowerLetter"/>
      <w:lvlText w:val="%5."/>
      <w:lvlJc w:val="left"/>
      <w:pPr>
        <w:ind w:left="3600" w:hanging="360"/>
      </w:pPr>
    </w:lvl>
    <w:lvl w:ilvl="5" w:tplc="A2344A20">
      <w:start w:val="1"/>
      <w:numFmt w:val="lowerRoman"/>
      <w:lvlText w:val="%6."/>
      <w:lvlJc w:val="right"/>
      <w:pPr>
        <w:ind w:left="4320" w:hanging="180"/>
      </w:pPr>
    </w:lvl>
    <w:lvl w:ilvl="6" w:tplc="3342D41E">
      <w:start w:val="1"/>
      <w:numFmt w:val="decimal"/>
      <w:lvlText w:val="%7."/>
      <w:lvlJc w:val="left"/>
      <w:pPr>
        <w:ind w:left="5040" w:hanging="360"/>
      </w:pPr>
    </w:lvl>
    <w:lvl w:ilvl="7" w:tplc="0C08FA22">
      <w:start w:val="1"/>
      <w:numFmt w:val="lowerLetter"/>
      <w:lvlText w:val="%8."/>
      <w:lvlJc w:val="left"/>
      <w:pPr>
        <w:ind w:left="5760" w:hanging="360"/>
      </w:pPr>
    </w:lvl>
    <w:lvl w:ilvl="8" w:tplc="968E3A0C">
      <w:start w:val="1"/>
      <w:numFmt w:val="lowerRoman"/>
      <w:lvlText w:val="%9."/>
      <w:lvlJc w:val="right"/>
      <w:pPr>
        <w:ind w:left="6480" w:hanging="180"/>
      </w:pPr>
    </w:lvl>
  </w:abstractNum>
  <w:abstractNum w:abstractNumId="1" w15:restartNumberingAfterBreak="0">
    <w:nsid w:val="03CF4E5D"/>
    <w:multiLevelType w:val="hybridMultilevel"/>
    <w:tmpl w:val="09902E96"/>
    <w:lvl w:ilvl="0" w:tplc="040A0001">
      <w:start w:val="1"/>
      <w:numFmt w:val="bullet"/>
      <w:lvlText w:val=""/>
      <w:lvlJc w:val="left"/>
      <w:pPr>
        <w:ind w:left="1776" w:hanging="360"/>
      </w:pPr>
      <w:rPr>
        <w:rFonts w:ascii="Symbol" w:hAnsi="Symbol" w:hint="default"/>
      </w:rPr>
    </w:lvl>
    <w:lvl w:ilvl="1" w:tplc="FFFFFFFF" w:tentative="1">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2" w15:restartNumberingAfterBreak="0">
    <w:nsid w:val="03EC2984"/>
    <w:multiLevelType w:val="hybridMultilevel"/>
    <w:tmpl w:val="65783E98"/>
    <w:lvl w:ilvl="0" w:tplc="040A0019">
      <w:start w:val="1"/>
      <w:numFmt w:val="lowerLetter"/>
      <w:lvlText w:val="%1."/>
      <w:lvlJc w:val="left"/>
      <w:pPr>
        <w:ind w:left="1776" w:hanging="360"/>
      </w:pPr>
      <w:rPr>
        <w:rFonts w:hint="default"/>
      </w:rPr>
    </w:lvl>
    <w:lvl w:ilvl="1" w:tplc="040A0019" w:tentative="1">
      <w:start w:val="1"/>
      <w:numFmt w:val="lowerLetter"/>
      <w:lvlText w:val="%2."/>
      <w:lvlJc w:val="left"/>
      <w:pPr>
        <w:ind w:left="2496" w:hanging="360"/>
      </w:pPr>
    </w:lvl>
    <w:lvl w:ilvl="2" w:tplc="040A001B" w:tentative="1">
      <w:start w:val="1"/>
      <w:numFmt w:val="lowerRoman"/>
      <w:lvlText w:val="%3."/>
      <w:lvlJc w:val="right"/>
      <w:pPr>
        <w:ind w:left="3216" w:hanging="180"/>
      </w:pPr>
    </w:lvl>
    <w:lvl w:ilvl="3" w:tplc="040A000F" w:tentative="1">
      <w:start w:val="1"/>
      <w:numFmt w:val="decimal"/>
      <w:lvlText w:val="%4."/>
      <w:lvlJc w:val="left"/>
      <w:pPr>
        <w:ind w:left="3936" w:hanging="360"/>
      </w:pPr>
    </w:lvl>
    <w:lvl w:ilvl="4" w:tplc="040A0019" w:tentative="1">
      <w:start w:val="1"/>
      <w:numFmt w:val="lowerLetter"/>
      <w:lvlText w:val="%5."/>
      <w:lvlJc w:val="left"/>
      <w:pPr>
        <w:ind w:left="4656" w:hanging="360"/>
      </w:pPr>
    </w:lvl>
    <w:lvl w:ilvl="5" w:tplc="040A001B" w:tentative="1">
      <w:start w:val="1"/>
      <w:numFmt w:val="lowerRoman"/>
      <w:lvlText w:val="%6."/>
      <w:lvlJc w:val="right"/>
      <w:pPr>
        <w:ind w:left="5376" w:hanging="180"/>
      </w:pPr>
    </w:lvl>
    <w:lvl w:ilvl="6" w:tplc="040A000F" w:tentative="1">
      <w:start w:val="1"/>
      <w:numFmt w:val="decimal"/>
      <w:lvlText w:val="%7."/>
      <w:lvlJc w:val="left"/>
      <w:pPr>
        <w:ind w:left="6096" w:hanging="360"/>
      </w:pPr>
    </w:lvl>
    <w:lvl w:ilvl="7" w:tplc="040A0019" w:tentative="1">
      <w:start w:val="1"/>
      <w:numFmt w:val="lowerLetter"/>
      <w:lvlText w:val="%8."/>
      <w:lvlJc w:val="left"/>
      <w:pPr>
        <w:ind w:left="6816" w:hanging="360"/>
      </w:pPr>
    </w:lvl>
    <w:lvl w:ilvl="8" w:tplc="040A001B" w:tentative="1">
      <w:start w:val="1"/>
      <w:numFmt w:val="lowerRoman"/>
      <w:lvlText w:val="%9."/>
      <w:lvlJc w:val="right"/>
      <w:pPr>
        <w:ind w:left="7536" w:hanging="180"/>
      </w:pPr>
    </w:lvl>
  </w:abstractNum>
  <w:abstractNum w:abstractNumId="3" w15:restartNumberingAfterBreak="0">
    <w:nsid w:val="04A908EF"/>
    <w:multiLevelType w:val="hybridMultilevel"/>
    <w:tmpl w:val="BC8CCC98"/>
    <w:lvl w:ilvl="0" w:tplc="8A3C9936">
      <w:start w:val="1"/>
      <w:numFmt w:val="bullet"/>
      <w:lvlText w:val="-"/>
      <w:lvlJc w:val="left"/>
      <w:pPr>
        <w:ind w:left="720" w:hanging="360"/>
      </w:pPr>
      <w:rPr>
        <w:rFonts w:ascii="Times" w:hAnsi="Times" w:hint="default"/>
      </w:rPr>
    </w:lvl>
    <w:lvl w:ilvl="1" w:tplc="458C8252">
      <w:start w:val="1"/>
      <w:numFmt w:val="bullet"/>
      <w:lvlText w:val="o"/>
      <w:lvlJc w:val="left"/>
      <w:pPr>
        <w:ind w:left="1440" w:hanging="360"/>
      </w:pPr>
      <w:rPr>
        <w:rFonts w:ascii="Courier New" w:hAnsi="Courier New" w:hint="default"/>
      </w:rPr>
    </w:lvl>
    <w:lvl w:ilvl="2" w:tplc="0C4E5FEE">
      <w:start w:val="1"/>
      <w:numFmt w:val="bullet"/>
      <w:lvlText w:val=""/>
      <w:lvlJc w:val="left"/>
      <w:pPr>
        <w:ind w:left="2160" w:hanging="360"/>
      </w:pPr>
      <w:rPr>
        <w:rFonts w:ascii="Wingdings" w:hAnsi="Wingdings" w:hint="default"/>
      </w:rPr>
    </w:lvl>
    <w:lvl w:ilvl="3" w:tplc="AA809A6A">
      <w:start w:val="1"/>
      <w:numFmt w:val="bullet"/>
      <w:lvlText w:val=""/>
      <w:lvlJc w:val="left"/>
      <w:pPr>
        <w:ind w:left="2880" w:hanging="360"/>
      </w:pPr>
      <w:rPr>
        <w:rFonts w:ascii="Symbol" w:hAnsi="Symbol" w:hint="default"/>
      </w:rPr>
    </w:lvl>
    <w:lvl w:ilvl="4" w:tplc="6834272E">
      <w:start w:val="1"/>
      <w:numFmt w:val="bullet"/>
      <w:lvlText w:val="o"/>
      <w:lvlJc w:val="left"/>
      <w:pPr>
        <w:ind w:left="3600" w:hanging="360"/>
      </w:pPr>
      <w:rPr>
        <w:rFonts w:ascii="Courier New" w:hAnsi="Courier New" w:hint="default"/>
      </w:rPr>
    </w:lvl>
    <w:lvl w:ilvl="5" w:tplc="97E8121C">
      <w:start w:val="1"/>
      <w:numFmt w:val="bullet"/>
      <w:lvlText w:val=""/>
      <w:lvlJc w:val="left"/>
      <w:pPr>
        <w:ind w:left="4320" w:hanging="360"/>
      </w:pPr>
      <w:rPr>
        <w:rFonts w:ascii="Wingdings" w:hAnsi="Wingdings" w:hint="default"/>
      </w:rPr>
    </w:lvl>
    <w:lvl w:ilvl="6" w:tplc="04882B62">
      <w:start w:val="1"/>
      <w:numFmt w:val="bullet"/>
      <w:lvlText w:val=""/>
      <w:lvlJc w:val="left"/>
      <w:pPr>
        <w:ind w:left="5040" w:hanging="360"/>
      </w:pPr>
      <w:rPr>
        <w:rFonts w:ascii="Symbol" w:hAnsi="Symbol" w:hint="default"/>
      </w:rPr>
    </w:lvl>
    <w:lvl w:ilvl="7" w:tplc="BDD40EE6">
      <w:start w:val="1"/>
      <w:numFmt w:val="bullet"/>
      <w:lvlText w:val="o"/>
      <w:lvlJc w:val="left"/>
      <w:pPr>
        <w:ind w:left="5760" w:hanging="360"/>
      </w:pPr>
      <w:rPr>
        <w:rFonts w:ascii="Courier New" w:hAnsi="Courier New" w:hint="default"/>
      </w:rPr>
    </w:lvl>
    <w:lvl w:ilvl="8" w:tplc="C93ED8B6">
      <w:start w:val="1"/>
      <w:numFmt w:val="bullet"/>
      <w:lvlText w:val=""/>
      <w:lvlJc w:val="left"/>
      <w:pPr>
        <w:ind w:left="6480" w:hanging="360"/>
      </w:pPr>
      <w:rPr>
        <w:rFonts w:ascii="Wingdings" w:hAnsi="Wingdings" w:hint="default"/>
      </w:rPr>
    </w:lvl>
  </w:abstractNum>
  <w:abstractNum w:abstractNumId="4" w15:restartNumberingAfterBreak="0">
    <w:nsid w:val="12242CB0"/>
    <w:multiLevelType w:val="hybridMultilevel"/>
    <w:tmpl w:val="0E3ED4A4"/>
    <w:lvl w:ilvl="0" w:tplc="040A0019">
      <w:start w:val="1"/>
      <w:numFmt w:val="lowerLetter"/>
      <w:lvlText w:val="%1."/>
      <w:lvlJc w:val="left"/>
      <w:pPr>
        <w:ind w:left="720" w:hanging="360"/>
      </w:pPr>
      <w:rPr>
        <w:rFonts w:hint="default"/>
      </w:r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1F802050"/>
    <w:multiLevelType w:val="hybridMultilevel"/>
    <w:tmpl w:val="95DEEBB0"/>
    <w:lvl w:ilvl="0" w:tplc="040A0019">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6" w15:restartNumberingAfterBreak="0">
    <w:nsid w:val="1FA364C9"/>
    <w:multiLevelType w:val="hybridMultilevel"/>
    <w:tmpl w:val="5324FE9E"/>
    <w:lvl w:ilvl="0" w:tplc="040A0015">
      <w:start w:val="1"/>
      <w:numFmt w:val="upp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7" w15:restartNumberingAfterBreak="0">
    <w:nsid w:val="1FE84127"/>
    <w:multiLevelType w:val="hybridMultilevel"/>
    <w:tmpl w:val="7756A546"/>
    <w:lvl w:ilvl="0" w:tplc="B03ECC2C">
      <w:start w:val="1"/>
      <w:numFmt w:val="lowerLetter"/>
      <w:lvlText w:val="%1."/>
      <w:lvlJc w:val="left"/>
      <w:pPr>
        <w:ind w:left="144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8" w15:restartNumberingAfterBreak="0">
    <w:nsid w:val="205E6EA8"/>
    <w:multiLevelType w:val="hybridMultilevel"/>
    <w:tmpl w:val="ED3E1242"/>
    <w:lvl w:ilvl="0" w:tplc="60B22A24">
      <w:start w:val="1"/>
      <w:numFmt w:val="bullet"/>
      <w:lvlText w:val="-"/>
      <w:lvlJc w:val="left"/>
      <w:pPr>
        <w:ind w:left="2484" w:hanging="360"/>
      </w:pPr>
      <w:rPr>
        <w:rFonts w:ascii="Times" w:hAnsi="Times" w:hint="default"/>
      </w:rPr>
    </w:lvl>
    <w:lvl w:ilvl="1" w:tplc="040A0003" w:tentative="1">
      <w:start w:val="1"/>
      <w:numFmt w:val="bullet"/>
      <w:lvlText w:val="o"/>
      <w:lvlJc w:val="left"/>
      <w:pPr>
        <w:ind w:left="3204" w:hanging="360"/>
      </w:pPr>
      <w:rPr>
        <w:rFonts w:ascii="Courier New" w:hAnsi="Courier New" w:cs="Courier New" w:hint="default"/>
      </w:rPr>
    </w:lvl>
    <w:lvl w:ilvl="2" w:tplc="040A0005" w:tentative="1">
      <w:start w:val="1"/>
      <w:numFmt w:val="bullet"/>
      <w:lvlText w:val=""/>
      <w:lvlJc w:val="left"/>
      <w:pPr>
        <w:ind w:left="3924" w:hanging="360"/>
      </w:pPr>
      <w:rPr>
        <w:rFonts w:ascii="Wingdings" w:hAnsi="Wingdings" w:hint="default"/>
      </w:rPr>
    </w:lvl>
    <w:lvl w:ilvl="3" w:tplc="040A0001" w:tentative="1">
      <w:start w:val="1"/>
      <w:numFmt w:val="bullet"/>
      <w:lvlText w:val=""/>
      <w:lvlJc w:val="left"/>
      <w:pPr>
        <w:ind w:left="4644" w:hanging="360"/>
      </w:pPr>
      <w:rPr>
        <w:rFonts w:ascii="Symbol" w:hAnsi="Symbol" w:hint="default"/>
      </w:rPr>
    </w:lvl>
    <w:lvl w:ilvl="4" w:tplc="040A0003" w:tentative="1">
      <w:start w:val="1"/>
      <w:numFmt w:val="bullet"/>
      <w:lvlText w:val="o"/>
      <w:lvlJc w:val="left"/>
      <w:pPr>
        <w:ind w:left="5364" w:hanging="360"/>
      </w:pPr>
      <w:rPr>
        <w:rFonts w:ascii="Courier New" w:hAnsi="Courier New" w:cs="Courier New" w:hint="default"/>
      </w:rPr>
    </w:lvl>
    <w:lvl w:ilvl="5" w:tplc="040A0005" w:tentative="1">
      <w:start w:val="1"/>
      <w:numFmt w:val="bullet"/>
      <w:lvlText w:val=""/>
      <w:lvlJc w:val="left"/>
      <w:pPr>
        <w:ind w:left="6084" w:hanging="360"/>
      </w:pPr>
      <w:rPr>
        <w:rFonts w:ascii="Wingdings" w:hAnsi="Wingdings" w:hint="default"/>
      </w:rPr>
    </w:lvl>
    <w:lvl w:ilvl="6" w:tplc="040A0001" w:tentative="1">
      <w:start w:val="1"/>
      <w:numFmt w:val="bullet"/>
      <w:lvlText w:val=""/>
      <w:lvlJc w:val="left"/>
      <w:pPr>
        <w:ind w:left="6804" w:hanging="360"/>
      </w:pPr>
      <w:rPr>
        <w:rFonts w:ascii="Symbol" w:hAnsi="Symbol" w:hint="default"/>
      </w:rPr>
    </w:lvl>
    <w:lvl w:ilvl="7" w:tplc="040A0003" w:tentative="1">
      <w:start w:val="1"/>
      <w:numFmt w:val="bullet"/>
      <w:lvlText w:val="o"/>
      <w:lvlJc w:val="left"/>
      <w:pPr>
        <w:ind w:left="7524" w:hanging="360"/>
      </w:pPr>
      <w:rPr>
        <w:rFonts w:ascii="Courier New" w:hAnsi="Courier New" w:cs="Courier New" w:hint="default"/>
      </w:rPr>
    </w:lvl>
    <w:lvl w:ilvl="8" w:tplc="040A0005" w:tentative="1">
      <w:start w:val="1"/>
      <w:numFmt w:val="bullet"/>
      <w:lvlText w:val=""/>
      <w:lvlJc w:val="left"/>
      <w:pPr>
        <w:ind w:left="8244" w:hanging="360"/>
      </w:pPr>
      <w:rPr>
        <w:rFonts w:ascii="Wingdings" w:hAnsi="Wingdings" w:hint="default"/>
      </w:rPr>
    </w:lvl>
  </w:abstractNum>
  <w:abstractNum w:abstractNumId="9" w15:restartNumberingAfterBreak="0">
    <w:nsid w:val="21E32EFB"/>
    <w:multiLevelType w:val="hybridMultilevel"/>
    <w:tmpl w:val="44721E5E"/>
    <w:lvl w:ilvl="0" w:tplc="6D20CE56">
      <w:start w:val="1"/>
      <w:numFmt w:val="decimal"/>
      <w:lvlText w:val="%1."/>
      <w:lvlJc w:val="left"/>
      <w:pPr>
        <w:ind w:left="644" w:hanging="360"/>
      </w:pPr>
      <w:rPr>
        <w:rFonts w:ascii="Arial" w:hAnsi="Arial" w:cs="Arial" w:hint="default"/>
        <w:b w:val="0"/>
        <w:i w:val="0"/>
        <w:sz w:val="28"/>
        <w:szCs w:val="28"/>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10" w15:restartNumberingAfterBreak="0">
    <w:nsid w:val="235B0FB4"/>
    <w:multiLevelType w:val="hybridMultilevel"/>
    <w:tmpl w:val="ABA2D524"/>
    <w:lvl w:ilvl="0" w:tplc="63A8A6CC">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6273873"/>
    <w:multiLevelType w:val="hybridMultilevel"/>
    <w:tmpl w:val="C2EA445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7451D17"/>
    <w:multiLevelType w:val="hybridMultilevel"/>
    <w:tmpl w:val="8DC2E4B0"/>
    <w:lvl w:ilvl="0" w:tplc="CBA6380C">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15:restartNumberingAfterBreak="0">
    <w:nsid w:val="385018E7"/>
    <w:multiLevelType w:val="hybridMultilevel"/>
    <w:tmpl w:val="36361200"/>
    <w:lvl w:ilvl="0" w:tplc="CEB0CE6E">
      <w:start w:val="1"/>
      <w:numFmt w:val="decimal"/>
      <w:lvlText w:val="%1."/>
      <w:lvlJc w:val="left"/>
      <w:pPr>
        <w:ind w:left="720" w:hanging="360"/>
      </w:pPr>
    </w:lvl>
    <w:lvl w:ilvl="1" w:tplc="F88A4AAE">
      <w:start w:val="1"/>
      <w:numFmt w:val="lowerLetter"/>
      <w:lvlText w:val="%2."/>
      <w:lvlJc w:val="left"/>
      <w:pPr>
        <w:ind w:left="1440" w:hanging="360"/>
      </w:pPr>
    </w:lvl>
    <w:lvl w:ilvl="2" w:tplc="73B20144">
      <w:start w:val="1"/>
      <w:numFmt w:val="lowerRoman"/>
      <w:lvlText w:val="%3."/>
      <w:lvlJc w:val="right"/>
      <w:pPr>
        <w:ind w:left="2160" w:hanging="180"/>
      </w:pPr>
    </w:lvl>
    <w:lvl w:ilvl="3" w:tplc="DAA6C156">
      <w:start w:val="1"/>
      <w:numFmt w:val="decimal"/>
      <w:lvlText w:val="%4."/>
      <w:lvlJc w:val="left"/>
      <w:pPr>
        <w:ind w:left="2880" w:hanging="360"/>
      </w:pPr>
    </w:lvl>
    <w:lvl w:ilvl="4" w:tplc="762E3F08">
      <w:start w:val="1"/>
      <w:numFmt w:val="lowerLetter"/>
      <w:lvlText w:val="%5."/>
      <w:lvlJc w:val="left"/>
      <w:pPr>
        <w:ind w:left="3600" w:hanging="360"/>
      </w:pPr>
    </w:lvl>
    <w:lvl w:ilvl="5" w:tplc="A62EC5E6">
      <w:start w:val="1"/>
      <w:numFmt w:val="lowerRoman"/>
      <w:lvlText w:val="%6."/>
      <w:lvlJc w:val="right"/>
      <w:pPr>
        <w:ind w:left="4320" w:hanging="180"/>
      </w:pPr>
    </w:lvl>
    <w:lvl w:ilvl="6" w:tplc="91921B7A">
      <w:start w:val="1"/>
      <w:numFmt w:val="decimal"/>
      <w:lvlText w:val="%7."/>
      <w:lvlJc w:val="left"/>
      <w:pPr>
        <w:ind w:left="5040" w:hanging="360"/>
      </w:pPr>
    </w:lvl>
    <w:lvl w:ilvl="7" w:tplc="6CDCD3CE">
      <w:start w:val="1"/>
      <w:numFmt w:val="lowerLetter"/>
      <w:lvlText w:val="%8."/>
      <w:lvlJc w:val="left"/>
      <w:pPr>
        <w:ind w:left="5760" w:hanging="360"/>
      </w:pPr>
    </w:lvl>
    <w:lvl w:ilvl="8" w:tplc="21D2CF64">
      <w:start w:val="1"/>
      <w:numFmt w:val="lowerRoman"/>
      <w:lvlText w:val="%9."/>
      <w:lvlJc w:val="right"/>
      <w:pPr>
        <w:ind w:left="6480" w:hanging="180"/>
      </w:pPr>
    </w:lvl>
  </w:abstractNum>
  <w:abstractNum w:abstractNumId="14" w15:restartNumberingAfterBreak="0">
    <w:nsid w:val="3E771603"/>
    <w:multiLevelType w:val="hybridMultilevel"/>
    <w:tmpl w:val="5AE207C4"/>
    <w:lvl w:ilvl="0" w:tplc="526430DC">
      <w:start w:val="1"/>
      <w:numFmt w:val="bullet"/>
      <w:lvlText w:val="-"/>
      <w:lvlJc w:val="left"/>
      <w:pPr>
        <w:ind w:left="720" w:hanging="360"/>
      </w:pPr>
      <w:rPr>
        <w:rFonts w:ascii="Times" w:hAnsi="Times" w:hint="default"/>
      </w:rPr>
    </w:lvl>
    <w:lvl w:ilvl="1" w:tplc="C0BA3002">
      <w:start w:val="1"/>
      <w:numFmt w:val="bullet"/>
      <w:lvlText w:val="o"/>
      <w:lvlJc w:val="left"/>
      <w:pPr>
        <w:ind w:left="1440" w:hanging="360"/>
      </w:pPr>
      <w:rPr>
        <w:rFonts w:ascii="Courier New" w:hAnsi="Courier New" w:hint="default"/>
      </w:rPr>
    </w:lvl>
    <w:lvl w:ilvl="2" w:tplc="32D8F740">
      <w:start w:val="1"/>
      <w:numFmt w:val="bullet"/>
      <w:lvlText w:val=""/>
      <w:lvlJc w:val="left"/>
      <w:pPr>
        <w:ind w:left="2160" w:hanging="360"/>
      </w:pPr>
      <w:rPr>
        <w:rFonts w:ascii="Wingdings" w:hAnsi="Wingdings" w:hint="default"/>
      </w:rPr>
    </w:lvl>
    <w:lvl w:ilvl="3" w:tplc="F44C9136">
      <w:start w:val="1"/>
      <w:numFmt w:val="bullet"/>
      <w:lvlText w:val=""/>
      <w:lvlJc w:val="left"/>
      <w:pPr>
        <w:ind w:left="2880" w:hanging="360"/>
      </w:pPr>
      <w:rPr>
        <w:rFonts w:ascii="Symbol" w:hAnsi="Symbol" w:hint="default"/>
      </w:rPr>
    </w:lvl>
    <w:lvl w:ilvl="4" w:tplc="5D20EE20">
      <w:start w:val="1"/>
      <w:numFmt w:val="bullet"/>
      <w:lvlText w:val="o"/>
      <w:lvlJc w:val="left"/>
      <w:pPr>
        <w:ind w:left="3600" w:hanging="360"/>
      </w:pPr>
      <w:rPr>
        <w:rFonts w:ascii="Courier New" w:hAnsi="Courier New" w:hint="default"/>
      </w:rPr>
    </w:lvl>
    <w:lvl w:ilvl="5" w:tplc="D234CEC2">
      <w:start w:val="1"/>
      <w:numFmt w:val="bullet"/>
      <w:lvlText w:val=""/>
      <w:lvlJc w:val="left"/>
      <w:pPr>
        <w:ind w:left="4320" w:hanging="360"/>
      </w:pPr>
      <w:rPr>
        <w:rFonts w:ascii="Wingdings" w:hAnsi="Wingdings" w:hint="default"/>
      </w:rPr>
    </w:lvl>
    <w:lvl w:ilvl="6" w:tplc="9CF04368">
      <w:start w:val="1"/>
      <w:numFmt w:val="bullet"/>
      <w:lvlText w:val=""/>
      <w:lvlJc w:val="left"/>
      <w:pPr>
        <w:ind w:left="5040" w:hanging="360"/>
      </w:pPr>
      <w:rPr>
        <w:rFonts w:ascii="Symbol" w:hAnsi="Symbol" w:hint="default"/>
      </w:rPr>
    </w:lvl>
    <w:lvl w:ilvl="7" w:tplc="64465036">
      <w:start w:val="1"/>
      <w:numFmt w:val="bullet"/>
      <w:lvlText w:val="o"/>
      <w:lvlJc w:val="left"/>
      <w:pPr>
        <w:ind w:left="5760" w:hanging="360"/>
      </w:pPr>
      <w:rPr>
        <w:rFonts w:ascii="Courier New" w:hAnsi="Courier New" w:hint="default"/>
      </w:rPr>
    </w:lvl>
    <w:lvl w:ilvl="8" w:tplc="AC1EB0B6">
      <w:start w:val="1"/>
      <w:numFmt w:val="bullet"/>
      <w:lvlText w:val=""/>
      <w:lvlJc w:val="left"/>
      <w:pPr>
        <w:ind w:left="6480" w:hanging="360"/>
      </w:pPr>
      <w:rPr>
        <w:rFonts w:ascii="Wingdings" w:hAnsi="Wingdings" w:hint="default"/>
      </w:rPr>
    </w:lvl>
  </w:abstractNum>
  <w:abstractNum w:abstractNumId="15" w15:restartNumberingAfterBreak="0">
    <w:nsid w:val="462133F3"/>
    <w:multiLevelType w:val="hybridMultilevel"/>
    <w:tmpl w:val="54A46980"/>
    <w:lvl w:ilvl="0" w:tplc="D9C28A26">
      <w:start w:val="1"/>
      <w:numFmt w:val="decimal"/>
      <w:lvlText w:val="%1."/>
      <w:lvlJc w:val="left"/>
      <w:pPr>
        <w:ind w:left="720" w:hanging="360"/>
      </w:pPr>
    </w:lvl>
    <w:lvl w:ilvl="1" w:tplc="79CCE882">
      <w:start w:val="1"/>
      <w:numFmt w:val="lowerLetter"/>
      <w:lvlText w:val="%2."/>
      <w:lvlJc w:val="left"/>
      <w:pPr>
        <w:ind w:left="1440" w:hanging="360"/>
      </w:pPr>
    </w:lvl>
    <w:lvl w:ilvl="2" w:tplc="675474C8">
      <w:start w:val="1"/>
      <w:numFmt w:val="lowerRoman"/>
      <w:lvlText w:val="%3."/>
      <w:lvlJc w:val="right"/>
      <w:pPr>
        <w:ind w:left="2160" w:hanging="180"/>
      </w:pPr>
    </w:lvl>
    <w:lvl w:ilvl="3" w:tplc="770EC21A">
      <w:start w:val="1"/>
      <w:numFmt w:val="decimal"/>
      <w:lvlText w:val="%4."/>
      <w:lvlJc w:val="left"/>
      <w:pPr>
        <w:ind w:left="2880" w:hanging="360"/>
      </w:pPr>
    </w:lvl>
    <w:lvl w:ilvl="4" w:tplc="1C3EB6EC">
      <w:start w:val="1"/>
      <w:numFmt w:val="lowerLetter"/>
      <w:lvlText w:val="%5."/>
      <w:lvlJc w:val="left"/>
      <w:pPr>
        <w:ind w:left="3600" w:hanging="360"/>
      </w:pPr>
    </w:lvl>
    <w:lvl w:ilvl="5" w:tplc="2E302D2A">
      <w:start w:val="1"/>
      <w:numFmt w:val="lowerRoman"/>
      <w:lvlText w:val="%6."/>
      <w:lvlJc w:val="right"/>
      <w:pPr>
        <w:ind w:left="4320" w:hanging="180"/>
      </w:pPr>
    </w:lvl>
    <w:lvl w:ilvl="6" w:tplc="FE5250FE">
      <w:start w:val="1"/>
      <w:numFmt w:val="decimal"/>
      <w:lvlText w:val="%7."/>
      <w:lvlJc w:val="left"/>
      <w:pPr>
        <w:ind w:left="5040" w:hanging="360"/>
      </w:pPr>
    </w:lvl>
    <w:lvl w:ilvl="7" w:tplc="7164AB80">
      <w:start w:val="1"/>
      <w:numFmt w:val="lowerLetter"/>
      <w:lvlText w:val="%8."/>
      <w:lvlJc w:val="left"/>
      <w:pPr>
        <w:ind w:left="5760" w:hanging="360"/>
      </w:pPr>
    </w:lvl>
    <w:lvl w:ilvl="8" w:tplc="CBB44874">
      <w:start w:val="1"/>
      <w:numFmt w:val="lowerRoman"/>
      <w:lvlText w:val="%9."/>
      <w:lvlJc w:val="right"/>
      <w:pPr>
        <w:ind w:left="6480" w:hanging="180"/>
      </w:pPr>
    </w:lvl>
  </w:abstractNum>
  <w:abstractNum w:abstractNumId="16" w15:restartNumberingAfterBreak="0">
    <w:nsid w:val="487F6A5C"/>
    <w:multiLevelType w:val="hybridMultilevel"/>
    <w:tmpl w:val="2B98CF68"/>
    <w:lvl w:ilvl="0" w:tplc="040A0001">
      <w:start w:val="1"/>
      <w:numFmt w:val="bullet"/>
      <w:lvlText w:val=""/>
      <w:lvlJc w:val="left"/>
      <w:pPr>
        <w:ind w:left="1776" w:hanging="360"/>
      </w:pPr>
      <w:rPr>
        <w:rFonts w:ascii="Symbol" w:hAnsi="Symbol" w:hint="default"/>
      </w:rPr>
    </w:lvl>
    <w:lvl w:ilvl="1" w:tplc="FFFFFFFF" w:tentative="1">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17" w15:restartNumberingAfterBreak="0">
    <w:nsid w:val="52F37487"/>
    <w:multiLevelType w:val="hybridMultilevel"/>
    <w:tmpl w:val="44083CB6"/>
    <w:lvl w:ilvl="0" w:tplc="9CCCA3DC">
      <w:start w:val="1"/>
      <w:numFmt w:val="lowerLetter"/>
      <w:lvlText w:val="%1."/>
      <w:lvlJc w:val="left"/>
      <w:pPr>
        <w:ind w:left="720" w:hanging="360"/>
      </w:pPr>
    </w:lvl>
    <w:lvl w:ilvl="1" w:tplc="DB361E98">
      <w:start w:val="1"/>
      <w:numFmt w:val="lowerLetter"/>
      <w:lvlText w:val="%2."/>
      <w:lvlJc w:val="left"/>
      <w:pPr>
        <w:ind w:left="1440" w:hanging="360"/>
      </w:pPr>
    </w:lvl>
    <w:lvl w:ilvl="2" w:tplc="15188E94">
      <w:start w:val="1"/>
      <w:numFmt w:val="lowerRoman"/>
      <w:lvlText w:val="%3."/>
      <w:lvlJc w:val="right"/>
      <w:pPr>
        <w:ind w:left="2160" w:hanging="180"/>
      </w:pPr>
    </w:lvl>
    <w:lvl w:ilvl="3" w:tplc="2842EB00">
      <w:start w:val="1"/>
      <w:numFmt w:val="decimal"/>
      <w:lvlText w:val="%4."/>
      <w:lvlJc w:val="left"/>
      <w:pPr>
        <w:ind w:left="2880" w:hanging="360"/>
      </w:pPr>
    </w:lvl>
    <w:lvl w:ilvl="4" w:tplc="1C4A9FD4">
      <w:start w:val="1"/>
      <w:numFmt w:val="lowerLetter"/>
      <w:lvlText w:val="%5."/>
      <w:lvlJc w:val="left"/>
      <w:pPr>
        <w:ind w:left="3600" w:hanging="360"/>
      </w:pPr>
    </w:lvl>
    <w:lvl w:ilvl="5" w:tplc="3A1CD466">
      <w:start w:val="1"/>
      <w:numFmt w:val="lowerRoman"/>
      <w:lvlText w:val="%6."/>
      <w:lvlJc w:val="right"/>
      <w:pPr>
        <w:ind w:left="4320" w:hanging="180"/>
      </w:pPr>
    </w:lvl>
    <w:lvl w:ilvl="6" w:tplc="CB2ABFC6">
      <w:start w:val="1"/>
      <w:numFmt w:val="decimal"/>
      <w:lvlText w:val="%7."/>
      <w:lvlJc w:val="left"/>
      <w:pPr>
        <w:ind w:left="5040" w:hanging="360"/>
      </w:pPr>
    </w:lvl>
    <w:lvl w:ilvl="7" w:tplc="C1846BFA">
      <w:start w:val="1"/>
      <w:numFmt w:val="lowerLetter"/>
      <w:lvlText w:val="%8."/>
      <w:lvlJc w:val="left"/>
      <w:pPr>
        <w:ind w:left="5760" w:hanging="360"/>
      </w:pPr>
    </w:lvl>
    <w:lvl w:ilvl="8" w:tplc="D194BF0E">
      <w:start w:val="1"/>
      <w:numFmt w:val="lowerRoman"/>
      <w:lvlText w:val="%9."/>
      <w:lvlJc w:val="right"/>
      <w:pPr>
        <w:ind w:left="6480" w:hanging="180"/>
      </w:pPr>
    </w:lvl>
  </w:abstractNum>
  <w:abstractNum w:abstractNumId="18" w15:restartNumberingAfterBreak="0">
    <w:nsid w:val="5DB66886"/>
    <w:multiLevelType w:val="multilevel"/>
    <w:tmpl w:val="7742A16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0125110"/>
    <w:multiLevelType w:val="hybridMultilevel"/>
    <w:tmpl w:val="33303232"/>
    <w:lvl w:ilvl="0" w:tplc="ED78DC8E">
      <w:start w:val="1"/>
      <w:numFmt w:val="decimal"/>
      <w:lvlText w:val="%1."/>
      <w:lvlJc w:val="left"/>
      <w:pPr>
        <w:ind w:left="720" w:hanging="360"/>
      </w:pPr>
    </w:lvl>
    <w:lvl w:ilvl="1" w:tplc="B03ECC2C">
      <w:start w:val="1"/>
      <w:numFmt w:val="lowerLetter"/>
      <w:lvlText w:val="%2."/>
      <w:lvlJc w:val="left"/>
      <w:pPr>
        <w:ind w:left="1440" w:hanging="360"/>
      </w:pPr>
    </w:lvl>
    <w:lvl w:ilvl="2" w:tplc="3DB4A6A4">
      <w:start w:val="1"/>
      <w:numFmt w:val="lowerRoman"/>
      <w:lvlText w:val="%3."/>
      <w:lvlJc w:val="right"/>
      <w:pPr>
        <w:ind w:left="2160" w:hanging="180"/>
      </w:pPr>
    </w:lvl>
    <w:lvl w:ilvl="3" w:tplc="49B2964C">
      <w:start w:val="1"/>
      <w:numFmt w:val="decimal"/>
      <w:lvlText w:val="%4."/>
      <w:lvlJc w:val="left"/>
      <w:pPr>
        <w:ind w:left="2880" w:hanging="360"/>
      </w:pPr>
    </w:lvl>
    <w:lvl w:ilvl="4" w:tplc="4734F39A">
      <w:start w:val="1"/>
      <w:numFmt w:val="lowerLetter"/>
      <w:lvlText w:val="%5."/>
      <w:lvlJc w:val="left"/>
      <w:pPr>
        <w:ind w:left="3600" w:hanging="360"/>
      </w:pPr>
    </w:lvl>
    <w:lvl w:ilvl="5" w:tplc="DF62731E">
      <w:start w:val="1"/>
      <w:numFmt w:val="lowerRoman"/>
      <w:lvlText w:val="%6."/>
      <w:lvlJc w:val="right"/>
      <w:pPr>
        <w:ind w:left="4320" w:hanging="180"/>
      </w:pPr>
    </w:lvl>
    <w:lvl w:ilvl="6" w:tplc="E1308E3C">
      <w:start w:val="1"/>
      <w:numFmt w:val="decimal"/>
      <w:lvlText w:val="%7."/>
      <w:lvlJc w:val="left"/>
      <w:pPr>
        <w:ind w:left="5040" w:hanging="360"/>
      </w:pPr>
    </w:lvl>
    <w:lvl w:ilvl="7" w:tplc="21A6286A">
      <w:start w:val="1"/>
      <w:numFmt w:val="lowerLetter"/>
      <w:lvlText w:val="%8."/>
      <w:lvlJc w:val="left"/>
      <w:pPr>
        <w:ind w:left="5760" w:hanging="360"/>
      </w:pPr>
    </w:lvl>
    <w:lvl w:ilvl="8" w:tplc="B49E9AD6">
      <w:start w:val="1"/>
      <w:numFmt w:val="lowerRoman"/>
      <w:lvlText w:val="%9."/>
      <w:lvlJc w:val="right"/>
      <w:pPr>
        <w:ind w:left="6480" w:hanging="180"/>
      </w:pPr>
    </w:lvl>
  </w:abstractNum>
  <w:abstractNum w:abstractNumId="20" w15:restartNumberingAfterBreak="0">
    <w:nsid w:val="66616177"/>
    <w:multiLevelType w:val="hybridMultilevel"/>
    <w:tmpl w:val="BE289300"/>
    <w:lvl w:ilvl="0" w:tplc="077A4B8A">
      <w:start w:val="1"/>
      <w:numFmt w:val="decimal"/>
      <w:lvlText w:val="%1."/>
      <w:lvlJc w:val="left"/>
      <w:pPr>
        <w:ind w:left="720" w:hanging="360"/>
      </w:pPr>
    </w:lvl>
    <w:lvl w:ilvl="1" w:tplc="478AEE58">
      <w:start w:val="1"/>
      <w:numFmt w:val="lowerLetter"/>
      <w:lvlText w:val="%2."/>
      <w:lvlJc w:val="left"/>
      <w:pPr>
        <w:ind w:left="1440" w:hanging="360"/>
      </w:pPr>
    </w:lvl>
    <w:lvl w:ilvl="2" w:tplc="61C6634E">
      <w:start w:val="1"/>
      <w:numFmt w:val="lowerRoman"/>
      <w:lvlText w:val="%3."/>
      <w:lvlJc w:val="right"/>
      <w:pPr>
        <w:ind w:left="2160" w:hanging="180"/>
      </w:pPr>
    </w:lvl>
    <w:lvl w:ilvl="3" w:tplc="FB9C5C36">
      <w:start w:val="1"/>
      <w:numFmt w:val="decimal"/>
      <w:lvlText w:val="%4."/>
      <w:lvlJc w:val="left"/>
      <w:pPr>
        <w:ind w:left="2880" w:hanging="360"/>
      </w:pPr>
    </w:lvl>
    <w:lvl w:ilvl="4" w:tplc="E4A88DEC">
      <w:start w:val="1"/>
      <w:numFmt w:val="lowerLetter"/>
      <w:lvlText w:val="%5."/>
      <w:lvlJc w:val="left"/>
      <w:pPr>
        <w:ind w:left="3600" w:hanging="360"/>
      </w:pPr>
    </w:lvl>
    <w:lvl w:ilvl="5" w:tplc="33A6CAE6">
      <w:start w:val="1"/>
      <w:numFmt w:val="lowerRoman"/>
      <w:lvlText w:val="%6."/>
      <w:lvlJc w:val="right"/>
      <w:pPr>
        <w:ind w:left="4320" w:hanging="180"/>
      </w:pPr>
    </w:lvl>
    <w:lvl w:ilvl="6" w:tplc="5BB0CFBE">
      <w:start w:val="1"/>
      <w:numFmt w:val="decimal"/>
      <w:lvlText w:val="%7."/>
      <w:lvlJc w:val="left"/>
      <w:pPr>
        <w:ind w:left="5040" w:hanging="360"/>
      </w:pPr>
    </w:lvl>
    <w:lvl w:ilvl="7" w:tplc="56683680">
      <w:start w:val="1"/>
      <w:numFmt w:val="lowerLetter"/>
      <w:lvlText w:val="%8."/>
      <w:lvlJc w:val="left"/>
      <w:pPr>
        <w:ind w:left="5760" w:hanging="360"/>
      </w:pPr>
    </w:lvl>
    <w:lvl w:ilvl="8" w:tplc="4740C156">
      <w:start w:val="1"/>
      <w:numFmt w:val="lowerRoman"/>
      <w:lvlText w:val="%9."/>
      <w:lvlJc w:val="right"/>
      <w:pPr>
        <w:ind w:left="6480" w:hanging="180"/>
      </w:pPr>
    </w:lvl>
  </w:abstractNum>
  <w:abstractNum w:abstractNumId="21" w15:restartNumberingAfterBreak="0">
    <w:nsid w:val="666B7603"/>
    <w:multiLevelType w:val="hybridMultilevel"/>
    <w:tmpl w:val="3A1E2406"/>
    <w:lvl w:ilvl="0" w:tplc="60B22A24">
      <w:start w:val="1"/>
      <w:numFmt w:val="bullet"/>
      <w:lvlText w:val="-"/>
      <w:lvlJc w:val="left"/>
      <w:pPr>
        <w:ind w:left="720" w:hanging="360"/>
      </w:pPr>
      <w:rPr>
        <w:rFonts w:ascii="Times" w:hAnsi="Times" w:hint="default"/>
      </w:rPr>
    </w:lvl>
    <w:lvl w:ilvl="1" w:tplc="EA2C1902">
      <w:start w:val="1"/>
      <w:numFmt w:val="bullet"/>
      <w:lvlText w:val="o"/>
      <w:lvlJc w:val="left"/>
      <w:pPr>
        <w:ind w:left="1440" w:hanging="360"/>
      </w:pPr>
      <w:rPr>
        <w:rFonts w:ascii="Courier New" w:hAnsi="Courier New" w:hint="default"/>
      </w:rPr>
    </w:lvl>
    <w:lvl w:ilvl="2" w:tplc="AC526C08">
      <w:start w:val="1"/>
      <w:numFmt w:val="bullet"/>
      <w:lvlText w:val=""/>
      <w:lvlJc w:val="left"/>
      <w:pPr>
        <w:ind w:left="2160" w:hanging="360"/>
      </w:pPr>
      <w:rPr>
        <w:rFonts w:ascii="Wingdings" w:hAnsi="Wingdings" w:hint="default"/>
      </w:rPr>
    </w:lvl>
    <w:lvl w:ilvl="3" w:tplc="F5E4E6C2">
      <w:start w:val="1"/>
      <w:numFmt w:val="bullet"/>
      <w:lvlText w:val=""/>
      <w:lvlJc w:val="left"/>
      <w:pPr>
        <w:ind w:left="2880" w:hanging="360"/>
      </w:pPr>
      <w:rPr>
        <w:rFonts w:ascii="Symbol" w:hAnsi="Symbol" w:hint="default"/>
      </w:rPr>
    </w:lvl>
    <w:lvl w:ilvl="4" w:tplc="419EA3A4">
      <w:start w:val="1"/>
      <w:numFmt w:val="bullet"/>
      <w:lvlText w:val="o"/>
      <w:lvlJc w:val="left"/>
      <w:pPr>
        <w:ind w:left="3600" w:hanging="360"/>
      </w:pPr>
      <w:rPr>
        <w:rFonts w:ascii="Courier New" w:hAnsi="Courier New" w:hint="default"/>
      </w:rPr>
    </w:lvl>
    <w:lvl w:ilvl="5" w:tplc="70BE8A78">
      <w:start w:val="1"/>
      <w:numFmt w:val="bullet"/>
      <w:lvlText w:val=""/>
      <w:lvlJc w:val="left"/>
      <w:pPr>
        <w:ind w:left="4320" w:hanging="360"/>
      </w:pPr>
      <w:rPr>
        <w:rFonts w:ascii="Wingdings" w:hAnsi="Wingdings" w:hint="default"/>
      </w:rPr>
    </w:lvl>
    <w:lvl w:ilvl="6" w:tplc="80A6BF06">
      <w:start w:val="1"/>
      <w:numFmt w:val="bullet"/>
      <w:lvlText w:val=""/>
      <w:lvlJc w:val="left"/>
      <w:pPr>
        <w:ind w:left="5040" w:hanging="360"/>
      </w:pPr>
      <w:rPr>
        <w:rFonts w:ascii="Symbol" w:hAnsi="Symbol" w:hint="default"/>
      </w:rPr>
    </w:lvl>
    <w:lvl w:ilvl="7" w:tplc="0178C70A">
      <w:start w:val="1"/>
      <w:numFmt w:val="bullet"/>
      <w:lvlText w:val="o"/>
      <w:lvlJc w:val="left"/>
      <w:pPr>
        <w:ind w:left="5760" w:hanging="360"/>
      </w:pPr>
      <w:rPr>
        <w:rFonts w:ascii="Courier New" w:hAnsi="Courier New" w:hint="default"/>
      </w:rPr>
    </w:lvl>
    <w:lvl w:ilvl="8" w:tplc="729A2138">
      <w:start w:val="1"/>
      <w:numFmt w:val="bullet"/>
      <w:lvlText w:val=""/>
      <w:lvlJc w:val="left"/>
      <w:pPr>
        <w:ind w:left="6480" w:hanging="360"/>
      </w:pPr>
      <w:rPr>
        <w:rFonts w:ascii="Wingdings" w:hAnsi="Wingdings" w:hint="default"/>
      </w:rPr>
    </w:lvl>
  </w:abstractNum>
  <w:abstractNum w:abstractNumId="22" w15:restartNumberingAfterBreak="0">
    <w:nsid w:val="68B81E6B"/>
    <w:multiLevelType w:val="hybridMultilevel"/>
    <w:tmpl w:val="7688CA10"/>
    <w:lvl w:ilvl="0" w:tplc="199CF9AA">
      <w:start w:val="1"/>
      <w:numFmt w:val="lowerRoman"/>
      <w:lvlText w:val="%1."/>
      <w:lvlJc w:val="left"/>
      <w:pPr>
        <w:ind w:left="2160" w:hanging="720"/>
      </w:pPr>
      <w:rPr>
        <w:rFonts w:hint="default"/>
      </w:rPr>
    </w:lvl>
    <w:lvl w:ilvl="1" w:tplc="040A0019" w:tentative="1">
      <w:start w:val="1"/>
      <w:numFmt w:val="lowerLetter"/>
      <w:lvlText w:val="%2."/>
      <w:lvlJc w:val="left"/>
      <w:pPr>
        <w:ind w:left="2520" w:hanging="360"/>
      </w:pPr>
    </w:lvl>
    <w:lvl w:ilvl="2" w:tplc="040A001B" w:tentative="1">
      <w:start w:val="1"/>
      <w:numFmt w:val="lowerRoman"/>
      <w:lvlText w:val="%3."/>
      <w:lvlJc w:val="right"/>
      <w:pPr>
        <w:ind w:left="3240" w:hanging="180"/>
      </w:pPr>
    </w:lvl>
    <w:lvl w:ilvl="3" w:tplc="040A000F" w:tentative="1">
      <w:start w:val="1"/>
      <w:numFmt w:val="decimal"/>
      <w:lvlText w:val="%4."/>
      <w:lvlJc w:val="left"/>
      <w:pPr>
        <w:ind w:left="3960" w:hanging="360"/>
      </w:pPr>
    </w:lvl>
    <w:lvl w:ilvl="4" w:tplc="040A0019" w:tentative="1">
      <w:start w:val="1"/>
      <w:numFmt w:val="lowerLetter"/>
      <w:lvlText w:val="%5."/>
      <w:lvlJc w:val="left"/>
      <w:pPr>
        <w:ind w:left="4680" w:hanging="360"/>
      </w:pPr>
    </w:lvl>
    <w:lvl w:ilvl="5" w:tplc="040A001B" w:tentative="1">
      <w:start w:val="1"/>
      <w:numFmt w:val="lowerRoman"/>
      <w:lvlText w:val="%6."/>
      <w:lvlJc w:val="right"/>
      <w:pPr>
        <w:ind w:left="5400" w:hanging="180"/>
      </w:pPr>
    </w:lvl>
    <w:lvl w:ilvl="6" w:tplc="040A000F" w:tentative="1">
      <w:start w:val="1"/>
      <w:numFmt w:val="decimal"/>
      <w:lvlText w:val="%7."/>
      <w:lvlJc w:val="left"/>
      <w:pPr>
        <w:ind w:left="6120" w:hanging="360"/>
      </w:pPr>
    </w:lvl>
    <w:lvl w:ilvl="7" w:tplc="040A0019" w:tentative="1">
      <w:start w:val="1"/>
      <w:numFmt w:val="lowerLetter"/>
      <w:lvlText w:val="%8."/>
      <w:lvlJc w:val="left"/>
      <w:pPr>
        <w:ind w:left="6840" w:hanging="360"/>
      </w:pPr>
    </w:lvl>
    <w:lvl w:ilvl="8" w:tplc="040A001B" w:tentative="1">
      <w:start w:val="1"/>
      <w:numFmt w:val="lowerRoman"/>
      <w:lvlText w:val="%9."/>
      <w:lvlJc w:val="right"/>
      <w:pPr>
        <w:ind w:left="7560" w:hanging="180"/>
      </w:pPr>
    </w:lvl>
  </w:abstractNum>
  <w:abstractNum w:abstractNumId="23" w15:restartNumberingAfterBreak="0">
    <w:nsid w:val="6D6E6486"/>
    <w:multiLevelType w:val="hybridMultilevel"/>
    <w:tmpl w:val="55DC5A66"/>
    <w:lvl w:ilvl="0" w:tplc="040A0015">
      <w:start w:val="4"/>
      <w:numFmt w:val="upp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4" w15:restartNumberingAfterBreak="0">
    <w:nsid w:val="6EA174A0"/>
    <w:multiLevelType w:val="hybridMultilevel"/>
    <w:tmpl w:val="BEE84ECC"/>
    <w:lvl w:ilvl="0" w:tplc="36D84544">
      <w:start w:val="1"/>
      <w:numFmt w:val="lowerLetter"/>
      <w:lvlText w:val="%1."/>
      <w:lvlJc w:val="left"/>
      <w:pPr>
        <w:ind w:left="720" w:hanging="360"/>
      </w:pPr>
    </w:lvl>
    <w:lvl w:ilvl="1" w:tplc="B1A69D4E">
      <w:start w:val="1"/>
      <w:numFmt w:val="lowerLetter"/>
      <w:lvlText w:val="%2."/>
      <w:lvlJc w:val="left"/>
      <w:pPr>
        <w:ind w:left="1440" w:hanging="360"/>
      </w:pPr>
    </w:lvl>
    <w:lvl w:ilvl="2" w:tplc="5C106D04">
      <w:start w:val="1"/>
      <w:numFmt w:val="lowerRoman"/>
      <w:lvlText w:val="%3."/>
      <w:lvlJc w:val="right"/>
      <w:pPr>
        <w:ind w:left="2160" w:hanging="180"/>
      </w:pPr>
    </w:lvl>
    <w:lvl w:ilvl="3" w:tplc="C67E8402">
      <w:start w:val="1"/>
      <w:numFmt w:val="decimal"/>
      <w:lvlText w:val="%4."/>
      <w:lvlJc w:val="left"/>
      <w:pPr>
        <w:ind w:left="2880" w:hanging="360"/>
      </w:pPr>
    </w:lvl>
    <w:lvl w:ilvl="4" w:tplc="D93A189C">
      <w:start w:val="1"/>
      <w:numFmt w:val="lowerLetter"/>
      <w:lvlText w:val="%5."/>
      <w:lvlJc w:val="left"/>
      <w:pPr>
        <w:ind w:left="3600" w:hanging="360"/>
      </w:pPr>
    </w:lvl>
    <w:lvl w:ilvl="5" w:tplc="61C08278">
      <w:start w:val="1"/>
      <w:numFmt w:val="lowerRoman"/>
      <w:lvlText w:val="%6."/>
      <w:lvlJc w:val="right"/>
      <w:pPr>
        <w:ind w:left="4320" w:hanging="180"/>
      </w:pPr>
    </w:lvl>
    <w:lvl w:ilvl="6" w:tplc="A650D6B8">
      <w:start w:val="1"/>
      <w:numFmt w:val="decimal"/>
      <w:lvlText w:val="%7."/>
      <w:lvlJc w:val="left"/>
      <w:pPr>
        <w:ind w:left="5040" w:hanging="360"/>
      </w:pPr>
    </w:lvl>
    <w:lvl w:ilvl="7" w:tplc="FD7E5CA6">
      <w:start w:val="1"/>
      <w:numFmt w:val="lowerLetter"/>
      <w:lvlText w:val="%8."/>
      <w:lvlJc w:val="left"/>
      <w:pPr>
        <w:ind w:left="5760" w:hanging="360"/>
      </w:pPr>
    </w:lvl>
    <w:lvl w:ilvl="8" w:tplc="D29EB6F2">
      <w:start w:val="1"/>
      <w:numFmt w:val="lowerRoman"/>
      <w:lvlText w:val="%9."/>
      <w:lvlJc w:val="right"/>
      <w:pPr>
        <w:ind w:left="6480" w:hanging="180"/>
      </w:pPr>
    </w:lvl>
  </w:abstractNum>
  <w:abstractNum w:abstractNumId="25" w15:restartNumberingAfterBreak="0">
    <w:nsid w:val="76E208BC"/>
    <w:multiLevelType w:val="hybridMultilevel"/>
    <w:tmpl w:val="6CBCE0A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6" w15:restartNumberingAfterBreak="0">
    <w:nsid w:val="7A2067B9"/>
    <w:multiLevelType w:val="hybridMultilevel"/>
    <w:tmpl w:val="3A9E4E4E"/>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19"/>
  </w:num>
  <w:num w:numId="2">
    <w:abstractNumId w:val="13"/>
  </w:num>
  <w:num w:numId="3">
    <w:abstractNumId w:val="21"/>
  </w:num>
  <w:num w:numId="4">
    <w:abstractNumId w:val="20"/>
  </w:num>
  <w:num w:numId="5">
    <w:abstractNumId w:val="15"/>
  </w:num>
  <w:num w:numId="6">
    <w:abstractNumId w:val="24"/>
  </w:num>
  <w:num w:numId="7">
    <w:abstractNumId w:val="3"/>
  </w:num>
  <w:num w:numId="8">
    <w:abstractNumId w:val="14"/>
  </w:num>
  <w:num w:numId="9">
    <w:abstractNumId w:val="17"/>
  </w:num>
  <w:num w:numId="10">
    <w:abstractNumId w:val="0"/>
  </w:num>
  <w:num w:numId="11">
    <w:abstractNumId w:val="10"/>
  </w:num>
  <w:num w:numId="12">
    <w:abstractNumId w:val="9"/>
  </w:num>
  <w:num w:numId="13">
    <w:abstractNumId w:val="11"/>
  </w:num>
  <w:num w:numId="14">
    <w:abstractNumId w:val="12"/>
  </w:num>
  <w:num w:numId="15">
    <w:abstractNumId w:val="2"/>
  </w:num>
  <w:num w:numId="16">
    <w:abstractNumId w:val="26"/>
  </w:num>
  <w:num w:numId="17">
    <w:abstractNumId w:val="8"/>
  </w:num>
  <w:num w:numId="18">
    <w:abstractNumId w:val="1"/>
  </w:num>
  <w:num w:numId="19">
    <w:abstractNumId w:val="16"/>
  </w:num>
  <w:num w:numId="20">
    <w:abstractNumId w:val="23"/>
  </w:num>
  <w:num w:numId="21">
    <w:abstractNumId w:val="25"/>
  </w:num>
  <w:num w:numId="22">
    <w:abstractNumId w:val="7"/>
  </w:num>
  <w:num w:numId="23">
    <w:abstractNumId w:val="6"/>
  </w:num>
  <w:num w:numId="24">
    <w:abstractNumId w:val="18"/>
  </w:num>
  <w:num w:numId="25">
    <w:abstractNumId w:val="4"/>
  </w:num>
  <w:num w:numId="26">
    <w:abstractNumId w:val="5"/>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759CA7"/>
    <w:rsid w:val="00003B9B"/>
    <w:rsid w:val="00010C70"/>
    <w:rsid w:val="00014C66"/>
    <w:rsid w:val="00017329"/>
    <w:rsid w:val="00017CEC"/>
    <w:rsid w:val="00024A82"/>
    <w:rsid w:val="00035EDD"/>
    <w:rsid w:val="000454B2"/>
    <w:rsid w:val="00047248"/>
    <w:rsid w:val="0005221F"/>
    <w:rsid w:val="00052543"/>
    <w:rsid w:val="00054E3D"/>
    <w:rsid w:val="000566AF"/>
    <w:rsid w:val="00056BEE"/>
    <w:rsid w:val="000603BC"/>
    <w:rsid w:val="0006393F"/>
    <w:rsid w:val="00063E41"/>
    <w:rsid w:val="0007694D"/>
    <w:rsid w:val="000A39AE"/>
    <w:rsid w:val="000B7BCE"/>
    <w:rsid w:val="000C018F"/>
    <w:rsid w:val="000C5ACB"/>
    <w:rsid w:val="000E128D"/>
    <w:rsid w:val="000E2A28"/>
    <w:rsid w:val="000E5074"/>
    <w:rsid w:val="000F2B54"/>
    <w:rsid w:val="000F35C1"/>
    <w:rsid w:val="00101A6E"/>
    <w:rsid w:val="00103E71"/>
    <w:rsid w:val="00105CE4"/>
    <w:rsid w:val="00105E6E"/>
    <w:rsid w:val="0011118C"/>
    <w:rsid w:val="00113E0B"/>
    <w:rsid w:val="00113F59"/>
    <w:rsid w:val="00120E75"/>
    <w:rsid w:val="001302BC"/>
    <w:rsid w:val="00142A50"/>
    <w:rsid w:val="00146380"/>
    <w:rsid w:val="001474D3"/>
    <w:rsid w:val="00150057"/>
    <w:rsid w:val="0016257A"/>
    <w:rsid w:val="001637B2"/>
    <w:rsid w:val="00175CC5"/>
    <w:rsid w:val="00185914"/>
    <w:rsid w:val="00193AC6"/>
    <w:rsid w:val="001A0B3A"/>
    <w:rsid w:val="001A6569"/>
    <w:rsid w:val="001A69CB"/>
    <w:rsid w:val="001A77D8"/>
    <w:rsid w:val="001B1305"/>
    <w:rsid w:val="001C31D6"/>
    <w:rsid w:val="001D4CB2"/>
    <w:rsid w:val="001D7182"/>
    <w:rsid w:val="001D7713"/>
    <w:rsid w:val="001E1D70"/>
    <w:rsid w:val="001E3301"/>
    <w:rsid w:val="001E42F4"/>
    <w:rsid w:val="001F4292"/>
    <w:rsid w:val="001F67DB"/>
    <w:rsid w:val="00202E2A"/>
    <w:rsid w:val="0021191F"/>
    <w:rsid w:val="00212D3E"/>
    <w:rsid w:val="00225F54"/>
    <w:rsid w:val="00227FAA"/>
    <w:rsid w:val="0023043B"/>
    <w:rsid w:val="0023176A"/>
    <w:rsid w:val="0024094E"/>
    <w:rsid w:val="00257933"/>
    <w:rsid w:val="00257C3D"/>
    <w:rsid w:val="00257EFB"/>
    <w:rsid w:val="00261075"/>
    <w:rsid w:val="00263868"/>
    <w:rsid w:val="00265EAE"/>
    <w:rsid w:val="0027010C"/>
    <w:rsid w:val="00283225"/>
    <w:rsid w:val="002871B6"/>
    <w:rsid w:val="0029205C"/>
    <w:rsid w:val="002931AA"/>
    <w:rsid w:val="00297077"/>
    <w:rsid w:val="00297CB7"/>
    <w:rsid w:val="002A5450"/>
    <w:rsid w:val="002B4BFB"/>
    <w:rsid w:val="002B5929"/>
    <w:rsid w:val="002C0CF5"/>
    <w:rsid w:val="002C49CA"/>
    <w:rsid w:val="002C7548"/>
    <w:rsid w:val="002E3B47"/>
    <w:rsid w:val="002F2CFA"/>
    <w:rsid w:val="003007EB"/>
    <w:rsid w:val="003061BD"/>
    <w:rsid w:val="00311823"/>
    <w:rsid w:val="0031707B"/>
    <w:rsid w:val="00327D84"/>
    <w:rsid w:val="00331E86"/>
    <w:rsid w:val="0033419A"/>
    <w:rsid w:val="00334E60"/>
    <w:rsid w:val="00345BC0"/>
    <w:rsid w:val="0034760F"/>
    <w:rsid w:val="00350F11"/>
    <w:rsid w:val="003549E4"/>
    <w:rsid w:val="0035723B"/>
    <w:rsid w:val="0036795A"/>
    <w:rsid w:val="00374AD1"/>
    <w:rsid w:val="00381192"/>
    <w:rsid w:val="003838D7"/>
    <w:rsid w:val="00387F88"/>
    <w:rsid w:val="00392A47"/>
    <w:rsid w:val="00392B84"/>
    <w:rsid w:val="00397D2C"/>
    <w:rsid w:val="003A01BA"/>
    <w:rsid w:val="003A2CC9"/>
    <w:rsid w:val="003B621F"/>
    <w:rsid w:val="003B66BE"/>
    <w:rsid w:val="003C3C49"/>
    <w:rsid w:val="003D0028"/>
    <w:rsid w:val="003D21B1"/>
    <w:rsid w:val="003D34AE"/>
    <w:rsid w:val="003D4B48"/>
    <w:rsid w:val="003D5372"/>
    <w:rsid w:val="003D6378"/>
    <w:rsid w:val="003E47E0"/>
    <w:rsid w:val="003F21C1"/>
    <w:rsid w:val="003F30E0"/>
    <w:rsid w:val="003F5C2F"/>
    <w:rsid w:val="004021C0"/>
    <w:rsid w:val="00403440"/>
    <w:rsid w:val="00404B4B"/>
    <w:rsid w:val="004077DF"/>
    <w:rsid w:val="00407906"/>
    <w:rsid w:val="00411A3C"/>
    <w:rsid w:val="0042176F"/>
    <w:rsid w:val="00434500"/>
    <w:rsid w:val="00440415"/>
    <w:rsid w:val="00445567"/>
    <w:rsid w:val="0045450C"/>
    <w:rsid w:val="00456295"/>
    <w:rsid w:val="0046540B"/>
    <w:rsid w:val="0047391B"/>
    <w:rsid w:val="00473940"/>
    <w:rsid w:val="0048054B"/>
    <w:rsid w:val="0048437F"/>
    <w:rsid w:val="00485670"/>
    <w:rsid w:val="004908C1"/>
    <w:rsid w:val="004A2643"/>
    <w:rsid w:val="004A63D2"/>
    <w:rsid w:val="004B0116"/>
    <w:rsid w:val="004C0A7D"/>
    <w:rsid w:val="004C1C37"/>
    <w:rsid w:val="004D216D"/>
    <w:rsid w:val="004D2181"/>
    <w:rsid w:val="004D30C7"/>
    <w:rsid w:val="004E386B"/>
    <w:rsid w:val="004E672A"/>
    <w:rsid w:val="004E6F84"/>
    <w:rsid w:val="004F26A9"/>
    <w:rsid w:val="004F3A23"/>
    <w:rsid w:val="004F55A1"/>
    <w:rsid w:val="005016C9"/>
    <w:rsid w:val="00504477"/>
    <w:rsid w:val="0050459D"/>
    <w:rsid w:val="00505A68"/>
    <w:rsid w:val="005115B0"/>
    <w:rsid w:val="0051369B"/>
    <w:rsid w:val="005138A2"/>
    <w:rsid w:val="005261C7"/>
    <w:rsid w:val="00530551"/>
    <w:rsid w:val="0053300B"/>
    <w:rsid w:val="00533F99"/>
    <w:rsid w:val="00535B20"/>
    <w:rsid w:val="00541DBC"/>
    <w:rsid w:val="005505E4"/>
    <w:rsid w:val="00555F11"/>
    <w:rsid w:val="00557AC3"/>
    <w:rsid w:val="00561AC5"/>
    <w:rsid w:val="00561B54"/>
    <w:rsid w:val="005621FC"/>
    <w:rsid w:val="00575291"/>
    <w:rsid w:val="00583C0C"/>
    <w:rsid w:val="005842D7"/>
    <w:rsid w:val="00584C81"/>
    <w:rsid w:val="00586E30"/>
    <w:rsid w:val="005A0774"/>
    <w:rsid w:val="005A13CF"/>
    <w:rsid w:val="005A5116"/>
    <w:rsid w:val="005D5F88"/>
    <w:rsid w:val="005D63A9"/>
    <w:rsid w:val="005E2216"/>
    <w:rsid w:val="005F2CBB"/>
    <w:rsid w:val="005F6C26"/>
    <w:rsid w:val="00601892"/>
    <w:rsid w:val="006023F7"/>
    <w:rsid w:val="006028F5"/>
    <w:rsid w:val="006106A7"/>
    <w:rsid w:val="00611BB1"/>
    <w:rsid w:val="00616686"/>
    <w:rsid w:val="006171C8"/>
    <w:rsid w:val="006177DB"/>
    <w:rsid w:val="00620793"/>
    <w:rsid w:val="00620BDA"/>
    <w:rsid w:val="00622B98"/>
    <w:rsid w:val="00623343"/>
    <w:rsid w:val="00623C6C"/>
    <w:rsid w:val="00631163"/>
    <w:rsid w:val="00640204"/>
    <w:rsid w:val="00640821"/>
    <w:rsid w:val="00646C09"/>
    <w:rsid w:val="00647BE7"/>
    <w:rsid w:val="006500AD"/>
    <w:rsid w:val="006516A0"/>
    <w:rsid w:val="00651E72"/>
    <w:rsid w:val="00651F7C"/>
    <w:rsid w:val="0065562B"/>
    <w:rsid w:val="00664658"/>
    <w:rsid w:val="0066713C"/>
    <w:rsid w:val="00676DA7"/>
    <w:rsid w:val="0068114D"/>
    <w:rsid w:val="00681B73"/>
    <w:rsid w:val="00682259"/>
    <w:rsid w:val="00682CB5"/>
    <w:rsid w:val="00693E31"/>
    <w:rsid w:val="006956D4"/>
    <w:rsid w:val="006958E6"/>
    <w:rsid w:val="006971A4"/>
    <w:rsid w:val="006A53C9"/>
    <w:rsid w:val="006C4521"/>
    <w:rsid w:val="006C489C"/>
    <w:rsid w:val="006C6D56"/>
    <w:rsid w:val="006C79BC"/>
    <w:rsid w:val="006D5D43"/>
    <w:rsid w:val="006E108F"/>
    <w:rsid w:val="006E4818"/>
    <w:rsid w:val="006F44E2"/>
    <w:rsid w:val="007009ED"/>
    <w:rsid w:val="0071254A"/>
    <w:rsid w:val="0072096D"/>
    <w:rsid w:val="00721E5F"/>
    <w:rsid w:val="007226A0"/>
    <w:rsid w:val="00723401"/>
    <w:rsid w:val="00724A15"/>
    <w:rsid w:val="00725688"/>
    <w:rsid w:val="00727E53"/>
    <w:rsid w:val="00731621"/>
    <w:rsid w:val="007350E7"/>
    <w:rsid w:val="00736FE2"/>
    <w:rsid w:val="007467BB"/>
    <w:rsid w:val="00752BDC"/>
    <w:rsid w:val="00762081"/>
    <w:rsid w:val="007640A1"/>
    <w:rsid w:val="00772CE1"/>
    <w:rsid w:val="00772D96"/>
    <w:rsid w:val="00777BAB"/>
    <w:rsid w:val="0078315E"/>
    <w:rsid w:val="00794794"/>
    <w:rsid w:val="007976E5"/>
    <w:rsid w:val="007A6557"/>
    <w:rsid w:val="007A75A8"/>
    <w:rsid w:val="007A7E30"/>
    <w:rsid w:val="007C3BBE"/>
    <w:rsid w:val="007C5F41"/>
    <w:rsid w:val="007E7270"/>
    <w:rsid w:val="007F4B99"/>
    <w:rsid w:val="007F6117"/>
    <w:rsid w:val="00804C78"/>
    <w:rsid w:val="00805085"/>
    <w:rsid w:val="00823DFD"/>
    <w:rsid w:val="008312AA"/>
    <w:rsid w:val="00832B39"/>
    <w:rsid w:val="00840ADE"/>
    <w:rsid w:val="0084537F"/>
    <w:rsid w:val="00846933"/>
    <w:rsid w:val="00850201"/>
    <w:rsid w:val="00854F1E"/>
    <w:rsid w:val="008603DF"/>
    <w:rsid w:val="00860EDA"/>
    <w:rsid w:val="0088045D"/>
    <w:rsid w:val="008837A8"/>
    <w:rsid w:val="00883BE1"/>
    <w:rsid w:val="00892E39"/>
    <w:rsid w:val="008953A5"/>
    <w:rsid w:val="008A12A9"/>
    <w:rsid w:val="008B382C"/>
    <w:rsid w:val="008B4CDB"/>
    <w:rsid w:val="008C0FAB"/>
    <w:rsid w:val="008C495E"/>
    <w:rsid w:val="008C4D5C"/>
    <w:rsid w:val="008C5292"/>
    <w:rsid w:val="008D2D26"/>
    <w:rsid w:val="008E6C54"/>
    <w:rsid w:val="009001FB"/>
    <w:rsid w:val="00911984"/>
    <w:rsid w:val="00911D25"/>
    <w:rsid w:val="00916F43"/>
    <w:rsid w:val="0092444A"/>
    <w:rsid w:val="009246E6"/>
    <w:rsid w:val="00931A5F"/>
    <w:rsid w:val="0093350E"/>
    <w:rsid w:val="00936423"/>
    <w:rsid w:val="00936486"/>
    <w:rsid w:val="009400B5"/>
    <w:rsid w:val="009415AC"/>
    <w:rsid w:val="00953773"/>
    <w:rsid w:val="0096272F"/>
    <w:rsid w:val="00963026"/>
    <w:rsid w:val="0096416F"/>
    <w:rsid w:val="00965EDB"/>
    <w:rsid w:val="00970C87"/>
    <w:rsid w:val="00972EC3"/>
    <w:rsid w:val="0097458B"/>
    <w:rsid w:val="00976335"/>
    <w:rsid w:val="00980BCD"/>
    <w:rsid w:val="00983273"/>
    <w:rsid w:val="0098470A"/>
    <w:rsid w:val="00990057"/>
    <w:rsid w:val="00993179"/>
    <w:rsid w:val="009A03E2"/>
    <w:rsid w:val="009A0989"/>
    <w:rsid w:val="009A0DD8"/>
    <w:rsid w:val="009A1EA1"/>
    <w:rsid w:val="009A60B0"/>
    <w:rsid w:val="009B45C4"/>
    <w:rsid w:val="009B6061"/>
    <w:rsid w:val="009B6431"/>
    <w:rsid w:val="009C7BE0"/>
    <w:rsid w:val="009D4CE1"/>
    <w:rsid w:val="009E201E"/>
    <w:rsid w:val="009E5166"/>
    <w:rsid w:val="009E6DB9"/>
    <w:rsid w:val="009F27A1"/>
    <w:rsid w:val="009F6A7D"/>
    <w:rsid w:val="00A0026F"/>
    <w:rsid w:val="00A04025"/>
    <w:rsid w:val="00A0574D"/>
    <w:rsid w:val="00A12595"/>
    <w:rsid w:val="00A141DB"/>
    <w:rsid w:val="00A14988"/>
    <w:rsid w:val="00A21A81"/>
    <w:rsid w:val="00A235D0"/>
    <w:rsid w:val="00A27683"/>
    <w:rsid w:val="00A30616"/>
    <w:rsid w:val="00A33AF6"/>
    <w:rsid w:val="00A377FE"/>
    <w:rsid w:val="00A3F216"/>
    <w:rsid w:val="00A44F8B"/>
    <w:rsid w:val="00A46954"/>
    <w:rsid w:val="00A47EAE"/>
    <w:rsid w:val="00A51306"/>
    <w:rsid w:val="00A57DFA"/>
    <w:rsid w:val="00A5AEF3"/>
    <w:rsid w:val="00A633FC"/>
    <w:rsid w:val="00A711BF"/>
    <w:rsid w:val="00A73890"/>
    <w:rsid w:val="00A74B11"/>
    <w:rsid w:val="00A7555E"/>
    <w:rsid w:val="00A82264"/>
    <w:rsid w:val="00A850BF"/>
    <w:rsid w:val="00A92559"/>
    <w:rsid w:val="00AB1748"/>
    <w:rsid w:val="00AC7AF0"/>
    <w:rsid w:val="00AD18E3"/>
    <w:rsid w:val="00AD3D43"/>
    <w:rsid w:val="00AD770F"/>
    <w:rsid w:val="00AE31FA"/>
    <w:rsid w:val="00AF09DD"/>
    <w:rsid w:val="00AF6B6B"/>
    <w:rsid w:val="00AF7BA0"/>
    <w:rsid w:val="00B32142"/>
    <w:rsid w:val="00B321CD"/>
    <w:rsid w:val="00B36513"/>
    <w:rsid w:val="00B36F2A"/>
    <w:rsid w:val="00B47546"/>
    <w:rsid w:val="00B479D4"/>
    <w:rsid w:val="00B514DE"/>
    <w:rsid w:val="00B5454A"/>
    <w:rsid w:val="00B70932"/>
    <w:rsid w:val="00B72D9C"/>
    <w:rsid w:val="00B82CF9"/>
    <w:rsid w:val="00B834F4"/>
    <w:rsid w:val="00B85176"/>
    <w:rsid w:val="00B91681"/>
    <w:rsid w:val="00B91788"/>
    <w:rsid w:val="00B95B19"/>
    <w:rsid w:val="00B97187"/>
    <w:rsid w:val="00BA4089"/>
    <w:rsid w:val="00BA6213"/>
    <w:rsid w:val="00BA6F93"/>
    <w:rsid w:val="00BB2BAD"/>
    <w:rsid w:val="00BB7F3D"/>
    <w:rsid w:val="00BC1030"/>
    <w:rsid w:val="00BC51D6"/>
    <w:rsid w:val="00BE2AAF"/>
    <w:rsid w:val="00BE6B23"/>
    <w:rsid w:val="00BE73F8"/>
    <w:rsid w:val="00C01172"/>
    <w:rsid w:val="00C0198C"/>
    <w:rsid w:val="00C077F2"/>
    <w:rsid w:val="00C128A4"/>
    <w:rsid w:val="00C16644"/>
    <w:rsid w:val="00C21316"/>
    <w:rsid w:val="00C3451A"/>
    <w:rsid w:val="00C40FEA"/>
    <w:rsid w:val="00C4691F"/>
    <w:rsid w:val="00C47780"/>
    <w:rsid w:val="00C54EAC"/>
    <w:rsid w:val="00C6036A"/>
    <w:rsid w:val="00C64352"/>
    <w:rsid w:val="00C66738"/>
    <w:rsid w:val="00C67ADF"/>
    <w:rsid w:val="00C73330"/>
    <w:rsid w:val="00C750C6"/>
    <w:rsid w:val="00C811A4"/>
    <w:rsid w:val="00C833BE"/>
    <w:rsid w:val="00C8656D"/>
    <w:rsid w:val="00C90B7F"/>
    <w:rsid w:val="00C96A3D"/>
    <w:rsid w:val="00CA1E01"/>
    <w:rsid w:val="00CB520C"/>
    <w:rsid w:val="00CB5343"/>
    <w:rsid w:val="00CC3801"/>
    <w:rsid w:val="00CC481D"/>
    <w:rsid w:val="00CD2385"/>
    <w:rsid w:val="00CD311A"/>
    <w:rsid w:val="00CD4344"/>
    <w:rsid w:val="00CE1C25"/>
    <w:rsid w:val="00CE35D8"/>
    <w:rsid w:val="00CE54B2"/>
    <w:rsid w:val="00CE5A99"/>
    <w:rsid w:val="00CE5F77"/>
    <w:rsid w:val="00CF53EE"/>
    <w:rsid w:val="00D03942"/>
    <w:rsid w:val="00D03D3A"/>
    <w:rsid w:val="00D0740A"/>
    <w:rsid w:val="00D13F97"/>
    <w:rsid w:val="00D20000"/>
    <w:rsid w:val="00D2586E"/>
    <w:rsid w:val="00D46C4D"/>
    <w:rsid w:val="00D52075"/>
    <w:rsid w:val="00D65D7E"/>
    <w:rsid w:val="00D70ECD"/>
    <w:rsid w:val="00D70FCB"/>
    <w:rsid w:val="00D712B7"/>
    <w:rsid w:val="00D80ABE"/>
    <w:rsid w:val="00D84FF0"/>
    <w:rsid w:val="00D85575"/>
    <w:rsid w:val="00D85FCF"/>
    <w:rsid w:val="00D87BE8"/>
    <w:rsid w:val="00D90FE7"/>
    <w:rsid w:val="00D911CA"/>
    <w:rsid w:val="00D93B26"/>
    <w:rsid w:val="00D96F1B"/>
    <w:rsid w:val="00DB36C1"/>
    <w:rsid w:val="00DB5C7E"/>
    <w:rsid w:val="00DC5EB3"/>
    <w:rsid w:val="00DD1A17"/>
    <w:rsid w:val="00DD2B7E"/>
    <w:rsid w:val="00DE411F"/>
    <w:rsid w:val="00E004DB"/>
    <w:rsid w:val="00E1294E"/>
    <w:rsid w:val="00E1295B"/>
    <w:rsid w:val="00E216E7"/>
    <w:rsid w:val="00E22F9F"/>
    <w:rsid w:val="00E35705"/>
    <w:rsid w:val="00E359EA"/>
    <w:rsid w:val="00E42CCB"/>
    <w:rsid w:val="00E47639"/>
    <w:rsid w:val="00E50DEF"/>
    <w:rsid w:val="00E50E43"/>
    <w:rsid w:val="00E61014"/>
    <w:rsid w:val="00E7025B"/>
    <w:rsid w:val="00E70901"/>
    <w:rsid w:val="00E7452E"/>
    <w:rsid w:val="00E77008"/>
    <w:rsid w:val="00E95FF6"/>
    <w:rsid w:val="00E975F7"/>
    <w:rsid w:val="00EA1F26"/>
    <w:rsid w:val="00EA7943"/>
    <w:rsid w:val="00EC090C"/>
    <w:rsid w:val="00EC38D6"/>
    <w:rsid w:val="00EC5EB9"/>
    <w:rsid w:val="00EC7E5F"/>
    <w:rsid w:val="00ED3749"/>
    <w:rsid w:val="00ED66C7"/>
    <w:rsid w:val="00EE7CCB"/>
    <w:rsid w:val="00EE7E1D"/>
    <w:rsid w:val="00EF3DD3"/>
    <w:rsid w:val="00EF4A27"/>
    <w:rsid w:val="00EF6803"/>
    <w:rsid w:val="00F149CF"/>
    <w:rsid w:val="00F16F9F"/>
    <w:rsid w:val="00F22D8C"/>
    <w:rsid w:val="00F25E76"/>
    <w:rsid w:val="00F27B83"/>
    <w:rsid w:val="00F31044"/>
    <w:rsid w:val="00F319A8"/>
    <w:rsid w:val="00F33AB7"/>
    <w:rsid w:val="00F33BBA"/>
    <w:rsid w:val="00F3485A"/>
    <w:rsid w:val="00F3494C"/>
    <w:rsid w:val="00F363D8"/>
    <w:rsid w:val="00F36467"/>
    <w:rsid w:val="00F45A9F"/>
    <w:rsid w:val="00F47D37"/>
    <w:rsid w:val="00F63B3B"/>
    <w:rsid w:val="00F67F42"/>
    <w:rsid w:val="00F85BFC"/>
    <w:rsid w:val="00F8616B"/>
    <w:rsid w:val="00FA1A98"/>
    <w:rsid w:val="00FB17A0"/>
    <w:rsid w:val="00FC14D8"/>
    <w:rsid w:val="00FD072C"/>
    <w:rsid w:val="00FD1FDC"/>
    <w:rsid w:val="00FD6D03"/>
    <w:rsid w:val="00FD7995"/>
    <w:rsid w:val="00FE65A2"/>
    <w:rsid w:val="00FF1E2B"/>
    <w:rsid w:val="00FF2B5F"/>
    <w:rsid w:val="0163A7D4"/>
    <w:rsid w:val="01A0FE56"/>
    <w:rsid w:val="01A13961"/>
    <w:rsid w:val="01AD4BF3"/>
    <w:rsid w:val="02502883"/>
    <w:rsid w:val="025D46E7"/>
    <w:rsid w:val="02CC8E9D"/>
    <w:rsid w:val="033D09C2"/>
    <w:rsid w:val="040A2D26"/>
    <w:rsid w:val="04560FBA"/>
    <w:rsid w:val="046907E8"/>
    <w:rsid w:val="04A31CF4"/>
    <w:rsid w:val="053AD16C"/>
    <w:rsid w:val="054B2A62"/>
    <w:rsid w:val="056452BF"/>
    <w:rsid w:val="064F443A"/>
    <w:rsid w:val="06686C97"/>
    <w:rsid w:val="06C9AA45"/>
    <w:rsid w:val="06E6FAC3"/>
    <w:rsid w:val="087CA9A4"/>
    <w:rsid w:val="089BF381"/>
    <w:rsid w:val="08C59704"/>
    <w:rsid w:val="09245860"/>
    <w:rsid w:val="09769860"/>
    <w:rsid w:val="0986E4FC"/>
    <w:rsid w:val="09EC9168"/>
    <w:rsid w:val="0AA70064"/>
    <w:rsid w:val="0B455710"/>
    <w:rsid w:val="0B941A2E"/>
    <w:rsid w:val="0BF015A4"/>
    <w:rsid w:val="0BF5E308"/>
    <w:rsid w:val="0C0E7291"/>
    <w:rsid w:val="0D6733D6"/>
    <w:rsid w:val="0D8BE605"/>
    <w:rsid w:val="0D9CF22F"/>
    <w:rsid w:val="0DBDE6EC"/>
    <w:rsid w:val="0DC16C43"/>
    <w:rsid w:val="0E4106E8"/>
    <w:rsid w:val="0E49FF3A"/>
    <w:rsid w:val="0E5A561F"/>
    <w:rsid w:val="0ED8AF63"/>
    <w:rsid w:val="0F1546C0"/>
    <w:rsid w:val="0F3BC9EF"/>
    <w:rsid w:val="0F5711C8"/>
    <w:rsid w:val="0FF7BF8D"/>
    <w:rsid w:val="0FFEF7F8"/>
    <w:rsid w:val="10D79A50"/>
    <w:rsid w:val="11008568"/>
    <w:rsid w:val="11E396BC"/>
    <w:rsid w:val="123AA4F9"/>
    <w:rsid w:val="123EED29"/>
    <w:rsid w:val="12514A2E"/>
    <w:rsid w:val="12763516"/>
    <w:rsid w:val="127F5295"/>
    <w:rsid w:val="12F7D824"/>
    <w:rsid w:val="134957DF"/>
    <w:rsid w:val="13618927"/>
    <w:rsid w:val="13F9A428"/>
    <w:rsid w:val="14A87EC2"/>
    <w:rsid w:val="14BE5F20"/>
    <w:rsid w:val="14CD263D"/>
    <w:rsid w:val="15844C41"/>
    <w:rsid w:val="15C908FD"/>
    <w:rsid w:val="160CB9CD"/>
    <w:rsid w:val="16759CA7"/>
    <w:rsid w:val="16B73178"/>
    <w:rsid w:val="1747D7F3"/>
    <w:rsid w:val="17C47C97"/>
    <w:rsid w:val="1875902C"/>
    <w:rsid w:val="188A496B"/>
    <w:rsid w:val="190D4BD7"/>
    <w:rsid w:val="19E850F1"/>
    <w:rsid w:val="1A634754"/>
    <w:rsid w:val="1A7F78B5"/>
    <w:rsid w:val="1BB0F4B6"/>
    <w:rsid w:val="1D2BFD48"/>
    <w:rsid w:val="1DFEDD8E"/>
    <w:rsid w:val="1E5A9EF1"/>
    <w:rsid w:val="1E8DEA08"/>
    <w:rsid w:val="1E8F12E5"/>
    <w:rsid w:val="1EE887E3"/>
    <w:rsid w:val="20203AB2"/>
    <w:rsid w:val="204813E1"/>
    <w:rsid w:val="204CDBF4"/>
    <w:rsid w:val="207B8060"/>
    <w:rsid w:val="21171E55"/>
    <w:rsid w:val="2123E945"/>
    <w:rsid w:val="217CB871"/>
    <w:rsid w:val="2184A8DE"/>
    <w:rsid w:val="22B88F6F"/>
    <w:rsid w:val="234E8E42"/>
    <w:rsid w:val="23B01672"/>
    <w:rsid w:val="2400BD24"/>
    <w:rsid w:val="243541D4"/>
    <w:rsid w:val="25BA5603"/>
    <w:rsid w:val="273280A3"/>
    <w:rsid w:val="2742513F"/>
    <w:rsid w:val="27B5F88E"/>
    <w:rsid w:val="27C092FB"/>
    <w:rsid w:val="27C225F0"/>
    <w:rsid w:val="27FED47C"/>
    <w:rsid w:val="28140CD9"/>
    <w:rsid w:val="28D10D77"/>
    <w:rsid w:val="28F1F6C5"/>
    <w:rsid w:val="29B9B09E"/>
    <w:rsid w:val="29D466B4"/>
    <w:rsid w:val="2A5F0D58"/>
    <w:rsid w:val="2AF262E3"/>
    <w:rsid w:val="2B20968A"/>
    <w:rsid w:val="2B372ACC"/>
    <w:rsid w:val="2BAEE1AA"/>
    <w:rsid w:val="2C11A478"/>
    <w:rsid w:val="2C3120C1"/>
    <w:rsid w:val="2CB70441"/>
    <w:rsid w:val="2CF03DF1"/>
    <w:rsid w:val="2D285027"/>
    <w:rsid w:val="2D63408F"/>
    <w:rsid w:val="2E225844"/>
    <w:rsid w:val="2EB92ADB"/>
    <w:rsid w:val="2EFF10F0"/>
    <w:rsid w:val="2F069933"/>
    <w:rsid w:val="2F3E3007"/>
    <w:rsid w:val="2FBE28A5"/>
    <w:rsid w:val="30A21AB9"/>
    <w:rsid w:val="30C163BC"/>
    <w:rsid w:val="30C865A5"/>
    <w:rsid w:val="30ECB1C5"/>
    <w:rsid w:val="31AFBD33"/>
    <w:rsid w:val="32CCD02B"/>
    <w:rsid w:val="33751BFD"/>
    <w:rsid w:val="340B4352"/>
    <w:rsid w:val="3492EAC5"/>
    <w:rsid w:val="34C4D811"/>
    <w:rsid w:val="350BADE8"/>
    <w:rsid w:val="3510EC5E"/>
    <w:rsid w:val="358DFB62"/>
    <w:rsid w:val="35B0938D"/>
    <w:rsid w:val="36298D77"/>
    <w:rsid w:val="362ADBC0"/>
    <w:rsid w:val="364887C7"/>
    <w:rsid w:val="36510EBE"/>
    <w:rsid w:val="36A5C79A"/>
    <w:rsid w:val="36DB3938"/>
    <w:rsid w:val="36DC10B9"/>
    <w:rsid w:val="36EDC4A4"/>
    <w:rsid w:val="371C59CE"/>
    <w:rsid w:val="37C8A56A"/>
    <w:rsid w:val="38302F6D"/>
    <w:rsid w:val="38980AE8"/>
    <w:rsid w:val="38C59C24"/>
    <w:rsid w:val="3907A3FF"/>
    <w:rsid w:val="3980E6E5"/>
    <w:rsid w:val="39B8B62D"/>
    <w:rsid w:val="3B30294F"/>
    <w:rsid w:val="3B569F79"/>
    <w:rsid w:val="3B5D17E6"/>
    <w:rsid w:val="3C1E2995"/>
    <w:rsid w:val="3C3AAEA7"/>
    <w:rsid w:val="3C66508B"/>
    <w:rsid w:val="3D677564"/>
    <w:rsid w:val="3D6AB509"/>
    <w:rsid w:val="3DFBC9B7"/>
    <w:rsid w:val="3E227B21"/>
    <w:rsid w:val="3E31AA04"/>
    <w:rsid w:val="3E5B75C0"/>
    <w:rsid w:val="3EEC0076"/>
    <w:rsid w:val="3F1D1ECF"/>
    <w:rsid w:val="3F4420AB"/>
    <w:rsid w:val="3F57F605"/>
    <w:rsid w:val="3FA01EB7"/>
    <w:rsid w:val="3FF80539"/>
    <w:rsid w:val="4028AF59"/>
    <w:rsid w:val="409F6501"/>
    <w:rsid w:val="40AA5F77"/>
    <w:rsid w:val="40F3C666"/>
    <w:rsid w:val="411DD38F"/>
    <w:rsid w:val="417D89AD"/>
    <w:rsid w:val="418B9FB1"/>
    <w:rsid w:val="4193F763"/>
    <w:rsid w:val="423AE687"/>
    <w:rsid w:val="4247E06C"/>
    <w:rsid w:val="42A0D93D"/>
    <w:rsid w:val="42D0DA66"/>
    <w:rsid w:val="42D7FC46"/>
    <w:rsid w:val="432FDCD0"/>
    <w:rsid w:val="43D2681D"/>
    <w:rsid w:val="4425D086"/>
    <w:rsid w:val="44AD34B9"/>
    <w:rsid w:val="4536D68C"/>
    <w:rsid w:val="45C50BDB"/>
    <w:rsid w:val="462E2BCA"/>
    <w:rsid w:val="46552B8C"/>
    <w:rsid w:val="4666A6AC"/>
    <w:rsid w:val="46DC4A86"/>
    <w:rsid w:val="47A70D4F"/>
    <w:rsid w:val="47F14C9F"/>
    <w:rsid w:val="4802770D"/>
    <w:rsid w:val="4814BC82"/>
    <w:rsid w:val="48465954"/>
    <w:rsid w:val="48ADD588"/>
    <w:rsid w:val="48BEAD19"/>
    <w:rsid w:val="48D2444C"/>
    <w:rsid w:val="48FCAC9D"/>
    <w:rsid w:val="491BD882"/>
    <w:rsid w:val="4959871D"/>
    <w:rsid w:val="498BA1C3"/>
    <w:rsid w:val="499E39D9"/>
    <w:rsid w:val="49A41EB4"/>
    <w:rsid w:val="49B4D7A6"/>
    <w:rsid w:val="4A08FC42"/>
    <w:rsid w:val="4A323F51"/>
    <w:rsid w:val="4A720BE0"/>
    <w:rsid w:val="4B9C96D6"/>
    <w:rsid w:val="4BA58F8C"/>
    <w:rsid w:val="4BA78C83"/>
    <w:rsid w:val="4C41D760"/>
    <w:rsid w:val="4C94C22E"/>
    <w:rsid w:val="4CEDFB46"/>
    <w:rsid w:val="4D415FED"/>
    <w:rsid w:val="4DBE88DA"/>
    <w:rsid w:val="4DFDE1D3"/>
    <w:rsid w:val="4E1835FE"/>
    <w:rsid w:val="4EC20E6B"/>
    <w:rsid w:val="4FF45300"/>
    <w:rsid w:val="503EB459"/>
    <w:rsid w:val="50B38DD3"/>
    <w:rsid w:val="514B8681"/>
    <w:rsid w:val="514FD6C0"/>
    <w:rsid w:val="518FD486"/>
    <w:rsid w:val="51A94BBE"/>
    <w:rsid w:val="51DA84BA"/>
    <w:rsid w:val="520BD85A"/>
    <w:rsid w:val="5241B288"/>
    <w:rsid w:val="525BA036"/>
    <w:rsid w:val="52A48AA8"/>
    <w:rsid w:val="52D423CD"/>
    <w:rsid w:val="52F0CFA7"/>
    <w:rsid w:val="54251FED"/>
    <w:rsid w:val="5425563E"/>
    <w:rsid w:val="54474CCA"/>
    <w:rsid w:val="549B2989"/>
    <w:rsid w:val="55033B22"/>
    <w:rsid w:val="55506A47"/>
    <w:rsid w:val="55733033"/>
    <w:rsid w:val="5575EE17"/>
    <w:rsid w:val="55D5AB92"/>
    <w:rsid w:val="55E31D2B"/>
    <w:rsid w:val="5625E90B"/>
    <w:rsid w:val="5626B3E5"/>
    <w:rsid w:val="564231BC"/>
    <w:rsid w:val="5651EA12"/>
    <w:rsid w:val="56C4A6D8"/>
    <w:rsid w:val="570F0094"/>
    <w:rsid w:val="575F87AC"/>
    <w:rsid w:val="57E0391D"/>
    <w:rsid w:val="5818F285"/>
    <w:rsid w:val="58646B3F"/>
    <w:rsid w:val="58AAD0F5"/>
    <w:rsid w:val="58BCD8EA"/>
    <w:rsid w:val="58FAADFD"/>
    <w:rsid w:val="5932B080"/>
    <w:rsid w:val="598EC93E"/>
    <w:rsid w:val="59B4C2E6"/>
    <w:rsid w:val="5A16EA3F"/>
    <w:rsid w:val="5A4AE15F"/>
    <w:rsid w:val="5A8BB651"/>
    <w:rsid w:val="5AD2174E"/>
    <w:rsid w:val="5AF95A2E"/>
    <w:rsid w:val="5B01B62C"/>
    <w:rsid w:val="5B1515FF"/>
    <w:rsid w:val="5B4F2652"/>
    <w:rsid w:val="5BB2BAA0"/>
    <w:rsid w:val="5C44ED16"/>
    <w:rsid w:val="5C66F28A"/>
    <w:rsid w:val="5D250BBF"/>
    <w:rsid w:val="5D8688C8"/>
    <w:rsid w:val="5E013F8A"/>
    <w:rsid w:val="5E0A88D7"/>
    <w:rsid w:val="5F7AEB43"/>
    <w:rsid w:val="5FAC3EF7"/>
    <w:rsid w:val="5FCCCB51"/>
    <w:rsid w:val="5FD5600D"/>
    <w:rsid w:val="6029F5D6"/>
    <w:rsid w:val="61E1E301"/>
    <w:rsid w:val="62057AC3"/>
    <w:rsid w:val="621A64EC"/>
    <w:rsid w:val="625E8F32"/>
    <w:rsid w:val="62D4B0AD"/>
    <w:rsid w:val="63058F70"/>
    <w:rsid w:val="630D00CF"/>
    <w:rsid w:val="6321C1F9"/>
    <w:rsid w:val="6394666B"/>
    <w:rsid w:val="63B3DF4D"/>
    <w:rsid w:val="64026B65"/>
    <w:rsid w:val="64333349"/>
    <w:rsid w:val="6479B013"/>
    <w:rsid w:val="64871417"/>
    <w:rsid w:val="648D4404"/>
    <w:rsid w:val="65812A48"/>
    <w:rsid w:val="65CCACBD"/>
    <w:rsid w:val="6644A191"/>
    <w:rsid w:val="6665B058"/>
    <w:rsid w:val="666B0119"/>
    <w:rsid w:val="67E071F2"/>
    <w:rsid w:val="685E0B03"/>
    <w:rsid w:val="6867BE66"/>
    <w:rsid w:val="68BBD5D6"/>
    <w:rsid w:val="68C13285"/>
    <w:rsid w:val="68C89DFD"/>
    <w:rsid w:val="68FFB289"/>
    <w:rsid w:val="695BA897"/>
    <w:rsid w:val="696C3A80"/>
    <w:rsid w:val="69F0130E"/>
    <w:rsid w:val="69F4A6D9"/>
    <w:rsid w:val="6A51AC1B"/>
    <w:rsid w:val="6A8C19F8"/>
    <w:rsid w:val="6B9F5F28"/>
    <w:rsid w:val="6C22701D"/>
    <w:rsid w:val="6CF0987D"/>
    <w:rsid w:val="6D249C78"/>
    <w:rsid w:val="6D35AB76"/>
    <w:rsid w:val="6D97D14D"/>
    <w:rsid w:val="6DD048D5"/>
    <w:rsid w:val="6E2DF65D"/>
    <w:rsid w:val="6E9E5333"/>
    <w:rsid w:val="6F0794D4"/>
    <w:rsid w:val="6F37584A"/>
    <w:rsid w:val="6FCBAE36"/>
    <w:rsid w:val="707ABDD1"/>
    <w:rsid w:val="70A36535"/>
    <w:rsid w:val="71C397E2"/>
    <w:rsid w:val="720EA0AC"/>
    <w:rsid w:val="7242C709"/>
    <w:rsid w:val="72CA1E3E"/>
    <w:rsid w:val="72CAB54C"/>
    <w:rsid w:val="73264645"/>
    <w:rsid w:val="732DAD40"/>
    <w:rsid w:val="73709BBA"/>
    <w:rsid w:val="746685AD"/>
    <w:rsid w:val="75ACB6A5"/>
    <w:rsid w:val="76345070"/>
    <w:rsid w:val="76C3BBDA"/>
    <w:rsid w:val="76F197F2"/>
    <w:rsid w:val="776ADBF1"/>
    <w:rsid w:val="78365406"/>
    <w:rsid w:val="78A2297D"/>
    <w:rsid w:val="78C26E99"/>
    <w:rsid w:val="7906AC52"/>
    <w:rsid w:val="7A0811BE"/>
    <w:rsid w:val="7A5308E7"/>
    <w:rsid w:val="7A6749CF"/>
    <w:rsid w:val="7BB89678"/>
    <w:rsid w:val="7BD9CA3F"/>
    <w:rsid w:val="7BEEEDC5"/>
    <w:rsid w:val="7C035CAC"/>
    <w:rsid w:val="7C05C524"/>
    <w:rsid w:val="7C251FA8"/>
    <w:rsid w:val="7C291E58"/>
    <w:rsid w:val="7C6F5F83"/>
    <w:rsid w:val="7CA945E5"/>
    <w:rsid w:val="7CD007CD"/>
    <w:rsid w:val="7D2CACA1"/>
    <w:rsid w:val="7D7D8593"/>
    <w:rsid w:val="7DD5E624"/>
    <w:rsid w:val="7DECB76C"/>
    <w:rsid w:val="7ECE7744"/>
    <w:rsid w:val="7F25A624"/>
    <w:rsid w:val="7F753BD0"/>
    <w:rsid w:val="7FE8FB6B"/>
    <w:rsid w:val="7FEE881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849EE"/>
  <w15:chartTrackingRefBased/>
  <w15:docId w15:val="{D05E3655-156C-4143-AFAD-EDEB25A48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71A4"/>
    <w:pPr>
      <w:spacing w:after="0" w:line="240" w:lineRule="auto"/>
    </w:pPr>
    <w:rPr>
      <w:rFonts w:ascii="Times New Roman" w:eastAsia="Times New Roman" w:hAnsi="Times New Roman" w:cs="Times New Roman"/>
      <w:sz w:val="24"/>
      <w:szCs w:val="24"/>
      <w:lang w:val="es-MX"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Pr>
      <w:color w:val="0563C1" w:themeColor="hyperlink"/>
      <w:u w:val="single"/>
    </w:rPr>
  </w:style>
  <w:style w:type="paragraph" w:styleId="Prrafodelista">
    <w:name w:val="List Paragraph"/>
    <w:aliases w:val="Cita texto,TEXTO GENERAL SENTENCIAS,Footnote,List Paragraph1,Colorful List - Accent 11,Párrafo de lista1,Cuadrícula clara - Énfasis 31,Lista vistosa - Énfasis 11,Lista multicolor - Énfasis 11,Párrafo de lista2,List Paragraph2,PARRAFO"/>
    <w:basedOn w:val="Normal"/>
    <w:link w:val="PrrafodelistaCar"/>
    <w:uiPriority w:val="34"/>
    <w:qFormat/>
    <w:pPr>
      <w:ind w:left="720"/>
      <w:contextualSpacing/>
    </w:pPr>
  </w:style>
  <w:style w:type="character" w:styleId="Refdenotaalpie">
    <w:name w:val="footnote reference"/>
    <w:aliases w:val="Ref. de nota al pie 2,Footnotes refss,Texto de nota al pie,Appel note de bas de page,Footnote number,referencia nota al pie,BVI fnr,f,4_G,16 Point,Superscript 6 Point,Texto nota al pie,ftref,Footnote Reference Char3,julio,Ref,ftre,Re"/>
    <w:basedOn w:val="Fuentedeprrafopredeter"/>
    <w:link w:val="4GChar"/>
    <w:uiPriority w:val="99"/>
    <w:unhideWhenUsed/>
    <w:qFormat/>
    <w:rPr>
      <w:vertAlign w:val="superscript"/>
    </w:rPr>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uiPriority w:val="99"/>
    <w:qFormat/>
    <w:rPr>
      <w:sz w:val="20"/>
      <w:szCs w:val="20"/>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Car Car C"/>
    <w:basedOn w:val="Normal"/>
    <w:link w:val="TextonotapieCar"/>
    <w:uiPriority w:val="99"/>
    <w:unhideWhenUsed/>
    <w:qFormat/>
    <w:rPr>
      <w:sz w:val="20"/>
      <w:szCs w:val="20"/>
    </w:rPr>
  </w:style>
  <w:style w:type="character" w:customStyle="1" w:styleId="PrrafodelistaCar">
    <w:name w:val="Párrafo de lista Car"/>
    <w:aliases w:val="Cita texto Car,TEXTO GENERAL SENTENCIAS Car,Footnote Car,List Paragraph1 Car,Colorful List - Accent 11 Car,Párrafo de lista1 Car,Cuadrícula clara - Énfasis 31 Car,Lista vistosa - Énfasis 11 Car,Lista multicolor - Énfasis 11 Car"/>
    <w:link w:val="Prrafodelista"/>
    <w:uiPriority w:val="34"/>
    <w:qFormat/>
    <w:locked/>
    <w:rsid w:val="00A12595"/>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A12595"/>
    <w:pPr>
      <w:jc w:val="both"/>
    </w:pPr>
    <w:rPr>
      <w:vertAlign w:val="superscript"/>
    </w:rPr>
  </w:style>
  <w:style w:type="paragraph" w:customStyle="1" w:styleId="corte4fondo">
    <w:name w:val="corte4 fondo"/>
    <w:basedOn w:val="Normal"/>
    <w:link w:val="corte4fondoCar"/>
    <w:qFormat/>
    <w:rsid w:val="004C0A7D"/>
    <w:pPr>
      <w:spacing w:line="360" w:lineRule="auto"/>
      <w:ind w:firstLine="709"/>
      <w:jc w:val="both"/>
    </w:pPr>
    <w:rPr>
      <w:rFonts w:ascii="Arial" w:hAnsi="Arial"/>
      <w:sz w:val="30"/>
      <w:szCs w:val="20"/>
      <w:lang w:val="es-ES_tradnl" w:eastAsia="es-MX"/>
    </w:rPr>
  </w:style>
  <w:style w:type="character" w:customStyle="1" w:styleId="corte4fondoCar">
    <w:name w:val="corte4 fondo Car"/>
    <w:link w:val="corte4fondo"/>
    <w:rsid w:val="004C0A7D"/>
    <w:rPr>
      <w:rFonts w:ascii="Arial" w:eastAsia="Times New Roman" w:hAnsi="Arial" w:cs="Times New Roman"/>
      <w:sz w:val="30"/>
      <w:szCs w:val="20"/>
      <w:lang w:val="es-ES_tradnl" w:eastAsia="es-MX"/>
    </w:rPr>
  </w:style>
  <w:style w:type="paragraph" w:customStyle="1" w:styleId="TextoNormal">
    <w:name w:val="TextoNormal"/>
    <w:basedOn w:val="Normal"/>
    <w:qFormat/>
    <w:rsid w:val="004C0A7D"/>
    <w:pPr>
      <w:spacing w:line="360" w:lineRule="auto"/>
      <w:jc w:val="both"/>
    </w:pPr>
    <w:rPr>
      <w:rFonts w:ascii="Arial" w:hAnsi="Arial"/>
      <w:sz w:val="30"/>
      <w:szCs w:val="20"/>
      <w:lang w:eastAsia="es-ES"/>
    </w:rPr>
  </w:style>
  <w:style w:type="paragraph" w:customStyle="1" w:styleId="corte5transcripcion">
    <w:name w:val="corte5 transcripcion"/>
    <w:basedOn w:val="Normal"/>
    <w:link w:val="corte5transcripcionCar"/>
    <w:qFormat/>
    <w:rsid w:val="00CC3801"/>
    <w:pPr>
      <w:spacing w:line="360" w:lineRule="auto"/>
      <w:ind w:left="709" w:right="709"/>
      <w:jc w:val="both"/>
    </w:pPr>
    <w:rPr>
      <w:rFonts w:ascii="Arial" w:hAnsi="Arial"/>
      <w:b/>
      <w:i/>
      <w:sz w:val="30"/>
      <w:szCs w:val="20"/>
      <w:lang w:val="es-ES_tradnl" w:eastAsia="es-MX"/>
    </w:rPr>
  </w:style>
  <w:style w:type="character" w:customStyle="1" w:styleId="corte5transcripcionCar">
    <w:name w:val="corte5 transcripcion Car"/>
    <w:link w:val="corte5transcripcion"/>
    <w:rsid w:val="00CC3801"/>
    <w:rPr>
      <w:rFonts w:ascii="Arial" w:eastAsia="Times New Roman" w:hAnsi="Arial" w:cs="Times New Roman"/>
      <w:b/>
      <w:i/>
      <w:sz w:val="30"/>
      <w:szCs w:val="20"/>
      <w:lang w:val="es-ES_tradnl" w:eastAsia="es-MX"/>
    </w:rPr>
  </w:style>
  <w:style w:type="paragraph" w:styleId="NormalWeb">
    <w:name w:val="Normal (Web)"/>
    <w:basedOn w:val="Normal"/>
    <w:uiPriority w:val="99"/>
    <w:unhideWhenUsed/>
    <w:rsid w:val="00B36513"/>
  </w:style>
  <w:style w:type="character" w:styleId="Refdecomentario">
    <w:name w:val="annotation reference"/>
    <w:basedOn w:val="Fuentedeprrafopredeter"/>
    <w:uiPriority w:val="99"/>
    <w:semiHidden/>
    <w:unhideWhenUsed/>
    <w:rsid w:val="007C3BBE"/>
    <w:rPr>
      <w:sz w:val="16"/>
      <w:szCs w:val="16"/>
    </w:rPr>
  </w:style>
  <w:style w:type="paragraph" w:styleId="Textocomentario">
    <w:name w:val="annotation text"/>
    <w:basedOn w:val="Normal"/>
    <w:link w:val="TextocomentarioCar"/>
    <w:uiPriority w:val="99"/>
    <w:semiHidden/>
    <w:unhideWhenUsed/>
    <w:rsid w:val="007C3BBE"/>
    <w:rPr>
      <w:sz w:val="20"/>
      <w:szCs w:val="20"/>
    </w:rPr>
  </w:style>
  <w:style w:type="character" w:customStyle="1" w:styleId="TextocomentarioCar">
    <w:name w:val="Texto comentario Car"/>
    <w:basedOn w:val="Fuentedeprrafopredeter"/>
    <w:link w:val="Textocomentario"/>
    <w:uiPriority w:val="99"/>
    <w:semiHidden/>
    <w:rsid w:val="007C3BBE"/>
    <w:rPr>
      <w:sz w:val="20"/>
      <w:szCs w:val="20"/>
    </w:rPr>
  </w:style>
  <w:style w:type="paragraph" w:styleId="Asuntodelcomentario">
    <w:name w:val="annotation subject"/>
    <w:basedOn w:val="Textocomentario"/>
    <w:next w:val="Textocomentario"/>
    <w:link w:val="AsuntodelcomentarioCar"/>
    <w:uiPriority w:val="99"/>
    <w:semiHidden/>
    <w:unhideWhenUsed/>
    <w:rsid w:val="007C3BBE"/>
    <w:rPr>
      <w:b/>
      <w:bCs/>
    </w:rPr>
  </w:style>
  <w:style w:type="character" w:customStyle="1" w:styleId="AsuntodelcomentarioCar">
    <w:name w:val="Asunto del comentario Car"/>
    <w:basedOn w:val="TextocomentarioCar"/>
    <w:link w:val="Asuntodelcomentario"/>
    <w:uiPriority w:val="99"/>
    <w:semiHidden/>
    <w:rsid w:val="007C3BBE"/>
    <w:rPr>
      <w:b/>
      <w:bCs/>
      <w:sz w:val="20"/>
      <w:szCs w:val="20"/>
    </w:rPr>
  </w:style>
  <w:style w:type="paragraph" w:styleId="Textodeglobo">
    <w:name w:val="Balloon Text"/>
    <w:basedOn w:val="Normal"/>
    <w:link w:val="TextodegloboCar"/>
    <w:uiPriority w:val="99"/>
    <w:semiHidden/>
    <w:unhideWhenUsed/>
    <w:rsid w:val="007C3BB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C3BBE"/>
    <w:rPr>
      <w:rFonts w:ascii="Segoe UI" w:hAnsi="Segoe UI" w:cs="Segoe UI"/>
      <w:sz w:val="18"/>
      <w:szCs w:val="18"/>
    </w:rPr>
  </w:style>
  <w:style w:type="character" w:customStyle="1" w:styleId="corte4fondoCar1">
    <w:name w:val="corte4 fondo Car1"/>
    <w:rsid w:val="009B6431"/>
    <w:rPr>
      <w:rFonts w:ascii="Arial" w:hAnsi="Arial"/>
      <w:sz w:val="3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270289">
      <w:bodyDiv w:val="1"/>
      <w:marLeft w:val="0"/>
      <w:marRight w:val="0"/>
      <w:marTop w:val="0"/>
      <w:marBottom w:val="0"/>
      <w:divBdr>
        <w:top w:val="none" w:sz="0" w:space="0" w:color="auto"/>
        <w:left w:val="none" w:sz="0" w:space="0" w:color="auto"/>
        <w:bottom w:val="none" w:sz="0" w:space="0" w:color="auto"/>
        <w:right w:val="none" w:sz="0" w:space="0" w:color="auto"/>
      </w:divBdr>
    </w:div>
    <w:div w:id="332609549">
      <w:bodyDiv w:val="1"/>
      <w:marLeft w:val="0"/>
      <w:marRight w:val="0"/>
      <w:marTop w:val="0"/>
      <w:marBottom w:val="0"/>
      <w:divBdr>
        <w:top w:val="none" w:sz="0" w:space="0" w:color="auto"/>
        <w:left w:val="none" w:sz="0" w:space="0" w:color="auto"/>
        <w:bottom w:val="none" w:sz="0" w:space="0" w:color="auto"/>
        <w:right w:val="none" w:sz="0" w:space="0" w:color="auto"/>
      </w:divBdr>
      <w:divsChild>
        <w:div w:id="874193059">
          <w:marLeft w:val="0"/>
          <w:marRight w:val="0"/>
          <w:marTop w:val="0"/>
          <w:marBottom w:val="0"/>
          <w:divBdr>
            <w:top w:val="none" w:sz="0" w:space="0" w:color="auto"/>
            <w:left w:val="none" w:sz="0" w:space="0" w:color="auto"/>
            <w:bottom w:val="none" w:sz="0" w:space="0" w:color="auto"/>
            <w:right w:val="none" w:sz="0" w:space="0" w:color="auto"/>
          </w:divBdr>
          <w:divsChild>
            <w:div w:id="388266661">
              <w:marLeft w:val="0"/>
              <w:marRight w:val="0"/>
              <w:marTop w:val="0"/>
              <w:marBottom w:val="0"/>
              <w:divBdr>
                <w:top w:val="none" w:sz="0" w:space="0" w:color="auto"/>
                <w:left w:val="none" w:sz="0" w:space="0" w:color="auto"/>
                <w:bottom w:val="none" w:sz="0" w:space="0" w:color="auto"/>
                <w:right w:val="none" w:sz="0" w:space="0" w:color="auto"/>
              </w:divBdr>
              <w:divsChild>
                <w:div w:id="87399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2022793">
      <w:bodyDiv w:val="1"/>
      <w:marLeft w:val="0"/>
      <w:marRight w:val="0"/>
      <w:marTop w:val="0"/>
      <w:marBottom w:val="0"/>
      <w:divBdr>
        <w:top w:val="none" w:sz="0" w:space="0" w:color="auto"/>
        <w:left w:val="none" w:sz="0" w:space="0" w:color="auto"/>
        <w:bottom w:val="none" w:sz="0" w:space="0" w:color="auto"/>
        <w:right w:val="none" w:sz="0" w:space="0" w:color="auto"/>
      </w:divBdr>
      <w:divsChild>
        <w:div w:id="418529442">
          <w:marLeft w:val="0"/>
          <w:marRight w:val="0"/>
          <w:marTop w:val="0"/>
          <w:marBottom w:val="0"/>
          <w:divBdr>
            <w:top w:val="none" w:sz="0" w:space="0" w:color="auto"/>
            <w:left w:val="none" w:sz="0" w:space="0" w:color="auto"/>
            <w:bottom w:val="none" w:sz="0" w:space="0" w:color="auto"/>
            <w:right w:val="none" w:sz="0" w:space="0" w:color="auto"/>
          </w:divBdr>
          <w:divsChild>
            <w:div w:id="718865782">
              <w:marLeft w:val="0"/>
              <w:marRight w:val="0"/>
              <w:marTop w:val="0"/>
              <w:marBottom w:val="0"/>
              <w:divBdr>
                <w:top w:val="none" w:sz="0" w:space="0" w:color="auto"/>
                <w:left w:val="none" w:sz="0" w:space="0" w:color="auto"/>
                <w:bottom w:val="none" w:sz="0" w:space="0" w:color="auto"/>
                <w:right w:val="none" w:sz="0" w:space="0" w:color="auto"/>
              </w:divBdr>
              <w:divsChild>
                <w:div w:id="10145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4283">
      <w:bodyDiv w:val="1"/>
      <w:marLeft w:val="0"/>
      <w:marRight w:val="0"/>
      <w:marTop w:val="0"/>
      <w:marBottom w:val="0"/>
      <w:divBdr>
        <w:top w:val="none" w:sz="0" w:space="0" w:color="auto"/>
        <w:left w:val="none" w:sz="0" w:space="0" w:color="auto"/>
        <w:bottom w:val="none" w:sz="0" w:space="0" w:color="auto"/>
        <w:right w:val="none" w:sz="0" w:space="0" w:color="auto"/>
      </w:divBdr>
    </w:div>
    <w:div w:id="512770466">
      <w:bodyDiv w:val="1"/>
      <w:marLeft w:val="0"/>
      <w:marRight w:val="0"/>
      <w:marTop w:val="0"/>
      <w:marBottom w:val="0"/>
      <w:divBdr>
        <w:top w:val="none" w:sz="0" w:space="0" w:color="auto"/>
        <w:left w:val="none" w:sz="0" w:space="0" w:color="auto"/>
        <w:bottom w:val="none" w:sz="0" w:space="0" w:color="auto"/>
        <w:right w:val="none" w:sz="0" w:space="0" w:color="auto"/>
      </w:divBdr>
    </w:div>
    <w:div w:id="586304147">
      <w:bodyDiv w:val="1"/>
      <w:marLeft w:val="0"/>
      <w:marRight w:val="0"/>
      <w:marTop w:val="0"/>
      <w:marBottom w:val="0"/>
      <w:divBdr>
        <w:top w:val="none" w:sz="0" w:space="0" w:color="auto"/>
        <w:left w:val="none" w:sz="0" w:space="0" w:color="auto"/>
        <w:bottom w:val="none" w:sz="0" w:space="0" w:color="auto"/>
        <w:right w:val="none" w:sz="0" w:space="0" w:color="auto"/>
      </w:divBdr>
      <w:divsChild>
        <w:div w:id="1943100029">
          <w:marLeft w:val="0"/>
          <w:marRight w:val="0"/>
          <w:marTop w:val="0"/>
          <w:marBottom w:val="0"/>
          <w:divBdr>
            <w:top w:val="none" w:sz="0" w:space="0" w:color="auto"/>
            <w:left w:val="none" w:sz="0" w:space="0" w:color="auto"/>
            <w:bottom w:val="none" w:sz="0" w:space="0" w:color="auto"/>
            <w:right w:val="none" w:sz="0" w:space="0" w:color="auto"/>
          </w:divBdr>
          <w:divsChild>
            <w:div w:id="2109690352">
              <w:marLeft w:val="0"/>
              <w:marRight w:val="0"/>
              <w:marTop w:val="0"/>
              <w:marBottom w:val="0"/>
              <w:divBdr>
                <w:top w:val="none" w:sz="0" w:space="0" w:color="auto"/>
                <w:left w:val="none" w:sz="0" w:space="0" w:color="auto"/>
                <w:bottom w:val="none" w:sz="0" w:space="0" w:color="auto"/>
                <w:right w:val="none" w:sz="0" w:space="0" w:color="auto"/>
              </w:divBdr>
              <w:divsChild>
                <w:div w:id="63919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983958">
      <w:bodyDiv w:val="1"/>
      <w:marLeft w:val="0"/>
      <w:marRight w:val="0"/>
      <w:marTop w:val="0"/>
      <w:marBottom w:val="0"/>
      <w:divBdr>
        <w:top w:val="none" w:sz="0" w:space="0" w:color="auto"/>
        <w:left w:val="none" w:sz="0" w:space="0" w:color="auto"/>
        <w:bottom w:val="none" w:sz="0" w:space="0" w:color="auto"/>
        <w:right w:val="none" w:sz="0" w:space="0" w:color="auto"/>
      </w:divBdr>
      <w:divsChild>
        <w:div w:id="676810291">
          <w:marLeft w:val="0"/>
          <w:marRight w:val="0"/>
          <w:marTop w:val="0"/>
          <w:marBottom w:val="0"/>
          <w:divBdr>
            <w:top w:val="none" w:sz="0" w:space="0" w:color="auto"/>
            <w:left w:val="none" w:sz="0" w:space="0" w:color="auto"/>
            <w:bottom w:val="none" w:sz="0" w:space="0" w:color="auto"/>
            <w:right w:val="none" w:sz="0" w:space="0" w:color="auto"/>
          </w:divBdr>
          <w:divsChild>
            <w:div w:id="15162185">
              <w:marLeft w:val="0"/>
              <w:marRight w:val="0"/>
              <w:marTop w:val="0"/>
              <w:marBottom w:val="0"/>
              <w:divBdr>
                <w:top w:val="none" w:sz="0" w:space="0" w:color="auto"/>
                <w:left w:val="none" w:sz="0" w:space="0" w:color="auto"/>
                <w:bottom w:val="none" w:sz="0" w:space="0" w:color="auto"/>
                <w:right w:val="none" w:sz="0" w:space="0" w:color="auto"/>
              </w:divBdr>
              <w:divsChild>
                <w:div w:id="157150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581513">
      <w:bodyDiv w:val="1"/>
      <w:marLeft w:val="0"/>
      <w:marRight w:val="0"/>
      <w:marTop w:val="0"/>
      <w:marBottom w:val="0"/>
      <w:divBdr>
        <w:top w:val="none" w:sz="0" w:space="0" w:color="auto"/>
        <w:left w:val="none" w:sz="0" w:space="0" w:color="auto"/>
        <w:bottom w:val="none" w:sz="0" w:space="0" w:color="auto"/>
        <w:right w:val="none" w:sz="0" w:space="0" w:color="auto"/>
      </w:divBdr>
    </w:div>
    <w:div w:id="655573681">
      <w:bodyDiv w:val="1"/>
      <w:marLeft w:val="0"/>
      <w:marRight w:val="0"/>
      <w:marTop w:val="0"/>
      <w:marBottom w:val="0"/>
      <w:divBdr>
        <w:top w:val="none" w:sz="0" w:space="0" w:color="auto"/>
        <w:left w:val="none" w:sz="0" w:space="0" w:color="auto"/>
        <w:bottom w:val="none" w:sz="0" w:space="0" w:color="auto"/>
        <w:right w:val="none" w:sz="0" w:space="0" w:color="auto"/>
      </w:divBdr>
      <w:divsChild>
        <w:div w:id="1564563810">
          <w:marLeft w:val="0"/>
          <w:marRight w:val="0"/>
          <w:marTop w:val="0"/>
          <w:marBottom w:val="0"/>
          <w:divBdr>
            <w:top w:val="none" w:sz="0" w:space="0" w:color="auto"/>
            <w:left w:val="none" w:sz="0" w:space="0" w:color="auto"/>
            <w:bottom w:val="none" w:sz="0" w:space="0" w:color="auto"/>
            <w:right w:val="none" w:sz="0" w:space="0" w:color="auto"/>
          </w:divBdr>
          <w:divsChild>
            <w:div w:id="555120367">
              <w:marLeft w:val="0"/>
              <w:marRight w:val="0"/>
              <w:marTop w:val="0"/>
              <w:marBottom w:val="0"/>
              <w:divBdr>
                <w:top w:val="none" w:sz="0" w:space="0" w:color="auto"/>
                <w:left w:val="none" w:sz="0" w:space="0" w:color="auto"/>
                <w:bottom w:val="none" w:sz="0" w:space="0" w:color="auto"/>
                <w:right w:val="none" w:sz="0" w:space="0" w:color="auto"/>
              </w:divBdr>
              <w:divsChild>
                <w:div w:id="1935551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111579">
      <w:bodyDiv w:val="1"/>
      <w:marLeft w:val="0"/>
      <w:marRight w:val="0"/>
      <w:marTop w:val="0"/>
      <w:marBottom w:val="0"/>
      <w:divBdr>
        <w:top w:val="none" w:sz="0" w:space="0" w:color="auto"/>
        <w:left w:val="none" w:sz="0" w:space="0" w:color="auto"/>
        <w:bottom w:val="none" w:sz="0" w:space="0" w:color="auto"/>
        <w:right w:val="none" w:sz="0" w:space="0" w:color="auto"/>
      </w:divBdr>
    </w:div>
    <w:div w:id="774206057">
      <w:bodyDiv w:val="1"/>
      <w:marLeft w:val="0"/>
      <w:marRight w:val="0"/>
      <w:marTop w:val="0"/>
      <w:marBottom w:val="0"/>
      <w:divBdr>
        <w:top w:val="none" w:sz="0" w:space="0" w:color="auto"/>
        <w:left w:val="none" w:sz="0" w:space="0" w:color="auto"/>
        <w:bottom w:val="none" w:sz="0" w:space="0" w:color="auto"/>
        <w:right w:val="none" w:sz="0" w:space="0" w:color="auto"/>
      </w:divBdr>
      <w:divsChild>
        <w:div w:id="835459572">
          <w:marLeft w:val="0"/>
          <w:marRight w:val="0"/>
          <w:marTop w:val="0"/>
          <w:marBottom w:val="0"/>
          <w:divBdr>
            <w:top w:val="none" w:sz="0" w:space="0" w:color="auto"/>
            <w:left w:val="none" w:sz="0" w:space="0" w:color="auto"/>
            <w:bottom w:val="none" w:sz="0" w:space="0" w:color="auto"/>
            <w:right w:val="none" w:sz="0" w:space="0" w:color="auto"/>
          </w:divBdr>
          <w:divsChild>
            <w:div w:id="428699360">
              <w:marLeft w:val="0"/>
              <w:marRight w:val="0"/>
              <w:marTop w:val="0"/>
              <w:marBottom w:val="0"/>
              <w:divBdr>
                <w:top w:val="none" w:sz="0" w:space="0" w:color="auto"/>
                <w:left w:val="none" w:sz="0" w:space="0" w:color="auto"/>
                <w:bottom w:val="none" w:sz="0" w:space="0" w:color="auto"/>
                <w:right w:val="none" w:sz="0" w:space="0" w:color="auto"/>
              </w:divBdr>
              <w:divsChild>
                <w:div w:id="55701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474670">
      <w:bodyDiv w:val="1"/>
      <w:marLeft w:val="0"/>
      <w:marRight w:val="0"/>
      <w:marTop w:val="0"/>
      <w:marBottom w:val="0"/>
      <w:divBdr>
        <w:top w:val="none" w:sz="0" w:space="0" w:color="auto"/>
        <w:left w:val="none" w:sz="0" w:space="0" w:color="auto"/>
        <w:bottom w:val="none" w:sz="0" w:space="0" w:color="auto"/>
        <w:right w:val="none" w:sz="0" w:space="0" w:color="auto"/>
      </w:divBdr>
      <w:divsChild>
        <w:div w:id="243610806">
          <w:marLeft w:val="0"/>
          <w:marRight w:val="0"/>
          <w:marTop w:val="0"/>
          <w:marBottom w:val="0"/>
          <w:divBdr>
            <w:top w:val="none" w:sz="0" w:space="0" w:color="auto"/>
            <w:left w:val="none" w:sz="0" w:space="0" w:color="auto"/>
            <w:bottom w:val="none" w:sz="0" w:space="0" w:color="auto"/>
            <w:right w:val="none" w:sz="0" w:space="0" w:color="auto"/>
          </w:divBdr>
          <w:divsChild>
            <w:div w:id="402224003">
              <w:marLeft w:val="0"/>
              <w:marRight w:val="0"/>
              <w:marTop w:val="0"/>
              <w:marBottom w:val="0"/>
              <w:divBdr>
                <w:top w:val="none" w:sz="0" w:space="0" w:color="auto"/>
                <w:left w:val="none" w:sz="0" w:space="0" w:color="auto"/>
                <w:bottom w:val="none" w:sz="0" w:space="0" w:color="auto"/>
                <w:right w:val="none" w:sz="0" w:space="0" w:color="auto"/>
              </w:divBdr>
              <w:divsChild>
                <w:div w:id="59293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442872">
      <w:bodyDiv w:val="1"/>
      <w:marLeft w:val="0"/>
      <w:marRight w:val="0"/>
      <w:marTop w:val="0"/>
      <w:marBottom w:val="0"/>
      <w:divBdr>
        <w:top w:val="none" w:sz="0" w:space="0" w:color="auto"/>
        <w:left w:val="none" w:sz="0" w:space="0" w:color="auto"/>
        <w:bottom w:val="none" w:sz="0" w:space="0" w:color="auto"/>
        <w:right w:val="none" w:sz="0" w:space="0" w:color="auto"/>
      </w:divBdr>
    </w:div>
    <w:div w:id="941690635">
      <w:bodyDiv w:val="1"/>
      <w:marLeft w:val="0"/>
      <w:marRight w:val="0"/>
      <w:marTop w:val="0"/>
      <w:marBottom w:val="0"/>
      <w:divBdr>
        <w:top w:val="none" w:sz="0" w:space="0" w:color="auto"/>
        <w:left w:val="none" w:sz="0" w:space="0" w:color="auto"/>
        <w:bottom w:val="none" w:sz="0" w:space="0" w:color="auto"/>
        <w:right w:val="none" w:sz="0" w:space="0" w:color="auto"/>
      </w:divBdr>
    </w:div>
    <w:div w:id="1045107281">
      <w:bodyDiv w:val="1"/>
      <w:marLeft w:val="0"/>
      <w:marRight w:val="0"/>
      <w:marTop w:val="0"/>
      <w:marBottom w:val="0"/>
      <w:divBdr>
        <w:top w:val="none" w:sz="0" w:space="0" w:color="auto"/>
        <w:left w:val="none" w:sz="0" w:space="0" w:color="auto"/>
        <w:bottom w:val="none" w:sz="0" w:space="0" w:color="auto"/>
        <w:right w:val="none" w:sz="0" w:space="0" w:color="auto"/>
      </w:divBdr>
      <w:divsChild>
        <w:div w:id="402528563">
          <w:marLeft w:val="0"/>
          <w:marRight w:val="0"/>
          <w:marTop w:val="0"/>
          <w:marBottom w:val="0"/>
          <w:divBdr>
            <w:top w:val="none" w:sz="0" w:space="0" w:color="auto"/>
            <w:left w:val="none" w:sz="0" w:space="0" w:color="auto"/>
            <w:bottom w:val="none" w:sz="0" w:space="0" w:color="auto"/>
            <w:right w:val="none" w:sz="0" w:space="0" w:color="auto"/>
          </w:divBdr>
          <w:divsChild>
            <w:div w:id="1339383181">
              <w:marLeft w:val="0"/>
              <w:marRight w:val="0"/>
              <w:marTop w:val="0"/>
              <w:marBottom w:val="0"/>
              <w:divBdr>
                <w:top w:val="none" w:sz="0" w:space="0" w:color="auto"/>
                <w:left w:val="none" w:sz="0" w:space="0" w:color="auto"/>
                <w:bottom w:val="none" w:sz="0" w:space="0" w:color="auto"/>
                <w:right w:val="none" w:sz="0" w:space="0" w:color="auto"/>
              </w:divBdr>
              <w:divsChild>
                <w:div w:id="144954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789054">
      <w:bodyDiv w:val="1"/>
      <w:marLeft w:val="0"/>
      <w:marRight w:val="0"/>
      <w:marTop w:val="0"/>
      <w:marBottom w:val="0"/>
      <w:divBdr>
        <w:top w:val="none" w:sz="0" w:space="0" w:color="auto"/>
        <w:left w:val="none" w:sz="0" w:space="0" w:color="auto"/>
        <w:bottom w:val="none" w:sz="0" w:space="0" w:color="auto"/>
        <w:right w:val="none" w:sz="0" w:space="0" w:color="auto"/>
      </w:divBdr>
      <w:divsChild>
        <w:div w:id="1491022119">
          <w:marLeft w:val="0"/>
          <w:marRight w:val="0"/>
          <w:marTop w:val="0"/>
          <w:marBottom w:val="0"/>
          <w:divBdr>
            <w:top w:val="none" w:sz="0" w:space="0" w:color="auto"/>
            <w:left w:val="none" w:sz="0" w:space="0" w:color="auto"/>
            <w:bottom w:val="none" w:sz="0" w:space="0" w:color="auto"/>
            <w:right w:val="none" w:sz="0" w:space="0" w:color="auto"/>
          </w:divBdr>
          <w:divsChild>
            <w:div w:id="1137407283">
              <w:marLeft w:val="0"/>
              <w:marRight w:val="0"/>
              <w:marTop w:val="0"/>
              <w:marBottom w:val="0"/>
              <w:divBdr>
                <w:top w:val="none" w:sz="0" w:space="0" w:color="auto"/>
                <w:left w:val="none" w:sz="0" w:space="0" w:color="auto"/>
                <w:bottom w:val="none" w:sz="0" w:space="0" w:color="auto"/>
                <w:right w:val="none" w:sz="0" w:space="0" w:color="auto"/>
              </w:divBdr>
              <w:divsChild>
                <w:div w:id="12119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991818">
      <w:bodyDiv w:val="1"/>
      <w:marLeft w:val="0"/>
      <w:marRight w:val="0"/>
      <w:marTop w:val="0"/>
      <w:marBottom w:val="0"/>
      <w:divBdr>
        <w:top w:val="none" w:sz="0" w:space="0" w:color="auto"/>
        <w:left w:val="none" w:sz="0" w:space="0" w:color="auto"/>
        <w:bottom w:val="none" w:sz="0" w:space="0" w:color="auto"/>
        <w:right w:val="none" w:sz="0" w:space="0" w:color="auto"/>
      </w:divBdr>
    </w:div>
    <w:div w:id="1230388204">
      <w:bodyDiv w:val="1"/>
      <w:marLeft w:val="0"/>
      <w:marRight w:val="0"/>
      <w:marTop w:val="0"/>
      <w:marBottom w:val="0"/>
      <w:divBdr>
        <w:top w:val="none" w:sz="0" w:space="0" w:color="auto"/>
        <w:left w:val="none" w:sz="0" w:space="0" w:color="auto"/>
        <w:bottom w:val="none" w:sz="0" w:space="0" w:color="auto"/>
        <w:right w:val="none" w:sz="0" w:space="0" w:color="auto"/>
      </w:divBdr>
      <w:divsChild>
        <w:div w:id="2018657870">
          <w:marLeft w:val="0"/>
          <w:marRight w:val="0"/>
          <w:marTop w:val="0"/>
          <w:marBottom w:val="0"/>
          <w:divBdr>
            <w:top w:val="none" w:sz="0" w:space="0" w:color="auto"/>
            <w:left w:val="none" w:sz="0" w:space="0" w:color="auto"/>
            <w:bottom w:val="none" w:sz="0" w:space="0" w:color="auto"/>
            <w:right w:val="none" w:sz="0" w:space="0" w:color="auto"/>
          </w:divBdr>
          <w:divsChild>
            <w:div w:id="596984443">
              <w:marLeft w:val="0"/>
              <w:marRight w:val="0"/>
              <w:marTop w:val="0"/>
              <w:marBottom w:val="0"/>
              <w:divBdr>
                <w:top w:val="none" w:sz="0" w:space="0" w:color="auto"/>
                <w:left w:val="none" w:sz="0" w:space="0" w:color="auto"/>
                <w:bottom w:val="none" w:sz="0" w:space="0" w:color="auto"/>
                <w:right w:val="none" w:sz="0" w:space="0" w:color="auto"/>
              </w:divBdr>
              <w:divsChild>
                <w:div w:id="209042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267696">
      <w:bodyDiv w:val="1"/>
      <w:marLeft w:val="0"/>
      <w:marRight w:val="0"/>
      <w:marTop w:val="0"/>
      <w:marBottom w:val="0"/>
      <w:divBdr>
        <w:top w:val="none" w:sz="0" w:space="0" w:color="auto"/>
        <w:left w:val="none" w:sz="0" w:space="0" w:color="auto"/>
        <w:bottom w:val="none" w:sz="0" w:space="0" w:color="auto"/>
        <w:right w:val="none" w:sz="0" w:space="0" w:color="auto"/>
      </w:divBdr>
    </w:div>
    <w:div w:id="1289700470">
      <w:bodyDiv w:val="1"/>
      <w:marLeft w:val="0"/>
      <w:marRight w:val="0"/>
      <w:marTop w:val="0"/>
      <w:marBottom w:val="0"/>
      <w:divBdr>
        <w:top w:val="none" w:sz="0" w:space="0" w:color="auto"/>
        <w:left w:val="none" w:sz="0" w:space="0" w:color="auto"/>
        <w:bottom w:val="none" w:sz="0" w:space="0" w:color="auto"/>
        <w:right w:val="none" w:sz="0" w:space="0" w:color="auto"/>
      </w:divBdr>
      <w:divsChild>
        <w:div w:id="1576548027">
          <w:marLeft w:val="0"/>
          <w:marRight w:val="0"/>
          <w:marTop w:val="0"/>
          <w:marBottom w:val="0"/>
          <w:divBdr>
            <w:top w:val="none" w:sz="0" w:space="0" w:color="auto"/>
            <w:left w:val="none" w:sz="0" w:space="0" w:color="auto"/>
            <w:bottom w:val="none" w:sz="0" w:space="0" w:color="auto"/>
            <w:right w:val="none" w:sz="0" w:space="0" w:color="auto"/>
          </w:divBdr>
          <w:divsChild>
            <w:div w:id="187840258">
              <w:marLeft w:val="0"/>
              <w:marRight w:val="0"/>
              <w:marTop w:val="0"/>
              <w:marBottom w:val="0"/>
              <w:divBdr>
                <w:top w:val="none" w:sz="0" w:space="0" w:color="auto"/>
                <w:left w:val="none" w:sz="0" w:space="0" w:color="auto"/>
                <w:bottom w:val="none" w:sz="0" w:space="0" w:color="auto"/>
                <w:right w:val="none" w:sz="0" w:space="0" w:color="auto"/>
              </w:divBdr>
              <w:divsChild>
                <w:div w:id="46990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709178">
      <w:bodyDiv w:val="1"/>
      <w:marLeft w:val="0"/>
      <w:marRight w:val="0"/>
      <w:marTop w:val="0"/>
      <w:marBottom w:val="0"/>
      <w:divBdr>
        <w:top w:val="none" w:sz="0" w:space="0" w:color="auto"/>
        <w:left w:val="none" w:sz="0" w:space="0" w:color="auto"/>
        <w:bottom w:val="none" w:sz="0" w:space="0" w:color="auto"/>
        <w:right w:val="none" w:sz="0" w:space="0" w:color="auto"/>
      </w:divBdr>
      <w:divsChild>
        <w:div w:id="1651907888">
          <w:marLeft w:val="0"/>
          <w:marRight w:val="0"/>
          <w:marTop w:val="0"/>
          <w:marBottom w:val="0"/>
          <w:divBdr>
            <w:top w:val="none" w:sz="0" w:space="0" w:color="auto"/>
            <w:left w:val="none" w:sz="0" w:space="0" w:color="auto"/>
            <w:bottom w:val="none" w:sz="0" w:space="0" w:color="auto"/>
            <w:right w:val="none" w:sz="0" w:space="0" w:color="auto"/>
          </w:divBdr>
          <w:divsChild>
            <w:div w:id="2039811923">
              <w:marLeft w:val="0"/>
              <w:marRight w:val="0"/>
              <w:marTop w:val="0"/>
              <w:marBottom w:val="0"/>
              <w:divBdr>
                <w:top w:val="none" w:sz="0" w:space="0" w:color="auto"/>
                <w:left w:val="none" w:sz="0" w:space="0" w:color="auto"/>
                <w:bottom w:val="none" w:sz="0" w:space="0" w:color="auto"/>
                <w:right w:val="none" w:sz="0" w:space="0" w:color="auto"/>
              </w:divBdr>
              <w:divsChild>
                <w:div w:id="88607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753946">
      <w:bodyDiv w:val="1"/>
      <w:marLeft w:val="0"/>
      <w:marRight w:val="0"/>
      <w:marTop w:val="0"/>
      <w:marBottom w:val="0"/>
      <w:divBdr>
        <w:top w:val="none" w:sz="0" w:space="0" w:color="auto"/>
        <w:left w:val="none" w:sz="0" w:space="0" w:color="auto"/>
        <w:bottom w:val="none" w:sz="0" w:space="0" w:color="auto"/>
        <w:right w:val="none" w:sz="0" w:space="0" w:color="auto"/>
      </w:divBdr>
    </w:div>
    <w:div w:id="1316759518">
      <w:bodyDiv w:val="1"/>
      <w:marLeft w:val="0"/>
      <w:marRight w:val="0"/>
      <w:marTop w:val="0"/>
      <w:marBottom w:val="0"/>
      <w:divBdr>
        <w:top w:val="none" w:sz="0" w:space="0" w:color="auto"/>
        <w:left w:val="none" w:sz="0" w:space="0" w:color="auto"/>
        <w:bottom w:val="none" w:sz="0" w:space="0" w:color="auto"/>
        <w:right w:val="none" w:sz="0" w:space="0" w:color="auto"/>
      </w:divBdr>
    </w:div>
    <w:div w:id="1332566456">
      <w:bodyDiv w:val="1"/>
      <w:marLeft w:val="0"/>
      <w:marRight w:val="0"/>
      <w:marTop w:val="0"/>
      <w:marBottom w:val="0"/>
      <w:divBdr>
        <w:top w:val="none" w:sz="0" w:space="0" w:color="auto"/>
        <w:left w:val="none" w:sz="0" w:space="0" w:color="auto"/>
        <w:bottom w:val="none" w:sz="0" w:space="0" w:color="auto"/>
        <w:right w:val="none" w:sz="0" w:space="0" w:color="auto"/>
      </w:divBdr>
      <w:divsChild>
        <w:div w:id="513418458">
          <w:marLeft w:val="0"/>
          <w:marRight w:val="0"/>
          <w:marTop w:val="0"/>
          <w:marBottom w:val="0"/>
          <w:divBdr>
            <w:top w:val="none" w:sz="0" w:space="0" w:color="auto"/>
            <w:left w:val="none" w:sz="0" w:space="0" w:color="auto"/>
            <w:bottom w:val="none" w:sz="0" w:space="0" w:color="auto"/>
            <w:right w:val="none" w:sz="0" w:space="0" w:color="auto"/>
          </w:divBdr>
          <w:divsChild>
            <w:div w:id="1732269049">
              <w:marLeft w:val="0"/>
              <w:marRight w:val="0"/>
              <w:marTop w:val="0"/>
              <w:marBottom w:val="0"/>
              <w:divBdr>
                <w:top w:val="none" w:sz="0" w:space="0" w:color="auto"/>
                <w:left w:val="none" w:sz="0" w:space="0" w:color="auto"/>
                <w:bottom w:val="none" w:sz="0" w:space="0" w:color="auto"/>
                <w:right w:val="none" w:sz="0" w:space="0" w:color="auto"/>
              </w:divBdr>
              <w:divsChild>
                <w:div w:id="632099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743615">
      <w:bodyDiv w:val="1"/>
      <w:marLeft w:val="0"/>
      <w:marRight w:val="0"/>
      <w:marTop w:val="0"/>
      <w:marBottom w:val="0"/>
      <w:divBdr>
        <w:top w:val="none" w:sz="0" w:space="0" w:color="auto"/>
        <w:left w:val="none" w:sz="0" w:space="0" w:color="auto"/>
        <w:bottom w:val="none" w:sz="0" w:space="0" w:color="auto"/>
        <w:right w:val="none" w:sz="0" w:space="0" w:color="auto"/>
      </w:divBdr>
    </w:div>
    <w:div w:id="1401564875">
      <w:bodyDiv w:val="1"/>
      <w:marLeft w:val="0"/>
      <w:marRight w:val="0"/>
      <w:marTop w:val="0"/>
      <w:marBottom w:val="0"/>
      <w:divBdr>
        <w:top w:val="none" w:sz="0" w:space="0" w:color="auto"/>
        <w:left w:val="none" w:sz="0" w:space="0" w:color="auto"/>
        <w:bottom w:val="none" w:sz="0" w:space="0" w:color="auto"/>
        <w:right w:val="none" w:sz="0" w:space="0" w:color="auto"/>
      </w:divBdr>
    </w:div>
    <w:div w:id="1434738090">
      <w:bodyDiv w:val="1"/>
      <w:marLeft w:val="0"/>
      <w:marRight w:val="0"/>
      <w:marTop w:val="0"/>
      <w:marBottom w:val="0"/>
      <w:divBdr>
        <w:top w:val="none" w:sz="0" w:space="0" w:color="auto"/>
        <w:left w:val="none" w:sz="0" w:space="0" w:color="auto"/>
        <w:bottom w:val="none" w:sz="0" w:space="0" w:color="auto"/>
        <w:right w:val="none" w:sz="0" w:space="0" w:color="auto"/>
      </w:divBdr>
      <w:divsChild>
        <w:div w:id="589239500">
          <w:marLeft w:val="0"/>
          <w:marRight w:val="0"/>
          <w:marTop w:val="0"/>
          <w:marBottom w:val="0"/>
          <w:divBdr>
            <w:top w:val="none" w:sz="0" w:space="0" w:color="auto"/>
            <w:left w:val="none" w:sz="0" w:space="0" w:color="auto"/>
            <w:bottom w:val="none" w:sz="0" w:space="0" w:color="auto"/>
            <w:right w:val="none" w:sz="0" w:space="0" w:color="auto"/>
          </w:divBdr>
          <w:divsChild>
            <w:div w:id="1648775254">
              <w:marLeft w:val="0"/>
              <w:marRight w:val="0"/>
              <w:marTop w:val="0"/>
              <w:marBottom w:val="0"/>
              <w:divBdr>
                <w:top w:val="none" w:sz="0" w:space="0" w:color="auto"/>
                <w:left w:val="none" w:sz="0" w:space="0" w:color="auto"/>
                <w:bottom w:val="none" w:sz="0" w:space="0" w:color="auto"/>
                <w:right w:val="none" w:sz="0" w:space="0" w:color="auto"/>
              </w:divBdr>
              <w:divsChild>
                <w:div w:id="45491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589795">
      <w:bodyDiv w:val="1"/>
      <w:marLeft w:val="0"/>
      <w:marRight w:val="0"/>
      <w:marTop w:val="0"/>
      <w:marBottom w:val="0"/>
      <w:divBdr>
        <w:top w:val="none" w:sz="0" w:space="0" w:color="auto"/>
        <w:left w:val="none" w:sz="0" w:space="0" w:color="auto"/>
        <w:bottom w:val="none" w:sz="0" w:space="0" w:color="auto"/>
        <w:right w:val="none" w:sz="0" w:space="0" w:color="auto"/>
      </w:divBdr>
      <w:divsChild>
        <w:div w:id="1784838552">
          <w:marLeft w:val="0"/>
          <w:marRight w:val="0"/>
          <w:marTop w:val="0"/>
          <w:marBottom w:val="0"/>
          <w:divBdr>
            <w:top w:val="none" w:sz="0" w:space="0" w:color="auto"/>
            <w:left w:val="none" w:sz="0" w:space="0" w:color="auto"/>
            <w:bottom w:val="none" w:sz="0" w:space="0" w:color="auto"/>
            <w:right w:val="none" w:sz="0" w:space="0" w:color="auto"/>
          </w:divBdr>
          <w:divsChild>
            <w:div w:id="890190805">
              <w:marLeft w:val="0"/>
              <w:marRight w:val="0"/>
              <w:marTop w:val="0"/>
              <w:marBottom w:val="0"/>
              <w:divBdr>
                <w:top w:val="none" w:sz="0" w:space="0" w:color="auto"/>
                <w:left w:val="none" w:sz="0" w:space="0" w:color="auto"/>
                <w:bottom w:val="none" w:sz="0" w:space="0" w:color="auto"/>
                <w:right w:val="none" w:sz="0" w:space="0" w:color="auto"/>
              </w:divBdr>
              <w:divsChild>
                <w:div w:id="102185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602495">
      <w:bodyDiv w:val="1"/>
      <w:marLeft w:val="0"/>
      <w:marRight w:val="0"/>
      <w:marTop w:val="0"/>
      <w:marBottom w:val="0"/>
      <w:divBdr>
        <w:top w:val="none" w:sz="0" w:space="0" w:color="auto"/>
        <w:left w:val="none" w:sz="0" w:space="0" w:color="auto"/>
        <w:bottom w:val="none" w:sz="0" w:space="0" w:color="auto"/>
        <w:right w:val="none" w:sz="0" w:space="0" w:color="auto"/>
      </w:divBdr>
      <w:divsChild>
        <w:div w:id="621233446">
          <w:marLeft w:val="0"/>
          <w:marRight w:val="0"/>
          <w:marTop w:val="0"/>
          <w:marBottom w:val="0"/>
          <w:divBdr>
            <w:top w:val="none" w:sz="0" w:space="0" w:color="auto"/>
            <w:left w:val="none" w:sz="0" w:space="0" w:color="auto"/>
            <w:bottom w:val="none" w:sz="0" w:space="0" w:color="auto"/>
            <w:right w:val="none" w:sz="0" w:space="0" w:color="auto"/>
          </w:divBdr>
          <w:divsChild>
            <w:div w:id="1874033240">
              <w:marLeft w:val="0"/>
              <w:marRight w:val="0"/>
              <w:marTop w:val="0"/>
              <w:marBottom w:val="0"/>
              <w:divBdr>
                <w:top w:val="none" w:sz="0" w:space="0" w:color="auto"/>
                <w:left w:val="none" w:sz="0" w:space="0" w:color="auto"/>
                <w:bottom w:val="none" w:sz="0" w:space="0" w:color="auto"/>
                <w:right w:val="none" w:sz="0" w:space="0" w:color="auto"/>
              </w:divBdr>
              <w:divsChild>
                <w:div w:id="191341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494450">
      <w:bodyDiv w:val="1"/>
      <w:marLeft w:val="0"/>
      <w:marRight w:val="0"/>
      <w:marTop w:val="0"/>
      <w:marBottom w:val="0"/>
      <w:divBdr>
        <w:top w:val="none" w:sz="0" w:space="0" w:color="auto"/>
        <w:left w:val="none" w:sz="0" w:space="0" w:color="auto"/>
        <w:bottom w:val="none" w:sz="0" w:space="0" w:color="auto"/>
        <w:right w:val="none" w:sz="0" w:space="0" w:color="auto"/>
      </w:divBdr>
    </w:div>
    <w:div w:id="1489176715">
      <w:bodyDiv w:val="1"/>
      <w:marLeft w:val="0"/>
      <w:marRight w:val="0"/>
      <w:marTop w:val="0"/>
      <w:marBottom w:val="0"/>
      <w:divBdr>
        <w:top w:val="none" w:sz="0" w:space="0" w:color="auto"/>
        <w:left w:val="none" w:sz="0" w:space="0" w:color="auto"/>
        <w:bottom w:val="none" w:sz="0" w:space="0" w:color="auto"/>
        <w:right w:val="none" w:sz="0" w:space="0" w:color="auto"/>
      </w:divBdr>
    </w:div>
    <w:div w:id="1511144794">
      <w:bodyDiv w:val="1"/>
      <w:marLeft w:val="0"/>
      <w:marRight w:val="0"/>
      <w:marTop w:val="0"/>
      <w:marBottom w:val="0"/>
      <w:divBdr>
        <w:top w:val="none" w:sz="0" w:space="0" w:color="auto"/>
        <w:left w:val="none" w:sz="0" w:space="0" w:color="auto"/>
        <w:bottom w:val="none" w:sz="0" w:space="0" w:color="auto"/>
        <w:right w:val="none" w:sz="0" w:space="0" w:color="auto"/>
      </w:divBdr>
    </w:div>
    <w:div w:id="1576089923">
      <w:bodyDiv w:val="1"/>
      <w:marLeft w:val="0"/>
      <w:marRight w:val="0"/>
      <w:marTop w:val="0"/>
      <w:marBottom w:val="0"/>
      <w:divBdr>
        <w:top w:val="none" w:sz="0" w:space="0" w:color="auto"/>
        <w:left w:val="none" w:sz="0" w:space="0" w:color="auto"/>
        <w:bottom w:val="none" w:sz="0" w:space="0" w:color="auto"/>
        <w:right w:val="none" w:sz="0" w:space="0" w:color="auto"/>
      </w:divBdr>
      <w:divsChild>
        <w:div w:id="656809621">
          <w:marLeft w:val="0"/>
          <w:marRight w:val="0"/>
          <w:marTop w:val="0"/>
          <w:marBottom w:val="0"/>
          <w:divBdr>
            <w:top w:val="none" w:sz="0" w:space="0" w:color="auto"/>
            <w:left w:val="none" w:sz="0" w:space="0" w:color="auto"/>
            <w:bottom w:val="none" w:sz="0" w:space="0" w:color="auto"/>
            <w:right w:val="none" w:sz="0" w:space="0" w:color="auto"/>
          </w:divBdr>
          <w:divsChild>
            <w:div w:id="1079012574">
              <w:marLeft w:val="0"/>
              <w:marRight w:val="0"/>
              <w:marTop w:val="0"/>
              <w:marBottom w:val="0"/>
              <w:divBdr>
                <w:top w:val="none" w:sz="0" w:space="0" w:color="auto"/>
                <w:left w:val="none" w:sz="0" w:space="0" w:color="auto"/>
                <w:bottom w:val="none" w:sz="0" w:space="0" w:color="auto"/>
                <w:right w:val="none" w:sz="0" w:space="0" w:color="auto"/>
              </w:divBdr>
              <w:divsChild>
                <w:div w:id="164207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608271">
      <w:bodyDiv w:val="1"/>
      <w:marLeft w:val="0"/>
      <w:marRight w:val="0"/>
      <w:marTop w:val="0"/>
      <w:marBottom w:val="0"/>
      <w:divBdr>
        <w:top w:val="none" w:sz="0" w:space="0" w:color="auto"/>
        <w:left w:val="none" w:sz="0" w:space="0" w:color="auto"/>
        <w:bottom w:val="none" w:sz="0" w:space="0" w:color="auto"/>
        <w:right w:val="none" w:sz="0" w:space="0" w:color="auto"/>
      </w:divBdr>
      <w:divsChild>
        <w:div w:id="1049181664">
          <w:marLeft w:val="0"/>
          <w:marRight w:val="0"/>
          <w:marTop w:val="0"/>
          <w:marBottom w:val="0"/>
          <w:divBdr>
            <w:top w:val="none" w:sz="0" w:space="0" w:color="auto"/>
            <w:left w:val="none" w:sz="0" w:space="0" w:color="auto"/>
            <w:bottom w:val="none" w:sz="0" w:space="0" w:color="auto"/>
            <w:right w:val="none" w:sz="0" w:space="0" w:color="auto"/>
          </w:divBdr>
          <w:divsChild>
            <w:div w:id="615907720">
              <w:marLeft w:val="0"/>
              <w:marRight w:val="0"/>
              <w:marTop w:val="0"/>
              <w:marBottom w:val="0"/>
              <w:divBdr>
                <w:top w:val="none" w:sz="0" w:space="0" w:color="auto"/>
                <w:left w:val="none" w:sz="0" w:space="0" w:color="auto"/>
                <w:bottom w:val="none" w:sz="0" w:space="0" w:color="auto"/>
                <w:right w:val="none" w:sz="0" w:space="0" w:color="auto"/>
              </w:divBdr>
              <w:divsChild>
                <w:div w:id="51696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284898">
      <w:bodyDiv w:val="1"/>
      <w:marLeft w:val="0"/>
      <w:marRight w:val="0"/>
      <w:marTop w:val="0"/>
      <w:marBottom w:val="0"/>
      <w:divBdr>
        <w:top w:val="none" w:sz="0" w:space="0" w:color="auto"/>
        <w:left w:val="none" w:sz="0" w:space="0" w:color="auto"/>
        <w:bottom w:val="none" w:sz="0" w:space="0" w:color="auto"/>
        <w:right w:val="none" w:sz="0" w:space="0" w:color="auto"/>
      </w:divBdr>
      <w:divsChild>
        <w:div w:id="307325011">
          <w:marLeft w:val="0"/>
          <w:marRight w:val="0"/>
          <w:marTop w:val="0"/>
          <w:marBottom w:val="0"/>
          <w:divBdr>
            <w:top w:val="none" w:sz="0" w:space="0" w:color="auto"/>
            <w:left w:val="none" w:sz="0" w:space="0" w:color="auto"/>
            <w:bottom w:val="none" w:sz="0" w:space="0" w:color="auto"/>
            <w:right w:val="none" w:sz="0" w:space="0" w:color="auto"/>
          </w:divBdr>
          <w:divsChild>
            <w:div w:id="6373504">
              <w:marLeft w:val="0"/>
              <w:marRight w:val="0"/>
              <w:marTop w:val="0"/>
              <w:marBottom w:val="0"/>
              <w:divBdr>
                <w:top w:val="none" w:sz="0" w:space="0" w:color="auto"/>
                <w:left w:val="none" w:sz="0" w:space="0" w:color="auto"/>
                <w:bottom w:val="none" w:sz="0" w:space="0" w:color="auto"/>
                <w:right w:val="none" w:sz="0" w:space="0" w:color="auto"/>
              </w:divBdr>
              <w:divsChild>
                <w:div w:id="120987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620353">
      <w:bodyDiv w:val="1"/>
      <w:marLeft w:val="0"/>
      <w:marRight w:val="0"/>
      <w:marTop w:val="0"/>
      <w:marBottom w:val="0"/>
      <w:divBdr>
        <w:top w:val="none" w:sz="0" w:space="0" w:color="auto"/>
        <w:left w:val="none" w:sz="0" w:space="0" w:color="auto"/>
        <w:bottom w:val="none" w:sz="0" w:space="0" w:color="auto"/>
        <w:right w:val="none" w:sz="0" w:space="0" w:color="auto"/>
      </w:divBdr>
    </w:div>
    <w:div w:id="1773893480">
      <w:bodyDiv w:val="1"/>
      <w:marLeft w:val="0"/>
      <w:marRight w:val="0"/>
      <w:marTop w:val="0"/>
      <w:marBottom w:val="0"/>
      <w:divBdr>
        <w:top w:val="none" w:sz="0" w:space="0" w:color="auto"/>
        <w:left w:val="none" w:sz="0" w:space="0" w:color="auto"/>
        <w:bottom w:val="none" w:sz="0" w:space="0" w:color="auto"/>
        <w:right w:val="none" w:sz="0" w:space="0" w:color="auto"/>
      </w:divBdr>
      <w:divsChild>
        <w:div w:id="1393625605">
          <w:marLeft w:val="0"/>
          <w:marRight w:val="0"/>
          <w:marTop w:val="0"/>
          <w:marBottom w:val="0"/>
          <w:divBdr>
            <w:top w:val="none" w:sz="0" w:space="0" w:color="auto"/>
            <w:left w:val="none" w:sz="0" w:space="0" w:color="auto"/>
            <w:bottom w:val="none" w:sz="0" w:space="0" w:color="auto"/>
            <w:right w:val="none" w:sz="0" w:space="0" w:color="auto"/>
          </w:divBdr>
          <w:divsChild>
            <w:div w:id="1925138809">
              <w:marLeft w:val="0"/>
              <w:marRight w:val="0"/>
              <w:marTop w:val="0"/>
              <w:marBottom w:val="0"/>
              <w:divBdr>
                <w:top w:val="none" w:sz="0" w:space="0" w:color="auto"/>
                <w:left w:val="none" w:sz="0" w:space="0" w:color="auto"/>
                <w:bottom w:val="none" w:sz="0" w:space="0" w:color="auto"/>
                <w:right w:val="none" w:sz="0" w:space="0" w:color="auto"/>
              </w:divBdr>
              <w:divsChild>
                <w:div w:id="214480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92163">
      <w:bodyDiv w:val="1"/>
      <w:marLeft w:val="0"/>
      <w:marRight w:val="0"/>
      <w:marTop w:val="0"/>
      <w:marBottom w:val="0"/>
      <w:divBdr>
        <w:top w:val="none" w:sz="0" w:space="0" w:color="auto"/>
        <w:left w:val="none" w:sz="0" w:space="0" w:color="auto"/>
        <w:bottom w:val="none" w:sz="0" w:space="0" w:color="auto"/>
        <w:right w:val="none" w:sz="0" w:space="0" w:color="auto"/>
      </w:divBdr>
      <w:divsChild>
        <w:div w:id="548761310">
          <w:marLeft w:val="0"/>
          <w:marRight w:val="0"/>
          <w:marTop w:val="0"/>
          <w:marBottom w:val="0"/>
          <w:divBdr>
            <w:top w:val="none" w:sz="0" w:space="0" w:color="auto"/>
            <w:left w:val="none" w:sz="0" w:space="0" w:color="auto"/>
            <w:bottom w:val="none" w:sz="0" w:space="0" w:color="auto"/>
            <w:right w:val="none" w:sz="0" w:space="0" w:color="auto"/>
          </w:divBdr>
          <w:divsChild>
            <w:div w:id="1734739689">
              <w:marLeft w:val="0"/>
              <w:marRight w:val="0"/>
              <w:marTop w:val="0"/>
              <w:marBottom w:val="0"/>
              <w:divBdr>
                <w:top w:val="none" w:sz="0" w:space="0" w:color="auto"/>
                <w:left w:val="none" w:sz="0" w:space="0" w:color="auto"/>
                <w:bottom w:val="none" w:sz="0" w:space="0" w:color="auto"/>
                <w:right w:val="none" w:sz="0" w:space="0" w:color="auto"/>
              </w:divBdr>
              <w:divsChild>
                <w:div w:id="195089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684168">
      <w:bodyDiv w:val="1"/>
      <w:marLeft w:val="0"/>
      <w:marRight w:val="0"/>
      <w:marTop w:val="0"/>
      <w:marBottom w:val="0"/>
      <w:divBdr>
        <w:top w:val="none" w:sz="0" w:space="0" w:color="auto"/>
        <w:left w:val="none" w:sz="0" w:space="0" w:color="auto"/>
        <w:bottom w:val="none" w:sz="0" w:space="0" w:color="auto"/>
        <w:right w:val="none" w:sz="0" w:space="0" w:color="auto"/>
      </w:divBdr>
    </w:div>
    <w:div w:id="1791245763">
      <w:bodyDiv w:val="1"/>
      <w:marLeft w:val="0"/>
      <w:marRight w:val="0"/>
      <w:marTop w:val="0"/>
      <w:marBottom w:val="0"/>
      <w:divBdr>
        <w:top w:val="none" w:sz="0" w:space="0" w:color="auto"/>
        <w:left w:val="none" w:sz="0" w:space="0" w:color="auto"/>
        <w:bottom w:val="none" w:sz="0" w:space="0" w:color="auto"/>
        <w:right w:val="none" w:sz="0" w:space="0" w:color="auto"/>
      </w:divBdr>
    </w:div>
    <w:div w:id="1864708508">
      <w:bodyDiv w:val="1"/>
      <w:marLeft w:val="0"/>
      <w:marRight w:val="0"/>
      <w:marTop w:val="0"/>
      <w:marBottom w:val="0"/>
      <w:divBdr>
        <w:top w:val="none" w:sz="0" w:space="0" w:color="auto"/>
        <w:left w:val="none" w:sz="0" w:space="0" w:color="auto"/>
        <w:bottom w:val="none" w:sz="0" w:space="0" w:color="auto"/>
        <w:right w:val="none" w:sz="0" w:space="0" w:color="auto"/>
      </w:divBdr>
    </w:div>
    <w:div w:id="1882936603">
      <w:bodyDiv w:val="1"/>
      <w:marLeft w:val="0"/>
      <w:marRight w:val="0"/>
      <w:marTop w:val="0"/>
      <w:marBottom w:val="0"/>
      <w:divBdr>
        <w:top w:val="none" w:sz="0" w:space="0" w:color="auto"/>
        <w:left w:val="none" w:sz="0" w:space="0" w:color="auto"/>
        <w:bottom w:val="none" w:sz="0" w:space="0" w:color="auto"/>
        <w:right w:val="none" w:sz="0" w:space="0" w:color="auto"/>
      </w:divBdr>
    </w:div>
    <w:div w:id="1998994754">
      <w:bodyDiv w:val="1"/>
      <w:marLeft w:val="0"/>
      <w:marRight w:val="0"/>
      <w:marTop w:val="0"/>
      <w:marBottom w:val="0"/>
      <w:divBdr>
        <w:top w:val="none" w:sz="0" w:space="0" w:color="auto"/>
        <w:left w:val="none" w:sz="0" w:space="0" w:color="auto"/>
        <w:bottom w:val="none" w:sz="0" w:space="0" w:color="auto"/>
        <w:right w:val="none" w:sz="0" w:space="0" w:color="auto"/>
      </w:divBdr>
      <w:divsChild>
        <w:div w:id="966549050">
          <w:marLeft w:val="0"/>
          <w:marRight w:val="0"/>
          <w:marTop w:val="0"/>
          <w:marBottom w:val="0"/>
          <w:divBdr>
            <w:top w:val="none" w:sz="0" w:space="0" w:color="auto"/>
            <w:left w:val="none" w:sz="0" w:space="0" w:color="auto"/>
            <w:bottom w:val="none" w:sz="0" w:space="0" w:color="auto"/>
            <w:right w:val="none" w:sz="0" w:space="0" w:color="auto"/>
          </w:divBdr>
          <w:divsChild>
            <w:div w:id="1848977572">
              <w:marLeft w:val="0"/>
              <w:marRight w:val="0"/>
              <w:marTop w:val="0"/>
              <w:marBottom w:val="0"/>
              <w:divBdr>
                <w:top w:val="none" w:sz="0" w:space="0" w:color="auto"/>
                <w:left w:val="none" w:sz="0" w:space="0" w:color="auto"/>
                <w:bottom w:val="none" w:sz="0" w:space="0" w:color="auto"/>
                <w:right w:val="none" w:sz="0" w:space="0" w:color="auto"/>
              </w:divBdr>
              <w:divsChild>
                <w:div w:id="31387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199793">
      <w:bodyDiv w:val="1"/>
      <w:marLeft w:val="0"/>
      <w:marRight w:val="0"/>
      <w:marTop w:val="0"/>
      <w:marBottom w:val="0"/>
      <w:divBdr>
        <w:top w:val="none" w:sz="0" w:space="0" w:color="auto"/>
        <w:left w:val="none" w:sz="0" w:space="0" w:color="auto"/>
        <w:bottom w:val="none" w:sz="0" w:space="0" w:color="auto"/>
        <w:right w:val="none" w:sz="0" w:space="0" w:color="auto"/>
      </w:divBdr>
      <w:divsChild>
        <w:div w:id="105318047">
          <w:marLeft w:val="0"/>
          <w:marRight w:val="0"/>
          <w:marTop w:val="0"/>
          <w:marBottom w:val="0"/>
          <w:divBdr>
            <w:top w:val="none" w:sz="0" w:space="0" w:color="auto"/>
            <w:left w:val="none" w:sz="0" w:space="0" w:color="auto"/>
            <w:bottom w:val="none" w:sz="0" w:space="0" w:color="auto"/>
            <w:right w:val="none" w:sz="0" w:space="0" w:color="auto"/>
          </w:divBdr>
          <w:divsChild>
            <w:div w:id="500974190">
              <w:marLeft w:val="0"/>
              <w:marRight w:val="0"/>
              <w:marTop w:val="0"/>
              <w:marBottom w:val="0"/>
              <w:divBdr>
                <w:top w:val="none" w:sz="0" w:space="0" w:color="auto"/>
                <w:left w:val="none" w:sz="0" w:space="0" w:color="auto"/>
                <w:bottom w:val="none" w:sz="0" w:space="0" w:color="auto"/>
                <w:right w:val="none" w:sz="0" w:space="0" w:color="auto"/>
              </w:divBdr>
              <w:divsChild>
                <w:div w:id="22426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543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icardo.ortega@ibero.mx"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0819F78E6D40DC49BF29417C7387224B" ma:contentTypeVersion="9" ma:contentTypeDescription="Crear nuevo documento." ma:contentTypeScope="" ma:versionID="1d1031839b5eb446607ead02bffe4c97">
  <xsd:schema xmlns:xsd="http://www.w3.org/2001/XMLSchema" xmlns:xs="http://www.w3.org/2001/XMLSchema" xmlns:p="http://schemas.microsoft.com/office/2006/metadata/properties" xmlns:ns3="bfbac9bb-3ef5-4ffa-b33b-101ae0669122" xmlns:ns4="5f3d2d6b-b274-41c0-8b1b-0296d8cf2c78" targetNamespace="http://schemas.microsoft.com/office/2006/metadata/properties" ma:root="true" ma:fieldsID="b509e14754dfb840d0d700c1a5a9e949" ns3:_="" ns4:_="">
    <xsd:import namespace="bfbac9bb-3ef5-4ffa-b33b-101ae0669122"/>
    <xsd:import namespace="5f3d2d6b-b274-41c0-8b1b-0296d8cf2c7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bac9bb-3ef5-4ffa-b33b-101ae06691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f3d2d6b-b274-41c0-8b1b-0296d8cf2c78" elementFormDefault="qualified">
    <xsd:import namespace="http://schemas.microsoft.com/office/2006/documentManagement/types"/>
    <xsd:import namespace="http://schemas.microsoft.com/office/infopath/2007/PartnerControls"/>
    <xsd:element name="SharedWithUsers" ma:index="13"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talles de uso compartido" ma:internalName="SharedWithDetails" ma:readOnly="true">
      <xsd:simpleType>
        <xsd:restriction base="dms:Note">
          <xsd:maxLength value="255"/>
        </xsd:restriction>
      </xsd:simpleType>
    </xsd:element>
    <xsd:element name="SharingHintHash" ma:index="15"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A79BE7-B8C5-4342-9B8E-F148734C4A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bac9bb-3ef5-4ffa-b33b-101ae0669122"/>
    <ds:schemaRef ds:uri="5f3d2d6b-b274-41c0-8b1b-0296d8cf2c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200359-CB9D-4A3E-958D-7868606F6046}">
  <ds:schemaRefs>
    <ds:schemaRef ds:uri="http://schemas.microsoft.com/sharepoint/v3/contenttype/forms"/>
  </ds:schemaRefs>
</ds:datastoreItem>
</file>

<file path=customXml/itemProps3.xml><?xml version="1.0" encoding="utf-8"?>
<ds:datastoreItem xmlns:ds="http://schemas.openxmlformats.org/officeDocument/2006/customXml" ds:itemID="{17A119A5-F144-4B4F-AC71-E2FC5BF7AF8B}">
  <ds:schemaRefs>
    <ds:schemaRef ds:uri="bfbac9bb-3ef5-4ffa-b33b-101ae0669122"/>
    <ds:schemaRef ds:uri="http://schemas.microsoft.com/office/2006/metadata/properties"/>
    <ds:schemaRef ds:uri="http://schemas.microsoft.com/office/2006/documentManagement/types"/>
    <ds:schemaRef ds:uri="http://schemas.openxmlformats.org/package/2006/metadata/core-properties"/>
    <ds:schemaRef ds:uri="http://schemas.microsoft.com/office/infopath/2007/PartnerControls"/>
    <ds:schemaRef ds:uri="http://purl.org/dc/dcmitype/"/>
    <ds:schemaRef ds:uri="http://purl.org/dc/elements/1.1/"/>
    <ds:schemaRef ds:uri="5f3d2d6b-b274-41c0-8b1b-0296d8cf2c78"/>
    <ds:schemaRef ds:uri="http://www.w3.org/XML/1998/namespace"/>
    <ds:schemaRef ds:uri="http://purl.org/dc/terms/"/>
  </ds:schemaRefs>
</ds:datastoreItem>
</file>

<file path=customXml/itemProps4.xml><?xml version="1.0" encoding="utf-8"?>
<ds:datastoreItem xmlns:ds="http://schemas.openxmlformats.org/officeDocument/2006/customXml" ds:itemID="{9F94844A-6FBC-40C8-9888-FE0131DE0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11404</Words>
  <Characters>62723</Characters>
  <Application>Microsoft Office Word</Application>
  <DocSecurity>0</DocSecurity>
  <Lines>522</Lines>
  <Paragraphs>147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Mora López Diana</dc:creator>
  <cp:keywords/>
  <dc:description/>
  <cp:lastModifiedBy>Usuario de Windows</cp:lastModifiedBy>
  <cp:revision>2</cp:revision>
  <dcterms:created xsi:type="dcterms:W3CDTF">2022-02-17T11:01:00Z</dcterms:created>
  <dcterms:modified xsi:type="dcterms:W3CDTF">2022-02-17T11:01:00Z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0x0101000819F78E6D40DC49BF29417C7387224B</vt:lpwstr>
  </property>
</Properties>
</file>