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13C9" w:rsidRDefault="007213C9" w:rsidP="00D326F4">
      <w:pPr>
        <w:pStyle w:val="Sinespaciado"/>
        <w:jc w:val="center"/>
        <w:rPr>
          <w:rFonts w:ascii="Arial" w:hAnsi="Arial" w:cs="Arial"/>
          <w:b/>
          <w:sz w:val="24"/>
          <w:szCs w:val="24"/>
        </w:rPr>
      </w:pPr>
      <w:bookmarkStart w:id="0" w:name="_GoBack"/>
      <w:bookmarkEnd w:id="0"/>
    </w:p>
    <w:p w:rsidR="007213C9" w:rsidRDefault="007213C9" w:rsidP="00D326F4">
      <w:pPr>
        <w:pStyle w:val="Sinespaciado"/>
        <w:jc w:val="center"/>
        <w:rPr>
          <w:rFonts w:ascii="Arial" w:hAnsi="Arial" w:cs="Arial"/>
          <w:b/>
          <w:sz w:val="24"/>
          <w:szCs w:val="24"/>
        </w:rPr>
      </w:pPr>
    </w:p>
    <w:p w:rsidR="007213C9" w:rsidRDefault="007213C9" w:rsidP="00D326F4">
      <w:pPr>
        <w:pStyle w:val="Sinespaciado"/>
        <w:jc w:val="center"/>
        <w:rPr>
          <w:rFonts w:ascii="Arial" w:hAnsi="Arial" w:cs="Arial"/>
          <w:b/>
          <w:sz w:val="24"/>
          <w:szCs w:val="24"/>
        </w:rPr>
      </w:pPr>
    </w:p>
    <w:p w:rsidR="007213C9" w:rsidRDefault="007213C9" w:rsidP="00D326F4">
      <w:pPr>
        <w:pStyle w:val="Sinespaciado"/>
        <w:jc w:val="center"/>
        <w:rPr>
          <w:rFonts w:ascii="Arial" w:hAnsi="Arial" w:cs="Arial"/>
          <w:b/>
          <w:sz w:val="24"/>
          <w:szCs w:val="24"/>
        </w:rPr>
      </w:pPr>
    </w:p>
    <w:p w:rsidR="007213C9" w:rsidRDefault="007213C9" w:rsidP="00D326F4">
      <w:pPr>
        <w:pStyle w:val="Sinespaciado"/>
        <w:jc w:val="center"/>
        <w:rPr>
          <w:rFonts w:ascii="Arial" w:hAnsi="Arial" w:cs="Arial"/>
          <w:b/>
          <w:sz w:val="24"/>
          <w:szCs w:val="24"/>
        </w:rPr>
      </w:pPr>
    </w:p>
    <w:p w:rsidR="007213C9" w:rsidRDefault="007213C9" w:rsidP="00D326F4">
      <w:pPr>
        <w:pStyle w:val="Sinespaciado"/>
        <w:jc w:val="center"/>
        <w:rPr>
          <w:rFonts w:ascii="Arial" w:hAnsi="Arial" w:cs="Arial"/>
          <w:b/>
          <w:sz w:val="24"/>
          <w:szCs w:val="24"/>
        </w:rPr>
      </w:pPr>
    </w:p>
    <w:p w:rsidR="007213C9" w:rsidRDefault="007213C9" w:rsidP="00D326F4">
      <w:pPr>
        <w:pStyle w:val="Sinespaciado"/>
        <w:jc w:val="center"/>
        <w:rPr>
          <w:rFonts w:ascii="Arial" w:hAnsi="Arial" w:cs="Arial"/>
          <w:b/>
          <w:sz w:val="24"/>
          <w:szCs w:val="24"/>
        </w:rPr>
      </w:pPr>
    </w:p>
    <w:p w:rsidR="007213C9" w:rsidRDefault="007213C9" w:rsidP="00D326F4">
      <w:pPr>
        <w:pStyle w:val="Sinespaciado"/>
        <w:jc w:val="center"/>
        <w:rPr>
          <w:rFonts w:ascii="Arial" w:hAnsi="Arial" w:cs="Arial"/>
          <w:b/>
          <w:sz w:val="24"/>
          <w:szCs w:val="24"/>
        </w:rPr>
      </w:pPr>
    </w:p>
    <w:p w:rsidR="007213C9" w:rsidRDefault="007213C9" w:rsidP="00D326F4">
      <w:pPr>
        <w:pStyle w:val="Sinespaciado"/>
        <w:jc w:val="center"/>
        <w:rPr>
          <w:rFonts w:ascii="Arial" w:hAnsi="Arial" w:cs="Arial"/>
          <w:b/>
          <w:sz w:val="24"/>
          <w:szCs w:val="24"/>
        </w:rPr>
      </w:pPr>
    </w:p>
    <w:p w:rsidR="007213C9" w:rsidRDefault="007213C9" w:rsidP="00D326F4">
      <w:pPr>
        <w:pStyle w:val="Sinespaciado"/>
        <w:jc w:val="center"/>
        <w:rPr>
          <w:rFonts w:ascii="Arial" w:hAnsi="Arial" w:cs="Arial"/>
          <w:b/>
          <w:sz w:val="24"/>
          <w:szCs w:val="24"/>
        </w:rPr>
      </w:pPr>
    </w:p>
    <w:p w:rsidR="007213C9" w:rsidRPr="00F95BC2" w:rsidRDefault="007213C9" w:rsidP="00D326F4">
      <w:pPr>
        <w:pStyle w:val="Sinespaciado"/>
        <w:jc w:val="center"/>
        <w:rPr>
          <w:rFonts w:ascii="Arial" w:hAnsi="Arial" w:cs="Arial"/>
          <w:b/>
          <w:sz w:val="24"/>
          <w:szCs w:val="24"/>
        </w:rPr>
      </w:pPr>
    </w:p>
    <w:p w:rsidR="00E90F0E" w:rsidRDefault="007213C9" w:rsidP="00E90F0E">
      <w:pPr>
        <w:pStyle w:val="Sinespaciado"/>
        <w:jc w:val="center"/>
        <w:rPr>
          <w:rFonts w:ascii="Arial" w:hAnsi="Arial" w:cs="Arial"/>
          <w:b/>
          <w:sz w:val="28"/>
          <w:szCs w:val="28"/>
        </w:rPr>
      </w:pPr>
      <w:r w:rsidRPr="00E90F0E">
        <w:rPr>
          <w:rFonts w:ascii="Arial" w:hAnsi="Arial" w:cs="Arial"/>
          <w:b/>
          <w:sz w:val="28"/>
          <w:szCs w:val="28"/>
        </w:rPr>
        <w:t>LA GARANTIA DE NO AUTOINCRIMINACION</w:t>
      </w:r>
    </w:p>
    <w:p w:rsidR="007213C9" w:rsidRPr="00E90F0E" w:rsidRDefault="007213C9" w:rsidP="00E90F0E">
      <w:pPr>
        <w:pStyle w:val="Sinespaciado"/>
        <w:jc w:val="center"/>
        <w:rPr>
          <w:rFonts w:ascii="Arial" w:hAnsi="Arial" w:cs="Arial"/>
          <w:sz w:val="28"/>
          <w:szCs w:val="28"/>
          <w:lang w:val="es-ES"/>
        </w:rPr>
      </w:pPr>
      <w:r w:rsidRPr="00E90F0E">
        <w:rPr>
          <w:rFonts w:ascii="Arial" w:hAnsi="Arial" w:cs="Arial"/>
          <w:b/>
          <w:sz w:val="28"/>
          <w:szCs w:val="28"/>
        </w:rPr>
        <w:t>Y LA NEUROTECNOLOGÍA</w:t>
      </w:r>
    </w:p>
    <w:p w:rsidR="007213C9" w:rsidRDefault="007213C9" w:rsidP="00D326F4">
      <w:pPr>
        <w:pStyle w:val="Sinespaciado"/>
        <w:jc w:val="center"/>
        <w:rPr>
          <w:rFonts w:ascii="Arial" w:hAnsi="Arial" w:cs="Arial"/>
          <w:sz w:val="24"/>
          <w:szCs w:val="24"/>
        </w:rPr>
      </w:pPr>
    </w:p>
    <w:p w:rsidR="00E90F0E" w:rsidRDefault="00E90F0E" w:rsidP="00D326F4">
      <w:pPr>
        <w:pStyle w:val="Sinespaciado"/>
        <w:jc w:val="center"/>
        <w:rPr>
          <w:rFonts w:ascii="Arial" w:hAnsi="Arial" w:cs="Arial"/>
          <w:sz w:val="24"/>
          <w:szCs w:val="24"/>
        </w:rPr>
      </w:pPr>
    </w:p>
    <w:p w:rsidR="00E90F0E" w:rsidRDefault="00E90F0E" w:rsidP="00D326F4">
      <w:pPr>
        <w:pStyle w:val="Sinespaciado"/>
        <w:jc w:val="center"/>
        <w:rPr>
          <w:rFonts w:ascii="Arial" w:hAnsi="Arial" w:cs="Arial"/>
          <w:sz w:val="24"/>
          <w:szCs w:val="24"/>
        </w:rPr>
      </w:pPr>
    </w:p>
    <w:p w:rsidR="00E90F0E" w:rsidRDefault="00E90F0E" w:rsidP="00D326F4">
      <w:pPr>
        <w:pStyle w:val="Sinespaciado"/>
        <w:jc w:val="center"/>
        <w:rPr>
          <w:rFonts w:ascii="Arial" w:hAnsi="Arial" w:cs="Arial"/>
          <w:sz w:val="24"/>
          <w:szCs w:val="24"/>
        </w:rPr>
      </w:pPr>
    </w:p>
    <w:p w:rsidR="007213C9" w:rsidRPr="00F95BC2" w:rsidRDefault="007213C9" w:rsidP="00D326F4">
      <w:pPr>
        <w:pStyle w:val="Sinespaciado"/>
        <w:jc w:val="center"/>
        <w:rPr>
          <w:rFonts w:ascii="Arial" w:hAnsi="Arial" w:cs="Arial"/>
          <w:sz w:val="24"/>
          <w:szCs w:val="24"/>
        </w:rPr>
      </w:pPr>
    </w:p>
    <w:p w:rsidR="00E90F0E" w:rsidRDefault="007213C9" w:rsidP="00E90F0E">
      <w:pPr>
        <w:spacing w:line="360" w:lineRule="auto"/>
        <w:jc w:val="both"/>
        <w:rPr>
          <w:rFonts w:ascii="Arial" w:hAnsi="Arial" w:cs="Arial"/>
          <w:sz w:val="22"/>
          <w:szCs w:val="22"/>
        </w:rPr>
      </w:pPr>
      <w:r w:rsidRPr="00E90F0E">
        <w:rPr>
          <w:rFonts w:ascii="Arial" w:hAnsi="Arial" w:cs="Arial"/>
          <w:b/>
          <w:sz w:val="22"/>
          <w:szCs w:val="22"/>
        </w:rPr>
        <w:t>Abog. Abelardo Ignacio Nanclares</w:t>
      </w:r>
      <w:r w:rsidR="00E90F0E" w:rsidRPr="00E90F0E">
        <w:rPr>
          <w:rFonts w:ascii="Arial" w:hAnsi="Arial" w:cs="Arial"/>
          <w:sz w:val="22"/>
          <w:szCs w:val="22"/>
        </w:rPr>
        <w:t>; Prof. Adjunto Derecho y Nuevas Tecnologías, Facultad de Ciencias Jurídicas y Sociales de la Universidad de Mendoza</w:t>
      </w:r>
    </w:p>
    <w:p w:rsidR="00AF07A5" w:rsidRPr="00E90F0E" w:rsidRDefault="00AF07A5" w:rsidP="00E90F0E">
      <w:pPr>
        <w:spacing w:line="360" w:lineRule="auto"/>
        <w:jc w:val="both"/>
        <w:rPr>
          <w:rFonts w:ascii="Arial" w:hAnsi="Arial" w:cs="Arial"/>
          <w:sz w:val="22"/>
          <w:szCs w:val="22"/>
        </w:rPr>
      </w:pPr>
    </w:p>
    <w:p w:rsidR="0033401E" w:rsidRDefault="0025437C" w:rsidP="00E373FE">
      <w:pPr>
        <w:pStyle w:val="Ttulo1"/>
        <w:rPr>
          <w:rFonts w:ascii="Arial" w:hAnsi="Arial" w:cs="Arial"/>
          <w:sz w:val="22"/>
          <w:szCs w:val="22"/>
        </w:rPr>
      </w:pPr>
      <w:bookmarkStart w:id="1" w:name="_Toc100177576"/>
      <w:r w:rsidRPr="00E373FE">
        <w:rPr>
          <w:rFonts w:ascii="Arial" w:hAnsi="Arial" w:cs="Arial"/>
          <w:sz w:val="22"/>
          <w:szCs w:val="22"/>
        </w:rPr>
        <w:t>I.- INTRODUCCIÓN</w:t>
      </w:r>
      <w:bookmarkEnd w:id="1"/>
    </w:p>
    <w:p w:rsidR="00F95BC2" w:rsidRPr="00F95BC2" w:rsidRDefault="00F95BC2" w:rsidP="00F95BC2"/>
    <w:p w:rsidR="001B2640" w:rsidRPr="001B2640" w:rsidRDefault="001B2640" w:rsidP="001B2640">
      <w:pPr>
        <w:spacing w:line="360" w:lineRule="auto"/>
        <w:ind w:firstLine="567"/>
        <w:jc w:val="both"/>
        <w:rPr>
          <w:rFonts w:ascii="Arial" w:hAnsi="Arial" w:cs="Arial"/>
          <w:sz w:val="22"/>
          <w:szCs w:val="22"/>
        </w:rPr>
      </w:pPr>
      <w:r w:rsidRPr="001B2640">
        <w:rPr>
          <w:rFonts w:ascii="Arial" w:hAnsi="Arial" w:cs="Arial"/>
          <w:sz w:val="22"/>
          <w:szCs w:val="22"/>
        </w:rPr>
        <w:t>Uno de los campos donde mayor impacto de las nuevas tecnologías se ha advertido en las últimas décadas es la Salud, lo que ha derivado en una competencia específica como la “Salud Digital”, siendo ést</w:t>
      </w:r>
      <w:r w:rsidR="00AF07A5">
        <w:rPr>
          <w:rFonts w:ascii="Arial" w:hAnsi="Arial" w:cs="Arial"/>
          <w:sz w:val="22"/>
          <w:szCs w:val="22"/>
        </w:rPr>
        <w:t>e</w:t>
      </w:r>
      <w:r w:rsidRPr="001B2640">
        <w:rPr>
          <w:rFonts w:ascii="Arial" w:hAnsi="Arial" w:cs="Arial"/>
          <w:sz w:val="22"/>
          <w:szCs w:val="22"/>
        </w:rPr>
        <w:t xml:space="preserve"> el área donde confluyen tanto la aplicación de aplicaciones móviles, incorporación de sensores para monitoreo por medio de Internet de las cosas (IoT), sistemas de realidad virtual, diagnóstico por Inteligencia Artificial, historias clínicas digitales (clod computing), impresiones 3D de prótesis, etc</w:t>
      </w:r>
      <w:r>
        <w:rPr>
          <w:rFonts w:ascii="Arial" w:hAnsi="Arial" w:cs="Arial"/>
          <w:sz w:val="22"/>
          <w:szCs w:val="22"/>
        </w:rPr>
        <w:t xml:space="preserve">, dando lugar incluso a la denominación de </w:t>
      </w:r>
      <w:r w:rsidR="00AF07A5">
        <w:rPr>
          <w:rFonts w:ascii="Arial" w:hAnsi="Arial" w:cs="Arial"/>
          <w:sz w:val="22"/>
          <w:szCs w:val="22"/>
        </w:rPr>
        <w:t>“</w:t>
      </w:r>
      <w:r>
        <w:rPr>
          <w:rFonts w:ascii="Arial" w:hAnsi="Arial" w:cs="Arial"/>
          <w:sz w:val="22"/>
          <w:szCs w:val="22"/>
        </w:rPr>
        <w:t>internet del cuerpo</w:t>
      </w:r>
      <w:r w:rsidR="00AF07A5">
        <w:rPr>
          <w:rFonts w:ascii="Arial" w:hAnsi="Arial" w:cs="Arial"/>
          <w:sz w:val="22"/>
          <w:szCs w:val="22"/>
        </w:rPr>
        <w:t>”</w:t>
      </w:r>
      <w:r>
        <w:rPr>
          <w:rFonts w:ascii="Arial" w:hAnsi="Arial" w:cs="Arial"/>
          <w:sz w:val="22"/>
          <w:szCs w:val="22"/>
        </w:rPr>
        <w:t xml:space="preserve"> (IoB)</w:t>
      </w:r>
    </w:p>
    <w:p w:rsidR="001B2640" w:rsidRPr="001B2640" w:rsidRDefault="001B2640" w:rsidP="001B2640">
      <w:pPr>
        <w:spacing w:line="360" w:lineRule="auto"/>
        <w:ind w:firstLine="567"/>
        <w:jc w:val="both"/>
        <w:rPr>
          <w:rFonts w:ascii="Arial" w:hAnsi="Arial" w:cs="Arial"/>
          <w:sz w:val="22"/>
          <w:szCs w:val="22"/>
        </w:rPr>
      </w:pPr>
      <w:r w:rsidRPr="001B2640">
        <w:rPr>
          <w:rFonts w:ascii="Arial" w:hAnsi="Arial" w:cs="Arial"/>
          <w:sz w:val="22"/>
          <w:szCs w:val="22"/>
        </w:rPr>
        <w:t xml:space="preserve">La idea que subyace en la </w:t>
      </w:r>
      <w:r>
        <w:rPr>
          <w:rFonts w:ascii="Arial" w:hAnsi="Arial" w:cs="Arial"/>
          <w:sz w:val="22"/>
          <w:szCs w:val="22"/>
        </w:rPr>
        <w:t>“</w:t>
      </w:r>
      <w:r w:rsidRPr="001B2640">
        <w:rPr>
          <w:rFonts w:ascii="Arial" w:hAnsi="Arial" w:cs="Arial"/>
          <w:sz w:val="22"/>
          <w:szCs w:val="22"/>
        </w:rPr>
        <w:t>Salud Digital</w:t>
      </w:r>
      <w:r>
        <w:rPr>
          <w:rFonts w:ascii="Arial" w:hAnsi="Arial" w:cs="Arial"/>
          <w:sz w:val="22"/>
          <w:szCs w:val="22"/>
        </w:rPr>
        <w:t>”</w:t>
      </w:r>
      <w:r w:rsidRPr="001B2640">
        <w:rPr>
          <w:rFonts w:ascii="Arial" w:hAnsi="Arial" w:cs="Arial"/>
          <w:sz w:val="22"/>
          <w:szCs w:val="22"/>
        </w:rPr>
        <w:t xml:space="preserve"> es el hecho de prevenir e identificar enfermedades en forma temprana, así como su estudio y diagnóstico; el manejo y monitoreo de enfermedades con el involucramiento del paciente en el manejo de su enfermedad; reducción de costos, entre otros. </w:t>
      </w:r>
    </w:p>
    <w:p w:rsidR="001B2640" w:rsidRDefault="001B2640" w:rsidP="001B2640">
      <w:pPr>
        <w:spacing w:line="360" w:lineRule="auto"/>
        <w:ind w:firstLine="567"/>
        <w:jc w:val="both"/>
        <w:rPr>
          <w:rFonts w:ascii="Arial" w:hAnsi="Arial" w:cs="Arial"/>
          <w:sz w:val="22"/>
          <w:szCs w:val="22"/>
        </w:rPr>
      </w:pPr>
      <w:r w:rsidRPr="001B2640">
        <w:rPr>
          <w:rFonts w:ascii="Arial" w:hAnsi="Arial" w:cs="Arial"/>
          <w:sz w:val="22"/>
          <w:szCs w:val="22"/>
        </w:rPr>
        <w:t xml:space="preserve">Esta evolución ha llevado al planteo de la necesidad de desarrollar una legislación que promueva sus beneficios y mitigue los riesgos que supone su uso. Dentro de dichos riesgos se han identificada tanto cuestiones socioeconómicas, como éticas y jurídicas, los que van desde la privacidad </w:t>
      </w:r>
      <w:r w:rsidRPr="001B2640">
        <w:rPr>
          <w:rFonts w:ascii="Arial" w:hAnsi="Arial" w:cs="Arial"/>
          <w:sz w:val="22"/>
          <w:szCs w:val="22"/>
        </w:rPr>
        <w:lastRenderedPageBreak/>
        <w:t>del paciente, especialmente en lo que respecta a la información médica, lo cual puede repercutir en varios ámbitos de la vida privada de las personas; la transparencia en las rendiciones de cuentas; el impacto que puede tener el uso del Big Data en el ámbito de la salud, lo cual incluso ha valido la emisión de un reporte es</w:t>
      </w:r>
      <w:r w:rsidR="00AF07A5">
        <w:rPr>
          <w:rFonts w:ascii="Arial" w:hAnsi="Arial" w:cs="Arial"/>
          <w:sz w:val="22"/>
          <w:szCs w:val="22"/>
        </w:rPr>
        <w:t>pecífico por parte de la UNESCO</w:t>
      </w:r>
      <w:r w:rsidRPr="001B2640">
        <w:rPr>
          <w:rFonts w:ascii="Arial" w:hAnsi="Arial" w:cs="Arial"/>
          <w:sz w:val="22"/>
          <w:szCs w:val="22"/>
        </w:rPr>
        <w:t>, así como un informe por parte del Comité de Bioética de España respecto al “Borrador de Carta de Derechos digitales” proyectado por el Ministerio de Asuntos Económicos y Transformación Digital en lo concerniente a las implicancias éticas y sociales de la Biomedicina y Ciencias de la Salud.</w:t>
      </w:r>
    </w:p>
    <w:p w:rsidR="00E90F0E" w:rsidRDefault="00AF07A5" w:rsidP="0025437C">
      <w:pPr>
        <w:spacing w:line="360" w:lineRule="auto"/>
        <w:ind w:firstLine="567"/>
        <w:jc w:val="both"/>
        <w:rPr>
          <w:rFonts w:ascii="Arial" w:hAnsi="Arial" w:cs="Arial"/>
          <w:sz w:val="22"/>
          <w:szCs w:val="22"/>
        </w:rPr>
      </w:pPr>
      <w:r>
        <w:rPr>
          <w:rFonts w:ascii="Arial" w:hAnsi="Arial" w:cs="Arial"/>
          <w:sz w:val="22"/>
          <w:szCs w:val="22"/>
        </w:rPr>
        <w:t xml:space="preserve">Es que desde </w:t>
      </w:r>
      <w:r w:rsidR="00E90F0E">
        <w:rPr>
          <w:rFonts w:ascii="Arial" w:hAnsi="Arial" w:cs="Arial"/>
          <w:sz w:val="22"/>
          <w:szCs w:val="22"/>
        </w:rPr>
        <w:t xml:space="preserve">finales del siglo 20 estamos </w:t>
      </w:r>
      <w:r w:rsidR="00E90F0E" w:rsidRPr="00E90F0E">
        <w:rPr>
          <w:rFonts w:ascii="Arial" w:hAnsi="Arial" w:cs="Arial"/>
          <w:sz w:val="22"/>
          <w:szCs w:val="22"/>
        </w:rPr>
        <w:t>presenciando una carrera desde las neuromedicina a fin de desarrollar implantes cerebrales para establecer comunicación entre el cerebro y computadores con diferentes finalidades; ya sea para el diagnóstico y manejo de enfermedades de carácter neuronal, como también potenciar las capacidades cognitivas del hombre en pos de acercarlo a las capacidades de procesamiento demostradas por la inteligencia artificial y las súper-computadoras.</w:t>
      </w:r>
    </w:p>
    <w:p w:rsidR="00E95610" w:rsidRDefault="001B2640" w:rsidP="0025437C">
      <w:pPr>
        <w:spacing w:line="360" w:lineRule="auto"/>
        <w:ind w:firstLine="567"/>
        <w:jc w:val="both"/>
        <w:rPr>
          <w:rFonts w:ascii="Arial" w:hAnsi="Arial" w:cs="Arial"/>
          <w:sz w:val="22"/>
          <w:szCs w:val="22"/>
        </w:rPr>
      </w:pPr>
      <w:r>
        <w:rPr>
          <w:rFonts w:ascii="Arial" w:hAnsi="Arial" w:cs="Arial"/>
          <w:sz w:val="22"/>
          <w:szCs w:val="22"/>
        </w:rPr>
        <w:t>Por su parte,</w:t>
      </w:r>
      <w:r w:rsidR="00AF07A5">
        <w:rPr>
          <w:rFonts w:ascii="Arial" w:hAnsi="Arial" w:cs="Arial"/>
          <w:sz w:val="22"/>
          <w:szCs w:val="22"/>
        </w:rPr>
        <w:t xml:space="preserve"> en el ámbito del Derecho ha sido </w:t>
      </w:r>
      <w:r>
        <w:rPr>
          <w:rFonts w:ascii="Arial" w:hAnsi="Arial" w:cs="Arial"/>
          <w:sz w:val="22"/>
          <w:szCs w:val="22"/>
        </w:rPr>
        <w:t>el</w:t>
      </w:r>
      <w:r w:rsidR="00277580">
        <w:rPr>
          <w:rFonts w:ascii="Arial" w:hAnsi="Arial" w:cs="Arial"/>
          <w:sz w:val="22"/>
          <w:szCs w:val="22"/>
        </w:rPr>
        <w:t xml:space="preserve"> </w:t>
      </w:r>
      <w:r w:rsidR="00AF07A5">
        <w:rPr>
          <w:rFonts w:ascii="Arial" w:hAnsi="Arial" w:cs="Arial"/>
          <w:sz w:val="22"/>
          <w:szCs w:val="22"/>
        </w:rPr>
        <w:t xml:space="preserve">Derecho Penal quién </w:t>
      </w:r>
      <w:r w:rsidR="00277580">
        <w:rPr>
          <w:rFonts w:ascii="Arial" w:hAnsi="Arial" w:cs="Arial"/>
          <w:sz w:val="22"/>
          <w:szCs w:val="22"/>
        </w:rPr>
        <w:t>siempre ha estado en la búsqueda de aplicar los avances y conocimientos científicos</w:t>
      </w:r>
      <w:r w:rsidR="006D4ED3">
        <w:rPr>
          <w:rFonts w:ascii="Arial" w:hAnsi="Arial" w:cs="Arial"/>
          <w:sz w:val="22"/>
          <w:szCs w:val="22"/>
        </w:rPr>
        <w:t>, no sólo en lo concerniente a la investigación criminal, a fin de obtener evidencias que conduzcan a la resolución de un delito; sino también se preocupó por conocer las condiciones del comportamiento del hombre.</w:t>
      </w:r>
      <w:r w:rsidR="00687240">
        <w:rPr>
          <w:rFonts w:ascii="Arial" w:hAnsi="Arial" w:cs="Arial"/>
          <w:sz w:val="22"/>
          <w:szCs w:val="22"/>
        </w:rPr>
        <w:t xml:space="preserve"> </w:t>
      </w:r>
      <w:r w:rsidR="00AF07A5">
        <w:rPr>
          <w:rFonts w:ascii="Arial" w:hAnsi="Arial" w:cs="Arial"/>
          <w:sz w:val="22"/>
          <w:szCs w:val="22"/>
        </w:rPr>
        <w:t>A</w:t>
      </w:r>
      <w:r w:rsidR="00277580">
        <w:rPr>
          <w:rFonts w:ascii="Arial" w:hAnsi="Arial" w:cs="Arial"/>
          <w:sz w:val="22"/>
          <w:szCs w:val="22"/>
        </w:rPr>
        <w:t xml:space="preserve">sí en el </w:t>
      </w:r>
      <w:r w:rsidR="007213C9">
        <w:rPr>
          <w:rFonts w:ascii="Arial" w:hAnsi="Arial" w:cs="Arial"/>
          <w:sz w:val="22"/>
          <w:szCs w:val="22"/>
        </w:rPr>
        <w:t>S</w:t>
      </w:r>
      <w:r w:rsidR="00277580">
        <w:rPr>
          <w:rFonts w:ascii="Arial" w:hAnsi="Arial" w:cs="Arial"/>
          <w:sz w:val="22"/>
          <w:szCs w:val="22"/>
        </w:rPr>
        <w:t xml:space="preserve">iglo </w:t>
      </w:r>
      <w:r w:rsidR="007213C9">
        <w:rPr>
          <w:rFonts w:ascii="Arial" w:hAnsi="Arial" w:cs="Arial"/>
          <w:sz w:val="22"/>
          <w:szCs w:val="22"/>
        </w:rPr>
        <w:t>XIX</w:t>
      </w:r>
      <w:r w:rsidR="00277580">
        <w:rPr>
          <w:rFonts w:ascii="Arial" w:hAnsi="Arial" w:cs="Arial"/>
          <w:sz w:val="22"/>
          <w:szCs w:val="22"/>
        </w:rPr>
        <w:t xml:space="preserve"> se elaboran estudios sobre los rasgos físicos del delincuente</w:t>
      </w:r>
      <w:r w:rsidR="006D4ED3">
        <w:rPr>
          <w:rFonts w:ascii="Arial" w:hAnsi="Arial" w:cs="Arial"/>
          <w:sz w:val="22"/>
          <w:szCs w:val="22"/>
        </w:rPr>
        <w:t xml:space="preserve"> como fueron los trabajo del hombre delincuente de Cesar Lomboso; también </w:t>
      </w:r>
      <w:r w:rsidR="00277580">
        <w:rPr>
          <w:rFonts w:ascii="Arial" w:hAnsi="Arial" w:cs="Arial"/>
          <w:sz w:val="22"/>
          <w:szCs w:val="22"/>
        </w:rPr>
        <w:t xml:space="preserve">aparecen los primeros intentos de aplicar los conocimientos obtenidos a partir de lo que hoy </w:t>
      </w:r>
      <w:r w:rsidR="006D4ED3">
        <w:rPr>
          <w:rFonts w:ascii="Arial" w:hAnsi="Arial" w:cs="Arial"/>
          <w:sz w:val="22"/>
          <w:szCs w:val="22"/>
        </w:rPr>
        <w:t xml:space="preserve">denominaríamos estudios neurocientíficos </w:t>
      </w:r>
      <w:r w:rsidR="00277580">
        <w:rPr>
          <w:rFonts w:ascii="Arial" w:hAnsi="Arial" w:cs="Arial"/>
          <w:sz w:val="22"/>
          <w:szCs w:val="22"/>
        </w:rPr>
        <w:t xml:space="preserve">al comportamiento criminal, </w:t>
      </w:r>
      <w:r w:rsidR="006D4ED3">
        <w:rPr>
          <w:rFonts w:ascii="Arial" w:hAnsi="Arial" w:cs="Arial"/>
          <w:sz w:val="22"/>
          <w:szCs w:val="22"/>
        </w:rPr>
        <w:t xml:space="preserve">como fue el caso de Phineas Gage en 1848 y su </w:t>
      </w:r>
      <w:r w:rsidR="00277580">
        <w:rPr>
          <w:rFonts w:ascii="Arial" w:hAnsi="Arial" w:cs="Arial"/>
          <w:sz w:val="22"/>
          <w:szCs w:val="22"/>
        </w:rPr>
        <w:t xml:space="preserve">cambio </w:t>
      </w:r>
      <w:r w:rsidR="006D4ED3">
        <w:rPr>
          <w:rFonts w:ascii="Arial" w:hAnsi="Arial" w:cs="Arial"/>
          <w:sz w:val="22"/>
          <w:szCs w:val="22"/>
        </w:rPr>
        <w:t xml:space="preserve">en </w:t>
      </w:r>
      <w:r w:rsidR="00277580">
        <w:rPr>
          <w:rFonts w:ascii="Arial" w:hAnsi="Arial" w:cs="Arial"/>
          <w:sz w:val="22"/>
          <w:szCs w:val="22"/>
        </w:rPr>
        <w:t xml:space="preserve">la personalidad luego de que tuviera una lesión cerebral, </w:t>
      </w:r>
      <w:r w:rsidR="00687240">
        <w:rPr>
          <w:rFonts w:ascii="Arial" w:hAnsi="Arial" w:cs="Arial"/>
          <w:sz w:val="22"/>
          <w:szCs w:val="22"/>
        </w:rPr>
        <w:t>se desarrolla la técnica de identificación por medio de las huellas dactilares, así como lo relativo a los bancos de ADN, el denominado polígrafo, etc.</w:t>
      </w:r>
    </w:p>
    <w:p w:rsidR="00687240" w:rsidRDefault="00E95610" w:rsidP="0025437C">
      <w:pPr>
        <w:spacing w:line="360" w:lineRule="auto"/>
        <w:ind w:firstLine="567"/>
        <w:jc w:val="both"/>
        <w:rPr>
          <w:rFonts w:ascii="Arial" w:hAnsi="Arial" w:cs="Arial"/>
          <w:sz w:val="22"/>
          <w:szCs w:val="22"/>
        </w:rPr>
      </w:pPr>
      <w:r>
        <w:rPr>
          <w:rFonts w:ascii="Arial" w:hAnsi="Arial" w:cs="Arial"/>
          <w:sz w:val="22"/>
          <w:szCs w:val="22"/>
        </w:rPr>
        <w:t>Con los avances de las neurociencias no fue distinto, a medida que fueron avanzando los conocimientos científicos y estudios que medían las actividades neuronales, se adoptaron a fin de saber si una persona mentía, o como era la psicología del testimonio a fin de obtener la información necesaria tanto de un testigo como de las partes involucra</w:t>
      </w:r>
      <w:r w:rsidR="00687240">
        <w:rPr>
          <w:rFonts w:ascii="Arial" w:hAnsi="Arial" w:cs="Arial"/>
          <w:sz w:val="22"/>
          <w:szCs w:val="22"/>
        </w:rPr>
        <w:t xml:space="preserve">das en la comisión de un delito, </w:t>
      </w:r>
      <w:r>
        <w:rPr>
          <w:rFonts w:ascii="Arial" w:hAnsi="Arial" w:cs="Arial"/>
          <w:sz w:val="22"/>
          <w:szCs w:val="22"/>
        </w:rPr>
        <w:t xml:space="preserve">de la víctima </w:t>
      </w:r>
      <w:r w:rsidR="00687240">
        <w:rPr>
          <w:rFonts w:ascii="Arial" w:hAnsi="Arial" w:cs="Arial"/>
          <w:sz w:val="22"/>
          <w:szCs w:val="22"/>
        </w:rPr>
        <w:t xml:space="preserve">y </w:t>
      </w:r>
      <w:r>
        <w:rPr>
          <w:rFonts w:ascii="Arial" w:hAnsi="Arial" w:cs="Arial"/>
          <w:sz w:val="22"/>
          <w:szCs w:val="22"/>
        </w:rPr>
        <w:t>del presunto delincuente.</w:t>
      </w:r>
      <w:r w:rsidR="00687240">
        <w:rPr>
          <w:rFonts w:ascii="Arial" w:hAnsi="Arial" w:cs="Arial"/>
          <w:sz w:val="22"/>
          <w:szCs w:val="22"/>
        </w:rPr>
        <w:t xml:space="preserve"> </w:t>
      </w:r>
    </w:p>
    <w:p w:rsidR="00E307E5" w:rsidRPr="00952C94" w:rsidRDefault="00E307E5" w:rsidP="0025437C">
      <w:pPr>
        <w:spacing w:line="360" w:lineRule="auto"/>
        <w:ind w:firstLine="567"/>
        <w:jc w:val="both"/>
        <w:rPr>
          <w:rFonts w:ascii="Arial" w:hAnsi="Arial" w:cs="Arial"/>
          <w:sz w:val="22"/>
          <w:szCs w:val="22"/>
        </w:rPr>
      </w:pPr>
      <w:r w:rsidRPr="00952C94">
        <w:rPr>
          <w:rFonts w:ascii="Arial" w:hAnsi="Arial" w:cs="Arial"/>
          <w:sz w:val="22"/>
          <w:szCs w:val="22"/>
        </w:rPr>
        <w:lastRenderedPageBreak/>
        <w:t>E</w:t>
      </w:r>
      <w:r w:rsidR="0033401E" w:rsidRPr="00952C94">
        <w:rPr>
          <w:rFonts w:ascii="Arial" w:hAnsi="Arial" w:cs="Arial"/>
          <w:sz w:val="22"/>
          <w:szCs w:val="22"/>
        </w:rPr>
        <w:t>l advenimiento de las denominadas nuevas tecnologías nos obligan a repensar las garantías procesales constitucionales, contenidas tanto en la Constitución Nacional como en los Tratados de Derechos Humanos</w:t>
      </w:r>
      <w:r w:rsidR="0033401E" w:rsidRPr="00952C94">
        <w:rPr>
          <w:rStyle w:val="Refdenotaalpie"/>
          <w:sz w:val="22"/>
          <w:szCs w:val="22"/>
        </w:rPr>
        <w:footnoteReference w:id="1"/>
      </w:r>
      <w:r w:rsidR="0033401E" w:rsidRPr="00952C94">
        <w:rPr>
          <w:rFonts w:ascii="Arial" w:hAnsi="Arial" w:cs="Arial"/>
          <w:sz w:val="22"/>
          <w:szCs w:val="22"/>
        </w:rPr>
        <w:t>,</w:t>
      </w:r>
      <w:r w:rsidR="00B06873" w:rsidRPr="00952C94">
        <w:rPr>
          <w:rFonts w:ascii="Arial" w:hAnsi="Arial" w:cs="Arial"/>
          <w:sz w:val="22"/>
          <w:szCs w:val="22"/>
        </w:rPr>
        <w:t xml:space="preserve"> así como la necesidad de otorgar protección a la persona humana respecto de los denominados </w:t>
      </w:r>
      <w:r w:rsidR="00771DFC" w:rsidRPr="00952C94">
        <w:rPr>
          <w:rFonts w:ascii="Arial" w:hAnsi="Arial" w:cs="Arial"/>
          <w:i/>
          <w:sz w:val="22"/>
          <w:szCs w:val="22"/>
        </w:rPr>
        <w:t xml:space="preserve">neuroderechos, </w:t>
      </w:r>
      <w:r w:rsidR="00771DFC" w:rsidRPr="00952C94">
        <w:rPr>
          <w:rFonts w:ascii="Arial" w:hAnsi="Arial" w:cs="Arial"/>
          <w:sz w:val="22"/>
          <w:szCs w:val="22"/>
        </w:rPr>
        <w:t xml:space="preserve">particularmente a partir de los grandes avances para el desarrollo de las interfaces cerebro computadora. </w:t>
      </w:r>
    </w:p>
    <w:p w:rsidR="00BA5BE5" w:rsidRPr="00952C94" w:rsidRDefault="00B06873" w:rsidP="0025437C">
      <w:pPr>
        <w:spacing w:line="360" w:lineRule="auto"/>
        <w:ind w:firstLine="567"/>
        <w:jc w:val="both"/>
        <w:rPr>
          <w:rFonts w:ascii="Arial" w:hAnsi="Arial" w:cs="Arial"/>
          <w:sz w:val="22"/>
          <w:szCs w:val="22"/>
        </w:rPr>
      </w:pPr>
      <w:r w:rsidRPr="00952C94">
        <w:rPr>
          <w:rFonts w:ascii="Arial" w:hAnsi="Arial" w:cs="Arial"/>
          <w:sz w:val="22"/>
          <w:szCs w:val="22"/>
        </w:rPr>
        <w:t xml:space="preserve">En este punto particularmente nos </w:t>
      </w:r>
      <w:r w:rsidR="0033401E" w:rsidRPr="00952C94">
        <w:rPr>
          <w:rFonts w:ascii="Arial" w:hAnsi="Arial" w:cs="Arial"/>
          <w:sz w:val="22"/>
          <w:szCs w:val="22"/>
        </w:rPr>
        <w:t>centraremos en la garantía de no declarar contra uno mismo</w:t>
      </w:r>
      <w:r w:rsidRPr="00952C94">
        <w:rPr>
          <w:rFonts w:ascii="Arial" w:hAnsi="Arial" w:cs="Arial"/>
          <w:sz w:val="22"/>
          <w:szCs w:val="22"/>
        </w:rPr>
        <w:t xml:space="preserve">, y el neuroderecho de no </w:t>
      </w:r>
      <w:r w:rsidR="00687240">
        <w:rPr>
          <w:rFonts w:ascii="Arial" w:hAnsi="Arial" w:cs="Arial"/>
          <w:sz w:val="22"/>
          <w:szCs w:val="22"/>
        </w:rPr>
        <w:t>ser manipulado neurológicamente</w:t>
      </w:r>
      <w:r w:rsidRPr="00952C94">
        <w:rPr>
          <w:rFonts w:ascii="Arial" w:hAnsi="Arial" w:cs="Arial"/>
          <w:sz w:val="22"/>
          <w:szCs w:val="22"/>
        </w:rPr>
        <w:t xml:space="preserve">. </w:t>
      </w:r>
    </w:p>
    <w:p w:rsidR="00952C94" w:rsidRPr="00952C94" w:rsidRDefault="00952C94" w:rsidP="0025437C">
      <w:pPr>
        <w:spacing w:line="360" w:lineRule="auto"/>
        <w:ind w:firstLine="567"/>
        <w:jc w:val="both"/>
        <w:rPr>
          <w:rFonts w:ascii="Arial" w:hAnsi="Arial" w:cs="Arial"/>
          <w:sz w:val="22"/>
          <w:szCs w:val="22"/>
        </w:rPr>
      </w:pPr>
    </w:p>
    <w:p w:rsidR="0033401E" w:rsidRPr="00E373FE" w:rsidRDefault="0025437C" w:rsidP="00E373FE">
      <w:pPr>
        <w:pStyle w:val="Ttulo1"/>
        <w:rPr>
          <w:rFonts w:ascii="Arial" w:hAnsi="Arial" w:cs="Arial"/>
          <w:sz w:val="22"/>
          <w:szCs w:val="22"/>
        </w:rPr>
      </w:pPr>
      <w:bookmarkStart w:id="2" w:name="_Toc100177577"/>
      <w:r w:rsidRPr="00E373FE">
        <w:rPr>
          <w:rFonts w:ascii="Arial" w:hAnsi="Arial" w:cs="Arial"/>
          <w:sz w:val="22"/>
          <w:szCs w:val="22"/>
        </w:rPr>
        <w:t xml:space="preserve">II.- </w:t>
      </w:r>
      <w:r w:rsidR="003F2C65" w:rsidRPr="00E373FE">
        <w:rPr>
          <w:rFonts w:ascii="Arial" w:hAnsi="Arial" w:cs="Arial"/>
          <w:sz w:val="22"/>
          <w:szCs w:val="22"/>
        </w:rPr>
        <w:t>LA GARANTÍA CONTRA LA AUTOINCRIMINACIÓN</w:t>
      </w:r>
      <w:bookmarkEnd w:id="2"/>
    </w:p>
    <w:p w:rsidR="00F95BC2" w:rsidRDefault="00F95BC2" w:rsidP="0025437C">
      <w:pPr>
        <w:spacing w:line="360" w:lineRule="auto"/>
        <w:ind w:firstLine="567"/>
        <w:jc w:val="both"/>
        <w:rPr>
          <w:rFonts w:ascii="Arial" w:hAnsi="Arial" w:cs="Arial"/>
          <w:sz w:val="22"/>
          <w:szCs w:val="22"/>
        </w:rPr>
      </w:pPr>
    </w:p>
    <w:p w:rsidR="00771DFC" w:rsidRPr="00952C94" w:rsidRDefault="0033401E" w:rsidP="0025437C">
      <w:pPr>
        <w:spacing w:line="360" w:lineRule="auto"/>
        <w:ind w:firstLine="567"/>
        <w:jc w:val="both"/>
        <w:rPr>
          <w:rFonts w:ascii="Arial" w:hAnsi="Arial" w:cs="Arial"/>
          <w:sz w:val="22"/>
          <w:szCs w:val="22"/>
        </w:rPr>
      </w:pPr>
      <w:r w:rsidRPr="00952C94">
        <w:rPr>
          <w:rFonts w:ascii="Arial" w:hAnsi="Arial" w:cs="Arial"/>
          <w:sz w:val="22"/>
          <w:szCs w:val="22"/>
        </w:rPr>
        <w:t xml:space="preserve">El derecho o garantía de no autoincriminación, también conocido como principio </w:t>
      </w:r>
      <w:r w:rsidRPr="00952C94">
        <w:rPr>
          <w:rFonts w:ascii="Arial" w:hAnsi="Arial" w:cs="Arial"/>
          <w:i/>
          <w:sz w:val="22"/>
          <w:szCs w:val="22"/>
        </w:rPr>
        <w:t>nemo tenetur se ipsum accusare</w:t>
      </w:r>
      <w:r w:rsidRPr="00952C94">
        <w:rPr>
          <w:rFonts w:ascii="Arial" w:hAnsi="Arial" w:cs="Arial"/>
          <w:sz w:val="22"/>
          <w:szCs w:val="22"/>
        </w:rPr>
        <w:t xml:space="preserve"> (nadie está obligado a declarar contra sí mismo), es aquel que “permite al imputado negarse a responder ciertas preguntas cuya respuesta pueda implicar que se le persiga criminalmente por un delito, a él o a algún miembro de su familia”, y tiene su base en la manifestación de autoconservación del ser humano, lo cual se ve reflejado anteriormente en el </w:t>
      </w:r>
      <w:r w:rsidRPr="00952C94">
        <w:rPr>
          <w:rFonts w:ascii="Arial" w:hAnsi="Arial" w:cs="Arial"/>
          <w:i/>
          <w:sz w:val="22"/>
          <w:szCs w:val="22"/>
        </w:rPr>
        <w:t>Corpus Iuris Canonici</w:t>
      </w:r>
      <w:r w:rsidRPr="00952C94">
        <w:rPr>
          <w:rFonts w:ascii="Arial" w:hAnsi="Arial" w:cs="Arial"/>
          <w:sz w:val="22"/>
          <w:szCs w:val="22"/>
        </w:rPr>
        <w:t xml:space="preserve">, con la máxima romana, </w:t>
      </w:r>
      <w:r w:rsidRPr="00952C94">
        <w:rPr>
          <w:rFonts w:ascii="Arial" w:hAnsi="Arial" w:cs="Arial"/>
          <w:i/>
          <w:sz w:val="22"/>
          <w:szCs w:val="22"/>
        </w:rPr>
        <w:t>nemo tenetur prodere seipsum</w:t>
      </w:r>
      <w:r w:rsidRPr="00952C94">
        <w:rPr>
          <w:rFonts w:ascii="Arial" w:hAnsi="Arial" w:cs="Arial"/>
          <w:sz w:val="22"/>
          <w:szCs w:val="22"/>
        </w:rPr>
        <w:t xml:space="preserve"> (nadie está obligado a traicionarse a sí mismo)”; dicho de otro modo es el derecho que tiene la persona para decidir libremente si declarará, como así también cuál será el contenido de su declaración.</w:t>
      </w:r>
    </w:p>
    <w:p w:rsidR="00771DFC" w:rsidRPr="00952C94" w:rsidRDefault="00771DFC" w:rsidP="0025437C">
      <w:pPr>
        <w:spacing w:line="360" w:lineRule="auto"/>
        <w:ind w:firstLine="567"/>
        <w:jc w:val="both"/>
        <w:rPr>
          <w:rFonts w:ascii="Arial" w:hAnsi="Arial" w:cs="Arial"/>
          <w:sz w:val="22"/>
          <w:szCs w:val="22"/>
        </w:rPr>
      </w:pPr>
      <w:r w:rsidRPr="00952C94">
        <w:rPr>
          <w:rFonts w:ascii="Arial" w:hAnsi="Arial" w:cs="Arial"/>
          <w:sz w:val="22"/>
          <w:szCs w:val="22"/>
        </w:rPr>
        <w:t xml:space="preserve">Esta garantía ha sido tradicionalmente pensada como una garantía de índole penal, entendiéndose que no es aplicable al derecho no penal. Es a </w:t>
      </w:r>
      <w:r w:rsidRPr="00952C94">
        <w:rPr>
          <w:rFonts w:ascii="Arial" w:hAnsi="Arial" w:cs="Arial"/>
          <w:sz w:val="22"/>
          <w:szCs w:val="22"/>
        </w:rPr>
        <w:lastRenderedPageBreak/>
        <w:t>partir de la incorporación de los tratados internacionales al plexo normativo constitucional que, al menos desde la doctrina</w:t>
      </w:r>
      <w:r w:rsidRPr="00952C94">
        <w:rPr>
          <w:rStyle w:val="Refdenotaalpie"/>
          <w:rFonts w:ascii="Arial" w:hAnsi="Arial" w:cs="Arial"/>
          <w:sz w:val="22"/>
          <w:szCs w:val="22"/>
        </w:rPr>
        <w:footnoteReference w:id="2"/>
      </w:r>
      <w:r w:rsidRPr="00952C94">
        <w:rPr>
          <w:rFonts w:ascii="Arial" w:hAnsi="Arial" w:cs="Arial"/>
          <w:sz w:val="22"/>
          <w:szCs w:val="22"/>
        </w:rPr>
        <w:t xml:space="preserve">, se puso en crisis la prueba confesional o absolución de posiciones, lo que por otra parte ha sido tomado por el nuevo </w:t>
      </w:r>
      <w:r w:rsidR="007213C9" w:rsidRPr="00952C94">
        <w:rPr>
          <w:rFonts w:ascii="Arial" w:hAnsi="Arial" w:cs="Arial"/>
          <w:sz w:val="22"/>
          <w:szCs w:val="22"/>
        </w:rPr>
        <w:t xml:space="preserve">Código Procesal Civil Comercial </w:t>
      </w:r>
      <w:r w:rsidRPr="00952C94">
        <w:rPr>
          <w:rFonts w:ascii="Arial" w:hAnsi="Arial" w:cs="Arial"/>
          <w:sz w:val="22"/>
          <w:szCs w:val="22"/>
        </w:rPr>
        <w:t xml:space="preserve">y </w:t>
      </w:r>
      <w:r w:rsidR="007213C9" w:rsidRPr="00952C94">
        <w:rPr>
          <w:rFonts w:ascii="Arial" w:hAnsi="Arial" w:cs="Arial"/>
          <w:sz w:val="22"/>
          <w:szCs w:val="22"/>
        </w:rPr>
        <w:t xml:space="preserve">Tributario </w:t>
      </w:r>
      <w:r w:rsidRPr="00952C94">
        <w:rPr>
          <w:rFonts w:ascii="Arial" w:hAnsi="Arial" w:cs="Arial"/>
          <w:sz w:val="22"/>
          <w:szCs w:val="22"/>
        </w:rPr>
        <w:t>de Mendoza al eliminar la absolución de posiciones como medio de prueba</w:t>
      </w:r>
      <w:r w:rsidR="007213C9">
        <w:rPr>
          <w:rFonts w:ascii="Arial" w:hAnsi="Arial" w:cs="Arial"/>
          <w:sz w:val="22"/>
          <w:szCs w:val="22"/>
        </w:rPr>
        <w:t xml:space="preserve">, a diferencia de lo que ocurre en </w:t>
      </w:r>
      <w:r w:rsidRPr="00952C94">
        <w:rPr>
          <w:rFonts w:ascii="Arial" w:hAnsi="Arial" w:cs="Arial"/>
          <w:sz w:val="22"/>
          <w:szCs w:val="22"/>
        </w:rPr>
        <w:t xml:space="preserve">las Bases para Reforma al </w:t>
      </w:r>
      <w:r w:rsidR="007213C9" w:rsidRPr="00952C94">
        <w:rPr>
          <w:rFonts w:ascii="Arial" w:hAnsi="Arial" w:cs="Arial"/>
          <w:sz w:val="22"/>
          <w:szCs w:val="22"/>
        </w:rPr>
        <w:t xml:space="preserve">Código Procesal Civil </w:t>
      </w:r>
      <w:r w:rsidRPr="00952C94">
        <w:rPr>
          <w:rFonts w:ascii="Arial" w:hAnsi="Arial" w:cs="Arial"/>
          <w:sz w:val="22"/>
          <w:szCs w:val="22"/>
        </w:rPr>
        <w:t xml:space="preserve">de la </w:t>
      </w:r>
      <w:r w:rsidR="007213C9" w:rsidRPr="00952C94">
        <w:rPr>
          <w:rFonts w:ascii="Arial" w:hAnsi="Arial" w:cs="Arial"/>
          <w:sz w:val="22"/>
          <w:szCs w:val="22"/>
        </w:rPr>
        <w:t xml:space="preserve">Nación </w:t>
      </w:r>
      <w:r w:rsidR="007213C9">
        <w:rPr>
          <w:rFonts w:ascii="Arial" w:hAnsi="Arial" w:cs="Arial"/>
          <w:sz w:val="22"/>
          <w:szCs w:val="22"/>
        </w:rPr>
        <w:t xml:space="preserve">que </w:t>
      </w:r>
      <w:r w:rsidRPr="00952C94">
        <w:rPr>
          <w:rFonts w:ascii="Arial" w:hAnsi="Arial" w:cs="Arial"/>
          <w:sz w:val="22"/>
          <w:szCs w:val="22"/>
        </w:rPr>
        <w:t>dispone como medida de prueba el interrogatorio libre de las partes.</w:t>
      </w:r>
    </w:p>
    <w:p w:rsidR="00BA5BE5" w:rsidRPr="00952C94" w:rsidRDefault="00BA5BE5" w:rsidP="0025437C">
      <w:pPr>
        <w:spacing w:line="360" w:lineRule="auto"/>
        <w:ind w:firstLine="567"/>
        <w:jc w:val="both"/>
        <w:rPr>
          <w:rFonts w:ascii="Arial" w:hAnsi="Arial" w:cs="Arial"/>
          <w:sz w:val="22"/>
          <w:szCs w:val="22"/>
        </w:rPr>
      </w:pPr>
    </w:p>
    <w:p w:rsidR="0033401E" w:rsidRDefault="0025437C" w:rsidP="00E373FE">
      <w:pPr>
        <w:pStyle w:val="Ttulo1"/>
        <w:rPr>
          <w:rFonts w:ascii="Arial" w:hAnsi="Arial" w:cs="Arial"/>
          <w:sz w:val="22"/>
          <w:szCs w:val="22"/>
        </w:rPr>
      </w:pPr>
      <w:bookmarkStart w:id="3" w:name="_Toc100177578"/>
      <w:r w:rsidRPr="00E373FE">
        <w:rPr>
          <w:rFonts w:ascii="Arial" w:hAnsi="Arial" w:cs="Arial"/>
          <w:sz w:val="22"/>
          <w:szCs w:val="22"/>
        </w:rPr>
        <w:t>III.- ANTECEDENTES HISTÓRICOS</w:t>
      </w:r>
      <w:bookmarkEnd w:id="3"/>
    </w:p>
    <w:p w:rsidR="001C1802" w:rsidRPr="001C1802" w:rsidRDefault="001C1802" w:rsidP="001C1802"/>
    <w:p w:rsidR="0033401E" w:rsidRPr="00952C94" w:rsidRDefault="007213C9" w:rsidP="0025437C">
      <w:pPr>
        <w:spacing w:line="360" w:lineRule="auto"/>
        <w:ind w:firstLine="567"/>
        <w:jc w:val="both"/>
        <w:rPr>
          <w:rFonts w:ascii="Arial" w:hAnsi="Arial" w:cs="Arial"/>
          <w:sz w:val="22"/>
          <w:szCs w:val="22"/>
        </w:rPr>
      </w:pPr>
      <w:r w:rsidRPr="007213C9">
        <w:rPr>
          <w:rFonts w:ascii="Arial" w:eastAsia="TrebuchetMS" w:hAnsi="Arial" w:cs="Arial"/>
          <w:sz w:val="22"/>
          <w:szCs w:val="22"/>
        </w:rPr>
        <w:t>VILLALBA</w:t>
      </w:r>
      <w:r>
        <w:rPr>
          <w:rFonts w:ascii="Arial" w:eastAsia="TrebuchetMS" w:hAnsi="Arial" w:cs="Arial"/>
          <w:sz w:val="22"/>
          <w:szCs w:val="22"/>
        </w:rPr>
        <w:t xml:space="preserve"> (2017)</w:t>
      </w:r>
      <w:r w:rsidR="0033401E" w:rsidRPr="00952C94">
        <w:rPr>
          <w:rStyle w:val="Refdenotaalpie"/>
          <w:rFonts w:ascii="Arial" w:eastAsia="TrebuchetMS" w:hAnsi="Arial" w:cs="Arial"/>
          <w:sz w:val="22"/>
          <w:szCs w:val="22"/>
        </w:rPr>
        <w:footnoteReference w:id="3"/>
      </w:r>
      <w:r w:rsidR="0033401E" w:rsidRPr="00952C94">
        <w:rPr>
          <w:rFonts w:ascii="Arial" w:eastAsia="TrebuchetMS" w:hAnsi="Arial" w:cs="Arial"/>
          <w:sz w:val="22"/>
          <w:szCs w:val="22"/>
        </w:rPr>
        <w:t xml:space="preserve">, en un profuso estudio </w:t>
      </w:r>
      <w:r w:rsidR="00C84203" w:rsidRPr="00952C94">
        <w:rPr>
          <w:rFonts w:ascii="Arial" w:eastAsia="TrebuchetMS" w:hAnsi="Arial" w:cs="Arial"/>
          <w:sz w:val="22"/>
          <w:szCs w:val="22"/>
        </w:rPr>
        <w:t xml:space="preserve">(que seguimos) </w:t>
      </w:r>
      <w:r w:rsidR="0033401E" w:rsidRPr="00952C94">
        <w:rPr>
          <w:rFonts w:ascii="Arial" w:eastAsia="TrebuchetMS" w:hAnsi="Arial" w:cs="Arial"/>
          <w:sz w:val="22"/>
          <w:szCs w:val="22"/>
        </w:rPr>
        <w:t>respecto de los orígenes del instituto en estudio, indica que n</w:t>
      </w:r>
      <w:r w:rsidR="0033401E" w:rsidRPr="00952C94">
        <w:rPr>
          <w:rFonts w:ascii="Arial" w:hAnsi="Arial" w:cs="Arial"/>
          <w:sz w:val="22"/>
          <w:szCs w:val="22"/>
        </w:rPr>
        <w:t xml:space="preserve">o existe una uniformidad de criterio sobre cuál es el probable origen del derecho contra la autoincriminación, ya que éste se puede remontar al Talmud y a las enseñanzas de Rava, o incluso pueden encontrarse antecedentes en el Derecho Romano. </w:t>
      </w:r>
      <w:r w:rsidR="00BA5BE5" w:rsidRPr="00952C94">
        <w:rPr>
          <w:rFonts w:ascii="Arial" w:hAnsi="Arial" w:cs="Arial"/>
          <w:sz w:val="22"/>
          <w:szCs w:val="22"/>
        </w:rPr>
        <w:t xml:space="preserve">Incluso hay quienes entienden </w:t>
      </w:r>
      <w:r w:rsidR="0033401E" w:rsidRPr="00952C94">
        <w:rPr>
          <w:rFonts w:ascii="Arial" w:hAnsi="Arial" w:cs="Arial"/>
          <w:sz w:val="22"/>
          <w:szCs w:val="22"/>
        </w:rPr>
        <w:t>que se desprende del Derecho Canónico, ya que la máxima en estudio también aparece en los primeros escritos canónicos, siendo posteriormente incorporado en el decreto de Graciano bajo estas palabras “yo no le digo que se incrimine a sí mismo públicamente, ni se acuse usted mismo en frente de otros”. En este sentido recuerda que por ejemplo San Juan Crisóstomo en su comentario a la Epístola de San Pablo a los Hebreos manifestaba “No te digo que descubras eso -tu pecado- ante el público como una condecoración, ni que te acuses delante de otro”</w:t>
      </w:r>
      <w:r w:rsidR="00BE561E" w:rsidRPr="00952C94">
        <w:rPr>
          <w:rFonts w:ascii="Arial" w:hAnsi="Arial" w:cs="Arial"/>
          <w:sz w:val="22"/>
          <w:szCs w:val="22"/>
        </w:rPr>
        <w:t>.</w:t>
      </w:r>
    </w:p>
    <w:p w:rsidR="0033401E" w:rsidRPr="00952C94" w:rsidRDefault="00125D57" w:rsidP="0025437C">
      <w:pPr>
        <w:spacing w:line="360" w:lineRule="auto"/>
        <w:ind w:firstLine="567"/>
        <w:jc w:val="both"/>
        <w:rPr>
          <w:rFonts w:ascii="Arial" w:hAnsi="Arial" w:cs="Arial"/>
          <w:sz w:val="22"/>
          <w:szCs w:val="22"/>
        </w:rPr>
      </w:pPr>
      <w:r w:rsidRPr="00952C94">
        <w:rPr>
          <w:rFonts w:ascii="Arial" w:hAnsi="Arial" w:cs="Arial"/>
          <w:sz w:val="22"/>
          <w:szCs w:val="22"/>
        </w:rPr>
        <w:t xml:space="preserve">Como recuerda </w:t>
      </w:r>
      <w:r w:rsidR="00A96B28" w:rsidRPr="00952C94">
        <w:rPr>
          <w:rFonts w:ascii="Arial" w:hAnsi="Arial" w:cs="Arial"/>
          <w:smallCaps/>
          <w:sz w:val="22"/>
          <w:szCs w:val="22"/>
        </w:rPr>
        <w:t>VILLALBA</w:t>
      </w:r>
      <w:r w:rsidR="00A96B28" w:rsidRPr="00952C94">
        <w:rPr>
          <w:rFonts w:ascii="Arial" w:hAnsi="Arial" w:cs="Arial"/>
          <w:sz w:val="22"/>
          <w:szCs w:val="22"/>
        </w:rPr>
        <w:t xml:space="preserve"> </w:t>
      </w:r>
      <w:r w:rsidRPr="00952C94">
        <w:rPr>
          <w:rFonts w:ascii="Arial" w:hAnsi="Arial" w:cs="Arial"/>
          <w:sz w:val="22"/>
          <w:szCs w:val="22"/>
        </w:rPr>
        <w:t>el interrogatorio del imputado es donde se han manifestado y se han medido las diferencias más profundas entre los métodos inquisitivos y acusatorios. En ese sentido debe tenerse presente que l</w:t>
      </w:r>
      <w:r w:rsidR="00BE561E" w:rsidRPr="00952C94">
        <w:rPr>
          <w:rFonts w:ascii="Arial" w:hAnsi="Arial" w:cs="Arial"/>
          <w:sz w:val="22"/>
          <w:szCs w:val="22"/>
        </w:rPr>
        <w:t xml:space="preserve">a evolución de la garantía en estudio se evidenció primeramente no </w:t>
      </w:r>
      <w:r w:rsidR="00BE561E" w:rsidRPr="00952C94">
        <w:rPr>
          <w:rFonts w:ascii="Arial" w:hAnsi="Arial" w:cs="Arial"/>
          <w:sz w:val="22"/>
          <w:szCs w:val="22"/>
        </w:rPr>
        <w:lastRenderedPageBreak/>
        <w:t>tanto en el derecho de abstenerse a declarar, sino la forma en la que el “imputado” debía declarar, es decir si debía hacerlo bajo juramento de decir verdad, o de forma simple</w:t>
      </w:r>
      <w:r w:rsidR="00CF159E" w:rsidRPr="00952C94">
        <w:rPr>
          <w:rFonts w:ascii="Arial" w:hAnsi="Arial" w:cs="Arial"/>
          <w:sz w:val="22"/>
          <w:szCs w:val="22"/>
        </w:rPr>
        <w:t>, e incluso en lo relativo a los tormentos a fin de obtener la confesión del imputado.</w:t>
      </w:r>
    </w:p>
    <w:p w:rsidR="00C2185F" w:rsidRPr="00952C94" w:rsidRDefault="00A66373" w:rsidP="0025437C">
      <w:pPr>
        <w:spacing w:line="360" w:lineRule="auto"/>
        <w:ind w:firstLine="567"/>
        <w:jc w:val="both"/>
        <w:rPr>
          <w:rFonts w:ascii="Arial" w:hAnsi="Arial" w:cs="Arial"/>
          <w:sz w:val="22"/>
          <w:szCs w:val="22"/>
        </w:rPr>
      </w:pPr>
      <w:r w:rsidRPr="00952C94">
        <w:rPr>
          <w:rFonts w:ascii="Arial" w:hAnsi="Arial" w:cs="Arial"/>
          <w:sz w:val="22"/>
          <w:szCs w:val="22"/>
        </w:rPr>
        <w:t>Mientras que e</w:t>
      </w:r>
      <w:r w:rsidR="00E01486" w:rsidRPr="00952C94">
        <w:rPr>
          <w:rFonts w:ascii="Arial" w:hAnsi="Arial" w:cs="Arial"/>
          <w:sz w:val="22"/>
          <w:szCs w:val="22"/>
        </w:rPr>
        <w:t xml:space="preserve">n Inglaterra, ésta garantía comienza desarrollarse </w:t>
      </w:r>
      <w:r w:rsidRPr="00952C94">
        <w:rPr>
          <w:rFonts w:ascii="Arial" w:hAnsi="Arial" w:cs="Arial"/>
          <w:sz w:val="22"/>
          <w:szCs w:val="22"/>
        </w:rPr>
        <w:t xml:space="preserve">como </w:t>
      </w:r>
      <w:r w:rsidR="00E01486" w:rsidRPr="00952C94">
        <w:rPr>
          <w:rFonts w:ascii="Arial" w:hAnsi="Arial" w:cs="Arial"/>
          <w:sz w:val="22"/>
          <w:szCs w:val="22"/>
        </w:rPr>
        <w:t xml:space="preserve">una reacción frente a ciertos métodos </w:t>
      </w:r>
      <w:r w:rsidRPr="00952C94">
        <w:rPr>
          <w:rFonts w:ascii="Arial" w:hAnsi="Arial" w:cs="Arial"/>
          <w:sz w:val="22"/>
          <w:szCs w:val="22"/>
        </w:rPr>
        <w:t>de instrucción del proceso</w:t>
      </w:r>
      <w:r w:rsidR="00E01486" w:rsidRPr="00952C94">
        <w:rPr>
          <w:rFonts w:ascii="Arial" w:hAnsi="Arial" w:cs="Arial"/>
          <w:sz w:val="22"/>
          <w:szCs w:val="22"/>
        </w:rPr>
        <w:t xml:space="preserve">, como </w:t>
      </w:r>
      <w:r w:rsidRPr="00952C94">
        <w:rPr>
          <w:rFonts w:ascii="Arial" w:hAnsi="Arial" w:cs="Arial"/>
          <w:sz w:val="22"/>
          <w:szCs w:val="22"/>
        </w:rPr>
        <w:t xml:space="preserve">fueron </w:t>
      </w:r>
      <w:r w:rsidR="00E01486" w:rsidRPr="00952C94">
        <w:rPr>
          <w:rFonts w:ascii="Arial" w:hAnsi="Arial" w:cs="Arial"/>
          <w:sz w:val="22"/>
          <w:szCs w:val="22"/>
        </w:rPr>
        <w:t xml:space="preserve">el juramento inquisitivo adoptado por las </w:t>
      </w:r>
      <w:r w:rsidRPr="00952C94">
        <w:rPr>
          <w:rFonts w:ascii="Arial" w:hAnsi="Arial" w:cs="Arial"/>
          <w:sz w:val="22"/>
          <w:szCs w:val="22"/>
        </w:rPr>
        <w:t xml:space="preserve">Cortes Británicas </w:t>
      </w:r>
      <w:r w:rsidR="00E01486" w:rsidRPr="007213C9">
        <w:rPr>
          <w:rFonts w:ascii="Arial" w:hAnsi="Arial" w:cs="Arial"/>
          <w:i/>
          <w:sz w:val="22"/>
          <w:szCs w:val="22"/>
        </w:rPr>
        <w:t>Star Chambert</w:t>
      </w:r>
      <w:r w:rsidR="00E01486" w:rsidRPr="00952C94">
        <w:rPr>
          <w:rFonts w:ascii="Arial" w:hAnsi="Arial" w:cs="Arial"/>
          <w:sz w:val="22"/>
          <w:szCs w:val="22"/>
        </w:rPr>
        <w:t xml:space="preserve"> y las </w:t>
      </w:r>
      <w:r w:rsidR="00E01486" w:rsidRPr="007213C9">
        <w:rPr>
          <w:rFonts w:ascii="Arial" w:hAnsi="Arial" w:cs="Arial"/>
          <w:i/>
          <w:sz w:val="22"/>
          <w:szCs w:val="22"/>
        </w:rPr>
        <w:t xml:space="preserve">Courts of High </w:t>
      </w:r>
      <w:r w:rsidR="00A077BA" w:rsidRPr="007213C9">
        <w:rPr>
          <w:rFonts w:ascii="Arial" w:hAnsi="Arial" w:cs="Arial"/>
          <w:i/>
          <w:sz w:val="22"/>
          <w:szCs w:val="22"/>
        </w:rPr>
        <w:t>Commission</w:t>
      </w:r>
      <w:r w:rsidR="00E01486" w:rsidRPr="00952C94">
        <w:rPr>
          <w:rFonts w:ascii="Arial" w:hAnsi="Arial" w:cs="Arial"/>
          <w:sz w:val="22"/>
          <w:szCs w:val="22"/>
        </w:rPr>
        <w:t xml:space="preserve">, con fines esencialmente políticos, </w:t>
      </w:r>
      <w:r w:rsidRPr="00952C94">
        <w:rPr>
          <w:rFonts w:ascii="Arial" w:hAnsi="Arial" w:cs="Arial"/>
          <w:sz w:val="22"/>
          <w:szCs w:val="22"/>
        </w:rPr>
        <w:t xml:space="preserve">en las que se </w:t>
      </w:r>
      <w:r w:rsidR="00E01486" w:rsidRPr="00952C94">
        <w:rPr>
          <w:rFonts w:ascii="Arial" w:hAnsi="Arial" w:cs="Arial"/>
          <w:sz w:val="22"/>
          <w:szCs w:val="22"/>
        </w:rPr>
        <w:t>exigía al procesado un juramento ex officio, aun cuando no existiese cargo</w:t>
      </w:r>
      <w:r w:rsidRPr="00952C94">
        <w:rPr>
          <w:rFonts w:ascii="Arial" w:hAnsi="Arial" w:cs="Arial"/>
          <w:sz w:val="22"/>
          <w:szCs w:val="22"/>
        </w:rPr>
        <w:t>s</w:t>
      </w:r>
      <w:r w:rsidR="00E01486" w:rsidRPr="00952C94">
        <w:rPr>
          <w:rFonts w:ascii="Arial" w:hAnsi="Arial" w:cs="Arial"/>
          <w:sz w:val="22"/>
          <w:szCs w:val="22"/>
        </w:rPr>
        <w:t xml:space="preserve"> contra él, </w:t>
      </w:r>
      <w:r w:rsidRPr="00952C94">
        <w:rPr>
          <w:rFonts w:ascii="Arial" w:hAnsi="Arial" w:cs="Arial"/>
          <w:sz w:val="22"/>
          <w:szCs w:val="22"/>
        </w:rPr>
        <w:t xml:space="preserve">con lo </w:t>
      </w:r>
      <w:r w:rsidR="00E01486" w:rsidRPr="00952C94">
        <w:rPr>
          <w:rFonts w:ascii="Arial" w:hAnsi="Arial" w:cs="Arial"/>
          <w:sz w:val="22"/>
          <w:szCs w:val="22"/>
        </w:rPr>
        <w:t xml:space="preserve">que su testimonio se convertía en el </w:t>
      </w:r>
      <w:r w:rsidRPr="00952C94">
        <w:rPr>
          <w:rFonts w:ascii="Arial" w:hAnsi="Arial" w:cs="Arial"/>
          <w:sz w:val="22"/>
          <w:szCs w:val="22"/>
        </w:rPr>
        <w:t xml:space="preserve">objeto del </w:t>
      </w:r>
      <w:r w:rsidR="00E01486" w:rsidRPr="00952C94">
        <w:rPr>
          <w:rFonts w:ascii="Arial" w:hAnsi="Arial" w:cs="Arial"/>
          <w:sz w:val="22"/>
          <w:szCs w:val="22"/>
        </w:rPr>
        <w:t>proceso. Sin embargo</w:t>
      </w:r>
      <w:r w:rsidRPr="00952C94">
        <w:rPr>
          <w:rFonts w:ascii="Arial" w:hAnsi="Arial" w:cs="Arial"/>
          <w:sz w:val="22"/>
          <w:szCs w:val="22"/>
        </w:rPr>
        <w:t>,</w:t>
      </w:r>
      <w:r w:rsidR="00E01486" w:rsidRPr="00952C94">
        <w:rPr>
          <w:rFonts w:ascii="Arial" w:hAnsi="Arial" w:cs="Arial"/>
          <w:sz w:val="22"/>
          <w:szCs w:val="22"/>
        </w:rPr>
        <w:t xml:space="preserve"> la autoincriminación y el uso del juramento también estaban presentes en</w:t>
      </w:r>
      <w:r w:rsidR="00125D57" w:rsidRPr="00952C94">
        <w:rPr>
          <w:rFonts w:ascii="Arial" w:hAnsi="Arial" w:cs="Arial"/>
          <w:sz w:val="22"/>
          <w:szCs w:val="22"/>
        </w:rPr>
        <w:t xml:space="preserve"> los juicios criminales</w:t>
      </w:r>
      <w:r w:rsidR="00C2185F" w:rsidRPr="00952C94">
        <w:rPr>
          <w:rFonts w:ascii="Arial" w:hAnsi="Arial" w:cs="Arial"/>
          <w:sz w:val="22"/>
          <w:szCs w:val="22"/>
        </w:rPr>
        <w:t xml:space="preserve">, ya que la Corona </w:t>
      </w:r>
      <w:r w:rsidR="00125D57" w:rsidRPr="00952C94">
        <w:rPr>
          <w:rFonts w:ascii="Arial" w:hAnsi="Arial" w:cs="Arial"/>
          <w:sz w:val="22"/>
          <w:szCs w:val="22"/>
        </w:rPr>
        <w:t xml:space="preserve">generalizó </w:t>
      </w:r>
      <w:r w:rsidRPr="00952C94">
        <w:rPr>
          <w:rFonts w:ascii="Arial" w:hAnsi="Arial" w:cs="Arial"/>
          <w:sz w:val="22"/>
          <w:szCs w:val="22"/>
        </w:rPr>
        <w:t xml:space="preserve">estas </w:t>
      </w:r>
      <w:r w:rsidR="00E01486" w:rsidRPr="00952C94">
        <w:rPr>
          <w:rFonts w:ascii="Arial" w:hAnsi="Arial" w:cs="Arial"/>
          <w:sz w:val="22"/>
          <w:szCs w:val="22"/>
        </w:rPr>
        <w:t xml:space="preserve">prácticas inquisitivas, </w:t>
      </w:r>
      <w:r w:rsidR="00125D57" w:rsidRPr="00952C94">
        <w:rPr>
          <w:rFonts w:ascii="Arial" w:hAnsi="Arial" w:cs="Arial"/>
          <w:sz w:val="22"/>
          <w:szCs w:val="22"/>
        </w:rPr>
        <w:t xml:space="preserve">lo que la llevó a enfrentarse a los </w:t>
      </w:r>
      <w:r w:rsidR="00E01486" w:rsidRPr="00952C94">
        <w:rPr>
          <w:rFonts w:ascii="Arial" w:hAnsi="Arial" w:cs="Arial"/>
          <w:sz w:val="22"/>
          <w:szCs w:val="22"/>
        </w:rPr>
        <w:t>tribunales de Derecho Común</w:t>
      </w:r>
      <w:r w:rsidR="00EB698F" w:rsidRPr="00952C94">
        <w:rPr>
          <w:rStyle w:val="Refdenotaalpie"/>
          <w:rFonts w:ascii="Arial" w:hAnsi="Arial" w:cs="Arial"/>
          <w:sz w:val="22"/>
          <w:szCs w:val="22"/>
        </w:rPr>
        <w:footnoteReference w:id="4"/>
      </w:r>
      <w:r w:rsidR="00E01486" w:rsidRPr="00952C94">
        <w:rPr>
          <w:rFonts w:ascii="Arial" w:hAnsi="Arial" w:cs="Arial"/>
          <w:sz w:val="22"/>
          <w:szCs w:val="22"/>
        </w:rPr>
        <w:t>.</w:t>
      </w:r>
      <w:r w:rsidR="00125D57" w:rsidRPr="00952C94">
        <w:rPr>
          <w:rFonts w:ascii="Arial" w:hAnsi="Arial" w:cs="Arial"/>
          <w:sz w:val="22"/>
          <w:szCs w:val="22"/>
        </w:rPr>
        <w:t xml:space="preserve"> </w:t>
      </w:r>
    </w:p>
    <w:p w:rsidR="00DE2D90" w:rsidRPr="00952C94" w:rsidRDefault="00C2185F" w:rsidP="0025437C">
      <w:pPr>
        <w:spacing w:line="360" w:lineRule="auto"/>
        <w:ind w:firstLine="567"/>
        <w:jc w:val="both"/>
        <w:rPr>
          <w:rFonts w:ascii="Arial" w:hAnsi="Arial" w:cs="Arial"/>
          <w:sz w:val="22"/>
          <w:szCs w:val="22"/>
        </w:rPr>
      </w:pPr>
      <w:r w:rsidRPr="00952C94">
        <w:rPr>
          <w:rFonts w:ascii="Arial" w:hAnsi="Arial" w:cs="Arial"/>
          <w:sz w:val="22"/>
          <w:szCs w:val="22"/>
        </w:rPr>
        <w:t>Dicho enfrentamiento hizo que en 1641 e</w:t>
      </w:r>
      <w:r w:rsidR="00125D57" w:rsidRPr="00952C94">
        <w:rPr>
          <w:rFonts w:ascii="Arial" w:hAnsi="Arial" w:cs="Arial"/>
          <w:sz w:val="22"/>
          <w:szCs w:val="22"/>
        </w:rPr>
        <w:t xml:space="preserve">l </w:t>
      </w:r>
      <w:r w:rsidR="00E01486" w:rsidRPr="00952C94">
        <w:rPr>
          <w:rFonts w:ascii="Arial" w:hAnsi="Arial" w:cs="Arial"/>
          <w:sz w:val="22"/>
          <w:szCs w:val="22"/>
        </w:rPr>
        <w:t>Parlamento</w:t>
      </w:r>
      <w:r w:rsidRPr="00952C94">
        <w:rPr>
          <w:rFonts w:ascii="Arial" w:hAnsi="Arial" w:cs="Arial"/>
          <w:sz w:val="22"/>
          <w:szCs w:val="22"/>
        </w:rPr>
        <w:t xml:space="preserve"> aboliera </w:t>
      </w:r>
      <w:r w:rsidR="00E01486" w:rsidRPr="00952C94">
        <w:rPr>
          <w:rFonts w:ascii="Arial" w:hAnsi="Arial" w:cs="Arial"/>
          <w:sz w:val="22"/>
          <w:szCs w:val="22"/>
        </w:rPr>
        <w:t xml:space="preserve">tanto las </w:t>
      </w:r>
      <w:r w:rsidR="00E01486" w:rsidRPr="007213C9">
        <w:rPr>
          <w:rFonts w:ascii="Arial" w:hAnsi="Arial" w:cs="Arial"/>
          <w:sz w:val="22"/>
          <w:szCs w:val="22"/>
        </w:rPr>
        <w:t>Courts of High Commission</w:t>
      </w:r>
      <w:r w:rsidR="00E01486" w:rsidRPr="00952C94">
        <w:rPr>
          <w:rFonts w:ascii="Arial" w:hAnsi="Arial" w:cs="Arial"/>
          <w:sz w:val="22"/>
          <w:szCs w:val="22"/>
        </w:rPr>
        <w:t xml:space="preserve"> como la </w:t>
      </w:r>
      <w:r w:rsidR="00E01486" w:rsidRPr="007213C9">
        <w:rPr>
          <w:rFonts w:ascii="Arial" w:hAnsi="Arial" w:cs="Arial"/>
          <w:sz w:val="22"/>
          <w:szCs w:val="22"/>
        </w:rPr>
        <w:t>S</w:t>
      </w:r>
      <w:r w:rsidRPr="007213C9">
        <w:rPr>
          <w:rFonts w:ascii="Arial" w:hAnsi="Arial" w:cs="Arial"/>
          <w:sz w:val="22"/>
          <w:szCs w:val="22"/>
        </w:rPr>
        <w:t>tar Chambers</w:t>
      </w:r>
      <w:r w:rsidRPr="00952C94">
        <w:rPr>
          <w:rFonts w:ascii="Arial" w:hAnsi="Arial" w:cs="Arial"/>
          <w:sz w:val="22"/>
          <w:szCs w:val="22"/>
        </w:rPr>
        <w:t xml:space="preserve">, prohibiendo a su vez </w:t>
      </w:r>
      <w:r w:rsidR="00E01486" w:rsidRPr="00952C94">
        <w:rPr>
          <w:rFonts w:ascii="Arial" w:hAnsi="Arial" w:cs="Arial"/>
          <w:sz w:val="22"/>
          <w:szCs w:val="22"/>
        </w:rPr>
        <w:t>la administración del juramento ex officio ante la investigación de hechos penales.</w:t>
      </w:r>
      <w:r w:rsidR="00CC4C9B" w:rsidRPr="00952C94">
        <w:rPr>
          <w:rFonts w:ascii="Arial" w:hAnsi="Arial" w:cs="Arial"/>
          <w:sz w:val="22"/>
          <w:szCs w:val="22"/>
        </w:rPr>
        <w:t xml:space="preserve"> No obstante</w:t>
      </w:r>
      <w:r w:rsidR="00E01486" w:rsidRPr="00952C94">
        <w:rPr>
          <w:rFonts w:ascii="Arial" w:hAnsi="Arial" w:cs="Arial"/>
          <w:sz w:val="22"/>
          <w:szCs w:val="22"/>
        </w:rPr>
        <w:t xml:space="preserve"> </w:t>
      </w:r>
      <w:r w:rsidR="00CC4C9B" w:rsidRPr="00952C94">
        <w:rPr>
          <w:rFonts w:ascii="Arial" w:hAnsi="Arial" w:cs="Arial"/>
          <w:sz w:val="22"/>
          <w:szCs w:val="22"/>
        </w:rPr>
        <w:t>l</w:t>
      </w:r>
      <w:r w:rsidR="006C2633" w:rsidRPr="00952C94">
        <w:rPr>
          <w:rFonts w:ascii="Arial" w:hAnsi="Arial" w:cs="Arial"/>
          <w:sz w:val="22"/>
          <w:szCs w:val="22"/>
        </w:rPr>
        <w:t>a reforma, afectó únicamente al procedimiento ante los tribunales de la Corona, ya que la práctica de la interrogación previa al juicio se mantuvo inmodificable hasta 1848, pese a que, a partir del 1700, fue deplorada la extracción no libre de una respuesta.</w:t>
      </w:r>
      <w:r w:rsidR="00CC4C9B" w:rsidRPr="00952C94">
        <w:rPr>
          <w:rFonts w:ascii="Arial" w:hAnsi="Arial" w:cs="Arial"/>
          <w:sz w:val="22"/>
          <w:szCs w:val="22"/>
        </w:rPr>
        <w:t xml:space="preserve"> Es más, sin perjuicio de haberse receptado en forma implícita dicha garantía en el “Bill of </w:t>
      </w:r>
      <w:r w:rsidR="00A077BA" w:rsidRPr="007213C9">
        <w:rPr>
          <w:rFonts w:ascii="Arial" w:hAnsi="Arial" w:cs="Arial"/>
          <w:sz w:val="22"/>
          <w:szCs w:val="22"/>
        </w:rPr>
        <w:t>Rights</w:t>
      </w:r>
      <w:r w:rsidR="00CC4C9B" w:rsidRPr="00952C94">
        <w:rPr>
          <w:rFonts w:ascii="Arial" w:hAnsi="Arial" w:cs="Arial"/>
          <w:sz w:val="22"/>
          <w:szCs w:val="22"/>
        </w:rPr>
        <w:t>”</w:t>
      </w:r>
      <w:r w:rsidR="00CC4C9B" w:rsidRPr="00952C94">
        <w:rPr>
          <w:rStyle w:val="Refdenotaalpie"/>
          <w:rFonts w:ascii="Arial" w:hAnsi="Arial" w:cs="Arial"/>
          <w:sz w:val="22"/>
          <w:szCs w:val="22"/>
        </w:rPr>
        <w:footnoteReference w:id="5"/>
      </w:r>
      <w:r w:rsidR="00CC4C9B" w:rsidRPr="00952C94">
        <w:rPr>
          <w:rFonts w:ascii="Arial" w:hAnsi="Arial" w:cs="Arial"/>
          <w:sz w:val="22"/>
          <w:szCs w:val="22"/>
        </w:rPr>
        <w:t xml:space="preserve"> de 1689; hasta </w:t>
      </w:r>
      <w:r w:rsidR="006C2633" w:rsidRPr="00952C94">
        <w:rPr>
          <w:rFonts w:ascii="Arial" w:hAnsi="Arial" w:cs="Arial"/>
          <w:sz w:val="22"/>
          <w:szCs w:val="22"/>
        </w:rPr>
        <w:t xml:space="preserve">1696 no se impuso el deber de dar copia de la acusación y </w:t>
      </w:r>
      <w:r w:rsidR="006C2633" w:rsidRPr="00952C94">
        <w:rPr>
          <w:rFonts w:ascii="Arial" w:hAnsi="Arial" w:cs="Arial"/>
          <w:sz w:val="22"/>
          <w:szCs w:val="22"/>
        </w:rPr>
        <w:lastRenderedPageBreak/>
        <w:t xml:space="preserve">permitir la asistencia del abogado, </w:t>
      </w:r>
      <w:r w:rsidR="00CC4C9B" w:rsidRPr="00952C94">
        <w:rPr>
          <w:rFonts w:ascii="Arial" w:hAnsi="Arial" w:cs="Arial"/>
          <w:sz w:val="22"/>
          <w:szCs w:val="22"/>
        </w:rPr>
        <w:t xml:space="preserve">y </w:t>
      </w:r>
      <w:r w:rsidR="006C2633" w:rsidRPr="00952C94">
        <w:rPr>
          <w:rFonts w:ascii="Arial" w:hAnsi="Arial" w:cs="Arial"/>
          <w:sz w:val="22"/>
          <w:szCs w:val="22"/>
        </w:rPr>
        <w:t>recién en 1701 se acordó el derecho a hacer comparecer compulsivamente los testigos de descargo en casos de delitos graves.</w:t>
      </w:r>
    </w:p>
    <w:p w:rsidR="00DE2D90" w:rsidRPr="00952C94" w:rsidRDefault="00CC4C9B" w:rsidP="0025437C">
      <w:pPr>
        <w:spacing w:line="360" w:lineRule="auto"/>
        <w:ind w:firstLine="567"/>
        <w:jc w:val="both"/>
        <w:rPr>
          <w:rFonts w:ascii="Arial" w:hAnsi="Arial" w:cs="Arial"/>
          <w:sz w:val="22"/>
          <w:szCs w:val="22"/>
        </w:rPr>
      </w:pPr>
      <w:r w:rsidRPr="00952C94">
        <w:rPr>
          <w:rFonts w:ascii="Arial" w:hAnsi="Arial" w:cs="Arial"/>
          <w:sz w:val="22"/>
          <w:szCs w:val="22"/>
        </w:rPr>
        <w:t>Incluso, es recién con l</w:t>
      </w:r>
      <w:r w:rsidR="00426DF8" w:rsidRPr="00952C94">
        <w:rPr>
          <w:rFonts w:ascii="Arial" w:hAnsi="Arial" w:cs="Arial"/>
          <w:sz w:val="22"/>
          <w:szCs w:val="22"/>
        </w:rPr>
        <w:t xml:space="preserve">a Sanción de la Criminal </w:t>
      </w:r>
      <w:r w:rsidR="00426DF8" w:rsidRPr="007213C9">
        <w:rPr>
          <w:rFonts w:ascii="Arial" w:hAnsi="Arial" w:cs="Arial"/>
          <w:sz w:val="22"/>
          <w:szCs w:val="22"/>
        </w:rPr>
        <w:t>Evidence</w:t>
      </w:r>
      <w:r w:rsidR="00426DF8" w:rsidRPr="00952C94">
        <w:rPr>
          <w:rFonts w:ascii="Arial" w:hAnsi="Arial" w:cs="Arial"/>
          <w:sz w:val="22"/>
          <w:szCs w:val="22"/>
        </w:rPr>
        <w:t xml:space="preserve"> </w:t>
      </w:r>
      <w:r w:rsidR="00426DF8" w:rsidRPr="007213C9">
        <w:rPr>
          <w:rFonts w:ascii="Arial" w:hAnsi="Arial" w:cs="Arial"/>
          <w:sz w:val="22"/>
          <w:szCs w:val="22"/>
        </w:rPr>
        <w:t>Act</w:t>
      </w:r>
      <w:r w:rsidR="00426DF8" w:rsidRPr="00952C94">
        <w:rPr>
          <w:rFonts w:ascii="Arial" w:hAnsi="Arial" w:cs="Arial"/>
          <w:sz w:val="22"/>
          <w:szCs w:val="22"/>
        </w:rPr>
        <w:t xml:space="preserve"> de 1898 que se le reconoce al imputado la posibilidad de declarar en el proceso seguido en su contra, ya que hasta ese momento estaba inhabilitado para ser testigo por tener interés en el resultado del proceso, sin embargo debía hacerlo bajo juramento.</w:t>
      </w:r>
    </w:p>
    <w:p w:rsidR="00426DF8" w:rsidRPr="00952C94" w:rsidRDefault="00426DF8" w:rsidP="0025437C">
      <w:pPr>
        <w:spacing w:line="360" w:lineRule="auto"/>
        <w:ind w:firstLine="567"/>
        <w:jc w:val="both"/>
        <w:rPr>
          <w:rFonts w:ascii="Arial" w:hAnsi="Arial" w:cs="Arial"/>
          <w:sz w:val="22"/>
          <w:szCs w:val="22"/>
        </w:rPr>
      </w:pPr>
      <w:r w:rsidRPr="00952C94">
        <w:rPr>
          <w:rFonts w:ascii="Arial" w:hAnsi="Arial" w:cs="Arial"/>
          <w:sz w:val="22"/>
          <w:szCs w:val="22"/>
        </w:rPr>
        <w:t xml:space="preserve">Por el contrario, el privilegio contra la autoincriminación, fue establecido antes de 1650 en las colonias de Nueva Inglaterra y Virginia, y luego de expandirse por algunas constituciones estatales, se incorpora a la Constitución Federal. En razón de ello se ha entendido que “el derecho a no ser obligado a pruebas contra sí mismo, se encuentra universalmente establecido en el derecho norteamericano, aunque puedan existir diferencias en cuanto a sus exactos alcances y límites” en razón de que al momento de la formación de la Unión dicho principio estaba incorporada al </w:t>
      </w:r>
      <w:r w:rsidRPr="007213C9">
        <w:rPr>
          <w:rFonts w:ascii="Arial" w:hAnsi="Arial" w:cs="Arial"/>
          <w:sz w:val="22"/>
          <w:szCs w:val="22"/>
        </w:rPr>
        <w:t>common</w:t>
      </w:r>
      <w:r w:rsidRPr="00952C94">
        <w:rPr>
          <w:rFonts w:ascii="Arial" w:hAnsi="Arial" w:cs="Arial"/>
          <w:sz w:val="22"/>
          <w:szCs w:val="22"/>
        </w:rPr>
        <w:t xml:space="preserve"> </w:t>
      </w:r>
      <w:r w:rsidRPr="007213C9">
        <w:rPr>
          <w:rFonts w:ascii="Arial" w:hAnsi="Arial" w:cs="Arial"/>
          <w:sz w:val="22"/>
          <w:szCs w:val="22"/>
        </w:rPr>
        <w:t>law</w:t>
      </w:r>
      <w:r w:rsidRPr="00952C94">
        <w:rPr>
          <w:rFonts w:ascii="Arial" w:hAnsi="Arial" w:cs="Arial"/>
          <w:sz w:val="22"/>
          <w:szCs w:val="22"/>
        </w:rPr>
        <w:t xml:space="preserve"> como rasgo distintivo de otros sistemas jurídicos.</w:t>
      </w:r>
    </w:p>
    <w:p w:rsidR="00815C93" w:rsidRPr="00952C94" w:rsidRDefault="00C84203" w:rsidP="0025437C">
      <w:pPr>
        <w:spacing w:line="360" w:lineRule="auto"/>
        <w:ind w:firstLine="567"/>
        <w:jc w:val="both"/>
        <w:rPr>
          <w:rFonts w:ascii="Arial" w:hAnsi="Arial" w:cs="Arial"/>
          <w:sz w:val="22"/>
          <w:szCs w:val="22"/>
        </w:rPr>
      </w:pPr>
      <w:r w:rsidRPr="00952C94">
        <w:rPr>
          <w:rFonts w:ascii="Arial" w:hAnsi="Arial" w:cs="Arial"/>
          <w:sz w:val="22"/>
          <w:szCs w:val="22"/>
        </w:rPr>
        <w:t xml:space="preserve">Por su parte, recuerda </w:t>
      </w:r>
      <w:r w:rsidR="00A96B28" w:rsidRPr="00952C94">
        <w:rPr>
          <w:rFonts w:ascii="Arial" w:hAnsi="Arial" w:cs="Arial"/>
          <w:smallCaps/>
          <w:sz w:val="22"/>
          <w:szCs w:val="22"/>
        </w:rPr>
        <w:t xml:space="preserve">VILLALBA </w:t>
      </w:r>
      <w:r w:rsidR="00A96B28">
        <w:rPr>
          <w:rFonts w:ascii="Arial" w:hAnsi="Arial" w:cs="Arial"/>
          <w:smallCaps/>
          <w:sz w:val="22"/>
          <w:szCs w:val="22"/>
        </w:rPr>
        <w:t xml:space="preserve">(2017) </w:t>
      </w:r>
      <w:r w:rsidRPr="00952C94">
        <w:rPr>
          <w:rFonts w:ascii="Arial" w:hAnsi="Arial" w:cs="Arial"/>
          <w:sz w:val="22"/>
          <w:szCs w:val="22"/>
        </w:rPr>
        <w:t xml:space="preserve">que en el caso de Francia, en la declaración de los Derechos del Hombre y del Ciudadano adoptada por la Asamblea Francesa el 26 de agosto de 1789, el art. 9 sólo menciona que “todo hombre se presume inocente hasta que ha sido declarado culpable, y si juzga indispensable arrestarlo, todo rigor que no sea necesario para asegurar a su persona debe ser severamente reprimido por la ley”; pero que nada dice concretamente sobre la autoincriminación; lo que se debió al hecho de que el Iluminismo centró su atención, en los tormentos infringidos </w:t>
      </w:r>
      <w:r w:rsidR="00815C93" w:rsidRPr="00952C94">
        <w:rPr>
          <w:rFonts w:ascii="Arial" w:hAnsi="Arial" w:cs="Arial"/>
          <w:sz w:val="22"/>
          <w:szCs w:val="22"/>
        </w:rPr>
        <w:t xml:space="preserve">en el proceso inquisitivo para el descubrimiento de la verdad, más que en el juramento, ya que el interrogatorio era el medio de averiguación de los hechos. En ese sentido, son las ordenanzas de agosto de 1536 y de agosto de 1539 las que generalizaran este medio de prueba, y que se consagra definitivamente en la ordenanza de 1670, dedicándole un título entero a reglamentar la práctica interrogatorio; donde el imputado no sólo debía responder bajo juramento, sino que lo debía hacer sin consejo. </w:t>
      </w:r>
    </w:p>
    <w:p w:rsidR="007F5300" w:rsidRPr="00952C94" w:rsidRDefault="00E808DB" w:rsidP="0025437C">
      <w:pPr>
        <w:spacing w:line="360" w:lineRule="auto"/>
        <w:ind w:firstLine="567"/>
        <w:jc w:val="both"/>
        <w:rPr>
          <w:rFonts w:ascii="Arial" w:hAnsi="Arial" w:cs="Arial"/>
          <w:sz w:val="22"/>
          <w:szCs w:val="22"/>
        </w:rPr>
      </w:pPr>
      <w:r w:rsidRPr="00952C94">
        <w:rPr>
          <w:rFonts w:ascii="Arial" w:hAnsi="Arial" w:cs="Arial"/>
          <w:sz w:val="22"/>
          <w:szCs w:val="22"/>
        </w:rPr>
        <w:t xml:space="preserve">No obstante el advenimiento de la Revolución Francesa no sólo no se definitivamente esta práctica; sino que algunas de ellas se adoptan en el </w:t>
      </w:r>
      <w:r w:rsidRPr="00952C94">
        <w:rPr>
          <w:rFonts w:ascii="Arial" w:hAnsi="Arial" w:cs="Arial"/>
          <w:i/>
          <w:sz w:val="22"/>
          <w:szCs w:val="22"/>
        </w:rPr>
        <w:t>Code d’instruction criminelle</w:t>
      </w:r>
      <w:r w:rsidRPr="00952C94">
        <w:rPr>
          <w:rFonts w:ascii="Arial" w:hAnsi="Arial" w:cs="Arial"/>
          <w:sz w:val="22"/>
          <w:szCs w:val="22"/>
        </w:rPr>
        <w:t xml:space="preserve"> d</w:t>
      </w:r>
      <w:r w:rsidR="007F5300" w:rsidRPr="00952C94">
        <w:rPr>
          <w:rFonts w:ascii="Arial" w:hAnsi="Arial" w:cs="Arial"/>
          <w:sz w:val="22"/>
          <w:szCs w:val="22"/>
        </w:rPr>
        <w:t xml:space="preserve">e 1808 que creara el “proceso mixto” como unión de los procesos acusatorio e inquisitivo”; en el cual si bien se conserva la averiguación de la verdad histórica como método del procedimiento penal; </w:t>
      </w:r>
      <w:r w:rsidR="007F5300" w:rsidRPr="00952C94">
        <w:rPr>
          <w:rFonts w:ascii="Arial" w:hAnsi="Arial" w:cs="Arial"/>
          <w:sz w:val="22"/>
          <w:szCs w:val="22"/>
        </w:rPr>
        <w:lastRenderedPageBreak/>
        <w:t xml:space="preserve">la utilización de cualquier medio para alcanzarla se transformó en un valor relativo, si bien subordinado a ciertos atributos fundamentales de la persona humana, plasmados en garantías y derechos individuales, </w:t>
      </w:r>
      <w:r w:rsidRPr="00952C94">
        <w:rPr>
          <w:rFonts w:ascii="Arial" w:hAnsi="Arial" w:cs="Arial"/>
          <w:sz w:val="22"/>
          <w:szCs w:val="22"/>
        </w:rPr>
        <w:t>en el cual el interrogatorio del acusado conserva la ambivalencia de ser tanto un medio de defensa como una herramienta de la instrucción, en la cual el juez de instrucción puede entender puede entender en las explicaciones brindadas por el imputado para verificarlas, consignando sus denegatorias y sus confesiones, a fin de llegar a la verdad de los hechos investigados.</w:t>
      </w:r>
      <w:r w:rsidR="007F5300" w:rsidRPr="00952C94">
        <w:rPr>
          <w:rFonts w:ascii="Arial" w:hAnsi="Arial" w:cs="Arial"/>
          <w:sz w:val="22"/>
          <w:szCs w:val="22"/>
        </w:rPr>
        <w:t xml:space="preserve"> En dicho código sólo se prohibió la utilización de la tortura, pero sin consagración expresa respecto de la autoincriminación.</w:t>
      </w:r>
    </w:p>
    <w:p w:rsidR="007F5300" w:rsidRPr="00952C94" w:rsidRDefault="00487679" w:rsidP="0025437C">
      <w:pPr>
        <w:spacing w:line="360" w:lineRule="auto"/>
        <w:ind w:firstLine="567"/>
        <w:jc w:val="both"/>
        <w:rPr>
          <w:rFonts w:ascii="Arial" w:hAnsi="Arial" w:cs="Arial"/>
          <w:sz w:val="22"/>
          <w:szCs w:val="22"/>
        </w:rPr>
      </w:pPr>
      <w:r w:rsidRPr="00952C94">
        <w:rPr>
          <w:rFonts w:ascii="Arial" w:hAnsi="Arial" w:cs="Arial"/>
          <w:sz w:val="22"/>
          <w:szCs w:val="22"/>
        </w:rPr>
        <w:t>Los distintos caminos recorridos por ambas tradiciones, la anglosajona y la continental, condujeron a entender a la libertad de declaración de todo imputado, de manera diversa. En un caso, se reconoce en él la calidad de testigo, debiendo -en consecuencia-, prestar el correspondiente juramento. En el otro caso, se prohíbe tomarle juramento. Pero en el primero, su comparecencia es voluntaria, mientras que en el segundo está obligado a comparecer.</w:t>
      </w:r>
    </w:p>
    <w:p w:rsidR="007329D2" w:rsidRPr="00952C94" w:rsidRDefault="007329D2" w:rsidP="0025437C">
      <w:pPr>
        <w:spacing w:line="360" w:lineRule="auto"/>
        <w:ind w:firstLine="567"/>
        <w:jc w:val="both"/>
        <w:rPr>
          <w:rFonts w:ascii="Arial" w:hAnsi="Arial" w:cs="Arial"/>
          <w:sz w:val="22"/>
          <w:szCs w:val="22"/>
        </w:rPr>
      </w:pPr>
    </w:p>
    <w:p w:rsidR="007329D2" w:rsidRPr="00E373FE" w:rsidRDefault="0025437C" w:rsidP="00E373FE">
      <w:pPr>
        <w:pStyle w:val="Ttulo1"/>
        <w:rPr>
          <w:rFonts w:ascii="Arial" w:hAnsi="Arial" w:cs="Arial"/>
          <w:sz w:val="22"/>
          <w:szCs w:val="22"/>
        </w:rPr>
      </w:pPr>
      <w:bookmarkStart w:id="4" w:name="_Toc100177579"/>
      <w:r w:rsidRPr="00E373FE">
        <w:rPr>
          <w:rFonts w:ascii="Arial" w:hAnsi="Arial" w:cs="Arial"/>
          <w:sz w:val="22"/>
          <w:szCs w:val="22"/>
        </w:rPr>
        <w:t>IV.- LA GARANTÍA CONTRA LA AUTOINCRIMINACIÓN EN LA ARGENTINA</w:t>
      </w:r>
      <w:bookmarkEnd w:id="4"/>
    </w:p>
    <w:p w:rsidR="001C1802" w:rsidRDefault="001C1802" w:rsidP="0025437C">
      <w:pPr>
        <w:spacing w:line="360" w:lineRule="auto"/>
        <w:ind w:firstLine="567"/>
        <w:jc w:val="both"/>
        <w:rPr>
          <w:rFonts w:ascii="Arial" w:hAnsi="Arial" w:cs="Arial"/>
          <w:sz w:val="22"/>
          <w:szCs w:val="22"/>
        </w:rPr>
      </w:pPr>
    </w:p>
    <w:p w:rsidR="009E6057" w:rsidRPr="00952C94" w:rsidRDefault="00E4132F" w:rsidP="0025437C">
      <w:pPr>
        <w:spacing w:line="360" w:lineRule="auto"/>
        <w:ind w:firstLine="567"/>
        <w:jc w:val="both"/>
        <w:rPr>
          <w:rFonts w:ascii="Arial" w:hAnsi="Arial" w:cs="Arial"/>
          <w:sz w:val="22"/>
          <w:szCs w:val="22"/>
        </w:rPr>
      </w:pPr>
      <w:r w:rsidRPr="00952C94">
        <w:rPr>
          <w:rFonts w:ascii="Arial" w:hAnsi="Arial" w:cs="Arial"/>
          <w:sz w:val="22"/>
          <w:szCs w:val="22"/>
        </w:rPr>
        <w:t>En nuestra Constitución Nacional la garantía contra la autoincriminación se encuentra prevista en el artículo 18 de la Constitución Nacional que dispone: "nadie puede ser obligado a declarar contra sí mismo"</w:t>
      </w:r>
      <w:r w:rsidR="008E7CB7" w:rsidRPr="00952C94">
        <w:rPr>
          <w:rFonts w:ascii="Arial" w:hAnsi="Arial" w:cs="Arial"/>
          <w:sz w:val="22"/>
          <w:szCs w:val="22"/>
        </w:rPr>
        <w:t xml:space="preserve">. Tal como recuerda </w:t>
      </w:r>
      <w:r w:rsidR="00A96B28" w:rsidRPr="00952C94">
        <w:rPr>
          <w:rFonts w:ascii="Arial" w:hAnsi="Arial" w:cs="Arial"/>
          <w:smallCaps/>
          <w:sz w:val="22"/>
          <w:szCs w:val="22"/>
        </w:rPr>
        <w:t>QUIROGA LAVIÉ</w:t>
      </w:r>
      <w:r w:rsidR="00A96B28">
        <w:rPr>
          <w:rFonts w:ascii="Arial" w:hAnsi="Arial" w:cs="Arial"/>
          <w:smallCaps/>
          <w:sz w:val="22"/>
          <w:szCs w:val="22"/>
        </w:rPr>
        <w:t xml:space="preserve"> (2009)</w:t>
      </w:r>
      <w:r w:rsidR="008E7CB7" w:rsidRPr="00952C94">
        <w:rPr>
          <w:rStyle w:val="Refdenotaalpie"/>
          <w:rFonts w:ascii="Arial" w:hAnsi="Arial" w:cs="Arial"/>
          <w:smallCaps/>
          <w:sz w:val="22"/>
          <w:szCs w:val="22"/>
        </w:rPr>
        <w:footnoteReference w:id="6"/>
      </w:r>
      <w:r w:rsidR="008E7CB7" w:rsidRPr="00952C94">
        <w:rPr>
          <w:rFonts w:ascii="Arial" w:hAnsi="Arial" w:cs="Arial"/>
          <w:sz w:val="22"/>
          <w:szCs w:val="22"/>
        </w:rPr>
        <w:t>, ésta garantía fulmina cualquier forma de coacción (física o moral, directa o indirecta) sobre la persona que debe prestar declaración sobre algún hecho personal vinculado a un proceso, cualquiera sea su tipo.</w:t>
      </w:r>
    </w:p>
    <w:p w:rsidR="007329D2" w:rsidRPr="00952C94" w:rsidRDefault="007329D2" w:rsidP="0025437C">
      <w:pPr>
        <w:spacing w:line="360" w:lineRule="auto"/>
        <w:ind w:firstLine="567"/>
        <w:jc w:val="both"/>
        <w:rPr>
          <w:rFonts w:ascii="Arial" w:hAnsi="Arial" w:cs="Arial"/>
          <w:sz w:val="22"/>
          <w:szCs w:val="22"/>
        </w:rPr>
      </w:pPr>
      <w:r w:rsidRPr="00952C94">
        <w:rPr>
          <w:rFonts w:ascii="Arial" w:hAnsi="Arial" w:cs="Arial"/>
          <w:sz w:val="22"/>
          <w:szCs w:val="22"/>
        </w:rPr>
        <w:t xml:space="preserve">A diferencia de lo que acontecía en Estados Unidos, las Provincias del Río de la Plata, influenciadas por su pasado colonial y las practicas heredadas de la inquisición establecía tormentos como institución jurídico procesal, sin perjuicio de su poca o nula aplicación; por lo que dada la </w:t>
      </w:r>
      <w:r w:rsidRPr="00952C94">
        <w:rPr>
          <w:rFonts w:ascii="Arial" w:hAnsi="Arial" w:cs="Arial"/>
          <w:sz w:val="22"/>
          <w:szCs w:val="22"/>
        </w:rPr>
        <w:lastRenderedPageBreak/>
        <w:t xml:space="preserve">influencia del Bill of </w:t>
      </w:r>
      <w:r w:rsidRPr="007213C9">
        <w:rPr>
          <w:rFonts w:ascii="Arial" w:hAnsi="Arial" w:cs="Arial"/>
          <w:sz w:val="22"/>
          <w:szCs w:val="22"/>
        </w:rPr>
        <w:t>Rights</w:t>
      </w:r>
      <w:r w:rsidRPr="00952C94">
        <w:rPr>
          <w:rFonts w:ascii="Arial" w:hAnsi="Arial" w:cs="Arial"/>
          <w:sz w:val="22"/>
          <w:szCs w:val="22"/>
        </w:rPr>
        <w:t xml:space="preserve"> y de la Constitución Federal de Estados Unidos, es que se adopta ésta cláusula en el Art. 18 de nuestra constitución</w:t>
      </w:r>
      <w:r w:rsidRPr="00952C94">
        <w:rPr>
          <w:rStyle w:val="Refdenotaalpie"/>
          <w:rFonts w:ascii="Arial" w:hAnsi="Arial" w:cs="Arial"/>
          <w:sz w:val="22"/>
          <w:szCs w:val="22"/>
        </w:rPr>
        <w:footnoteReference w:id="7"/>
      </w:r>
      <w:r w:rsidRPr="00952C94">
        <w:rPr>
          <w:rFonts w:ascii="Arial" w:hAnsi="Arial" w:cs="Arial"/>
          <w:sz w:val="22"/>
          <w:szCs w:val="22"/>
        </w:rPr>
        <w:t>.</w:t>
      </w:r>
    </w:p>
    <w:p w:rsidR="0033401E" w:rsidRPr="00952C94" w:rsidRDefault="0033401E" w:rsidP="0025437C">
      <w:pPr>
        <w:spacing w:line="360" w:lineRule="auto"/>
        <w:ind w:firstLine="567"/>
        <w:jc w:val="both"/>
        <w:rPr>
          <w:rFonts w:ascii="Arial" w:hAnsi="Arial" w:cs="Arial"/>
          <w:sz w:val="22"/>
          <w:szCs w:val="22"/>
        </w:rPr>
      </w:pPr>
      <w:r w:rsidRPr="00952C94">
        <w:rPr>
          <w:rFonts w:ascii="Arial" w:hAnsi="Arial" w:cs="Arial"/>
          <w:sz w:val="22"/>
          <w:szCs w:val="22"/>
        </w:rPr>
        <w:t xml:space="preserve">Respecto de las garantías individuales contenidas </w:t>
      </w:r>
      <w:r w:rsidR="007329D2" w:rsidRPr="00952C94">
        <w:rPr>
          <w:rFonts w:ascii="Arial" w:hAnsi="Arial" w:cs="Arial"/>
          <w:sz w:val="22"/>
          <w:szCs w:val="22"/>
        </w:rPr>
        <w:t>del</w:t>
      </w:r>
      <w:r w:rsidRPr="00952C94">
        <w:rPr>
          <w:rFonts w:ascii="Arial" w:hAnsi="Arial" w:cs="Arial"/>
          <w:sz w:val="22"/>
          <w:szCs w:val="22"/>
        </w:rPr>
        <w:t xml:space="preserve"> Art. 18</w:t>
      </w:r>
      <w:r w:rsidR="007329D2" w:rsidRPr="00952C94">
        <w:rPr>
          <w:rFonts w:ascii="Arial" w:hAnsi="Arial" w:cs="Arial"/>
          <w:sz w:val="22"/>
          <w:szCs w:val="22"/>
        </w:rPr>
        <w:t xml:space="preserve"> CN,</w:t>
      </w:r>
      <w:r w:rsidRPr="00952C94">
        <w:rPr>
          <w:rFonts w:ascii="Arial" w:hAnsi="Arial" w:cs="Arial"/>
          <w:sz w:val="22"/>
          <w:szCs w:val="22"/>
        </w:rPr>
        <w:t xml:space="preserve"> ya </w:t>
      </w:r>
      <w:r w:rsidR="006F35D2" w:rsidRPr="006F35D2">
        <w:rPr>
          <w:rFonts w:ascii="Arial" w:hAnsi="Arial" w:cs="Arial"/>
          <w:sz w:val="22"/>
          <w:szCs w:val="22"/>
        </w:rPr>
        <w:t>Montes De Oca</w:t>
      </w:r>
      <w:r w:rsidR="001F5C36">
        <w:rPr>
          <w:rFonts w:ascii="Arial" w:hAnsi="Arial" w:cs="Arial"/>
          <w:smallCaps/>
          <w:sz w:val="22"/>
          <w:szCs w:val="22"/>
        </w:rPr>
        <w:t xml:space="preserve">, </w:t>
      </w:r>
      <w:r w:rsidR="001F5C36" w:rsidRPr="001F5C36">
        <w:rPr>
          <w:rFonts w:ascii="Arial" w:hAnsi="Arial" w:cs="Arial"/>
          <w:sz w:val="22"/>
          <w:szCs w:val="22"/>
        </w:rPr>
        <w:t>citado</w:t>
      </w:r>
      <w:r w:rsidR="001F5C36">
        <w:rPr>
          <w:rFonts w:ascii="Arial" w:hAnsi="Arial" w:cs="Arial"/>
          <w:sz w:val="22"/>
          <w:szCs w:val="22"/>
        </w:rPr>
        <w:t xml:space="preserve"> por CALLANDRELI (1917)</w:t>
      </w:r>
      <w:r w:rsidRPr="00952C94">
        <w:rPr>
          <w:rStyle w:val="Refdenotaalpie"/>
          <w:sz w:val="22"/>
          <w:szCs w:val="22"/>
        </w:rPr>
        <w:footnoteReference w:id="8"/>
      </w:r>
      <w:r w:rsidR="001F5C36">
        <w:rPr>
          <w:rFonts w:ascii="Arial" w:hAnsi="Arial" w:cs="Arial"/>
          <w:sz w:val="22"/>
          <w:szCs w:val="22"/>
        </w:rPr>
        <w:t xml:space="preserve">, </w:t>
      </w:r>
      <w:r w:rsidRPr="00952C94">
        <w:rPr>
          <w:rFonts w:ascii="Arial" w:hAnsi="Arial" w:cs="Arial"/>
          <w:sz w:val="22"/>
          <w:szCs w:val="22"/>
        </w:rPr>
        <w:t>criticaba la forma en la que está estructurada la norma constitucional, pero destaca que en el fondo de lo reglado estaba abonado por la jurisprudencia mundial reinante en esa época; en tal sentido afirma que si bien la represión es tan antigua como la sociedad, difiere en sus móviles, carácter y efectos según el distinto grado de desarrollo del pensamiento.</w:t>
      </w:r>
    </w:p>
    <w:p w:rsidR="0033401E" w:rsidRPr="00952C94" w:rsidRDefault="0033401E" w:rsidP="0025437C">
      <w:pPr>
        <w:spacing w:line="360" w:lineRule="auto"/>
        <w:ind w:firstLine="567"/>
        <w:jc w:val="both"/>
        <w:rPr>
          <w:rFonts w:ascii="Arial" w:hAnsi="Arial" w:cs="Arial"/>
          <w:sz w:val="22"/>
          <w:szCs w:val="22"/>
        </w:rPr>
      </w:pPr>
      <w:r w:rsidRPr="00952C94">
        <w:rPr>
          <w:rFonts w:ascii="Arial" w:hAnsi="Arial" w:cs="Arial"/>
          <w:sz w:val="22"/>
          <w:szCs w:val="22"/>
        </w:rPr>
        <w:t xml:space="preserve">Al analizar particularmente la garantía en estudio entiende, como la mayoría para su época, que el hecho de que nadie pude ser obligado a declarar contra sí mismo lo era en materia penal; destacando que este precepto importa también la supresión y abolición de los tormentos y azotes como medios para obtener la confesión de un crimen (tratos que por otra </w:t>
      </w:r>
      <w:r w:rsidRPr="00952C94">
        <w:rPr>
          <w:rFonts w:ascii="Arial" w:hAnsi="Arial" w:cs="Arial"/>
          <w:sz w:val="22"/>
          <w:szCs w:val="22"/>
        </w:rPr>
        <w:lastRenderedPageBreak/>
        <w:t>parte fueron abolidos por la Asamblea del año 1813, y que destaca como uno de sus mayores títulos dejados para la posteridad), reforzando la idea de que por medio de torturas no se puede arrancar a un presunto reo la confesión de un supuesto delito.</w:t>
      </w:r>
    </w:p>
    <w:p w:rsidR="0033401E" w:rsidRPr="00952C94" w:rsidRDefault="0033401E" w:rsidP="0025437C">
      <w:pPr>
        <w:spacing w:line="360" w:lineRule="auto"/>
        <w:ind w:firstLine="567"/>
        <w:jc w:val="both"/>
        <w:rPr>
          <w:rFonts w:ascii="Arial" w:hAnsi="Arial" w:cs="Arial"/>
          <w:sz w:val="22"/>
          <w:szCs w:val="22"/>
        </w:rPr>
      </w:pPr>
      <w:r w:rsidRPr="00952C94">
        <w:rPr>
          <w:rFonts w:ascii="Arial" w:hAnsi="Arial" w:cs="Arial"/>
          <w:sz w:val="22"/>
          <w:szCs w:val="22"/>
        </w:rPr>
        <w:t>Ya en ese momento se comenzaba a cuestionar si, lo que la técnica procesalista se reglamentaba como “confesión con cargos”, como medida de procedimiento criminal, afectaba o no la garantía de no declarar contra uno mismo; concluyendo que no, ya que lo que la constitución ha buscado es impedir que se empleen medios coercitivos para obtener la declaración, nada impide a que una persona sea interrogada sobre los actos perpetrados y que se le haga saber las declaraciones que se han hecho en su contra, así como las consecuencias del sumario que constituyen su culpabilidad; y no obligándolo de esta forma a declarar contra sí mismo, no se ataca el espíritu que informa al Art. 18 CN.</w:t>
      </w:r>
    </w:p>
    <w:p w:rsidR="0033401E" w:rsidRPr="00952C94" w:rsidRDefault="001F5C36" w:rsidP="0025437C">
      <w:pPr>
        <w:spacing w:line="360" w:lineRule="auto"/>
        <w:ind w:firstLine="567"/>
        <w:jc w:val="both"/>
        <w:rPr>
          <w:rFonts w:ascii="Arial" w:hAnsi="Arial" w:cs="Arial"/>
          <w:sz w:val="22"/>
          <w:szCs w:val="22"/>
        </w:rPr>
      </w:pPr>
      <w:r w:rsidRPr="00E373FE">
        <w:rPr>
          <w:rFonts w:ascii="Arial" w:hAnsi="Arial" w:cs="Arial"/>
          <w:smallCaps/>
          <w:sz w:val="22"/>
          <w:szCs w:val="22"/>
        </w:rPr>
        <w:t>GELLI</w:t>
      </w:r>
      <w:r>
        <w:rPr>
          <w:rFonts w:ascii="Arial" w:hAnsi="Arial" w:cs="Arial"/>
          <w:smallCaps/>
          <w:sz w:val="22"/>
          <w:szCs w:val="22"/>
        </w:rPr>
        <w:t xml:space="preserve"> (2004)</w:t>
      </w:r>
      <w:r w:rsidR="0033401E" w:rsidRPr="00952C94">
        <w:rPr>
          <w:rStyle w:val="Refdenotaalpie"/>
          <w:sz w:val="22"/>
          <w:szCs w:val="22"/>
        </w:rPr>
        <w:footnoteReference w:id="9"/>
      </w:r>
      <w:r w:rsidR="0033401E" w:rsidRPr="00952C94">
        <w:rPr>
          <w:rFonts w:ascii="Arial" w:hAnsi="Arial" w:cs="Arial"/>
          <w:sz w:val="22"/>
          <w:szCs w:val="22"/>
        </w:rPr>
        <w:t xml:space="preserve"> en tanto, entiende que las garantías del Art. 18 CN en su visión clásica procuraban evitar que los inocentes sean condenados mediante la confesión obtenido por apremios, torturas o pruebas fraguadas; en tanto que desde una perspectiva de los derechos humanos, estas seguridades y limites consagran tanto la dignidad del eventual afectado por aquellas prácticas prohibidas, como de la sociedad en su conjunto que se denigra a si misma si las permite.</w:t>
      </w:r>
    </w:p>
    <w:p w:rsidR="0033401E" w:rsidRPr="00952C94" w:rsidRDefault="0033401E" w:rsidP="0025437C">
      <w:pPr>
        <w:spacing w:line="360" w:lineRule="auto"/>
        <w:ind w:firstLine="567"/>
        <w:jc w:val="both"/>
        <w:rPr>
          <w:rFonts w:ascii="Arial" w:hAnsi="Arial" w:cs="Arial"/>
          <w:sz w:val="22"/>
          <w:szCs w:val="22"/>
        </w:rPr>
      </w:pPr>
      <w:r w:rsidRPr="00952C94">
        <w:rPr>
          <w:rFonts w:ascii="Arial" w:hAnsi="Arial" w:cs="Arial"/>
          <w:sz w:val="22"/>
          <w:szCs w:val="22"/>
        </w:rPr>
        <w:t>En ese sentido, y al analizar el derecho a no declarar contra sí mismo, recuerda que el derecho a guardar silencio implica la facultad de no autoincriminarse, y que la eventual confesión lo sea conforme a determinadas garantías, debiendo además despojarse de todo valor probatorio a la confesión obtenida, salvo que sea fruto de una renuncia libre a sus derechos y practicada en presencia de su abogado y habiendo conocido su derecho a guardar silencio; debiendo el Estado demostrar que la renuncia a sus derechos constitucionales ha sido efectuada libremente para poder otorgar validez a la confesión.</w:t>
      </w:r>
    </w:p>
    <w:p w:rsidR="009E6057" w:rsidRPr="00952C94" w:rsidRDefault="001F5C36" w:rsidP="0025437C">
      <w:pPr>
        <w:spacing w:line="360" w:lineRule="auto"/>
        <w:ind w:firstLine="567"/>
        <w:jc w:val="both"/>
        <w:rPr>
          <w:rFonts w:ascii="Arial" w:hAnsi="Arial" w:cs="Arial"/>
          <w:sz w:val="22"/>
          <w:szCs w:val="22"/>
        </w:rPr>
      </w:pPr>
      <w:r w:rsidRPr="00952C94">
        <w:rPr>
          <w:rFonts w:ascii="Arial" w:hAnsi="Arial" w:cs="Arial"/>
          <w:smallCaps/>
          <w:sz w:val="22"/>
          <w:szCs w:val="22"/>
        </w:rPr>
        <w:t>QUIROGA LAVIÉ</w:t>
      </w:r>
      <w:r>
        <w:rPr>
          <w:rFonts w:ascii="Arial" w:hAnsi="Arial" w:cs="Arial"/>
          <w:smallCaps/>
          <w:sz w:val="22"/>
          <w:szCs w:val="22"/>
        </w:rPr>
        <w:t xml:space="preserve"> (2009)</w:t>
      </w:r>
      <w:r w:rsidR="009E6057" w:rsidRPr="00952C94">
        <w:rPr>
          <w:rFonts w:ascii="Arial" w:hAnsi="Arial" w:cs="Arial"/>
          <w:sz w:val="22"/>
          <w:szCs w:val="22"/>
        </w:rPr>
        <w:t xml:space="preserve"> enseña que en base a ésta garantía se excluye cualquier forma de amenazas, engaños, sueros de la verdad, detectores de mentiras, así como la obligación de decir la verdad, por lo que , a diferencia del derecho norteamericano, no existe el delito de perjurio, a </w:t>
      </w:r>
      <w:r w:rsidR="009E6057" w:rsidRPr="00952C94">
        <w:rPr>
          <w:rFonts w:ascii="Arial" w:hAnsi="Arial" w:cs="Arial"/>
          <w:sz w:val="22"/>
          <w:szCs w:val="22"/>
        </w:rPr>
        <w:lastRenderedPageBreak/>
        <w:t>diferencia del testigo, quien soporta una situación absolutamente disímil: a partir del juramento de decir verdad puede incurrir en el delito de falso testimonio (art. 275, CP), salvo que deponga sobre hechos propios y tema incriminarse por ello</w:t>
      </w:r>
      <w:r w:rsidR="0080474C" w:rsidRPr="00952C94">
        <w:rPr>
          <w:rFonts w:ascii="Arial" w:hAnsi="Arial" w:cs="Arial"/>
          <w:sz w:val="22"/>
          <w:szCs w:val="22"/>
        </w:rPr>
        <w:t>.</w:t>
      </w:r>
    </w:p>
    <w:p w:rsidR="0080474C" w:rsidRPr="00952C94" w:rsidRDefault="0080474C" w:rsidP="0025437C">
      <w:pPr>
        <w:spacing w:line="360" w:lineRule="auto"/>
        <w:ind w:firstLine="567"/>
        <w:jc w:val="both"/>
        <w:rPr>
          <w:rFonts w:ascii="Arial" w:hAnsi="Arial" w:cs="Arial"/>
          <w:sz w:val="22"/>
          <w:szCs w:val="22"/>
        </w:rPr>
      </w:pPr>
      <w:r w:rsidRPr="00952C94">
        <w:rPr>
          <w:rFonts w:ascii="Arial" w:hAnsi="Arial" w:cs="Arial"/>
          <w:sz w:val="22"/>
          <w:szCs w:val="22"/>
        </w:rPr>
        <w:t xml:space="preserve">La Corte Suprema de la Nación ya en 1864 sostuvo </w:t>
      </w:r>
      <w:r w:rsidR="00E720E8" w:rsidRPr="00952C94">
        <w:rPr>
          <w:rFonts w:ascii="Arial" w:hAnsi="Arial" w:cs="Arial"/>
          <w:sz w:val="22"/>
          <w:szCs w:val="22"/>
        </w:rPr>
        <w:t xml:space="preserve">en “Mendoza” </w:t>
      </w:r>
      <w:r w:rsidRPr="00952C94">
        <w:rPr>
          <w:rFonts w:ascii="Arial" w:hAnsi="Arial" w:cs="Arial"/>
          <w:sz w:val="22"/>
          <w:szCs w:val="22"/>
        </w:rPr>
        <w:t>que en causa criminal “adolece de nulidad absoluta” la citación a comparecer a un procesado para absolver posiciones, bajo juramento, pues ello hacía la respuesta obligatoria y constituía una verdadera declaración contra sí mismo</w:t>
      </w:r>
      <w:r w:rsidR="00E720E8" w:rsidRPr="00952C94">
        <w:rPr>
          <w:rFonts w:ascii="Arial" w:hAnsi="Arial" w:cs="Arial"/>
          <w:sz w:val="22"/>
          <w:szCs w:val="22"/>
        </w:rPr>
        <w:t xml:space="preserve">, revocando la sentencia que había entendido </w:t>
      </w:r>
      <w:r w:rsidRPr="00952C94">
        <w:rPr>
          <w:rFonts w:ascii="Arial" w:hAnsi="Arial" w:cs="Arial"/>
          <w:sz w:val="22"/>
          <w:szCs w:val="22"/>
        </w:rPr>
        <w:t xml:space="preserve">que lo único que prohíbe el artículo 18 CN son las medidas coercitivas contra los que se niegan a declarar, pero en manera alguna impide que el juez haga preguntas al procesado para el esclarecimiento de los hechos. </w:t>
      </w:r>
    </w:p>
    <w:p w:rsidR="00E720E8" w:rsidRPr="00952C94" w:rsidRDefault="00E720E8" w:rsidP="0025437C">
      <w:pPr>
        <w:spacing w:line="360" w:lineRule="auto"/>
        <w:ind w:firstLine="567"/>
        <w:jc w:val="both"/>
        <w:rPr>
          <w:rFonts w:ascii="Arial" w:hAnsi="Arial" w:cs="Arial"/>
          <w:sz w:val="22"/>
          <w:szCs w:val="22"/>
        </w:rPr>
      </w:pPr>
      <w:r w:rsidRPr="00952C94">
        <w:rPr>
          <w:rFonts w:ascii="Arial" w:hAnsi="Arial" w:cs="Arial"/>
          <w:sz w:val="22"/>
          <w:szCs w:val="22"/>
        </w:rPr>
        <w:t xml:space="preserve">Por su parte, en el caso “Diario El Atlántico” -1971- (F. 281:177) la Corte dijo que el juramento “entraña una coacción moral que invalida los dichos expuestos en esa forma, pues no hay duda de que exigir el juramento al imputado a quien se va a interrogar, constituye una manera de obligarle a declarar en su contra”. </w:t>
      </w:r>
    </w:p>
    <w:p w:rsidR="0080474C" w:rsidRPr="00952C94" w:rsidRDefault="00E720E8" w:rsidP="0025437C">
      <w:pPr>
        <w:spacing w:line="360" w:lineRule="auto"/>
        <w:ind w:firstLine="567"/>
        <w:jc w:val="both"/>
        <w:rPr>
          <w:rFonts w:ascii="Arial" w:hAnsi="Arial" w:cs="Arial"/>
          <w:sz w:val="22"/>
          <w:szCs w:val="22"/>
        </w:rPr>
      </w:pPr>
      <w:r w:rsidRPr="00952C94">
        <w:rPr>
          <w:rFonts w:ascii="Arial" w:hAnsi="Arial" w:cs="Arial"/>
          <w:sz w:val="22"/>
          <w:szCs w:val="22"/>
        </w:rPr>
        <w:t xml:space="preserve">En este sentido, el Superior Tribunal de la Nación ha sentado </w:t>
      </w:r>
      <w:r w:rsidR="0080474C" w:rsidRPr="00952C94">
        <w:rPr>
          <w:rFonts w:ascii="Arial" w:hAnsi="Arial" w:cs="Arial"/>
          <w:sz w:val="22"/>
          <w:szCs w:val="22"/>
        </w:rPr>
        <w:t xml:space="preserve">la doctrina que considera que </w:t>
      </w:r>
      <w:r w:rsidR="004B26A2" w:rsidRPr="00952C94">
        <w:rPr>
          <w:rFonts w:ascii="Arial" w:hAnsi="Arial" w:cs="Arial"/>
          <w:sz w:val="22"/>
          <w:szCs w:val="22"/>
        </w:rPr>
        <w:t xml:space="preserve">en materia penal </w:t>
      </w:r>
      <w:r w:rsidRPr="00952C94">
        <w:rPr>
          <w:rFonts w:ascii="Arial" w:hAnsi="Arial" w:cs="Arial"/>
          <w:sz w:val="22"/>
          <w:szCs w:val="22"/>
        </w:rPr>
        <w:t xml:space="preserve">la garantía contra la autoincriminación </w:t>
      </w:r>
      <w:r w:rsidR="0080474C" w:rsidRPr="00952C94">
        <w:rPr>
          <w:rFonts w:ascii="Arial" w:hAnsi="Arial" w:cs="Arial"/>
          <w:sz w:val="22"/>
          <w:szCs w:val="22"/>
        </w:rPr>
        <w:t>incluye</w:t>
      </w:r>
      <w:r w:rsidRPr="00952C94">
        <w:rPr>
          <w:rFonts w:ascii="Arial" w:hAnsi="Arial" w:cs="Arial"/>
          <w:sz w:val="22"/>
          <w:szCs w:val="22"/>
        </w:rPr>
        <w:t>:</w:t>
      </w:r>
      <w:r w:rsidR="0080474C" w:rsidRPr="00952C94">
        <w:rPr>
          <w:rFonts w:ascii="Arial" w:hAnsi="Arial" w:cs="Arial"/>
          <w:sz w:val="22"/>
          <w:szCs w:val="22"/>
        </w:rPr>
        <w:t xml:space="preserve"> </w:t>
      </w:r>
      <w:r w:rsidRPr="00952C94">
        <w:rPr>
          <w:rFonts w:ascii="Arial" w:hAnsi="Arial" w:cs="Arial"/>
          <w:sz w:val="22"/>
          <w:szCs w:val="22"/>
        </w:rPr>
        <w:t xml:space="preserve">la </w:t>
      </w:r>
      <w:r w:rsidR="0080474C" w:rsidRPr="00952C94">
        <w:rPr>
          <w:rFonts w:ascii="Arial" w:hAnsi="Arial" w:cs="Arial"/>
          <w:sz w:val="22"/>
          <w:szCs w:val="22"/>
        </w:rPr>
        <w:t>prohibición de toda coacción contra el procesado</w:t>
      </w:r>
      <w:r w:rsidRPr="00952C94">
        <w:rPr>
          <w:rFonts w:ascii="Arial" w:hAnsi="Arial" w:cs="Arial"/>
          <w:sz w:val="22"/>
          <w:szCs w:val="22"/>
        </w:rPr>
        <w:t xml:space="preserve">, la prohibición de </w:t>
      </w:r>
      <w:r w:rsidR="0080474C" w:rsidRPr="00952C94">
        <w:rPr>
          <w:rFonts w:ascii="Arial" w:hAnsi="Arial" w:cs="Arial"/>
          <w:sz w:val="22"/>
          <w:szCs w:val="22"/>
        </w:rPr>
        <w:t>obligarlo a decir la verdad</w:t>
      </w:r>
      <w:r w:rsidRPr="00952C94">
        <w:rPr>
          <w:rFonts w:ascii="Arial" w:hAnsi="Arial" w:cs="Arial"/>
          <w:sz w:val="22"/>
          <w:szCs w:val="22"/>
        </w:rPr>
        <w:t>;</w:t>
      </w:r>
      <w:r w:rsidR="0080474C" w:rsidRPr="00952C94">
        <w:rPr>
          <w:rFonts w:ascii="Arial" w:hAnsi="Arial" w:cs="Arial"/>
          <w:sz w:val="22"/>
          <w:szCs w:val="22"/>
        </w:rPr>
        <w:t xml:space="preserve"> la no obligación de declarar</w:t>
      </w:r>
      <w:r w:rsidRPr="00952C94">
        <w:rPr>
          <w:rFonts w:ascii="Arial" w:hAnsi="Arial" w:cs="Arial"/>
          <w:sz w:val="22"/>
          <w:szCs w:val="22"/>
        </w:rPr>
        <w:t xml:space="preserve">; </w:t>
      </w:r>
      <w:r w:rsidR="0080474C" w:rsidRPr="00952C94">
        <w:rPr>
          <w:rFonts w:ascii="Arial" w:hAnsi="Arial" w:cs="Arial"/>
          <w:sz w:val="22"/>
          <w:szCs w:val="22"/>
        </w:rPr>
        <w:t xml:space="preserve">y la prohibición de tomarle juramento, </w:t>
      </w:r>
    </w:p>
    <w:p w:rsidR="00E720E8" w:rsidRPr="00952C94" w:rsidRDefault="004B26A2" w:rsidP="0025437C">
      <w:pPr>
        <w:spacing w:line="360" w:lineRule="auto"/>
        <w:ind w:firstLine="567"/>
        <w:jc w:val="both"/>
        <w:rPr>
          <w:rFonts w:ascii="Arial" w:hAnsi="Arial" w:cs="Arial"/>
          <w:sz w:val="22"/>
          <w:szCs w:val="22"/>
        </w:rPr>
      </w:pPr>
      <w:r w:rsidRPr="00952C94">
        <w:rPr>
          <w:rFonts w:ascii="Arial" w:hAnsi="Arial" w:cs="Arial"/>
          <w:sz w:val="22"/>
          <w:szCs w:val="22"/>
        </w:rPr>
        <w:t>Sin embargo no ha sido sino hasta hace algunos años, que no se discutía que no era de aplicación de ésta garantía en el marco de los procesos civiles, donde se había fijado la obligación de declarar, la presunción en contra ante la no comparecencia, el juramento de decir verdad, sobre la base de que en materia civil no rige la garantía de la presunción de inocencia.</w:t>
      </w:r>
    </w:p>
    <w:p w:rsidR="00E4132F" w:rsidRPr="00952C94" w:rsidRDefault="00E4132F" w:rsidP="0025437C">
      <w:pPr>
        <w:spacing w:line="360" w:lineRule="auto"/>
        <w:ind w:firstLine="567"/>
        <w:jc w:val="both"/>
        <w:rPr>
          <w:rFonts w:ascii="Arial" w:hAnsi="Arial" w:cs="Arial"/>
          <w:sz w:val="22"/>
          <w:szCs w:val="22"/>
        </w:rPr>
      </w:pPr>
      <w:r w:rsidRPr="00952C94">
        <w:rPr>
          <w:rFonts w:ascii="Arial" w:hAnsi="Arial" w:cs="Arial"/>
          <w:sz w:val="22"/>
          <w:szCs w:val="22"/>
        </w:rPr>
        <w:t>A partir de la reforma constitucional de 1994, además se incorporaron los tratados de derechos humanos que refiere el Art. 75 inc. 12, por lo que también pasaron a formar parte las disposiciones a las garantías constitucionales.</w:t>
      </w:r>
    </w:p>
    <w:p w:rsidR="00E4132F" w:rsidRPr="00952C94" w:rsidRDefault="00E4132F" w:rsidP="0025437C">
      <w:pPr>
        <w:spacing w:line="360" w:lineRule="auto"/>
        <w:ind w:firstLine="567"/>
        <w:jc w:val="both"/>
        <w:rPr>
          <w:rFonts w:ascii="Arial" w:hAnsi="Arial" w:cs="Arial"/>
          <w:sz w:val="22"/>
          <w:szCs w:val="22"/>
        </w:rPr>
      </w:pPr>
      <w:r w:rsidRPr="00952C94">
        <w:rPr>
          <w:rFonts w:ascii="Arial" w:hAnsi="Arial" w:cs="Arial"/>
          <w:sz w:val="22"/>
          <w:szCs w:val="22"/>
        </w:rPr>
        <w:t>En ese sentido, se encuentra receptada por la Convención Americana de Derechos Humanos</w:t>
      </w:r>
      <w:r w:rsidRPr="00952C94">
        <w:rPr>
          <w:rStyle w:val="Refdenotaalpie"/>
          <w:rFonts w:ascii="Arial" w:hAnsi="Arial" w:cs="Arial"/>
          <w:sz w:val="22"/>
          <w:szCs w:val="22"/>
        </w:rPr>
        <w:footnoteReference w:id="10"/>
      </w:r>
      <w:r w:rsidRPr="00952C94">
        <w:rPr>
          <w:rFonts w:ascii="Arial" w:hAnsi="Arial" w:cs="Arial"/>
          <w:sz w:val="22"/>
          <w:szCs w:val="22"/>
        </w:rPr>
        <w:t xml:space="preserve"> en el inciso 2 párrafo g del artículo 8 como "el </w:t>
      </w:r>
      <w:r w:rsidRPr="00952C94">
        <w:rPr>
          <w:rFonts w:ascii="Arial" w:hAnsi="Arial" w:cs="Arial"/>
          <w:sz w:val="22"/>
          <w:szCs w:val="22"/>
        </w:rPr>
        <w:lastRenderedPageBreak/>
        <w:t xml:space="preserve">derecho a no ser obligado a declarar contra sí mismo ni a declararse culpable" por lo que siempre se la entendió como una de las garantías mínimas del proceso penal; lo que se ha visto acentuado por el inciso 3 del citado artículo 8 al disponer que: "La confesión del inculpado solamente es válida si es hecha sin coacción de ninguna naturaleza". </w:t>
      </w:r>
    </w:p>
    <w:p w:rsidR="00E4132F" w:rsidRPr="00952C94" w:rsidRDefault="00E4132F" w:rsidP="0025437C">
      <w:pPr>
        <w:spacing w:line="360" w:lineRule="auto"/>
        <w:ind w:firstLine="567"/>
        <w:jc w:val="both"/>
        <w:rPr>
          <w:rFonts w:ascii="Arial" w:hAnsi="Arial" w:cs="Arial"/>
          <w:sz w:val="22"/>
          <w:szCs w:val="22"/>
        </w:rPr>
      </w:pPr>
      <w:r w:rsidRPr="00952C94">
        <w:rPr>
          <w:rFonts w:ascii="Arial" w:hAnsi="Arial" w:cs="Arial"/>
          <w:sz w:val="22"/>
          <w:szCs w:val="22"/>
        </w:rPr>
        <w:t>Igualmente, el Pacto Internacional de Derechos Civiles y Políticos</w:t>
      </w:r>
      <w:r w:rsidRPr="00952C94">
        <w:rPr>
          <w:rStyle w:val="Refdenotaalpie"/>
          <w:rFonts w:ascii="Arial" w:hAnsi="Arial" w:cs="Arial"/>
          <w:sz w:val="22"/>
          <w:szCs w:val="22"/>
        </w:rPr>
        <w:footnoteReference w:id="11"/>
      </w:r>
      <w:r w:rsidRPr="00952C94">
        <w:rPr>
          <w:rFonts w:ascii="Arial" w:hAnsi="Arial" w:cs="Arial"/>
          <w:sz w:val="22"/>
          <w:szCs w:val="22"/>
        </w:rPr>
        <w:t xml:space="preserve"> establece que: "durante el proceso, toda persona acusada de un delito tendrá derecho a las siguientes garantías mínimas: … no ser obligada a declarar contra sí misma ni a confesarse culpable" (Art. 14 inc. 3 apartado g) </w:t>
      </w:r>
    </w:p>
    <w:p w:rsidR="00E4132F" w:rsidRPr="00952C94" w:rsidRDefault="00E4132F" w:rsidP="0025437C">
      <w:pPr>
        <w:spacing w:line="360" w:lineRule="auto"/>
        <w:ind w:firstLine="567"/>
        <w:jc w:val="both"/>
        <w:rPr>
          <w:rFonts w:ascii="Arial" w:hAnsi="Arial" w:cs="Arial"/>
          <w:sz w:val="22"/>
          <w:szCs w:val="22"/>
        </w:rPr>
      </w:pPr>
      <w:r w:rsidRPr="00952C94">
        <w:rPr>
          <w:rFonts w:ascii="Arial" w:hAnsi="Arial" w:cs="Arial"/>
          <w:sz w:val="22"/>
          <w:szCs w:val="22"/>
        </w:rPr>
        <w:t>Pero si bien no lo consagran en forma expresa, se ha entendido que se encuentra implícito en el la Declaración Universal de Derechos Humanos</w:t>
      </w:r>
      <w:r w:rsidRPr="00952C94">
        <w:rPr>
          <w:rStyle w:val="Refdenotaalpie"/>
          <w:rFonts w:ascii="Arial" w:hAnsi="Arial" w:cs="Arial"/>
          <w:sz w:val="22"/>
          <w:szCs w:val="22"/>
        </w:rPr>
        <w:footnoteReference w:id="12"/>
      </w:r>
      <w:r w:rsidRPr="00952C94">
        <w:rPr>
          <w:rFonts w:ascii="Arial" w:hAnsi="Arial" w:cs="Arial"/>
          <w:sz w:val="22"/>
          <w:szCs w:val="22"/>
        </w:rPr>
        <w:t xml:space="preserve"> en el juego de los Artículos 5 y 10, al establecer que "nadie será sometido a tortura ni a... tratos crueles, inhumanos o degradantes" (conf. Art 5) y que "toda persona acusada de delito tiene derecho a que se presuma su inocencia mientras no se pruebe su culpabilidad, conforme a la ley y en juicio público en el que se le hayan asegurado las garantías necesarias para su defensa" (Art 10). </w:t>
      </w:r>
    </w:p>
    <w:p w:rsidR="00E4132F" w:rsidRPr="00952C94" w:rsidRDefault="00E4132F" w:rsidP="0025437C">
      <w:pPr>
        <w:spacing w:line="360" w:lineRule="auto"/>
        <w:ind w:firstLine="567"/>
        <w:jc w:val="both"/>
        <w:rPr>
          <w:rFonts w:ascii="Arial" w:hAnsi="Arial" w:cs="Arial"/>
          <w:sz w:val="22"/>
          <w:szCs w:val="22"/>
        </w:rPr>
      </w:pPr>
      <w:r w:rsidRPr="00952C94">
        <w:rPr>
          <w:rFonts w:ascii="Arial" w:hAnsi="Arial" w:cs="Arial"/>
          <w:sz w:val="22"/>
          <w:szCs w:val="22"/>
        </w:rPr>
        <w:t>Similar situación se entiende respecto de la Declaración Americana de los Derechos y Deberes del Hombre</w:t>
      </w:r>
      <w:r w:rsidRPr="00952C94">
        <w:rPr>
          <w:rStyle w:val="Refdenotaalpie"/>
          <w:rFonts w:ascii="Arial" w:hAnsi="Arial" w:cs="Arial"/>
          <w:sz w:val="22"/>
          <w:szCs w:val="22"/>
        </w:rPr>
        <w:footnoteReference w:id="13"/>
      </w:r>
      <w:r w:rsidRPr="00952C94">
        <w:rPr>
          <w:rFonts w:ascii="Arial" w:hAnsi="Arial" w:cs="Arial"/>
          <w:sz w:val="22"/>
          <w:szCs w:val="22"/>
        </w:rPr>
        <w:t xml:space="preserve">, la que en el artículo 26 establece que </w:t>
      </w:r>
      <w:r w:rsidRPr="00952C94">
        <w:rPr>
          <w:rFonts w:ascii="Arial" w:hAnsi="Arial" w:cs="Arial"/>
          <w:sz w:val="22"/>
          <w:szCs w:val="22"/>
        </w:rPr>
        <w:lastRenderedPageBreak/>
        <w:t>"se presume que todo acusado es inocente, hasta que no se pruebe que es culpable".</w:t>
      </w:r>
    </w:p>
    <w:p w:rsidR="0033401E" w:rsidRPr="00952C94" w:rsidRDefault="0033401E" w:rsidP="0025437C">
      <w:pPr>
        <w:spacing w:line="360" w:lineRule="auto"/>
        <w:ind w:firstLine="567"/>
        <w:jc w:val="both"/>
        <w:rPr>
          <w:rFonts w:ascii="Arial" w:hAnsi="Arial" w:cs="Arial"/>
          <w:sz w:val="22"/>
          <w:szCs w:val="22"/>
        </w:rPr>
      </w:pPr>
    </w:p>
    <w:p w:rsidR="00E0049D" w:rsidRDefault="00E373FE" w:rsidP="00E373FE">
      <w:pPr>
        <w:pStyle w:val="Ttulo1"/>
        <w:rPr>
          <w:rFonts w:ascii="Arial" w:hAnsi="Arial" w:cs="Arial"/>
          <w:sz w:val="22"/>
          <w:szCs w:val="22"/>
        </w:rPr>
      </w:pPr>
      <w:bookmarkStart w:id="5" w:name="_Toc100177580"/>
      <w:r w:rsidRPr="00E373FE">
        <w:rPr>
          <w:rFonts w:ascii="Arial" w:hAnsi="Arial" w:cs="Arial"/>
          <w:sz w:val="22"/>
          <w:szCs w:val="22"/>
        </w:rPr>
        <w:t xml:space="preserve">V.- </w:t>
      </w:r>
      <w:r w:rsidR="00E0049D">
        <w:rPr>
          <w:rFonts w:ascii="Arial" w:hAnsi="Arial" w:cs="Arial"/>
          <w:sz w:val="22"/>
          <w:szCs w:val="22"/>
        </w:rPr>
        <w:t>NEUROCIENCIAS Y NEUROTECNOLOGÍA.</w:t>
      </w:r>
      <w:bookmarkEnd w:id="5"/>
      <w:r w:rsidR="00E0049D">
        <w:rPr>
          <w:rFonts w:ascii="Arial" w:hAnsi="Arial" w:cs="Arial"/>
          <w:sz w:val="22"/>
          <w:szCs w:val="22"/>
        </w:rPr>
        <w:t xml:space="preserve"> </w:t>
      </w:r>
    </w:p>
    <w:p w:rsidR="00E0049D" w:rsidRPr="0091406B" w:rsidRDefault="00E0049D" w:rsidP="00E0049D">
      <w:pPr>
        <w:spacing w:line="360" w:lineRule="auto"/>
        <w:ind w:firstLine="567"/>
        <w:jc w:val="both"/>
        <w:rPr>
          <w:rFonts w:ascii="Arial" w:hAnsi="Arial" w:cs="Arial"/>
          <w:sz w:val="22"/>
          <w:szCs w:val="22"/>
        </w:rPr>
      </w:pPr>
    </w:p>
    <w:p w:rsidR="00E0049D" w:rsidRPr="0091406B" w:rsidRDefault="00E0049D" w:rsidP="00E0049D">
      <w:pPr>
        <w:spacing w:line="360" w:lineRule="auto"/>
        <w:ind w:firstLine="567"/>
        <w:jc w:val="both"/>
        <w:rPr>
          <w:rFonts w:ascii="Arial" w:hAnsi="Arial" w:cs="Arial"/>
          <w:sz w:val="22"/>
          <w:szCs w:val="22"/>
        </w:rPr>
      </w:pPr>
      <w:r w:rsidRPr="0091406B">
        <w:rPr>
          <w:rFonts w:ascii="Arial" w:hAnsi="Arial" w:cs="Arial"/>
          <w:sz w:val="22"/>
          <w:szCs w:val="22"/>
        </w:rPr>
        <w:t>Tal como recuerdan IENCA y ANDORNO</w:t>
      </w:r>
      <w:r w:rsidR="001F5C36" w:rsidRPr="0091406B">
        <w:rPr>
          <w:rFonts w:ascii="Arial" w:hAnsi="Arial" w:cs="Arial"/>
          <w:sz w:val="22"/>
          <w:szCs w:val="22"/>
        </w:rPr>
        <w:t xml:space="preserve"> (2017)</w:t>
      </w:r>
      <w:r w:rsidRPr="0091406B">
        <w:rPr>
          <w:rStyle w:val="Refdenotaalpie"/>
          <w:rFonts w:ascii="Arial" w:hAnsi="Arial" w:cs="Arial"/>
          <w:sz w:val="22"/>
          <w:szCs w:val="22"/>
        </w:rPr>
        <w:footnoteReference w:id="14"/>
      </w:r>
      <w:r w:rsidRPr="0091406B">
        <w:rPr>
          <w:rFonts w:ascii="Arial" w:hAnsi="Arial" w:cs="Arial"/>
          <w:sz w:val="22"/>
          <w:szCs w:val="22"/>
        </w:rPr>
        <w:t>, durante mucho tiempo, los límites del cráneo eran considerados como la línea de separación entre la dimensión observable y la inobservable de los seres humanos vivos; y que si bien existen ciertas formas primitivas de neurocirugía en las sociedades antiguas, que permitían la observación e incluso la manipulación del tejido cerebral (como era el procedimiento pseudocientíficos de la trepanación), lo cierto es que los procesos neuronales y mentales que se desarrollan en el cerebro y subyacen a las emociones, como el razonamiento y el comportamiento, han permanecido durante mucho tiempo dentro del campo de lo no observable. Sin embargo, los avances en las ramas de la neurociencia y de la neurotecnología, han permitido el desbloqueo progresivo del cerebro humano; proporcionando información sobre los procesos cerebrales, su relación con los estados mentales y el comportamiento observable.</w:t>
      </w:r>
    </w:p>
    <w:p w:rsidR="00E0049D" w:rsidRPr="0091406B" w:rsidRDefault="00E0049D" w:rsidP="00E0049D">
      <w:pPr>
        <w:spacing w:line="360" w:lineRule="auto"/>
        <w:ind w:firstLine="567"/>
        <w:jc w:val="both"/>
        <w:rPr>
          <w:rFonts w:ascii="Arial" w:hAnsi="Arial" w:cs="Arial"/>
          <w:sz w:val="22"/>
          <w:szCs w:val="22"/>
        </w:rPr>
      </w:pPr>
      <w:r w:rsidRPr="0091406B">
        <w:rPr>
          <w:rFonts w:ascii="Arial" w:hAnsi="Arial" w:cs="Arial"/>
          <w:sz w:val="22"/>
          <w:szCs w:val="22"/>
        </w:rPr>
        <w:t xml:space="preserve">En ese sentido recuerdan que desde que Richard Canton descubrió en 1878, la transmisión de señales eléctricas a través del cerebro de un animal, pasaron cuarenta y seis años para que se registrara la primer electroencefalografía (EEG) humana; y desde entonces la revolución neurotecnológica ha tenido lugar dentro y fuera de la clínica. </w:t>
      </w:r>
    </w:p>
    <w:p w:rsidR="00E0049D" w:rsidRPr="0091406B" w:rsidRDefault="00E0049D" w:rsidP="00E0049D">
      <w:pPr>
        <w:spacing w:line="360" w:lineRule="auto"/>
        <w:ind w:firstLine="567"/>
        <w:jc w:val="both"/>
        <w:rPr>
          <w:rFonts w:ascii="Arial" w:hAnsi="Arial" w:cs="Arial"/>
          <w:sz w:val="22"/>
          <w:szCs w:val="22"/>
        </w:rPr>
      </w:pPr>
      <w:r w:rsidRPr="0091406B">
        <w:rPr>
          <w:rFonts w:ascii="Arial" w:hAnsi="Arial" w:cs="Arial"/>
          <w:sz w:val="22"/>
          <w:szCs w:val="22"/>
        </w:rPr>
        <w:t>Continúan en su explicación que pasada la década de 1990, también denominada “década del cerebro” donde se vislumbró un incremento exponencial de estudios neuroconductuales, existe hoy un amplio espectro de tecnologías de neuroimágenes que permiten el registro y la visualización no invasivas de patrones de actividad cerebral (a menudo asociados con la realización de tareas físicas o cognitivas) que se han convertido en una práctica estándar.</w:t>
      </w:r>
    </w:p>
    <w:p w:rsidR="00E0049D" w:rsidRPr="0091406B" w:rsidRDefault="00E0049D" w:rsidP="00E0049D">
      <w:pPr>
        <w:spacing w:line="360" w:lineRule="auto"/>
        <w:ind w:firstLine="567"/>
        <w:jc w:val="both"/>
        <w:rPr>
          <w:rFonts w:ascii="Arial" w:hAnsi="Arial" w:cs="Arial"/>
          <w:sz w:val="22"/>
          <w:szCs w:val="22"/>
        </w:rPr>
      </w:pPr>
      <w:r w:rsidRPr="0091406B">
        <w:rPr>
          <w:rFonts w:ascii="Arial" w:hAnsi="Arial" w:cs="Arial"/>
          <w:sz w:val="22"/>
          <w:szCs w:val="22"/>
        </w:rPr>
        <w:lastRenderedPageBreak/>
        <w:t xml:space="preserve">En el estudio que seguimos nos ilustran como los registros de EEG se utilizan para medir de forma no invasiva la actividad eléctrica del cerebro y detectar fluctuaciones de voltaje; en tanto que mediante técnicas derivados del EEG se pueden determinar los “potenciales evocados” (EP) y los “potenciales relacionados con evento” (ERP), promediando las respuestas del EEG a la presentación y procesamiento de los estímulos, y así registrar las señales del cerebro durante el desempeño de tareas sensoriales, cognitivas o motoras específicas. </w:t>
      </w:r>
    </w:p>
    <w:p w:rsidR="00E0049D" w:rsidRPr="0091406B" w:rsidRDefault="00E0049D" w:rsidP="00E0049D">
      <w:pPr>
        <w:spacing w:line="360" w:lineRule="auto"/>
        <w:ind w:firstLine="567"/>
        <w:jc w:val="both"/>
        <w:rPr>
          <w:rFonts w:ascii="Arial" w:hAnsi="Arial" w:cs="Arial"/>
          <w:sz w:val="22"/>
          <w:szCs w:val="22"/>
        </w:rPr>
      </w:pPr>
      <w:r w:rsidRPr="0091406B">
        <w:rPr>
          <w:rFonts w:ascii="Arial" w:hAnsi="Arial" w:cs="Arial"/>
          <w:sz w:val="22"/>
          <w:szCs w:val="22"/>
        </w:rPr>
        <w:t>Por otra parte nos refieren como mediante la resonancia magnética funcional (fMRI), se mide la actividad eléctrica del cerebro de forma indirecta, utilizando respuestas hemodinámicas (el flujo sanguíneo cerebral) como marcadores indirectos. Actualmente por medio de fMRI se puede localizar la actividad cerebral, representar gráficamente los patrones de activación neuronal, y determinan su intensidad codificando por medio de colores la fuerza de la activación, por ejemplo para la evaluación de riesgos antes de una cirugía, el mapeo funcional de áreas del cerebro para detectar anomalías (como la asimetría hemisférica en las regiones del lenguaje y la memoria), el monitoreo de la recuperación después de un accidente cerebrovascular o de una cirugía, etc.; mientras que más recientemente se han podido diagnosticar la depresión y la enfermedad de Alzheimer.</w:t>
      </w:r>
    </w:p>
    <w:p w:rsidR="00E0049D" w:rsidRPr="0091406B" w:rsidRDefault="00E0049D" w:rsidP="00E0049D">
      <w:pPr>
        <w:spacing w:line="360" w:lineRule="auto"/>
        <w:ind w:firstLine="567"/>
        <w:jc w:val="both"/>
        <w:rPr>
          <w:rFonts w:ascii="Arial" w:hAnsi="Arial" w:cs="Arial"/>
          <w:sz w:val="22"/>
          <w:szCs w:val="22"/>
        </w:rPr>
      </w:pPr>
      <w:r w:rsidRPr="0091406B">
        <w:rPr>
          <w:rFonts w:ascii="Arial" w:hAnsi="Arial" w:cs="Arial"/>
          <w:sz w:val="22"/>
          <w:szCs w:val="22"/>
        </w:rPr>
        <w:t xml:space="preserve">Incluso nos ilustran como la capacidad de las técnicas de neuroimágenes de mapear las funciones del cerebro, ha sido eficaz en la obtención de información sobre las intenciones, puntos de vista y actitudes de las personas, llegándose a inferir qué acciones tenían la intención de realizar los participantes de un experimento a partir de la decodificación de su actividad cerebral con un 70% de precisión cuál de las dos tareas (suma o resta) los sujetos intentaban realizar encubiertamente; o como al identificar ciertos patrones de actividad cerebral, los científicos pudieron determinar cuáles en que casas habían estado los sujetos sometidos al estudio, a quienes previamente se les había hecho recorrer casas mediante sistemas de realidad virtual. En ese punto incluso indican que los escáneres cerebrales no sólo permiten “leer” las intenciones y recuerdos concretos relacionados con un experimento, sino que han sido capaces de decodificar preferencias más generales, como las opiniones políticas de los usuarios identificando diferencias funcionales entre los cerebros de demócratas y republicanos; o la preferencia de los hombres por autos deportivos lo que se </w:t>
      </w:r>
      <w:r w:rsidRPr="0091406B">
        <w:rPr>
          <w:rFonts w:ascii="Arial" w:hAnsi="Arial" w:cs="Arial"/>
          <w:sz w:val="22"/>
          <w:szCs w:val="22"/>
        </w:rPr>
        <w:lastRenderedPageBreak/>
        <w:t>ha correlacionado con diferencias funcionales específicas entre los cerebros de hombres y mujeres.</w:t>
      </w:r>
    </w:p>
    <w:p w:rsidR="00E0049D" w:rsidRPr="0091406B" w:rsidRDefault="00E0049D" w:rsidP="00E0049D">
      <w:pPr>
        <w:spacing w:line="360" w:lineRule="auto"/>
        <w:ind w:firstLine="567"/>
        <w:jc w:val="both"/>
        <w:rPr>
          <w:rFonts w:ascii="Arial" w:hAnsi="Arial" w:cs="Arial"/>
          <w:sz w:val="22"/>
          <w:szCs w:val="22"/>
        </w:rPr>
      </w:pPr>
      <w:r w:rsidRPr="0091406B">
        <w:rPr>
          <w:rFonts w:ascii="Arial" w:hAnsi="Arial" w:cs="Arial"/>
          <w:sz w:val="22"/>
          <w:szCs w:val="22"/>
        </w:rPr>
        <w:t>Como bien señalan los autores que seguimos en este punto, estas técnicas de imágenes cerebrales se desarrollaron en el contexto de la medicina clínica y la investigación neurocientífica; y si bien este sigue siendo su mayor campo de aplicación, en los últimos años las aplicaciones neurotecnológicas se han abierto camino en el mercado integrándose a un conjunto de dispositivos de consumo para usuarios sanos con diversos con fines no clínicos. Así encontramos interfaces cerebro-computadora (BCIs) para el control de dispositivos, sistemas de operación de vehículos a partir de neurosensores, herramientas de entrenamiento cognitivo, dispositivos portátiles para el bienestar mental y sistemas de realidad virtual, etc. Así los BCIs se están usando cada vez más como accesorios portátiles para un número de actividades diarias incluyendo juegos, entretenimiento y el control remoto de teléfonos inteligentes, lo que ha captado la atención de las compañías líderes en materia tecnológica como Apple, Samsung, Sony, Microsoft entre otras, quienes han desarrollado diversos neurogadgets como accesorios para sus dispositivos principales. Hoy podemos observar una verdadera carrera entre las empresas de neurotecnología para la aprobación de sus implantes y posibles usos y estudios por parte de la Administración de Medicamentos y Alimentos de Estados Unidos (FDA</w:t>
      </w:r>
      <w:r w:rsidRPr="0091406B">
        <w:rPr>
          <w:rStyle w:val="Refdenotaalpie"/>
          <w:rFonts w:ascii="Arial" w:hAnsi="Arial" w:cs="Arial"/>
          <w:sz w:val="22"/>
          <w:szCs w:val="22"/>
        </w:rPr>
        <w:footnoteReference w:id="15"/>
      </w:r>
      <w:r w:rsidRPr="0091406B">
        <w:rPr>
          <w:rFonts w:ascii="Arial" w:hAnsi="Arial" w:cs="Arial"/>
          <w:sz w:val="22"/>
          <w:szCs w:val="22"/>
        </w:rPr>
        <w:t xml:space="preserve"> </w:t>
      </w:r>
    </w:p>
    <w:p w:rsidR="00E0049D" w:rsidRPr="0091406B" w:rsidRDefault="00E0049D" w:rsidP="00E0049D">
      <w:pPr>
        <w:spacing w:line="360" w:lineRule="auto"/>
        <w:ind w:firstLine="567"/>
        <w:jc w:val="both"/>
        <w:rPr>
          <w:rFonts w:ascii="Arial" w:hAnsi="Arial" w:cs="Arial"/>
          <w:sz w:val="22"/>
          <w:szCs w:val="22"/>
        </w:rPr>
      </w:pPr>
      <w:r w:rsidRPr="0091406B">
        <w:rPr>
          <w:rFonts w:ascii="Arial" w:hAnsi="Arial" w:cs="Arial"/>
          <w:sz w:val="22"/>
          <w:szCs w:val="22"/>
        </w:rPr>
        <w:t>Hoy también se reconoce el uso de la estimulación electromagnética transcraneal (TMS) para la estimulación de ciertas regiones del cerebro</w:t>
      </w:r>
      <w:r w:rsidRPr="0091406B">
        <w:rPr>
          <w:rStyle w:val="Refdenotaalpie"/>
          <w:rFonts w:ascii="Arial" w:hAnsi="Arial" w:cs="Arial"/>
          <w:sz w:val="22"/>
          <w:szCs w:val="22"/>
        </w:rPr>
        <w:footnoteReference w:id="16"/>
      </w:r>
      <w:r w:rsidRPr="0091406B">
        <w:rPr>
          <w:rFonts w:ascii="Arial" w:hAnsi="Arial" w:cs="Arial"/>
          <w:sz w:val="22"/>
          <w:szCs w:val="22"/>
        </w:rPr>
        <w:t>, así como la estimulación cerebral profunda (DBS) mediante la implantación de neuroestimuladores para el tratamiento del Parkinson, y que fuera autorizado por la FDA</w:t>
      </w:r>
      <w:r w:rsidRPr="0091406B">
        <w:rPr>
          <w:rStyle w:val="Refdenotaalpie"/>
          <w:rFonts w:ascii="Arial" w:hAnsi="Arial" w:cs="Arial"/>
          <w:sz w:val="22"/>
          <w:szCs w:val="22"/>
        </w:rPr>
        <w:footnoteReference w:id="17"/>
      </w:r>
      <w:r w:rsidRPr="0091406B">
        <w:rPr>
          <w:rFonts w:ascii="Arial" w:hAnsi="Arial" w:cs="Arial"/>
          <w:sz w:val="22"/>
          <w:szCs w:val="22"/>
        </w:rPr>
        <w:t>.</w:t>
      </w:r>
    </w:p>
    <w:p w:rsidR="00E0049D" w:rsidRPr="00E0049D" w:rsidRDefault="00E0049D" w:rsidP="00E0049D">
      <w:pPr>
        <w:spacing w:line="360" w:lineRule="auto"/>
        <w:ind w:firstLine="567"/>
        <w:jc w:val="both"/>
      </w:pPr>
    </w:p>
    <w:p w:rsidR="0033401E" w:rsidRPr="00E373FE" w:rsidRDefault="00E0049D" w:rsidP="00E373FE">
      <w:pPr>
        <w:pStyle w:val="Ttulo1"/>
        <w:rPr>
          <w:rFonts w:ascii="Arial" w:hAnsi="Arial" w:cs="Arial"/>
          <w:sz w:val="22"/>
          <w:szCs w:val="22"/>
        </w:rPr>
      </w:pPr>
      <w:bookmarkStart w:id="6" w:name="_Toc100177581"/>
      <w:r>
        <w:rPr>
          <w:rFonts w:ascii="Arial" w:hAnsi="Arial" w:cs="Arial"/>
          <w:sz w:val="22"/>
          <w:szCs w:val="22"/>
        </w:rPr>
        <w:lastRenderedPageBreak/>
        <w:t xml:space="preserve">VI.- </w:t>
      </w:r>
      <w:r w:rsidR="00771DFC" w:rsidRPr="00E373FE">
        <w:rPr>
          <w:rFonts w:ascii="Arial" w:hAnsi="Arial" w:cs="Arial"/>
          <w:sz w:val="22"/>
          <w:szCs w:val="22"/>
        </w:rPr>
        <w:t>THE BLACK MIRROR y LOS IMPLANTES CEREBRALES</w:t>
      </w:r>
      <w:bookmarkEnd w:id="6"/>
    </w:p>
    <w:p w:rsidR="001C1802" w:rsidRDefault="001C1802" w:rsidP="0025437C">
      <w:pPr>
        <w:spacing w:line="360" w:lineRule="auto"/>
        <w:ind w:firstLine="567"/>
        <w:jc w:val="both"/>
        <w:rPr>
          <w:rFonts w:ascii="Arial" w:hAnsi="Arial" w:cs="Arial"/>
          <w:sz w:val="22"/>
          <w:szCs w:val="22"/>
        </w:rPr>
      </w:pPr>
    </w:p>
    <w:p w:rsidR="001C1802" w:rsidRPr="001C1802" w:rsidRDefault="001C1802" w:rsidP="0025437C">
      <w:pPr>
        <w:spacing w:line="360" w:lineRule="auto"/>
        <w:ind w:firstLine="567"/>
        <w:jc w:val="both"/>
        <w:rPr>
          <w:rFonts w:ascii="Arial" w:hAnsi="Arial" w:cs="Arial"/>
          <w:sz w:val="22"/>
          <w:szCs w:val="22"/>
        </w:rPr>
      </w:pPr>
      <w:r>
        <w:rPr>
          <w:rFonts w:ascii="Arial" w:hAnsi="Arial" w:cs="Arial"/>
          <w:sz w:val="22"/>
          <w:szCs w:val="22"/>
        </w:rPr>
        <w:t xml:space="preserve">En 2011 en la televisión británica se lanzó la serie distópica </w:t>
      </w:r>
      <w:r>
        <w:rPr>
          <w:rFonts w:ascii="Arial" w:hAnsi="Arial" w:cs="Arial"/>
          <w:i/>
          <w:sz w:val="22"/>
          <w:szCs w:val="22"/>
        </w:rPr>
        <w:t>The Black Mirror</w:t>
      </w:r>
      <w:r>
        <w:rPr>
          <w:rFonts w:ascii="Arial" w:hAnsi="Arial" w:cs="Arial"/>
          <w:sz w:val="22"/>
          <w:szCs w:val="22"/>
        </w:rPr>
        <w:t xml:space="preserve">, </w:t>
      </w:r>
      <w:r w:rsidR="0091406B" w:rsidRPr="00952C94">
        <w:rPr>
          <w:rFonts w:ascii="Arial" w:hAnsi="Arial" w:cs="Arial"/>
          <w:sz w:val="22"/>
          <w:szCs w:val="22"/>
        </w:rPr>
        <w:t>a través de sus 22 capítulos en 5 temporadas, un especial; y una película</w:t>
      </w:r>
      <w:r w:rsidR="0091406B">
        <w:rPr>
          <w:rFonts w:ascii="Arial" w:hAnsi="Arial" w:cs="Arial"/>
          <w:sz w:val="22"/>
          <w:szCs w:val="22"/>
        </w:rPr>
        <w:t xml:space="preserve">, </w:t>
      </w:r>
      <w:r>
        <w:rPr>
          <w:rFonts w:ascii="Arial" w:hAnsi="Arial" w:cs="Arial"/>
          <w:sz w:val="22"/>
          <w:szCs w:val="22"/>
        </w:rPr>
        <w:t>se plantea la relación de las personas con los dispositivos tecnológicos, y particularmente las consecuencias negativas de la dependencia de las personas respecto de ellos, los que al momento de no estar siendo utilizados funcionan como un “</w:t>
      </w:r>
      <w:r>
        <w:rPr>
          <w:rFonts w:ascii="Arial" w:hAnsi="Arial" w:cs="Arial"/>
          <w:i/>
          <w:sz w:val="22"/>
          <w:szCs w:val="22"/>
        </w:rPr>
        <w:t>espejo negro</w:t>
      </w:r>
      <w:r>
        <w:rPr>
          <w:rFonts w:ascii="Arial" w:hAnsi="Arial" w:cs="Arial"/>
          <w:sz w:val="22"/>
          <w:szCs w:val="22"/>
        </w:rPr>
        <w:t>”.</w:t>
      </w:r>
    </w:p>
    <w:p w:rsidR="001B2640" w:rsidRPr="00952C94" w:rsidRDefault="001B2640" w:rsidP="001B2640">
      <w:pPr>
        <w:spacing w:line="360" w:lineRule="auto"/>
        <w:ind w:firstLine="567"/>
        <w:jc w:val="both"/>
        <w:rPr>
          <w:rFonts w:ascii="Arial" w:hAnsi="Arial" w:cs="Arial"/>
          <w:sz w:val="22"/>
          <w:szCs w:val="22"/>
        </w:rPr>
      </w:pPr>
      <w:r w:rsidRPr="00952C94">
        <w:rPr>
          <w:rFonts w:ascii="Arial" w:hAnsi="Arial" w:cs="Arial"/>
          <w:sz w:val="22"/>
          <w:szCs w:val="22"/>
        </w:rPr>
        <w:t>Si bien se tratan de capítulos autoconclusivos, en varios de sus capítulos se plantea la posibilidad de que todo el mundo tenga un implante en la memoria; así en un caso (</w:t>
      </w:r>
      <w:r w:rsidRPr="007213C9">
        <w:rPr>
          <w:rFonts w:ascii="Arial" w:hAnsi="Arial" w:cs="Arial"/>
          <w:sz w:val="22"/>
          <w:szCs w:val="22"/>
        </w:rPr>
        <w:t>Ep 3 T 1 The Entire History of You</w:t>
      </w:r>
      <w:r w:rsidRPr="00952C94">
        <w:rPr>
          <w:rFonts w:ascii="Arial" w:hAnsi="Arial" w:cs="Arial"/>
          <w:sz w:val="22"/>
          <w:szCs w:val="22"/>
        </w:rPr>
        <w:t xml:space="preserve">) este implante graba todo lo que el ser humano haga, vea y oiga; en otros (Ep Especial Navidad White Christmas) ese implante resulta ser un “cookie” con el cual se hace una manipulación de una serie de personas; o permite monitorizar la locación de una persona (Ep 2 T </w:t>
      </w:r>
      <w:r w:rsidRPr="007213C9">
        <w:rPr>
          <w:rFonts w:ascii="Arial" w:hAnsi="Arial" w:cs="Arial"/>
          <w:sz w:val="22"/>
          <w:szCs w:val="22"/>
        </w:rPr>
        <w:t>4 Arkangel</w:t>
      </w:r>
      <w:r w:rsidRPr="00952C94">
        <w:rPr>
          <w:rFonts w:ascii="Arial" w:hAnsi="Arial" w:cs="Arial"/>
          <w:sz w:val="22"/>
          <w:szCs w:val="22"/>
        </w:rPr>
        <w:t xml:space="preserve">); a fin de investigar un accidente una compañía de seguros examina los recuerdos de los testigos (Ep 3 T 4 </w:t>
      </w:r>
      <w:r w:rsidRPr="007213C9">
        <w:rPr>
          <w:rFonts w:ascii="Arial" w:hAnsi="Arial" w:cs="Arial"/>
          <w:sz w:val="22"/>
          <w:szCs w:val="22"/>
        </w:rPr>
        <w:t>Crocodile</w:t>
      </w:r>
      <w:r w:rsidRPr="00952C94">
        <w:rPr>
          <w:rFonts w:ascii="Arial" w:hAnsi="Arial" w:cs="Arial"/>
          <w:sz w:val="22"/>
          <w:szCs w:val="22"/>
        </w:rPr>
        <w:t>).</w:t>
      </w:r>
    </w:p>
    <w:p w:rsidR="00771DFC" w:rsidRPr="00952C94" w:rsidRDefault="00771DFC" w:rsidP="0025437C">
      <w:pPr>
        <w:spacing w:line="360" w:lineRule="auto"/>
        <w:ind w:firstLine="567"/>
        <w:jc w:val="both"/>
        <w:rPr>
          <w:rFonts w:ascii="Arial" w:hAnsi="Arial" w:cs="Arial"/>
          <w:sz w:val="22"/>
          <w:szCs w:val="22"/>
        </w:rPr>
      </w:pPr>
      <w:r w:rsidRPr="00952C94">
        <w:rPr>
          <w:rFonts w:ascii="Arial" w:hAnsi="Arial" w:cs="Arial"/>
          <w:sz w:val="22"/>
          <w:szCs w:val="22"/>
        </w:rPr>
        <w:t xml:space="preserve">En los capítulos de </w:t>
      </w:r>
      <w:r w:rsidRPr="00952C94">
        <w:rPr>
          <w:rFonts w:ascii="Arial" w:hAnsi="Arial" w:cs="Arial"/>
          <w:i/>
          <w:sz w:val="22"/>
          <w:szCs w:val="22"/>
        </w:rPr>
        <w:t>Entire History of You, Crocodile; Arkangel y White Christmas</w:t>
      </w:r>
      <w:r w:rsidRPr="00952C94">
        <w:rPr>
          <w:rFonts w:ascii="Arial" w:hAnsi="Arial" w:cs="Arial"/>
          <w:sz w:val="22"/>
          <w:szCs w:val="22"/>
        </w:rPr>
        <w:t xml:space="preserve"> se nos presenta la posibilidad de que en un futuro cercano seamos implantados con un neurodispositivo; en dos casos recata lo que perdemos del foco de la conciencia, poniéndonos ante la posibilidad de que nuestros recuerdos puedan ser recuperados y proyectados a través de dispositivos anexados a la cabeza, o que directamente éstos implantes permitan a un tercero a rastrearnos y ver lo que estamos viendo, o incluso a través de la clonación de la conciencia ésta pueda recuperar nuestros recuerdos. </w:t>
      </w:r>
    </w:p>
    <w:p w:rsidR="00771DFC" w:rsidRPr="00952C94" w:rsidRDefault="00771DFC" w:rsidP="0025437C">
      <w:pPr>
        <w:spacing w:line="360" w:lineRule="auto"/>
        <w:ind w:firstLine="567"/>
        <w:jc w:val="both"/>
        <w:rPr>
          <w:rFonts w:ascii="Arial" w:hAnsi="Arial" w:cs="Arial"/>
          <w:sz w:val="22"/>
          <w:szCs w:val="22"/>
        </w:rPr>
      </w:pPr>
      <w:r w:rsidRPr="00952C94">
        <w:rPr>
          <w:rFonts w:ascii="Arial" w:hAnsi="Arial" w:cs="Arial"/>
          <w:sz w:val="22"/>
          <w:szCs w:val="22"/>
        </w:rPr>
        <w:t xml:space="preserve">Así, en </w:t>
      </w:r>
      <w:r w:rsidRPr="00952C94">
        <w:rPr>
          <w:rFonts w:ascii="Arial" w:hAnsi="Arial" w:cs="Arial"/>
          <w:i/>
          <w:sz w:val="22"/>
          <w:szCs w:val="22"/>
        </w:rPr>
        <w:t>Entire history of you</w:t>
      </w:r>
      <w:r w:rsidRPr="00952C94">
        <w:rPr>
          <w:rFonts w:ascii="Arial" w:hAnsi="Arial" w:cs="Arial"/>
          <w:sz w:val="22"/>
          <w:szCs w:val="22"/>
        </w:rPr>
        <w:t xml:space="preserve"> todas las personas tienen un implante detrás de sus orejas que les permite retener todas las imágenes ópticas y auditivas, las que pueden ser proyectadas a fin de ser revisadas y analizadas, con lo cual se pueden revisar cualquiera de las vivencias propias o ajenas. En dicho capitulo el protagonista luego de revisar sus propios recuerdos, y ante la duda respecto de su paternidad, fuerza a su mujer a mostrarle sus propios recuerdos que la autoincriminan.</w:t>
      </w:r>
    </w:p>
    <w:p w:rsidR="00771DFC" w:rsidRPr="00952C94" w:rsidRDefault="00771DFC" w:rsidP="0025437C">
      <w:pPr>
        <w:spacing w:line="360" w:lineRule="auto"/>
        <w:ind w:firstLine="567"/>
        <w:jc w:val="both"/>
        <w:rPr>
          <w:rFonts w:ascii="Arial" w:hAnsi="Arial" w:cs="Arial"/>
          <w:sz w:val="22"/>
          <w:szCs w:val="22"/>
        </w:rPr>
      </w:pPr>
      <w:r w:rsidRPr="00952C94">
        <w:rPr>
          <w:rFonts w:ascii="Arial" w:hAnsi="Arial" w:cs="Arial"/>
          <w:sz w:val="22"/>
          <w:szCs w:val="22"/>
        </w:rPr>
        <w:t xml:space="preserve">En la misma dirección en </w:t>
      </w:r>
      <w:r w:rsidRPr="00952C94">
        <w:rPr>
          <w:rFonts w:ascii="Arial" w:hAnsi="Arial" w:cs="Arial"/>
          <w:i/>
          <w:sz w:val="22"/>
          <w:szCs w:val="22"/>
        </w:rPr>
        <w:t>Crocodile</w:t>
      </w:r>
      <w:r w:rsidRPr="00952C94">
        <w:rPr>
          <w:rFonts w:ascii="Arial" w:hAnsi="Arial" w:cs="Arial"/>
          <w:sz w:val="22"/>
          <w:szCs w:val="22"/>
        </w:rPr>
        <w:t xml:space="preserve">, se nos cuenta sobre los intentos de la protagonista para tratar de ocultar su complicidad en deshacerse de un cuerpo  luego de un accidente en el cual un amigo suyo atropella a una persona; y como años después es testigo de un accidente vial una abogada </w:t>
      </w:r>
      <w:r w:rsidRPr="00952C94">
        <w:rPr>
          <w:rFonts w:ascii="Arial" w:hAnsi="Arial" w:cs="Arial"/>
          <w:sz w:val="22"/>
          <w:szCs w:val="22"/>
        </w:rPr>
        <w:lastRenderedPageBreak/>
        <w:t>de la seguradora tiene que investigar utilizando dispositivos tecnológicos capaces de recuperar recuerdos que son utilizados por la policía o por las agencias de seguro a fin de investigar y determinar los hechos en siniestros o accidentes. Allí la protagonista debe someterse a un procedimiento de recuperar los recuerdos de su memora, donde se exponen los recuerdos de ella respecto del ocultamiento de un cuerpo en razón de un accidente con un amigo, a quien años más tardes mata a fin de que no confiese el crimen del que ambos habían participado. Este suceso lleva a la protagonista a asesinar a la investigadora para que no la denuncie.</w:t>
      </w:r>
    </w:p>
    <w:p w:rsidR="00771DFC" w:rsidRPr="00952C94" w:rsidRDefault="00771DFC" w:rsidP="0025437C">
      <w:pPr>
        <w:spacing w:line="360" w:lineRule="auto"/>
        <w:ind w:firstLine="567"/>
        <w:jc w:val="both"/>
        <w:rPr>
          <w:rFonts w:ascii="Arial" w:hAnsi="Arial" w:cs="Arial"/>
          <w:sz w:val="22"/>
          <w:szCs w:val="22"/>
        </w:rPr>
      </w:pPr>
      <w:r w:rsidRPr="00952C94">
        <w:rPr>
          <w:rFonts w:ascii="Arial" w:hAnsi="Arial" w:cs="Arial"/>
          <w:sz w:val="22"/>
          <w:szCs w:val="22"/>
        </w:rPr>
        <w:t xml:space="preserve">Por el contrario en </w:t>
      </w:r>
      <w:r w:rsidRPr="00952C94">
        <w:rPr>
          <w:rFonts w:ascii="Arial" w:hAnsi="Arial" w:cs="Arial"/>
          <w:i/>
          <w:sz w:val="22"/>
          <w:szCs w:val="22"/>
        </w:rPr>
        <w:t>Arkangel</w:t>
      </w:r>
      <w:r w:rsidRPr="00952C94">
        <w:rPr>
          <w:rFonts w:ascii="Arial" w:hAnsi="Arial" w:cs="Arial"/>
          <w:sz w:val="22"/>
          <w:szCs w:val="22"/>
        </w:rPr>
        <w:t xml:space="preserve"> se nos cuenta la historia de una madre soltera que hace colocar un implante a su hija a fin de poder rastrear a la hija, controlar su salud, así como ver lo que está viendo a través de una unidad parental (Tablet), que permite el control del chip. A partir de este dispositivo se puede detectar el stress al que se encuentra sometido el menor, llegando incluso a bloquear la visión del niño respecto de aquello que le cause ese stress, o bien miedo, o imágenes de violencia, sangre, etc. Sin embargo el uso de este chip tiene consecuencias negativas en la vida social de la niña, por lo cual su madre deshabilita el chip. Ya en la adolescencia de la protagonista la madre decide rehabilitar el chip a fin de saber </w:t>
      </w:r>
      <w:r w:rsidR="00F95BC2" w:rsidRPr="00952C94">
        <w:rPr>
          <w:rFonts w:ascii="Arial" w:hAnsi="Arial" w:cs="Arial"/>
          <w:sz w:val="22"/>
          <w:szCs w:val="22"/>
        </w:rPr>
        <w:t>dónde</w:t>
      </w:r>
      <w:r w:rsidRPr="00952C94">
        <w:rPr>
          <w:rFonts w:ascii="Arial" w:hAnsi="Arial" w:cs="Arial"/>
          <w:sz w:val="22"/>
          <w:szCs w:val="22"/>
        </w:rPr>
        <w:t xml:space="preserve"> estaba su hija. Al descubrir la hija el uso de Arkangel, ésta se siente traicionada por su madre, por lo cual la somete a una golpiza, ante lo cual se enciende el filtro de sus ojos no pudiendo ver el estado de gravedad de la madre. </w:t>
      </w:r>
    </w:p>
    <w:p w:rsidR="00771DFC" w:rsidRPr="00952C94" w:rsidRDefault="00771DFC" w:rsidP="0025437C">
      <w:pPr>
        <w:spacing w:line="360" w:lineRule="auto"/>
        <w:ind w:firstLine="567"/>
        <w:jc w:val="both"/>
        <w:rPr>
          <w:rFonts w:ascii="Arial" w:hAnsi="Arial" w:cs="Arial"/>
          <w:sz w:val="22"/>
          <w:szCs w:val="22"/>
        </w:rPr>
      </w:pPr>
      <w:r w:rsidRPr="00952C94">
        <w:rPr>
          <w:rFonts w:ascii="Arial" w:hAnsi="Arial" w:cs="Arial"/>
          <w:sz w:val="22"/>
          <w:szCs w:val="22"/>
        </w:rPr>
        <w:t xml:space="preserve">Por último El capítulo de </w:t>
      </w:r>
      <w:r w:rsidRPr="00952C94">
        <w:rPr>
          <w:rFonts w:ascii="Arial" w:hAnsi="Arial" w:cs="Arial"/>
          <w:i/>
          <w:sz w:val="22"/>
          <w:szCs w:val="22"/>
        </w:rPr>
        <w:t>White Christmas</w:t>
      </w:r>
      <w:r w:rsidRPr="00952C94">
        <w:rPr>
          <w:rFonts w:ascii="Arial" w:hAnsi="Arial" w:cs="Arial"/>
          <w:sz w:val="22"/>
          <w:szCs w:val="22"/>
        </w:rPr>
        <w:t xml:space="preserve"> entrelaza tres historias, teniendo como eje central el confinamiento al que han sido sometidas dos personas y la necesidad de establecer una comunicación entre ellas. En el afán de lograr esa comunicación, uno de los co-protagonistas comienza contando una anécdota propia en un ambiente voyerista, ya que con la excusa de ayudar a un grupo de adolescentes a entablar su primera experiencia sexual, esta persona lo va guiando en el comportamiento que debe tener, mediante el uso de implementos tecnológicos. Al no lograr una interacción por parte de su interlocutor, comienza con la segunda historia, en la cual relata el desarrollo de una </w:t>
      </w:r>
      <w:r w:rsidRPr="00952C94">
        <w:rPr>
          <w:rFonts w:ascii="Arial" w:hAnsi="Arial" w:cs="Arial"/>
          <w:i/>
          <w:sz w:val="22"/>
          <w:szCs w:val="22"/>
        </w:rPr>
        <w:t>cookie</w:t>
      </w:r>
      <w:r w:rsidRPr="00952C94">
        <w:rPr>
          <w:rFonts w:ascii="Arial" w:hAnsi="Arial" w:cs="Arial"/>
          <w:sz w:val="22"/>
          <w:szCs w:val="22"/>
        </w:rPr>
        <w:t xml:space="preserve"> con la cual se logra la persuasión a un </w:t>
      </w:r>
      <w:r w:rsidRPr="00952C94">
        <w:rPr>
          <w:rFonts w:ascii="Arial" w:hAnsi="Arial" w:cs="Arial"/>
          <w:i/>
          <w:sz w:val="22"/>
          <w:szCs w:val="22"/>
        </w:rPr>
        <w:t>clon</w:t>
      </w:r>
      <w:r w:rsidRPr="00952C94">
        <w:rPr>
          <w:rFonts w:ascii="Arial" w:hAnsi="Arial" w:cs="Arial"/>
          <w:sz w:val="22"/>
          <w:szCs w:val="22"/>
        </w:rPr>
        <w:t xml:space="preserve"> para que obedezca y realice acciones hogareñas requeridas por la persona real. Estas anécdotas hacen entrar en confianza al otro co-protagonista, quién comienza a hablar de algunos recuerdos, particularmente de su vida familiar, logrando que éste confiese el doble </w:t>
      </w:r>
      <w:r w:rsidRPr="00952C94">
        <w:rPr>
          <w:rFonts w:ascii="Arial" w:hAnsi="Arial" w:cs="Arial"/>
          <w:sz w:val="22"/>
          <w:szCs w:val="22"/>
        </w:rPr>
        <w:lastRenderedPageBreak/>
        <w:t xml:space="preserve">crimen que cometió. El capítulo finaliza exponiéndonos que todo el proceso de encierro en la cabaña se había dado en un entorno virtual a fin de obtener la extracción de la declaración de culpabilidad del protagonista, a través del uso de la </w:t>
      </w:r>
      <w:r w:rsidRPr="00952C94">
        <w:rPr>
          <w:rFonts w:ascii="Arial" w:hAnsi="Arial" w:cs="Arial"/>
          <w:i/>
          <w:sz w:val="22"/>
          <w:szCs w:val="22"/>
        </w:rPr>
        <w:t xml:space="preserve">cookie, </w:t>
      </w:r>
      <w:r w:rsidRPr="00952C94">
        <w:rPr>
          <w:rFonts w:ascii="Arial" w:hAnsi="Arial" w:cs="Arial"/>
          <w:sz w:val="22"/>
          <w:szCs w:val="22"/>
        </w:rPr>
        <w:t>es decir</w:t>
      </w:r>
      <w:r w:rsidRPr="00952C94">
        <w:rPr>
          <w:rFonts w:ascii="Arial" w:hAnsi="Arial" w:cs="Arial"/>
          <w:i/>
          <w:sz w:val="22"/>
          <w:szCs w:val="22"/>
        </w:rPr>
        <w:t xml:space="preserve"> </w:t>
      </w:r>
      <w:r w:rsidRPr="00952C94">
        <w:rPr>
          <w:rFonts w:ascii="Arial" w:hAnsi="Arial" w:cs="Arial"/>
          <w:sz w:val="22"/>
          <w:szCs w:val="22"/>
        </w:rPr>
        <w:t>el clon de la conciencia del protagonista, ya que el “real” seguía sin confesar</w:t>
      </w:r>
      <w:r w:rsidR="006F35D2">
        <w:rPr>
          <w:rFonts w:ascii="Arial" w:hAnsi="Arial" w:cs="Arial"/>
          <w:sz w:val="22"/>
          <w:szCs w:val="22"/>
        </w:rPr>
        <w:t>; imponiéndole incluso una pena de carácter neuronal, donde se lo deja al protagonista dentro del simulador y determinándole el tiempo de la pena y la forma en que transcurre la misma</w:t>
      </w:r>
      <w:r w:rsidRPr="00952C94">
        <w:rPr>
          <w:rFonts w:ascii="Arial" w:hAnsi="Arial" w:cs="Arial"/>
          <w:sz w:val="22"/>
          <w:szCs w:val="22"/>
        </w:rPr>
        <w:t>.</w:t>
      </w:r>
    </w:p>
    <w:p w:rsidR="006035D6" w:rsidRPr="00952C94" w:rsidRDefault="00771DFC" w:rsidP="0025437C">
      <w:pPr>
        <w:spacing w:line="360" w:lineRule="auto"/>
        <w:ind w:firstLine="567"/>
        <w:jc w:val="both"/>
        <w:rPr>
          <w:rFonts w:ascii="Arial" w:hAnsi="Arial" w:cs="Arial"/>
          <w:sz w:val="22"/>
          <w:szCs w:val="22"/>
        </w:rPr>
      </w:pPr>
      <w:r w:rsidRPr="00952C94">
        <w:rPr>
          <w:rFonts w:ascii="Arial" w:hAnsi="Arial" w:cs="Arial"/>
          <w:sz w:val="22"/>
          <w:szCs w:val="22"/>
        </w:rPr>
        <w:t xml:space="preserve">Tal como </w:t>
      </w:r>
      <w:r w:rsidR="009F682B" w:rsidRPr="00952C94">
        <w:rPr>
          <w:rFonts w:ascii="Arial" w:hAnsi="Arial" w:cs="Arial"/>
          <w:sz w:val="22"/>
          <w:szCs w:val="22"/>
        </w:rPr>
        <w:t>advierten</w:t>
      </w:r>
      <w:r w:rsidRPr="00952C94">
        <w:rPr>
          <w:rFonts w:ascii="Arial" w:hAnsi="Arial" w:cs="Arial"/>
          <w:sz w:val="22"/>
          <w:szCs w:val="22"/>
        </w:rPr>
        <w:t xml:space="preserve"> </w:t>
      </w:r>
      <w:r w:rsidR="00AC457A" w:rsidRPr="00952C94">
        <w:rPr>
          <w:rFonts w:ascii="Arial" w:hAnsi="Arial" w:cs="Arial"/>
          <w:smallCaps/>
          <w:sz w:val="22"/>
          <w:szCs w:val="22"/>
        </w:rPr>
        <w:t>ÁLVAREZ GONZALES, ILES MUÑOZ</w:t>
      </w:r>
      <w:r w:rsidR="00AC457A" w:rsidRPr="00952C94">
        <w:rPr>
          <w:rFonts w:ascii="Arial" w:hAnsi="Arial" w:cs="Arial"/>
          <w:sz w:val="22"/>
          <w:szCs w:val="22"/>
        </w:rPr>
        <w:t xml:space="preserve"> </w:t>
      </w:r>
      <w:r w:rsidRPr="00952C94">
        <w:rPr>
          <w:rFonts w:ascii="Arial" w:hAnsi="Arial" w:cs="Arial"/>
          <w:i/>
          <w:sz w:val="22"/>
          <w:szCs w:val="22"/>
        </w:rPr>
        <w:t>et al</w:t>
      </w:r>
      <w:r w:rsidR="00AC457A">
        <w:rPr>
          <w:rFonts w:ascii="Arial" w:hAnsi="Arial" w:cs="Arial"/>
          <w:sz w:val="22"/>
          <w:szCs w:val="22"/>
        </w:rPr>
        <w:t xml:space="preserve"> (2019)</w:t>
      </w:r>
      <w:r w:rsidRPr="00952C94">
        <w:rPr>
          <w:rStyle w:val="Refdenotaalpie"/>
          <w:rFonts w:ascii="Arial" w:hAnsi="Arial" w:cs="Arial"/>
          <w:sz w:val="22"/>
          <w:szCs w:val="22"/>
        </w:rPr>
        <w:footnoteReference w:id="18"/>
      </w:r>
      <w:r w:rsidRPr="00952C94">
        <w:rPr>
          <w:rFonts w:ascii="Arial" w:hAnsi="Arial" w:cs="Arial"/>
          <w:sz w:val="22"/>
          <w:szCs w:val="22"/>
        </w:rPr>
        <w:t xml:space="preserve"> la serie nos hace creer la posibilidad de concebir a la información neuronal como datos fijos e indelebles; sin embargo se omite la falibilidad de la memoria humana, que es lo que a la postre explica el atractivo de un relato, de que nuestro cerebro sea una magina que registre fidedignamente el entorno.</w:t>
      </w:r>
      <w:r w:rsidR="009F682B" w:rsidRPr="00952C94">
        <w:rPr>
          <w:rFonts w:ascii="Arial" w:hAnsi="Arial" w:cs="Arial"/>
          <w:sz w:val="22"/>
          <w:szCs w:val="22"/>
        </w:rPr>
        <w:t xml:space="preserve"> </w:t>
      </w:r>
    </w:p>
    <w:p w:rsidR="006035D6" w:rsidRPr="00952C94" w:rsidRDefault="006035D6" w:rsidP="0025437C">
      <w:pPr>
        <w:spacing w:line="360" w:lineRule="auto"/>
        <w:ind w:firstLine="567"/>
        <w:jc w:val="both"/>
        <w:rPr>
          <w:rFonts w:ascii="Arial" w:hAnsi="Arial" w:cs="Arial"/>
          <w:sz w:val="22"/>
          <w:szCs w:val="22"/>
        </w:rPr>
      </w:pPr>
      <w:r w:rsidRPr="00952C94">
        <w:rPr>
          <w:rFonts w:ascii="Arial" w:hAnsi="Arial" w:cs="Arial"/>
          <w:sz w:val="22"/>
          <w:szCs w:val="22"/>
        </w:rPr>
        <w:t>En relación</w:t>
      </w:r>
      <w:r w:rsidR="001E00D5">
        <w:rPr>
          <w:rFonts w:ascii="Arial" w:hAnsi="Arial" w:cs="Arial"/>
          <w:sz w:val="22"/>
          <w:szCs w:val="22"/>
        </w:rPr>
        <w:t xml:space="preserve"> </w:t>
      </w:r>
      <w:r w:rsidRPr="00952C94">
        <w:rPr>
          <w:rFonts w:ascii="Arial" w:hAnsi="Arial" w:cs="Arial"/>
          <w:sz w:val="22"/>
          <w:szCs w:val="22"/>
        </w:rPr>
        <w:t xml:space="preserve">a esa falibilidad por ejemplo la neurocientífica Maria Roca enseña que la memoria humana no funciona como una cámara de video donde uno pueda ir </w:t>
      </w:r>
      <w:r w:rsidR="006F35D2">
        <w:rPr>
          <w:rFonts w:ascii="Arial" w:hAnsi="Arial" w:cs="Arial"/>
          <w:sz w:val="22"/>
          <w:szCs w:val="22"/>
        </w:rPr>
        <w:t xml:space="preserve">viendo </w:t>
      </w:r>
      <w:r w:rsidRPr="00952C94">
        <w:rPr>
          <w:rFonts w:ascii="Arial" w:hAnsi="Arial" w:cs="Arial"/>
          <w:sz w:val="22"/>
          <w:szCs w:val="22"/>
        </w:rPr>
        <w:t xml:space="preserve">y revisarlo, sino que en la medida de que uno no se detiene en un eje no hay forma de revisarlo. En ese sentido recuerda que el primer regulador de la memoria es la atención; y en segundo término lo es la evocación. </w:t>
      </w:r>
      <w:r w:rsidR="001F1AF6">
        <w:rPr>
          <w:rFonts w:ascii="Arial" w:hAnsi="Arial" w:cs="Arial"/>
          <w:sz w:val="22"/>
          <w:szCs w:val="22"/>
        </w:rPr>
        <w:t>Indica</w:t>
      </w:r>
      <w:r w:rsidR="00A3072B" w:rsidRPr="00952C94">
        <w:rPr>
          <w:rFonts w:ascii="Arial" w:hAnsi="Arial" w:cs="Arial"/>
          <w:sz w:val="22"/>
          <w:szCs w:val="22"/>
        </w:rPr>
        <w:t xml:space="preserve"> que </w:t>
      </w:r>
      <w:r w:rsidRPr="00952C94">
        <w:rPr>
          <w:rFonts w:ascii="Arial" w:hAnsi="Arial" w:cs="Arial"/>
          <w:sz w:val="22"/>
          <w:szCs w:val="22"/>
        </w:rPr>
        <w:t xml:space="preserve">grabada la información en la memoria, en la medida que no es </w:t>
      </w:r>
      <w:r w:rsidR="00A3072B" w:rsidRPr="00952C94">
        <w:rPr>
          <w:rFonts w:ascii="Arial" w:hAnsi="Arial" w:cs="Arial"/>
          <w:sz w:val="22"/>
          <w:szCs w:val="22"/>
        </w:rPr>
        <w:t>repetida es ol</w:t>
      </w:r>
      <w:r w:rsidRPr="00952C94">
        <w:rPr>
          <w:rFonts w:ascii="Arial" w:hAnsi="Arial" w:cs="Arial"/>
          <w:sz w:val="22"/>
          <w:szCs w:val="22"/>
        </w:rPr>
        <w:t xml:space="preserve">vidada, y por el contrario son las que se repiten son las que se recuerdan, </w:t>
      </w:r>
      <w:r w:rsidR="00842E7C" w:rsidRPr="00952C94">
        <w:rPr>
          <w:rFonts w:ascii="Arial" w:hAnsi="Arial" w:cs="Arial"/>
          <w:sz w:val="22"/>
          <w:szCs w:val="22"/>
        </w:rPr>
        <w:t xml:space="preserve">ya que el </w:t>
      </w:r>
      <w:r w:rsidRPr="00952C94">
        <w:rPr>
          <w:rFonts w:ascii="Arial" w:hAnsi="Arial" w:cs="Arial"/>
          <w:sz w:val="22"/>
          <w:szCs w:val="22"/>
        </w:rPr>
        <w:t xml:space="preserve">evocarlo fortalece la huella amnésica y la amplifica. </w:t>
      </w:r>
      <w:r w:rsidR="00842E7C" w:rsidRPr="00952C94">
        <w:rPr>
          <w:rFonts w:ascii="Arial" w:hAnsi="Arial" w:cs="Arial"/>
          <w:sz w:val="22"/>
          <w:szCs w:val="22"/>
        </w:rPr>
        <w:t xml:space="preserve">En ese sentido para no olvidar lo vivido hay que repetirlo en las diversas capas del cerebro </w:t>
      </w:r>
      <w:r w:rsidRPr="00952C94">
        <w:rPr>
          <w:rFonts w:ascii="Arial" w:hAnsi="Arial" w:cs="Arial"/>
          <w:sz w:val="22"/>
          <w:szCs w:val="22"/>
        </w:rPr>
        <w:t>(verbal, visual, olfativa, etc</w:t>
      </w:r>
      <w:r w:rsidR="00842E7C" w:rsidRPr="00952C94">
        <w:rPr>
          <w:rFonts w:ascii="Arial" w:hAnsi="Arial" w:cs="Arial"/>
          <w:sz w:val="22"/>
          <w:szCs w:val="22"/>
        </w:rPr>
        <w:t>.</w:t>
      </w:r>
      <w:r w:rsidRPr="00952C94">
        <w:rPr>
          <w:rFonts w:ascii="Arial" w:hAnsi="Arial" w:cs="Arial"/>
          <w:sz w:val="22"/>
          <w:szCs w:val="22"/>
        </w:rPr>
        <w:t xml:space="preserve">), </w:t>
      </w:r>
      <w:r w:rsidR="00842E7C" w:rsidRPr="00952C94">
        <w:rPr>
          <w:rFonts w:ascii="Arial" w:hAnsi="Arial" w:cs="Arial"/>
          <w:sz w:val="22"/>
          <w:szCs w:val="22"/>
        </w:rPr>
        <w:t>siendo</w:t>
      </w:r>
      <w:r w:rsidRPr="00952C94">
        <w:rPr>
          <w:rFonts w:ascii="Arial" w:hAnsi="Arial" w:cs="Arial"/>
          <w:sz w:val="22"/>
          <w:szCs w:val="22"/>
        </w:rPr>
        <w:t xml:space="preserve"> el hipocampo </w:t>
      </w:r>
      <w:r w:rsidR="00842E7C" w:rsidRPr="00952C94">
        <w:rPr>
          <w:rFonts w:ascii="Arial" w:hAnsi="Arial" w:cs="Arial"/>
          <w:sz w:val="22"/>
          <w:szCs w:val="22"/>
        </w:rPr>
        <w:t xml:space="preserve">el que al </w:t>
      </w:r>
      <w:r w:rsidRPr="00952C94">
        <w:rPr>
          <w:rFonts w:ascii="Arial" w:hAnsi="Arial" w:cs="Arial"/>
          <w:sz w:val="22"/>
          <w:szCs w:val="22"/>
        </w:rPr>
        <w:t>rep</w:t>
      </w:r>
      <w:r w:rsidR="00842E7C" w:rsidRPr="00952C94">
        <w:rPr>
          <w:rFonts w:ascii="Arial" w:hAnsi="Arial" w:cs="Arial"/>
          <w:sz w:val="22"/>
          <w:szCs w:val="22"/>
        </w:rPr>
        <w:t xml:space="preserve">etirlo lo </w:t>
      </w:r>
      <w:r w:rsidRPr="00952C94">
        <w:rPr>
          <w:rFonts w:ascii="Arial" w:hAnsi="Arial" w:cs="Arial"/>
          <w:sz w:val="22"/>
          <w:szCs w:val="22"/>
        </w:rPr>
        <w:t>graban</w:t>
      </w:r>
      <w:r w:rsidR="00842E7C" w:rsidRPr="00952C94">
        <w:rPr>
          <w:rFonts w:ascii="Arial" w:hAnsi="Arial" w:cs="Arial"/>
          <w:sz w:val="22"/>
          <w:szCs w:val="22"/>
        </w:rPr>
        <w:t xml:space="preserve"> </w:t>
      </w:r>
      <w:r w:rsidRPr="00952C94">
        <w:rPr>
          <w:rFonts w:ascii="Arial" w:hAnsi="Arial" w:cs="Arial"/>
          <w:sz w:val="22"/>
          <w:szCs w:val="22"/>
        </w:rPr>
        <w:t>en l</w:t>
      </w:r>
      <w:r w:rsidR="00842E7C" w:rsidRPr="00952C94">
        <w:rPr>
          <w:rFonts w:ascii="Arial" w:hAnsi="Arial" w:cs="Arial"/>
          <w:sz w:val="22"/>
          <w:szCs w:val="22"/>
        </w:rPr>
        <w:t>a</w:t>
      </w:r>
      <w:r w:rsidRPr="00952C94">
        <w:rPr>
          <w:rFonts w:ascii="Arial" w:hAnsi="Arial" w:cs="Arial"/>
          <w:sz w:val="22"/>
          <w:szCs w:val="22"/>
        </w:rPr>
        <w:t xml:space="preserve"> corteza</w:t>
      </w:r>
      <w:r w:rsidR="00842E7C" w:rsidRPr="00952C94">
        <w:rPr>
          <w:rFonts w:ascii="Arial" w:hAnsi="Arial" w:cs="Arial"/>
          <w:sz w:val="22"/>
          <w:szCs w:val="22"/>
        </w:rPr>
        <w:t>; sin embargo con c</w:t>
      </w:r>
      <w:r w:rsidRPr="00952C94">
        <w:rPr>
          <w:rFonts w:ascii="Arial" w:hAnsi="Arial" w:cs="Arial"/>
          <w:sz w:val="22"/>
          <w:szCs w:val="22"/>
        </w:rPr>
        <w:t>ada evocación esa huella</w:t>
      </w:r>
      <w:r w:rsidR="00842E7C" w:rsidRPr="00952C94">
        <w:rPr>
          <w:rFonts w:ascii="Arial" w:hAnsi="Arial" w:cs="Arial"/>
          <w:sz w:val="22"/>
          <w:szCs w:val="22"/>
        </w:rPr>
        <w:t xml:space="preserve"> amnésica</w:t>
      </w:r>
      <w:r w:rsidRPr="00952C94">
        <w:rPr>
          <w:rFonts w:ascii="Arial" w:hAnsi="Arial" w:cs="Arial"/>
          <w:sz w:val="22"/>
          <w:szCs w:val="22"/>
        </w:rPr>
        <w:t xml:space="preserve"> se activa y se vuelve modificable.</w:t>
      </w:r>
      <w:r w:rsidR="00A3072B" w:rsidRPr="00952C94">
        <w:rPr>
          <w:rFonts w:ascii="Arial" w:hAnsi="Arial" w:cs="Arial"/>
          <w:sz w:val="22"/>
          <w:szCs w:val="22"/>
        </w:rPr>
        <w:t xml:space="preserve"> Recuerda a su vez, que a </w:t>
      </w:r>
      <w:r w:rsidRPr="00952C94">
        <w:rPr>
          <w:rFonts w:ascii="Arial" w:hAnsi="Arial" w:cs="Arial"/>
          <w:sz w:val="22"/>
          <w:szCs w:val="22"/>
        </w:rPr>
        <w:t>diferencia de lo que uno puede creer, la evocación puede mod</w:t>
      </w:r>
      <w:r w:rsidR="00A3072B" w:rsidRPr="00952C94">
        <w:rPr>
          <w:rFonts w:ascii="Arial" w:hAnsi="Arial" w:cs="Arial"/>
          <w:sz w:val="22"/>
          <w:szCs w:val="22"/>
        </w:rPr>
        <w:t xml:space="preserve">ificar los detalles del evento, donde se genere </w:t>
      </w:r>
      <w:r w:rsidRPr="00952C94">
        <w:rPr>
          <w:rFonts w:ascii="Arial" w:hAnsi="Arial" w:cs="Arial"/>
          <w:sz w:val="22"/>
          <w:szCs w:val="22"/>
        </w:rPr>
        <w:t>un detalle nuevo pero modificado.</w:t>
      </w:r>
      <w:r w:rsidR="00A3072B" w:rsidRPr="00952C94">
        <w:rPr>
          <w:rFonts w:ascii="Arial" w:hAnsi="Arial" w:cs="Arial"/>
          <w:sz w:val="22"/>
          <w:szCs w:val="22"/>
        </w:rPr>
        <w:t xml:space="preserve"> En ese sentido insiste en que u</w:t>
      </w:r>
      <w:r w:rsidRPr="00952C94">
        <w:rPr>
          <w:rFonts w:ascii="Arial" w:hAnsi="Arial" w:cs="Arial"/>
          <w:sz w:val="22"/>
          <w:szCs w:val="22"/>
        </w:rPr>
        <w:t>n evento es más fiable cuanto menos es evocado</w:t>
      </w:r>
      <w:r w:rsidR="00A3072B" w:rsidRPr="00952C94">
        <w:rPr>
          <w:rFonts w:ascii="Arial" w:hAnsi="Arial" w:cs="Arial"/>
          <w:sz w:val="22"/>
          <w:szCs w:val="22"/>
        </w:rPr>
        <w:t>,</w:t>
      </w:r>
      <w:r w:rsidRPr="00952C94">
        <w:rPr>
          <w:rFonts w:ascii="Arial" w:hAnsi="Arial" w:cs="Arial"/>
          <w:sz w:val="22"/>
          <w:szCs w:val="22"/>
        </w:rPr>
        <w:t xml:space="preserve"> </w:t>
      </w:r>
      <w:r w:rsidR="00A3072B" w:rsidRPr="00952C94">
        <w:rPr>
          <w:rFonts w:ascii="Arial" w:hAnsi="Arial" w:cs="Arial"/>
          <w:sz w:val="22"/>
          <w:szCs w:val="22"/>
        </w:rPr>
        <w:t>c</w:t>
      </w:r>
      <w:r w:rsidRPr="00952C94">
        <w:rPr>
          <w:rFonts w:ascii="Arial" w:hAnsi="Arial" w:cs="Arial"/>
          <w:sz w:val="22"/>
          <w:szCs w:val="22"/>
        </w:rPr>
        <w:t xml:space="preserve">uando </w:t>
      </w:r>
      <w:r w:rsidR="00A3072B" w:rsidRPr="00952C94">
        <w:rPr>
          <w:rFonts w:ascii="Arial" w:hAnsi="Arial" w:cs="Arial"/>
          <w:sz w:val="22"/>
          <w:szCs w:val="22"/>
        </w:rPr>
        <w:t xml:space="preserve">al momento del recuerdo </w:t>
      </w:r>
      <w:r w:rsidRPr="00952C94">
        <w:rPr>
          <w:rFonts w:ascii="Arial" w:hAnsi="Arial" w:cs="Arial"/>
          <w:sz w:val="22"/>
          <w:szCs w:val="22"/>
        </w:rPr>
        <w:t xml:space="preserve">hubo menos preguntas, y </w:t>
      </w:r>
      <w:r w:rsidR="00A3072B" w:rsidRPr="00952C94">
        <w:rPr>
          <w:rFonts w:ascii="Arial" w:hAnsi="Arial" w:cs="Arial"/>
          <w:sz w:val="22"/>
          <w:szCs w:val="22"/>
        </w:rPr>
        <w:t xml:space="preserve">que éstas sean bien efectuadas, </w:t>
      </w:r>
      <w:r w:rsidRPr="00952C94">
        <w:rPr>
          <w:rFonts w:ascii="Arial" w:hAnsi="Arial" w:cs="Arial"/>
          <w:sz w:val="22"/>
          <w:szCs w:val="22"/>
        </w:rPr>
        <w:t xml:space="preserve">es decir que haya sido bien recuperado a partir de </w:t>
      </w:r>
      <w:r w:rsidR="00A3072B" w:rsidRPr="00952C94">
        <w:rPr>
          <w:rFonts w:ascii="Arial" w:hAnsi="Arial" w:cs="Arial"/>
          <w:sz w:val="22"/>
          <w:szCs w:val="22"/>
        </w:rPr>
        <w:t>un buen interrogatorio.</w:t>
      </w:r>
    </w:p>
    <w:p w:rsidR="00771DFC" w:rsidRPr="00952C94" w:rsidRDefault="00771DFC" w:rsidP="0025437C">
      <w:pPr>
        <w:spacing w:line="360" w:lineRule="auto"/>
        <w:ind w:firstLine="567"/>
        <w:jc w:val="both"/>
        <w:rPr>
          <w:rFonts w:ascii="Arial" w:hAnsi="Arial" w:cs="Arial"/>
          <w:sz w:val="22"/>
          <w:szCs w:val="22"/>
        </w:rPr>
      </w:pPr>
      <w:r w:rsidRPr="00952C94">
        <w:rPr>
          <w:rFonts w:ascii="Arial" w:hAnsi="Arial" w:cs="Arial"/>
          <w:sz w:val="22"/>
          <w:szCs w:val="22"/>
        </w:rPr>
        <w:lastRenderedPageBreak/>
        <w:t xml:space="preserve">Sin embargo, no puede descartarse que en un futuro no tan lejano esa posibilidad sea posible; ya se a través de la propia evocación del recuerdo en la mente, como en la posibilidad lisa y llana del almacenamiento de lo vivido en un repositorio digital que pueda ser revisado, sea por la propia persona como por un tercero (ya sea quién suministra el software como por el propio </w:t>
      </w:r>
      <w:r w:rsidR="00E0049D" w:rsidRPr="00E0049D">
        <w:rPr>
          <w:rFonts w:ascii="Arial" w:hAnsi="Arial" w:cs="Arial"/>
          <w:sz w:val="22"/>
          <w:szCs w:val="22"/>
        </w:rPr>
        <w:t>estado)</w:t>
      </w:r>
      <w:r w:rsidR="00E0049D" w:rsidRPr="00E0049D">
        <w:rPr>
          <w:rFonts w:ascii="Arial" w:hAnsi="Arial" w:cs="Arial"/>
          <w:sz w:val="22"/>
          <w:szCs w:val="22"/>
          <w:vertAlign w:val="superscript"/>
        </w:rPr>
        <w:footnoteReference w:id="19"/>
      </w:r>
      <w:r w:rsidR="00E0049D" w:rsidRPr="00E0049D">
        <w:rPr>
          <w:rFonts w:ascii="Arial" w:hAnsi="Arial" w:cs="Arial"/>
          <w:sz w:val="22"/>
          <w:szCs w:val="22"/>
        </w:rPr>
        <w:t xml:space="preserve">; siendo </w:t>
      </w:r>
      <w:r w:rsidRPr="00952C94">
        <w:rPr>
          <w:rFonts w:ascii="Arial" w:hAnsi="Arial" w:cs="Arial"/>
          <w:sz w:val="22"/>
          <w:szCs w:val="22"/>
        </w:rPr>
        <w:t>varios los proyectos que se vienen desarrollando sobre interfaces cerebro computadoras (</w:t>
      </w:r>
      <w:r w:rsidRPr="00952C94">
        <w:rPr>
          <w:rFonts w:ascii="Arial" w:hAnsi="Arial" w:cs="Arial"/>
          <w:i/>
          <w:sz w:val="22"/>
          <w:szCs w:val="22"/>
        </w:rPr>
        <w:t>Brain Computer Interfaces</w:t>
      </w:r>
      <w:r w:rsidRPr="00952C94">
        <w:rPr>
          <w:rFonts w:ascii="Arial" w:hAnsi="Arial" w:cs="Arial"/>
          <w:sz w:val="22"/>
          <w:szCs w:val="22"/>
        </w:rPr>
        <w:t>).</w:t>
      </w:r>
    </w:p>
    <w:p w:rsidR="00771DFC" w:rsidRPr="00952C94" w:rsidRDefault="00771DFC" w:rsidP="0025437C">
      <w:pPr>
        <w:spacing w:line="360" w:lineRule="auto"/>
        <w:ind w:firstLine="567"/>
        <w:jc w:val="both"/>
        <w:rPr>
          <w:rFonts w:ascii="Arial" w:hAnsi="Arial" w:cs="Arial"/>
          <w:sz w:val="22"/>
          <w:szCs w:val="22"/>
        </w:rPr>
      </w:pPr>
      <w:r w:rsidRPr="00952C94">
        <w:rPr>
          <w:rFonts w:ascii="Arial" w:hAnsi="Arial" w:cs="Arial"/>
          <w:sz w:val="22"/>
          <w:szCs w:val="22"/>
        </w:rPr>
        <w:t>En este punto, no puede perderse de vista el proyecto Neuralink</w:t>
      </w:r>
      <w:r w:rsidR="00F95BC2">
        <w:rPr>
          <w:rStyle w:val="Refdenotaalpie"/>
          <w:rFonts w:ascii="Arial" w:hAnsi="Arial" w:cs="Arial"/>
          <w:sz w:val="22"/>
          <w:szCs w:val="22"/>
        </w:rPr>
        <w:footnoteReference w:id="20"/>
      </w:r>
      <w:r w:rsidRPr="00952C94">
        <w:rPr>
          <w:rFonts w:ascii="Arial" w:hAnsi="Arial" w:cs="Arial"/>
          <w:sz w:val="22"/>
          <w:szCs w:val="22"/>
        </w:rPr>
        <w:t xml:space="preserve">, que promete la posibilidad de conectar nuestro cerebro con una computadora, donde la propia empresa propone la posibilidad futura de llegar a la simbiosis del hombre con la inteligencia artificial, pudiendo incluso llegar a </w:t>
      </w:r>
      <w:r w:rsidRPr="00952C94">
        <w:rPr>
          <w:rFonts w:ascii="Arial" w:hAnsi="Arial" w:cs="Arial"/>
          <w:i/>
          <w:sz w:val="22"/>
          <w:szCs w:val="22"/>
        </w:rPr>
        <w:t>“descargarse nuestros pensamientos”</w:t>
      </w:r>
      <w:r w:rsidRPr="00952C94">
        <w:rPr>
          <w:rStyle w:val="Refdenotaalpie"/>
          <w:rFonts w:ascii="Arial" w:hAnsi="Arial" w:cs="Arial"/>
          <w:i/>
          <w:sz w:val="22"/>
          <w:szCs w:val="22"/>
        </w:rPr>
        <w:footnoteReference w:id="21"/>
      </w:r>
      <w:r w:rsidRPr="00952C94">
        <w:rPr>
          <w:rFonts w:ascii="Arial" w:hAnsi="Arial" w:cs="Arial"/>
          <w:sz w:val="22"/>
          <w:szCs w:val="22"/>
        </w:rPr>
        <w:t>; en ese sentido al momento de presentarse el “chip” Link VO.9</w:t>
      </w:r>
      <w:r w:rsidRPr="00952C94">
        <w:rPr>
          <w:rStyle w:val="Refdenotaalpie"/>
          <w:rFonts w:ascii="Arial" w:hAnsi="Arial" w:cs="Arial"/>
          <w:sz w:val="22"/>
          <w:szCs w:val="22"/>
        </w:rPr>
        <w:footnoteReference w:id="22"/>
      </w:r>
      <w:r w:rsidRPr="00952C94">
        <w:rPr>
          <w:rFonts w:ascii="Arial" w:hAnsi="Arial" w:cs="Arial"/>
          <w:sz w:val="22"/>
          <w:szCs w:val="22"/>
        </w:rPr>
        <w:t xml:space="preserve"> la idea de utilizar esta tecnología, además de ayudar a resolver problemas neurológicos, se trata de darle la capacidad a los humanos de controlar dispositivos telepáticamente y hasta almacenar una copia digital del cerebro.</w:t>
      </w:r>
    </w:p>
    <w:p w:rsidR="00771DFC" w:rsidRDefault="00771DFC" w:rsidP="0025437C">
      <w:pPr>
        <w:spacing w:line="360" w:lineRule="auto"/>
        <w:ind w:firstLine="567"/>
        <w:jc w:val="both"/>
        <w:rPr>
          <w:rFonts w:ascii="Arial" w:hAnsi="Arial" w:cs="Arial"/>
          <w:sz w:val="22"/>
          <w:szCs w:val="22"/>
        </w:rPr>
      </w:pPr>
    </w:p>
    <w:p w:rsidR="002F167F" w:rsidRPr="00952C94" w:rsidRDefault="002F167F" w:rsidP="0025437C">
      <w:pPr>
        <w:spacing w:line="360" w:lineRule="auto"/>
        <w:ind w:firstLine="567"/>
        <w:jc w:val="both"/>
        <w:rPr>
          <w:rFonts w:ascii="Arial" w:hAnsi="Arial" w:cs="Arial"/>
          <w:sz w:val="22"/>
          <w:szCs w:val="22"/>
        </w:rPr>
      </w:pPr>
    </w:p>
    <w:p w:rsidR="00771DFC" w:rsidRPr="00E373FE" w:rsidRDefault="00E373FE" w:rsidP="00E373FE">
      <w:pPr>
        <w:pStyle w:val="Ttulo1"/>
        <w:rPr>
          <w:rFonts w:ascii="Arial" w:hAnsi="Arial" w:cs="Arial"/>
          <w:sz w:val="22"/>
          <w:szCs w:val="22"/>
        </w:rPr>
      </w:pPr>
      <w:bookmarkStart w:id="7" w:name="_Toc100177582"/>
      <w:r w:rsidRPr="00E373FE">
        <w:rPr>
          <w:rFonts w:ascii="Arial" w:hAnsi="Arial" w:cs="Arial"/>
          <w:sz w:val="22"/>
          <w:szCs w:val="22"/>
        </w:rPr>
        <w:t>VI</w:t>
      </w:r>
      <w:r w:rsidR="002F167F">
        <w:rPr>
          <w:rFonts w:ascii="Arial" w:hAnsi="Arial" w:cs="Arial"/>
          <w:sz w:val="22"/>
          <w:szCs w:val="22"/>
        </w:rPr>
        <w:t>I</w:t>
      </w:r>
      <w:r w:rsidRPr="00E373FE">
        <w:rPr>
          <w:rFonts w:ascii="Arial" w:hAnsi="Arial" w:cs="Arial"/>
          <w:sz w:val="22"/>
          <w:szCs w:val="22"/>
        </w:rPr>
        <w:t xml:space="preserve">.- </w:t>
      </w:r>
      <w:r w:rsidR="00771DFC" w:rsidRPr="00E373FE">
        <w:rPr>
          <w:rFonts w:ascii="Arial" w:hAnsi="Arial" w:cs="Arial"/>
          <w:sz w:val="22"/>
          <w:szCs w:val="22"/>
        </w:rPr>
        <w:t>LAS NUEVAS TECNOLOGÍAS Y LA GARANTÍA DEL ART. 18 CN.</w:t>
      </w:r>
      <w:bookmarkEnd w:id="7"/>
    </w:p>
    <w:p w:rsidR="00F95BC2" w:rsidRDefault="00F95BC2" w:rsidP="0025437C">
      <w:pPr>
        <w:spacing w:line="360" w:lineRule="auto"/>
        <w:ind w:firstLine="567"/>
        <w:jc w:val="both"/>
        <w:rPr>
          <w:rFonts w:ascii="Arial" w:hAnsi="Arial" w:cs="Arial"/>
          <w:sz w:val="22"/>
          <w:szCs w:val="22"/>
        </w:rPr>
      </w:pPr>
    </w:p>
    <w:p w:rsidR="00473627" w:rsidRPr="00952C94" w:rsidRDefault="009F682B" w:rsidP="0025437C">
      <w:pPr>
        <w:spacing w:line="360" w:lineRule="auto"/>
        <w:ind w:firstLine="567"/>
        <w:jc w:val="both"/>
        <w:rPr>
          <w:rFonts w:ascii="Arial" w:hAnsi="Arial" w:cs="Arial"/>
          <w:sz w:val="22"/>
          <w:szCs w:val="22"/>
        </w:rPr>
      </w:pPr>
      <w:r w:rsidRPr="00952C94">
        <w:rPr>
          <w:rFonts w:ascii="Arial" w:hAnsi="Arial" w:cs="Arial"/>
          <w:sz w:val="22"/>
          <w:szCs w:val="22"/>
        </w:rPr>
        <w:t xml:space="preserve">Los capítulos tomados como disparadores para el presente trabajo, tienen en común el hecho de que todo lo que vemos y experimentamos termina por inculparnos o forzarnos a la testificación, lo cual podría afectar la actual dimensión de la garantía procesal de no autoincriminación. </w:t>
      </w:r>
    </w:p>
    <w:p w:rsidR="00473627" w:rsidRDefault="004A39B4" w:rsidP="0025437C">
      <w:pPr>
        <w:spacing w:line="360" w:lineRule="auto"/>
        <w:ind w:firstLine="567"/>
        <w:jc w:val="both"/>
        <w:rPr>
          <w:rFonts w:ascii="Arial" w:hAnsi="Arial" w:cs="Arial"/>
          <w:sz w:val="22"/>
          <w:szCs w:val="22"/>
        </w:rPr>
      </w:pPr>
      <w:r w:rsidRPr="00952C94">
        <w:rPr>
          <w:rFonts w:ascii="Arial" w:hAnsi="Arial" w:cs="Arial"/>
          <w:sz w:val="22"/>
          <w:szCs w:val="22"/>
        </w:rPr>
        <w:lastRenderedPageBreak/>
        <w:t xml:space="preserve">A partir de la masificación de dispositivos como teléfonos </w:t>
      </w:r>
      <w:r w:rsidR="00A738E7" w:rsidRPr="00952C94">
        <w:rPr>
          <w:rFonts w:ascii="Arial" w:hAnsi="Arial" w:cs="Arial"/>
          <w:sz w:val="22"/>
          <w:szCs w:val="22"/>
        </w:rPr>
        <w:t>celulares, computadores, cerraduras electrónicas, etc; los que se activan a partir del uso</w:t>
      </w:r>
      <w:r w:rsidRPr="00952C94">
        <w:rPr>
          <w:rFonts w:ascii="Arial" w:hAnsi="Arial" w:cs="Arial"/>
          <w:sz w:val="22"/>
          <w:szCs w:val="22"/>
        </w:rPr>
        <w:t xml:space="preserve"> datos biométricos</w:t>
      </w:r>
      <w:r w:rsidRPr="00952C94">
        <w:rPr>
          <w:rStyle w:val="Refdenotaalpie"/>
          <w:rFonts w:ascii="Arial" w:hAnsi="Arial" w:cs="Arial"/>
          <w:sz w:val="22"/>
          <w:szCs w:val="22"/>
        </w:rPr>
        <w:footnoteReference w:id="23"/>
      </w:r>
      <w:r w:rsidRPr="00952C94">
        <w:rPr>
          <w:rFonts w:ascii="Arial" w:hAnsi="Arial" w:cs="Arial"/>
          <w:sz w:val="22"/>
          <w:szCs w:val="22"/>
        </w:rPr>
        <w:t xml:space="preserve">, como son </w:t>
      </w:r>
      <w:r w:rsidR="00A738E7" w:rsidRPr="00952C94">
        <w:rPr>
          <w:rFonts w:ascii="Arial" w:hAnsi="Arial" w:cs="Arial"/>
          <w:sz w:val="22"/>
          <w:szCs w:val="22"/>
        </w:rPr>
        <w:t xml:space="preserve">la huella dactilar, el iris, </w:t>
      </w:r>
      <w:r w:rsidRPr="00952C94">
        <w:rPr>
          <w:rFonts w:ascii="Arial" w:hAnsi="Arial" w:cs="Arial"/>
          <w:sz w:val="22"/>
          <w:szCs w:val="22"/>
        </w:rPr>
        <w:t>el reconocimiento facial</w:t>
      </w:r>
      <w:r w:rsidR="00A738E7" w:rsidRPr="00952C94">
        <w:rPr>
          <w:rFonts w:ascii="Arial" w:hAnsi="Arial" w:cs="Arial"/>
          <w:sz w:val="22"/>
          <w:szCs w:val="22"/>
        </w:rPr>
        <w:t>, entre otras</w:t>
      </w:r>
      <w:r w:rsidRPr="00952C94">
        <w:rPr>
          <w:rFonts w:ascii="Arial" w:hAnsi="Arial" w:cs="Arial"/>
          <w:sz w:val="22"/>
          <w:szCs w:val="22"/>
        </w:rPr>
        <w:t xml:space="preserve">, ha provocado el conflicto entre la garantía en estudio y el acceso </w:t>
      </w:r>
      <w:r w:rsidR="0055488B" w:rsidRPr="00952C94">
        <w:rPr>
          <w:rFonts w:ascii="Arial" w:hAnsi="Arial" w:cs="Arial"/>
          <w:sz w:val="22"/>
          <w:szCs w:val="22"/>
        </w:rPr>
        <w:t xml:space="preserve">forzoso </w:t>
      </w:r>
      <w:r w:rsidR="0018644B" w:rsidRPr="00952C94">
        <w:rPr>
          <w:rFonts w:ascii="Arial" w:hAnsi="Arial" w:cs="Arial"/>
          <w:sz w:val="22"/>
          <w:szCs w:val="22"/>
        </w:rPr>
        <w:t>a estos dispositivos</w:t>
      </w:r>
      <w:r w:rsidR="00657665">
        <w:rPr>
          <w:rFonts w:ascii="Arial" w:hAnsi="Arial" w:cs="Arial"/>
          <w:sz w:val="22"/>
          <w:szCs w:val="22"/>
        </w:rPr>
        <w:t>. En este punto las posiciones podríamos resumirlas en si ese escaneo forzoso de las características biométricas equivalen a la evidencia física o a la entrega del código de acceso (PIN) al dispositivo.</w:t>
      </w:r>
    </w:p>
    <w:p w:rsidR="009362A0" w:rsidRDefault="009C6AD6" w:rsidP="0025437C">
      <w:pPr>
        <w:spacing w:line="360" w:lineRule="auto"/>
        <w:ind w:firstLine="567"/>
        <w:jc w:val="both"/>
        <w:rPr>
          <w:rFonts w:ascii="Arial" w:hAnsi="Arial" w:cs="Arial"/>
          <w:sz w:val="22"/>
          <w:szCs w:val="22"/>
        </w:rPr>
      </w:pPr>
      <w:r>
        <w:rPr>
          <w:rFonts w:ascii="Arial" w:hAnsi="Arial" w:cs="Arial"/>
          <w:sz w:val="22"/>
          <w:szCs w:val="22"/>
        </w:rPr>
        <w:t>En ese sentido, e</w:t>
      </w:r>
      <w:r w:rsidR="004148E6">
        <w:rPr>
          <w:rFonts w:ascii="Arial" w:hAnsi="Arial" w:cs="Arial"/>
          <w:sz w:val="22"/>
          <w:szCs w:val="22"/>
        </w:rPr>
        <w:t xml:space="preserve">n </w:t>
      </w:r>
      <w:r w:rsidR="0055488B" w:rsidRPr="00952C94">
        <w:rPr>
          <w:rFonts w:ascii="Arial" w:hAnsi="Arial" w:cs="Arial"/>
          <w:sz w:val="22"/>
          <w:szCs w:val="22"/>
        </w:rPr>
        <w:t xml:space="preserve">una causa </w:t>
      </w:r>
      <w:r>
        <w:rPr>
          <w:rFonts w:ascii="Arial" w:hAnsi="Arial" w:cs="Arial"/>
          <w:sz w:val="22"/>
          <w:szCs w:val="22"/>
        </w:rPr>
        <w:t xml:space="preserve">tramitada ante los tribunales de California, donde </w:t>
      </w:r>
      <w:r w:rsidR="0055488B" w:rsidRPr="00952C94">
        <w:rPr>
          <w:rFonts w:ascii="Arial" w:hAnsi="Arial" w:cs="Arial"/>
          <w:sz w:val="22"/>
          <w:szCs w:val="22"/>
        </w:rPr>
        <w:t>se estaba investigando un</w:t>
      </w:r>
      <w:r>
        <w:rPr>
          <w:rFonts w:ascii="Arial" w:hAnsi="Arial" w:cs="Arial"/>
          <w:sz w:val="22"/>
          <w:szCs w:val="22"/>
        </w:rPr>
        <w:t xml:space="preserve">a situación de </w:t>
      </w:r>
      <w:r w:rsidR="0055488B" w:rsidRPr="00952C94">
        <w:rPr>
          <w:rFonts w:ascii="Arial" w:hAnsi="Arial" w:cs="Arial"/>
          <w:sz w:val="22"/>
          <w:szCs w:val="22"/>
        </w:rPr>
        <w:t>“</w:t>
      </w:r>
      <w:r w:rsidR="0055488B" w:rsidRPr="00952C94">
        <w:rPr>
          <w:rFonts w:ascii="Arial" w:hAnsi="Arial" w:cs="Arial"/>
          <w:i/>
          <w:sz w:val="22"/>
          <w:szCs w:val="22"/>
        </w:rPr>
        <w:t>sextorsión</w:t>
      </w:r>
      <w:r w:rsidR="0055488B" w:rsidRPr="00952C94">
        <w:rPr>
          <w:rFonts w:ascii="Arial" w:hAnsi="Arial" w:cs="Arial"/>
          <w:sz w:val="22"/>
          <w:szCs w:val="22"/>
        </w:rPr>
        <w:t>”</w:t>
      </w:r>
      <w:r>
        <w:rPr>
          <w:rStyle w:val="Refdenotaalpie"/>
          <w:rFonts w:ascii="Arial" w:hAnsi="Arial" w:cs="Arial"/>
          <w:sz w:val="22"/>
          <w:szCs w:val="22"/>
        </w:rPr>
        <w:footnoteReference w:id="24"/>
      </w:r>
      <w:r w:rsidR="0055488B" w:rsidRPr="00952C94">
        <w:rPr>
          <w:rFonts w:ascii="Arial" w:hAnsi="Arial" w:cs="Arial"/>
          <w:sz w:val="22"/>
          <w:szCs w:val="22"/>
        </w:rPr>
        <w:t xml:space="preserve"> a través de Facebook Messenger para amenazar a la víctima con distribuir un vídeo íntimo si no les pagaban</w:t>
      </w:r>
      <w:r w:rsidR="00D75B99">
        <w:rPr>
          <w:rStyle w:val="Refdenotaalpie"/>
          <w:rFonts w:ascii="Arial" w:hAnsi="Arial" w:cs="Arial"/>
          <w:sz w:val="22"/>
          <w:szCs w:val="22"/>
        </w:rPr>
        <w:footnoteReference w:id="25"/>
      </w:r>
      <w:r w:rsidR="0055488B" w:rsidRPr="00952C94">
        <w:rPr>
          <w:rFonts w:ascii="Arial" w:hAnsi="Arial" w:cs="Arial"/>
          <w:sz w:val="22"/>
          <w:szCs w:val="22"/>
        </w:rPr>
        <w:t xml:space="preserve">; motivó a la Fiscalía a solicitar una “orden de registro” para incautar distintos elementos relacionados con el delito en un domicilio ubicado en Oakland, </w:t>
      </w:r>
      <w:r>
        <w:rPr>
          <w:rFonts w:ascii="Arial" w:hAnsi="Arial" w:cs="Arial"/>
          <w:sz w:val="22"/>
          <w:szCs w:val="22"/>
        </w:rPr>
        <w:t>entre ellos</w:t>
      </w:r>
      <w:r w:rsidR="0055488B" w:rsidRPr="00952C94">
        <w:rPr>
          <w:rFonts w:ascii="Arial" w:hAnsi="Arial" w:cs="Arial"/>
          <w:sz w:val="22"/>
          <w:szCs w:val="22"/>
        </w:rPr>
        <w:t xml:space="preserve"> dispositivos electrónicos; </w:t>
      </w:r>
      <w:r w:rsidR="0018644B" w:rsidRPr="00952C94">
        <w:rPr>
          <w:rFonts w:ascii="Arial" w:hAnsi="Arial" w:cs="Arial"/>
          <w:sz w:val="22"/>
          <w:szCs w:val="22"/>
        </w:rPr>
        <w:t xml:space="preserve">la jueza interviniente denegó el pedido </w:t>
      </w:r>
      <w:r>
        <w:rPr>
          <w:rFonts w:ascii="Arial" w:hAnsi="Arial" w:cs="Arial"/>
          <w:sz w:val="22"/>
          <w:szCs w:val="22"/>
        </w:rPr>
        <w:t>“</w:t>
      </w:r>
      <w:r w:rsidR="0018644B" w:rsidRPr="009C6AD6">
        <w:rPr>
          <w:rFonts w:ascii="Arial" w:hAnsi="Arial" w:cs="Arial"/>
          <w:i/>
          <w:sz w:val="22"/>
          <w:szCs w:val="22"/>
        </w:rPr>
        <w:t>anexo</w:t>
      </w:r>
      <w:r>
        <w:rPr>
          <w:rFonts w:ascii="Arial" w:hAnsi="Arial" w:cs="Arial"/>
          <w:sz w:val="22"/>
          <w:szCs w:val="22"/>
        </w:rPr>
        <w:t>”</w:t>
      </w:r>
      <w:r w:rsidR="0018644B" w:rsidRPr="00952C94">
        <w:rPr>
          <w:rFonts w:ascii="Arial" w:hAnsi="Arial" w:cs="Arial"/>
          <w:sz w:val="22"/>
          <w:szCs w:val="22"/>
        </w:rPr>
        <w:t xml:space="preserve"> de que se obligue a cualquier persona presente al momento del allanamiento, a </w:t>
      </w:r>
      <w:r>
        <w:rPr>
          <w:rFonts w:ascii="Arial" w:hAnsi="Arial" w:cs="Arial"/>
          <w:sz w:val="22"/>
          <w:szCs w:val="22"/>
        </w:rPr>
        <w:t>activar las</w:t>
      </w:r>
      <w:r w:rsidR="0018644B" w:rsidRPr="00952C94">
        <w:rPr>
          <w:rFonts w:ascii="Arial" w:hAnsi="Arial" w:cs="Arial"/>
          <w:sz w:val="22"/>
          <w:szCs w:val="22"/>
        </w:rPr>
        <w:t xml:space="preserve"> funciones biométricas</w:t>
      </w:r>
      <w:r>
        <w:rPr>
          <w:rFonts w:ascii="Arial" w:hAnsi="Arial" w:cs="Arial"/>
          <w:sz w:val="22"/>
          <w:szCs w:val="22"/>
        </w:rPr>
        <w:t xml:space="preserve"> a </w:t>
      </w:r>
      <w:r w:rsidR="009362A0">
        <w:rPr>
          <w:rFonts w:ascii="Arial" w:hAnsi="Arial" w:cs="Arial"/>
          <w:sz w:val="22"/>
          <w:szCs w:val="22"/>
        </w:rPr>
        <w:t>f</w:t>
      </w:r>
      <w:r w:rsidR="0018644B" w:rsidRPr="00952C94">
        <w:rPr>
          <w:rFonts w:ascii="Arial" w:hAnsi="Arial" w:cs="Arial"/>
          <w:sz w:val="22"/>
          <w:szCs w:val="22"/>
        </w:rPr>
        <w:t>in de desbloquear los dispositivos digitales encontrados</w:t>
      </w:r>
      <w:r w:rsidR="009362A0">
        <w:rPr>
          <w:rFonts w:ascii="Arial" w:hAnsi="Arial" w:cs="Arial"/>
          <w:sz w:val="22"/>
          <w:szCs w:val="22"/>
        </w:rPr>
        <w:t xml:space="preserve">, </w:t>
      </w:r>
      <w:r w:rsidR="0018644B" w:rsidRPr="00952C94">
        <w:rPr>
          <w:rFonts w:ascii="Arial" w:hAnsi="Arial" w:cs="Arial"/>
          <w:sz w:val="22"/>
          <w:szCs w:val="22"/>
        </w:rPr>
        <w:t xml:space="preserve">para permitir una búsqueda </w:t>
      </w:r>
      <w:r w:rsidR="009362A0">
        <w:rPr>
          <w:rFonts w:ascii="Arial" w:hAnsi="Arial" w:cs="Arial"/>
          <w:sz w:val="22"/>
          <w:szCs w:val="22"/>
        </w:rPr>
        <w:t xml:space="preserve">en los mismos de archivos </w:t>
      </w:r>
      <w:r w:rsidR="0018644B" w:rsidRPr="00952C94">
        <w:rPr>
          <w:rFonts w:ascii="Arial" w:hAnsi="Arial" w:cs="Arial"/>
          <w:sz w:val="22"/>
          <w:szCs w:val="22"/>
        </w:rPr>
        <w:t>contenidos según lo autorizado por la orden de registro</w:t>
      </w:r>
      <w:r w:rsidR="009362A0">
        <w:rPr>
          <w:rFonts w:ascii="Arial" w:hAnsi="Arial" w:cs="Arial"/>
          <w:sz w:val="22"/>
          <w:szCs w:val="22"/>
        </w:rPr>
        <w:t>.</w:t>
      </w:r>
    </w:p>
    <w:p w:rsidR="00FE3D46" w:rsidRDefault="009362A0" w:rsidP="00FE3D46">
      <w:pPr>
        <w:spacing w:line="360" w:lineRule="auto"/>
        <w:ind w:firstLine="567"/>
        <w:jc w:val="both"/>
        <w:rPr>
          <w:rFonts w:ascii="Arial" w:hAnsi="Arial" w:cs="Arial"/>
          <w:sz w:val="22"/>
          <w:szCs w:val="22"/>
        </w:rPr>
      </w:pPr>
      <w:r>
        <w:rPr>
          <w:rFonts w:ascii="Arial" w:hAnsi="Arial" w:cs="Arial"/>
          <w:sz w:val="22"/>
          <w:szCs w:val="22"/>
        </w:rPr>
        <w:t xml:space="preserve">La Magistrada interviniente entendió que, la utilización de las características biométricas de un sospechoso para desbloquear un dispositivo electrónico equivale a la renuncia de los derechos que protege la constitución. En ese sentido </w:t>
      </w:r>
      <w:r w:rsidR="0018644B" w:rsidRPr="00952C94">
        <w:rPr>
          <w:rFonts w:ascii="Arial" w:hAnsi="Arial" w:cs="Arial"/>
          <w:sz w:val="22"/>
          <w:szCs w:val="22"/>
        </w:rPr>
        <w:t xml:space="preserve">admitió que la tecnología “está superando a la ley” sin embargo </w:t>
      </w:r>
      <w:r w:rsidR="00FE3D46">
        <w:rPr>
          <w:rFonts w:ascii="Arial" w:hAnsi="Arial" w:cs="Arial"/>
          <w:sz w:val="22"/>
          <w:szCs w:val="22"/>
        </w:rPr>
        <w:t>lo equiparó con</w:t>
      </w:r>
      <w:r w:rsidR="0018644B" w:rsidRPr="00952C94">
        <w:rPr>
          <w:rFonts w:ascii="Arial" w:hAnsi="Arial" w:cs="Arial"/>
          <w:sz w:val="22"/>
          <w:szCs w:val="22"/>
        </w:rPr>
        <w:t xml:space="preserve"> “el acto de comunicar el código de acceso” </w:t>
      </w:r>
      <w:r w:rsidR="00FE3D46">
        <w:rPr>
          <w:rFonts w:ascii="Arial" w:hAnsi="Arial" w:cs="Arial"/>
          <w:sz w:val="22"/>
          <w:szCs w:val="22"/>
        </w:rPr>
        <w:t xml:space="preserve">lo que califica de </w:t>
      </w:r>
      <w:r w:rsidR="0018644B" w:rsidRPr="00952C94">
        <w:rPr>
          <w:rFonts w:ascii="Arial" w:hAnsi="Arial" w:cs="Arial"/>
          <w:sz w:val="22"/>
          <w:szCs w:val="22"/>
        </w:rPr>
        <w:t xml:space="preserve">testimonio, y que </w:t>
      </w:r>
      <w:r w:rsidR="007B1674">
        <w:rPr>
          <w:rFonts w:ascii="Arial" w:hAnsi="Arial" w:cs="Arial"/>
          <w:sz w:val="22"/>
          <w:szCs w:val="22"/>
        </w:rPr>
        <w:t>“</w:t>
      </w:r>
      <w:r w:rsidR="0018644B" w:rsidRPr="00952C94">
        <w:rPr>
          <w:rFonts w:ascii="Arial" w:hAnsi="Arial" w:cs="Arial"/>
          <w:sz w:val="22"/>
          <w:szCs w:val="22"/>
        </w:rPr>
        <w:t xml:space="preserve">la expresión del contenido de la mente de un individuo cae directamente dentro de la protección de la </w:t>
      </w:r>
      <w:r w:rsidR="0018644B" w:rsidRPr="007B1674">
        <w:rPr>
          <w:rFonts w:ascii="Arial" w:hAnsi="Arial" w:cs="Arial"/>
          <w:i/>
          <w:sz w:val="22"/>
          <w:szCs w:val="22"/>
        </w:rPr>
        <w:t>Quinta Enmienda</w:t>
      </w:r>
      <w:r w:rsidR="007B1674">
        <w:rPr>
          <w:rFonts w:ascii="Arial" w:hAnsi="Arial" w:cs="Arial"/>
          <w:sz w:val="22"/>
          <w:szCs w:val="22"/>
        </w:rPr>
        <w:t>”</w:t>
      </w:r>
      <w:r w:rsidR="0018644B" w:rsidRPr="00952C94">
        <w:rPr>
          <w:rFonts w:ascii="Arial" w:hAnsi="Arial" w:cs="Arial"/>
          <w:sz w:val="22"/>
          <w:szCs w:val="22"/>
        </w:rPr>
        <w:t>.</w:t>
      </w:r>
    </w:p>
    <w:p w:rsidR="004A39B4" w:rsidRDefault="00FE3D46" w:rsidP="00657665">
      <w:pPr>
        <w:spacing w:line="360" w:lineRule="auto"/>
        <w:ind w:firstLine="567"/>
        <w:jc w:val="both"/>
        <w:rPr>
          <w:rFonts w:ascii="Arial" w:hAnsi="Arial" w:cs="Arial"/>
          <w:sz w:val="22"/>
          <w:szCs w:val="22"/>
        </w:rPr>
      </w:pPr>
      <w:r>
        <w:rPr>
          <w:rFonts w:ascii="Arial" w:hAnsi="Arial" w:cs="Arial"/>
          <w:sz w:val="22"/>
          <w:szCs w:val="22"/>
        </w:rPr>
        <w:lastRenderedPageBreak/>
        <w:t>Igualmente sostuvo</w:t>
      </w:r>
      <w:r w:rsidR="0018644B" w:rsidRPr="00952C94">
        <w:rPr>
          <w:rFonts w:ascii="Arial" w:hAnsi="Arial" w:cs="Arial"/>
          <w:sz w:val="22"/>
          <w:szCs w:val="22"/>
        </w:rPr>
        <w:t xml:space="preserve"> que el desbloqueo de un teléfono con </w:t>
      </w:r>
      <w:r>
        <w:rPr>
          <w:rFonts w:ascii="Arial" w:hAnsi="Arial" w:cs="Arial"/>
          <w:sz w:val="22"/>
          <w:szCs w:val="22"/>
        </w:rPr>
        <w:t>el</w:t>
      </w:r>
      <w:r w:rsidR="0018644B" w:rsidRPr="00952C94">
        <w:rPr>
          <w:rFonts w:ascii="Arial" w:hAnsi="Arial" w:cs="Arial"/>
          <w:sz w:val="22"/>
          <w:szCs w:val="22"/>
        </w:rPr>
        <w:t xml:space="preserve"> escaneo con el dedo excede la </w:t>
      </w:r>
      <w:r w:rsidR="00657665">
        <w:rPr>
          <w:rFonts w:ascii="Arial" w:hAnsi="Arial" w:cs="Arial"/>
          <w:sz w:val="22"/>
          <w:szCs w:val="22"/>
        </w:rPr>
        <w:t>denominada “</w:t>
      </w:r>
      <w:r w:rsidR="0018644B" w:rsidRPr="00952C94">
        <w:rPr>
          <w:rFonts w:ascii="Arial" w:hAnsi="Arial" w:cs="Arial"/>
          <w:sz w:val="22"/>
          <w:szCs w:val="22"/>
        </w:rPr>
        <w:t>evidencia física"</w:t>
      </w:r>
      <w:r w:rsidR="00657665">
        <w:rPr>
          <w:rFonts w:ascii="Arial" w:hAnsi="Arial" w:cs="Arial"/>
          <w:sz w:val="22"/>
          <w:szCs w:val="22"/>
        </w:rPr>
        <w:t xml:space="preserve"> donde un </w:t>
      </w:r>
      <w:r w:rsidR="00657665" w:rsidRPr="00952C94">
        <w:rPr>
          <w:rFonts w:ascii="Arial" w:hAnsi="Arial" w:cs="Arial"/>
          <w:sz w:val="22"/>
          <w:szCs w:val="22"/>
        </w:rPr>
        <w:t xml:space="preserve">sospechoso </w:t>
      </w:r>
      <w:r w:rsidR="00657665">
        <w:rPr>
          <w:rFonts w:ascii="Arial" w:hAnsi="Arial" w:cs="Arial"/>
          <w:sz w:val="22"/>
          <w:szCs w:val="22"/>
        </w:rPr>
        <w:t xml:space="preserve">brinda </w:t>
      </w:r>
      <w:r w:rsidR="00657665" w:rsidRPr="00952C94">
        <w:rPr>
          <w:rFonts w:ascii="Arial" w:hAnsi="Arial" w:cs="Arial"/>
          <w:sz w:val="22"/>
          <w:szCs w:val="22"/>
        </w:rPr>
        <w:t xml:space="preserve">sus huellas digitales para </w:t>
      </w:r>
      <w:r w:rsidR="00657665">
        <w:rPr>
          <w:rFonts w:ascii="Arial" w:hAnsi="Arial" w:cs="Arial"/>
          <w:sz w:val="22"/>
          <w:szCs w:val="22"/>
        </w:rPr>
        <w:t>c</w:t>
      </w:r>
      <w:r w:rsidR="00657665" w:rsidRPr="00952C94">
        <w:rPr>
          <w:rFonts w:ascii="Arial" w:hAnsi="Arial" w:cs="Arial"/>
          <w:sz w:val="22"/>
          <w:szCs w:val="22"/>
        </w:rPr>
        <w:t>ompararlas con la evidencia física enc</w:t>
      </w:r>
      <w:r w:rsidR="00657665">
        <w:rPr>
          <w:rFonts w:ascii="Arial" w:hAnsi="Arial" w:cs="Arial"/>
          <w:sz w:val="22"/>
          <w:szCs w:val="22"/>
        </w:rPr>
        <w:t xml:space="preserve">ontrada en la escena del crimen, donde se requieren de varios elementos para confirmar una coincidencia positiva; entiende en cambio que el </w:t>
      </w:r>
      <w:r w:rsidR="0018644B" w:rsidRPr="00952C94">
        <w:rPr>
          <w:rFonts w:ascii="Arial" w:hAnsi="Arial" w:cs="Arial"/>
          <w:sz w:val="22"/>
          <w:szCs w:val="22"/>
        </w:rPr>
        <w:t>escaneo confirma la propiedad o el control del dispositivo</w:t>
      </w:r>
      <w:r w:rsidR="008C574D">
        <w:rPr>
          <w:rFonts w:ascii="Arial" w:hAnsi="Arial" w:cs="Arial"/>
          <w:sz w:val="22"/>
          <w:szCs w:val="22"/>
        </w:rPr>
        <w:t xml:space="preserve"> </w:t>
      </w:r>
      <w:r w:rsidR="0018644B" w:rsidRPr="00952C94">
        <w:rPr>
          <w:rFonts w:ascii="Arial" w:hAnsi="Arial" w:cs="Arial"/>
          <w:sz w:val="22"/>
          <w:szCs w:val="22"/>
        </w:rPr>
        <w:t xml:space="preserve">y la </w:t>
      </w:r>
      <w:r w:rsidR="008C574D">
        <w:rPr>
          <w:rFonts w:ascii="Arial" w:hAnsi="Arial" w:cs="Arial"/>
          <w:sz w:val="22"/>
          <w:szCs w:val="22"/>
        </w:rPr>
        <w:t xml:space="preserve">autenticación de sus contenidos, lo que no </w:t>
      </w:r>
      <w:r w:rsidR="0018644B" w:rsidRPr="00952C94">
        <w:rPr>
          <w:rFonts w:ascii="Arial" w:hAnsi="Arial" w:cs="Arial"/>
          <w:sz w:val="22"/>
          <w:szCs w:val="22"/>
        </w:rPr>
        <w:t>puede</w:t>
      </w:r>
      <w:r w:rsidR="00250B17">
        <w:rPr>
          <w:rFonts w:ascii="Arial" w:hAnsi="Arial" w:cs="Arial"/>
          <w:sz w:val="22"/>
          <w:szCs w:val="22"/>
        </w:rPr>
        <w:t xml:space="preserve"> ser refutado</w:t>
      </w:r>
      <w:r w:rsidR="008C574D">
        <w:rPr>
          <w:rFonts w:ascii="Arial" w:hAnsi="Arial" w:cs="Arial"/>
          <w:sz w:val="22"/>
          <w:szCs w:val="22"/>
        </w:rPr>
        <w:t xml:space="preserve"> razonablemente.</w:t>
      </w:r>
      <w:r w:rsidR="0055488B" w:rsidRPr="00952C94">
        <w:rPr>
          <w:rStyle w:val="Refdenotaalpie"/>
          <w:rFonts w:ascii="Arial" w:hAnsi="Arial" w:cs="Arial"/>
          <w:sz w:val="22"/>
          <w:szCs w:val="22"/>
        </w:rPr>
        <w:footnoteReference w:id="26"/>
      </w:r>
    </w:p>
    <w:p w:rsidR="008C574D" w:rsidRDefault="008C574D" w:rsidP="008C574D">
      <w:pPr>
        <w:spacing w:line="360" w:lineRule="auto"/>
        <w:ind w:firstLine="567"/>
        <w:jc w:val="both"/>
        <w:rPr>
          <w:rFonts w:ascii="Arial" w:hAnsi="Arial" w:cs="Arial"/>
          <w:sz w:val="22"/>
          <w:szCs w:val="22"/>
        </w:rPr>
      </w:pPr>
      <w:r>
        <w:rPr>
          <w:rFonts w:ascii="Arial" w:hAnsi="Arial" w:cs="Arial"/>
          <w:sz w:val="22"/>
          <w:szCs w:val="22"/>
        </w:rPr>
        <w:t>En otro caso, en el marco de una investigación en un caso de tenencia de pornografía infantil</w:t>
      </w:r>
      <w:r w:rsidR="00454B40">
        <w:rPr>
          <w:rFonts w:ascii="Arial" w:hAnsi="Arial" w:cs="Arial"/>
          <w:sz w:val="22"/>
          <w:szCs w:val="22"/>
        </w:rPr>
        <w:t xml:space="preserve"> en Idaho</w:t>
      </w:r>
      <w:r w:rsidR="009D518A">
        <w:rPr>
          <w:rStyle w:val="Refdenotaalpie"/>
          <w:rFonts w:ascii="Arial" w:hAnsi="Arial" w:cs="Arial"/>
          <w:sz w:val="22"/>
          <w:szCs w:val="22"/>
        </w:rPr>
        <w:footnoteReference w:id="27"/>
      </w:r>
      <w:r>
        <w:rPr>
          <w:rFonts w:ascii="Arial" w:hAnsi="Arial" w:cs="Arial"/>
          <w:sz w:val="22"/>
          <w:szCs w:val="22"/>
        </w:rPr>
        <w:t xml:space="preserve">, y la fiscalía consiguió una orden de registro sobre un vehículo y la residencia del sospechoso, autorizándose la incautación de sus dispositivos de escritorios, móviles, celulares y cualquier hardware de red que constituyera evidencia de la comisión del delito; sin embargo se le denegó la orden de registro adicional </w:t>
      </w:r>
      <w:r w:rsidR="00692AC8">
        <w:rPr>
          <w:rFonts w:ascii="Arial" w:hAnsi="Arial" w:cs="Arial"/>
          <w:sz w:val="22"/>
          <w:szCs w:val="22"/>
        </w:rPr>
        <w:t>para su desbloqueo compulsivo. Para ello el Juez de la causa</w:t>
      </w:r>
      <w:r w:rsidR="00454B40">
        <w:rPr>
          <w:rFonts w:ascii="Arial" w:hAnsi="Arial" w:cs="Arial"/>
          <w:sz w:val="22"/>
          <w:szCs w:val="22"/>
        </w:rPr>
        <w:t xml:space="preserve">, siguiendo el precedente Californiano, </w:t>
      </w:r>
      <w:r w:rsidR="00692AC8">
        <w:rPr>
          <w:rFonts w:ascii="Arial" w:hAnsi="Arial" w:cs="Arial"/>
          <w:sz w:val="22"/>
          <w:szCs w:val="22"/>
        </w:rPr>
        <w:t>entendió que la orden solicitada era irrazonable asimilando el uso forzoso de la huella dactilar con la autoincriminación; entendiendo que las garantías tendientes a evitar la autoincriminación no se limitan a las comunicaciones verbales o escritas, sino que los actos que impliquen afirmaciones de hecho deben ser considerados como tales.</w:t>
      </w:r>
    </w:p>
    <w:p w:rsidR="00657665" w:rsidRDefault="00F371F9" w:rsidP="00657665">
      <w:pPr>
        <w:spacing w:line="360" w:lineRule="auto"/>
        <w:ind w:firstLine="567"/>
        <w:jc w:val="both"/>
        <w:rPr>
          <w:rFonts w:ascii="Arial" w:hAnsi="Arial" w:cs="Arial"/>
          <w:sz w:val="22"/>
          <w:szCs w:val="22"/>
        </w:rPr>
      </w:pPr>
      <w:r>
        <w:rPr>
          <w:rFonts w:ascii="Arial" w:hAnsi="Arial" w:cs="Arial"/>
          <w:sz w:val="22"/>
          <w:szCs w:val="22"/>
        </w:rPr>
        <w:t xml:space="preserve">En este caso </w:t>
      </w:r>
      <w:r w:rsidR="00657665">
        <w:rPr>
          <w:rFonts w:ascii="Arial" w:hAnsi="Arial" w:cs="Arial"/>
          <w:sz w:val="22"/>
          <w:szCs w:val="22"/>
        </w:rPr>
        <w:t xml:space="preserve">el Juez que tuvo a su cargo la revisión de la denegatoria de la orden de registro solicitada por la Fiscalía, revocó dicha negatoria </w:t>
      </w:r>
      <w:r>
        <w:rPr>
          <w:rFonts w:ascii="Arial" w:hAnsi="Arial" w:cs="Arial"/>
          <w:sz w:val="22"/>
          <w:szCs w:val="22"/>
        </w:rPr>
        <w:t xml:space="preserve">entendiendo por el contrario que en el caso </w:t>
      </w:r>
      <w:r w:rsidR="00657665" w:rsidRPr="009D518A">
        <w:rPr>
          <w:rFonts w:ascii="Arial" w:hAnsi="Arial" w:cs="Arial"/>
          <w:sz w:val="22"/>
          <w:szCs w:val="22"/>
        </w:rPr>
        <w:t>no hay expresión alguna</w:t>
      </w:r>
      <w:r>
        <w:rPr>
          <w:rFonts w:ascii="Arial" w:hAnsi="Arial" w:cs="Arial"/>
          <w:sz w:val="22"/>
          <w:szCs w:val="22"/>
        </w:rPr>
        <w:t>; s</w:t>
      </w:r>
      <w:r w:rsidR="00657665" w:rsidRPr="009D518A">
        <w:rPr>
          <w:rFonts w:ascii="Arial" w:hAnsi="Arial" w:cs="Arial"/>
          <w:sz w:val="22"/>
          <w:szCs w:val="22"/>
        </w:rPr>
        <w:t>ino que entiende necesaria la diferenciación</w:t>
      </w:r>
      <w:r w:rsidR="00657665">
        <w:rPr>
          <w:rFonts w:ascii="Arial" w:hAnsi="Arial" w:cs="Arial"/>
          <w:sz w:val="22"/>
          <w:szCs w:val="22"/>
        </w:rPr>
        <w:t xml:space="preserve"> </w:t>
      </w:r>
      <w:r w:rsidR="00657665" w:rsidRPr="009D518A">
        <w:rPr>
          <w:rFonts w:ascii="Arial" w:hAnsi="Arial" w:cs="Arial"/>
          <w:sz w:val="22"/>
          <w:szCs w:val="22"/>
        </w:rPr>
        <w:t>entre obligar a comunicar algo y obligar a proporcionar</w:t>
      </w:r>
      <w:r w:rsidR="00657665">
        <w:rPr>
          <w:rFonts w:ascii="Arial" w:hAnsi="Arial" w:cs="Arial"/>
          <w:sz w:val="22"/>
          <w:szCs w:val="22"/>
        </w:rPr>
        <w:t xml:space="preserve"> </w:t>
      </w:r>
      <w:r w:rsidR="00657665" w:rsidRPr="009D518A">
        <w:rPr>
          <w:rFonts w:ascii="Arial" w:hAnsi="Arial" w:cs="Arial"/>
          <w:sz w:val="22"/>
          <w:szCs w:val="22"/>
        </w:rPr>
        <w:t>una característica física, porque para</w:t>
      </w:r>
      <w:r w:rsidR="00657665">
        <w:rPr>
          <w:rFonts w:ascii="Arial" w:hAnsi="Arial" w:cs="Arial"/>
          <w:sz w:val="22"/>
          <w:szCs w:val="22"/>
        </w:rPr>
        <w:t xml:space="preserve"> </w:t>
      </w:r>
      <w:r w:rsidR="00657665" w:rsidRPr="009D518A">
        <w:rPr>
          <w:rFonts w:ascii="Arial" w:hAnsi="Arial" w:cs="Arial"/>
          <w:sz w:val="22"/>
          <w:szCs w:val="22"/>
        </w:rPr>
        <w:t>él “la huella digital por sí sola no comunica</w:t>
      </w:r>
      <w:r w:rsidR="00657665">
        <w:rPr>
          <w:rFonts w:ascii="Arial" w:hAnsi="Arial" w:cs="Arial"/>
          <w:sz w:val="22"/>
          <w:szCs w:val="22"/>
        </w:rPr>
        <w:t xml:space="preserve"> </w:t>
      </w:r>
      <w:r w:rsidR="00657665" w:rsidRPr="009D518A">
        <w:rPr>
          <w:rFonts w:ascii="Arial" w:hAnsi="Arial" w:cs="Arial"/>
          <w:sz w:val="22"/>
          <w:szCs w:val="22"/>
        </w:rPr>
        <w:t>nada… ni requiere que el testigo divulgue nada</w:t>
      </w:r>
      <w:r w:rsidR="00657665">
        <w:rPr>
          <w:rFonts w:ascii="Arial" w:hAnsi="Arial" w:cs="Arial"/>
          <w:sz w:val="22"/>
          <w:szCs w:val="22"/>
        </w:rPr>
        <w:t xml:space="preserve"> </w:t>
      </w:r>
      <w:r w:rsidR="00657665" w:rsidRPr="009D518A">
        <w:rPr>
          <w:rFonts w:ascii="Arial" w:hAnsi="Arial" w:cs="Arial"/>
          <w:sz w:val="22"/>
          <w:szCs w:val="22"/>
        </w:rPr>
        <w:t>a través de sus procesos mentales”</w:t>
      </w:r>
      <w:r w:rsidR="00657665">
        <w:rPr>
          <w:rFonts w:ascii="Arial" w:hAnsi="Arial" w:cs="Arial"/>
          <w:sz w:val="22"/>
          <w:szCs w:val="22"/>
        </w:rPr>
        <w:t xml:space="preserve"> incluso lo compara con la obligación de entregar la llave de una caja fuerte.</w:t>
      </w:r>
    </w:p>
    <w:p w:rsidR="004A39B4" w:rsidRDefault="00DD3BE8" w:rsidP="0025437C">
      <w:pPr>
        <w:spacing w:line="360" w:lineRule="auto"/>
        <w:ind w:firstLine="567"/>
        <w:jc w:val="both"/>
        <w:rPr>
          <w:rFonts w:ascii="Arial" w:hAnsi="Arial" w:cs="Arial"/>
          <w:sz w:val="22"/>
          <w:szCs w:val="22"/>
        </w:rPr>
      </w:pPr>
      <w:r>
        <w:rPr>
          <w:rFonts w:ascii="Arial" w:hAnsi="Arial" w:cs="Arial"/>
          <w:sz w:val="22"/>
          <w:szCs w:val="22"/>
        </w:rPr>
        <w:t>E</w:t>
      </w:r>
      <w:r w:rsidR="00250B17">
        <w:rPr>
          <w:rFonts w:ascii="Arial" w:hAnsi="Arial" w:cs="Arial"/>
          <w:sz w:val="22"/>
          <w:szCs w:val="22"/>
        </w:rPr>
        <w:t>s</w:t>
      </w:r>
      <w:r>
        <w:rPr>
          <w:rFonts w:ascii="Arial" w:hAnsi="Arial" w:cs="Arial"/>
          <w:sz w:val="22"/>
          <w:szCs w:val="22"/>
        </w:rPr>
        <w:t xml:space="preserve"> que tal como recuerda </w:t>
      </w:r>
      <w:r w:rsidR="00AC457A" w:rsidRPr="00454B40">
        <w:rPr>
          <w:rFonts w:ascii="Arial" w:hAnsi="Arial" w:cs="Arial"/>
          <w:smallCaps/>
          <w:sz w:val="22"/>
          <w:szCs w:val="22"/>
        </w:rPr>
        <w:t>MILLER</w:t>
      </w:r>
      <w:r w:rsidR="00AC457A">
        <w:rPr>
          <w:rFonts w:ascii="Arial" w:hAnsi="Arial" w:cs="Arial"/>
          <w:smallCaps/>
          <w:sz w:val="22"/>
          <w:szCs w:val="22"/>
        </w:rPr>
        <w:t xml:space="preserve"> (2019)</w:t>
      </w:r>
      <w:r w:rsidR="00454B40">
        <w:rPr>
          <w:rStyle w:val="Refdenotaalpie"/>
          <w:rFonts w:ascii="Arial" w:hAnsi="Arial" w:cs="Arial"/>
          <w:sz w:val="22"/>
          <w:szCs w:val="22"/>
        </w:rPr>
        <w:footnoteReference w:id="28"/>
      </w:r>
      <w:r w:rsidR="00454B40">
        <w:rPr>
          <w:rFonts w:ascii="Arial" w:hAnsi="Arial" w:cs="Arial"/>
          <w:smallCaps/>
          <w:sz w:val="22"/>
          <w:szCs w:val="22"/>
        </w:rPr>
        <w:t xml:space="preserve">, </w:t>
      </w:r>
      <w:r w:rsidR="009C6AD6">
        <w:rPr>
          <w:rFonts w:ascii="Arial" w:hAnsi="Arial" w:cs="Arial"/>
          <w:sz w:val="22"/>
          <w:szCs w:val="22"/>
        </w:rPr>
        <w:t>para el derecho penal existe</w:t>
      </w:r>
      <w:r>
        <w:rPr>
          <w:rFonts w:ascii="Arial" w:hAnsi="Arial" w:cs="Arial"/>
          <w:sz w:val="22"/>
          <w:szCs w:val="22"/>
        </w:rPr>
        <w:t xml:space="preserve">n pruebas que toman al ser humano como objeto y sujeto, donde la mente es el límite jurídico para la autoincriminación; donde la jurisprudencia estadounidense había logrado cierta estabilidad al entender que el acusado </w:t>
      </w:r>
      <w:r>
        <w:rPr>
          <w:rFonts w:ascii="Arial" w:hAnsi="Arial" w:cs="Arial"/>
          <w:sz w:val="22"/>
          <w:szCs w:val="22"/>
        </w:rPr>
        <w:lastRenderedPageBreak/>
        <w:t>no puede ser obligado a proporcionar el código de acceso del teléfono, ya que es un testimonio protegido por la quinta enmienda.</w:t>
      </w:r>
    </w:p>
    <w:p w:rsidR="00DD3BE8" w:rsidRDefault="00DD3BE8" w:rsidP="0025437C">
      <w:pPr>
        <w:spacing w:line="360" w:lineRule="auto"/>
        <w:ind w:firstLine="567"/>
        <w:jc w:val="both"/>
        <w:rPr>
          <w:rFonts w:ascii="Arial" w:hAnsi="Arial" w:cs="Arial"/>
          <w:sz w:val="22"/>
          <w:szCs w:val="22"/>
        </w:rPr>
      </w:pPr>
      <w:r>
        <w:rPr>
          <w:rFonts w:ascii="Arial" w:hAnsi="Arial" w:cs="Arial"/>
          <w:sz w:val="22"/>
          <w:szCs w:val="22"/>
        </w:rPr>
        <w:t>En sentido similar, nuestra jurisprudencia también había adoptado esta diferencia entorno a la persona como objeto o sujeto de prueba, así se permitió la extracción compulsiva de muestras de ADN</w:t>
      </w:r>
      <w:r w:rsidR="00C10252">
        <w:rPr>
          <w:rFonts w:ascii="Arial" w:hAnsi="Arial" w:cs="Arial"/>
          <w:sz w:val="22"/>
          <w:szCs w:val="22"/>
        </w:rPr>
        <w:t xml:space="preserve"> a fin de ser cotejadas con otros medios de prueba </w:t>
      </w:r>
      <w:r w:rsidR="00681E51">
        <w:rPr>
          <w:rFonts w:ascii="Arial" w:hAnsi="Arial" w:cs="Arial"/>
          <w:sz w:val="22"/>
          <w:szCs w:val="22"/>
        </w:rPr>
        <w:t>(</w:t>
      </w:r>
      <w:r w:rsidR="00C10252">
        <w:rPr>
          <w:rFonts w:ascii="Arial" w:hAnsi="Arial" w:cs="Arial"/>
          <w:sz w:val="22"/>
          <w:szCs w:val="22"/>
        </w:rPr>
        <w:t xml:space="preserve">ver CSJN </w:t>
      </w:r>
      <w:r w:rsidR="00681E51">
        <w:rPr>
          <w:rFonts w:ascii="Arial" w:hAnsi="Arial" w:cs="Arial"/>
          <w:sz w:val="22"/>
          <w:szCs w:val="22"/>
        </w:rPr>
        <w:t>fallos 326 - 3758; 332 – 1769</w:t>
      </w:r>
      <w:r w:rsidR="00C10252">
        <w:rPr>
          <w:rFonts w:ascii="Arial" w:hAnsi="Arial" w:cs="Arial"/>
          <w:sz w:val="22"/>
          <w:szCs w:val="22"/>
        </w:rPr>
        <w:t xml:space="preserve"> entre otros</w:t>
      </w:r>
      <w:r w:rsidR="00681E51">
        <w:rPr>
          <w:rFonts w:ascii="Arial" w:hAnsi="Arial" w:cs="Arial"/>
          <w:sz w:val="22"/>
          <w:szCs w:val="22"/>
        </w:rPr>
        <w:t>)</w:t>
      </w:r>
    </w:p>
    <w:p w:rsidR="00587FE2" w:rsidRPr="00587FE2" w:rsidRDefault="00C10252" w:rsidP="0005741D">
      <w:pPr>
        <w:spacing w:line="360" w:lineRule="auto"/>
        <w:ind w:firstLine="567"/>
        <w:jc w:val="both"/>
        <w:rPr>
          <w:rFonts w:ascii="Arial" w:hAnsi="Arial" w:cs="Arial"/>
          <w:sz w:val="22"/>
          <w:szCs w:val="22"/>
        </w:rPr>
      </w:pPr>
      <w:r>
        <w:rPr>
          <w:rFonts w:ascii="Arial" w:hAnsi="Arial" w:cs="Arial"/>
          <w:sz w:val="22"/>
          <w:szCs w:val="22"/>
        </w:rPr>
        <w:t xml:space="preserve">En ese sentido el Dr. Maqueda en su considerando 15 de su voto en </w:t>
      </w:r>
      <w:r w:rsidR="0005741D">
        <w:rPr>
          <w:rFonts w:ascii="Arial" w:hAnsi="Arial" w:cs="Arial"/>
          <w:sz w:val="22"/>
          <w:szCs w:val="22"/>
        </w:rPr>
        <w:t>su disidencia parcial</w:t>
      </w:r>
      <w:r>
        <w:rPr>
          <w:rFonts w:ascii="Arial" w:hAnsi="Arial" w:cs="Arial"/>
          <w:sz w:val="22"/>
          <w:szCs w:val="22"/>
        </w:rPr>
        <w:t xml:space="preserve">, recuerda que la Corte Nacional ha dicho respecto de la </w:t>
      </w:r>
      <w:r w:rsidR="00587FE2" w:rsidRPr="00587FE2">
        <w:rPr>
          <w:rFonts w:ascii="Arial" w:hAnsi="Arial" w:cs="Arial"/>
          <w:sz w:val="22"/>
          <w:szCs w:val="22"/>
        </w:rPr>
        <w:t>adopción de</w:t>
      </w:r>
      <w:r w:rsidR="00587FE2">
        <w:rPr>
          <w:rFonts w:ascii="Arial" w:hAnsi="Arial" w:cs="Arial"/>
          <w:sz w:val="22"/>
          <w:szCs w:val="22"/>
        </w:rPr>
        <w:t xml:space="preserve"> </w:t>
      </w:r>
      <w:r w:rsidR="00587FE2" w:rsidRPr="00587FE2">
        <w:rPr>
          <w:rFonts w:ascii="Arial" w:hAnsi="Arial" w:cs="Arial"/>
          <w:sz w:val="22"/>
          <w:szCs w:val="22"/>
        </w:rPr>
        <w:t>medidas compulsivas para los procesados</w:t>
      </w:r>
      <w:r>
        <w:rPr>
          <w:rFonts w:ascii="Arial" w:hAnsi="Arial" w:cs="Arial"/>
          <w:sz w:val="22"/>
          <w:szCs w:val="22"/>
        </w:rPr>
        <w:t xml:space="preserve"> y </w:t>
      </w:r>
      <w:r w:rsidR="00587FE2" w:rsidRPr="00587FE2">
        <w:rPr>
          <w:rFonts w:ascii="Arial" w:hAnsi="Arial" w:cs="Arial"/>
          <w:sz w:val="22"/>
          <w:szCs w:val="22"/>
        </w:rPr>
        <w:t>la</w:t>
      </w:r>
      <w:r w:rsidR="00587FE2">
        <w:rPr>
          <w:rFonts w:ascii="Arial" w:hAnsi="Arial" w:cs="Arial"/>
          <w:sz w:val="22"/>
          <w:szCs w:val="22"/>
        </w:rPr>
        <w:t xml:space="preserve"> </w:t>
      </w:r>
      <w:r w:rsidR="00587FE2" w:rsidRPr="00587FE2">
        <w:rPr>
          <w:rFonts w:ascii="Arial" w:hAnsi="Arial" w:cs="Arial"/>
          <w:sz w:val="22"/>
          <w:szCs w:val="22"/>
        </w:rPr>
        <w:t>prohibición de autoincriminación del art. 18 de la Constitución</w:t>
      </w:r>
      <w:r w:rsidR="00587FE2">
        <w:rPr>
          <w:rFonts w:ascii="Arial" w:hAnsi="Arial" w:cs="Arial"/>
          <w:sz w:val="22"/>
          <w:szCs w:val="22"/>
        </w:rPr>
        <w:t xml:space="preserve"> </w:t>
      </w:r>
      <w:r w:rsidR="00587FE2" w:rsidRPr="00587FE2">
        <w:rPr>
          <w:rFonts w:ascii="Arial" w:hAnsi="Arial" w:cs="Arial"/>
          <w:sz w:val="22"/>
          <w:szCs w:val="22"/>
        </w:rPr>
        <w:t>Nacional</w:t>
      </w:r>
      <w:r>
        <w:rPr>
          <w:rFonts w:ascii="Arial" w:hAnsi="Arial" w:cs="Arial"/>
          <w:sz w:val="22"/>
          <w:szCs w:val="22"/>
        </w:rPr>
        <w:t>; que dicha prohibición</w:t>
      </w:r>
      <w:r w:rsidR="00587FE2" w:rsidRPr="00587FE2">
        <w:rPr>
          <w:rFonts w:ascii="Arial" w:hAnsi="Arial" w:cs="Arial"/>
          <w:sz w:val="22"/>
          <w:szCs w:val="22"/>
        </w:rPr>
        <w:t xml:space="preserve"> se refiere a las comunicaciones o expresiones</w:t>
      </w:r>
      <w:r w:rsidR="00587FE2">
        <w:rPr>
          <w:rFonts w:ascii="Arial" w:hAnsi="Arial" w:cs="Arial"/>
          <w:sz w:val="22"/>
          <w:szCs w:val="22"/>
        </w:rPr>
        <w:t xml:space="preserve"> </w:t>
      </w:r>
      <w:r w:rsidR="00587FE2" w:rsidRPr="00587FE2">
        <w:rPr>
          <w:rFonts w:ascii="Arial" w:hAnsi="Arial" w:cs="Arial"/>
          <w:sz w:val="22"/>
          <w:szCs w:val="22"/>
        </w:rPr>
        <w:t>que provienen de la propia voluntad del imputado lo cual no</w:t>
      </w:r>
      <w:r w:rsidR="00587FE2">
        <w:rPr>
          <w:rFonts w:ascii="Arial" w:hAnsi="Arial" w:cs="Arial"/>
          <w:sz w:val="22"/>
          <w:szCs w:val="22"/>
        </w:rPr>
        <w:t xml:space="preserve"> </w:t>
      </w:r>
      <w:r w:rsidR="00587FE2" w:rsidRPr="00587FE2">
        <w:rPr>
          <w:rFonts w:ascii="Arial" w:hAnsi="Arial" w:cs="Arial"/>
          <w:sz w:val="22"/>
          <w:szCs w:val="22"/>
        </w:rPr>
        <w:t>incluye los casos en que cabe prescindir de esa voluntad,</w:t>
      </w:r>
      <w:r w:rsidR="00587FE2">
        <w:rPr>
          <w:rFonts w:ascii="Arial" w:hAnsi="Arial" w:cs="Arial"/>
          <w:sz w:val="22"/>
          <w:szCs w:val="22"/>
        </w:rPr>
        <w:t xml:space="preserve"> </w:t>
      </w:r>
      <w:r w:rsidR="00587FE2" w:rsidRPr="00587FE2">
        <w:rPr>
          <w:rFonts w:ascii="Arial" w:hAnsi="Arial" w:cs="Arial"/>
          <w:sz w:val="22"/>
          <w:szCs w:val="22"/>
        </w:rPr>
        <w:t>entre los cuales se encuentran los supuestos en que la evidencia</w:t>
      </w:r>
      <w:r w:rsidR="00587FE2">
        <w:rPr>
          <w:rFonts w:ascii="Arial" w:hAnsi="Arial" w:cs="Arial"/>
          <w:sz w:val="22"/>
          <w:szCs w:val="22"/>
        </w:rPr>
        <w:t xml:space="preserve"> </w:t>
      </w:r>
      <w:r w:rsidR="00587FE2" w:rsidRPr="00587FE2">
        <w:rPr>
          <w:rFonts w:ascii="Arial" w:hAnsi="Arial" w:cs="Arial"/>
          <w:sz w:val="22"/>
          <w:szCs w:val="22"/>
        </w:rPr>
        <w:t>es de índole material (Fallos: 255:18 y sus citas;</w:t>
      </w:r>
      <w:r w:rsidR="00587FE2">
        <w:rPr>
          <w:rFonts w:ascii="Arial" w:hAnsi="Arial" w:cs="Arial"/>
          <w:sz w:val="22"/>
          <w:szCs w:val="22"/>
        </w:rPr>
        <w:t xml:space="preserve"> </w:t>
      </w:r>
      <w:r w:rsidR="00587FE2" w:rsidRPr="00587FE2">
        <w:rPr>
          <w:rFonts w:ascii="Arial" w:hAnsi="Arial" w:cs="Arial"/>
          <w:sz w:val="22"/>
          <w:szCs w:val="22"/>
        </w:rPr>
        <w:t xml:space="preserve">318:2518, considerando 9° y 320:1717, considerando 8°). </w:t>
      </w:r>
      <w:r>
        <w:rPr>
          <w:rFonts w:ascii="Arial" w:hAnsi="Arial" w:cs="Arial"/>
          <w:sz w:val="22"/>
          <w:szCs w:val="22"/>
        </w:rPr>
        <w:t xml:space="preserve">Concluyendo que </w:t>
      </w:r>
      <w:r w:rsidR="00587FE2" w:rsidRPr="00587FE2">
        <w:rPr>
          <w:rFonts w:ascii="Arial" w:hAnsi="Arial" w:cs="Arial"/>
          <w:sz w:val="22"/>
          <w:szCs w:val="22"/>
        </w:rPr>
        <w:t>lo que se prohíbe en estos casos es la compulsión física</w:t>
      </w:r>
      <w:r w:rsidR="00587FE2">
        <w:rPr>
          <w:rFonts w:ascii="Arial" w:hAnsi="Arial" w:cs="Arial"/>
          <w:sz w:val="22"/>
          <w:szCs w:val="22"/>
        </w:rPr>
        <w:t xml:space="preserve"> </w:t>
      </w:r>
      <w:r w:rsidR="00587FE2" w:rsidRPr="00587FE2">
        <w:rPr>
          <w:rFonts w:ascii="Arial" w:hAnsi="Arial" w:cs="Arial"/>
          <w:sz w:val="22"/>
          <w:szCs w:val="22"/>
        </w:rPr>
        <w:t>o moral para obtener declaraciones emanadas del acusado</w:t>
      </w:r>
      <w:r w:rsidR="00587FE2">
        <w:rPr>
          <w:rFonts w:ascii="Arial" w:hAnsi="Arial" w:cs="Arial"/>
          <w:sz w:val="22"/>
          <w:szCs w:val="22"/>
        </w:rPr>
        <w:t xml:space="preserve"> </w:t>
      </w:r>
      <w:r w:rsidR="00587FE2" w:rsidRPr="00587FE2">
        <w:rPr>
          <w:rFonts w:ascii="Arial" w:hAnsi="Arial" w:cs="Arial"/>
          <w:sz w:val="22"/>
          <w:szCs w:val="22"/>
        </w:rPr>
        <w:t>mediante la fuerza y no la exclusión de su cuerpo como evidencia</w:t>
      </w:r>
      <w:r w:rsidR="00587FE2">
        <w:rPr>
          <w:rFonts w:ascii="Arial" w:hAnsi="Arial" w:cs="Arial"/>
          <w:sz w:val="22"/>
          <w:szCs w:val="22"/>
        </w:rPr>
        <w:t xml:space="preserve"> </w:t>
      </w:r>
      <w:r w:rsidR="00587FE2" w:rsidRPr="00587FE2">
        <w:rPr>
          <w:rFonts w:ascii="Arial" w:hAnsi="Arial" w:cs="Arial"/>
          <w:sz w:val="22"/>
          <w:szCs w:val="22"/>
        </w:rPr>
        <w:t>material en un juicio (conf. voto del Justice Oliver</w:t>
      </w:r>
      <w:r w:rsidR="00587FE2">
        <w:rPr>
          <w:rFonts w:ascii="Arial" w:hAnsi="Arial" w:cs="Arial"/>
          <w:sz w:val="22"/>
          <w:szCs w:val="22"/>
        </w:rPr>
        <w:t xml:space="preserve"> </w:t>
      </w:r>
      <w:r w:rsidR="00587FE2" w:rsidRPr="00587FE2">
        <w:rPr>
          <w:rFonts w:ascii="Arial" w:hAnsi="Arial" w:cs="Arial"/>
          <w:sz w:val="22"/>
          <w:szCs w:val="22"/>
        </w:rPr>
        <w:t>Wendell Holmes en Holt v. U.S. 218 U.S. 235, 252; 1910).</w:t>
      </w:r>
      <w:r w:rsidR="00587FE2">
        <w:rPr>
          <w:rFonts w:ascii="Arial" w:hAnsi="Arial" w:cs="Arial"/>
          <w:sz w:val="22"/>
          <w:szCs w:val="22"/>
        </w:rPr>
        <w:t xml:space="preserve"> </w:t>
      </w:r>
      <w:r w:rsidR="0005741D">
        <w:rPr>
          <w:rFonts w:ascii="Arial" w:hAnsi="Arial" w:cs="Arial"/>
          <w:sz w:val="22"/>
          <w:szCs w:val="22"/>
        </w:rPr>
        <w:t xml:space="preserve"> Además, l</w:t>
      </w:r>
      <w:r>
        <w:rPr>
          <w:rFonts w:ascii="Arial" w:hAnsi="Arial" w:cs="Arial"/>
          <w:sz w:val="22"/>
          <w:szCs w:val="22"/>
        </w:rPr>
        <w:t>uego de analizar las posiciones de los tribunales estadounidenses y la corte europea claramente expresa que “</w:t>
      </w:r>
      <w:r w:rsidR="00587FE2" w:rsidRPr="00587FE2">
        <w:rPr>
          <w:rFonts w:ascii="Arial" w:hAnsi="Arial" w:cs="Arial"/>
          <w:sz w:val="22"/>
          <w:szCs w:val="22"/>
        </w:rPr>
        <w:t>existe, una clara distinción entre la</w:t>
      </w:r>
      <w:r w:rsidR="00587FE2">
        <w:rPr>
          <w:rFonts w:ascii="Arial" w:hAnsi="Arial" w:cs="Arial"/>
          <w:sz w:val="22"/>
          <w:szCs w:val="22"/>
        </w:rPr>
        <w:t xml:space="preserve"> </w:t>
      </w:r>
      <w:r w:rsidR="00587FE2" w:rsidRPr="00587FE2">
        <w:rPr>
          <w:rFonts w:ascii="Arial" w:hAnsi="Arial" w:cs="Arial"/>
          <w:sz w:val="22"/>
          <w:szCs w:val="22"/>
        </w:rPr>
        <w:t>naturaleza eminentemente comunicativa o testifical de las</w:t>
      </w:r>
      <w:r w:rsidR="00587FE2">
        <w:rPr>
          <w:rFonts w:ascii="Arial" w:hAnsi="Arial" w:cs="Arial"/>
          <w:sz w:val="22"/>
          <w:szCs w:val="22"/>
        </w:rPr>
        <w:t xml:space="preserve"> </w:t>
      </w:r>
      <w:r w:rsidR="00587FE2" w:rsidRPr="00587FE2">
        <w:rPr>
          <w:rFonts w:ascii="Arial" w:hAnsi="Arial" w:cs="Arial"/>
          <w:sz w:val="22"/>
          <w:szCs w:val="22"/>
        </w:rPr>
        <w:t>declaraciones verbales de los imputados respecto de las pruebas</w:t>
      </w:r>
      <w:r w:rsidR="00587FE2">
        <w:rPr>
          <w:rFonts w:ascii="Arial" w:hAnsi="Arial" w:cs="Arial"/>
          <w:sz w:val="22"/>
          <w:szCs w:val="22"/>
        </w:rPr>
        <w:t xml:space="preserve"> </w:t>
      </w:r>
      <w:r w:rsidR="00587FE2" w:rsidRPr="00587FE2">
        <w:rPr>
          <w:rFonts w:ascii="Arial" w:hAnsi="Arial" w:cs="Arial"/>
          <w:sz w:val="22"/>
          <w:szCs w:val="22"/>
        </w:rPr>
        <w:t>de carácter material que hipotéticamente puedan obtenerse</w:t>
      </w:r>
      <w:r w:rsidR="00587FE2">
        <w:rPr>
          <w:rFonts w:ascii="Arial" w:hAnsi="Arial" w:cs="Arial"/>
          <w:sz w:val="22"/>
          <w:szCs w:val="22"/>
        </w:rPr>
        <w:t xml:space="preserve"> </w:t>
      </w:r>
      <w:r w:rsidR="00587FE2" w:rsidRPr="00587FE2">
        <w:rPr>
          <w:rFonts w:ascii="Arial" w:hAnsi="Arial" w:cs="Arial"/>
          <w:sz w:val="22"/>
          <w:szCs w:val="22"/>
        </w:rPr>
        <w:t>de sus cuerpos en tanto no se vean afectados los derechos a la</w:t>
      </w:r>
      <w:r w:rsidR="00587FE2">
        <w:rPr>
          <w:rFonts w:ascii="Arial" w:hAnsi="Arial" w:cs="Arial"/>
          <w:sz w:val="22"/>
          <w:szCs w:val="22"/>
        </w:rPr>
        <w:t xml:space="preserve"> </w:t>
      </w:r>
      <w:r w:rsidR="00587FE2" w:rsidRPr="00587FE2">
        <w:rPr>
          <w:rFonts w:ascii="Arial" w:hAnsi="Arial" w:cs="Arial"/>
          <w:sz w:val="22"/>
          <w:szCs w:val="22"/>
        </w:rPr>
        <w:t>intimidad y a la salud</w:t>
      </w:r>
      <w:r>
        <w:rPr>
          <w:rFonts w:ascii="Arial" w:hAnsi="Arial" w:cs="Arial"/>
          <w:sz w:val="22"/>
          <w:szCs w:val="22"/>
        </w:rPr>
        <w:t xml:space="preserve">” </w:t>
      </w:r>
      <w:r w:rsidR="0005741D">
        <w:rPr>
          <w:rFonts w:ascii="Arial" w:hAnsi="Arial" w:cs="Arial"/>
          <w:sz w:val="22"/>
          <w:szCs w:val="22"/>
        </w:rPr>
        <w:t>(</w:t>
      </w:r>
      <w:r w:rsidR="005203E0">
        <w:rPr>
          <w:rFonts w:ascii="Arial" w:hAnsi="Arial" w:cs="Arial"/>
          <w:sz w:val="22"/>
          <w:szCs w:val="22"/>
        </w:rPr>
        <w:t xml:space="preserve">CSJN, autos </w:t>
      </w:r>
      <w:r w:rsidR="00AC457A" w:rsidRPr="009B6231">
        <w:rPr>
          <w:rFonts w:ascii="Arial" w:hAnsi="Arial" w:cs="Arial"/>
          <w:smallCaps/>
          <w:sz w:val="22"/>
          <w:szCs w:val="22"/>
        </w:rPr>
        <w:t>VÁZQUEZ FERRÁ</w:t>
      </w:r>
      <w:r w:rsidR="0005741D" w:rsidRPr="0005741D">
        <w:rPr>
          <w:rFonts w:ascii="Arial" w:hAnsi="Arial" w:cs="Arial"/>
          <w:sz w:val="22"/>
          <w:szCs w:val="22"/>
        </w:rPr>
        <w:t>, Evelin Karina s/ incidente de apelación</w:t>
      </w:r>
      <w:r w:rsidR="0005741D">
        <w:rPr>
          <w:rFonts w:ascii="Arial" w:hAnsi="Arial" w:cs="Arial"/>
          <w:sz w:val="22"/>
          <w:szCs w:val="22"/>
        </w:rPr>
        <w:t xml:space="preserve">. Fallos </w:t>
      </w:r>
      <w:r w:rsidR="0005741D" w:rsidRPr="0005741D">
        <w:rPr>
          <w:rFonts w:ascii="Arial" w:hAnsi="Arial" w:cs="Arial"/>
          <w:sz w:val="22"/>
          <w:szCs w:val="22"/>
        </w:rPr>
        <w:t>326:3758</w:t>
      </w:r>
      <w:r w:rsidR="0005741D">
        <w:rPr>
          <w:rFonts w:ascii="Arial" w:hAnsi="Arial" w:cs="Arial"/>
          <w:sz w:val="22"/>
          <w:szCs w:val="22"/>
        </w:rPr>
        <w:t>)</w:t>
      </w:r>
      <w:r w:rsidR="005203E0">
        <w:rPr>
          <w:rStyle w:val="Refdenotaalpie"/>
          <w:rFonts w:ascii="Arial" w:hAnsi="Arial" w:cs="Arial"/>
          <w:sz w:val="22"/>
          <w:szCs w:val="22"/>
        </w:rPr>
        <w:footnoteReference w:id="29"/>
      </w:r>
      <w:r w:rsidR="0005741D">
        <w:rPr>
          <w:rFonts w:ascii="Arial" w:hAnsi="Arial" w:cs="Arial"/>
          <w:sz w:val="22"/>
          <w:szCs w:val="22"/>
        </w:rPr>
        <w:t>.</w:t>
      </w:r>
    </w:p>
    <w:p w:rsidR="009D518A" w:rsidRPr="00952C94" w:rsidRDefault="009D518A" w:rsidP="009D518A">
      <w:pPr>
        <w:spacing w:line="360" w:lineRule="auto"/>
        <w:ind w:firstLine="567"/>
        <w:jc w:val="both"/>
        <w:rPr>
          <w:rFonts w:ascii="Arial" w:hAnsi="Arial" w:cs="Arial"/>
          <w:sz w:val="22"/>
          <w:szCs w:val="22"/>
        </w:rPr>
      </w:pPr>
    </w:p>
    <w:p w:rsidR="006D2C3D" w:rsidRDefault="006D2C3D" w:rsidP="006D2C3D">
      <w:pPr>
        <w:pStyle w:val="Ttulo1"/>
        <w:rPr>
          <w:rFonts w:ascii="Arial" w:hAnsi="Arial" w:cs="Arial"/>
          <w:sz w:val="22"/>
          <w:szCs w:val="22"/>
        </w:rPr>
      </w:pPr>
      <w:bookmarkStart w:id="8" w:name="_Toc100177583"/>
      <w:r>
        <w:rPr>
          <w:rFonts w:ascii="Arial" w:hAnsi="Arial" w:cs="Arial"/>
          <w:sz w:val="22"/>
          <w:szCs w:val="22"/>
        </w:rPr>
        <w:t>VII.- NEURODERECHOS</w:t>
      </w:r>
      <w:bookmarkEnd w:id="8"/>
    </w:p>
    <w:p w:rsidR="006D2C3D" w:rsidRDefault="006D2C3D" w:rsidP="0025437C">
      <w:pPr>
        <w:spacing w:line="360" w:lineRule="auto"/>
        <w:ind w:firstLine="567"/>
        <w:jc w:val="both"/>
        <w:rPr>
          <w:rFonts w:ascii="Arial" w:hAnsi="Arial" w:cs="Arial"/>
          <w:sz w:val="22"/>
          <w:szCs w:val="22"/>
        </w:rPr>
      </w:pPr>
    </w:p>
    <w:p w:rsidR="005955F1" w:rsidRPr="005955F1" w:rsidRDefault="005955F1" w:rsidP="0025437C">
      <w:pPr>
        <w:spacing w:line="360" w:lineRule="auto"/>
        <w:ind w:firstLine="567"/>
        <w:jc w:val="both"/>
        <w:rPr>
          <w:rFonts w:ascii="Arial" w:hAnsi="Arial" w:cs="Arial"/>
          <w:sz w:val="22"/>
          <w:szCs w:val="22"/>
        </w:rPr>
      </w:pPr>
      <w:r>
        <w:rPr>
          <w:rFonts w:ascii="Arial" w:hAnsi="Arial" w:cs="Arial"/>
          <w:sz w:val="22"/>
          <w:szCs w:val="22"/>
        </w:rPr>
        <w:lastRenderedPageBreak/>
        <w:t xml:space="preserve">Tal como refiere </w:t>
      </w:r>
      <w:r w:rsidR="00AC457A">
        <w:rPr>
          <w:rFonts w:ascii="Arial" w:hAnsi="Arial" w:cs="Arial"/>
          <w:sz w:val="22"/>
          <w:szCs w:val="22"/>
        </w:rPr>
        <w:t>Y</w:t>
      </w:r>
      <w:r w:rsidR="00AC457A">
        <w:rPr>
          <w:rFonts w:ascii="Arial" w:hAnsi="Arial" w:cs="Arial"/>
          <w:smallCaps/>
          <w:sz w:val="22"/>
          <w:szCs w:val="22"/>
        </w:rPr>
        <w:t>USTE</w:t>
      </w:r>
      <w:r w:rsidR="00AC457A">
        <w:rPr>
          <w:rFonts w:ascii="Arial" w:hAnsi="Arial" w:cs="Arial"/>
          <w:sz w:val="22"/>
          <w:szCs w:val="22"/>
        </w:rPr>
        <w:t xml:space="preserve"> (2018) </w:t>
      </w:r>
      <w:r>
        <w:rPr>
          <w:rFonts w:ascii="Arial" w:hAnsi="Arial" w:cs="Arial"/>
          <w:sz w:val="22"/>
          <w:szCs w:val="22"/>
        </w:rPr>
        <w:t>en una entrevista dada a la revista Memoria y Cerebro</w:t>
      </w:r>
      <w:r>
        <w:rPr>
          <w:rStyle w:val="Refdenotaalpie"/>
          <w:rFonts w:ascii="Arial" w:hAnsi="Arial" w:cs="Arial"/>
          <w:sz w:val="22"/>
          <w:szCs w:val="22"/>
        </w:rPr>
        <w:footnoteReference w:id="30"/>
      </w:r>
      <w:r>
        <w:rPr>
          <w:rFonts w:ascii="Arial" w:hAnsi="Arial" w:cs="Arial"/>
          <w:sz w:val="22"/>
          <w:szCs w:val="22"/>
        </w:rPr>
        <w:t>, las técnicas que se están desarrollando en relación con las neurociencias permiten descifrar y hasta alterar la actividad de las neuronas humanas, y las consecuencias de su uso resultan cada vez más serias, tanto en el uso de la salud de las personas, como en un uso no tan beneficioso; donde las personas se encuentran desprotegidas respecto del uso pernicioso de éstas técnicas, particularmente cuando éstas neurotécnicas con aplicadas junto a algoritmos de inteligencia artificial</w:t>
      </w:r>
      <w:r w:rsidR="00303378">
        <w:rPr>
          <w:rStyle w:val="Refdenotaalpie"/>
          <w:rFonts w:ascii="Arial" w:hAnsi="Arial" w:cs="Arial"/>
          <w:sz w:val="22"/>
          <w:szCs w:val="22"/>
        </w:rPr>
        <w:footnoteReference w:id="31"/>
      </w:r>
      <w:r>
        <w:rPr>
          <w:rFonts w:ascii="Arial" w:hAnsi="Arial" w:cs="Arial"/>
          <w:sz w:val="22"/>
          <w:szCs w:val="22"/>
        </w:rPr>
        <w:t>.</w:t>
      </w:r>
    </w:p>
    <w:p w:rsidR="005955F1" w:rsidRDefault="005955F1" w:rsidP="0025437C">
      <w:pPr>
        <w:spacing w:line="360" w:lineRule="auto"/>
        <w:ind w:firstLine="567"/>
        <w:jc w:val="both"/>
        <w:rPr>
          <w:rFonts w:ascii="Arial" w:hAnsi="Arial" w:cs="Arial"/>
          <w:sz w:val="22"/>
          <w:szCs w:val="22"/>
        </w:rPr>
      </w:pPr>
      <w:r>
        <w:rPr>
          <w:rFonts w:ascii="Arial" w:hAnsi="Arial" w:cs="Arial"/>
          <w:sz w:val="22"/>
          <w:szCs w:val="22"/>
        </w:rPr>
        <w:t>En ese sentido señala que existen aspectos humanos que se encuentran desprotegidos ante éstas técnicas, particularmente la privacidad mental</w:t>
      </w:r>
      <w:r w:rsidR="00174D31">
        <w:rPr>
          <w:rFonts w:ascii="Arial" w:hAnsi="Arial" w:cs="Arial"/>
          <w:sz w:val="22"/>
          <w:szCs w:val="22"/>
        </w:rPr>
        <w:t>, como la posibilidad de acceder a la información de nuestra mente</w:t>
      </w:r>
      <w:r w:rsidR="007F67F1">
        <w:rPr>
          <w:rStyle w:val="Refdenotaalpie"/>
          <w:rFonts w:ascii="Arial" w:hAnsi="Arial" w:cs="Arial"/>
          <w:sz w:val="22"/>
          <w:szCs w:val="22"/>
        </w:rPr>
        <w:footnoteReference w:id="32"/>
      </w:r>
      <w:r w:rsidR="00174D31">
        <w:rPr>
          <w:rFonts w:ascii="Arial" w:hAnsi="Arial" w:cs="Arial"/>
          <w:sz w:val="22"/>
          <w:szCs w:val="22"/>
        </w:rPr>
        <w:t xml:space="preserve"> determinando patrones de pensamiento que se generan tanto de manera consiente como subconsciente; así como </w:t>
      </w:r>
      <w:r>
        <w:rPr>
          <w:rFonts w:ascii="Arial" w:hAnsi="Arial" w:cs="Arial"/>
          <w:sz w:val="22"/>
          <w:szCs w:val="22"/>
        </w:rPr>
        <w:t xml:space="preserve">la inteligencia y hasta el libre albedrío. </w:t>
      </w:r>
    </w:p>
    <w:p w:rsidR="00F768B3" w:rsidRDefault="00174D31" w:rsidP="0025437C">
      <w:pPr>
        <w:spacing w:line="360" w:lineRule="auto"/>
        <w:ind w:firstLine="567"/>
        <w:jc w:val="both"/>
        <w:rPr>
          <w:rFonts w:ascii="Arial" w:hAnsi="Arial" w:cs="Arial"/>
          <w:sz w:val="22"/>
          <w:szCs w:val="22"/>
        </w:rPr>
      </w:pPr>
      <w:r>
        <w:rPr>
          <w:rFonts w:ascii="Arial" w:hAnsi="Arial" w:cs="Arial"/>
          <w:sz w:val="22"/>
          <w:szCs w:val="22"/>
        </w:rPr>
        <w:t>Por ello</w:t>
      </w:r>
      <w:r w:rsidR="007F67F1">
        <w:rPr>
          <w:rFonts w:ascii="Arial" w:hAnsi="Arial" w:cs="Arial"/>
          <w:sz w:val="22"/>
          <w:szCs w:val="22"/>
        </w:rPr>
        <w:t>, a partir</w:t>
      </w:r>
      <w:r>
        <w:rPr>
          <w:rFonts w:ascii="Arial" w:hAnsi="Arial" w:cs="Arial"/>
          <w:sz w:val="22"/>
          <w:szCs w:val="22"/>
        </w:rPr>
        <w:t xml:space="preserve"> </w:t>
      </w:r>
      <w:r w:rsidR="00A840BF">
        <w:rPr>
          <w:rFonts w:ascii="Arial" w:hAnsi="Arial" w:cs="Arial"/>
          <w:sz w:val="22"/>
          <w:szCs w:val="22"/>
        </w:rPr>
        <w:t xml:space="preserve">se ha propuesto la generación de lo que se ha denominado </w:t>
      </w:r>
      <w:r w:rsidR="00A840BF" w:rsidRPr="00A840BF">
        <w:rPr>
          <w:rFonts w:ascii="Arial" w:hAnsi="Arial" w:cs="Arial"/>
          <w:i/>
          <w:sz w:val="22"/>
          <w:szCs w:val="22"/>
        </w:rPr>
        <w:t>Neuroderechos</w:t>
      </w:r>
      <w:r w:rsidR="001A1028">
        <w:rPr>
          <w:rFonts w:ascii="Arial" w:hAnsi="Arial" w:cs="Arial"/>
          <w:sz w:val="22"/>
          <w:szCs w:val="22"/>
        </w:rPr>
        <w:t xml:space="preserve">, es decir </w:t>
      </w:r>
      <w:r w:rsidR="00F768B3" w:rsidRPr="00F768B3">
        <w:rPr>
          <w:rFonts w:ascii="Arial" w:hAnsi="Arial" w:cs="Arial"/>
          <w:sz w:val="22"/>
          <w:szCs w:val="22"/>
        </w:rPr>
        <w:t>nuevos derechos humanos que protegen la privacidad e integridad mental y psíquica, tanto consciente como inconsciente, de las personas del uso abusivo de neurotecnologías”</w:t>
      </w:r>
      <w:r w:rsidR="00F768B3">
        <w:rPr>
          <w:rFonts w:ascii="Arial" w:hAnsi="Arial" w:cs="Arial"/>
          <w:sz w:val="22"/>
          <w:szCs w:val="22"/>
        </w:rPr>
        <w:t xml:space="preserve">. En este sentido los </w:t>
      </w:r>
      <w:r w:rsidR="00F768B3" w:rsidRPr="00F768B3">
        <w:rPr>
          <w:rFonts w:ascii="Arial" w:hAnsi="Arial" w:cs="Arial"/>
          <w:sz w:val="22"/>
          <w:szCs w:val="22"/>
        </w:rPr>
        <w:t xml:space="preserve">neuroderechos </w:t>
      </w:r>
      <w:r w:rsidR="00F768B3">
        <w:rPr>
          <w:rFonts w:ascii="Arial" w:hAnsi="Arial" w:cs="Arial"/>
          <w:sz w:val="22"/>
          <w:szCs w:val="22"/>
        </w:rPr>
        <w:t xml:space="preserve">como </w:t>
      </w:r>
      <w:r w:rsidR="00F768B3" w:rsidRPr="00F768B3">
        <w:rPr>
          <w:rFonts w:ascii="Arial" w:hAnsi="Arial" w:cs="Arial"/>
          <w:sz w:val="22"/>
          <w:szCs w:val="22"/>
        </w:rPr>
        <w:t>“nuevos derechos humanos</w:t>
      </w:r>
      <w:r w:rsidR="00F768B3">
        <w:rPr>
          <w:rFonts w:ascii="Arial" w:hAnsi="Arial" w:cs="Arial"/>
          <w:sz w:val="22"/>
          <w:szCs w:val="22"/>
        </w:rPr>
        <w:t xml:space="preserve">” son </w:t>
      </w:r>
      <w:r w:rsidR="00F768B3" w:rsidRPr="00F768B3">
        <w:rPr>
          <w:rFonts w:ascii="Arial" w:hAnsi="Arial" w:cs="Arial"/>
          <w:sz w:val="22"/>
          <w:szCs w:val="22"/>
        </w:rPr>
        <w:t>resultado solamente de la posibilidad de un “uso abusivo de neurotecnologías”</w:t>
      </w:r>
      <w:r w:rsidR="00F768B3">
        <w:rPr>
          <w:rFonts w:ascii="Arial" w:hAnsi="Arial" w:cs="Arial"/>
          <w:sz w:val="22"/>
          <w:szCs w:val="22"/>
        </w:rPr>
        <w:t xml:space="preserve">; es decir </w:t>
      </w:r>
      <w:r w:rsidR="00F768B3" w:rsidRPr="00F768B3">
        <w:rPr>
          <w:rFonts w:ascii="Arial" w:hAnsi="Arial" w:cs="Arial"/>
          <w:sz w:val="22"/>
          <w:szCs w:val="22"/>
        </w:rPr>
        <w:t>de la posibilidad de usar las neurotecnologías para lesionar la privacidad, la integridad mental y la integ</w:t>
      </w:r>
      <w:r w:rsidR="00F768B3">
        <w:rPr>
          <w:rFonts w:ascii="Arial" w:hAnsi="Arial" w:cs="Arial"/>
          <w:sz w:val="22"/>
          <w:szCs w:val="22"/>
        </w:rPr>
        <w:t>ridad psíquica de las personas</w:t>
      </w:r>
      <w:r w:rsidR="00DA5C45">
        <w:rPr>
          <w:rStyle w:val="Refdenotaalpie"/>
          <w:rFonts w:ascii="Arial" w:hAnsi="Arial" w:cs="Arial"/>
          <w:sz w:val="22"/>
          <w:szCs w:val="22"/>
        </w:rPr>
        <w:footnoteReference w:id="33"/>
      </w:r>
      <w:r w:rsidR="00F768B3">
        <w:rPr>
          <w:rFonts w:ascii="Arial" w:hAnsi="Arial" w:cs="Arial"/>
          <w:sz w:val="22"/>
          <w:szCs w:val="22"/>
        </w:rPr>
        <w:t>.</w:t>
      </w:r>
    </w:p>
    <w:p w:rsidR="007F67F1" w:rsidRPr="007F67F1" w:rsidRDefault="007F67F1" w:rsidP="007F67F1">
      <w:pPr>
        <w:spacing w:line="360" w:lineRule="auto"/>
        <w:ind w:firstLine="567"/>
        <w:jc w:val="both"/>
        <w:rPr>
          <w:rFonts w:ascii="Arial" w:hAnsi="Arial" w:cs="Arial"/>
          <w:sz w:val="22"/>
          <w:szCs w:val="22"/>
        </w:rPr>
      </w:pPr>
      <w:r>
        <w:rPr>
          <w:rFonts w:ascii="Arial" w:hAnsi="Arial" w:cs="Arial"/>
          <w:sz w:val="22"/>
          <w:szCs w:val="22"/>
        </w:rPr>
        <w:t>En ese punto se han establecido cinco neuroderechos</w:t>
      </w:r>
      <w:r>
        <w:rPr>
          <w:rStyle w:val="Refdenotaalpie"/>
          <w:rFonts w:ascii="Arial" w:hAnsi="Arial" w:cs="Arial"/>
          <w:sz w:val="22"/>
          <w:szCs w:val="22"/>
        </w:rPr>
        <w:footnoteReference w:id="34"/>
      </w:r>
      <w:r>
        <w:rPr>
          <w:rFonts w:ascii="Arial" w:hAnsi="Arial" w:cs="Arial"/>
          <w:sz w:val="22"/>
          <w:szCs w:val="22"/>
        </w:rPr>
        <w:t xml:space="preserve">, a saber </w:t>
      </w:r>
    </w:p>
    <w:p w:rsidR="007F67F1" w:rsidRPr="007F67F1" w:rsidRDefault="007F67F1" w:rsidP="007F67F1">
      <w:pPr>
        <w:spacing w:line="360" w:lineRule="auto"/>
        <w:ind w:firstLine="567"/>
        <w:jc w:val="both"/>
        <w:rPr>
          <w:rFonts w:ascii="Arial" w:hAnsi="Arial" w:cs="Arial"/>
          <w:i/>
          <w:sz w:val="22"/>
          <w:szCs w:val="22"/>
        </w:rPr>
      </w:pPr>
      <w:r w:rsidRPr="007F67F1">
        <w:rPr>
          <w:rFonts w:ascii="Arial" w:hAnsi="Arial" w:cs="Arial"/>
          <w:i/>
          <w:sz w:val="22"/>
          <w:szCs w:val="22"/>
        </w:rPr>
        <w:t xml:space="preserve">Privacidad mental: Cualquier NeuroData obtenido de la medición de la actividad neuronal debe mantenerse en privado. Si se almacena, debería existir el derecho a que se elimine a petición del sujeto. La venta, la </w:t>
      </w:r>
      <w:r w:rsidRPr="007F67F1">
        <w:rPr>
          <w:rFonts w:ascii="Arial" w:hAnsi="Arial" w:cs="Arial"/>
          <w:i/>
          <w:sz w:val="22"/>
          <w:szCs w:val="22"/>
        </w:rPr>
        <w:lastRenderedPageBreak/>
        <w:t xml:space="preserve">transferencia comercial y el uso de datos neuronales deben estar estrictamente regulados. </w:t>
      </w:r>
    </w:p>
    <w:p w:rsidR="007F67F1" w:rsidRPr="007F67F1" w:rsidRDefault="007F67F1" w:rsidP="007F67F1">
      <w:pPr>
        <w:spacing w:line="360" w:lineRule="auto"/>
        <w:ind w:firstLine="567"/>
        <w:jc w:val="both"/>
        <w:rPr>
          <w:rFonts w:ascii="Arial" w:hAnsi="Arial" w:cs="Arial"/>
          <w:i/>
          <w:sz w:val="22"/>
          <w:szCs w:val="22"/>
        </w:rPr>
      </w:pPr>
      <w:r w:rsidRPr="007F67F1">
        <w:rPr>
          <w:rFonts w:ascii="Arial" w:hAnsi="Arial" w:cs="Arial"/>
          <w:i/>
          <w:sz w:val="22"/>
          <w:szCs w:val="22"/>
        </w:rPr>
        <w:t>Identidad personal: Se deben desarrollar límites para prohibir que la tecnología interrumpa el sentido de uno mismo. Cuando la neurotecnología conecta a las personas con redes digitales, podría difuminar la línea entre la conciencia de una persona y los aportes tecnológicos externos.</w:t>
      </w:r>
    </w:p>
    <w:p w:rsidR="007F67F1" w:rsidRPr="007F67F1" w:rsidRDefault="007F67F1" w:rsidP="007F67F1">
      <w:pPr>
        <w:spacing w:line="360" w:lineRule="auto"/>
        <w:ind w:firstLine="567"/>
        <w:jc w:val="both"/>
        <w:rPr>
          <w:rFonts w:ascii="Arial" w:hAnsi="Arial" w:cs="Arial"/>
          <w:i/>
          <w:sz w:val="22"/>
          <w:szCs w:val="22"/>
        </w:rPr>
      </w:pPr>
      <w:r w:rsidRPr="007F67F1">
        <w:rPr>
          <w:rFonts w:ascii="Arial" w:hAnsi="Arial" w:cs="Arial"/>
          <w:i/>
          <w:sz w:val="22"/>
          <w:szCs w:val="22"/>
        </w:rPr>
        <w:t xml:space="preserve">Libre albedrío: Los individuos deben tener el control final sobre su propia toma de decisiones, sin manipulación desconocida de neurotecnologías externas. </w:t>
      </w:r>
    </w:p>
    <w:p w:rsidR="007F67F1" w:rsidRPr="007F67F1" w:rsidRDefault="007F67F1" w:rsidP="007F67F1">
      <w:pPr>
        <w:spacing w:line="360" w:lineRule="auto"/>
        <w:ind w:firstLine="567"/>
        <w:jc w:val="both"/>
        <w:rPr>
          <w:rFonts w:ascii="Arial" w:hAnsi="Arial" w:cs="Arial"/>
          <w:i/>
          <w:sz w:val="22"/>
          <w:szCs w:val="22"/>
        </w:rPr>
      </w:pPr>
      <w:r w:rsidRPr="007F67F1">
        <w:rPr>
          <w:rFonts w:ascii="Arial" w:hAnsi="Arial" w:cs="Arial"/>
          <w:i/>
          <w:sz w:val="22"/>
          <w:szCs w:val="22"/>
        </w:rPr>
        <w:t>Acceso justo al aumento mental: Deberían existir directrices establecidas tanto a nivel internacional como nacional que regulen el uso de neurotecnologías de mejora mental. Estas directrices deben basarse en el principio de justicia y garantizar la igualdad de acceso.</w:t>
      </w:r>
    </w:p>
    <w:p w:rsidR="007F67F1" w:rsidRPr="007F67F1" w:rsidRDefault="007F67F1" w:rsidP="007F67F1">
      <w:pPr>
        <w:spacing w:line="360" w:lineRule="auto"/>
        <w:ind w:firstLine="567"/>
        <w:jc w:val="both"/>
        <w:rPr>
          <w:rFonts w:ascii="Arial" w:hAnsi="Arial" w:cs="Arial"/>
          <w:i/>
          <w:sz w:val="22"/>
          <w:szCs w:val="22"/>
        </w:rPr>
      </w:pPr>
      <w:r w:rsidRPr="007F67F1">
        <w:rPr>
          <w:rFonts w:ascii="Arial" w:hAnsi="Arial" w:cs="Arial"/>
          <w:i/>
          <w:sz w:val="22"/>
          <w:szCs w:val="22"/>
        </w:rPr>
        <w:t>Protección contra sesgos: Las contramedidas para combatir el sesgo deberían ser la norma para los algoritmos en neurotecnología. El diseño del algoritmo debe incluir información de los grupos de usuarios para abordar fundamentalmente el sesgo.</w:t>
      </w:r>
    </w:p>
    <w:p w:rsidR="006D2C3D" w:rsidRDefault="00AA5180" w:rsidP="0025437C">
      <w:pPr>
        <w:spacing w:line="360" w:lineRule="auto"/>
        <w:ind w:firstLine="567"/>
        <w:jc w:val="both"/>
        <w:rPr>
          <w:rFonts w:ascii="Arial" w:hAnsi="Arial" w:cs="Arial"/>
          <w:sz w:val="22"/>
          <w:szCs w:val="22"/>
        </w:rPr>
      </w:pPr>
      <w:r>
        <w:rPr>
          <w:rFonts w:ascii="Arial" w:hAnsi="Arial" w:cs="Arial"/>
          <w:sz w:val="22"/>
          <w:szCs w:val="22"/>
        </w:rPr>
        <w:t xml:space="preserve">Así como en </w:t>
      </w:r>
      <w:r w:rsidR="009B6231">
        <w:rPr>
          <w:rFonts w:ascii="Arial" w:hAnsi="Arial" w:cs="Arial"/>
          <w:sz w:val="22"/>
          <w:szCs w:val="22"/>
        </w:rPr>
        <w:t xml:space="preserve">capítulo </w:t>
      </w:r>
      <w:r w:rsidR="009B6231">
        <w:rPr>
          <w:rFonts w:ascii="Arial" w:hAnsi="Arial" w:cs="Arial"/>
          <w:i/>
          <w:sz w:val="22"/>
          <w:szCs w:val="22"/>
        </w:rPr>
        <w:t xml:space="preserve">White Chirstmas, </w:t>
      </w:r>
      <w:r w:rsidR="009B6231" w:rsidRPr="00952C94">
        <w:rPr>
          <w:rFonts w:ascii="Arial" w:hAnsi="Arial" w:cs="Arial"/>
          <w:sz w:val="22"/>
          <w:szCs w:val="22"/>
        </w:rPr>
        <w:t>se obtiene la confesión mediante la manipulación neurológica</w:t>
      </w:r>
      <w:r w:rsidR="009B6231">
        <w:rPr>
          <w:rFonts w:ascii="Arial" w:hAnsi="Arial" w:cs="Arial"/>
          <w:sz w:val="22"/>
          <w:szCs w:val="22"/>
        </w:rPr>
        <w:t>, y utilizando para ello un clon de la memoria</w:t>
      </w:r>
      <w:r w:rsidR="009B6231" w:rsidRPr="00952C94">
        <w:rPr>
          <w:rFonts w:ascii="Arial" w:hAnsi="Arial" w:cs="Arial"/>
          <w:sz w:val="22"/>
          <w:szCs w:val="22"/>
        </w:rPr>
        <w:t xml:space="preserve">, </w:t>
      </w:r>
      <w:r>
        <w:rPr>
          <w:rFonts w:ascii="Arial" w:hAnsi="Arial" w:cs="Arial"/>
          <w:sz w:val="22"/>
          <w:szCs w:val="22"/>
        </w:rPr>
        <w:t xml:space="preserve">además </w:t>
      </w:r>
      <w:r w:rsidR="009B6231" w:rsidRPr="00952C94">
        <w:rPr>
          <w:rFonts w:ascii="Arial" w:hAnsi="Arial" w:cs="Arial"/>
          <w:sz w:val="22"/>
          <w:szCs w:val="22"/>
        </w:rPr>
        <w:t xml:space="preserve">uno de los protagonistas somete </w:t>
      </w:r>
      <w:r w:rsidR="001302BD">
        <w:rPr>
          <w:rFonts w:ascii="Arial" w:hAnsi="Arial" w:cs="Arial"/>
          <w:sz w:val="22"/>
          <w:szCs w:val="22"/>
        </w:rPr>
        <w:t xml:space="preserve">al otro a un </w:t>
      </w:r>
      <w:r w:rsidR="009B6231" w:rsidRPr="00952C94">
        <w:rPr>
          <w:rFonts w:ascii="Arial" w:hAnsi="Arial" w:cs="Arial"/>
          <w:sz w:val="22"/>
          <w:szCs w:val="22"/>
        </w:rPr>
        <w:t>loop neurológico durante varios años</w:t>
      </w:r>
      <w:r w:rsidR="001302BD">
        <w:rPr>
          <w:rFonts w:ascii="Arial" w:hAnsi="Arial" w:cs="Arial"/>
          <w:sz w:val="22"/>
          <w:szCs w:val="22"/>
        </w:rPr>
        <w:t xml:space="preserve">, ello </w:t>
      </w:r>
      <w:r>
        <w:rPr>
          <w:rFonts w:ascii="Arial" w:hAnsi="Arial" w:cs="Arial"/>
          <w:sz w:val="22"/>
          <w:szCs w:val="22"/>
        </w:rPr>
        <w:t xml:space="preserve">con la participación </w:t>
      </w:r>
      <w:r w:rsidR="001302BD">
        <w:rPr>
          <w:rFonts w:ascii="Arial" w:hAnsi="Arial" w:cs="Arial"/>
          <w:sz w:val="22"/>
          <w:szCs w:val="22"/>
        </w:rPr>
        <w:t xml:space="preserve">de </w:t>
      </w:r>
      <w:r>
        <w:rPr>
          <w:rFonts w:ascii="Arial" w:hAnsi="Arial" w:cs="Arial"/>
          <w:sz w:val="22"/>
          <w:szCs w:val="22"/>
        </w:rPr>
        <w:t xml:space="preserve">la fiscalía, </w:t>
      </w:r>
      <w:r w:rsidR="001302BD">
        <w:rPr>
          <w:rFonts w:ascii="Arial" w:hAnsi="Arial" w:cs="Arial"/>
          <w:sz w:val="22"/>
          <w:szCs w:val="22"/>
        </w:rPr>
        <w:t>sin control jurisdiccional previo, a cambio de un beneficio en su propia condena</w:t>
      </w:r>
      <w:r w:rsidR="00F768B3">
        <w:rPr>
          <w:rFonts w:ascii="Arial" w:hAnsi="Arial" w:cs="Arial"/>
          <w:sz w:val="22"/>
          <w:szCs w:val="22"/>
        </w:rPr>
        <w:t>; en estos días ha surgido la confirmación de la utilización eficaz de un implante cerebral que a partir de la emisión de ondas electromagnéticas logran controlar los pensamientos depresivos.</w:t>
      </w:r>
    </w:p>
    <w:p w:rsidR="006D2C3D" w:rsidRDefault="006D2C3D" w:rsidP="0025437C">
      <w:pPr>
        <w:spacing w:line="360" w:lineRule="auto"/>
        <w:ind w:firstLine="567"/>
        <w:jc w:val="both"/>
        <w:rPr>
          <w:rFonts w:ascii="Arial" w:hAnsi="Arial" w:cs="Arial"/>
          <w:sz w:val="22"/>
          <w:szCs w:val="22"/>
        </w:rPr>
      </w:pPr>
    </w:p>
    <w:p w:rsidR="006D2C3D" w:rsidRDefault="006D2C3D" w:rsidP="006D2C3D">
      <w:pPr>
        <w:pStyle w:val="Ttulo1"/>
        <w:rPr>
          <w:rFonts w:ascii="Arial" w:hAnsi="Arial" w:cs="Arial"/>
          <w:sz w:val="22"/>
          <w:szCs w:val="22"/>
        </w:rPr>
      </w:pPr>
      <w:bookmarkStart w:id="9" w:name="_Toc100177584"/>
      <w:r>
        <w:rPr>
          <w:rFonts w:ascii="Arial" w:hAnsi="Arial" w:cs="Arial"/>
          <w:sz w:val="22"/>
          <w:szCs w:val="22"/>
        </w:rPr>
        <w:t>VIII. - CONCLUSIONES</w:t>
      </w:r>
      <w:bookmarkEnd w:id="9"/>
    </w:p>
    <w:p w:rsidR="006D2C3D" w:rsidRDefault="006D2C3D" w:rsidP="0025437C">
      <w:pPr>
        <w:spacing w:line="360" w:lineRule="auto"/>
        <w:ind w:firstLine="567"/>
        <w:jc w:val="both"/>
        <w:rPr>
          <w:rFonts w:ascii="Arial" w:hAnsi="Arial" w:cs="Arial"/>
          <w:sz w:val="22"/>
          <w:szCs w:val="22"/>
        </w:rPr>
      </w:pPr>
    </w:p>
    <w:p w:rsidR="00F768B3" w:rsidRDefault="00DA5C45" w:rsidP="0025437C">
      <w:pPr>
        <w:spacing w:line="360" w:lineRule="auto"/>
        <w:ind w:firstLine="567"/>
        <w:jc w:val="both"/>
        <w:rPr>
          <w:rFonts w:ascii="Arial" w:hAnsi="Arial" w:cs="Arial"/>
          <w:sz w:val="22"/>
          <w:szCs w:val="22"/>
        </w:rPr>
      </w:pPr>
      <w:r>
        <w:rPr>
          <w:rFonts w:ascii="Arial" w:hAnsi="Arial" w:cs="Arial"/>
          <w:sz w:val="22"/>
          <w:szCs w:val="22"/>
        </w:rPr>
        <w:t xml:space="preserve">Como hemos visto, más tarde que nunca nuestra información cerebral podrá ser procesada por una computadora, la cual podrá indefectiblemente registrar nuestros pensamientos. </w:t>
      </w:r>
    </w:p>
    <w:p w:rsidR="00DA5C45" w:rsidRDefault="00DA5C45" w:rsidP="0025437C">
      <w:pPr>
        <w:spacing w:line="360" w:lineRule="auto"/>
        <w:ind w:firstLine="567"/>
        <w:jc w:val="both"/>
        <w:rPr>
          <w:rFonts w:ascii="Arial" w:hAnsi="Arial" w:cs="Arial"/>
          <w:sz w:val="22"/>
          <w:szCs w:val="22"/>
        </w:rPr>
      </w:pPr>
      <w:r>
        <w:rPr>
          <w:rFonts w:ascii="Arial" w:hAnsi="Arial" w:cs="Arial"/>
          <w:sz w:val="22"/>
          <w:szCs w:val="22"/>
        </w:rPr>
        <w:t>Tal véz todavía sea un futuro distópico la posibilidad de almacenamiento de nuestros recuerdos en algún tipo de dispositivo al cual pueda accederse y analizar los recuerdos, sin embargo ese está siendo el norte de las neurotecnologías, comenzando por la modificación de la actividad neuronal.</w:t>
      </w:r>
    </w:p>
    <w:p w:rsidR="00DA5C45" w:rsidRDefault="00DA5C45" w:rsidP="0025437C">
      <w:pPr>
        <w:spacing w:line="360" w:lineRule="auto"/>
        <w:ind w:firstLine="567"/>
        <w:jc w:val="both"/>
        <w:rPr>
          <w:rFonts w:ascii="Arial" w:hAnsi="Arial" w:cs="Arial"/>
          <w:sz w:val="22"/>
          <w:szCs w:val="22"/>
        </w:rPr>
      </w:pPr>
      <w:r>
        <w:rPr>
          <w:rFonts w:ascii="Arial" w:hAnsi="Arial" w:cs="Arial"/>
          <w:sz w:val="22"/>
          <w:szCs w:val="22"/>
        </w:rPr>
        <w:lastRenderedPageBreak/>
        <w:t xml:space="preserve">Esta situación nos pone ante la necesidad de otorgar nuevas garantías, así como la reinterpretación de las mismas en torno </w:t>
      </w:r>
      <w:r w:rsidR="007A25F4">
        <w:rPr>
          <w:rFonts w:ascii="Arial" w:hAnsi="Arial" w:cs="Arial"/>
          <w:sz w:val="22"/>
          <w:szCs w:val="22"/>
        </w:rPr>
        <w:t xml:space="preserve">al uno de las nuevas tecnologías, y más aún ante </w:t>
      </w:r>
      <w:r>
        <w:rPr>
          <w:rFonts w:ascii="Arial" w:hAnsi="Arial" w:cs="Arial"/>
          <w:sz w:val="22"/>
          <w:szCs w:val="22"/>
        </w:rPr>
        <w:t xml:space="preserve">la posibilidad de la manipulación de </w:t>
      </w:r>
      <w:r w:rsidR="007A25F4">
        <w:rPr>
          <w:rFonts w:ascii="Arial" w:hAnsi="Arial" w:cs="Arial"/>
          <w:sz w:val="22"/>
          <w:szCs w:val="22"/>
        </w:rPr>
        <w:t>nuestra actividad cerebral</w:t>
      </w:r>
      <w:r>
        <w:rPr>
          <w:rFonts w:ascii="Arial" w:hAnsi="Arial" w:cs="Arial"/>
          <w:sz w:val="22"/>
          <w:szCs w:val="22"/>
        </w:rPr>
        <w:t>.</w:t>
      </w:r>
    </w:p>
    <w:p w:rsidR="000176D8" w:rsidRDefault="007A25F4" w:rsidP="000176D8">
      <w:pPr>
        <w:spacing w:line="360" w:lineRule="auto"/>
        <w:ind w:firstLine="567"/>
        <w:jc w:val="both"/>
        <w:rPr>
          <w:rFonts w:ascii="Arial" w:hAnsi="Arial" w:cs="Arial"/>
          <w:sz w:val="22"/>
          <w:szCs w:val="22"/>
        </w:rPr>
      </w:pPr>
      <w:r>
        <w:rPr>
          <w:rFonts w:ascii="Arial" w:hAnsi="Arial" w:cs="Arial"/>
          <w:sz w:val="22"/>
          <w:szCs w:val="22"/>
        </w:rPr>
        <w:t xml:space="preserve">En este punto, consideramos más acertado entender que el acceso compulsivo a la información generada a través de la neurotecnología debe ser considerada comprendida dentro de la garantía de no autoincriminación, y no como un elemento de prueba </w:t>
      </w:r>
      <w:r w:rsidR="000176D8">
        <w:rPr>
          <w:rFonts w:ascii="Arial" w:hAnsi="Arial" w:cs="Arial"/>
          <w:sz w:val="22"/>
          <w:szCs w:val="22"/>
        </w:rPr>
        <w:t xml:space="preserve">física. Es que como bien se ha dicho, en </w:t>
      </w:r>
      <w:r w:rsidR="000176D8" w:rsidRPr="000176D8">
        <w:rPr>
          <w:rFonts w:ascii="Arial" w:hAnsi="Arial" w:cs="Arial"/>
          <w:sz w:val="22"/>
          <w:szCs w:val="22"/>
        </w:rPr>
        <w:t>el derecho penal</w:t>
      </w:r>
      <w:r w:rsidR="000176D8">
        <w:rPr>
          <w:rFonts w:ascii="Arial" w:hAnsi="Arial" w:cs="Arial"/>
          <w:sz w:val="22"/>
          <w:szCs w:val="22"/>
        </w:rPr>
        <w:t xml:space="preserve"> </w:t>
      </w:r>
      <w:r w:rsidR="000176D8" w:rsidRPr="000176D8">
        <w:rPr>
          <w:rFonts w:ascii="Arial" w:hAnsi="Arial" w:cs="Arial"/>
          <w:sz w:val="22"/>
          <w:szCs w:val="22"/>
        </w:rPr>
        <w:t>existen pruebas</w:t>
      </w:r>
      <w:r w:rsidR="000176D8">
        <w:rPr>
          <w:rFonts w:ascii="Arial" w:hAnsi="Arial" w:cs="Arial"/>
          <w:sz w:val="22"/>
          <w:szCs w:val="22"/>
        </w:rPr>
        <w:t xml:space="preserve"> </w:t>
      </w:r>
      <w:r w:rsidR="000176D8" w:rsidRPr="000176D8">
        <w:rPr>
          <w:rFonts w:ascii="Arial" w:hAnsi="Arial" w:cs="Arial"/>
          <w:sz w:val="22"/>
          <w:szCs w:val="22"/>
        </w:rPr>
        <w:t>que toman al ser humano como “objeto” y</w:t>
      </w:r>
      <w:r w:rsidR="000176D8">
        <w:rPr>
          <w:rFonts w:ascii="Arial" w:hAnsi="Arial" w:cs="Arial"/>
          <w:sz w:val="22"/>
          <w:szCs w:val="22"/>
        </w:rPr>
        <w:t xml:space="preserve"> </w:t>
      </w:r>
      <w:r w:rsidR="000176D8" w:rsidRPr="000176D8">
        <w:rPr>
          <w:rFonts w:ascii="Arial" w:hAnsi="Arial" w:cs="Arial"/>
          <w:sz w:val="22"/>
          <w:szCs w:val="22"/>
        </w:rPr>
        <w:t>como “sujeto”</w:t>
      </w:r>
      <w:r w:rsidR="000176D8">
        <w:rPr>
          <w:rFonts w:ascii="Arial" w:hAnsi="Arial" w:cs="Arial"/>
          <w:sz w:val="22"/>
          <w:szCs w:val="22"/>
        </w:rPr>
        <w:t>, sin embargo</w:t>
      </w:r>
      <w:r w:rsidR="000176D8" w:rsidRPr="000176D8">
        <w:rPr>
          <w:rFonts w:ascii="Arial" w:hAnsi="Arial" w:cs="Arial"/>
          <w:sz w:val="22"/>
          <w:szCs w:val="22"/>
        </w:rPr>
        <w:t xml:space="preserve"> la mente es el límite</w:t>
      </w:r>
      <w:r w:rsidR="000176D8">
        <w:rPr>
          <w:rFonts w:ascii="Arial" w:hAnsi="Arial" w:cs="Arial"/>
          <w:sz w:val="22"/>
          <w:szCs w:val="22"/>
        </w:rPr>
        <w:t xml:space="preserve"> </w:t>
      </w:r>
      <w:r w:rsidR="000176D8" w:rsidRPr="000176D8">
        <w:rPr>
          <w:rFonts w:ascii="Arial" w:hAnsi="Arial" w:cs="Arial"/>
          <w:sz w:val="22"/>
          <w:szCs w:val="22"/>
        </w:rPr>
        <w:t>jurídico para la autoincriminación</w:t>
      </w:r>
      <w:r w:rsidR="000176D8">
        <w:rPr>
          <w:rStyle w:val="Refdenotaalpie"/>
          <w:rFonts w:ascii="Arial" w:hAnsi="Arial" w:cs="Arial"/>
          <w:sz w:val="22"/>
          <w:szCs w:val="22"/>
        </w:rPr>
        <w:footnoteReference w:id="35"/>
      </w:r>
      <w:r w:rsidR="000176D8" w:rsidRPr="000176D8">
        <w:rPr>
          <w:rFonts w:ascii="Arial" w:hAnsi="Arial" w:cs="Arial"/>
          <w:sz w:val="22"/>
          <w:szCs w:val="22"/>
        </w:rPr>
        <w:t>.</w:t>
      </w:r>
    </w:p>
    <w:p w:rsidR="00473627" w:rsidRDefault="00952C94" w:rsidP="0025437C">
      <w:pPr>
        <w:spacing w:line="360" w:lineRule="auto"/>
        <w:ind w:firstLine="567"/>
        <w:jc w:val="both"/>
        <w:rPr>
          <w:rFonts w:ascii="Arial" w:hAnsi="Arial" w:cs="Arial"/>
          <w:sz w:val="22"/>
          <w:szCs w:val="22"/>
        </w:rPr>
      </w:pPr>
      <w:r>
        <w:rPr>
          <w:rFonts w:ascii="Arial" w:hAnsi="Arial" w:cs="Arial"/>
          <w:sz w:val="22"/>
          <w:szCs w:val="22"/>
        </w:rPr>
        <w:br w:type="page"/>
      </w:r>
    </w:p>
    <w:p w:rsidR="00952C94" w:rsidRDefault="00E373FE" w:rsidP="00E373FE">
      <w:pPr>
        <w:pStyle w:val="Ttulo1"/>
        <w:rPr>
          <w:rFonts w:ascii="Arial" w:hAnsi="Arial" w:cs="Arial"/>
          <w:sz w:val="22"/>
          <w:szCs w:val="22"/>
        </w:rPr>
      </w:pPr>
      <w:bookmarkStart w:id="10" w:name="_Toc100177585"/>
      <w:r w:rsidRPr="00E373FE">
        <w:rPr>
          <w:rFonts w:ascii="Arial" w:hAnsi="Arial" w:cs="Arial"/>
          <w:sz w:val="22"/>
          <w:szCs w:val="22"/>
        </w:rPr>
        <w:lastRenderedPageBreak/>
        <w:t>BIBLIOGRAFÍA</w:t>
      </w:r>
      <w:bookmarkEnd w:id="10"/>
    </w:p>
    <w:p w:rsidR="00AA5180" w:rsidRPr="00AA5180" w:rsidRDefault="00AA5180" w:rsidP="00AA5180">
      <w:pPr>
        <w:spacing w:line="360" w:lineRule="auto"/>
        <w:ind w:firstLine="567"/>
        <w:jc w:val="both"/>
        <w:rPr>
          <w:rFonts w:ascii="Arial" w:hAnsi="Arial" w:cs="Arial"/>
          <w:sz w:val="22"/>
          <w:szCs w:val="22"/>
        </w:rPr>
      </w:pPr>
    </w:p>
    <w:p w:rsidR="00E1323A" w:rsidRDefault="00E1323A" w:rsidP="00E1323A">
      <w:pPr>
        <w:spacing w:line="360" w:lineRule="auto"/>
        <w:ind w:firstLine="567"/>
        <w:jc w:val="both"/>
        <w:rPr>
          <w:rFonts w:ascii="Arial" w:hAnsi="Arial" w:cs="Arial"/>
          <w:sz w:val="22"/>
          <w:szCs w:val="22"/>
        </w:rPr>
      </w:pPr>
    </w:p>
    <w:p w:rsidR="00E1323A" w:rsidRDefault="00E1323A" w:rsidP="00E1323A">
      <w:pPr>
        <w:spacing w:line="360" w:lineRule="auto"/>
        <w:ind w:firstLine="567"/>
        <w:jc w:val="both"/>
        <w:rPr>
          <w:rFonts w:ascii="Arial" w:hAnsi="Arial" w:cs="Arial"/>
          <w:sz w:val="22"/>
          <w:szCs w:val="22"/>
        </w:rPr>
      </w:pPr>
      <w:r w:rsidRPr="00E1323A">
        <w:rPr>
          <w:rFonts w:ascii="Arial" w:hAnsi="Arial" w:cs="Arial"/>
          <w:sz w:val="22"/>
          <w:szCs w:val="22"/>
        </w:rPr>
        <w:t xml:space="preserve">MEROI, Andrea, “La Prueba por declaración y la Reforma Procesal Civil”, en Revista de Derecho Procesal 2019 – 1 La Oralidad en el proceso; Ed Rubinzal Culzoni, pág 195 y sgtes. </w:t>
      </w:r>
    </w:p>
    <w:p w:rsidR="00E1323A" w:rsidRDefault="00E1323A" w:rsidP="00E1323A">
      <w:pPr>
        <w:spacing w:line="360" w:lineRule="auto"/>
        <w:ind w:firstLine="567"/>
        <w:jc w:val="both"/>
        <w:rPr>
          <w:rFonts w:ascii="Arial" w:hAnsi="Arial" w:cs="Arial"/>
          <w:sz w:val="22"/>
          <w:szCs w:val="22"/>
        </w:rPr>
      </w:pPr>
      <w:r w:rsidRPr="00E1323A">
        <w:rPr>
          <w:rFonts w:ascii="Arial" w:hAnsi="Arial" w:cs="Arial"/>
          <w:sz w:val="22"/>
          <w:szCs w:val="22"/>
        </w:rPr>
        <w:t xml:space="preserve">FERNÁNDEZ BALBIS, Amalia; La declaración de parte y el destierro de la prueba confesional; en Revista de Derecho Procesal 2019 – 2 Nuevas Estructuras Procesales, Ed. Rubinzal Culzoni, pág 79 y sgtes.; </w:t>
      </w:r>
    </w:p>
    <w:p w:rsidR="00E1323A" w:rsidRDefault="00E1323A" w:rsidP="00E1323A">
      <w:pPr>
        <w:spacing w:line="360" w:lineRule="auto"/>
        <w:ind w:firstLine="567"/>
        <w:jc w:val="both"/>
        <w:rPr>
          <w:rFonts w:ascii="Arial" w:hAnsi="Arial" w:cs="Arial"/>
          <w:sz w:val="22"/>
          <w:szCs w:val="22"/>
        </w:rPr>
      </w:pPr>
      <w:r w:rsidRPr="00E1323A">
        <w:rPr>
          <w:rFonts w:ascii="Arial" w:hAnsi="Arial" w:cs="Arial"/>
          <w:sz w:val="22"/>
          <w:szCs w:val="22"/>
        </w:rPr>
        <w:t xml:space="preserve">DUARTE Hernán, La Absolución De Posiciones Y Su Problemática Actual, Colección De Ensayos Procesales, FUDECIJU Bs As 2010; </w:t>
      </w:r>
    </w:p>
    <w:p w:rsidR="00E1323A" w:rsidRPr="00E1323A" w:rsidRDefault="00E1323A" w:rsidP="00E1323A">
      <w:pPr>
        <w:spacing w:line="360" w:lineRule="auto"/>
        <w:ind w:firstLine="567"/>
        <w:jc w:val="both"/>
        <w:rPr>
          <w:rFonts w:ascii="Arial" w:hAnsi="Arial" w:cs="Arial"/>
          <w:sz w:val="22"/>
          <w:szCs w:val="22"/>
        </w:rPr>
      </w:pPr>
      <w:r w:rsidRPr="00E1323A">
        <w:rPr>
          <w:rFonts w:ascii="Arial" w:hAnsi="Arial" w:cs="Arial"/>
          <w:sz w:val="22"/>
          <w:szCs w:val="22"/>
        </w:rPr>
        <w:t>VIDAURRETA, Miguel Alejandro, Absolución de posiciones: una prueba inconstitucional, ineficaz e inconveniente Publicado en: DJ23/06/2010, TR LALEY AR/DOC/3130/2010</w:t>
      </w:r>
    </w:p>
    <w:p w:rsidR="00E1323A" w:rsidRPr="00E1323A" w:rsidRDefault="00E1323A" w:rsidP="00E1323A">
      <w:pPr>
        <w:spacing w:line="360" w:lineRule="auto"/>
        <w:ind w:firstLine="567"/>
        <w:jc w:val="both"/>
        <w:rPr>
          <w:rFonts w:ascii="Arial" w:hAnsi="Arial" w:cs="Arial"/>
          <w:sz w:val="22"/>
          <w:szCs w:val="22"/>
        </w:rPr>
      </w:pPr>
      <w:r w:rsidRPr="00E1323A">
        <w:rPr>
          <w:rFonts w:ascii="Arial" w:hAnsi="Arial" w:cs="Arial"/>
          <w:sz w:val="22"/>
          <w:szCs w:val="22"/>
        </w:rPr>
        <w:t>VILLALBA, GISELA P.; Orígenes del derecho a no a declarar contra sí mismo y su garantía; Revista de Derecho Procesal Penal - Número 12 - Octubre 2017; IJ-CDLXIX-31.</w:t>
      </w:r>
    </w:p>
    <w:p w:rsidR="00E1323A" w:rsidRPr="00E1323A" w:rsidRDefault="00E1323A" w:rsidP="00E1323A">
      <w:pPr>
        <w:spacing w:line="360" w:lineRule="auto"/>
        <w:ind w:firstLine="567"/>
        <w:jc w:val="both"/>
        <w:rPr>
          <w:rFonts w:ascii="Arial" w:hAnsi="Arial" w:cs="Arial"/>
          <w:sz w:val="22"/>
          <w:szCs w:val="22"/>
        </w:rPr>
      </w:pPr>
      <w:r w:rsidRPr="00E1323A">
        <w:rPr>
          <w:rFonts w:ascii="Arial" w:hAnsi="Arial" w:cs="Arial"/>
          <w:sz w:val="22"/>
          <w:szCs w:val="22"/>
        </w:rPr>
        <w:t>QUIROGA LAVIÉ, Humberto; BENEDETTI, Miguel Ángel; CENICACELAYA María de las Nieves, Derecho Constitucional Argentino, Segunda Edición, Ed. Rubin</w:t>
      </w:r>
      <w:r>
        <w:rPr>
          <w:rFonts w:ascii="Arial" w:hAnsi="Arial" w:cs="Arial"/>
          <w:sz w:val="22"/>
          <w:szCs w:val="22"/>
        </w:rPr>
        <w:t>zal Culzoni, Santa Fé 2009;T° 1</w:t>
      </w:r>
      <w:r w:rsidRPr="00E1323A">
        <w:rPr>
          <w:rFonts w:ascii="Arial" w:hAnsi="Arial" w:cs="Arial"/>
          <w:sz w:val="22"/>
          <w:szCs w:val="22"/>
        </w:rPr>
        <w:t>.</w:t>
      </w:r>
    </w:p>
    <w:p w:rsidR="00E1323A" w:rsidRPr="00E1323A" w:rsidRDefault="00E1323A" w:rsidP="00E1323A">
      <w:pPr>
        <w:spacing w:line="360" w:lineRule="auto"/>
        <w:ind w:firstLine="567"/>
        <w:jc w:val="both"/>
        <w:rPr>
          <w:rFonts w:ascii="Arial" w:hAnsi="Arial" w:cs="Arial"/>
          <w:sz w:val="22"/>
          <w:szCs w:val="22"/>
        </w:rPr>
      </w:pPr>
      <w:r w:rsidRPr="00E1323A">
        <w:rPr>
          <w:rFonts w:ascii="Arial" w:hAnsi="Arial" w:cs="Arial"/>
          <w:sz w:val="22"/>
          <w:szCs w:val="22"/>
        </w:rPr>
        <w:t>SARMIENTO, Domingo Faustino, Comentarios de la Constitución de la Confederación Argentina; Bs. As., pag 113 y sgtes</w:t>
      </w:r>
    </w:p>
    <w:p w:rsidR="00E1323A" w:rsidRDefault="00E1323A" w:rsidP="00E1323A">
      <w:pPr>
        <w:spacing w:line="360" w:lineRule="auto"/>
        <w:ind w:firstLine="567"/>
        <w:jc w:val="both"/>
        <w:rPr>
          <w:rFonts w:ascii="Arial" w:hAnsi="Arial" w:cs="Arial"/>
          <w:sz w:val="22"/>
          <w:szCs w:val="22"/>
        </w:rPr>
      </w:pPr>
      <w:r w:rsidRPr="00E1323A">
        <w:rPr>
          <w:rFonts w:ascii="Arial" w:hAnsi="Arial" w:cs="Arial"/>
          <w:sz w:val="22"/>
          <w:szCs w:val="22"/>
        </w:rPr>
        <w:t>CALLANDRELI ALCIDES, Lecciones de Derecho Constitucional notas tomadas de las conferencias del Dr. M A Montes De Oca., TOMO I, tipo Litografia BUENOS AIRES 1917 en</w:t>
      </w:r>
    </w:p>
    <w:p w:rsidR="00E1323A" w:rsidRPr="00E1323A" w:rsidRDefault="00E1323A" w:rsidP="00E1323A">
      <w:pPr>
        <w:spacing w:line="360" w:lineRule="auto"/>
        <w:ind w:firstLine="567"/>
        <w:jc w:val="both"/>
        <w:rPr>
          <w:rFonts w:ascii="Arial" w:hAnsi="Arial" w:cs="Arial"/>
          <w:sz w:val="22"/>
          <w:szCs w:val="22"/>
        </w:rPr>
      </w:pPr>
      <w:r w:rsidRPr="00E1323A">
        <w:rPr>
          <w:rFonts w:ascii="Arial" w:hAnsi="Arial" w:cs="Arial"/>
          <w:sz w:val="22"/>
          <w:szCs w:val="22"/>
        </w:rPr>
        <w:t>GELLI, María Angélica; Constitución de la Nación Argentina Comentada y Concordada, 2da Edición 1ra Reimpresión, La Ley, Buenos Aires 2004; pág. 161 y sgtes.</w:t>
      </w:r>
    </w:p>
    <w:p w:rsidR="00E1323A" w:rsidRDefault="00E1323A" w:rsidP="00E1323A">
      <w:pPr>
        <w:spacing w:line="360" w:lineRule="auto"/>
        <w:ind w:firstLine="567"/>
        <w:jc w:val="both"/>
        <w:rPr>
          <w:rFonts w:ascii="Arial" w:hAnsi="Arial" w:cs="Arial"/>
          <w:sz w:val="22"/>
          <w:szCs w:val="22"/>
        </w:rPr>
      </w:pPr>
      <w:r>
        <w:rPr>
          <w:rFonts w:ascii="Arial" w:hAnsi="Arial" w:cs="Arial"/>
          <w:sz w:val="22"/>
          <w:szCs w:val="22"/>
        </w:rPr>
        <w:t>DE LUCA, Javier Augusto¸ Pruebas Sobre el cuerpo del imputado o testigos y las garantías constitucionales; en Revista de Derecho Penal 2000 – 1 Derechos y Garantías Procesales</w:t>
      </w:r>
    </w:p>
    <w:p w:rsidR="00F768B3" w:rsidRDefault="00E1323A" w:rsidP="00E1323A">
      <w:pPr>
        <w:spacing w:line="360" w:lineRule="auto"/>
        <w:ind w:firstLine="567"/>
        <w:jc w:val="both"/>
        <w:rPr>
          <w:rFonts w:ascii="Arial" w:hAnsi="Arial" w:cs="Arial"/>
          <w:sz w:val="22"/>
          <w:szCs w:val="22"/>
        </w:rPr>
      </w:pPr>
      <w:r w:rsidRPr="00E1323A">
        <w:rPr>
          <w:rFonts w:ascii="Arial" w:hAnsi="Arial" w:cs="Arial"/>
          <w:sz w:val="22"/>
          <w:szCs w:val="22"/>
        </w:rPr>
        <w:t>ÁLVAREZ GONZÁLEZ, Carlos Fernández; ILES MUÑOZ, Luis Alejandro; RIVERA, Jeffry Samir; BERMÚDEZ DURÁN, César Mauricio; MÓNOGA, Eduardo;  “</w:t>
      </w:r>
      <w:r w:rsidRPr="00E1323A">
        <w:rPr>
          <w:rFonts w:ascii="Arial" w:hAnsi="Arial" w:cs="Arial"/>
          <w:i/>
          <w:sz w:val="22"/>
          <w:szCs w:val="22"/>
        </w:rPr>
        <w:t>Lo trágico en el relato ficcional de Black Mirror</w:t>
      </w:r>
      <w:r w:rsidRPr="00E1323A">
        <w:rPr>
          <w:rFonts w:ascii="Arial" w:hAnsi="Arial" w:cs="Arial"/>
          <w:sz w:val="22"/>
          <w:szCs w:val="22"/>
        </w:rPr>
        <w:t>” en El efecto Black Mirror. Ensayos sobre filosofía, tecnología y cultura; Héctor A. Feruglio Ortiz, Naím Garnica y Carlos F. Álvarez González (compiladores</w:t>
      </w:r>
      <w:r w:rsidR="00F768B3">
        <w:rPr>
          <w:rFonts w:ascii="Arial" w:hAnsi="Arial" w:cs="Arial"/>
          <w:sz w:val="22"/>
          <w:szCs w:val="22"/>
        </w:rPr>
        <w:t>; 2019 Buenos Aires, TeseoPress</w:t>
      </w:r>
    </w:p>
    <w:p w:rsidR="00E1323A" w:rsidRPr="00E1323A" w:rsidRDefault="00E1323A" w:rsidP="00E1323A">
      <w:pPr>
        <w:spacing w:line="360" w:lineRule="auto"/>
        <w:ind w:firstLine="567"/>
        <w:jc w:val="both"/>
        <w:rPr>
          <w:rFonts w:ascii="Arial" w:hAnsi="Arial" w:cs="Arial"/>
          <w:sz w:val="22"/>
          <w:szCs w:val="22"/>
        </w:rPr>
      </w:pPr>
      <w:r w:rsidRPr="00E1323A">
        <w:rPr>
          <w:rFonts w:ascii="Arial" w:hAnsi="Arial" w:cs="Arial"/>
          <w:sz w:val="22"/>
          <w:szCs w:val="22"/>
        </w:rPr>
        <w:lastRenderedPageBreak/>
        <w:t>GÓMEZ JOLIS, Giselle; Biometría y derecho. Usos, aplicación y protección de los datos biométricos; LA LEY 13/07/2021, TR LALEY AR/DOC/1997/2021.</w:t>
      </w:r>
    </w:p>
    <w:p w:rsidR="00E1323A" w:rsidRPr="00E1323A" w:rsidRDefault="00E1323A" w:rsidP="00E1323A">
      <w:pPr>
        <w:spacing w:line="360" w:lineRule="auto"/>
        <w:ind w:firstLine="567"/>
        <w:jc w:val="both"/>
        <w:rPr>
          <w:rFonts w:ascii="Arial" w:hAnsi="Arial" w:cs="Arial"/>
          <w:sz w:val="22"/>
          <w:szCs w:val="22"/>
        </w:rPr>
      </w:pPr>
      <w:r w:rsidRPr="00E1323A">
        <w:rPr>
          <w:rFonts w:ascii="Arial" w:hAnsi="Arial" w:cs="Arial"/>
          <w:sz w:val="22"/>
          <w:szCs w:val="22"/>
        </w:rPr>
        <w:t xml:space="preserve">MILLER, Christian H; Un paso atrás en la protección de los datos biompetricos del sospechoso, en #Legal Tech II El Derecho Ante la Tecnología Gastón Bielli, Santiago Mora, Diego Fernandez, La Ley 2019 </w:t>
      </w:r>
    </w:p>
    <w:p w:rsidR="00E1323A" w:rsidRPr="00E1323A" w:rsidRDefault="00E1323A" w:rsidP="00E1323A">
      <w:pPr>
        <w:spacing w:line="360" w:lineRule="auto"/>
        <w:ind w:firstLine="567"/>
        <w:jc w:val="both"/>
        <w:rPr>
          <w:rFonts w:ascii="Arial" w:hAnsi="Arial" w:cs="Arial"/>
          <w:sz w:val="22"/>
          <w:szCs w:val="22"/>
        </w:rPr>
      </w:pPr>
      <w:r w:rsidRPr="00E1323A">
        <w:rPr>
          <w:rFonts w:ascii="Arial" w:hAnsi="Arial" w:cs="Arial"/>
          <w:sz w:val="22"/>
          <w:szCs w:val="22"/>
        </w:rPr>
        <w:t>YUSTE, Rafael, Necesitamos Neuroderechos Universales, MyC Nro91, 2018</w:t>
      </w:r>
    </w:p>
    <w:sectPr w:rsidR="00E1323A" w:rsidRPr="00E1323A" w:rsidSect="00E373FE">
      <w:pgSz w:w="11907" w:h="16840" w:code="9"/>
      <w:pgMar w:top="1418" w:right="2268" w:bottom="1418" w:left="2268" w:header="2835" w:footer="567" w:gutter="0"/>
      <w:pgNumType w:start="0"/>
      <w:cols w:space="720"/>
      <w:titlePg/>
      <w:docGrid w:linePitch="326" w:charSpace="3276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6188" w:rsidRDefault="004C6188">
      <w:r>
        <w:separator/>
      </w:r>
    </w:p>
  </w:endnote>
  <w:endnote w:type="continuationSeparator" w:id="0">
    <w:p w:rsidR="004C6188" w:rsidRDefault="004C61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altName w:val="Courier New"/>
    <w:panose1 w:val="00000400000000000000"/>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TrebuchetMS">
    <w:charset w:val="00"/>
    <w:family w:val="swiss"/>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6188" w:rsidRDefault="004C6188">
      <w:r>
        <w:separator/>
      </w:r>
    </w:p>
  </w:footnote>
  <w:footnote w:type="continuationSeparator" w:id="0">
    <w:p w:rsidR="004C6188" w:rsidRDefault="004C6188">
      <w:r>
        <w:continuationSeparator/>
      </w:r>
    </w:p>
  </w:footnote>
  <w:footnote w:id="1">
    <w:p w:rsidR="00AE2DE6" w:rsidRPr="00952C94" w:rsidRDefault="0033401E" w:rsidP="00AE2DE6">
      <w:pPr>
        <w:spacing w:before="120"/>
        <w:jc w:val="both"/>
        <w:rPr>
          <w:rFonts w:ascii="Arial" w:hAnsi="Arial" w:cs="Arial"/>
          <w:sz w:val="18"/>
          <w:szCs w:val="18"/>
        </w:rPr>
      </w:pPr>
      <w:r w:rsidRPr="00F95BC2">
        <w:rPr>
          <w:rStyle w:val="Refdenotaalpie"/>
          <w:rFonts w:ascii="Arial" w:hAnsi="Arial" w:cs="Arial"/>
          <w:sz w:val="22"/>
          <w:szCs w:val="22"/>
        </w:rPr>
        <w:footnoteRef/>
      </w:r>
      <w:r w:rsidRPr="00952C94">
        <w:rPr>
          <w:rFonts w:ascii="Arial" w:hAnsi="Arial" w:cs="Arial"/>
          <w:sz w:val="18"/>
          <w:szCs w:val="18"/>
        </w:rPr>
        <w:t xml:space="preserve"> En este punto hay que recordar que las denominadas garantías procesales han tenido mayor desarrollo en el campo del derecho procesal penal de la siguiente manera: 1) la presunción de inocencia (art. 4° CPP; art. 8.2  CADH; art. 14.2 PIDCP); 2) el non bis in ídem como estándar de clausura procesal -y vinculado con la excepción de cosa juzgada- consistente en la prohibición de juzgamiento múltiple o persecución única (art. 1° CPP; art. 8.4 CADH; art. 14.7 PIDCP); 3) el derecho a no ser obligado a declarar contra sí mismo ni a declararse culpable y el derecho a guardar silencio (art. 8.2, letra g) y art. 8.3 CADH; art. 14.3, letra g) PIDCP; art. 93, letra g) CPP; art. 19 N° 7 letra f) de la Constitución); 4) el derecho a ser juzgado sin dilaciones indebidas (art. 14.3, letra c) PIDCP); 5) el derecho de recurrir del fallo ante juez o tribunal superior o a que sea revisado si es condenatorio (art. 8.2, letra h) CADH); art. 14.5 PIDCP); 6) derechos asociados a la libertad personal: derecho a no ser privado de la libertad física, salvo por causas y en las condiciones legales; derecho a ser informado de las razones de la detención; derecho del detenido de ser llevado sin demora ante juez o funcionario; derecho a que se decida sobre la legalidad del arresto.</w:t>
      </w:r>
    </w:p>
    <w:p w:rsidR="0033401E" w:rsidRPr="00952C94" w:rsidRDefault="006F35D2" w:rsidP="006F35D2">
      <w:pPr>
        <w:tabs>
          <w:tab w:val="left" w:pos="284"/>
        </w:tabs>
        <w:jc w:val="both"/>
        <w:rPr>
          <w:rFonts w:ascii="Arial" w:hAnsi="Arial" w:cs="Arial"/>
          <w:sz w:val="18"/>
          <w:szCs w:val="18"/>
        </w:rPr>
      </w:pPr>
      <w:r>
        <w:rPr>
          <w:rFonts w:ascii="Arial" w:hAnsi="Arial" w:cs="Arial"/>
          <w:sz w:val="18"/>
          <w:szCs w:val="18"/>
        </w:rPr>
        <w:tab/>
      </w:r>
      <w:r w:rsidR="0033401E" w:rsidRPr="00952C94">
        <w:rPr>
          <w:rFonts w:ascii="Arial" w:hAnsi="Arial" w:cs="Arial"/>
          <w:sz w:val="18"/>
          <w:szCs w:val="18"/>
        </w:rPr>
        <w:t xml:space="preserve">Cierto es que dichas garantías procesales tienen un marco de aplicación más amplio, así se han reconocido su vigencia en el derecho procesal civil en sentido amplio (entendiendo como tal el derecho no penal) y últimamente se ha visto una fuerte revisión de su aplicación en el ámbito del derecho administrativo. </w:t>
      </w:r>
    </w:p>
  </w:footnote>
  <w:footnote w:id="2">
    <w:p w:rsidR="00771DFC" w:rsidRPr="00952C94" w:rsidRDefault="00771DFC" w:rsidP="00771DFC">
      <w:pPr>
        <w:spacing w:before="120"/>
        <w:jc w:val="both"/>
        <w:rPr>
          <w:rFonts w:ascii="Arial" w:hAnsi="Arial" w:cs="Arial"/>
          <w:smallCaps/>
          <w:sz w:val="18"/>
          <w:szCs w:val="18"/>
        </w:rPr>
      </w:pPr>
      <w:r w:rsidRPr="00F95BC2">
        <w:rPr>
          <w:rStyle w:val="Refdenotaalpie"/>
          <w:rFonts w:ascii="Arial" w:hAnsi="Arial" w:cs="Arial"/>
          <w:sz w:val="22"/>
          <w:szCs w:val="22"/>
        </w:rPr>
        <w:footnoteRef/>
      </w:r>
      <w:r w:rsidRPr="00F95BC2">
        <w:rPr>
          <w:rStyle w:val="Refdenotaalpie"/>
          <w:sz w:val="22"/>
          <w:szCs w:val="22"/>
        </w:rPr>
        <w:t xml:space="preserve"> </w:t>
      </w:r>
      <w:r w:rsidRPr="00952C94">
        <w:rPr>
          <w:rFonts w:ascii="Arial" w:hAnsi="Arial" w:cs="Arial"/>
          <w:sz w:val="18"/>
          <w:szCs w:val="18"/>
        </w:rPr>
        <w:t xml:space="preserve">En ese sentido ver: </w:t>
      </w:r>
      <w:r w:rsidR="007213C9" w:rsidRPr="00952C94">
        <w:rPr>
          <w:rFonts w:ascii="Arial" w:hAnsi="Arial" w:cs="Arial"/>
          <w:smallCaps/>
          <w:sz w:val="18"/>
          <w:szCs w:val="18"/>
        </w:rPr>
        <w:t>MEROI</w:t>
      </w:r>
      <w:r w:rsidRPr="00952C94">
        <w:rPr>
          <w:rFonts w:ascii="Arial" w:hAnsi="Arial" w:cs="Arial"/>
          <w:smallCaps/>
          <w:sz w:val="18"/>
          <w:szCs w:val="18"/>
        </w:rPr>
        <w:t xml:space="preserve">, </w:t>
      </w:r>
      <w:r w:rsidRPr="00952C94">
        <w:rPr>
          <w:rFonts w:ascii="Arial" w:hAnsi="Arial" w:cs="Arial"/>
          <w:sz w:val="18"/>
          <w:szCs w:val="18"/>
        </w:rPr>
        <w:t>Andrea</w:t>
      </w:r>
      <w:r w:rsidRPr="00952C94">
        <w:rPr>
          <w:rFonts w:ascii="Arial" w:hAnsi="Arial" w:cs="Arial"/>
          <w:smallCaps/>
          <w:sz w:val="18"/>
          <w:szCs w:val="18"/>
        </w:rPr>
        <w:t>, “</w:t>
      </w:r>
      <w:r w:rsidRPr="00952C94">
        <w:rPr>
          <w:rFonts w:ascii="Arial" w:hAnsi="Arial" w:cs="Arial"/>
          <w:i/>
          <w:sz w:val="18"/>
          <w:szCs w:val="18"/>
        </w:rPr>
        <w:t>La Prueba por declaración y la Reforma Procesal Civil”</w:t>
      </w:r>
      <w:r w:rsidRPr="00952C94">
        <w:rPr>
          <w:rFonts w:ascii="Arial" w:hAnsi="Arial" w:cs="Arial"/>
          <w:sz w:val="18"/>
          <w:szCs w:val="18"/>
        </w:rPr>
        <w:t xml:space="preserve">, en Revista de Derecho Procesal 2019 – 1 La Oralidad en el proceso; Ed Rubinzal Culzoni, pág 195 y sgtes.; </w:t>
      </w:r>
      <w:r w:rsidR="007213C9" w:rsidRPr="00952C94">
        <w:rPr>
          <w:rFonts w:ascii="Arial" w:hAnsi="Arial" w:cs="Arial"/>
          <w:smallCaps/>
          <w:sz w:val="18"/>
          <w:szCs w:val="18"/>
        </w:rPr>
        <w:t>FERNÁNDEZ BALBIS,</w:t>
      </w:r>
      <w:r w:rsidRPr="00952C94">
        <w:rPr>
          <w:rFonts w:ascii="Arial" w:hAnsi="Arial" w:cs="Arial"/>
          <w:smallCaps/>
          <w:sz w:val="18"/>
          <w:szCs w:val="18"/>
        </w:rPr>
        <w:t xml:space="preserve"> </w:t>
      </w:r>
      <w:r w:rsidRPr="00952C94">
        <w:rPr>
          <w:rFonts w:ascii="Arial" w:hAnsi="Arial" w:cs="Arial"/>
          <w:sz w:val="18"/>
          <w:szCs w:val="18"/>
        </w:rPr>
        <w:t>Amalia</w:t>
      </w:r>
      <w:r w:rsidRPr="00952C94">
        <w:rPr>
          <w:rFonts w:ascii="Arial" w:hAnsi="Arial" w:cs="Arial"/>
          <w:smallCaps/>
          <w:sz w:val="18"/>
          <w:szCs w:val="18"/>
        </w:rPr>
        <w:t xml:space="preserve">; </w:t>
      </w:r>
      <w:r w:rsidRPr="00952C94">
        <w:rPr>
          <w:rFonts w:ascii="Arial" w:hAnsi="Arial" w:cs="Arial"/>
          <w:sz w:val="18"/>
          <w:szCs w:val="18"/>
        </w:rPr>
        <w:t xml:space="preserve">La declaración de parte y el destierro de la prueba confesional; en Revista de Derecho Procesal 2019 – 2 Nuevas Estructuras Procesales, Ed. Rubinzal Culzoni, pág 79 y sgtes.; </w:t>
      </w:r>
      <w:r w:rsidR="007213C9" w:rsidRPr="00952C94">
        <w:rPr>
          <w:rFonts w:ascii="Arial" w:hAnsi="Arial" w:cs="Arial"/>
          <w:smallCaps/>
          <w:sz w:val="18"/>
          <w:szCs w:val="18"/>
        </w:rPr>
        <w:t xml:space="preserve">DUARTE </w:t>
      </w:r>
      <w:r w:rsidRPr="00952C94">
        <w:rPr>
          <w:rFonts w:ascii="Arial" w:hAnsi="Arial" w:cs="Arial"/>
          <w:sz w:val="18"/>
          <w:szCs w:val="18"/>
        </w:rPr>
        <w:t>Hernán, La Absolución De Posiciones Y Su Problemática Actual</w:t>
      </w:r>
      <w:r w:rsidRPr="00952C94">
        <w:rPr>
          <w:rFonts w:ascii="Arial" w:hAnsi="Arial" w:cs="Arial"/>
          <w:smallCaps/>
          <w:sz w:val="18"/>
          <w:szCs w:val="18"/>
        </w:rPr>
        <w:t xml:space="preserve">, </w:t>
      </w:r>
      <w:r w:rsidRPr="00952C94">
        <w:rPr>
          <w:rFonts w:ascii="Arial" w:hAnsi="Arial" w:cs="Arial"/>
          <w:sz w:val="18"/>
          <w:szCs w:val="18"/>
        </w:rPr>
        <w:t>Colección De Ensayos Procesales</w:t>
      </w:r>
      <w:r w:rsidRPr="00952C94">
        <w:rPr>
          <w:rFonts w:ascii="Arial" w:hAnsi="Arial" w:cs="Arial"/>
          <w:smallCaps/>
          <w:sz w:val="18"/>
          <w:szCs w:val="18"/>
        </w:rPr>
        <w:t xml:space="preserve">, </w:t>
      </w:r>
      <w:r w:rsidRPr="00952C94">
        <w:rPr>
          <w:rFonts w:ascii="Arial" w:hAnsi="Arial" w:cs="Arial"/>
          <w:sz w:val="18"/>
          <w:szCs w:val="18"/>
        </w:rPr>
        <w:t>FUDECIJU</w:t>
      </w:r>
      <w:r w:rsidRPr="00952C94">
        <w:rPr>
          <w:rFonts w:ascii="Arial" w:hAnsi="Arial" w:cs="Arial"/>
          <w:smallCaps/>
          <w:sz w:val="18"/>
          <w:szCs w:val="18"/>
        </w:rPr>
        <w:t xml:space="preserve"> </w:t>
      </w:r>
      <w:r w:rsidRPr="00952C94">
        <w:rPr>
          <w:rFonts w:ascii="Arial" w:hAnsi="Arial" w:cs="Arial"/>
          <w:sz w:val="18"/>
          <w:szCs w:val="18"/>
        </w:rPr>
        <w:t>Bs As</w:t>
      </w:r>
      <w:r w:rsidRPr="00952C94">
        <w:rPr>
          <w:rFonts w:ascii="Arial" w:hAnsi="Arial" w:cs="Arial"/>
          <w:smallCaps/>
          <w:sz w:val="18"/>
          <w:szCs w:val="18"/>
        </w:rPr>
        <w:t xml:space="preserve"> 2010; </w:t>
      </w:r>
      <w:r w:rsidR="007213C9" w:rsidRPr="00952C94">
        <w:rPr>
          <w:rFonts w:ascii="Arial" w:hAnsi="Arial" w:cs="Arial"/>
          <w:smallCaps/>
          <w:sz w:val="18"/>
          <w:szCs w:val="18"/>
        </w:rPr>
        <w:t>VIDAURRETA</w:t>
      </w:r>
      <w:r w:rsidRPr="00952C94">
        <w:rPr>
          <w:rFonts w:ascii="Arial" w:hAnsi="Arial" w:cs="Arial"/>
          <w:smallCaps/>
          <w:sz w:val="18"/>
          <w:szCs w:val="18"/>
        </w:rPr>
        <w:t xml:space="preserve">, </w:t>
      </w:r>
      <w:r w:rsidRPr="00952C94">
        <w:rPr>
          <w:rFonts w:ascii="Arial" w:hAnsi="Arial" w:cs="Arial"/>
          <w:sz w:val="18"/>
          <w:szCs w:val="18"/>
        </w:rPr>
        <w:t>Miguel Alejandro, Absolución de posiciones: una prueba inconstitucional, ineficaz e inconveniente Publicado en: DJ23/06/2010, pág1667; Cita: TR LALEY AR/DOC/3130/2010</w:t>
      </w:r>
    </w:p>
  </w:footnote>
  <w:footnote w:id="3">
    <w:p w:rsidR="0033401E" w:rsidRPr="00952C94" w:rsidRDefault="0033401E" w:rsidP="00AE2DE6">
      <w:pPr>
        <w:spacing w:before="120"/>
        <w:jc w:val="both"/>
        <w:rPr>
          <w:rFonts w:ascii="Arial" w:hAnsi="Arial" w:cs="Arial"/>
          <w:sz w:val="18"/>
          <w:szCs w:val="18"/>
        </w:rPr>
      </w:pPr>
      <w:r w:rsidRPr="00F95BC2">
        <w:rPr>
          <w:rStyle w:val="Refdenotaalpie"/>
          <w:rFonts w:ascii="Arial" w:hAnsi="Arial" w:cs="Arial"/>
          <w:sz w:val="22"/>
          <w:szCs w:val="22"/>
        </w:rPr>
        <w:footnoteRef/>
      </w:r>
      <w:r w:rsidR="00AE2DE6" w:rsidRPr="00F95BC2">
        <w:rPr>
          <w:rStyle w:val="Refdenotaalpie"/>
          <w:rFonts w:ascii="Arial" w:hAnsi="Arial" w:cs="Arial"/>
          <w:sz w:val="22"/>
          <w:szCs w:val="22"/>
        </w:rPr>
        <w:t xml:space="preserve"> </w:t>
      </w:r>
      <w:r w:rsidR="007213C9" w:rsidRPr="00952C94">
        <w:rPr>
          <w:rFonts w:ascii="Arial" w:hAnsi="Arial" w:cs="Arial"/>
          <w:smallCaps/>
          <w:sz w:val="18"/>
          <w:szCs w:val="18"/>
        </w:rPr>
        <w:t xml:space="preserve">VILLALBA, </w:t>
      </w:r>
      <w:r w:rsidR="007213C9" w:rsidRPr="007213C9">
        <w:rPr>
          <w:rFonts w:ascii="Arial" w:hAnsi="Arial" w:cs="Arial"/>
          <w:sz w:val="18"/>
          <w:szCs w:val="18"/>
        </w:rPr>
        <w:t>Gisela</w:t>
      </w:r>
      <w:r w:rsidR="007213C9" w:rsidRPr="00952C94">
        <w:rPr>
          <w:rFonts w:ascii="Arial" w:hAnsi="Arial" w:cs="Arial"/>
          <w:smallCaps/>
          <w:sz w:val="18"/>
          <w:szCs w:val="18"/>
        </w:rPr>
        <w:t xml:space="preserve"> P</w:t>
      </w:r>
      <w:r w:rsidRPr="00952C94">
        <w:rPr>
          <w:rFonts w:ascii="Arial" w:hAnsi="Arial" w:cs="Arial"/>
          <w:sz w:val="18"/>
          <w:szCs w:val="18"/>
        </w:rPr>
        <w:t>.; Orígenes del derecho a no a declarar contra sí mismo y su garantía; Revista de Derecho Procesal Penal - Número 12 - Octubre 2017; Cita: IJ-CDLXIX-31.</w:t>
      </w:r>
    </w:p>
  </w:footnote>
  <w:footnote w:id="4">
    <w:p w:rsidR="00EB698F" w:rsidRPr="00952C94" w:rsidRDefault="00EB698F" w:rsidP="00EB698F">
      <w:pPr>
        <w:spacing w:before="120"/>
        <w:jc w:val="both"/>
        <w:rPr>
          <w:rFonts w:ascii="Arial" w:hAnsi="Arial" w:cs="Arial"/>
          <w:sz w:val="18"/>
          <w:szCs w:val="18"/>
        </w:rPr>
      </w:pPr>
      <w:r w:rsidRPr="00F95BC2">
        <w:rPr>
          <w:rStyle w:val="Refdenotaalpie"/>
          <w:rFonts w:ascii="Arial" w:hAnsi="Arial" w:cs="Arial"/>
          <w:sz w:val="22"/>
          <w:szCs w:val="22"/>
        </w:rPr>
        <w:footnoteRef/>
      </w:r>
      <w:r w:rsidRPr="00F95BC2">
        <w:rPr>
          <w:rStyle w:val="Refdenotaalpie"/>
          <w:sz w:val="22"/>
          <w:szCs w:val="22"/>
        </w:rPr>
        <w:t xml:space="preserve"> </w:t>
      </w:r>
      <w:r w:rsidR="00C84203" w:rsidRPr="00952C94">
        <w:rPr>
          <w:rFonts w:ascii="Arial" w:hAnsi="Arial" w:cs="Arial"/>
          <w:sz w:val="18"/>
          <w:szCs w:val="18"/>
        </w:rPr>
        <w:t xml:space="preserve">Recuerda </w:t>
      </w:r>
      <w:r w:rsidR="00A96B28" w:rsidRPr="00952C94">
        <w:rPr>
          <w:rFonts w:ascii="Arial" w:hAnsi="Arial" w:cs="Arial"/>
          <w:smallCaps/>
          <w:sz w:val="18"/>
          <w:szCs w:val="18"/>
        </w:rPr>
        <w:t xml:space="preserve">VILLALBA </w:t>
      </w:r>
      <w:r w:rsidR="00C84203" w:rsidRPr="00952C94">
        <w:rPr>
          <w:rFonts w:ascii="Arial" w:hAnsi="Arial" w:cs="Arial"/>
          <w:smallCaps/>
          <w:sz w:val="18"/>
          <w:szCs w:val="18"/>
        </w:rPr>
        <w:t>(</w:t>
      </w:r>
      <w:r w:rsidR="00A96B28" w:rsidRPr="00A96B28">
        <w:rPr>
          <w:rFonts w:ascii="Arial" w:hAnsi="Arial" w:cs="Arial"/>
          <w:sz w:val="18"/>
          <w:szCs w:val="18"/>
        </w:rPr>
        <w:t>2017</w:t>
      </w:r>
      <w:r w:rsidR="00C84203" w:rsidRPr="00952C94">
        <w:rPr>
          <w:rFonts w:ascii="Arial" w:hAnsi="Arial" w:cs="Arial"/>
          <w:i/>
          <w:sz w:val="18"/>
          <w:szCs w:val="18"/>
        </w:rPr>
        <w:t>.</w:t>
      </w:r>
      <w:r w:rsidR="00C84203" w:rsidRPr="00952C94">
        <w:rPr>
          <w:rFonts w:ascii="Arial" w:hAnsi="Arial" w:cs="Arial"/>
          <w:sz w:val="18"/>
          <w:szCs w:val="18"/>
        </w:rPr>
        <w:t xml:space="preserve">) que en </w:t>
      </w:r>
      <w:r w:rsidRPr="00952C94">
        <w:rPr>
          <w:rFonts w:ascii="Arial" w:hAnsi="Arial" w:cs="Arial"/>
          <w:sz w:val="18"/>
          <w:szCs w:val="18"/>
        </w:rPr>
        <w:t>1568 el Juez Dyer, presidente de la</w:t>
      </w:r>
      <w:r w:rsidRPr="007213C9">
        <w:rPr>
          <w:rFonts w:ascii="Arial" w:hAnsi="Arial" w:cs="Arial"/>
          <w:sz w:val="18"/>
          <w:szCs w:val="18"/>
        </w:rPr>
        <w:t xml:space="preserve"> </w:t>
      </w:r>
      <w:r w:rsidRPr="007213C9">
        <w:rPr>
          <w:rFonts w:ascii="Arial" w:hAnsi="Arial" w:cs="Arial"/>
          <w:i/>
          <w:sz w:val="18"/>
          <w:szCs w:val="18"/>
        </w:rPr>
        <w:t>Court</w:t>
      </w:r>
      <w:r w:rsidRPr="00952C94">
        <w:rPr>
          <w:rFonts w:ascii="Arial" w:hAnsi="Arial" w:cs="Arial"/>
          <w:i/>
          <w:sz w:val="18"/>
          <w:szCs w:val="18"/>
        </w:rPr>
        <w:t xml:space="preserve"> of</w:t>
      </w:r>
      <w:r w:rsidRPr="007213C9">
        <w:rPr>
          <w:rFonts w:ascii="Arial" w:hAnsi="Arial" w:cs="Arial"/>
          <w:i/>
          <w:sz w:val="18"/>
          <w:szCs w:val="18"/>
        </w:rPr>
        <w:t xml:space="preserve"> Common Pleas</w:t>
      </w:r>
      <w:r w:rsidRPr="00952C94">
        <w:rPr>
          <w:rFonts w:ascii="Arial" w:hAnsi="Arial" w:cs="Arial"/>
          <w:sz w:val="18"/>
          <w:szCs w:val="18"/>
        </w:rPr>
        <w:t xml:space="preserve">, otorgó una orden de </w:t>
      </w:r>
      <w:r w:rsidRPr="00952C94">
        <w:rPr>
          <w:rFonts w:ascii="Arial" w:hAnsi="Arial" w:cs="Arial"/>
          <w:i/>
          <w:iCs/>
          <w:sz w:val="18"/>
          <w:szCs w:val="18"/>
        </w:rPr>
        <w:t xml:space="preserve">habeas corpus </w:t>
      </w:r>
      <w:r w:rsidRPr="00952C94">
        <w:rPr>
          <w:rFonts w:ascii="Arial" w:hAnsi="Arial" w:cs="Arial"/>
          <w:sz w:val="18"/>
          <w:szCs w:val="18"/>
        </w:rPr>
        <w:t xml:space="preserve">liberando a un prisionero que había </w:t>
      </w:r>
      <w:r w:rsidR="00C84203" w:rsidRPr="00952C94">
        <w:rPr>
          <w:rFonts w:ascii="Arial" w:hAnsi="Arial" w:cs="Arial"/>
          <w:sz w:val="18"/>
          <w:szCs w:val="18"/>
        </w:rPr>
        <w:t xml:space="preserve">sido forzado a tomar juramento, justificando </w:t>
      </w:r>
      <w:r w:rsidRPr="00952C94">
        <w:rPr>
          <w:rFonts w:ascii="Arial" w:hAnsi="Arial" w:cs="Arial"/>
          <w:sz w:val="18"/>
          <w:szCs w:val="18"/>
        </w:rPr>
        <w:t xml:space="preserve">la objeción al juramento con la máxima </w:t>
      </w:r>
      <w:r w:rsidRPr="00952C94">
        <w:rPr>
          <w:rFonts w:ascii="Arial" w:hAnsi="Arial" w:cs="Arial"/>
          <w:i/>
          <w:iCs/>
          <w:sz w:val="18"/>
          <w:szCs w:val="18"/>
        </w:rPr>
        <w:t>nemu tenetur seipsum prodere</w:t>
      </w:r>
      <w:r w:rsidRPr="00952C94">
        <w:rPr>
          <w:rFonts w:ascii="Arial" w:hAnsi="Arial" w:cs="Arial"/>
          <w:sz w:val="18"/>
          <w:szCs w:val="18"/>
        </w:rPr>
        <w:t xml:space="preserve">, esto es: ningún hombre podrá ser forzado a producir evidencia contra sí mismo. </w:t>
      </w:r>
      <w:r w:rsidR="00C84203" w:rsidRPr="00952C94">
        <w:rPr>
          <w:rFonts w:ascii="Arial" w:hAnsi="Arial" w:cs="Arial"/>
          <w:sz w:val="18"/>
          <w:szCs w:val="18"/>
        </w:rPr>
        <w:t>Asimismo recuerda que fue</w:t>
      </w:r>
      <w:r w:rsidRPr="00952C94">
        <w:rPr>
          <w:rFonts w:ascii="Arial" w:hAnsi="Arial" w:cs="Arial"/>
          <w:sz w:val="18"/>
          <w:szCs w:val="18"/>
        </w:rPr>
        <w:t xml:space="preserve"> con John Liliburne (editor de libros) que se dio fecha cierta al derecho de no suministrar pruebas contra si mismo. Liburne al ser arrestado e interrogado en la Star Chamber en 1637-1638 por imprimir libros sediciosos en Holanda e importarlos a Inglaterra negó los cargos efectuados en el interrogatorio, quién se negó a prestar el juramento que exigía la Star Chamber sostniendo que ello era “</w:t>
      </w:r>
      <w:r w:rsidRPr="00952C94">
        <w:rPr>
          <w:rFonts w:ascii="Arial" w:hAnsi="Arial" w:cs="Arial"/>
          <w:i/>
          <w:sz w:val="18"/>
          <w:szCs w:val="18"/>
        </w:rPr>
        <w:t>... un pecaminoso e ilícito juramento... contrario a la práctica del mismo Cristo... contrario a la misma ley de la naturaleza, porqué ésta tiende a preservarse a si misma...</w:t>
      </w:r>
      <w:r w:rsidRPr="00952C94">
        <w:rPr>
          <w:rFonts w:ascii="Arial" w:hAnsi="Arial" w:cs="Arial"/>
          <w:sz w:val="18"/>
          <w:szCs w:val="18"/>
        </w:rPr>
        <w:t>”.</w:t>
      </w:r>
      <w:r w:rsidR="00C84203" w:rsidRPr="00952C94">
        <w:rPr>
          <w:rFonts w:ascii="Arial" w:hAnsi="Arial" w:cs="Arial"/>
          <w:sz w:val="18"/>
          <w:szCs w:val="18"/>
        </w:rPr>
        <w:t xml:space="preserve"> Dicha actitud le valió ser multado y torturado. Ante ello e</w:t>
      </w:r>
      <w:r w:rsidRPr="00952C94">
        <w:rPr>
          <w:rFonts w:ascii="Arial" w:hAnsi="Arial" w:cs="Arial"/>
          <w:sz w:val="18"/>
          <w:szCs w:val="18"/>
        </w:rPr>
        <w:t>l día 3 de noviembre de 1640, en la primera reunión del Parlamento presentó una petición y fue de</w:t>
      </w:r>
      <w:r w:rsidR="00C84203" w:rsidRPr="00952C94">
        <w:rPr>
          <w:rFonts w:ascii="Arial" w:hAnsi="Arial" w:cs="Arial"/>
          <w:sz w:val="18"/>
          <w:szCs w:val="18"/>
        </w:rPr>
        <w:t xml:space="preserve">jado en libertad por la </w:t>
      </w:r>
      <w:r w:rsidRPr="00952C94">
        <w:rPr>
          <w:rFonts w:ascii="Arial" w:hAnsi="Arial" w:cs="Arial"/>
          <w:sz w:val="18"/>
          <w:szCs w:val="18"/>
        </w:rPr>
        <w:t>Cámara de los</w:t>
      </w:r>
      <w:r w:rsidR="00C84203" w:rsidRPr="00952C94">
        <w:rPr>
          <w:rFonts w:ascii="Arial" w:hAnsi="Arial" w:cs="Arial"/>
          <w:sz w:val="18"/>
          <w:szCs w:val="18"/>
        </w:rPr>
        <w:t xml:space="preserve"> </w:t>
      </w:r>
      <w:r w:rsidRPr="00952C94">
        <w:rPr>
          <w:rFonts w:ascii="Arial" w:hAnsi="Arial" w:cs="Arial"/>
          <w:sz w:val="18"/>
          <w:szCs w:val="18"/>
        </w:rPr>
        <w:t>Comunes</w:t>
      </w:r>
      <w:r w:rsidR="00C84203" w:rsidRPr="00952C94">
        <w:rPr>
          <w:rFonts w:ascii="Arial" w:hAnsi="Arial" w:cs="Arial"/>
          <w:sz w:val="18"/>
          <w:szCs w:val="18"/>
        </w:rPr>
        <w:t xml:space="preserve"> </w:t>
      </w:r>
      <w:r w:rsidRPr="00952C94">
        <w:rPr>
          <w:rFonts w:ascii="Arial" w:hAnsi="Arial" w:cs="Arial"/>
          <w:sz w:val="18"/>
          <w:szCs w:val="18"/>
        </w:rPr>
        <w:t>el</w:t>
      </w:r>
      <w:r w:rsidR="00C84203" w:rsidRPr="00952C94">
        <w:rPr>
          <w:rFonts w:ascii="Arial" w:hAnsi="Arial" w:cs="Arial"/>
          <w:sz w:val="18"/>
          <w:szCs w:val="18"/>
        </w:rPr>
        <w:t xml:space="preserve"> dia </w:t>
      </w:r>
      <w:r w:rsidRPr="00952C94">
        <w:rPr>
          <w:rFonts w:ascii="Arial" w:hAnsi="Arial" w:cs="Arial"/>
          <w:sz w:val="18"/>
          <w:szCs w:val="18"/>
        </w:rPr>
        <w:t>4 de mayo de 1641</w:t>
      </w:r>
      <w:r w:rsidR="00C84203" w:rsidRPr="00952C94">
        <w:rPr>
          <w:rFonts w:ascii="Arial" w:hAnsi="Arial" w:cs="Arial"/>
          <w:sz w:val="18"/>
          <w:szCs w:val="18"/>
        </w:rPr>
        <w:t xml:space="preserve"> al sostener que </w:t>
      </w:r>
      <w:r w:rsidRPr="00952C94">
        <w:rPr>
          <w:rFonts w:ascii="Arial" w:hAnsi="Arial" w:cs="Arial"/>
          <w:sz w:val="18"/>
          <w:szCs w:val="18"/>
        </w:rPr>
        <w:t>“</w:t>
      </w:r>
      <w:r w:rsidRPr="00952C94">
        <w:rPr>
          <w:rFonts w:ascii="Arial" w:hAnsi="Arial" w:cs="Arial"/>
          <w:i/>
          <w:sz w:val="18"/>
          <w:szCs w:val="18"/>
        </w:rPr>
        <w:t>la sentencia de la Star Chamber contra John Liliburn es ilegal, y contraria a la libertad de la persona; y también sangrienta, cruel, malvada,</w:t>
      </w:r>
      <w:r w:rsidR="00C84203" w:rsidRPr="00952C94">
        <w:rPr>
          <w:rFonts w:ascii="Arial" w:hAnsi="Arial" w:cs="Arial"/>
          <w:i/>
          <w:sz w:val="18"/>
          <w:szCs w:val="18"/>
        </w:rPr>
        <w:t xml:space="preserve"> </w:t>
      </w:r>
      <w:r w:rsidRPr="00952C94">
        <w:rPr>
          <w:rFonts w:ascii="Arial" w:hAnsi="Arial" w:cs="Arial"/>
          <w:i/>
          <w:sz w:val="18"/>
          <w:szCs w:val="18"/>
        </w:rPr>
        <w:t>bárbara y tiránica</w:t>
      </w:r>
      <w:r w:rsidRPr="00952C94">
        <w:rPr>
          <w:rFonts w:ascii="Arial" w:hAnsi="Arial" w:cs="Arial"/>
          <w:sz w:val="18"/>
          <w:szCs w:val="18"/>
        </w:rPr>
        <w:t>”</w:t>
      </w:r>
      <w:r w:rsidR="00C84203" w:rsidRPr="00952C94">
        <w:rPr>
          <w:rFonts w:ascii="Arial" w:hAnsi="Arial" w:cs="Arial"/>
          <w:sz w:val="18"/>
          <w:szCs w:val="18"/>
        </w:rPr>
        <w:t xml:space="preserve">; a su vez </w:t>
      </w:r>
      <w:r w:rsidRPr="00952C94">
        <w:rPr>
          <w:rFonts w:ascii="Arial" w:hAnsi="Arial" w:cs="Arial"/>
          <w:sz w:val="18"/>
          <w:szCs w:val="18"/>
        </w:rPr>
        <w:t>La Cámara de los Lores</w:t>
      </w:r>
      <w:r w:rsidR="00C84203" w:rsidRPr="00952C94">
        <w:rPr>
          <w:rFonts w:ascii="Arial" w:hAnsi="Arial" w:cs="Arial"/>
          <w:sz w:val="18"/>
          <w:szCs w:val="18"/>
        </w:rPr>
        <w:t xml:space="preserve"> en </w:t>
      </w:r>
      <w:r w:rsidRPr="00952C94">
        <w:rPr>
          <w:rFonts w:ascii="Arial" w:hAnsi="Arial" w:cs="Arial"/>
          <w:sz w:val="18"/>
          <w:szCs w:val="18"/>
        </w:rPr>
        <w:t>febrero de 1645 estableció que dicha sentencia debía ser anulada por “</w:t>
      </w:r>
      <w:r w:rsidRPr="00952C94">
        <w:rPr>
          <w:rFonts w:ascii="Arial" w:hAnsi="Arial" w:cs="Arial"/>
          <w:i/>
          <w:sz w:val="18"/>
          <w:szCs w:val="18"/>
        </w:rPr>
        <w:t>ilegal y muy injusta, contraria a la libertad de la persona, a</w:t>
      </w:r>
      <w:r w:rsidR="00C84203" w:rsidRPr="00952C94">
        <w:rPr>
          <w:rFonts w:ascii="Arial" w:hAnsi="Arial" w:cs="Arial"/>
          <w:i/>
          <w:sz w:val="18"/>
          <w:szCs w:val="18"/>
        </w:rPr>
        <w:t xml:space="preserve"> </w:t>
      </w:r>
      <w:r w:rsidRPr="00952C94">
        <w:rPr>
          <w:rFonts w:ascii="Arial" w:hAnsi="Arial" w:cs="Arial"/>
          <w:i/>
          <w:sz w:val="18"/>
          <w:szCs w:val="18"/>
        </w:rPr>
        <w:t>la ley del País y a la Carta Magna... y que el mencionado Liburne será por siempre absolutamente libre y totalmente absuelto de dicha sentencia y de todos los procedimientos que de ella</w:t>
      </w:r>
      <w:r w:rsidR="00C84203" w:rsidRPr="00952C94">
        <w:rPr>
          <w:rFonts w:ascii="Arial" w:hAnsi="Arial" w:cs="Arial"/>
          <w:i/>
          <w:sz w:val="18"/>
          <w:szCs w:val="18"/>
        </w:rPr>
        <w:t xml:space="preserve"> </w:t>
      </w:r>
      <w:r w:rsidRPr="00952C94">
        <w:rPr>
          <w:rFonts w:ascii="Arial" w:hAnsi="Arial" w:cs="Arial"/>
          <w:i/>
          <w:sz w:val="18"/>
          <w:szCs w:val="18"/>
        </w:rPr>
        <w:t>deriven, tan entera y ampliamente como si nunca hubiera existido</w:t>
      </w:r>
      <w:r w:rsidRPr="00952C94">
        <w:rPr>
          <w:rFonts w:ascii="Arial" w:hAnsi="Arial" w:cs="Arial"/>
          <w:sz w:val="18"/>
          <w:szCs w:val="18"/>
        </w:rPr>
        <w:t>”.</w:t>
      </w:r>
    </w:p>
  </w:footnote>
  <w:footnote w:id="5">
    <w:p w:rsidR="00CC4C9B" w:rsidRPr="00952C94" w:rsidRDefault="00CC4C9B" w:rsidP="00CC4C9B">
      <w:pPr>
        <w:spacing w:before="120"/>
        <w:jc w:val="both"/>
        <w:rPr>
          <w:rFonts w:ascii="Arial" w:hAnsi="Arial" w:cs="Arial"/>
          <w:sz w:val="18"/>
          <w:szCs w:val="18"/>
        </w:rPr>
      </w:pPr>
      <w:r w:rsidRPr="00F95BC2">
        <w:rPr>
          <w:rStyle w:val="Refdenotaalpie"/>
          <w:rFonts w:ascii="Arial" w:hAnsi="Arial" w:cs="Arial"/>
          <w:sz w:val="22"/>
          <w:szCs w:val="22"/>
        </w:rPr>
        <w:footnoteRef/>
      </w:r>
      <w:r w:rsidRPr="00F95BC2">
        <w:rPr>
          <w:rStyle w:val="Refdenotaalpie"/>
          <w:sz w:val="22"/>
          <w:szCs w:val="22"/>
        </w:rPr>
        <w:t xml:space="preserve"> </w:t>
      </w:r>
      <w:hyperlink r:id="rId1" w:history="1">
        <w:r w:rsidRPr="00952C94">
          <w:rPr>
            <w:rStyle w:val="Hipervnculo"/>
            <w:rFonts w:ascii="Arial" w:hAnsi="Arial" w:cs="Arial"/>
            <w:sz w:val="18"/>
            <w:szCs w:val="18"/>
          </w:rPr>
          <w:t>https://www.dipublico.org/3664/bill-of-rights-ley-que-declara-los-derechos-y-libertades-de-los-ingleses-y-establece-el-orden-de-sucesion-de-la-corona-inglaterra-1689/</w:t>
        </w:r>
      </w:hyperlink>
      <w:r w:rsidRPr="00952C94">
        <w:rPr>
          <w:rFonts w:ascii="Arial" w:hAnsi="Arial" w:cs="Arial"/>
          <w:sz w:val="18"/>
          <w:szCs w:val="18"/>
        </w:rPr>
        <w:t xml:space="preserve"> </w:t>
      </w:r>
    </w:p>
  </w:footnote>
  <w:footnote w:id="6">
    <w:p w:rsidR="008E7CB7" w:rsidRPr="00952C94" w:rsidRDefault="008E7CB7" w:rsidP="008E7CB7">
      <w:pPr>
        <w:spacing w:before="120"/>
        <w:jc w:val="both"/>
        <w:rPr>
          <w:rFonts w:ascii="Arial" w:hAnsi="Arial" w:cs="Arial"/>
          <w:sz w:val="18"/>
          <w:szCs w:val="18"/>
        </w:rPr>
      </w:pPr>
      <w:r w:rsidRPr="00F95BC2">
        <w:rPr>
          <w:rStyle w:val="Refdenotaalpie"/>
          <w:rFonts w:ascii="Arial" w:hAnsi="Arial" w:cs="Arial"/>
          <w:sz w:val="22"/>
          <w:szCs w:val="22"/>
        </w:rPr>
        <w:footnoteRef/>
      </w:r>
      <w:r w:rsidRPr="00F95BC2">
        <w:rPr>
          <w:rStyle w:val="Refdenotaalpie"/>
          <w:sz w:val="22"/>
          <w:szCs w:val="22"/>
        </w:rPr>
        <w:t xml:space="preserve"> </w:t>
      </w:r>
      <w:r w:rsidR="00A96B28" w:rsidRPr="00952C94">
        <w:rPr>
          <w:rFonts w:ascii="Arial" w:hAnsi="Arial" w:cs="Arial"/>
          <w:smallCaps/>
          <w:sz w:val="18"/>
          <w:szCs w:val="18"/>
        </w:rPr>
        <w:t>QUIROGA LAVIÉ</w:t>
      </w:r>
      <w:r w:rsidRPr="00952C94">
        <w:rPr>
          <w:rFonts w:ascii="Arial" w:hAnsi="Arial" w:cs="Arial"/>
          <w:smallCaps/>
          <w:sz w:val="18"/>
          <w:szCs w:val="18"/>
        </w:rPr>
        <w:t xml:space="preserve">, </w:t>
      </w:r>
      <w:r w:rsidRPr="00952C94">
        <w:rPr>
          <w:rFonts w:ascii="Arial" w:hAnsi="Arial" w:cs="Arial"/>
          <w:sz w:val="18"/>
          <w:szCs w:val="18"/>
        </w:rPr>
        <w:t xml:space="preserve">Humberto; </w:t>
      </w:r>
      <w:r w:rsidR="00A96B28" w:rsidRPr="00952C94">
        <w:rPr>
          <w:rFonts w:ascii="Arial" w:hAnsi="Arial" w:cs="Arial"/>
          <w:smallCaps/>
          <w:sz w:val="18"/>
          <w:szCs w:val="18"/>
        </w:rPr>
        <w:t>BENEDETTI</w:t>
      </w:r>
      <w:r w:rsidRPr="00952C94">
        <w:rPr>
          <w:rFonts w:ascii="Arial" w:hAnsi="Arial" w:cs="Arial"/>
          <w:sz w:val="18"/>
          <w:szCs w:val="18"/>
        </w:rPr>
        <w:t xml:space="preserve">, Miguel Ángel; </w:t>
      </w:r>
      <w:r w:rsidR="00A96B28" w:rsidRPr="00952C94">
        <w:rPr>
          <w:rFonts w:ascii="Arial" w:hAnsi="Arial" w:cs="Arial"/>
          <w:smallCaps/>
          <w:sz w:val="18"/>
          <w:szCs w:val="18"/>
        </w:rPr>
        <w:t xml:space="preserve">CENICACELAYA </w:t>
      </w:r>
      <w:r w:rsidR="009E6057" w:rsidRPr="00952C94">
        <w:rPr>
          <w:rFonts w:ascii="Arial" w:hAnsi="Arial" w:cs="Arial"/>
          <w:sz w:val="18"/>
          <w:szCs w:val="18"/>
        </w:rPr>
        <w:t>María de las Nieves</w:t>
      </w:r>
      <w:r w:rsidRPr="00952C94">
        <w:rPr>
          <w:rFonts w:ascii="Arial" w:hAnsi="Arial" w:cs="Arial"/>
          <w:sz w:val="18"/>
          <w:szCs w:val="18"/>
        </w:rPr>
        <w:t>, Derecho Constitucional Argentino, Segunda Edición, Ed. Rubinzal Culzoni, Santa Fé 2009;</w:t>
      </w:r>
      <w:r w:rsidR="009E6057" w:rsidRPr="00952C94">
        <w:rPr>
          <w:rFonts w:ascii="Arial" w:hAnsi="Arial" w:cs="Arial"/>
          <w:sz w:val="18"/>
          <w:szCs w:val="18"/>
        </w:rPr>
        <w:t>T° 1;</w:t>
      </w:r>
      <w:r w:rsidRPr="00952C94">
        <w:rPr>
          <w:rFonts w:ascii="Arial" w:hAnsi="Arial" w:cs="Arial"/>
          <w:sz w:val="18"/>
          <w:szCs w:val="18"/>
        </w:rPr>
        <w:t xml:space="preserve"> pag 500 y sgtes.</w:t>
      </w:r>
    </w:p>
  </w:footnote>
  <w:footnote w:id="7">
    <w:p w:rsidR="007329D2" w:rsidRPr="00952C94" w:rsidRDefault="007329D2" w:rsidP="007329D2">
      <w:pPr>
        <w:spacing w:before="120"/>
        <w:jc w:val="both"/>
        <w:rPr>
          <w:rFonts w:ascii="Arial" w:hAnsi="Arial" w:cs="Arial"/>
          <w:i/>
          <w:sz w:val="18"/>
          <w:szCs w:val="18"/>
        </w:rPr>
      </w:pPr>
      <w:r w:rsidRPr="00F95BC2">
        <w:rPr>
          <w:rStyle w:val="Refdenotaalpie"/>
          <w:sz w:val="22"/>
          <w:szCs w:val="22"/>
        </w:rPr>
        <w:footnoteRef/>
      </w:r>
      <w:r w:rsidRPr="00F95BC2">
        <w:rPr>
          <w:rStyle w:val="Refdenotaalpie"/>
          <w:sz w:val="22"/>
          <w:szCs w:val="22"/>
        </w:rPr>
        <w:t xml:space="preserve"> </w:t>
      </w:r>
      <w:r w:rsidRPr="00952C94">
        <w:rPr>
          <w:rFonts w:ascii="Arial" w:hAnsi="Arial" w:cs="Arial"/>
          <w:sz w:val="18"/>
          <w:szCs w:val="18"/>
        </w:rPr>
        <w:t xml:space="preserve">En ese sentido resulta muy ilustrativo el comentario de </w:t>
      </w:r>
      <w:r w:rsidR="00A96B28" w:rsidRPr="00952C94">
        <w:rPr>
          <w:rFonts w:ascii="Arial" w:hAnsi="Arial" w:cs="Arial"/>
          <w:smallCaps/>
          <w:sz w:val="18"/>
          <w:szCs w:val="18"/>
        </w:rPr>
        <w:t>SARMIENTO</w:t>
      </w:r>
      <w:r w:rsidR="00A96B28" w:rsidRPr="00952C94">
        <w:rPr>
          <w:rFonts w:ascii="Arial" w:hAnsi="Arial" w:cs="Arial"/>
          <w:sz w:val="18"/>
          <w:szCs w:val="18"/>
        </w:rPr>
        <w:t xml:space="preserve"> </w:t>
      </w:r>
      <w:r w:rsidRPr="00952C94">
        <w:rPr>
          <w:rFonts w:ascii="Arial" w:hAnsi="Arial" w:cs="Arial"/>
          <w:sz w:val="18"/>
          <w:szCs w:val="18"/>
        </w:rPr>
        <w:t>al capítulo de Garantías al sostener que “</w:t>
      </w:r>
      <w:r w:rsidRPr="00952C94">
        <w:rPr>
          <w:rFonts w:ascii="Arial" w:hAnsi="Arial" w:cs="Arial"/>
          <w:i/>
          <w:sz w:val="18"/>
          <w:szCs w:val="18"/>
        </w:rPr>
        <w:t>Las constituciones no son más que la proclamación de los derechos y de las obligaciones del hombre en sociedad.</w:t>
      </w:r>
    </w:p>
    <w:p w:rsidR="007329D2" w:rsidRPr="00952C94" w:rsidRDefault="006F35D2" w:rsidP="006F35D2">
      <w:pPr>
        <w:tabs>
          <w:tab w:val="left" w:pos="284"/>
        </w:tabs>
        <w:jc w:val="both"/>
        <w:rPr>
          <w:rFonts w:ascii="Arial" w:hAnsi="Arial" w:cs="Arial"/>
          <w:i/>
          <w:sz w:val="18"/>
          <w:szCs w:val="18"/>
        </w:rPr>
      </w:pPr>
      <w:r>
        <w:rPr>
          <w:rFonts w:ascii="Arial" w:hAnsi="Arial" w:cs="Arial"/>
          <w:i/>
          <w:sz w:val="18"/>
          <w:szCs w:val="18"/>
        </w:rPr>
        <w:tab/>
      </w:r>
      <w:r w:rsidR="007329D2" w:rsidRPr="00952C94">
        <w:rPr>
          <w:rFonts w:ascii="Arial" w:hAnsi="Arial" w:cs="Arial"/>
          <w:i/>
          <w:sz w:val="18"/>
          <w:szCs w:val="18"/>
        </w:rPr>
        <w:t>En este punto todas las constituciones del mundo pueden reducirse a una sola. En materia de garantías, seguridad, libertad, igualdad hasta declarar vigentes todas las disposiciones de nuestras constituciones antiguas"</w:t>
      </w:r>
    </w:p>
    <w:p w:rsidR="007329D2" w:rsidRPr="00952C94" w:rsidRDefault="006F35D2" w:rsidP="006F35D2">
      <w:pPr>
        <w:tabs>
          <w:tab w:val="left" w:pos="284"/>
        </w:tabs>
        <w:jc w:val="both"/>
        <w:rPr>
          <w:rFonts w:ascii="Arial" w:hAnsi="Arial" w:cs="Arial"/>
          <w:i/>
          <w:sz w:val="18"/>
          <w:szCs w:val="18"/>
        </w:rPr>
      </w:pPr>
      <w:r>
        <w:rPr>
          <w:rFonts w:ascii="Arial" w:hAnsi="Arial" w:cs="Arial"/>
          <w:i/>
          <w:sz w:val="18"/>
          <w:szCs w:val="18"/>
        </w:rPr>
        <w:tab/>
      </w:r>
      <w:r w:rsidR="007329D2" w:rsidRPr="00952C94">
        <w:rPr>
          <w:rFonts w:ascii="Arial" w:hAnsi="Arial" w:cs="Arial"/>
          <w:i/>
          <w:sz w:val="18"/>
          <w:szCs w:val="18"/>
        </w:rPr>
        <w:t>Estos principios generales son los que están contenidos en las Declaraciones, derechos y garantías, y con este nombre, o el de Derechos del Hombre, o el de Bill o Carta de los derechos, preceden a todas las constituciones, ya sean monárquicas o republicanas; porque en estos puntos fundamentales la humanidad está de acuerdo, y sólo los presidiarios y los tiranos no los reconocen.</w:t>
      </w:r>
    </w:p>
    <w:p w:rsidR="007329D2" w:rsidRPr="00952C94" w:rsidRDefault="006F35D2" w:rsidP="006F35D2">
      <w:pPr>
        <w:tabs>
          <w:tab w:val="left" w:pos="284"/>
        </w:tabs>
        <w:jc w:val="both"/>
        <w:rPr>
          <w:rFonts w:ascii="Arial" w:hAnsi="Arial" w:cs="Arial"/>
          <w:i/>
          <w:sz w:val="18"/>
          <w:szCs w:val="18"/>
        </w:rPr>
      </w:pPr>
      <w:r>
        <w:rPr>
          <w:rFonts w:ascii="Arial" w:hAnsi="Arial" w:cs="Arial"/>
          <w:i/>
          <w:sz w:val="18"/>
          <w:szCs w:val="18"/>
        </w:rPr>
        <w:tab/>
      </w:r>
      <w:r w:rsidR="007329D2" w:rsidRPr="00952C94">
        <w:rPr>
          <w:rFonts w:ascii="Arial" w:hAnsi="Arial" w:cs="Arial"/>
          <w:i/>
          <w:sz w:val="18"/>
          <w:szCs w:val="18"/>
        </w:rPr>
        <w:t>Así es un préstamo que se hacen unas constituciones a otras, porque es un tesoro común a la humanidad. Lo que se alegaba para su omisión en la constitución americana es precisamente lo que en la nuestra le asigna el lugar prominente que ocupa. Decíase que un bill de derechos era más adecuado en su naturaleza a una monarquía que a un gobierno profesadamente fundado en la voluntad del pueblo, y ejecutado por sus inmediatos representantes y agentes. En efecto, tal es el origen histórico de estas declaraciones de derechos....</w:t>
      </w:r>
      <w:r w:rsidR="007329D2" w:rsidRPr="00952C94">
        <w:rPr>
          <w:rFonts w:ascii="Arial" w:hAnsi="Arial" w:cs="Arial"/>
          <w:sz w:val="18"/>
          <w:szCs w:val="18"/>
        </w:rPr>
        <w:t xml:space="preserve"> Lo que lo lleva a preguntarse:</w:t>
      </w:r>
      <w:r w:rsidR="007329D2" w:rsidRPr="00952C94">
        <w:rPr>
          <w:rFonts w:ascii="Arial" w:hAnsi="Arial" w:cs="Arial"/>
          <w:i/>
          <w:sz w:val="18"/>
          <w:szCs w:val="18"/>
        </w:rPr>
        <w:t xml:space="preserve">“¿Ni cómo podría omitirse esta declaración de derechos en la Constitución Argentina, dictada sobre los escombros aun palpitantes de la tiranía que se había cebado en conculcarlos? ¿Es inútil estatuir que no pagarán derechos en su tránsito por territorio argentino las mercaderías que eran el blanco de exacciones y gabelas? ¿Estaba de más declarar que todo argentino puede entrar y salir de su país, pensar y publicar sus ideas, usar y disponer de su propiedad, asociarse, enseñar y aprender? ¿Es superfluo abolir la pena de muerte por causas políticas, toda especie de tormento, los azotes y las ejecuciones a lanza y a cuchillo, al día siguiente de derrocado el sistema de todos estos horrores, y de aquellas violaciones de todo principio social? </w:t>
      </w:r>
    </w:p>
    <w:p w:rsidR="007329D2" w:rsidRPr="00952C94" w:rsidRDefault="006F35D2" w:rsidP="006F35D2">
      <w:pPr>
        <w:tabs>
          <w:tab w:val="left" w:pos="284"/>
        </w:tabs>
        <w:jc w:val="both"/>
        <w:rPr>
          <w:rFonts w:ascii="Arial" w:hAnsi="Arial" w:cs="Arial"/>
          <w:sz w:val="18"/>
          <w:szCs w:val="18"/>
        </w:rPr>
      </w:pPr>
      <w:r>
        <w:rPr>
          <w:rFonts w:ascii="Arial" w:hAnsi="Arial" w:cs="Arial"/>
          <w:sz w:val="18"/>
          <w:szCs w:val="18"/>
        </w:rPr>
        <w:tab/>
      </w:r>
      <w:r w:rsidR="007329D2" w:rsidRPr="00952C94">
        <w:rPr>
          <w:rFonts w:ascii="Arial" w:hAnsi="Arial" w:cs="Arial"/>
          <w:sz w:val="18"/>
          <w:szCs w:val="18"/>
        </w:rPr>
        <w:t>Lo lleva a concluir que</w:t>
      </w:r>
      <w:r w:rsidR="007329D2" w:rsidRPr="00952C94">
        <w:rPr>
          <w:rFonts w:ascii="Arial" w:hAnsi="Arial" w:cs="Arial"/>
          <w:i/>
          <w:sz w:val="18"/>
          <w:szCs w:val="18"/>
        </w:rPr>
        <w:t xml:space="preserve"> “Pero todavía esta declaración de derechos y garantías tiene para nosotros objetos especiales y variados que llena cumplidamente. La América española, educada bajo un sistema de servilismo, se arrastra y despedaza en convulsiones que se prolongan  después de medio siglo, luchando por establecer en su seno las libertades que hacen la gloria y la prosperidad de la otra parte de la América, contra la grosería de los instintos y pasiones desordenadas, contra los resabios y tradiciones de sus antecedentes coloniales” </w:t>
      </w:r>
      <w:r w:rsidR="007329D2" w:rsidRPr="00952C94">
        <w:rPr>
          <w:rFonts w:ascii="Arial" w:hAnsi="Arial" w:cs="Arial"/>
          <w:sz w:val="18"/>
          <w:szCs w:val="18"/>
        </w:rPr>
        <w:t>(</w:t>
      </w:r>
      <w:r w:rsidR="00A96B28" w:rsidRPr="00952C94">
        <w:rPr>
          <w:rFonts w:ascii="Arial" w:hAnsi="Arial" w:cs="Arial"/>
          <w:smallCaps/>
          <w:sz w:val="18"/>
          <w:szCs w:val="18"/>
        </w:rPr>
        <w:t>SARMIENTO</w:t>
      </w:r>
      <w:r w:rsidR="007329D2" w:rsidRPr="00952C94">
        <w:rPr>
          <w:rFonts w:ascii="Arial" w:hAnsi="Arial" w:cs="Arial"/>
          <w:smallCaps/>
          <w:sz w:val="18"/>
          <w:szCs w:val="18"/>
        </w:rPr>
        <w:t xml:space="preserve">, </w:t>
      </w:r>
      <w:r w:rsidR="007329D2" w:rsidRPr="00952C94">
        <w:rPr>
          <w:rFonts w:ascii="Arial" w:hAnsi="Arial" w:cs="Arial"/>
          <w:sz w:val="18"/>
          <w:szCs w:val="18"/>
        </w:rPr>
        <w:t>Domingo Faustino, Comentarios de la Constitución de la Confederación Argentina; Bs. As., pag 113 y sgtes</w:t>
      </w:r>
    </w:p>
  </w:footnote>
  <w:footnote w:id="8">
    <w:p w:rsidR="0033401E" w:rsidRPr="00952C94" w:rsidRDefault="0033401E" w:rsidP="00AE2DE6">
      <w:pPr>
        <w:spacing w:before="120"/>
        <w:jc w:val="both"/>
        <w:rPr>
          <w:rFonts w:ascii="Arial" w:hAnsi="Arial" w:cs="Arial"/>
          <w:sz w:val="18"/>
          <w:szCs w:val="18"/>
        </w:rPr>
      </w:pPr>
      <w:r w:rsidRPr="00F95BC2">
        <w:rPr>
          <w:rStyle w:val="Refdenotaalpie"/>
          <w:rFonts w:ascii="Arial" w:hAnsi="Arial" w:cs="Arial"/>
          <w:sz w:val="22"/>
          <w:szCs w:val="22"/>
        </w:rPr>
        <w:footnoteRef/>
      </w:r>
      <w:r w:rsidRPr="00F95BC2">
        <w:rPr>
          <w:rStyle w:val="Refdenotaalpie"/>
          <w:rFonts w:ascii="Arial" w:hAnsi="Arial" w:cs="Arial"/>
          <w:sz w:val="22"/>
          <w:szCs w:val="22"/>
        </w:rPr>
        <w:t xml:space="preserve"> </w:t>
      </w:r>
      <w:r w:rsidR="00A96B28" w:rsidRPr="00952C94">
        <w:rPr>
          <w:rFonts w:ascii="Arial" w:hAnsi="Arial" w:cs="Arial"/>
          <w:smallCaps/>
          <w:sz w:val="18"/>
          <w:szCs w:val="18"/>
        </w:rPr>
        <w:t xml:space="preserve">CALLANDRELI </w:t>
      </w:r>
      <w:r w:rsidRPr="00A96B28">
        <w:rPr>
          <w:rFonts w:ascii="Arial" w:hAnsi="Arial" w:cs="Arial"/>
          <w:sz w:val="18"/>
          <w:szCs w:val="18"/>
        </w:rPr>
        <w:t>Alcides</w:t>
      </w:r>
      <w:r w:rsidRPr="00952C94">
        <w:rPr>
          <w:rFonts w:ascii="Arial" w:hAnsi="Arial" w:cs="Arial"/>
          <w:smallCaps/>
          <w:sz w:val="18"/>
          <w:szCs w:val="18"/>
        </w:rPr>
        <w:t xml:space="preserve">, </w:t>
      </w:r>
      <w:r w:rsidRPr="00952C94">
        <w:rPr>
          <w:rFonts w:ascii="Arial" w:hAnsi="Arial" w:cs="Arial"/>
          <w:sz w:val="18"/>
          <w:szCs w:val="18"/>
        </w:rPr>
        <w:t xml:space="preserve">Lecciones de Derecho Constitucional notas tomadas de las conferencias del Dr. M A Montes De Oca., TOMO I, tipo Litografia BUENOS AIRES 1917 en </w:t>
      </w:r>
      <w:hyperlink r:id="rId2" w:history="1">
        <w:r w:rsidRPr="00952C94">
          <w:rPr>
            <w:rStyle w:val="Hipervnculo"/>
            <w:rFonts w:ascii="Arial" w:hAnsi="Arial" w:cs="Arial"/>
            <w:sz w:val="18"/>
            <w:szCs w:val="18"/>
          </w:rPr>
          <w:t>https://bibliotecadigital.csjn.gov.ar/fullscreen/index.php?tipo=MO&amp;nro=13705&amp;tomo=99378</w:t>
        </w:r>
      </w:hyperlink>
    </w:p>
  </w:footnote>
  <w:footnote w:id="9">
    <w:p w:rsidR="0033401E" w:rsidRPr="00952C94" w:rsidRDefault="0033401E" w:rsidP="00AE2DE6">
      <w:pPr>
        <w:spacing w:before="120"/>
        <w:jc w:val="both"/>
        <w:rPr>
          <w:rFonts w:ascii="Arial" w:hAnsi="Arial" w:cs="Arial"/>
          <w:sz w:val="18"/>
          <w:szCs w:val="18"/>
        </w:rPr>
      </w:pPr>
      <w:r w:rsidRPr="00F95BC2">
        <w:rPr>
          <w:rStyle w:val="Refdenotaalpie"/>
          <w:rFonts w:ascii="Arial" w:hAnsi="Arial" w:cs="Arial"/>
          <w:sz w:val="22"/>
          <w:szCs w:val="22"/>
        </w:rPr>
        <w:footnoteRef/>
      </w:r>
      <w:r w:rsidRPr="00F95BC2">
        <w:rPr>
          <w:rStyle w:val="Refdenotaalpie"/>
          <w:rFonts w:ascii="Arial" w:hAnsi="Arial" w:cs="Arial"/>
          <w:sz w:val="22"/>
          <w:szCs w:val="22"/>
        </w:rPr>
        <w:t xml:space="preserve"> </w:t>
      </w:r>
      <w:r w:rsidR="001F5C36" w:rsidRPr="00952C94">
        <w:rPr>
          <w:rFonts w:ascii="Arial" w:hAnsi="Arial" w:cs="Arial"/>
          <w:smallCaps/>
          <w:sz w:val="18"/>
          <w:szCs w:val="18"/>
        </w:rPr>
        <w:t>GELLI</w:t>
      </w:r>
      <w:r w:rsidR="0032164A">
        <w:rPr>
          <w:rFonts w:ascii="Arial" w:hAnsi="Arial" w:cs="Arial"/>
          <w:smallCaps/>
          <w:sz w:val="18"/>
          <w:szCs w:val="18"/>
        </w:rPr>
        <w:t>,</w:t>
      </w:r>
      <w:r w:rsidRPr="00952C94">
        <w:rPr>
          <w:rFonts w:ascii="Arial" w:hAnsi="Arial" w:cs="Arial"/>
          <w:smallCaps/>
          <w:sz w:val="18"/>
          <w:szCs w:val="18"/>
        </w:rPr>
        <w:t xml:space="preserve"> </w:t>
      </w:r>
      <w:r w:rsidR="0032164A" w:rsidRPr="0032164A">
        <w:rPr>
          <w:rFonts w:ascii="Arial" w:hAnsi="Arial" w:cs="Arial"/>
          <w:sz w:val="18"/>
          <w:szCs w:val="18"/>
        </w:rPr>
        <w:t>María Angélica</w:t>
      </w:r>
      <w:r w:rsidR="0032164A">
        <w:rPr>
          <w:rFonts w:ascii="Arial" w:hAnsi="Arial" w:cs="Arial"/>
          <w:sz w:val="18"/>
          <w:szCs w:val="18"/>
        </w:rPr>
        <w:t>;</w:t>
      </w:r>
      <w:r w:rsidRPr="00952C94">
        <w:rPr>
          <w:rFonts w:ascii="Arial" w:hAnsi="Arial" w:cs="Arial"/>
          <w:sz w:val="18"/>
          <w:szCs w:val="18"/>
        </w:rPr>
        <w:t xml:space="preserve"> Constitución de la Nación Argentina Comentada y Concordada, 2da Edición 1ra Reimpresión, La Ley, Buenos</w:t>
      </w:r>
      <w:r w:rsidR="00AE2DE6" w:rsidRPr="00952C94">
        <w:rPr>
          <w:rFonts w:ascii="Arial" w:hAnsi="Arial" w:cs="Arial"/>
          <w:sz w:val="18"/>
          <w:szCs w:val="18"/>
        </w:rPr>
        <w:t xml:space="preserve"> Aires 2004; pág. 161 y sgtes.</w:t>
      </w:r>
    </w:p>
  </w:footnote>
  <w:footnote w:id="10">
    <w:p w:rsidR="00E4132F" w:rsidRPr="00952C94" w:rsidRDefault="00E4132F" w:rsidP="00E4132F">
      <w:pPr>
        <w:spacing w:before="120"/>
        <w:jc w:val="both"/>
        <w:rPr>
          <w:rFonts w:ascii="Arial" w:hAnsi="Arial" w:cs="Arial"/>
          <w:sz w:val="18"/>
          <w:szCs w:val="18"/>
        </w:rPr>
      </w:pPr>
      <w:r w:rsidRPr="00F95BC2">
        <w:rPr>
          <w:rStyle w:val="Refdenotaalpie"/>
          <w:rFonts w:ascii="Arial" w:hAnsi="Arial" w:cs="Arial"/>
          <w:sz w:val="22"/>
          <w:szCs w:val="22"/>
        </w:rPr>
        <w:footnoteRef/>
      </w:r>
      <w:r w:rsidRPr="00F95BC2">
        <w:rPr>
          <w:rStyle w:val="Refdenotaalpie"/>
          <w:rFonts w:ascii="Arial" w:hAnsi="Arial" w:cs="Arial"/>
          <w:sz w:val="22"/>
          <w:szCs w:val="22"/>
        </w:rPr>
        <w:t xml:space="preserve"> </w:t>
      </w:r>
      <w:hyperlink w:anchor="CT002" w:history="1">
        <w:r w:rsidRPr="00952C94">
          <w:rPr>
            <w:rStyle w:val="Hipervnculo"/>
            <w:rFonts w:ascii="Arial" w:hAnsi="Arial" w:cs="Arial"/>
            <w:sz w:val="18"/>
            <w:szCs w:val="18"/>
          </w:rPr>
          <w:t>http://www.saij.gob.ar/alberto-sandhagen-dilema-prision-muerte-garantia-contra-autoincriminacion-dacf210110-2021-06-09/123456789-0abc-defg0110-12fcanirtcod?&amp;o=125&amp;f=Total%7CFecha%7CEstado%20de%20Vigencia%5B5%2C1%5D%7CTema/Derecho%20constitucional%5B3%2C1%5D%7COrganismo%5B5%2C1%5D%7CAutor%5B5%2C1%5D%7CJurisdicci%F3n%5B5%2C1%5D%7CTribunal%5B5%2C1%5D%7CPublicaci%F3n%5B5%2C1%5D%7CColecci%F3n%20tem%E1tica%5B5%2C1%5D%7CTipo%20de%20Documento/Doctrina&amp;t=2667#CT002</w:t>
        </w:r>
      </w:hyperlink>
    </w:p>
  </w:footnote>
  <w:footnote w:id="11">
    <w:p w:rsidR="00E4132F" w:rsidRPr="00952C94" w:rsidRDefault="00E4132F" w:rsidP="00E4132F">
      <w:pPr>
        <w:spacing w:before="120"/>
        <w:jc w:val="both"/>
        <w:rPr>
          <w:rFonts w:ascii="Arial" w:hAnsi="Arial" w:cs="Arial"/>
          <w:sz w:val="18"/>
          <w:szCs w:val="18"/>
        </w:rPr>
      </w:pPr>
      <w:r w:rsidRPr="00F95BC2">
        <w:rPr>
          <w:rStyle w:val="Refdenotaalpie"/>
          <w:rFonts w:ascii="Arial" w:hAnsi="Arial" w:cs="Arial"/>
          <w:sz w:val="22"/>
          <w:szCs w:val="22"/>
        </w:rPr>
        <w:footnoteRef/>
      </w:r>
      <w:r w:rsidRPr="00F95BC2">
        <w:rPr>
          <w:rStyle w:val="Refdenotaalpie"/>
          <w:rFonts w:ascii="Arial" w:hAnsi="Arial" w:cs="Arial"/>
          <w:sz w:val="22"/>
          <w:szCs w:val="22"/>
        </w:rPr>
        <w:t xml:space="preserve"> </w:t>
      </w:r>
      <w:hyperlink w:anchor="CT003" w:history="1">
        <w:r w:rsidRPr="00952C94">
          <w:rPr>
            <w:rStyle w:val="Hipervnculo"/>
            <w:rFonts w:ascii="Arial" w:hAnsi="Arial" w:cs="Arial"/>
            <w:sz w:val="18"/>
            <w:szCs w:val="18"/>
          </w:rPr>
          <w:t>http://www.saij.gob.ar/alberto-sandhagen-dilema-prision-muerte-garantia-contra-autoincriminacion-dacf210110-2021-06-09/123456789-0abc-defg0110-12fcanirtcod?&amp;o=125&amp;f=Total%7CFecha%7CEstado%20de%20Vigencia%5B5%2C1%5D%7CTema/Derecho%20constitucional%5B3%2C1%5D%7COrganismo%5B5%2C1%5D%7CAutor%5B5%2C1%5D%7CJurisdicci%F3n%5B5%2C1%5D%7CTribunal%5B5%2C1%5D%7CPublicaci%F3n%5B5%2C1%5D%7CColecci%F3n%20tem%E1tica%5B5%2C1%5D%7CTipo%20de%20Documento/Doctrina&amp;t=2667#CT003</w:t>
        </w:r>
      </w:hyperlink>
    </w:p>
  </w:footnote>
  <w:footnote w:id="12">
    <w:p w:rsidR="00E4132F" w:rsidRPr="00952C94" w:rsidRDefault="00E4132F" w:rsidP="00E4132F">
      <w:pPr>
        <w:spacing w:before="120"/>
        <w:jc w:val="both"/>
        <w:rPr>
          <w:rFonts w:ascii="Arial" w:hAnsi="Arial" w:cs="Arial"/>
          <w:sz w:val="18"/>
          <w:szCs w:val="18"/>
        </w:rPr>
      </w:pPr>
      <w:r w:rsidRPr="00F95BC2">
        <w:rPr>
          <w:rStyle w:val="Refdenotaalpie"/>
          <w:rFonts w:ascii="Arial" w:hAnsi="Arial" w:cs="Arial"/>
          <w:sz w:val="22"/>
          <w:szCs w:val="22"/>
        </w:rPr>
        <w:footnoteRef/>
      </w:r>
      <w:r w:rsidRPr="00F95BC2">
        <w:rPr>
          <w:rStyle w:val="Refdenotaalpie"/>
          <w:rFonts w:ascii="Arial" w:hAnsi="Arial" w:cs="Arial"/>
          <w:sz w:val="22"/>
          <w:szCs w:val="22"/>
        </w:rPr>
        <w:t xml:space="preserve"> </w:t>
      </w:r>
      <w:hyperlink w:anchor="CT004" w:history="1">
        <w:r w:rsidRPr="00952C94">
          <w:rPr>
            <w:rStyle w:val="Hipervnculo"/>
            <w:rFonts w:ascii="Arial" w:hAnsi="Arial" w:cs="Arial"/>
            <w:sz w:val="18"/>
            <w:szCs w:val="18"/>
          </w:rPr>
          <w:t>http://www.saij.gob.ar/alberto-sandhagen-dilema-prision-muerte-garantia-contra-autoincriminacion-dacf210110-2021-06-09/123456789-0abc-defg0110-12fcanirtcod?&amp;o=125&amp;f=Total%7CFecha%7CEstado%20de%20Vigencia%5B5%2C1%5D%7CTema/Derecho%20constitucional%5B3%2C1%5D%7COrganismo%5B5%2C1%5D%7CAutor%5B5%2C1%5D%7CJurisdicci%F3n%5B5%2C1%5D%7CTribunal%5B5%2C1%5D%7CPublicaci%F3n%5B5%2C1%5D%7CColecci%F3n%20tem%E1tica%5B5%2C1%5D%7CTipo%20de%20Documento/Doctrina&amp;t=2667#CT004</w:t>
        </w:r>
      </w:hyperlink>
      <w:r w:rsidRPr="00952C94">
        <w:rPr>
          <w:rFonts w:ascii="Arial" w:hAnsi="Arial" w:cs="Arial"/>
          <w:sz w:val="18"/>
          <w:szCs w:val="18"/>
        </w:rPr>
        <w:t xml:space="preserve"> </w:t>
      </w:r>
    </w:p>
  </w:footnote>
  <w:footnote w:id="13">
    <w:p w:rsidR="00E4132F" w:rsidRPr="00952C94" w:rsidRDefault="00E4132F" w:rsidP="00E4132F">
      <w:pPr>
        <w:spacing w:before="120"/>
        <w:jc w:val="both"/>
        <w:rPr>
          <w:rFonts w:ascii="Arial" w:hAnsi="Arial" w:cs="Arial"/>
          <w:sz w:val="18"/>
          <w:szCs w:val="18"/>
        </w:rPr>
      </w:pPr>
      <w:r w:rsidRPr="00F95BC2">
        <w:rPr>
          <w:rStyle w:val="Refdenotaalpie"/>
          <w:rFonts w:ascii="Arial" w:hAnsi="Arial" w:cs="Arial"/>
          <w:sz w:val="22"/>
          <w:szCs w:val="22"/>
        </w:rPr>
        <w:footnoteRef/>
      </w:r>
      <w:r w:rsidRPr="00F95BC2">
        <w:rPr>
          <w:rStyle w:val="Refdenotaalpie"/>
          <w:rFonts w:ascii="Arial" w:hAnsi="Arial" w:cs="Arial"/>
          <w:sz w:val="22"/>
          <w:szCs w:val="22"/>
        </w:rPr>
        <w:t xml:space="preserve"> </w:t>
      </w:r>
      <w:hyperlink w:anchor="CT005" w:history="1">
        <w:r w:rsidRPr="00952C94">
          <w:rPr>
            <w:rStyle w:val="Hipervnculo"/>
            <w:rFonts w:ascii="Arial" w:hAnsi="Arial" w:cs="Arial"/>
            <w:sz w:val="18"/>
            <w:szCs w:val="18"/>
          </w:rPr>
          <w:t>http://www.saij.gob.ar/alberto-sandhagen-dilema-prision-muerte-garantia-contra-autoincriminacion-dacf210110-2021-06-09/123456789-0abc-defg0110-12fcanirtcod?&amp;o=125&amp;f=Total%7CFecha%7CEstado%20de%20Vigencia%5B5%2C1%5D%7CTema/Derecho%20constitucional%5B3%2C1%5D%7COrganismo%5B5%2C1%5D%7CAutor%5B5%2C1%5D%7CJurisdicci%F3n%5B5%2C1%5D%7CTribunal%5B5%2C1%5D%7CPublicaci%F3n%5B5%2C1%5D%7CColecci%F3n%20tem%E1tica%5B5%2C1%5D%7CTipo%20de%20Documento/Doctrina&amp;t=2667#CT005</w:t>
        </w:r>
      </w:hyperlink>
      <w:r w:rsidRPr="00952C94">
        <w:rPr>
          <w:rFonts w:ascii="Arial" w:hAnsi="Arial" w:cs="Arial"/>
          <w:sz w:val="18"/>
          <w:szCs w:val="18"/>
        </w:rPr>
        <w:t xml:space="preserve"> </w:t>
      </w:r>
    </w:p>
  </w:footnote>
  <w:footnote w:id="14">
    <w:p w:rsidR="00E0049D" w:rsidRDefault="00E0049D" w:rsidP="00E0049D">
      <w:pPr>
        <w:spacing w:before="120"/>
        <w:jc w:val="both"/>
        <w:rPr>
          <w:rFonts w:ascii="Arial" w:hAnsi="Arial" w:cs="Arial"/>
          <w:sz w:val="18"/>
          <w:szCs w:val="18"/>
        </w:rPr>
      </w:pPr>
      <w:r>
        <w:rPr>
          <w:rStyle w:val="Refdenotaalpie"/>
          <w:rFonts w:ascii="Arial" w:hAnsi="Arial" w:cs="Arial"/>
        </w:rPr>
        <w:footnoteRef/>
      </w:r>
      <w:r>
        <w:rPr>
          <w:rFonts w:ascii="Arial" w:hAnsi="Arial" w:cs="Arial"/>
          <w:lang w:val="en-US"/>
        </w:rPr>
        <w:t xml:space="preserve"> </w:t>
      </w:r>
      <w:r w:rsidR="001F5C36">
        <w:rPr>
          <w:rFonts w:ascii="Arial" w:hAnsi="Arial" w:cs="Arial"/>
          <w:smallCaps/>
          <w:sz w:val="18"/>
          <w:szCs w:val="18"/>
          <w:lang w:val="en-US"/>
        </w:rPr>
        <w:t>IENCA</w:t>
      </w:r>
      <w:r>
        <w:rPr>
          <w:rFonts w:ascii="Arial" w:hAnsi="Arial" w:cs="Arial"/>
          <w:sz w:val="18"/>
          <w:szCs w:val="18"/>
          <w:lang w:val="en-US"/>
        </w:rPr>
        <w:t xml:space="preserve">, Marcelo y </w:t>
      </w:r>
      <w:r w:rsidR="001F5C36">
        <w:rPr>
          <w:rFonts w:ascii="Arial" w:hAnsi="Arial" w:cs="Arial"/>
          <w:smallCaps/>
          <w:sz w:val="18"/>
          <w:szCs w:val="18"/>
          <w:lang w:val="en-US"/>
        </w:rPr>
        <w:t>ANDORNO</w:t>
      </w:r>
      <w:r>
        <w:rPr>
          <w:rFonts w:ascii="Arial" w:hAnsi="Arial" w:cs="Arial"/>
          <w:sz w:val="18"/>
          <w:szCs w:val="18"/>
          <w:lang w:val="en-US"/>
        </w:rPr>
        <w:t xml:space="preserve">, Roberto, </w:t>
      </w:r>
      <w:r>
        <w:rPr>
          <w:rFonts w:ascii="Arial" w:hAnsi="Arial" w:cs="Arial"/>
          <w:i/>
          <w:sz w:val="18"/>
          <w:szCs w:val="18"/>
          <w:lang w:val="en-US"/>
        </w:rPr>
        <w:t>Towards new human rights in the age of neuroscience and neurotechnology</w:t>
      </w:r>
      <w:r>
        <w:rPr>
          <w:rFonts w:ascii="Arial" w:hAnsi="Arial" w:cs="Arial"/>
          <w:sz w:val="18"/>
          <w:szCs w:val="18"/>
          <w:lang w:val="en-US"/>
        </w:rPr>
        <w:t xml:space="preserve">, Life Sciences, Society and Policy (2017) 13:5, DOI 10.1186/s40504-017-0050-1. </w:t>
      </w:r>
      <w:r>
        <w:rPr>
          <w:rFonts w:ascii="Arial" w:hAnsi="Arial" w:cs="Arial"/>
          <w:sz w:val="18"/>
          <w:szCs w:val="18"/>
        </w:rPr>
        <w:t xml:space="preserve">Disponible en línea en: </w:t>
      </w:r>
      <w:hyperlink r:id="rId3" w:history="1">
        <w:r>
          <w:rPr>
            <w:rStyle w:val="Hipervnculo"/>
            <w:rFonts w:ascii="Arial" w:hAnsi="Arial" w:cs="Arial"/>
            <w:sz w:val="18"/>
            <w:szCs w:val="18"/>
          </w:rPr>
          <w:t>https://lsspjournal.springeropen.com/arcles/10.1186/s40504-017-0050-1</w:t>
        </w:r>
      </w:hyperlink>
      <w:r>
        <w:rPr>
          <w:rFonts w:ascii="Arial" w:hAnsi="Arial" w:cs="Arial"/>
          <w:sz w:val="18"/>
          <w:szCs w:val="18"/>
        </w:rPr>
        <w:t>.</w:t>
      </w:r>
    </w:p>
  </w:footnote>
  <w:footnote w:id="15">
    <w:p w:rsidR="00E0049D" w:rsidRPr="00E0049D" w:rsidRDefault="00E0049D" w:rsidP="00E0049D">
      <w:pPr>
        <w:pStyle w:val="Textonotapie"/>
        <w:spacing w:before="120"/>
        <w:jc w:val="both"/>
        <w:rPr>
          <w:rFonts w:cs="Times New Roman"/>
          <w:lang w:val="en-US"/>
        </w:rPr>
      </w:pPr>
      <w:r>
        <w:rPr>
          <w:rStyle w:val="Refdenotaalpie"/>
          <w:rFonts w:ascii="Arial" w:hAnsi="Arial" w:cs="Arial"/>
          <w:sz w:val="22"/>
          <w:szCs w:val="22"/>
        </w:rPr>
        <w:footnoteRef/>
      </w:r>
      <w:r>
        <w:rPr>
          <w:rFonts w:ascii="Arial" w:hAnsi="Arial" w:cs="Arial"/>
          <w:sz w:val="22"/>
          <w:szCs w:val="22"/>
          <w:lang w:val="en-US"/>
        </w:rPr>
        <w:t xml:space="preserve"> </w:t>
      </w:r>
      <w:r>
        <w:rPr>
          <w:rFonts w:ascii="Arial" w:hAnsi="Arial" w:cs="Arial"/>
          <w:sz w:val="18"/>
          <w:szCs w:val="18"/>
          <w:lang w:val="en-US"/>
        </w:rPr>
        <w:t xml:space="preserve">U.S. Food and Drug Administration </w:t>
      </w:r>
    </w:p>
  </w:footnote>
  <w:footnote w:id="16">
    <w:p w:rsidR="00E0049D" w:rsidRDefault="00E0049D" w:rsidP="00E0049D">
      <w:pPr>
        <w:spacing w:before="120"/>
        <w:jc w:val="both"/>
      </w:pPr>
      <w:r>
        <w:rPr>
          <w:rStyle w:val="Refdenotaalpie"/>
          <w:rFonts w:ascii="Arial" w:hAnsi="Arial" w:cs="Arial"/>
        </w:rPr>
        <w:footnoteRef/>
      </w:r>
      <w:r>
        <w:rPr>
          <w:rStyle w:val="Refdenotaalpie"/>
          <w:rFonts w:ascii="Arial" w:hAnsi="Arial" w:cs="Arial"/>
        </w:rPr>
        <w:t xml:space="preserve"> “</w:t>
      </w:r>
      <w:r>
        <w:rPr>
          <w:rFonts w:ascii="Arial" w:hAnsi="Arial" w:cs="Arial"/>
          <w:sz w:val="18"/>
          <w:szCs w:val="18"/>
        </w:rPr>
        <w:t xml:space="preserve">Implante cerebral ayuda a un hombre a 'hablar' a través de una computadora” en </w:t>
      </w:r>
      <w:hyperlink r:id="rId4" w:history="1">
        <w:r>
          <w:rPr>
            <w:rStyle w:val="Hipervnculo"/>
            <w:rFonts w:ascii="Arial" w:hAnsi="Arial" w:cs="Arial"/>
            <w:sz w:val="18"/>
            <w:szCs w:val="18"/>
          </w:rPr>
          <w:t>https://cnnespanol.cnn.com/2021/07/15/implante-cerebral-hablar-derrame-trax/</w:t>
        </w:r>
      </w:hyperlink>
      <w:r>
        <w:rPr>
          <w:rFonts w:ascii="Arial" w:hAnsi="Arial" w:cs="Arial"/>
          <w:sz w:val="18"/>
          <w:szCs w:val="18"/>
        </w:rPr>
        <w:t xml:space="preserve">; </w:t>
      </w:r>
      <w:r>
        <w:rPr>
          <w:rFonts w:ascii="Arial" w:hAnsi="Arial" w:cs="Arial"/>
        </w:rPr>
        <w:t>“</w:t>
      </w:r>
      <w:r>
        <w:rPr>
          <w:rFonts w:ascii="Arial" w:hAnsi="Arial" w:cs="Arial"/>
          <w:sz w:val="18"/>
          <w:szCs w:val="18"/>
        </w:rPr>
        <w:t xml:space="preserve">Así es el implante cerebral que ayuda a las personas con ELA a escribir tuits con la mente” en </w:t>
      </w:r>
      <w:hyperlink r:id="rId5" w:history="1">
        <w:r>
          <w:rPr>
            <w:rStyle w:val="Hipervnculo"/>
            <w:rFonts w:ascii="Arial" w:hAnsi="Arial" w:cs="Arial"/>
            <w:sz w:val="18"/>
            <w:szCs w:val="18"/>
          </w:rPr>
          <w:t>https://www.20minutos.es/tecnologia/moviles-dispositivos/asi-es-el-implante-cerebral-que-ayuda-a-las-personas-con-ela-a-escribir-tuits-con-la-mente-4934417/</w:t>
        </w:r>
      </w:hyperlink>
    </w:p>
  </w:footnote>
  <w:footnote w:id="17">
    <w:p w:rsidR="00E0049D" w:rsidRDefault="00E0049D" w:rsidP="00E0049D">
      <w:pPr>
        <w:spacing w:before="120"/>
        <w:jc w:val="both"/>
      </w:pPr>
      <w:r>
        <w:rPr>
          <w:rStyle w:val="Refdenotaalpie"/>
          <w:rFonts w:ascii="Arial" w:hAnsi="Arial" w:cs="Arial"/>
        </w:rPr>
        <w:footnoteRef/>
      </w:r>
      <w:r>
        <w:rPr>
          <w:rStyle w:val="Refdenotaalpie"/>
          <w:rFonts w:ascii="Arial" w:hAnsi="Arial" w:cs="Arial"/>
        </w:rPr>
        <w:t xml:space="preserve"> “</w:t>
      </w:r>
      <w:r>
        <w:rPr>
          <w:rFonts w:ascii="Arial" w:hAnsi="Arial" w:cs="Arial"/>
          <w:sz w:val="18"/>
          <w:szCs w:val="18"/>
        </w:rPr>
        <w:t xml:space="preserve">Primer implante cerebral del mundo trata con éxito depresión severa de un paciente” en </w:t>
      </w:r>
      <w:hyperlink r:id="rId6" w:history="1">
        <w:r>
          <w:rPr>
            <w:rStyle w:val="Hipervnculo"/>
            <w:rFonts w:ascii="Arial" w:hAnsi="Arial" w:cs="Arial"/>
            <w:sz w:val="18"/>
            <w:szCs w:val="18"/>
          </w:rPr>
          <w:t>https://www.dw.com/es/primer-implante-cerebral-del-mundo-trata-con-%C3%A9xito-depresi%C3%B3n-severa-de-un-paciente/a-59412530</w:t>
        </w:r>
      </w:hyperlink>
    </w:p>
  </w:footnote>
  <w:footnote w:id="18">
    <w:p w:rsidR="00771DFC" w:rsidRPr="00952C94" w:rsidRDefault="00771DFC" w:rsidP="001C1802">
      <w:pPr>
        <w:spacing w:before="120"/>
        <w:jc w:val="both"/>
        <w:rPr>
          <w:rFonts w:ascii="Arial" w:hAnsi="Arial" w:cs="Arial"/>
          <w:sz w:val="18"/>
          <w:szCs w:val="18"/>
        </w:rPr>
      </w:pPr>
      <w:r w:rsidRPr="00F95BC2">
        <w:rPr>
          <w:rStyle w:val="Refdenotaalpie"/>
          <w:rFonts w:ascii="Arial" w:hAnsi="Arial" w:cs="Arial"/>
          <w:sz w:val="22"/>
          <w:szCs w:val="22"/>
        </w:rPr>
        <w:footnoteRef/>
      </w:r>
      <w:r w:rsidRPr="00F95BC2">
        <w:rPr>
          <w:rStyle w:val="Refdenotaalpie"/>
          <w:sz w:val="22"/>
          <w:szCs w:val="22"/>
        </w:rPr>
        <w:t xml:space="preserve"> </w:t>
      </w:r>
      <w:r w:rsidR="00AC457A" w:rsidRPr="00952C94">
        <w:rPr>
          <w:rFonts w:ascii="Arial" w:hAnsi="Arial" w:cs="Arial"/>
          <w:smallCaps/>
          <w:sz w:val="18"/>
          <w:szCs w:val="18"/>
        </w:rPr>
        <w:t>ÁLVAREZ GONZÁLEZ</w:t>
      </w:r>
      <w:r w:rsidRPr="00952C94">
        <w:rPr>
          <w:rFonts w:ascii="Arial" w:hAnsi="Arial" w:cs="Arial"/>
          <w:smallCaps/>
          <w:sz w:val="18"/>
          <w:szCs w:val="18"/>
        </w:rPr>
        <w:t xml:space="preserve">, </w:t>
      </w:r>
      <w:r w:rsidRPr="00952C94">
        <w:rPr>
          <w:rFonts w:ascii="Arial" w:hAnsi="Arial" w:cs="Arial"/>
          <w:sz w:val="18"/>
          <w:szCs w:val="18"/>
        </w:rPr>
        <w:t xml:space="preserve">Carlos Fernández; </w:t>
      </w:r>
      <w:r w:rsidR="00AC457A" w:rsidRPr="00952C94">
        <w:rPr>
          <w:rFonts w:ascii="Arial" w:hAnsi="Arial" w:cs="Arial"/>
          <w:smallCaps/>
          <w:sz w:val="18"/>
          <w:szCs w:val="18"/>
        </w:rPr>
        <w:t>ILES MUÑOZ,</w:t>
      </w:r>
      <w:r w:rsidRPr="00952C94">
        <w:rPr>
          <w:rFonts w:ascii="Arial" w:hAnsi="Arial" w:cs="Arial"/>
          <w:smallCaps/>
          <w:sz w:val="18"/>
          <w:szCs w:val="18"/>
        </w:rPr>
        <w:t xml:space="preserve"> </w:t>
      </w:r>
      <w:r w:rsidRPr="00952C94">
        <w:rPr>
          <w:rFonts w:ascii="Arial" w:hAnsi="Arial" w:cs="Arial"/>
          <w:sz w:val="18"/>
          <w:szCs w:val="18"/>
        </w:rPr>
        <w:t xml:space="preserve">Luis Alejandro; </w:t>
      </w:r>
      <w:r w:rsidR="00AC457A" w:rsidRPr="00952C94">
        <w:rPr>
          <w:rFonts w:ascii="Arial" w:hAnsi="Arial" w:cs="Arial"/>
          <w:smallCaps/>
          <w:sz w:val="18"/>
          <w:szCs w:val="18"/>
        </w:rPr>
        <w:t>RIVERA</w:t>
      </w:r>
      <w:r w:rsidRPr="00952C94">
        <w:rPr>
          <w:rFonts w:ascii="Arial" w:hAnsi="Arial" w:cs="Arial"/>
          <w:smallCaps/>
          <w:sz w:val="18"/>
          <w:szCs w:val="18"/>
        </w:rPr>
        <w:t>,</w:t>
      </w:r>
      <w:r w:rsidRPr="00952C94">
        <w:rPr>
          <w:rFonts w:ascii="Arial" w:hAnsi="Arial" w:cs="Arial"/>
          <w:sz w:val="18"/>
          <w:szCs w:val="18"/>
        </w:rPr>
        <w:t xml:space="preserve"> Jeffry Samir; </w:t>
      </w:r>
      <w:r w:rsidR="00AC457A" w:rsidRPr="00952C94">
        <w:rPr>
          <w:rFonts w:ascii="Arial" w:hAnsi="Arial" w:cs="Arial"/>
          <w:smallCaps/>
          <w:sz w:val="18"/>
          <w:szCs w:val="18"/>
        </w:rPr>
        <w:t>BERMÚDEZ DURÁN</w:t>
      </w:r>
      <w:r w:rsidRPr="00952C94">
        <w:rPr>
          <w:rFonts w:ascii="Arial" w:hAnsi="Arial" w:cs="Arial"/>
          <w:smallCaps/>
          <w:sz w:val="18"/>
          <w:szCs w:val="18"/>
        </w:rPr>
        <w:t xml:space="preserve">, </w:t>
      </w:r>
      <w:r w:rsidRPr="00952C94">
        <w:rPr>
          <w:rFonts w:ascii="Arial" w:hAnsi="Arial" w:cs="Arial"/>
          <w:sz w:val="18"/>
          <w:szCs w:val="18"/>
        </w:rPr>
        <w:t xml:space="preserve">César Mauricio; </w:t>
      </w:r>
      <w:r w:rsidR="00AC457A" w:rsidRPr="00952C94">
        <w:rPr>
          <w:rFonts w:ascii="Arial" w:hAnsi="Arial" w:cs="Arial"/>
          <w:smallCaps/>
          <w:sz w:val="18"/>
          <w:szCs w:val="18"/>
        </w:rPr>
        <w:t>MÓNOGA</w:t>
      </w:r>
      <w:r w:rsidRPr="00952C94">
        <w:rPr>
          <w:rFonts w:ascii="Arial" w:hAnsi="Arial" w:cs="Arial"/>
          <w:smallCaps/>
          <w:sz w:val="18"/>
          <w:szCs w:val="18"/>
        </w:rPr>
        <w:t xml:space="preserve">, </w:t>
      </w:r>
      <w:r w:rsidRPr="00952C94">
        <w:rPr>
          <w:rFonts w:ascii="Arial" w:hAnsi="Arial" w:cs="Arial"/>
          <w:sz w:val="18"/>
          <w:szCs w:val="18"/>
        </w:rPr>
        <w:t xml:space="preserve">Eduardo;  </w:t>
      </w:r>
      <w:r w:rsidRPr="00952C94">
        <w:rPr>
          <w:rFonts w:ascii="Arial" w:hAnsi="Arial" w:cs="Arial"/>
          <w:i/>
          <w:sz w:val="18"/>
          <w:szCs w:val="18"/>
        </w:rPr>
        <w:t xml:space="preserve">“Lo trágico en el relato ficcional de Black Mirror” </w:t>
      </w:r>
      <w:r w:rsidRPr="00952C94">
        <w:rPr>
          <w:rFonts w:ascii="Arial" w:hAnsi="Arial" w:cs="Arial"/>
          <w:sz w:val="18"/>
          <w:szCs w:val="18"/>
        </w:rPr>
        <w:t xml:space="preserve">en El efecto Black Mirror. Ensayos sobre filosofía, tecnología y cultura; Héctor A. Feruglio Ortiz, Naím Garnica y Carlos F. Álvarez González (compiladores; 2019 Buenos Aires, TeseoPress en </w:t>
      </w:r>
      <w:hyperlink r:id="rId7" w:history="1">
        <w:r w:rsidRPr="00952C94">
          <w:rPr>
            <w:rStyle w:val="Hipervnculo"/>
            <w:rFonts w:ascii="Arial" w:hAnsi="Arial" w:cs="Arial"/>
            <w:sz w:val="18"/>
            <w:szCs w:val="18"/>
          </w:rPr>
          <w:t>https://www.teseopress.com/elefectoblackmirror/chapter/lo-tragico-en-el-relato-ficcional-de-black-mirrorfootnote-el-presente-trabajo-pertenece-al-proyecto-de-investigacion--la-distopia-tecnologica-en-el-relato-ficcional-de-la-serie-blac/</w:t>
        </w:r>
      </w:hyperlink>
      <w:r w:rsidRPr="00952C94">
        <w:rPr>
          <w:rFonts w:ascii="Arial" w:hAnsi="Arial" w:cs="Arial"/>
          <w:sz w:val="18"/>
          <w:szCs w:val="18"/>
        </w:rPr>
        <w:t xml:space="preserve"> </w:t>
      </w:r>
    </w:p>
  </w:footnote>
  <w:footnote w:id="19">
    <w:p w:rsidR="00E0049D" w:rsidRDefault="00E0049D" w:rsidP="00E0049D">
      <w:pPr>
        <w:spacing w:before="120"/>
        <w:jc w:val="both"/>
        <w:rPr>
          <w:rStyle w:val="Refdenotaalpie"/>
          <w:rFonts w:ascii="Arial" w:hAnsi="Arial" w:cs="Arial"/>
          <w:sz w:val="22"/>
          <w:szCs w:val="22"/>
          <w:lang w:eastAsia="en-US"/>
        </w:rPr>
      </w:pPr>
      <w:r>
        <w:rPr>
          <w:rStyle w:val="Refdenotaalpie"/>
          <w:rFonts w:ascii="Arial" w:hAnsi="Arial" w:cs="Arial"/>
        </w:rPr>
        <w:footnoteRef/>
      </w:r>
      <w:r>
        <w:rPr>
          <w:rStyle w:val="Refdenotaalpie"/>
          <w:rFonts w:ascii="Arial" w:hAnsi="Arial" w:cs="Arial"/>
        </w:rPr>
        <w:t xml:space="preserve"> </w:t>
      </w:r>
      <w:hyperlink r:id="rId8" w:history="1">
        <w:r>
          <w:rPr>
            <w:rStyle w:val="Hipervnculo"/>
            <w:rFonts w:ascii="Arial" w:hAnsi="Arial" w:cs="Arial"/>
            <w:sz w:val="18"/>
            <w:szCs w:val="18"/>
          </w:rPr>
          <w:t>https://www.technologyreview.es//s/13656/asi-nos-permite-la-tecnologia-ver-y-manipular-los-recuerdos</w:t>
        </w:r>
      </w:hyperlink>
    </w:p>
  </w:footnote>
  <w:footnote w:id="20">
    <w:p w:rsidR="00F95BC2" w:rsidRPr="00F95BC2" w:rsidRDefault="00F95BC2" w:rsidP="00F95BC2">
      <w:pPr>
        <w:spacing w:before="120"/>
        <w:jc w:val="both"/>
        <w:rPr>
          <w:rFonts w:ascii="Arial" w:hAnsi="Arial" w:cs="Arial"/>
          <w:sz w:val="22"/>
          <w:szCs w:val="22"/>
        </w:rPr>
      </w:pPr>
      <w:r w:rsidRPr="00F95BC2">
        <w:rPr>
          <w:rStyle w:val="Refdenotaalpie"/>
          <w:rFonts w:ascii="Arial" w:hAnsi="Arial" w:cs="Arial"/>
          <w:sz w:val="22"/>
          <w:szCs w:val="22"/>
        </w:rPr>
        <w:footnoteRef/>
      </w:r>
      <w:r w:rsidRPr="00F95BC2">
        <w:rPr>
          <w:rFonts w:ascii="Arial" w:hAnsi="Arial" w:cs="Arial"/>
          <w:sz w:val="22"/>
          <w:szCs w:val="22"/>
        </w:rPr>
        <w:t xml:space="preserve"> </w:t>
      </w:r>
      <w:r w:rsidR="00E0049D">
        <w:rPr>
          <w:rFonts w:ascii="Arial" w:hAnsi="Arial" w:cs="Arial"/>
          <w:sz w:val="18"/>
          <w:szCs w:val="18"/>
        </w:rPr>
        <w:t xml:space="preserve">https://neuralink.com </w:t>
      </w:r>
    </w:p>
  </w:footnote>
  <w:footnote w:id="21">
    <w:p w:rsidR="00771DFC" w:rsidRPr="00952C94" w:rsidRDefault="00771DFC" w:rsidP="00771DFC">
      <w:pPr>
        <w:spacing w:before="120"/>
        <w:jc w:val="both"/>
        <w:rPr>
          <w:rFonts w:ascii="Arial" w:hAnsi="Arial" w:cs="Arial"/>
          <w:i/>
          <w:sz w:val="18"/>
          <w:szCs w:val="18"/>
        </w:rPr>
      </w:pPr>
      <w:r w:rsidRPr="00F95BC2">
        <w:rPr>
          <w:rStyle w:val="Refdenotaalpie"/>
          <w:rFonts w:ascii="Arial" w:hAnsi="Arial" w:cs="Arial"/>
          <w:sz w:val="22"/>
          <w:szCs w:val="22"/>
        </w:rPr>
        <w:footnoteRef/>
      </w:r>
      <w:r w:rsidRPr="00F95BC2">
        <w:rPr>
          <w:rStyle w:val="Refdenotaalpie"/>
          <w:sz w:val="22"/>
          <w:szCs w:val="22"/>
        </w:rPr>
        <w:t xml:space="preserve"> </w:t>
      </w:r>
      <w:r w:rsidRPr="00952C94">
        <w:rPr>
          <w:rFonts w:ascii="Arial" w:hAnsi="Arial" w:cs="Arial"/>
          <w:sz w:val="18"/>
          <w:szCs w:val="18"/>
        </w:rPr>
        <w:t xml:space="preserve">En una entrevista otorgada al Sitio BBC News en 2019, la neurocientífica Mavi </w:t>
      </w:r>
      <w:r w:rsidR="00AC457A" w:rsidRPr="00952C94">
        <w:rPr>
          <w:rFonts w:ascii="Arial" w:hAnsi="Arial" w:cs="Arial"/>
          <w:smallCaps/>
          <w:sz w:val="18"/>
          <w:szCs w:val="18"/>
        </w:rPr>
        <w:t>SÁNCHEZ VIVES</w:t>
      </w:r>
      <w:r w:rsidR="00AC457A" w:rsidRPr="00952C94">
        <w:rPr>
          <w:rFonts w:ascii="Arial" w:hAnsi="Arial" w:cs="Arial"/>
          <w:sz w:val="18"/>
          <w:szCs w:val="18"/>
        </w:rPr>
        <w:t xml:space="preserve"> </w:t>
      </w:r>
      <w:r w:rsidRPr="00952C94">
        <w:rPr>
          <w:rFonts w:ascii="Arial" w:hAnsi="Arial" w:cs="Arial"/>
          <w:sz w:val="18"/>
          <w:szCs w:val="18"/>
        </w:rPr>
        <w:t>preguntada sobre la posibilidad de que el cerebro humano llegue a estar en la nube, en un servidor externo, responde: “</w:t>
      </w:r>
      <w:r w:rsidRPr="00952C94">
        <w:rPr>
          <w:rFonts w:ascii="Arial" w:hAnsi="Arial" w:cs="Arial"/>
          <w:i/>
          <w:sz w:val="18"/>
          <w:szCs w:val="18"/>
        </w:rPr>
        <w:t xml:space="preserve">No creo que lleguemos a verlo, pero se podría. Hay ya muchas cosas que se pueden hacer. Si lo que quieres decir es que tu actividad cerebral puede estar en la nube, ya te confirmo que eso es posible hoy día… En ese sentido, sí podemos decir que nuestro cerebro humano ya está en la nube en estos momentos. Ahora bien, que tus ideas, tus pensamientos, tu consciencia, tu razonamiento, tu creatividad o tus sentimientos…, en definitiva, que tu "yo" íntegro se llegue a volcar en un ordenador, eso está aún por ver” </w:t>
      </w:r>
      <w:hyperlink r:id="rId9" w:history="1">
        <w:r w:rsidRPr="00952C94">
          <w:rPr>
            <w:rStyle w:val="Hipervnculo"/>
            <w:rFonts w:ascii="Arial" w:hAnsi="Arial" w:cs="Arial"/>
            <w:sz w:val="18"/>
            <w:szCs w:val="18"/>
            <w:lang w:eastAsia="zh-CN"/>
          </w:rPr>
          <w:t>https://www.bbc.com/mundo/noticias-48555799</w:t>
        </w:r>
      </w:hyperlink>
    </w:p>
  </w:footnote>
  <w:footnote w:id="22">
    <w:p w:rsidR="00771DFC" w:rsidRPr="00952C94" w:rsidRDefault="00771DFC" w:rsidP="00771DFC">
      <w:pPr>
        <w:spacing w:before="120"/>
        <w:jc w:val="both"/>
        <w:rPr>
          <w:rFonts w:ascii="Arial" w:hAnsi="Arial" w:cs="Arial"/>
          <w:sz w:val="18"/>
          <w:szCs w:val="18"/>
        </w:rPr>
      </w:pPr>
      <w:r w:rsidRPr="00F95BC2">
        <w:rPr>
          <w:rStyle w:val="Refdenotaalpie"/>
          <w:rFonts w:ascii="Arial" w:hAnsi="Arial" w:cs="Arial"/>
          <w:sz w:val="22"/>
          <w:szCs w:val="22"/>
        </w:rPr>
        <w:footnoteRef/>
      </w:r>
      <w:r w:rsidRPr="00F95BC2">
        <w:rPr>
          <w:rStyle w:val="Refdenotaalpie"/>
          <w:sz w:val="22"/>
          <w:szCs w:val="22"/>
        </w:rPr>
        <w:t xml:space="preserve"> </w:t>
      </w:r>
      <w:r w:rsidRPr="00952C94">
        <w:rPr>
          <w:rFonts w:ascii="Arial" w:hAnsi="Arial" w:cs="Arial"/>
          <w:sz w:val="18"/>
          <w:szCs w:val="18"/>
        </w:rPr>
        <w:t>Se trata de un dispositivo de 8 mm con miles de electrodos conectados a hilos flexibles, capaz de monitorear la actividad de las neuronas, que se conectan a las áreas del cerebro vinculadas con las funciones sensoriales y motoras.</w:t>
      </w:r>
    </w:p>
  </w:footnote>
  <w:footnote w:id="23">
    <w:p w:rsidR="004A39B4" w:rsidRPr="00952C94" w:rsidRDefault="004A39B4" w:rsidP="004A39B4">
      <w:pPr>
        <w:spacing w:before="120"/>
        <w:jc w:val="both"/>
        <w:rPr>
          <w:rFonts w:ascii="Arial" w:hAnsi="Arial" w:cs="Arial"/>
          <w:sz w:val="18"/>
          <w:szCs w:val="18"/>
        </w:rPr>
      </w:pPr>
      <w:r w:rsidRPr="00F95BC2">
        <w:rPr>
          <w:rStyle w:val="Refdenotaalpie"/>
          <w:rFonts w:ascii="Arial" w:hAnsi="Arial" w:cs="Arial"/>
          <w:sz w:val="22"/>
          <w:szCs w:val="22"/>
        </w:rPr>
        <w:footnoteRef/>
      </w:r>
      <w:r w:rsidRPr="00F95BC2">
        <w:rPr>
          <w:rStyle w:val="Refdenotaalpie"/>
          <w:sz w:val="22"/>
          <w:szCs w:val="22"/>
        </w:rPr>
        <w:t xml:space="preserve"> </w:t>
      </w:r>
      <w:r w:rsidRPr="00952C94">
        <w:rPr>
          <w:rFonts w:ascii="Arial" w:hAnsi="Arial" w:cs="Arial"/>
          <w:sz w:val="18"/>
          <w:szCs w:val="18"/>
        </w:rPr>
        <w:t xml:space="preserve">Tal como recuerda </w:t>
      </w:r>
      <w:r w:rsidR="00AC457A" w:rsidRPr="00952C94">
        <w:rPr>
          <w:rFonts w:ascii="Arial" w:hAnsi="Arial" w:cs="Arial"/>
          <w:smallCaps/>
          <w:sz w:val="18"/>
          <w:szCs w:val="18"/>
        </w:rPr>
        <w:t>GÓMEZ JOLIS</w:t>
      </w:r>
      <w:r w:rsidRPr="00952C94">
        <w:rPr>
          <w:rFonts w:ascii="Arial" w:hAnsi="Arial" w:cs="Arial"/>
          <w:sz w:val="18"/>
          <w:szCs w:val="18"/>
        </w:rPr>
        <w:t xml:space="preserve">, Los datos biométricos, aquellos datos personales sensibles obtenidos a través de un método automatizado y técnico específico, pueden surgir por el análisis de características fisiológicas o de comportamiento. Las características fisiológicas, morfológicas o biológicas, consisten principalmente en huellas dactilares, la forma de la mano, del dedo, el patrón de las venas de las manos, el ojo (iris y retina) y el reconocimiento facial. Las características de comportamiento o dinámicas consisten en el reconocimiento de voz, la dinámica de la firma (velocidad de movimiento de la pluma, aceleraciones, presión ejercida, inclinación), la dinámica de pulsaciones de teclas, entre otros </w:t>
      </w:r>
      <w:r w:rsidR="00AC457A" w:rsidRPr="00952C94">
        <w:rPr>
          <w:rFonts w:ascii="Arial" w:hAnsi="Arial" w:cs="Arial"/>
          <w:sz w:val="18"/>
          <w:szCs w:val="18"/>
        </w:rPr>
        <w:t>(</w:t>
      </w:r>
      <w:r w:rsidR="00AC457A" w:rsidRPr="00952C94">
        <w:rPr>
          <w:rFonts w:ascii="Arial" w:hAnsi="Arial" w:cs="Arial"/>
          <w:smallCaps/>
          <w:sz w:val="18"/>
          <w:szCs w:val="18"/>
        </w:rPr>
        <w:t>GÓMEZ JOLIS</w:t>
      </w:r>
      <w:r w:rsidRPr="00952C94">
        <w:rPr>
          <w:rFonts w:ascii="Arial" w:hAnsi="Arial" w:cs="Arial"/>
          <w:sz w:val="18"/>
          <w:szCs w:val="18"/>
        </w:rPr>
        <w:t>, Giselle; Biometría y derecho. Usos, aplicación y protección de los datos biométricos; LA LEY 13/07/2021, TR LALEY AR/DOC/1997/2021.)</w:t>
      </w:r>
    </w:p>
  </w:footnote>
  <w:footnote w:id="24">
    <w:p w:rsidR="009C6AD6" w:rsidRPr="009C6AD6" w:rsidRDefault="009C6AD6" w:rsidP="009C6AD6">
      <w:pPr>
        <w:spacing w:before="120"/>
        <w:jc w:val="both"/>
        <w:rPr>
          <w:rFonts w:ascii="Arial" w:hAnsi="Arial" w:cs="Arial"/>
          <w:sz w:val="18"/>
          <w:szCs w:val="18"/>
        </w:rPr>
      </w:pPr>
      <w:r w:rsidRPr="009C6AD6">
        <w:rPr>
          <w:rStyle w:val="Refdenotaalpie"/>
          <w:sz w:val="22"/>
          <w:szCs w:val="22"/>
        </w:rPr>
        <w:footnoteRef/>
      </w:r>
      <w:r w:rsidRPr="009C6AD6">
        <w:rPr>
          <w:rFonts w:ascii="Arial" w:hAnsi="Arial" w:cs="Arial"/>
          <w:sz w:val="18"/>
          <w:szCs w:val="18"/>
        </w:rPr>
        <w:t xml:space="preserve"> </w:t>
      </w:r>
      <w:r>
        <w:rPr>
          <w:rFonts w:ascii="Arial" w:hAnsi="Arial" w:cs="Arial"/>
          <w:sz w:val="18"/>
          <w:szCs w:val="18"/>
        </w:rPr>
        <w:t>Se entiende por “sextorsion” la amenaza de utilizar imágenes de contenido sexual de una persona en la medida que no acceda al pago de una determinada suma de dinero.</w:t>
      </w:r>
    </w:p>
  </w:footnote>
  <w:footnote w:id="25">
    <w:p w:rsidR="00D75B99" w:rsidRPr="00D75B99" w:rsidRDefault="00D75B99" w:rsidP="00D75B99">
      <w:pPr>
        <w:spacing w:before="120"/>
        <w:jc w:val="both"/>
        <w:rPr>
          <w:rFonts w:ascii="Arial" w:hAnsi="Arial" w:cs="Arial"/>
          <w:sz w:val="18"/>
          <w:szCs w:val="18"/>
        </w:rPr>
      </w:pPr>
      <w:r w:rsidRPr="00F95BC2">
        <w:rPr>
          <w:rStyle w:val="Refdenotaalpie"/>
          <w:sz w:val="22"/>
          <w:szCs w:val="22"/>
        </w:rPr>
        <w:footnoteRef/>
      </w:r>
      <w:r w:rsidRPr="00F95BC2">
        <w:rPr>
          <w:rStyle w:val="Refdenotaalpie"/>
          <w:rFonts w:ascii="Arial" w:hAnsi="Arial" w:cs="Arial"/>
          <w:sz w:val="22"/>
          <w:szCs w:val="22"/>
        </w:rPr>
        <w:t xml:space="preserve"> </w:t>
      </w:r>
      <w:r w:rsidRPr="00D75B99">
        <w:rPr>
          <w:rFonts w:ascii="Arial" w:hAnsi="Arial" w:cs="Arial"/>
          <w:sz w:val="18"/>
          <w:szCs w:val="18"/>
        </w:rPr>
        <w:t>Caso N° 4:19-mj-70053-KAW</w:t>
      </w:r>
    </w:p>
  </w:footnote>
  <w:footnote w:id="26">
    <w:p w:rsidR="0055488B" w:rsidRPr="00952C94" w:rsidRDefault="0055488B" w:rsidP="0055488B">
      <w:pPr>
        <w:spacing w:before="120"/>
        <w:jc w:val="both"/>
        <w:rPr>
          <w:rFonts w:ascii="Arial" w:hAnsi="Arial" w:cs="Arial"/>
          <w:sz w:val="18"/>
          <w:szCs w:val="18"/>
        </w:rPr>
      </w:pPr>
      <w:r w:rsidRPr="00F95BC2">
        <w:rPr>
          <w:rStyle w:val="Refdenotaalpie"/>
          <w:rFonts w:ascii="Arial" w:hAnsi="Arial" w:cs="Arial"/>
          <w:sz w:val="22"/>
          <w:szCs w:val="22"/>
        </w:rPr>
        <w:footnoteRef/>
      </w:r>
      <w:r w:rsidRPr="00F95BC2">
        <w:rPr>
          <w:rStyle w:val="Refdenotaalpie"/>
          <w:rFonts w:ascii="Arial" w:hAnsi="Arial" w:cs="Arial"/>
          <w:sz w:val="22"/>
          <w:szCs w:val="22"/>
        </w:rPr>
        <w:t xml:space="preserve"> </w:t>
      </w:r>
      <w:hyperlink r:id="rId10" w:history="1">
        <w:r w:rsidRPr="00952C94">
          <w:rPr>
            <w:rStyle w:val="Hipervnculo"/>
            <w:rFonts w:ascii="Arial" w:hAnsi="Arial" w:cs="Arial"/>
            <w:sz w:val="18"/>
            <w:szCs w:val="18"/>
          </w:rPr>
          <w:t>https://www.diariojudicial.com/nota/82561</w:t>
        </w:r>
      </w:hyperlink>
    </w:p>
  </w:footnote>
  <w:footnote w:id="27">
    <w:p w:rsidR="009D518A" w:rsidRPr="009D518A" w:rsidRDefault="009D518A" w:rsidP="00D75B99">
      <w:pPr>
        <w:spacing w:before="120"/>
        <w:jc w:val="both"/>
        <w:rPr>
          <w:rFonts w:ascii="Arial" w:hAnsi="Arial" w:cs="Arial"/>
          <w:sz w:val="18"/>
          <w:szCs w:val="18"/>
        </w:rPr>
      </w:pPr>
      <w:r w:rsidRPr="00F95BC2">
        <w:rPr>
          <w:rStyle w:val="Refdenotaalpie"/>
          <w:rFonts w:ascii="Arial" w:hAnsi="Arial" w:cs="Arial"/>
          <w:sz w:val="22"/>
          <w:szCs w:val="22"/>
        </w:rPr>
        <w:footnoteRef/>
      </w:r>
      <w:r w:rsidRPr="00F95BC2">
        <w:rPr>
          <w:rStyle w:val="Refdenotaalpie"/>
          <w:sz w:val="22"/>
          <w:szCs w:val="22"/>
        </w:rPr>
        <w:t xml:space="preserve"> </w:t>
      </w:r>
      <w:r w:rsidRPr="009D518A">
        <w:rPr>
          <w:rFonts w:ascii="Arial" w:hAnsi="Arial" w:cs="Arial"/>
          <w:sz w:val="18"/>
          <w:szCs w:val="18"/>
        </w:rPr>
        <w:t>Caso N° 1:19-mj-10441-DCN, 26/07/2019</w:t>
      </w:r>
      <w:r w:rsidR="005203E0">
        <w:rPr>
          <w:rFonts w:ascii="Arial" w:hAnsi="Arial" w:cs="Arial"/>
          <w:sz w:val="18"/>
          <w:szCs w:val="18"/>
        </w:rPr>
        <w:t>.</w:t>
      </w:r>
    </w:p>
  </w:footnote>
  <w:footnote w:id="28">
    <w:p w:rsidR="00454B40" w:rsidRPr="00454B40" w:rsidRDefault="00454B40" w:rsidP="00454B40">
      <w:pPr>
        <w:spacing w:before="120"/>
        <w:jc w:val="both"/>
        <w:rPr>
          <w:rFonts w:ascii="Arial" w:hAnsi="Arial" w:cs="Arial"/>
          <w:sz w:val="18"/>
          <w:szCs w:val="18"/>
        </w:rPr>
      </w:pPr>
      <w:r w:rsidRPr="00F95BC2">
        <w:rPr>
          <w:rStyle w:val="Refdenotaalpie"/>
          <w:rFonts w:ascii="Arial" w:hAnsi="Arial" w:cs="Arial"/>
          <w:sz w:val="22"/>
          <w:szCs w:val="22"/>
        </w:rPr>
        <w:footnoteRef/>
      </w:r>
      <w:r w:rsidRPr="00F95BC2">
        <w:rPr>
          <w:rStyle w:val="Refdenotaalpie"/>
          <w:sz w:val="22"/>
          <w:szCs w:val="22"/>
        </w:rPr>
        <w:t xml:space="preserve"> </w:t>
      </w:r>
      <w:r w:rsidR="00AC457A" w:rsidRPr="005203E0">
        <w:rPr>
          <w:rFonts w:ascii="Arial" w:hAnsi="Arial" w:cs="Arial"/>
          <w:smallCaps/>
          <w:sz w:val="18"/>
          <w:szCs w:val="18"/>
        </w:rPr>
        <w:t>MILLER</w:t>
      </w:r>
      <w:r>
        <w:rPr>
          <w:rFonts w:ascii="Arial" w:hAnsi="Arial" w:cs="Arial"/>
          <w:sz w:val="18"/>
          <w:szCs w:val="18"/>
        </w:rPr>
        <w:t xml:space="preserve">, Christian H; Un paso atrás en la protección de los datos biompetricos del sospechoso, en </w:t>
      </w:r>
      <w:r w:rsidRPr="00454B40">
        <w:rPr>
          <w:rFonts w:ascii="Arial" w:hAnsi="Arial" w:cs="Arial"/>
          <w:i/>
          <w:sz w:val="18"/>
          <w:szCs w:val="18"/>
        </w:rPr>
        <w:t>#Legal Tech II</w:t>
      </w:r>
      <w:r>
        <w:rPr>
          <w:rFonts w:ascii="Arial" w:hAnsi="Arial" w:cs="Arial"/>
          <w:i/>
          <w:sz w:val="18"/>
          <w:szCs w:val="18"/>
        </w:rPr>
        <w:t xml:space="preserve"> El Derecho Ante la Tecnología</w:t>
      </w:r>
      <w:r>
        <w:rPr>
          <w:rFonts w:ascii="Arial" w:hAnsi="Arial" w:cs="Arial"/>
          <w:sz w:val="18"/>
          <w:szCs w:val="18"/>
        </w:rPr>
        <w:t xml:space="preserve"> Gastón Bielli, Santiago Mora, Diego Fernandez, La Ley 2019 </w:t>
      </w:r>
    </w:p>
  </w:footnote>
  <w:footnote w:id="29">
    <w:p w:rsidR="005203E0" w:rsidRPr="005203E0" w:rsidRDefault="005203E0" w:rsidP="005203E0">
      <w:pPr>
        <w:spacing w:before="120"/>
        <w:jc w:val="both"/>
        <w:rPr>
          <w:rFonts w:ascii="Arial" w:hAnsi="Arial" w:cs="Arial"/>
          <w:sz w:val="22"/>
          <w:szCs w:val="22"/>
        </w:rPr>
      </w:pPr>
      <w:r w:rsidRPr="005203E0">
        <w:rPr>
          <w:rStyle w:val="Refdenotaalpie"/>
          <w:rFonts w:ascii="Arial" w:hAnsi="Arial" w:cs="Arial"/>
          <w:sz w:val="22"/>
          <w:szCs w:val="22"/>
        </w:rPr>
        <w:footnoteRef/>
      </w:r>
      <w:r w:rsidRPr="005203E0">
        <w:rPr>
          <w:rFonts w:ascii="Arial" w:hAnsi="Arial" w:cs="Arial"/>
          <w:sz w:val="18"/>
          <w:szCs w:val="18"/>
        </w:rPr>
        <w:t xml:space="preserve"> No obstante ello, y si bien excede el objetivo propuesto, no puede dejar de mencionarse el hecho de que en el caso particular la medida de extracción compulsiva de muestra hemática fue rechazada por el voto de la mayoría, ello atento que en el caso particular se entendió se consideró que la negativa de una persona mayor de edad y presunto hijo de desaparecidos de someterse a la extracción de sangre para efectuar un examen a los fines de determinar su verdadera identidad, resulta justificada si ello puede ser utilizado para obtener elementos de prueba que posibiliten la condena de aquellos a quienes considera sus verdaderos padres y la ley procesal autoriza a proteger, además de estar vulnerando el derecho a la intimidad de la persona a quién se intentaba proteger</w:t>
      </w:r>
      <w:r w:rsidR="000A770C">
        <w:rPr>
          <w:rFonts w:ascii="Arial" w:hAnsi="Arial" w:cs="Arial"/>
          <w:sz w:val="18"/>
          <w:szCs w:val="18"/>
        </w:rPr>
        <w:t>.</w:t>
      </w:r>
    </w:p>
  </w:footnote>
  <w:footnote w:id="30">
    <w:p w:rsidR="005955F1" w:rsidRDefault="005955F1" w:rsidP="005955F1">
      <w:pPr>
        <w:spacing w:before="120"/>
        <w:jc w:val="both"/>
      </w:pPr>
      <w:r w:rsidRPr="00303378">
        <w:rPr>
          <w:rStyle w:val="Refdenotaalpie"/>
          <w:rFonts w:ascii="Arial" w:hAnsi="Arial" w:cs="Arial"/>
          <w:sz w:val="22"/>
          <w:szCs w:val="22"/>
        </w:rPr>
        <w:footnoteRef/>
      </w:r>
      <w:r w:rsidRPr="005955F1">
        <w:rPr>
          <w:rFonts w:ascii="Arial" w:hAnsi="Arial" w:cs="Arial"/>
          <w:sz w:val="18"/>
          <w:szCs w:val="18"/>
        </w:rPr>
        <w:t xml:space="preserve"> </w:t>
      </w:r>
      <w:r w:rsidR="00AC457A" w:rsidRPr="00174D31">
        <w:rPr>
          <w:rFonts w:ascii="Arial" w:hAnsi="Arial" w:cs="Arial"/>
          <w:smallCaps/>
          <w:sz w:val="18"/>
          <w:szCs w:val="18"/>
        </w:rPr>
        <w:t>YUSTE</w:t>
      </w:r>
      <w:r>
        <w:rPr>
          <w:rFonts w:ascii="Arial" w:hAnsi="Arial" w:cs="Arial"/>
          <w:sz w:val="18"/>
          <w:szCs w:val="18"/>
        </w:rPr>
        <w:t>,</w:t>
      </w:r>
      <w:r w:rsidR="00303378">
        <w:rPr>
          <w:rFonts w:ascii="Arial" w:hAnsi="Arial" w:cs="Arial"/>
          <w:sz w:val="18"/>
          <w:szCs w:val="18"/>
        </w:rPr>
        <w:t xml:space="preserve"> </w:t>
      </w:r>
      <w:r w:rsidR="00174D31">
        <w:rPr>
          <w:rFonts w:ascii="Arial" w:hAnsi="Arial" w:cs="Arial"/>
          <w:sz w:val="18"/>
          <w:szCs w:val="18"/>
        </w:rPr>
        <w:t xml:space="preserve">Rafael, Necesitamos Neuroderechos Universales, </w:t>
      </w:r>
      <w:r>
        <w:rPr>
          <w:rFonts w:ascii="Arial" w:hAnsi="Arial" w:cs="Arial"/>
          <w:sz w:val="18"/>
          <w:szCs w:val="18"/>
        </w:rPr>
        <w:t>M</w:t>
      </w:r>
      <w:r w:rsidR="00174D31">
        <w:rPr>
          <w:rFonts w:ascii="Arial" w:hAnsi="Arial" w:cs="Arial"/>
          <w:sz w:val="18"/>
          <w:szCs w:val="18"/>
        </w:rPr>
        <w:t>y</w:t>
      </w:r>
      <w:r>
        <w:rPr>
          <w:rFonts w:ascii="Arial" w:hAnsi="Arial" w:cs="Arial"/>
          <w:sz w:val="18"/>
          <w:szCs w:val="18"/>
        </w:rPr>
        <w:t xml:space="preserve">C </w:t>
      </w:r>
      <w:r w:rsidR="00174D31">
        <w:rPr>
          <w:rFonts w:ascii="Arial" w:hAnsi="Arial" w:cs="Arial"/>
          <w:sz w:val="18"/>
          <w:szCs w:val="18"/>
        </w:rPr>
        <w:t>Nro</w:t>
      </w:r>
      <w:r>
        <w:rPr>
          <w:rFonts w:ascii="Arial" w:hAnsi="Arial" w:cs="Arial"/>
          <w:sz w:val="18"/>
          <w:szCs w:val="18"/>
        </w:rPr>
        <w:t>91</w:t>
      </w:r>
      <w:r w:rsidR="00174D31">
        <w:rPr>
          <w:rFonts w:ascii="Arial" w:hAnsi="Arial" w:cs="Arial"/>
          <w:sz w:val="18"/>
          <w:szCs w:val="18"/>
        </w:rPr>
        <w:t xml:space="preserve">, </w:t>
      </w:r>
      <w:r>
        <w:rPr>
          <w:rFonts w:ascii="Arial" w:hAnsi="Arial" w:cs="Arial"/>
          <w:sz w:val="18"/>
          <w:szCs w:val="18"/>
        </w:rPr>
        <w:t>2018</w:t>
      </w:r>
    </w:p>
  </w:footnote>
  <w:footnote w:id="31">
    <w:p w:rsidR="00303378" w:rsidRDefault="00303378" w:rsidP="00303378">
      <w:pPr>
        <w:spacing w:before="120"/>
        <w:jc w:val="both"/>
      </w:pPr>
      <w:r w:rsidRPr="00303378">
        <w:rPr>
          <w:rStyle w:val="Refdenotaalpie"/>
          <w:rFonts w:ascii="Arial" w:hAnsi="Arial" w:cs="Arial"/>
          <w:sz w:val="22"/>
          <w:szCs w:val="22"/>
        </w:rPr>
        <w:footnoteRef/>
      </w:r>
      <w:r w:rsidRPr="00303378">
        <w:rPr>
          <w:rFonts w:ascii="Arial" w:hAnsi="Arial" w:cs="Arial"/>
          <w:sz w:val="18"/>
          <w:szCs w:val="18"/>
        </w:rPr>
        <w:t xml:space="preserve"> </w:t>
      </w:r>
      <w:r>
        <w:rPr>
          <w:rFonts w:ascii="Arial" w:hAnsi="Arial" w:cs="Arial"/>
          <w:sz w:val="18"/>
          <w:szCs w:val="18"/>
        </w:rPr>
        <w:t xml:space="preserve">Ver </w:t>
      </w:r>
      <w:hyperlink r:id="rId11" w:history="1">
        <w:r w:rsidR="007F67F1" w:rsidRPr="00DD51DB">
          <w:rPr>
            <w:rStyle w:val="Hipervnculo"/>
            <w:rFonts w:ascii="Arial" w:hAnsi="Arial" w:cs="Arial"/>
            <w:sz w:val="18"/>
            <w:szCs w:val="18"/>
          </w:rPr>
          <w:t>https://www.nytimes.com/2020/08/28/opinion/sunday/brain-machine-artificial-intelligence.html</w:t>
        </w:r>
      </w:hyperlink>
    </w:p>
  </w:footnote>
  <w:footnote w:id="32">
    <w:p w:rsidR="007F67F1" w:rsidRDefault="007F67F1" w:rsidP="007F67F1">
      <w:pPr>
        <w:spacing w:before="120"/>
        <w:jc w:val="both"/>
      </w:pPr>
      <w:r w:rsidRPr="007F67F1">
        <w:rPr>
          <w:rStyle w:val="Refdenotaalpie"/>
          <w:rFonts w:ascii="Arial" w:hAnsi="Arial" w:cs="Arial"/>
          <w:sz w:val="22"/>
          <w:szCs w:val="22"/>
        </w:rPr>
        <w:footnoteRef/>
      </w:r>
      <w:r>
        <w:rPr>
          <w:sz w:val="18"/>
          <w:szCs w:val="18"/>
        </w:rPr>
        <w:t xml:space="preserve"> </w:t>
      </w:r>
      <w:hyperlink r:id="rId12" w:history="1">
        <w:r w:rsidRPr="00DD51DB">
          <w:rPr>
            <w:rStyle w:val="Hipervnculo"/>
            <w:rFonts w:ascii="Arial" w:hAnsi="Arial" w:cs="Arial"/>
            <w:sz w:val="18"/>
            <w:szCs w:val="18"/>
          </w:rPr>
          <w:t>https://elpais.com/retina/2020/12/03/tendencias/1607024987_022417.html?rel=buscador_noticias</w:t>
        </w:r>
      </w:hyperlink>
      <w:r>
        <w:rPr>
          <w:rFonts w:ascii="Arial" w:hAnsi="Arial" w:cs="Arial"/>
          <w:sz w:val="18"/>
          <w:szCs w:val="18"/>
        </w:rPr>
        <w:t xml:space="preserve"> </w:t>
      </w:r>
    </w:p>
  </w:footnote>
  <w:footnote w:id="33">
    <w:p w:rsidR="00DA5C45" w:rsidRPr="00DA5C45" w:rsidRDefault="00DA5C45" w:rsidP="00DA5C45">
      <w:pPr>
        <w:spacing w:before="120"/>
        <w:jc w:val="both"/>
        <w:rPr>
          <w:rFonts w:ascii="Arial" w:hAnsi="Arial" w:cs="Arial"/>
          <w:sz w:val="18"/>
          <w:szCs w:val="18"/>
        </w:rPr>
      </w:pPr>
      <w:r w:rsidRPr="00DA5C45">
        <w:rPr>
          <w:rStyle w:val="Refdenotaalpie"/>
          <w:sz w:val="22"/>
          <w:szCs w:val="22"/>
        </w:rPr>
        <w:footnoteRef/>
      </w:r>
      <w:r w:rsidRPr="00DA5C45">
        <w:rPr>
          <w:rFonts w:ascii="Arial" w:hAnsi="Arial" w:cs="Arial"/>
          <w:sz w:val="18"/>
          <w:szCs w:val="18"/>
        </w:rPr>
        <w:t xml:space="preserve"> </w:t>
      </w:r>
      <w:r w:rsidR="00AC457A" w:rsidRPr="00DA5C45">
        <w:rPr>
          <w:rFonts w:ascii="Arial" w:hAnsi="Arial" w:cs="Arial"/>
          <w:smallCaps/>
          <w:sz w:val="18"/>
          <w:szCs w:val="18"/>
        </w:rPr>
        <w:t>ZÚÑIGA FAJUR</w:t>
      </w:r>
      <w:r w:rsidRPr="00DA5C45">
        <w:rPr>
          <w:rFonts w:ascii="Arial" w:hAnsi="Arial" w:cs="Arial"/>
          <w:smallCaps/>
          <w:sz w:val="18"/>
          <w:szCs w:val="18"/>
        </w:rPr>
        <w:t>i,</w:t>
      </w:r>
      <w:r w:rsidRPr="00DA5C45">
        <w:rPr>
          <w:rFonts w:ascii="Arial" w:hAnsi="Arial" w:cs="Arial"/>
          <w:sz w:val="18"/>
          <w:szCs w:val="18"/>
        </w:rPr>
        <w:t xml:space="preserve"> Alejandra</w:t>
      </w:r>
      <w:r>
        <w:rPr>
          <w:rFonts w:ascii="Arial" w:hAnsi="Arial" w:cs="Arial"/>
          <w:sz w:val="18"/>
          <w:szCs w:val="18"/>
        </w:rPr>
        <w:t xml:space="preserve">; </w:t>
      </w:r>
      <w:r w:rsidR="00AC457A" w:rsidRPr="00DA5C45">
        <w:rPr>
          <w:rFonts w:ascii="Arial" w:hAnsi="Arial" w:cs="Arial"/>
          <w:smallCaps/>
          <w:sz w:val="18"/>
          <w:szCs w:val="18"/>
        </w:rPr>
        <w:t>VILLAVICENCIO MIRANDA</w:t>
      </w:r>
      <w:r>
        <w:rPr>
          <w:rFonts w:ascii="Arial" w:hAnsi="Arial" w:cs="Arial"/>
          <w:sz w:val="18"/>
          <w:szCs w:val="18"/>
        </w:rPr>
        <w:t>,</w:t>
      </w:r>
      <w:r w:rsidRPr="00DA5C45">
        <w:rPr>
          <w:rFonts w:ascii="Arial" w:hAnsi="Arial" w:cs="Arial"/>
          <w:sz w:val="18"/>
          <w:szCs w:val="18"/>
        </w:rPr>
        <w:t xml:space="preserve"> Luis y </w:t>
      </w:r>
      <w:r w:rsidR="00AC457A" w:rsidRPr="00DA5C45">
        <w:rPr>
          <w:rFonts w:ascii="Arial" w:hAnsi="Arial" w:cs="Arial"/>
          <w:smallCaps/>
          <w:sz w:val="18"/>
          <w:szCs w:val="18"/>
        </w:rPr>
        <w:t>SALAS VENEGAS</w:t>
      </w:r>
      <w:r w:rsidR="00AC457A" w:rsidRPr="00DA5C45">
        <w:rPr>
          <w:rFonts w:ascii="Arial" w:hAnsi="Arial" w:cs="Arial"/>
          <w:sz w:val="18"/>
          <w:szCs w:val="18"/>
        </w:rPr>
        <w:t xml:space="preserve"> </w:t>
      </w:r>
      <w:r w:rsidRPr="00DA5C45">
        <w:rPr>
          <w:rFonts w:ascii="Arial" w:hAnsi="Arial" w:cs="Arial"/>
          <w:sz w:val="18"/>
          <w:szCs w:val="18"/>
        </w:rPr>
        <w:t>Ricardo</w:t>
      </w:r>
      <w:r>
        <w:rPr>
          <w:rFonts w:ascii="Arial" w:hAnsi="Arial" w:cs="Arial"/>
          <w:sz w:val="18"/>
          <w:szCs w:val="18"/>
        </w:rPr>
        <w:t xml:space="preserve">; </w:t>
      </w:r>
      <w:r w:rsidRPr="00DA5C45">
        <w:rPr>
          <w:rFonts w:ascii="Arial" w:hAnsi="Arial" w:cs="Arial"/>
          <w:sz w:val="18"/>
          <w:szCs w:val="18"/>
        </w:rPr>
        <w:t>¿Neuroderechos? Razones para no legislar</w:t>
      </w:r>
      <w:r>
        <w:rPr>
          <w:rFonts w:ascii="Arial" w:hAnsi="Arial" w:cs="Arial"/>
          <w:sz w:val="18"/>
          <w:szCs w:val="18"/>
        </w:rPr>
        <w:t xml:space="preserve"> Ciper Académico (11.12.2020) </w:t>
      </w:r>
      <w:hyperlink r:id="rId13" w:history="1">
        <w:r w:rsidRPr="00DD51DB">
          <w:rPr>
            <w:rStyle w:val="Hipervnculo"/>
            <w:rFonts w:ascii="Arial" w:hAnsi="Arial" w:cs="Arial"/>
            <w:sz w:val="18"/>
            <w:szCs w:val="18"/>
          </w:rPr>
          <w:t>https://www.ciperchile.cl/2020/12/11/neuroderechos-razones-para-no-legislar/</w:t>
        </w:r>
      </w:hyperlink>
      <w:r>
        <w:rPr>
          <w:rFonts w:ascii="Arial" w:hAnsi="Arial" w:cs="Arial"/>
          <w:sz w:val="18"/>
          <w:szCs w:val="18"/>
        </w:rPr>
        <w:t xml:space="preserve"> </w:t>
      </w:r>
    </w:p>
  </w:footnote>
  <w:footnote w:id="34">
    <w:p w:rsidR="007F67F1" w:rsidRPr="007F67F1" w:rsidRDefault="007F67F1" w:rsidP="00DA5C45">
      <w:pPr>
        <w:spacing w:before="120"/>
        <w:jc w:val="both"/>
      </w:pPr>
      <w:r w:rsidRPr="007F67F1">
        <w:rPr>
          <w:rStyle w:val="Refdenotaalpie"/>
          <w:rFonts w:ascii="Arial" w:hAnsi="Arial" w:cs="Arial"/>
          <w:sz w:val="22"/>
          <w:szCs w:val="22"/>
        </w:rPr>
        <w:footnoteRef/>
      </w:r>
      <w:r w:rsidRPr="007F67F1">
        <w:rPr>
          <w:rStyle w:val="Refdenotaalpie"/>
          <w:rFonts w:ascii="Arial" w:hAnsi="Arial" w:cs="Arial"/>
          <w:sz w:val="22"/>
          <w:szCs w:val="22"/>
        </w:rPr>
        <w:t xml:space="preserve"> </w:t>
      </w:r>
      <w:hyperlink r:id="rId14" w:history="1">
        <w:r w:rsidR="00E1323A" w:rsidRPr="00DD51DB">
          <w:rPr>
            <w:rStyle w:val="Hipervnculo"/>
            <w:rFonts w:ascii="Arial" w:hAnsi="Arial" w:cs="Arial"/>
            <w:sz w:val="18"/>
            <w:szCs w:val="18"/>
          </w:rPr>
          <w:t>https://neurorights-initiative.site.drupaldisttest.cc.columbia.edu/sites/default/files/content/The%20Five%20Ethical%20NeuroRights%20updated%20pdf_0.pdf</w:t>
        </w:r>
      </w:hyperlink>
      <w:r>
        <w:rPr>
          <w:sz w:val="18"/>
          <w:szCs w:val="18"/>
        </w:rPr>
        <w:t xml:space="preserve"> </w:t>
      </w:r>
    </w:p>
  </w:footnote>
  <w:footnote w:id="35">
    <w:p w:rsidR="000176D8" w:rsidRPr="000176D8" w:rsidRDefault="000176D8" w:rsidP="000176D8">
      <w:pPr>
        <w:spacing w:before="120"/>
        <w:jc w:val="both"/>
        <w:rPr>
          <w:lang w:val="en-US"/>
        </w:rPr>
      </w:pPr>
      <w:r w:rsidRPr="000176D8">
        <w:rPr>
          <w:rStyle w:val="Refdenotaalpie"/>
          <w:rFonts w:ascii="Arial" w:hAnsi="Arial" w:cs="Arial"/>
          <w:sz w:val="22"/>
          <w:szCs w:val="22"/>
        </w:rPr>
        <w:footnoteRef/>
      </w:r>
      <w:r w:rsidRPr="000176D8">
        <w:rPr>
          <w:rFonts w:ascii="Arial" w:hAnsi="Arial" w:cs="Arial"/>
          <w:sz w:val="22"/>
          <w:szCs w:val="22"/>
          <w:lang w:val="en-US"/>
        </w:rPr>
        <w:t xml:space="preserve"> </w:t>
      </w:r>
      <w:r w:rsidR="00AC457A" w:rsidRPr="000176D8">
        <w:rPr>
          <w:rFonts w:ascii="Arial" w:hAnsi="Arial" w:cs="Arial"/>
          <w:smallCaps/>
          <w:sz w:val="18"/>
          <w:szCs w:val="18"/>
          <w:lang w:val="en-US"/>
        </w:rPr>
        <w:t>MILLER</w:t>
      </w:r>
      <w:r w:rsidRPr="000176D8">
        <w:rPr>
          <w:rFonts w:ascii="Arial" w:hAnsi="Arial" w:cs="Arial"/>
          <w:sz w:val="18"/>
          <w:szCs w:val="18"/>
          <w:lang w:val="en-US"/>
        </w:rPr>
        <w:t xml:space="preserve">, Christian H; </w:t>
      </w:r>
      <w:r w:rsidRPr="000176D8">
        <w:rPr>
          <w:rFonts w:ascii="Arial" w:hAnsi="Arial" w:cs="Arial"/>
          <w:i/>
          <w:sz w:val="18"/>
          <w:szCs w:val="18"/>
          <w:lang w:val="en-US"/>
        </w:rPr>
        <w:t>op. Cit.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461D"/>
    <w:rsid w:val="000176D8"/>
    <w:rsid w:val="00054E12"/>
    <w:rsid w:val="00056CA2"/>
    <w:rsid w:val="0005741D"/>
    <w:rsid w:val="00064F5B"/>
    <w:rsid w:val="00085B7A"/>
    <w:rsid w:val="000A770C"/>
    <w:rsid w:val="000D0528"/>
    <w:rsid w:val="000F0455"/>
    <w:rsid w:val="00125D57"/>
    <w:rsid w:val="001302BD"/>
    <w:rsid w:val="00140EDF"/>
    <w:rsid w:val="00174D31"/>
    <w:rsid w:val="00176E64"/>
    <w:rsid w:val="001828DF"/>
    <w:rsid w:val="0018644B"/>
    <w:rsid w:val="001A1028"/>
    <w:rsid w:val="001B2640"/>
    <w:rsid w:val="001C1802"/>
    <w:rsid w:val="001C307E"/>
    <w:rsid w:val="001C4274"/>
    <w:rsid w:val="001C68F6"/>
    <w:rsid w:val="001C6F21"/>
    <w:rsid w:val="001E00D5"/>
    <w:rsid w:val="001F1AF6"/>
    <w:rsid w:val="001F5C36"/>
    <w:rsid w:val="00206CE5"/>
    <w:rsid w:val="00250B17"/>
    <w:rsid w:val="0025437C"/>
    <w:rsid w:val="00277580"/>
    <w:rsid w:val="002F167F"/>
    <w:rsid w:val="00303378"/>
    <w:rsid w:val="00317D62"/>
    <w:rsid w:val="0032164A"/>
    <w:rsid w:val="0033401E"/>
    <w:rsid w:val="00334DBA"/>
    <w:rsid w:val="00337EA6"/>
    <w:rsid w:val="00397FF1"/>
    <w:rsid w:val="003F2C65"/>
    <w:rsid w:val="00400842"/>
    <w:rsid w:val="0040776D"/>
    <w:rsid w:val="00413CEB"/>
    <w:rsid w:val="004148E6"/>
    <w:rsid w:val="00424B66"/>
    <w:rsid w:val="004250A1"/>
    <w:rsid w:val="00426DF8"/>
    <w:rsid w:val="00440328"/>
    <w:rsid w:val="00454B40"/>
    <w:rsid w:val="004560C8"/>
    <w:rsid w:val="00473627"/>
    <w:rsid w:val="0048697B"/>
    <w:rsid w:val="00487679"/>
    <w:rsid w:val="004A39B4"/>
    <w:rsid w:val="004B26A2"/>
    <w:rsid w:val="004C6188"/>
    <w:rsid w:val="0050461D"/>
    <w:rsid w:val="00506DD4"/>
    <w:rsid w:val="0051065F"/>
    <w:rsid w:val="00512812"/>
    <w:rsid w:val="005203E0"/>
    <w:rsid w:val="005372B2"/>
    <w:rsid w:val="0055488B"/>
    <w:rsid w:val="00566F81"/>
    <w:rsid w:val="00575471"/>
    <w:rsid w:val="00587FE2"/>
    <w:rsid w:val="005955F1"/>
    <w:rsid w:val="005D4598"/>
    <w:rsid w:val="006035D6"/>
    <w:rsid w:val="00657665"/>
    <w:rsid w:val="00681E51"/>
    <w:rsid w:val="00687240"/>
    <w:rsid w:val="00692AC8"/>
    <w:rsid w:val="006C2633"/>
    <w:rsid w:val="006D2C3D"/>
    <w:rsid w:val="006D4ED3"/>
    <w:rsid w:val="006F35D2"/>
    <w:rsid w:val="007213C9"/>
    <w:rsid w:val="0072454A"/>
    <w:rsid w:val="007329D2"/>
    <w:rsid w:val="00771DFC"/>
    <w:rsid w:val="0077685B"/>
    <w:rsid w:val="007826C2"/>
    <w:rsid w:val="007A25F4"/>
    <w:rsid w:val="007B1674"/>
    <w:rsid w:val="007F5300"/>
    <w:rsid w:val="007F67F1"/>
    <w:rsid w:val="0080474C"/>
    <w:rsid w:val="00807F26"/>
    <w:rsid w:val="008146B1"/>
    <w:rsid w:val="00815C93"/>
    <w:rsid w:val="00842E7C"/>
    <w:rsid w:val="00843E27"/>
    <w:rsid w:val="00852F63"/>
    <w:rsid w:val="00877BEA"/>
    <w:rsid w:val="008B4336"/>
    <w:rsid w:val="008B58A2"/>
    <w:rsid w:val="008C02B1"/>
    <w:rsid w:val="008C574D"/>
    <w:rsid w:val="008C6A81"/>
    <w:rsid w:val="008E7CB7"/>
    <w:rsid w:val="00903FF6"/>
    <w:rsid w:val="0091406B"/>
    <w:rsid w:val="00926884"/>
    <w:rsid w:val="009362A0"/>
    <w:rsid w:val="0093793F"/>
    <w:rsid w:val="00952C94"/>
    <w:rsid w:val="00971247"/>
    <w:rsid w:val="009800ED"/>
    <w:rsid w:val="0099751B"/>
    <w:rsid w:val="009B12C0"/>
    <w:rsid w:val="009B6231"/>
    <w:rsid w:val="009C6AD6"/>
    <w:rsid w:val="009D518A"/>
    <w:rsid w:val="009E6057"/>
    <w:rsid w:val="009F682B"/>
    <w:rsid w:val="00A077BA"/>
    <w:rsid w:val="00A1338E"/>
    <w:rsid w:val="00A3072B"/>
    <w:rsid w:val="00A340F3"/>
    <w:rsid w:val="00A47360"/>
    <w:rsid w:val="00A60ECC"/>
    <w:rsid w:val="00A66373"/>
    <w:rsid w:val="00A738E7"/>
    <w:rsid w:val="00A7623E"/>
    <w:rsid w:val="00A840BF"/>
    <w:rsid w:val="00A96B28"/>
    <w:rsid w:val="00AA5180"/>
    <w:rsid w:val="00AA5AB1"/>
    <w:rsid w:val="00AC457A"/>
    <w:rsid w:val="00AD2172"/>
    <w:rsid w:val="00AE2DE6"/>
    <w:rsid w:val="00AF07A5"/>
    <w:rsid w:val="00AF6A29"/>
    <w:rsid w:val="00B06873"/>
    <w:rsid w:val="00B07FB6"/>
    <w:rsid w:val="00B92296"/>
    <w:rsid w:val="00BA5BE5"/>
    <w:rsid w:val="00BA74FC"/>
    <w:rsid w:val="00BB2929"/>
    <w:rsid w:val="00BE561E"/>
    <w:rsid w:val="00BE5EA4"/>
    <w:rsid w:val="00C10252"/>
    <w:rsid w:val="00C2185F"/>
    <w:rsid w:val="00C30103"/>
    <w:rsid w:val="00C3471A"/>
    <w:rsid w:val="00C35199"/>
    <w:rsid w:val="00C35E94"/>
    <w:rsid w:val="00C84203"/>
    <w:rsid w:val="00C968D2"/>
    <w:rsid w:val="00CB53F8"/>
    <w:rsid w:val="00CC4C9B"/>
    <w:rsid w:val="00CF159E"/>
    <w:rsid w:val="00D5551B"/>
    <w:rsid w:val="00D75B99"/>
    <w:rsid w:val="00D82FDF"/>
    <w:rsid w:val="00DA5C45"/>
    <w:rsid w:val="00DB6160"/>
    <w:rsid w:val="00DD3BE8"/>
    <w:rsid w:val="00DE2D90"/>
    <w:rsid w:val="00E0049D"/>
    <w:rsid w:val="00E01486"/>
    <w:rsid w:val="00E1323A"/>
    <w:rsid w:val="00E307E5"/>
    <w:rsid w:val="00E373FE"/>
    <w:rsid w:val="00E37E4F"/>
    <w:rsid w:val="00E4132F"/>
    <w:rsid w:val="00E720E8"/>
    <w:rsid w:val="00E77155"/>
    <w:rsid w:val="00E808DB"/>
    <w:rsid w:val="00E90F0E"/>
    <w:rsid w:val="00E95610"/>
    <w:rsid w:val="00EB698F"/>
    <w:rsid w:val="00ED3F70"/>
    <w:rsid w:val="00EE09C1"/>
    <w:rsid w:val="00F07B8B"/>
    <w:rsid w:val="00F33BBB"/>
    <w:rsid w:val="00F3578B"/>
    <w:rsid w:val="00F371F9"/>
    <w:rsid w:val="00F55248"/>
    <w:rsid w:val="00F56212"/>
    <w:rsid w:val="00F768B3"/>
    <w:rsid w:val="00F95BC2"/>
    <w:rsid w:val="00FD1392"/>
    <w:rsid w:val="00FE3D46"/>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docId w15:val="{E6E3C914-1725-D549-8D2A-76FDCD221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rFonts w:ascii="Calibri" w:eastAsia="SimSun" w:hAnsi="Calibri" w:cs="Mangal"/>
      <w:kern w:val="1"/>
      <w:sz w:val="24"/>
      <w:szCs w:val="24"/>
      <w:lang w:eastAsia="hi-IN" w:bidi="hi-IN"/>
    </w:rPr>
  </w:style>
  <w:style w:type="paragraph" w:styleId="Ttulo1">
    <w:name w:val="heading 1"/>
    <w:basedOn w:val="Normal"/>
    <w:next w:val="Normal"/>
    <w:link w:val="Ttulo1Car"/>
    <w:uiPriority w:val="9"/>
    <w:qFormat/>
    <w:rsid w:val="00E373FE"/>
    <w:pPr>
      <w:keepNext/>
      <w:spacing w:before="240" w:after="60"/>
      <w:outlineLvl w:val="0"/>
    </w:pPr>
    <w:rPr>
      <w:rFonts w:ascii="Cambria" w:eastAsia="Times New Roman" w:hAnsi="Cambria"/>
      <w:b/>
      <w:bCs/>
      <w:kern w:val="32"/>
      <w:sz w:val="32"/>
      <w:szCs w:val="29"/>
    </w:rPr>
  </w:style>
  <w:style w:type="paragraph" w:styleId="Ttulo2">
    <w:name w:val="heading 2"/>
    <w:basedOn w:val="Normal"/>
    <w:next w:val="Normal"/>
    <w:link w:val="Ttulo2Car"/>
    <w:uiPriority w:val="9"/>
    <w:semiHidden/>
    <w:unhideWhenUsed/>
    <w:qFormat/>
    <w:rsid w:val="007F67F1"/>
    <w:pPr>
      <w:keepNext/>
      <w:spacing w:before="240" w:after="60"/>
      <w:outlineLvl w:val="1"/>
    </w:pPr>
    <w:rPr>
      <w:rFonts w:ascii="Cambria" w:eastAsia="Times New Roman" w:hAnsi="Cambria"/>
      <w:b/>
      <w:bCs/>
      <w:i/>
      <w:iCs/>
      <w:sz w:val="28"/>
      <w:szCs w:val="25"/>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Fuentedeprrafopredeter1">
    <w:name w:val="Fuente de párrafo predeter.1"/>
  </w:style>
  <w:style w:type="character" w:styleId="Hipervnculo">
    <w:name w:val="Hyperlink"/>
    <w:uiPriority w:val="99"/>
    <w:rPr>
      <w:color w:val="0000FF"/>
      <w:u w:val="single"/>
    </w:rPr>
  </w:style>
  <w:style w:type="character" w:customStyle="1" w:styleId="TextonotapieCar">
    <w:name w:val="Texto nota pie Car"/>
    <w:uiPriority w:val="99"/>
    <w:rPr>
      <w:sz w:val="20"/>
      <w:szCs w:val="20"/>
    </w:rPr>
  </w:style>
  <w:style w:type="character" w:customStyle="1" w:styleId="Refdenotaalpie1">
    <w:name w:val="Ref. de nota al pie1"/>
    <w:rPr>
      <w:vertAlign w:val="superscript"/>
    </w:rPr>
  </w:style>
  <w:style w:type="character" w:customStyle="1" w:styleId="Caracteresdenotaalpie">
    <w:name w:val="Caracteres de nota al pie"/>
  </w:style>
  <w:style w:type="character" w:styleId="Refdenotaalpie">
    <w:name w:val="footnote reference"/>
    <w:rPr>
      <w:vertAlign w:val="superscript"/>
    </w:rPr>
  </w:style>
  <w:style w:type="character" w:styleId="Refdenotaalfinal">
    <w:name w:val="endnote reference"/>
    <w:rPr>
      <w:vertAlign w:val="superscript"/>
    </w:rPr>
  </w:style>
  <w:style w:type="character" w:customStyle="1" w:styleId="Caracteresdenotafinal">
    <w:name w:val="Caracteres de nota final"/>
  </w:style>
  <w:style w:type="paragraph" w:customStyle="1" w:styleId="Encabezado1">
    <w:name w:val="Encabezado1"/>
    <w:basedOn w:val="Normal"/>
    <w:next w:val="Textoindependiente"/>
    <w:pPr>
      <w:keepNext/>
      <w:spacing w:before="240" w:after="120"/>
    </w:pPr>
    <w:rPr>
      <w:rFonts w:ascii="Arial" w:eastAsia="Microsoft YaHei" w:hAnsi="Arial"/>
      <w:sz w:val="28"/>
      <w:szCs w:val="28"/>
    </w:rPr>
  </w:style>
  <w:style w:type="paragraph" w:styleId="Textoindependiente">
    <w:name w:val="Body Text"/>
    <w:basedOn w:val="Normal"/>
    <w:pPr>
      <w:spacing w:after="120"/>
    </w:pPr>
  </w:style>
  <w:style w:type="paragraph" w:styleId="Lista">
    <w:name w:val="List"/>
    <w:basedOn w:val="Textoindependiente"/>
  </w:style>
  <w:style w:type="paragraph" w:customStyle="1" w:styleId="Etiqueta">
    <w:name w:val="Etiqueta"/>
    <w:basedOn w:val="Normal"/>
    <w:pPr>
      <w:suppressLineNumbers/>
      <w:spacing w:before="120" w:after="120"/>
    </w:pPr>
    <w:rPr>
      <w:i/>
      <w:iCs/>
    </w:rPr>
  </w:style>
  <w:style w:type="paragraph" w:customStyle="1" w:styleId="ndice">
    <w:name w:val="Índice"/>
    <w:basedOn w:val="Normal"/>
    <w:pPr>
      <w:suppressLineNumbers/>
    </w:pPr>
  </w:style>
  <w:style w:type="paragraph" w:styleId="NormalWeb">
    <w:name w:val="Normal (Web)"/>
    <w:basedOn w:val="Normal"/>
    <w:pPr>
      <w:spacing w:before="28" w:after="28" w:line="100" w:lineRule="atLeast"/>
    </w:pPr>
    <w:rPr>
      <w:rFonts w:ascii="Times New Roman" w:eastAsia="Times New Roman" w:hAnsi="Times New Roman" w:cs="Times New Roman"/>
    </w:rPr>
  </w:style>
  <w:style w:type="paragraph" w:customStyle="1" w:styleId="Textonotapie1">
    <w:name w:val="Texto nota pie1"/>
    <w:basedOn w:val="Normal"/>
    <w:pPr>
      <w:spacing w:line="100" w:lineRule="atLeast"/>
    </w:pPr>
    <w:rPr>
      <w:sz w:val="20"/>
      <w:szCs w:val="20"/>
    </w:rPr>
  </w:style>
  <w:style w:type="paragraph" w:styleId="Textonotapie">
    <w:name w:val="footnote text"/>
    <w:basedOn w:val="Normal"/>
    <w:uiPriority w:val="99"/>
    <w:pPr>
      <w:suppressLineNumbers/>
      <w:ind w:left="283" w:hanging="283"/>
    </w:pPr>
    <w:rPr>
      <w:sz w:val="20"/>
      <w:szCs w:val="20"/>
    </w:rPr>
  </w:style>
  <w:style w:type="character" w:styleId="Hipervnculovisitado">
    <w:name w:val="FollowedHyperlink"/>
    <w:uiPriority w:val="99"/>
    <w:semiHidden/>
    <w:unhideWhenUsed/>
    <w:rsid w:val="00DB6160"/>
    <w:rPr>
      <w:color w:val="800080"/>
      <w:u w:val="single"/>
    </w:rPr>
  </w:style>
  <w:style w:type="paragraph" w:customStyle="1" w:styleId="Standard">
    <w:name w:val="Standard"/>
    <w:rsid w:val="006C2633"/>
    <w:pPr>
      <w:widowControl w:val="0"/>
      <w:suppressAutoHyphens/>
      <w:autoSpaceDN w:val="0"/>
    </w:pPr>
    <w:rPr>
      <w:rFonts w:ascii="Calibri" w:eastAsia="SimSun" w:hAnsi="Calibri" w:cs="Mangal"/>
      <w:kern w:val="3"/>
      <w:sz w:val="24"/>
      <w:szCs w:val="24"/>
      <w:lang w:eastAsia="zh-CN" w:bidi="hi-IN"/>
    </w:rPr>
  </w:style>
  <w:style w:type="paragraph" w:styleId="Sinespaciado">
    <w:name w:val="No Spacing"/>
    <w:link w:val="SinespaciadoCar"/>
    <w:uiPriority w:val="1"/>
    <w:qFormat/>
    <w:rsid w:val="00E373FE"/>
    <w:rPr>
      <w:rFonts w:ascii="Calibri" w:hAnsi="Calibri"/>
      <w:sz w:val="22"/>
      <w:szCs w:val="22"/>
    </w:rPr>
  </w:style>
  <w:style w:type="character" w:customStyle="1" w:styleId="SinespaciadoCar">
    <w:name w:val="Sin espaciado Car"/>
    <w:link w:val="Sinespaciado"/>
    <w:uiPriority w:val="1"/>
    <w:rsid w:val="00E373FE"/>
    <w:rPr>
      <w:rFonts w:ascii="Calibri" w:hAnsi="Calibri"/>
      <w:sz w:val="22"/>
      <w:szCs w:val="22"/>
    </w:rPr>
  </w:style>
  <w:style w:type="paragraph" w:styleId="Textodeglobo">
    <w:name w:val="Balloon Text"/>
    <w:basedOn w:val="Normal"/>
    <w:link w:val="TextodegloboCar"/>
    <w:uiPriority w:val="99"/>
    <w:semiHidden/>
    <w:unhideWhenUsed/>
    <w:rsid w:val="00E373FE"/>
    <w:rPr>
      <w:rFonts w:ascii="Tahoma" w:hAnsi="Tahoma"/>
      <w:sz w:val="16"/>
      <w:szCs w:val="14"/>
    </w:rPr>
  </w:style>
  <w:style w:type="character" w:customStyle="1" w:styleId="TextodegloboCar">
    <w:name w:val="Texto de globo Car"/>
    <w:link w:val="Textodeglobo"/>
    <w:uiPriority w:val="99"/>
    <w:semiHidden/>
    <w:rsid w:val="00E373FE"/>
    <w:rPr>
      <w:rFonts w:ascii="Tahoma" w:eastAsia="SimSun" w:hAnsi="Tahoma" w:cs="Mangal"/>
      <w:kern w:val="1"/>
      <w:sz w:val="16"/>
      <w:szCs w:val="14"/>
      <w:lang w:eastAsia="hi-IN" w:bidi="hi-IN"/>
    </w:rPr>
  </w:style>
  <w:style w:type="character" w:customStyle="1" w:styleId="Ttulo1Car">
    <w:name w:val="Título 1 Car"/>
    <w:link w:val="Ttulo1"/>
    <w:uiPriority w:val="9"/>
    <w:rsid w:val="00E373FE"/>
    <w:rPr>
      <w:rFonts w:ascii="Cambria" w:eastAsia="Times New Roman" w:hAnsi="Cambria" w:cs="Mangal"/>
      <w:b/>
      <w:bCs/>
      <w:kern w:val="32"/>
      <w:sz w:val="32"/>
      <w:szCs w:val="29"/>
      <w:lang w:eastAsia="hi-IN" w:bidi="hi-IN"/>
    </w:rPr>
  </w:style>
  <w:style w:type="paragraph" w:styleId="TtuloTDC">
    <w:name w:val="TOC Heading"/>
    <w:basedOn w:val="Ttulo1"/>
    <w:next w:val="Normal"/>
    <w:uiPriority w:val="39"/>
    <w:semiHidden/>
    <w:unhideWhenUsed/>
    <w:qFormat/>
    <w:rsid w:val="00E373FE"/>
    <w:pPr>
      <w:keepLines/>
      <w:suppressAutoHyphens w:val="0"/>
      <w:spacing w:before="480" w:after="0" w:line="276" w:lineRule="auto"/>
      <w:outlineLvl w:val="9"/>
    </w:pPr>
    <w:rPr>
      <w:rFonts w:cs="Times New Roman"/>
      <w:color w:val="365F91"/>
      <w:kern w:val="0"/>
      <w:sz w:val="28"/>
      <w:szCs w:val="28"/>
      <w:lang w:eastAsia="es-AR" w:bidi="ar-SA"/>
    </w:rPr>
  </w:style>
  <w:style w:type="paragraph" w:styleId="TDC1">
    <w:name w:val="toc 1"/>
    <w:basedOn w:val="Normal"/>
    <w:next w:val="Normal"/>
    <w:autoRedefine/>
    <w:uiPriority w:val="39"/>
    <w:unhideWhenUsed/>
    <w:rsid w:val="00440328"/>
    <w:pPr>
      <w:tabs>
        <w:tab w:val="right" w:leader="dot" w:pos="7361"/>
      </w:tabs>
      <w:spacing w:before="120" w:after="120" w:line="360" w:lineRule="auto"/>
    </w:pPr>
    <w:rPr>
      <w:szCs w:val="21"/>
    </w:rPr>
  </w:style>
  <w:style w:type="paragraph" w:styleId="Textonotaalfinal">
    <w:name w:val="endnote text"/>
    <w:basedOn w:val="Normal"/>
    <w:link w:val="TextonotaalfinalCar"/>
    <w:uiPriority w:val="99"/>
    <w:semiHidden/>
    <w:unhideWhenUsed/>
    <w:rsid w:val="00454B40"/>
    <w:rPr>
      <w:sz w:val="20"/>
      <w:szCs w:val="18"/>
    </w:rPr>
  </w:style>
  <w:style w:type="character" w:customStyle="1" w:styleId="TextonotaalfinalCar">
    <w:name w:val="Texto nota al final Car"/>
    <w:link w:val="Textonotaalfinal"/>
    <w:uiPriority w:val="99"/>
    <w:semiHidden/>
    <w:rsid w:val="00454B40"/>
    <w:rPr>
      <w:rFonts w:ascii="Calibri" w:eastAsia="SimSun" w:hAnsi="Calibri" w:cs="Mangal"/>
      <w:kern w:val="1"/>
      <w:szCs w:val="18"/>
      <w:lang w:eastAsia="hi-IN" w:bidi="hi-IN"/>
    </w:rPr>
  </w:style>
  <w:style w:type="character" w:customStyle="1" w:styleId="Ttulo2Car">
    <w:name w:val="Título 2 Car"/>
    <w:link w:val="Ttulo2"/>
    <w:uiPriority w:val="9"/>
    <w:semiHidden/>
    <w:rsid w:val="007F67F1"/>
    <w:rPr>
      <w:rFonts w:ascii="Cambria" w:eastAsia="Times New Roman" w:hAnsi="Cambria" w:cs="Mangal"/>
      <w:b/>
      <w:bCs/>
      <w:i/>
      <w:iCs/>
      <w:kern w:val="1"/>
      <w:sz w:val="28"/>
      <w:szCs w:val="25"/>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96047">
      <w:bodyDiv w:val="1"/>
      <w:marLeft w:val="0"/>
      <w:marRight w:val="0"/>
      <w:marTop w:val="0"/>
      <w:marBottom w:val="0"/>
      <w:divBdr>
        <w:top w:val="none" w:sz="0" w:space="0" w:color="auto"/>
        <w:left w:val="none" w:sz="0" w:space="0" w:color="auto"/>
        <w:bottom w:val="none" w:sz="0" w:space="0" w:color="auto"/>
        <w:right w:val="none" w:sz="0" w:space="0" w:color="auto"/>
      </w:divBdr>
    </w:div>
    <w:div w:id="38752461">
      <w:bodyDiv w:val="1"/>
      <w:marLeft w:val="0"/>
      <w:marRight w:val="0"/>
      <w:marTop w:val="0"/>
      <w:marBottom w:val="0"/>
      <w:divBdr>
        <w:top w:val="none" w:sz="0" w:space="0" w:color="auto"/>
        <w:left w:val="none" w:sz="0" w:space="0" w:color="auto"/>
        <w:bottom w:val="none" w:sz="0" w:space="0" w:color="auto"/>
        <w:right w:val="none" w:sz="0" w:space="0" w:color="auto"/>
      </w:divBdr>
    </w:div>
    <w:div w:id="215892206">
      <w:bodyDiv w:val="1"/>
      <w:marLeft w:val="0"/>
      <w:marRight w:val="0"/>
      <w:marTop w:val="0"/>
      <w:marBottom w:val="0"/>
      <w:divBdr>
        <w:top w:val="none" w:sz="0" w:space="0" w:color="auto"/>
        <w:left w:val="none" w:sz="0" w:space="0" w:color="auto"/>
        <w:bottom w:val="none" w:sz="0" w:space="0" w:color="auto"/>
        <w:right w:val="none" w:sz="0" w:space="0" w:color="auto"/>
      </w:divBdr>
    </w:div>
    <w:div w:id="295568457">
      <w:bodyDiv w:val="1"/>
      <w:marLeft w:val="0"/>
      <w:marRight w:val="0"/>
      <w:marTop w:val="0"/>
      <w:marBottom w:val="0"/>
      <w:divBdr>
        <w:top w:val="none" w:sz="0" w:space="0" w:color="auto"/>
        <w:left w:val="none" w:sz="0" w:space="0" w:color="auto"/>
        <w:bottom w:val="none" w:sz="0" w:space="0" w:color="auto"/>
        <w:right w:val="none" w:sz="0" w:space="0" w:color="auto"/>
      </w:divBdr>
    </w:div>
    <w:div w:id="534122478">
      <w:bodyDiv w:val="1"/>
      <w:marLeft w:val="0"/>
      <w:marRight w:val="0"/>
      <w:marTop w:val="0"/>
      <w:marBottom w:val="0"/>
      <w:divBdr>
        <w:top w:val="none" w:sz="0" w:space="0" w:color="auto"/>
        <w:left w:val="none" w:sz="0" w:space="0" w:color="auto"/>
        <w:bottom w:val="none" w:sz="0" w:space="0" w:color="auto"/>
        <w:right w:val="none" w:sz="0" w:space="0" w:color="auto"/>
      </w:divBdr>
    </w:div>
    <w:div w:id="570962718">
      <w:bodyDiv w:val="1"/>
      <w:marLeft w:val="0"/>
      <w:marRight w:val="0"/>
      <w:marTop w:val="0"/>
      <w:marBottom w:val="0"/>
      <w:divBdr>
        <w:top w:val="none" w:sz="0" w:space="0" w:color="auto"/>
        <w:left w:val="none" w:sz="0" w:space="0" w:color="auto"/>
        <w:bottom w:val="none" w:sz="0" w:space="0" w:color="auto"/>
        <w:right w:val="none" w:sz="0" w:space="0" w:color="auto"/>
      </w:divBdr>
      <w:divsChild>
        <w:div w:id="12920402">
          <w:marLeft w:val="0"/>
          <w:marRight w:val="0"/>
          <w:marTop w:val="0"/>
          <w:marBottom w:val="0"/>
          <w:divBdr>
            <w:top w:val="none" w:sz="0" w:space="0" w:color="auto"/>
            <w:left w:val="none" w:sz="0" w:space="0" w:color="auto"/>
            <w:bottom w:val="none" w:sz="0" w:space="0" w:color="auto"/>
            <w:right w:val="none" w:sz="0" w:space="0" w:color="auto"/>
          </w:divBdr>
        </w:div>
        <w:div w:id="1193886992">
          <w:marLeft w:val="0"/>
          <w:marRight w:val="0"/>
          <w:marTop w:val="0"/>
          <w:marBottom w:val="0"/>
          <w:divBdr>
            <w:top w:val="none" w:sz="0" w:space="0" w:color="auto"/>
            <w:left w:val="none" w:sz="0" w:space="0" w:color="auto"/>
            <w:bottom w:val="none" w:sz="0" w:space="0" w:color="auto"/>
            <w:right w:val="none" w:sz="0" w:space="0" w:color="auto"/>
          </w:divBdr>
        </w:div>
      </w:divsChild>
    </w:div>
    <w:div w:id="574971997">
      <w:bodyDiv w:val="1"/>
      <w:marLeft w:val="0"/>
      <w:marRight w:val="0"/>
      <w:marTop w:val="0"/>
      <w:marBottom w:val="0"/>
      <w:divBdr>
        <w:top w:val="none" w:sz="0" w:space="0" w:color="auto"/>
        <w:left w:val="none" w:sz="0" w:space="0" w:color="auto"/>
        <w:bottom w:val="none" w:sz="0" w:space="0" w:color="auto"/>
        <w:right w:val="none" w:sz="0" w:space="0" w:color="auto"/>
      </w:divBdr>
    </w:div>
    <w:div w:id="678241998">
      <w:bodyDiv w:val="1"/>
      <w:marLeft w:val="0"/>
      <w:marRight w:val="0"/>
      <w:marTop w:val="0"/>
      <w:marBottom w:val="0"/>
      <w:divBdr>
        <w:top w:val="none" w:sz="0" w:space="0" w:color="auto"/>
        <w:left w:val="none" w:sz="0" w:space="0" w:color="auto"/>
        <w:bottom w:val="none" w:sz="0" w:space="0" w:color="auto"/>
        <w:right w:val="none" w:sz="0" w:space="0" w:color="auto"/>
      </w:divBdr>
    </w:div>
    <w:div w:id="819267551">
      <w:bodyDiv w:val="1"/>
      <w:marLeft w:val="0"/>
      <w:marRight w:val="0"/>
      <w:marTop w:val="0"/>
      <w:marBottom w:val="0"/>
      <w:divBdr>
        <w:top w:val="none" w:sz="0" w:space="0" w:color="auto"/>
        <w:left w:val="none" w:sz="0" w:space="0" w:color="auto"/>
        <w:bottom w:val="none" w:sz="0" w:space="0" w:color="auto"/>
        <w:right w:val="none" w:sz="0" w:space="0" w:color="auto"/>
      </w:divBdr>
    </w:div>
    <w:div w:id="1188717872">
      <w:bodyDiv w:val="1"/>
      <w:marLeft w:val="0"/>
      <w:marRight w:val="0"/>
      <w:marTop w:val="0"/>
      <w:marBottom w:val="0"/>
      <w:divBdr>
        <w:top w:val="none" w:sz="0" w:space="0" w:color="auto"/>
        <w:left w:val="none" w:sz="0" w:space="0" w:color="auto"/>
        <w:bottom w:val="none" w:sz="0" w:space="0" w:color="auto"/>
        <w:right w:val="none" w:sz="0" w:space="0" w:color="auto"/>
      </w:divBdr>
    </w:div>
    <w:div w:id="1201236968">
      <w:bodyDiv w:val="1"/>
      <w:marLeft w:val="0"/>
      <w:marRight w:val="0"/>
      <w:marTop w:val="0"/>
      <w:marBottom w:val="0"/>
      <w:divBdr>
        <w:top w:val="none" w:sz="0" w:space="0" w:color="auto"/>
        <w:left w:val="none" w:sz="0" w:space="0" w:color="auto"/>
        <w:bottom w:val="none" w:sz="0" w:space="0" w:color="auto"/>
        <w:right w:val="none" w:sz="0" w:space="0" w:color="auto"/>
      </w:divBdr>
    </w:div>
    <w:div w:id="1369791184">
      <w:bodyDiv w:val="1"/>
      <w:marLeft w:val="0"/>
      <w:marRight w:val="0"/>
      <w:marTop w:val="0"/>
      <w:marBottom w:val="0"/>
      <w:divBdr>
        <w:top w:val="none" w:sz="0" w:space="0" w:color="auto"/>
        <w:left w:val="none" w:sz="0" w:space="0" w:color="auto"/>
        <w:bottom w:val="none" w:sz="0" w:space="0" w:color="auto"/>
        <w:right w:val="none" w:sz="0" w:space="0" w:color="auto"/>
      </w:divBdr>
    </w:div>
    <w:div w:id="1803232291">
      <w:bodyDiv w:val="1"/>
      <w:marLeft w:val="0"/>
      <w:marRight w:val="0"/>
      <w:marTop w:val="0"/>
      <w:marBottom w:val="0"/>
      <w:divBdr>
        <w:top w:val="none" w:sz="0" w:space="0" w:color="auto"/>
        <w:left w:val="none" w:sz="0" w:space="0" w:color="auto"/>
        <w:bottom w:val="none" w:sz="0" w:space="0" w:color="auto"/>
        <w:right w:val="none" w:sz="0" w:space="0" w:color="auto"/>
      </w:divBdr>
    </w:div>
    <w:div w:id="1928032230">
      <w:bodyDiv w:val="1"/>
      <w:marLeft w:val="0"/>
      <w:marRight w:val="0"/>
      <w:marTop w:val="0"/>
      <w:marBottom w:val="0"/>
      <w:divBdr>
        <w:top w:val="none" w:sz="0" w:space="0" w:color="auto"/>
        <w:left w:val="none" w:sz="0" w:space="0" w:color="auto"/>
        <w:bottom w:val="none" w:sz="0" w:space="0" w:color="auto"/>
        <w:right w:val="none" w:sz="0" w:space="0" w:color="auto"/>
      </w:divBdr>
    </w:div>
    <w:div w:id="1962683219">
      <w:bodyDiv w:val="1"/>
      <w:marLeft w:val="0"/>
      <w:marRight w:val="0"/>
      <w:marTop w:val="0"/>
      <w:marBottom w:val="0"/>
      <w:divBdr>
        <w:top w:val="none" w:sz="0" w:space="0" w:color="auto"/>
        <w:left w:val="none" w:sz="0" w:space="0" w:color="auto"/>
        <w:bottom w:val="none" w:sz="0" w:space="0" w:color="auto"/>
        <w:right w:val="none" w:sz="0" w:space="0" w:color="auto"/>
      </w:divBdr>
    </w:div>
    <w:div w:id="2103451941">
      <w:bodyDiv w:val="1"/>
      <w:marLeft w:val="0"/>
      <w:marRight w:val="0"/>
      <w:marTop w:val="0"/>
      <w:marBottom w:val="0"/>
      <w:divBdr>
        <w:top w:val="none" w:sz="0" w:space="0" w:color="auto"/>
        <w:left w:val="none" w:sz="0" w:space="0" w:color="auto"/>
        <w:bottom w:val="none" w:sz="0" w:space="0" w:color="auto"/>
        <w:right w:val="none" w:sz="0" w:space="0" w:color="auto"/>
      </w:divBdr>
      <w:divsChild>
        <w:div w:id="106508266">
          <w:marLeft w:val="0"/>
          <w:marRight w:val="0"/>
          <w:marTop w:val="0"/>
          <w:marBottom w:val="0"/>
          <w:divBdr>
            <w:top w:val="none" w:sz="0" w:space="0" w:color="auto"/>
            <w:left w:val="none" w:sz="0" w:space="0" w:color="auto"/>
            <w:bottom w:val="none" w:sz="0" w:space="0" w:color="auto"/>
            <w:right w:val="none" w:sz="0" w:space="0" w:color="auto"/>
          </w:divBdr>
          <w:divsChild>
            <w:div w:id="192963514">
              <w:marLeft w:val="0"/>
              <w:marRight w:val="0"/>
              <w:marTop w:val="0"/>
              <w:marBottom w:val="0"/>
              <w:divBdr>
                <w:top w:val="none" w:sz="0" w:space="0" w:color="auto"/>
                <w:left w:val="none" w:sz="0" w:space="0" w:color="auto"/>
                <w:bottom w:val="none" w:sz="0" w:space="0" w:color="auto"/>
                <w:right w:val="none" w:sz="0" w:space="0" w:color="auto"/>
              </w:divBdr>
              <w:divsChild>
                <w:div w:id="1042051677">
                  <w:marLeft w:val="0"/>
                  <w:marRight w:val="0"/>
                  <w:marTop w:val="168"/>
                  <w:marBottom w:val="0"/>
                  <w:divBdr>
                    <w:top w:val="none" w:sz="0" w:space="0" w:color="auto"/>
                    <w:left w:val="none" w:sz="0" w:space="0" w:color="auto"/>
                    <w:bottom w:val="none" w:sz="0" w:space="0" w:color="auto"/>
                    <w:right w:val="none" w:sz="0" w:space="0" w:color="auto"/>
                  </w:divBdr>
                </w:div>
              </w:divsChild>
            </w:div>
          </w:divsChild>
        </w:div>
        <w:div w:id="311057865">
          <w:marLeft w:val="0"/>
          <w:marRight w:val="0"/>
          <w:marTop w:val="0"/>
          <w:marBottom w:val="0"/>
          <w:divBdr>
            <w:top w:val="none" w:sz="0" w:space="0" w:color="auto"/>
            <w:left w:val="none" w:sz="0" w:space="0" w:color="auto"/>
            <w:bottom w:val="none" w:sz="0" w:space="0" w:color="auto"/>
            <w:right w:val="none" w:sz="0" w:space="0" w:color="auto"/>
          </w:divBdr>
          <w:divsChild>
            <w:div w:id="646401126">
              <w:marLeft w:val="0"/>
              <w:marRight w:val="0"/>
              <w:marTop w:val="0"/>
              <w:marBottom w:val="0"/>
              <w:divBdr>
                <w:top w:val="none" w:sz="0" w:space="0" w:color="auto"/>
                <w:left w:val="none" w:sz="0" w:space="0" w:color="auto"/>
                <w:bottom w:val="none" w:sz="0" w:space="0" w:color="auto"/>
                <w:right w:val="none" w:sz="0" w:space="0" w:color="auto"/>
              </w:divBdr>
              <w:divsChild>
                <w:div w:id="680663970">
                  <w:marLeft w:val="0"/>
                  <w:marRight w:val="0"/>
                  <w:marTop w:val="168"/>
                  <w:marBottom w:val="0"/>
                  <w:divBdr>
                    <w:top w:val="none" w:sz="0" w:space="0" w:color="auto"/>
                    <w:left w:val="none" w:sz="0" w:space="0" w:color="auto"/>
                    <w:bottom w:val="none" w:sz="0" w:space="0" w:color="auto"/>
                    <w:right w:val="none" w:sz="0" w:space="0" w:color="auto"/>
                  </w:divBdr>
                </w:div>
              </w:divsChild>
            </w:div>
          </w:divsChild>
        </w:div>
        <w:div w:id="617881277">
          <w:marLeft w:val="0"/>
          <w:marRight w:val="0"/>
          <w:marTop w:val="0"/>
          <w:marBottom w:val="0"/>
          <w:divBdr>
            <w:top w:val="none" w:sz="0" w:space="0" w:color="auto"/>
            <w:left w:val="none" w:sz="0" w:space="0" w:color="auto"/>
            <w:bottom w:val="none" w:sz="0" w:space="0" w:color="auto"/>
            <w:right w:val="none" w:sz="0" w:space="0" w:color="auto"/>
          </w:divBdr>
          <w:divsChild>
            <w:div w:id="1089499271">
              <w:marLeft w:val="0"/>
              <w:marRight w:val="0"/>
              <w:marTop w:val="0"/>
              <w:marBottom w:val="0"/>
              <w:divBdr>
                <w:top w:val="none" w:sz="0" w:space="0" w:color="auto"/>
                <w:left w:val="none" w:sz="0" w:space="0" w:color="auto"/>
                <w:bottom w:val="none" w:sz="0" w:space="0" w:color="auto"/>
                <w:right w:val="none" w:sz="0" w:space="0" w:color="auto"/>
              </w:divBdr>
              <w:divsChild>
                <w:div w:id="930166729">
                  <w:marLeft w:val="0"/>
                  <w:marRight w:val="0"/>
                  <w:marTop w:val="168"/>
                  <w:marBottom w:val="0"/>
                  <w:divBdr>
                    <w:top w:val="none" w:sz="0" w:space="0" w:color="auto"/>
                    <w:left w:val="none" w:sz="0" w:space="0" w:color="auto"/>
                    <w:bottom w:val="none" w:sz="0" w:space="0" w:color="auto"/>
                    <w:right w:val="none" w:sz="0" w:space="0" w:color="auto"/>
                  </w:divBdr>
                </w:div>
              </w:divsChild>
            </w:div>
          </w:divsChild>
        </w:div>
        <w:div w:id="1300299990">
          <w:marLeft w:val="0"/>
          <w:marRight w:val="0"/>
          <w:marTop w:val="0"/>
          <w:marBottom w:val="0"/>
          <w:divBdr>
            <w:top w:val="none" w:sz="0" w:space="0" w:color="auto"/>
            <w:left w:val="none" w:sz="0" w:space="0" w:color="auto"/>
            <w:bottom w:val="none" w:sz="0" w:space="0" w:color="auto"/>
            <w:right w:val="none" w:sz="0" w:space="0" w:color="auto"/>
          </w:divBdr>
          <w:divsChild>
            <w:div w:id="1222180893">
              <w:marLeft w:val="0"/>
              <w:marRight w:val="0"/>
              <w:marTop w:val="0"/>
              <w:marBottom w:val="0"/>
              <w:divBdr>
                <w:top w:val="none" w:sz="0" w:space="0" w:color="auto"/>
                <w:left w:val="none" w:sz="0" w:space="0" w:color="auto"/>
                <w:bottom w:val="none" w:sz="0" w:space="0" w:color="auto"/>
                <w:right w:val="none" w:sz="0" w:space="0" w:color="auto"/>
              </w:divBdr>
              <w:divsChild>
                <w:div w:id="536045550">
                  <w:marLeft w:val="0"/>
                  <w:marRight w:val="0"/>
                  <w:marTop w:val="168"/>
                  <w:marBottom w:val="0"/>
                  <w:divBdr>
                    <w:top w:val="none" w:sz="0" w:space="0" w:color="auto"/>
                    <w:left w:val="none" w:sz="0" w:space="0" w:color="auto"/>
                    <w:bottom w:val="none" w:sz="0" w:space="0" w:color="auto"/>
                    <w:right w:val="none" w:sz="0" w:space="0" w:color="auto"/>
                  </w:divBdr>
                </w:div>
              </w:divsChild>
            </w:div>
          </w:divsChild>
        </w:div>
        <w:div w:id="1556429695">
          <w:marLeft w:val="0"/>
          <w:marRight w:val="0"/>
          <w:marTop w:val="0"/>
          <w:marBottom w:val="0"/>
          <w:divBdr>
            <w:top w:val="none" w:sz="0" w:space="0" w:color="auto"/>
            <w:left w:val="none" w:sz="0" w:space="0" w:color="auto"/>
            <w:bottom w:val="none" w:sz="0" w:space="0" w:color="auto"/>
            <w:right w:val="none" w:sz="0" w:space="0" w:color="auto"/>
          </w:divBdr>
          <w:divsChild>
            <w:div w:id="1711346298">
              <w:marLeft w:val="0"/>
              <w:marRight w:val="0"/>
              <w:marTop w:val="0"/>
              <w:marBottom w:val="0"/>
              <w:divBdr>
                <w:top w:val="none" w:sz="0" w:space="0" w:color="auto"/>
                <w:left w:val="none" w:sz="0" w:space="0" w:color="auto"/>
                <w:bottom w:val="none" w:sz="0" w:space="0" w:color="auto"/>
                <w:right w:val="none" w:sz="0" w:space="0" w:color="auto"/>
              </w:divBdr>
              <w:divsChild>
                <w:div w:id="969745123">
                  <w:marLeft w:val="0"/>
                  <w:marRight w:val="0"/>
                  <w:marTop w:val="168"/>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www.technologyreview.es/s/13656/asi-nos-permite-la-tecnologia-ver-y-manipular-los-recuerdos" TargetMode="External"/><Relationship Id="rId13" Type="http://schemas.openxmlformats.org/officeDocument/2006/relationships/hyperlink" Target="https://www.ciperchile.cl/2020/12/11/neuroderechos-razones-para-no-legislar/" TargetMode="External"/><Relationship Id="rId3" Type="http://schemas.openxmlformats.org/officeDocument/2006/relationships/hyperlink" Target="https://lsspjournal.springeropen.com/arcles/10.1186/s40504-017-0050-1" TargetMode="External"/><Relationship Id="rId7" Type="http://schemas.openxmlformats.org/officeDocument/2006/relationships/hyperlink" Target="https://www.teseopress.com/elefectoblackmirror/chapter/lo-tragico-en-el-relato-ficcional-de-black-mirrorfootnote-el-presente-trabajo-pertenece-al-proyecto-de-investigacion--la-distopia-tecnologica-en-el-relato-ficcional-de-la-serie-blac/" TargetMode="External"/><Relationship Id="rId12" Type="http://schemas.openxmlformats.org/officeDocument/2006/relationships/hyperlink" Target="https://elpais.com/retina/2020/12/03/tendencias/1607024987_022417.html?rel=buscador_noticias" TargetMode="External"/><Relationship Id="rId2" Type="http://schemas.openxmlformats.org/officeDocument/2006/relationships/hyperlink" Target="https://bibliotecadigital.csjn.gov.ar/fullscreen/index.php?tipo=MO&amp;nro=13705&amp;tomo=99378" TargetMode="External"/><Relationship Id="rId1" Type="http://schemas.openxmlformats.org/officeDocument/2006/relationships/hyperlink" Target="https://www.dipublico.org/3664/bill-of-rights-ley-que-declara-los-derechos-y-libertades-de-los-ingleses-y-establece-el-orden-de-sucesion-de-la-corona-inglaterra-1689/" TargetMode="External"/><Relationship Id="rId6" Type="http://schemas.openxmlformats.org/officeDocument/2006/relationships/hyperlink" Target="https://www.dw.com/es/primer-implante-cerebral-del-mundo-trata-con-%C3%A9xito-depresi%C3%B3n-severa-de-un-paciente/a-59412530" TargetMode="External"/><Relationship Id="rId11" Type="http://schemas.openxmlformats.org/officeDocument/2006/relationships/hyperlink" Target="https://www.nytimes.com/2020/08/28/opinion/sunday/brain-machine-artificial-intelligence.html" TargetMode="External"/><Relationship Id="rId5" Type="http://schemas.openxmlformats.org/officeDocument/2006/relationships/hyperlink" Target="https://www.20minutos.es/tecnologia/moviles-dispositivos/asi-es-el-implante-cerebral-que-ayuda-a-las-personas-con-ela-a-escribir-tuits-con-la-mente-4934417/" TargetMode="External"/><Relationship Id="rId10" Type="http://schemas.openxmlformats.org/officeDocument/2006/relationships/hyperlink" Target="https://www.diariojudicial.com/nota/82561" TargetMode="External"/><Relationship Id="rId4" Type="http://schemas.openxmlformats.org/officeDocument/2006/relationships/hyperlink" Target="https://cnnespanol.cnn.com/2021/07/15/implante-cerebral-hablar-derrame-trax/" TargetMode="External"/><Relationship Id="rId9" Type="http://schemas.openxmlformats.org/officeDocument/2006/relationships/hyperlink" Target="https://www.bbc.com/mundo/noticias-48555799" TargetMode="External"/><Relationship Id="rId14" Type="http://schemas.openxmlformats.org/officeDocument/2006/relationships/hyperlink" Target="https://neurorights-initiative.site.drupaldisttest.cc.columbia.edu/sites/default/files/content/The%20Five%20Ethical%20NeuroRights%20updated%20pdf_0.pdf"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BE5D23-A68D-4700-9675-3B2B7FD699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7371</Words>
  <Characters>40541</Characters>
  <Application>Microsoft Office Word</Application>
  <DocSecurity>0</DocSecurity>
  <Lines>337</Lines>
  <Paragraphs>95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47817</CharactersWithSpaces>
  <SharedDoc>false</SharedDoc>
  <HLinks>
    <vt:vector size="132" baseType="variant">
      <vt:variant>
        <vt:i4>1507381</vt:i4>
      </vt:variant>
      <vt:variant>
        <vt:i4>50</vt:i4>
      </vt:variant>
      <vt:variant>
        <vt:i4>0</vt:i4>
      </vt:variant>
      <vt:variant>
        <vt:i4>5</vt:i4>
      </vt:variant>
      <vt:variant>
        <vt:lpwstr/>
      </vt:variant>
      <vt:variant>
        <vt:lpwstr>_Toc85124780</vt:lpwstr>
      </vt:variant>
      <vt:variant>
        <vt:i4>1966138</vt:i4>
      </vt:variant>
      <vt:variant>
        <vt:i4>44</vt:i4>
      </vt:variant>
      <vt:variant>
        <vt:i4>0</vt:i4>
      </vt:variant>
      <vt:variant>
        <vt:i4>5</vt:i4>
      </vt:variant>
      <vt:variant>
        <vt:lpwstr/>
      </vt:variant>
      <vt:variant>
        <vt:lpwstr>_Toc85124779</vt:lpwstr>
      </vt:variant>
      <vt:variant>
        <vt:i4>2031674</vt:i4>
      </vt:variant>
      <vt:variant>
        <vt:i4>38</vt:i4>
      </vt:variant>
      <vt:variant>
        <vt:i4>0</vt:i4>
      </vt:variant>
      <vt:variant>
        <vt:i4>5</vt:i4>
      </vt:variant>
      <vt:variant>
        <vt:lpwstr/>
      </vt:variant>
      <vt:variant>
        <vt:lpwstr>_Toc85124778</vt:lpwstr>
      </vt:variant>
      <vt:variant>
        <vt:i4>1048634</vt:i4>
      </vt:variant>
      <vt:variant>
        <vt:i4>32</vt:i4>
      </vt:variant>
      <vt:variant>
        <vt:i4>0</vt:i4>
      </vt:variant>
      <vt:variant>
        <vt:i4>5</vt:i4>
      </vt:variant>
      <vt:variant>
        <vt:lpwstr/>
      </vt:variant>
      <vt:variant>
        <vt:lpwstr>_Toc85124777</vt:lpwstr>
      </vt:variant>
      <vt:variant>
        <vt:i4>1114170</vt:i4>
      </vt:variant>
      <vt:variant>
        <vt:i4>26</vt:i4>
      </vt:variant>
      <vt:variant>
        <vt:i4>0</vt:i4>
      </vt:variant>
      <vt:variant>
        <vt:i4>5</vt:i4>
      </vt:variant>
      <vt:variant>
        <vt:lpwstr/>
      </vt:variant>
      <vt:variant>
        <vt:lpwstr>_Toc85124776</vt:lpwstr>
      </vt:variant>
      <vt:variant>
        <vt:i4>1179706</vt:i4>
      </vt:variant>
      <vt:variant>
        <vt:i4>20</vt:i4>
      </vt:variant>
      <vt:variant>
        <vt:i4>0</vt:i4>
      </vt:variant>
      <vt:variant>
        <vt:i4>5</vt:i4>
      </vt:variant>
      <vt:variant>
        <vt:lpwstr/>
      </vt:variant>
      <vt:variant>
        <vt:lpwstr>_Toc85124775</vt:lpwstr>
      </vt:variant>
      <vt:variant>
        <vt:i4>1245242</vt:i4>
      </vt:variant>
      <vt:variant>
        <vt:i4>14</vt:i4>
      </vt:variant>
      <vt:variant>
        <vt:i4>0</vt:i4>
      </vt:variant>
      <vt:variant>
        <vt:i4>5</vt:i4>
      </vt:variant>
      <vt:variant>
        <vt:lpwstr/>
      </vt:variant>
      <vt:variant>
        <vt:lpwstr>_Toc85124774</vt:lpwstr>
      </vt:variant>
      <vt:variant>
        <vt:i4>1310778</vt:i4>
      </vt:variant>
      <vt:variant>
        <vt:i4>8</vt:i4>
      </vt:variant>
      <vt:variant>
        <vt:i4>0</vt:i4>
      </vt:variant>
      <vt:variant>
        <vt:i4>5</vt:i4>
      </vt:variant>
      <vt:variant>
        <vt:lpwstr/>
      </vt:variant>
      <vt:variant>
        <vt:lpwstr>_Toc85124773</vt:lpwstr>
      </vt:variant>
      <vt:variant>
        <vt:i4>1376314</vt:i4>
      </vt:variant>
      <vt:variant>
        <vt:i4>2</vt:i4>
      </vt:variant>
      <vt:variant>
        <vt:i4>0</vt:i4>
      </vt:variant>
      <vt:variant>
        <vt:i4>5</vt:i4>
      </vt:variant>
      <vt:variant>
        <vt:lpwstr/>
      </vt:variant>
      <vt:variant>
        <vt:lpwstr>_Toc85124772</vt:lpwstr>
      </vt:variant>
      <vt:variant>
        <vt:i4>3014726</vt:i4>
      </vt:variant>
      <vt:variant>
        <vt:i4>36</vt:i4>
      </vt:variant>
      <vt:variant>
        <vt:i4>0</vt:i4>
      </vt:variant>
      <vt:variant>
        <vt:i4>5</vt:i4>
      </vt:variant>
      <vt:variant>
        <vt:lpwstr>https://neurorights-initiative.site.drupaldisttest.cc.columbia.edu/sites/default/files/content/The Five Ethical NeuroRights updated pdf_0.pdf</vt:lpwstr>
      </vt:variant>
      <vt:variant>
        <vt:lpwstr/>
      </vt:variant>
      <vt:variant>
        <vt:i4>4456531</vt:i4>
      </vt:variant>
      <vt:variant>
        <vt:i4>33</vt:i4>
      </vt:variant>
      <vt:variant>
        <vt:i4>0</vt:i4>
      </vt:variant>
      <vt:variant>
        <vt:i4>5</vt:i4>
      </vt:variant>
      <vt:variant>
        <vt:lpwstr>https://www.ciperchile.cl/2020/12/11/neuroderechos-razones-para-no-legislar/</vt:lpwstr>
      </vt:variant>
      <vt:variant>
        <vt:lpwstr/>
      </vt:variant>
      <vt:variant>
        <vt:i4>2293857</vt:i4>
      </vt:variant>
      <vt:variant>
        <vt:i4>30</vt:i4>
      </vt:variant>
      <vt:variant>
        <vt:i4>0</vt:i4>
      </vt:variant>
      <vt:variant>
        <vt:i4>5</vt:i4>
      </vt:variant>
      <vt:variant>
        <vt:lpwstr>https://elpais.com/retina/2020/12/03/tendencias/1607024987_022417.html?rel=buscador_noticias</vt:lpwstr>
      </vt:variant>
      <vt:variant>
        <vt:lpwstr/>
      </vt:variant>
      <vt:variant>
        <vt:i4>327755</vt:i4>
      </vt:variant>
      <vt:variant>
        <vt:i4>27</vt:i4>
      </vt:variant>
      <vt:variant>
        <vt:i4>0</vt:i4>
      </vt:variant>
      <vt:variant>
        <vt:i4>5</vt:i4>
      </vt:variant>
      <vt:variant>
        <vt:lpwstr>https://www.nytimes.com/2020/08/28/opinion/sunday/brain-machine-artificial-intelligence.html</vt:lpwstr>
      </vt:variant>
      <vt:variant>
        <vt:lpwstr/>
      </vt:variant>
      <vt:variant>
        <vt:i4>1704013</vt:i4>
      </vt:variant>
      <vt:variant>
        <vt:i4>24</vt:i4>
      </vt:variant>
      <vt:variant>
        <vt:i4>0</vt:i4>
      </vt:variant>
      <vt:variant>
        <vt:i4>5</vt:i4>
      </vt:variant>
      <vt:variant>
        <vt:lpwstr>https://www.diariojudicial.com/nota/82561</vt:lpwstr>
      </vt:variant>
      <vt:variant>
        <vt:lpwstr/>
      </vt:variant>
      <vt:variant>
        <vt:i4>7012396</vt:i4>
      </vt:variant>
      <vt:variant>
        <vt:i4>21</vt:i4>
      </vt:variant>
      <vt:variant>
        <vt:i4>0</vt:i4>
      </vt:variant>
      <vt:variant>
        <vt:i4>5</vt:i4>
      </vt:variant>
      <vt:variant>
        <vt:lpwstr>https://www.bbc.com/mundo/noticias-48555799</vt:lpwstr>
      </vt:variant>
      <vt:variant>
        <vt:lpwstr/>
      </vt:variant>
      <vt:variant>
        <vt:i4>589838</vt:i4>
      </vt:variant>
      <vt:variant>
        <vt:i4>18</vt:i4>
      </vt:variant>
      <vt:variant>
        <vt:i4>0</vt:i4>
      </vt:variant>
      <vt:variant>
        <vt:i4>5</vt:i4>
      </vt:variant>
      <vt:variant>
        <vt:lpwstr>https://www.teseopress.com/elefectoblackmirror/chapter/lo-tragico-en-el-relato-ficcional-de-black-mirrorfootnote-el-presente-trabajo-pertenece-al-proyecto-de-investigacion--la-distopia-tecnologica-en-el-relato-ficcional-de-la-serie-blac/</vt:lpwstr>
      </vt:variant>
      <vt:variant>
        <vt:lpwstr/>
      </vt:variant>
      <vt:variant>
        <vt:i4>4456531</vt:i4>
      </vt:variant>
      <vt:variant>
        <vt:i4>15</vt:i4>
      </vt:variant>
      <vt:variant>
        <vt:i4>0</vt:i4>
      </vt:variant>
      <vt:variant>
        <vt:i4>5</vt:i4>
      </vt:variant>
      <vt:variant>
        <vt:lpwstr/>
      </vt:variant>
      <vt:variant>
        <vt:lpwstr>CT005</vt:lpwstr>
      </vt:variant>
      <vt:variant>
        <vt:i4>4456531</vt:i4>
      </vt:variant>
      <vt:variant>
        <vt:i4>12</vt:i4>
      </vt:variant>
      <vt:variant>
        <vt:i4>0</vt:i4>
      </vt:variant>
      <vt:variant>
        <vt:i4>5</vt:i4>
      </vt:variant>
      <vt:variant>
        <vt:lpwstr/>
      </vt:variant>
      <vt:variant>
        <vt:lpwstr>CT004</vt:lpwstr>
      </vt:variant>
      <vt:variant>
        <vt:i4>4456531</vt:i4>
      </vt:variant>
      <vt:variant>
        <vt:i4>9</vt:i4>
      </vt:variant>
      <vt:variant>
        <vt:i4>0</vt:i4>
      </vt:variant>
      <vt:variant>
        <vt:i4>5</vt:i4>
      </vt:variant>
      <vt:variant>
        <vt:lpwstr/>
      </vt:variant>
      <vt:variant>
        <vt:lpwstr>CT003</vt:lpwstr>
      </vt:variant>
      <vt:variant>
        <vt:i4>4456531</vt:i4>
      </vt:variant>
      <vt:variant>
        <vt:i4>6</vt:i4>
      </vt:variant>
      <vt:variant>
        <vt:i4>0</vt:i4>
      </vt:variant>
      <vt:variant>
        <vt:i4>5</vt:i4>
      </vt:variant>
      <vt:variant>
        <vt:lpwstr/>
      </vt:variant>
      <vt:variant>
        <vt:lpwstr>CT002</vt:lpwstr>
      </vt:variant>
      <vt:variant>
        <vt:i4>3670063</vt:i4>
      </vt:variant>
      <vt:variant>
        <vt:i4>3</vt:i4>
      </vt:variant>
      <vt:variant>
        <vt:i4>0</vt:i4>
      </vt:variant>
      <vt:variant>
        <vt:i4>5</vt:i4>
      </vt:variant>
      <vt:variant>
        <vt:lpwstr>https://bibliotecadigital.csjn.gov.ar/fullscreen/index.php?tipo=MO&amp;nro=13705&amp;tomo=99378</vt:lpwstr>
      </vt:variant>
      <vt:variant>
        <vt:lpwstr/>
      </vt:variant>
      <vt:variant>
        <vt:i4>3801185</vt:i4>
      </vt:variant>
      <vt:variant>
        <vt:i4>0</vt:i4>
      </vt:variant>
      <vt:variant>
        <vt:i4>0</vt:i4>
      </vt:variant>
      <vt:variant>
        <vt:i4>5</vt:i4>
      </vt:variant>
      <vt:variant>
        <vt:lpwstr>https://www.dipublico.org/3664/bill-of-rights-ley-que-declara-los-derechos-y-libertades-de-los-ingleses-y-establece-el-orden-de-sucesion-de-la-corona-inglaterra-1689/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Abelardo Nanclares</dc:creator>
  <cp:keywords/>
  <cp:lastModifiedBy>Usuario de Windows</cp:lastModifiedBy>
  <cp:revision>2</cp:revision>
  <cp:lastPrinted>2023-05-03T14:51:00Z</cp:lastPrinted>
  <dcterms:created xsi:type="dcterms:W3CDTF">2023-07-06T08:10:00Z</dcterms:created>
  <dcterms:modified xsi:type="dcterms:W3CDTF">2023-07-06T08:10:00Z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