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6947" w:rsidRPr="00C30398" w:rsidRDefault="00A70C43" w:rsidP="008E6947">
      <w:pPr>
        <w:jc w:val="center"/>
        <w:rPr>
          <w:rFonts w:ascii="Times New Roman" w:hAnsi="Times New Roman" w:cs="Times New Roman"/>
          <w:b/>
          <w:sz w:val="24"/>
          <w:szCs w:val="24"/>
          <w:lang w:val="es-ES_tradnl"/>
        </w:rPr>
      </w:pPr>
      <w:r w:rsidRPr="00C30398">
        <w:rPr>
          <w:rFonts w:ascii="Times New Roman" w:hAnsi="Times New Roman" w:cs="Times New Roman"/>
          <w:b/>
          <w:sz w:val="24"/>
          <w:szCs w:val="24"/>
        </w:rPr>
        <w:t xml:space="preserve">“EL DERECHO DE PARTICIPACIÓN POLÍTICA FRENTE AL USO ILEGÍTIMO </w:t>
      </w:r>
      <w:r w:rsidRPr="00C30398">
        <w:rPr>
          <w:rFonts w:ascii="Times New Roman" w:hAnsi="Times New Roman" w:cs="Times New Roman"/>
          <w:b/>
          <w:sz w:val="24"/>
          <w:szCs w:val="24"/>
          <w:lang w:val="es-ES_tradnl"/>
        </w:rPr>
        <w:t>DEL TRATAMIENTO MECANIZADO DE DATOS”</w:t>
      </w:r>
    </w:p>
    <w:p w:rsidR="00164B92" w:rsidRPr="00C30398" w:rsidRDefault="00164B92" w:rsidP="00164B92">
      <w:pPr>
        <w:spacing w:after="0" w:line="240" w:lineRule="auto"/>
        <w:ind w:left="1416"/>
        <w:jc w:val="right"/>
        <w:rPr>
          <w:rFonts w:ascii="Times New Roman" w:hAnsi="Times New Roman" w:cs="Times New Roman"/>
          <w:b/>
          <w:sz w:val="24"/>
          <w:szCs w:val="24"/>
        </w:rPr>
      </w:pPr>
    </w:p>
    <w:p w:rsidR="008E6947" w:rsidRPr="00C30398" w:rsidRDefault="008E6947" w:rsidP="008E6947">
      <w:pPr>
        <w:spacing w:after="0" w:line="240" w:lineRule="auto"/>
        <w:jc w:val="right"/>
        <w:rPr>
          <w:rFonts w:ascii="Times New Roman" w:hAnsi="Times New Roman" w:cs="Times New Roman"/>
          <w:sz w:val="24"/>
          <w:szCs w:val="24"/>
        </w:rPr>
      </w:pPr>
      <w:r w:rsidRPr="00C30398">
        <w:rPr>
          <w:rFonts w:ascii="Times New Roman" w:hAnsi="Times New Roman" w:cs="Times New Roman"/>
          <w:sz w:val="24"/>
          <w:szCs w:val="24"/>
        </w:rPr>
        <w:t xml:space="preserve">Dr. Juan Manuel López Ulla, </w:t>
      </w:r>
    </w:p>
    <w:p w:rsidR="008E6947" w:rsidRPr="00C30398" w:rsidRDefault="008E6947" w:rsidP="008E6947">
      <w:pPr>
        <w:spacing w:after="0" w:line="240" w:lineRule="auto"/>
        <w:jc w:val="right"/>
        <w:rPr>
          <w:rFonts w:ascii="Times New Roman" w:hAnsi="Times New Roman" w:cs="Times New Roman"/>
          <w:sz w:val="24"/>
          <w:szCs w:val="24"/>
        </w:rPr>
      </w:pPr>
      <w:r w:rsidRPr="00C30398">
        <w:rPr>
          <w:rFonts w:ascii="Times New Roman" w:hAnsi="Times New Roman" w:cs="Times New Roman"/>
          <w:sz w:val="24"/>
          <w:szCs w:val="24"/>
        </w:rPr>
        <w:t>Profesor Titular de Derecho Constitucional</w:t>
      </w:r>
    </w:p>
    <w:p w:rsidR="006047CA" w:rsidRDefault="008E6947" w:rsidP="008E6947">
      <w:pPr>
        <w:spacing w:after="0" w:line="240" w:lineRule="auto"/>
        <w:jc w:val="right"/>
        <w:rPr>
          <w:rFonts w:ascii="Times New Roman" w:hAnsi="Times New Roman" w:cs="Times New Roman"/>
          <w:sz w:val="24"/>
          <w:szCs w:val="24"/>
        </w:rPr>
      </w:pPr>
      <w:r w:rsidRPr="00C30398">
        <w:rPr>
          <w:rFonts w:ascii="Times New Roman" w:hAnsi="Times New Roman" w:cs="Times New Roman"/>
          <w:sz w:val="24"/>
          <w:szCs w:val="24"/>
        </w:rPr>
        <w:t>Universidad de Cádiz, España.</w:t>
      </w:r>
    </w:p>
    <w:p w:rsidR="004C06EB" w:rsidRDefault="004C06EB" w:rsidP="008E6947">
      <w:pPr>
        <w:spacing w:after="0" w:line="240" w:lineRule="auto"/>
        <w:jc w:val="right"/>
        <w:rPr>
          <w:rFonts w:ascii="Times New Roman" w:hAnsi="Times New Roman" w:cs="Times New Roman"/>
          <w:sz w:val="24"/>
          <w:szCs w:val="24"/>
        </w:rPr>
      </w:pPr>
    </w:p>
    <w:p w:rsidR="004C06EB" w:rsidRPr="00395857" w:rsidRDefault="004C06EB" w:rsidP="004C06EB">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SUMARIO: I.</w:t>
      </w:r>
      <w:r w:rsidR="002C3D10">
        <w:rPr>
          <w:rFonts w:ascii="Times New Roman" w:hAnsi="Times New Roman" w:cs="Times New Roman"/>
          <w:sz w:val="24"/>
          <w:szCs w:val="24"/>
        </w:rPr>
        <w:t xml:space="preserve"> Tratamientos de datos personales en la erea digital</w:t>
      </w:r>
      <w:r>
        <w:rPr>
          <w:rFonts w:ascii="Times New Roman" w:hAnsi="Times New Roman" w:cs="Times New Roman"/>
          <w:sz w:val="24"/>
          <w:szCs w:val="24"/>
        </w:rPr>
        <w:t xml:space="preserve">. </w:t>
      </w:r>
      <w:r w:rsidR="0059726C" w:rsidRPr="0059726C">
        <w:rPr>
          <w:rFonts w:ascii="Times New Roman" w:hAnsi="Times New Roman" w:cs="Times New Roman"/>
          <w:sz w:val="24"/>
          <w:szCs w:val="24"/>
        </w:rPr>
        <w:t>II.</w:t>
      </w:r>
      <w:r w:rsidR="00307C5D">
        <w:rPr>
          <w:rFonts w:ascii="Times New Roman" w:hAnsi="Times New Roman" w:cs="Times New Roman"/>
          <w:sz w:val="24"/>
          <w:szCs w:val="24"/>
        </w:rPr>
        <w:t xml:space="preserve"> </w:t>
      </w:r>
      <w:r w:rsidR="007E3214">
        <w:rPr>
          <w:rFonts w:ascii="Times New Roman" w:hAnsi="Times New Roman" w:cs="Times New Roman"/>
          <w:sz w:val="24"/>
          <w:szCs w:val="24"/>
        </w:rPr>
        <w:t>El</w:t>
      </w:r>
      <w:r w:rsidR="00307C5D">
        <w:rPr>
          <w:rFonts w:ascii="Times New Roman" w:hAnsi="Times New Roman" w:cs="Times New Roman"/>
          <w:sz w:val="24"/>
          <w:szCs w:val="24"/>
        </w:rPr>
        <w:t xml:space="preserve"> </w:t>
      </w:r>
      <w:r w:rsidR="007E3214">
        <w:rPr>
          <w:rFonts w:ascii="Times New Roman" w:hAnsi="Times New Roman" w:cs="Times New Roman"/>
          <w:sz w:val="24"/>
          <w:szCs w:val="24"/>
        </w:rPr>
        <w:t>derecho a la protección de datos personales</w:t>
      </w:r>
      <w:r w:rsidR="0059726C">
        <w:rPr>
          <w:rFonts w:ascii="Times New Roman" w:hAnsi="Times New Roman" w:cs="Times New Roman"/>
          <w:sz w:val="24"/>
          <w:szCs w:val="24"/>
        </w:rPr>
        <w:t xml:space="preserve">. </w:t>
      </w:r>
      <w:r w:rsidR="00AA0B87" w:rsidRPr="00AA0B87">
        <w:rPr>
          <w:rFonts w:ascii="Times New Roman" w:hAnsi="Times New Roman" w:cs="Times New Roman"/>
          <w:sz w:val="24"/>
          <w:szCs w:val="24"/>
        </w:rPr>
        <w:t>III.</w:t>
      </w:r>
      <w:r w:rsidR="00AA0B87">
        <w:rPr>
          <w:rFonts w:ascii="Times New Roman" w:hAnsi="Times New Roman" w:cs="Times New Roman"/>
          <w:sz w:val="24"/>
          <w:szCs w:val="24"/>
        </w:rPr>
        <w:t xml:space="preserve"> </w:t>
      </w:r>
      <w:r w:rsidR="002C3D10">
        <w:rPr>
          <w:rFonts w:ascii="Times New Roman" w:hAnsi="Times New Roman" w:cs="Times New Roman"/>
          <w:sz w:val="24"/>
          <w:szCs w:val="24"/>
        </w:rPr>
        <w:t>A favor de la constitucionalización del derecho</w:t>
      </w:r>
      <w:r w:rsidR="00F9089A">
        <w:rPr>
          <w:rFonts w:ascii="Times New Roman" w:hAnsi="Times New Roman" w:cs="Times New Roman"/>
          <w:sz w:val="24"/>
          <w:szCs w:val="24"/>
        </w:rPr>
        <w:t>. IV.</w:t>
      </w:r>
      <w:r w:rsidR="00D4002F">
        <w:rPr>
          <w:rFonts w:ascii="Times New Roman" w:hAnsi="Times New Roman" w:cs="Times New Roman"/>
          <w:sz w:val="24"/>
          <w:szCs w:val="24"/>
        </w:rPr>
        <w:t xml:space="preserve"> </w:t>
      </w:r>
      <w:r w:rsidR="00D4002F" w:rsidRPr="00D4002F">
        <w:rPr>
          <w:rFonts w:ascii="Times New Roman" w:hAnsi="Times New Roman" w:cs="Times New Roman"/>
          <w:sz w:val="24"/>
          <w:szCs w:val="24"/>
        </w:rPr>
        <w:t>Tratamiento mecanizado de datos y derecho a la participación política</w:t>
      </w:r>
      <w:r w:rsidR="00F9089A" w:rsidRPr="00D4002F">
        <w:rPr>
          <w:rFonts w:ascii="Times New Roman" w:hAnsi="Times New Roman" w:cs="Times New Roman"/>
          <w:sz w:val="24"/>
          <w:szCs w:val="24"/>
        </w:rPr>
        <w:t>.</w:t>
      </w:r>
      <w:r w:rsidR="00F9089A">
        <w:rPr>
          <w:rFonts w:ascii="Times New Roman" w:hAnsi="Times New Roman" w:cs="Times New Roman"/>
          <w:sz w:val="24"/>
          <w:szCs w:val="24"/>
        </w:rPr>
        <w:t xml:space="preserve"> </w:t>
      </w:r>
      <w:r w:rsidR="00D4002F">
        <w:rPr>
          <w:rFonts w:ascii="Times New Roman" w:hAnsi="Times New Roman" w:cs="Times New Roman"/>
          <w:sz w:val="24"/>
          <w:szCs w:val="24"/>
        </w:rPr>
        <w:t xml:space="preserve">V. </w:t>
      </w:r>
      <w:r w:rsidR="00772642" w:rsidRPr="00772642">
        <w:rPr>
          <w:rFonts w:ascii="Times New Roman" w:hAnsi="Times New Roman" w:cs="Times New Roman"/>
          <w:sz w:val="24"/>
          <w:szCs w:val="24"/>
        </w:rPr>
        <w:t>En torno a la dimensión colectiva del derecho a la protección de datos. VI.</w:t>
      </w:r>
      <w:r w:rsidR="002C3D10">
        <w:rPr>
          <w:rFonts w:ascii="Times New Roman" w:hAnsi="Times New Roman" w:cs="Times New Roman"/>
          <w:sz w:val="24"/>
          <w:szCs w:val="24"/>
        </w:rPr>
        <w:t xml:space="preserve"> </w:t>
      </w:r>
      <w:r w:rsidR="00772642" w:rsidRPr="00772642">
        <w:rPr>
          <w:rFonts w:ascii="Times New Roman" w:hAnsi="Times New Roman" w:cs="Times New Roman"/>
          <w:sz w:val="24"/>
          <w:szCs w:val="24"/>
        </w:rPr>
        <w:t>En busca de un marco jurídico común</w:t>
      </w:r>
      <w:r w:rsidR="00772642">
        <w:rPr>
          <w:rFonts w:ascii="Times New Roman" w:hAnsi="Times New Roman" w:cs="Times New Roman"/>
          <w:sz w:val="24"/>
          <w:szCs w:val="24"/>
        </w:rPr>
        <w:t>. VII. Conclusiones. VIII. Bibliografía.</w:t>
      </w:r>
    </w:p>
    <w:p w:rsidR="008E6947" w:rsidRPr="00395857" w:rsidRDefault="008E6947" w:rsidP="004A6BD9">
      <w:pPr>
        <w:jc w:val="both"/>
        <w:rPr>
          <w:rFonts w:ascii="Times New Roman" w:hAnsi="Times New Roman" w:cs="Times New Roman"/>
          <w:b/>
          <w:sz w:val="24"/>
          <w:szCs w:val="24"/>
        </w:rPr>
      </w:pPr>
    </w:p>
    <w:p w:rsidR="00395857" w:rsidRPr="002C3D10" w:rsidRDefault="002C3D10" w:rsidP="00222038">
      <w:pPr>
        <w:pStyle w:val="Prrafodelista"/>
        <w:numPr>
          <w:ilvl w:val="0"/>
          <w:numId w:val="14"/>
        </w:numPr>
        <w:jc w:val="both"/>
        <w:rPr>
          <w:rFonts w:ascii="Times New Roman" w:hAnsi="Times New Roman" w:cs="Times New Roman"/>
          <w:b/>
          <w:sz w:val="24"/>
          <w:szCs w:val="24"/>
        </w:rPr>
      </w:pPr>
      <w:r w:rsidRPr="002C3D10">
        <w:rPr>
          <w:rFonts w:ascii="Times New Roman" w:hAnsi="Times New Roman" w:cs="Times New Roman"/>
          <w:b/>
          <w:sz w:val="24"/>
          <w:szCs w:val="24"/>
        </w:rPr>
        <w:t>Tratamient</w:t>
      </w:r>
      <w:r w:rsidR="00F74A68">
        <w:rPr>
          <w:rFonts w:ascii="Times New Roman" w:hAnsi="Times New Roman" w:cs="Times New Roman"/>
          <w:b/>
          <w:sz w:val="24"/>
          <w:szCs w:val="24"/>
        </w:rPr>
        <w:t>os de datos personales en la er</w:t>
      </w:r>
      <w:r w:rsidRPr="002C3D10">
        <w:rPr>
          <w:rFonts w:ascii="Times New Roman" w:hAnsi="Times New Roman" w:cs="Times New Roman"/>
          <w:b/>
          <w:sz w:val="24"/>
          <w:szCs w:val="24"/>
        </w:rPr>
        <w:t>a digital</w:t>
      </w:r>
      <w:r w:rsidR="00A05C0F" w:rsidRPr="002C3D10">
        <w:rPr>
          <w:rFonts w:ascii="Times New Roman" w:hAnsi="Times New Roman" w:cs="Times New Roman"/>
          <w:b/>
          <w:sz w:val="24"/>
          <w:szCs w:val="24"/>
        </w:rPr>
        <w:t xml:space="preserve"> </w:t>
      </w:r>
    </w:p>
    <w:p w:rsidR="00444009" w:rsidRDefault="00E559F4" w:rsidP="006F01F2">
      <w:pPr>
        <w:ind w:firstLine="360"/>
        <w:jc w:val="both"/>
        <w:rPr>
          <w:rFonts w:ascii="Times New Roman" w:hAnsi="Times New Roman" w:cs="Times New Roman"/>
          <w:sz w:val="24"/>
          <w:szCs w:val="24"/>
        </w:rPr>
      </w:pPr>
      <w:r>
        <w:rPr>
          <w:rFonts w:ascii="Times New Roman" w:hAnsi="Times New Roman" w:cs="Times New Roman"/>
          <w:sz w:val="24"/>
          <w:szCs w:val="24"/>
        </w:rPr>
        <w:t>E</w:t>
      </w:r>
      <w:r w:rsidRPr="00E559F4">
        <w:rPr>
          <w:rFonts w:ascii="Times New Roman" w:hAnsi="Times New Roman" w:cs="Times New Roman"/>
          <w:sz w:val="24"/>
          <w:szCs w:val="24"/>
        </w:rPr>
        <w:t>l tratamiento de datos es imprescindible para el desarrollo y el uso de la Inteligencia Artificial (IA). Esta permite determinar, analizar y predecir aspectos de la personalidad, del comportamiento, de los intereses o de los hábitos de una persona.</w:t>
      </w:r>
      <w:r>
        <w:rPr>
          <w:rFonts w:ascii="Times New Roman" w:hAnsi="Times New Roman" w:cs="Times New Roman"/>
          <w:sz w:val="24"/>
          <w:szCs w:val="24"/>
        </w:rPr>
        <w:t xml:space="preserve"> Por lo que a esto último respecta, l</w:t>
      </w:r>
      <w:r w:rsidRPr="00E559F4">
        <w:rPr>
          <w:rFonts w:ascii="Times New Roman" w:hAnsi="Times New Roman" w:cs="Times New Roman"/>
          <w:sz w:val="24"/>
          <w:szCs w:val="24"/>
        </w:rPr>
        <w:t xml:space="preserve">a elaboración de perfiles y las decisiones automatizadas </w:t>
      </w:r>
      <w:r>
        <w:rPr>
          <w:rFonts w:ascii="Times New Roman" w:hAnsi="Times New Roman" w:cs="Times New Roman"/>
          <w:sz w:val="24"/>
          <w:szCs w:val="24"/>
        </w:rPr>
        <w:t>ya es algo frecuente</w:t>
      </w:r>
      <w:r w:rsidRPr="00E559F4">
        <w:rPr>
          <w:rFonts w:ascii="Times New Roman" w:hAnsi="Times New Roman" w:cs="Times New Roman"/>
          <w:sz w:val="24"/>
          <w:szCs w:val="24"/>
        </w:rPr>
        <w:t xml:space="preserve"> en un número creciente de sectores,</w:t>
      </w:r>
      <w:r>
        <w:rPr>
          <w:rFonts w:ascii="Times New Roman" w:hAnsi="Times New Roman" w:cs="Times New Roman"/>
          <w:sz w:val="24"/>
          <w:szCs w:val="24"/>
        </w:rPr>
        <w:t xml:space="preserve"> tanto</w:t>
      </w:r>
      <w:r w:rsidRPr="00E559F4">
        <w:rPr>
          <w:rFonts w:ascii="Times New Roman" w:hAnsi="Times New Roman" w:cs="Times New Roman"/>
          <w:sz w:val="24"/>
          <w:szCs w:val="24"/>
        </w:rPr>
        <w:t xml:space="preserve"> públicos como privados.</w:t>
      </w:r>
      <w:r>
        <w:rPr>
          <w:rFonts w:ascii="Times New Roman" w:hAnsi="Times New Roman" w:cs="Times New Roman"/>
          <w:sz w:val="24"/>
          <w:szCs w:val="24"/>
        </w:rPr>
        <w:t xml:space="preserve"> Y a</w:t>
      </w:r>
      <w:r w:rsidRPr="00E559F4">
        <w:rPr>
          <w:rFonts w:ascii="Times New Roman" w:hAnsi="Times New Roman" w:cs="Times New Roman"/>
          <w:sz w:val="24"/>
          <w:szCs w:val="24"/>
        </w:rPr>
        <w:t>unque</w:t>
      </w:r>
      <w:r>
        <w:rPr>
          <w:rFonts w:ascii="Times New Roman" w:hAnsi="Times New Roman" w:cs="Times New Roman"/>
          <w:sz w:val="24"/>
          <w:szCs w:val="24"/>
        </w:rPr>
        <w:t xml:space="preserve"> para el ciudadano de a pie todo esto resulte </w:t>
      </w:r>
      <w:r w:rsidRPr="00E559F4">
        <w:rPr>
          <w:rFonts w:ascii="Times New Roman" w:hAnsi="Times New Roman" w:cs="Times New Roman"/>
          <w:sz w:val="24"/>
          <w:szCs w:val="24"/>
        </w:rPr>
        <w:t xml:space="preserve">algo </w:t>
      </w:r>
      <w:r>
        <w:rPr>
          <w:rFonts w:ascii="Times New Roman" w:hAnsi="Times New Roman" w:cs="Times New Roman"/>
          <w:sz w:val="24"/>
          <w:szCs w:val="24"/>
        </w:rPr>
        <w:t>ajeno y lejano, lo cierto es que</w:t>
      </w:r>
      <w:r w:rsidR="003F443B">
        <w:rPr>
          <w:rFonts w:ascii="Times New Roman" w:hAnsi="Times New Roman" w:cs="Times New Roman"/>
          <w:sz w:val="24"/>
          <w:szCs w:val="24"/>
        </w:rPr>
        <w:t xml:space="preserve"> muchas decisiones que ya se adoptan están basadas únicamente en el tra</w:t>
      </w:r>
      <w:r w:rsidR="0093519E">
        <w:rPr>
          <w:rFonts w:ascii="Times New Roman" w:hAnsi="Times New Roman" w:cs="Times New Roman"/>
          <w:sz w:val="24"/>
          <w:szCs w:val="24"/>
        </w:rPr>
        <w:t>ta</w:t>
      </w:r>
      <w:r w:rsidR="003F443B">
        <w:rPr>
          <w:rFonts w:ascii="Times New Roman" w:hAnsi="Times New Roman" w:cs="Times New Roman"/>
          <w:sz w:val="24"/>
          <w:szCs w:val="24"/>
        </w:rPr>
        <w:t>miento automatizado de datos que producen efectos jurídicos en</w:t>
      </w:r>
      <w:r w:rsidR="006F01F2">
        <w:rPr>
          <w:rFonts w:ascii="Times New Roman" w:hAnsi="Times New Roman" w:cs="Times New Roman"/>
          <w:sz w:val="24"/>
          <w:szCs w:val="24"/>
        </w:rPr>
        <w:t xml:space="preserve"> el titular de los mismos</w:t>
      </w:r>
      <w:r w:rsidR="003F443B">
        <w:rPr>
          <w:rFonts w:ascii="Times New Roman" w:hAnsi="Times New Roman" w:cs="Times New Roman"/>
          <w:sz w:val="24"/>
          <w:szCs w:val="24"/>
        </w:rPr>
        <w:t xml:space="preserve"> o le afectan significativamente de modo similar</w:t>
      </w:r>
      <w:r w:rsidR="003F443B">
        <w:rPr>
          <w:rStyle w:val="Refdenotaalpie"/>
          <w:rFonts w:ascii="Times New Roman" w:hAnsi="Times New Roman" w:cs="Times New Roman"/>
          <w:sz w:val="24"/>
          <w:szCs w:val="24"/>
        </w:rPr>
        <w:footnoteReference w:id="1"/>
      </w:r>
      <w:r w:rsidR="003F443B">
        <w:rPr>
          <w:rFonts w:ascii="Times New Roman" w:hAnsi="Times New Roman" w:cs="Times New Roman"/>
          <w:sz w:val="24"/>
          <w:szCs w:val="24"/>
        </w:rPr>
        <w:t xml:space="preserve">. </w:t>
      </w:r>
      <w:r w:rsidR="00FF00EB">
        <w:rPr>
          <w:rFonts w:ascii="Times New Roman" w:hAnsi="Times New Roman" w:cs="Times New Roman"/>
          <w:sz w:val="24"/>
          <w:szCs w:val="24"/>
        </w:rPr>
        <w:t>Este nuevo hábitat no puede funcionar como si la Constitución no existiera. El</w:t>
      </w:r>
      <w:r w:rsidR="00444009">
        <w:rPr>
          <w:rFonts w:ascii="Times New Roman" w:hAnsi="Times New Roman" w:cs="Times New Roman"/>
          <w:sz w:val="24"/>
          <w:szCs w:val="24"/>
        </w:rPr>
        <w:t xml:space="preserve"> empleo </w:t>
      </w:r>
      <w:r w:rsidR="00444009" w:rsidRPr="00444009">
        <w:rPr>
          <w:rFonts w:ascii="Times New Roman" w:hAnsi="Times New Roman" w:cs="Times New Roman"/>
          <w:sz w:val="24"/>
          <w:szCs w:val="24"/>
        </w:rPr>
        <w:t>de la lógica matemática en los procesos de toma de decisiones no</w:t>
      </w:r>
      <w:r w:rsidR="00FF00EB">
        <w:rPr>
          <w:rFonts w:ascii="Times New Roman" w:hAnsi="Times New Roman" w:cs="Times New Roman"/>
          <w:sz w:val="24"/>
          <w:szCs w:val="24"/>
        </w:rPr>
        <w:t xml:space="preserve"> puede</w:t>
      </w:r>
      <w:r w:rsidR="00444009" w:rsidRPr="00444009">
        <w:rPr>
          <w:rFonts w:ascii="Times New Roman" w:hAnsi="Times New Roman" w:cs="Times New Roman"/>
          <w:sz w:val="24"/>
          <w:szCs w:val="24"/>
        </w:rPr>
        <w:t xml:space="preserve"> </w:t>
      </w:r>
      <w:r w:rsidR="00FF00EB">
        <w:rPr>
          <w:rFonts w:ascii="Times New Roman" w:hAnsi="Times New Roman" w:cs="Times New Roman"/>
          <w:sz w:val="24"/>
          <w:szCs w:val="24"/>
        </w:rPr>
        <w:t>ignorar</w:t>
      </w:r>
      <w:r w:rsidR="00444009" w:rsidRPr="00444009">
        <w:rPr>
          <w:rFonts w:ascii="Times New Roman" w:hAnsi="Times New Roman" w:cs="Times New Roman"/>
          <w:sz w:val="24"/>
          <w:szCs w:val="24"/>
        </w:rPr>
        <w:t xml:space="preserve"> los principios y valores que fundamentan nuestro modelo constitucional de convivencia. </w:t>
      </w:r>
    </w:p>
    <w:p w:rsidR="006F01F2" w:rsidRDefault="002A566C" w:rsidP="006F01F2">
      <w:pPr>
        <w:ind w:firstLine="360"/>
        <w:jc w:val="both"/>
        <w:rPr>
          <w:rFonts w:ascii="Times New Roman" w:hAnsi="Times New Roman" w:cs="Times New Roman"/>
          <w:sz w:val="24"/>
          <w:szCs w:val="24"/>
        </w:rPr>
      </w:pPr>
      <w:r w:rsidRPr="002A566C">
        <w:rPr>
          <w:rFonts w:ascii="Times New Roman" w:hAnsi="Times New Roman" w:cs="Times New Roman"/>
          <w:sz w:val="24"/>
          <w:szCs w:val="24"/>
        </w:rPr>
        <w:t>El 21</w:t>
      </w:r>
      <w:r>
        <w:rPr>
          <w:rFonts w:ascii="Times New Roman" w:hAnsi="Times New Roman" w:cs="Times New Roman"/>
          <w:sz w:val="24"/>
          <w:szCs w:val="24"/>
        </w:rPr>
        <w:t xml:space="preserve"> de abril de </w:t>
      </w:r>
      <w:r w:rsidRPr="002A566C">
        <w:rPr>
          <w:rFonts w:ascii="Times New Roman" w:hAnsi="Times New Roman" w:cs="Times New Roman"/>
          <w:sz w:val="24"/>
          <w:szCs w:val="24"/>
        </w:rPr>
        <w:t>2021 se apr</w:t>
      </w:r>
      <w:r>
        <w:rPr>
          <w:rFonts w:ascii="Times New Roman" w:hAnsi="Times New Roman" w:cs="Times New Roman"/>
          <w:sz w:val="24"/>
          <w:szCs w:val="24"/>
        </w:rPr>
        <w:t>obó</w:t>
      </w:r>
      <w:r w:rsidRPr="002A566C">
        <w:rPr>
          <w:rFonts w:ascii="Times New Roman" w:hAnsi="Times New Roman" w:cs="Times New Roman"/>
          <w:sz w:val="24"/>
          <w:szCs w:val="24"/>
        </w:rPr>
        <w:t>, en el ámbito de la Unión Europea, la Propuesta de Reglamento de Inteligencia Artificial</w:t>
      </w:r>
      <w:r>
        <w:rPr>
          <w:rFonts w:ascii="Times New Roman" w:hAnsi="Times New Roman" w:cs="Times New Roman"/>
          <w:sz w:val="24"/>
          <w:szCs w:val="24"/>
        </w:rPr>
        <w:t>,</w:t>
      </w:r>
      <w:r w:rsidR="006F01F2">
        <w:rPr>
          <w:rFonts w:ascii="Times New Roman" w:hAnsi="Times New Roman" w:cs="Times New Roman"/>
          <w:sz w:val="24"/>
          <w:szCs w:val="24"/>
        </w:rPr>
        <w:t xml:space="preserve"> aún en tramitación,</w:t>
      </w:r>
      <w:r>
        <w:rPr>
          <w:rFonts w:ascii="Times New Roman" w:hAnsi="Times New Roman" w:cs="Times New Roman"/>
          <w:sz w:val="24"/>
          <w:szCs w:val="24"/>
        </w:rPr>
        <w:t xml:space="preserve"> que establecerá el marco </w:t>
      </w:r>
      <w:r w:rsidRPr="002A566C">
        <w:rPr>
          <w:rFonts w:ascii="Times New Roman" w:hAnsi="Times New Roman" w:cs="Times New Roman"/>
          <w:sz w:val="24"/>
          <w:szCs w:val="24"/>
        </w:rPr>
        <w:t>jurídico aplicable a los sistemas de Inteligencia Artificial</w:t>
      </w:r>
      <w:r w:rsidR="00A70C43">
        <w:rPr>
          <w:rStyle w:val="Refdenotaalpie"/>
          <w:rFonts w:ascii="Times New Roman" w:hAnsi="Times New Roman" w:cs="Times New Roman"/>
          <w:sz w:val="24"/>
          <w:szCs w:val="24"/>
        </w:rPr>
        <w:footnoteReference w:id="2"/>
      </w:r>
      <w:r>
        <w:rPr>
          <w:rFonts w:ascii="Times New Roman" w:hAnsi="Times New Roman" w:cs="Times New Roman"/>
          <w:sz w:val="24"/>
          <w:szCs w:val="24"/>
        </w:rPr>
        <w:t xml:space="preserve">. </w:t>
      </w:r>
      <w:r w:rsidR="006F01F2">
        <w:rPr>
          <w:rFonts w:ascii="Times New Roman" w:hAnsi="Times New Roman" w:cs="Times New Roman"/>
          <w:sz w:val="24"/>
          <w:szCs w:val="24"/>
        </w:rPr>
        <w:t>Q</w:t>
      </w:r>
      <w:r w:rsidRPr="002A566C">
        <w:rPr>
          <w:rFonts w:ascii="Times New Roman" w:hAnsi="Times New Roman" w:cs="Times New Roman"/>
          <w:sz w:val="24"/>
          <w:szCs w:val="24"/>
        </w:rPr>
        <w:t>ue las estrategias basadas en la lógica y el conocimiento no desemboquen en un trato perjudicial o desfavorable hacia determinadas personas físicas o colectivos enteros</w:t>
      </w:r>
      <w:r w:rsidR="006F01F2">
        <w:rPr>
          <w:rFonts w:ascii="Times New Roman" w:hAnsi="Times New Roman" w:cs="Times New Roman"/>
          <w:sz w:val="24"/>
          <w:szCs w:val="24"/>
        </w:rPr>
        <w:t xml:space="preserve"> es u</w:t>
      </w:r>
      <w:r w:rsidR="006F01F2" w:rsidRPr="002A566C">
        <w:rPr>
          <w:rFonts w:ascii="Times New Roman" w:hAnsi="Times New Roman" w:cs="Times New Roman"/>
          <w:sz w:val="24"/>
          <w:szCs w:val="24"/>
        </w:rPr>
        <w:t xml:space="preserve">no de los objetivos </w:t>
      </w:r>
      <w:r w:rsidR="006F01F2">
        <w:rPr>
          <w:rFonts w:ascii="Times New Roman" w:hAnsi="Times New Roman" w:cs="Times New Roman"/>
          <w:sz w:val="24"/>
          <w:szCs w:val="24"/>
        </w:rPr>
        <w:t>de este texto</w:t>
      </w:r>
      <w:r w:rsidRPr="002A566C">
        <w:rPr>
          <w:rFonts w:ascii="Times New Roman" w:hAnsi="Times New Roman" w:cs="Times New Roman"/>
          <w:sz w:val="24"/>
          <w:szCs w:val="24"/>
        </w:rPr>
        <w:t xml:space="preserve"> [art. 5.1c)]. </w:t>
      </w:r>
    </w:p>
    <w:p w:rsidR="00C22253" w:rsidRPr="003B1C77" w:rsidRDefault="002A566C" w:rsidP="006F01F2">
      <w:pPr>
        <w:ind w:firstLine="360"/>
        <w:jc w:val="both"/>
        <w:rPr>
          <w:rFonts w:ascii="Times New Roman" w:hAnsi="Times New Roman" w:cs="Times New Roman"/>
          <w:sz w:val="24"/>
          <w:szCs w:val="24"/>
        </w:rPr>
      </w:pPr>
      <w:r>
        <w:rPr>
          <w:rFonts w:ascii="Times New Roman" w:hAnsi="Times New Roman" w:cs="Times New Roman"/>
          <w:sz w:val="24"/>
          <w:szCs w:val="24"/>
        </w:rPr>
        <w:t xml:space="preserve">Si un algoritmo es esa fórmula matemática que le dice a un sistema cómo debe procesar los datos </w:t>
      </w:r>
      <w:r w:rsidR="003B1C77">
        <w:rPr>
          <w:rFonts w:ascii="Times New Roman" w:hAnsi="Times New Roman" w:cs="Times New Roman"/>
          <w:sz w:val="24"/>
          <w:szCs w:val="24"/>
        </w:rPr>
        <w:t>a su disposición</w:t>
      </w:r>
      <w:r>
        <w:rPr>
          <w:rFonts w:ascii="Times New Roman" w:hAnsi="Times New Roman" w:cs="Times New Roman"/>
          <w:sz w:val="24"/>
          <w:szCs w:val="24"/>
        </w:rPr>
        <w:t>,</w:t>
      </w:r>
      <w:r w:rsidR="005D7DB7">
        <w:rPr>
          <w:rFonts w:ascii="Times New Roman" w:hAnsi="Times New Roman" w:cs="Times New Roman"/>
          <w:sz w:val="24"/>
          <w:szCs w:val="24"/>
        </w:rPr>
        <w:t xml:space="preserve"> hay que articular un sistema de protección que </w:t>
      </w:r>
      <w:r w:rsidR="005D7DB7">
        <w:rPr>
          <w:rFonts w:ascii="Times New Roman" w:hAnsi="Times New Roman" w:cs="Times New Roman"/>
          <w:sz w:val="24"/>
          <w:szCs w:val="24"/>
        </w:rPr>
        <w:lastRenderedPageBreak/>
        <w:t>minimice el riesgo discriminatorio en las decisiones automatizadas.</w:t>
      </w:r>
      <w:r w:rsidR="00DF2607">
        <w:rPr>
          <w:rFonts w:ascii="Times New Roman" w:hAnsi="Times New Roman" w:cs="Times New Roman"/>
          <w:sz w:val="24"/>
          <w:szCs w:val="24"/>
        </w:rPr>
        <w:t xml:space="preserve"> En esta dirección, el artículo 35 del Reglamento General de Protección de Datos (</w:t>
      </w:r>
      <w:r w:rsidR="003B1C77">
        <w:rPr>
          <w:rFonts w:ascii="Times New Roman" w:hAnsi="Times New Roman" w:cs="Times New Roman"/>
          <w:sz w:val="24"/>
          <w:szCs w:val="24"/>
        </w:rPr>
        <w:t>RGPD</w:t>
      </w:r>
      <w:r w:rsidR="00DF2607">
        <w:rPr>
          <w:rFonts w:ascii="Times New Roman" w:hAnsi="Times New Roman" w:cs="Times New Roman"/>
          <w:sz w:val="24"/>
          <w:szCs w:val="24"/>
        </w:rPr>
        <w:t>)</w:t>
      </w:r>
      <w:r w:rsidR="00DF2607">
        <w:rPr>
          <w:rStyle w:val="Refdenotaalpie"/>
          <w:rFonts w:ascii="Times New Roman" w:hAnsi="Times New Roman" w:cs="Times New Roman"/>
          <w:sz w:val="24"/>
          <w:szCs w:val="24"/>
        </w:rPr>
        <w:footnoteReference w:id="3"/>
      </w:r>
      <w:r w:rsidR="003B1C77">
        <w:rPr>
          <w:rFonts w:ascii="Times New Roman" w:hAnsi="Times New Roman" w:cs="Times New Roman"/>
          <w:sz w:val="24"/>
          <w:szCs w:val="24"/>
        </w:rPr>
        <w:t xml:space="preserve"> ordena</w:t>
      </w:r>
      <w:r w:rsidR="006F01F2">
        <w:rPr>
          <w:rFonts w:ascii="Times New Roman" w:hAnsi="Times New Roman" w:cs="Times New Roman"/>
          <w:sz w:val="24"/>
          <w:szCs w:val="24"/>
        </w:rPr>
        <w:t>, por ejemplo,</w:t>
      </w:r>
      <w:r w:rsidR="003B1C77">
        <w:rPr>
          <w:rFonts w:ascii="Times New Roman" w:hAnsi="Times New Roman" w:cs="Times New Roman"/>
          <w:sz w:val="24"/>
          <w:szCs w:val="24"/>
        </w:rPr>
        <w:t xml:space="preserve"> que</w:t>
      </w:r>
      <w:r w:rsidR="003B1C77" w:rsidRPr="003B1C77">
        <w:rPr>
          <w:sz w:val="19"/>
          <w:szCs w:val="19"/>
        </w:rPr>
        <w:t xml:space="preserve"> </w:t>
      </w:r>
      <w:r w:rsidR="003B1C77">
        <w:rPr>
          <w:rFonts w:ascii="Times New Roman" w:hAnsi="Times New Roman" w:cs="Times New Roman"/>
          <w:sz w:val="24"/>
          <w:szCs w:val="24"/>
        </w:rPr>
        <w:t>“c</w:t>
      </w:r>
      <w:r w:rsidR="003B1C77" w:rsidRPr="003B1C77">
        <w:rPr>
          <w:rFonts w:ascii="Times New Roman" w:hAnsi="Times New Roman" w:cs="Times New Roman"/>
          <w:sz w:val="24"/>
          <w:szCs w:val="24"/>
        </w:rPr>
        <w:t>uando sea probable que un tipo de tratamiento, en particular si utiliza nuevas tecnologías</w:t>
      </w:r>
      <w:r w:rsidR="003B1C77">
        <w:rPr>
          <w:rFonts w:ascii="Times New Roman" w:hAnsi="Times New Roman" w:cs="Times New Roman"/>
          <w:sz w:val="24"/>
          <w:szCs w:val="24"/>
        </w:rPr>
        <w:t xml:space="preserve"> (…)</w:t>
      </w:r>
      <w:r w:rsidR="006F01F2">
        <w:rPr>
          <w:rFonts w:ascii="Times New Roman" w:hAnsi="Times New Roman" w:cs="Times New Roman"/>
          <w:sz w:val="24"/>
          <w:szCs w:val="24"/>
        </w:rPr>
        <w:t>,</w:t>
      </w:r>
      <w:r w:rsidR="003B1C77">
        <w:rPr>
          <w:rFonts w:ascii="Times New Roman" w:hAnsi="Times New Roman" w:cs="Times New Roman"/>
          <w:sz w:val="24"/>
          <w:szCs w:val="24"/>
        </w:rPr>
        <w:t xml:space="preserve"> </w:t>
      </w:r>
      <w:r w:rsidR="003B1C77" w:rsidRPr="003B1C77">
        <w:rPr>
          <w:rFonts w:ascii="Times New Roman" w:hAnsi="Times New Roman" w:cs="Times New Roman"/>
          <w:sz w:val="24"/>
          <w:szCs w:val="24"/>
        </w:rPr>
        <w:t>entrañe un alto riesgo para los derechos y libertades de las personas físicas, el responsable del tratamiento reali</w:t>
      </w:r>
      <w:r w:rsidR="00DF2607">
        <w:rPr>
          <w:rFonts w:ascii="Times New Roman" w:hAnsi="Times New Roman" w:cs="Times New Roman"/>
          <w:sz w:val="24"/>
          <w:szCs w:val="24"/>
        </w:rPr>
        <w:t>[ce]</w:t>
      </w:r>
      <w:r w:rsidR="003B1C77" w:rsidRPr="003B1C77">
        <w:rPr>
          <w:rFonts w:ascii="Times New Roman" w:hAnsi="Times New Roman" w:cs="Times New Roman"/>
          <w:sz w:val="24"/>
          <w:szCs w:val="24"/>
        </w:rPr>
        <w:t>, antes del tratamiento, una evaluación del impacto de las operaciones de tratamiento en la protección de datos personales</w:t>
      </w:r>
      <w:r w:rsidR="003B1C77">
        <w:rPr>
          <w:rFonts w:ascii="Times New Roman" w:hAnsi="Times New Roman" w:cs="Times New Roman"/>
          <w:sz w:val="24"/>
          <w:szCs w:val="24"/>
        </w:rPr>
        <w:t xml:space="preserve"> (…)”</w:t>
      </w:r>
      <w:r w:rsidR="003B1C77" w:rsidRPr="003B1C77">
        <w:rPr>
          <w:rFonts w:ascii="Times New Roman" w:hAnsi="Times New Roman" w:cs="Times New Roman"/>
          <w:sz w:val="24"/>
          <w:szCs w:val="24"/>
        </w:rPr>
        <w:t>.</w:t>
      </w:r>
    </w:p>
    <w:p w:rsidR="00821A7E" w:rsidRPr="00C30398" w:rsidRDefault="00DF2607" w:rsidP="006F01F2">
      <w:pPr>
        <w:ind w:firstLine="360"/>
        <w:jc w:val="both"/>
        <w:rPr>
          <w:rFonts w:ascii="Times New Roman" w:hAnsi="Times New Roman" w:cs="Times New Roman"/>
          <w:sz w:val="24"/>
          <w:szCs w:val="24"/>
        </w:rPr>
      </w:pPr>
      <w:r w:rsidRPr="00C30398">
        <w:rPr>
          <w:rFonts w:ascii="Times New Roman" w:hAnsi="Times New Roman" w:cs="Times New Roman"/>
          <w:sz w:val="24"/>
          <w:szCs w:val="24"/>
        </w:rPr>
        <w:t>La Propuesta de Reglamento</w:t>
      </w:r>
      <w:r>
        <w:rPr>
          <w:rFonts w:ascii="Times New Roman" w:hAnsi="Times New Roman" w:cs="Times New Roman"/>
          <w:sz w:val="24"/>
          <w:szCs w:val="24"/>
        </w:rPr>
        <w:t xml:space="preserve"> de Inteligencia Artificial define</w:t>
      </w:r>
      <w:r w:rsidR="00363398">
        <w:rPr>
          <w:rFonts w:ascii="Times New Roman" w:hAnsi="Times New Roman" w:cs="Times New Roman"/>
          <w:sz w:val="24"/>
          <w:szCs w:val="24"/>
        </w:rPr>
        <w:t xml:space="preserve"> este concepto</w:t>
      </w:r>
      <w:r>
        <w:rPr>
          <w:rFonts w:ascii="Times New Roman" w:hAnsi="Times New Roman" w:cs="Times New Roman"/>
          <w:sz w:val="24"/>
          <w:szCs w:val="24"/>
        </w:rPr>
        <w:t xml:space="preserve"> como el</w:t>
      </w:r>
      <w:r w:rsidRPr="00C30398">
        <w:rPr>
          <w:rFonts w:ascii="Times New Roman" w:hAnsi="Times New Roman" w:cs="Times New Roman"/>
          <w:sz w:val="24"/>
          <w:szCs w:val="24"/>
        </w:rPr>
        <w:t xml:space="preserve"> “software que se desarrolla empleando una o varias de las técnicas y estrategias que figuran en el anexo I y que puede, para un conjunto determinado de objetivos definidos por seres humanos, generar información de salida como contenidos, predicciones, recomendaciones o decisiones que influyan en los entornos con los que interactúa”</w:t>
      </w:r>
      <w:r>
        <w:rPr>
          <w:rStyle w:val="Refdenotaalpie"/>
          <w:rFonts w:ascii="Times New Roman" w:hAnsi="Times New Roman" w:cs="Times New Roman"/>
          <w:sz w:val="24"/>
          <w:szCs w:val="24"/>
        </w:rPr>
        <w:footnoteReference w:id="4"/>
      </w:r>
      <w:r>
        <w:rPr>
          <w:rFonts w:ascii="Times New Roman" w:hAnsi="Times New Roman" w:cs="Times New Roman"/>
          <w:sz w:val="24"/>
          <w:szCs w:val="24"/>
        </w:rPr>
        <w:t xml:space="preserve"> (artículo 3)</w:t>
      </w:r>
      <w:r w:rsidRPr="00C30398">
        <w:rPr>
          <w:rFonts w:ascii="Times New Roman" w:hAnsi="Times New Roman" w:cs="Times New Roman"/>
          <w:sz w:val="24"/>
          <w:szCs w:val="24"/>
        </w:rPr>
        <w:t>.</w:t>
      </w:r>
    </w:p>
    <w:p w:rsidR="00821A7E" w:rsidRPr="00C30398" w:rsidRDefault="001A31BE" w:rsidP="00681CCE">
      <w:pPr>
        <w:ind w:firstLine="360"/>
        <w:jc w:val="both"/>
        <w:rPr>
          <w:rFonts w:ascii="Times New Roman" w:hAnsi="Times New Roman" w:cs="Times New Roman"/>
          <w:sz w:val="24"/>
          <w:szCs w:val="24"/>
        </w:rPr>
      </w:pPr>
      <w:r>
        <w:rPr>
          <w:rFonts w:ascii="Times New Roman" w:hAnsi="Times New Roman" w:cs="Times New Roman"/>
          <w:sz w:val="24"/>
          <w:szCs w:val="24"/>
        </w:rPr>
        <w:t xml:space="preserve">Con otras palabras, pero de forma similar, la </w:t>
      </w:r>
      <w:r w:rsidR="008E6947" w:rsidRPr="00C30398">
        <w:rPr>
          <w:rFonts w:ascii="Times New Roman" w:hAnsi="Times New Roman" w:cs="Times New Roman"/>
          <w:sz w:val="24"/>
          <w:szCs w:val="24"/>
        </w:rPr>
        <w:t>Resolución del Parlamen</w:t>
      </w:r>
      <w:r>
        <w:rPr>
          <w:rFonts w:ascii="Times New Roman" w:hAnsi="Times New Roman" w:cs="Times New Roman"/>
          <w:sz w:val="24"/>
          <w:szCs w:val="24"/>
        </w:rPr>
        <w:t>to Europeo de 20 de enero de 20</w:t>
      </w:r>
      <w:r w:rsidR="008E6947" w:rsidRPr="00C30398">
        <w:rPr>
          <w:rFonts w:ascii="Times New Roman" w:hAnsi="Times New Roman" w:cs="Times New Roman"/>
          <w:sz w:val="24"/>
          <w:szCs w:val="24"/>
        </w:rPr>
        <w:t>2</w:t>
      </w:r>
      <w:r>
        <w:rPr>
          <w:rFonts w:ascii="Times New Roman" w:hAnsi="Times New Roman" w:cs="Times New Roman"/>
          <w:sz w:val="24"/>
          <w:szCs w:val="24"/>
        </w:rPr>
        <w:t>1 define el mismo concepto como</w:t>
      </w:r>
      <w:r w:rsidR="008E6947" w:rsidRPr="00C30398">
        <w:rPr>
          <w:rFonts w:ascii="Times New Roman" w:hAnsi="Times New Roman" w:cs="Times New Roman"/>
          <w:sz w:val="24"/>
          <w:szCs w:val="24"/>
        </w:rPr>
        <w:t xml:space="preserve"> </w:t>
      </w:r>
      <w:r w:rsidR="00821A7E" w:rsidRPr="00C30398">
        <w:rPr>
          <w:rFonts w:ascii="Times New Roman" w:hAnsi="Times New Roman" w:cs="Times New Roman"/>
          <w:sz w:val="24"/>
          <w:szCs w:val="24"/>
        </w:rPr>
        <w:t>“</w:t>
      </w:r>
      <w:r w:rsidR="008E6947" w:rsidRPr="00C30398">
        <w:rPr>
          <w:rFonts w:ascii="Times New Roman" w:hAnsi="Times New Roman" w:cs="Times New Roman"/>
          <w:sz w:val="24"/>
          <w:szCs w:val="24"/>
        </w:rPr>
        <w:t>todo sistema basado en programas informáticos o incorporado en dispositivos físicos que muestra un comportamiento que simula la inteligencia, entre otras cosas, mediante la recopilación y el tratamiento de datos, el análisis y la interpretación de su entorno y la adopción de medidas, con cierto grado de autonomía, para lograr objetivos específicos</w:t>
      </w:r>
      <w:r w:rsidR="00821A7E" w:rsidRPr="00C30398">
        <w:rPr>
          <w:rFonts w:ascii="Times New Roman" w:hAnsi="Times New Roman" w:cs="Times New Roman"/>
          <w:sz w:val="24"/>
          <w:szCs w:val="24"/>
        </w:rPr>
        <w:t>”</w:t>
      </w:r>
      <w:r>
        <w:rPr>
          <w:rStyle w:val="Refdenotaalpie"/>
          <w:rFonts w:ascii="Times New Roman" w:hAnsi="Times New Roman" w:cs="Times New Roman"/>
          <w:sz w:val="24"/>
          <w:szCs w:val="24"/>
        </w:rPr>
        <w:footnoteReference w:id="5"/>
      </w:r>
      <w:r w:rsidR="00821A7E" w:rsidRPr="00C30398">
        <w:rPr>
          <w:rFonts w:ascii="Times New Roman" w:hAnsi="Times New Roman" w:cs="Times New Roman"/>
          <w:sz w:val="24"/>
          <w:szCs w:val="24"/>
        </w:rPr>
        <w:t>.</w:t>
      </w:r>
    </w:p>
    <w:p w:rsidR="00C50F66" w:rsidRPr="00C30398" w:rsidRDefault="00A05C0F" w:rsidP="00A05C0F">
      <w:pPr>
        <w:ind w:firstLine="360"/>
        <w:jc w:val="both"/>
        <w:rPr>
          <w:rFonts w:ascii="Times New Roman" w:hAnsi="Times New Roman" w:cs="Times New Roman"/>
          <w:sz w:val="24"/>
          <w:szCs w:val="24"/>
        </w:rPr>
      </w:pPr>
      <w:r>
        <w:rPr>
          <w:rFonts w:ascii="Times New Roman" w:hAnsi="Times New Roman" w:cs="Times New Roman"/>
          <w:sz w:val="24"/>
          <w:szCs w:val="24"/>
        </w:rPr>
        <w:t>El</w:t>
      </w:r>
      <w:r w:rsidR="001A31BE">
        <w:rPr>
          <w:rFonts w:ascii="Times New Roman" w:hAnsi="Times New Roman" w:cs="Times New Roman"/>
          <w:sz w:val="24"/>
          <w:szCs w:val="24"/>
        </w:rPr>
        <w:t xml:space="preserve"> </w:t>
      </w:r>
      <w:r w:rsidR="00821A7E" w:rsidRPr="00C30398">
        <w:rPr>
          <w:rFonts w:ascii="Times New Roman" w:hAnsi="Times New Roman" w:cs="Times New Roman"/>
          <w:sz w:val="24"/>
          <w:szCs w:val="24"/>
        </w:rPr>
        <w:t>Diccionario de la Real Academia de la Lengua Española</w:t>
      </w:r>
      <w:r>
        <w:rPr>
          <w:rFonts w:ascii="Times New Roman" w:hAnsi="Times New Roman" w:cs="Times New Roman"/>
          <w:sz w:val="24"/>
          <w:szCs w:val="24"/>
        </w:rPr>
        <w:t xml:space="preserve"> define</w:t>
      </w:r>
      <w:r w:rsidR="001A31BE">
        <w:rPr>
          <w:rFonts w:ascii="Times New Roman" w:hAnsi="Times New Roman" w:cs="Times New Roman"/>
          <w:sz w:val="24"/>
          <w:szCs w:val="24"/>
        </w:rPr>
        <w:t xml:space="preserve"> </w:t>
      </w:r>
      <w:r>
        <w:rPr>
          <w:rFonts w:ascii="Times New Roman" w:hAnsi="Times New Roman" w:cs="Times New Roman"/>
          <w:sz w:val="24"/>
          <w:szCs w:val="24"/>
        </w:rPr>
        <w:t>el concepto “S</w:t>
      </w:r>
      <w:r w:rsidR="00821A7E" w:rsidRPr="00C30398">
        <w:rPr>
          <w:rFonts w:ascii="Times New Roman" w:hAnsi="Times New Roman" w:cs="Times New Roman"/>
          <w:sz w:val="24"/>
          <w:szCs w:val="24"/>
        </w:rPr>
        <w:t>istema”</w:t>
      </w:r>
      <w:r w:rsidR="001A31BE">
        <w:rPr>
          <w:rFonts w:ascii="Times New Roman" w:hAnsi="Times New Roman" w:cs="Times New Roman"/>
          <w:sz w:val="24"/>
          <w:szCs w:val="24"/>
        </w:rPr>
        <w:t xml:space="preserve"> </w:t>
      </w:r>
      <w:r w:rsidR="00821A7E" w:rsidRPr="00C30398">
        <w:rPr>
          <w:rFonts w:ascii="Times New Roman" w:hAnsi="Times New Roman" w:cs="Times New Roman"/>
          <w:sz w:val="24"/>
          <w:szCs w:val="24"/>
        </w:rPr>
        <w:t>como “el conjunto de reglas o principios sobre una materia racionalmente ent</w:t>
      </w:r>
      <w:r w:rsidR="001A31BE">
        <w:rPr>
          <w:rFonts w:ascii="Times New Roman" w:hAnsi="Times New Roman" w:cs="Times New Roman"/>
          <w:sz w:val="24"/>
          <w:szCs w:val="24"/>
        </w:rPr>
        <w:t xml:space="preserve">relazados entre sí”; </w:t>
      </w:r>
      <w:r>
        <w:rPr>
          <w:rFonts w:ascii="Times New Roman" w:hAnsi="Times New Roman" w:cs="Times New Roman"/>
          <w:sz w:val="24"/>
          <w:szCs w:val="24"/>
        </w:rPr>
        <w:t>el concepto “I</w:t>
      </w:r>
      <w:r w:rsidR="00821A7E" w:rsidRPr="00C30398">
        <w:rPr>
          <w:rFonts w:ascii="Times New Roman" w:hAnsi="Times New Roman" w:cs="Times New Roman"/>
          <w:sz w:val="24"/>
          <w:szCs w:val="24"/>
        </w:rPr>
        <w:t>nteligencia”, como “la capacidad de entender o compre</w:t>
      </w:r>
      <w:r w:rsidR="001A31BE">
        <w:rPr>
          <w:rFonts w:ascii="Times New Roman" w:hAnsi="Times New Roman" w:cs="Times New Roman"/>
          <w:sz w:val="24"/>
          <w:szCs w:val="24"/>
        </w:rPr>
        <w:t>nder” o de “resolver problemas”;</w:t>
      </w:r>
      <w:r>
        <w:rPr>
          <w:rFonts w:ascii="Times New Roman" w:hAnsi="Times New Roman" w:cs="Times New Roman"/>
          <w:sz w:val="24"/>
          <w:szCs w:val="24"/>
        </w:rPr>
        <w:t xml:space="preserve"> y el concepto “Inteligencia A</w:t>
      </w:r>
      <w:r w:rsidR="00821A7E" w:rsidRPr="00C30398">
        <w:rPr>
          <w:rFonts w:ascii="Times New Roman" w:hAnsi="Times New Roman" w:cs="Times New Roman"/>
          <w:sz w:val="24"/>
          <w:szCs w:val="24"/>
        </w:rPr>
        <w:t>rtificial”, como la “d</w:t>
      </w:r>
      <w:r w:rsidR="00C50F66" w:rsidRPr="00C30398">
        <w:rPr>
          <w:rFonts w:ascii="Times New Roman" w:hAnsi="Times New Roman" w:cs="Times New Roman"/>
          <w:sz w:val="24"/>
          <w:szCs w:val="24"/>
        </w:rPr>
        <w:t>isciplina científica que se ocupa de crear programas informáticos que ejecutan operaciones comparables a la que realiza la mente humana, como el aprendizaje o el razonamiento lógico</w:t>
      </w:r>
      <w:r w:rsidR="00821A7E" w:rsidRPr="00C30398">
        <w:rPr>
          <w:rFonts w:ascii="Times New Roman" w:hAnsi="Times New Roman" w:cs="Times New Roman"/>
          <w:sz w:val="24"/>
          <w:szCs w:val="24"/>
        </w:rPr>
        <w:t>”</w:t>
      </w:r>
      <w:r w:rsidR="00C50F66" w:rsidRPr="00C30398">
        <w:rPr>
          <w:rFonts w:ascii="Times New Roman" w:hAnsi="Times New Roman" w:cs="Times New Roman"/>
          <w:sz w:val="24"/>
          <w:szCs w:val="24"/>
        </w:rPr>
        <w:t>.</w:t>
      </w:r>
    </w:p>
    <w:p w:rsidR="00821A7E" w:rsidRPr="00C30398" w:rsidRDefault="00A05C0F" w:rsidP="00A05C0F">
      <w:pPr>
        <w:ind w:firstLine="360"/>
        <w:jc w:val="both"/>
        <w:rPr>
          <w:rFonts w:ascii="Times New Roman" w:hAnsi="Times New Roman" w:cs="Times New Roman"/>
          <w:sz w:val="24"/>
          <w:szCs w:val="24"/>
        </w:rPr>
      </w:pPr>
      <w:r>
        <w:rPr>
          <w:rFonts w:ascii="Times New Roman" w:hAnsi="Times New Roman" w:cs="Times New Roman"/>
          <w:sz w:val="24"/>
          <w:szCs w:val="24"/>
        </w:rPr>
        <w:t>A la luz de estas definiciones, quizá podríamos convenir en que, a nivel de calle, el concepto de I</w:t>
      </w:r>
      <w:r w:rsidR="00A23897" w:rsidRPr="00C30398">
        <w:rPr>
          <w:rFonts w:ascii="Times New Roman" w:hAnsi="Times New Roman" w:cs="Times New Roman"/>
          <w:sz w:val="24"/>
          <w:szCs w:val="24"/>
        </w:rPr>
        <w:t>ntel</w:t>
      </w:r>
      <w:r>
        <w:rPr>
          <w:rFonts w:ascii="Times New Roman" w:hAnsi="Times New Roman" w:cs="Times New Roman"/>
          <w:sz w:val="24"/>
          <w:szCs w:val="24"/>
        </w:rPr>
        <w:t>igencia A</w:t>
      </w:r>
      <w:r w:rsidR="004C2466" w:rsidRPr="00C30398">
        <w:rPr>
          <w:rFonts w:ascii="Times New Roman" w:hAnsi="Times New Roman" w:cs="Times New Roman"/>
          <w:sz w:val="24"/>
          <w:szCs w:val="24"/>
        </w:rPr>
        <w:t>rtificial</w:t>
      </w:r>
      <w:r>
        <w:rPr>
          <w:rFonts w:ascii="Times New Roman" w:hAnsi="Times New Roman" w:cs="Times New Roman"/>
          <w:sz w:val="24"/>
          <w:szCs w:val="24"/>
        </w:rPr>
        <w:t xml:space="preserve"> hace referencia</w:t>
      </w:r>
      <w:r w:rsidR="004C2466" w:rsidRPr="00C30398">
        <w:rPr>
          <w:rFonts w:ascii="Times New Roman" w:hAnsi="Times New Roman" w:cs="Times New Roman"/>
          <w:sz w:val="24"/>
          <w:szCs w:val="24"/>
        </w:rPr>
        <w:t xml:space="preserve"> a </w:t>
      </w:r>
      <w:r w:rsidR="00D51D48" w:rsidRPr="00C30398">
        <w:rPr>
          <w:rFonts w:ascii="Times New Roman" w:hAnsi="Times New Roman" w:cs="Times New Roman"/>
          <w:sz w:val="24"/>
          <w:szCs w:val="24"/>
        </w:rPr>
        <w:t>una aplicación o programa informático que</w:t>
      </w:r>
      <w:r>
        <w:rPr>
          <w:rFonts w:ascii="Times New Roman" w:hAnsi="Times New Roman" w:cs="Times New Roman"/>
          <w:sz w:val="24"/>
          <w:szCs w:val="24"/>
        </w:rPr>
        <w:t xml:space="preserve"> mediante combinaciones algorít</w:t>
      </w:r>
      <w:r w:rsidR="00D51D48" w:rsidRPr="00C30398">
        <w:rPr>
          <w:rFonts w:ascii="Times New Roman" w:hAnsi="Times New Roman" w:cs="Times New Roman"/>
          <w:sz w:val="24"/>
          <w:szCs w:val="24"/>
        </w:rPr>
        <w:t>micas (entendiendo por algor</w:t>
      </w:r>
      <w:r w:rsidR="00307C5D">
        <w:rPr>
          <w:rFonts w:ascii="Times New Roman" w:hAnsi="Times New Roman" w:cs="Times New Roman"/>
          <w:sz w:val="24"/>
          <w:szCs w:val="24"/>
        </w:rPr>
        <w:t>itmo el conjunto ordenado y finit</w:t>
      </w:r>
      <w:r w:rsidR="00D51D48" w:rsidRPr="00C30398">
        <w:rPr>
          <w:rFonts w:ascii="Times New Roman" w:hAnsi="Times New Roman" w:cs="Times New Roman"/>
          <w:sz w:val="24"/>
          <w:szCs w:val="24"/>
        </w:rPr>
        <w:t xml:space="preserve">o de operaciones que </w:t>
      </w:r>
      <w:r w:rsidR="001A31BE">
        <w:rPr>
          <w:rFonts w:ascii="Times New Roman" w:hAnsi="Times New Roman" w:cs="Times New Roman"/>
          <w:sz w:val="24"/>
          <w:szCs w:val="24"/>
        </w:rPr>
        <w:t>trata de resolver</w:t>
      </w:r>
      <w:r w:rsidR="00D51D48" w:rsidRPr="00C30398">
        <w:rPr>
          <w:rFonts w:ascii="Times New Roman" w:hAnsi="Times New Roman" w:cs="Times New Roman"/>
          <w:sz w:val="24"/>
          <w:szCs w:val="24"/>
        </w:rPr>
        <w:t xml:space="preserve"> un problema), permite </w:t>
      </w:r>
      <w:r w:rsidR="00A23897" w:rsidRPr="00C30398">
        <w:rPr>
          <w:rFonts w:ascii="Times New Roman" w:hAnsi="Times New Roman" w:cs="Times New Roman"/>
          <w:sz w:val="24"/>
          <w:szCs w:val="24"/>
        </w:rPr>
        <w:t>reemplazar las funciones cognitivas</w:t>
      </w:r>
      <w:r w:rsidR="004C2466" w:rsidRPr="00C30398">
        <w:rPr>
          <w:rFonts w:ascii="Times New Roman" w:hAnsi="Times New Roman" w:cs="Times New Roman"/>
          <w:sz w:val="24"/>
          <w:szCs w:val="24"/>
        </w:rPr>
        <w:t xml:space="preserve"> (conocimiento)</w:t>
      </w:r>
      <w:r w:rsidR="00A23897" w:rsidRPr="00C30398">
        <w:rPr>
          <w:rFonts w:ascii="Times New Roman" w:hAnsi="Times New Roman" w:cs="Times New Roman"/>
          <w:sz w:val="24"/>
          <w:szCs w:val="24"/>
        </w:rPr>
        <w:t xml:space="preserve"> de una persona al objeto de maximizar sus objetivos y tareas.</w:t>
      </w:r>
    </w:p>
    <w:p w:rsidR="00E926AD" w:rsidRPr="00C30398" w:rsidRDefault="00E926AD" w:rsidP="00A05C0F">
      <w:pPr>
        <w:ind w:firstLine="360"/>
        <w:jc w:val="both"/>
        <w:rPr>
          <w:rFonts w:ascii="Times New Roman" w:hAnsi="Times New Roman" w:cs="Times New Roman"/>
          <w:sz w:val="24"/>
          <w:szCs w:val="24"/>
        </w:rPr>
      </w:pPr>
      <w:r>
        <w:rPr>
          <w:rFonts w:ascii="Times New Roman" w:hAnsi="Times New Roman" w:cs="Times New Roman"/>
          <w:sz w:val="24"/>
          <w:szCs w:val="24"/>
        </w:rPr>
        <w:lastRenderedPageBreak/>
        <w:t>Que</w:t>
      </w:r>
      <w:r w:rsidR="005551CF">
        <w:rPr>
          <w:rFonts w:ascii="Times New Roman" w:hAnsi="Times New Roman" w:cs="Times New Roman"/>
          <w:sz w:val="24"/>
          <w:szCs w:val="24"/>
        </w:rPr>
        <w:t xml:space="preserve"> la Inteligencia Artificial</w:t>
      </w:r>
      <w:r w:rsidR="004C2466" w:rsidRPr="00C30398">
        <w:rPr>
          <w:rFonts w:ascii="Times New Roman" w:hAnsi="Times New Roman" w:cs="Times New Roman"/>
          <w:sz w:val="24"/>
          <w:szCs w:val="24"/>
        </w:rPr>
        <w:t xml:space="preserve"> está cambiando nuestras vidas a mejor,</w:t>
      </w:r>
      <w:r>
        <w:rPr>
          <w:rFonts w:ascii="Times New Roman" w:hAnsi="Times New Roman" w:cs="Times New Roman"/>
          <w:sz w:val="24"/>
          <w:szCs w:val="24"/>
        </w:rPr>
        <w:t xml:space="preserve"> no hay duda. P</w:t>
      </w:r>
      <w:r w:rsidR="004C2466" w:rsidRPr="00C30398">
        <w:rPr>
          <w:rFonts w:ascii="Times New Roman" w:hAnsi="Times New Roman" w:cs="Times New Roman"/>
          <w:sz w:val="24"/>
          <w:szCs w:val="24"/>
        </w:rPr>
        <w:t>ero como</w:t>
      </w:r>
      <w:r>
        <w:rPr>
          <w:rFonts w:ascii="Times New Roman" w:hAnsi="Times New Roman" w:cs="Times New Roman"/>
          <w:sz w:val="24"/>
          <w:szCs w:val="24"/>
        </w:rPr>
        <w:t xml:space="preserve"> sucede con </w:t>
      </w:r>
      <w:r w:rsidR="004C2466" w:rsidRPr="00C30398">
        <w:rPr>
          <w:rFonts w:ascii="Times New Roman" w:hAnsi="Times New Roman" w:cs="Times New Roman"/>
          <w:sz w:val="24"/>
          <w:szCs w:val="24"/>
        </w:rPr>
        <w:t xml:space="preserve">cualquier </w:t>
      </w:r>
      <w:r w:rsidR="005551CF">
        <w:rPr>
          <w:rFonts w:ascii="Times New Roman" w:hAnsi="Times New Roman" w:cs="Times New Roman"/>
          <w:sz w:val="24"/>
          <w:szCs w:val="24"/>
        </w:rPr>
        <w:t>instrumento</w:t>
      </w:r>
      <w:r w:rsidR="004C2466" w:rsidRPr="00C30398">
        <w:rPr>
          <w:rFonts w:ascii="Times New Roman" w:hAnsi="Times New Roman" w:cs="Times New Roman"/>
          <w:sz w:val="24"/>
          <w:szCs w:val="24"/>
        </w:rPr>
        <w:t>, el uso de esta tecnología también conlleva una serie de riesgos.</w:t>
      </w:r>
      <w:r w:rsidR="007539C9" w:rsidRPr="00C30398">
        <w:rPr>
          <w:rFonts w:ascii="Times New Roman" w:hAnsi="Times New Roman" w:cs="Times New Roman"/>
          <w:sz w:val="24"/>
          <w:szCs w:val="24"/>
        </w:rPr>
        <w:t xml:space="preserve"> Entre otros, la op</w:t>
      </w:r>
      <w:r>
        <w:rPr>
          <w:rFonts w:ascii="Times New Roman" w:hAnsi="Times New Roman" w:cs="Times New Roman"/>
          <w:sz w:val="24"/>
          <w:szCs w:val="24"/>
        </w:rPr>
        <w:t xml:space="preserve">acidad en la toma de decisiones; que estas resulten discriminatorias o que lesionen </w:t>
      </w:r>
      <w:r w:rsidR="007539C9" w:rsidRPr="00C30398">
        <w:rPr>
          <w:rFonts w:ascii="Times New Roman" w:hAnsi="Times New Roman" w:cs="Times New Roman"/>
          <w:sz w:val="24"/>
          <w:szCs w:val="24"/>
        </w:rPr>
        <w:t>los derechos de la personalidad, particularmente los derechos a la intimidad, personal y familiar y a la protección de datos de carácter</w:t>
      </w:r>
      <w:r>
        <w:rPr>
          <w:rFonts w:ascii="Times New Roman" w:hAnsi="Times New Roman" w:cs="Times New Roman"/>
          <w:sz w:val="24"/>
          <w:szCs w:val="24"/>
        </w:rPr>
        <w:t xml:space="preserve"> pesonal; o</w:t>
      </w:r>
      <w:r w:rsidR="005551CF">
        <w:rPr>
          <w:rFonts w:ascii="Times New Roman" w:hAnsi="Times New Roman" w:cs="Times New Roman"/>
          <w:sz w:val="24"/>
          <w:szCs w:val="24"/>
        </w:rPr>
        <w:t>,</w:t>
      </w:r>
      <w:r>
        <w:rPr>
          <w:rFonts w:ascii="Times New Roman" w:hAnsi="Times New Roman" w:cs="Times New Roman"/>
          <w:sz w:val="24"/>
          <w:szCs w:val="24"/>
        </w:rPr>
        <w:t xml:space="preserve"> </w:t>
      </w:r>
      <w:r w:rsidR="007539C9" w:rsidRPr="00C30398">
        <w:rPr>
          <w:rFonts w:ascii="Times New Roman" w:hAnsi="Times New Roman" w:cs="Times New Roman"/>
          <w:sz w:val="24"/>
          <w:szCs w:val="24"/>
        </w:rPr>
        <w:t>por lo que ahora especialmente nos interesa, que es</w:t>
      </w:r>
      <w:r>
        <w:rPr>
          <w:rFonts w:ascii="Times New Roman" w:hAnsi="Times New Roman" w:cs="Times New Roman"/>
          <w:sz w:val="24"/>
          <w:szCs w:val="24"/>
        </w:rPr>
        <w:t>a tecnología pueda ser empleada</w:t>
      </w:r>
      <w:r w:rsidR="007539C9" w:rsidRPr="00C30398">
        <w:rPr>
          <w:rFonts w:ascii="Times New Roman" w:hAnsi="Times New Roman" w:cs="Times New Roman"/>
          <w:sz w:val="24"/>
          <w:szCs w:val="24"/>
        </w:rPr>
        <w:t xml:space="preserve"> para viciar la libertad de participación política. </w:t>
      </w:r>
      <w:r w:rsidRPr="00C30398">
        <w:rPr>
          <w:rFonts w:ascii="Times New Roman" w:hAnsi="Times New Roman" w:cs="Times New Roman"/>
          <w:sz w:val="24"/>
          <w:szCs w:val="24"/>
        </w:rPr>
        <w:t>Estas</w:t>
      </w:r>
      <w:r>
        <w:rPr>
          <w:rFonts w:ascii="Times New Roman" w:hAnsi="Times New Roman" w:cs="Times New Roman"/>
          <w:sz w:val="24"/>
          <w:szCs w:val="24"/>
        </w:rPr>
        <w:t xml:space="preserve"> no son las únicas amenazas, pero son suficientes para </w:t>
      </w:r>
      <w:r w:rsidRPr="00C30398">
        <w:rPr>
          <w:rFonts w:ascii="Times New Roman" w:hAnsi="Times New Roman" w:cs="Times New Roman"/>
          <w:sz w:val="24"/>
          <w:szCs w:val="24"/>
        </w:rPr>
        <w:t>adv</w:t>
      </w:r>
      <w:r>
        <w:rPr>
          <w:rFonts w:ascii="Times New Roman" w:hAnsi="Times New Roman" w:cs="Times New Roman"/>
          <w:sz w:val="24"/>
          <w:szCs w:val="24"/>
        </w:rPr>
        <w:t>ertir</w:t>
      </w:r>
      <w:r w:rsidRPr="00C30398">
        <w:rPr>
          <w:rFonts w:ascii="Times New Roman" w:hAnsi="Times New Roman" w:cs="Times New Roman"/>
          <w:sz w:val="24"/>
          <w:szCs w:val="24"/>
        </w:rPr>
        <w:t xml:space="preserve"> que el empleo de la lógica matemática</w:t>
      </w:r>
      <w:r>
        <w:rPr>
          <w:rFonts w:ascii="Times New Roman" w:hAnsi="Times New Roman" w:cs="Times New Roman"/>
          <w:sz w:val="24"/>
          <w:szCs w:val="24"/>
        </w:rPr>
        <w:t xml:space="preserve"> debe ajustarse a los parámetros constitucionales.</w:t>
      </w:r>
    </w:p>
    <w:p w:rsidR="003E36E8" w:rsidRPr="00C30398" w:rsidRDefault="006550C1" w:rsidP="00673EFE">
      <w:pPr>
        <w:ind w:firstLine="360"/>
        <w:jc w:val="both"/>
        <w:rPr>
          <w:rFonts w:ascii="Times New Roman" w:hAnsi="Times New Roman" w:cs="Times New Roman"/>
          <w:sz w:val="24"/>
          <w:szCs w:val="24"/>
        </w:rPr>
      </w:pPr>
      <w:r>
        <w:rPr>
          <w:rFonts w:ascii="Times New Roman" w:hAnsi="Times New Roman" w:cs="Times New Roman"/>
          <w:sz w:val="24"/>
          <w:szCs w:val="24"/>
        </w:rPr>
        <w:t xml:space="preserve">El algoritmo no es más que un instrumento al servicio de una finalidad concreta. </w:t>
      </w:r>
      <w:r w:rsidR="00745DE7">
        <w:rPr>
          <w:rFonts w:ascii="Times New Roman" w:hAnsi="Times New Roman" w:cs="Times New Roman"/>
          <w:sz w:val="24"/>
          <w:szCs w:val="24"/>
        </w:rPr>
        <w:t>El reto es</w:t>
      </w:r>
      <w:r>
        <w:rPr>
          <w:rFonts w:ascii="Times New Roman" w:hAnsi="Times New Roman" w:cs="Times New Roman"/>
          <w:sz w:val="24"/>
          <w:szCs w:val="24"/>
        </w:rPr>
        <w:t xml:space="preserve"> establecer mecanismos que permitan invalidar</w:t>
      </w:r>
      <w:r w:rsidR="00745DE7">
        <w:rPr>
          <w:rFonts w:ascii="Times New Roman" w:hAnsi="Times New Roman" w:cs="Times New Roman"/>
          <w:sz w:val="24"/>
          <w:szCs w:val="24"/>
        </w:rPr>
        <w:t>los</w:t>
      </w:r>
      <w:r>
        <w:rPr>
          <w:rFonts w:ascii="Times New Roman" w:hAnsi="Times New Roman" w:cs="Times New Roman"/>
          <w:sz w:val="24"/>
          <w:szCs w:val="24"/>
        </w:rPr>
        <w:t xml:space="preserve"> si</w:t>
      </w:r>
      <w:r w:rsidR="00745DE7">
        <w:rPr>
          <w:rFonts w:ascii="Times New Roman" w:hAnsi="Times New Roman" w:cs="Times New Roman"/>
          <w:sz w:val="24"/>
          <w:szCs w:val="24"/>
        </w:rPr>
        <w:t xml:space="preserve"> generan resultado</w:t>
      </w:r>
      <w:r w:rsidR="00673EFE">
        <w:rPr>
          <w:rFonts w:ascii="Times New Roman" w:hAnsi="Times New Roman" w:cs="Times New Roman"/>
          <w:sz w:val="24"/>
          <w:szCs w:val="24"/>
        </w:rPr>
        <w:t>s</w:t>
      </w:r>
      <w:r w:rsidR="00745DE7">
        <w:rPr>
          <w:rFonts w:ascii="Times New Roman" w:hAnsi="Times New Roman" w:cs="Times New Roman"/>
          <w:sz w:val="24"/>
          <w:szCs w:val="24"/>
        </w:rPr>
        <w:t xml:space="preserve"> contrario</w:t>
      </w:r>
      <w:r w:rsidR="00673EFE">
        <w:rPr>
          <w:rFonts w:ascii="Times New Roman" w:hAnsi="Times New Roman" w:cs="Times New Roman"/>
          <w:sz w:val="24"/>
          <w:szCs w:val="24"/>
        </w:rPr>
        <w:t>s</w:t>
      </w:r>
      <w:r w:rsidR="00745DE7">
        <w:rPr>
          <w:rFonts w:ascii="Times New Roman" w:hAnsi="Times New Roman" w:cs="Times New Roman"/>
          <w:sz w:val="24"/>
          <w:szCs w:val="24"/>
        </w:rPr>
        <w:t xml:space="preserve"> a la Constitución, </w:t>
      </w:r>
      <w:r w:rsidR="003E36E8">
        <w:rPr>
          <w:rFonts w:ascii="Times New Roman" w:hAnsi="Times New Roman" w:cs="Times New Roman"/>
          <w:sz w:val="24"/>
          <w:szCs w:val="24"/>
        </w:rPr>
        <w:t>para lo</w:t>
      </w:r>
      <w:r w:rsidR="00745DE7">
        <w:rPr>
          <w:rFonts w:ascii="Times New Roman" w:hAnsi="Times New Roman" w:cs="Times New Roman"/>
          <w:sz w:val="24"/>
          <w:szCs w:val="24"/>
        </w:rPr>
        <w:t xml:space="preserve"> cual será imprescindible</w:t>
      </w:r>
      <w:r w:rsidR="003E36E8">
        <w:rPr>
          <w:rFonts w:ascii="Times New Roman" w:hAnsi="Times New Roman" w:cs="Times New Roman"/>
          <w:sz w:val="24"/>
          <w:szCs w:val="24"/>
        </w:rPr>
        <w:t xml:space="preserve"> </w:t>
      </w:r>
      <w:r w:rsidR="00745DE7">
        <w:rPr>
          <w:rFonts w:ascii="Times New Roman" w:hAnsi="Times New Roman" w:cs="Times New Roman"/>
          <w:sz w:val="24"/>
          <w:szCs w:val="24"/>
        </w:rPr>
        <w:t>acceder a</w:t>
      </w:r>
      <w:r w:rsidR="003E36E8">
        <w:rPr>
          <w:rFonts w:ascii="Times New Roman" w:hAnsi="Times New Roman" w:cs="Times New Roman"/>
          <w:sz w:val="24"/>
          <w:szCs w:val="24"/>
        </w:rPr>
        <w:t xml:space="preserve"> tales algoritmos. En palabras de MEDINA GUERERO, “</w:t>
      </w:r>
      <w:r w:rsidR="003E36E8" w:rsidRPr="003E36E8">
        <w:rPr>
          <w:rFonts w:ascii="Times New Roman" w:hAnsi="Times New Roman" w:cs="Times New Roman"/>
          <w:sz w:val="24"/>
          <w:szCs w:val="24"/>
        </w:rPr>
        <w:t>la necesidad de avanzar en la rendición de cuentas de estos procesos de toma de decisiones automatizadas</w:t>
      </w:r>
      <w:r w:rsidR="003E36E8">
        <w:rPr>
          <w:rFonts w:ascii="Times New Roman" w:hAnsi="Times New Roman" w:cs="Times New Roman"/>
          <w:sz w:val="24"/>
          <w:szCs w:val="24"/>
        </w:rPr>
        <w:t xml:space="preserve"> (…) a fin de asegurar </w:t>
      </w:r>
      <w:r w:rsidR="003E36E8" w:rsidRPr="003E36E8">
        <w:rPr>
          <w:rFonts w:ascii="Times New Roman" w:hAnsi="Times New Roman" w:cs="Times New Roman"/>
          <w:sz w:val="24"/>
          <w:szCs w:val="24"/>
        </w:rPr>
        <w:t>que los ciudadanos estén en condiciones de supervisar</w:t>
      </w:r>
      <w:r w:rsidR="003E36E8" w:rsidRPr="003E36E8">
        <w:t xml:space="preserve"> </w:t>
      </w:r>
      <w:r w:rsidR="003E36E8" w:rsidRPr="003E36E8">
        <w:rPr>
          <w:rFonts w:ascii="Times New Roman" w:hAnsi="Times New Roman" w:cs="Times New Roman"/>
          <w:sz w:val="24"/>
          <w:szCs w:val="24"/>
        </w:rPr>
        <w:t>las decisiones que les afecten</w:t>
      </w:r>
      <w:r w:rsidR="003E36E8">
        <w:rPr>
          <w:rFonts w:ascii="Times New Roman" w:hAnsi="Times New Roman" w:cs="Times New Roman"/>
          <w:sz w:val="24"/>
          <w:szCs w:val="24"/>
        </w:rPr>
        <w:t xml:space="preserve"> (…) [exigirá como]</w:t>
      </w:r>
      <w:r w:rsidR="003E36E8" w:rsidRPr="003E36E8">
        <w:t xml:space="preserve"> </w:t>
      </w:r>
      <w:r w:rsidR="003E36E8" w:rsidRPr="003E36E8">
        <w:rPr>
          <w:rFonts w:ascii="Times New Roman" w:hAnsi="Times New Roman" w:cs="Times New Roman"/>
          <w:sz w:val="24"/>
          <w:szCs w:val="24"/>
        </w:rPr>
        <w:t xml:space="preserve">condición </w:t>
      </w:r>
      <w:r w:rsidR="003E36E8" w:rsidRPr="003E36E8">
        <w:rPr>
          <w:rFonts w:ascii="Times New Roman" w:hAnsi="Times New Roman" w:cs="Times New Roman"/>
          <w:i/>
          <w:sz w:val="24"/>
          <w:szCs w:val="24"/>
        </w:rPr>
        <w:t>sine qua non</w:t>
      </w:r>
      <w:r w:rsidR="003E36E8" w:rsidRPr="003E36E8">
        <w:rPr>
          <w:rFonts w:ascii="Times New Roman" w:hAnsi="Times New Roman" w:cs="Times New Roman"/>
          <w:sz w:val="24"/>
          <w:szCs w:val="24"/>
        </w:rPr>
        <w:t xml:space="preserve"> asegurar un adecuado suministro de información sobre los algoritmos utilizados al respecto</w:t>
      </w:r>
      <w:r w:rsidR="00745DE7">
        <w:rPr>
          <w:rFonts w:ascii="Times New Roman" w:hAnsi="Times New Roman" w:cs="Times New Roman"/>
          <w:sz w:val="24"/>
          <w:szCs w:val="24"/>
        </w:rPr>
        <w:t>”</w:t>
      </w:r>
      <w:r w:rsidR="003E36E8">
        <w:rPr>
          <w:rStyle w:val="Refdenotaalpie"/>
          <w:rFonts w:ascii="Times New Roman" w:hAnsi="Times New Roman" w:cs="Times New Roman"/>
          <w:sz w:val="24"/>
          <w:szCs w:val="24"/>
        </w:rPr>
        <w:footnoteReference w:id="6"/>
      </w:r>
      <w:r w:rsidR="001A5107">
        <w:rPr>
          <w:rFonts w:ascii="Times New Roman" w:hAnsi="Times New Roman" w:cs="Times New Roman"/>
          <w:sz w:val="24"/>
          <w:szCs w:val="24"/>
        </w:rPr>
        <w:t xml:space="preserve">. </w:t>
      </w:r>
    </w:p>
    <w:p w:rsidR="005D7DB7" w:rsidRPr="002C6FD5" w:rsidRDefault="004D028F" w:rsidP="00C64A75">
      <w:pPr>
        <w:ind w:firstLine="360"/>
        <w:jc w:val="both"/>
        <w:rPr>
          <w:rFonts w:ascii="Times New Roman" w:hAnsi="Times New Roman" w:cs="Times New Roman"/>
          <w:sz w:val="24"/>
          <w:szCs w:val="24"/>
        </w:rPr>
      </w:pPr>
      <w:r>
        <w:rPr>
          <w:rFonts w:ascii="Times New Roman" w:hAnsi="Times New Roman" w:cs="Times New Roman"/>
          <w:sz w:val="24"/>
          <w:szCs w:val="24"/>
        </w:rPr>
        <w:t>Resulta evidente que e</w:t>
      </w:r>
      <w:r w:rsidR="002C6FD5" w:rsidRPr="002C6FD5">
        <w:rPr>
          <w:rFonts w:ascii="Times New Roman" w:hAnsi="Times New Roman" w:cs="Times New Roman"/>
          <w:sz w:val="24"/>
          <w:szCs w:val="24"/>
        </w:rPr>
        <w:t>l desarrollo imparable de la ciencia en este terreno de la informática y de las comunicaciones supone un enorme desafio para el Derecho</w:t>
      </w:r>
      <w:r w:rsidR="001D773E">
        <w:rPr>
          <w:rFonts w:ascii="Times New Roman" w:hAnsi="Times New Roman" w:cs="Times New Roman"/>
          <w:sz w:val="24"/>
          <w:szCs w:val="24"/>
        </w:rPr>
        <w:t xml:space="preserve">. Los sistemas nacionales han </w:t>
      </w:r>
      <w:r w:rsidR="002C6FD5" w:rsidRPr="002C6FD5">
        <w:rPr>
          <w:rFonts w:ascii="Times New Roman" w:hAnsi="Times New Roman" w:cs="Times New Roman"/>
          <w:sz w:val="24"/>
          <w:szCs w:val="24"/>
        </w:rPr>
        <w:t>de encontrar la manera de que que l</w:t>
      </w:r>
      <w:r w:rsidR="001D773E">
        <w:rPr>
          <w:rFonts w:ascii="Times New Roman" w:hAnsi="Times New Roman" w:cs="Times New Roman"/>
          <w:sz w:val="24"/>
          <w:szCs w:val="24"/>
        </w:rPr>
        <w:t>os derechos de las personas esté</w:t>
      </w:r>
      <w:r w:rsidR="002C6FD5" w:rsidRPr="002C6FD5">
        <w:rPr>
          <w:rFonts w:ascii="Times New Roman" w:hAnsi="Times New Roman" w:cs="Times New Roman"/>
          <w:sz w:val="24"/>
          <w:szCs w:val="24"/>
        </w:rPr>
        <w:t>n efectivamente prote</w:t>
      </w:r>
      <w:r w:rsidR="002C6FD5">
        <w:rPr>
          <w:rFonts w:ascii="Times New Roman" w:hAnsi="Times New Roman" w:cs="Times New Roman"/>
          <w:sz w:val="24"/>
          <w:szCs w:val="24"/>
        </w:rPr>
        <w:t>gido</w:t>
      </w:r>
      <w:r w:rsidR="002C6FD5" w:rsidRPr="002C6FD5">
        <w:rPr>
          <w:rFonts w:ascii="Times New Roman" w:hAnsi="Times New Roman" w:cs="Times New Roman"/>
          <w:sz w:val="24"/>
          <w:szCs w:val="24"/>
        </w:rPr>
        <w:t>s</w:t>
      </w:r>
      <w:r w:rsidR="001D773E">
        <w:rPr>
          <w:rFonts w:ascii="Times New Roman" w:hAnsi="Times New Roman" w:cs="Times New Roman"/>
          <w:sz w:val="24"/>
          <w:szCs w:val="24"/>
        </w:rPr>
        <w:t xml:space="preserve"> en ese entorno</w:t>
      </w:r>
      <w:r w:rsidR="00020965">
        <w:rPr>
          <w:rFonts w:ascii="Times New Roman" w:hAnsi="Times New Roman" w:cs="Times New Roman"/>
          <w:sz w:val="24"/>
          <w:szCs w:val="24"/>
        </w:rPr>
        <w:t xml:space="preserve">. </w:t>
      </w:r>
      <w:r w:rsidR="001D773E">
        <w:rPr>
          <w:rFonts w:ascii="Times New Roman" w:hAnsi="Times New Roman" w:cs="Times New Roman"/>
          <w:sz w:val="24"/>
          <w:szCs w:val="24"/>
        </w:rPr>
        <w:t>La mayoría de l</w:t>
      </w:r>
      <w:r w:rsidR="00020965">
        <w:rPr>
          <w:rFonts w:ascii="Times New Roman" w:hAnsi="Times New Roman" w:cs="Times New Roman"/>
          <w:sz w:val="24"/>
          <w:szCs w:val="24"/>
        </w:rPr>
        <w:t>os ciudadanos</w:t>
      </w:r>
      <w:r w:rsidR="001D773E">
        <w:rPr>
          <w:rFonts w:ascii="Times New Roman" w:hAnsi="Times New Roman" w:cs="Times New Roman"/>
          <w:sz w:val="24"/>
          <w:szCs w:val="24"/>
        </w:rPr>
        <w:t xml:space="preserve"> entienden que</w:t>
      </w:r>
      <w:r w:rsidR="00020965">
        <w:rPr>
          <w:rFonts w:ascii="Times New Roman" w:hAnsi="Times New Roman" w:cs="Times New Roman"/>
          <w:sz w:val="24"/>
          <w:szCs w:val="24"/>
        </w:rPr>
        <w:t xml:space="preserve"> la </w:t>
      </w:r>
      <w:r w:rsidR="001D773E">
        <w:rPr>
          <w:rFonts w:ascii="Times New Roman" w:hAnsi="Times New Roman" w:cs="Times New Roman"/>
          <w:sz w:val="24"/>
          <w:szCs w:val="24"/>
        </w:rPr>
        <w:t>Inteligencia Artificial redundará en una mejor calidad de vida</w:t>
      </w:r>
      <w:r w:rsidR="00020965">
        <w:rPr>
          <w:rFonts w:ascii="Times New Roman" w:hAnsi="Times New Roman" w:cs="Times New Roman"/>
          <w:sz w:val="24"/>
          <w:szCs w:val="24"/>
        </w:rPr>
        <w:t xml:space="preserve">, </w:t>
      </w:r>
      <w:r w:rsidR="001D773E">
        <w:rPr>
          <w:rFonts w:ascii="Times New Roman" w:hAnsi="Times New Roman" w:cs="Times New Roman"/>
          <w:sz w:val="24"/>
          <w:szCs w:val="24"/>
        </w:rPr>
        <w:t>pero al mismo tiempo</w:t>
      </w:r>
      <w:r w:rsidR="00020965">
        <w:rPr>
          <w:rFonts w:ascii="Times New Roman" w:hAnsi="Times New Roman" w:cs="Times New Roman"/>
          <w:sz w:val="24"/>
          <w:szCs w:val="24"/>
        </w:rPr>
        <w:t xml:space="preserve"> </w:t>
      </w:r>
      <w:r w:rsidR="001D773E">
        <w:rPr>
          <w:rFonts w:ascii="Times New Roman" w:hAnsi="Times New Roman" w:cs="Times New Roman"/>
          <w:sz w:val="24"/>
          <w:szCs w:val="24"/>
        </w:rPr>
        <w:t xml:space="preserve">flota </w:t>
      </w:r>
      <w:r w:rsidR="00020965">
        <w:rPr>
          <w:rFonts w:ascii="Times New Roman" w:hAnsi="Times New Roman" w:cs="Times New Roman"/>
          <w:sz w:val="24"/>
          <w:szCs w:val="24"/>
        </w:rPr>
        <w:t xml:space="preserve">una sensación de inseguridad jurídica por lo que a la salvaguarda de nuestros derechos se refiere. Y es que, efectivamente, </w:t>
      </w:r>
      <w:r w:rsidR="005D7DB7" w:rsidRPr="002C6FD5">
        <w:rPr>
          <w:rFonts w:ascii="Times New Roman" w:hAnsi="Times New Roman" w:cs="Times New Roman"/>
          <w:sz w:val="24"/>
          <w:szCs w:val="24"/>
        </w:rPr>
        <w:t>los instrumentos de defensa</w:t>
      </w:r>
      <w:r w:rsidR="00020965">
        <w:rPr>
          <w:rFonts w:ascii="Times New Roman" w:hAnsi="Times New Roman" w:cs="Times New Roman"/>
          <w:sz w:val="24"/>
          <w:szCs w:val="24"/>
        </w:rPr>
        <w:t xml:space="preserve"> que el ordeamiento jurídico prevé</w:t>
      </w:r>
      <w:r w:rsidR="005D7DB7" w:rsidRPr="002C6FD5">
        <w:rPr>
          <w:rFonts w:ascii="Times New Roman" w:hAnsi="Times New Roman" w:cs="Times New Roman"/>
          <w:sz w:val="24"/>
          <w:szCs w:val="24"/>
        </w:rPr>
        <w:t xml:space="preserve"> no fueron pensados para ese otro mundo en el que las amenazas tienen otro alcance. El </w:t>
      </w:r>
      <w:r w:rsidR="005D7DB7" w:rsidRPr="002C6FD5">
        <w:rPr>
          <w:rFonts w:ascii="Times New Roman" w:hAnsi="Times New Roman" w:cs="Times New Roman"/>
          <w:i/>
          <w:sz w:val="24"/>
          <w:szCs w:val="24"/>
        </w:rPr>
        <w:t>corpus iuris</w:t>
      </w:r>
      <w:r w:rsidR="005D7DB7" w:rsidRPr="002C6FD5">
        <w:rPr>
          <w:rFonts w:ascii="Times New Roman" w:hAnsi="Times New Roman" w:cs="Times New Roman"/>
          <w:sz w:val="24"/>
          <w:szCs w:val="24"/>
        </w:rPr>
        <w:t xml:space="preserve"> europeo que</w:t>
      </w:r>
      <w:r w:rsidR="00020965">
        <w:rPr>
          <w:rFonts w:ascii="Times New Roman" w:hAnsi="Times New Roman" w:cs="Times New Roman"/>
          <w:sz w:val="24"/>
          <w:szCs w:val="24"/>
        </w:rPr>
        <w:t xml:space="preserve"> proteja</w:t>
      </w:r>
      <w:r w:rsidR="005D7DB7" w:rsidRPr="002C6FD5">
        <w:rPr>
          <w:rFonts w:ascii="Times New Roman" w:hAnsi="Times New Roman" w:cs="Times New Roman"/>
          <w:sz w:val="24"/>
          <w:szCs w:val="24"/>
        </w:rPr>
        <w:t xml:space="preserve"> los derechos de las personas</w:t>
      </w:r>
      <w:r w:rsidR="00020965">
        <w:rPr>
          <w:rFonts w:ascii="Times New Roman" w:hAnsi="Times New Roman" w:cs="Times New Roman"/>
          <w:sz w:val="24"/>
          <w:szCs w:val="24"/>
        </w:rPr>
        <w:t xml:space="preserve"> en la era digital</w:t>
      </w:r>
      <w:r w:rsidR="005D7DB7" w:rsidRPr="002C6FD5">
        <w:rPr>
          <w:rFonts w:ascii="Times New Roman" w:hAnsi="Times New Roman" w:cs="Times New Roman"/>
          <w:sz w:val="24"/>
          <w:szCs w:val="24"/>
        </w:rPr>
        <w:t>, está</w:t>
      </w:r>
      <w:r w:rsidR="00020965">
        <w:rPr>
          <w:rFonts w:ascii="Times New Roman" w:hAnsi="Times New Roman" w:cs="Times New Roman"/>
          <w:sz w:val="24"/>
          <w:szCs w:val="24"/>
        </w:rPr>
        <w:t xml:space="preserve"> en construcción</w:t>
      </w:r>
      <w:r w:rsidR="005D7DB7" w:rsidRPr="002C6FD5">
        <w:rPr>
          <w:rFonts w:ascii="Times New Roman" w:hAnsi="Times New Roman" w:cs="Times New Roman"/>
          <w:sz w:val="24"/>
          <w:szCs w:val="24"/>
        </w:rPr>
        <w:t>.</w:t>
      </w:r>
      <w:r w:rsidR="002C6FD5">
        <w:rPr>
          <w:rFonts w:ascii="Times New Roman" w:hAnsi="Times New Roman" w:cs="Times New Roman"/>
          <w:sz w:val="24"/>
          <w:szCs w:val="24"/>
        </w:rPr>
        <w:t xml:space="preserve"> </w:t>
      </w:r>
    </w:p>
    <w:p w:rsidR="00020965" w:rsidRDefault="005D7DB7" w:rsidP="00C64A75">
      <w:pPr>
        <w:ind w:firstLine="360"/>
        <w:jc w:val="both"/>
        <w:rPr>
          <w:rFonts w:ascii="Times New Roman" w:hAnsi="Times New Roman" w:cs="Times New Roman"/>
          <w:sz w:val="24"/>
          <w:szCs w:val="24"/>
        </w:rPr>
      </w:pPr>
      <w:r w:rsidRPr="00F379DA">
        <w:rPr>
          <w:rFonts w:ascii="Times New Roman" w:hAnsi="Times New Roman" w:cs="Times New Roman"/>
          <w:sz w:val="24"/>
          <w:szCs w:val="24"/>
        </w:rPr>
        <w:t>El estudio que</w:t>
      </w:r>
      <w:r w:rsidR="00020965">
        <w:rPr>
          <w:rFonts w:ascii="Times New Roman" w:hAnsi="Times New Roman" w:cs="Times New Roman"/>
          <w:sz w:val="24"/>
          <w:szCs w:val="24"/>
        </w:rPr>
        <w:t xml:space="preserve"> </w:t>
      </w:r>
      <w:r w:rsidR="00E22D6B">
        <w:rPr>
          <w:rFonts w:ascii="Times New Roman" w:hAnsi="Times New Roman" w:cs="Times New Roman"/>
          <w:sz w:val="24"/>
          <w:szCs w:val="24"/>
        </w:rPr>
        <w:t>el lector tiene en sus manos</w:t>
      </w:r>
      <w:r w:rsidRPr="00F379DA">
        <w:rPr>
          <w:rFonts w:ascii="Times New Roman" w:hAnsi="Times New Roman" w:cs="Times New Roman"/>
          <w:sz w:val="24"/>
          <w:szCs w:val="24"/>
        </w:rPr>
        <w:t xml:space="preserve"> </w:t>
      </w:r>
      <w:r w:rsidR="00020965">
        <w:rPr>
          <w:rFonts w:ascii="Times New Roman" w:hAnsi="Times New Roman" w:cs="Times New Roman"/>
          <w:sz w:val="24"/>
          <w:szCs w:val="24"/>
        </w:rPr>
        <w:t>gira</w:t>
      </w:r>
      <w:r w:rsidRPr="00F379DA">
        <w:rPr>
          <w:rFonts w:ascii="Times New Roman" w:hAnsi="Times New Roman" w:cs="Times New Roman"/>
          <w:sz w:val="24"/>
          <w:szCs w:val="24"/>
        </w:rPr>
        <w:t xml:space="preserve"> en torno a un problema que ya ha sido advertido no solo por </w:t>
      </w:r>
      <w:r w:rsidR="00020965">
        <w:rPr>
          <w:rFonts w:ascii="Times New Roman" w:hAnsi="Times New Roman" w:cs="Times New Roman"/>
          <w:sz w:val="24"/>
          <w:szCs w:val="24"/>
        </w:rPr>
        <w:t>la doctrina sino también por la generalidad de las instituciones, el de la dimensión colectiva que el tratamiento automatizado de datos tiene, y más concretamente sobre la capacidad que las nue</w:t>
      </w:r>
      <w:r w:rsidR="0093519E">
        <w:rPr>
          <w:rFonts w:ascii="Times New Roman" w:hAnsi="Times New Roman" w:cs="Times New Roman"/>
          <w:sz w:val="24"/>
          <w:szCs w:val="24"/>
        </w:rPr>
        <w:t>v</w:t>
      </w:r>
      <w:r w:rsidR="00020965">
        <w:rPr>
          <w:rFonts w:ascii="Times New Roman" w:hAnsi="Times New Roman" w:cs="Times New Roman"/>
          <w:sz w:val="24"/>
          <w:szCs w:val="24"/>
        </w:rPr>
        <w:t>as tecnologías de la información y la comunicación tienen de interferir en los proc</w:t>
      </w:r>
      <w:r w:rsidR="0093519E">
        <w:rPr>
          <w:rFonts w:ascii="Times New Roman" w:hAnsi="Times New Roman" w:cs="Times New Roman"/>
          <w:sz w:val="24"/>
          <w:szCs w:val="24"/>
        </w:rPr>
        <w:t>esos democráticos de participa</w:t>
      </w:r>
      <w:r w:rsidR="00020965">
        <w:rPr>
          <w:rFonts w:ascii="Times New Roman" w:hAnsi="Times New Roman" w:cs="Times New Roman"/>
          <w:sz w:val="24"/>
          <w:szCs w:val="24"/>
        </w:rPr>
        <w:t>ción política. Al respecto no faltan ejemplos:</w:t>
      </w:r>
    </w:p>
    <w:p w:rsidR="00747461" w:rsidRDefault="00020965" w:rsidP="00C64A75">
      <w:pPr>
        <w:ind w:firstLine="360"/>
        <w:jc w:val="both"/>
        <w:rPr>
          <w:rFonts w:ascii="Times New Roman" w:hAnsi="Times New Roman" w:cs="Times New Roman"/>
          <w:sz w:val="24"/>
          <w:szCs w:val="24"/>
        </w:rPr>
      </w:pPr>
      <w:r>
        <w:rPr>
          <w:rFonts w:ascii="Times New Roman" w:hAnsi="Times New Roman" w:cs="Times New Roman"/>
          <w:sz w:val="24"/>
          <w:szCs w:val="24"/>
        </w:rPr>
        <w:t xml:space="preserve">Quizás el caso </w:t>
      </w:r>
      <w:r w:rsidR="007275CB">
        <w:rPr>
          <w:rFonts w:ascii="Times New Roman" w:hAnsi="Times New Roman" w:cs="Times New Roman"/>
          <w:sz w:val="24"/>
          <w:szCs w:val="24"/>
        </w:rPr>
        <w:t>con mayor trascendencia mediática</w:t>
      </w:r>
      <w:r>
        <w:rPr>
          <w:rFonts w:ascii="Times New Roman" w:hAnsi="Times New Roman" w:cs="Times New Roman"/>
          <w:sz w:val="24"/>
          <w:szCs w:val="24"/>
        </w:rPr>
        <w:t xml:space="preserve"> hasta la fecha haya sido la filtración con fine</w:t>
      </w:r>
      <w:r w:rsidR="0093519E">
        <w:rPr>
          <w:rFonts w:ascii="Times New Roman" w:hAnsi="Times New Roman" w:cs="Times New Roman"/>
          <w:sz w:val="24"/>
          <w:szCs w:val="24"/>
        </w:rPr>
        <w:t>s polí</w:t>
      </w:r>
      <w:r>
        <w:rPr>
          <w:rFonts w:ascii="Times New Roman" w:hAnsi="Times New Roman" w:cs="Times New Roman"/>
          <w:sz w:val="24"/>
          <w:szCs w:val="24"/>
        </w:rPr>
        <w:t>ticos de millones de datos personales de los usuarios de Facebook a la consultora Cambridge Analytica, en beneficio de la campaña electoral de Donald Trump en las elecciones presidenciales de 2016. Pero no ha sido el único. En Brasil, días antes de q</w:t>
      </w:r>
      <w:r w:rsidR="0093519E">
        <w:rPr>
          <w:rFonts w:ascii="Times New Roman" w:hAnsi="Times New Roman" w:cs="Times New Roman"/>
          <w:sz w:val="24"/>
          <w:szCs w:val="24"/>
        </w:rPr>
        <w:t>ue se eligiera al lí</w:t>
      </w:r>
      <w:r>
        <w:rPr>
          <w:rFonts w:ascii="Times New Roman" w:hAnsi="Times New Roman" w:cs="Times New Roman"/>
          <w:sz w:val="24"/>
          <w:szCs w:val="24"/>
        </w:rPr>
        <w:t>der de la derecha, Jair Bolsonaro, el diario Folha de S. Paulo sacó a la luz un plan de tres millones de dólares para promocionar con mensajes virales e i</w:t>
      </w:r>
      <w:r w:rsidR="00C64A75">
        <w:rPr>
          <w:rFonts w:ascii="Times New Roman" w:hAnsi="Times New Roman" w:cs="Times New Roman"/>
          <w:sz w:val="24"/>
          <w:szCs w:val="24"/>
        </w:rPr>
        <w:t>nformes falsos a este candidato. E</w:t>
      </w:r>
      <w:r>
        <w:rPr>
          <w:rFonts w:ascii="Times New Roman" w:hAnsi="Times New Roman" w:cs="Times New Roman"/>
          <w:sz w:val="24"/>
          <w:szCs w:val="24"/>
        </w:rPr>
        <w:t xml:space="preserve">n India, varios grupos de la sociedad civil han denunciado campañas en internet y redes sociales (Facebook, Whatsaap) de </w:t>
      </w:r>
      <w:r>
        <w:rPr>
          <w:rFonts w:ascii="Times New Roman" w:hAnsi="Times New Roman" w:cs="Times New Roman"/>
          <w:sz w:val="24"/>
          <w:szCs w:val="24"/>
        </w:rPr>
        <w:lastRenderedPageBreak/>
        <w:t>desinformación en favor del actual primer ministro, Narendra Modi. La consultora arriba citada también intervino en</w:t>
      </w:r>
      <w:r w:rsidR="0093519E">
        <w:rPr>
          <w:rFonts w:ascii="Times New Roman" w:hAnsi="Times New Roman" w:cs="Times New Roman"/>
          <w:sz w:val="24"/>
          <w:szCs w:val="24"/>
        </w:rPr>
        <w:t xml:space="preserve"> Keni</w:t>
      </w:r>
      <w:r w:rsidR="007275CB">
        <w:rPr>
          <w:rFonts w:ascii="Times New Roman" w:hAnsi="Times New Roman" w:cs="Times New Roman"/>
          <w:sz w:val="24"/>
          <w:szCs w:val="24"/>
        </w:rPr>
        <w:t>a en</w:t>
      </w:r>
      <w:r>
        <w:rPr>
          <w:rFonts w:ascii="Times New Roman" w:hAnsi="Times New Roman" w:cs="Times New Roman"/>
          <w:sz w:val="24"/>
          <w:szCs w:val="24"/>
        </w:rPr>
        <w:t xml:space="preserve"> l</w:t>
      </w:r>
      <w:r w:rsidR="007275CB">
        <w:rPr>
          <w:rFonts w:ascii="Times New Roman" w:hAnsi="Times New Roman" w:cs="Times New Roman"/>
          <w:sz w:val="24"/>
          <w:szCs w:val="24"/>
        </w:rPr>
        <w:t>as elecciones que llevaron</w:t>
      </w:r>
      <w:r>
        <w:rPr>
          <w:rFonts w:ascii="Times New Roman" w:hAnsi="Times New Roman" w:cs="Times New Roman"/>
          <w:sz w:val="24"/>
          <w:szCs w:val="24"/>
        </w:rPr>
        <w:t xml:space="preserve"> a la presidencia a Uhuru Kenyatta</w:t>
      </w:r>
      <w:r w:rsidR="007275CB">
        <w:rPr>
          <w:rFonts w:ascii="Times New Roman" w:hAnsi="Times New Roman" w:cs="Times New Roman"/>
          <w:sz w:val="24"/>
          <w:szCs w:val="24"/>
        </w:rPr>
        <w:t xml:space="preserve"> en 2013</w:t>
      </w:r>
      <w:r>
        <w:rPr>
          <w:rFonts w:ascii="Times New Roman" w:hAnsi="Times New Roman" w:cs="Times New Roman"/>
          <w:sz w:val="24"/>
          <w:szCs w:val="24"/>
        </w:rPr>
        <w:t>, diseñando una estrategia basada en el estudio de las necesidades de trabajo del electorado y en sus miedos relacionados con la violencia tribal, temas en los que se centró la campaña electoral del candidato, enviando a través de las redes sociales mensajes personalizados a los ciudadanos.</w:t>
      </w:r>
    </w:p>
    <w:p w:rsidR="00FA196F" w:rsidRDefault="005303A7" w:rsidP="00CD6A07">
      <w:pPr>
        <w:ind w:firstLine="360"/>
        <w:jc w:val="both"/>
        <w:rPr>
          <w:rFonts w:ascii="Times New Roman" w:hAnsi="Times New Roman" w:cs="Times New Roman"/>
          <w:sz w:val="24"/>
          <w:szCs w:val="24"/>
        </w:rPr>
      </w:pPr>
      <w:r>
        <w:rPr>
          <w:rFonts w:ascii="Times New Roman" w:hAnsi="Times New Roman" w:cs="Times New Roman"/>
          <w:sz w:val="24"/>
          <w:szCs w:val="24"/>
        </w:rPr>
        <w:t>Estos casos, que no son los únicos, ponen de manifiesto cómo la recopilación y tratamiento de los datos pe</w:t>
      </w:r>
      <w:r w:rsidR="00307C5D">
        <w:rPr>
          <w:rFonts w:ascii="Times New Roman" w:hAnsi="Times New Roman" w:cs="Times New Roman"/>
          <w:sz w:val="24"/>
          <w:szCs w:val="24"/>
        </w:rPr>
        <w:t>r</w:t>
      </w:r>
      <w:r>
        <w:rPr>
          <w:rFonts w:ascii="Times New Roman" w:hAnsi="Times New Roman" w:cs="Times New Roman"/>
          <w:sz w:val="24"/>
          <w:szCs w:val="24"/>
        </w:rPr>
        <w:t xml:space="preserve">sonales puede tener el objetivo de cambiar </w:t>
      </w:r>
      <w:r w:rsidR="00E22D6B">
        <w:rPr>
          <w:rFonts w:ascii="Times New Roman" w:hAnsi="Times New Roman" w:cs="Times New Roman"/>
          <w:sz w:val="24"/>
          <w:szCs w:val="24"/>
        </w:rPr>
        <w:t>el pensamiento</w:t>
      </w:r>
      <w:r>
        <w:rPr>
          <w:rFonts w:ascii="Times New Roman" w:hAnsi="Times New Roman" w:cs="Times New Roman"/>
          <w:sz w:val="24"/>
          <w:szCs w:val="24"/>
        </w:rPr>
        <w:t xml:space="preserve"> de millones de personas</w:t>
      </w:r>
      <w:r w:rsidR="00E22D6B">
        <w:rPr>
          <w:rFonts w:ascii="Times New Roman" w:hAnsi="Times New Roman" w:cs="Times New Roman"/>
          <w:sz w:val="24"/>
          <w:szCs w:val="24"/>
        </w:rPr>
        <w:t xml:space="preserve"> sobre sus decisiones en los procesos de participación política</w:t>
      </w:r>
      <w:r>
        <w:rPr>
          <w:rFonts w:ascii="Times New Roman" w:hAnsi="Times New Roman" w:cs="Times New Roman"/>
          <w:sz w:val="24"/>
          <w:szCs w:val="24"/>
        </w:rPr>
        <w:t xml:space="preserve">. </w:t>
      </w:r>
      <w:r w:rsidR="00E22D6B">
        <w:rPr>
          <w:rFonts w:ascii="Times New Roman" w:hAnsi="Times New Roman" w:cs="Times New Roman"/>
          <w:sz w:val="24"/>
          <w:szCs w:val="24"/>
        </w:rPr>
        <w:t xml:space="preserve">Las estrategias a propósito escapan al conocimiento de un jurista, pero a todas luces descansarán en un estudio previo y personalizado de la manera de responder que el ciudadano tiene ante determinados estímulos, de sus gustos y preferencias, del contexto en el que se mueve, y en definitiva de su persona, </w:t>
      </w:r>
      <w:r w:rsidR="00FA196F">
        <w:rPr>
          <w:rFonts w:ascii="Times New Roman" w:hAnsi="Times New Roman" w:cs="Times New Roman"/>
          <w:sz w:val="24"/>
          <w:szCs w:val="24"/>
        </w:rPr>
        <w:t xml:space="preserve">todo </w:t>
      </w:r>
      <w:r w:rsidR="00E22D6B">
        <w:rPr>
          <w:rFonts w:ascii="Times New Roman" w:hAnsi="Times New Roman" w:cs="Times New Roman"/>
          <w:sz w:val="24"/>
          <w:szCs w:val="24"/>
        </w:rPr>
        <w:t>con el propósito de influi</w:t>
      </w:r>
      <w:r w:rsidR="00FA196F">
        <w:rPr>
          <w:rFonts w:ascii="Times New Roman" w:hAnsi="Times New Roman" w:cs="Times New Roman"/>
          <w:sz w:val="24"/>
          <w:szCs w:val="24"/>
        </w:rPr>
        <w:t xml:space="preserve">r en su toma de decisiones. Por razones obvias, estas prácticas son intolerables en un sistema democrático. </w:t>
      </w:r>
    </w:p>
    <w:p w:rsidR="00B5444B" w:rsidRDefault="00E22D6B" w:rsidP="00FA196F">
      <w:pPr>
        <w:ind w:firstLine="360"/>
        <w:jc w:val="both"/>
        <w:rPr>
          <w:rFonts w:ascii="Times New Roman" w:hAnsi="Times New Roman" w:cs="Times New Roman"/>
          <w:sz w:val="24"/>
          <w:szCs w:val="24"/>
        </w:rPr>
      </w:pPr>
      <w:r>
        <w:rPr>
          <w:rFonts w:ascii="Times New Roman" w:hAnsi="Times New Roman" w:cs="Times New Roman"/>
          <w:sz w:val="24"/>
          <w:szCs w:val="24"/>
        </w:rPr>
        <w:t xml:space="preserve"> U</w:t>
      </w:r>
      <w:r w:rsidR="00F379DA">
        <w:rPr>
          <w:rFonts w:ascii="Times New Roman" w:hAnsi="Times New Roman" w:cs="Times New Roman"/>
          <w:sz w:val="24"/>
          <w:szCs w:val="24"/>
        </w:rPr>
        <w:t>no de los últimos documentos que</w:t>
      </w:r>
      <w:r>
        <w:rPr>
          <w:rFonts w:ascii="Times New Roman" w:hAnsi="Times New Roman" w:cs="Times New Roman"/>
          <w:sz w:val="24"/>
          <w:szCs w:val="24"/>
        </w:rPr>
        <w:t xml:space="preserve"> para este estudio hemos consultado</w:t>
      </w:r>
      <w:r w:rsidR="00F379DA">
        <w:rPr>
          <w:rFonts w:ascii="Times New Roman" w:hAnsi="Times New Roman" w:cs="Times New Roman"/>
          <w:sz w:val="24"/>
          <w:szCs w:val="24"/>
        </w:rPr>
        <w:t xml:space="preserve"> ha sido la Carta Iberoamericana de Principios y Derechos en los Entornos Digitales, adoptada en la </w:t>
      </w:r>
      <w:r w:rsidR="00F379DA" w:rsidRPr="00F379DA">
        <w:rPr>
          <w:rFonts w:ascii="Times New Roman" w:hAnsi="Times New Roman" w:cs="Times New Roman"/>
          <w:sz w:val="24"/>
          <w:szCs w:val="24"/>
        </w:rPr>
        <w:t>XXVI</w:t>
      </w:r>
      <w:r w:rsidR="0085761E">
        <w:rPr>
          <w:rFonts w:ascii="Times New Roman" w:hAnsi="Times New Roman" w:cs="Times New Roman"/>
          <w:sz w:val="24"/>
          <w:szCs w:val="24"/>
        </w:rPr>
        <w:t>I</w:t>
      </w:r>
      <w:r w:rsidR="00F379DA" w:rsidRPr="00F379DA">
        <w:rPr>
          <w:rFonts w:ascii="Times New Roman" w:hAnsi="Times New Roman" w:cs="Times New Roman"/>
          <w:sz w:val="24"/>
          <w:szCs w:val="24"/>
        </w:rPr>
        <w:t>I Cumbre Iberoamericana</w:t>
      </w:r>
      <w:r w:rsidR="0085761E">
        <w:rPr>
          <w:rFonts w:ascii="Times New Roman" w:hAnsi="Times New Roman" w:cs="Times New Roman"/>
          <w:sz w:val="24"/>
          <w:szCs w:val="24"/>
        </w:rPr>
        <w:t xml:space="preserve"> de Jefes de Estado y de Gobierno</w:t>
      </w:r>
      <w:r w:rsidR="00F379DA" w:rsidRPr="00F379DA">
        <w:rPr>
          <w:rFonts w:ascii="Times New Roman" w:hAnsi="Times New Roman" w:cs="Times New Roman"/>
          <w:sz w:val="24"/>
          <w:szCs w:val="24"/>
        </w:rPr>
        <w:t>,</w:t>
      </w:r>
      <w:r>
        <w:rPr>
          <w:rFonts w:ascii="Times New Roman" w:hAnsi="Times New Roman" w:cs="Times New Roman"/>
          <w:sz w:val="24"/>
          <w:szCs w:val="24"/>
        </w:rPr>
        <w:t xml:space="preserve"> celebrada en</w:t>
      </w:r>
      <w:r w:rsidR="0085761E">
        <w:rPr>
          <w:rFonts w:ascii="Times New Roman" w:hAnsi="Times New Roman" w:cs="Times New Roman"/>
          <w:sz w:val="24"/>
          <w:szCs w:val="24"/>
        </w:rPr>
        <w:t xml:space="preserve"> Santo Domingo (</w:t>
      </w:r>
      <w:r w:rsidR="00F379DA" w:rsidRPr="00F379DA">
        <w:rPr>
          <w:rFonts w:ascii="Times New Roman" w:hAnsi="Times New Roman" w:cs="Times New Roman"/>
          <w:sz w:val="24"/>
          <w:szCs w:val="24"/>
        </w:rPr>
        <w:t>Repú</w:t>
      </w:r>
      <w:r w:rsidR="00F379DA">
        <w:rPr>
          <w:rFonts w:ascii="Times New Roman" w:hAnsi="Times New Roman" w:cs="Times New Roman"/>
          <w:sz w:val="24"/>
          <w:szCs w:val="24"/>
        </w:rPr>
        <w:t>blica Dominicana</w:t>
      </w:r>
      <w:r w:rsidR="0085761E">
        <w:rPr>
          <w:rFonts w:ascii="Times New Roman" w:hAnsi="Times New Roman" w:cs="Times New Roman"/>
          <w:sz w:val="24"/>
          <w:szCs w:val="24"/>
        </w:rPr>
        <w:t>) en marzo de 2023,</w:t>
      </w:r>
      <w:r w:rsidR="00F379DA">
        <w:rPr>
          <w:rFonts w:ascii="Times New Roman" w:hAnsi="Times New Roman" w:cs="Times New Roman"/>
          <w:sz w:val="24"/>
          <w:szCs w:val="24"/>
        </w:rPr>
        <w:t xml:space="preserve"> que comienza de la siguiente manera:</w:t>
      </w:r>
      <w:r w:rsidR="00F379DA" w:rsidRPr="00F379DA">
        <w:rPr>
          <w:rFonts w:ascii="Times New Roman" w:hAnsi="Times New Roman" w:cs="Times New Roman"/>
          <w:sz w:val="24"/>
          <w:szCs w:val="24"/>
        </w:rPr>
        <w:t xml:space="preserve"> “la digitalización conlleva una profunda transformación que impacta en todos los aspectos de la vida de las personas y presenta enormes desafíos, que deben abordarse garantizando el ejercicio de los derechos, el cumplimiento de los deberes y el desarrollo de </w:t>
      </w:r>
      <w:r w:rsidR="00F379DA" w:rsidRPr="00F379DA">
        <w:rPr>
          <w:rFonts w:ascii="Times New Roman" w:hAnsi="Times New Roman" w:cs="Times New Roman"/>
          <w:bCs/>
          <w:sz w:val="24"/>
          <w:szCs w:val="24"/>
        </w:rPr>
        <w:t>sociedades digitales inclusivas, justas, seguras, resilientes y sostenibles</w:t>
      </w:r>
      <w:r w:rsidR="00F379DA">
        <w:rPr>
          <w:rFonts w:ascii="Times New Roman" w:hAnsi="Times New Roman" w:cs="Times New Roman"/>
          <w:bCs/>
          <w:sz w:val="24"/>
          <w:szCs w:val="24"/>
        </w:rPr>
        <w:t>”</w:t>
      </w:r>
      <w:r w:rsidR="00F379DA" w:rsidRPr="00F379DA">
        <w:rPr>
          <w:rFonts w:ascii="Times New Roman" w:hAnsi="Times New Roman" w:cs="Times New Roman"/>
          <w:b/>
          <w:bCs/>
          <w:sz w:val="24"/>
          <w:szCs w:val="24"/>
        </w:rPr>
        <w:t>.</w:t>
      </w:r>
      <w:r w:rsidR="00F379DA">
        <w:rPr>
          <w:rFonts w:ascii="Times New Roman" w:hAnsi="Times New Roman" w:cs="Times New Roman"/>
          <w:b/>
          <w:bCs/>
          <w:sz w:val="24"/>
          <w:szCs w:val="24"/>
        </w:rPr>
        <w:t xml:space="preserve"> </w:t>
      </w:r>
      <w:r w:rsidR="0053417B">
        <w:rPr>
          <w:rFonts w:ascii="Times New Roman" w:hAnsi="Times New Roman" w:cs="Times New Roman"/>
          <w:bCs/>
          <w:sz w:val="24"/>
          <w:szCs w:val="24"/>
        </w:rPr>
        <w:t>Uno de los aspectos de la vida de las personas es el comunitario,</w:t>
      </w:r>
      <w:r w:rsidR="004C06EB">
        <w:rPr>
          <w:rFonts w:ascii="Times New Roman" w:hAnsi="Times New Roman" w:cs="Times New Roman"/>
          <w:bCs/>
          <w:sz w:val="24"/>
          <w:szCs w:val="24"/>
        </w:rPr>
        <w:t xml:space="preserve"> sobre el que pivotarán las siguientes páginas</w:t>
      </w:r>
      <w:r w:rsidR="00B5444B">
        <w:rPr>
          <w:rFonts w:ascii="Times New Roman" w:hAnsi="Times New Roman" w:cs="Times New Roman"/>
          <w:bCs/>
          <w:sz w:val="24"/>
          <w:szCs w:val="24"/>
        </w:rPr>
        <w:t>. Confirmada la amenaza que para el sistema democrático representa la manipulación ilegítima de los datos personales, los sistemas jurídicos han de estar preparados. Ante un desafío que no conoce de fronteras habrá que buscar nuevas fórmulas para estar bien pertrechados</w:t>
      </w:r>
      <w:r w:rsidR="004C06EB">
        <w:rPr>
          <w:rFonts w:ascii="Times New Roman" w:hAnsi="Times New Roman" w:cs="Times New Roman"/>
          <w:bCs/>
          <w:sz w:val="24"/>
          <w:szCs w:val="24"/>
        </w:rPr>
        <w:t>.</w:t>
      </w:r>
    </w:p>
    <w:p w:rsidR="00395857" w:rsidRDefault="00395857" w:rsidP="00B5444B">
      <w:pPr>
        <w:jc w:val="both"/>
        <w:rPr>
          <w:rFonts w:ascii="Times New Roman" w:hAnsi="Times New Roman" w:cs="Times New Roman"/>
          <w:sz w:val="24"/>
          <w:szCs w:val="24"/>
        </w:rPr>
      </w:pPr>
    </w:p>
    <w:p w:rsidR="00395857" w:rsidRPr="00395857" w:rsidRDefault="007E3214" w:rsidP="00395857">
      <w:pPr>
        <w:pStyle w:val="Prrafodelista"/>
        <w:numPr>
          <w:ilvl w:val="0"/>
          <w:numId w:val="14"/>
        </w:numPr>
        <w:jc w:val="both"/>
        <w:rPr>
          <w:rFonts w:ascii="Times New Roman" w:hAnsi="Times New Roman" w:cs="Times New Roman"/>
          <w:b/>
          <w:sz w:val="24"/>
          <w:szCs w:val="24"/>
        </w:rPr>
      </w:pPr>
      <w:r w:rsidRPr="007E3214">
        <w:rPr>
          <w:rFonts w:ascii="Times New Roman" w:hAnsi="Times New Roman" w:cs="Times New Roman"/>
          <w:b/>
          <w:sz w:val="24"/>
          <w:szCs w:val="24"/>
        </w:rPr>
        <w:t>El derecho a la protección de datos personales</w:t>
      </w:r>
    </w:p>
    <w:p w:rsidR="00BF10C0" w:rsidRDefault="00222038" w:rsidP="00BF10C0">
      <w:pPr>
        <w:ind w:firstLine="360"/>
        <w:jc w:val="both"/>
        <w:rPr>
          <w:rFonts w:ascii="Times New Roman" w:hAnsi="Times New Roman" w:cs="Times New Roman"/>
          <w:sz w:val="24"/>
          <w:szCs w:val="24"/>
        </w:rPr>
      </w:pPr>
      <w:r>
        <w:rPr>
          <w:rFonts w:ascii="Times New Roman" w:hAnsi="Times New Roman" w:cs="Times New Roman"/>
          <w:sz w:val="24"/>
          <w:szCs w:val="24"/>
        </w:rPr>
        <w:t>La sentencia del Tribunal Constitucional (STC) 76/2019 declaró la inconstitucionalidad de un precepto legal que permitía a los partidos políticos recabar datos personales relativos a las opiniones política de las personas en el marco de sus actividades electorales</w:t>
      </w:r>
      <w:r>
        <w:rPr>
          <w:rStyle w:val="Refdenotaalpie"/>
          <w:rFonts w:ascii="Times New Roman" w:hAnsi="Times New Roman" w:cs="Times New Roman"/>
          <w:sz w:val="24"/>
          <w:szCs w:val="24"/>
        </w:rPr>
        <w:footnoteReference w:id="7"/>
      </w:r>
      <w:r>
        <w:rPr>
          <w:rFonts w:ascii="Times New Roman" w:hAnsi="Times New Roman" w:cs="Times New Roman"/>
          <w:sz w:val="24"/>
          <w:szCs w:val="24"/>
        </w:rPr>
        <w:t>.  Esa disposición se fundamentaba en el Considerando 56 del RGPD, donde leemos que “s</w:t>
      </w:r>
      <w:r w:rsidRPr="00222038">
        <w:rPr>
          <w:rFonts w:ascii="Times New Roman" w:hAnsi="Times New Roman" w:cs="Times New Roman"/>
          <w:sz w:val="24"/>
          <w:szCs w:val="24"/>
        </w:rPr>
        <w:t>i, en el marco de actividades electorales, el funcionamiento del sistema democrático exige en un Estado miembro que los partidos políticos recopilen datos personales sobre las opiniones políticas de las personas, puede autorizarse el tratamiento de estos datos por razones de interés público, siempre que se ofrezcan garantías adecuadas</w:t>
      </w:r>
      <w:r>
        <w:rPr>
          <w:rFonts w:ascii="Times New Roman" w:hAnsi="Times New Roman" w:cs="Times New Roman"/>
          <w:sz w:val="24"/>
          <w:szCs w:val="24"/>
        </w:rPr>
        <w:t>”</w:t>
      </w:r>
      <w:r w:rsidRPr="00222038">
        <w:rPr>
          <w:rFonts w:ascii="Times New Roman" w:hAnsi="Times New Roman" w:cs="Times New Roman"/>
          <w:sz w:val="24"/>
          <w:szCs w:val="24"/>
        </w:rPr>
        <w:t>.</w:t>
      </w:r>
      <w:r w:rsidR="00F479C9">
        <w:rPr>
          <w:rFonts w:ascii="Times New Roman" w:hAnsi="Times New Roman" w:cs="Times New Roman"/>
          <w:sz w:val="24"/>
          <w:szCs w:val="24"/>
        </w:rPr>
        <w:t xml:space="preserve"> Siendo el precepto impugnado prácticamente igual que la disposición reglamentaria, el TC entendió que aquellas garantías adecuadas no habían sido establecidas con la claridad precisa. En el epígrafe IV de este trabajo nos ocuparemos </w:t>
      </w:r>
      <w:r w:rsidR="00F479C9">
        <w:rPr>
          <w:rFonts w:ascii="Times New Roman" w:hAnsi="Times New Roman" w:cs="Times New Roman"/>
          <w:sz w:val="24"/>
          <w:szCs w:val="24"/>
        </w:rPr>
        <w:lastRenderedPageBreak/>
        <w:t>especialmente de esta sentencia, de cuyas consideraciones se deriva con claridad la trascendencia que el derecho a la protección de datos tiene para el funcionamiento del sistema democrático</w:t>
      </w:r>
      <w:r w:rsidR="00BF10C0">
        <w:rPr>
          <w:rFonts w:ascii="Times New Roman" w:hAnsi="Times New Roman" w:cs="Times New Roman"/>
          <w:sz w:val="24"/>
          <w:szCs w:val="24"/>
        </w:rPr>
        <w:t xml:space="preserve">. Es en esta dimensión colectiva del derecho en la que nos hemos centrado. Pero antes de abordar las cuestiones de fondo, nos parece conveniente aclarar algunos conceptos que nos ayudarán a delimitar </w:t>
      </w:r>
      <w:r w:rsidR="00EF5DE5">
        <w:rPr>
          <w:rFonts w:ascii="Times New Roman" w:hAnsi="Times New Roman" w:cs="Times New Roman"/>
          <w:sz w:val="24"/>
          <w:szCs w:val="24"/>
        </w:rPr>
        <w:t>el tema que nos ocupa</w:t>
      </w:r>
      <w:r w:rsidR="00BF10C0">
        <w:rPr>
          <w:rFonts w:ascii="Times New Roman" w:hAnsi="Times New Roman" w:cs="Times New Roman"/>
          <w:sz w:val="24"/>
          <w:szCs w:val="24"/>
        </w:rPr>
        <w:t>.</w:t>
      </w:r>
    </w:p>
    <w:p w:rsidR="001D5005" w:rsidRDefault="00222038" w:rsidP="001D5005">
      <w:pPr>
        <w:ind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1D5005" w:rsidRPr="00C30398">
        <w:rPr>
          <w:rFonts w:ascii="Times New Roman" w:hAnsi="Times New Roman" w:cs="Times New Roman"/>
          <w:sz w:val="24"/>
          <w:szCs w:val="24"/>
        </w:rPr>
        <w:t xml:space="preserve">El concepto </w:t>
      </w:r>
      <w:r w:rsidR="00B400F7">
        <w:rPr>
          <w:rFonts w:ascii="Times New Roman" w:hAnsi="Times New Roman" w:cs="Times New Roman"/>
          <w:sz w:val="24"/>
          <w:szCs w:val="24"/>
        </w:rPr>
        <w:t>«</w:t>
      </w:r>
      <w:r w:rsidR="001D5005" w:rsidRPr="00C30398">
        <w:rPr>
          <w:rFonts w:ascii="Times New Roman" w:hAnsi="Times New Roman" w:cs="Times New Roman"/>
          <w:sz w:val="24"/>
          <w:szCs w:val="24"/>
        </w:rPr>
        <w:t>dato personal</w:t>
      </w:r>
      <w:r w:rsidR="00B400F7">
        <w:rPr>
          <w:rFonts w:ascii="Times New Roman" w:hAnsi="Times New Roman" w:cs="Times New Roman"/>
          <w:sz w:val="24"/>
          <w:szCs w:val="24"/>
        </w:rPr>
        <w:t>»</w:t>
      </w:r>
      <w:r w:rsidR="001D5005" w:rsidRPr="00C30398">
        <w:rPr>
          <w:rFonts w:ascii="Times New Roman" w:hAnsi="Times New Roman" w:cs="Times New Roman"/>
          <w:sz w:val="24"/>
          <w:szCs w:val="24"/>
        </w:rPr>
        <w:t xml:space="preserve"> se define en el primer apartado</w:t>
      </w:r>
      <w:r w:rsidR="00B400F7">
        <w:rPr>
          <w:rFonts w:ascii="Times New Roman" w:hAnsi="Times New Roman" w:cs="Times New Roman"/>
          <w:sz w:val="24"/>
          <w:szCs w:val="24"/>
        </w:rPr>
        <w:t xml:space="preserve"> del art. 4 RGPD. Se trata de </w:t>
      </w:r>
      <w:r w:rsidR="001D5005" w:rsidRPr="00C30398">
        <w:rPr>
          <w:rFonts w:ascii="Times New Roman" w:hAnsi="Times New Roman" w:cs="Times New Roman"/>
          <w:sz w:val="24"/>
          <w:szCs w:val="24"/>
        </w:rPr>
        <w:t>“toda información sobre una persona física identificada o identificable («el interesado»)”, entendiendo</w:t>
      </w:r>
      <w:r w:rsidR="00B400F7">
        <w:rPr>
          <w:rFonts w:ascii="Times New Roman" w:hAnsi="Times New Roman" w:cs="Times New Roman"/>
          <w:sz w:val="24"/>
          <w:szCs w:val="24"/>
        </w:rPr>
        <w:t xml:space="preserve"> por esta segunda</w:t>
      </w:r>
      <w:r w:rsidR="001D5005" w:rsidRPr="00C30398">
        <w:rPr>
          <w:rFonts w:ascii="Times New Roman" w:hAnsi="Times New Roman" w:cs="Times New Roman"/>
          <w:sz w:val="24"/>
          <w:szCs w:val="24"/>
        </w:rPr>
        <w:t xml:space="preserve"> “toda persona cuya identidad pueda determinarse, directa o indirectamente, en particular mediante un identificador, como por ejemplo un nombre, un número de identificación, datos de localización, un identificador en línea o uno o varios elementos propios de la identidad física, fisiológica, genética, psíquica, económica, cultural o social de dicha person</w:t>
      </w:r>
      <w:r w:rsidR="001D5005">
        <w:rPr>
          <w:rFonts w:ascii="Times New Roman" w:hAnsi="Times New Roman" w:cs="Times New Roman"/>
          <w:sz w:val="24"/>
          <w:szCs w:val="24"/>
        </w:rPr>
        <w:t>a”.</w:t>
      </w:r>
    </w:p>
    <w:p w:rsidR="001D5005" w:rsidRPr="00C30398" w:rsidRDefault="001D5005" w:rsidP="001D5005">
      <w:pPr>
        <w:ind w:firstLine="360"/>
        <w:jc w:val="both"/>
        <w:rPr>
          <w:rFonts w:ascii="Times New Roman" w:hAnsi="Times New Roman" w:cs="Times New Roman"/>
          <w:sz w:val="24"/>
          <w:szCs w:val="24"/>
        </w:rPr>
      </w:pPr>
      <w:r>
        <w:rPr>
          <w:rFonts w:ascii="Times New Roman" w:hAnsi="Times New Roman" w:cs="Times New Roman"/>
          <w:sz w:val="24"/>
          <w:szCs w:val="24"/>
        </w:rPr>
        <w:t>El «interesado»</w:t>
      </w:r>
      <w:r w:rsidR="00B400F7">
        <w:rPr>
          <w:rFonts w:ascii="Times New Roman" w:hAnsi="Times New Roman" w:cs="Times New Roman"/>
          <w:sz w:val="24"/>
          <w:szCs w:val="24"/>
        </w:rPr>
        <w:t>,</w:t>
      </w:r>
      <w:r>
        <w:rPr>
          <w:rFonts w:ascii="Times New Roman" w:hAnsi="Times New Roman" w:cs="Times New Roman"/>
          <w:sz w:val="24"/>
          <w:szCs w:val="24"/>
        </w:rPr>
        <w:t xml:space="preserve"> que aparece en la definición anterior</w:t>
      </w:r>
      <w:r w:rsidR="00B400F7">
        <w:rPr>
          <w:rFonts w:ascii="Times New Roman" w:hAnsi="Times New Roman" w:cs="Times New Roman"/>
          <w:sz w:val="24"/>
          <w:szCs w:val="24"/>
        </w:rPr>
        <w:t>,</w:t>
      </w:r>
      <w:r>
        <w:rPr>
          <w:rFonts w:ascii="Times New Roman" w:hAnsi="Times New Roman" w:cs="Times New Roman"/>
          <w:sz w:val="24"/>
          <w:szCs w:val="24"/>
        </w:rPr>
        <w:t xml:space="preserve"> nos remite al titular que puede ejercer este derecho a la protección de datos, que, en la medida que forma parte de los denominados derechos de la personalidad, hay que predicarlo de toda persona</w:t>
      </w:r>
      <w:r>
        <w:rPr>
          <w:rStyle w:val="Refdenotaalpie"/>
          <w:rFonts w:ascii="Times New Roman" w:hAnsi="Times New Roman" w:cs="Times New Roman"/>
          <w:sz w:val="24"/>
          <w:szCs w:val="24"/>
        </w:rPr>
        <w:footnoteReference w:id="8"/>
      </w:r>
      <w:r>
        <w:rPr>
          <w:rFonts w:ascii="Times New Roman" w:hAnsi="Times New Roman" w:cs="Times New Roman"/>
          <w:sz w:val="24"/>
          <w:szCs w:val="24"/>
        </w:rPr>
        <w:t>, pero para ejercitarlo se requiere otra condición, la que ahora estamos subrayando: solo los concernidos</w:t>
      </w:r>
      <w:r>
        <w:rPr>
          <w:rStyle w:val="Refdenotaalpie"/>
          <w:rFonts w:ascii="Times New Roman" w:hAnsi="Times New Roman" w:cs="Times New Roman"/>
          <w:sz w:val="24"/>
          <w:szCs w:val="24"/>
        </w:rPr>
        <w:footnoteReference w:id="9"/>
      </w:r>
      <w:r>
        <w:rPr>
          <w:rFonts w:ascii="Times New Roman" w:hAnsi="Times New Roman" w:cs="Times New Roman"/>
          <w:sz w:val="24"/>
          <w:szCs w:val="24"/>
        </w:rPr>
        <w:t>, los afectados</w:t>
      </w:r>
      <w:r>
        <w:rPr>
          <w:rStyle w:val="Refdenotaalpie"/>
          <w:rFonts w:ascii="Times New Roman" w:hAnsi="Times New Roman" w:cs="Times New Roman"/>
          <w:sz w:val="24"/>
          <w:szCs w:val="24"/>
        </w:rPr>
        <w:footnoteReference w:id="10"/>
      </w:r>
      <w:r>
        <w:rPr>
          <w:rFonts w:ascii="Times New Roman" w:hAnsi="Times New Roman" w:cs="Times New Roman"/>
          <w:sz w:val="24"/>
          <w:szCs w:val="24"/>
        </w:rPr>
        <w:t>, porque exista un vínculo o conexión entre la persona física y el dato personal tratado, podrá</w:t>
      </w:r>
      <w:r w:rsidR="00B400F7">
        <w:rPr>
          <w:rFonts w:ascii="Times New Roman" w:hAnsi="Times New Roman" w:cs="Times New Roman"/>
          <w:sz w:val="24"/>
          <w:szCs w:val="24"/>
        </w:rPr>
        <w:t>n</w:t>
      </w:r>
      <w:r>
        <w:rPr>
          <w:rFonts w:ascii="Times New Roman" w:hAnsi="Times New Roman" w:cs="Times New Roman"/>
          <w:sz w:val="24"/>
          <w:szCs w:val="24"/>
        </w:rPr>
        <w:t xml:space="preserve"> ejercer las facultades que este derecho confiere</w:t>
      </w:r>
      <w:r>
        <w:rPr>
          <w:rStyle w:val="Refdenotaalpie"/>
          <w:rFonts w:ascii="Times New Roman" w:hAnsi="Times New Roman" w:cs="Times New Roman"/>
          <w:sz w:val="24"/>
          <w:szCs w:val="24"/>
        </w:rPr>
        <w:footnoteReference w:id="11"/>
      </w:r>
      <w:r>
        <w:rPr>
          <w:rFonts w:ascii="Times New Roman" w:hAnsi="Times New Roman" w:cs="Times New Roman"/>
          <w:sz w:val="24"/>
          <w:szCs w:val="24"/>
        </w:rPr>
        <w:t xml:space="preserve">. </w:t>
      </w:r>
      <w:r w:rsidRPr="00C30398">
        <w:rPr>
          <w:rFonts w:ascii="Times New Roman" w:hAnsi="Times New Roman" w:cs="Times New Roman"/>
          <w:sz w:val="24"/>
          <w:szCs w:val="24"/>
        </w:rPr>
        <w:lastRenderedPageBreak/>
        <w:t>Puesto que el precepto habla de “toda información”, queda claro que los datos personales no se circunscriben a los íntimos. El concepto comprende cualquier información.</w:t>
      </w:r>
    </w:p>
    <w:p w:rsidR="001D5005" w:rsidRDefault="001D5005" w:rsidP="001D5005">
      <w:pPr>
        <w:ind w:firstLine="708"/>
        <w:jc w:val="both"/>
        <w:rPr>
          <w:rFonts w:ascii="Times New Roman" w:hAnsi="Times New Roman" w:cs="Times New Roman"/>
          <w:sz w:val="24"/>
          <w:szCs w:val="24"/>
        </w:rPr>
      </w:pPr>
      <w:r w:rsidRPr="00C30398">
        <w:rPr>
          <w:rFonts w:ascii="Times New Roman" w:hAnsi="Times New Roman" w:cs="Times New Roman"/>
          <w:sz w:val="24"/>
          <w:szCs w:val="24"/>
        </w:rPr>
        <w:t>Puesto que el derecho reconoce la facultad que toda persona tiene a que sus datos no sean tratados, otro concepto fundamental en la ma</w:t>
      </w:r>
      <w:r w:rsidR="00B400F7">
        <w:rPr>
          <w:rFonts w:ascii="Times New Roman" w:hAnsi="Times New Roman" w:cs="Times New Roman"/>
          <w:sz w:val="24"/>
          <w:szCs w:val="24"/>
        </w:rPr>
        <w:t>teria es este de</w:t>
      </w:r>
      <w:r>
        <w:rPr>
          <w:rFonts w:ascii="Times New Roman" w:hAnsi="Times New Roman" w:cs="Times New Roman"/>
          <w:sz w:val="24"/>
          <w:szCs w:val="24"/>
        </w:rPr>
        <w:t xml:space="preserve"> </w:t>
      </w:r>
      <w:r w:rsidR="00B400F7">
        <w:rPr>
          <w:rFonts w:ascii="Times New Roman" w:hAnsi="Times New Roman" w:cs="Times New Roman"/>
          <w:sz w:val="24"/>
          <w:szCs w:val="24"/>
        </w:rPr>
        <w:t>«</w:t>
      </w:r>
      <w:r>
        <w:rPr>
          <w:rFonts w:ascii="Times New Roman" w:hAnsi="Times New Roman" w:cs="Times New Roman"/>
          <w:sz w:val="24"/>
          <w:szCs w:val="24"/>
        </w:rPr>
        <w:t>tratamiento</w:t>
      </w:r>
      <w:r w:rsidR="00B400F7">
        <w:rPr>
          <w:rFonts w:ascii="Times New Roman" w:hAnsi="Times New Roman" w:cs="Times New Roman"/>
          <w:sz w:val="24"/>
          <w:szCs w:val="24"/>
        </w:rPr>
        <w:t>»</w:t>
      </w:r>
      <w:r>
        <w:rPr>
          <w:rFonts w:ascii="Times New Roman" w:hAnsi="Times New Roman" w:cs="Times New Roman"/>
          <w:sz w:val="24"/>
          <w:szCs w:val="24"/>
        </w:rPr>
        <w:t>, pues este derecho fundamen</w:t>
      </w:r>
      <w:r w:rsidR="0093519E">
        <w:rPr>
          <w:rFonts w:ascii="Times New Roman" w:hAnsi="Times New Roman" w:cs="Times New Roman"/>
          <w:sz w:val="24"/>
          <w:szCs w:val="24"/>
        </w:rPr>
        <w:t>t</w:t>
      </w:r>
      <w:r>
        <w:rPr>
          <w:rFonts w:ascii="Times New Roman" w:hAnsi="Times New Roman" w:cs="Times New Roman"/>
          <w:sz w:val="24"/>
          <w:szCs w:val="24"/>
        </w:rPr>
        <w:t>al no se ha reconocido para proteger los datos personales en sí, sino para dar una respuesta específica a las nuevas amenazas para los derechos y libertades de las personas derivadas de la posibilidad de recopilar, almacenar y transmitir tales datos</w:t>
      </w:r>
      <w:r>
        <w:rPr>
          <w:rStyle w:val="Refdenotaalpie"/>
          <w:rFonts w:ascii="Times New Roman" w:hAnsi="Times New Roman" w:cs="Times New Roman"/>
          <w:sz w:val="24"/>
          <w:szCs w:val="24"/>
        </w:rPr>
        <w:footnoteReference w:id="12"/>
      </w:r>
      <w:r>
        <w:rPr>
          <w:rFonts w:ascii="Times New Roman" w:hAnsi="Times New Roman" w:cs="Times New Roman"/>
          <w:sz w:val="24"/>
          <w:szCs w:val="24"/>
        </w:rPr>
        <w:t xml:space="preserve">. </w:t>
      </w:r>
      <w:r w:rsidR="00B400F7">
        <w:rPr>
          <w:rFonts w:ascii="Times New Roman" w:hAnsi="Times New Roman" w:cs="Times New Roman"/>
          <w:sz w:val="24"/>
          <w:szCs w:val="24"/>
        </w:rPr>
        <w:t>Esto es, e</w:t>
      </w:r>
      <w:r>
        <w:rPr>
          <w:rFonts w:ascii="Times New Roman" w:hAnsi="Times New Roman" w:cs="Times New Roman"/>
          <w:sz w:val="24"/>
          <w:szCs w:val="24"/>
        </w:rPr>
        <w:t>l derecho a la protección de datos no protege los datos sin más, sino en cuanto que hayan</w:t>
      </w:r>
      <w:r w:rsidR="00B400F7">
        <w:rPr>
          <w:rFonts w:ascii="Times New Roman" w:hAnsi="Times New Roman" w:cs="Times New Roman"/>
          <w:sz w:val="24"/>
          <w:szCs w:val="24"/>
        </w:rPr>
        <w:t xml:space="preserve"> sido</w:t>
      </w:r>
      <w:r>
        <w:rPr>
          <w:rFonts w:ascii="Times New Roman" w:hAnsi="Times New Roman" w:cs="Times New Roman"/>
          <w:sz w:val="24"/>
          <w:szCs w:val="24"/>
        </w:rPr>
        <w:t xml:space="preserve"> recabados para ser “tratados”</w:t>
      </w:r>
      <w:r>
        <w:rPr>
          <w:rStyle w:val="Refdenotaalpie"/>
          <w:rFonts w:ascii="Times New Roman" w:hAnsi="Times New Roman" w:cs="Times New Roman"/>
          <w:sz w:val="24"/>
          <w:szCs w:val="24"/>
        </w:rPr>
        <w:footnoteReference w:id="13"/>
      </w:r>
      <w:r>
        <w:rPr>
          <w:rFonts w:ascii="Times New Roman" w:hAnsi="Times New Roman" w:cs="Times New Roman"/>
          <w:sz w:val="24"/>
          <w:szCs w:val="24"/>
        </w:rPr>
        <w:t xml:space="preserve">. </w:t>
      </w:r>
      <w:r w:rsidRPr="00C30398">
        <w:rPr>
          <w:rFonts w:ascii="Times New Roman" w:hAnsi="Times New Roman" w:cs="Times New Roman"/>
          <w:sz w:val="24"/>
          <w:szCs w:val="24"/>
        </w:rPr>
        <w:t>Por tal hay que entender, señala el art. 4.2) del RGPD  2), “cualquier operación o conjunto de operaciones realizadas sobre datos personales o conjuntos de datos personales, ya sea por procedimientos automatizados o no, como la recogida, registro, organización, estructuración, conservación, adaptación o modificación, extracción, consulta, utilización, comunicación por transmisión, difusión o cualquier otra forma de habilitación de acceso, cotejo o interconexión, limitación, supresión o destrucción”</w:t>
      </w:r>
      <w:r>
        <w:rPr>
          <w:rStyle w:val="Refdenotaalpie"/>
          <w:rFonts w:ascii="Times New Roman" w:hAnsi="Times New Roman" w:cs="Times New Roman"/>
          <w:sz w:val="24"/>
          <w:szCs w:val="24"/>
        </w:rPr>
        <w:footnoteReference w:id="14"/>
      </w:r>
      <w:r w:rsidRPr="00C30398">
        <w:rPr>
          <w:rFonts w:ascii="Times New Roman" w:hAnsi="Times New Roman" w:cs="Times New Roman"/>
          <w:sz w:val="24"/>
          <w:szCs w:val="24"/>
        </w:rPr>
        <w:t xml:space="preserve">. Es importante retener, en consecuencia, que el derecho no se circunscribe a las operaciones </w:t>
      </w:r>
      <w:r w:rsidRPr="00C30398">
        <w:rPr>
          <w:rFonts w:ascii="Times New Roman" w:hAnsi="Times New Roman" w:cs="Times New Roman"/>
          <w:sz w:val="24"/>
          <w:szCs w:val="24"/>
        </w:rPr>
        <w:lastRenderedPageBreak/>
        <w:t xml:space="preserve">automatizadas. </w:t>
      </w:r>
      <w:r w:rsidR="00B400F7">
        <w:rPr>
          <w:rFonts w:ascii="Times New Roman" w:hAnsi="Times New Roman" w:cs="Times New Roman"/>
          <w:sz w:val="24"/>
          <w:szCs w:val="24"/>
        </w:rPr>
        <w:t>L</w:t>
      </w:r>
      <w:r w:rsidRPr="00C30398">
        <w:rPr>
          <w:rFonts w:ascii="Times New Roman" w:hAnsi="Times New Roman" w:cs="Times New Roman"/>
          <w:sz w:val="24"/>
          <w:szCs w:val="24"/>
        </w:rPr>
        <w:t>os datos de una persona</w:t>
      </w:r>
      <w:r w:rsidR="00B400F7">
        <w:rPr>
          <w:rFonts w:ascii="Times New Roman" w:hAnsi="Times New Roman" w:cs="Times New Roman"/>
          <w:sz w:val="24"/>
          <w:szCs w:val="24"/>
        </w:rPr>
        <w:t xml:space="preserve"> tampoco</w:t>
      </w:r>
      <w:r w:rsidRPr="00C30398">
        <w:rPr>
          <w:rFonts w:ascii="Times New Roman" w:hAnsi="Times New Roman" w:cs="Times New Roman"/>
          <w:sz w:val="24"/>
          <w:szCs w:val="24"/>
        </w:rPr>
        <w:t xml:space="preserve"> pueden ser recogidos y organizados de manera manual sin la previa autorización del interesado.</w:t>
      </w:r>
    </w:p>
    <w:p w:rsidR="001D5005" w:rsidRDefault="001D5005" w:rsidP="001D5005">
      <w:pPr>
        <w:ind w:firstLine="708"/>
        <w:jc w:val="both"/>
      </w:pPr>
      <w:r w:rsidRPr="00685595">
        <w:rPr>
          <w:rFonts w:ascii="Times New Roman" w:hAnsi="Times New Roman" w:cs="Times New Roman"/>
          <w:sz w:val="24"/>
          <w:szCs w:val="24"/>
        </w:rPr>
        <w:t>Si bien, como acabamos de recordar, la normativa sobre protección de datos es de aplicación con independencia de que el tratamiento sea automatizado o no, en el caso de que no lo fuera, sólo resultaría de aplicación si los datos objeto de tratamiento formaran parte o es</w:t>
      </w:r>
      <w:r w:rsidR="0093519E">
        <w:rPr>
          <w:rFonts w:ascii="Times New Roman" w:hAnsi="Times New Roman" w:cs="Times New Roman"/>
          <w:sz w:val="24"/>
          <w:szCs w:val="24"/>
        </w:rPr>
        <w:t>tuvieran destinados a ser inclu</w:t>
      </w:r>
      <w:r w:rsidRPr="00685595">
        <w:rPr>
          <w:rFonts w:ascii="Times New Roman" w:hAnsi="Times New Roman" w:cs="Times New Roman"/>
          <w:sz w:val="24"/>
          <w:szCs w:val="24"/>
        </w:rPr>
        <w:t>idos en un «fichero», concepto que el artículo 4.6) RGPD define como: “todo conjunto estructurado de datos personales, accesibles con arreglo a criterios determinados, ya sea centralizado, descentralizado o repartido de forma funcional o geográfica”.</w:t>
      </w:r>
      <w:r>
        <w:rPr>
          <w:rFonts w:ascii="Times New Roman" w:hAnsi="Times New Roman" w:cs="Times New Roman"/>
          <w:sz w:val="24"/>
          <w:szCs w:val="24"/>
        </w:rPr>
        <w:t xml:space="preserve"> En consecuencia, una pluralidad de datos personales desordenados no podría ser </w:t>
      </w:r>
      <w:r w:rsidR="00B400F7">
        <w:rPr>
          <w:rFonts w:ascii="Times New Roman" w:hAnsi="Times New Roman" w:cs="Times New Roman"/>
          <w:sz w:val="24"/>
          <w:szCs w:val="24"/>
        </w:rPr>
        <w:t>c</w:t>
      </w:r>
      <w:r>
        <w:rPr>
          <w:rFonts w:ascii="Times New Roman" w:hAnsi="Times New Roman" w:cs="Times New Roman"/>
          <w:sz w:val="24"/>
          <w:szCs w:val="24"/>
        </w:rPr>
        <w:t>o</w:t>
      </w:r>
      <w:r w:rsidR="00B400F7">
        <w:rPr>
          <w:rFonts w:ascii="Times New Roman" w:hAnsi="Times New Roman" w:cs="Times New Roman"/>
          <w:sz w:val="24"/>
          <w:szCs w:val="24"/>
        </w:rPr>
        <w:t>mprendido</w:t>
      </w:r>
      <w:r>
        <w:rPr>
          <w:rFonts w:ascii="Times New Roman" w:hAnsi="Times New Roman" w:cs="Times New Roman"/>
          <w:sz w:val="24"/>
          <w:szCs w:val="24"/>
        </w:rPr>
        <w:t xml:space="preserve"> en este concepto. Para ser catalogado como fichero a efectos de la aplicación de esta normativa, los datos habrán de estar organizados de forma estructurada y ser accesibles, teniendo presente que, en relación con el primero de estos dos requisitos, el</w:t>
      </w:r>
      <w:r w:rsidR="00B400F7">
        <w:rPr>
          <w:rFonts w:ascii="Times New Roman" w:hAnsi="Times New Roman" w:cs="Times New Roman"/>
          <w:sz w:val="24"/>
          <w:szCs w:val="24"/>
        </w:rPr>
        <w:t xml:space="preserve"> Tribunal de Justicia de la Unión Europea (</w:t>
      </w:r>
      <w:r>
        <w:rPr>
          <w:rFonts w:ascii="Times New Roman" w:hAnsi="Times New Roman" w:cs="Times New Roman"/>
          <w:sz w:val="24"/>
          <w:szCs w:val="24"/>
        </w:rPr>
        <w:t>TJUE</w:t>
      </w:r>
      <w:r w:rsidR="00B400F7">
        <w:rPr>
          <w:rFonts w:ascii="Times New Roman" w:hAnsi="Times New Roman" w:cs="Times New Roman"/>
          <w:sz w:val="24"/>
          <w:szCs w:val="24"/>
        </w:rPr>
        <w:t>)</w:t>
      </w:r>
      <w:r>
        <w:rPr>
          <w:rFonts w:ascii="Times New Roman" w:hAnsi="Times New Roman" w:cs="Times New Roman"/>
          <w:sz w:val="24"/>
          <w:szCs w:val="24"/>
        </w:rPr>
        <w:t xml:space="preserve"> ha advertido que han de tratarse de criterios “relativos a las personas”, como pueden ser el nombre, los apellidos, la dirección, o cualquier otro</w:t>
      </w:r>
      <w:r>
        <w:rPr>
          <w:rStyle w:val="Refdenotaalpie"/>
          <w:rFonts w:ascii="Times New Roman" w:hAnsi="Times New Roman" w:cs="Times New Roman"/>
          <w:sz w:val="24"/>
          <w:szCs w:val="24"/>
        </w:rPr>
        <w:footnoteReference w:id="15"/>
      </w:r>
      <w:r>
        <w:rPr>
          <w:rFonts w:ascii="Times New Roman" w:hAnsi="Times New Roman" w:cs="Times New Roman"/>
          <w:color w:val="000000"/>
          <w:sz w:val="24"/>
          <w:szCs w:val="24"/>
        </w:rPr>
        <w:t>.</w:t>
      </w:r>
    </w:p>
    <w:p w:rsidR="001D5005" w:rsidRPr="00C30398" w:rsidRDefault="001D5005" w:rsidP="001D5005">
      <w:pPr>
        <w:ind w:firstLine="708"/>
        <w:jc w:val="both"/>
        <w:rPr>
          <w:rFonts w:ascii="Times New Roman" w:hAnsi="Times New Roman" w:cs="Times New Roman"/>
          <w:sz w:val="24"/>
          <w:szCs w:val="24"/>
        </w:rPr>
      </w:pPr>
      <w:r w:rsidRPr="00C30398">
        <w:rPr>
          <w:rFonts w:ascii="Times New Roman" w:hAnsi="Times New Roman" w:cs="Times New Roman"/>
          <w:sz w:val="24"/>
          <w:szCs w:val="24"/>
        </w:rPr>
        <w:t xml:space="preserve">El concepto </w:t>
      </w:r>
      <w:r w:rsidR="00346B00">
        <w:rPr>
          <w:rFonts w:ascii="Times New Roman" w:hAnsi="Times New Roman" w:cs="Times New Roman"/>
          <w:sz w:val="24"/>
          <w:szCs w:val="24"/>
        </w:rPr>
        <w:t>«</w:t>
      </w:r>
      <w:r w:rsidRPr="00C30398">
        <w:rPr>
          <w:rFonts w:ascii="Times New Roman" w:hAnsi="Times New Roman" w:cs="Times New Roman"/>
          <w:sz w:val="24"/>
          <w:szCs w:val="24"/>
        </w:rPr>
        <w:t>elaboración de perfiles</w:t>
      </w:r>
      <w:r w:rsidR="00346B00">
        <w:rPr>
          <w:rFonts w:ascii="Times New Roman" w:hAnsi="Times New Roman" w:cs="Times New Roman"/>
          <w:sz w:val="24"/>
          <w:szCs w:val="24"/>
        </w:rPr>
        <w:t>»</w:t>
      </w:r>
      <w:r w:rsidRPr="00C30398">
        <w:rPr>
          <w:rFonts w:ascii="Times New Roman" w:hAnsi="Times New Roman" w:cs="Times New Roman"/>
          <w:sz w:val="24"/>
          <w:szCs w:val="24"/>
        </w:rPr>
        <w:t xml:space="preserve"> es otro de los relevantes</w:t>
      </w:r>
      <w:r w:rsidR="00222038">
        <w:rPr>
          <w:rFonts w:ascii="Times New Roman" w:hAnsi="Times New Roman" w:cs="Times New Roman"/>
          <w:sz w:val="24"/>
          <w:szCs w:val="24"/>
        </w:rPr>
        <w:t xml:space="preserve"> en relación con el objeto de este trabajo</w:t>
      </w:r>
      <w:r w:rsidRPr="00C30398">
        <w:rPr>
          <w:rFonts w:ascii="Times New Roman" w:hAnsi="Times New Roman" w:cs="Times New Roman"/>
          <w:sz w:val="24"/>
          <w:szCs w:val="24"/>
        </w:rPr>
        <w:t xml:space="preserve">. El artículo 4.4) RGPD lo define como “toda forma de tratamiento automatizado de datos personales consistente en utilizar datos personales para evaluar determinados aspectos personales de una persona física, en particular para analizar o predecir aspectos relativos al rendimiento profesional, situación económica, salud, preferencias personales, intereses, fiabilidad, comportamiento, ubicación o movimientos de dicha persona física”. </w:t>
      </w:r>
      <w:r w:rsidR="00426A45">
        <w:rPr>
          <w:rFonts w:ascii="Times New Roman" w:hAnsi="Times New Roman" w:cs="Times New Roman"/>
          <w:sz w:val="24"/>
          <w:szCs w:val="24"/>
        </w:rPr>
        <w:t>S</w:t>
      </w:r>
      <w:r w:rsidR="00426A45" w:rsidRPr="00C30398">
        <w:rPr>
          <w:rFonts w:ascii="Times New Roman" w:hAnsi="Times New Roman" w:cs="Times New Roman"/>
          <w:sz w:val="24"/>
          <w:szCs w:val="24"/>
        </w:rPr>
        <w:t>e trata de un concepto que en la materia que nos ocupa t</w:t>
      </w:r>
      <w:r w:rsidR="00426A45">
        <w:rPr>
          <w:rFonts w:ascii="Times New Roman" w:hAnsi="Times New Roman" w:cs="Times New Roman"/>
          <w:sz w:val="24"/>
          <w:szCs w:val="24"/>
        </w:rPr>
        <w:t>iene una particular importancia. Si los partidos políticos pueden recabar datos ralativos a las opiniones políticas de las personas en el marco de sus actividades electorales (Considerando 56 del RGPD, cit.), estos tratamientos habrán de estar especialmente controlados para evitar que tales perfiles sean utilizados para influir fraudulentamente en los resultados de unos comicios electo</w:t>
      </w:r>
      <w:r w:rsidR="006673A4">
        <w:rPr>
          <w:rFonts w:ascii="Times New Roman" w:hAnsi="Times New Roman" w:cs="Times New Roman"/>
          <w:sz w:val="24"/>
          <w:szCs w:val="24"/>
        </w:rPr>
        <w:t>r</w:t>
      </w:r>
      <w:r w:rsidR="00426A45">
        <w:rPr>
          <w:rFonts w:ascii="Times New Roman" w:hAnsi="Times New Roman" w:cs="Times New Roman"/>
          <w:sz w:val="24"/>
          <w:szCs w:val="24"/>
        </w:rPr>
        <w:t>ales.</w:t>
      </w:r>
      <w:r w:rsidRPr="00C30398">
        <w:rPr>
          <w:rFonts w:ascii="Times New Roman" w:hAnsi="Times New Roman" w:cs="Times New Roman"/>
          <w:sz w:val="24"/>
          <w:szCs w:val="24"/>
        </w:rPr>
        <w:t xml:space="preserve"> </w:t>
      </w:r>
    </w:p>
    <w:p w:rsidR="003C60B0" w:rsidRDefault="001D5005" w:rsidP="001D5005">
      <w:pPr>
        <w:ind w:firstLine="708"/>
        <w:jc w:val="both"/>
        <w:rPr>
          <w:rFonts w:ascii="Times New Roman" w:hAnsi="Times New Roman" w:cs="Times New Roman"/>
          <w:sz w:val="24"/>
          <w:szCs w:val="24"/>
        </w:rPr>
      </w:pPr>
      <w:r w:rsidRPr="00C30398">
        <w:rPr>
          <w:rFonts w:ascii="Times New Roman" w:hAnsi="Times New Roman" w:cs="Times New Roman"/>
          <w:sz w:val="24"/>
          <w:szCs w:val="24"/>
        </w:rPr>
        <w:t xml:space="preserve">El </w:t>
      </w:r>
      <w:r w:rsidR="003C60B0">
        <w:rPr>
          <w:rFonts w:ascii="Times New Roman" w:hAnsi="Times New Roman" w:cs="Times New Roman"/>
          <w:sz w:val="24"/>
          <w:szCs w:val="24"/>
        </w:rPr>
        <w:t>«</w:t>
      </w:r>
      <w:r w:rsidRPr="00C30398">
        <w:rPr>
          <w:rFonts w:ascii="Times New Roman" w:hAnsi="Times New Roman" w:cs="Times New Roman"/>
          <w:sz w:val="24"/>
          <w:szCs w:val="24"/>
        </w:rPr>
        <w:t>consentimiento del interesado</w:t>
      </w:r>
      <w:r w:rsidR="003C60B0">
        <w:rPr>
          <w:rFonts w:ascii="Times New Roman" w:hAnsi="Times New Roman" w:cs="Times New Roman"/>
          <w:sz w:val="24"/>
          <w:szCs w:val="24"/>
        </w:rPr>
        <w:t>»</w:t>
      </w:r>
      <w:r w:rsidRPr="00C30398">
        <w:rPr>
          <w:rFonts w:ascii="Times New Roman" w:hAnsi="Times New Roman" w:cs="Times New Roman"/>
          <w:sz w:val="24"/>
          <w:szCs w:val="24"/>
        </w:rPr>
        <w:t xml:space="preserve"> es el requisito que la norma exige para que los datos personales puedan ser tratados. Se trata de la “manifestación de voluntad libre, específica, informada e inequívoca por la que el interesado acepta, ya sea mediante una declaración o una clara acción afirmativa, el tratamiento de datos personales que le conciernen” [artículo 4.11) RGPD]. </w:t>
      </w:r>
      <w:r w:rsidR="003C60B0">
        <w:rPr>
          <w:rFonts w:ascii="Times New Roman" w:hAnsi="Times New Roman" w:cs="Times New Roman"/>
          <w:sz w:val="24"/>
          <w:szCs w:val="24"/>
        </w:rPr>
        <w:t xml:space="preserve">Que el consentimiento sea informado es imprescindible para conceder validez a la autorización recabada. El interesado debe comprender qué y para qué es lo que está aceptando.  </w:t>
      </w:r>
    </w:p>
    <w:p w:rsidR="001D5005" w:rsidRPr="00C30398" w:rsidRDefault="003C60B0" w:rsidP="003C60B0">
      <w:pPr>
        <w:ind w:firstLine="708"/>
        <w:jc w:val="both"/>
        <w:rPr>
          <w:rFonts w:ascii="Times New Roman" w:hAnsi="Times New Roman" w:cs="Times New Roman"/>
          <w:sz w:val="24"/>
          <w:szCs w:val="24"/>
        </w:rPr>
      </w:pPr>
      <w:r>
        <w:rPr>
          <w:rFonts w:ascii="Times New Roman" w:hAnsi="Times New Roman" w:cs="Times New Roman"/>
          <w:sz w:val="24"/>
          <w:szCs w:val="24"/>
        </w:rPr>
        <w:t>Los datos relativos a la id</w:t>
      </w:r>
      <w:r w:rsidR="00AC3E93">
        <w:rPr>
          <w:rFonts w:ascii="Times New Roman" w:hAnsi="Times New Roman" w:cs="Times New Roman"/>
          <w:sz w:val="24"/>
          <w:szCs w:val="24"/>
        </w:rPr>
        <w:t>e</w:t>
      </w:r>
      <w:r>
        <w:rPr>
          <w:rFonts w:ascii="Times New Roman" w:hAnsi="Times New Roman" w:cs="Times New Roman"/>
          <w:sz w:val="24"/>
          <w:szCs w:val="24"/>
        </w:rPr>
        <w:t xml:space="preserve">ología y opinión política de las personas en principio no pueden ser recabados, aunque la legislación contempla una serie de excepciones a las que más adelante nos referiremos. Entre ellas, que el interesado consienta expresamente. Por tanto, en estos casos el consentimiento no puede ser tácito (artículo 9 </w:t>
      </w:r>
      <w:r w:rsidR="001D5005" w:rsidRPr="00C30398">
        <w:rPr>
          <w:rFonts w:ascii="Times New Roman" w:hAnsi="Times New Roman" w:cs="Times New Roman"/>
          <w:sz w:val="24"/>
          <w:szCs w:val="24"/>
        </w:rPr>
        <w:t xml:space="preserve">del RGPD </w:t>
      </w:r>
      <w:r>
        <w:rPr>
          <w:rFonts w:ascii="Times New Roman" w:hAnsi="Times New Roman" w:cs="Times New Roman"/>
          <w:sz w:val="24"/>
          <w:szCs w:val="24"/>
        </w:rPr>
        <w:t>y de</w:t>
      </w:r>
      <w:r w:rsidR="001D5005" w:rsidRPr="00C30398">
        <w:rPr>
          <w:rFonts w:ascii="Times New Roman" w:hAnsi="Times New Roman" w:cs="Times New Roman"/>
          <w:sz w:val="24"/>
          <w:szCs w:val="24"/>
        </w:rPr>
        <w:t xml:space="preserve"> la Ley Orgánica 3/2018, de 5 de diciembre, de protección de datos personales y garantía de los derechos digitales).</w:t>
      </w:r>
    </w:p>
    <w:p w:rsidR="001D5005" w:rsidRPr="00C30398" w:rsidRDefault="001D5005" w:rsidP="001D5005">
      <w:pPr>
        <w:ind w:firstLine="708"/>
        <w:jc w:val="both"/>
        <w:rPr>
          <w:rFonts w:ascii="Times New Roman" w:hAnsi="Times New Roman" w:cs="Times New Roman"/>
          <w:sz w:val="24"/>
          <w:szCs w:val="24"/>
        </w:rPr>
      </w:pPr>
      <w:r w:rsidRPr="00C30398">
        <w:rPr>
          <w:rFonts w:ascii="Times New Roman" w:hAnsi="Times New Roman" w:cs="Times New Roman"/>
          <w:sz w:val="24"/>
          <w:szCs w:val="24"/>
        </w:rPr>
        <w:lastRenderedPageBreak/>
        <w:t>A partir de tal consentimiento, los datos habrán de ser tratado de acuerdo con los principios relacionados en el artículo 5</w:t>
      </w:r>
      <w:r>
        <w:rPr>
          <w:rFonts w:ascii="Times New Roman" w:hAnsi="Times New Roman" w:cs="Times New Roman"/>
          <w:sz w:val="24"/>
          <w:szCs w:val="24"/>
        </w:rPr>
        <w:t>.1</w:t>
      </w:r>
      <w:r w:rsidRPr="00C30398">
        <w:rPr>
          <w:rFonts w:ascii="Times New Roman" w:hAnsi="Times New Roman" w:cs="Times New Roman"/>
          <w:sz w:val="24"/>
          <w:szCs w:val="24"/>
        </w:rPr>
        <w:t xml:space="preserve"> RGPD, entre los que destacaremos la necesidad de que </w:t>
      </w:r>
      <w:r w:rsidR="00AC3E93">
        <w:rPr>
          <w:rFonts w:ascii="Times New Roman" w:hAnsi="Times New Roman" w:cs="Times New Roman"/>
          <w:sz w:val="24"/>
          <w:szCs w:val="24"/>
        </w:rPr>
        <w:t>solo</w:t>
      </w:r>
      <w:r w:rsidRPr="00C30398">
        <w:rPr>
          <w:rFonts w:ascii="Times New Roman" w:hAnsi="Times New Roman" w:cs="Times New Roman"/>
          <w:sz w:val="24"/>
          <w:szCs w:val="24"/>
        </w:rPr>
        <w:t xml:space="preserve"> sean tratados pa</w:t>
      </w:r>
      <w:r w:rsidR="00307C5D">
        <w:rPr>
          <w:rFonts w:ascii="Times New Roman" w:hAnsi="Times New Roman" w:cs="Times New Roman"/>
          <w:sz w:val="24"/>
          <w:szCs w:val="24"/>
        </w:rPr>
        <w:t>ra los fines legítimos que explí</w:t>
      </w:r>
      <w:r w:rsidRPr="00C30398">
        <w:rPr>
          <w:rFonts w:ascii="Times New Roman" w:hAnsi="Times New Roman" w:cs="Times New Roman"/>
          <w:sz w:val="24"/>
          <w:szCs w:val="24"/>
        </w:rPr>
        <w:t>citamente se determinaron a la hora de solicitar el consentimiento</w:t>
      </w:r>
      <w:r>
        <w:rPr>
          <w:rFonts w:ascii="Times New Roman" w:hAnsi="Times New Roman" w:cs="Times New Roman"/>
          <w:sz w:val="24"/>
          <w:szCs w:val="24"/>
        </w:rPr>
        <w:t xml:space="preserve"> [principio de limitación de la finalidad, apdo. b)] </w:t>
      </w:r>
      <w:r w:rsidRPr="00C30398">
        <w:rPr>
          <w:rFonts w:ascii="Times New Roman" w:hAnsi="Times New Roman" w:cs="Times New Roman"/>
          <w:sz w:val="24"/>
          <w:szCs w:val="24"/>
        </w:rPr>
        <w:t>y que los recabados sean exclusivamente los adecuados y pertinentes en relación con tales fines</w:t>
      </w:r>
      <w:r>
        <w:rPr>
          <w:rFonts w:ascii="Times New Roman" w:hAnsi="Times New Roman" w:cs="Times New Roman"/>
          <w:sz w:val="24"/>
          <w:szCs w:val="24"/>
        </w:rPr>
        <w:t xml:space="preserve"> [principio de minimización de datos, apar</w:t>
      </w:r>
      <w:r w:rsidR="00307C5D">
        <w:rPr>
          <w:rFonts w:ascii="Times New Roman" w:hAnsi="Times New Roman" w:cs="Times New Roman"/>
          <w:sz w:val="24"/>
          <w:szCs w:val="24"/>
        </w:rPr>
        <w:t>ta</w:t>
      </w:r>
      <w:r>
        <w:rPr>
          <w:rFonts w:ascii="Times New Roman" w:hAnsi="Times New Roman" w:cs="Times New Roman"/>
          <w:sz w:val="24"/>
          <w:szCs w:val="24"/>
        </w:rPr>
        <w:t>do c)]</w:t>
      </w:r>
      <w:r w:rsidR="0037657A" w:rsidRPr="006B5278">
        <w:rPr>
          <w:rStyle w:val="Refdenotaalpie"/>
          <w:rFonts w:ascii="Times New Roman" w:hAnsi="Times New Roman" w:cs="Times New Roman"/>
          <w:sz w:val="24"/>
          <w:szCs w:val="24"/>
        </w:rPr>
        <w:footnoteReference w:id="16"/>
      </w:r>
      <w:r w:rsidRPr="00C30398">
        <w:rPr>
          <w:rFonts w:ascii="Times New Roman" w:hAnsi="Times New Roman" w:cs="Times New Roman"/>
          <w:sz w:val="24"/>
          <w:szCs w:val="24"/>
        </w:rPr>
        <w:t>.</w:t>
      </w:r>
      <w:r>
        <w:rPr>
          <w:rFonts w:ascii="Times New Roman" w:hAnsi="Times New Roman" w:cs="Times New Roman"/>
          <w:sz w:val="24"/>
          <w:szCs w:val="24"/>
        </w:rPr>
        <w:t xml:space="preserve"> Si</w:t>
      </w:r>
      <w:r w:rsidR="00AC3E93">
        <w:rPr>
          <w:rFonts w:ascii="Times New Roman" w:hAnsi="Times New Roman" w:cs="Times New Roman"/>
          <w:sz w:val="24"/>
          <w:szCs w:val="24"/>
        </w:rPr>
        <w:t>, ciertamente,</w:t>
      </w:r>
      <w:r>
        <w:rPr>
          <w:rFonts w:ascii="Times New Roman" w:hAnsi="Times New Roman" w:cs="Times New Roman"/>
          <w:sz w:val="24"/>
          <w:szCs w:val="24"/>
        </w:rPr>
        <w:t xml:space="preserve"> todos los principios reconocidos en este precepto forman parte del contenido esencial del derecho a la protección de datos, estos dos tiene una especial trascendencia en esta nuev</w:t>
      </w:r>
      <w:r w:rsidR="00307C5D">
        <w:rPr>
          <w:rFonts w:ascii="Times New Roman" w:hAnsi="Times New Roman" w:cs="Times New Roman"/>
          <w:sz w:val="24"/>
          <w:szCs w:val="24"/>
        </w:rPr>
        <w:t>a era digital donde es material</w:t>
      </w:r>
      <w:r>
        <w:rPr>
          <w:rFonts w:ascii="Times New Roman" w:hAnsi="Times New Roman" w:cs="Times New Roman"/>
          <w:sz w:val="24"/>
          <w:szCs w:val="24"/>
        </w:rPr>
        <w:t xml:space="preserve">mente imposible que la garantía de este derecho dependa del consentimiento del interesado, pues es evidente que hoy resulta imposible estar al tanto de todas las operaciones que en relación con nuestros datos se llevan a cabo prácticamente a diario. </w:t>
      </w:r>
    </w:p>
    <w:p w:rsidR="001D5005" w:rsidRDefault="00AC3E93" w:rsidP="00C45AD3">
      <w:pPr>
        <w:spacing w:line="276" w:lineRule="auto"/>
        <w:ind w:firstLine="360"/>
        <w:jc w:val="both"/>
        <w:rPr>
          <w:rFonts w:ascii="Times New Roman" w:hAnsi="Times New Roman" w:cs="Times New Roman"/>
          <w:sz w:val="24"/>
          <w:szCs w:val="24"/>
        </w:rPr>
      </w:pPr>
      <w:r>
        <w:rPr>
          <w:rFonts w:ascii="Times New Roman" w:eastAsia="Calibri" w:hAnsi="Times New Roman" w:cs="Times New Roman"/>
          <w:color w:val="000000"/>
          <w:sz w:val="24"/>
          <w:szCs w:val="24"/>
          <w:lang w:eastAsia="es-ES"/>
        </w:rPr>
        <w:t>Estos conceptos cuyo significado acabamos de recordar nos ayudarán a comprender el contenido del</w:t>
      </w:r>
      <w:r w:rsidR="001D5005">
        <w:rPr>
          <w:rFonts w:ascii="Times New Roman" w:eastAsia="Calibri" w:hAnsi="Times New Roman" w:cs="Times New Roman"/>
          <w:color w:val="000000"/>
          <w:sz w:val="24"/>
          <w:szCs w:val="24"/>
          <w:lang w:eastAsia="es-ES"/>
        </w:rPr>
        <w:t xml:space="preserve"> derecho a la protección de datos</w:t>
      </w:r>
      <w:r>
        <w:rPr>
          <w:rFonts w:ascii="Times New Roman" w:eastAsia="Calibri" w:hAnsi="Times New Roman" w:cs="Times New Roman"/>
          <w:color w:val="000000"/>
          <w:sz w:val="24"/>
          <w:szCs w:val="24"/>
          <w:lang w:eastAsia="es-ES"/>
        </w:rPr>
        <w:t xml:space="preserve"> de carácter personal, que la Carta de Derechos</w:t>
      </w:r>
      <w:r w:rsidR="001D5005">
        <w:rPr>
          <w:rFonts w:ascii="Times New Roman" w:eastAsia="Calibri" w:hAnsi="Times New Roman" w:cs="Times New Roman"/>
          <w:color w:val="000000"/>
          <w:sz w:val="24"/>
          <w:szCs w:val="24"/>
          <w:lang w:eastAsia="es-ES"/>
        </w:rPr>
        <w:t xml:space="preserve"> Fundamentales de la UE</w:t>
      </w:r>
      <w:r>
        <w:rPr>
          <w:rFonts w:ascii="Times New Roman" w:eastAsia="Calibri" w:hAnsi="Times New Roman" w:cs="Times New Roman"/>
          <w:color w:val="000000"/>
          <w:sz w:val="24"/>
          <w:szCs w:val="24"/>
          <w:lang w:eastAsia="es-ES"/>
        </w:rPr>
        <w:t xml:space="preserve"> expresamente reconoce en el artículo 8, justo después de reconocer, en el artículo 7,</w:t>
      </w:r>
      <w:r w:rsidR="001D5005">
        <w:rPr>
          <w:rFonts w:ascii="Times New Roman" w:eastAsia="Calibri" w:hAnsi="Times New Roman" w:cs="Times New Roman"/>
          <w:color w:val="000000"/>
          <w:sz w:val="24"/>
          <w:szCs w:val="24"/>
          <w:lang w:eastAsia="es-ES"/>
        </w:rPr>
        <w:t xml:space="preserve"> el derecho a la vida privada y familiar. Dice así</w:t>
      </w:r>
      <w:r>
        <w:rPr>
          <w:rFonts w:ascii="Times New Roman" w:eastAsia="Calibri" w:hAnsi="Times New Roman" w:cs="Times New Roman"/>
          <w:color w:val="000000"/>
          <w:sz w:val="24"/>
          <w:szCs w:val="24"/>
          <w:lang w:eastAsia="es-ES"/>
        </w:rPr>
        <w:t xml:space="preserve"> su párrafo primero</w:t>
      </w:r>
      <w:r w:rsidR="001D5005">
        <w:rPr>
          <w:rFonts w:ascii="Times New Roman" w:eastAsia="Calibri" w:hAnsi="Times New Roman" w:cs="Times New Roman"/>
          <w:color w:val="000000"/>
          <w:sz w:val="24"/>
          <w:szCs w:val="24"/>
          <w:lang w:eastAsia="es-ES"/>
        </w:rPr>
        <w:t xml:space="preserve">: </w:t>
      </w:r>
      <w:r w:rsidR="001D5005" w:rsidRPr="001D5005">
        <w:rPr>
          <w:rFonts w:ascii="Times New Roman" w:hAnsi="Times New Roman" w:cs="Times New Roman"/>
          <w:sz w:val="24"/>
          <w:szCs w:val="24"/>
        </w:rPr>
        <w:t>“Toda persona tiene derecho a la protección de los datos de carácter personal que le conciernan”.</w:t>
      </w:r>
      <w:r>
        <w:rPr>
          <w:rFonts w:ascii="Times New Roman" w:hAnsi="Times New Roman" w:cs="Times New Roman"/>
          <w:sz w:val="24"/>
          <w:szCs w:val="24"/>
        </w:rPr>
        <w:t xml:space="preserve"> </w:t>
      </w:r>
      <w:r w:rsidR="001D5005">
        <w:rPr>
          <w:rFonts w:ascii="Times New Roman" w:hAnsi="Times New Roman" w:cs="Times New Roman"/>
          <w:sz w:val="24"/>
          <w:szCs w:val="24"/>
        </w:rPr>
        <w:t>Ni el Conven</w:t>
      </w:r>
      <w:r>
        <w:rPr>
          <w:rFonts w:ascii="Times New Roman" w:hAnsi="Times New Roman" w:cs="Times New Roman"/>
          <w:sz w:val="24"/>
          <w:szCs w:val="24"/>
        </w:rPr>
        <w:t>i</w:t>
      </w:r>
      <w:r w:rsidR="001D5005">
        <w:rPr>
          <w:rFonts w:ascii="Times New Roman" w:hAnsi="Times New Roman" w:cs="Times New Roman"/>
          <w:sz w:val="24"/>
          <w:szCs w:val="24"/>
        </w:rPr>
        <w:t>o Europeo de Derechos Humanos (CEDH) ni la Consti</w:t>
      </w:r>
      <w:r w:rsidR="00307C5D">
        <w:rPr>
          <w:rFonts w:ascii="Times New Roman" w:hAnsi="Times New Roman" w:cs="Times New Roman"/>
          <w:sz w:val="24"/>
          <w:szCs w:val="24"/>
        </w:rPr>
        <w:t>tu</w:t>
      </w:r>
      <w:r w:rsidR="001D5005">
        <w:rPr>
          <w:rFonts w:ascii="Times New Roman" w:hAnsi="Times New Roman" w:cs="Times New Roman"/>
          <w:sz w:val="24"/>
          <w:szCs w:val="24"/>
        </w:rPr>
        <w:t>ción española</w:t>
      </w:r>
      <w:r>
        <w:rPr>
          <w:rFonts w:ascii="Times New Roman" w:hAnsi="Times New Roman" w:cs="Times New Roman"/>
          <w:sz w:val="24"/>
          <w:szCs w:val="24"/>
        </w:rPr>
        <w:t xml:space="preserve"> (CE)</w:t>
      </w:r>
      <w:r w:rsidR="001D5005">
        <w:rPr>
          <w:rFonts w:ascii="Times New Roman" w:hAnsi="Times New Roman" w:cs="Times New Roman"/>
          <w:sz w:val="24"/>
          <w:szCs w:val="24"/>
        </w:rPr>
        <w:t xml:space="preserve"> reconocen expresamente este derecho</w:t>
      </w:r>
      <w:r>
        <w:rPr>
          <w:rFonts w:ascii="Times New Roman" w:hAnsi="Times New Roman" w:cs="Times New Roman"/>
          <w:sz w:val="24"/>
          <w:szCs w:val="24"/>
        </w:rPr>
        <w:t xml:space="preserve"> en su articulado. Ha sido </w:t>
      </w:r>
      <w:r w:rsidR="001D5005">
        <w:rPr>
          <w:rFonts w:ascii="Times New Roman" w:hAnsi="Times New Roman" w:cs="Times New Roman"/>
          <w:sz w:val="24"/>
          <w:szCs w:val="24"/>
        </w:rPr>
        <w:t>el T</w:t>
      </w:r>
      <w:r w:rsidR="00B400F7">
        <w:rPr>
          <w:rFonts w:ascii="Times New Roman" w:hAnsi="Times New Roman" w:cs="Times New Roman"/>
          <w:sz w:val="24"/>
          <w:szCs w:val="24"/>
        </w:rPr>
        <w:t>ribunal Europeo de Derechos Humanos (T</w:t>
      </w:r>
      <w:r w:rsidR="001D5005">
        <w:rPr>
          <w:rFonts w:ascii="Times New Roman" w:hAnsi="Times New Roman" w:cs="Times New Roman"/>
          <w:sz w:val="24"/>
          <w:szCs w:val="24"/>
        </w:rPr>
        <w:t>EDH</w:t>
      </w:r>
      <w:r w:rsidR="00B400F7">
        <w:rPr>
          <w:rFonts w:ascii="Times New Roman" w:hAnsi="Times New Roman" w:cs="Times New Roman"/>
          <w:sz w:val="24"/>
          <w:szCs w:val="24"/>
        </w:rPr>
        <w:t>)</w:t>
      </w:r>
      <w:r w:rsidR="001D5005">
        <w:rPr>
          <w:rFonts w:ascii="Times New Roman" w:hAnsi="Times New Roman" w:cs="Times New Roman"/>
          <w:sz w:val="24"/>
          <w:szCs w:val="24"/>
        </w:rPr>
        <w:t xml:space="preserve"> y el T</w:t>
      </w:r>
      <w:r w:rsidR="00B400F7">
        <w:rPr>
          <w:rFonts w:ascii="Times New Roman" w:hAnsi="Times New Roman" w:cs="Times New Roman"/>
          <w:sz w:val="24"/>
          <w:szCs w:val="24"/>
        </w:rPr>
        <w:t xml:space="preserve">ribunal </w:t>
      </w:r>
      <w:r w:rsidR="001D5005">
        <w:rPr>
          <w:rFonts w:ascii="Times New Roman" w:hAnsi="Times New Roman" w:cs="Times New Roman"/>
          <w:sz w:val="24"/>
          <w:szCs w:val="24"/>
        </w:rPr>
        <w:t>C</w:t>
      </w:r>
      <w:r w:rsidR="00B400F7">
        <w:rPr>
          <w:rFonts w:ascii="Times New Roman" w:hAnsi="Times New Roman" w:cs="Times New Roman"/>
          <w:sz w:val="24"/>
          <w:szCs w:val="24"/>
        </w:rPr>
        <w:t>onstitucional (TC)</w:t>
      </w:r>
      <w:r>
        <w:rPr>
          <w:rFonts w:ascii="Times New Roman" w:hAnsi="Times New Roman" w:cs="Times New Roman"/>
          <w:sz w:val="24"/>
          <w:szCs w:val="24"/>
        </w:rPr>
        <w:t xml:space="preserve"> quienes por vía interpretativa lo han ubicado, respectivamente,</w:t>
      </w:r>
      <w:r w:rsidR="001D5005">
        <w:rPr>
          <w:rFonts w:ascii="Times New Roman" w:hAnsi="Times New Roman" w:cs="Times New Roman"/>
          <w:sz w:val="24"/>
          <w:szCs w:val="24"/>
        </w:rPr>
        <w:t xml:space="preserve"> en el art. 8.1 y en el art. 18.4 de sus cartas de derechos.</w:t>
      </w:r>
    </w:p>
    <w:p w:rsidR="00C45AD3" w:rsidRDefault="001D5005" w:rsidP="00C45AD3">
      <w:pPr>
        <w:spacing w:line="276" w:lineRule="auto"/>
        <w:ind w:firstLine="360"/>
        <w:jc w:val="both"/>
        <w:rPr>
          <w:rFonts w:ascii="Times New Roman" w:eastAsia="Calibri" w:hAnsi="Times New Roman" w:cs="Times New Roman"/>
          <w:color w:val="000000"/>
          <w:sz w:val="24"/>
          <w:szCs w:val="24"/>
          <w:lang w:eastAsia="es-ES"/>
        </w:rPr>
      </w:pPr>
      <w:r>
        <w:rPr>
          <w:rFonts w:ascii="Times New Roman" w:eastAsia="Calibri" w:hAnsi="Times New Roman" w:cs="Times New Roman"/>
          <w:color w:val="000000"/>
          <w:sz w:val="24"/>
          <w:szCs w:val="24"/>
          <w:lang w:eastAsia="es-ES"/>
        </w:rPr>
        <w:t xml:space="preserve">Centrándonos en el ámbito interno, </w:t>
      </w:r>
      <w:r w:rsidR="00C45AD3" w:rsidRPr="00C30398">
        <w:rPr>
          <w:rFonts w:ascii="Times New Roman" w:eastAsia="Calibri" w:hAnsi="Times New Roman" w:cs="Times New Roman"/>
          <w:color w:val="000000"/>
          <w:sz w:val="24"/>
          <w:szCs w:val="24"/>
          <w:lang w:eastAsia="es-ES"/>
        </w:rPr>
        <w:t>el artículo 18.4 CE</w:t>
      </w:r>
      <w:r>
        <w:rPr>
          <w:rFonts w:ascii="Times New Roman" w:eastAsia="Calibri" w:hAnsi="Times New Roman" w:cs="Times New Roman"/>
          <w:color w:val="000000"/>
          <w:sz w:val="24"/>
          <w:szCs w:val="24"/>
          <w:lang w:eastAsia="es-ES"/>
        </w:rPr>
        <w:t xml:space="preserve"> </w:t>
      </w:r>
      <w:r w:rsidR="00C45AD3" w:rsidRPr="00C30398">
        <w:rPr>
          <w:rFonts w:ascii="Times New Roman" w:eastAsia="Calibri" w:hAnsi="Times New Roman" w:cs="Times New Roman"/>
          <w:color w:val="000000"/>
          <w:sz w:val="24"/>
          <w:szCs w:val="24"/>
          <w:lang w:eastAsia="es-ES"/>
        </w:rPr>
        <w:t>ordena qu</w:t>
      </w:r>
      <w:r w:rsidR="00C45AD3">
        <w:rPr>
          <w:rFonts w:ascii="Times New Roman" w:eastAsia="Calibri" w:hAnsi="Times New Roman" w:cs="Times New Roman"/>
          <w:color w:val="000000"/>
          <w:sz w:val="24"/>
          <w:szCs w:val="24"/>
          <w:lang w:eastAsia="es-ES"/>
        </w:rPr>
        <w:t xml:space="preserve">e la ley limite el uso de la informática para garantizar </w:t>
      </w:r>
      <w:r w:rsidR="00C45AD3" w:rsidRPr="00C30398">
        <w:rPr>
          <w:rFonts w:ascii="Times New Roman" w:eastAsia="Calibri" w:hAnsi="Times New Roman" w:cs="Times New Roman"/>
          <w:color w:val="000000"/>
          <w:sz w:val="24"/>
          <w:szCs w:val="24"/>
          <w:lang w:eastAsia="es-ES"/>
        </w:rPr>
        <w:t>el honor</w:t>
      </w:r>
      <w:r w:rsidR="00C45AD3">
        <w:rPr>
          <w:rFonts w:ascii="Times New Roman" w:eastAsia="Calibri" w:hAnsi="Times New Roman" w:cs="Times New Roman"/>
          <w:color w:val="000000"/>
          <w:sz w:val="24"/>
          <w:szCs w:val="24"/>
          <w:lang w:eastAsia="es-ES"/>
        </w:rPr>
        <w:t>,</w:t>
      </w:r>
      <w:r w:rsidR="00C45AD3" w:rsidRPr="00C30398">
        <w:rPr>
          <w:rFonts w:ascii="Times New Roman" w:eastAsia="Calibri" w:hAnsi="Times New Roman" w:cs="Times New Roman"/>
          <w:color w:val="000000"/>
          <w:sz w:val="24"/>
          <w:szCs w:val="24"/>
          <w:lang w:eastAsia="es-ES"/>
        </w:rPr>
        <w:t xml:space="preserve"> la intimidad personal y familiar de los ciudad</w:t>
      </w:r>
      <w:r w:rsidR="00C45AD3">
        <w:rPr>
          <w:rFonts w:ascii="Times New Roman" w:eastAsia="Calibri" w:hAnsi="Times New Roman" w:cs="Times New Roman"/>
          <w:color w:val="000000"/>
          <w:sz w:val="24"/>
          <w:szCs w:val="24"/>
          <w:lang w:eastAsia="es-ES"/>
        </w:rPr>
        <w:t>a</w:t>
      </w:r>
      <w:r w:rsidR="00C45AD3" w:rsidRPr="00C30398">
        <w:rPr>
          <w:rFonts w:ascii="Times New Roman" w:eastAsia="Calibri" w:hAnsi="Times New Roman" w:cs="Times New Roman"/>
          <w:color w:val="000000"/>
          <w:sz w:val="24"/>
          <w:szCs w:val="24"/>
          <w:lang w:eastAsia="es-ES"/>
        </w:rPr>
        <w:t>nos y el pleno ejercicio de sus derechos.</w:t>
      </w:r>
      <w:r w:rsidR="00AC3E93">
        <w:rPr>
          <w:rFonts w:ascii="Times New Roman" w:eastAsia="Calibri" w:hAnsi="Times New Roman" w:cs="Times New Roman"/>
          <w:color w:val="000000"/>
          <w:sz w:val="24"/>
          <w:szCs w:val="24"/>
          <w:lang w:eastAsia="es-ES"/>
        </w:rPr>
        <w:t xml:space="preserve"> En este mandato, el TC ha reconocido el derecho fundamental a la protección de datos personales, concibiéndolo como un derecho</w:t>
      </w:r>
      <w:r w:rsidR="00C45AD3">
        <w:rPr>
          <w:rFonts w:ascii="Times New Roman" w:eastAsia="Calibri" w:hAnsi="Times New Roman" w:cs="Times New Roman"/>
          <w:color w:val="000000"/>
          <w:sz w:val="24"/>
          <w:szCs w:val="24"/>
          <w:lang w:eastAsia="es-ES"/>
        </w:rPr>
        <w:t xml:space="preserve"> independiente o autónomo</w:t>
      </w:r>
      <w:r w:rsidR="00AC3E93">
        <w:rPr>
          <w:rFonts w:ascii="Times New Roman" w:eastAsia="Calibri" w:hAnsi="Times New Roman" w:cs="Times New Roman"/>
          <w:color w:val="000000"/>
          <w:sz w:val="24"/>
          <w:szCs w:val="24"/>
          <w:lang w:eastAsia="es-ES"/>
        </w:rPr>
        <w:t>, esto es, como un derecho con sustantividad propia. Las sentencias 254/1993, 290/2000 y 292/2000 han sido especialmente importantes en la configuración del mismo</w:t>
      </w:r>
      <w:r w:rsidR="00C45AD3" w:rsidRPr="00C30398">
        <w:rPr>
          <w:rStyle w:val="Refdenotaalpie"/>
          <w:rFonts w:ascii="Times New Roman" w:eastAsia="Calibri" w:hAnsi="Times New Roman" w:cs="Times New Roman"/>
          <w:color w:val="000000"/>
          <w:sz w:val="24"/>
          <w:szCs w:val="24"/>
          <w:lang w:eastAsia="es-ES"/>
        </w:rPr>
        <w:footnoteReference w:id="17"/>
      </w:r>
      <w:r w:rsidR="00AC3E93">
        <w:rPr>
          <w:rFonts w:ascii="Times New Roman" w:eastAsia="Calibri" w:hAnsi="Times New Roman" w:cs="Times New Roman"/>
          <w:color w:val="000000"/>
          <w:sz w:val="24"/>
          <w:szCs w:val="24"/>
          <w:lang w:eastAsia="es-ES"/>
        </w:rPr>
        <w:t>:</w:t>
      </w:r>
    </w:p>
    <w:p w:rsidR="00403A7C" w:rsidRDefault="00F31F39" w:rsidP="00403A7C">
      <w:pPr>
        <w:spacing w:line="276" w:lineRule="auto"/>
        <w:ind w:firstLine="360"/>
        <w:jc w:val="both"/>
        <w:rPr>
          <w:rFonts w:ascii="Times New Roman" w:eastAsia="Calibri" w:hAnsi="Times New Roman" w:cs="Times New Roman"/>
          <w:color w:val="000000"/>
          <w:sz w:val="24"/>
          <w:szCs w:val="24"/>
          <w:lang w:eastAsia="es-ES"/>
        </w:rPr>
      </w:pPr>
      <w:r>
        <w:rPr>
          <w:rFonts w:ascii="Times New Roman" w:eastAsia="Calibri" w:hAnsi="Times New Roman" w:cs="Times New Roman"/>
          <w:color w:val="000000"/>
          <w:sz w:val="24"/>
          <w:szCs w:val="24"/>
          <w:lang w:eastAsia="es-ES"/>
        </w:rPr>
        <w:lastRenderedPageBreak/>
        <w:t xml:space="preserve">La STC </w:t>
      </w:r>
      <w:r w:rsidRPr="00C30398">
        <w:rPr>
          <w:rFonts w:ascii="Times New Roman" w:eastAsia="Calibri" w:hAnsi="Times New Roman" w:cs="Times New Roman"/>
          <w:color w:val="000000"/>
          <w:sz w:val="24"/>
          <w:szCs w:val="24"/>
          <w:lang w:eastAsia="es-ES"/>
        </w:rPr>
        <w:t>254/1993</w:t>
      </w:r>
      <w:r>
        <w:rPr>
          <w:rFonts w:ascii="Times New Roman" w:eastAsia="Calibri" w:hAnsi="Times New Roman" w:cs="Times New Roman"/>
          <w:color w:val="000000"/>
          <w:sz w:val="24"/>
          <w:szCs w:val="24"/>
          <w:lang w:eastAsia="es-ES"/>
        </w:rPr>
        <w:t xml:space="preserve">, de 20 de julio, es la primera en reconocer </w:t>
      </w:r>
      <w:r w:rsidRPr="00C30398">
        <w:rPr>
          <w:rFonts w:ascii="Times New Roman" w:eastAsia="Calibri" w:hAnsi="Times New Roman" w:cs="Times New Roman"/>
          <w:color w:val="000000"/>
          <w:sz w:val="24"/>
          <w:szCs w:val="24"/>
          <w:lang w:eastAsia="es-ES"/>
        </w:rPr>
        <w:t xml:space="preserve">que frente a la amenaza concreta que para la dignidad y los derechos de la persona representa el uso de la informática, el artículo 18.4 CE contempla un “instituto de garantía” </w:t>
      </w:r>
      <w:r w:rsidR="00403A7C">
        <w:rPr>
          <w:rFonts w:ascii="Times New Roman" w:eastAsia="Calibri" w:hAnsi="Times New Roman" w:cs="Times New Roman"/>
          <w:color w:val="000000"/>
          <w:sz w:val="24"/>
          <w:szCs w:val="24"/>
          <w:lang w:eastAsia="es-ES"/>
        </w:rPr>
        <w:t>que al mismo tiempo representa</w:t>
      </w:r>
      <w:r w:rsidRPr="00C30398">
        <w:rPr>
          <w:rFonts w:ascii="Times New Roman" w:eastAsia="Calibri" w:hAnsi="Times New Roman" w:cs="Times New Roman"/>
          <w:color w:val="000000"/>
          <w:sz w:val="24"/>
          <w:szCs w:val="24"/>
          <w:lang w:eastAsia="es-ES"/>
        </w:rPr>
        <w:t xml:space="preserve"> “en sí mismo, un derecho o libertad fundamental, el derecho a la libertad frente a las posibles agresiones a la dignidad y a la libertad de las personas provenientes de un uso ilegítimo del tratamiento mecanizado de datos, que la Con</w:t>
      </w:r>
      <w:r>
        <w:rPr>
          <w:rFonts w:ascii="Times New Roman" w:eastAsia="Calibri" w:hAnsi="Times New Roman" w:cs="Times New Roman"/>
          <w:color w:val="000000"/>
          <w:sz w:val="24"/>
          <w:szCs w:val="24"/>
          <w:lang w:eastAsia="es-ES"/>
        </w:rPr>
        <w:t>stitución llama “la informática</w:t>
      </w:r>
      <w:r w:rsidR="00227E64">
        <w:rPr>
          <w:rFonts w:ascii="Times New Roman" w:eastAsia="Calibri" w:hAnsi="Times New Roman" w:cs="Times New Roman"/>
          <w:color w:val="000000"/>
          <w:sz w:val="24"/>
          <w:szCs w:val="24"/>
          <w:lang w:eastAsia="es-ES"/>
        </w:rPr>
        <w:t>” (F</w:t>
      </w:r>
      <w:r w:rsidR="00B400F7">
        <w:rPr>
          <w:rFonts w:ascii="Times New Roman" w:eastAsia="Calibri" w:hAnsi="Times New Roman" w:cs="Times New Roman"/>
          <w:color w:val="000000"/>
          <w:sz w:val="24"/>
          <w:szCs w:val="24"/>
          <w:lang w:eastAsia="es-ES"/>
        </w:rPr>
        <w:t xml:space="preserve">undamento </w:t>
      </w:r>
      <w:r w:rsidR="00227E64">
        <w:rPr>
          <w:rFonts w:ascii="Times New Roman" w:eastAsia="Calibri" w:hAnsi="Times New Roman" w:cs="Times New Roman"/>
          <w:color w:val="000000"/>
          <w:sz w:val="24"/>
          <w:szCs w:val="24"/>
          <w:lang w:eastAsia="es-ES"/>
        </w:rPr>
        <w:t>J</w:t>
      </w:r>
      <w:r w:rsidR="00B400F7">
        <w:rPr>
          <w:rFonts w:ascii="Times New Roman" w:eastAsia="Calibri" w:hAnsi="Times New Roman" w:cs="Times New Roman"/>
          <w:color w:val="000000"/>
          <w:sz w:val="24"/>
          <w:szCs w:val="24"/>
          <w:lang w:eastAsia="es-ES"/>
        </w:rPr>
        <w:t>urídico</w:t>
      </w:r>
      <w:r w:rsidR="00227E64">
        <w:rPr>
          <w:rFonts w:ascii="Times New Roman" w:eastAsia="Calibri" w:hAnsi="Times New Roman" w:cs="Times New Roman"/>
          <w:color w:val="000000"/>
          <w:sz w:val="24"/>
          <w:szCs w:val="24"/>
          <w:lang w:eastAsia="es-ES"/>
        </w:rPr>
        <w:t xml:space="preserve"> 6</w:t>
      </w:r>
      <w:r w:rsidR="00B400F7">
        <w:rPr>
          <w:rFonts w:ascii="Times New Roman" w:eastAsia="Calibri" w:hAnsi="Times New Roman" w:cs="Times New Roman"/>
          <w:color w:val="000000"/>
          <w:sz w:val="24"/>
          <w:szCs w:val="24"/>
          <w:lang w:eastAsia="es-ES"/>
        </w:rPr>
        <w:t>, en adelante FJ.</w:t>
      </w:r>
      <w:r w:rsidR="00227E64">
        <w:rPr>
          <w:rFonts w:ascii="Times New Roman" w:eastAsia="Calibri" w:hAnsi="Times New Roman" w:cs="Times New Roman"/>
          <w:color w:val="000000"/>
          <w:sz w:val="24"/>
          <w:szCs w:val="24"/>
          <w:lang w:eastAsia="es-ES"/>
        </w:rPr>
        <w:t>).</w:t>
      </w:r>
      <w:r w:rsidR="00C75BDC">
        <w:rPr>
          <w:rFonts w:ascii="Times New Roman" w:eastAsia="Calibri" w:hAnsi="Times New Roman" w:cs="Times New Roman"/>
          <w:color w:val="000000"/>
          <w:sz w:val="24"/>
          <w:szCs w:val="24"/>
          <w:lang w:eastAsia="es-ES"/>
        </w:rPr>
        <w:t xml:space="preserve"> Esto es, s</w:t>
      </w:r>
      <w:r w:rsidR="00403A7C">
        <w:rPr>
          <w:rFonts w:ascii="Times New Roman" w:eastAsia="Calibri" w:hAnsi="Times New Roman" w:cs="Times New Roman"/>
          <w:color w:val="000000"/>
          <w:sz w:val="24"/>
          <w:szCs w:val="24"/>
          <w:lang w:eastAsia="es-ES"/>
        </w:rPr>
        <w:t>in utilizar la locución “derecho a la protección de datos”, se</w:t>
      </w:r>
      <w:r w:rsidRPr="00C30398">
        <w:rPr>
          <w:rFonts w:ascii="Times New Roman" w:eastAsia="Calibri" w:hAnsi="Times New Roman" w:cs="Times New Roman"/>
          <w:color w:val="000000"/>
          <w:sz w:val="24"/>
          <w:szCs w:val="24"/>
          <w:lang w:eastAsia="es-ES"/>
        </w:rPr>
        <w:t xml:space="preserve"> trata de la primera vez que el TC reconoce </w:t>
      </w:r>
      <w:r w:rsidR="00403A7C">
        <w:rPr>
          <w:rFonts w:ascii="Times New Roman" w:eastAsia="Calibri" w:hAnsi="Times New Roman" w:cs="Times New Roman"/>
          <w:color w:val="000000"/>
          <w:sz w:val="24"/>
          <w:szCs w:val="24"/>
          <w:lang w:eastAsia="es-ES"/>
        </w:rPr>
        <w:t>q</w:t>
      </w:r>
      <w:r w:rsidR="00C75BDC">
        <w:rPr>
          <w:rFonts w:ascii="Times New Roman" w:eastAsia="Calibri" w:hAnsi="Times New Roman" w:cs="Times New Roman"/>
          <w:color w:val="000000"/>
          <w:sz w:val="24"/>
          <w:szCs w:val="24"/>
          <w:lang w:eastAsia="es-ES"/>
        </w:rPr>
        <w:t>ue en el</w:t>
      </w:r>
      <w:r w:rsidR="00403A7C">
        <w:rPr>
          <w:rFonts w:ascii="Times New Roman" w:eastAsia="Calibri" w:hAnsi="Times New Roman" w:cs="Times New Roman"/>
          <w:color w:val="000000"/>
          <w:sz w:val="24"/>
          <w:szCs w:val="24"/>
          <w:lang w:eastAsia="es-ES"/>
        </w:rPr>
        <w:t xml:space="preserve"> artículo 18.4 </w:t>
      </w:r>
      <w:r w:rsidR="00C75BDC">
        <w:rPr>
          <w:rFonts w:ascii="Times New Roman" w:eastAsia="Calibri" w:hAnsi="Times New Roman" w:cs="Times New Roman"/>
          <w:color w:val="000000"/>
          <w:sz w:val="24"/>
          <w:szCs w:val="24"/>
          <w:lang w:eastAsia="es-ES"/>
        </w:rPr>
        <w:t xml:space="preserve">habita este </w:t>
      </w:r>
      <w:r w:rsidR="00403A7C">
        <w:rPr>
          <w:rFonts w:ascii="Times New Roman" w:eastAsia="Calibri" w:hAnsi="Times New Roman" w:cs="Times New Roman"/>
          <w:color w:val="000000"/>
          <w:sz w:val="24"/>
          <w:szCs w:val="24"/>
          <w:lang w:eastAsia="es-ES"/>
        </w:rPr>
        <w:t xml:space="preserve">derecho, </w:t>
      </w:r>
      <w:r w:rsidR="00403A7C" w:rsidRPr="00C30398">
        <w:rPr>
          <w:rFonts w:ascii="Times New Roman" w:eastAsia="Calibri" w:hAnsi="Times New Roman" w:cs="Times New Roman"/>
          <w:color w:val="000000"/>
          <w:sz w:val="24"/>
          <w:szCs w:val="24"/>
          <w:lang w:eastAsia="es-ES"/>
        </w:rPr>
        <w:t xml:space="preserve">pero </w:t>
      </w:r>
      <w:r w:rsidR="00403A7C">
        <w:rPr>
          <w:rFonts w:ascii="Times New Roman" w:eastAsia="Calibri" w:hAnsi="Times New Roman" w:cs="Times New Roman"/>
          <w:color w:val="000000"/>
          <w:sz w:val="24"/>
          <w:szCs w:val="24"/>
          <w:lang w:eastAsia="es-ES"/>
        </w:rPr>
        <w:t>concibiéndolo no como un derecho fundamental autóno</w:t>
      </w:r>
      <w:r w:rsidR="00403A7C" w:rsidRPr="00C30398">
        <w:rPr>
          <w:rFonts w:ascii="Times New Roman" w:eastAsia="Calibri" w:hAnsi="Times New Roman" w:cs="Times New Roman"/>
          <w:color w:val="000000"/>
          <w:sz w:val="24"/>
          <w:szCs w:val="24"/>
          <w:lang w:eastAsia="es-ES"/>
        </w:rPr>
        <w:t>mo</w:t>
      </w:r>
      <w:r w:rsidR="00403A7C">
        <w:rPr>
          <w:rFonts w:ascii="Times New Roman" w:eastAsia="Calibri" w:hAnsi="Times New Roman" w:cs="Times New Roman"/>
          <w:color w:val="000000"/>
          <w:sz w:val="24"/>
          <w:szCs w:val="24"/>
          <w:lang w:eastAsia="es-ES"/>
        </w:rPr>
        <w:t xml:space="preserve"> o con un contenido propio</w:t>
      </w:r>
      <w:r w:rsidR="00403A7C" w:rsidRPr="00C30398">
        <w:rPr>
          <w:rFonts w:ascii="Times New Roman" w:eastAsia="Calibri" w:hAnsi="Times New Roman" w:cs="Times New Roman"/>
          <w:color w:val="000000"/>
          <w:sz w:val="24"/>
          <w:szCs w:val="24"/>
          <w:lang w:eastAsia="es-ES"/>
        </w:rPr>
        <w:t xml:space="preserve"> sino</w:t>
      </w:r>
      <w:r w:rsidR="00403A7C">
        <w:rPr>
          <w:rFonts w:ascii="Times New Roman" w:eastAsia="Calibri" w:hAnsi="Times New Roman" w:cs="Times New Roman"/>
          <w:color w:val="000000"/>
          <w:sz w:val="24"/>
          <w:szCs w:val="24"/>
          <w:lang w:eastAsia="es-ES"/>
        </w:rPr>
        <w:t xml:space="preserve"> como un derecho instrumental de los reconocidos en el párrafo primero</w:t>
      </w:r>
      <w:r w:rsidR="00403A7C" w:rsidRPr="00C30398">
        <w:rPr>
          <w:rStyle w:val="Refdenotaalpie"/>
          <w:rFonts w:ascii="Times New Roman" w:eastAsia="Calibri" w:hAnsi="Times New Roman" w:cs="Times New Roman"/>
          <w:color w:val="000000"/>
          <w:sz w:val="24"/>
          <w:szCs w:val="24"/>
          <w:lang w:eastAsia="es-ES"/>
        </w:rPr>
        <w:footnoteReference w:id="18"/>
      </w:r>
      <w:r w:rsidR="00403A7C" w:rsidRPr="00C30398">
        <w:rPr>
          <w:rFonts w:ascii="Times New Roman" w:eastAsia="Calibri" w:hAnsi="Times New Roman" w:cs="Times New Roman"/>
          <w:color w:val="000000"/>
          <w:sz w:val="24"/>
          <w:szCs w:val="24"/>
          <w:lang w:eastAsia="es-ES"/>
        </w:rPr>
        <w:t xml:space="preserve">. </w:t>
      </w:r>
    </w:p>
    <w:p w:rsidR="00DA1A8B" w:rsidRPr="00C30398" w:rsidRDefault="00B51CA3" w:rsidP="00B51CA3">
      <w:pPr>
        <w:spacing w:line="276" w:lineRule="auto"/>
        <w:ind w:firstLine="360"/>
        <w:jc w:val="both"/>
        <w:rPr>
          <w:rFonts w:ascii="Times New Roman" w:eastAsia="Calibri" w:hAnsi="Times New Roman" w:cs="Times New Roman"/>
          <w:color w:val="000000"/>
          <w:sz w:val="24"/>
          <w:szCs w:val="24"/>
          <w:lang w:eastAsia="es-ES"/>
        </w:rPr>
      </w:pPr>
      <w:r>
        <w:rPr>
          <w:rFonts w:ascii="Times New Roman" w:eastAsia="Calibri" w:hAnsi="Times New Roman" w:cs="Times New Roman"/>
          <w:color w:val="000000"/>
          <w:sz w:val="24"/>
          <w:szCs w:val="24"/>
          <w:lang w:eastAsia="es-ES"/>
        </w:rPr>
        <w:t>La</w:t>
      </w:r>
      <w:r w:rsidR="00DA1A8B">
        <w:rPr>
          <w:rFonts w:ascii="Times New Roman" w:eastAsia="Calibri" w:hAnsi="Times New Roman" w:cs="Times New Roman"/>
          <w:color w:val="000000"/>
          <w:sz w:val="24"/>
          <w:szCs w:val="24"/>
          <w:lang w:eastAsia="es-ES"/>
        </w:rPr>
        <w:t xml:space="preserve"> STC 290/2000</w:t>
      </w:r>
      <w:r>
        <w:rPr>
          <w:rFonts w:ascii="Times New Roman" w:eastAsia="Calibri" w:hAnsi="Times New Roman" w:cs="Times New Roman"/>
          <w:color w:val="000000"/>
          <w:sz w:val="24"/>
          <w:szCs w:val="24"/>
          <w:lang w:eastAsia="es-ES"/>
        </w:rPr>
        <w:t>, de 30 de noviembre, dio otro paso importante</w:t>
      </w:r>
      <w:r w:rsidR="00EC5B00">
        <w:rPr>
          <w:rFonts w:ascii="Times New Roman" w:eastAsia="Calibri" w:hAnsi="Times New Roman" w:cs="Times New Roman"/>
          <w:color w:val="000000"/>
          <w:sz w:val="24"/>
          <w:szCs w:val="24"/>
          <w:lang w:eastAsia="es-ES"/>
        </w:rPr>
        <w:t xml:space="preserve">, pues </w:t>
      </w:r>
      <w:r w:rsidR="00DA1A8B">
        <w:rPr>
          <w:rFonts w:ascii="Times New Roman" w:eastAsia="Calibri" w:hAnsi="Times New Roman" w:cs="Times New Roman"/>
          <w:color w:val="000000"/>
          <w:sz w:val="24"/>
          <w:szCs w:val="24"/>
          <w:lang w:eastAsia="es-ES"/>
        </w:rPr>
        <w:t>recordando que el artículo 18.4 CE reconoce un instituto de garantías que además es un derecho fundamental (STC 254/1993, antes citada)</w:t>
      </w:r>
      <w:r w:rsidR="00EC5B00">
        <w:rPr>
          <w:rStyle w:val="Refdenotaalpie"/>
          <w:rFonts w:ascii="Times New Roman" w:eastAsia="Calibri" w:hAnsi="Times New Roman" w:cs="Times New Roman"/>
          <w:color w:val="000000"/>
          <w:sz w:val="24"/>
          <w:szCs w:val="24"/>
          <w:lang w:eastAsia="es-ES"/>
        </w:rPr>
        <w:footnoteReference w:id="19"/>
      </w:r>
      <w:r w:rsidR="00DA1A8B">
        <w:rPr>
          <w:rFonts w:ascii="Times New Roman" w:eastAsia="Calibri" w:hAnsi="Times New Roman" w:cs="Times New Roman"/>
          <w:color w:val="000000"/>
          <w:sz w:val="24"/>
          <w:szCs w:val="24"/>
          <w:lang w:eastAsia="es-ES"/>
        </w:rPr>
        <w:t xml:space="preserve">, es </w:t>
      </w:r>
      <w:r w:rsidR="00EC5B00">
        <w:rPr>
          <w:rFonts w:ascii="Times New Roman" w:eastAsia="Calibri" w:hAnsi="Times New Roman" w:cs="Times New Roman"/>
          <w:color w:val="000000"/>
          <w:sz w:val="24"/>
          <w:szCs w:val="24"/>
          <w:lang w:eastAsia="es-ES"/>
        </w:rPr>
        <w:t>l</w:t>
      </w:r>
      <w:r w:rsidR="00DA1A8B">
        <w:rPr>
          <w:rFonts w:ascii="Times New Roman" w:eastAsia="Calibri" w:hAnsi="Times New Roman" w:cs="Times New Roman"/>
          <w:color w:val="000000"/>
          <w:sz w:val="24"/>
          <w:szCs w:val="24"/>
          <w:lang w:eastAsia="es-ES"/>
        </w:rPr>
        <w:t>a primera vez</w:t>
      </w:r>
      <w:r>
        <w:rPr>
          <w:rFonts w:ascii="Times New Roman" w:eastAsia="Calibri" w:hAnsi="Times New Roman" w:cs="Times New Roman"/>
          <w:color w:val="000000"/>
          <w:sz w:val="24"/>
          <w:szCs w:val="24"/>
          <w:lang w:eastAsia="es-ES"/>
        </w:rPr>
        <w:t xml:space="preserve"> que</w:t>
      </w:r>
      <w:r w:rsidR="00DA1A8B">
        <w:rPr>
          <w:rFonts w:ascii="Times New Roman" w:eastAsia="Calibri" w:hAnsi="Times New Roman" w:cs="Times New Roman"/>
          <w:color w:val="000000"/>
          <w:sz w:val="24"/>
          <w:szCs w:val="24"/>
          <w:lang w:eastAsia="es-ES"/>
        </w:rPr>
        <w:t xml:space="preserve"> utiliza la locución “derecho fundame</w:t>
      </w:r>
      <w:r w:rsidR="00307C5D">
        <w:rPr>
          <w:rFonts w:ascii="Times New Roman" w:eastAsia="Calibri" w:hAnsi="Times New Roman" w:cs="Times New Roman"/>
          <w:color w:val="000000"/>
          <w:sz w:val="24"/>
          <w:szCs w:val="24"/>
          <w:lang w:eastAsia="es-ES"/>
        </w:rPr>
        <w:t>n</w:t>
      </w:r>
      <w:r w:rsidR="00DA1A8B">
        <w:rPr>
          <w:rFonts w:ascii="Times New Roman" w:eastAsia="Calibri" w:hAnsi="Times New Roman" w:cs="Times New Roman"/>
          <w:color w:val="000000"/>
          <w:sz w:val="24"/>
          <w:szCs w:val="24"/>
          <w:lang w:eastAsia="es-ES"/>
        </w:rPr>
        <w:t>tal a la protección de datos” (FJ. 7), calificándolo, además, como “un derecho fundamental específico” (FJ. 11).</w:t>
      </w:r>
      <w:r>
        <w:rPr>
          <w:rFonts w:ascii="Times New Roman" w:eastAsia="Calibri" w:hAnsi="Times New Roman" w:cs="Times New Roman"/>
          <w:color w:val="000000"/>
          <w:sz w:val="24"/>
          <w:szCs w:val="24"/>
          <w:lang w:eastAsia="es-ES"/>
        </w:rPr>
        <w:t xml:space="preserve"> Adjetivándolo de esta manera, </w:t>
      </w:r>
      <w:r w:rsidR="00DA1A8B">
        <w:rPr>
          <w:rFonts w:ascii="Times New Roman" w:eastAsia="Calibri" w:hAnsi="Times New Roman" w:cs="Times New Roman"/>
          <w:color w:val="000000"/>
          <w:sz w:val="24"/>
          <w:szCs w:val="24"/>
          <w:lang w:eastAsia="es-ES"/>
        </w:rPr>
        <w:t>el TC</w:t>
      </w:r>
      <w:r w:rsidR="00DA1A8B" w:rsidRPr="00C30398">
        <w:rPr>
          <w:rFonts w:ascii="Times New Roman" w:eastAsia="Calibri" w:hAnsi="Times New Roman" w:cs="Times New Roman"/>
          <w:color w:val="000000"/>
          <w:sz w:val="24"/>
          <w:szCs w:val="24"/>
          <w:lang w:eastAsia="es-ES"/>
        </w:rPr>
        <w:t xml:space="preserve"> </w:t>
      </w:r>
      <w:r w:rsidR="00DA1A8B">
        <w:rPr>
          <w:rFonts w:ascii="Times New Roman" w:eastAsia="Calibri" w:hAnsi="Times New Roman" w:cs="Times New Roman"/>
          <w:color w:val="000000"/>
          <w:sz w:val="24"/>
          <w:szCs w:val="24"/>
          <w:lang w:eastAsia="es-ES"/>
        </w:rPr>
        <w:t xml:space="preserve">comenzó a deshacer </w:t>
      </w:r>
      <w:r w:rsidR="00DA1A8B" w:rsidRPr="00C30398">
        <w:rPr>
          <w:rFonts w:ascii="Times New Roman" w:eastAsia="Calibri" w:hAnsi="Times New Roman" w:cs="Times New Roman"/>
          <w:color w:val="000000"/>
          <w:sz w:val="24"/>
          <w:szCs w:val="24"/>
          <w:lang w:eastAsia="es-ES"/>
        </w:rPr>
        <w:t xml:space="preserve">el nudo que hasta entonces había unido los párrafos </w:t>
      </w:r>
      <w:r>
        <w:rPr>
          <w:rFonts w:ascii="Times New Roman" w:eastAsia="Calibri" w:hAnsi="Times New Roman" w:cs="Times New Roman"/>
          <w:color w:val="000000"/>
          <w:sz w:val="24"/>
          <w:szCs w:val="24"/>
          <w:lang w:eastAsia="es-ES"/>
        </w:rPr>
        <w:t>uno y cuarto del artículo 18 CE, pero no fue en esta sentencia sino en la 292/2000, de la misma fecha, donde se aclara la razón de ese carácter distinto.</w:t>
      </w:r>
    </w:p>
    <w:p w:rsidR="00EC5B00" w:rsidRPr="00C30398" w:rsidRDefault="00B51CA3" w:rsidP="00B51CA3">
      <w:pPr>
        <w:spacing w:line="276" w:lineRule="auto"/>
        <w:ind w:firstLine="360"/>
        <w:jc w:val="both"/>
        <w:rPr>
          <w:rFonts w:ascii="Times New Roman" w:hAnsi="Times New Roman" w:cs="Times New Roman"/>
          <w:sz w:val="24"/>
          <w:szCs w:val="24"/>
        </w:rPr>
      </w:pPr>
      <w:r>
        <w:rPr>
          <w:rFonts w:ascii="Times New Roman" w:hAnsi="Times New Roman" w:cs="Times New Roman"/>
          <w:sz w:val="24"/>
          <w:szCs w:val="24"/>
        </w:rPr>
        <w:t>Efectivamente, l</w:t>
      </w:r>
      <w:r w:rsidR="00EC5B00" w:rsidRPr="00C30398">
        <w:rPr>
          <w:rFonts w:ascii="Times New Roman" w:hAnsi="Times New Roman" w:cs="Times New Roman"/>
          <w:sz w:val="24"/>
          <w:szCs w:val="24"/>
        </w:rPr>
        <w:t xml:space="preserve">a STC 292/2000 representa el tercer y último paso en este proceso progresivo de configuración del derecho. Partiendo de la doctrina vertida en las </w:t>
      </w:r>
      <w:r w:rsidR="00700407">
        <w:rPr>
          <w:rFonts w:ascii="Times New Roman" w:hAnsi="Times New Roman" w:cs="Times New Roman"/>
          <w:sz w:val="24"/>
          <w:szCs w:val="24"/>
        </w:rPr>
        <w:t xml:space="preserve">dos </w:t>
      </w:r>
      <w:r w:rsidR="00700407">
        <w:rPr>
          <w:rFonts w:ascii="Times New Roman" w:hAnsi="Times New Roman" w:cs="Times New Roman"/>
          <w:sz w:val="24"/>
          <w:szCs w:val="24"/>
        </w:rPr>
        <w:lastRenderedPageBreak/>
        <w:t>sentencias anteriores</w:t>
      </w:r>
      <w:r w:rsidR="00EC5B00" w:rsidRPr="00C30398">
        <w:rPr>
          <w:rFonts w:ascii="Times New Roman" w:hAnsi="Times New Roman" w:cs="Times New Roman"/>
          <w:sz w:val="24"/>
          <w:szCs w:val="24"/>
        </w:rPr>
        <w:t xml:space="preserve">, la novedad radica en que por vez primera se </w:t>
      </w:r>
      <w:r w:rsidR="00700407">
        <w:rPr>
          <w:rFonts w:ascii="Times New Roman" w:hAnsi="Times New Roman" w:cs="Times New Roman"/>
          <w:sz w:val="24"/>
          <w:szCs w:val="24"/>
        </w:rPr>
        <w:t>justifica el carácter específico de este derecho, su</w:t>
      </w:r>
      <w:r w:rsidR="00EC5B00" w:rsidRPr="00C30398">
        <w:rPr>
          <w:rFonts w:ascii="Times New Roman" w:hAnsi="Times New Roman" w:cs="Times New Roman"/>
          <w:sz w:val="24"/>
          <w:szCs w:val="24"/>
        </w:rPr>
        <w:t xml:space="preserve"> singularidad</w:t>
      </w:r>
      <w:r w:rsidR="00700407">
        <w:rPr>
          <w:rFonts w:ascii="Times New Roman" w:hAnsi="Times New Roman" w:cs="Times New Roman"/>
          <w:sz w:val="24"/>
          <w:szCs w:val="24"/>
        </w:rPr>
        <w:t xml:space="preserve"> y autonomía</w:t>
      </w:r>
      <w:r w:rsidR="00EC5B00" w:rsidRPr="00C30398">
        <w:rPr>
          <w:rFonts w:ascii="Times New Roman" w:hAnsi="Times New Roman" w:cs="Times New Roman"/>
          <w:sz w:val="24"/>
          <w:szCs w:val="24"/>
        </w:rPr>
        <w:t xml:space="preserve">, </w:t>
      </w:r>
      <w:r>
        <w:rPr>
          <w:rFonts w:ascii="Times New Roman" w:hAnsi="Times New Roman" w:cs="Times New Roman"/>
          <w:sz w:val="24"/>
          <w:szCs w:val="24"/>
        </w:rPr>
        <w:t>aclarando</w:t>
      </w:r>
      <w:r w:rsidR="00EC5B00" w:rsidRPr="00C30398">
        <w:rPr>
          <w:rFonts w:ascii="Times New Roman" w:hAnsi="Times New Roman" w:cs="Times New Roman"/>
          <w:sz w:val="24"/>
          <w:szCs w:val="24"/>
        </w:rPr>
        <w:t xml:space="preserve"> su contenido y subrayando especialmente las diferencias con el derecho a la intimidad, reconocido en el art. 18.1 CE. Concretamente, la STC 292/2000 reconoce que el derecho a la protección de datos</w:t>
      </w:r>
      <w:r w:rsidR="00700407">
        <w:rPr>
          <w:rFonts w:ascii="Times New Roman" w:hAnsi="Times New Roman" w:cs="Times New Roman"/>
          <w:sz w:val="24"/>
          <w:szCs w:val="24"/>
        </w:rPr>
        <w:t>, que</w:t>
      </w:r>
      <w:r w:rsidR="00EC5B00" w:rsidRPr="00C30398">
        <w:rPr>
          <w:rFonts w:ascii="Times New Roman" w:hAnsi="Times New Roman" w:cs="Times New Roman"/>
          <w:sz w:val="24"/>
          <w:szCs w:val="24"/>
        </w:rPr>
        <w:t xml:space="preserve"> “se traduce en un derecho de control sobre los datos relativos a la propia persona”,</w:t>
      </w:r>
      <w:r w:rsidR="00700407">
        <w:rPr>
          <w:rFonts w:ascii="Times New Roman" w:hAnsi="Times New Roman" w:cs="Times New Roman"/>
          <w:sz w:val="24"/>
          <w:szCs w:val="24"/>
        </w:rPr>
        <w:t xml:space="preserve"> trata de garantizar la vida privada de la persona y su reputación, lo que excede el ambito propio de los derechos reconocidos </w:t>
      </w:r>
      <w:r w:rsidR="00EC5B00" w:rsidRPr="00C30398">
        <w:rPr>
          <w:rFonts w:ascii="Times New Roman" w:hAnsi="Times New Roman" w:cs="Times New Roman"/>
          <w:sz w:val="24"/>
          <w:szCs w:val="24"/>
        </w:rPr>
        <w:t xml:space="preserve">en el artículo 18.1 CE (FJ. 5). </w:t>
      </w:r>
    </w:p>
    <w:p w:rsidR="00EC5B00" w:rsidRPr="00C30398" w:rsidRDefault="002C4956" w:rsidP="002C495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Dicho esto, la sentencia subraya, a</w:t>
      </w:r>
      <w:r w:rsidR="00EC5B00" w:rsidRPr="00C30398">
        <w:rPr>
          <w:rFonts w:ascii="Times New Roman" w:hAnsi="Times New Roman" w:cs="Times New Roman"/>
          <w:sz w:val="24"/>
          <w:szCs w:val="24"/>
        </w:rPr>
        <w:t xml:space="preserve"> renglón seguido, que</w:t>
      </w:r>
      <w:r>
        <w:rPr>
          <w:rFonts w:ascii="Times New Roman" w:hAnsi="Times New Roman" w:cs="Times New Roman"/>
          <w:sz w:val="24"/>
          <w:szCs w:val="24"/>
        </w:rPr>
        <w:t>,</w:t>
      </w:r>
      <w:r w:rsidR="00EC5B00" w:rsidRPr="00C30398">
        <w:rPr>
          <w:rFonts w:ascii="Times New Roman" w:hAnsi="Times New Roman" w:cs="Times New Roman"/>
          <w:sz w:val="24"/>
          <w:szCs w:val="24"/>
        </w:rPr>
        <w:t xml:space="preserve"> si bien el derecho a la intimidad y el derecho a la protección de datos comparten “</w:t>
      </w:r>
      <w:r w:rsidR="00EC5B00" w:rsidRPr="00C30398">
        <w:rPr>
          <w:rFonts w:ascii="Times New Roman" w:hAnsi="Times New Roman" w:cs="Times New Roman"/>
          <w:color w:val="222222"/>
          <w:sz w:val="24"/>
          <w:szCs w:val="24"/>
          <w:shd w:val="clear" w:color="auto" w:fill="FFFFFF"/>
        </w:rPr>
        <w:t>el objetivo de ofrecer una eficaz protección constitucional de la vida privada personal y familiar”, son derechos que tienen funciones diferentes, “lo que apareja, por consiguiente, que también su objeto y contenido difieran” (FJ. 5).</w:t>
      </w:r>
      <w:r w:rsidR="00EC5B00" w:rsidRPr="00C30398">
        <w:rPr>
          <w:rFonts w:ascii="Times New Roman" w:hAnsi="Times New Roman" w:cs="Times New Roman"/>
          <w:sz w:val="24"/>
          <w:szCs w:val="24"/>
        </w:rPr>
        <w:t xml:space="preserve"> </w:t>
      </w:r>
    </w:p>
    <w:p w:rsidR="007B6F2B" w:rsidRDefault="002C4956" w:rsidP="002C4956">
      <w:pPr>
        <w:spacing w:line="276" w:lineRule="auto"/>
        <w:ind w:firstLine="708"/>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rPr>
        <w:t>Al efecto, la sentencia aclara que, m</w:t>
      </w:r>
      <w:r w:rsidR="00EC5B00" w:rsidRPr="00C30398">
        <w:rPr>
          <w:rFonts w:ascii="Times New Roman" w:hAnsi="Times New Roman" w:cs="Times New Roman"/>
          <w:sz w:val="24"/>
          <w:szCs w:val="24"/>
        </w:rPr>
        <w:t>ientras</w:t>
      </w:r>
      <w:r>
        <w:rPr>
          <w:rFonts w:ascii="Times New Roman" w:hAnsi="Times New Roman" w:cs="Times New Roman"/>
          <w:sz w:val="24"/>
          <w:szCs w:val="24"/>
        </w:rPr>
        <w:t xml:space="preserve"> el derecho a la intimidad del artículo 18.1 CE tiene la función </w:t>
      </w:r>
      <w:r w:rsidR="00EC5B00" w:rsidRPr="00C30398">
        <w:rPr>
          <w:rFonts w:ascii="Times New Roman" w:hAnsi="Times New Roman" w:cs="Times New Roman"/>
          <w:sz w:val="24"/>
          <w:szCs w:val="24"/>
        </w:rPr>
        <w:t>de proteger</w:t>
      </w:r>
      <w:r>
        <w:rPr>
          <w:rFonts w:ascii="Times New Roman" w:hAnsi="Times New Roman" w:cs="Times New Roman"/>
          <w:sz w:val="24"/>
          <w:szCs w:val="24"/>
        </w:rPr>
        <w:t xml:space="preserve"> esa esfera de la vida personal y familia</w:t>
      </w:r>
      <w:r w:rsidR="00B51CA3">
        <w:rPr>
          <w:rFonts w:ascii="Times New Roman" w:hAnsi="Times New Roman" w:cs="Times New Roman"/>
          <w:sz w:val="24"/>
          <w:szCs w:val="24"/>
        </w:rPr>
        <w:t>r</w:t>
      </w:r>
      <w:r>
        <w:rPr>
          <w:rFonts w:ascii="Times New Roman" w:hAnsi="Times New Roman" w:cs="Times New Roman"/>
          <w:sz w:val="24"/>
          <w:szCs w:val="24"/>
        </w:rPr>
        <w:t xml:space="preserve"> que </w:t>
      </w:r>
      <w:r w:rsidR="007B6F2B">
        <w:rPr>
          <w:rFonts w:ascii="Times New Roman" w:hAnsi="Times New Roman" w:cs="Times New Roman"/>
          <w:sz w:val="24"/>
          <w:szCs w:val="24"/>
        </w:rPr>
        <w:t>el titular del derecho trata de</w:t>
      </w:r>
      <w:r>
        <w:rPr>
          <w:rFonts w:ascii="Times New Roman" w:hAnsi="Times New Roman" w:cs="Times New Roman"/>
          <w:sz w:val="24"/>
          <w:szCs w:val="24"/>
        </w:rPr>
        <w:t xml:space="preserve"> mantener fuera del conocimiento ajeno</w:t>
      </w:r>
      <w:r w:rsidR="007B6F2B" w:rsidRPr="00C30398">
        <w:rPr>
          <w:rStyle w:val="Refdenotaalpie"/>
          <w:rFonts w:ascii="Times New Roman" w:hAnsi="Times New Roman" w:cs="Times New Roman"/>
          <w:color w:val="222222"/>
          <w:sz w:val="24"/>
          <w:szCs w:val="24"/>
          <w:shd w:val="clear" w:color="auto" w:fill="FFFFFF"/>
        </w:rPr>
        <w:footnoteReference w:id="20"/>
      </w:r>
      <w:r w:rsidR="007B6F2B">
        <w:rPr>
          <w:rFonts w:ascii="Times New Roman" w:hAnsi="Times New Roman" w:cs="Times New Roman"/>
          <w:color w:val="222222"/>
          <w:sz w:val="24"/>
          <w:szCs w:val="24"/>
          <w:shd w:val="clear" w:color="auto" w:fill="FFFFFF"/>
        </w:rPr>
        <w:t>, “</w:t>
      </w:r>
      <w:r w:rsidR="00EC5B00" w:rsidRPr="00C30398">
        <w:rPr>
          <w:rFonts w:ascii="Times New Roman" w:hAnsi="Times New Roman" w:cs="Times New Roman"/>
          <w:color w:val="222222"/>
          <w:sz w:val="24"/>
          <w:szCs w:val="24"/>
          <w:shd w:val="clear" w:color="auto" w:fill="FFFFFF"/>
        </w:rPr>
        <w:t>el derecho fundamental a la protección de datos persigue garantizar a esa persona un poder de control sobre sus datos personales, sobre su uso y destino, con el propósito de impedir su tráfico ilícito y lesivo para la dignidad y derecho del afectado”</w:t>
      </w:r>
      <w:r w:rsidR="002B4EB8">
        <w:rPr>
          <w:rStyle w:val="Refdenotaalpie"/>
          <w:rFonts w:ascii="Times New Roman" w:hAnsi="Times New Roman" w:cs="Times New Roman"/>
          <w:color w:val="222222"/>
          <w:sz w:val="24"/>
          <w:szCs w:val="24"/>
          <w:shd w:val="clear" w:color="auto" w:fill="FFFFFF"/>
        </w:rPr>
        <w:footnoteReference w:id="21"/>
      </w:r>
      <w:r w:rsidR="007B6F2B">
        <w:rPr>
          <w:rFonts w:ascii="Times New Roman" w:hAnsi="Times New Roman" w:cs="Times New Roman"/>
          <w:color w:val="222222"/>
          <w:sz w:val="24"/>
          <w:szCs w:val="24"/>
          <w:shd w:val="clear" w:color="auto" w:fill="FFFFFF"/>
        </w:rPr>
        <w:t>. Este poder de disposición de nada vale, advierte el TC, “si el afectado desconoce qué datos son los que se poseen por terceros, quiénes los poseen, y con qué fin” (FJ. 6)</w:t>
      </w:r>
      <w:r w:rsidR="00EC5B00" w:rsidRPr="00C30398">
        <w:rPr>
          <w:rFonts w:ascii="Times New Roman" w:hAnsi="Times New Roman" w:cs="Times New Roman"/>
          <w:color w:val="222222"/>
          <w:sz w:val="24"/>
          <w:szCs w:val="24"/>
          <w:shd w:val="clear" w:color="auto" w:fill="FFFFFF"/>
        </w:rPr>
        <w:t>.</w:t>
      </w:r>
    </w:p>
    <w:p w:rsidR="002B48F3" w:rsidRDefault="002B48F3" w:rsidP="002B48F3">
      <w:pPr>
        <w:spacing w:line="276" w:lineRule="auto"/>
        <w:ind w:firstLine="708"/>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Por lo que al objeto del derecho se refiere, la sentencia advierte que</w:t>
      </w:r>
      <w:r w:rsidR="002B4EB8">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en comparación con el derecho a la intimidad, el objeto del derecho a la protección de datos </w:t>
      </w:r>
      <w:r w:rsidR="00EC5B00" w:rsidRPr="00C30398">
        <w:rPr>
          <w:rFonts w:ascii="Times New Roman" w:hAnsi="Times New Roman" w:cs="Times New Roman"/>
          <w:color w:val="222222"/>
          <w:sz w:val="24"/>
          <w:szCs w:val="24"/>
          <w:shd w:val="clear" w:color="auto" w:fill="FFFFFF"/>
        </w:rPr>
        <w:t>es más amplio</w:t>
      </w:r>
      <w:r w:rsidR="00175209">
        <w:rPr>
          <w:rFonts w:ascii="Times New Roman" w:hAnsi="Times New Roman" w:cs="Times New Roman"/>
          <w:color w:val="222222"/>
          <w:sz w:val="24"/>
          <w:szCs w:val="24"/>
          <w:shd w:val="clear" w:color="auto" w:fill="FFFFFF"/>
        </w:rPr>
        <w:t>,</w:t>
      </w:r>
      <w:r w:rsidR="00EC5B00" w:rsidRPr="00C30398">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pues </w:t>
      </w:r>
      <w:r w:rsidR="00175209">
        <w:rPr>
          <w:rFonts w:ascii="Times New Roman" w:hAnsi="Times New Roman" w:cs="Times New Roman"/>
          <w:color w:val="222222"/>
          <w:sz w:val="24"/>
          <w:szCs w:val="24"/>
          <w:shd w:val="clear" w:color="auto" w:fill="FFFFFF"/>
        </w:rPr>
        <w:t>trata de</w:t>
      </w:r>
      <w:r>
        <w:rPr>
          <w:rFonts w:ascii="Times New Roman" w:hAnsi="Times New Roman" w:cs="Times New Roman"/>
          <w:color w:val="222222"/>
          <w:sz w:val="24"/>
          <w:szCs w:val="24"/>
          <w:shd w:val="clear" w:color="auto" w:fill="FFFFFF"/>
        </w:rPr>
        <w:t xml:space="preserve"> “</w:t>
      </w:r>
      <w:r w:rsidRPr="00C30398">
        <w:rPr>
          <w:rFonts w:ascii="Times New Roman" w:hAnsi="Times New Roman" w:cs="Times New Roman"/>
          <w:sz w:val="24"/>
          <w:szCs w:val="24"/>
        </w:rPr>
        <w:t>garantizar a [la] persona un poder de control sobre sus datos personales, sobre su uso y destino</w:t>
      </w:r>
      <w:r>
        <w:rPr>
          <w:rFonts w:ascii="Times New Roman" w:hAnsi="Times New Roman" w:cs="Times New Roman"/>
          <w:sz w:val="24"/>
          <w:szCs w:val="24"/>
        </w:rPr>
        <w:t>”, con independencia de que sean datos íntimos o no (</w:t>
      </w:r>
      <w:r w:rsidR="00EC5B00" w:rsidRPr="00C30398">
        <w:rPr>
          <w:rFonts w:ascii="Times New Roman" w:hAnsi="Times New Roman" w:cs="Times New Roman"/>
          <w:sz w:val="24"/>
          <w:szCs w:val="24"/>
        </w:rPr>
        <w:t>FJ. 6).</w:t>
      </w:r>
      <w:r>
        <w:rPr>
          <w:rFonts w:ascii="Times New Roman" w:hAnsi="Times New Roman" w:cs="Times New Roman"/>
          <w:sz w:val="24"/>
          <w:szCs w:val="24"/>
        </w:rPr>
        <w:t xml:space="preserve"> Ese poder de disposición y control sobre los datos personales se traduce en la facultad que la persona tiene de “</w:t>
      </w:r>
      <w:r w:rsidRPr="00C30398">
        <w:rPr>
          <w:rFonts w:ascii="Times New Roman" w:hAnsi="Times New Roman" w:cs="Times New Roman"/>
          <w:sz w:val="24"/>
          <w:szCs w:val="24"/>
        </w:rPr>
        <w:t>decidir cuáles de esos datos proporcionar a un tercero, sea el Estado o un particular, o cuáles puede este tercero recabar, y que también permite al individuo saber quién posee esos datos personales y para qué, pudiendo oponerse a esa posesión o uso</w:t>
      </w:r>
      <w:r>
        <w:rPr>
          <w:rFonts w:ascii="Times New Roman" w:hAnsi="Times New Roman" w:cs="Times New Roman"/>
          <w:sz w:val="24"/>
          <w:szCs w:val="24"/>
        </w:rPr>
        <w:t>”, lo que se concreta jurídicamente “</w:t>
      </w:r>
      <w:r w:rsidRPr="00C30398">
        <w:rPr>
          <w:rFonts w:ascii="Times New Roman" w:hAnsi="Times New Roman" w:cs="Times New Roman"/>
          <w:sz w:val="24"/>
          <w:szCs w:val="24"/>
        </w:rPr>
        <w:t>en la facultad de consentir la recogida, la obtención y el acceso a los datos personales, su posterior almacenamiento y tratamiento, así como su uso o usos posibles, por un tercero, sea el Estado o un particular</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lo que a su vez requiere, “como complementos indispensables, </w:t>
      </w:r>
      <w:r w:rsidRPr="00C30398">
        <w:rPr>
          <w:rFonts w:ascii="Times New Roman" w:hAnsi="Times New Roman" w:cs="Times New Roman"/>
          <w:sz w:val="24"/>
          <w:szCs w:val="24"/>
        </w:rPr>
        <w:t>por un lado, la facultad de saber en todo momento quién dispone de esos datos personales y a qué uso los está sometiendo, y, por otro lado, el poder oponerse a esa posesión y usos” (FJ. 7)</w:t>
      </w:r>
      <w:r>
        <w:rPr>
          <w:rStyle w:val="Refdenotaalpie"/>
          <w:rFonts w:ascii="Times New Roman" w:hAnsi="Times New Roman" w:cs="Times New Roman"/>
          <w:sz w:val="24"/>
          <w:szCs w:val="24"/>
        </w:rPr>
        <w:footnoteReference w:id="22"/>
      </w:r>
      <w:r w:rsidRPr="00C30398">
        <w:rPr>
          <w:rFonts w:ascii="Times New Roman" w:hAnsi="Times New Roman" w:cs="Times New Roman"/>
          <w:sz w:val="24"/>
          <w:szCs w:val="24"/>
        </w:rPr>
        <w:t>.</w:t>
      </w:r>
    </w:p>
    <w:p w:rsidR="003939CA" w:rsidRDefault="003939CA" w:rsidP="002B48F3">
      <w:pPr>
        <w:spacing w:line="276" w:lineRule="auto"/>
        <w:ind w:firstLine="708"/>
        <w:jc w:val="both"/>
        <w:rPr>
          <w:rFonts w:ascii="Times New Roman" w:hAnsi="Times New Roman" w:cs="Times New Roman"/>
          <w:sz w:val="24"/>
          <w:szCs w:val="24"/>
        </w:rPr>
      </w:pPr>
    </w:p>
    <w:p w:rsidR="003939CA" w:rsidRPr="00352D8D" w:rsidRDefault="002C3D10" w:rsidP="003939CA">
      <w:pPr>
        <w:pStyle w:val="Prrafodelista"/>
        <w:numPr>
          <w:ilvl w:val="0"/>
          <w:numId w:val="14"/>
        </w:numPr>
        <w:spacing w:line="276" w:lineRule="auto"/>
        <w:jc w:val="both"/>
        <w:rPr>
          <w:rFonts w:ascii="Times New Roman" w:eastAsia="Calibri" w:hAnsi="Times New Roman" w:cs="Times New Roman"/>
          <w:b/>
          <w:color w:val="000000"/>
          <w:sz w:val="24"/>
          <w:szCs w:val="24"/>
          <w:lang w:eastAsia="es-ES"/>
        </w:rPr>
      </w:pPr>
      <w:r w:rsidRPr="002C3D10">
        <w:rPr>
          <w:rFonts w:ascii="Times New Roman" w:eastAsia="Calibri" w:hAnsi="Times New Roman" w:cs="Times New Roman"/>
          <w:b/>
          <w:color w:val="000000"/>
          <w:sz w:val="24"/>
          <w:szCs w:val="24"/>
          <w:lang w:eastAsia="es-ES"/>
        </w:rPr>
        <w:t>A favor de la constitucionalización del derecho</w:t>
      </w:r>
    </w:p>
    <w:p w:rsidR="003939CA" w:rsidRDefault="003939CA" w:rsidP="003939CA">
      <w:pPr>
        <w:spacing w:line="276" w:lineRule="auto"/>
        <w:jc w:val="both"/>
        <w:rPr>
          <w:rFonts w:ascii="Times New Roman" w:eastAsia="Calibri" w:hAnsi="Times New Roman" w:cs="Times New Roman"/>
          <w:color w:val="000000"/>
          <w:sz w:val="24"/>
          <w:szCs w:val="24"/>
          <w:lang w:eastAsia="es-ES"/>
        </w:rPr>
      </w:pPr>
      <w:r>
        <w:rPr>
          <w:rFonts w:ascii="Times New Roman" w:eastAsia="Calibri" w:hAnsi="Times New Roman" w:cs="Times New Roman"/>
          <w:color w:val="000000"/>
          <w:sz w:val="24"/>
          <w:szCs w:val="24"/>
          <w:lang w:eastAsia="es-ES"/>
        </w:rPr>
        <w:tab/>
        <w:t>Acabamos de indicar que el derecho fundamental a la protección de datos no está expresament</w:t>
      </w:r>
      <w:r w:rsidR="007E3214">
        <w:rPr>
          <w:rFonts w:ascii="Times New Roman" w:eastAsia="Calibri" w:hAnsi="Times New Roman" w:cs="Times New Roman"/>
          <w:color w:val="000000"/>
          <w:sz w:val="24"/>
          <w:szCs w:val="24"/>
          <w:lang w:eastAsia="es-ES"/>
        </w:rPr>
        <w:t xml:space="preserve">e reconocido en la </w:t>
      </w:r>
      <w:proofErr w:type="gramStart"/>
      <w:r w:rsidR="007E3214">
        <w:rPr>
          <w:rFonts w:ascii="Times New Roman" w:eastAsia="Calibri" w:hAnsi="Times New Roman" w:cs="Times New Roman"/>
          <w:color w:val="000000"/>
          <w:sz w:val="24"/>
          <w:szCs w:val="24"/>
          <w:lang w:eastAsia="es-ES"/>
        </w:rPr>
        <w:t>Constitución</w:t>
      </w:r>
      <w:proofErr w:type="gramEnd"/>
      <w:r>
        <w:rPr>
          <w:rFonts w:ascii="Times New Roman" w:eastAsia="Calibri" w:hAnsi="Times New Roman" w:cs="Times New Roman"/>
          <w:color w:val="000000"/>
          <w:sz w:val="24"/>
          <w:szCs w:val="24"/>
          <w:lang w:eastAsia="es-ES"/>
        </w:rPr>
        <w:t xml:space="preserve"> sino que ha sido derivado por el Tribunal C</w:t>
      </w:r>
      <w:r w:rsidR="007E3214">
        <w:rPr>
          <w:rFonts w:ascii="Times New Roman" w:eastAsia="Calibri" w:hAnsi="Times New Roman" w:cs="Times New Roman"/>
          <w:color w:val="000000"/>
          <w:sz w:val="24"/>
          <w:szCs w:val="24"/>
          <w:lang w:eastAsia="es-ES"/>
        </w:rPr>
        <w:t>onstitucional del artículo 18.4, que en puridad contiene un mandato:</w:t>
      </w:r>
      <w:r>
        <w:rPr>
          <w:rFonts w:ascii="Times New Roman" w:eastAsia="Calibri" w:hAnsi="Times New Roman" w:cs="Times New Roman"/>
          <w:color w:val="000000"/>
          <w:sz w:val="24"/>
          <w:szCs w:val="24"/>
          <w:lang w:eastAsia="es-ES"/>
        </w:rPr>
        <w:t xml:space="preserve"> que el legislador proteja el honor, la intimidad y el pleno ejercicio de los derechos de los ciudadanos frente al uso de la informática.</w:t>
      </w:r>
    </w:p>
    <w:p w:rsidR="003939CA" w:rsidRDefault="003939CA" w:rsidP="003939CA">
      <w:pPr>
        <w:spacing w:line="276" w:lineRule="auto"/>
        <w:ind w:firstLine="360"/>
        <w:jc w:val="both"/>
        <w:rPr>
          <w:rFonts w:ascii="Times New Roman" w:eastAsia="Calibri" w:hAnsi="Times New Roman" w:cs="Times New Roman"/>
          <w:color w:val="000000"/>
          <w:sz w:val="24"/>
          <w:szCs w:val="24"/>
          <w:lang w:eastAsia="es-ES"/>
        </w:rPr>
      </w:pPr>
      <w:r>
        <w:rPr>
          <w:rFonts w:ascii="Times New Roman" w:eastAsia="Calibri" w:hAnsi="Times New Roman" w:cs="Times New Roman"/>
          <w:color w:val="000000"/>
          <w:sz w:val="24"/>
          <w:szCs w:val="24"/>
          <w:lang w:eastAsia="es-ES"/>
        </w:rPr>
        <w:t xml:space="preserve">A la luz de la jurisprudencia constitucional que hemos recordado en el epígrafe anterior, la naturaleza constitucional de este derecho </w:t>
      </w:r>
      <w:r w:rsidR="007E3214">
        <w:rPr>
          <w:rFonts w:ascii="Times New Roman" w:eastAsia="Calibri" w:hAnsi="Times New Roman" w:cs="Times New Roman"/>
          <w:color w:val="000000"/>
          <w:sz w:val="24"/>
          <w:szCs w:val="24"/>
          <w:lang w:eastAsia="es-ES"/>
        </w:rPr>
        <w:t>está fuera de</w:t>
      </w:r>
      <w:r>
        <w:rPr>
          <w:rFonts w:ascii="Times New Roman" w:eastAsia="Calibri" w:hAnsi="Times New Roman" w:cs="Times New Roman"/>
          <w:color w:val="000000"/>
          <w:sz w:val="24"/>
          <w:szCs w:val="24"/>
          <w:lang w:eastAsia="es-ES"/>
        </w:rPr>
        <w:t xml:space="preserve"> duda.</w:t>
      </w:r>
      <w:r w:rsidR="007E3214">
        <w:rPr>
          <w:rFonts w:ascii="Times New Roman" w:eastAsia="Calibri" w:hAnsi="Times New Roman" w:cs="Times New Roman"/>
          <w:color w:val="000000"/>
          <w:sz w:val="24"/>
          <w:szCs w:val="24"/>
          <w:lang w:eastAsia="es-ES"/>
        </w:rPr>
        <w:t xml:space="preserve"> Como hemos visto,</w:t>
      </w:r>
      <w:r>
        <w:rPr>
          <w:rFonts w:ascii="Times New Roman" w:eastAsia="Calibri" w:hAnsi="Times New Roman" w:cs="Times New Roman"/>
          <w:color w:val="000000"/>
          <w:sz w:val="24"/>
          <w:szCs w:val="24"/>
          <w:lang w:eastAsia="es-ES"/>
        </w:rPr>
        <w:t xml:space="preserve"> han sido varias las sentencias del Tribunal Constitucional que han utilizado este precepto como parámetro de control </w:t>
      </w:r>
      <w:r w:rsidR="007E3214">
        <w:rPr>
          <w:rFonts w:ascii="Times New Roman" w:eastAsia="Calibri" w:hAnsi="Times New Roman" w:cs="Times New Roman"/>
          <w:color w:val="000000"/>
          <w:sz w:val="24"/>
          <w:szCs w:val="24"/>
          <w:lang w:eastAsia="es-ES"/>
        </w:rPr>
        <w:t>de la constitucionalidad de las leyes</w:t>
      </w:r>
      <w:r>
        <w:rPr>
          <w:rFonts w:ascii="Times New Roman" w:eastAsia="Calibri" w:hAnsi="Times New Roman" w:cs="Times New Roman"/>
          <w:color w:val="000000"/>
          <w:sz w:val="24"/>
          <w:szCs w:val="24"/>
          <w:lang w:eastAsia="es-ES"/>
        </w:rPr>
        <w:t xml:space="preserve"> (véanse las SSTC 290/2000, 292/2000, 17/2013, 151/2014, 139/2016 o 76/2010). Tal relevancia </w:t>
      </w:r>
      <w:r w:rsidR="00271E75">
        <w:rPr>
          <w:rFonts w:ascii="Times New Roman" w:eastAsia="Calibri" w:hAnsi="Times New Roman" w:cs="Times New Roman"/>
          <w:color w:val="000000"/>
          <w:sz w:val="24"/>
          <w:szCs w:val="24"/>
          <w:lang w:eastAsia="es-ES"/>
        </w:rPr>
        <w:t xml:space="preserve">constitucional –en un sentido amplio- </w:t>
      </w:r>
      <w:r>
        <w:rPr>
          <w:rFonts w:ascii="Times New Roman" w:eastAsia="Calibri" w:hAnsi="Times New Roman" w:cs="Times New Roman"/>
          <w:color w:val="000000"/>
          <w:sz w:val="24"/>
          <w:szCs w:val="24"/>
          <w:lang w:eastAsia="es-ES"/>
        </w:rPr>
        <w:t>también ha sido subrayada</w:t>
      </w:r>
      <w:r w:rsidRPr="006B4A5C">
        <w:rPr>
          <w:rFonts w:ascii="Times New Roman" w:hAnsi="Times New Roman" w:cs="Times New Roman"/>
          <w:sz w:val="24"/>
          <w:szCs w:val="24"/>
        </w:rPr>
        <w:t xml:space="preserve"> </w:t>
      </w:r>
      <w:r>
        <w:rPr>
          <w:rFonts w:ascii="Times New Roman" w:hAnsi="Times New Roman" w:cs="Times New Roman"/>
          <w:sz w:val="24"/>
          <w:szCs w:val="24"/>
        </w:rPr>
        <w:t xml:space="preserve">en </w:t>
      </w:r>
      <w:r w:rsidRPr="00C30398">
        <w:rPr>
          <w:rFonts w:ascii="Times New Roman" w:hAnsi="Times New Roman" w:cs="Times New Roman"/>
          <w:sz w:val="24"/>
          <w:szCs w:val="24"/>
        </w:rPr>
        <w:t>la Carta de Derechos Fundamentales de la UE</w:t>
      </w:r>
      <w:r>
        <w:rPr>
          <w:rFonts w:ascii="Times New Roman" w:hAnsi="Times New Roman" w:cs="Times New Roman"/>
          <w:sz w:val="24"/>
          <w:szCs w:val="24"/>
        </w:rPr>
        <w:t>, que lo reconoce</w:t>
      </w:r>
      <w:r w:rsidRPr="00C30398">
        <w:rPr>
          <w:rFonts w:ascii="Times New Roman" w:hAnsi="Times New Roman" w:cs="Times New Roman"/>
          <w:sz w:val="24"/>
          <w:szCs w:val="24"/>
        </w:rPr>
        <w:t xml:space="preserve"> expresamente</w:t>
      </w:r>
      <w:r>
        <w:rPr>
          <w:rFonts w:ascii="Times New Roman" w:hAnsi="Times New Roman" w:cs="Times New Roman"/>
          <w:sz w:val="24"/>
          <w:szCs w:val="24"/>
        </w:rPr>
        <w:t xml:space="preserve"> </w:t>
      </w:r>
      <w:r w:rsidRPr="00C30398">
        <w:rPr>
          <w:rFonts w:ascii="Times New Roman" w:hAnsi="Times New Roman" w:cs="Times New Roman"/>
          <w:sz w:val="24"/>
          <w:szCs w:val="24"/>
        </w:rPr>
        <w:t xml:space="preserve">en </w:t>
      </w:r>
      <w:r>
        <w:rPr>
          <w:rFonts w:ascii="Times New Roman" w:hAnsi="Times New Roman" w:cs="Times New Roman"/>
          <w:sz w:val="24"/>
          <w:szCs w:val="24"/>
        </w:rPr>
        <w:t>su</w:t>
      </w:r>
      <w:r w:rsidRPr="00C30398">
        <w:rPr>
          <w:rFonts w:ascii="Times New Roman" w:hAnsi="Times New Roman" w:cs="Times New Roman"/>
          <w:sz w:val="24"/>
          <w:szCs w:val="24"/>
        </w:rPr>
        <w:t xml:space="preserve"> artículo 8</w:t>
      </w:r>
      <w:r w:rsidRPr="00C30398">
        <w:rPr>
          <w:rStyle w:val="Refdenotaalpie"/>
          <w:rFonts w:ascii="Times New Roman" w:hAnsi="Times New Roman" w:cs="Times New Roman"/>
          <w:sz w:val="24"/>
          <w:szCs w:val="24"/>
        </w:rPr>
        <w:footnoteReference w:id="23"/>
      </w:r>
      <w:r w:rsidRPr="00C30398">
        <w:rPr>
          <w:rFonts w:ascii="Times New Roman" w:hAnsi="Times New Roman" w:cs="Times New Roman"/>
          <w:sz w:val="24"/>
          <w:szCs w:val="24"/>
        </w:rPr>
        <w:t xml:space="preserve">, </w:t>
      </w:r>
      <w:r>
        <w:rPr>
          <w:rFonts w:ascii="Times New Roman" w:hAnsi="Times New Roman" w:cs="Times New Roman"/>
          <w:sz w:val="24"/>
          <w:szCs w:val="24"/>
        </w:rPr>
        <w:t>en el</w:t>
      </w:r>
      <w:r w:rsidRPr="00C30398">
        <w:rPr>
          <w:rFonts w:ascii="Times New Roman" w:hAnsi="Times New Roman" w:cs="Times New Roman"/>
          <w:sz w:val="24"/>
          <w:szCs w:val="24"/>
        </w:rPr>
        <w:t xml:space="preserve"> Tratado de Funcionamiento de la Unión Europea</w:t>
      </w:r>
      <w:r>
        <w:rPr>
          <w:rFonts w:ascii="Times New Roman" w:hAnsi="Times New Roman" w:cs="Times New Roman"/>
          <w:sz w:val="24"/>
          <w:szCs w:val="24"/>
        </w:rPr>
        <w:t>, que lo reconoce</w:t>
      </w:r>
      <w:r w:rsidRPr="00C30398">
        <w:rPr>
          <w:rFonts w:ascii="Times New Roman" w:hAnsi="Times New Roman" w:cs="Times New Roman"/>
          <w:sz w:val="24"/>
          <w:szCs w:val="24"/>
        </w:rPr>
        <w:t xml:space="preserve"> en </w:t>
      </w:r>
      <w:r>
        <w:rPr>
          <w:rFonts w:ascii="Times New Roman" w:hAnsi="Times New Roman" w:cs="Times New Roman"/>
          <w:sz w:val="24"/>
          <w:szCs w:val="24"/>
        </w:rPr>
        <w:t>su</w:t>
      </w:r>
      <w:r w:rsidRPr="00C30398">
        <w:rPr>
          <w:rFonts w:ascii="Times New Roman" w:hAnsi="Times New Roman" w:cs="Times New Roman"/>
          <w:sz w:val="24"/>
          <w:szCs w:val="24"/>
        </w:rPr>
        <w:t xml:space="preserve"> artículo 16</w:t>
      </w:r>
      <w:r w:rsidRPr="00C30398">
        <w:rPr>
          <w:rStyle w:val="Refdenotaalpie"/>
          <w:rFonts w:ascii="Times New Roman" w:hAnsi="Times New Roman" w:cs="Times New Roman"/>
          <w:sz w:val="24"/>
          <w:szCs w:val="24"/>
        </w:rPr>
        <w:footnoteReference w:id="24"/>
      </w:r>
      <w:r>
        <w:rPr>
          <w:rFonts w:ascii="Times New Roman" w:hAnsi="Times New Roman" w:cs="Times New Roman"/>
          <w:sz w:val="24"/>
          <w:szCs w:val="24"/>
        </w:rPr>
        <w:t>, o por la jurisprudencia d</w:t>
      </w:r>
      <w:r w:rsidRPr="00C30398">
        <w:rPr>
          <w:rFonts w:ascii="Times New Roman" w:hAnsi="Times New Roman" w:cs="Times New Roman"/>
          <w:sz w:val="24"/>
          <w:szCs w:val="24"/>
        </w:rPr>
        <w:t xml:space="preserve">el </w:t>
      </w:r>
      <w:r>
        <w:rPr>
          <w:rFonts w:ascii="Times New Roman" w:hAnsi="Times New Roman" w:cs="Times New Roman"/>
          <w:sz w:val="24"/>
          <w:szCs w:val="24"/>
        </w:rPr>
        <w:t>TEDH, que lo ubica en el artículo 8 del CEDH</w:t>
      </w:r>
      <w:r w:rsidR="007E3214">
        <w:rPr>
          <w:rFonts w:ascii="Times New Roman" w:hAnsi="Times New Roman" w:cs="Times New Roman"/>
          <w:sz w:val="24"/>
          <w:szCs w:val="24"/>
        </w:rPr>
        <w:t>,</w:t>
      </w:r>
      <w:r>
        <w:rPr>
          <w:rFonts w:ascii="Times New Roman" w:hAnsi="Times New Roman" w:cs="Times New Roman"/>
          <w:sz w:val="24"/>
          <w:szCs w:val="24"/>
        </w:rPr>
        <w:t xml:space="preserve"> </w:t>
      </w:r>
      <w:r w:rsidR="00271E75">
        <w:rPr>
          <w:rFonts w:ascii="Times New Roman" w:hAnsi="Times New Roman" w:cs="Times New Roman"/>
          <w:sz w:val="24"/>
          <w:szCs w:val="24"/>
        </w:rPr>
        <w:t>predicando de él</w:t>
      </w:r>
      <w:r>
        <w:rPr>
          <w:rFonts w:ascii="Times New Roman" w:hAnsi="Times New Roman" w:cs="Times New Roman"/>
          <w:sz w:val="24"/>
          <w:szCs w:val="24"/>
        </w:rPr>
        <w:t xml:space="preserve"> también ese carácter de derecho fundamental autónomo. Con todo, no</w:t>
      </w:r>
      <w:r w:rsidR="007E3214">
        <w:rPr>
          <w:rFonts w:ascii="Times New Roman" w:hAnsi="Times New Roman" w:cs="Times New Roman"/>
          <w:sz w:val="24"/>
          <w:szCs w:val="24"/>
        </w:rPr>
        <w:t>s</w:t>
      </w:r>
      <w:r>
        <w:rPr>
          <w:rFonts w:ascii="Times New Roman" w:hAnsi="Times New Roman" w:cs="Times New Roman"/>
          <w:sz w:val="24"/>
          <w:szCs w:val="24"/>
        </w:rPr>
        <w:t xml:space="preserve"> sumamos a </w:t>
      </w:r>
      <w:r w:rsidR="007E3214">
        <w:rPr>
          <w:rFonts w:ascii="Times New Roman" w:hAnsi="Times New Roman" w:cs="Times New Roman"/>
          <w:sz w:val="24"/>
          <w:szCs w:val="24"/>
        </w:rPr>
        <w:t>un</w:t>
      </w:r>
      <w:r>
        <w:rPr>
          <w:rFonts w:ascii="Times New Roman" w:hAnsi="Times New Roman" w:cs="Times New Roman"/>
          <w:sz w:val="24"/>
          <w:szCs w:val="24"/>
        </w:rPr>
        <w:t xml:space="preserve"> sector de la doctrina</w:t>
      </w:r>
      <w:r w:rsidRPr="00C30398">
        <w:rPr>
          <w:rStyle w:val="Refdenotaalpie"/>
          <w:rFonts w:ascii="Times New Roman" w:hAnsi="Times New Roman" w:cs="Times New Roman"/>
          <w:sz w:val="24"/>
          <w:szCs w:val="24"/>
        </w:rPr>
        <w:footnoteReference w:id="25"/>
      </w:r>
      <w:r>
        <w:rPr>
          <w:rFonts w:ascii="Times New Roman" w:hAnsi="Times New Roman" w:cs="Times New Roman"/>
          <w:sz w:val="24"/>
          <w:szCs w:val="24"/>
        </w:rPr>
        <w:t xml:space="preserve"> que considera que una futura reforma constitucional debería </w:t>
      </w:r>
      <w:r w:rsidR="007E3214">
        <w:rPr>
          <w:rFonts w:ascii="Times New Roman" w:hAnsi="Times New Roman" w:cs="Times New Roman"/>
          <w:sz w:val="24"/>
          <w:szCs w:val="24"/>
        </w:rPr>
        <w:t xml:space="preserve">reconocer expresamente este derecho en la Constitución, </w:t>
      </w:r>
      <w:r>
        <w:rPr>
          <w:rFonts w:ascii="Times New Roman" w:hAnsi="Times New Roman" w:cs="Times New Roman"/>
          <w:sz w:val="24"/>
          <w:szCs w:val="24"/>
        </w:rPr>
        <w:t>conced</w:t>
      </w:r>
      <w:r w:rsidR="007E3214">
        <w:rPr>
          <w:rFonts w:ascii="Times New Roman" w:hAnsi="Times New Roman" w:cs="Times New Roman"/>
          <w:sz w:val="24"/>
          <w:szCs w:val="24"/>
        </w:rPr>
        <w:t>iéndole</w:t>
      </w:r>
      <w:r>
        <w:rPr>
          <w:rFonts w:ascii="Times New Roman" w:hAnsi="Times New Roman" w:cs="Times New Roman"/>
          <w:sz w:val="24"/>
          <w:szCs w:val="24"/>
        </w:rPr>
        <w:t xml:space="preserve"> la relevancia formal que materialmente ya tiene.</w:t>
      </w:r>
      <w:r>
        <w:rPr>
          <w:rFonts w:ascii="Times New Roman" w:eastAsia="Calibri" w:hAnsi="Times New Roman" w:cs="Times New Roman"/>
          <w:color w:val="000000"/>
          <w:sz w:val="24"/>
          <w:szCs w:val="24"/>
          <w:lang w:eastAsia="es-ES"/>
        </w:rPr>
        <w:t xml:space="preserve"> </w:t>
      </w:r>
    </w:p>
    <w:p w:rsidR="003939CA" w:rsidRDefault="003939CA" w:rsidP="003939CA">
      <w:pPr>
        <w:spacing w:line="276" w:lineRule="auto"/>
        <w:jc w:val="both"/>
        <w:rPr>
          <w:rFonts w:ascii="Times New Roman" w:eastAsia="Calibri" w:hAnsi="Times New Roman" w:cs="Times New Roman"/>
          <w:color w:val="000000"/>
          <w:sz w:val="24"/>
          <w:szCs w:val="24"/>
          <w:lang w:eastAsia="es-ES"/>
        </w:rPr>
      </w:pPr>
      <w:r>
        <w:rPr>
          <w:rFonts w:ascii="Times New Roman" w:eastAsia="Calibri" w:hAnsi="Times New Roman" w:cs="Times New Roman"/>
          <w:color w:val="000000"/>
          <w:sz w:val="24"/>
          <w:szCs w:val="24"/>
          <w:lang w:eastAsia="es-ES"/>
        </w:rPr>
        <w:tab/>
        <w:t xml:space="preserve">Así lo consideramos porque una de las cuestiones de fondo que late en relación a la configuración constitucional del derecho a la protección de datos es si el Tribunal </w:t>
      </w:r>
      <w:r>
        <w:rPr>
          <w:rFonts w:ascii="Times New Roman" w:eastAsia="Calibri" w:hAnsi="Times New Roman" w:cs="Times New Roman"/>
          <w:color w:val="000000"/>
          <w:sz w:val="24"/>
          <w:szCs w:val="24"/>
          <w:lang w:eastAsia="es-ES"/>
        </w:rPr>
        <w:lastRenderedPageBreak/>
        <w:t>Constitucional puede reconocer nuevos derechos. Que puede ensancharlos por vía interpretativa, no hay duda</w:t>
      </w:r>
      <w:r>
        <w:rPr>
          <w:rStyle w:val="Refdenotaalpie"/>
          <w:rFonts w:ascii="Times New Roman" w:eastAsia="Calibri" w:hAnsi="Times New Roman" w:cs="Times New Roman"/>
          <w:color w:val="000000"/>
          <w:sz w:val="24"/>
          <w:szCs w:val="24"/>
          <w:lang w:eastAsia="es-ES"/>
        </w:rPr>
        <w:footnoteReference w:id="26"/>
      </w:r>
      <w:r>
        <w:rPr>
          <w:rFonts w:ascii="Times New Roman" w:eastAsia="Calibri" w:hAnsi="Times New Roman" w:cs="Times New Roman"/>
          <w:color w:val="000000"/>
          <w:sz w:val="24"/>
          <w:szCs w:val="24"/>
          <w:lang w:eastAsia="es-ES"/>
        </w:rPr>
        <w:t xml:space="preserve">, pero reconocerlos </w:t>
      </w:r>
      <w:r w:rsidRPr="00505762">
        <w:rPr>
          <w:rFonts w:ascii="Times New Roman" w:eastAsia="Calibri" w:hAnsi="Times New Roman" w:cs="Times New Roman"/>
          <w:i/>
          <w:color w:val="000000"/>
          <w:sz w:val="24"/>
          <w:szCs w:val="24"/>
          <w:lang w:eastAsia="es-ES"/>
        </w:rPr>
        <w:t>ex novo</w:t>
      </w:r>
      <w:r>
        <w:rPr>
          <w:rFonts w:ascii="Times New Roman" w:eastAsia="Calibri" w:hAnsi="Times New Roman" w:cs="Times New Roman"/>
          <w:color w:val="000000"/>
          <w:sz w:val="24"/>
          <w:szCs w:val="24"/>
          <w:lang w:eastAsia="es-ES"/>
        </w:rPr>
        <w:t xml:space="preserve"> es diferente.</w:t>
      </w:r>
    </w:p>
    <w:p w:rsidR="003939CA" w:rsidRDefault="003939CA" w:rsidP="00271E75">
      <w:pPr>
        <w:spacing w:line="276" w:lineRule="auto"/>
        <w:ind w:firstLine="360"/>
        <w:jc w:val="both"/>
        <w:rPr>
          <w:rFonts w:ascii="Times New Roman" w:eastAsia="Times New Roman" w:hAnsi="Times New Roman" w:cs="Times New Roman"/>
          <w:spacing w:val="-3"/>
          <w:sz w:val="24"/>
          <w:szCs w:val="24"/>
          <w:lang w:eastAsia="es-ES"/>
        </w:rPr>
      </w:pPr>
      <w:r>
        <w:rPr>
          <w:rFonts w:ascii="Times New Roman" w:eastAsia="Times New Roman" w:hAnsi="Times New Roman" w:cs="Times New Roman"/>
          <w:spacing w:val="-3"/>
          <w:sz w:val="24"/>
          <w:szCs w:val="24"/>
          <w:lang w:eastAsia="es-ES"/>
        </w:rPr>
        <w:t>Aunque es cierto que para hablar de un “nuev</w:t>
      </w:r>
      <w:r w:rsidR="00BC65AC">
        <w:rPr>
          <w:rFonts w:ascii="Times New Roman" w:eastAsia="Times New Roman" w:hAnsi="Times New Roman" w:cs="Times New Roman"/>
          <w:spacing w:val="-3"/>
          <w:sz w:val="24"/>
          <w:szCs w:val="24"/>
          <w:lang w:eastAsia="es-ES"/>
        </w:rPr>
        <w:t>o derecho” lo primero que tendrí</w:t>
      </w:r>
      <w:r>
        <w:rPr>
          <w:rFonts w:ascii="Times New Roman" w:eastAsia="Times New Roman" w:hAnsi="Times New Roman" w:cs="Times New Roman"/>
          <w:spacing w:val="-3"/>
          <w:sz w:val="24"/>
          <w:szCs w:val="24"/>
          <w:lang w:eastAsia="es-ES"/>
        </w:rPr>
        <w:t>amos que dejar claro sería el significado de este adjetivo</w:t>
      </w:r>
      <w:r w:rsidRPr="00923C64">
        <w:rPr>
          <w:rFonts w:ascii="Times New Roman" w:eastAsia="Calibri" w:hAnsi="Times New Roman" w:cs="Times New Roman"/>
          <w:color w:val="000000"/>
          <w:sz w:val="24"/>
          <w:szCs w:val="24"/>
          <w:vertAlign w:val="superscript"/>
          <w:lang w:eastAsia="es-ES"/>
        </w:rPr>
        <w:footnoteReference w:id="27"/>
      </w:r>
      <w:r>
        <w:rPr>
          <w:rFonts w:ascii="Times New Roman" w:eastAsia="Calibri" w:hAnsi="Times New Roman" w:cs="Times New Roman"/>
          <w:color w:val="000000"/>
          <w:sz w:val="24"/>
          <w:szCs w:val="24"/>
          <w:lang w:eastAsia="es-ES"/>
        </w:rPr>
        <w:t xml:space="preserve">, no hay duda de que </w:t>
      </w:r>
      <w:r>
        <w:rPr>
          <w:rFonts w:ascii="Times New Roman" w:eastAsia="Times New Roman" w:hAnsi="Times New Roman" w:cs="Times New Roman"/>
          <w:spacing w:val="-3"/>
          <w:sz w:val="24"/>
          <w:szCs w:val="24"/>
          <w:lang w:eastAsia="es-ES"/>
        </w:rPr>
        <w:t xml:space="preserve">el TC </w:t>
      </w:r>
      <w:r w:rsidR="005239FA">
        <w:rPr>
          <w:rFonts w:ascii="Times New Roman" w:eastAsia="Times New Roman" w:hAnsi="Times New Roman" w:cs="Times New Roman"/>
          <w:spacing w:val="-3"/>
          <w:sz w:val="24"/>
          <w:szCs w:val="24"/>
          <w:lang w:eastAsia="es-ES"/>
        </w:rPr>
        <w:t>lo ha reconocido en el artículo 18.4 CE</w:t>
      </w:r>
      <w:r w:rsidR="00F26076">
        <w:rPr>
          <w:rFonts w:ascii="Times New Roman" w:eastAsia="Times New Roman" w:hAnsi="Times New Roman" w:cs="Times New Roman"/>
          <w:spacing w:val="-3"/>
          <w:sz w:val="24"/>
          <w:szCs w:val="24"/>
          <w:lang w:eastAsia="es-ES"/>
        </w:rPr>
        <w:t>, concibiéndolo como derecho autóno</w:t>
      </w:r>
      <w:r w:rsidR="00271E75">
        <w:rPr>
          <w:rFonts w:ascii="Times New Roman" w:eastAsia="Times New Roman" w:hAnsi="Times New Roman" w:cs="Times New Roman"/>
          <w:spacing w:val="-3"/>
          <w:sz w:val="24"/>
          <w:szCs w:val="24"/>
          <w:lang w:eastAsia="es-ES"/>
        </w:rPr>
        <w:t>mo o independiente, esto es, como un derecho con</w:t>
      </w:r>
      <w:r w:rsidR="00F26076">
        <w:rPr>
          <w:rFonts w:ascii="Times New Roman" w:eastAsia="Times New Roman" w:hAnsi="Times New Roman" w:cs="Times New Roman"/>
          <w:spacing w:val="-3"/>
          <w:sz w:val="24"/>
          <w:szCs w:val="24"/>
          <w:lang w:eastAsia="es-ES"/>
        </w:rPr>
        <w:t xml:space="preserve"> </w:t>
      </w:r>
      <w:r w:rsidR="005239FA">
        <w:rPr>
          <w:rFonts w:ascii="Times New Roman" w:eastAsia="Times New Roman" w:hAnsi="Times New Roman" w:cs="Times New Roman"/>
          <w:spacing w:val="-3"/>
          <w:sz w:val="24"/>
          <w:szCs w:val="24"/>
          <w:lang w:eastAsia="es-ES"/>
        </w:rPr>
        <w:t>sustantividad propia</w:t>
      </w:r>
      <w:r>
        <w:rPr>
          <w:rStyle w:val="Refdenotaalpie"/>
          <w:rFonts w:ascii="Times New Roman" w:eastAsia="Times New Roman" w:hAnsi="Times New Roman" w:cs="Times New Roman"/>
          <w:spacing w:val="-3"/>
          <w:sz w:val="24"/>
          <w:szCs w:val="24"/>
          <w:lang w:eastAsia="es-ES"/>
        </w:rPr>
        <w:footnoteReference w:id="28"/>
      </w:r>
      <w:r>
        <w:rPr>
          <w:rFonts w:ascii="Times New Roman" w:eastAsia="Times New Roman" w:hAnsi="Times New Roman" w:cs="Times New Roman"/>
          <w:spacing w:val="-3"/>
          <w:sz w:val="24"/>
          <w:szCs w:val="24"/>
          <w:lang w:eastAsia="es-ES"/>
        </w:rPr>
        <w:t>.</w:t>
      </w:r>
      <w:r w:rsidR="00BC65AC">
        <w:rPr>
          <w:rFonts w:ascii="Times New Roman" w:eastAsia="Times New Roman" w:hAnsi="Times New Roman" w:cs="Times New Roman"/>
          <w:spacing w:val="-3"/>
          <w:sz w:val="24"/>
          <w:szCs w:val="24"/>
          <w:lang w:eastAsia="es-ES"/>
        </w:rPr>
        <w:t xml:space="preserve"> </w:t>
      </w:r>
      <w:r>
        <w:rPr>
          <w:rFonts w:ascii="Times New Roman" w:eastAsia="Times New Roman" w:hAnsi="Times New Roman" w:cs="Times New Roman"/>
          <w:spacing w:val="-3"/>
          <w:sz w:val="24"/>
          <w:szCs w:val="24"/>
          <w:lang w:eastAsia="es-ES"/>
        </w:rPr>
        <w:t>Por tanto, no estamos ante un mero ensanchamiento de los derechos reconocidos en el artículo 1</w:t>
      </w:r>
      <w:r w:rsidR="00476FAE">
        <w:rPr>
          <w:rFonts w:ascii="Times New Roman" w:eastAsia="Times New Roman" w:hAnsi="Times New Roman" w:cs="Times New Roman"/>
          <w:spacing w:val="-3"/>
          <w:sz w:val="24"/>
          <w:szCs w:val="24"/>
          <w:lang w:eastAsia="es-ES"/>
        </w:rPr>
        <w:t>8.1</w:t>
      </w:r>
      <w:r>
        <w:rPr>
          <w:rFonts w:ascii="Times New Roman" w:eastAsia="Times New Roman" w:hAnsi="Times New Roman" w:cs="Times New Roman"/>
          <w:spacing w:val="-3"/>
          <w:sz w:val="24"/>
          <w:szCs w:val="24"/>
          <w:lang w:eastAsia="es-ES"/>
        </w:rPr>
        <w:t xml:space="preserve"> sino ante el reconocimiento de algo nuevo que el TC descubre en el artículo 18.4 CE. </w:t>
      </w:r>
      <w:r w:rsidR="00271E75">
        <w:rPr>
          <w:rFonts w:ascii="Times New Roman" w:eastAsia="Times New Roman" w:hAnsi="Times New Roman" w:cs="Times New Roman"/>
          <w:spacing w:val="-3"/>
          <w:sz w:val="24"/>
          <w:szCs w:val="24"/>
          <w:lang w:eastAsia="es-ES"/>
        </w:rPr>
        <w:t>A</w:t>
      </w:r>
      <w:r w:rsidR="00BC65AC">
        <w:rPr>
          <w:rFonts w:ascii="Times New Roman" w:eastAsia="Times New Roman" w:hAnsi="Times New Roman" w:cs="Times New Roman"/>
          <w:spacing w:val="-3"/>
          <w:sz w:val="24"/>
          <w:szCs w:val="24"/>
          <w:lang w:eastAsia="es-ES"/>
        </w:rPr>
        <w:t xml:space="preserve"> nuestro juicio, </w:t>
      </w:r>
      <w:r w:rsidR="00271E75">
        <w:rPr>
          <w:rFonts w:ascii="Times New Roman" w:eastAsia="Times New Roman" w:hAnsi="Times New Roman" w:cs="Times New Roman"/>
          <w:spacing w:val="-3"/>
          <w:sz w:val="24"/>
          <w:szCs w:val="24"/>
          <w:lang w:eastAsia="es-ES"/>
        </w:rPr>
        <w:t>la trascendencia de este derecho, a la luz de las facultades que se le atribuyen, merecería un reconocimiento expreso.</w:t>
      </w:r>
    </w:p>
    <w:p w:rsidR="00271E75" w:rsidRDefault="003939CA" w:rsidP="003939CA">
      <w:pPr>
        <w:spacing w:line="276" w:lineRule="auto"/>
        <w:ind w:firstLine="360"/>
        <w:jc w:val="both"/>
        <w:rPr>
          <w:rFonts w:ascii="Times New Roman" w:eastAsia="Calibri" w:hAnsi="Times New Roman" w:cs="Times New Roman"/>
          <w:color w:val="000000"/>
          <w:sz w:val="24"/>
          <w:szCs w:val="24"/>
          <w:lang w:eastAsia="es-ES"/>
        </w:rPr>
      </w:pPr>
      <w:r>
        <w:rPr>
          <w:rFonts w:ascii="Times New Roman" w:eastAsia="Times New Roman" w:hAnsi="Times New Roman" w:cs="Times New Roman"/>
          <w:spacing w:val="-3"/>
          <w:sz w:val="24"/>
          <w:szCs w:val="24"/>
          <w:lang w:eastAsia="es-ES"/>
        </w:rPr>
        <w:t xml:space="preserve">Al hilo de esta consideración sobre la legitimidad del TC para advertir nuevos derechos fundamentales tenemos que referirnos a la STC 19/2023, que resuelve el recurso de inconstitucionalidad contra la Ley Orgánica 3/2021, </w:t>
      </w:r>
      <w:r w:rsidRPr="00BF5762">
        <w:rPr>
          <w:rFonts w:ascii="Times New Roman" w:eastAsia="Calibri" w:hAnsi="Times New Roman" w:cs="Times New Roman"/>
          <w:color w:val="000000"/>
          <w:sz w:val="24"/>
          <w:szCs w:val="24"/>
          <w:lang w:eastAsia="es-ES"/>
        </w:rPr>
        <w:t>de 24 de marzo, de regulación de la eutanasia</w:t>
      </w:r>
      <w:r>
        <w:rPr>
          <w:rFonts w:ascii="Times New Roman" w:eastAsia="Calibri" w:hAnsi="Times New Roman" w:cs="Times New Roman"/>
          <w:color w:val="000000"/>
          <w:sz w:val="24"/>
          <w:szCs w:val="24"/>
          <w:lang w:eastAsia="es-ES"/>
        </w:rPr>
        <w:t>. En tres ocasiones, el FJ. 6 de esta resolución se refiere al “derecho fundamental a la autodeterminación de la propia muerte en situaciones eutanásicas”</w:t>
      </w:r>
      <w:r w:rsidRPr="003E5CEC">
        <w:rPr>
          <w:rStyle w:val="Refdenotaalpie"/>
          <w:rFonts w:ascii="Times New Roman" w:eastAsia="Calibri" w:hAnsi="Times New Roman" w:cs="Times New Roman"/>
          <w:color w:val="000000"/>
          <w:sz w:val="24"/>
          <w:szCs w:val="24"/>
          <w:lang w:eastAsia="es-ES"/>
        </w:rPr>
        <w:t xml:space="preserve"> </w:t>
      </w:r>
      <w:r>
        <w:rPr>
          <w:rStyle w:val="Refdenotaalpie"/>
          <w:rFonts w:ascii="Times New Roman" w:eastAsia="Calibri" w:hAnsi="Times New Roman" w:cs="Times New Roman"/>
          <w:color w:val="000000"/>
          <w:sz w:val="24"/>
          <w:szCs w:val="24"/>
          <w:lang w:eastAsia="es-ES"/>
        </w:rPr>
        <w:footnoteReference w:id="29"/>
      </w:r>
      <w:r>
        <w:rPr>
          <w:rFonts w:ascii="Times New Roman" w:eastAsia="Calibri" w:hAnsi="Times New Roman" w:cs="Times New Roman"/>
          <w:color w:val="000000"/>
          <w:sz w:val="24"/>
          <w:szCs w:val="24"/>
          <w:lang w:eastAsia="es-ES"/>
        </w:rPr>
        <w:t>, consideración que es respondida en dos votos particulares que coinciden en advertir</w:t>
      </w:r>
      <w:r w:rsidR="00C92EA4">
        <w:rPr>
          <w:rFonts w:ascii="Times New Roman" w:eastAsia="Calibri" w:hAnsi="Times New Roman" w:cs="Times New Roman"/>
          <w:color w:val="000000"/>
          <w:sz w:val="24"/>
          <w:szCs w:val="24"/>
          <w:lang w:eastAsia="es-ES"/>
        </w:rPr>
        <w:t xml:space="preserve"> que</w:t>
      </w:r>
      <w:r>
        <w:rPr>
          <w:rFonts w:ascii="Times New Roman" w:eastAsia="Calibri" w:hAnsi="Times New Roman" w:cs="Times New Roman"/>
          <w:color w:val="000000"/>
          <w:sz w:val="24"/>
          <w:szCs w:val="24"/>
          <w:lang w:eastAsia="es-ES"/>
        </w:rPr>
        <w:t xml:space="preserve"> solo a través de la reforma constitucional se pueden reconocer nuevos derechos fundamentales, pues si lo </w:t>
      </w:r>
      <w:r>
        <w:rPr>
          <w:rFonts w:ascii="Times New Roman" w:eastAsia="Calibri" w:hAnsi="Times New Roman" w:cs="Times New Roman"/>
          <w:color w:val="000000"/>
          <w:sz w:val="24"/>
          <w:szCs w:val="24"/>
          <w:lang w:eastAsia="es-ES"/>
        </w:rPr>
        <w:lastRenderedPageBreak/>
        <w:t>hiciera el legislador o el propio Tribunal Constitucional “estarían erigiéndose en una especie de poderes constituyentes”</w:t>
      </w:r>
      <w:r w:rsidRPr="00BF5762">
        <w:rPr>
          <w:rStyle w:val="Refdenotaalpie"/>
          <w:rFonts w:ascii="Times New Roman" w:eastAsia="Calibri" w:hAnsi="Times New Roman" w:cs="Times New Roman"/>
          <w:color w:val="000000"/>
          <w:sz w:val="24"/>
          <w:szCs w:val="24"/>
          <w:lang w:eastAsia="es-ES"/>
        </w:rPr>
        <w:footnoteReference w:id="30"/>
      </w:r>
      <w:r w:rsidRPr="00BF5762">
        <w:rPr>
          <w:rFonts w:ascii="Times New Roman" w:eastAsia="Calibri" w:hAnsi="Times New Roman" w:cs="Times New Roman"/>
          <w:color w:val="000000"/>
          <w:sz w:val="24"/>
          <w:szCs w:val="24"/>
          <w:lang w:eastAsia="es-ES"/>
        </w:rPr>
        <w:t>.</w:t>
      </w:r>
    </w:p>
    <w:p w:rsidR="00271E75" w:rsidRDefault="00271E75" w:rsidP="003939CA">
      <w:pPr>
        <w:spacing w:line="276" w:lineRule="auto"/>
        <w:ind w:firstLine="360"/>
        <w:jc w:val="both"/>
        <w:rPr>
          <w:rFonts w:ascii="Times New Roman" w:eastAsia="Calibri" w:hAnsi="Times New Roman" w:cs="Times New Roman"/>
          <w:color w:val="000000"/>
          <w:sz w:val="24"/>
          <w:szCs w:val="24"/>
          <w:lang w:eastAsia="es-ES"/>
        </w:rPr>
      </w:pPr>
      <w:r>
        <w:rPr>
          <w:rFonts w:ascii="Times New Roman" w:eastAsia="Calibri" w:hAnsi="Times New Roman" w:cs="Times New Roman"/>
          <w:color w:val="000000"/>
          <w:sz w:val="24"/>
          <w:szCs w:val="24"/>
          <w:lang w:eastAsia="es-ES"/>
        </w:rPr>
        <w:t>Las sentencias que en el epígrafe anterior hemos recordado advirtieron un nuevo derecho en el artículo 18.4 CE. El mandato al legislador para que protegiera los derechos de las personas frente al uso de la informática se consideró título suficiente para sumar un nuevo derecho a los reconocidos expresamente en la Sección I del Capítulo II del Título I de la Constitución. Escondido en la textura del aquel precepto constitucional, no era necesario</w:t>
      </w:r>
      <w:r w:rsidR="00E7022F">
        <w:rPr>
          <w:rFonts w:ascii="Times New Roman" w:eastAsia="Calibri" w:hAnsi="Times New Roman" w:cs="Times New Roman"/>
          <w:color w:val="000000"/>
          <w:sz w:val="24"/>
          <w:szCs w:val="24"/>
          <w:lang w:eastAsia="es-ES"/>
        </w:rPr>
        <w:t xml:space="preserve"> reformarlo ex profeso. Ya se encontraba en él.</w:t>
      </w:r>
    </w:p>
    <w:p w:rsidR="00271E75" w:rsidRPr="00E7022F" w:rsidRDefault="00E7022F" w:rsidP="003939CA">
      <w:pPr>
        <w:spacing w:line="276" w:lineRule="auto"/>
        <w:ind w:firstLine="360"/>
        <w:jc w:val="both"/>
        <w:rPr>
          <w:rFonts w:ascii="Times New Roman" w:eastAsia="Calibri" w:hAnsi="Times New Roman" w:cs="Times New Roman"/>
          <w:color w:val="000000"/>
          <w:sz w:val="24"/>
          <w:szCs w:val="24"/>
          <w:lang w:eastAsia="es-ES"/>
        </w:rPr>
      </w:pPr>
      <w:r w:rsidRPr="00E7022F">
        <w:rPr>
          <w:rFonts w:ascii="Times New Roman" w:eastAsia="Calibri" w:hAnsi="Times New Roman" w:cs="Times New Roman"/>
          <w:color w:val="000000"/>
          <w:sz w:val="24"/>
          <w:szCs w:val="24"/>
          <w:lang w:eastAsia="es-ES"/>
        </w:rPr>
        <w:t>Con todo,</w:t>
      </w:r>
      <w:r>
        <w:rPr>
          <w:rFonts w:ascii="Times New Roman" w:eastAsia="Calibri" w:hAnsi="Times New Roman" w:cs="Times New Roman"/>
          <w:color w:val="000000"/>
          <w:sz w:val="24"/>
          <w:szCs w:val="24"/>
          <w:lang w:eastAsia="es-ES"/>
        </w:rPr>
        <w:t xml:space="preserve"> si se reformara la Constitución para dar entrada a nuevos derechos que hagan frente a los retos que emergen de la realidad digital, entendemos que la ocasión debería ser aprovechada para formalizar de manera explícita la relevancia que este derecho ha adquirido.</w:t>
      </w:r>
    </w:p>
    <w:p w:rsidR="003B5F3C" w:rsidRPr="00F9089A" w:rsidRDefault="00B25435" w:rsidP="00F9089A">
      <w:pPr>
        <w:pStyle w:val="Prrafodelista"/>
        <w:numPr>
          <w:ilvl w:val="0"/>
          <w:numId w:val="14"/>
        </w:numPr>
        <w:jc w:val="both"/>
        <w:rPr>
          <w:rFonts w:ascii="Times New Roman" w:hAnsi="Times New Roman" w:cs="Times New Roman"/>
          <w:sz w:val="24"/>
          <w:szCs w:val="24"/>
        </w:rPr>
      </w:pPr>
      <w:r>
        <w:rPr>
          <w:rFonts w:ascii="Times New Roman" w:hAnsi="Times New Roman" w:cs="Times New Roman"/>
          <w:b/>
          <w:sz w:val="24"/>
          <w:szCs w:val="24"/>
        </w:rPr>
        <w:t xml:space="preserve">Tratamiento mecanizado de datos y derecho a la participación política </w:t>
      </w:r>
    </w:p>
    <w:p w:rsidR="00B25435" w:rsidRPr="00B25435" w:rsidRDefault="003B5F3C" w:rsidP="00680B13">
      <w:pPr>
        <w:ind w:firstLine="708"/>
        <w:jc w:val="both"/>
        <w:rPr>
          <w:rFonts w:ascii="Times New Roman" w:hAnsi="Times New Roman" w:cs="Times New Roman"/>
          <w:sz w:val="24"/>
          <w:szCs w:val="24"/>
        </w:rPr>
      </w:pPr>
      <w:r w:rsidRPr="00B25435">
        <w:rPr>
          <w:rFonts w:ascii="Times New Roman" w:hAnsi="Times New Roman" w:cs="Times New Roman"/>
          <w:sz w:val="24"/>
          <w:szCs w:val="24"/>
        </w:rPr>
        <w:t>A partir de este momento nos centraremos en el tema que da título a nuestra exposición, el derecho de participación política frente al uso ilegítimo del tratamiento mecanizado de datos.</w:t>
      </w:r>
      <w:r w:rsidR="00680B13">
        <w:rPr>
          <w:rFonts w:ascii="Times New Roman" w:hAnsi="Times New Roman" w:cs="Times New Roman"/>
          <w:sz w:val="24"/>
          <w:szCs w:val="24"/>
        </w:rPr>
        <w:t xml:space="preserve"> Lo haremos </w:t>
      </w:r>
      <w:r w:rsidR="00B25435">
        <w:rPr>
          <w:rFonts w:ascii="Times New Roman" w:hAnsi="Times New Roman" w:cs="Times New Roman"/>
          <w:sz w:val="24"/>
          <w:szCs w:val="24"/>
        </w:rPr>
        <w:t xml:space="preserve">al hilo de las </w:t>
      </w:r>
      <w:r>
        <w:rPr>
          <w:rFonts w:ascii="Times New Roman" w:hAnsi="Times New Roman" w:cs="Times New Roman"/>
          <w:sz w:val="24"/>
          <w:szCs w:val="24"/>
        </w:rPr>
        <w:t xml:space="preserve">consideraciones que </w:t>
      </w:r>
      <w:r w:rsidR="00B25435">
        <w:rPr>
          <w:rFonts w:ascii="Times New Roman" w:hAnsi="Times New Roman" w:cs="Times New Roman"/>
          <w:sz w:val="24"/>
          <w:szCs w:val="24"/>
        </w:rPr>
        <w:t>se derivan de</w:t>
      </w:r>
      <w:r>
        <w:rPr>
          <w:rFonts w:ascii="Times New Roman" w:hAnsi="Times New Roman" w:cs="Times New Roman"/>
          <w:sz w:val="24"/>
          <w:szCs w:val="24"/>
        </w:rPr>
        <w:t xml:space="preserve"> la STC 76/2019, que estima un recurso de inconstitucionalidad planteado por e</w:t>
      </w:r>
      <w:r w:rsidRPr="00C30398">
        <w:rPr>
          <w:rFonts w:ascii="Times New Roman" w:hAnsi="Times New Roman" w:cs="Times New Roman"/>
          <w:sz w:val="24"/>
          <w:szCs w:val="24"/>
        </w:rPr>
        <w:t xml:space="preserve">l Defensor del Pueblo </w:t>
      </w:r>
      <w:r>
        <w:rPr>
          <w:rFonts w:ascii="Times New Roman" w:hAnsi="Times New Roman" w:cs="Times New Roman"/>
          <w:sz w:val="24"/>
          <w:szCs w:val="24"/>
        </w:rPr>
        <w:t>contra</w:t>
      </w:r>
      <w:r w:rsidRPr="00C30398">
        <w:rPr>
          <w:rFonts w:ascii="Times New Roman" w:hAnsi="Times New Roman" w:cs="Times New Roman"/>
          <w:sz w:val="24"/>
          <w:szCs w:val="24"/>
        </w:rPr>
        <w:t xml:space="preserve"> el artículo 58 bis, apdo. 1 de la Ley Orgánica 5/1985, de 19 de junio, del Régimen Electoral General (tras la modificación operada por la Ley Orgánica 3/2018, de 5 de diciembre, de protección de datos personales y garantía de los derechos digitales),</w:t>
      </w:r>
      <w:r>
        <w:rPr>
          <w:rFonts w:ascii="Times New Roman" w:hAnsi="Times New Roman" w:cs="Times New Roman"/>
          <w:sz w:val="24"/>
          <w:szCs w:val="24"/>
        </w:rPr>
        <w:t xml:space="preserve"> al considerar que la recopilación de datos personales relativos a las opiniones políticas de las personas</w:t>
      </w:r>
      <w:r w:rsidR="00680B13">
        <w:rPr>
          <w:rFonts w:ascii="Times New Roman" w:hAnsi="Times New Roman" w:cs="Times New Roman"/>
          <w:sz w:val="24"/>
          <w:szCs w:val="24"/>
        </w:rPr>
        <w:t>,</w:t>
      </w:r>
      <w:r>
        <w:rPr>
          <w:rFonts w:ascii="Times New Roman" w:hAnsi="Times New Roman" w:cs="Times New Roman"/>
          <w:sz w:val="24"/>
          <w:szCs w:val="24"/>
        </w:rPr>
        <w:t xml:space="preserve"> que el precepto impugnado permitía en el marco de las actividades electorales de los partidos políticos</w:t>
      </w:r>
      <w:r w:rsidR="00680B13">
        <w:rPr>
          <w:rFonts w:ascii="Times New Roman" w:hAnsi="Times New Roman" w:cs="Times New Roman"/>
          <w:sz w:val="24"/>
          <w:szCs w:val="24"/>
        </w:rPr>
        <w:t>,</w:t>
      </w:r>
      <w:r>
        <w:rPr>
          <w:rFonts w:ascii="Times New Roman" w:hAnsi="Times New Roman" w:cs="Times New Roman"/>
          <w:sz w:val="24"/>
          <w:szCs w:val="24"/>
        </w:rPr>
        <w:t xml:space="preserve"> conculcaba los artículos 18.4 (protección de datos personales) y 23 (participación política) de la Constitución</w:t>
      </w:r>
      <w:r w:rsidR="00680B13">
        <w:rPr>
          <w:rFonts w:ascii="Times New Roman" w:hAnsi="Times New Roman" w:cs="Times New Roman"/>
          <w:sz w:val="24"/>
          <w:szCs w:val="24"/>
        </w:rPr>
        <w:t>, entre otros</w:t>
      </w:r>
      <w:r w:rsidRPr="00B25435">
        <w:rPr>
          <w:rFonts w:ascii="Times New Roman" w:hAnsi="Times New Roman" w:cs="Times New Roman"/>
          <w:sz w:val="24"/>
          <w:szCs w:val="24"/>
        </w:rPr>
        <w:t xml:space="preserve">. </w:t>
      </w:r>
      <w:r w:rsidR="00680B13" w:rsidRPr="00B25435">
        <w:rPr>
          <w:rFonts w:ascii="Times New Roman" w:hAnsi="Times New Roman" w:cs="Times New Roman"/>
          <w:sz w:val="24"/>
          <w:szCs w:val="24"/>
        </w:rPr>
        <w:t xml:space="preserve">Para el recurrente, </w:t>
      </w:r>
      <w:r w:rsidR="000C7AD1">
        <w:rPr>
          <w:rFonts w:ascii="Times New Roman" w:hAnsi="Times New Roman" w:cs="Times New Roman"/>
          <w:sz w:val="24"/>
          <w:szCs w:val="24"/>
        </w:rPr>
        <w:t>“</w:t>
      </w:r>
      <w:r w:rsidR="00680B13" w:rsidRPr="00B25435">
        <w:rPr>
          <w:rFonts w:ascii="Times New Roman" w:hAnsi="Times New Roman" w:cs="Times New Roman"/>
          <w:sz w:val="24"/>
          <w:szCs w:val="24"/>
        </w:rPr>
        <w:t>el interés público</w:t>
      </w:r>
      <w:r w:rsidR="000C7AD1">
        <w:rPr>
          <w:rFonts w:ascii="Times New Roman" w:hAnsi="Times New Roman" w:cs="Times New Roman"/>
          <w:sz w:val="24"/>
          <w:szCs w:val="24"/>
        </w:rPr>
        <w:t>”</w:t>
      </w:r>
      <w:r w:rsidR="00680B13" w:rsidRPr="00B25435">
        <w:rPr>
          <w:rFonts w:ascii="Times New Roman" w:hAnsi="Times New Roman" w:cs="Times New Roman"/>
          <w:sz w:val="24"/>
          <w:szCs w:val="24"/>
        </w:rPr>
        <w:t xml:space="preserve"> que el precepto invocaba para justificar tal recopilación de datos no resultaba suficiente</w:t>
      </w:r>
      <w:r w:rsidR="00B25435" w:rsidRPr="00B25435">
        <w:rPr>
          <w:rFonts w:ascii="Times New Roman" w:hAnsi="Times New Roman" w:cs="Times New Roman"/>
          <w:sz w:val="24"/>
          <w:szCs w:val="24"/>
        </w:rPr>
        <w:t xml:space="preserve"> acreditado, y las </w:t>
      </w:r>
      <w:r w:rsidR="000C7AD1">
        <w:rPr>
          <w:rFonts w:ascii="Times New Roman" w:hAnsi="Times New Roman" w:cs="Times New Roman"/>
          <w:sz w:val="24"/>
          <w:szCs w:val="24"/>
        </w:rPr>
        <w:t>“</w:t>
      </w:r>
      <w:r w:rsidR="00B25435" w:rsidRPr="00B25435">
        <w:rPr>
          <w:rFonts w:ascii="Times New Roman" w:hAnsi="Times New Roman" w:cs="Times New Roman"/>
          <w:sz w:val="24"/>
          <w:szCs w:val="24"/>
        </w:rPr>
        <w:t>garantías adecuadas</w:t>
      </w:r>
      <w:r w:rsidR="000C7AD1">
        <w:rPr>
          <w:rFonts w:ascii="Times New Roman" w:hAnsi="Times New Roman" w:cs="Times New Roman"/>
          <w:sz w:val="24"/>
          <w:szCs w:val="24"/>
        </w:rPr>
        <w:t>”</w:t>
      </w:r>
      <w:r w:rsidR="00B25435" w:rsidRPr="00B25435">
        <w:rPr>
          <w:rFonts w:ascii="Times New Roman" w:hAnsi="Times New Roman" w:cs="Times New Roman"/>
          <w:sz w:val="24"/>
          <w:szCs w:val="24"/>
        </w:rPr>
        <w:t xml:space="preserve"> a las que hacía referencia se presentaban huérfanas absolutamente de cualquier precisión</w:t>
      </w:r>
      <w:r w:rsidR="00B25435" w:rsidRPr="00B25435">
        <w:rPr>
          <w:rStyle w:val="Refdenotaalpie"/>
          <w:rFonts w:ascii="Times New Roman" w:hAnsi="Times New Roman" w:cs="Times New Roman"/>
          <w:sz w:val="24"/>
          <w:szCs w:val="24"/>
        </w:rPr>
        <w:footnoteReference w:id="31"/>
      </w:r>
      <w:r w:rsidR="00B25435" w:rsidRPr="00B25435">
        <w:rPr>
          <w:rFonts w:ascii="Times New Roman" w:hAnsi="Times New Roman" w:cs="Times New Roman"/>
          <w:sz w:val="24"/>
          <w:szCs w:val="24"/>
        </w:rPr>
        <w:t>.</w:t>
      </w:r>
    </w:p>
    <w:p w:rsidR="003B5F3C" w:rsidRDefault="003B5F3C" w:rsidP="00F77F5B">
      <w:pPr>
        <w:ind w:firstLine="708"/>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rPr>
        <w:t>Por lo que ahora nos interesa, l</w:t>
      </w:r>
      <w:r w:rsidRPr="00C30398">
        <w:rPr>
          <w:rFonts w:ascii="Times New Roman" w:hAnsi="Times New Roman" w:cs="Times New Roman"/>
          <w:sz w:val="24"/>
          <w:szCs w:val="24"/>
        </w:rPr>
        <w:t xml:space="preserve">a STC 76/2019 </w:t>
      </w:r>
      <w:r>
        <w:rPr>
          <w:rFonts w:ascii="Times New Roman" w:hAnsi="Times New Roman" w:cs="Times New Roman"/>
          <w:sz w:val="24"/>
          <w:szCs w:val="24"/>
        </w:rPr>
        <w:t xml:space="preserve">comienza </w:t>
      </w:r>
      <w:r w:rsidRPr="00C30398">
        <w:rPr>
          <w:rFonts w:ascii="Times New Roman" w:hAnsi="Times New Roman" w:cs="Times New Roman"/>
          <w:sz w:val="24"/>
          <w:szCs w:val="24"/>
        </w:rPr>
        <w:t>rec</w:t>
      </w:r>
      <w:r>
        <w:rPr>
          <w:rFonts w:ascii="Times New Roman" w:hAnsi="Times New Roman" w:cs="Times New Roman"/>
          <w:sz w:val="24"/>
          <w:szCs w:val="24"/>
        </w:rPr>
        <w:t>ordando</w:t>
      </w:r>
      <w:r w:rsidRPr="00C30398">
        <w:rPr>
          <w:rFonts w:ascii="Times New Roman" w:hAnsi="Times New Roman" w:cs="Times New Roman"/>
          <w:sz w:val="24"/>
          <w:szCs w:val="24"/>
        </w:rPr>
        <w:t xml:space="preserve"> (FJ. 5)</w:t>
      </w:r>
      <w:r>
        <w:rPr>
          <w:rFonts w:ascii="Times New Roman" w:hAnsi="Times New Roman" w:cs="Times New Roman"/>
          <w:sz w:val="24"/>
          <w:szCs w:val="24"/>
        </w:rPr>
        <w:t xml:space="preserve"> </w:t>
      </w:r>
      <w:r w:rsidR="00680B13">
        <w:rPr>
          <w:rFonts w:ascii="Times New Roman" w:hAnsi="Times New Roman" w:cs="Times New Roman"/>
          <w:sz w:val="24"/>
          <w:szCs w:val="24"/>
        </w:rPr>
        <w:t>la</w:t>
      </w:r>
      <w:r>
        <w:rPr>
          <w:rFonts w:ascii="Times New Roman" w:hAnsi="Times New Roman" w:cs="Times New Roman"/>
          <w:sz w:val="24"/>
          <w:szCs w:val="24"/>
        </w:rPr>
        <w:t xml:space="preserve"> doctrina</w:t>
      </w:r>
      <w:r w:rsidR="00680B13">
        <w:rPr>
          <w:rFonts w:ascii="Times New Roman" w:hAnsi="Times New Roman" w:cs="Times New Roman"/>
          <w:sz w:val="24"/>
          <w:szCs w:val="24"/>
        </w:rPr>
        <w:t xml:space="preserve"> constitucional</w:t>
      </w:r>
      <w:r>
        <w:rPr>
          <w:rFonts w:ascii="Times New Roman" w:hAnsi="Times New Roman" w:cs="Times New Roman"/>
          <w:sz w:val="24"/>
          <w:szCs w:val="24"/>
        </w:rPr>
        <w:t xml:space="preserve"> en torno al derecho reconocido en el art. 18.4 CE, subrayando su doble condici</w:t>
      </w:r>
      <w:r w:rsidR="00F77F5B">
        <w:rPr>
          <w:rFonts w:ascii="Times New Roman" w:hAnsi="Times New Roman" w:cs="Times New Roman"/>
          <w:sz w:val="24"/>
          <w:szCs w:val="24"/>
        </w:rPr>
        <w:t>ón</w:t>
      </w:r>
      <w:r w:rsidR="00680B13">
        <w:rPr>
          <w:rFonts w:ascii="Times New Roman" w:hAnsi="Times New Roman" w:cs="Times New Roman"/>
          <w:sz w:val="24"/>
          <w:szCs w:val="24"/>
        </w:rPr>
        <w:t xml:space="preserve">: por un lado, se trata de un </w:t>
      </w:r>
      <w:r w:rsidR="00F77F5B">
        <w:rPr>
          <w:rFonts w:ascii="Times New Roman" w:hAnsi="Times New Roman" w:cs="Times New Roman"/>
          <w:sz w:val="24"/>
          <w:szCs w:val="24"/>
        </w:rPr>
        <w:t>derecho fundamental</w:t>
      </w:r>
      <w:r w:rsidR="009A4468">
        <w:rPr>
          <w:rFonts w:ascii="Times New Roman" w:hAnsi="Times New Roman" w:cs="Times New Roman"/>
          <w:sz w:val="24"/>
          <w:szCs w:val="24"/>
        </w:rPr>
        <w:t>,</w:t>
      </w:r>
      <w:r w:rsidR="00680B13">
        <w:rPr>
          <w:rFonts w:ascii="Times New Roman" w:hAnsi="Times New Roman" w:cs="Times New Roman"/>
          <w:sz w:val="24"/>
          <w:szCs w:val="24"/>
        </w:rPr>
        <w:t xml:space="preserve"> en sí mismo, </w:t>
      </w:r>
      <w:r>
        <w:rPr>
          <w:rFonts w:ascii="Times New Roman" w:hAnsi="Times New Roman" w:cs="Times New Roman"/>
          <w:sz w:val="24"/>
          <w:szCs w:val="24"/>
        </w:rPr>
        <w:t>y</w:t>
      </w:r>
      <w:r w:rsidR="00680B13">
        <w:rPr>
          <w:rFonts w:ascii="Times New Roman" w:hAnsi="Times New Roman" w:cs="Times New Roman"/>
          <w:sz w:val="24"/>
          <w:szCs w:val="24"/>
        </w:rPr>
        <w:t xml:space="preserve"> por otro, representa un </w:t>
      </w:r>
      <w:r>
        <w:rPr>
          <w:rFonts w:ascii="Times New Roman" w:hAnsi="Times New Roman" w:cs="Times New Roman"/>
          <w:sz w:val="24"/>
          <w:szCs w:val="24"/>
        </w:rPr>
        <w:t xml:space="preserve">instituto de garantía </w:t>
      </w:r>
      <w:r w:rsidR="00680B13">
        <w:rPr>
          <w:rFonts w:ascii="Times New Roman" w:hAnsi="Times New Roman" w:cs="Times New Roman"/>
          <w:sz w:val="24"/>
          <w:szCs w:val="24"/>
        </w:rPr>
        <w:t>para</w:t>
      </w:r>
      <w:r>
        <w:rPr>
          <w:rFonts w:ascii="Times New Roman" w:hAnsi="Times New Roman" w:cs="Times New Roman"/>
          <w:sz w:val="24"/>
          <w:szCs w:val="24"/>
        </w:rPr>
        <w:t xml:space="preserve"> todos los derechos fundamentales, no solo </w:t>
      </w:r>
      <w:r w:rsidR="00680B13">
        <w:rPr>
          <w:rFonts w:ascii="Times New Roman" w:hAnsi="Times New Roman" w:cs="Times New Roman"/>
          <w:sz w:val="24"/>
          <w:szCs w:val="24"/>
        </w:rPr>
        <w:t>para</w:t>
      </w:r>
      <w:r>
        <w:rPr>
          <w:rFonts w:ascii="Times New Roman" w:hAnsi="Times New Roman" w:cs="Times New Roman"/>
          <w:sz w:val="24"/>
          <w:szCs w:val="24"/>
        </w:rPr>
        <w:t xml:space="preserve"> la intimidad, el hon</w:t>
      </w:r>
      <w:r w:rsidR="000C7AD1">
        <w:rPr>
          <w:rFonts w:ascii="Times New Roman" w:hAnsi="Times New Roman" w:cs="Times New Roman"/>
          <w:sz w:val="24"/>
          <w:szCs w:val="24"/>
        </w:rPr>
        <w:t xml:space="preserve">or y la propia imagen (18.1 CE). </w:t>
      </w:r>
      <w:r w:rsidR="000C7AD1" w:rsidRPr="000C7AD1">
        <w:rPr>
          <w:rFonts w:ascii="Times New Roman" w:hAnsi="Times New Roman" w:cs="Times New Roman"/>
          <w:sz w:val="24"/>
          <w:szCs w:val="24"/>
        </w:rPr>
        <w:t>L</w:t>
      </w:r>
      <w:r w:rsidRPr="000C7AD1">
        <w:rPr>
          <w:rFonts w:ascii="Times New Roman" w:hAnsi="Times New Roman" w:cs="Times New Roman"/>
          <w:sz w:val="24"/>
          <w:szCs w:val="24"/>
        </w:rPr>
        <w:t>a libertad sindical,</w:t>
      </w:r>
      <w:r w:rsidR="00680B13" w:rsidRPr="000C7AD1">
        <w:rPr>
          <w:rFonts w:ascii="Times New Roman" w:hAnsi="Times New Roman" w:cs="Times New Roman"/>
          <w:sz w:val="24"/>
          <w:szCs w:val="24"/>
        </w:rPr>
        <w:t xml:space="preserve"> las libertades </w:t>
      </w:r>
      <w:r w:rsidRPr="000C7AD1">
        <w:rPr>
          <w:rFonts w:ascii="Times New Roman" w:hAnsi="Times New Roman" w:cs="Times New Roman"/>
          <w:sz w:val="24"/>
          <w:szCs w:val="24"/>
        </w:rPr>
        <w:lastRenderedPageBreak/>
        <w:t>ideológica y religiosa, el derecho a la asi</w:t>
      </w:r>
      <w:r w:rsidR="00F77F5B" w:rsidRPr="000C7AD1">
        <w:rPr>
          <w:rFonts w:ascii="Times New Roman" w:hAnsi="Times New Roman" w:cs="Times New Roman"/>
          <w:sz w:val="24"/>
          <w:szCs w:val="24"/>
        </w:rPr>
        <w:t>s</w:t>
      </w:r>
      <w:r w:rsidRPr="000C7AD1">
        <w:rPr>
          <w:rFonts w:ascii="Times New Roman" w:hAnsi="Times New Roman" w:cs="Times New Roman"/>
          <w:sz w:val="24"/>
          <w:szCs w:val="24"/>
        </w:rPr>
        <w:t>tencia sanitaria, la libertad de empresa, el acce</w:t>
      </w:r>
      <w:r w:rsidR="00F77F5B" w:rsidRPr="000C7AD1">
        <w:rPr>
          <w:rFonts w:ascii="Times New Roman" w:hAnsi="Times New Roman" w:cs="Times New Roman"/>
          <w:sz w:val="24"/>
          <w:szCs w:val="24"/>
        </w:rPr>
        <w:t>s</w:t>
      </w:r>
      <w:r w:rsidRPr="000C7AD1">
        <w:rPr>
          <w:rFonts w:ascii="Times New Roman" w:hAnsi="Times New Roman" w:cs="Times New Roman"/>
          <w:sz w:val="24"/>
          <w:szCs w:val="24"/>
        </w:rPr>
        <w:t>o a las funciones públicas, la libertad de circulación o el derecho al trabajo</w:t>
      </w:r>
      <w:r w:rsidR="000C7AD1" w:rsidRPr="000C7AD1">
        <w:rPr>
          <w:rFonts w:ascii="Times New Roman" w:hAnsi="Times New Roman" w:cs="Times New Roman"/>
          <w:sz w:val="24"/>
          <w:szCs w:val="24"/>
        </w:rPr>
        <w:t xml:space="preserve"> también precisan de esta garantía</w:t>
      </w:r>
      <w:r w:rsidRPr="000C7AD1">
        <w:rPr>
          <w:rStyle w:val="Refdenotaalpie"/>
          <w:rFonts w:ascii="Times New Roman" w:hAnsi="Times New Roman" w:cs="Times New Roman"/>
          <w:sz w:val="24"/>
          <w:szCs w:val="24"/>
        </w:rPr>
        <w:footnoteReference w:id="32"/>
      </w:r>
      <w:r w:rsidRPr="000C7AD1">
        <w:rPr>
          <w:rFonts w:ascii="Times New Roman" w:hAnsi="Times New Roman" w:cs="Times New Roman"/>
          <w:sz w:val="24"/>
          <w:szCs w:val="24"/>
        </w:rPr>
        <w:t xml:space="preserve">. </w:t>
      </w:r>
      <w:r w:rsidR="000C7AD1" w:rsidRPr="000C7AD1">
        <w:rPr>
          <w:rFonts w:ascii="Times New Roman" w:hAnsi="Times New Roman" w:cs="Times New Roman"/>
          <w:sz w:val="24"/>
          <w:szCs w:val="24"/>
        </w:rPr>
        <w:t xml:space="preserve">En definitiva, advierte el TC, la </w:t>
      </w:r>
      <w:r w:rsidRPr="000C7AD1">
        <w:rPr>
          <w:rFonts w:ascii="Times New Roman" w:hAnsi="Times New Roman" w:cs="Times New Roman"/>
          <w:sz w:val="24"/>
          <w:szCs w:val="24"/>
        </w:rPr>
        <w:t>razón de ser de este derecho fundamental es dar “respuesta</w:t>
      </w:r>
      <w:r w:rsidRPr="000C7AD1">
        <w:rPr>
          <w:rFonts w:ascii="Times New Roman" w:hAnsi="Times New Roman" w:cs="Times New Roman"/>
          <w:color w:val="222222"/>
          <w:sz w:val="24"/>
          <w:szCs w:val="24"/>
          <w:shd w:val="clear" w:color="auto" w:fill="FFFFFF"/>
        </w:rPr>
        <w:t xml:space="preserve"> a una nueva forma de amenaza concreta a la dignidad y a los derechos de la persona”</w:t>
      </w:r>
      <w:r w:rsidRPr="000C7AD1">
        <w:rPr>
          <w:rStyle w:val="Refdenotaalpie"/>
          <w:rFonts w:ascii="Times New Roman" w:hAnsi="Times New Roman" w:cs="Times New Roman"/>
          <w:sz w:val="24"/>
          <w:szCs w:val="24"/>
        </w:rPr>
        <w:footnoteReference w:id="33"/>
      </w:r>
      <w:r w:rsidRPr="000C7AD1">
        <w:rPr>
          <w:rFonts w:ascii="Times New Roman" w:hAnsi="Times New Roman" w:cs="Times New Roman"/>
          <w:color w:val="222222"/>
          <w:sz w:val="24"/>
          <w:szCs w:val="24"/>
          <w:shd w:val="clear" w:color="auto" w:fill="FFFFFF"/>
        </w:rPr>
        <w:t>.</w:t>
      </w:r>
    </w:p>
    <w:p w:rsidR="003B5F3C" w:rsidRPr="000C7AD1" w:rsidRDefault="003B5F3C" w:rsidP="00F77F5B">
      <w:pPr>
        <w:ind w:firstLine="708"/>
        <w:jc w:val="both"/>
        <w:rPr>
          <w:rFonts w:ascii="Times New Roman" w:hAnsi="Times New Roman" w:cs="Times New Roman"/>
          <w:sz w:val="24"/>
          <w:szCs w:val="24"/>
        </w:rPr>
      </w:pPr>
      <w:r w:rsidRPr="000C7AD1">
        <w:rPr>
          <w:rFonts w:ascii="Times New Roman" w:hAnsi="Times New Roman" w:cs="Times New Roman"/>
          <w:sz w:val="24"/>
          <w:szCs w:val="24"/>
        </w:rPr>
        <w:t>Como es sabido, para condicionar el ejercic</w:t>
      </w:r>
      <w:r w:rsidR="00F77F5B" w:rsidRPr="000C7AD1">
        <w:rPr>
          <w:rFonts w:ascii="Times New Roman" w:hAnsi="Times New Roman" w:cs="Times New Roman"/>
          <w:sz w:val="24"/>
          <w:szCs w:val="24"/>
        </w:rPr>
        <w:t>i</w:t>
      </w:r>
      <w:r w:rsidRPr="000C7AD1">
        <w:rPr>
          <w:rFonts w:ascii="Times New Roman" w:hAnsi="Times New Roman" w:cs="Times New Roman"/>
          <w:sz w:val="24"/>
          <w:szCs w:val="24"/>
        </w:rPr>
        <w:t>o o disfrute d</w:t>
      </w:r>
      <w:r w:rsidR="00FF33F6" w:rsidRPr="000C7AD1">
        <w:rPr>
          <w:rFonts w:ascii="Times New Roman" w:hAnsi="Times New Roman" w:cs="Times New Roman"/>
          <w:sz w:val="24"/>
          <w:szCs w:val="24"/>
        </w:rPr>
        <w:t>e</w:t>
      </w:r>
      <w:r w:rsidRPr="000C7AD1">
        <w:rPr>
          <w:rFonts w:ascii="Times New Roman" w:hAnsi="Times New Roman" w:cs="Times New Roman"/>
          <w:sz w:val="24"/>
          <w:szCs w:val="24"/>
        </w:rPr>
        <w:t xml:space="preserve"> un derecho fundamental hay que observar una serie de requisitos: que el límite esté establecido por ley (artículo 53.1 CE); que la restricción del derecho responda a un fin constitucionalmente legítimo; y que el alcance de la medida sea proporcional al propósito que la justifique. Entre otras muchas, así lo recuerda la STC 66/2022, de 2 de junio, FJ. 5: “Toda injerencia en los derechos fundamentales debe estar prevista en la ley y responder a un fin constitucionalmente legítimo o encaminarse a la protección o salvaguarda de un bien constitucionalmente relevante, pues </w:t>
      </w:r>
      <w:r w:rsidR="000C7AD1" w:rsidRPr="000C7AD1">
        <w:rPr>
          <w:rFonts w:ascii="Times New Roman" w:hAnsi="Times New Roman" w:cs="Times New Roman"/>
          <w:sz w:val="24"/>
          <w:szCs w:val="24"/>
        </w:rPr>
        <w:t>«</w:t>
      </w:r>
      <w:r w:rsidRPr="000C7AD1">
        <w:rPr>
          <w:rFonts w:ascii="Times New Roman" w:hAnsi="Times New Roman" w:cs="Times New Roman"/>
          <w:sz w:val="24"/>
          <w:szCs w:val="24"/>
        </w:rPr>
        <w:t>si bien este tribunal ha declarado que la Constitución no impide al Estado proteger derechos o bienes jurídicos a costa del sacrificio de otros igualmente reconocidos y, por tanto, que el legislador pueda imponer limitaciones al contenido de los derechos fundamentales o a su ejercicio, también hemos precisado que, en tales supuestos, esas limitaciones han de estar justificadas en la protección de otros derechos o bienes constitucionales (SSTC 104/2000, de 13 de abril, FJ 8, y las allí citadas) y, además, han de ser proporcionadas al fin perseguido con ellas […]</w:t>
      </w:r>
      <w:r w:rsidR="000C7AD1" w:rsidRPr="000C7AD1">
        <w:rPr>
          <w:rFonts w:ascii="Times New Roman" w:hAnsi="Times New Roman" w:cs="Times New Roman"/>
          <w:sz w:val="24"/>
          <w:szCs w:val="24"/>
        </w:rPr>
        <w:t>» [STC 76/2019, de 22 de mayo, FJ 5 d)]</w:t>
      </w:r>
      <w:r w:rsidRPr="000C7AD1">
        <w:rPr>
          <w:rFonts w:ascii="Times New Roman" w:hAnsi="Times New Roman" w:cs="Times New Roman"/>
          <w:sz w:val="24"/>
          <w:szCs w:val="24"/>
        </w:rPr>
        <w:t>”.</w:t>
      </w:r>
    </w:p>
    <w:p w:rsidR="003B5F3C" w:rsidRPr="00C30398" w:rsidRDefault="003B5F3C" w:rsidP="00F77F5B">
      <w:pPr>
        <w:ind w:firstLine="708"/>
        <w:jc w:val="both"/>
        <w:rPr>
          <w:rFonts w:ascii="Times New Roman" w:hAnsi="Times New Roman" w:cs="Times New Roman"/>
          <w:sz w:val="24"/>
          <w:szCs w:val="24"/>
        </w:rPr>
      </w:pPr>
      <w:r>
        <w:rPr>
          <w:rFonts w:ascii="Times New Roman" w:hAnsi="Times New Roman" w:cs="Times New Roman"/>
          <w:sz w:val="24"/>
          <w:szCs w:val="24"/>
        </w:rPr>
        <w:t>El primero de estos requisitos, l</w:t>
      </w:r>
      <w:r w:rsidRPr="00C30398">
        <w:rPr>
          <w:rFonts w:ascii="Times New Roman" w:hAnsi="Times New Roman" w:cs="Times New Roman"/>
          <w:sz w:val="24"/>
          <w:szCs w:val="24"/>
        </w:rPr>
        <w:t>a reserva material de ley, obedece a la necesidad de que la restricción del derecho sea autorizada por los</w:t>
      </w:r>
      <w:r>
        <w:rPr>
          <w:rFonts w:ascii="Times New Roman" w:hAnsi="Times New Roman" w:cs="Times New Roman"/>
          <w:sz w:val="24"/>
          <w:szCs w:val="24"/>
        </w:rPr>
        <w:t xml:space="preserve"> mismos ciudadanos a través de sus</w:t>
      </w:r>
      <w:r w:rsidRPr="00C30398">
        <w:rPr>
          <w:rFonts w:ascii="Times New Roman" w:hAnsi="Times New Roman" w:cs="Times New Roman"/>
          <w:sz w:val="24"/>
          <w:szCs w:val="24"/>
        </w:rPr>
        <w:t xml:space="preserve"> representantes. Pero no basta</w:t>
      </w:r>
      <w:r>
        <w:rPr>
          <w:rFonts w:ascii="Times New Roman" w:hAnsi="Times New Roman" w:cs="Times New Roman"/>
          <w:sz w:val="24"/>
          <w:szCs w:val="24"/>
        </w:rPr>
        <w:t xml:space="preserve"> con que la decisión así se adopte.</w:t>
      </w:r>
      <w:r w:rsidRPr="00C30398">
        <w:rPr>
          <w:rFonts w:ascii="Times New Roman" w:hAnsi="Times New Roman" w:cs="Times New Roman"/>
          <w:sz w:val="24"/>
          <w:szCs w:val="24"/>
        </w:rPr>
        <w:t xml:space="preserve"> La ley en cuestión habrá de</w:t>
      </w:r>
      <w:r>
        <w:rPr>
          <w:rFonts w:ascii="Times New Roman" w:hAnsi="Times New Roman" w:cs="Times New Roman"/>
          <w:sz w:val="24"/>
          <w:szCs w:val="24"/>
        </w:rPr>
        <w:t xml:space="preserve"> especificar con la suficiente claridad</w:t>
      </w:r>
      <w:r w:rsidRPr="00C30398">
        <w:rPr>
          <w:rFonts w:ascii="Times New Roman" w:hAnsi="Times New Roman" w:cs="Times New Roman"/>
          <w:sz w:val="24"/>
          <w:szCs w:val="24"/>
        </w:rPr>
        <w:t xml:space="preserve"> </w:t>
      </w:r>
      <w:r w:rsidR="009A4D52">
        <w:rPr>
          <w:rFonts w:ascii="Times New Roman" w:hAnsi="Times New Roman" w:cs="Times New Roman"/>
          <w:sz w:val="24"/>
          <w:szCs w:val="24"/>
        </w:rPr>
        <w:t>en qué casos se podrá limitar el derecho</w:t>
      </w:r>
      <w:r w:rsidRPr="00C30398">
        <w:rPr>
          <w:rFonts w:ascii="Times New Roman" w:hAnsi="Times New Roman" w:cs="Times New Roman"/>
          <w:sz w:val="24"/>
          <w:szCs w:val="24"/>
        </w:rPr>
        <w:t>, y</w:t>
      </w:r>
      <w:r>
        <w:rPr>
          <w:rFonts w:ascii="Times New Roman" w:hAnsi="Times New Roman" w:cs="Times New Roman"/>
          <w:sz w:val="24"/>
          <w:szCs w:val="24"/>
        </w:rPr>
        <w:t xml:space="preserve"> las medidas restrictivas que</w:t>
      </w:r>
      <w:r w:rsidR="009A4D52">
        <w:rPr>
          <w:rFonts w:ascii="Times New Roman" w:hAnsi="Times New Roman" w:cs="Times New Roman"/>
          <w:sz w:val="24"/>
          <w:szCs w:val="24"/>
        </w:rPr>
        <w:t xml:space="preserve"> podrían ser implementadas</w:t>
      </w:r>
      <w:r w:rsidRPr="00C30398">
        <w:rPr>
          <w:rFonts w:ascii="Times New Roman" w:hAnsi="Times New Roman" w:cs="Times New Roman"/>
          <w:sz w:val="24"/>
          <w:szCs w:val="24"/>
        </w:rPr>
        <w:t xml:space="preserve">. De no ser así, </w:t>
      </w:r>
      <w:r>
        <w:rPr>
          <w:rFonts w:ascii="Times New Roman" w:hAnsi="Times New Roman" w:cs="Times New Roman"/>
          <w:sz w:val="24"/>
          <w:szCs w:val="24"/>
        </w:rPr>
        <w:t xml:space="preserve">sufriría </w:t>
      </w:r>
      <w:r w:rsidRPr="00C30398">
        <w:rPr>
          <w:rFonts w:ascii="Times New Roman" w:hAnsi="Times New Roman" w:cs="Times New Roman"/>
          <w:sz w:val="24"/>
          <w:szCs w:val="24"/>
        </w:rPr>
        <w:t>el principio de seguridad jurídica. Tal y como ordenan los artículos 9.2.g) y 22.4 RGPD y el ar</w:t>
      </w:r>
      <w:r w:rsidR="00F77F5B">
        <w:rPr>
          <w:rFonts w:ascii="Times New Roman" w:hAnsi="Times New Roman" w:cs="Times New Roman"/>
          <w:sz w:val="24"/>
          <w:szCs w:val="24"/>
        </w:rPr>
        <w:t>t</w:t>
      </w:r>
      <w:r w:rsidRPr="00C30398">
        <w:rPr>
          <w:rFonts w:ascii="Times New Roman" w:hAnsi="Times New Roman" w:cs="Times New Roman"/>
          <w:sz w:val="24"/>
          <w:szCs w:val="24"/>
        </w:rPr>
        <w:t>ículo 9.2 de la Ley Orgánica 3/2018, de 5 de diciembre, de protección de datos personales y garantía de los derechos digitales</w:t>
      </w:r>
      <w:r>
        <w:rPr>
          <w:rFonts w:ascii="Times New Roman" w:hAnsi="Times New Roman" w:cs="Times New Roman"/>
          <w:sz w:val="24"/>
          <w:szCs w:val="24"/>
        </w:rPr>
        <w:t>,</w:t>
      </w:r>
      <w:r w:rsidRPr="00C30398">
        <w:rPr>
          <w:rFonts w:ascii="Times New Roman" w:hAnsi="Times New Roman" w:cs="Times New Roman"/>
          <w:sz w:val="24"/>
          <w:szCs w:val="24"/>
        </w:rPr>
        <w:t xml:space="preserve"> el derecho no puede ser limitado sino con reglas claras y precisas, esto es, con las garantías adecuadas.</w:t>
      </w:r>
    </w:p>
    <w:p w:rsidR="00F77F5B" w:rsidRDefault="003B5F3C" w:rsidP="00F77F5B">
      <w:pPr>
        <w:ind w:firstLine="708"/>
        <w:jc w:val="both"/>
        <w:rPr>
          <w:rFonts w:ascii="Times New Roman" w:hAnsi="Times New Roman" w:cs="Times New Roman"/>
          <w:sz w:val="24"/>
          <w:szCs w:val="24"/>
        </w:rPr>
      </w:pPr>
      <w:r w:rsidRPr="00C30398">
        <w:rPr>
          <w:rFonts w:ascii="Times New Roman" w:hAnsi="Times New Roman" w:cs="Times New Roman"/>
          <w:sz w:val="24"/>
          <w:szCs w:val="24"/>
        </w:rPr>
        <w:t xml:space="preserve">Este requisito de que el derecho sea limitado con las garantías adecuadas es extraordinariamente importante siempre, pero más aún </w:t>
      </w:r>
      <w:r>
        <w:rPr>
          <w:rFonts w:ascii="Times New Roman" w:hAnsi="Times New Roman" w:cs="Times New Roman"/>
          <w:sz w:val="24"/>
          <w:szCs w:val="24"/>
        </w:rPr>
        <w:t xml:space="preserve">cuando los derechos afectados comprometen más directamente la libertad, la dignidad y el libre desarrollo de la personalidad. En relación con estos, la normativa reguladora del derecho objeto de nuestro estudio identifica una serie de “categorías especiales de datos” entre los que se encuentra las opiniones políticas, la ideología o la afiliación sindical (artículo 9.1 tanto del RGPD como de la </w:t>
      </w:r>
      <w:r w:rsidR="00B400F7" w:rsidRPr="00B400F7">
        <w:rPr>
          <w:rFonts w:ascii="Times New Roman" w:hAnsi="Times New Roman" w:cs="Times New Roman"/>
          <w:sz w:val="24"/>
          <w:szCs w:val="24"/>
        </w:rPr>
        <w:t>Ley Orgánica 3/2018, de 5 de diciembre, de protección de datos</w:t>
      </w:r>
      <w:r w:rsidR="009A4D52">
        <w:rPr>
          <w:rFonts w:ascii="Times New Roman" w:hAnsi="Times New Roman" w:cs="Times New Roman"/>
          <w:sz w:val="24"/>
          <w:szCs w:val="24"/>
        </w:rPr>
        <w:t xml:space="preserve"> </w:t>
      </w:r>
      <w:r w:rsidR="00B400F7" w:rsidRPr="00B400F7">
        <w:rPr>
          <w:rFonts w:ascii="Times New Roman" w:hAnsi="Times New Roman" w:cs="Times New Roman"/>
          <w:sz w:val="24"/>
          <w:szCs w:val="24"/>
        </w:rPr>
        <w:lastRenderedPageBreak/>
        <w:t>personales y garantía de los derechos digitales</w:t>
      </w:r>
      <w:r>
        <w:rPr>
          <w:rFonts w:ascii="Times New Roman" w:hAnsi="Times New Roman" w:cs="Times New Roman"/>
          <w:sz w:val="24"/>
          <w:szCs w:val="24"/>
        </w:rPr>
        <w:t>)</w:t>
      </w:r>
      <w:r w:rsidR="003C4FBF">
        <w:rPr>
          <w:rStyle w:val="Refdenotaalpie"/>
          <w:rFonts w:ascii="Times New Roman" w:hAnsi="Times New Roman" w:cs="Times New Roman"/>
          <w:sz w:val="24"/>
          <w:szCs w:val="24"/>
        </w:rPr>
        <w:footnoteReference w:id="34"/>
      </w:r>
      <w:r>
        <w:rPr>
          <w:rFonts w:ascii="Times New Roman" w:hAnsi="Times New Roman" w:cs="Times New Roman"/>
          <w:sz w:val="24"/>
          <w:szCs w:val="24"/>
        </w:rPr>
        <w:t xml:space="preserve">. La regla general en torno a ellos </w:t>
      </w:r>
      <w:r w:rsidR="009209F8">
        <w:rPr>
          <w:rFonts w:ascii="Times New Roman" w:hAnsi="Times New Roman" w:cs="Times New Roman"/>
          <w:sz w:val="24"/>
          <w:szCs w:val="24"/>
        </w:rPr>
        <w:t>es que el tratamiento está prohi</w:t>
      </w:r>
      <w:r>
        <w:rPr>
          <w:rFonts w:ascii="Times New Roman" w:hAnsi="Times New Roman" w:cs="Times New Roman"/>
          <w:sz w:val="24"/>
          <w:szCs w:val="24"/>
        </w:rPr>
        <w:t>bido salvo que concurran una serie de circunstancias</w:t>
      </w:r>
      <w:r>
        <w:rPr>
          <w:rStyle w:val="Refdenotaalpie"/>
          <w:rFonts w:ascii="Times New Roman" w:hAnsi="Times New Roman" w:cs="Times New Roman"/>
          <w:sz w:val="24"/>
          <w:szCs w:val="24"/>
        </w:rPr>
        <w:footnoteReference w:id="35"/>
      </w:r>
      <w:r>
        <w:rPr>
          <w:rFonts w:ascii="Times New Roman" w:hAnsi="Times New Roman" w:cs="Times New Roman"/>
          <w:sz w:val="24"/>
          <w:szCs w:val="24"/>
        </w:rPr>
        <w:t xml:space="preserve">. </w:t>
      </w:r>
    </w:p>
    <w:p w:rsidR="00F77F5B" w:rsidRDefault="00F77F5B" w:rsidP="00F77F5B">
      <w:pPr>
        <w:ind w:firstLine="708"/>
        <w:jc w:val="both"/>
        <w:rPr>
          <w:rFonts w:ascii="Times New Roman" w:hAnsi="Times New Roman" w:cs="Times New Roman"/>
          <w:sz w:val="24"/>
          <w:szCs w:val="24"/>
        </w:rPr>
      </w:pPr>
      <w:r>
        <w:rPr>
          <w:rFonts w:ascii="Times New Roman" w:hAnsi="Times New Roman" w:cs="Times New Roman"/>
          <w:sz w:val="24"/>
          <w:szCs w:val="24"/>
        </w:rPr>
        <w:t>A propósito de esta prohibición, y visto que l</w:t>
      </w:r>
      <w:r w:rsidRPr="00423697">
        <w:rPr>
          <w:rFonts w:ascii="Times New Roman" w:hAnsi="Times New Roman" w:cs="Times New Roman"/>
          <w:sz w:val="24"/>
          <w:szCs w:val="24"/>
        </w:rPr>
        <w:t>a I</w:t>
      </w:r>
      <w:r w:rsidR="00402B73">
        <w:rPr>
          <w:rFonts w:ascii="Times New Roman" w:hAnsi="Times New Roman" w:cs="Times New Roman"/>
          <w:sz w:val="24"/>
          <w:szCs w:val="24"/>
        </w:rPr>
        <w:t xml:space="preserve">nteligencia </w:t>
      </w:r>
      <w:r w:rsidRPr="00423697">
        <w:rPr>
          <w:rFonts w:ascii="Times New Roman" w:hAnsi="Times New Roman" w:cs="Times New Roman"/>
          <w:sz w:val="24"/>
          <w:szCs w:val="24"/>
        </w:rPr>
        <w:t>A</w:t>
      </w:r>
      <w:r w:rsidR="00402B73">
        <w:rPr>
          <w:rFonts w:ascii="Times New Roman" w:hAnsi="Times New Roman" w:cs="Times New Roman"/>
          <w:sz w:val="24"/>
          <w:szCs w:val="24"/>
        </w:rPr>
        <w:t>rtificial</w:t>
      </w:r>
      <w:r w:rsidRPr="00423697">
        <w:rPr>
          <w:rFonts w:ascii="Times New Roman" w:hAnsi="Times New Roman" w:cs="Times New Roman"/>
          <w:sz w:val="24"/>
          <w:szCs w:val="24"/>
        </w:rPr>
        <w:t xml:space="preserve"> permite elaborar perfiles con un alto grado de fiabilidad y acierto, posibilitando que a partir de datos no considerados especiales, </w:t>
      </w:r>
      <w:r>
        <w:rPr>
          <w:rFonts w:ascii="Times New Roman" w:hAnsi="Times New Roman" w:cs="Times New Roman"/>
          <w:sz w:val="24"/>
          <w:szCs w:val="24"/>
        </w:rPr>
        <w:t>se conozca información sensible, e</w:t>
      </w:r>
      <w:r w:rsidRPr="00423697">
        <w:rPr>
          <w:rFonts w:ascii="Times New Roman" w:hAnsi="Times New Roman" w:cs="Times New Roman"/>
          <w:sz w:val="24"/>
          <w:szCs w:val="24"/>
        </w:rPr>
        <w:t xml:space="preserve">s probable que para los derechos y libertades sea más garantista un sistema de protección basado no solo sobre la naturaleza sensible del dato (art. 9.1 RGPD) sino que también tuviera presente el contexto en el que los datos son utilizados [art. 5.1.c) de </w:t>
      </w:r>
      <w:r w:rsidR="00152460">
        <w:rPr>
          <w:rFonts w:ascii="Times New Roman" w:hAnsi="Times New Roman" w:cs="Times New Roman"/>
          <w:sz w:val="24"/>
          <w:szCs w:val="24"/>
        </w:rPr>
        <w:t>la Propuesta de Reglamento de Inteligencia Artificial</w:t>
      </w:r>
      <w:r w:rsidRPr="00423697">
        <w:rPr>
          <w:rFonts w:ascii="Times New Roman" w:hAnsi="Times New Roman" w:cs="Times New Roman"/>
          <w:sz w:val="24"/>
          <w:szCs w:val="24"/>
        </w:rPr>
        <w:t>]</w:t>
      </w:r>
      <w:r>
        <w:rPr>
          <w:rStyle w:val="Refdenotaalpie"/>
          <w:rFonts w:ascii="Times New Roman" w:hAnsi="Times New Roman" w:cs="Times New Roman"/>
          <w:sz w:val="24"/>
          <w:szCs w:val="24"/>
        </w:rPr>
        <w:footnoteReference w:id="36"/>
      </w:r>
      <w:r w:rsidRPr="00423697">
        <w:rPr>
          <w:rFonts w:ascii="Times New Roman" w:hAnsi="Times New Roman" w:cs="Times New Roman"/>
          <w:sz w:val="24"/>
          <w:szCs w:val="24"/>
        </w:rPr>
        <w:t>.</w:t>
      </w:r>
    </w:p>
    <w:p w:rsidR="00F77F5B" w:rsidRPr="00C30398" w:rsidRDefault="00F77F5B" w:rsidP="00F77F5B">
      <w:pPr>
        <w:ind w:firstLine="708"/>
        <w:jc w:val="both"/>
        <w:rPr>
          <w:rFonts w:ascii="Times New Roman" w:hAnsi="Times New Roman" w:cs="Times New Roman"/>
          <w:sz w:val="24"/>
          <w:szCs w:val="24"/>
        </w:rPr>
      </w:pPr>
      <w:r>
        <w:rPr>
          <w:rFonts w:ascii="Times New Roman" w:hAnsi="Times New Roman" w:cs="Times New Roman"/>
          <w:sz w:val="24"/>
          <w:szCs w:val="24"/>
        </w:rPr>
        <w:t xml:space="preserve">En este sentido se ha pronunciado </w:t>
      </w:r>
      <w:r w:rsidRPr="00C30398">
        <w:rPr>
          <w:rFonts w:ascii="Times New Roman" w:hAnsi="Times New Roman" w:cs="Times New Roman"/>
          <w:sz w:val="24"/>
          <w:szCs w:val="24"/>
        </w:rPr>
        <w:t>Kahneman, premio Nobel de economía en 2002,</w:t>
      </w:r>
      <w:r>
        <w:rPr>
          <w:rFonts w:ascii="Times New Roman" w:hAnsi="Times New Roman" w:cs="Times New Roman"/>
          <w:sz w:val="24"/>
          <w:szCs w:val="24"/>
        </w:rPr>
        <w:t xml:space="preserve"> advirtiendo</w:t>
      </w:r>
      <w:r w:rsidRPr="00C30398">
        <w:rPr>
          <w:rFonts w:ascii="Times New Roman" w:hAnsi="Times New Roman" w:cs="Times New Roman"/>
          <w:sz w:val="24"/>
          <w:szCs w:val="24"/>
        </w:rPr>
        <w:t xml:space="preserve"> que este modelo de protección basado en la naturaleza sensible de los datos no es del todo perfecto, pues combinando otra serie de datos que no aparecen en esta relación, sería igualmente posible la elaboración de perfiles sobre cualquiera de estos aspectos de la persona</w:t>
      </w:r>
      <w:r w:rsidR="00C3321D">
        <w:rPr>
          <w:rStyle w:val="Refdenotaalpie"/>
          <w:rFonts w:ascii="Times New Roman" w:hAnsi="Times New Roman" w:cs="Times New Roman"/>
          <w:sz w:val="24"/>
          <w:szCs w:val="24"/>
        </w:rPr>
        <w:footnoteReference w:id="37"/>
      </w:r>
      <w:r w:rsidRPr="00C30398">
        <w:rPr>
          <w:rFonts w:ascii="Times New Roman" w:hAnsi="Times New Roman" w:cs="Times New Roman"/>
          <w:sz w:val="24"/>
          <w:szCs w:val="24"/>
        </w:rPr>
        <w:t>. El citado autor pone como ejemplo que a partir de los gustos de una persona sobre el tipo de películas de cine que ve o sus directores favoritos podríamos extraer conclusiones sobre su ideología o su orientación sexual.</w:t>
      </w:r>
    </w:p>
    <w:p w:rsidR="00DE0DD8" w:rsidRPr="00C30398" w:rsidRDefault="00DE0DD8" w:rsidP="00DE0DD8">
      <w:pPr>
        <w:ind w:firstLine="708"/>
        <w:jc w:val="both"/>
        <w:rPr>
          <w:rFonts w:ascii="Times New Roman" w:hAnsi="Times New Roman" w:cs="Times New Roman"/>
          <w:sz w:val="24"/>
          <w:szCs w:val="24"/>
        </w:rPr>
      </w:pPr>
      <w:r w:rsidRPr="00C30398">
        <w:rPr>
          <w:rFonts w:ascii="Times New Roman" w:hAnsi="Times New Roman" w:cs="Times New Roman"/>
          <w:sz w:val="24"/>
          <w:szCs w:val="24"/>
        </w:rPr>
        <w:t>La prohibición general que contempla el artículo 9.1 RGPD no sería de aplicación si concurriera alguna de las circunstancias que se contemplan en el párrafo segundo de este mismo precepto, entre ellas, por lo que ahora más nos co</w:t>
      </w:r>
      <w:r>
        <w:rPr>
          <w:rFonts w:ascii="Times New Roman" w:hAnsi="Times New Roman" w:cs="Times New Roman"/>
          <w:sz w:val="24"/>
          <w:szCs w:val="24"/>
        </w:rPr>
        <w:t>ncierne, que el interesado explí</w:t>
      </w:r>
      <w:r w:rsidRPr="00C30398">
        <w:rPr>
          <w:rFonts w:ascii="Times New Roman" w:hAnsi="Times New Roman" w:cs="Times New Roman"/>
          <w:sz w:val="24"/>
          <w:szCs w:val="24"/>
        </w:rPr>
        <w:t>citamente consienta el tratamiento de dichos datos personales, excepto cuando el Derecho de la Unión o del Estado miembro en cuestión establezca que la prohibición general del art. 9.1 RGPD no pueda ser levantada por el intere</w:t>
      </w:r>
      <w:r>
        <w:rPr>
          <w:rFonts w:ascii="Times New Roman" w:hAnsi="Times New Roman" w:cs="Times New Roman"/>
          <w:sz w:val="24"/>
          <w:szCs w:val="24"/>
        </w:rPr>
        <w:t>s</w:t>
      </w:r>
      <w:r w:rsidRPr="00C30398">
        <w:rPr>
          <w:rFonts w:ascii="Times New Roman" w:hAnsi="Times New Roman" w:cs="Times New Roman"/>
          <w:sz w:val="24"/>
          <w:szCs w:val="24"/>
        </w:rPr>
        <w:t xml:space="preserve">ado [apartado a)]; que el interesado </w:t>
      </w:r>
      <w:r>
        <w:rPr>
          <w:rFonts w:ascii="Times New Roman" w:hAnsi="Times New Roman" w:cs="Times New Roman"/>
          <w:sz w:val="24"/>
          <w:szCs w:val="24"/>
        </w:rPr>
        <w:t>hubiera hecho manifiestamente pú</w:t>
      </w:r>
      <w:r w:rsidRPr="00C30398">
        <w:rPr>
          <w:rFonts w:ascii="Times New Roman" w:hAnsi="Times New Roman" w:cs="Times New Roman"/>
          <w:sz w:val="24"/>
          <w:szCs w:val="24"/>
        </w:rPr>
        <w:t xml:space="preserve">blicos tales datos personales [apartado e)]; o que el tratamiento fuera necesario por razones de interés público esencial, siempre que </w:t>
      </w:r>
      <w:r w:rsidRPr="00C30398">
        <w:rPr>
          <w:rFonts w:ascii="Times New Roman" w:hAnsi="Times New Roman" w:cs="Times New Roman"/>
          <w:sz w:val="24"/>
          <w:szCs w:val="24"/>
        </w:rPr>
        <w:lastRenderedPageBreak/>
        <w:t>se establecieran “medidas adecuadas y específicas para proteger los intereses y derechos fundamentales del interesado” [apartado g)].</w:t>
      </w:r>
    </w:p>
    <w:p w:rsidR="00FB0A5C" w:rsidRDefault="00716E3D" w:rsidP="00716E3D">
      <w:pPr>
        <w:ind w:firstLine="708"/>
        <w:jc w:val="both"/>
        <w:rPr>
          <w:rFonts w:ascii="Times New Roman" w:hAnsi="Times New Roman" w:cs="Times New Roman"/>
          <w:sz w:val="24"/>
          <w:szCs w:val="24"/>
        </w:rPr>
      </w:pPr>
      <w:r>
        <w:rPr>
          <w:rFonts w:ascii="Times New Roman" w:hAnsi="Times New Roman" w:cs="Times New Roman"/>
          <w:sz w:val="24"/>
          <w:szCs w:val="24"/>
        </w:rPr>
        <w:t>A este respecto, e</w:t>
      </w:r>
      <w:r w:rsidR="00DE0DD8" w:rsidRPr="00A15473">
        <w:rPr>
          <w:rFonts w:ascii="Times New Roman" w:hAnsi="Times New Roman" w:cs="Times New Roman"/>
          <w:sz w:val="24"/>
          <w:szCs w:val="24"/>
        </w:rPr>
        <w:t xml:space="preserve">l artículo 9 de la Ley Orgánica 3/2018, de 5 de diciembre, de protección de datos personales y garantía de los derechos digitales se </w:t>
      </w:r>
      <w:r>
        <w:rPr>
          <w:rFonts w:ascii="Times New Roman" w:hAnsi="Times New Roman" w:cs="Times New Roman"/>
          <w:sz w:val="24"/>
          <w:szCs w:val="24"/>
        </w:rPr>
        <w:t>remite al RGPD pero advirtiendo que “a</w:t>
      </w:r>
      <w:r w:rsidRPr="00716E3D">
        <w:rPr>
          <w:rFonts w:ascii="Times New Roman" w:hAnsi="Times New Roman" w:cs="Times New Roman"/>
          <w:sz w:val="24"/>
          <w:szCs w:val="24"/>
        </w:rPr>
        <w:t xml:space="preserve"> los efectos del artículo 9.2.a) del Reglamento (UE) 2016/679, a fin de evitar</w:t>
      </w:r>
      <w:r>
        <w:rPr>
          <w:rFonts w:ascii="Times New Roman" w:hAnsi="Times New Roman" w:cs="Times New Roman"/>
          <w:sz w:val="24"/>
          <w:szCs w:val="24"/>
        </w:rPr>
        <w:t xml:space="preserve"> </w:t>
      </w:r>
      <w:r w:rsidRPr="00716E3D">
        <w:rPr>
          <w:rFonts w:ascii="Times New Roman" w:hAnsi="Times New Roman" w:cs="Times New Roman"/>
          <w:sz w:val="24"/>
          <w:szCs w:val="24"/>
        </w:rPr>
        <w:t>situaciones discriminatorias, el solo consentimiento del afectado no bastará para levantar la</w:t>
      </w:r>
      <w:r>
        <w:rPr>
          <w:rFonts w:ascii="Times New Roman" w:hAnsi="Times New Roman" w:cs="Times New Roman"/>
          <w:sz w:val="24"/>
          <w:szCs w:val="24"/>
        </w:rPr>
        <w:t xml:space="preserve"> </w:t>
      </w:r>
      <w:r w:rsidRPr="00716E3D">
        <w:rPr>
          <w:rFonts w:ascii="Times New Roman" w:hAnsi="Times New Roman" w:cs="Times New Roman"/>
          <w:sz w:val="24"/>
          <w:szCs w:val="24"/>
        </w:rPr>
        <w:t>prohibición del tratamiento de datos cuya finalidad principal sea identificar su ideología,</w:t>
      </w:r>
      <w:r>
        <w:rPr>
          <w:rFonts w:ascii="Times New Roman" w:hAnsi="Times New Roman" w:cs="Times New Roman"/>
          <w:sz w:val="24"/>
          <w:szCs w:val="24"/>
        </w:rPr>
        <w:t xml:space="preserve"> </w:t>
      </w:r>
      <w:r w:rsidRPr="00716E3D">
        <w:rPr>
          <w:rFonts w:ascii="Times New Roman" w:hAnsi="Times New Roman" w:cs="Times New Roman"/>
          <w:sz w:val="24"/>
          <w:szCs w:val="24"/>
        </w:rPr>
        <w:t>afiliación sindical, religión, orientación sexual, creencias u origen racial o étnico</w:t>
      </w:r>
      <w:r>
        <w:rPr>
          <w:rFonts w:ascii="Times New Roman" w:hAnsi="Times New Roman" w:cs="Times New Roman"/>
          <w:sz w:val="24"/>
          <w:szCs w:val="24"/>
        </w:rPr>
        <w:t>” (párrafo primero)</w:t>
      </w:r>
      <w:r w:rsidRPr="00716E3D">
        <w:rPr>
          <w:rFonts w:ascii="Times New Roman" w:hAnsi="Times New Roman" w:cs="Times New Roman"/>
          <w:sz w:val="24"/>
          <w:szCs w:val="24"/>
        </w:rPr>
        <w:t>.</w:t>
      </w:r>
      <w:r>
        <w:rPr>
          <w:rFonts w:ascii="Times New Roman" w:hAnsi="Times New Roman" w:cs="Times New Roman"/>
          <w:sz w:val="24"/>
          <w:szCs w:val="24"/>
        </w:rPr>
        <w:t xml:space="preserve"> </w:t>
      </w:r>
    </w:p>
    <w:p w:rsidR="00DE0DD8" w:rsidRPr="00C30398" w:rsidRDefault="00DE0DD8" w:rsidP="00DE0DD8">
      <w:pPr>
        <w:ind w:firstLine="708"/>
        <w:jc w:val="both"/>
        <w:rPr>
          <w:rFonts w:ascii="Times New Roman" w:hAnsi="Times New Roman" w:cs="Times New Roman"/>
          <w:sz w:val="24"/>
          <w:szCs w:val="24"/>
        </w:rPr>
      </w:pPr>
      <w:r w:rsidRPr="00A15473">
        <w:rPr>
          <w:rFonts w:ascii="Times New Roman" w:hAnsi="Times New Roman" w:cs="Times New Roman"/>
          <w:sz w:val="24"/>
          <w:szCs w:val="24"/>
        </w:rPr>
        <w:t>Igualmente, en relación con la excepción del art. 9.2.g), que permite el tratamiento de los datos que en principio el artículo 9.1 prohíbe</w:t>
      </w:r>
      <w:r w:rsidR="00F12A47">
        <w:rPr>
          <w:rFonts w:ascii="Times New Roman" w:hAnsi="Times New Roman" w:cs="Times New Roman"/>
          <w:sz w:val="24"/>
          <w:szCs w:val="24"/>
        </w:rPr>
        <w:t xml:space="preserve"> si es que existe</w:t>
      </w:r>
      <w:r w:rsidRPr="00A15473">
        <w:rPr>
          <w:rFonts w:ascii="Times New Roman" w:hAnsi="Times New Roman" w:cs="Times New Roman"/>
          <w:sz w:val="24"/>
          <w:szCs w:val="24"/>
        </w:rPr>
        <w:t>n razones de interés público esencial, el art. 9.2 de la citada Ley Orgánica 3/2018 exige que dicha excepción habrá de estar contemplada “en una norma con rango de ley, que podrá establecer requisitos adicionales relativos a su seguridad y confidencialidad”.</w:t>
      </w:r>
    </w:p>
    <w:p w:rsidR="003B5F3C" w:rsidRPr="00C30398" w:rsidRDefault="003B5F3C" w:rsidP="00F77F5B">
      <w:pPr>
        <w:ind w:firstLine="708"/>
        <w:jc w:val="both"/>
        <w:rPr>
          <w:rFonts w:ascii="Times New Roman" w:hAnsi="Times New Roman" w:cs="Times New Roman"/>
          <w:b/>
          <w:sz w:val="24"/>
          <w:szCs w:val="24"/>
        </w:rPr>
      </w:pPr>
      <w:r>
        <w:rPr>
          <w:rFonts w:ascii="Times New Roman" w:hAnsi="Times New Roman" w:cs="Times New Roman"/>
          <w:sz w:val="24"/>
          <w:szCs w:val="24"/>
        </w:rPr>
        <w:t xml:space="preserve">Con respecto a estas garantías, el TC ha subrayado la importancia que especialmente tiene que el tratamiento se realice </w:t>
      </w:r>
      <w:r w:rsidRPr="00C30398">
        <w:rPr>
          <w:rFonts w:ascii="Times New Roman" w:hAnsi="Times New Roman" w:cs="Times New Roman"/>
          <w:sz w:val="24"/>
          <w:szCs w:val="24"/>
        </w:rPr>
        <w:t>en condiciones de transparencia;</w:t>
      </w:r>
      <w:r>
        <w:rPr>
          <w:rFonts w:ascii="Times New Roman" w:hAnsi="Times New Roman" w:cs="Times New Roman"/>
          <w:sz w:val="24"/>
          <w:szCs w:val="24"/>
        </w:rPr>
        <w:t xml:space="preserve"> que el legislador establezca</w:t>
      </w:r>
      <w:r w:rsidRPr="00C30398">
        <w:rPr>
          <w:rFonts w:ascii="Times New Roman" w:hAnsi="Times New Roman" w:cs="Times New Roman"/>
          <w:sz w:val="24"/>
          <w:szCs w:val="24"/>
        </w:rPr>
        <w:t xml:space="preserve"> mecanismos efectivos de control,</w:t>
      </w:r>
      <w:r>
        <w:rPr>
          <w:rFonts w:ascii="Times New Roman" w:hAnsi="Times New Roman" w:cs="Times New Roman"/>
          <w:sz w:val="24"/>
          <w:szCs w:val="24"/>
        </w:rPr>
        <w:t xml:space="preserve"> advirtien</w:t>
      </w:r>
      <w:r w:rsidR="009209F8">
        <w:rPr>
          <w:rFonts w:ascii="Times New Roman" w:hAnsi="Times New Roman" w:cs="Times New Roman"/>
          <w:sz w:val="24"/>
          <w:szCs w:val="24"/>
        </w:rPr>
        <w:t>d</w:t>
      </w:r>
      <w:r>
        <w:rPr>
          <w:rFonts w:ascii="Times New Roman" w:hAnsi="Times New Roman" w:cs="Times New Roman"/>
          <w:sz w:val="24"/>
          <w:szCs w:val="24"/>
        </w:rPr>
        <w:t>o al efecto la relevancia de</w:t>
      </w:r>
      <w:r w:rsidRPr="00C30398">
        <w:rPr>
          <w:rFonts w:ascii="Times New Roman" w:hAnsi="Times New Roman" w:cs="Times New Roman"/>
          <w:sz w:val="24"/>
          <w:szCs w:val="24"/>
        </w:rPr>
        <w:t xml:space="preserve"> la supervisión</w:t>
      </w:r>
      <w:r>
        <w:rPr>
          <w:rFonts w:ascii="Times New Roman" w:hAnsi="Times New Roman" w:cs="Times New Roman"/>
          <w:sz w:val="24"/>
          <w:szCs w:val="24"/>
        </w:rPr>
        <w:t xml:space="preserve"> </w:t>
      </w:r>
      <w:r w:rsidRPr="00C30398">
        <w:rPr>
          <w:rFonts w:ascii="Times New Roman" w:hAnsi="Times New Roman" w:cs="Times New Roman"/>
          <w:sz w:val="24"/>
          <w:szCs w:val="24"/>
        </w:rPr>
        <w:t>y</w:t>
      </w:r>
      <w:r>
        <w:rPr>
          <w:rFonts w:ascii="Times New Roman" w:hAnsi="Times New Roman" w:cs="Times New Roman"/>
          <w:sz w:val="24"/>
          <w:szCs w:val="24"/>
        </w:rPr>
        <w:t xml:space="preserve"> de la</w:t>
      </w:r>
      <w:r w:rsidRPr="00C30398">
        <w:rPr>
          <w:rFonts w:ascii="Times New Roman" w:hAnsi="Times New Roman" w:cs="Times New Roman"/>
          <w:sz w:val="24"/>
          <w:szCs w:val="24"/>
        </w:rPr>
        <w:t xml:space="preserve"> tutela judicial; y </w:t>
      </w:r>
      <w:r>
        <w:rPr>
          <w:rFonts w:ascii="Times New Roman" w:hAnsi="Times New Roman" w:cs="Times New Roman"/>
          <w:sz w:val="24"/>
          <w:szCs w:val="24"/>
        </w:rPr>
        <w:t>que se garantice</w:t>
      </w:r>
      <w:r w:rsidRPr="00C30398">
        <w:rPr>
          <w:rFonts w:ascii="Times New Roman" w:hAnsi="Times New Roman" w:cs="Times New Roman"/>
          <w:sz w:val="24"/>
          <w:szCs w:val="24"/>
        </w:rPr>
        <w:t xml:space="preserve"> que los datos no se recojan de manera desproporcionada y no se utilicen para fines distintos para los que fueron solicitados</w:t>
      </w:r>
      <w:r>
        <w:rPr>
          <w:rStyle w:val="Refdenotaalpie"/>
          <w:rFonts w:ascii="Times New Roman" w:hAnsi="Times New Roman" w:cs="Times New Roman"/>
          <w:sz w:val="24"/>
          <w:szCs w:val="24"/>
        </w:rPr>
        <w:footnoteReference w:id="38"/>
      </w:r>
      <w:r w:rsidRPr="00C30398">
        <w:rPr>
          <w:rFonts w:ascii="Times New Roman" w:hAnsi="Times New Roman" w:cs="Times New Roman"/>
          <w:sz w:val="24"/>
          <w:szCs w:val="24"/>
        </w:rPr>
        <w:t>.</w:t>
      </w:r>
    </w:p>
    <w:p w:rsidR="00111B14" w:rsidRDefault="003B5F3C" w:rsidP="00DE0DD8">
      <w:pPr>
        <w:ind w:firstLine="708"/>
        <w:jc w:val="both"/>
        <w:rPr>
          <w:rFonts w:ascii="Times New Roman" w:hAnsi="Times New Roman" w:cs="Times New Roman"/>
          <w:sz w:val="24"/>
          <w:szCs w:val="24"/>
        </w:rPr>
      </w:pPr>
      <w:r>
        <w:rPr>
          <w:rFonts w:ascii="Times New Roman" w:hAnsi="Times New Roman" w:cs="Times New Roman"/>
          <w:sz w:val="24"/>
          <w:szCs w:val="24"/>
        </w:rPr>
        <w:t xml:space="preserve">El </w:t>
      </w:r>
      <w:r w:rsidR="00F12A47">
        <w:rPr>
          <w:rFonts w:ascii="Times New Roman" w:hAnsi="Times New Roman" w:cs="Times New Roman"/>
          <w:sz w:val="24"/>
          <w:szCs w:val="24"/>
        </w:rPr>
        <w:t>artículo</w:t>
      </w:r>
      <w:r>
        <w:rPr>
          <w:rFonts w:ascii="Times New Roman" w:hAnsi="Times New Roman" w:cs="Times New Roman"/>
          <w:sz w:val="24"/>
          <w:szCs w:val="24"/>
        </w:rPr>
        <w:t xml:space="preserve"> impugnado en el recurso de inconstitucionalidad </w:t>
      </w:r>
      <w:r w:rsidR="00F12A47">
        <w:rPr>
          <w:rFonts w:ascii="Times New Roman" w:hAnsi="Times New Roman" w:cs="Times New Roman"/>
          <w:sz w:val="24"/>
          <w:szCs w:val="24"/>
        </w:rPr>
        <w:t xml:space="preserve">que resuelve la STC 76/2019 </w:t>
      </w:r>
      <w:r>
        <w:rPr>
          <w:rFonts w:ascii="Times New Roman" w:hAnsi="Times New Roman" w:cs="Times New Roman"/>
          <w:sz w:val="24"/>
          <w:szCs w:val="24"/>
        </w:rPr>
        <w:t>señalaba en su parte final que la recogida de datos que la</w:t>
      </w:r>
      <w:r w:rsidR="00F12A47">
        <w:rPr>
          <w:rFonts w:ascii="Times New Roman" w:hAnsi="Times New Roman" w:cs="Times New Roman"/>
          <w:sz w:val="24"/>
          <w:szCs w:val="24"/>
        </w:rPr>
        <w:t xml:space="preserve"> disposición permitía</w:t>
      </w:r>
      <w:r>
        <w:rPr>
          <w:rFonts w:ascii="Times New Roman" w:hAnsi="Times New Roman" w:cs="Times New Roman"/>
          <w:sz w:val="24"/>
          <w:szCs w:val="24"/>
        </w:rPr>
        <w:t xml:space="preserve"> </w:t>
      </w:r>
      <w:r w:rsidR="00111B14">
        <w:rPr>
          <w:rFonts w:ascii="Times New Roman" w:hAnsi="Times New Roman" w:cs="Times New Roman"/>
          <w:sz w:val="24"/>
          <w:szCs w:val="24"/>
        </w:rPr>
        <w:t xml:space="preserve">sólo sería posible cuando se ofrecieran </w:t>
      </w:r>
      <w:r>
        <w:rPr>
          <w:rFonts w:ascii="Times New Roman" w:hAnsi="Times New Roman" w:cs="Times New Roman"/>
          <w:sz w:val="24"/>
          <w:szCs w:val="24"/>
        </w:rPr>
        <w:t>“</w:t>
      </w:r>
      <w:r w:rsidRPr="00C30398">
        <w:rPr>
          <w:rFonts w:ascii="Times New Roman" w:hAnsi="Times New Roman" w:cs="Times New Roman"/>
          <w:sz w:val="24"/>
          <w:szCs w:val="24"/>
        </w:rPr>
        <w:t>garantías adecuadas</w:t>
      </w:r>
      <w:r w:rsidR="00F12A47">
        <w:rPr>
          <w:rFonts w:ascii="Times New Roman" w:hAnsi="Times New Roman" w:cs="Times New Roman"/>
          <w:sz w:val="24"/>
          <w:szCs w:val="24"/>
        </w:rPr>
        <w:t>”.</w:t>
      </w:r>
      <w:r w:rsidR="00111B14">
        <w:rPr>
          <w:rFonts w:ascii="Times New Roman" w:hAnsi="Times New Roman" w:cs="Times New Roman"/>
          <w:sz w:val="24"/>
          <w:szCs w:val="24"/>
        </w:rPr>
        <w:t xml:space="preserve"> Al respecto, el TC</w:t>
      </w:r>
      <w:r w:rsidR="00334D5C">
        <w:rPr>
          <w:rFonts w:ascii="Times New Roman" w:hAnsi="Times New Roman" w:cs="Times New Roman"/>
          <w:sz w:val="24"/>
          <w:szCs w:val="24"/>
        </w:rPr>
        <w:t xml:space="preserve">, recordando la doctrina sentada en </w:t>
      </w:r>
      <w:r w:rsidR="00EF043A">
        <w:rPr>
          <w:rFonts w:ascii="Times New Roman" w:hAnsi="Times New Roman" w:cs="Times New Roman"/>
          <w:sz w:val="24"/>
          <w:szCs w:val="24"/>
        </w:rPr>
        <w:t xml:space="preserve">el FJ. 10 de </w:t>
      </w:r>
      <w:r w:rsidR="00334D5C">
        <w:rPr>
          <w:rFonts w:ascii="Times New Roman" w:hAnsi="Times New Roman" w:cs="Times New Roman"/>
          <w:sz w:val="24"/>
          <w:szCs w:val="24"/>
        </w:rPr>
        <w:t>la STC 292/2000,</w:t>
      </w:r>
      <w:r w:rsidR="00111B14">
        <w:rPr>
          <w:rFonts w:ascii="Times New Roman" w:hAnsi="Times New Roman" w:cs="Times New Roman"/>
          <w:sz w:val="24"/>
          <w:szCs w:val="24"/>
        </w:rPr>
        <w:t xml:space="preserve"> advierte que tales</w:t>
      </w:r>
      <w:r w:rsidR="00F12A47">
        <w:rPr>
          <w:rFonts w:ascii="Times New Roman" w:hAnsi="Times New Roman" w:cs="Times New Roman"/>
          <w:sz w:val="24"/>
          <w:szCs w:val="24"/>
        </w:rPr>
        <w:t xml:space="preserve"> garantías no se precisaban</w:t>
      </w:r>
      <w:r w:rsidR="00402B73">
        <w:rPr>
          <w:rFonts w:ascii="Times New Roman" w:hAnsi="Times New Roman" w:cs="Times New Roman"/>
          <w:sz w:val="24"/>
          <w:szCs w:val="24"/>
        </w:rPr>
        <w:t xml:space="preserve"> “en absoluto”</w:t>
      </w:r>
      <w:r>
        <w:rPr>
          <w:rFonts w:ascii="Times New Roman" w:hAnsi="Times New Roman" w:cs="Times New Roman"/>
          <w:sz w:val="24"/>
          <w:szCs w:val="24"/>
        </w:rPr>
        <w:t xml:space="preserve"> [FJ. 6, c)]</w:t>
      </w:r>
      <w:r>
        <w:rPr>
          <w:rStyle w:val="Refdenotaalpie"/>
          <w:rFonts w:ascii="Times New Roman" w:hAnsi="Times New Roman" w:cs="Times New Roman"/>
          <w:sz w:val="24"/>
          <w:szCs w:val="24"/>
        </w:rPr>
        <w:footnoteReference w:id="39"/>
      </w:r>
      <w:r w:rsidR="00111B14">
        <w:rPr>
          <w:rFonts w:ascii="Times New Roman" w:hAnsi="Times New Roman" w:cs="Times New Roman"/>
          <w:sz w:val="24"/>
          <w:szCs w:val="24"/>
        </w:rPr>
        <w:t>, que el derecho quedaba lesionado si las garantías se predeterminaban con carácter general, como era el caso.</w:t>
      </w:r>
    </w:p>
    <w:p w:rsidR="00334D5C" w:rsidRDefault="00111B14" w:rsidP="00334D5C">
      <w:pPr>
        <w:ind w:firstLine="708"/>
        <w:jc w:val="both"/>
        <w:rPr>
          <w:rFonts w:ascii="Times New Roman" w:hAnsi="Times New Roman" w:cs="Times New Roman"/>
          <w:sz w:val="24"/>
          <w:szCs w:val="24"/>
        </w:rPr>
      </w:pPr>
      <w:r>
        <w:rPr>
          <w:rFonts w:ascii="Times New Roman" w:hAnsi="Times New Roman" w:cs="Times New Roman"/>
          <w:sz w:val="24"/>
          <w:szCs w:val="24"/>
        </w:rPr>
        <w:t>El TC fundamenta este reproche recordando que las “garantías adecuadas” que el legislador debe de ofrecer son necesarias para preservar el contenido esencial de este derecho, y que estas deben ser “</w:t>
      </w:r>
      <w:r w:rsidRPr="00111B14">
        <w:rPr>
          <w:rFonts w:ascii="Times New Roman" w:hAnsi="Times New Roman" w:cs="Times New Roman"/>
          <w:sz w:val="24"/>
          <w:szCs w:val="24"/>
        </w:rPr>
        <w:t>de tipo técnico, organizativo y procedimental</w:t>
      </w:r>
      <w:r>
        <w:rPr>
          <w:rFonts w:ascii="Times New Roman" w:hAnsi="Times New Roman" w:cs="Times New Roman"/>
          <w:sz w:val="24"/>
          <w:szCs w:val="24"/>
        </w:rPr>
        <w:t>”</w:t>
      </w:r>
      <w:r w:rsidRPr="00111B14">
        <w:rPr>
          <w:rFonts w:ascii="Times New Roman" w:hAnsi="Times New Roman" w:cs="Times New Roman"/>
          <w:sz w:val="24"/>
          <w:szCs w:val="24"/>
        </w:rPr>
        <w:t>,</w:t>
      </w:r>
      <w:r>
        <w:rPr>
          <w:rFonts w:ascii="Times New Roman" w:hAnsi="Times New Roman" w:cs="Times New Roman"/>
          <w:sz w:val="24"/>
          <w:szCs w:val="24"/>
        </w:rPr>
        <w:t xml:space="preserve"> al objeto de prevenir riesgos y de mitigar los efectos</w:t>
      </w:r>
      <w:r w:rsidR="00334D5C">
        <w:rPr>
          <w:rFonts w:ascii="Times New Roman" w:hAnsi="Times New Roman" w:cs="Times New Roman"/>
          <w:sz w:val="24"/>
          <w:szCs w:val="24"/>
        </w:rPr>
        <w:t xml:space="preserve"> que se derivarían de un uso potencialmente invasor en los derechos de las personas; que, sin tales garantías adecuadas, “los intereses jurídicamente protegibles, que constituyen la razón de ser del aludido derecho fundamental” no quedarían “real, concreta y efectivamente protegidos”; que “l</w:t>
      </w:r>
      <w:r w:rsidR="00334D5C" w:rsidRPr="00334D5C">
        <w:rPr>
          <w:rFonts w:ascii="Times New Roman" w:hAnsi="Times New Roman" w:cs="Times New Roman"/>
          <w:sz w:val="24"/>
          <w:szCs w:val="24"/>
        </w:rPr>
        <w:t>a mera inexistencia de «garantías adecuadas» o de las «mínimas exigibles a la Ley» constituye de por sí una injerencia en el derecho fundamental, de gravedad similar a la que causarían intromisiones directas en su contenido nuclear</w:t>
      </w:r>
      <w:r w:rsidR="00334D5C">
        <w:rPr>
          <w:rFonts w:ascii="Times New Roman" w:hAnsi="Times New Roman" w:cs="Times New Roman"/>
          <w:sz w:val="24"/>
          <w:szCs w:val="24"/>
        </w:rPr>
        <w:t>”; y que, por tanto, “l</w:t>
      </w:r>
      <w:r w:rsidR="00334D5C" w:rsidRPr="00334D5C">
        <w:rPr>
          <w:rFonts w:ascii="Times New Roman" w:hAnsi="Times New Roman" w:cs="Times New Roman"/>
          <w:sz w:val="24"/>
          <w:szCs w:val="24"/>
        </w:rPr>
        <w:t>a exigencia de «garantías adecuadas» se fundamenta</w:t>
      </w:r>
      <w:r w:rsidR="00334D5C">
        <w:rPr>
          <w:rFonts w:ascii="Times New Roman" w:hAnsi="Times New Roman" w:cs="Times New Roman"/>
          <w:sz w:val="24"/>
          <w:szCs w:val="24"/>
        </w:rPr>
        <w:t xml:space="preserve"> (…) </w:t>
      </w:r>
      <w:r w:rsidR="00334D5C" w:rsidRPr="00334D5C">
        <w:rPr>
          <w:rFonts w:ascii="Times New Roman" w:hAnsi="Times New Roman" w:cs="Times New Roman"/>
          <w:sz w:val="24"/>
          <w:szCs w:val="24"/>
        </w:rPr>
        <w:t>en el respeto del contenido esencial del derecho fundamental</w:t>
      </w:r>
      <w:r w:rsidR="00334D5C">
        <w:rPr>
          <w:rFonts w:ascii="Times New Roman" w:hAnsi="Times New Roman" w:cs="Times New Roman"/>
          <w:sz w:val="24"/>
          <w:szCs w:val="24"/>
        </w:rPr>
        <w:t>” [FJ. 6, a)]</w:t>
      </w:r>
      <w:r w:rsidR="00334D5C" w:rsidRPr="00334D5C">
        <w:rPr>
          <w:rFonts w:ascii="Times New Roman" w:hAnsi="Times New Roman" w:cs="Times New Roman"/>
          <w:sz w:val="24"/>
          <w:szCs w:val="24"/>
        </w:rPr>
        <w:t>.</w:t>
      </w:r>
    </w:p>
    <w:p w:rsidR="00524DB7" w:rsidRDefault="00524DB7" w:rsidP="00524DB7">
      <w:pPr>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A mayor abundamiento, el TC advierte que esta doctrina sobre las garantías adecuadas comulga con la jurisprudencia del TJUE, que en varias sentencias ha exigido que estas sean claras y precisas, que “establezcan </w:t>
      </w:r>
      <w:r w:rsidRPr="00524DB7">
        <w:rPr>
          <w:rFonts w:ascii="Times New Roman" w:hAnsi="Times New Roman" w:cs="Times New Roman"/>
          <w:sz w:val="24"/>
          <w:szCs w:val="24"/>
        </w:rPr>
        <w:t>unas exigencias mínimas de modo que las personas cuyos datos se hayan conservado dispongan de garantías suficientes que permitan proteger de manera eficaz sus datos de carácter personal contra los riesgos de abuso y contra cualquier acceso o utilización ilícitos respecto de tales datos</w:t>
      </w:r>
      <w:r>
        <w:rPr>
          <w:rFonts w:ascii="Times New Roman" w:hAnsi="Times New Roman" w:cs="Times New Roman"/>
          <w:sz w:val="24"/>
          <w:szCs w:val="24"/>
        </w:rPr>
        <w:t>” [FJ. 6, b)]</w:t>
      </w:r>
      <w:r>
        <w:rPr>
          <w:rStyle w:val="Refdenotaalpie"/>
          <w:rFonts w:ascii="Times New Roman" w:hAnsi="Times New Roman" w:cs="Times New Roman"/>
          <w:sz w:val="24"/>
          <w:szCs w:val="24"/>
        </w:rPr>
        <w:footnoteReference w:id="40"/>
      </w:r>
    </w:p>
    <w:p w:rsidR="004E2266" w:rsidRDefault="004E2266" w:rsidP="00111B14">
      <w:pPr>
        <w:ind w:firstLine="708"/>
        <w:jc w:val="both"/>
        <w:rPr>
          <w:rFonts w:ascii="Times New Roman" w:hAnsi="Times New Roman" w:cs="Times New Roman"/>
          <w:sz w:val="24"/>
          <w:szCs w:val="24"/>
        </w:rPr>
      </w:pPr>
      <w:r>
        <w:rPr>
          <w:rFonts w:ascii="Times New Roman" w:hAnsi="Times New Roman" w:cs="Times New Roman"/>
          <w:sz w:val="24"/>
          <w:szCs w:val="24"/>
        </w:rPr>
        <w:t xml:space="preserve">El TC insiste en que tales “garantías adecuadas </w:t>
      </w:r>
      <w:r w:rsidRPr="004E2266">
        <w:rPr>
          <w:rFonts w:ascii="Times New Roman" w:hAnsi="Times New Roman" w:cs="Times New Roman"/>
          <w:sz w:val="24"/>
          <w:szCs w:val="24"/>
        </w:rPr>
        <w:t>deben velar por que el tratamiento de datos se realice en condiciones que aseguren la transparencia, la supervisión y la tutela judicial efectiva, y deben procurar que los datos no se recojan de forma desproporcionada y no se utilicen para fines distintos de los que justificaron su obtención</w:t>
      </w:r>
      <w:r>
        <w:rPr>
          <w:rFonts w:ascii="Times New Roman" w:hAnsi="Times New Roman" w:cs="Times New Roman"/>
          <w:sz w:val="24"/>
          <w:szCs w:val="24"/>
        </w:rPr>
        <w:t>”</w:t>
      </w:r>
      <w:r w:rsidRPr="004E2266">
        <w:rPr>
          <w:rFonts w:ascii="Times New Roman" w:hAnsi="Times New Roman" w:cs="Times New Roman"/>
          <w:sz w:val="24"/>
          <w:szCs w:val="24"/>
        </w:rPr>
        <w:t>.</w:t>
      </w:r>
      <w:r>
        <w:rPr>
          <w:rFonts w:ascii="Times New Roman" w:hAnsi="Times New Roman" w:cs="Times New Roman"/>
          <w:sz w:val="24"/>
          <w:szCs w:val="24"/>
        </w:rPr>
        <w:t xml:space="preserve"> </w:t>
      </w:r>
      <w:r w:rsidR="00307C5D">
        <w:rPr>
          <w:rFonts w:ascii="Times New Roman" w:hAnsi="Times New Roman" w:cs="Times New Roman"/>
          <w:sz w:val="24"/>
          <w:szCs w:val="24"/>
        </w:rPr>
        <w:t>Que</w:t>
      </w:r>
      <w:r>
        <w:rPr>
          <w:rFonts w:ascii="Times New Roman" w:hAnsi="Times New Roman" w:cs="Times New Roman"/>
          <w:sz w:val="24"/>
          <w:szCs w:val="24"/>
        </w:rPr>
        <w:t xml:space="preserve"> tales garantías resulten constitucionalmente exigibles dependerán de tres factores: del “</w:t>
      </w:r>
      <w:r w:rsidRPr="00111B14">
        <w:rPr>
          <w:rFonts w:ascii="Times New Roman" w:hAnsi="Times New Roman" w:cs="Times New Roman"/>
          <w:sz w:val="24"/>
          <w:szCs w:val="24"/>
        </w:rPr>
        <w:t>tipo de tratamiento de datos que se pretende llevar a cabo;</w:t>
      </w:r>
      <w:r>
        <w:rPr>
          <w:rFonts w:ascii="Times New Roman" w:hAnsi="Times New Roman" w:cs="Times New Roman"/>
          <w:sz w:val="24"/>
          <w:szCs w:val="24"/>
        </w:rPr>
        <w:t xml:space="preserve"> [de]</w:t>
      </w:r>
      <w:r w:rsidRPr="00111B14">
        <w:rPr>
          <w:rFonts w:ascii="Times New Roman" w:hAnsi="Times New Roman" w:cs="Times New Roman"/>
          <w:sz w:val="24"/>
          <w:szCs w:val="24"/>
        </w:rPr>
        <w:t xml:space="preserve"> la naturaleza de los datos; y </w:t>
      </w:r>
      <w:r>
        <w:rPr>
          <w:rFonts w:ascii="Times New Roman" w:hAnsi="Times New Roman" w:cs="Times New Roman"/>
          <w:sz w:val="24"/>
          <w:szCs w:val="24"/>
        </w:rPr>
        <w:t xml:space="preserve">[de] </w:t>
      </w:r>
      <w:r w:rsidRPr="00111B14">
        <w:rPr>
          <w:rFonts w:ascii="Times New Roman" w:hAnsi="Times New Roman" w:cs="Times New Roman"/>
          <w:sz w:val="24"/>
          <w:szCs w:val="24"/>
        </w:rPr>
        <w:t>la probabilidad y la gravedad de los riesgos de abuso y de utilización ilícita que, a su vez, están vinculadas al tipo de tratamiento y a la categoría de datos de que se trate</w:t>
      </w:r>
      <w:r>
        <w:rPr>
          <w:rFonts w:ascii="Times New Roman" w:hAnsi="Times New Roman" w:cs="Times New Roman"/>
          <w:sz w:val="24"/>
          <w:szCs w:val="24"/>
        </w:rPr>
        <w:t>”. A efectos ilustrativos, el TC señala a este respecto que “</w:t>
      </w:r>
      <w:r w:rsidRPr="004E2266">
        <w:rPr>
          <w:rFonts w:ascii="Times New Roman" w:hAnsi="Times New Roman" w:cs="Times New Roman"/>
          <w:sz w:val="24"/>
          <w:szCs w:val="24"/>
        </w:rPr>
        <w:t>no plantean los mismos problemas una recogida de datos con fines estadísticos que una recogida de datos con un fin concreto. Tampoco supone el mismo grado de injerencia la recopilación y el procesamiento de datos anónimos que la recopilación y el procesamiento de datos personales que se toman individualmente y no se anonimizan, como no es lo mismo el tratamiento de datos personales que revelen el origen étnico o racial, las opiniones políticas, la salud, la vida sexual o la orientación sexual de una persona física, que el tratamiento de otro tipo de datos</w:t>
      </w:r>
      <w:r>
        <w:rPr>
          <w:rFonts w:ascii="Times New Roman" w:hAnsi="Times New Roman" w:cs="Times New Roman"/>
          <w:sz w:val="24"/>
          <w:szCs w:val="24"/>
        </w:rPr>
        <w:t>”. Por último, el TC concluye estas consideracio</w:t>
      </w:r>
      <w:r w:rsidR="00307C5D">
        <w:rPr>
          <w:rFonts w:ascii="Times New Roman" w:hAnsi="Times New Roman" w:cs="Times New Roman"/>
          <w:sz w:val="24"/>
          <w:szCs w:val="24"/>
        </w:rPr>
        <w:t>nes advirtiendo que las garantía</w:t>
      </w:r>
      <w:r>
        <w:rPr>
          <w:rFonts w:ascii="Times New Roman" w:hAnsi="Times New Roman" w:cs="Times New Roman"/>
          <w:sz w:val="24"/>
          <w:szCs w:val="24"/>
        </w:rPr>
        <w:t>s habrán de ser revisadas y actualizadas cuando sea necesario, sobre todo teniendo en cuenta que “</w:t>
      </w:r>
      <w:r w:rsidRPr="00111B14">
        <w:rPr>
          <w:rFonts w:ascii="Times New Roman" w:hAnsi="Times New Roman" w:cs="Times New Roman"/>
          <w:sz w:val="24"/>
          <w:szCs w:val="24"/>
        </w:rPr>
        <w:t>con el desarrollo de la tecnología, aparecen posibilidades de tratamiento que resultan menos intrusivas o potencialmente menos peligrosas para los derechos fundamentales</w:t>
      </w:r>
      <w:r>
        <w:rPr>
          <w:rFonts w:ascii="Times New Roman" w:hAnsi="Times New Roman" w:cs="Times New Roman"/>
          <w:sz w:val="24"/>
          <w:szCs w:val="24"/>
        </w:rPr>
        <w:t>” [FJ. 6, c)].</w:t>
      </w:r>
    </w:p>
    <w:p w:rsidR="003B5F3C" w:rsidRPr="00C30398" w:rsidRDefault="004E2266" w:rsidP="00DE0DD8">
      <w:pPr>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3B5F3C">
        <w:rPr>
          <w:rFonts w:ascii="Times New Roman" w:hAnsi="Times New Roman" w:cs="Times New Roman"/>
          <w:sz w:val="24"/>
          <w:szCs w:val="24"/>
        </w:rPr>
        <w:t xml:space="preserve">Como anteriormente hemos señalado, </w:t>
      </w:r>
      <w:r w:rsidR="008022B9">
        <w:rPr>
          <w:rFonts w:ascii="Times New Roman" w:hAnsi="Times New Roman" w:cs="Times New Roman"/>
          <w:sz w:val="24"/>
          <w:szCs w:val="24"/>
        </w:rPr>
        <w:t>cuando de restringir un derecho se</w:t>
      </w:r>
      <w:r w:rsidR="00307C5D">
        <w:rPr>
          <w:rFonts w:ascii="Times New Roman" w:hAnsi="Times New Roman" w:cs="Times New Roman"/>
          <w:sz w:val="24"/>
          <w:szCs w:val="24"/>
        </w:rPr>
        <w:t xml:space="preserve"> trata, además de que el límite</w:t>
      </w:r>
      <w:r w:rsidR="008022B9">
        <w:rPr>
          <w:rFonts w:ascii="Times New Roman" w:hAnsi="Times New Roman" w:cs="Times New Roman"/>
          <w:sz w:val="24"/>
          <w:szCs w:val="24"/>
        </w:rPr>
        <w:t xml:space="preserve"> esté previsto en una ley</w:t>
      </w:r>
      <w:r w:rsidR="003171DC">
        <w:rPr>
          <w:rFonts w:ascii="Times New Roman" w:hAnsi="Times New Roman" w:cs="Times New Roman"/>
          <w:sz w:val="24"/>
          <w:szCs w:val="24"/>
        </w:rPr>
        <w:t>,</w:t>
      </w:r>
      <w:r w:rsidR="008022B9">
        <w:rPr>
          <w:rFonts w:ascii="Times New Roman" w:hAnsi="Times New Roman" w:cs="Times New Roman"/>
          <w:sz w:val="24"/>
          <w:szCs w:val="24"/>
        </w:rPr>
        <w:t xml:space="preserve"> es necesario </w:t>
      </w:r>
      <w:r w:rsidR="003B5F3C">
        <w:rPr>
          <w:rFonts w:ascii="Times New Roman" w:hAnsi="Times New Roman" w:cs="Times New Roman"/>
          <w:sz w:val="24"/>
          <w:szCs w:val="24"/>
        </w:rPr>
        <w:t>q</w:t>
      </w:r>
      <w:r w:rsidR="008022B9">
        <w:rPr>
          <w:rFonts w:ascii="Times New Roman" w:hAnsi="Times New Roman" w:cs="Times New Roman"/>
          <w:sz w:val="24"/>
          <w:szCs w:val="24"/>
        </w:rPr>
        <w:t xml:space="preserve">ue la restricción </w:t>
      </w:r>
      <w:r w:rsidR="003B5F3C">
        <w:rPr>
          <w:rFonts w:ascii="Times New Roman" w:hAnsi="Times New Roman" w:cs="Times New Roman"/>
          <w:sz w:val="24"/>
          <w:szCs w:val="24"/>
        </w:rPr>
        <w:t>responda a un fin constitucionalmente legítimo.</w:t>
      </w:r>
      <w:r w:rsidR="008022B9">
        <w:rPr>
          <w:rFonts w:ascii="Times New Roman" w:hAnsi="Times New Roman" w:cs="Times New Roman"/>
          <w:sz w:val="24"/>
          <w:szCs w:val="24"/>
        </w:rPr>
        <w:t xml:space="preserve"> Este fue otro de los motivos por los que la STC 76/2019 estimó el recurso de inconstitucionalidad contra ley que permitía a los partidos políticos</w:t>
      </w:r>
      <w:r w:rsidR="003171DC">
        <w:rPr>
          <w:rFonts w:ascii="Times New Roman" w:hAnsi="Times New Roman" w:cs="Times New Roman"/>
          <w:sz w:val="24"/>
          <w:szCs w:val="24"/>
        </w:rPr>
        <w:t>, en el marco de sus actividades electorales,</w:t>
      </w:r>
      <w:r w:rsidR="008022B9">
        <w:rPr>
          <w:rFonts w:ascii="Times New Roman" w:hAnsi="Times New Roman" w:cs="Times New Roman"/>
          <w:sz w:val="24"/>
          <w:szCs w:val="24"/>
        </w:rPr>
        <w:t xml:space="preserve"> recabar </w:t>
      </w:r>
      <w:r w:rsidR="003171DC">
        <w:rPr>
          <w:rFonts w:ascii="Times New Roman" w:hAnsi="Times New Roman" w:cs="Times New Roman"/>
          <w:sz w:val="24"/>
          <w:szCs w:val="24"/>
        </w:rPr>
        <w:t>datos personales relativos a las opiniones políticas de las personas.</w:t>
      </w:r>
      <w:r w:rsidR="008022B9">
        <w:rPr>
          <w:rFonts w:ascii="Times New Roman" w:hAnsi="Times New Roman" w:cs="Times New Roman"/>
          <w:sz w:val="24"/>
          <w:szCs w:val="24"/>
        </w:rPr>
        <w:t xml:space="preserve"> </w:t>
      </w:r>
      <w:r w:rsidR="003B5F3C">
        <w:rPr>
          <w:rFonts w:ascii="Times New Roman" w:hAnsi="Times New Roman" w:cs="Times New Roman"/>
          <w:sz w:val="24"/>
          <w:szCs w:val="24"/>
        </w:rPr>
        <w:t>A</w:t>
      </w:r>
      <w:r w:rsidR="003171DC">
        <w:rPr>
          <w:rFonts w:ascii="Times New Roman" w:hAnsi="Times New Roman" w:cs="Times New Roman"/>
          <w:sz w:val="24"/>
          <w:szCs w:val="24"/>
        </w:rPr>
        <w:t xml:space="preserve"> este re</w:t>
      </w:r>
      <w:r w:rsidR="003B5F3C">
        <w:rPr>
          <w:rFonts w:ascii="Times New Roman" w:hAnsi="Times New Roman" w:cs="Times New Roman"/>
          <w:sz w:val="24"/>
          <w:szCs w:val="24"/>
        </w:rPr>
        <w:t>specto</w:t>
      </w:r>
      <w:r w:rsidR="003171DC">
        <w:rPr>
          <w:rFonts w:ascii="Times New Roman" w:hAnsi="Times New Roman" w:cs="Times New Roman"/>
          <w:sz w:val="24"/>
          <w:szCs w:val="24"/>
        </w:rPr>
        <w:t>,</w:t>
      </w:r>
      <w:r w:rsidR="003B5F3C">
        <w:rPr>
          <w:rFonts w:ascii="Times New Roman" w:hAnsi="Times New Roman" w:cs="Times New Roman"/>
          <w:sz w:val="24"/>
          <w:szCs w:val="24"/>
        </w:rPr>
        <w:t xml:space="preserve"> el TC subraya que la disposición impugnada </w:t>
      </w:r>
      <w:r w:rsidR="003B5F3C" w:rsidRPr="00DD4CAF">
        <w:rPr>
          <w:rFonts w:ascii="Times New Roman" w:hAnsi="Times New Roman" w:cs="Times New Roman"/>
          <w:sz w:val="24"/>
          <w:szCs w:val="24"/>
        </w:rPr>
        <w:t xml:space="preserve">no identificaba el interés público esencial que servía de base al tratamiento, esto es, no precisaba </w:t>
      </w:r>
      <w:r w:rsidR="003171DC">
        <w:rPr>
          <w:rFonts w:ascii="Times New Roman" w:hAnsi="Times New Roman" w:cs="Times New Roman"/>
          <w:sz w:val="24"/>
          <w:szCs w:val="24"/>
        </w:rPr>
        <w:t>la</w:t>
      </w:r>
      <w:r w:rsidR="003B5F3C" w:rsidRPr="00DD4CAF">
        <w:rPr>
          <w:rFonts w:ascii="Times New Roman" w:hAnsi="Times New Roman" w:cs="Times New Roman"/>
          <w:sz w:val="24"/>
          <w:szCs w:val="24"/>
        </w:rPr>
        <w:t xml:space="preserve"> finalidad </w:t>
      </w:r>
      <w:r w:rsidR="003171DC">
        <w:rPr>
          <w:rFonts w:ascii="Times New Roman" w:hAnsi="Times New Roman" w:cs="Times New Roman"/>
          <w:sz w:val="24"/>
          <w:szCs w:val="24"/>
        </w:rPr>
        <w:t>de aquella recopilación de</w:t>
      </w:r>
      <w:r w:rsidR="003B5F3C" w:rsidRPr="00DD4CAF">
        <w:rPr>
          <w:rFonts w:ascii="Times New Roman" w:hAnsi="Times New Roman" w:cs="Times New Roman"/>
          <w:sz w:val="24"/>
          <w:szCs w:val="24"/>
        </w:rPr>
        <w:t xml:space="preserve"> datos</w:t>
      </w:r>
      <w:r w:rsidR="003171DC">
        <w:rPr>
          <w:rFonts w:ascii="Times New Roman" w:hAnsi="Times New Roman" w:cs="Times New Roman"/>
          <w:sz w:val="24"/>
          <w:szCs w:val="24"/>
        </w:rPr>
        <w:t>. Sin es</w:t>
      </w:r>
      <w:r w:rsidR="003B5F3C">
        <w:rPr>
          <w:rFonts w:ascii="Times New Roman" w:hAnsi="Times New Roman" w:cs="Times New Roman"/>
          <w:sz w:val="24"/>
          <w:szCs w:val="24"/>
        </w:rPr>
        <w:t>a información, advierte el Alto Tribunal,</w:t>
      </w:r>
      <w:r w:rsidR="003B5F3C" w:rsidRPr="003E1069">
        <w:rPr>
          <w:rFonts w:ascii="Times New Roman" w:hAnsi="Times New Roman" w:cs="Times New Roman"/>
          <w:sz w:val="24"/>
          <w:szCs w:val="24"/>
        </w:rPr>
        <w:t xml:space="preserve"> </w:t>
      </w:r>
      <w:r w:rsidR="003B5F3C" w:rsidRPr="00C30398">
        <w:rPr>
          <w:rFonts w:ascii="Times New Roman" w:hAnsi="Times New Roman" w:cs="Times New Roman"/>
          <w:sz w:val="24"/>
          <w:szCs w:val="24"/>
        </w:rPr>
        <w:t xml:space="preserve">no </w:t>
      </w:r>
      <w:r w:rsidR="003171DC">
        <w:rPr>
          <w:rFonts w:ascii="Times New Roman" w:hAnsi="Times New Roman" w:cs="Times New Roman"/>
          <w:sz w:val="24"/>
          <w:szCs w:val="24"/>
        </w:rPr>
        <w:t>era</w:t>
      </w:r>
      <w:r w:rsidR="003B5F3C" w:rsidRPr="00C30398">
        <w:rPr>
          <w:rFonts w:ascii="Times New Roman" w:hAnsi="Times New Roman" w:cs="Times New Roman"/>
          <w:sz w:val="24"/>
          <w:szCs w:val="24"/>
        </w:rPr>
        <w:t xml:space="preserve"> posible enjuiciar el carácter constitucionalmente legítimo de la finalidad ni la proporcionalidad de la</w:t>
      </w:r>
      <w:r w:rsidR="003B5F3C">
        <w:rPr>
          <w:rFonts w:ascii="Times New Roman" w:hAnsi="Times New Roman" w:cs="Times New Roman"/>
          <w:sz w:val="24"/>
          <w:szCs w:val="24"/>
        </w:rPr>
        <w:t xml:space="preserve">s restricciones sobre </w:t>
      </w:r>
      <w:r w:rsidR="003171DC">
        <w:rPr>
          <w:rFonts w:ascii="Times New Roman" w:hAnsi="Times New Roman" w:cs="Times New Roman"/>
          <w:sz w:val="24"/>
          <w:szCs w:val="24"/>
        </w:rPr>
        <w:t>el derecho fundamental afectado. Esta fue otra de las razones por las que se estimó</w:t>
      </w:r>
      <w:r w:rsidR="003B5F3C">
        <w:rPr>
          <w:rFonts w:ascii="Times New Roman" w:hAnsi="Times New Roman" w:cs="Times New Roman"/>
          <w:sz w:val="24"/>
          <w:szCs w:val="24"/>
        </w:rPr>
        <w:t xml:space="preserve"> la inconstitucionalidad de la norma</w:t>
      </w:r>
      <w:r w:rsidR="003B5F3C">
        <w:rPr>
          <w:rStyle w:val="Refdenotaalpie"/>
          <w:rFonts w:ascii="Times New Roman" w:hAnsi="Times New Roman" w:cs="Times New Roman"/>
          <w:sz w:val="24"/>
          <w:szCs w:val="24"/>
        </w:rPr>
        <w:footnoteReference w:id="41"/>
      </w:r>
      <w:r w:rsidR="003B5F3C">
        <w:rPr>
          <w:rFonts w:ascii="Times New Roman" w:hAnsi="Times New Roman" w:cs="Times New Roman"/>
          <w:sz w:val="24"/>
          <w:szCs w:val="24"/>
        </w:rPr>
        <w:t>.</w:t>
      </w:r>
    </w:p>
    <w:p w:rsidR="003B5F3C" w:rsidRDefault="00CB0105" w:rsidP="00DE0DD8">
      <w:pPr>
        <w:ind w:firstLine="708"/>
        <w:jc w:val="both"/>
        <w:rPr>
          <w:rFonts w:ascii="Times New Roman" w:hAnsi="Times New Roman" w:cs="Times New Roman"/>
          <w:sz w:val="24"/>
          <w:szCs w:val="24"/>
        </w:rPr>
      </w:pPr>
      <w:r>
        <w:rPr>
          <w:rFonts w:ascii="Times New Roman" w:hAnsi="Times New Roman" w:cs="Times New Roman"/>
          <w:sz w:val="24"/>
          <w:szCs w:val="24"/>
        </w:rPr>
        <w:t xml:space="preserve">Por último, </w:t>
      </w:r>
      <w:r w:rsidR="003B5F3C" w:rsidRPr="00D33BD8">
        <w:rPr>
          <w:rFonts w:ascii="Times New Roman" w:hAnsi="Times New Roman" w:cs="Times New Roman"/>
          <w:sz w:val="24"/>
          <w:szCs w:val="24"/>
        </w:rPr>
        <w:t>también se</w:t>
      </w:r>
      <w:r>
        <w:rPr>
          <w:rFonts w:ascii="Times New Roman" w:hAnsi="Times New Roman" w:cs="Times New Roman"/>
          <w:sz w:val="24"/>
          <w:szCs w:val="24"/>
        </w:rPr>
        <w:t xml:space="preserve"> declaró contrario a la Constitución y nulo el precepto juzgado</w:t>
      </w:r>
      <w:r w:rsidR="003B5F3C" w:rsidRPr="00D33BD8">
        <w:rPr>
          <w:rFonts w:ascii="Times New Roman" w:hAnsi="Times New Roman" w:cs="Times New Roman"/>
          <w:sz w:val="24"/>
          <w:szCs w:val="24"/>
        </w:rPr>
        <w:t xml:space="preserve"> porque carecía de reglas sobre el alcance y contenido de los tratamientos de datos </w:t>
      </w:r>
      <w:r w:rsidR="003B5F3C" w:rsidRPr="00D33BD8">
        <w:rPr>
          <w:rFonts w:ascii="Times New Roman" w:hAnsi="Times New Roman" w:cs="Times New Roman"/>
          <w:sz w:val="24"/>
          <w:szCs w:val="24"/>
        </w:rPr>
        <w:lastRenderedPageBreak/>
        <w:t>que autorizaba</w:t>
      </w:r>
      <w:r w:rsidR="003B5F3C" w:rsidRPr="00D33BD8">
        <w:rPr>
          <w:rStyle w:val="Refdenotaalpie"/>
          <w:rFonts w:ascii="Times New Roman" w:hAnsi="Times New Roman" w:cs="Times New Roman"/>
          <w:sz w:val="24"/>
          <w:szCs w:val="24"/>
        </w:rPr>
        <w:footnoteReference w:id="42"/>
      </w:r>
      <w:r>
        <w:rPr>
          <w:rFonts w:ascii="Times New Roman" w:hAnsi="Times New Roman" w:cs="Times New Roman"/>
          <w:sz w:val="24"/>
          <w:szCs w:val="24"/>
        </w:rPr>
        <w:t>. Tal y como estaba</w:t>
      </w:r>
      <w:r w:rsidR="003B5F3C">
        <w:rPr>
          <w:rFonts w:ascii="Times New Roman" w:hAnsi="Times New Roman" w:cs="Times New Roman"/>
          <w:sz w:val="24"/>
          <w:szCs w:val="24"/>
        </w:rPr>
        <w:t xml:space="preserve"> redactado el precepto, advertía el TC, no sería posible “determinar </w:t>
      </w:r>
      <w:r>
        <w:rPr>
          <w:rFonts w:ascii="Times New Roman" w:hAnsi="Times New Roman" w:cs="Times New Roman"/>
          <w:sz w:val="24"/>
          <w:szCs w:val="24"/>
        </w:rPr>
        <w:t>si las operaciones que [pudieran]</w:t>
      </w:r>
      <w:r w:rsidR="003B5F3C" w:rsidRPr="00D33BD8">
        <w:rPr>
          <w:rFonts w:ascii="Times New Roman" w:hAnsi="Times New Roman" w:cs="Times New Roman"/>
          <w:sz w:val="24"/>
          <w:szCs w:val="24"/>
        </w:rPr>
        <w:t xml:space="preserve"> llevar a cabo los partidos políticos </w:t>
      </w:r>
      <w:r>
        <w:rPr>
          <w:rFonts w:ascii="Times New Roman" w:hAnsi="Times New Roman" w:cs="Times New Roman"/>
          <w:sz w:val="24"/>
          <w:szCs w:val="24"/>
        </w:rPr>
        <w:t>[serían]</w:t>
      </w:r>
      <w:r w:rsidR="003B5F3C" w:rsidRPr="00D33BD8">
        <w:rPr>
          <w:rFonts w:ascii="Times New Roman" w:hAnsi="Times New Roman" w:cs="Times New Roman"/>
          <w:sz w:val="24"/>
          <w:szCs w:val="24"/>
        </w:rPr>
        <w:t xml:space="preserve"> o no «el fruto previsible de la razonable aplicación de lo decidido por el legislador» (SSTC 49/1999, de 5 de abril, FJ 4; y 154/2014, de 22 de septiembre, FJ 7)</w:t>
      </w:r>
      <w:r w:rsidR="003B5F3C">
        <w:rPr>
          <w:rFonts w:ascii="Times New Roman" w:hAnsi="Times New Roman" w:cs="Times New Roman"/>
          <w:sz w:val="24"/>
          <w:szCs w:val="24"/>
        </w:rPr>
        <w:t>”</w:t>
      </w:r>
      <w:r w:rsidR="003B5F3C">
        <w:rPr>
          <w:rStyle w:val="Refdenotaalpie"/>
          <w:rFonts w:ascii="Times New Roman" w:hAnsi="Times New Roman" w:cs="Times New Roman"/>
          <w:sz w:val="24"/>
          <w:szCs w:val="24"/>
        </w:rPr>
        <w:footnoteReference w:id="43"/>
      </w:r>
      <w:r w:rsidR="003B5F3C" w:rsidRPr="00D33BD8">
        <w:rPr>
          <w:rFonts w:ascii="Times New Roman" w:hAnsi="Times New Roman" w:cs="Times New Roman"/>
          <w:sz w:val="24"/>
          <w:szCs w:val="24"/>
        </w:rPr>
        <w:t>.</w:t>
      </w:r>
    </w:p>
    <w:p w:rsidR="005C37D3" w:rsidRDefault="005C37D3" w:rsidP="00DE0DD8">
      <w:pPr>
        <w:ind w:firstLine="708"/>
        <w:jc w:val="both"/>
        <w:rPr>
          <w:rFonts w:ascii="Times New Roman" w:hAnsi="Times New Roman" w:cs="Times New Roman"/>
          <w:sz w:val="24"/>
          <w:szCs w:val="24"/>
        </w:rPr>
      </w:pPr>
    </w:p>
    <w:p w:rsidR="003B5F3C" w:rsidRPr="00D4002F" w:rsidRDefault="003B5F3C" w:rsidP="00D4002F">
      <w:pPr>
        <w:pStyle w:val="Prrafodelista"/>
        <w:numPr>
          <w:ilvl w:val="0"/>
          <w:numId w:val="14"/>
        </w:numPr>
        <w:rPr>
          <w:rFonts w:ascii="Times New Roman" w:hAnsi="Times New Roman" w:cs="Times New Roman"/>
          <w:b/>
          <w:sz w:val="24"/>
          <w:szCs w:val="24"/>
        </w:rPr>
      </w:pPr>
      <w:r w:rsidRPr="00D4002F">
        <w:rPr>
          <w:rFonts w:ascii="Times New Roman" w:hAnsi="Times New Roman" w:cs="Times New Roman"/>
          <w:b/>
          <w:sz w:val="24"/>
          <w:szCs w:val="24"/>
        </w:rPr>
        <w:t xml:space="preserve">En torno a la dimensión colectiva del derecho a la protección de datos. </w:t>
      </w:r>
    </w:p>
    <w:p w:rsidR="003B5F3C" w:rsidRDefault="003B5F3C" w:rsidP="00DE0DD8">
      <w:pPr>
        <w:ind w:firstLine="708"/>
        <w:jc w:val="both"/>
        <w:rPr>
          <w:rFonts w:ascii="Times New Roman" w:hAnsi="Times New Roman" w:cs="Times New Roman"/>
          <w:sz w:val="24"/>
          <w:szCs w:val="24"/>
        </w:rPr>
      </w:pPr>
      <w:r>
        <w:rPr>
          <w:rFonts w:ascii="Times New Roman" w:hAnsi="Times New Roman" w:cs="Times New Roman"/>
          <w:sz w:val="24"/>
          <w:szCs w:val="24"/>
        </w:rPr>
        <w:t>Los datos pueden ser utilizados para entender cómo</w:t>
      </w:r>
      <w:r w:rsidR="00431E10">
        <w:rPr>
          <w:rFonts w:ascii="Times New Roman" w:hAnsi="Times New Roman" w:cs="Times New Roman"/>
          <w:sz w:val="24"/>
          <w:szCs w:val="24"/>
        </w:rPr>
        <w:t xml:space="preserve"> se comporta una persona</w:t>
      </w:r>
      <w:r>
        <w:rPr>
          <w:rFonts w:ascii="Times New Roman" w:hAnsi="Times New Roman" w:cs="Times New Roman"/>
          <w:sz w:val="24"/>
          <w:szCs w:val="24"/>
        </w:rPr>
        <w:t xml:space="preserve"> ante</w:t>
      </w:r>
      <w:r w:rsidR="00431E10">
        <w:rPr>
          <w:rFonts w:ascii="Times New Roman" w:hAnsi="Times New Roman" w:cs="Times New Roman"/>
          <w:sz w:val="24"/>
          <w:szCs w:val="24"/>
        </w:rPr>
        <w:t xml:space="preserve"> determinadas</w:t>
      </w:r>
      <w:r>
        <w:rPr>
          <w:rFonts w:ascii="Times New Roman" w:hAnsi="Times New Roman" w:cs="Times New Roman"/>
          <w:sz w:val="24"/>
          <w:szCs w:val="24"/>
        </w:rPr>
        <w:t xml:space="preserve"> circunstancias, lo que resulta de una gravedad extraordinaria</w:t>
      </w:r>
      <w:r w:rsidR="00431E10">
        <w:rPr>
          <w:rFonts w:ascii="Times New Roman" w:hAnsi="Times New Roman" w:cs="Times New Roman"/>
          <w:sz w:val="24"/>
          <w:szCs w:val="24"/>
        </w:rPr>
        <w:t xml:space="preserve"> si el propósito para el que fueron recabados queda oculto. Si aquellos son tratados con la finalidad de incitarla al consumo sin que la pe</w:t>
      </w:r>
      <w:r w:rsidR="00307C5D">
        <w:rPr>
          <w:rFonts w:ascii="Times New Roman" w:hAnsi="Times New Roman" w:cs="Times New Roman"/>
          <w:sz w:val="24"/>
          <w:szCs w:val="24"/>
        </w:rPr>
        <w:t>rsona</w:t>
      </w:r>
      <w:r w:rsidR="00431E10">
        <w:rPr>
          <w:rFonts w:ascii="Times New Roman" w:hAnsi="Times New Roman" w:cs="Times New Roman"/>
          <w:sz w:val="24"/>
          <w:szCs w:val="24"/>
        </w:rPr>
        <w:t xml:space="preserve"> sea consciente de ello, es grave; pero más aún lo es si la intención es cambiar su pensamiento con mensajes falsos o </w:t>
      </w:r>
      <w:r w:rsidR="00307C5D">
        <w:rPr>
          <w:rFonts w:ascii="Times New Roman" w:hAnsi="Times New Roman" w:cs="Times New Roman"/>
          <w:sz w:val="24"/>
          <w:szCs w:val="24"/>
        </w:rPr>
        <w:t xml:space="preserve">que </w:t>
      </w:r>
      <w:r w:rsidR="00431E10">
        <w:rPr>
          <w:rFonts w:ascii="Times New Roman" w:hAnsi="Times New Roman" w:cs="Times New Roman"/>
          <w:sz w:val="24"/>
          <w:szCs w:val="24"/>
        </w:rPr>
        <w:t>distorsionan la realidad. Estas prácticas encajarían, en nuestra opinión, en las que prohíbe l</w:t>
      </w:r>
      <w:r>
        <w:rPr>
          <w:rFonts w:ascii="Times New Roman" w:hAnsi="Times New Roman" w:cs="Times New Roman"/>
          <w:sz w:val="24"/>
          <w:szCs w:val="24"/>
        </w:rPr>
        <w:t>a Propuesta de Reglamento de I</w:t>
      </w:r>
      <w:r w:rsidR="00152460">
        <w:rPr>
          <w:rFonts w:ascii="Times New Roman" w:hAnsi="Times New Roman" w:cs="Times New Roman"/>
          <w:sz w:val="24"/>
          <w:szCs w:val="24"/>
        </w:rPr>
        <w:t xml:space="preserve">nteligencia </w:t>
      </w:r>
      <w:r>
        <w:rPr>
          <w:rFonts w:ascii="Times New Roman" w:hAnsi="Times New Roman" w:cs="Times New Roman"/>
          <w:sz w:val="24"/>
          <w:szCs w:val="24"/>
        </w:rPr>
        <w:t>A</w:t>
      </w:r>
      <w:r w:rsidR="00152460">
        <w:rPr>
          <w:rFonts w:ascii="Times New Roman" w:hAnsi="Times New Roman" w:cs="Times New Roman"/>
          <w:sz w:val="24"/>
          <w:szCs w:val="24"/>
        </w:rPr>
        <w:t>rtificial</w:t>
      </w:r>
      <w:r>
        <w:rPr>
          <w:rFonts w:ascii="Times New Roman" w:hAnsi="Times New Roman" w:cs="Times New Roman"/>
          <w:sz w:val="24"/>
          <w:szCs w:val="24"/>
        </w:rPr>
        <w:t xml:space="preserve"> prohíbe en el artículo 5.1.c).</w:t>
      </w:r>
      <w:r>
        <w:rPr>
          <w:rStyle w:val="Refdenotaalpie"/>
          <w:rFonts w:ascii="Times New Roman" w:hAnsi="Times New Roman" w:cs="Times New Roman"/>
          <w:sz w:val="24"/>
          <w:szCs w:val="24"/>
        </w:rPr>
        <w:footnoteReference w:id="44"/>
      </w:r>
      <w:r>
        <w:rPr>
          <w:rFonts w:ascii="Times New Roman" w:hAnsi="Times New Roman" w:cs="Times New Roman"/>
          <w:sz w:val="24"/>
          <w:szCs w:val="24"/>
        </w:rPr>
        <w:t xml:space="preserve"> </w:t>
      </w:r>
    </w:p>
    <w:p w:rsidR="003B5F3C" w:rsidRPr="00E15751" w:rsidRDefault="00307C5D" w:rsidP="00DE0DD8">
      <w:pPr>
        <w:ind w:firstLine="708"/>
        <w:jc w:val="both"/>
        <w:rPr>
          <w:rFonts w:ascii="Times New Roman" w:hAnsi="Times New Roman" w:cs="Times New Roman"/>
          <w:sz w:val="24"/>
          <w:szCs w:val="24"/>
        </w:rPr>
      </w:pPr>
      <w:r>
        <w:rPr>
          <w:rFonts w:ascii="Times New Roman" w:hAnsi="Times New Roman" w:cs="Times New Roman"/>
          <w:sz w:val="24"/>
          <w:szCs w:val="24"/>
        </w:rPr>
        <w:t>A</w:t>
      </w:r>
      <w:r w:rsidR="003B5F3C" w:rsidRPr="00E15751">
        <w:rPr>
          <w:rFonts w:ascii="Times New Roman" w:hAnsi="Times New Roman" w:cs="Times New Roman"/>
          <w:sz w:val="24"/>
          <w:szCs w:val="24"/>
        </w:rPr>
        <w:t>demás de esa dimensión individual, el derecho a la protección de datos tiene otra colectiva o social</w:t>
      </w:r>
      <w:r w:rsidR="003B5F3C" w:rsidRPr="00E15751">
        <w:rPr>
          <w:rStyle w:val="Refdenotaalpie"/>
          <w:rFonts w:ascii="Times New Roman" w:hAnsi="Times New Roman" w:cs="Times New Roman"/>
          <w:sz w:val="24"/>
          <w:szCs w:val="24"/>
        </w:rPr>
        <w:footnoteReference w:id="45"/>
      </w:r>
      <w:r w:rsidR="003B5F3C" w:rsidRPr="00E15751">
        <w:rPr>
          <w:rFonts w:ascii="Times New Roman" w:hAnsi="Times New Roman" w:cs="Times New Roman"/>
          <w:sz w:val="24"/>
          <w:szCs w:val="24"/>
        </w:rPr>
        <w:t>, pues el tratamiento ilegítimo de los datos personales puede tener la finalidad de manipular a segmentos enteros de la población con el objetivo de interferir en los procesos democráticos</w:t>
      </w:r>
      <w:r w:rsidR="003B5F3C">
        <w:rPr>
          <w:rStyle w:val="Refdenotaalpie"/>
          <w:rFonts w:ascii="Times New Roman" w:hAnsi="Times New Roman" w:cs="Times New Roman"/>
          <w:sz w:val="24"/>
          <w:szCs w:val="24"/>
        </w:rPr>
        <w:footnoteReference w:id="46"/>
      </w:r>
      <w:r w:rsidR="003B5F3C" w:rsidRPr="00E15751">
        <w:rPr>
          <w:rFonts w:ascii="Times New Roman" w:hAnsi="Times New Roman" w:cs="Times New Roman"/>
          <w:sz w:val="24"/>
          <w:szCs w:val="24"/>
        </w:rPr>
        <w:t xml:space="preserve">. Así lo advierte la Comunicación de la Comisión al Parlamento Europeo y al Consejo titulada </w:t>
      </w:r>
      <w:r w:rsidR="00431E10">
        <w:rPr>
          <w:rFonts w:ascii="Times New Roman" w:hAnsi="Times New Roman" w:cs="Times New Roman"/>
          <w:sz w:val="24"/>
          <w:szCs w:val="24"/>
        </w:rPr>
        <w:t>“</w:t>
      </w:r>
      <w:r w:rsidR="003B5F3C" w:rsidRPr="00307C5D">
        <w:rPr>
          <w:rFonts w:ascii="Times New Roman" w:hAnsi="Times New Roman" w:cs="Times New Roman"/>
          <w:i/>
          <w:sz w:val="24"/>
          <w:szCs w:val="24"/>
        </w:rPr>
        <w:t>La protección de datos como pilar del empoderamiento de los ciudadanos y del enfoque de la UE para la transición digital: dos años de aplicación del Reglamento General de Protección de Datos</w:t>
      </w:r>
      <w:r w:rsidR="00431E10">
        <w:rPr>
          <w:rFonts w:ascii="Times New Roman" w:hAnsi="Times New Roman" w:cs="Times New Roman"/>
          <w:sz w:val="24"/>
          <w:szCs w:val="24"/>
        </w:rPr>
        <w:t>”</w:t>
      </w:r>
      <w:r w:rsidR="003B5F3C" w:rsidRPr="00E15751">
        <w:rPr>
          <w:rStyle w:val="Refdenotaalpie"/>
          <w:rFonts w:ascii="Times New Roman" w:hAnsi="Times New Roman" w:cs="Times New Roman"/>
          <w:sz w:val="24"/>
          <w:szCs w:val="24"/>
        </w:rPr>
        <w:footnoteReference w:id="47"/>
      </w:r>
      <w:r w:rsidR="003B5F3C" w:rsidRPr="00E15751">
        <w:rPr>
          <w:rFonts w:ascii="Times New Roman" w:hAnsi="Times New Roman" w:cs="Times New Roman"/>
          <w:sz w:val="24"/>
          <w:szCs w:val="24"/>
        </w:rPr>
        <w:t xml:space="preserve">. Como </w:t>
      </w:r>
      <w:r>
        <w:rPr>
          <w:rFonts w:ascii="Times New Roman" w:hAnsi="Times New Roman" w:cs="Times New Roman"/>
          <w:sz w:val="24"/>
          <w:szCs w:val="24"/>
        </w:rPr>
        <w:t>señala</w:t>
      </w:r>
      <w:r w:rsidR="003B5F3C" w:rsidRPr="00E15751">
        <w:rPr>
          <w:rFonts w:ascii="Times New Roman" w:hAnsi="Times New Roman" w:cs="Times New Roman"/>
          <w:sz w:val="24"/>
          <w:szCs w:val="24"/>
        </w:rPr>
        <w:t xml:space="preserve"> SCHWARTZ, la salud de una </w:t>
      </w:r>
      <w:r w:rsidR="003B5F3C" w:rsidRPr="00452CF5">
        <w:rPr>
          <w:rFonts w:ascii="Times New Roman" w:hAnsi="Times New Roman" w:cs="Times New Roman"/>
          <w:sz w:val="24"/>
          <w:szCs w:val="24"/>
        </w:rPr>
        <w:t>sociedad democrática depende</w:t>
      </w:r>
      <w:r w:rsidR="003B5F3C" w:rsidRPr="00E15751">
        <w:rPr>
          <w:rFonts w:ascii="Times New Roman" w:hAnsi="Times New Roman" w:cs="Times New Roman"/>
          <w:sz w:val="24"/>
          <w:szCs w:val="24"/>
        </w:rPr>
        <w:t xml:space="preserve"> tanto del proceso de </w:t>
      </w:r>
      <w:r w:rsidR="003B5F3C" w:rsidRPr="00E15751">
        <w:rPr>
          <w:rFonts w:ascii="Times New Roman" w:hAnsi="Times New Roman" w:cs="Times New Roman"/>
          <w:sz w:val="24"/>
          <w:szCs w:val="24"/>
        </w:rPr>
        <w:lastRenderedPageBreak/>
        <w:t>deliberación democrática como del funcionamiento de la capacidad de autodeterminación de cada persona</w:t>
      </w:r>
      <w:r w:rsidR="003B5F3C" w:rsidRPr="00E15751">
        <w:rPr>
          <w:rStyle w:val="Refdenotaalpie"/>
          <w:rFonts w:ascii="Times New Roman" w:hAnsi="Times New Roman" w:cs="Times New Roman"/>
          <w:sz w:val="24"/>
          <w:szCs w:val="24"/>
        </w:rPr>
        <w:footnoteReference w:id="48"/>
      </w:r>
      <w:r w:rsidR="003B5F3C" w:rsidRPr="00E15751">
        <w:rPr>
          <w:rFonts w:ascii="Times New Roman" w:hAnsi="Times New Roman" w:cs="Times New Roman"/>
          <w:sz w:val="24"/>
          <w:szCs w:val="24"/>
        </w:rPr>
        <w:t>.</w:t>
      </w:r>
    </w:p>
    <w:p w:rsidR="003B5F3C" w:rsidRDefault="003B5F3C" w:rsidP="00DE0DD8">
      <w:pPr>
        <w:ind w:firstLine="708"/>
        <w:jc w:val="both"/>
        <w:rPr>
          <w:rFonts w:ascii="Times New Roman" w:hAnsi="Times New Roman" w:cs="Times New Roman"/>
          <w:sz w:val="24"/>
          <w:szCs w:val="24"/>
        </w:rPr>
      </w:pPr>
      <w:r w:rsidRPr="00FF45A1">
        <w:rPr>
          <w:rFonts w:ascii="Times New Roman" w:hAnsi="Times New Roman" w:cs="Times New Roman"/>
          <w:sz w:val="24"/>
          <w:szCs w:val="24"/>
        </w:rPr>
        <w:t xml:space="preserve">Si bien el derecho a la protección de datos concede al interesado un haz de facultades para ejercer el control sobre los datos que le conciernen, la práctica demuestra que no se trata de una garantía suficiente, </w:t>
      </w:r>
      <w:r>
        <w:rPr>
          <w:rFonts w:ascii="Times New Roman" w:hAnsi="Times New Roman" w:cs="Times New Roman"/>
          <w:sz w:val="24"/>
          <w:szCs w:val="24"/>
        </w:rPr>
        <w:t>pues el inter</w:t>
      </w:r>
      <w:r w:rsidR="0093519E">
        <w:rPr>
          <w:rFonts w:ascii="Times New Roman" w:hAnsi="Times New Roman" w:cs="Times New Roman"/>
          <w:sz w:val="24"/>
          <w:szCs w:val="24"/>
        </w:rPr>
        <w:t>e</w:t>
      </w:r>
      <w:r>
        <w:rPr>
          <w:rFonts w:ascii="Times New Roman" w:hAnsi="Times New Roman" w:cs="Times New Roman"/>
          <w:sz w:val="24"/>
          <w:szCs w:val="24"/>
        </w:rPr>
        <w:t>sado, por sí solo,</w:t>
      </w:r>
      <w:r w:rsidRPr="00452CF5">
        <w:rPr>
          <w:rFonts w:ascii="Times New Roman" w:hAnsi="Times New Roman" w:cs="Times New Roman"/>
          <w:sz w:val="24"/>
          <w:szCs w:val="24"/>
        </w:rPr>
        <w:t xml:space="preserve"> </w:t>
      </w:r>
      <w:r w:rsidRPr="00FF45A1">
        <w:rPr>
          <w:rFonts w:ascii="Times New Roman" w:hAnsi="Times New Roman" w:cs="Times New Roman"/>
          <w:sz w:val="24"/>
          <w:szCs w:val="24"/>
        </w:rPr>
        <w:t xml:space="preserve">es incapaz de hacer frente a toda esta tecnología que permite </w:t>
      </w:r>
      <w:r w:rsidR="00972B53">
        <w:rPr>
          <w:rFonts w:ascii="Times New Roman" w:hAnsi="Times New Roman" w:cs="Times New Roman"/>
          <w:sz w:val="24"/>
          <w:szCs w:val="24"/>
        </w:rPr>
        <w:t xml:space="preserve">hacer uso </w:t>
      </w:r>
      <w:r w:rsidRPr="00FF45A1">
        <w:rPr>
          <w:rFonts w:ascii="Times New Roman" w:hAnsi="Times New Roman" w:cs="Times New Roman"/>
          <w:sz w:val="24"/>
          <w:szCs w:val="24"/>
        </w:rPr>
        <w:t xml:space="preserve">a escala masiva de </w:t>
      </w:r>
      <w:r>
        <w:rPr>
          <w:rFonts w:ascii="Times New Roman" w:hAnsi="Times New Roman" w:cs="Times New Roman"/>
          <w:sz w:val="24"/>
          <w:szCs w:val="24"/>
        </w:rPr>
        <w:t xml:space="preserve">sus datos personales. Resulta evidente que se precisan otras </w:t>
      </w:r>
      <w:r w:rsidRPr="00FF45A1">
        <w:rPr>
          <w:rFonts w:ascii="Times New Roman" w:hAnsi="Times New Roman" w:cs="Times New Roman"/>
          <w:sz w:val="24"/>
          <w:szCs w:val="24"/>
        </w:rPr>
        <w:t>garantías que de manera efectiva</w:t>
      </w:r>
      <w:r>
        <w:rPr>
          <w:rFonts w:ascii="Times New Roman" w:hAnsi="Times New Roman" w:cs="Times New Roman"/>
          <w:sz w:val="24"/>
          <w:szCs w:val="24"/>
        </w:rPr>
        <w:t xml:space="preserve"> velen</w:t>
      </w:r>
      <w:r w:rsidRPr="00FF45A1">
        <w:rPr>
          <w:rFonts w:ascii="Times New Roman" w:hAnsi="Times New Roman" w:cs="Times New Roman"/>
          <w:sz w:val="24"/>
          <w:szCs w:val="24"/>
        </w:rPr>
        <w:t xml:space="preserve"> por que los tratamientos se lleven a cabo siempre dentro del marco constitucional. </w:t>
      </w:r>
    </w:p>
    <w:p w:rsidR="003B5F3C" w:rsidRDefault="003B5F3C" w:rsidP="00DE0DD8">
      <w:pPr>
        <w:ind w:firstLine="708"/>
        <w:jc w:val="both"/>
        <w:rPr>
          <w:rFonts w:ascii="Times New Roman" w:hAnsi="Times New Roman" w:cs="Times New Roman"/>
          <w:sz w:val="24"/>
          <w:szCs w:val="24"/>
        </w:rPr>
      </w:pPr>
      <w:r>
        <w:rPr>
          <w:rFonts w:ascii="Times New Roman" w:hAnsi="Times New Roman" w:cs="Times New Roman"/>
          <w:sz w:val="24"/>
          <w:szCs w:val="24"/>
        </w:rPr>
        <w:t>La propuesta de Reglamento sobre I</w:t>
      </w:r>
      <w:r w:rsidR="00972B53">
        <w:rPr>
          <w:rFonts w:ascii="Times New Roman" w:hAnsi="Times New Roman" w:cs="Times New Roman"/>
          <w:sz w:val="24"/>
          <w:szCs w:val="24"/>
        </w:rPr>
        <w:t xml:space="preserve">nteligencia </w:t>
      </w:r>
      <w:r>
        <w:rPr>
          <w:rFonts w:ascii="Times New Roman" w:hAnsi="Times New Roman" w:cs="Times New Roman"/>
          <w:sz w:val="24"/>
          <w:szCs w:val="24"/>
        </w:rPr>
        <w:t>A</w:t>
      </w:r>
      <w:r w:rsidR="00972B53">
        <w:rPr>
          <w:rFonts w:ascii="Times New Roman" w:hAnsi="Times New Roman" w:cs="Times New Roman"/>
          <w:sz w:val="24"/>
          <w:szCs w:val="24"/>
        </w:rPr>
        <w:t>rtificial</w:t>
      </w:r>
      <w:r>
        <w:rPr>
          <w:rFonts w:ascii="Times New Roman" w:hAnsi="Times New Roman" w:cs="Times New Roman"/>
          <w:sz w:val="24"/>
          <w:szCs w:val="24"/>
        </w:rPr>
        <w:t xml:space="preserve"> reconoce los riesgos de manipulación, explotación y control social que esta tecnología, mal empleada, puede facilitar, advirtiendo la necesidad de</w:t>
      </w:r>
      <w:r w:rsidR="00972B53">
        <w:rPr>
          <w:rFonts w:ascii="Times New Roman" w:hAnsi="Times New Roman" w:cs="Times New Roman"/>
          <w:sz w:val="24"/>
          <w:szCs w:val="24"/>
        </w:rPr>
        <w:t xml:space="preserve"> preservar</w:t>
      </w:r>
      <w:r>
        <w:rPr>
          <w:rFonts w:ascii="Times New Roman" w:hAnsi="Times New Roman" w:cs="Times New Roman"/>
          <w:sz w:val="24"/>
          <w:szCs w:val="24"/>
        </w:rPr>
        <w:t xml:space="preserve"> los valores, principios y derechos sobre los que se fundamenta la UE</w:t>
      </w:r>
      <w:r>
        <w:rPr>
          <w:rStyle w:val="Refdenotaalpie"/>
          <w:rFonts w:ascii="Times New Roman" w:hAnsi="Times New Roman" w:cs="Times New Roman"/>
          <w:sz w:val="24"/>
          <w:szCs w:val="24"/>
        </w:rPr>
        <w:footnoteReference w:id="49"/>
      </w:r>
      <w:r>
        <w:rPr>
          <w:rFonts w:ascii="Times New Roman" w:hAnsi="Times New Roman" w:cs="Times New Roman"/>
          <w:sz w:val="24"/>
          <w:szCs w:val="24"/>
        </w:rPr>
        <w:t xml:space="preserve">. </w:t>
      </w:r>
      <w:r w:rsidR="00972B53">
        <w:rPr>
          <w:rFonts w:ascii="Times New Roman" w:hAnsi="Times New Roman" w:cs="Times New Roman"/>
          <w:sz w:val="24"/>
          <w:szCs w:val="24"/>
        </w:rPr>
        <w:t>Concretamente</w:t>
      </w:r>
      <w:r w:rsidR="00307C5D">
        <w:rPr>
          <w:rFonts w:ascii="Times New Roman" w:hAnsi="Times New Roman" w:cs="Times New Roman"/>
          <w:sz w:val="24"/>
          <w:szCs w:val="24"/>
        </w:rPr>
        <w:t>,</w:t>
      </w:r>
      <w:r w:rsidR="00972B53">
        <w:rPr>
          <w:rFonts w:ascii="Times New Roman" w:hAnsi="Times New Roman" w:cs="Times New Roman"/>
          <w:sz w:val="24"/>
          <w:szCs w:val="24"/>
        </w:rPr>
        <w:t xml:space="preserve"> considera </w:t>
      </w:r>
      <w:r>
        <w:rPr>
          <w:rFonts w:ascii="Times New Roman" w:hAnsi="Times New Roman" w:cs="Times New Roman"/>
          <w:sz w:val="24"/>
          <w:szCs w:val="24"/>
        </w:rPr>
        <w:t>de alto riesgo aquellos sistemas que puedan intervenir en los procesos democráticos, “dado los efectos potencialmente importantes para la democracia, el Estado de Derecho, las libertades individuales y el derecho a la tutela judicial efectiva y a un juez imparcial que pudieran tener</w:t>
      </w:r>
      <w:r w:rsidR="00972B53">
        <w:rPr>
          <w:rFonts w:ascii="Times New Roman" w:hAnsi="Times New Roman" w:cs="Times New Roman"/>
          <w:sz w:val="24"/>
          <w:szCs w:val="24"/>
        </w:rPr>
        <w:t>”</w:t>
      </w:r>
      <w:r>
        <w:rPr>
          <w:rStyle w:val="Refdenotaalpie"/>
          <w:rFonts w:ascii="Times New Roman" w:hAnsi="Times New Roman" w:cs="Times New Roman"/>
          <w:sz w:val="24"/>
          <w:szCs w:val="24"/>
        </w:rPr>
        <w:footnoteReference w:id="50"/>
      </w:r>
      <w:r>
        <w:rPr>
          <w:rFonts w:ascii="Times New Roman" w:hAnsi="Times New Roman" w:cs="Times New Roman"/>
          <w:sz w:val="24"/>
          <w:szCs w:val="24"/>
        </w:rPr>
        <w:t xml:space="preserve">. </w:t>
      </w:r>
    </w:p>
    <w:p w:rsidR="003B5F3C" w:rsidRDefault="00972B53" w:rsidP="00DE0DD8">
      <w:pPr>
        <w:ind w:firstLine="708"/>
        <w:jc w:val="both"/>
        <w:rPr>
          <w:rFonts w:ascii="Times New Roman" w:hAnsi="Times New Roman" w:cs="Times New Roman"/>
          <w:sz w:val="24"/>
          <w:szCs w:val="24"/>
        </w:rPr>
      </w:pPr>
      <w:r>
        <w:rPr>
          <w:rFonts w:ascii="Times New Roman" w:hAnsi="Times New Roman" w:cs="Times New Roman"/>
          <w:sz w:val="24"/>
          <w:szCs w:val="24"/>
        </w:rPr>
        <w:t>L</w:t>
      </w:r>
      <w:r w:rsidRPr="00972B53">
        <w:rPr>
          <w:rFonts w:ascii="Times New Roman" w:hAnsi="Times New Roman" w:cs="Times New Roman"/>
          <w:sz w:val="24"/>
          <w:szCs w:val="24"/>
        </w:rPr>
        <w:t xml:space="preserve">a Comunicación de la Comisión al Parlamento Europeo, al Consejo, al Comité Económico y Social Europeo y al Comité de las Regiones con el título </w:t>
      </w:r>
      <w:r w:rsidR="00DE41A8">
        <w:rPr>
          <w:rFonts w:ascii="Times New Roman" w:hAnsi="Times New Roman" w:cs="Times New Roman"/>
          <w:sz w:val="24"/>
          <w:szCs w:val="24"/>
        </w:rPr>
        <w:t>“</w:t>
      </w:r>
      <w:r w:rsidRPr="00972B53">
        <w:rPr>
          <w:rFonts w:ascii="Times New Roman" w:hAnsi="Times New Roman" w:cs="Times New Roman"/>
          <w:i/>
          <w:sz w:val="24"/>
          <w:szCs w:val="24"/>
        </w:rPr>
        <w:t>La lucha contra la desinformación en línea: un enfoque europeo</w:t>
      </w:r>
      <w:r w:rsidR="00DE41A8">
        <w:rPr>
          <w:rFonts w:ascii="Times New Roman" w:hAnsi="Times New Roman" w:cs="Times New Roman"/>
          <w:sz w:val="24"/>
          <w:szCs w:val="24"/>
        </w:rPr>
        <w:t>”,</w:t>
      </w:r>
      <w:r w:rsidRPr="00972B53">
        <w:rPr>
          <w:rFonts w:ascii="Times New Roman" w:hAnsi="Times New Roman" w:cs="Times New Roman"/>
          <w:sz w:val="24"/>
          <w:szCs w:val="24"/>
        </w:rPr>
        <w:t xml:space="preserve"> de 26 de abril de 2018</w:t>
      </w:r>
      <w:r>
        <w:rPr>
          <w:rFonts w:ascii="Times New Roman" w:hAnsi="Times New Roman" w:cs="Times New Roman"/>
          <w:sz w:val="24"/>
          <w:szCs w:val="24"/>
        </w:rPr>
        <w:t>, advierte que a</w:t>
      </w:r>
      <w:r w:rsidR="003B5F3C">
        <w:rPr>
          <w:rFonts w:ascii="Times New Roman" w:hAnsi="Times New Roman" w:cs="Times New Roman"/>
          <w:sz w:val="24"/>
          <w:szCs w:val="24"/>
        </w:rPr>
        <w:t xml:space="preserve"> través de las redes sociales, las nuevas tecnologías están siendo utilizadas “</w:t>
      </w:r>
      <w:r w:rsidR="003B5F3C" w:rsidRPr="00E86E37">
        <w:rPr>
          <w:rFonts w:ascii="Times New Roman" w:hAnsi="Times New Roman" w:cs="Times New Roman"/>
          <w:sz w:val="24"/>
          <w:szCs w:val="24"/>
        </w:rPr>
        <w:t>para difundir desinformación a gran escala y con una velocidad y una precisión de selección de los destinatarios sin precedentes, de modo que permiten crear esferas de información personalizadas y se convierten en poderosas cámaras de resonancia para las campañas de desinformación</w:t>
      </w:r>
      <w:r w:rsidR="003B5F3C">
        <w:rPr>
          <w:rFonts w:ascii="Times New Roman" w:hAnsi="Times New Roman" w:cs="Times New Roman"/>
          <w:sz w:val="24"/>
          <w:szCs w:val="24"/>
        </w:rPr>
        <w:t>”. Estas prácticas</w:t>
      </w:r>
      <w:r>
        <w:rPr>
          <w:rFonts w:ascii="Times New Roman" w:hAnsi="Times New Roman" w:cs="Times New Roman"/>
          <w:sz w:val="24"/>
          <w:szCs w:val="24"/>
        </w:rPr>
        <w:t>, continúa el texto,</w:t>
      </w:r>
      <w:r w:rsidR="003B5F3C">
        <w:rPr>
          <w:rFonts w:ascii="Times New Roman" w:hAnsi="Times New Roman" w:cs="Times New Roman"/>
          <w:sz w:val="24"/>
          <w:szCs w:val="24"/>
        </w:rPr>
        <w:t xml:space="preserve"> erosionan “</w:t>
      </w:r>
      <w:r w:rsidR="003B5F3C" w:rsidRPr="00E86E37">
        <w:rPr>
          <w:rFonts w:ascii="Times New Roman" w:hAnsi="Times New Roman" w:cs="Times New Roman"/>
          <w:sz w:val="24"/>
          <w:szCs w:val="24"/>
        </w:rPr>
        <w:t>la confianza en las instituciones y en los medios de comunicación digitales y tradicionales y perjudica a nuestras democracias</w:t>
      </w:r>
      <w:r w:rsidR="003B5F3C">
        <w:rPr>
          <w:rFonts w:ascii="Times New Roman" w:hAnsi="Times New Roman" w:cs="Times New Roman"/>
          <w:sz w:val="24"/>
          <w:szCs w:val="24"/>
        </w:rPr>
        <w:t>,</w:t>
      </w:r>
      <w:r w:rsidR="003B5F3C" w:rsidRPr="00E86E37">
        <w:rPr>
          <w:rFonts w:ascii="Times New Roman" w:hAnsi="Times New Roman" w:cs="Times New Roman"/>
          <w:sz w:val="24"/>
          <w:szCs w:val="24"/>
        </w:rPr>
        <w:t xml:space="preserve"> obstaculizando la capacidad de los ciudadanos de tomar decisiones informadas</w:t>
      </w:r>
      <w:r w:rsidR="003B5F3C">
        <w:rPr>
          <w:rFonts w:ascii="Times New Roman" w:hAnsi="Times New Roman" w:cs="Times New Roman"/>
          <w:sz w:val="24"/>
          <w:szCs w:val="24"/>
        </w:rPr>
        <w:t>”</w:t>
      </w:r>
      <w:r w:rsidRPr="00972B53">
        <w:rPr>
          <w:rStyle w:val="Refdenotaalpie"/>
          <w:rFonts w:ascii="Times New Roman" w:hAnsi="Times New Roman" w:cs="Times New Roman"/>
          <w:sz w:val="24"/>
          <w:szCs w:val="24"/>
        </w:rPr>
        <w:t xml:space="preserve"> </w:t>
      </w:r>
      <w:r>
        <w:rPr>
          <w:rStyle w:val="Refdenotaalpie"/>
          <w:rFonts w:ascii="Times New Roman" w:hAnsi="Times New Roman" w:cs="Times New Roman"/>
          <w:sz w:val="24"/>
          <w:szCs w:val="24"/>
        </w:rPr>
        <w:footnoteReference w:id="51"/>
      </w:r>
      <w:r w:rsidR="003B5F3C">
        <w:rPr>
          <w:rFonts w:ascii="Times New Roman" w:hAnsi="Times New Roman" w:cs="Times New Roman"/>
          <w:sz w:val="24"/>
          <w:szCs w:val="24"/>
        </w:rPr>
        <w:t>. El objetivo si</w:t>
      </w:r>
      <w:r w:rsidR="00DE41A8">
        <w:rPr>
          <w:rFonts w:ascii="Times New Roman" w:hAnsi="Times New Roman" w:cs="Times New Roman"/>
          <w:sz w:val="24"/>
          <w:szCs w:val="24"/>
        </w:rPr>
        <w:t>empre es político y/o económico:</w:t>
      </w:r>
      <w:r w:rsidR="003B5F3C">
        <w:rPr>
          <w:rFonts w:ascii="Times New Roman" w:hAnsi="Times New Roman" w:cs="Times New Roman"/>
          <w:sz w:val="24"/>
          <w:szCs w:val="24"/>
        </w:rPr>
        <w:t xml:space="preserve"> influir o en el resultado de unas elecciones o en otros procesos de toma de decisiones políticas (referéndums). </w:t>
      </w:r>
    </w:p>
    <w:p w:rsidR="003B5F3C" w:rsidRPr="00C30398" w:rsidRDefault="003B5F3C" w:rsidP="0093519E">
      <w:pPr>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Siendo esto ya suficientemente grave, el tratamiento inteligente de los datos, o la inteligencia artificial, tiene un plus de peligrosidad en la medida en que es capaz de construir estrategias o procedimientos </w:t>
      </w:r>
      <w:r w:rsidR="00BA0E81">
        <w:rPr>
          <w:rFonts w:ascii="Times New Roman" w:hAnsi="Times New Roman" w:cs="Times New Roman"/>
          <w:sz w:val="24"/>
          <w:szCs w:val="24"/>
        </w:rPr>
        <w:t>para</w:t>
      </w:r>
      <w:r w:rsidR="00972B53">
        <w:rPr>
          <w:rFonts w:ascii="Times New Roman" w:hAnsi="Times New Roman" w:cs="Times New Roman"/>
          <w:sz w:val="24"/>
          <w:szCs w:val="24"/>
        </w:rPr>
        <w:t xml:space="preserve"> analiza</w:t>
      </w:r>
      <w:r w:rsidR="00BA0E81">
        <w:rPr>
          <w:rFonts w:ascii="Times New Roman" w:hAnsi="Times New Roman" w:cs="Times New Roman"/>
          <w:sz w:val="24"/>
          <w:szCs w:val="24"/>
        </w:rPr>
        <w:t>r</w:t>
      </w:r>
      <w:r>
        <w:rPr>
          <w:rFonts w:ascii="Times New Roman" w:hAnsi="Times New Roman" w:cs="Times New Roman"/>
          <w:sz w:val="24"/>
          <w:szCs w:val="24"/>
        </w:rPr>
        <w:t xml:space="preserve"> a cada persona en particular, con el objetivo de influir en las decisiones políticas que toma. La elaboración de perfiles podría tener este objetivo: modificar</w:t>
      </w:r>
      <w:r w:rsidRPr="00C30398">
        <w:rPr>
          <w:rFonts w:ascii="Times New Roman" w:hAnsi="Times New Roman" w:cs="Times New Roman"/>
          <w:sz w:val="24"/>
          <w:szCs w:val="24"/>
        </w:rPr>
        <w:t xml:space="preserve">, forzar o desviar la voluntad de los electores, sin que ellos </w:t>
      </w:r>
      <w:r w:rsidR="00972B53">
        <w:rPr>
          <w:rFonts w:ascii="Times New Roman" w:hAnsi="Times New Roman" w:cs="Times New Roman"/>
          <w:sz w:val="24"/>
          <w:szCs w:val="24"/>
        </w:rPr>
        <w:t>fueran</w:t>
      </w:r>
      <w:r w:rsidRPr="00C30398">
        <w:rPr>
          <w:rFonts w:ascii="Times New Roman" w:hAnsi="Times New Roman" w:cs="Times New Roman"/>
          <w:sz w:val="24"/>
          <w:szCs w:val="24"/>
        </w:rPr>
        <w:t xml:space="preserve"> conscientes, mediante la utilización fraudulenta de sus datos personales, lo</w:t>
      </w:r>
      <w:r>
        <w:rPr>
          <w:rFonts w:ascii="Times New Roman" w:hAnsi="Times New Roman" w:cs="Times New Roman"/>
          <w:sz w:val="24"/>
          <w:szCs w:val="24"/>
        </w:rPr>
        <w:t xml:space="preserve"> que vendría a violar la libert</w:t>
      </w:r>
      <w:r w:rsidRPr="00C30398">
        <w:rPr>
          <w:rFonts w:ascii="Times New Roman" w:hAnsi="Times New Roman" w:cs="Times New Roman"/>
          <w:sz w:val="24"/>
          <w:szCs w:val="24"/>
        </w:rPr>
        <w:t xml:space="preserve">ad de participación política que el artículo </w:t>
      </w:r>
      <w:r>
        <w:rPr>
          <w:rFonts w:ascii="Times New Roman" w:hAnsi="Times New Roman" w:cs="Times New Roman"/>
          <w:sz w:val="24"/>
          <w:szCs w:val="24"/>
        </w:rPr>
        <w:t>23 de la Constitución garantiza, poniendo en serio peligro a la democracia.</w:t>
      </w:r>
    </w:p>
    <w:p w:rsidR="0093519E" w:rsidRPr="00C30398" w:rsidRDefault="00972B53" w:rsidP="00972B53">
      <w:pPr>
        <w:ind w:firstLine="708"/>
        <w:jc w:val="both"/>
        <w:rPr>
          <w:rFonts w:ascii="Times New Roman" w:hAnsi="Times New Roman" w:cs="Times New Roman"/>
          <w:sz w:val="24"/>
          <w:szCs w:val="24"/>
        </w:rPr>
      </w:pPr>
      <w:r>
        <w:rPr>
          <w:rFonts w:ascii="Times New Roman" w:hAnsi="Times New Roman" w:cs="Times New Roman"/>
          <w:sz w:val="24"/>
          <w:szCs w:val="24"/>
        </w:rPr>
        <w:t>Quizás la modificación del artículo 22.1 RGPD pudiera ayudar en este sentido. En la actualidad e</w:t>
      </w:r>
      <w:r w:rsidR="00852EDA">
        <w:rPr>
          <w:rFonts w:ascii="Times New Roman" w:hAnsi="Times New Roman" w:cs="Times New Roman"/>
          <w:sz w:val="24"/>
          <w:szCs w:val="24"/>
        </w:rPr>
        <w:t>sta</w:t>
      </w:r>
      <w:r>
        <w:rPr>
          <w:rFonts w:ascii="Times New Roman" w:hAnsi="Times New Roman" w:cs="Times New Roman"/>
          <w:sz w:val="24"/>
          <w:szCs w:val="24"/>
        </w:rPr>
        <w:t xml:space="preserve"> </w:t>
      </w:r>
      <w:r w:rsidR="00852EDA">
        <w:rPr>
          <w:rFonts w:ascii="Times New Roman" w:hAnsi="Times New Roman" w:cs="Times New Roman"/>
          <w:sz w:val="24"/>
          <w:szCs w:val="24"/>
        </w:rPr>
        <w:t>disposición</w:t>
      </w:r>
      <w:r w:rsidR="0093519E" w:rsidRPr="00C30398">
        <w:rPr>
          <w:rFonts w:ascii="Times New Roman" w:hAnsi="Times New Roman" w:cs="Times New Roman"/>
          <w:sz w:val="24"/>
          <w:szCs w:val="24"/>
        </w:rPr>
        <w:t xml:space="preserve"> reconoce el derecho del interesado (titular de los datos) a “no ser objeto de una decisión basada únicamente en el tratamiento automatizado de datos, incluida la elaboración de perfiles que produzca efectos jurídicos en él o le afecte significativamente de modo similar”</w:t>
      </w:r>
      <w:r>
        <w:rPr>
          <w:rFonts w:ascii="Times New Roman" w:hAnsi="Times New Roman" w:cs="Times New Roman"/>
          <w:sz w:val="24"/>
          <w:szCs w:val="24"/>
        </w:rPr>
        <w:t>. Como vemos, el precepto se refiere exclusivamente a aquellos tratamientos automatizados que</w:t>
      </w:r>
      <w:r w:rsidR="00BA0E81">
        <w:rPr>
          <w:rFonts w:ascii="Times New Roman" w:hAnsi="Times New Roman" w:cs="Times New Roman"/>
          <w:sz w:val="24"/>
          <w:szCs w:val="24"/>
        </w:rPr>
        <w:t xml:space="preserve"> le afecta</w:t>
      </w:r>
      <w:r>
        <w:rPr>
          <w:rFonts w:ascii="Times New Roman" w:hAnsi="Times New Roman" w:cs="Times New Roman"/>
          <w:sz w:val="24"/>
          <w:szCs w:val="24"/>
        </w:rPr>
        <w:t xml:space="preserve">n </w:t>
      </w:r>
      <w:r w:rsidR="0093519E" w:rsidRPr="00C30398">
        <w:rPr>
          <w:rFonts w:ascii="Times New Roman" w:hAnsi="Times New Roman" w:cs="Times New Roman"/>
          <w:sz w:val="24"/>
          <w:szCs w:val="24"/>
        </w:rPr>
        <w:t>de manera individual.</w:t>
      </w:r>
      <w:r>
        <w:rPr>
          <w:rFonts w:ascii="Times New Roman" w:hAnsi="Times New Roman" w:cs="Times New Roman"/>
          <w:sz w:val="24"/>
          <w:szCs w:val="24"/>
        </w:rPr>
        <w:t xml:space="preserve"> Se trataría de buscar la fórmula de abrirlo para comprender e</w:t>
      </w:r>
      <w:r w:rsidR="00BA0E81">
        <w:rPr>
          <w:rFonts w:ascii="Times New Roman" w:hAnsi="Times New Roman" w:cs="Times New Roman"/>
          <w:sz w:val="24"/>
          <w:szCs w:val="24"/>
        </w:rPr>
        <w:t>n él también aquellos que genera</w:t>
      </w:r>
      <w:r>
        <w:rPr>
          <w:rFonts w:ascii="Times New Roman" w:hAnsi="Times New Roman" w:cs="Times New Roman"/>
          <w:sz w:val="24"/>
          <w:szCs w:val="24"/>
        </w:rPr>
        <w:t xml:space="preserve">n efectos jurídicos para la comunidad política. La elaboración de perfiles debiera estar prohibida no solo cuando se trate de decisiones que produzcan efectos </w:t>
      </w:r>
      <w:r w:rsidRPr="00DD4CAF">
        <w:rPr>
          <w:rFonts w:ascii="Times New Roman" w:hAnsi="Times New Roman" w:cs="Times New Roman"/>
          <w:i/>
          <w:sz w:val="24"/>
          <w:szCs w:val="24"/>
        </w:rPr>
        <w:t>ad personam</w:t>
      </w:r>
      <w:r>
        <w:rPr>
          <w:rFonts w:ascii="Times New Roman" w:hAnsi="Times New Roman" w:cs="Times New Roman"/>
          <w:sz w:val="24"/>
          <w:szCs w:val="24"/>
        </w:rPr>
        <w:t xml:space="preserve"> sino también cuando se elaboran con la intención de influir en el funcionamiento del sistema democrático.</w:t>
      </w:r>
    </w:p>
    <w:p w:rsidR="00AB7ECC" w:rsidRPr="00AB7ECC" w:rsidRDefault="00AB7ECC" w:rsidP="00AB7ECC">
      <w:pPr>
        <w:ind w:firstLine="708"/>
        <w:jc w:val="both"/>
        <w:rPr>
          <w:rFonts w:ascii="Times New Roman" w:hAnsi="Times New Roman" w:cs="Times New Roman"/>
          <w:sz w:val="24"/>
          <w:szCs w:val="24"/>
        </w:rPr>
      </w:pPr>
      <w:r>
        <w:rPr>
          <w:rFonts w:ascii="Times New Roman" w:hAnsi="Times New Roman" w:cs="Times New Roman"/>
          <w:sz w:val="24"/>
          <w:szCs w:val="24"/>
        </w:rPr>
        <w:t>Por último, e</w:t>
      </w:r>
      <w:r w:rsidR="0093519E" w:rsidRPr="00C30398">
        <w:rPr>
          <w:rFonts w:ascii="Times New Roman" w:hAnsi="Times New Roman" w:cs="Times New Roman"/>
          <w:sz w:val="24"/>
          <w:szCs w:val="24"/>
        </w:rPr>
        <w:t>l</w:t>
      </w:r>
      <w:r>
        <w:rPr>
          <w:rFonts w:ascii="Times New Roman" w:hAnsi="Times New Roman" w:cs="Times New Roman"/>
          <w:sz w:val="24"/>
          <w:szCs w:val="24"/>
        </w:rPr>
        <w:t xml:space="preserve"> artículo </w:t>
      </w:r>
      <w:r w:rsidR="0093519E" w:rsidRPr="00C30398">
        <w:rPr>
          <w:rFonts w:ascii="Times New Roman" w:hAnsi="Times New Roman" w:cs="Times New Roman"/>
          <w:sz w:val="24"/>
          <w:szCs w:val="24"/>
        </w:rPr>
        <w:t>22</w:t>
      </w:r>
      <w:r>
        <w:rPr>
          <w:rFonts w:ascii="Times New Roman" w:hAnsi="Times New Roman" w:cs="Times New Roman"/>
          <w:sz w:val="24"/>
          <w:szCs w:val="24"/>
        </w:rPr>
        <w:t>.2</w:t>
      </w:r>
      <w:r w:rsidR="0093519E" w:rsidRPr="00C30398">
        <w:rPr>
          <w:rFonts w:ascii="Times New Roman" w:hAnsi="Times New Roman" w:cs="Times New Roman"/>
          <w:sz w:val="24"/>
          <w:szCs w:val="24"/>
        </w:rPr>
        <w:t xml:space="preserve"> RGPD recoge una serie de casos en los que la prohibición general que impone el párrafo primero podría ser salvada</w:t>
      </w:r>
      <w:r w:rsidR="0093519E" w:rsidRPr="00C30398">
        <w:rPr>
          <w:rStyle w:val="Refdenotaalpie"/>
          <w:rFonts w:ascii="Times New Roman" w:hAnsi="Times New Roman" w:cs="Times New Roman"/>
          <w:sz w:val="24"/>
          <w:szCs w:val="24"/>
        </w:rPr>
        <w:footnoteReference w:id="52"/>
      </w:r>
      <w:r w:rsidR="0093519E" w:rsidRPr="00C30398">
        <w:rPr>
          <w:rFonts w:ascii="Times New Roman" w:hAnsi="Times New Roman" w:cs="Times New Roman"/>
          <w:sz w:val="24"/>
          <w:szCs w:val="24"/>
        </w:rPr>
        <w:t>, pero el párrafo cuarto de este mismo precepto advierte</w:t>
      </w:r>
      <w:r w:rsidR="0093519E">
        <w:rPr>
          <w:rFonts w:ascii="Times New Roman" w:hAnsi="Times New Roman" w:cs="Times New Roman"/>
          <w:sz w:val="24"/>
          <w:szCs w:val="24"/>
        </w:rPr>
        <w:t xml:space="preserve"> que estas excepciones no serán admisibles</w:t>
      </w:r>
      <w:r w:rsidR="0093519E" w:rsidRPr="00C30398">
        <w:rPr>
          <w:rFonts w:ascii="Times New Roman" w:hAnsi="Times New Roman" w:cs="Times New Roman"/>
          <w:sz w:val="24"/>
          <w:szCs w:val="24"/>
        </w:rPr>
        <w:t xml:space="preserve"> cuando el t</w:t>
      </w:r>
      <w:r w:rsidR="0093519E">
        <w:rPr>
          <w:rFonts w:ascii="Times New Roman" w:hAnsi="Times New Roman" w:cs="Times New Roman"/>
          <w:sz w:val="24"/>
          <w:szCs w:val="24"/>
        </w:rPr>
        <w:t>ratamiento afecte a las categorí</w:t>
      </w:r>
      <w:r w:rsidR="0093519E" w:rsidRPr="00C30398">
        <w:rPr>
          <w:rFonts w:ascii="Times New Roman" w:hAnsi="Times New Roman" w:cs="Times New Roman"/>
          <w:sz w:val="24"/>
          <w:szCs w:val="24"/>
        </w:rPr>
        <w:t>as especiales de datos personales contempladas en el artículo 9.1,</w:t>
      </w:r>
      <w:r>
        <w:rPr>
          <w:rFonts w:ascii="Times New Roman" w:hAnsi="Times New Roman" w:cs="Times New Roman"/>
          <w:sz w:val="24"/>
          <w:szCs w:val="24"/>
        </w:rPr>
        <w:t xml:space="preserve"> “</w:t>
      </w:r>
      <w:r w:rsidRPr="00AB7ECC">
        <w:rPr>
          <w:rFonts w:ascii="Times New Roman" w:hAnsi="Times New Roman" w:cs="Times New Roman"/>
          <w:sz w:val="24"/>
          <w:szCs w:val="24"/>
        </w:rPr>
        <w:t>salvo que se aplique el artículo 9, apartado 2, letra a)</w:t>
      </w:r>
      <w:r>
        <w:rPr>
          <w:rStyle w:val="Refdenotaalpie"/>
          <w:rFonts w:ascii="Times New Roman" w:hAnsi="Times New Roman" w:cs="Times New Roman"/>
          <w:sz w:val="24"/>
          <w:szCs w:val="24"/>
        </w:rPr>
        <w:footnoteReference w:id="53"/>
      </w:r>
      <w:r w:rsidRPr="00AB7ECC">
        <w:rPr>
          <w:rFonts w:ascii="Times New Roman" w:hAnsi="Times New Roman" w:cs="Times New Roman"/>
          <w:sz w:val="24"/>
          <w:szCs w:val="24"/>
        </w:rPr>
        <w:t xml:space="preserve"> o g)</w:t>
      </w:r>
      <w:r>
        <w:rPr>
          <w:rStyle w:val="Refdenotaalpie"/>
          <w:rFonts w:ascii="Times New Roman" w:hAnsi="Times New Roman" w:cs="Times New Roman"/>
          <w:sz w:val="24"/>
          <w:szCs w:val="24"/>
        </w:rPr>
        <w:footnoteReference w:id="54"/>
      </w:r>
      <w:r w:rsidRPr="00AB7ECC">
        <w:rPr>
          <w:rFonts w:ascii="Times New Roman" w:hAnsi="Times New Roman" w:cs="Times New Roman"/>
          <w:sz w:val="24"/>
          <w:szCs w:val="24"/>
        </w:rPr>
        <w:t>, y se hayan tomado medidas adecuadas para salvaguardar los derechos y libertades y los intereses legítimos del interesado</w:t>
      </w:r>
      <w:r>
        <w:rPr>
          <w:rFonts w:ascii="Times New Roman" w:hAnsi="Times New Roman" w:cs="Times New Roman"/>
          <w:sz w:val="24"/>
          <w:szCs w:val="24"/>
        </w:rPr>
        <w:t>”</w:t>
      </w:r>
      <w:r w:rsidRPr="00AB7ECC">
        <w:rPr>
          <w:rFonts w:ascii="Times New Roman" w:hAnsi="Times New Roman" w:cs="Times New Roman"/>
          <w:sz w:val="24"/>
          <w:szCs w:val="24"/>
        </w:rPr>
        <w:t>.</w:t>
      </w:r>
    </w:p>
    <w:p w:rsidR="003E5D60" w:rsidRPr="00772642" w:rsidRDefault="003E5D60" w:rsidP="00772642">
      <w:pPr>
        <w:pStyle w:val="Prrafodelista"/>
        <w:numPr>
          <w:ilvl w:val="0"/>
          <w:numId w:val="14"/>
        </w:numPr>
        <w:jc w:val="both"/>
        <w:rPr>
          <w:rFonts w:ascii="Times New Roman" w:hAnsi="Times New Roman" w:cs="Times New Roman"/>
          <w:b/>
          <w:sz w:val="24"/>
          <w:szCs w:val="24"/>
        </w:rPr>
      </w:pPr>
      <w:r w:rsidRPr="00772642">
        <w:rPr>
          <w:rFonts w:ascii="Times New Roman" w:hAnsi="Times New Roman" w:cs="Times New Roman"/>
          <w:b/>
          <w:sz w:val="24"/>
          <w:szCs w:val="24"/>
        </w:rPr>
        <w:t>En busca de un marco jurídico común</w:t>
      </w:r>
    </w:p>
    <w:p w:rsidR="006848FB" w:rsidRPr="003E5D60" w:rsidRDefault="006848FB" w:rsidP="006848FB">
      <w:pPr>
        <w:ind w:firstLine="708"/>
        <w:jc w:val="both"/>
        <w:rPr>
          <w:rFonts w:ascii="Times New Roman" w:hAnsi="Times New Roman" w:cs="Times New Roman"/>
          <w:sz w:val="24"/>
          <w:szCs w:val="24"/>
        </w:rPr>
      </w:pPr>
      <w:r w:rsidRPr="003E5D60">
        <w:rPr>
          <w:rFonts w:ascii="Times New Roman" w:hAnsi="Times New Roman" w:cs="Times New Roman"/>
          <w:sz w:val="24"/>
          <w:szCs w:val="24"/>
        </w:rPr>
        <w:t xml:space="preserve">Hemos comenzado este trabajo recordando que todo lo que concierne a la denominada “era digital” tiene que ver con el tratamiento mecanizado de los datos </w:t>
      </w:r>
      <w:r w:rsidRPr="003E5D60">
        <w:rPr>
          <w:rFonts w:ascii="Times New Roman" w:hAnsi="Times New Roman" w:cs="Times New Roman"/>
          <w:sz w:val="24"/>
          <w:szCs w:val="24"/>
        </w:rPr>
        <w:lastRenderedPageBreak/>
        <w:t>personales. La Inteligencia Artificial, el Big Data o el Internet de las cosas nace a partir de esta posibilidad. En estos nuevos escenarios que el desarrollo de las nuevas tecnologías de la información y de la comunicación van construyendo de manera imparable, la protección de los datos personales es fundamental no solo como derecho fundamental sino también como instrumento de garantía del resto de los derechos de las personas en los entornos digitales.</w:t>
      </w:r>
    </w:p>
    <w:p w:rsidR="006848FB" w:rsidRDefault="003B5F3C" w:rsidP="003B5F3C">
      <w:pPr>
        <w:ind w:firstLine="708"/>
        <w:jc w:val="both"/>
        <w:rPr>
          <w:rFonts w:ascii="Times New Roman" w:hAnsi="Times New Roman" w:cs="Times New Roman"/>
          <w:sz w:val="24"/>
          <w:szCs w:val="24"/>
        </w:rPr>
      </w:pPr>
      <w:r>
        <w:rPr>
          <w:rFonts w:ascii="Times New Roman" w:hAnsi="Times New Roman" w:cs="Times New Roman"/>
          <w:sz w:val="24"/>
          <w:szCs w:val="24"/>
        </w:rPr>
        <w:t xml:space="preserve">No se trata de librar ninguna cruzada contra </w:t>
      </w:r>
      <w:r w:rsidR="00772642">
        <w:rPr>
          <w:rFonts w:ascii="Times New Roman" w:hAnsi="Times New Roman" w:cs="Times New Roman"/>
          <w:sz w:val="24"/>
          <w:szCs w:val="24"/>
        </w:rPr>
        <w:t>esta</w:t>
      </w:r>
      <w:r w:rsidR="006848FB">
        <w:rPr>
          <w:rFonts w:ascii="Times New Roman" w:hAnsi="Times New Roman" w:cs="Times New Roman"/>
          <w:sz w:val="24"/>
          <w:szCs w:val="24"/>
        </w:rPr>
        <w:t xml:space="preserve"> industria que </w:t>
      </w:r>
      <w:r>
        <w:rPr>
          <w:rFonts w:ascii="Times New Roman" w:hAnsi="Times New Roman" w:cs="Times New Roman"/>
          <w:sz w:val="24"/>
          <w:szCs w:val="24"/>
        </w:rPr>
        <w:t>tanto bien</w:t>
      </w:r>
      <w:r w:rsidR="00772642">
        <w:rPr>
          <w:rFonts w:ascii="Times New Roman" w:hAnsi="Times New Roman" w:cs="Times New Roman"/>
          <w:sz w:val="24"/>
          <w:szCs w:val="24"/>
        </w:rPr>
        <w:t xml:space="preserve"> hace</w:t>
      </w:r>
      <w:r>
        <w:rPr>
          <w:rFonts w:ascii="Times New Roman" w:hAnsi="Times New Roman" w:cs="Times New Roman"/>
          <w:sz w:val="24"/>
          <w:szCs w:val="24"/>
        </w:rPr>
        <w:t xml:space="preserve"> a la humanidad. De lo que se trata es de regular estas prácticas de conformidad con nuestro sistema de </w:t>
      </w:r>
      <w:r w:rsidR="00772642">
        <w:rPr>
          <w:rFonts w:ascii="Times New Roman" w:hAnsi="Times New Roman" w:cs="Times New Roman"/>
          <w:sz w:val="24"/>
          <w:szCs w:val="24"/>
        </w:rPr>
        <w:t>valores. A la vista está que</w:t>
      </w:r>
      <w:r>
        <w:rPr>
          <w:rFonts w:ascii="Times New Roman" w:hAnsi="Times New Roman" w:cs="Times New Roman"/>
          <w:sz w:val="24"/>
          <w:szCs w:val="24"/>
        </w:rPr>
        <w:t xml:space="preserve"> no resultará fácil, pues </w:t>
      </w:r>
      <w:r w:rsidR="00772642">
        <w:rPr>
          <w:rFonts w:ascii="Times New Roman" w:hAnsi="Times New Roman" w:cs="Times New Roman"/>
          <w:sz w:val="24"/>
          <w:szCs w:val="24"/>
        </w:rPr>
        <w:t>el Derecho tiene</w:t>
      </w:r>
      <w:r>
        <w:rPr>
          <w:rFonts w:ascii="Times New Roman" w:hAnsi="Times New Roman" w:cs="Times New Roman"/>
          <w:sz w:val="24"/>
          <w:szCs w:val="24"/>
        </w:rPr>
        <w:t xml:space="preserve"> una configuración esta</w:t>
      </w:r>
      <w:r w:rsidR="00772642">
        <w:rPr>
          <w:rFonts w:ascii="Times New Roman" w:hAnsi="Times New Roman" w:cs="Times New Roman"/>
          <w:sz w:val="24"/>
          <w:szCs w:val="24"/>
        </w:rPr>
        <w:t>tal, o en el mejor de los casos</w:t>
      </w:r>
      <w:r>
        <w:rPr>
          <w:rFonts w:ascii="Times New Roman" w:hAnsi="Times New Roman" w:cs="Times New Roman"/>
          <w:sz w:val="24"/>
          <w:szCs w:val="24"/>
        </w:rPr>
        <w:t xml:space="preserve"> supranacional</w:t>
      </w:r>
      <w:r w:rsidR="00772642">
        <w:rPr>
          <w:rFonts w:ascii="Times New Roman" w:hAnsi="Times New Roman" w:cs="Times New Roman"/>
          <w:sz w:val="24"/>
          <w:szCs w:val="24"/>
        </w:rPr>
        <w:t>, que resulta insuficiente</w:t>
      </w:r>
      <w:r>
        <w:rPr>
          <w:rFonts w:ascii="Times New Roman" w:hAnsi="Times New Roman" w:cs="Times New Roman"/>
          <w:sz w:val="24"/>
          <w:szCs w:val="24"/>
        </w:rPr>
        <w:t xml:space="preserve"> para combatir en contextos digitales </w:t>
      </w:r>
      <w:r w:rsidR="00772642">
        <w:rPr>
          <w:rFonts w:ascii="Times New Roman" w:hAnsi="Times New Roman" w:cs="Times New Roman"/>
          <w:sz w:val="24"/>
          <w:szCs w:val="24"/>
        </w:rPr>
        <w:t>sin</w:t>
      </w:r>
      <w:r>
        <w:rPr>
          <w:rFonts w:ascii="Times New Roman" w:hAnsi="Times New Roman" w:cs="Times New Roman"/>
          <w:sz w:val="24"/>
          <w:szCs w:val="24"/>
        </w:rPr>
        <w:t xml:space="preserve"> fronteras donde</w:t>
      </w:r>
      <w:r w:rsidR="00772642">
        <w:rPr>
          <w:rFonts w:ascii="Times New Roman" w:hAnsi="Times New Roman" w:cs="Times New Roman"/>
          <w:sz w:val="24"/>
          <w:szCs w:val="24"/>
        </w:rPr>
        <w:t xml:space="preserve"> los agentes</w:t>
      </w:r>
      <w:r>
        <w:rPr>
          <w:rFonts w:ascii="Times New Roman" w:hAnsi="Times New Roman" w:cs="Times New Roman"/>
          <w:sz w:val="24"/>
          <w:szCs w:val="24"/>
        </w:rPr>
        <w:t xml:space="preserve"> </w:t>
      </w:r>
      <w:r w:rsidR="00772642">
        <w:rPr>
          <w:rFonts w:ascii="Times New Roman" w:hAnsi="Times New Roman" w:cs="Times New Roman"/>
          <w:sz w:val="24"/>
          <w:szCs w:val="24"/>
        </w:rPr>
        <w:t>riesgosos</w:t>
      </w:r>
      <w:r>
        <w:rPr>
          <w:rFonts w:ascii="Times New Roman" w:hAnsi="Times New Roman" w:cs="Times New Roman"/>
          <w:sz w:val="24"/>
          <w:szCs w:val="24"/>
        </w:rPr>
        <w:t xml:space="preserve"> no están bien determinados. </w:t>
      </w:r>
    </w:p>
    <w:p w:rsidR="006848FB" w:rsidRDefault="006848FB" w:rsidP="006848FB">
      <w:pPr>
        <w:ind w:firstLine="708"/>
        <w:jc w:val="both"/>
        <w:rPr>
          <w:rFonts w:ascii="Times New Roman" w:hAnsi="Times New Roman" w:cs="Times New Roman"/>
          <w:sz w:val="24"/>
          <w:szCs w:val="24"/>
        </w:rPr>
      </w:pPr>
      <w:r w:rsidRPr="003E5D60">
        <w:rPr>
          <w:rFonts w:ascii="Times New Roman" w:hAnsi="Times New Roman" w:cs="Times New Roman"/>
          <w:sz w:val="24"/>
          <w:szCs w:val="24"/>
        </w:rPr>
        <w:t>El 15 de diciembre de 2022, el Parlamento Europeo, el Consejo y la Comisión apr</w:t>
      </w:r>
      <w:r w:rsidR="00772642">
        <w:rPr>
          <w:rFonts w:ascii="Times New Roman" w:hAnsi="Times New Roman" w:cs="Times New Roman"/>
          <w:sz w:val="24"/>
          <w:szCs w:val="24"/>
        </w:rPr>
        <w:t>obaron</w:t>
      </w:r>
      <w:r w:rsidRPr="003E5D60">
        <w:rPr>
          <w:rFonts w:ascii="Times New Roman" w:hAnsi="Times New Roman" w:cs="Times New Roman"/>
          <w:sz w:val="24"/>
          <w:szCs w:val="24"/>
        </w:rPr>
        <w:t xml:space="preserve"> la Declaración Europea sobre los Derechos y Principios Digitales para la Década Digital con</w:t>
      </w:r>
      <w:r w:rsidR="00772642">
        <w:rPr>
          <w:rFonts w:ascii="Times New Roman" w:hAnsi="Times New Roman" w:cs="Times New Roman"/>
          <w:sz w:val="24"/>
          <w:szCs w:val="24"/>
        </w:rPr>
        <w:t xml:space="preserve"> la</w:t>
      </w:r>
      <w:r w:rsidRPr="003E5D60">
        <w:rPr>
          <w:rFonts w:ascii="Times New Roman" w:hAnsi="Times New Roman" w:cs="Times New Roman"/>
          <w:sz w:val="24"/>
          <w:szCs w:val="24"/>
        </w:rPr>
        <w:t xml:space="preserve"> intención</w:t>
      </w:r>
      <w:r w:rsidR="00772642">
        <w:rPr>
          <w:rFonts w:ascii="Times New Roman" w:hAnsi="Times New Roman" w:cs="Times New Roman"/>
          <w:sz w:val="24"/>
          <w:szCs w:val="24"/>
        </w:rPr>
        <w:t xml:space="preserve"> de</w:t>
      </w:r>
      <w:r w:rsidRPr="003E5D60">
        <w:rPr>
          <w:rFonts w:ascii="Times New Roman" w:hAnsi="Times New Roman" w:cs="Times New Roman"/>
          <w:sz w:val="24"/>
          <w:szCs w:val="24"/>
        </w:rPr>
        <w:t xml:space="preserve"> orientar el enfoque de la UE con respecto a la transformación digital a partir del respeto a los valores y derechos consagrados en su Carta de Derechos Fundamentales</w:t>
      </w:r>
      <w:r w:rsidRPr="003E5D60">
        <w:rPr>
          <w:rFonts w:ascii="Times New Roman" w:hAnsi="Times New Roman" w:cs="Times New Roman"/>
          <w:sz w:val="24"/>
          <w:szCs w:val="24"/>
          <w:vertAlign w:val="superscript"/>
        </w:rPr>
        <w:footnoteReference w:id="55"/>
      </w:r>
      <w:r w:rsidRPr="003E5D60">
        <w:rPr>
          <w:rFonts w:ascii="Times New Roman" w:hAnsi="Times New Roman" w:cs="Times New Roman"/>
          <w:sz w:val="24"/>
          <w:szCs w:val="24"/>
        </w:rPr>
        <w:t>.</w:t>
      </w:r>
      <w:r>
        <w:rPr>
          <w:rFonts w:ascii="Times New Roman" w:hAnsi="Times New Roman" w:cs="Times New Roman"/>
          <w:sz w:val="24"/>
          <w:szCs w:val="24"/>
        </w:rPr>
        <w:t xml:space="preserve"> Se trata de un documento político que parece preparar el camino a otros jurídico</w:t>
      </w:r>
      <w:r w:rsidR="00772642">
        <w:rPr>
          <w:rFonts w:ascii="Times New Roman" w:hAnsi="Times New Roman" w:cs="Times New Roman"/>
          <w:sz w:val="24"/>
          <w:szCs w:val="24"/>
        </w:rPr>
        <w:t>s que</w:t>
      </w:r>
      <w:r>
        <w:rPr>
          <w:rFonts w:ascii="Times New Roman" w:hAnsi="Times New Roman" w:cs="Times New Roman"/>
          <w:sz w:val="24"/>
          <w:szCs w:val="24"/>
        </w:rPr>
        <w:t xml:space="preserve"> a</w:t>
      </w:r>
      <w:r w:rsidR="00772642">
        <w:rPr>
          <w:rFonts w:ascii="Times New Roman" w:hAnsi="Times New Roman" w:cs="Times New Roman"/>
          <w:sz w:val="24"/>
          <w:szCs w:val="24"/>
        </w:rPr>
        <w:t>ún están en tramitación. Entre ellos,</w:t>
      </w:r>
      <w:r>
        <w:rPr>
          <w:rFonts w:ascii="Times New Roman" w:hAnsi="Times New Roman" w:cs="Times New Roman"/>
          <w:sz w:val="24"/>
          <w:szCs w:val="24"/>
        </w:rPr>
        <w:t xml:space="preserve"> la Propuesta de Reglamento de I</w:t>
      </w:r>
      <w:r w:rsidR="00152460">
        <w:rPr>
          <w:rFonts w:ascii="Times New Roman" w:hAnsi="Times New Roman" w:cs="Times New Roman"/>
          <w:sz w:val="24"/>
          <w:szCs w:val="24"/>
        </w:rPr>
        <w:t xml:space="preserve">nteligencia </w:t>
      </w:r>
      <w:r>
        <w:rPr>
          <w:rFonts w:ascii="Times New Roman" w:hAnsi="Times New Roman" w:cs="Times New Roman"/>
          <w:sz w:val="24"/>
          <w:szCs w:val="24"/>
        </w:rPr>
        <w:t>A</w:t>
      </w:r>
      <w:r w:rsidR="00152460">
        <w:rPr>
          <w:rFonts w:ascii="Times New Roman" w:hAnsi="Times New Roman" w:cs="Times New Roman"/>
          <w:sz w:val="24"/>
          <w:szCs w:val="24"/>
        </w:rPr>
        <w:t>rtificial</w:t>
      </w:r>
      <w:r>
        <w:rPr>
          <w:rFonts w:ascii="Times New Roman" w:hAnsi="Times New Roman" w:cs="Times New Roman"/>
          <w:sz w:val="24"/>
          <w:szCs w:val="24"/>
        </w:rPr>
        <w:t>,</w:t>
      </w:r>
      <w:r w:rsidR="00772642">
        <w:rPr>
          <w:rFonts w:ascii="Times New Roman" w:hAnsi="Times New Roman" w:cs="Times New Roman"/>
          <w:sz w:val="24"/>
          <w:szCs w:val="24"/>
        </w:rPr>
        <w:t xml:space="preserve"> o Ley de Inteligencia Artificial,</w:t>
      </w:r>
      <w:r>
        <w:rPr>
          <w:rFonts w:ascii="Times New Roman" w:hAnsi="Times New Roman" w:cs="Times New Roman"/>
          <w:sz w:val="24"/>
          <w:szCs w:val="24"/>
        </w:rPr>
        <w:t xml:space="preserve"> que </w:t>
      </w:r>
      <w:r w:rsidR="00772642">
        <w:rPr>
          <w:rFonts w:ascii="Times New Roman" w:hAnsi="Times New Roman" w:cs="Times New Roman"/>
          <w:sz w:val="24"/>
          <w:szCs w:val="24"/>
        </w:rPr>
        <w:t>busca</w:t>
      </w:r>
      <w:r>
        <w:rPr>
          <w:rFonts w:ascii="Times New Roman" w:hAnsi="Times New Roman" w:cs="Times New Roman"/>
          <w:sz w:val="24"/>
          <w:szCs w:val="24"/>
        </w:rPr>
        <w:t xml:space="preserve"> establecer un marco </w:t>
      </w:r>
      <w:r w:rsidR="00772642">
        <w:rPr>
          <w:rFonts w:ascii="Times New Roman" w:hAnsi="Times New Roman" w:cs="Times New Roman"/>
          <w:sz w:val="24"/>
          <w:szCs w:val="24"/>
        </w:rPr>
        <w:t xml:space="preserve">para </w:t>
      </w:r>
      <w:r>
        <w:rPr>
          <w:rFonts w:ascii="Times New Roman" w:hAnsi="Times New Roman" w:cs="Times New Roman"/>
          <w:sz w:val="24"/>
          <w:szCs w:val="24"/>
        </w:rPr>
        <w:t>encauzar el desarrollo de toda esta tecnología de manera que su uso quede dentro de lo constitucionalmente posible</w:t>
      </w:r>
      <w:r>
        <w:rPr>
          <w:rStyle w:val="Refdenotaalpie"/>
          <w:rFonts w:ascii="Times New Roman" w:hAnsi="Times New Roman" w:cs="Times New Roman"/>
          <w:sz w:val="24"/>
          <w:szCs w:val="24"/>
        </w:rPr>
        <w:footnoteReference w:id="56"/>
      </w:r>
      <w:r>
        <w:rPr>
          <w:rFonts w:ascii="Times New Roman" w:hAnsi="Times New Roman" w:cs="Times New Roman"/>
          <w:sz w:val="24"/>
          <w:szCs w:val="24"/>
        </w:rPr>
        <w:t>.</w:t>
      </w:r>
    </w:p>
    <w:p w:rsidR="006848FB" w:rsidRPr="003E5D60" w:rsidRDefault="00772642" w:rsidP="006A7B15">
      <w:pPr>
        <w:ind w:firstLine="708"/>
        <w:jc w:val="both"/>
        <w:rPr>
          <w:rFonts w:ascii="Times New Roman" w:hAnsi="Times New Roman" w:cs="Times New Roman"/>
          <w:sz w:val="24"/>
          <w:szCs w:val="24"/>
        </w:rPr>
      </w:pPr>
      <w:r>
        <w:rPr>
          <w:rFonts w:ascii="Times New Roman" w:hAnsi="Times New Roman" w:cs="Times New Roman"/>
          <w:sz w:val="24"/>
          <w:szCs w:val="24"/>
        </w:rPr>
        <w:t>Más atrás en el tiempo, e</w:t>
      </w:r>
      <w:r w:rsidR="006A7B15">
        <w:rPr>
          <w:rFonts w:ascii="Times New Roman" w:hAnsi="Times New Roman" w:cs="Times New Roman"/>
          <w:sz w:val="24"/>
          <w:szCs w:val="24"/>
        </w:rPr>
        <w:t xml:space="preserve">l 18 de mayo de 2018, </w:t>
      </w:r>
      <w:r w:rsidR="006848FB">
        <w:rPr>
          <w:rFonts w:ascii="Times New Roman" w:hAnsi="Times New Roman" w:cs="Times New Roman"/>
          <w:sz w:val="24"/>
          <w:szCs w:val="24"/>
        </w:rPr>
        <w:t xml:space="preserve">en el contexto del Consejo de Europa, su Comité de Ministros </w:t>
      </w:r>
      <w:r>
        <w:rPr>
          <w:rFonts w:ascii="Times New Roman" w:hAnsi="Times New Roman" w:cs="Times New Roman"/>
          <w:sz w:val="24"/>
          <w:szCs w:val="24"/>
        </w:rPr>
        <w:t>aprobó</w:t>
      </w:r>
      <w:r w:rsidR="006A7B15">
        <w:rPr>
          <w:rFonts w:ascii="Times New Roman" w:hAnsi="Times New Roman" w:cs="Times New Roman"/>
          <w:sz w:val="24"/>
          <w:szCs w:val="24"/>
        </w:rPr>
        <w:t xml:space="preserve"> una actualización </w:t>
      </w:r>
      <w:r w:rsidR="006848FB" w:rsidRPr="003E5D60">
        <w:rPr>
          <w:rFonts w:ascii="Times New Roman" w:hAnsi="Times New Roman" w:cs="Times New Roman"/>
          <w:sz w:val="24"/>
          <w:szCs w:val="24"/>
        </w:rPr>
        <w:t>del Convenio para la protección de las personas con respecto al tratamiento automatizado de datos de carácter personal, que había sido adoptado en 1981</w:t>
      </w:r>
      <w:r w:rsidR="006848FB" w:rsidRPr="003E5D60">
        <w:rPr>
          <w:rFonts w:ascii="Times New Roman" w:hAnsi="Times New Roman" w:cs="Times New Roman"/>
          <w:sz w:val="24"/>
          <w:szCs w:val="24"/>
          <w:vertAlign w:val="superscript"/>
        </w:rPr>
        <w:footnoteReference w:id="57"/>
      </w:r>
      <w:r w:rsidR="006848FB" w:rsidRPr="003E5D60">
        <w:rPr>
          <w:rFonts w:ascii="Times New Roman" w:hAnsi="Times New Roman" w:cs="Times New Roman"/>
          <w:sz w:val="24"/>
          <w:szCs w:val="24"/>
        </w:rPr>
        <w:t xml:space="preserve">. La nueva versión, conocida como Convenio 108 modernizado o Convenio 108+, que </w:t>
      </w:r>
      <w:r>
        <w:rPr>
          <w:rFonts w:ascii="Times New Roman" w:hAnsi="Times New Roman" w:cs="Times New Roman"/>
          <w:sz w:val="24"/>
          <w:szCs w:val="24"/>
        </w:rPr>
        <w:t>sigue en</w:t>
      </w:r>
      <w:r w:rsidR="006848FB" w:rsidRPr="003E5D60">
        <w:rPr>
          <w:rFonts w:ascii="Times New Roman" w:hAnsi="Times New Roman" w:cs="Times New Roman"/>
          <w:sz w:val="24"/>
          <w:szCs w:val="24"/>
        </w:rPr>
        <w:t xml:space="preserve"> fase de ratificación</w:t>
      </w:r>
      <w:r w:rsidR="006A7B15">
        <w:rPr>
          <w:rFonts w:ascii="Times New Roman" w:hAnsi="Times New Roman" w:cs="Times New Roman"/>
          <w:sz w:val="24"/>
          <w:szCs w:val="24"/>
        </w:rPr>
        <w:t>,</w:t>
      </w:r>
      <w:r w:rsidR="006848FB" w:rsidRPr="003E5D60">
        <w:rPr>
          <w:rFonts w:ascii="Times New Roman" w:hAnsi="Times New Roman" w:cs="Times New Roman"/>
          <w:sz w:val="24"/>
          <w:szCs w:val="24"/>
        </w:rPr>
        <w:t xml:space="preserve"> se justifica por esa misma intención de hacer frente a los retos derivados de la utilización de las nuevas tecnologías de la información y la comunicación, de la globalización de las operaciones de tratamiento y del aumento del flujo de datos personales</w:t>
      </w:r>
      <w:r w:rsidR="006848FB" w:rsidRPr="003E5D60">
        <w:rPr>
          <w:rFonts w:ascii="Times New Roman" w:hAnsi="Times New Roman" w:cs="Times New Roman"/>
          <w:sz w:val="24"/>
          <w:szCs w:val="24"/>
          <w:vertAlign w:val="superscript"/>
        </w:rPr>
        <w:footnoteReference w:id="58"/>
      </w:r>
      <w:r w:rsidR="006848FB" w:rsidRPr="003E5D60">
        <w:rPr>
          <w:rFonts w:ascii="Times New Roman" w:hAnsi="Times New Roman" w:cs="Times New Roman"/>
          <w:sz w:val="24"/>
          <w:szCs w:val="24"/>
        </w:rPr>
        <w:t>.</w:t>
      </w:r>
    </w:p>
    <w:p w:rsidR="006848FB" w:rsidRDefault="006A7B15" w:rsidP="0004174C">
      <w:pPr>
        <w:ind w:firstLine="708"/>
        <w:jc w:val="both"/>
        <w:rPr>
          <w:rFonts w:ascii="Times New Roman" w:hAnsi="Times New Roman" w:cs="Times New Roman"/>
          <w:sz w:val="24"/>
          <w:szCs w:val="24"/>
        </w:rPr>
      </w:pPr>
      <w:r>
        <w:rPr>
          <w:rFonts w:ascii="Times New Roman" w:hAnsi="Times New Roman" w:cs="Times New Roman"/>
          <w:sz w:val="24"/>
          <w:szCs w:val="24"/>
        </w:rPr>
        <w:t>Por lo que a España se refiere, en julio de 2021 el Gobierno de la nación adoptó</w:t>
      </w:r>
      <w:r w:rsidRPr="006A7B15">
        <w:rPr>
          <w:rFonts w:ascii="Times New Roman" w:hAnsi="Times New Roman" w:cs="Times New Roman"/>
          <w:sz w:val="24"/>
          <w:szCs w:val="24"/>
        </w:rPr>
        <w:t xml:space="preserve"> </w:t>
      </w:r>
      <w:r>
        <w:rPr>
          <w:rFonts w:ascii="Times New Roman" w:hAnsi="Times New Roman" w:cs="Times New Roman"/>
          <w:sz w:val="24"/>
          <w:szCs w:val="24"/>
        </w:rPr>
        <w:t xml:space="preserve">la Carta de Derechos Digitales, que en sus </w:t>
      </w:r>
      <w:r w:rsidRPr="003E5D60">
        <w:rPr>
          <w:rFonts w:ascii="Times New Roman" w:hAnsi="Times New Roman" w:cs="Times New Roman"/>
          <w:sz w:val="24"/>
          <w:szCs w:val="24"/>
        </w:rPr>
        <w:t>“Consideraciones Previas” advierte</w:t>
      </w:r>
      <w:r>
        <w:rPr>
          <w:rFonts w:ascii="Times New Roman" w:hAnsi="Times New Roman" w:cs="Times New Roman"/>
          <w:sz w:val="24"/>
          <w:szCs w:val="24"/>
        </w:rPr>
        <w:t xml:space="preserve"> cómo</w:t>
      </w:r>
      <w:r w:rsidRPr="003E5D60">
        <w:rPr>
          <w:rFonts w:ascii="Times New Roman" w:hAnsi="Times New Roman" w:cs="Times New Roman"/>
          <w:sz w:val="24"/>
          <w:szCs w:val="24"/>
        </w:rPr>
        <w:t xml:space="preserve"> </w:t>
      </w:r>
      <w:r w:rsidR="00185D81">
        <w:rPr>
          <w:rFonts w:ascii="Times New Roman" w:hAnsi="Times New Roman" w:cs="Times New Roman"/>
          <w:sz w:val="24"/>
          <w:szCs w:val="24"/>
        </w:rPr>
        <w:t>“</w:t>
      </w:r>
      <w:r w:rsidRPr="003E5D60">
        <w:rPr>
          <w:rFonts w:ascii="Times New Roman" w:hAnsi="Times New Roman" w:cs="Times New Roman"/>
          <w:sz w:val="24"/>
          <w:szCs w:val="24"/>
        </w:rPr>
        <w:t xml:space="preserve">el intenso progreso de la investigación científica, las invenciones y las tecnologías digitales o basadas en lo digital plantean la necesidad de asegurar </w:t>
      </w:r>
      <w:r>
        <w:rPr>
          <w:rFonts w:ascii="Times New Roman" w:hAnsi="Times New Roman" w:cs="Times New Roman"/>
          <w:sz w:val="24"/>
          <w:szCs w:val="24"/>
        </w:rPr>
        <w:t xml:space="preserve">que el marco normativo </w:t>
      </w:r>
      <w:r>
        <w:rPr>
          <w:rFonts w:ascii="Times New Roman" w:hAnsi="Times New Roman" w:cs="Times New Roman"/>
          <w:sz w:val="24"/>
          <w:szCs w:val="24"/>
        </w:rPr>
        <w:lastRenderedPageBreak/>
        <w:t>garanti[ce]</w:t>
      </w:r>
      <w:r w:rsidRPr="003E5D60">
        <w:rPr>
          <w:rFonts w:ascii="Times New Roman" w:hAnsi="Times New Roman" w:cs="Times New Roman"/>
          <w:sz w:val="24"/>
          <w:szCs w:val="24"/>
        </w:rPr>
        <w:t xml:space="preserve"> la protección de los derechos individuales y colectivos de las personas,</w:t>
      </w:r>
      <w:r w:rsidR="00185D81">
        <w:rPr>
          <w:rFonts w:ascii="Times New Roman" w:hAnsi="Times New Roman" w:cs="Times New Roman"/>
          <w:sz w:val="24"/>
          <w:szCs w:val="24"/>
        </w:rPr>
        <w:t xml:space="preserve"> [y]</w:t>
      </w:r>
      <w:r w:rsidRPr="003E5D60">
        <w:rPr>
          <w:rFonts w:ascii="Times New Roman" w:hAnsi="Times New Roman" w:cs="Times New Roman"/>
          <w:sz w:val="24"/>
          <w:szCs w:val="24"/>
        </w:rPr>
        <w:t xml:space="preserve"> los valores constitucionales que constituyen el único cimiento posible de la convivencia”.</w:t>
      </w:r>
      <w:r w:rsidR="00185D81">
        <w:rPr>
          <w:rFonts w:ascii="Times New Roman" w:hAnsi="Times New Roman" w:cs="Times New Roman"/>
          <w:sz w:val="24"/>
          <w:szCs w:val="24"/>
        </w:rPr>
        <w:t xml:space="preserve"> Con esa intención de </w:t>
      </w:r>
      <w:r w:rsidRPr="003E5D60">
        <w:rPr>
          <w:rFonts w:ascii="Times New Roman" w:hAnsi="Times New Roman" w:cs="Times New Roman"/>
          <w:sz w:val="24"/>
          <w:szCs w:val="24"/>
        </w:rPr>
        <w:t xml:space="preserve">ofrecer “un marco de referencia para garantizar los derechos de la ciudadanía en la nueva realidad digital”, </w:t>
      </w:r>
      <w:r w:rsidR="00185D81">
        <w:rPr>
          <w:rFonts w:ascii="Times New Roman" w:hAnsi="Times New Roman" w:cs="Times New Roman"/>
          <w:sz w:val="24"/>
          <w:szCs w:val="24"/>
        </w:rPr>
        <w:t>y de identificar</w:t>
      </w:r>
      <w:r w:rsidRPr="003E5D60">
        <w:rPr>
          <w:rFonts w:ascii="Times New Roman" w:hAnsi="Times New Roman" w:cs="Times New Roman"/>
          <w:sz w:val="24"/>
          <w:szCs w:val="24"/>
        </w:rPr>
        <w:t xml:space="preserve"> “los principios que han de guiar la acción</w:t>
      </w:r>
      <w:r w:rsidR="00DE0DD8">
        <w:rPr>
          <w:rFonts w:ascii="Times New Roman" w:hAnsi="Times New Roman" w:cs="Times New Roman"/>
          <w:sz w:val="24"/>
          <w:szCs w:val="24"/>
        </w:rPr>
        <w:t xml:space="preserve"> pública en los ámbitos más directame</w:t>
      </w:r>
      <w:r w:rsidRPr="003E5D60">
        <w:rPr>
          <w:rFonts w:ascii="Times New Roman" w:hAnsi="Times New Roman" w:cs="Times New Roman"/>
          <w:sz w:val="24"/>
          <w:szCs w:val="24"/>
        </w:rPr>
        <w:t>nte afectados por la digitalización”</w:t>
      </w:r>
      <w:r w:rsidRPr="003E5D60">
        <w:rPr>
          <w:rFonts w:ascii="Times New Roman" w:hAnsi="Times New Roman" w:cs="Times New Roman"/>
          <w:sz w:val="24"/>
          <w:szCs w:val="24"/>
          <w:vertAlign w:val="superscript"/>
        </w:rPr>
        <w:footnoteReference w:id="59"/>
      </w:r>
      <w:r w:rsidR="00185D81">
        <w:rPr>
          <w:rFonts w:ascii="Times New Roman" w:hAnsi="Times New Roman" w:cs="Times New Roman"/>
          <w:sz w:val="24"/>
          <w:szCs w:val="24"/>
        </w:rPr>
        <w:t>, se adopta este documento.</w:t>
      </w:r>
    </w:p>
    <w:p w:rsidR="00CD13C0" w:rsidRDefault="00CD13C0" w:rsidP="00CD13C0">
      <w:pPr>
        <w:ind w:firstLine="708"/>
        <w:jc w:val="both"/>
        <w:rPr>
          <w:rFonts w:ascii="Times New Roman" w:hAnsi="Times New Roman" w:cs="Times New Roman"/>
          <w:sz w:val="24"/>
          <w:szCs w:val="24"/>
        </w:rPr>
      </w:pPr>
      <w:r>
        <w:rPr>
          <w:rFonts w:ascii="Times New Roman" w:hAnsi="Times New Roman" w:cs="Times New Roman"/>
          <w:sz w:val="24"/>
          <w:szCs w:val="24"/>
        </w:rPr>
        <w:t>Estos textos que acabamos de citar, de fechas relativamente recientes, responden a la preocupación que existe en la sociedad sobre los límites que deben aplicarse a la recopilación y tratamiento de datos por parte de las organizaciones políticas (estatales o no). Con este trabajo hemos querido hacernos eco de esa inquietud. Del correcto tratamiento del fenómeno dependerá la calidad de la democracia.</w:t>
      </w:r>
      <w:r w:rsidR="005169DE">
        <w:rPr>
          <w:rFonts w:ascii="Times New Roman" w:hAnsi="Times New Roman" w:cs="Times New Roman"/>
          <w:sz w:val="24"/>
          <w:szCs w:val="24"/>
        </w:rPr>
        <w:t xml:space="preserve"> Para el Derecho se trata de uno de los retos más desafiantes de la era digital.</w:t>
      </w:r>
    </w:p>
    <w:p w:rsidR="00674AAA" w:rsidRDefault="00674AAA" w:rsidP="00CD13C0">
      <w:pPr>
        <w:ind w:firstLine="708"/>
        <w:jc w:val="both"/>
        <w:rPr>
          <w:rFonts w:ascii="Times New Roman" w:hAnsi="Times New Roman" w:cs="Times New Roman"/>
          <w:sz w:val="24"/>
          <w:szCs w:val="24"/>
        </w:rPr>
      </w:pPr>
    </w:p>
    <w:p w:rsidR="00B209AE" w:rsidRDefault="00B209AE" w:rsidP="00B209AE">
      <w:pPr>
        <w:pStyle w:val="Prrafodelista"/>
        <w:numPr>
          <w:ilvl w:val="0"/>
          <w:numId w:val="14"/>
        </w:numPr>
        <w:jc w:val="both"/>
        <w:rPr>
          <w:rFonts w:ascii="Times New Roman" w:hAnsi="Times New Roman" w:cs="Times New Roman"/>
          <w:b/>
          <w:sz w:val="24"/>
          <w:szCs w:val="24"/>
        </w:rPr>
      </w:pPr>
      <w:r w:rsidRPr="00B209AE">
        <w:rPr>
          <w:rFonts w:ascii="Times New Roman" w:hAnsi="Times New Roman" w:cs="Times New Roman"/>
          <w:b/>
          <w:sz w:val="24"/>
          <w:szCs w:val="24"/>
        </w:rPr>
        <w:t>Conclusiones</w:t>
      </w:r>
    </w:p>
    <w:p w:rsidR="00674AAA" w:rsidRDefault="00674AAA" w:rsidP="00674AAA">
      <w:pPr>
        <w:ind w:firstLine="708"/>
        <w:jc w:val="both"/>
        <w:rPr>
          <w:rFonts w:ascii="Times New Roman" w:hAnsi="Times New Roman" w:cs="Times New Roman"/>
          <w:sz w:val="24"/>
          <w:szCs w:val="24"/>
        </w:rPr>
      </w:pPr>
      <w:r>
        <w:rPr>
          <w:rFonts w:ascii="Times New Roman" w:hAnsi="Times New Roman" w:cs="Times New Roman"/>
          <w:sz w:val="24"/>
          <w:szCs w:val="24"/>
        </w:rPr>
        <w:t>De manera cuasiesquemática, extraemos las siguientes ideas o conclusiones principales:</w:t>
      </w:r>
    </w:p>
    <w:p w:rsidR="00674AAA" w:rsidRDefault="00674AAA" w:rsidP="00674AAA">
      <w:pPr>
        <w:ind w:firstLine="708"/>
        <w:jc w:val="both"/>
        <w:rPr>
          <w:rFonts w:ascii="Times New Roman" w:hAnsi="Times New Roman" w:cs="Times New Roman"/>
          <w:sz w:val="24"/>
          <w:szCs w:val="24"/>
        </w:rPr>
      </w:pPr>
      <w:r>
        <w:rPr>
          <w:rFonts w:ascii="Times New Roman" w:hAnsi="Times New Roman" w:cs="Times New Roman"/>
          <w:sz w:val="24"/>
          <w:szCs w:val="24"/>
        </w:rPr>
        <w:t xml:space="preserve">1) El artículo 18.4 CE ordena al legislador que proteja los derechos de las personas frente al uso de la informática. En tal encomienda, el Tribunal Constitucional ha reconocido el </w:t>
      </w:r>
      <w:r w:rsidRPr="006B5278">
        <w:rPr>
          <w:rFonts w:ascii="Times New Roman" w:hAnsi="Times New Roman" w:cs="Times New Roman"/>
          <w:sz w:val="24"/>
          <w:szCs w:val="24"/>
        </w:rPr>
        <w:t>derecho fundamental a la protección de datos</w:t>
      </w:r>
      <w:r>
        <w:rPr>
          <w:rFonts w:ascii="Times New Roman" w:hAnsi="Times New Roman" w:cs="Times New Roman"/>
          <w:sz w:val="24"/>
          <w:szCs w:val="24"/>
        </w:rPr>
        <w:t xml:space="preserve"> personales, al que le asigna un contenido sustantivo propio. Se trata, pues, de un derecho distinto a cualquier otro.</w:t>
      </w:r>
      <w:r w:rsidRPr="006B5278">
        <w:rPr>
          <w:rFonts w:ascii="Times New Roman" w:hAnsi="Times New Roman" w:cs="Times New Roman"/>
          <w:sz w:val="24"/>
          <w:szCs w:val="24"/>
        </w:rPr>
        <w:t xml:space="preserve"> </w:t>
      </w:r>
      <w:r>
        <w:rPr>
          <w:rFonts w:ascii="Times New Roman" w:hAnsi="Times New Roman" w:cs="Times New Roman"/>
          <w:sz w:val="24"/>
          <w:szCs w:val="24"/>
        </w:rPr>
        <w:t>Por</w:t>
      </w:r>
      <w:r w:rsidRPr="006B5278">
        <w:rPr>
          <w:rFonts w:ascii="Times New Roman" w:hAnsi="Times New Roman" w:cs="Times New Roman"/>
          <w:sz w:val="24"/>
          <w:szCs w:val="24"/>
        </w:rPr>
        <w:t xml:space="preserve"> </w:t>
      </w:r>
      <w:r>
        <w:rPr>
          <w:rFonts w:ascii="Times New Roman" w:hAnsi="Times New Roman" w:cs="Times New Roman"/>
          <w:sz w:val="24"/>
          <w:szCs w:val="24"/>
        </w:rPr>
        <w:t>su evidente</w:t>
      </w:r>
      <w:r w:rsidRPr="006B5278">
        <w:rPr>
          <w:rFonts w:ascii="Times New Roman" w:hAnsi="Times New Roman" w:cs="Times New Roman"/>
          <w:sz w:val="24"/>
          <w:szCs w:val="24"/>
        </w:rPr>
        <w:t xml:space="preserve"> relevancia en el nuevo contexto digital</w:t>
      </w:r>
      <w:r>
        <w:rPr>
          <w:rFonts w:ascii="Times New Roman" w:hAnsi="Times New Roman" w:cs="Times New Roman"/>
          <w:sz w:val="24"/>
          <w:szCs w:val="24"/>
        </w:rPr>
        <w:t>, a nuestro juicio debería ser explícitamente recogido en la Constitución.</w:t>
      </w:r>
      <w:r w:rsidRPr="006B5278">
        <w:rPr>
          <w:rFonts w:ascii="Times New Roman" w:hAnsi="Times New Roman" w:cs="Times New Roman"/>
          <w:sz w:val="24"/>
          <w:szCs w:val="24"/>
        </w:rPr>
        <w:t xml:space="preserve"> </w:t>
      </w:r>
    </w:p>
    <w:p w:rsidR="00674AAA" w:rsidRPr="006B5278" w:rsidRDefault="00674AAA" w:rsidP="00674AAA">
      <w:pPr>
        <w:ind w:firstLine="708"/>
        <w:jc w:val="both"/>
        <w:rPr>
          <w:rFonts w:ascii="Times New Roman" w:hAnsi="Times New Roman" w:cs="Times New Roman"/>
          <w:sz w:val="24"/>
          <w:szCs w:val="24"/>
        </w:rPr>
      </w:pPr>
      <w:r>
        <w:rPr>
          <w:rFonts w:ascii="Times New Roman" w:hAnsi="Times New Roman" w:cs="Times New Roman"/>
          <w:sz w:val="24"/>
          <w:szCs w:val="24"/>
        </w:rPr>
        <w:t>2) E</w:t>
      </w:r>
      <w:r w:rsidRPr="006B5278">
        <w:rPr>
          <w:rFonts w:ascii="Times New Roman" w:hAnsi="Times New Roman" w:cs="Times New Roman"/>
          <w:sz w:val="24"/>
          <w:szCs w:val="24"/>
        </w:rPr>
        <w:t>n ese particular contexto que representa la era digital, resulta fundamental adaptar el catálogo de derechos</w:t>
      </w:r>
      <w:r>
        <w:rPr>
          <w:rFonts w:ascii="Times New Roman" w:hAnsi="Times New Roman" w:cs="Times New Roman"/>
          <w:sz w:val="24"/>
          <w:szCs w:val="24"/>
        </w:rPr>
        <w:t xml:space="preserve"> constitucionales</w:t>
      </w:r>
      <w:r w:rsidRPr="006B5278">
        <w:rPr>
          <w:rFonts w:ascii="Times New Roman" w:hAnsi="Times New Roman" w:cs="Times New Roman"/>
          <w:sz w:val="24"/>
          <w:szCs w:val="24"/>
        </w:rPr>
        <w:t xml:space="preserve"> a esta realidad. Esto exige, no solo act</w:t>
      </w:r>
      <w:r>
        <w:rPr>
          <w:rFonts w:ascii="Times New Roman" w:hAnsi="Times New Roman" w:cs="Times New Roman"/>
          <w:sz w:val="24"/>
          <w:szCs w:val="24"/>
        </w:rPr>
        <w:t>ualizar los derechos que ya está</w:t>
      </w:r>
      <w:r w:rsidRPr="006B5278">
        <w:rPr>
          <w:rFonts w:ascii="Times New Roman" w:hAnsi="Times New Roman" w:cs="Times New Roman"/>
          <w:sz w:val="24"/>
          <w:szCs w:val="24"/>
        </w:rPr>
        <w:t xml:space="preserve">n reconocidos sino también incorporar otros que puedan dar respuesta a las amenazas que </w:t>
      </w:r>
      <w:r>
        <w:rPr>
          <w:rFonts w:ascii="Times New Roman" w:hAnsi="Times New Roman" w:cs="Times New Roman"/>
          <w:sz w:val="24"/>
          <w:szCs w:val="24"/>
        </w:rPr>
        <w:t>derivan de las nuevas tecnologías de la información y la comunicación</w:t>
      </w:r>
      <w:r w:rsidRPr="006B5278">
        <w:rPr>
          <w:rFonts w:ascii="Times New Roman" w:hAnsi="Times New Roman" w:cs="Times New Roman"/>
          <w:sz w:val="24"/>
          <w:szCs w:val="24"/>
        </w:rPr>
        <w:t xml:space="preserve">. En esa dirección, el Gobierno de España adoptó, en julio de 2021, </w:t>
      </w:r>
      <w:r>
        <w:rPr>
          <w:rFonts w:ascii="Times New Roman" w:hAnsi="Times New Roman" w:cs="Times New Roman"/>
          <w:sz w:val="24"/>
          <w:szCs w:val="24"/>
        </w:rPr>
        <w:t xml:space="preserve">la Carta de Derechos Digitales, y la Unión Europea, en diciembre de 2022, la Declaración Europea sobre los Derechos y Principios Digitales para la Década Digital. </w:t>
      </w:r>
      <w:r w:rsidRPr="006B5278">
        <w:rPr>
          <w:rFonts w:ascii="Times New Roman" w:hAnsi="Times New Roman" w:cs="Times New Roman"/>
          <w:sz w:val="24"/>
          <w:szCs w:val="24"/>
        </w:rPr>
        <w:t>En</w:t>
      </w:r>
      <w:r>
        <w:rPr>
          <w:rFonts w:ascii="Times New Roman" w:hAnsi="Times New Roman" w:cs="Times New Roman"/>
          <w:sz w:val="24"/>
          <w:szCs w:val="24"/>
        </w:rPr>
        <w:t xml:space="preserve"> ambos late la idea de que, en estos nuevos contornos</w:t>
      </w:r>
      <w:r w:rsidRPr="006B5278">
        <w:rPr>
          <w:rFonts w:ascii="Times New Roman" w:hAnsi="Times New Roman" w:cs="Times New Roman"/>
          <w:sz w:val="24"/>
          <w:szCs w:val="24"/>
        </w:rPr>
        <w:t>, los principios y valores que fundamentan nuestro modelo de convivencia no pueden quedar al margen.</w:t>
      </w:r>
    </w:p>
    <w:p w:rsidR="00674AAA" w:rsidRDefault="00674AAA" w:rsidP="00674AAA">
      <w:pPr>
        <w:ind w:firstLine="708"/>
        <w:jc w:val="both"/>
        <w:rPr>
          <w:rFonts w:ascii="Times New Roman" w:hAnsi="Times New Roman" w:cs="Times New Roman"/>
          <w:sz w:val="24"/>
          <w:szCs w:val="24"/>
        </w:rPr>
      </w:pPr>
      <w:r>
        <w:rPr>
          <w:rFonts w:ascii="Times New Roman" w:hAnsi="Times New Roman" w:cs="Times New Roman"/>
          <w:sz w:val="24"/>
          <w:szCs w:val="24"/>
        </w:rPr>
        <w:t>3) Si la Constitución no debe ser una mera hoja de papel, estos nuevos tiempos deben quedar reflejados en ella. En este sentido, parece conveniente</w:t>
      </w:r>
      <w:r w:rsidRPr="006B5278">
        <w:rPr>
          <w:rFonts w:ascii="Times New Roman" w:hAnsi="Times New Roman" w:cs="Times New Roman"/>
          <w:sz w:val="24"/>
          <w:szCs w:val="24"/>
        </w:rPr>
        <w:t xml:space="preserve"> adaptarla en materia de derechos a los retos que plantea </w:t>
      </w:r>
      <w:r>
        <w:rPr>
          <w:rFonts w:ascii="Times New Roman" w:hAnsi="Times New Roman" w:cs="Times New Roman"/>
          <w:sz w:val="24"/>
          <w:szCs w:val="24"/>
        </w:rPr>
        <w:t xml:space="preserve">la era digital. Es cierto que esta actualización se está </w:t>
      </w:r>
      <w:r>
        <w:rPr>
          <w:rFonts w:ascii="Times New Roman" w:hAnsi="Times New Roman" w:cs="Times New Roman"/>
          <w:sz w:val="24"/>
          <w:szCs w:val="24"/>
        </w:rPr>
        <w:lastRenderedPageBreak/>
        <w:t xml:space="preserve">llevando a cabo por medio de algunos </w:t>
      </w:r>
      <w:r w:rsidRPr="006B5278">
        <w:rPr>
          <w:rFonts w:ascii="Times New Roman" w:hAnsi="Times New Roman" w:cs="Times New Roman"/>
          <w:sz w:val="24"/>
          <w:szCs w:val="24"/>
        </w:rPr>
        <w:t>tratados y convenios internacionales</w:t>
      </w:r>
      <w:r>
        <w:rPr>
          <w:rFonts w:ascii="Times New Roman" w:hAnsi="Times New Roman" w:cs="Times New Roman"/>
          <w:sz w:val="24"/>
          <w:szCs w:val="24"/>
        </w:rPr>
        <w:t>, pero estos no pueden ser invocados en España como parámetro de control de la constitucionalidad de las leyes. Por otra parte, la apertura al Derecho internacional y europeo de los derechos humanos que el artículo 10.2 CE ordena solo se predica respecto de los derechos y libertades ya reconocidos en la Constitución.</w:t>
      </w:r>
    </w:p>
    <w:p w:rsidR="00674AAA" w:rsidRPr="006B5278" w:rsidRDefault="00674AAA" w:rsidP="00674AAA">
      <w:pPr>
        <w:ind w:firstLine="708"/>
        <w:jc w:val="both"/>
        <w:rPr>
          <w:rFonts w:ascii="Times New Roman" w:hAnsi="Times New Roman" w:cs="Times New Roman"/>
          <w:sz w:val="24"/>
          <w:szCs w:val="24"/>
        </w:rPr>
      </w:pPr>
      <w:r>
        <w:rPr>
          <w:rFonts w:ascii="Times New Roman" w:hAnsi="Times New Roman" w:cs="Times New Roman"/>
          <w:sz w:val="24"/>
          <w:szCs w:val="24"/>
        </w:rPr>
        <w:t>4) H</w:t>
      </w:r>
      <w:r w:rsidRPr="006B5278">
        <w:rPr>
          <w:rFonts w:ascii="Times New Roman" w:hAnsi="Times New Roman" w:cs="Times New Roman"/>
          <w:sz w:val="24"/>
          <w:szCs w:val="24"/>
        </w:rPr>
        <w:t>ay quienes advierten que un exceso de protección de algunos de los principios relativos al tratamiento, particularmente el principio de limitación de la finalidad y el de minimización de datos</w:t>
      </w:r>
      <w:r>
        <w:rPr>
          <w:rFonts w:ascii="Times New Roman" w:hAnsi="Times New Roman" w:cs="Times New Roman"/>
          <w:sz w:val="24"/>
          <w:szCs w:val="24"/>
        </w:rPr>
        <w:t>, podría</w:t>
      </w:r>
      <w:r w:rsidRPr="006B5278">
        <w:rPr>
          <w:rFonts w:ascii="Times New Roman" w:hAnsi="Times New Roman" w:cs="Times New Roman"/>
          <w:sz w:val="24"/>
          <w:szCs w:val="24"/>
        </w:rPr>
        <w:t xml:space="preserve"> resultar un obstáculo para avanzar en las posibilidades que la tecnología ofrece. Resultando esto así, el progreso económico y social que las nuevas tecnologías ofrecen no puede ser incompatible con la salvaguarda de los derechos y libertades de las personas, que no se han de ver menoscabados en absoluto. Los derechos y libertades de las personas, sobre los que se fundamenta nuestro modelo de convivencia no pueden ser las víctimas de la revolución digital. Frente a las potenciales amenazas derivadas de la era digital, el derecho fundamental a la protección de datos ha de estar dotado de las facultades que impidan que los seres humanos sean instrumentalizados por las empresas que controlan las nuevas tecnologías de la información y la comunicación. En la resolución de los eventuales conflictos, el principio de proporcionalidad adquirirá un protagonismo particular  </w:t>
      </w:r>
    </w:p>
    <w:p w:rsidR="00674AAA" w:rsidRPr="006B5278" w:rsidRDefault="00674AAA" w:rsidP="00674AAA">
      <w:pPr>
        <w:ind w:firstLine="708"/>
        <w:jc w:val="both"/>
        <w:rPr>
          <w:rFonts w:ascii="Times New Roman" w:hAnsi="Times New Roman" w:cs="Times New Roman"/>
          <w:sz w:val="24"/>
          <w:szCs w:val="24"/>
        </w:rPr>
      </w:pPr>
      <w:r>
        <w:rPr>
          <w:rFonts w:ascii="Times New Roman" w:hAnsi="Times New Roman" w:cs="Times New Roman"/>
          <w:sz w:val="24"/>
          <w:szCs w:val="24"/>
        </w:rPr>
        <w:t>5) E</w:t>
      </w:r>
      <w:r w:rsidRPr="006B5278">
        <w:rPr>
          <w:rFonts w:ascii="Times New Roman" w:hAnsi="Times New Roman" w:cs="Times New Roman"/>
          <w:sz w:val="24"/>
          <w:szCs w:val="24"/>
        </w:rPr>
        <w:t>s necesario articular un sistema de garantías que sea capaz de combatir el “sesgo” discriminatorio a la hora de adoptar decisiones automáticas. La Propuesta de Reglamento sobre inteligencia artificial</w:t>
      </w:r>
      <w:r>
        <w:rPr>
          <w:rFonts w:ascii="Times New Roman" w:hAnsi="Times New Roman" w:cs="Times New Roman"/>
          <w:sz w:val="24"/>
          <w:szCs w:val="24"/>
        </w:rPr>
        <w:t xml:space="preserve"> (2021)</w:t>
      </w:r>
      <w:r w:rsidRPr="006B5278">
        <w:rPr>
          <w:rFonts w:ascii="Times New Roman" w:hAnsi="Times New Roman" w:cs="Times New Roman"/>
          <w:sz w:val="24"/>
          <w:szCs w:val="24"/>
        </w:rPr>
        <w:t xml:space="preserve"> </w:t>
      </w:r>
      <w:r>
        <w:rPr>
          <w:rFonts w:ascii="Times New Roman" w:hAnsi="Times New Roman" w:cs="Times New Roman"/>
          <w:sz w:val="24"/>
          <w:szCs w:val="24"/>
        </w:rPr>
        <w:t>advierte</w:t>
      </w:r>
      <w:r w:rsidRPr="006B5278">
        <w:rPr>
          <w:rFonts w:ascii="Times New Roman" w:hAnsi="Times New Roman" w:cs="Times New Roman"/>
          <w:sz w:val="24"/>
          <w:szCs w:val="24"/>
        </w:rPr>
        <w:t xml:space="preserve"> expresamente la urgencia de regular esta materia. Los derechos de las personas deben estar protegidos frente a las estrategias que la tecnología de la </w:t>
      </w:r>
      <w:r>
        <w:rPr>
          <w:rFonts w:ascii="Times New Roman" w:hAnsi="Times New Roman" w:cs="Times New Roman"/>
          <w:sz w:val="24"/>
          <w:szCs w:val="24"/>
        </w:rPr>
        <w:t>Inteligencia Artificial</w:t>
      </w:r>
      <w:r w:rsidRPr="006B5278">
        <w:rPr>
          <w:rFonts w:ascii="Times New Roman" w:hAnsi="Times New Roman" w:cs="Times New Roman"/>
          <w:sz w:val="24"/>
          <w:szCs w:val="24"/>
        </w:rPr>
        <w:t xml:space="preserve"> permite implementar.</w:t>
      </w:r>
      <w:r>
        <w:rPr>
          <w:rFonts w:ascii="Times New Roman" w:hAnsi="Times New Roman" w:cs="Times New Roman"/>
          <w:sz w:val="24"/>
          <w:szCs w:val="24"/>
        </w:rPr>
        <w:t xml:space="preserve"> A tales efectos deben habilitarse procedimientos para que</w:t>
      </w:r>
      <w:r w:rsidRPr="00CC79F5">
        <w:rPr>
          <w:rFonts w:ascii="Times New Roman" w:hAnsi="Times New Roman" w:cs="Times New Roman"/>
          <w:sz w:val="24"/>
          <w:szCs w:val="24"/>
        </w:rPr>
        <w:t xml:space="preserve"> </w:t>
      </w:r>
      <w:r>
        <w:rPr>
          <w:rFonts w:ascii="Times New Roman" w:hAnsi="Times New Roman" w:cs="Times New Roman"/>
          <w:sz w:val="24"/>
          <w:szCs w:val="24"/>
        </w:rPr>
        <w:t>l</w:t>
      </w:r>
      <w:r w:rsidRPr="006B5278">
        <w:rPr>
          <w:rFonts w:ascii="Times New Roman" w:hAnsi="Times New Roman" w:cs="Times New Roman"/>
          <w:sz w:val="24"/>
          <w:szCs w:val="24"/>
        </w:rPr>
        <w:t xml:space="preserve">os ciudadanos </w:t>
      </w:r>
      <w:r>
        <w:rPr>
          <w:rFonts w:ascii="Times New Roman" w:hAnsi="Times New Roman" w:cs="Times New Roman"/>
          <w:sz w:val="24"/>
          <w:szCs w:val="24"/>
        </w:rPr>
        <w:t>puedan</w:t>
      </w:r>
      <w:r w:rsidRPr="006B5278">
        <w:rPr>
          <w:rFonts w:ascii="Times New Roman" w:hAnsi="Times New Roman" w:cs="Times New Roman"/>
          <w:sz w:val="24"/>
          <w:szCs w:val="24"/>
        </w:rPr>
        <w:t xml:space="preserve"> supervisar los procesos de toma de decisiones que les afecten. El empleo de la lógica matemática debe ajustarse a los parámetros constitucionales. </w:t>
      </w:r>
    </w:p>
    <w:p w:rsidR="00674AAA" w:rsidRDefault="00674AAA" w:rsidP="00674AAA">
      <w:pPr>
        <w:ind w:firstLine="708"/>
        <w:jc w:val="both"/>
        <w:rPr>
          <w:rFonts w:ascii="Times New Roman" w:hAnsi="Times New Roman" w:cs="Times New Roman"/>
          <w:sz w:val="24"/>
          <w:szCs w:val="24"/>
        </w:rPr>
      </w:pPr>
      <w:r>
        <w:rPr>
          <w:rFonts w:ascii="Times New Roman" w:hAnsi="Times New Roman" w:cs="Times New Roman"/>
          <w:sz w:val="24"/>
          <w:szCs w:val="24"/>
        </w:rPr>
        <w:t>6) C</w:t>
      </w:r>
      <w:r w:rsidRPr="006B5278">
        <w:rPr>
          <w:rFonts w:ascii="Times New Roman" w:hAnsi="Times New Roman" w:cs="Times New Roman"/>
          <w:sz w:val="24"/>
          <w:szCs w:val="24"/>
        </w:rPr>
        <w:t xml:space="preserve">on este objetivo de reducir el riesgo discriminatorio de las decisiones automatizadas, sería deseable cambiar el modelo de protección que ofrece el art. 9.1 RGPD por otro en el que el riesgo no descanse exclusivamente sobre la naturaleza del dato sino también sobre el resultado que el tratamiento de la información pueda generar. </w:t>
      </w:r>
    </w:p>
    <w:p w:rsidR="00674AAA" w:rsidRPr="006B5278" w:rsidRDefault="00674AAA" w:rsidP="00674AAA">
      <w:pPr>
        <w:ind w:firstLine="708"/>
        <w:jc w:val="both"/>
        <w:rPr>
          <w:rFonts w:ascii="Times New Roman" w:hAnsi="Times New Roman" w:cs="Times New Roman"/>
          <w:sz w:val="24"/>
          <w:szCs w:val="24"/>
        </w:rPr>
      </w:pPr>
      <w:r>
        <w:rPr>
          <w:rFonts w:ascii="Times New Roman" w:hAnsi="Times New Roman" w:cs="Times New Roman"/>
          <w:sz w:val="24"/>
          <w:szCs w:val="24"/>
        </w:rPr>
        <w:t xml:space="preserve">7) </w:t>
      </w:r>
      <w:r w:rsidRPr="006B5278">
        <w:rPr>
          <w:rFonts w:ascii="Times New Roman" w:hAnsi="Times New Roman" w:cs="Times New Roman"/>
          <w:sz w:val="24"/>
          <w:szCs w:val="24"/>
        </w:rPr>
        <w:t xml:space="preserve">Igualmente, consideramos necesario plantear la posibilidad </w:t>
      </w:r>
      <w:r>
        <w:rPr>
          <w:rFonts w:ascii="Times New Roman" w:hAnsi="Times New Roman" w:cs="Times New Roman"/>
          <w:sz w:val="24"/>
          <w:szCs w:val="24"/>
        </w:rPr>
        <w:t>de reformar el artículo</w:t>
      </w:r>
      <w:r w:rsidRPr="006B5278">
        <w:rPr>
          <w:rFonts w:ascii="Times New Roman" w:hAnsi="Times New Roman" w:cs="Times New Roman"/>
          <w:sz w:val="24"/>
          <w:szCs w:val="24"/>
        </w:rPr>
        <w:t xml:space="preserve"> 22.1 del R</w:t>
      </w:r>
      <w:r>
        <w:rPr>
          <w:rFonts w:ascii="Times New Roman" w:hAnsi="Times New Roman" w:cs="Times New Roman"/>
          <w:sz w:val="24"/>
          <w:szCs w:val="24"/>
        </w:rPr>
        <w:t>GPD.</w:t>
      </w:r>
      <w:r w:rsidRPr="00CC79F5">
        <w:rPr>
          <w:rFonts w:ascii="Times New Roman" w:hAnsi="Times New Roman" w:cs="Times New Roman"/>
          <w:sz w:val="24"/>
          <w:szCs w:val="24"/>
        </w:rPr>
        <w:t xml:space="preserve"> </w:t>
      </w:r>
      <w:r w:rsidRPr="006B5278">
        <w:rPr>
          <w:rFonts w:ascii="Times New Roman" w:hAnsi="Times New Roman" w:cs="Times New Roman"/>
          <w:sz w:val="24"/>
          <w:szCs w:val="24"/>
        </w:rPr>
        <w:t>En la actualidad este precepto reconoce el derecho del interesado (titular de los datos) a “no ser objeto de una decisión basada únicamente en el tratamiento automatizado de datos, incluida la elaboración de perfiles que produzca efectos jurídicos en él o le afecte significativamente de modo similar”.</w:t>
      </w:r>
      <w:r w:rsidRPr="00CC79F5">
        <w:rPr>
          <w:rFonts w:ascii="Times New Roman" w:hAnsi="Times New Roman" w:cs="Times New Roman"/>
          <w:sz w:val="24"/>
          <w:szCs w:val="24"/>
        </w:rPr>
        <w:t xml:space="preserve"> </w:t>
      </w:r>
      <w:r w:rsidRPr="006B5278">
        <w:rPr>
          <w:rFonts w:ascii="Times New Roman" w:hAnsi="Times New Roman" w:cs="Times New Roman"/>
          <w:sz w:val="24"/>
          <w:szCs w:val="24"/>
        </w:rPr>
        <w:t xml:space="preserve">Se trataría de buscar la fórmula de abrirlo para comprender en él también aquellos tratamientos automatizados de datos personales que generen efectos jurídicos para la comunidad política. La elaboración de perfiles debiera estar prohibida no solo cuando se trate de decisiones que produzcan efectos </w:t>
      </w:r>
      <w:r w:rsidRPr="006B5278">
        <w:rPr>
          <w:rFonts w:ascii="Times New Roman" w:hAnsi="Times New Roman" w:cs="Times New Roman"/>
          <w:i/>
          <w:sz w:val="24"/>
          <w:szCs w:val="24"/>
        </w:rPr>
        <w:t>ad personam</w:t>
      </w:r>
      <w:r w:rsidRPr="006B5278">
        <w:rPr>
          <w:rFonts w:ascii="Times New Roman" w:hAnsi="Times New Roman" w:cs="Times New Roman"/>
          <w:sz w:val="24"/>
          <w:szCs w:val="24"/>
        </w:rPr>
        <w:t xml:space="preserve"> sino también cuando se elaboran con la intención de influir en el funcionamiento del sistema democrático. Si en Derecho Civil el engaño genera un vicio en la voluntad que anula el consentimiento, por analogía estos tratamientos debieran es</w:t>
      </w:r>
      <w:r w:rsidR="00DE41A8">
        <w:rPr>
          <w:rFonts w:ascii="Times New Roman" w:hAnsi="Times New Roman" w:cs="Times New Roman"/>
          <w:sz w:val="24"/>
          <w:szCs w:val="24"/>
        </w:rPr>
        <w:t>tar prohibido</w:t>
      </w:r>
      <w:r w:rsidRPr="006B5278">
        <w:rPr>
          <w:rFonts w:ascii="Times New Roman" w:hAnsi="Times New Roman" w:cs="Times New Roman"/>
          <w:sz w:val="24"/>
          <w:szCs w:val="24"/>
        </w:rPr>
        <w:t xml:space="preserve">s cuando se practican con la misma intención. </w:t>
      </w:r>
      <w:r>
        <w:rPr>
          <w:rFonts w:ascii="Times New Roman" w:hAnsi="Times New Roman" w:cs="Times New Roman"/>
          <w:sz w:val="24"/>
          <w:szCs w:val="24"/>
        </w:rPr>
        <w:t>No se debieran proteger tan solo los tratamientos con efectos meramente individuales. La última parte de la disposición podría re</w:t>
      </w:r>
      <w:r w:rsidR="00DE41A8">
        <w:rPr>
          <w:rFonts w:ascii="Times New Roman" w:hAnsi="Times New Roman" w:cs="Times New Roman"/>
          <w:sz w:val="24"/>
          <w:szCs w:val="24"/>
        </w:rPr>
        <w:t>sultar</w:t>
      </w:r>
      <w:r>
        <w:rPr>
          <w:rFonts w:ascii="Times New Roman" w:hAnsi="Times New Roman" w:cs="Times New Roman"/>
          <w:sz w:val="24"/>
          <w:szCs w:val="24"/>
        </w:rPr>
        <w:t xml:space="preserve"> un guiño en este sentido.</w:t>
      </w:r>
    </w:p>
    <w:p w:rsidR="00B209AE" w:rsidRPr="00B209AE" w:rsidRDefault="00674AAA" w:rsidP="00674AAA">
      <w:pPr>
        <w:ind w:firstLine="360"/>
        <w:jc w:val="both"/>
        <w:rPr>
          <w:rFonts w:ascii="Times New Roman" w:hAnsi="Times New Roman" w:cs="Times New Roman"/>
          <w:b/>
          <w:sz w:val="24"/>
          <w:szCs w:val="24"/>
        </w:rPr>
      </w:pPr>
      <w:r>
        <w:rPr>
          <w:rFonts w:ascii="Times New Roman" w:hAnsi="Times New Roman" w:cs="Times New Roman"/>
          <w:sz w:val="24"/>
          <w:szCs w:val="24"/>
        </w:rPr>
        <w:lastRenderedPageBreak/>
        <w:t>8) Si bien este derecho fun</w:t>
      </w:r>
      <w:bookmarkStart w:id="0" w:name="_GoBack"/>
      <w:bookmarkEnd w:id="0"/>
      <w:r>
        <w:rPr>
          <w:rFonts w:ascii="Times New Roman" w:hAnsi="Times New Roman" w:cs="Times New Roman"/>
          <w:sz w:val="24"/>
          <w:szCs w:val="24"/>
        </w:rPr>
        <w:t>damental</w:t>
      </w:r>
      <w:r w:rsidRPr="006B5278">
        <w:rPr>
          <w:rFonts w:ascii="Times New Roman" w:hAnsi="Times New Roman" w:cs="Times New Roman"/>
          <w:sz w:val="24"/>
          <w:szCs w:val="24"/>
        </w:rPr>
        <w:t xml:space="preserve"> concede al interesado un haz de facultades para ejercer el control sobre los datos que le conciernen, la práctica demuestra que no se trata de una garantía suficiente, pues </w:t>
      </w:r>
      <w:r>
        <w:rPr>
          <w:rFonts w:ascii="Times New Roman" w:hAnsi="Times New Roman" w:cs="Times New Roman"/>
          <w:sz w:val="24"/>
          <w:szCs w:val="24"/>
        </w:rPr>
        <w:t>el titular</w:t>
      </w:r>
      <w:r w:rsidRPr="006B5278">
        <w:rPr>
          <w:rFonts w:ascii="Times New Roman" w:hAnsi="Times New Roman" w:cs="Times New Roman"/>
          <w:sz w:val="24"/>
          <w:szCs w:val="24"/>
        </w:rPr>
        <w:t>, por sí solo, es incapaz de hacer frente a toda esta tecnología que permite el uso cotidiano y a escala masiva de sus datos personales</w:t>
      </w:r>
      <w:r>
        <w:rPr>
          <w:rFonts w:ascii="Times New Roman" w:hAnsi="Times New Roman" w:cs="Times New Roman"/>
          <w:sz w:val="24"/>
          <w:szCs w:val="24"/>
        </w:rPr>
        <w:t xml:space="preserve">. En la práctica, han </w:t>
      </w:r>
      <w:r w:rsidRPr="006B5278">
        <w:rPr>
          <w:rFonts w:ascii="Times New Roman" w:hAnsi="Times New Roman" w:cs="Times New Roman"/>
          <w:sz w:val="24"/>
          <w:szCs w:val="24"/>
        </w:rPr>
        <w:t xml:space="preserve">quedado lejos de nuestro dominio. </w:t>
      </w:r>
      <w:r>
        <w:rPr>
          <w:rFonts w:ascii="Times New Roman" w:hAnsi="Times New Roman" w:cs="Times New Roman"/>
          <w:sz w:val="24"/>
          <w:szCs w:val="24"/>
        </w:rPr>
        <w:t xml:space="preserve">Son necesarias </w:t>
      </w:r>
      <w:r w:rsidRPr="006B5278">
        <w:rPr>
          <w:rFonts w:ascii="Times New Roman" w:hAnsi="Times New Roman" w:cs="Times New Roman"/>
          <w:sz w:val="24"/>
          <w:szCs w:val="24"/>
        </w:rPr>
        <w:t>otras garantías que de manera efectiva velen por que los tratamientos</w:t>
      </w:r>
      <w:r>
        <w:rPr>
          <w:rFonts w:ascii="Times New Roman" w:hAnsi="Times New Roman" w:cs="Times New Roman"/>
          <w:sz w:val="24"/>
          <w:szCs w:val="24"/>
        </w:rPr>
        <w:t xml:space="preserve"> siempre</w:t>
      </w:r>
      <w:r w:rsidRPr="006B5278">
        <w:rPr>
          <w:rFonts w:ascii="Times New Roman" w:hAnsi="Times New Roman" w:cs="Times New Roman"/>
          <w:sz w:val="24"/>
          <w:szCs w:val="24"/>
        </w:rPr>
        <w:t xml:space="preserve"> se lleven a cabo </w:t>
      </w:r>
      <w:r>
        <w:rPr>
          <w:rFonts w:ascii="Times New Roman" w:hAnsi="Times New Roman" w:cs="Times New Roman"/>
          <w:sz w:val="24"/>
          <w:szCs w:val="24"/>
        </w:rPr>
        <w:t xml:space="preserve">con respeto al </w:t>
      </w:r>
      <w:r w:rsidRPr="006B5278">
        <w:rPr>
          <w:rFonts w:ascii="Times New Roman" w:hAnsi="Times New Roman" w:cs="Times New Roman"/>
          <w:sz w:val="24"/>
          <w:szCs w:val="24"/>
        </w:rPr>
        <w:t>marco constitucional.</w:t>
      </w:r>
    </w:p>
    <w:p w:rsidR="00E7569E" w:rsidRPr="00E7569E" w:rsidRDefault="00E7569E" w:rsidP="004F6842">
      <w:pPr>
        <w:pStyle w:val="NormalWeb"/>
        <w:numPr>
          <w:ilvl w:val="0"/>
          <w:numId w:val="14"/>
        </w:numPr>
        <w:shd w:val="clear" w:color="auto" w:fill="FFFFFF"/>
        <w:spacing w:after="300" w:afterAutospacing="0" w:line="384" w:lineRule="atLeast"/>
        <w:jc w:val="both"/>
        <w:rPr>
          <w:b/>
          <w:color w:val="222222"/>
        </w:rPr>
      </w:pPr>
      <w:r w:rsidRPr="00E7569E">
        <w:rPr>
          <w:b/>
          <w:color w:val="222222"/>
        </w:rPr>
        <w:t>B</w:t>
      </w:r>
      <w:r w:rsidR="004F6842">
        <w:rPr>
          <w:b/>
          <w:color w:val="222222"/>
        </w:rPr>
        <w:t>ibliografía</w:t>
      </w:r>
    </w:p>
    <w:p w:rsidR="00E7569E" w:rsidRDefault="00E7569E" w:rsidP="00797215">
      <w:pPr>
        <w:pStyle w:val="NormalWeb"/>
        <w:shd w:val="clear" w:color="auto" w:fill="FFFFFF"/>
        <w:spacing w:after="300" w:afterAutospacing="0" w:line="384" w:lineRule="atLeast"/>
        <w:jc w:val="both"/>
        <w:rPr>
          <w:color w:val="222222"/>
        </w:rPr>
      </w:pPr>
      <w:r>
        <w:rPr>
          <w:color w:val="222222"/>
        </w:rPr>
        <w:t>BALAGUER CALLEJÓN, F.: La Constitución del algoritmo, Fundación Manuel Giménez Abad, Zaragoza, 2022.</w:t>
      </w:r>
    </w:p>
    <w:p w:rsidR="009D7783" w:rsidRDefault="009D7783" w:rsidP="003A1CFE">
      <w:pPr>
        <w:pStyle w:val="NormalWeb"/>
        <w:shd w:val="clear" w:color="auto" w:fill="FFFFFF"/>
        <w:spacing w:after="300" w:line="384" w:lineRule="atLeast"/>
        <w:jc w:val="both"/>
        <w:rPr>
          <w:color w:val="222222"/>
        </w:rPr>
      </w:pPr>
      <w:r>
        <w:t xml:space="preserve">BALAGUER CALLEJÓN, F.: “Redes sociales, compañías tecnológicas y democracia”, Revista de Derecho Constitucional Europeo, n. 32, 2019. Accesible en: </w:t>
      </w:r>
      <w:r w:rsidRPr="0016088C">
        <w:t xml:space="preserve"> https://www.ugr.es/~redce/REDCE32/articulos/04_F_BALAGUER.htm</w:t>
      </w:r>
    </w:p>
    <w:p w:rsidR="00286CD4" w:rsidRDefault="00286CD4" w:rsidP="003A1CFE">
      <w:pPr>
        <w:pStyle w:val="NormalWeb"/>
        <w:shd w:val="clear" w:color="auto" w:fill="FFFFFF"/>
        <w:spacing w:after="300" w:line="384" w:lineRule="atLeast"/>
        <w:jc w:val="both"/>
      </w:pPr>
      <w:r w:rsidRPr="00DF2607">
        <w:t xml:space="preserve">BILBAO UBILLOS, J.M.: «Ponente», en </w:t>
      </w:r>
      <w:r w:rsidRPr="00286CD4">
        <w:rPr>
          <w:i/>
        </w:rPr>
        <w:t>40 años de Constitución: una mirada al futuro</w:t>
      </w:r>
      <w:r>
        <w:t>,</w:t>
      </w:r>
      <w:r w:rsidRPr="00DF2607">
        <w:t xml:space="preserve"> </w:t>
      </w:r>
      <w:r w:rsidRPr="00286CD4">
        <w:rPr>
          <w:i/>
        </w:rPr>
        <w:t>Actas del XVI Congreso de la Asociación de Constitucionalistas de España</w:t>
      </w:r>
      <w:r>
        <w:t xml:space="preserve">, en </w:t>
      </w:r>
      <w:r w:rsidRPr="00DF2607">
        <w:t>RODRÍGUEZ, A. (Coord.) /, Tirant lo Blanch, Valencia, 2019, p</w:t>
      </w:r>
      <w:r>
        <w:t>p. 65-112.</w:t>
      </w:r>
    </w:p>
    <w:p w:rsidR="003D3D30" w:rsidRDefault="003D3D30" w:rsidP="003A1CFE">
      <w:pPr>
        <w:pStyle w:val="NormalWeb"/>
        <w:shd w:val="clear" w:color="auto" w:fill="FFFFFF"/>
        <w:spacing w:after="300" w:line="384" w:lineRule="atLeast"/>
        <w:jc w:val="both"/>
        <w:rPr>
          <w:color w:val="222222"/>
        </w:rPr>
      </w:pPr>
      <w:r>
        <w:t>GIRÓN REGUERA, E.: “</w:t>
      </w:r>
      <w:r w:rsidRPr="003D3D30">
        <w:t>La regulación jurídica de la inteligencia artificial como garantía de los</w:t>
      </w:r>
      <w:r>
        <w:t xml:space="preserve"> </w:t>
      </w:r>
      <w:r w:rsidRPr="003D3D30">
        <w:t>derechos: su protección en la futura Ley Europea de Inteligencia Artificial</w:t>
      </w:r>
      <w:r>
        <w:t>”, ponencia al IV Congreso internacional de la Red Iberoamericana de Estudios Jurídicos 1812, Universidad de Mendoza, 2023.</w:t>
      </w:r>
    </w:p>
    <w:p w:rsidR="00C3321D" w:rsidRPr="00C3321D" w:rsidRDefault="00C3321D" w:rsidP="00C3321D">
      <w:pPr>
        <w:pStyle w:val="NormalWeb"/>
        <w:shd w:val="clear" w:color="auto" w:fill="FFFFFF"/>
        <w:spacing w:after="300" w:line="384" w:lineRule="atLeast"/>
        <w:jc w:val="both"/>
        <w:rPr>
          <w:color w:val="222222"/>
          <w:lang w:val="es-ES_tradnl"/>
        </w:rPr>
      </w:pPr>
      <w:r w:rsidRPr="00C3321D">
        <w:rPr>
          <w:color w:val="222222"/>
          <w:lang w:val="es-ES_tradnl"/>
        </w:rPr>
        <w:t xml:space="preserve">KAHNEMAN, D., SIBONY O., &amp; SUNSTEIN C.: </w:t>
      </w:r>
      <w:r w:rsidRPr="00C3321D">
        <w:rPr>
          <w:i/>
          <w:color w:val="222222"/>
          <w:lang w:val="es-ES_tradnl"/>
        </w:rPr>
        <w:t>Ruido: Un fallo en el juicio humano</w:t>
      </w:r>
      <w:r w:rsidRPr="00C3321D">
        <w:rPr>
          <w:color w:val="222222"/>
          <w:lang w:val="es-ES_tradnl"/>
        </w:rPr>
        <w:t>, Penguin Random House, Santiago de Chile, 2021.</w:t>
      </w:r>
    </w:p>
    <w:p w:rsidR="001A2CC3" w:rsidRDefault="001A2CC3" w:rsidP="003A1CFE">
      <w:pPr>
        <w:pStyle w:val="NormalWeb"/>
        <w:shd w:val="clear" w:color="auto" w:fill="FFFFFF"/>
        <w:spacing w:after="300" w:line="384" w:lineRule="atLeast"/>
        <w:jc w:val="both"/>
        <w:rPr>
          <w:color w:val="222222"/>
          <w:lang w:val="es-ES_tradnl"/>
        </w:rPr>
      </w:pPr>
      <w:r>
        <w:rPr>
          <w:color w:val="222222"/>
          <w:lang w:val="es-ES_tradnl"/>
        </w:rPr>
        <w:t xml:space="preserve">LÓPEZ ULLA, J.M.: </w:t>
      </w:r>
      <w:r w:rsidRPr="001A2CC3">
        <w:rPr>
          <w:color w:val="222222"/>
          <w:lang w:val="es-ES_tradnl"/>
        </w:rPr>
        <w:t xml:space="preserve">“La libertad de expresión y el derecho de rectificación en la Ley Orgánica 3/2018 de Protección de Datos Personales y garantía de los derechos digitales (Comentario al art. 85 LOPDGDD)”, en la obra colectiva dirigida por TRONCOSO REIGADA, Antonio, </w:t>
      </w:r>
      <w:r w:rsidRPr="001A2CC3">
        <w:rPr>
          <w:i/>
          <w:color w:val="222222"/>
          <w:lang w:val="es-ES_tradnl"/>
        </w:rPr>
        <w:t>Comentarios al Reglamento General de Protección de Datos y a Ley Orgánica de Protección de Datos Personales y garantía de los derechos digitales</w:t>
      </w:r>
      <w:r w:rsidRPr="001A2CC3">
        <w:rPr>
          <w:color w:val="222222"/>
          <w:lang w:val="es-ES_tradnl"/>
        </w:rPr>
        <w:t>, Tomo I, Civitas&amp;Thomson Reuters, Madrid, 2020</w:t>
      </w:r>
      <w:r>
        <w:rPr>
          <w:color w:val="222222"/>
          <w:lang w:val="es-ES_tradnl"/>
        </w:rPr>
        <w:t>.</w:t>
      </w:r>
    </w:p>
    <w:p w:rsidR="001A2CC3" w:rsidRDefault="001A2CC3" w:rsidP="003A1CFE">
      <w:pPr>
        <w:pStyle w:val="NormalWeb"/>
        <w:shd w:val="clear" w:color="auto" w:fill="FFFFFF"/>
        <w:spacing w:after="300" w:line="384" w:lineRule="atLeast"/>
        <w:jc w:val="both"/>
        <w:rPr>
          <w:color w:val="222222"/>
          <w:lang w:val="es-ES_tradnl"/>
        </w:rPr>
      </w:pPr>
      <w:r w:rsidRPr="001A2CC3">
        <w:rPr>
          <w:color w:val="222222"/>
          <w:lang w:val="es-ES_tradnl"/>
        </w:rPr>
        <w:t>LÓPEZ ULLA, J.M.:</w:t>
      </w:r>
      <w:r>
        <w:rPr>
          <w:color w:val="222222"/>
          <w:lang w:val="es-ES_tradnl"/>
        </w:rPr>
        <w:t xml:space="preserve"> </w:t>
      </w:r>
      <w:r w:rsidRPr="001A2CC3">
        <w:rPr>
          <w:color w:val="222222"/>
          <w:lang w:val="es-ES_tradnl"/>
        </w:rPr>
        <w:t xml:space="preserve">“El acceso a los datos relativos a la salud: criterios aplicables de acuerdo con la ley de transparencia y a la luz de la jurisprudencia del Tribunal Europeo de Derechos Humanos”, </w:t>
      </w:r>
      <w:r w:rsidRPr="001A2CC3">
        <w:rPr>
          <w:i/>
          <w:color w:val="222222"/>
          <w:lang w:val="es-ES_tradnl"/>
        </w:rPr>
        <w:t>Papeles el tiempo de los derechos</w:t>
      </w:r>
      <w:r w:rsidRPr="001A2CC3">
        <w:rPr>
          <w:color w:val="222222"/>
          <w:lang w:val="es-ES_tradnl"/>
        </w:rPr>
        <w:t>, núm. 12, 2018, pp. 1-21</w:t>
      </w:r>
      <w:r>
        <w:rPr>
          <w:color w:val="222222"/>
          <w:lang w:val="es-ES_tradnl"/>
        </w:rPr>
        <w:t>.</w:t>
      </w:r>
    </w:p>
    <w:p w:rsidR="001A2CC3" w:rsidRDefault="001A2CC3" w:rsidP="003A1CFE">
      <w:pPr>
        <w:pStyle w:val="NormalWeb"/>
        <w:shd w:val="clear" w:color="auto" w:fill="FFFFFF"/>
        <w:spacing w:after="300" w:line="384" w:lineRule="atLeast"/>
        <w:jc w:val="both"/>
        <w:rPr>
          <w:color w:val="222222"/>
          <w:lang w:val="es-ES_tradnl"/>
        </w:rPr>
      </w:pPr>
      <w:r w:rsidRPr="001A2CC3">
        <w:rPr>
          <w:color w:val="222222"/>
          <w:lang w:val="es-ES_tradnl"/>
        </w:rPr>
        <w:lastRenderedPageBreak/>
        <w:t xml:space="preserve">LÓPEZ ULLA, J.M.: “La protección de datos relativos a la salud frente a las nuevas tecnologías”, </w:t>
      </w:r>
      <w:r w:rsidRPr="001A2CC3">
        <w:rPr>
          <w:i/>
          <w:color w:val="222222"/>
          <w:lang w:val="es-ES_tradnl"/>
        </w:rPr>
        <w:t>Giustizia e Costituzione agli albori del XXI Secolo</w:t>
      </w:r>
      <w:r w:rsidRPr="001A2CC3">
        <w:rPr>
          <w:color w:val="222222"/>
          <w:lang w:val="es-ES_tradnl"/>
        </w:rPr>
        <w:t>, a cura di Luca Mezzetti e Elena Ferioli, Bonomo Editore, 2017, pp. 1323 a 1338</w:t>
      </w:r>
      <w:r>
        <w:rPr>
          <w:color w:val="222222"/>
          <w:lang w:val="es-ES_tradnl"/>
        </w:rPr>
        <w:t>.</w:t>
      </w:r>
    </w:p>
    <w:p w:rsidR="001A2CC3" w:rsidRDefault="001A2CC3" w:rsidP="003A1CFE">
      <w:pPr>
        <w:pStyle w:val="NormalWeb"/>
        <w:shd w:val="clear" w:color="auto" w:fill="FFFFFF"/>
        <w:spacing w:after="300" w:line="384" w:lineRule="atLeast"/>
        <w:jc w:val="both"/>
        <w:rPr>
          <w:color w:val="222222"/>
        </w:rPr>
      </w:pPr>
      <w:r w:rsidRPr="001A2CC3">
        <w:rPr>
          <w:color w:val="222222"/>
          <w:lang w:val="es-ES_tradnl"/>
        </w:rPr>
        <w:t xml:space="preserve">LÓPEZ ULLA, J.M.: </w:t>
      </w:r>
      <w:r w:rsidRPr="001A2CC3">
        <w:rPr>
          <w:color w:val="222222"/>
        </w:rPr>
        <w:t xml:space="preserve">“El derecho de acceso a información pública que contenga datos personales: en particular, los datos relativos a la salud”, en la obra coordinada por Troncoso Reigada, Antonio, </w:t>
      </w:r>
      <w:r w:rsidRPr="001A2CC3">
        <w:rPr>
          <w:i/>
          <w:iCs/>
          <w:color w:val="222222"/>
        </w:rPr>
        <w:t>Comentarios a la Ley de Transparencia, Acceso a la Información Pública y Buen Gobierno</w:t>
      </w:r>
      <w:r w:rsidRPr="001A2CC3">
        <w:rPr>
          <w:iCs/>
          <w:color w:val="222222"/>
        </w:rPr>
        <w:t>,</w:t>
      </w:r>
      <w:r w:rsidRPr="001A2CC3">
        <w:rPr>
          <w:color w:val="222222"/>
        </w:rPr>
        <w:t xml:space="preserve"> Civitas-Thomson Reuters, 2017, pp. 1079-1112</w:t>
      </w:r>
      <w:r>
        <w:rPr>
          <w:color w:val="222222"/>
        </w:rPr>
        <w:t>.</w:t>
      </w:r>
    </w:p>
    <w:p w:rsidR="001A2CC3" w:rsidRDefault="001A2CC3" w:rsidP="003A1CFE">
      <w:pPr>
        <w:pStyle w:val="NormalWeb"/>
        <w:shd w:val="clear" w:color="auto" w:fill="FFFFFF"/>
        <w:spacing w:after="300" w:line="384" w:lineRule="atLeast"/>
        <w:jc w:val="both"/>
        <w:rPr>
          <w:color w:val="222222"/>
          <w:lang w:val="es-ES_tradnl"/>
        </w:rPr>
      </w:pPr>
      <w:r w:rsidRPr="001A2CC3">
        <w:rPr>
          <w:color w:val="222222"/>
          <w:lang w:val="es-ES_tradnl"/>
        </w:rPr>
        <w:t xml:space="preserve">LÓPEZ ULLA, J.M.: “Alcance del reconocimiento autonómico del derecho a la protección de datos de carácter personal”, </w:t>
      </w:r>
      <w:r w:rsidRPr="001A2CC3">
        <w:rPr>
          <w:i/>
          <w:color w:val="222222"/>
          <w:lang w:val="es-ES_tradnl"/>
        </w:rPr>
        <w:t xml:space="preserve">La ciencia del Derecho Constitucional Comparado. Homenaje a Lucio Pegoraro, </w:t>
      </w:r>
      <w:r w:rsidRPr="001A2CC3">
        <w:rPr>
          <w:color w:val="222222"/>
          <w:lang w:val="es-ES_tradnl"/>
        </w:rPr>
        <w:t>Tirant lo Blanch, Ciudad de México, 2017, pp. 925 a 961</w:t>
      </w:r>
      <w:r>
        <w:rPr>
          <w:color w:val="222222"/>
          <w:lang w:val="es-ES_tradnl"/>
        </w:rPr>
        <w:t>.</w:t>
      </w:r>
    </w:p>
    <w:p w:rsidR="001A2CC3" w:rsidRDefault="001A2CC3" w:rsidP="003A1CFE">
      <w:pPr>
        <w:pStyle w:val="NormalWeb"/>
        <w:shd w:val="clear" w:color="auto" w:fill="FFFFFF"/>
        <w:spacing w:after="300" w:line="384" w:lineRule="atLeast"/>
        <w:jc w:val="both"/>
        <w:rPr>
          <w:color w:val="222222"/>
          <w:lang w:val="es-ES_tradnl"/>
        </w:rPr>
      </w:pPr>
      <w:r w:rsidRPr="001A2CC3">
        <w:rPr>
          <w:color w:val="222222"/>
          <w:lang w:val="es-ES_tradnl"/>
        </w:rPr>
        <w:t>LÓPEZ ULLA, J.M.:</w:t>
      </w:r>
      <w:r>
        <w:rPr>
          <w:color w:val="222222"/>
          <w:lang w:val="es-ES_tradnl"/>
        </w:rPr>
        <w:t xml:space="preserve"> </w:t>
      </w:r>
      <w:r w:rsidRPr="001A2CC3">
        <w:rPr>
          <w:color w:val="222222"/>
          <w:lang w:val="es-ES_tradnl"/>
        </w:rPr>
        <w:t xml:space="preserve">“Comentario al artículo 32 del Estatuto de Autonomía para Andalucía: Protección de datos”, en CRUZ VILLALÓN / MEDINA GUERRERO, </w:t>
      </w:r>
      <w:r w:rsidRPr="001A2CC3">
        <w:rPr>
          <w:i/>
          <w:color w:val="222222"/>
          <w:lang w:val="es-ES_tradnl"/>
        </w:rPr>
        <w:t xml:space="preserve">Comentarios. Estatuto de Autonomía para Andalucía, </w:t>
      </w:r>
      <w:r w:rsidRPr="001A2CC3">
        <w:rPr>
          <w:color w:val="222222"/>
          <w:lang w:val="es-ES_tradnl"/>
        </w:rPr>
        <w:t>Parlamento de Andalucía, vol. I, 2012, pp. 516 a 526</w:t>
      </w:r>
      <w:r>
        <w:rPr>
          <w:color w:val="222222"/>
          <w:lang w:val="es-ES_tradnl"/>
        </w:rPr>
        <w:t>.</w:t>
      </w:r>
    </w:p>
    <w:p w:rsidR="001A2CC3" w:rsidRDefault="001A2CC3" w:rsidP="003A1CFE">
      <w:pPr>
        <w:pStyle w:val="NormalWeb"/>
        <w:shd w:val="clear" w:color="auto" w:fill="FFFFFF"/>
        <w:spacing w:after="300" w:line="384" w:lineRule="atLeast"/>
        <w:jc w:val="both"/>
        <w:rPr>
          <w:color w:val="222222"/>
          <w:lang w:val="es-ES_tradnl"/>
        </w:rPr>
      </w:pPr>
      <w:r w:rsidRPr="001A2CC3">
        <w:rPr>
          <w:color w:val="222222"/>
          <w:lang w:val="es-ES_tradnl"/>
        </w:rPr>
        <w:t>LÓPEZ ULLA, J.M.:</w:t>
      </w:r>
      <w:r>
        <w:rPr>
          <w:color w:val="222222"/>
          <w:lang w:val="es-ES_tradnl"/>
        </w:rPr>
        <w:t xml:space="preserve"> </w:t>
      </w:r>
      <w:r w:rsidRPr="001A2CC3">
        <w:rPr>
          <w:color w:val="222222"/>
          <w:lang w:val="es-ES_tradnl"/>
        </w:rPr>
        <w:t xml:space="preserve">“Comentario al artículo 82 del Estatuto de Autonomía para Andalucía: Protección de datos”, en CRUZ VILLALÓN / MEDINA GUERRERO, </w:t>
      </w:r>
      <w:r w:rsidRPr="001A2CC3">
        <w:rPr>
          <w:i/>
          <w:color w:val="222222"/>
          <w:lang w:val="es-ES_tradnl"/>
        </w:rPr>
        <w:t xml:space="preserve">Comentarios. Estatuto de Autonomía para Andalucía, </w:t>
      </w:r>
      <w:r w:rsidRPr="001A2CC3">
        <w:rPr>
          <w:color w:val="222222"/>
          <w:lang w:val="es-ES_tradnl"/>
        </w:rPr>
        <w:t>Parlamento de Andalucía, vol. II, 2012, pp. 1349 a 1359</w:t>
      </w:r>
      <w:r>
        <w:rPr>
          <w:color w:val="222222"/>
          <w:lang w:val="es-ES_tradnl"/>
        </w:rPr>
        <w:t>.</w:t>
      </w:r>
    </w:p>
    <w:p w:rsidR="001A2CC3" w:rsidRDefault="001A2CC3" w:rsidP="003A1CFE">
      <w:pPr>
        <w:pStyle w:val="NormalWeb"/>
        <w:shd w:val="clear" w:color="auto" w:fill="FFFFFF"/>
        <w:spacing w:after="300" w:line="384" w:lineRule="atLeast"/>
        <w:jc w:val="both"/>
        <w:rPr>
          <w:color w:val="222222"/>
        </w:rPr>
      </w:pPr>
      <w:r w:rsidRPr="001A2CC3">
        <w:rPr>
          <w:color w:val="222222"/>
          <w:lang w:val="es-ES_tradnl"/>
        </w:rPr>
        <w:t xml:space="preserve">LÓPEZ ULLA, J.M.: </w:t>
      </w:r>
      <w:r w:rsidRPr="001A2CC3">
        <w:rPr>
          <w:color w:val="222222"/>
        </w:rPr>
        <w:t xml:space="preserve">“El consentimiento del afectado en el tratamiento de datos relativos a la salud”. Comentario a los artículos 7.6 y 8, en la obra colectiva </w:t>
      </w:r>
      <w:r w:rsidRPr="001A2CC3">
        <w:rPr>
          <w:i/>
          <w:color w:val="222222"/>
        </w:rPr>
        <w:t>Comentario a la Ley Orgánica de Protección de Datos de Carácter Personal</w:t>
      </w:r>
      <w:r w:rsidRPr="001A2CC3">
        <w:rPr>
          <w:color w:val="222222"/>
        </w:rPr>
        <w:t>, Editorial Civitas&amp;Thomson Reuters, Pamplona, 2010, pp. 663 a 667.</w:t>
      </w:r>
    </w:p>
    <w:p w:rsidR="003A1CFE" w:rsidRPr="003A1CFE" w:rsidRDefault="003A1CFE" w:rsidP="003A1CFE">
      <w:pPr>
        <w:pStyle w:val="NormalWeb"/>
        <w:shd w:val="clear" w:color="auto" w:fill="FFFFFF"/>
        <w:spacing w:after="300" w:line="384" w:lineRule="atLeast"/>
        <w:jc w:val="both"/>
        <w:rPr>
          <w:color w:val="222222"/>
        </w:rPr>
      </w:pPr>
      <w:r w:rsidRPr="003A1CFE">
        <w:rPr>
          <w:color w:val="222222"/>
        </w:rPr>
        <w:t>MEDINA GUERRERO, M. “El derecho a conocer los algoritmos utilizados en la</w:t>
      </w:r>
      <w:r>
        <w:rPr>
          <w:color w:val="222222"/>
        </w:rPr>
        <w:t xml:space="preserve"> </w:t>
      </w:r>
      <w:r w:rsidRPr="003A1CFE">
        <w:rPr>
          <w:color w:val="222222"/>
        </w:rPr>
        <w:t>toma de decisiones. Aproximación desde la perspectiva del derecho</w:t>
      </w:r>
      <w:r>
        <w:rPr>
          <w:color w:val="222222"/>
        </w:rPr>
        <w:t xml:space="preserve"> </w:t>
      </w:r>
      <w:r w:rsidRPr="003A1CFE">
        <w:rPr>
          <w:color w:val="222222"/>
        </w:rPr>
        <w:t xml:space="preserve">fundamental a la protección de datos personales”. </w:t>
      </w:r>
      <w:r w:rsidRPr="003E36E8">
        <w:rPr>
          <w:i/>
          <w:color w:val="222222"/>
        </w:rPr>
        <w:t>Teoría y realidad constitucional</w:t>
      </w:r>
      <w:r w:rsidRPr="003A1CFE">
        <w:rPr>
          <w:color w:val="222222"/>
        </w:rPr>
        <w:t>, núm. 49 (2022), pp. 141-171.</w:t>
      </w:r>
    </w:p>
    <w:p w:rsidR="003A1CFE" w:rsidRDefault="003A1CFE" w:rsidP="003A1CFE">
      <w:pPr>
        <w:pStyle w:val="NormalWeb"/>
        <w:shd w:val="clear" w:color="auto" w:fill="FFFFFF"/>
        <w:spacing w:after="300" w:line="384" w:lineRule="atLeast"/>
        <w:jc w:val="both"/>
        <w:rPr>
          <w:color w:val="222222"/>
        </w:rPr>
      </w:pPr>
      <w:r w:rsidRPr="003A1CFE">
        <w:rPr>
          <w:color w:val="222222"/>
        </w:rPr>
        <w:t>PRESNO LINERA, M. A., “Teoría general de los derechos fundamentales e inteligencia artificial: una</w:t>
      </w:r>
      <w:r>
        <w:rPr>
          <w:color w:val="222222"/>
        </w:rPr>
        <w:t xml:space="preserve"> </w:t>
      </w:r>
      <w:r w:rsidRPr="003A1CFE">
        <w:rPr>
          <w:color w:val="222222"/>
        </w:rPr>
        <w:t>aproximación”, Revista Jurídica de Asturias, núm. 45 (2022), pp. 55-83.</w:t>
      </w:r>
    </w:p>
    <w:p w:rsidR="005822D2" w:rsidRPr="005822D2" w:rsidRDefault="005822D2" w:rsidP="005822D2">
      <w:pPr>
        <w:pStyle w:val="NormalWeb"/>
        <w:shd w:val="clear" w:color="auto" w:fill="FFFFFF"/>
        <w:spacing w:after="300" w:afterAutospacing="0" w:line="384" w:lineRule="atLeast"/>
        <w:jc w:val="both"/>
        <w:rPr>
          <w:color w:val="222222"/>
        </w:rPr>
      </w:pPr>
      <w:r w:rsidRPr="005822D2">
        <w:rPr>
          <w:color w:val="222222"/>
        </w:rPr>
        <w:lastRenderedPageBreak/>
        <w:t xml:space="preserve">RODOTÀ, S.: “Democracia y protección de datos”, </w:t>
      </w:r>
      <w:r w:rsidRPr="005822D2">
        <w:rPr>
          <w:i/>
          <w:iCs/>
          <w:color w:val="222222"/>
        </w:rPr>
        <w:t>Cuadernos de Derecho Público</w:t>
      </w:r>
      <w:r w:rsidRPr="005822D2">
        <w:rPr>
          <w:color w:val="222222"/>
        </w:rPr>
        <w:t>, núm. 19-20, 2003, pp. 15-26.</w:t>
      </w:r>
    </w:p>
    <w:p w:rsidR="00707D2B" w:rsidRDefault="00707D2B" w:rsidP="005B4956">
      <w:pPr>
        <w:pStyle w:val="NormalWeb"/>
        <w:shd w:val="clear" w:color="auto" w:fill="FFFFFF"/>
        <w:spacing w:after="300" w:afterAutospacing="0" w:line="384" w:lineRule="atLeast"/>
        <w:jc w:val="both"/>
        <w:rPr>
          <w:color w:val="222222"/>
        </w:rPr>
      </w:pPr>
      <w:r>
        <w:rPr>
          <w:color w:val="222222"/>
        </w:rPr>
        <w:t>SÁNCHEZ BARRILAO, J. F.: “El derecho constitucional ante la era de ultrón: la informática y la inteligencia artificial como objeto constitucional”, Estudios de Deusto, Vol. 64/2, 2016, p</w:t>
      </w:r>
      <w:r w:rsidR="00850469">
        <w:rPr>
          <w:color w:val="222222"/>
        </w:rPr>
        <w:t>p. 225-258.</w:t>
      </w:r>
    </w:p>
    <w:p w:rsidR="00C72578" w:rsidRDefault="00C72578" w:rsidP="005B4956">
      <w:pPr>
        <w:pStyle w:val="NormalWeb"/>
        <w:shd w:val="clear" w:color="auto" w:fill="FFFFFF"/>
        <w:spacing w:after="300" w:afterAutospacing="0" w:line="384" w:lineRule="atLeast"/>
        <w:jc w:val="both"/>
        <w:rPr>
          <w:color w:val="222222"/>
        </w:rPr>
      </w:pPr>
      <w:r>
        <w:rPr>
          <w:rFonts w:eastAsia="Calibri"/>
          <w:color w:val="000000"/>
        </w:rPr>
        <w:t>SERRA CRISTOBAL, R.: “N</w:t>
      </w:r>
      <w:r w:rsidRPr="00C72578">
        <w:rPr>
          <w:rFonts w:eastAsia="Calibri"/>
          <w:color w:val="000000"/>
        </w:rPr>
        <w:t>oticias falsas (fakes news) y derecho a recibir información veraz. dónde se fundamenta la posibilidad de controlar la desinformación y cómo hacerlo</w:t>
      </w:r>
      <w:r>
        <w:rPr>
          <w:rFonts w:eastAsia="Calibri"/>
          <w:color w:val="000000"/>
        </w:rPr>
        <w:t xml:space="preserve">”, </w:t>
      </w:r>
      <w:r w:rsidRPr="00C72578">
        <w:rPr>
          <w:rFonts w:eastAsia="Calibri"/>
          <w:i/>
          <w:color w:val="000000"/>
        </w:rPr>
        <w:t>Revista de Derecho Político</w:t>
      </w:r>
      <w:r>
        <w:rPr>
          <w:rFonts w:eastAsia="Calibri"/>
          <w:color w:val="000000"/>
        </w:rPr>
        <w:t>, núm. 116, 20223, pp. 13-46.</w:t>
      </w:r>
    </w:p>
    <w:p w:rsidR="002F2DCD" w:rsidRPr="00307C5D" w:rsidRDefault="002F2DCD" w:rsidP="002F2DCD">
      <w:pPr>
        <w:pStyle w:val="NormalWeb"/>
        <w:shd w:val="clear" w:color="auto" w:fill="FFFFFF"/>
        <w:spacing w:after="300" w:afterAutospacing="0" w:line="384" w:lineRule="atLeast"/>
        <w:jc w:val="both"/>
        <w:rPr>
          <w:color w:val="222222"/>
          <w:lang w:val="en-US"/>
        </w:rPr>
      </w:pPr>
      <w:r w:rsidRPr="00DF2607">
        <w:rPr>
          <w:lang w:val="en-US"/>
        </w:rPr>
        <w:t xml:space="preserve">SCHWARTZ, P.M.: «Privacy and Democracy in Cyberspace», </w:t>
      </w:r>
      <w:r w:rsidRPr="00DF2607">
        <w:rPr>
          <w:i/>
          <w:iCs/>
          <w:lang w:val="en-US"/>
        </w:rPr>
        <w:t>Vanderbilt Law Review</w:t>
      </w:r>
      <w:r w:rsidRPr="00DF2607">
        <w:rPr>
          <w:lang w:val="en-US"/>
        </w:rPr>
        <w:t>,</w:t>
      </w:r>
      <w:r>
        <w:rPr>
          <w:lang w:val="en-US"/>
        </w:rPr>
        <w:t xml:space="preserve"> Vol. 52, 2019, pp. 1610-1701.</w:t>
      </w:r>
    </w:p>
    <w:p w:rsidR="00E7569E" w:rsidRDefault="00E7569E" w:rsidP="005B4956">
      <w:pPr>
        <w:pStyle w:val="NormalWeb"/>
        <w:shd w:val="clear" w:color="auto" w:fill="FFFFFF"/>
        <w:spacing w:after="300" w:afterAutospacing="0" w:line="384" w:lineRule="atLeast"/>
        <w:jc w:val="both"/>
      </w:pPr>
      <w:r w:rsidRPr="00E7569E">
        <w:rPr>
          <w:color w:val="222222"/>
        </w:rPr>
        <w:t>TRONCOSO REIGADA, A.:</w:t>
      </w:r>
      <w:r w:rsidRPr="00E7569E">
        <w:rPr>
          <w:rFonts w:eastAsiaTheme="minorHAnsi"/>
          <w:sz w:val="22"/>
          <w:szCs w:val="22"/>
          <w:lang w:eastAsia="en-US"/>
        </w:rPr>
        <w:t xml:space="preserve"> </w:t>
      </w:r>
      <w:r w:rsidR="00B400F7">
        <w:t>“</w:t>
      </w:r>
      <w:r>
        <w:t>Presentación</w:t>
      </w:r>
      <w:r w:rsidR="00B400F7">
        <w:t>”</w:t>
      </w:r>
      <w:r>
        <w:t xml:space="preserve">, </w:t>
      </w:r>
      <w:r w:rsidR="00B400F7" w:rsidRPr="00B400F7">
        <w:t>en TRONCOSO REIGADA, A. (Dir.)</w:t>
      </w:r>
      <w:r w:rsidR="00B400F7">
        <w:t xml:space="preserve">. </w:t>
      </w:r>
      <w:r w:rsidR="00B400F7" w:rsidRPr="00B400F7">
        <w:rPr>
          <w:i/>
        </w:rPr>
        <w:t>Comentario a la Ley Orgánica de Protección de Datos de Carácter Personal</w:t>
      </w:r>
      <w:r w:rsidR="00B400F7" w:rsidRPr="00B400F7">
        <w:t>, Civitas, Madrid, 2010,</w:t>
      </w:r>
      <w:r w:rsidR="00A763E9">
        <w:t xml:space="preserve"> pp. 71- 74.</w:t>
      </w:r>
    </w:p>
    <w:p w:rsidR="00E7569E" w:rsidRDefault="00B400F7" w:rsidP="005B4956">
      <w:pPr>
        <w:pStyle w:val="NormalWeb"/>
        <w:shd w:val="clear" w:color="auto" w:fill="FFFFFF"/>
        <w:spacing w:after="300" w:afterAutospacing="0" w:line="384" w:lineRule="atLeast"/>
        <w:jc w:val="both"/>
      </w:pPr>
      <w:r w:rsidRPr="00DF2607">
        <w:t xml:space="preserve">TRONCOSO REIGADA, A.: </w:t>
      </w:r>
      <w:r>
        <w:t>“</w:t>
      </w:r>
      <w:r w:rsidRPr="00B400F7">
        <w:t>El pr</w:t>
      </w:r>
      <w:r>
        <w:t>incipio de calidad de los datos”</w:t>
      </w:r>
      <w:r w:rsidRPr="00B400F7">
        <w:t>, en TRONCOSO REIGADA, A. (Dir.)</w:t>
      </w:r>
      <w:r>
        <w:t xml:space="preserve">. </w:t>
      </w:r>
      <w:r w:rsidRPr="00B400F7">
        <w:rPr>
          <w:i/>
        </w:rPr>
        <w:t>Comentario a la Ley Orgánica de Protección de Datos de Carácter Personal</w:t>
      </w:r>
      <w:r w:rsidRPr="00B400F7">
        <w:t xml:space="preserve">, Civitas, Madrid, 2010, </w:t>
      </w:r>
      <w:r w:rsidR="00E7569E">
        <w:t>pp. 340-394.</w:t>
      </w:r>
    </w:p>
    <w:p w:rsidR="00E7569E" w:rsidRDefault="00E7569E" w:rsidP="005B4956">
      <w:pPr>
        <w:pStyle w:val="NormalWeb"/>
        <w:shd w:val="clear" w:color="auto" w:fill="FFFFFF"/>
        <w:spacing w:after="300" w:afterAutospacing="0" w:line="384" w:lineRule="atLeast"/>
        <w:jc w:val="both"/>
      </w:pPr>
      <w:r w:rsidRPr="00E7569E">
        <w:rPr>
          <w:color w:val="222222"/>
        </w:rPr>
        <w:t>TRONCOSO REIGADA, A.:</w:t>
      </w:r>
      <w:r w:rsidRPr="00E7569E">
        <w:rPr>
          <w:rFonts w:eastAsiaTheme="minorHAnsi"/>
          <w:sz w:val="22"/>
          <w:szCs w:val="22"/>
          <w:lang w:eastAsia="en-US"/>
        </w:rPr>
        <w:t xml:space="preserve"> </w:t>
      </w:r>
      <w:r w:rsidRPr="00B400F7">
        <w:rPr>
          <w:i/>
        </w:rPr>
        <w:t>La Protección de Datos Personales. En busca del equilibrio</w:t>
      </w:r>
      <w:r>
        <w:t>, Tirant lo Blanch, Valencia, 2010.</w:t>
      </w:r>
    </w:p>
    <w:p w:rsidR="00E7569E" w:rsidRPr="00C30398" w:rsidRDefault="00E7569E" w:rsidP="005B4956">
      <w:pPr>
        <w:pStyle w:val="NormalWeb"/>
        <w:shd w:val="clear" w:color="auto" w:fill="FFFFFF"/>
        <w:spacing w:after="300" w:afterAutospacing="0" w:line="384" w:lineRule="atLeast"/>
        <w:jc w:val="both"/>
        <w:rPr>
          <w:color w:val="222222"/>
        </w:rPr>
      </w:pPr>
      <w:r w:rsidRPr="003777A5">
        <w:t xml:space="preserve">VILLALBA CANO, Laura, </w:t>
      </w:r>
      <w:r w:rsidRPr="003777A5">
        <w:rPr>
          <w:i/>
        </w:rPr>
        <w:t>El derecho fundamental a la protección de datos personales en el constitucionalismo multinivel europeo: su contenido esencial</w:t>
      </w:r>
      <w:r w:rsidRPr="003777A5">
        <w:t>, Universidad de Cádiz, 2022 (inédita ene l momento que escribimos estas líneas)</w:t>
      </w:r>
      <w:r>
        <w:t>.</w:t>
      </w:r>
    </w:p>
    <w:sectPr w:rsidR="00E7569E" w:rsidRPr="00C30398">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93F" w:rsidRDefault="00BD393F" w:rsidP="002D1269">
      <w:pPr>
        <w:spacing w:after="0" w:line="240" w:lineRule="auto"/>
      </w:pPr>
      <w:r>
        <w:separator/>
      </w:r>
    </w:p>
  </w:endnote>
  <w:endnote w:type="continuationSeparator" w:id="0">
    <w:p w:rsidR="00BD393F" w:rsidRDefault="00BD393F" w:rsidP="002D1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3289801"/>
      <w:docPartObj>
        <w:docPartGallery w:val="Page Numbers (Bottom of Page)"/>
        <w:docPartUnique/>
      </w:docPartObj>
    </w:sdtPr>
    <w:sdtContent>
      <w:p w:rsidR="00CC7F93" w:rsidRDefault="00CC7F93">
        <w:pPr>
          <w:pStyle w:val="Piedepgina"/>
          <w:jc w:val="center"/>
        </w:pPr>
        <w:r>
          <w:fldChar w:fldCharType="begin"/>
        </w:r>
        <w:r>
          <w:instrText>PAGE   \* MERGEFORMAT</w:instrText>
        </w:r>
        <w:r>
          <w:fldChar w:fldCharType="separate"/>
        </w:r>
        <w:r w:rsidR="005C37D3">
          <w:rPr>
            <w:noProof/>
          </w:rPr>
          <w:t>25</w:t>
        </w:r>
        <w:r>
          <w:fldChar w:fldCharType="end"/>
        </w:r>
      </w:p>
    </w:sdtContent>
  </w:sdt>
  <w:p w:rsidR="00CC7F93" w:rsidRDefault="00CC7F9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93F" w:rsidRDefault="00BD393F" w:rsidP="002D1269">
      <w:pPr>
        <w:spacing w:after="0" w:line="240" w:lineRule="auto"/>
      </w:pPr>
      <w:r>
        <w:separator/>
      </w:r>
    </w:p>
  </w:footnote>
  <w:footnote w:type="continuationSeparator" w:id="0">
    <w:p w:rsidR="00BD393F" w:rsidRDefault="00BD393F" w:rsidP="002D1269">
      <w:pPr>
        <w:spacing w:after="0" w:line="240" w:lineRule="auto"/>
      </w:pPr>
      <w:r>
        <w:continuationSeparator/>
      </w:r>
    </w:p>
  </w:footnote>
  <w:footnote w:id="1">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El artículo 22 del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w:t>
      </w:r>
      <w:r w:rsidRPr="006F01F2">
        <w:rPr>
          <w:rFonts w:ascii="Times New Roman" w:hAnsi="Times New Roman" w:cs="Times New Roman"/>
          <w:i/>
        </w:rPr>
        <w:t>Diario Oficial de la Unión Europea</w:t>
      </w:r>
      <w:r w:rsidRPr="00DF2607">
        <w:rPr>
          <w:rFonts w:ascii="Times New Roman" w:hAnsi="Times New Roman" w:cs="Times New Roman"/>
        </w:rPr>
        <w:t xml:space="preserve"> de 4 de may</w:t>
      </w:r>
      <w:r>
        <w:rPr>
          <w:rFonts w:ascii="Times New Roman" w:hAnsi="Times New Roman" w:cs="Times New Roman"/>
        </w:rPr>
        <w:t>o</w:t>
      </w:r>
      <w:r w:rsidRPr="00DF2607">
        <w:rPr>
          <w:rFonts w:ascii="Times New Roman" w:hAnsi="Times New Roman" w:cs="Times New Roman"/>
        </w:rPr>
        <w:t xml:space="preserve"> de 2016, L. 119/1</w:t>
      </w:r>
      <w:r>
        <w:rPr>
          <w:rFonts w:ascii="Times New Roman" w:hAnsi="Times New Roman" w:cs="Times New Roman"/>
        </w:rPr>
        <w:t>,</w:t>
      </w:r>
      <w:r w:rsidRPr="00DF2607">
        <w:rPr>
          <w:rFonts w:ascii="Times New Roman" w:hAnsi="Times New Roman" w:cs="Times New Roman"/>
        </w:rPr>
        <w:t xml:space="preserve"> prohíbe esta práctica en su párrafo primero,</w:t>
      </w:r>
      <w:r>
        <w:rPr>
          <w:rFonts w:ascii="Times New Roman" w:hAnsi="Times New Roman" w:cs="Times New Roman"/>
        </w:rPr>
        <w:t xml:space="preserve"> pero el párrafo segundo lo permite en una serie de casos</w:t>
      </w:r>
      <w:r w:rsidRPr="00DF2607">
        <w:rPr>
          <w:rFonts w:ascii="Times New Roman" w:hAnsi="Times New Roman" w:cs="Times New Roman"/>
        </w:rPr>
        <w:t>.</w:t>
      </w:r>
    </w:p>
  </w:footnote>
  <w:footnote w:id="2">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w:t>
      </w:r>
      <w:proofErr w:type="gramStart"/>
      <w:r w:rsidRPr="00DF2607">
        <w:rPr>
          <w:rFonts w:ascii="Times New Roman" w:hAnsi="Times New Roman" w:cs="Times New Roman"/>
        </w:rPr>
        <w:t>COM(</w:t>
      </w:r>
      <w:proofErr w:type="gramEnd"/>
      <w:r w:rsidRPr="00DF2607">
        <w:rPr>
          <w:rFonts w:ascii="Times New Roman" w:hAnsi="Times New Roman" w:cs="Times New Roman"/>
        </w:rPr>
        <w:t>2021) 206 final 2021/0106 (COD)</w:t>
      </w:r>
      <w:r>
        <w:rPr>
          <w:rFonts w:ascii="Times New Roman" w:hAnsi="Times New Roman" w:cs="Times New Roman"/>
        </w:rPr>
        <w:t>.</w:t>
      </w:r>
      <w:r w:rsidRPr="00DF2607">
        <w:rPr>
          <w:rFonts w:ascii="Times New Roman" w:hAnsi="Times New Roman" w:cs="Times New Roman"/>
        </w:rPr>
        <w:t xml:space="preserve"> Propuesta de Reglamento del Parlamento Europeo y del Consejo por el que se establecen normas armonizadas en materia de inteligencia artificial (ley de inteligencia artificial) y se modifican determinados actos legislativos de la unión, Bruselas, 21.4.2021. El 3 de noviembre de 2022, la Presidencia checa del Consejo de la Unión Europea presentó la versión final de tal Propuesta, que fue aprobada por unanimidad por los embajadores de la UE en el debate mantenido el 18 de noviembre de ese año en el Comité de Representantes Permanentes de los Gobiernos de los Estados miembros de la UE (“</w:t>
      </w:r>
      <w:r w:rsidRPr="00DF2607">
        <w:rPr>
          <w:rFonts w:ascii="Times New Roman" w:hAnsi="Times New Roman" w:cs="Times New Roman"/>
          <w:bCs/>
        </w:rPr>
        <w:t>COREPER</w:t>
      </w:r>
      <w:r w:rsidRPr="00DF2607">
        <w:rPr>
          <w:rFonts w:ascii="Times New Roman" w:hAnsi="Times New Roman" w:cs="Times New Roman"/>
        </w:rPr>
        <w:t>”).</w:t>
      </w:r>
    </w:p>
  </w:footnote>
  <w:footnote w:id="3">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Reglamento (UE) 2016/679 del Parlamento Europeo y del Consejo de 27 de abril de 2016</w:t>
      </w:r>
      <w:r>
        <w:rPr>
          <w:rFonts w:ascii="Times New Roman" w:hAnsi="Times New Roman" w:cs="Times New Roman"/>
        </w:rPr>
        <w:t>, cit.</w:t>
      </w:r>
    </w:p>
  </w:footnote>
  <w:footnote w:id="4">
    <w:p w:rsidR="00CC7F93" w:rsidRPr="00681CCE"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Concretamente se trata de la definición </w:t>
      </w:r>
      <w:r>
        <w:rPr>
          <w:rFonts w:ascii="Times New Roman" w:hAnsi="Times New Roman" w:cs="Times New Roman"/>
        </w:rPr>
        <w:t xml:space="preserve">que el art. 3.1 ofrece </w:t>
      </w:r>
      <w:r w:rsidRPr="00DF2607">
        <w:rPr>
          <w:rFonts w:ascii="Times New Roman" w:hAnsi="Times New Roman" w:cs="Times New Roman"/>
        </w:rPr>
        <w:t>del concept</w:t>
      </w:r>
      <w:r>
        <w:rPr>
          <w:rFonts w:ascii="Times New Roman" w:hAnsi="Times New Roman" w:cs="Times New Roman"/>
        </w:rPr>
        <w:t>o “sistema de inteligencia arti</w:t>
      </w:r>
      <w:r w:rsidRPr="00DF2607">
        <w:rPr>
          <w:rFonts w:ascii="Times New Roman" w:hAnsi="Times New Roman" w:cs="Times New Roman"/>
        </w:rPr>
        <w:t xml:space="preserve">ficial”. </w:t>
      </w:r>
      <w:r>
        <w:rPr>
          <w:rFonts w:ascii="Times New Roman" w:hAnsi="Times New Roman" w:cs="Times New Roman"/>
        </w:rPr>
        <w:t>El Anexo 1, al que se remite, se refiere a “e</w:t>
      </w:r>
      <w:r w:rsidRPr="00DF2607">
        <w:rPr>
          <w:rFonts w:ascii="Times New Roman" w:hAnsi="Times New Roman" w:cs="Times New Roman"/>
        </w:rPr>
        <w:t xml:space="preserve">strategias de aprendizaje automático, incluidos el aprendizaje supervisado, el no supervisado y el realizado por refuerzo, que emplean una amplia variedad de métodos, entre ellos el aprendizaje profundo. Estrategias basadas en la lógica y el conocimiento, especialmente la representación del conocimiento, la programación (lógica) inductiva, las bases de conocimiento, los motores de inferencia y deducción, los sistemas expertos y de </w:t>
      </w:r>
      <w:r w:rsidRPr="00681CCE">
        <w:rPr>
          <w:rFonts w:ascii="Times New Roman" w:hAnsi="Times New Roman" w:cs="Times New Roman"/>
        </w:rPr>
        <w:t xml:space="preserve">razonamiento (simbólico). Estrategias estadísticas, estimación bayesiana, métodos de búsqueda y optimización” (Doc. 21.4.2021 </w:t>
      </w:r>
      <w:proofErr w:type="gramStart"/>
      <w:r w:rsidRPr="00681CCE">
        <w:rPr>
          <w:rFonts w:ascii="Times New Roman" w:hAnsi="Times New Roman" w:cs="Times New Roman"/>
        </w:rPr>
        <w:t>COM(</w:t>
      </w:r>
      <w:proofErr w:type="gramEnd"/>
      <w:r w:rsidRPr="00681CCE">
        <w:rPr>
          <w:rFonts w:ascii="Times New Roman" w:hAnsi="Times New Roman" w:cs="Times New Roman"/>
        </w:rPr>
        <w:t>2021) 206 final, Anexos 1 a 9).</w:t>
      </w:r>
    </w:p>
  </w:footnote>
  <w:footnote w:id="5">
    <w:p w:rsidR="00CC7F93" w:rsidRPr="001A31BE" w:rsidRDefault="00CC7F93" w:rsidP="00B25435">
      <w:pPr>
        <w:spacing w:after="0" w:line="240" w:lineRule="auto"/>
        <w:jc w:val="both"/>
        <w:rPr>
          <w:rFonts w:ascii="Times New Roman" w:hAnsi="Times New Roman" w:cs="Times New Roman"/>
          <w:sz w:val="20"/>
          <w:szCs w:val="20"/>
        </w:rPr>
      </w:pPr>
      <w:r>
        <w:rPr>
          <w:rStyle w:val="Refdenotaalpie"/>
        </w:rPr>
        <w:footnoteRef/>
      </w:r>
      <w:r>
        <w:t xml:space="preserve"> </w:t>
      </w:r>
      <w:r w:rsidRPr="001A31BE">
        <w:rPr>
          <w:rFonts w:ascii="Times New Roman" w:hAnsi="Times New Roman" w:cs="Times New Roman"/>
          <w:sz w:val="20"/>
          <w:szCs w:val="20"/>
        </w:rPr>
        <w:t>Resolución del Parlamento Europeo, de 20 de enero de 2021, sobre inteligencia artificial: cuestiones de interpretación y de aplicación del Derecho internacional en la medida en que la UE se ve afectada en los ámbitos de los usos civil y militar, así como de la autoridad del Estado fuera del ámbito de la justicia penal (2020/2013(INI))</w:t>
      </w:r>
      <w:r>
        <w:rPr>
          <w:rFonts w:ascii="Times New Roman" w:hAnsi="Times New Roman" w:cs="Times New Roman"/>
          <w:sz w:val="20"/>
          <w:szCs w:val="20"/>
        </w:rPr>
        <w:t>, apartado 1.</w:t>
      </w:r>
    </w:p>
  </w:footnote>
  <w:footnote w:id="6">
    <w:p w:rsidR="00CC7F93" w:rsidRPr="00DF2607" w:rsidRDefault="00CC7F93" w:rsidP="00B25435">
      <w:pPr>
        <w:pStyle w:val="Textonotapie"/>
        <w:jc w:val="both"/>
        <w:rPr>
          <w:rFonts w:ascii="Times New Roman" w:hAnsi="Times New Roman" w:cs="Times New Roman"/>
        </w:rPr>
      </w:pPr>
      <w:r w:rsidRPr="00DF2607">
        <w:rPr>
          <w:vertAlign w:val="superscript"/>
        </w:rPr>
        <w:footnoteRef/>
      </w:r>
      <w:r w:rsidRPr="00DF2607">
        <w:rPr>
          <w:rFonts w:ascii="Times New Roman" w:hAnsi="Times New Roman" w:cs="Times New Roman"/>
        </w:rPr>
        <w:t xml:space="preserve"> MEDINA GUERRERO, M.</w:t>
      </w:r>
      <w:r>
        <w:rPr>
          <w:rFonts w:ascii="Times New Roman" w:hAnsi="Times New Roman" w:cs="Times New Roman"/>
        </w:rPr>
        <w:t>:</w:t>
      </w:r>
      <w:r w:rsidRPr="00DF2607">
        <w:rPr>
          <w:rFonts w:ascii="Times New Roman" w:hAnsi="Times New Roman" w:cs="Times New Roman"/>
        </w:rPr>
        <w:t xml:space="preserve"> “El derecho a conocer los algoritmos utilizados en la toma de decisiones. Aproximación desde la perspectiva del derecho fundamental a la protección de datos personale</w:t>
      </w:r>
      <w:r>
        <w:rPr>
          <w:rFonts w:ascii="Times New Roman" w:hAnsi="Times New Roman" w:cs="Times New Roman"/>
        </w:rPr>
        <w:t>s”,</w:t>
      </w:r>
      <w:r w:rsidRPr="00DF2607">
        <w:rPr>
          <w:rFonts w:ascii="Times New Roman" w:hAnsi="Times New Roman" w:cs="Times New Roman"/>
        </w:rPr>
        <w:t xml:space="preserve"> </w:t>
      </w:r>
      <w:r w:rsidRPr="00DF2607">
        <w:rPr>
          <w:rFonts w:ascii="Times New Roman" w:hAnsi="Times New Roman" w:cs="Times New Roman"/>
          <w:i/>
        </w:rPr>
        <w:t>Teoría y realidad constitucional</w:t>
      </w:r>
      <w:r w:rsidRPr="00DF2607">
        <w:rPr>
          <w:rFonts w:ascii="Times New Roman" w:hAnsi="Times New Roman" w:cs="Times New Roman"/>
        </w:rPr>
        <w:t>, núm. 49 (2022), pp. 142-143.</w:t>
      </w:r>
    </w:p>
  </w:footnote>
  <w:footnote w:id="7">
    <w:p w:rsidR="00CC7F93" w:rsidRPr="00222038" w:rsidRDefault="00CC7F93" w:rsidP="00B25435">
      <w:pPr>
        <w:pStyle w:val="Textonotapie"/>
        <w:jc w:val="both"/>
        <w:rPr>
          <w:rFonts w:ascii="Times New Roman" w:hAnsi="Times New Roman" w:cs="Times New Roman"/>
        </w:rPr>
      </w:pPr>
      <w:r w:rsidRPr="00222038">
        <w:rPr>
          <w:rStyle w:val="Refdenotaalpie"/>
          <w:rFonts w:ascii="Times New Roman" w:hAnsi="Times New Roman" w:cs="Times New Roman"/>
        </w:rPr>
        <w:footnoteRef/>
      </w:r>
      <w:r w:rsidRPr="00222038">
        <w:rPr>
          <w:rFonts w:ascii="Times New Roman" w:hAnsi="Times New Roman" w:cs="Times New Roman"/>
        </w:rPr>
        <w:t xml:space="preserve"> Artículo 58 bis, apdo. 1 de la Ley Orgánica 5/1985, de 19 de junio, del Régimen Electoral General (modificación operada por la Ley Orgánica 3/2018, de 5 de diciembre, de protección de datos personales y garantía de los derechos digitales</w:t>
      </w:r>
      <w:r>
        <w:rPr>
          <w:rFonts w:ascii="Times New Roman" w:hAnsi="Times New Roman" w:cs="Times New Roman"/>
        </w:rPr>
        <w:t>).</w:t>
      </w:r>
    </w:p>
  </w:footnote>
  <w:footnote w:id="8">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El artículo 18.4 CE utiliza el concepto </w:t>
      </w:r>
      <w:r>
        <w:rPr>
          <w:rFonts w:ascii="Times New Roman" w:hAnsi="Times New Roman" w:cs="Times New Roman"/>
          <w:sz w:val="24"/>
          <w:szCs w:val="24"/>
        </w:rPr>
        <w:t>«</w:t>
      </w:r>
      <w:r>
        <w:rPr>
          <w:rFonts w:ascii="Times New Roman" w:hAnsi="Times New Roman" w:cs="Times New Roman"/>
        </w:rPr>
        <w:t>ciudadano</w:t>
      </w:r>
      <w:r>
        <w:rPr>
          <w:rFonts w:ascii="Times New Roman" w:hAnsi="Times New Roman" w:cs="Times New Roman"/>
          <w:sz w:val="24"/>
          <w:szCs w:val="24"/>
        </w:rPr>
        <w:t>»</w:t>
      </w:r>
      <w:r>
        <w:rPr>
          <w:rFonts w:ascii="Times New Roman" w:hAnsi="Times New Roman" w:cs="Times New Roman"/>
        </w:rPr>
        <w:t xml:space="preserve"> cuando ordena</w:t>
      </w:r>
      <w:r w:rsidRPr="00DF2607">
        <w:rPr>
          <w:rFonts w:ascii="Times New Roman" w:hAnsi="Times New Roman" w:cs="Times New Roman"/>
        </w:rPr>
        <w:t xml:space="preserve"> que la ley limite es uso de la informática para garantizar el pleno ejercicio de sus derechos, particularmente el honor y la intimidad personal y familiar. </w:t>
      </w:r>
      <w:r>
        <w:rPr>
          <w:rFonts w:ascii="Times New Roman" w:hAnsi="Times New Roman" w:cs="Times New Roman"/>
        </w:rPr>
        <w:t xml:space="preserve">Sin embargo, los artículos 8.1 de la Carta de Derechos Fundamentales de la Unión Europea y </w:t>
      </w:r>
      <w:r w:rsidRPr="00DF2607">
        <w:rPr>
          <w:rFonts w:ascii="Times New Roman" w:hAnsi="Times New Roman" w:cs="Times New Roman"/>
        </w:rPr>
        <w:t xml:space="preserve">16 </w:t>
      </w:r>
      <w:r>
        <w:rPr>
          <w:rFonts w:ascii="Times New Roman" w:hAnsi="Times New Roman" w:cs="Times New Roman"/>
        </w:rPr>
        <w:t xml:space="preserve">del Tratado de Funcionamiento de la Unión Europea, </w:t>
      </w:r>
      <w:r w:rsidRPr="00DF2607">
        <w:rPr>
          <w:rFonts w:ascii="Times New Roman" w:hAnsi="Times New Roman" w:cs="Times New Roman"/>
        </w:rPr>
        <w:t>así como la jurisprudencia del T</w:t>
      </w:r>
      <w:r>
        <w:rPr>
          <w:rFonts w:ascii="Times New Roman" w:hAnsi="Times New Roman" w:cs="Times New Roman"/>
        </w:rPr>
        <w:t xml:space="preserve">ribunal Europeo de Derechos Humanos (TEDH) </w:t>
      </w:r>
      <w:r w:rsidRPr="00DF2607">
        <w:rPr>
          <w:rFonts w:ascii="Times New Roman" w:hAnsi="Times New Roman" w:cs="Times New Roman"/>
        </w:rPr>
        <w:t xml:space="preserve">los predican de “toda persona”. En virtud del mandato hermenéutico que el artículo 10.2 CE contiene (los derechos y libertades que la Constitución reconoce se han de interpretar de conformidad con los tratados y convenios que España pudiera haber suscrito sobre la materia), este es el significado que se le ha de conceder a tal concepto. Sobre este particular, vid. </w:t>
      </w:r>
      <w:r>
        <w:rPr>
          <w:rFonts w:ascii="Times New Roman" w:hAnsi="Times New Roman" w:cs="Times New Roman"/>
        </w:rPr>
        <w:t>VILLALBA CANO, L.:</w:t>
      </w:r>
      <w:r w:rsidRPr="003E1069">
        <w:rPr>
          <w:rFonts w:ascii="Times New Roman" w:hAnsi="Times New Roman" w:cs="Times New Roman"/>
        </w:rPr>
        <w:t xml:space="preserve"> </w:t>
      </w:r>
      <w:r w:rsidRPr="003E1069">
        <w:rPr>
          <w:rFonts w:ascii="Times New Roman" w:hAnsi="Times New Roman" w:cs="Times New Roman"/>
          <w:i/>
        </w:rPr>
        <w:t>El derecho fundamental a la protección de datos personales en el constitucionalismo multinivel europeo: su contenido esencial</w:t>
      </w:r>
      <w:r w:rsidRPr="003E1069">
        <w:rPr>
          <w:rFonts w:ascii="Times New Roman" w:hAnsi="Times New Roman" w:cs="Times New Roman"/>
        </w:rPr>
        <w:t>, Universidad de Cádiz, 2022 (inédita en</w:t>
      </w:r>
      <w:r>
        <w:rPr>
          <w:rFonts w:ascii="Times New Roman" w:hAnsi="Times New Roman" w:cs="Times New Roman"/>
        </w:rPr>
        <w:t xml:space="preserve"> </w:t>
      </w:r>
      <w:r w:rsidRPr="003E1069">
        <w:rPr>
          <w:rFonts w:ascii="Times New Roman" w:hAnsi="Times New Roman" w:cs="Times New Roman"/>
        </w:rPr>
        <w:t xml:space="preserve">el momento que escribimos estas líneas), p. </w:t>
      </w:r>
      <w:r w:rsidRPr="00DF2607">
        <w:rPr>
          <w:rFonts w:ascii="Times New Roman" w:hAnsi="Times New Roman" w:cs="Times New Roman"/>
        </w:rPr>
        <w:t>pp. 263 y ss.</w:t>
      </w:r>
    </w:p>
  </w:footnote>
  <w:footnote w:id="9">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El Convenio 18, al definir el concepto </w:t>
      </w:r>
      <w:r>
        <w:rPr>
          <w:rFonts w:ascii="Times New Roman" w:hAnsi="Times New Roman" w:cs="Times New Roman"/>
          <w:sz w:val="24"/>
          <w:szCs w:val="24"/>
        </w:rPr>
        <w:t>«</w:t>
      </w:r>
      <w:r w:rsidRPr="00DF2607">
        <w:rPr>
          <w:rFonts w:ascii="Times New Roman" w:hAnsi="Times New Roman" w:cs="Times New Roman"/>
        </w:rPr>
        <w:t>datos de carácter personal</w:t>
      </w:r>
      <w:r>
        <w:rPr>
          <w:rFonts w:ascii="Times New Roman" w:hAnsi="Times New Roman" w:cs="Times New Roman"/>
          <w:sz w:val="24"/>
          <w:szCs w:val="24"/>
        </w:rPr>
        <w:t>»</w:t>
      </w:r>
      <w:r w:rsidRPr="00DF2607">
        <w:rPr>
          <w:rFonts w:ascii="Times New Roman" w:hAnsi="Times New Roman" w:cs="Times New Roman"/>
        </w:rPr>
        <w:t xml:space="preserve"> se re</w:t>
      </w:r>
      <w:r>
        <w:rPr>
          <w:rFonts w:ascii="Times New Roman" w:hAnsi="Times New Roman" w:cs="Times New Roman"/>
        </w:rPr>
        <w:t xml:space="preserve">fiere a la “persona concernida” [art. </w:t>
      </w:r>
      <w:r w:rsidRPr="00DF2607">
        <w:rPr>
          <w:rFonts w:ascii="Times New Roman" w:hAnsi="Times New Roman" w:cs="Times New Roman"/>
        </w:rPr>
        <w:t xml:space="preserve">2.a) y también </w:t>
      </w:r>
      <w:r>
        <w:rPr>
          <w:rFonts w:ascii="Times New Roman" w:hAnsi="Times New Roman" w:cs="Times New Roman"/>
        </w:rPr>
        <w:t>arts.</w:t>
      </w:r>
      <w:r w:rsidRPr="00DF2607">
        <w:rPr>
          <w:rFonts w:ascii="Times New Roman" w:hAnsi="Times New Roman" w:cs="Times New Roman"/>
        </w:rPr>
        <w:t xml:space="preserve"> 9, 15 y 17</w:t>
      </w:r>
      <w:r>
        <w:rPr>
          <w:rFonts w:ascii="Times New Roman" w:hAnsi="Times New Roman" w:cs="Times New Roman"/>
        </w:rPr>
        <w:t>]</w:t>
      </w:r>
      <w:r w:rsidRPr="00DF2607">
        <w:rPr>
          <w:rFonts w:ascii="Times New Roman" w:hAnsi="Times New Roman" w:cs="Times New Roman"/>
        </w:rPr>
        <w:t xml:space="preserve">.  </w:t>
      </w:r>
    </w:p>
  </w:footnote>
  <w:footnote w:id="10">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La </w:t>
      </w:r>
      <w:r w:rsidRPr="00B400F7">
        <w:rPr>
          <w:rFonts w:ascii="Times New Roman" w:hAnsi="Times New Roman" w:cs="Times New Roman"/>
        </w:rPr>
        <w:t>Ley Orgánica 3/2018, de 5 de diciembre, de protección de datos personales y garantía de los derechos digitales</w:t>
      </w:r>
      <w:r w:rsidRPr="00DF2607">
        <w:rPr>
          <w:rFonts w:ascii="Times New Roman" w:hAnsi="Times New Roman" w:cs="Times New Roman"/>
        </w:rPr>
        <w:t xml:space="preserve">, al igual que la derogada Ley Orgánica 15/1999, de 13 de diciembre, de Protección de Datos de Carácter Personal, en el artículo 3.e), </w:t>
      </w:r>
      <w:r>
        <w:rPr>
          <w:rFonts w:ascii="Times New Roman" w:hAnsi="Times New Roman" w:cs="Times New Roman"/>
        </w:rPr>
        <w:t>concede el mismo</w:t>
      </w:r>
      <w:r w:rsidRPr="00DF2607">
        <w:rPr>
          <w:rFonts w:ascii="Times New Roman" w:hAnsi="Times New Roman" w:cs="Times New Roman"/>
        </w:rPr>
        <w:t xml:space="preserve"> significado</w:t>
      </w:r>
      <w:r>
        <w:rPr>
          <w:rFonts w:ascii="Times New Roman" w:hAnsi="Times New Roman" w:cs="Times New Roman"/>
        </w:rPr>
        <w:t xml:space="preserve"> a</w:t>
      </w:r>
      <w:r w:rsidRPr="00DF2607">
        <w:rPr>
          <w:rFonts w:ascii="Times New Roman" w:hAnsi="Times New Roman" w:cs="Times New Roman"/>
        </w:rPr>
        <w:t xml:space="preserve"> los conceptos </w:t>
      </w:r>
      <w:r>
        <w:rPr>
          <w:rFonts w:ascii="Times New Roman" w:hAnsi="Times New Roman" w:cs="Times New Roman"/>
          <w:sz w:val="24"/>
          <w:szCs w:val="24"/>
        </w:rPr>
        <w:t>«</w:t>
      </w:r>
      <w:r w:rsidRPr="00DF2607">
        <w:rPr>
          <w:rFonts w:ascii="Times New Roman" w:hAnsi="Times New Roman" w:cs="Times New Roman"/>
        </w:rPr>
        <w:t>interesado</w:t>
      </w:r>
      <w:r>
        <w:rPr>
          <w:rFonts w:ascii="Times New Roman" w:hAnsi="Times New Roman" w:cs="Times New Roman"/>
          <w:sz w:val="24"/>
          <w:szCs w:val="24"/>
        </w:rPr>
        <w:t>»</w:t>
      </w:r>
      <w:r w:rsidRPr="00DF2607">
        <w:rPr>
          <w:rFonts w:ascii="Times New Roman" w:hAnsi="Times New Roman" w:cs="Times New Roman"/>
        </w:rPr>
        <w:t xml:space="preserve"> y </w:t>
      </w:r>
      <w:r>
        <w:rPr>
          <w:rFonts w:ascii="Times New Roman" w:hAnsi="Times New Roman" w:cs="Times New Roman"/>
          <w:sz w:val="24"/>
          <w:szCs w:val="24"/>
        </w:rPr>
        <w:t>«</w:t>
      </w:r>
      <w:r w:rsidRPr="00DF2607">
        <w:rPr>
          <w:rFonts w:ascii="Times New Roman" w:hAnsi="Times New Roman" w:cs="Times New Roman"/>
        </w:rPr>
        <w:t>afectado</w:t>
      </w:r>
      <w:r>
        <w:rPr>
          <w:rFonts w:ascii="Times New Roman" w:hAnsi="Times New Roman" w:cs="Times New Roman"/>
          <w:sz w:val="24"/>
          <w:szCs w:val="24"/>
        </w:rPr>
        <w:t>»</w:t>
      </w:r>
      <w:r w:rsidRPr="00DF2607">
        <w:rPr>
          <w:rFonts w:ascii="Times New Roman" w:hAnsi="Times New Roman" w:cs="Times New Roman"/>
        </w:rPr>
        <w:t>. La también derogada Ley Orgánica 5/1992, de 29 de octubre, de regulación del tratamiento automatizado de los datos de carácter personal utilizaba el t</w:t>
      </w:r>
      <w:r>
        <w:rPr>
          <w:rFonts w:ascii="Times New Roman" w:hAnsi="Times New Roman" w:cs="Times New Roman"/>
        </w:rPr>
        <w:t>érmino «afectado», definiéndolo</w:t>
      </w:r>
      <w:r w:rsidRPr="00DF2607">
        <w:rPr>
          <w:rFonts w:ascii="Times New Roman" w:hAnsi="Times New Roman" w:cs="Times New Roman"/>
        </w:rPr>
        <w:t xml:space="preserve"> en el artículo 3.e) como la </w:t>
      </w:r>
      <w:r>
        <w:rPr>
          <w:rFonts w:ascii="Times New Roman" w:hAnsi="Times New Roman" w:cs="Times New Roman"/>
        </w:rPr>
        <w:t>“</w:t>
      </w:r>
      <w:r w:rsidRPr="00B400F7">
        <w:rPr>
          <w:rFonts w:ascii="Times New Roman" w:hAnsi="Times New Roman" w:cs="Times New Roman"/>
          <w:iCs/>
        </w:rPr>
        <w:t>persona física titular de los datos que sean objeto del tratamiento a que se refiere el apartado c) del presente artículo</w:t>
      </w:r>
      <w:r>
        <w:rPr>
          <w:rFonts w:ascii="Times New Roman" w:hAnsi="Times New Roman" w:cs="Times New Roman"/>
        </w:rPr>
        <w:t>”</w:t>
      </w:r>
      <w:r w:rsidRPr="00DF2607">
        <w:rPr>
          <w:rFonts w:ascii="Times New Roman" w:hAnsi="Times New Roman" w:cs="Times New Roman"/>
        </w:rPr>
        <w:t xml:space="preserve">, aunque en otros preceptos también empleaba </w:t>
      </w:r>
      <w:r>
        <w:rPr>
          <w:rFonts w:ascii="Times New Roman" w:hAnsi="Times New Roman" w:cs="Times New Roman"/>
        </w:rPr>
        <w:t xml:space="preserve">el concepto </w:t>
      </w:r>
      <w:r w:rsidRPr="00DF2607">
        <w:rPr>
          <w:rFonts w:ascii="Times New Roman" w:hAnsi="Times New Roman" w:cs="Times New Roman"/>
        </w:rPr>
        <w:t>«interesado»</w:t>
      </w:r>
      <w:r>
        <w:rPr>
          <w:rFonts w:ascii="Times New Roman" w:hAnsi="Times New Roman" w:cs="Times New Roman"/>
        </w:rPr>
        <w:t xml:space="preserve"> </w:t>
      </w:r>
      <w:r w:rsidRPr="00DF2607">
        <w:rPr>
          <w:rFonts w:ascii="Times New Roman" w:hAnsi="Times New Roman" w:cs="Times New Roman"/>
        </w:rPr>
        <w:t>con el mismo significado (arts. 4.5, 7.1, 19.3 o 46.3 y 6).</w:t>
      </w:r>
    </w:p>
  </w:footnote>
  <w:footnote w:id="11">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El RGPD no es de aplicación a las personas fallecidas, aunque los Estados miembros son competentes para establecer normas relativas al tratamiento de los datos personales de estas (Considerando 27). Así lo ha hecho el art. 3</w:t>
      </w:r>
      <w:r>
        <w:rPr>
          <w:rFonts w:ascii="Times New Roman" w:hAnsi="Times New Roman" w:cs="Times New Roman"/>
        </w:rPr>
        <w:t xml:space="preserve"> de la</w:t>
      </w:r>
      <w:r w:rsidRPr="00DF2607">
        <w:rPr>
          <w:rFonts w:ascii="Times New Roman" w:hAnsi="Times New Roman" w:cs="Times New Roman"/>
        </w:rPr>
        <w:t xml:space="preserve"> </w:t>
      </w:r>
      <w:r w:rsidRPr="00B400F7">
        <w:rPr>
          <w:rFonts w:ascii="Times New Roman" w:hAnsi="Times New Roman" w:cs="Times New Roman"/>
        </w:rPr>
        <w:t>Ley Orgánica 3/2018, de 5 de diciembre, de protección de datos personales y garantía de los derechos digitales</w:t>
      </w:r>
      <w:r w:rsidRPr="00DF2607">
        <w:rPr>
          <w:rFonts w:ascii="Times New Roman" w:hAnsi="Times New Roman" w:cs="Times New Roman"/>
        </w:rPr>
        <w:t>, cuyo párrafo primero permite que “las personas vinculadas al fallecido por razones familiares o de hecho así como sus herederos p[uedan] dirigirse al responsable o encargado del tratamiento al objeto de solicitar el acceso a los datos personales de aquella y, en su caso, su rectificación o supresión”, salvo que “</w:t>
      </w:r>
      <w:r w:rsidRPr="00DF2607">
        <w:rPr>
          <w:rFonts w:ascii="Times New Roman" w:hAnsi="Times New Roman" w:cs="Times New Roman"/>
          <w:color w:val="000000"/>
          <w:shd w:val="clear" w:color="auto" w:fill="FFFFFF"/>
        </w:rPr>
        <w:t>la persona fallecida lo hubiese prohibido expresamente o así lo establezca una ley”</w:t>
      </w:r>
      <w:r w:rsidRPr="00DF2607">
        <w:rPr>
          <w:rFonts w:ascii="Times New Roman" w:hAnsi="Times New Roman" w:cs="Times New Roman"/>
        </w:rPr>
        <w:t>. El pár</w:t>
      </w:r>
      <w:r>
        <w:rPr>
          <w:rFonts w:ascii="Times New Roman" w:hAnsi="Times New Roman" w:cs="Times New Roman"/>
        </w:rPr>
        <w:t>r</w:t>
      </w:r>
      <w:r w:rsidRPr="00DF2607">
        <w:rPr>
          <w:rFonts w:ascii="Times New Roman" w:hAnsi="Times New Roman" w:cs="Times New Roman"/>
        </w:rPr>
        <w:t>afo segundo del mismo precepto igualmente permite que “l</w:t>
      </w:r>
      <w:r w:rsidRPr="00DF2607">
        <w:rPr>
          <w:rFonts w:ascii="Times New Roman" w:hAnsi="Times New Roman" w:cs="Times New Roman"/>
          <w:color w:val="000000"/>
          <w:shd w:val="clear" w:color="auto" w:fill="FFFFFF"/>
        </w:rPr>
        <w:t>as personas o instituciones a las que el fallecido hubiese designado expresamente para ello p[uedan] también solicitar, con arreglo a las instrucciones recibidas, el acceso a los datos personales de este y, en su caso su rectificación o supresión”.</w:t>
      </w:r>
    </w:p>
  </w:footnote>
  <w:footnote w:id="12">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Vid. VILLALBA CANO, L, </w:t>
      </w:r>
      <w:r w:rsidRPr="00B400F7">
        <w:rPr>
          <w:rFonts w:ascii="Times New Roman" w:hAnsi="Times New Roman" w:cs="Times New Roman"/>
          <w:i/>
        </w:rPr>
        <w:t>ob</w:t>
      </w:r>
      <w:r w:rsidRPr="00DF2607">
        <w:rPr>
          <w:rFonts w:ascii="Times New Roman" w:hAnsi="Times New Roman" w:cs="Times New Roman"/>
        </w:rPr>
        <w:t>. cit., p. 343.</w:t>
      </w:r>
    </w:p>
  </w:footnote>
  <w:footnote w:id="13">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Cfr. TRONCOSO REIGADA, A.: </w:t>
      </w:r>
      <w:r>
        <w:rPr>
          <w:rFonts w:ascii="Times New Roman" w:hAnsi="Times New Roman" w:cs="Times New Roman"/>
        </w:rPr>
        <w:t>“</w:t>
      </w:r>
      <w:r w:rsidRPr="00B400F7">
        <w:rPr>
          <w:rFonts w:ascii="Times New Roman" w:hAnsi="Times New Roman" w:cs="Times New Roman"/>
        </w:rPr>
        <w:t>El pr</w:t>
      </w:r>
      <w:r>
        <w:rPr>
          <w:rFonts w:ascii="Times New Roman" w:hAnsi="Times New Roman" w:cs="Times New Roman"/>
        </w:rPr>
        <w:t>incipio de calidad de los datos”</w:t>
      </w:r>
      <w:r w:rsidRPr="00B400F7">
        <w:rPr>
          <w:rFonts w:ascii="Times New Roman" w:hAnsi="Times New Roman" w:cs="Times New Roman"/>
        </w:rPr>
        <w:t>, en TRONCOSO REIGADA, A. (Dir.)</w:t>
      </w:r>
      <w:r>
        <w:rPr>
          <w:rFonts w:ascii="Times New Roman" w:hAnsi="Times New Roman" w:cs="Times New Roman"/>
        </w:rPr>
        <w:t xml:space="preserve">. </w:t>
      </w:r>
      <w:r w:rsidRPr="00B400F7">
        <w:rPr>
          <w:rFonts w:ascii="Times New Roman" w:hAnsi="Times New Roman" w:cs="Times New Roman"/>
          <w:i/>
        </w:rPr>
        <w:t>Comentario a la Ley Orgánica de Protección de Datos de Carácter Personal</w:t>
      </w:r>
      <w:r w:rsidRPr="00B400F7">
        <w:rPr>
          <w:rFonts w:ascii="Times New Roman" w:hAnsi="Times New Roman" w:cs="Times New Roman"/>
        </w:rPr>
        <w:t xml:space="preserve">, Civitas, Madrid, 2010, </w:t>
      </w:r>
      <w:r w:rsidRPr="00DF2607">
        <w:rPr>
          <w:rFonts w:ascii="Times New Roman" w:hAnsi="Times New Roman" w:cs="Times New Roman"/>
        </w:rPr>
        <w:t>p. 362.</w:t>
      </w:r>
    </w:p>
  </w:footnote>
  <w:footnote w:id="14">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En aplicación de esta definición, el T</w:t>
      </w:r>
      <w:r>
        <w:rPr>
          <w:rFonts w:ascii="Times New Roman" w:hAnsi="Times New Roman" w:cs="Times New Roman"/>
        </w:rPr>
        <w:t>ribunal de Justicia de la Unión Europea (TJUE)</w:t>
      </w:r>
      <w:r w:rsidRPr="00DF2607">
        <w:rPr>
          <w:rFonts w:ascii="Times New Roman" w:hAnsi="Times New Roman" w:cs="Times New Roman"/>
        </w:rPr>
        <w:t xml:space="preserve"> ha calificado como «tratamiento», entre otras, las siguientes operaciones o actividades efectuadas con datos personales: la transcripción y conservación de la información en un registro; la publicación de los datos personales en una página web; la recogida de los datos a partir de documentos públicos y su tratamiento en un servicio de mensajes de texto (SMS); la toma de impresiones dactilares y su conservación en un dispositivo de almacenamiento; la conservación de datos para su eventual acceso por las autoridades nacionales competentes; la grabación en vídeo de imágenes de personas que se almacenan en un dispositivo de grabación continuada; las transferencias de datos personales a un tercer país; la elaboración de una lista que contiene datos personales; la carga de los datos en una página de Internet; o, en general, la comunicación de datos personales mediante su transmisión o la puesta a disposición de otro modo, incluyendo la inclusión de los datos en listas o informes destinados a ser comunicados o publicados (Cfr. VILLALBA CANO, L., </w:t>
      </w:r>
      <w:r w:rsidRPr="00DF2607">
        <w:rPr>
          <w:rFonts w:ascii="Times New Roman" w:hAnsi="Times New Roman" w:cs="Times New Roman"/>
          <w:i/>
        </w:rPr>
        <w:t>ob</w:t>
      </w:r>
      <w:r w:rsidRPr="00DF2607">
        <w:rPr>
          <w:rFonts w:ascii="Times New Roman" w:hAnsi="Times New Roman" w:cs="Times New Roman"/>
        </w:rPr>
        <w:t xml:space="preserve">. cit., p. 345). Sobre esta interpretación amplia del concepto </w:t>
      </w:r>
      <w:r>
        <w:rPr>
          <w:rFonts w:ascii="Times New Roman" w:hAnsi="Times New Roman" w:cs="Times New Roman"/>
          <w:sz w:val="24"/>
          <w:szCs w:val="24"/>
        </w:rPr>
        <w:t>«</w:t>
      </w:r>
      <w:r w:rsidRPr="00DF2607">
        <w:rPr>
          <w:rFonts w:ascii="Times New Roman" w:hAnsi="Times New Roman" w:cs="Times New Roman"/>
        </w:rPr>
        <w:t>tratamiento</w:t>
      </w:r>
      <w:r>
        <w:rPr>
          <w:rFonts w:ascii="Times New Roman" w:hAnsi="Times New Roman" w:cs="Times New Roman"/>
          <w:sz w:val="24"/>
          <w:szCs w:val="24"/>
        </w:rPr>
        <w:t>»</w:t>
      </w:r>
      <w:r w:rsidRPr="00DF2607">
        <w:rPr>
          <w:rFonts w:ascii="Times New Roman" w:hAnsi="Times New Roman" w:cs="Times New Roman"/>
        </w:rPr>
        <w:t xml:space="preserve">, y, en particular, en relación con la idea de que identificar a personas en una web supone un tratamiento total o parcial de datos personales, véanse las sentencias del TJUE fue en </w:t>
      </w:r>
      <w:r w:rsidRPr="00DF2607">
        <w:rPr>
          <w:rFonts w:ascii="Times New Roman" w:hAnsi="Times New Roman" w:cs="Times New Roman"/>
          <w:i/>
        </w:rPr>
        <w:t>Bodil Lindqvist</w:t>
      </w:r>
      <w:r w:rsidRPr="00DF2607">
        <w:rPr>
          <w:rFonts w:ascii="Times New Roman" w:hAnsi="Times New Roman" w:cs="Times New Roman"/>
        </w:rPr>
        <w:t xml:space="preserve">, de 6 de noviembre de 2003, asunto prejudicial C101/01, parágrafos 24 a 27; en </w:t>
      </w:r>
      <w:r w:rsidRPr="00DF2607">
        <w:rPr>
          <w:rFonts w:ascii="Times New Roman" w:hAnsi="Times New Roman" w:cs="Times New Roman"/>
          <w:i/>
        </w:rPr>
        <w:t>Tietosuojavaltuutettu c. Satakunnan Markkinapörssi Oy y Satamedia Oy</w:t>
      </w:r>
      <w:r w:rsidRPr="00DF2607">
        <w:rPr>
          <w:rFonts w:ascii="Times New Roman" w:hAnsi="Times New Roman" w:cs="Times New Roman"/>
        </w:rPr>
        <w:t xml:space="preserve"> (2</w:t>
      </w:r>
      <w:r>
        <w:rPr>
          <w:rFonts w:ascii="Times New Roman" w:hAnsi="Times New Roman" w:cs="Times New Roman"/>
        </w:rPr>
        <w:t>008), parágrafos. 56, 61 y 62. E</w:t>
      </w:r>
      <w:r w:rsidRPr="00DF2607">
        <w:rPr>
          <w:rFonts w:ascii="Times New Roman" w:hAnsi="Times New Roman" w:cs="Times New Roman"/>
        </w:rPr>
        <w:t xml:space="preserve">l TJUE también reconoce que es </w:t>
      </w:r>
      <w:r>
        <w:rPr>
          <w:rFonts w:ascii="Times New Roman" w:hAnsi="Times New Roman" w:cs="Times New Roman"/>
          <w:sz w:val="24"/>
          <w:szCs w:val="24"/>
        </w:rPr>
        <w:t>«</w:t>
      </w:r>
      <w:r w:rsidRPr="00DF2607">
        <w:rPr>
          <w:rFonts w:ascii="Times New Roman" w:hAnsi="Times New Roman" w:cs="Times New Roman"/>
        </w:rPr>
        <w:t>tratamiento de datos personales</w:t>
      </w:r>
      <w:r>
        <w:rPr>
          <w:rFonts w:ascii="Times New Roman" w:hAnsi="Times New Roman" w:cs="Times New Roman"/>
          <w:sz w:val="24"/>
          <w:szCs w:val="24"/>
        </w:rPr>
        <w:t>»</w:t>
      </w:r>
      <w:r w:rsidRPr="00DF2607">
        <w:rPr>
          <w:rFonts w:ascii="Times New Roman" w:hAnsi="Times New Roman" w:cs="Times New Roman"/>
        </w:rPr>
        <w:t>, la actividad de una empresa que recoge y ordena conforme a determinados criterios datos personales de carácter fiscal (en este caso se trataban de rendimientos del trabajo, del capital, patrimonio, etc) extraídos de ficher</w:t>
      </w:r>
      <w:r>
        <w:rPr>
          <w:rFonts w:ascii="Times New Roman" w:hAnsi="Times New Roman" w:cs="Times New Roman"/>
        </w:rPr>
        <w:t>os de la Administración Pública.</w:t>
      </w:r>
      <w:r w:rsidRPr="00DF2607">
        <w:rPr>
          <w:rFonts w:ascii="Times New Roman" w:hAnsi="Times New Roman" w:cs="Times New Roman"/>
        </w:rPr>
        <w:t xml:space="preserve"> Y</w:t>
      </w:r>
      <w:r>
        <w:rPr>
          <w:rFonts w:ascii="Times New Roman" w:hAnsi="Times New Roman" w:cs="Times New Roman"/>
        </w:rPr>
        <w:t>,</w:t>
      </w:r>
      <w:r w:rsidRPr="00DF2607">
        <w:rPr>
          <w:rFonts w:ascii="Times New Roman" w:hAnsi="Times New Roman" w:cs="Times New Roman"/>
        </w:rPr>
        <w:t xml:space="preserve"> en el mismo sentido, la</w:t>
      </w:r>
      <w:r>
        <w:rPr>
          <w:rFonts w:ascii="Times New Roman" w:hAnsi="Times New Roman" w:cs="Times New Roman"/>
        </w:rPr>
        <w:t xml:space="preserve"> sentencia</w:t>
      </w:r>
      <w:r w:rsidRPr="00DF2607">
        <w:rPr>
          <w:rFonts w:ascii="Times New Roman" w:hAnsi="Times New Roman" w:cs="Times New Roman"/>
        </w:rPr>
        <w:t xml:space="preserve"> </w:t>
      </w:r>
      <w:r w:rsidRPr="00DF2607">
        <w:rPr>
          <w:rFonts w:ascii="Times New Roman" w:hAnsi="Times New Roman" w:cs="Times New Roman"/>
          <w:bCs/>
          <w:i/>
        </w:rPr>
        <w:t>Google Spain, S.L. y Google Inc. contra Agencia Española de Protección de Datos (AEPD) y Mario Costeja González</w:t>
      </w:r>
      <w:r w:rsidRPr="00DF2607">
        <w:rPr>
          <w:rFonts w:ascii="Times New Roman" w:hAnsi="Times New Roman" w:cs="Times New Roman"/>
        </w:rPr>
        <w:t xml:space="preserve"> (C</w:t>
      </w:r>
      <w:r w:rsidRPr="00DF2607">
        <w:rPr>
          <w:rFonts w:ascii="Times New Roman" w:hAnsi="Times New Roman" w:cs="Times New Roman"/>
        </w:rPr>
        <w:noBreakHyphen/>
        <w:t xml:space="preserve">131/12), </w:t>
      </w:r>
      <w:r w:rsidRPr="00DF2607">
        <w:rPr>
          <w:rFonts w:ascii="Times New Roman" w:eastAsia="Arial Unicode MS" w:hAnsi="Times New Roman" w:cs="Times New Roman"/>
          <w:bdr w:val="nil"/>
          <w:lang w:val="es-ES_tradnl"/>
        </w:rPr>
        <w:t>Gran Sala, de 13 de mayo de 2014 (</w:t>
      </w:r>
      <w:r w:rsidRPr="00DF2607">
        <w:rPr>
          <w:rFonts w:ascii="Times New Roman" w:eastAsia="Arial Unicode MS" w:hAnsi="Times New Roman" w:cs="Times New Roman"/>
          <w:bdr w:val="nil"/>
        </w:rPr>
        <w:t>ECLI:EU:C:2014:317</w:t>
      </w:r>
      <w:r w:rsidRPr="00DF2607">
        <w:rPr>
          <w:rFonts w:ascii="Times New Roman" w:eastAsia="Arial Unicode MS" w:hAnsi="Times New Roman" w:cs="Times New Roman"/>
          <w:bdr w:val="nil"/>
          <w:lang w:val="es-ES_tradnl"/>
        </w:rPr>
        <w:t xml:space="preserve">), </w:t>
      </w:r>
      <w:r w:rsidRPr="00DF2607">
        <w:rPr>
          <w:rFonts w:ascii="Times New Roman" w:hAnsi="Times New Roman" w:cs="Times New Roman"/>
        </w:rPr>
        <w:t>parágrafos 32 a 41,</w:t>
      </w:r>
      <w:r>
        <w:rPr>
          <w:rFonts w:ascii="Times New Roman" w:hAnsi="Times New Roman" w:cs="Times New Roman"/>
        </w:rPr>
        <w:t xml:space="preserve"> </w:t>
      </w:r>
      <w:r w:rsidRPr="00DF2607">
        <w:rPr>
          <w:rFonts w:ascii="Times New Roman" w:hAnsi="Times New Roman" w:cs="Times New Roman"/>
        </w:rPr>
        <w:t xml:space="preserve">ratifica que la actividad de un motor de búsqueda, que consiste en hallar información publicada o puesta en Internet por terceros, indexarla de manera automática, almacenarla temporalmente y, por último, ponerla a disposición de los internautas según un orden de preferencia determinado, debe calificarse de </w:t>
      </w:r>
      <w:r>
        <w:rPr>
          <w:rFonts w:ascii="Times New Roman" w:hAnsi="Times New Roman" w:cs="Times New Roman"/>
          <w:sz w:val="24"/>
          <w:szCs w:val="24"/>
        </w:rPr>
        <w:t>«</w:t>
      </w:r>
      <w:r w:rsidRPr="00DF2607">
        <w:rPr>
          <w:rFonts w:ascii="Times New Roman" w:hAnsi="Times New Roman" w:cs="Times New Roman"/>
        </w:rPr>
        <w:t>tratamiento de datos personales</w:t>
      </w:r>
      <w:r>
        <w:rPr>
          <w:rFonts w:ascii="Times New Roman" w:hAnsi="Times New Roman" w:cs="Times New Roman"/>
          <w:sz w:val="24"/>
          <w:szCs w:val="24"/>
        </w:rPr>
        <w:t>»</w:t>
      </w:r>
      <w:r w:rsidRPr="00DF2607">
        <w:rPr>
          <w:rFonts w:ascii="Times New Roman" w:hAnsi="Times New Roman" w:cs="Times New Roman"/>
        </w:rPr>
        <w:t xml:space="preserve">, cuando esa información contiene datos personales. Las dos últimas Sentencias citadas (2008 y 2014) advierten que para calificar una actividad de </w:t>
      </w:r>
      <w:r>
        <w:rPr>
          <w:rFonts w:ascii="Times New Roman" w:hAnsi="Times New Roman" w:cs="Times New Roman"/>
          <w:sz w:val="24"/>
          <w:szCs w:val="24"/>
        </w:rPr>
        <w:t>«</w:t>
      </w:r>
      <w:r w:rsidRPr="00DF2607">
        <w:rPr>
          <w:rFonts w:ascii="Times New Roman" w:hAnsi="Times New Roman" w:cs="Times New Roman"/>
        </w:rPr>
        <w:t>tratamiento de datos</w:t>
      </w:r>
      <w:r>
        <w:rPr>
          <w:rFonts w:ascii="Times New Roman" w:hAnsi="Times New Roman" w:cs="Times New Roman"/>
          <w:sz w:val="24"/>
          <w:szCs w:val="24"/>
        </w:rPr>
        <w:t>»</w:t>
      </w:r>
      <w:r w:rsidRPr="00DF2607">
        <w:rPr>
          <w:rFonts w:ascii="Times New Roman" w:hAnsi="Times New Roman" w:cs="Times New Roman"/>
        </w:rPr>
        <w:t xml:space="preserve"> es intrascendente que tal información ya hubiese sido publicada por algún medio de comunicación o en internet y que el motor de búsqueda los haya publicado tal y como ya se hubiesen difundido con anterioridad. Esto es, el derecho fundamental a la protección de la vida privada, del que</w:t>
      </w:r>
      <w:r>
        <w:rPr>
          <w:rFonts w:ascii="Times New Roman" w:hAnsi="Times New Roman" w:cs="Times New Roman"/>
        </w:rPr>
        <w:t xml:space="preserve"> puede ser</w:t>
      </w:r>
      <w:r w:rsidRPr="00DF2607">
        <w:rPr>
          <w:rFonts w:ascii="Times New Roman" w:hAnsi="Times New Roman" w:cs="Times New Roman"/>
        </w:rPr>
        <w:t xml:space="preserve"> instrumental el derecho a la protección de datos, se puede </w:t>
      </w:r>
      <w:proofErr w:type="gramStart"/>
      <w:r w:rsidRPr="00DF2607">
        <w:rPr>
          <w:rFonts w:ascii="Times New Roman" w:hAnsi="Times New Roman" w:cs="Times New Roman"/>
        </w:rPr>
        <w:t>invocar</w:t>
      </w:r>
      <w:proofErr w:type="gramEnd"/>
      <w:r w:rsidRPr="00DF2607">
        <w:rPr>
          <w:rFonts w:ascii="Times New Roman" w:hAnsi="Times New Roman" w:cs="Times New Roman"/>
        </w:rPr>
        <w:t xml:space="preserve"> aunque la información</w:t>
      </w:r>
      <w:r>
        <w:rPr>
          <w:rFonts w:ascii="Times New Roman" w:hAnsi="Times New Roman" w:cs="Times New Roman"/>
        </w:rPr>
        <w:t xml:space="preserve"> concernida</w:t>
      </w:r>
      <w:r w:rsidRPr="00DF2607">
        <w:rPr>
          <w:rFonts w:ascii="Times New Roman" w:hAnsi="Times New Roman" w:cs="Times New Roman"/>
        </w:rPr>
        <w:t xml:space="preserve"> ya se hubiese publicado. El</w:t>
      </w:r>
      <w:r>
        <w:rPr>
          <w:rFonts w:ascii="Times New Roman" w:hAnsi="Times New Roman" w:cs="Times New Roman"/>
        </w:rPr>
        <w:t xml:space="preserve"> </w:t>
      </w:r>
      <w:r w:rsidRPr="00DF2607">
        <w:rPr>
          <w:rFonts w:ascii="Times New Roman" w:hAnsi="Times New Roman" w:cs="Times New Roman"/>
        </w:rPr>
        <w:t xml:space="preserve">TEDH también sostiene esta doctrina en la Sentencia </w:t>
      </w:r>
      <w:r w:rsidRPr="00DF2607">
        <w:rPr>
          <w:rFonts w:ascii="Times New Roman" w:hAnsi="Times New Roman" w:cs="Times New Roman"/>
          <w:i/>
        </w:rPr>
        <w:t>Aleksey Ovchinnikov c.</w:t>
      </w:r>
      <w:r w:rsidRPr="00DF2607">
        <w:rPr>
          <w:rFonts w:ascii="Times New Roman" w:hAnsi="Times New Roman" w:cs="Times New Roman"/>
        </w:rPr>
        <w:t xml:space="preserve">, </w:t>
      </w:r>
      <w:r>
        <w:rPr>
          <w:rFonts w:ascii="Times New Roman" w:hAnsi="Times New Roman" w:cs="Times New Roman"/>
        </w:rPr>
        <w:t>de 16 diciembre de 2010.</w:t>
      </w:r>
    </w:p>
  </w:footnote>
  <w:footnote w:id="15">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w:t>
      </w:r>
      <w:r>
        <w:rPr>
          <w:rFonts w:ascii="Times New Roman" w:hAnsi="Times New Roman" w:cs="Times New Roman"/>
        </w:rPr>
        <w:t>El</w:t>
      </w:r>
      <w:r w:rsidRPr="00B400F7">
        <w:rPr>
          <w:rFonts w:ascii="Times New Roman" w:hAnsi="Times New Roman" w:cs="Times New Roman"/>
        </w:rPr>
        <w:t xml:space="preserve"> fichero habrá de estar estructurado de acuerdo con “criterios «relativos a las personas»” al objeto de que “los datos relativos a una persona puedan recuperarse fácilmente”</w:t>
      </w:r>
      <w:r>
        <w:rPr>
          <w:rFonts w:ascii="Times New Roman" w:hAnsi="Times New Roman" w:cs="Times New Roman"/>
        </w:rPr>
        <w:t xml:space="preserve"> [</w:t>
      </w:r>
      <w:r w:rsidRPr="00DF2607">
        <w:rPr>
          <w:rFonts w:ascii="Times New Roman" w:hAnsi="Times New Roman" w:cs="Times New Roman"/>
        </w:rPr>
        <w:t xml:space="preserve">Sentencia TJUE </w:t>
      </w:r>
      <w:r w:rsidRPr="00DF2607">
        <w:rPr>
          <w:rFonts w:ascii="Times New Roman" w:hAnsi="Times New Roman" w:cs="Times New Roman"/>
          <w:i/>
          <w:iCs/>
        </w:rPr>
        <w:t>Jehovan todistajat</w:t>
      </w:r>
      <w:r w:rsidRPr="00DF2607">
        <w:rPr>
          <w:rFonts w:ascii="Times New Roman" w:hAnsi="Times New Roman" w:cs="Times New Roman"/>
        </w:rPr>
        <w:t>, de Gran Sala, de 10 de julio de 2018</w:t>
      </w:r>
      <w:r w:rsidRPr="00307C5D">
        <w:rPr>
          <w:rFonts w:ascii="Times New Roman" w:hAnsi="Times New Roman" w:cs="Times New Roman"/>
        </w:rPr>
        <w:t xml:space="preserve">, (C-25/27), ECLI:EU:C:2018:551, parágrafo 57]. </w:t>
      </w:r>
      <w:r w:rsidRPr="00DF2607">
        <w:rPr>
          <w:rFonts w:ascii="Times New Roman" w:hAnsi="Times New Roman" w:cs="Times New Roman"/>
        </w:rPr>
        <w:t>Cfr. VILLA</w:t>
      </w:r>
      <w:r>
        <w:rPr>
          <w:rFonts w:ascii="Times New Roman" w:hAnsi="Times New Roman" w:cs="Times New Roman"/>
        </w:rPr>
        <w:t>L</w:t>
      </w:r>
      <w:r w:rsidRPr="00DF2607">
        <w:rPr>
          <w:rFonts w:ascii="Times New Roman" w:hAnsi="Times New Roman" w:cs="Times New Roman"/>
        </w:rPr>
        <w:t xml:space="preserve">BA CANO, L, </w:t>
      </w:r>
      <w:r w:rsidRPr="00B400F7">
        <w:rPr>
          <w:rFonts w:ascii="Times New Roman" w:hAnsi="Times New Roman" w:cs="Times New Roman"/>
          <w:i/>
        </w:rPr>
        <w:t>ob</w:t>
      </w:r>
      <w:r w:rsidRPr="00DF2607">
        <w:rPr>
          <w:rFonts w:ascii="Times New Roman" w:hAnsi="Times New Roman" w:cs="Times New Roman"/>
        </w:rPr>
        <w:t>., cit., p. 348.</w:t>
      </w:r>
    </w:p>
  </w:footnote>
  <w:footnote w:id="16">
    <w:p w:rsidR="00CC7F93" w:rsidRPr="00324450" w:rsidRDefault="00CC7F93" w:rsidP="0037657A">
      <w:pPr>
        <w:pStyle w:val="Textonotapie"/>
        <w:jc w:val="both"/>
        <w:rPr>
          <w:rFonts w:ascii="Times New Roman" w:hAnsi="Times New Roman" w:cs="Times New Roman"/>
        </w:rPr>
      </w:pPr>
      <w:r w:rsidRPr="00324450">
        <w:rPr>
          <w:rStyle w:val="Refdenotaalpie"/>
          <w:rFonts w:ascii="Times New Roman" w:hAnsi="Times New Roman" w:cs="Times New Roman"/>
        </w:rPr>
        <w:footnoteRef/>
      </w:r>
      <w:r w:rsidRPr="00324450">
        <w:rPr>
          <w:rFonts w:ascii="Times New Roman" w:hAnsi="Times New Roman" w:cs="Times New Roman"/>
        </w:rPr>
        <w:t xml:space="preserve"> </w:t>
      </w:r>
      <w:r>
        <w:rPr>
          <w:rFonts w:ascii="Times New Roman" w:hAnsi="Times New Roman" w:cs="Times New Roman"/>
        </w:rPr>
        <w:t xml:space="preserve">Artículo 5.1 </w:t>
      </w:r>
      <w:r w:rsidRPr="00324450">
        <w:rPr>
          <w:rFonts w:ascii="Times New Roman" w:hAnsi="Times New Roman" w:cs="Times New Roman"/>
        </w:rPr>
        <w:t>RGPD</w:t>
      </w:r>
      <w:r>
        <w:rPr>
          <w:rFonts w:ascii="Times New Roman" w:hAnsi="Times New Roman" w:cs="Times New Roman"/>
        </w:rPr>
        <w:t>:</w:t>
      </w:r>
      <w:r w:rsidRPr="00324450">
        <w:rPr>
          <w:rFonts w:ascii="Times New Roman" w:hAnsi="Times New Roman" w:cs="Times New Roman"/>
        </w:rPr>
        <w:t xml:space="preserve"> “Los datos personales serán (…) b) recogidos con fines determinados, explícitos y legítimos, y no serán tratados ulteriormente de manera incompatible con dichos fines; de acuerdo con el artículo 89, apartado 1, el tratamiento ulterior de los datos personales con fines de archivo en interés público, fines de investigación científica e histórica o fines estadísticos no se considerará incompatible con los fines iniciales («limitación de la finalidad»)”. c) adecuados, pertinentes y limitados a lo necesario en relación con los fines para los que son tratados («minimización de datos»)”;</w:t>
      </w:r>
    </w:p>
  </w:footnote>
  <w:footnote w:id="17">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w:t>
      </w:r>
      <w:r>
        <w:rPr>
          <w:rFonts w:ascii="Times New Roman" w:hAnsi="Times New Roman" w:cs="Times New Roman"/>
        </w:rPr>
        <w:t xml:space="preserve">En otros trabajos hemos estudiado con mayor detenimiento </w:t>
      </w:r>
      <w:r w:rsidRPr="00DF2607">
        <w:rPr>
          <w:rFonts w:ascii="Times New Roman" w:hAnsi="Times New Roman" w:cs="Times New Roman"/>
        </w:rPr>
        <w:t>el</w:t>
      </w:r>
      <w:r>
        <w:rPr>
          <w:rFonts w:ascii="Times New Roman" w:hAnsi="Times New Roman" w:cs="Times New Roman"/>
        </w:rPr>
        <w:t xml:space="preserve"> progresivo </w:t>
      </w:r>
      <w:r w:rsidRPr="00DF2607">
        <w:rPr>
          <w:rFonts w:ascii="Times New Roman" w:hAnsi="Times New Roman" w:cs="Times New Roman"/>
        </w:rPr>
        <w:t xml:space="preserve">reconocimiento </w:t>
      </w:r>
      <w:r>
        <w:rPr>
          <w:rFonts w:ascii="Times New Roman" w:hAnsi="Times New Roman" w:cs="Times New Roman"/>
        </w:rPr>
        <w:t xml:space="preserve">de este derecho: </w:t>
      </w:r>
      <w:r w:rsidRPr="001A2CC3">
        <w:rPr>
          <w:rFonts w:ascii="Times New Roman" w:hAnsi="Times New Roman" w:cs="Times New Roman"/>
          <w:lang w:val="es-ES_tradnl"/>
        </w:rPr>
        <w:t>“La libertad de expresión y el derecho de rectificación en la Ley Orgánica 3/2018 de Protección de Datos Personales y garantía de los derechos digitales (Comentario al art. 85 LOPDGDD)”, en la obra colectiva dirigida por TRONCOSO REIGADA, A</w:t>
      </w:r>
      <w:r>
        <w:rPr>
          <w:rFonts w:ascii="Times New Roman" w:hAnsi="Times New Roman" w:cs="Times New Roman"/>
          <w:lang w:val="es-ES_tradnl"/>
        </w:rPr>
        <w:t>.</w:t>
      </w:r>
      <w:r w:rsidRPr="001A2CC3">
        <w:rPr>
          <w:rFonts w:ascii="Times New Roman" w:hAnsi="Times New Roman" w:cs="Times New Roman"/>
          <w:lang w:val="es-ES_tradnl"/>
        </w:rPr>
        <w:t xml:space="preserve">, </w:t>
      </w:r>
      <w:r w:rsidRPr="001A2CC3">
        <w:rPr>
          <w:rFonts w:ascii="Times New Roman" w:hAnsi="Times New Roman" w:cs="Times New Roman"/>
          <w:i/>
          <w:lang w:val="es-ES_tradnl"/>
        </w:rPr>
        <w:t>Comentarios al Reglamento General de Protección de Datos y a Ley Orgánica de Protección de Datos Personales y garantía de los derechos digitales</w:t>
      </w:r>
      <w:r w:rsidRPr="001A2CC3">
        <w:rPr>
          <w:rFonts w:ascii="Times New Roman" w:hAnsi="Times New Roman" w:cs="Times New Roman"/>
          <w:lang w:val="es-ES_tradnl"/>
        </w:rPr>
        <w:t>, Tomo I, Civitas&amp;</w:t>
      </w:r>
      <w:r>
        <w:rPr>
          <w:rFonts w:ascii="Times New Roman" w:hAnsi="Times New Roman" w:cs="Times New Roman"/>
          <w:lang w:val="es-ES_tradnl"/>
        </w:rPr>
        <w:t xml:space="preserve">Thomson Reuters, Madrid, 2020; </w:t>
      </w:r>
      <w:r w:rsidRPr="001A2CC3">
        <w:rPr>
          <w:rFonts w:ascii="Times New Roman" w:hAnsi="Times New Roman" w:cs="Times New Roman"/>
          <w:lang w:val="es-ES_tradnl"/>
        </w:rPr>
        <w:t xml:space="preserve">“El acceso a los datos relativos a la salud: criterios aplicables de acuerdo con la ley de transparencia y a la luz de la jurisprudencia del Tribunal Europeo de Derechos Humanos”, </w:t>
      </w:r>
      <w:r w:rsidRPr="001A2CC3">
        <w:rPr>
          <w:rFonts w:ascii="Times New Roman" w:hAnsi="Times New Roman" w:cs="Times New Roman"/>
          <w:i/>
          <w:lang w:val="es-ES_tradnl"/>
        </w:rPr>
        <w:t>Papeles el tiempo de los derechos</w:t>
      </w:r>
      <w:r>
        <w:rPr>
          <w:rFonts w:ascii="Times New Roman" w:hAnsi="Times New Roman" w:cs="Times New Roman"/>
          <w:lang w:val="es-ES_tradnl"/>
        </w:rPr>
        <w:t xml:space="preserve">, núm. 12, 2018, pp. 1-21; </w:t>
      </w:r>
      <w:r w:rsidRPr="001A2CC3">
        <w:rPr>
          <w:rFonts w:ascii="Times New Roman" w:hAnsi="Times New Roman" w:cs="Times New Roman"/>
          <w:lang w:val="es-ES_tradnl"/>
        </w:rPr>
        <w:t xml:space="preserve">“La protección de datos relativos a la salud frente a las nuevas tecnologías”, </w:t>
      </w:r>
      <w:r w:rsidRPr="001A2CC3">
        <w:rPr>
          <w:rFonts w:ascii="Times New Roman" w:hAnsi="Times New Roman" w:cs="Times New Roman"/>
          <w:i/>
          <w:lang w:val="es-ES_tradnl"/>
        </w:rPr>
        <w:t>Giustizia e Costituzione agli albori del XXI Secolo</w:t>
      </w:r>
      <w:r w:rsidRPr="001A2CC3">
        <w:rPr>
          <w:rFonts w:ascii="Times New Roman" w:hAnsi="Times New Roman" w:cs="Times New Roman"/>
          <w:lang w:val="es-ES_tradnl"/>
        </w:rPr>
        <w:t>, a cura di Luca Mezzetti e Elena Ferioli, Bonomo Editore,</w:t>
      </w:r>
      <w:r>
        <w:rPr>
          <w:rFonts w:ascii="Times New Roman" w:hAnsi="Times New Roman" w:cs="Times New Roman"/>
          <w:lang w:val="es-ES_tradnl"/>
        </w:rPr>
        <w:t xml:space="preserve"> 2017, pp. 1323 a 1338; </w:t>
      </w:r>
      <w:r w:rsidRPr="001A2CC3">
        <w:rPr>
          <w:rFonts w:ascii="Times New Roman" w:hAnsi="Times New Roman" w:cs="Times New Roman"/>
        </w:rPr>
        <w:t xml:space="preserve">“El derecho de acceso a información pública que contenga datos personales: en particular, los datos relativos a la salud”, en la obra coordinada por </w:t>
      </w:r>
      <w:r>
        <w:rPr>
          <w:rFonts w:ascii="Times New Roman" w:hAnsi="Times New Roman" w:cs="Times New Roman"/>
        </w:rPr>
        <w:t>TRONCOSO REIGADA</w:t>
      </w:r>
      <w:r w:rsidRPr="001A2CC3">
        <w:rPr>
          <w:rFonts w:ascii="Times New Roman" w:hAnsi="Times New Roman" w:cs="Times New Roman"/>
        </w:rPr>
        <w:t>, A</w:t>
      </w:r>
      <w:r>
        <w:rPr>
          <w:rFonts w:ascii="Times New Roman" w:hAnsi="Times New Roman" w:cs="Times New Roman"/>
        </w:rPr>
        <w:t>.</w:t>
      </w:r>
      <w:r w:rsidRPr="001A2CC3">
        <w:rPr>
          <w:rFonts w:ascii="Times New Roman" w:hAnsi="Times New Roman" w:cs="Times New Roman"/>
        </w:rPr>
        <w:t xml:space="preserve">,  </w:t>
      </w:r>
      <w:r w:rsidRPr="001A2CC3">
        <w:rPr>
          <w:rFonts w:ascii="Times New Roman" w:hAnsi="Times New Roman" w:cs="Times New Roman"/>
          <w:i/>
          <w:iCs/>
        </w:rPr>
        <w:t>Comentarios a la Ley de Transparencia, Acceso a la Información Pública y Buen Gobierno</w:t>
      </w:r>
      <w:r w:rsidRPr="001A2CC3">
        <w:rPr>
          <w:rFonts w:ascii="Times New Roman" w:hAnsi="Times New Roman" w:cs="Times New Roman"/>
          <w:iCs/>
        </w:rPr>
        <w:t>,</w:t>
      </w:r>
      <w:r w:rsidRPr="001A2CC3">
        <w:rPr>
          <w:rFonts w:ascii="Times New Roman" w:hAnsi="Times New Roman" w:cs="Times New Roman"/>
        </w:rPr>
        <w:t xml:space="preserve"> Civitas-Thomson Reuters</w:t>
      </w:r>
      <w:r>
        <w:rPr>
          <w:rFonts w:ascii="Times New Roman" w:hAnsi="Times New Roman" w:cs="Times New Roman"/>
        </w:rPr>
        <w:t xml:space="preserve">, 2017, </w:t>
      </w:r>
      <w:r w:rsidRPr="001A2CC3">
        <w:rPr>
          <w:rFonts w:ascii="Times New Roman" w:hAnsi="Times New Roman" w:cs="Times New Roman"/>
        </w:rPr>
        <w:t>pp. 10</w:t>
      </w:r>
      <w:r>
        <w:rPr>
          <w:rFonts w:ascii="Times New Roman" w:hAnsi="Times New Roman" w:cs="Times New Roman"/>
        </w:rPr>
        <w:t xml:space="preserve">79-1112; </w:t>
      </w:r>
      <w:r w:rsidRPr="001A2CC3">
        <w:rPr>
          <w:rFonts w:ascii="Times New Roman" w:hAnsi="Times New Roman" w:cs="Times New Roman"/>
          <w:lang w:val="es-ES_tradnl"/>
        </w:rPr>
        <w:t xml:space="preserve">“Alcance del reconocimiento autonómico del derecho a la protección de datos de carácter personal”, </w:t>
      </w:r>
      <w:r w:rsidRPr="001A2CC3">
        <w:rPr>
          <w:rFonts w:ascii="Times New Roman" w:hAnsi="Times New Roman" w:cs="Times New Roman"/>
          <w:i/>
          <w:lang w:val="es-ES_tradnl"/>
        </w:rPr>
        <w:t xml:space="preserve">La ciencia del Derecho Constitucional Comparado. Homenaje a Lucio Pegoraro, </w:t>
      </w:r>
      <w:r w:rsidRPr="001A2CC3">
        <w:rPr>
          <w:rFonts w:ascii="Times New Roman" w:hAnsi="Times New Roman" w:cs="Times New Roman"/>
          <w:lang w:val="es-ES_tradnl"/>
        </w:rPr>
        <w:t>Tirant lo Blanch, Ciudad de México,</w:t>
      </w:r>
      <w:r>
        <w:rPr>
          <w:rFonts w:ascii="Times New Roman" w:hAnsi="Times New Roman" w:cs="Times New Roman"/>
          <w:lang w:val="es-ES_tradnl"/>
        </w:rPr>
        <w:t xml:space="preserve"> 2017,</w:t>
      </w:r>
      <w:r w:rsidRPr="001A2CC3">
        <w:rPr>
          <w:rFonts w:ascii="Times New Roman" w:hAnsi="Times New Roman" w:cs="Times New Roman"/>
          <w:lang w:val="es-ES_tradnl"/>
        </w:rPr>
        <w:t xml:space="preserve"> pp. 925 a 961</w:t>
      </w:r>
      <w:r>
        <w:rPr>
          <w:rFonts w:ascii="Times New Roman" w:hAnsi="Times New Roman" w:cs="Times New Roman"/>
          <w:lang w:val="es-ES_tradnl"/>
        </w:rPr>
        <w:t xml:space="preserve">; </w:t>
      </w:r>
      <w:r w:rsidRPr="001A2CC3">
        <w:rPr>
          <w:rFonts w:ascii="Times New Roman" w:hAnsi="Times New Roman" w:cs="Times New Roman"/>
          <w:lang w:val="es-ES_tradnl"/>
        </w:rPr>
        <w:t xml:space="preserve">“Comentario al artículo 32 del Estatuto de Autonomía para Andalucía: Protección de datos”, en CRUZ VILLALÓN / MEDINA GUERRERO, </w:t>
      </w:r>
      <w:r w:rsidRPr="001A2CC3">
        <w:rPr>
          <w:rFonts w:ascii="Times New Roman" w:hAnsi="Times New Roman" w:cs="Times New Roman"/>
          <w:i/>
          <w:lang w:val="es-ES_tradnl"/>
        </w:rPr>
        <w:t xml:space="preserve">Comentarios. Estatuto de Autonomía para Andalucía, </w:t>
      </w:r>
      <w:r w:rsidRPr="001A2CC3">
        <w:rPr>
          <w:rFonts w:ascii="Times New Roman" w:hAnsi="Times New Roman" w:cs="Times New Roman"/>
          <w:lang w:val="es-ES_tradnl"/>
        </w:rPr>
        <w:t>Parlamento de Andalucía, vol. I,</w:t>
      </w:r>
      <w:r>
        <w:rPr>
          <w:rFonts w:ascii="Times New Roman" w:hAnsi="Times New Roman" w:cs="Times New Roman"/>
          <w:lang w:val="es-ES_tradnl"/>
        </w:rPr>
        <w:t xml:space="preserve"> 2012, pp. 516 a 526; </w:t>
      </w:r>
      <w:r w:rsidRPr="001A2CC3">
        <w:rPr>
          <w:rFonts w:ascii="Times New Roman" w:hAnsi="Times New Roman" w:cs="Times New Roman"/>
          <w:lang w:val="es-ES_tradnl"/>
        </w:rPr>
        <w:t xml:space="preserve">“Comentario al artículo 82 del Estatuto de Autonomía para Andalucía: Protección de datos”, en CRUZ VILLALÓN / MEDINA GUERRERO, </w:t>
      </w:r>
      <w:r w:rsidRPr="001A2CC3">
        <w:rPr>
          <w:rFonts w:ascii="Times New Roman" w:hAnsi="Times New Roman" w:cs="Times New Roman"/>
          <w:i/>
          <w:lang w:val="es-ES_tradnl"/>
        </w:rPr>
        <w:t xml:space="preserve">Comentarios. Estatuto de Autonomía para Andalucía, </w:t>
      </w:r>
      <w:r w:rsidRPr="001A2CC3">
        <w:rPr>
          <w:rFonts w:ascii="Times New Roman" w:hAnsi="Times New Roman" w:cs="Times New Roman"/>
          <w:lang w:val="es-ES_tradnl"/>
        </w:rPr>
        <w:t>Parlamento de Andalucía, vol. II,</w:t>
      </w:r>
      <w:r>
        <w:rPr>
          <w:rFonts w:ascii="Times New Roman" w:hAnsi="Times New Roman" w:cs="Times New Roman"/>
          <w:lang w:val="es-ES_tradnl"/>
        </w:rPr>
        <w:t xml:space="preserve"> 2012, pp. 1349 a 1359; </w:t>
      </w:r>
      <w:r w:rsidRPr="001A2CC3">
        <w:rPr>
          <w:rFonts w:ascii="Times New Roman" w:hAnsi="Times New Roman" w:cs="Times New Roman"/>
        </w:rPr>
        <w:t xml:space="preserve">“El consentimiento del afectado en el tratamiento de datos relativos a la salud”. Comentario a los artículos 7.6 y 8, en la obra colectiva </w:t>
      </w:r>
      <w:r w:rsidRPr="001A2CC3">
        <w:rPr>
          <w:rFonts w:ascii="Times New Roman" w:hAnsi="Times New Roman" w:cs="Times New Roman"/>
          <w:i/>
        </w:rPr>
        <w:t>Comentario a la Ley Orgánica de Protección de Datos de Carácter Personal</w:t>
      </w:r>
      <w:r w:rsidRPr="001A2CC3">
        <w:rPr>
          <w:rFonts w:ascii="Times New Roman" w:hAnsi="Times New Roman" w:cs="Times New Roman"/>
        </w:rPr>
        <w:t xml:space="preserve">, Editorial Civitas&amp;Thomson Reuters, Pamplona, </w:t>
      </w:r>
      <w:r>
        <w:rPr>
          <w:rFonts w:ascii="Times New Roman" w:hAnsi="Times New Roman" w:cs="Times New Roman"/>
        </w:rPr>
        <w:t xml:space="preserve">2010, </w:t>
      </w:r>
      <w:r w:rsidRPr="001A2CC3">
        <w:rPr>
          <w:rFonts w:ascii="Times New Roman" w:hAnsi="Times New Roman" w:cs="Times New Roman"/>
        </w:rPr>
        <w:t>p</w:t>
      </w:r>
      <w:r>
        <w:rPr>
          <w:rFonts w:ascii="Times New Roman" w:hAnsi="Times New Roman" w:cs="Times New Roman"/>
        </w:rPr>
        <w:t>p</w:t>
      </w:r>
      <w:r w:rsidRPr="001A2CC3">
        <w:rPr>
          <w:rFonts w:ascii="Times New Roman" w:hAnsi="Times New Roman" w:cs="Times New Roman"/>
        </w:rPr>
        <w:t>. 663 a 667.</w:t>
      </w:r>
    </w:p>
  </w:footnote>
  <w:footnote w:id="18">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STC 254/1993, FJ. 7: “A partir de aquí se plantea el problema de cuál deba ser ese contenido mínimo, provisional, en relación con este derecho o libertad que el ciudadano debe encontrar garantizado, aun en ausencia de desarrollo legislativo del mismo</w:t>
      </w:r>
      <w:r>
        <w:rPr>
          <w:rFonts w:ascii="Times New Roman" w:hAnsi="Times New Roman" w:cs="Times New Roman"/>
        </w:rPr>
        <w:t>.// Un primer elemento, el más “elemental”</w:t>
      </w:r>
      <w:r w:rsidRPr="00DF2607">
        <w:rPr>
          <w:rFonts w:ascii="Times New Roman" w:hAnsi="Times New Roman" w:cs="Times New Roman"/>
        </w:rPr>
        <w:t>, de ese contenido, es, sin duda, negativo, respondiendo al enunciado lite ral del derecho: El uso de la informática encuentra un límite en el respeto al honor y la intimidad de la personas y en el pleno ejercicio de sus derechos. Ahora bien, la efectividad de ese derecho puede requerir inexcusablemente de alguna garantía complementaria, y es aquí donde pueden venir en auxilio interpretativo los tratados y convenios internacionales sobre esta materia suscritos por España. Pues, como señala el Ministerio Fiscal, la garantía de la intimidad adopta hoy un contenido positivo en forma de derecho de control sobre los datos relativos a</w:t>
      </w:r>
      <w:r>
        <w:rPr>
          <w:rFonts w:ascii="Times New Roman" w:hAnsi="Times New Roman" w:cs="Times New Roman"/>
        </w:rPr>
        <w:t xml:space="preserve"> la propia persona. La llamada “</w:t>
      </w:r>
      <w:r w:rsidRPr="00DF2607">
        <w:rPr>
          <w:rFonts w:ascii="Times New Roman" w:hAnsi="Times New Roman" w:cs="Times New Roman"/>
        </w:rPr>
        <w:t>libertad info</w:t>
      </w:r>
      <w:r>
        <w:rPr>
          <w:rFonts w:ascii="Times New Roman" w:hAnsi="Times New Roman" w:cs="Times New Roman"/>
        </w:rPr>
        <w:t>rmática”</w:t>
      </w:r>
      <w:r w:rsidRPr="00DF2607">
        <w:rPr>
          <w:rFonts w:ascii="Times New Roman" w:hAnsi="Times New Roman" w:cs="Times New Roman"/>
        </w:rPr>
        <w:t xml:space="preserve"> es, así, también, derecho a controlar el uso de los mismos datos insertos en un programa informático (habeas data)”.</w:t>
      </w:r>
    </w:p>
  </w:footnote>
  <w:footnote w:id="19">
    <w:p w:rsidR="00CC7F93" w:rsidRPr="00EC5B00" w:rsidRDefault="00CC7F93" w:rsidP="00B25435">
      <w:pPr>
        <w:pStyle w:val="Textonotapie"/>
        <w:jc w:val="both"/>
        <w:rPr>
          <w:rFonts w:ascii="Times New Roman" w:hAnsi="Times New Roman" w:cs="Times New Roman"/>
        </w:rPr>
      </w:pPr>
      <w:r w:rsidRPr="00EC5B00">
        <w:rPr>
          <w:rStyle w:val="Refdenotaalpie"/>
          <w:rFonts w:ascii="Times New Roman" w:hAnsi="Times New Roman" w:cs="Times New Roman"/>
        </w:rPr>
        <w:footnoteRef/>
      </w:r>
      <w:r w:rsidRPr="00EC5B00">
        <w:rPr>
          <w:rFonts w:ascii="Times New Roman" w:hAnsi="Times New Roman" w:cs="Times New Roman"/>
        </w:rPr>
        <w:t xml:space="preserve"> La STC 290/2000, FJ. 7, recuerda que el artículo 18.4 “contiene un instituto de garantía de los derechos a la intimidad y al honor y del pleno disfrute de los restantes derechos de los ciudadano</w:t>
      </w:r>
      <w:r>
        <w:rPr>
          <w:rFonts w:ascii="Times New Roman" w:hAnsi="Times New Roman" w:cs="Times New Roman"/>
        </w:rPr>
        <w:t>s que es, además, en sí mismo, “</w:t>
      </w:r>
      <w:r w:rsidRPr="00EC5B00">
        <w:rPr>
          <w:rFonts w:ascii="Times New Roman" w:hAnsi="Times New Roman" w:cs="Times New Roman"/>
        </w:rPr>
        <w:t>un derecho fundamental, el derecho a la libertad frente a las potenciales agresiones a la dignidad y a la libertad de la persona provenientes de un uso ilegítimo del tratamiento automatizado de datos, lo que la Constitución llama 'la informática</w:t>
      </w:r>
      <w:r>
        <w:rPr>
          <w:rFonts w:ascii="Times New Roman" w:hAnsi="Times New Roman" w:cs="Times New Roman"/>
        </w:rPr>
        <w:t>”</w:t>
      </w:r>
      <w:r w:rsidRPr="00EC5B00">
        <w:rPr>
          <w:rFonts w:ascii="Times New Roman" w:hAnsi="Times New Roman" w:cs="Times New Roman"/>
        </w:rPr>
        <w:t xml:space="preserve"> (STC </w:t>
      </w:r>
      <w:hyperlink r:id="rId1" w:tgtFrame="_blank" w:history="1">
        <w:r w:rsidRPr="00EC5B00">
          <w:rPr>
            <w:rStyle w:val="Hipervnculo"/>
            <w:rFonts w:ascii="Times New Roman" w:hAnsi="Times New Roman" w:cs="Times New Roman"/>
            <w:color w:val="auto"/>
            <w:u w:val="none"/>
          </w:rPr>
          <w:t>254/1993</w:t>
        </w:r>
      </w:hyperlink>
      <w:r w:rsidRPr="00EC5B00">
        <w:rPr>
          <w:rFonts w:ascii="Times New Roman" w:hAnsi="Times New Roman" w:cs="Times New Roman"/>
        </w:rPr>
        <w:t>, de 20 de julio, FJ 6, doctrina que se reitera en las SSTC </w:t>
      </w:r>
      <w:hyperlink r:id="rId2" w:tgtFrame="_blank" w:history="1">
        <w:r w:rsidRPr="00EC5B00">
          <w:rPr>
            <w:rStyle w:val="Hipervnculo"/>
            <w:rFonts w:ascii="Times New Roman" w:hAnsi="Times New Roman" w:cs="Times New Roman"/>
            <w:color w:val="auto"/>
            <w:u w:val="none"/>
          </w:rPr>
          <w:t>143/1994</w:t>
        </w:r>
      </w:hyperlink>
      <w:r w:rsidRPr="00EC5B00">
        <w:rPr>
          <w:rFonts w:ascii="Times New Roman" w:hAnsi="Times New Roman" w:cs="Times New Roman"/>
        </w:rPr>
        <w:t>, de 9 de mayo, FJ 7; </w:t>
      </w:r>
      <w:hyperlink r:id="rId3" w:tgtFrame="_blank" w:history="1">
        <w:r w:rsidRPr="00EC5B00">
          <w:rPr>
            <w:rStyle w:val="Hipervnculo"/>
            <w:rFonts w:ascii="Times New Roman" w:hAnsi="Times New Roman" w:cs="Times New Roman"/>
            <w:color w:val="auto"/>
            <w:u w:val="none"/>
          </w:rPr>
          <w:t>11/1998</w:t>
        </w:r>
      </w:hyperlink>
      <w:r w:rsidRPr="00EC5B00">
        <w:rPr>
          <w:rFonts w:ascii="Times New Roman" w:hAnsi="Times New Roman" w:cs="Times New Roman"/>
        </w:rPr>
        <w:t>, de 13 de enero, FJ 4; </w:t>
      </w:r>
      <w:hyperlink r:id="rId4" w:tgtFrame="_blank" w:history="1">
        <w:r w:rsidRPr="00EC5B00">
          <w:rPr>
            <w:rStyle w:val="Hipervnculo"/>
            <w:rFonts w:ascii="Times New Roman" w:hAnsi="Times New Roman" w:cs="Times New Roman"/>
            <w:color w:val="auto"/>
            <w:u w:val="none"/>
          </w:rPr>
          <w:t>94/1998</w:t>
        </w:r>
      </w:hyperlink>
      <w:r w:rsidRPr="00EC5B00">
        <w:rPr>
          <w:rFonts w:ascii="Times New Roman" w:hAnsi="Times New Roman" w:cs="Times New Roman"/>
        </w:rPr>
        <w:t>, de 4 de mayo, FJ 6, y </w:t>
      </w:r>
      <w:hyperlink r:id="rId5" w:tgtFrame="_blank" w:history="1">
        <w:r w:rsidRPr="00EC5B00">
          <w:rPr>
            <w:rStyle w:val="Hipervnculo"/>
            <w:rFonts w:ascii="Times New Roman" w:hAnsi="Times New Roman" w:cs="Times New Roman"/>
            <w:color w:val="auto"/>
            <w:u w:val="none"/>
          </w:rPr>
          <w:t>202/1999</w:t>
        </w:r>
      </w:hyperlink>
      <w:r w:rsidRPr="00EC5B00">
        <w:rPr>
          <w:rFonts w:ascii="Times New Roman" w:hAnsi="Times New Roman" w:cs="Times New Roman"/>
        </w:rPr>
        <w:t>, de 8 de noviembre, FJ 2)”.</w:t>
      </w:r>
    </w:p>
  </w:footnote>
  <w:footnote w:id="20">
    <w:p w:rsidR="00CC7F93" w:rsidRPr="007B6F2B"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w:t>
      </w:r>
      <w:r>
        <w:rPr>
          <w:rFonts w:ascii="Times New Roman" w:hAnsi="Times New Roman" w:cs="Times New Roman"/>
        </w:rPr>
        <w:t>La STC 292/2000, FJ. 6 recuerda que e</w:t>
      </w:r>
      <w:r w:rsidRPr="007B6F2B">
        <w:rPr>
          <w:rFonts w:ascii="Times New Roman" w:hAnsi="Times New Roman" w:cs="Times New Roman"/>
        </w:rPr>
        <w:t>l derecho a la intimidad permite excluir ciertos datos de una persona del conocimiento ajeno,</w:t>
      </w:r>
      <w:r>
        <w:rPr>
          <w:rFonts w:ascii="Times New Roman" w:hAnsi="Times New Roman" w:cs="Times New Roman"/>
        </w:rPr>
        <w:t xml:space="preserve"> esto es, “resguardar [la]</w:t>
      </w:r>
      <w:r w:rsidRPr="007B6F2B">
        <w:rPr>
          <w:rFonts w:ascii="Times New Roman" w:hAnsi="Times New Roman" w:cs="Times New Roman"/>
        </w:rPr>
        <w:t xml:space="preserve"> vida privada de </w:t>
      </w:r>
      <w:r>
        <w:rPr>
          <w:rFonts w:ascii="Times New Roman" w:hAnsi="Times New Roman" w:cs="Times New Roman"/>
        </w:rPr>
        <w:t xml:space="preserve">una publicidad no querida”. Al efecto, se remite a las SSTC </w:t>
      </w:r>
      <w:r w:rsidRPr="007B6F2B">
        <w:rPr>
          <w:rFonts w:ascii="Times New Roman" w:hAnsi="Times New Roman" w:cs="Times New Roman"/>
          <w:color w:val="222222"/>
          <w:shd w:val="clear" w:color="auto" w:fill="FFFFFF"/>
        </w:rPr>
        <w:t>144/1999, de 22 de julio, FJ 8</w:t>
      </w:r>
      <w:r>
        <w:rPr>
          <w:rFonts w:ascii="Times New Roman" w:hAnsi="Times New Roman" w:cs="Times New Roman"/>
          <w:color w:val="222222"/>
          <w:shd w:val="clear" w:color="auto" w:fill="FFFFFF"/>
        </w:rPr>
        <w:t xml:space="preserve">; </w:t>
      </w:r>
      <w:hyperlink r:id="rId6" w:tgtFrame="_blank" w:history="1">
        <w:r w:rsidRPr="007B6F2B">
          <w:rPr>
            <w:rFonts w:ascii="Times New Roman" w:hAnsi="Times New Roman" w:cs="Times New Roman"/>
            <w:shd w:val="clear" w:color="auto" w:fill="FFFFFF"/>
          </w:rPr>
          <w:t>134/1999</w:t>
        </w:r>
      </w:hyperlink>
      <w:r w:rsidRPr="007B6F2B">
        <w:rPr>
          <w:rFonts w:ascii="Times New Roman" w:hAnsi="Times New Roman" w:cs="Times New Roman"/>
          <w:shd w:val="clear" w:color="auto" w:fill="FFFFFF"/>
        </w:rPr>
        <w:t>, de 15 de julio, FJ 5; </w:t>
      </w:r>
      <w:hyperlink r:id="rId7" w:tgtFrame="_blank" w:history="1">
        <w:r w:rsidRPr="007B6F2B">
          <w:rPr>
            <w:rFonts w:ascii="Times New Roman" w:hAnsi="Times New Roman" w:cs="Times New Roman"/>
            <w:shd w:val="clear" w:color="auto" w:fill="FFFFFF"/>
          </w:rPr>
          <w:t>144/1999</w:t>
        </w:r>
      </w:hyperlink>
      <w:r w:rsidRPr="007B6F2B">
        <w:rPr>
          <w:rFonts w:ascii="Times New Roman" w:hAnsi="Times New Roman" w:cs="Times New Roman"/>
          <w:shd w:val="clear" w:color="auto" w:fill="FFFFFF"/>
        </w:rPr>
        <w:t>, FJ 8; </w:t>
      </w:r>
      <w:hyperlink r:id="rId8" w:tgtFrame="_blank" w:history="1">
        <w:r w:rsidRPr="007B6F2B">
          <w:rPr>
            <w:rFonts w:ascii="Times New Roman" w:hAnsi="Times New Roman" w:cs="Times New Roman"/>
            <w:shd w:val="clear" w:color="auto" w:fill="FFFFFF"/>
          </w:rPr>
          <w:t>98/2000</w:t>
        </w:r>
      </w:hyperlink>
      <w:r w:rsidRPr="007B6F2B">
        <w:rPr>
          <w:rFonts w:ascii="Times New Roman" w:hAnsi="Times New Roman" w:cs="Times New Roman"/>
          <w:shd w:val="clear" w:color="auto" w:fill="FFFFFF"/>
        </w:rPr>
        <w:t>, de 10 de abril, FJ 5; </w:t>
      </w:r>
      <w:hyperlink r:id="rId9" w:tgtFrame="_blank" w:history="1">
        <w:r w:rsidRPr="007B6F2B">
          <w:rPr>
            <w:rFonts w:ascii="Times New Roman" w:hAnsi="Times New Roman" w:cs="Times New Roman"/>
            <w:shd w:val="clear" w:color="auto" w:fill="FFFFFF"/>
          </w:rPr>
          <w:t>115/2000</w:t>
        </w:r>
      </w:hyperlink>
      <w:r>
        <w:rPr>
          <w:rFonts w:ascii="Times New Roman" w:hAnsi="Times New Roman" w:cs="Times New Roman"/>
          <w:shd w:val="clear" w:color="auto" w:fill="FFFFFF"/>
        </w:rPr>
        <w:t>, de 10 de mayo, FJ 4</w:t>
      </w:r>
      <w:r w:rsidRPr="007B6F2B">
        <w:rPr>
          <w:rFonts w:ascii="Times New Roman" w:hAnsi="Times New Roman" w:cs="Times New Roman"/>
          <w:shd w:val="clear" w:color="auto" w:fill="FFFFFF"/>
        </w:rPr>
        <w:t>.</w:t>
      </w:r>
    </w:p>
  </w:footnote>
  <w:footnote w:id="21">
    <w:p w:rsidR="00CC7F93" w:rsidRPr="002B4EB8" w:rsidRDefault="00CC7F93" w:rsidP="00B25435">
      <w:pPr>
        <w:pStyle w:val="Textonotapie"/>
        <w:jc w:val="both"/>
        <w:rPr>
          <w:rFonts w:ascii="Times New Roman" w:hAnsi="Times New Roman" w:cs="Times New Roman"/>
        </w:rPr>
      </w:pPr>
      <w:r w:rsidRPr="002B4EB8">
        <w:rPr>
          <w:rStyle w:val="Refdenotaalpie"/>
          <w:rFonts w:ascii="Times New Roman" w:hAnsi="Times New Roman" w:cs="Times New Roman"/>
        </w:rPr>
        <w:footnoteRef/>
      </w:r>
      <w:r w:rsidRPr="002B4EB8">
        <w:rPr>
          <w:rFonts w:ascii="Times New Roman" w:hAnsi="Times New Roman" w:cs="Times New Roman"/>
        </w:rPr>
        <w:t xml:space="preserve"> Esta doctrina sobre el carácter más amplio del derecho a la protección de datos en relación con el derecho a la intimidad se recuerda en varias sentencias, entre otras en la </w:t>
      </w:r>
      <w:r w:rsidRPr="002B4EB8">
        <w:rPr>
          <w:rFonts w:ascii="Times New Roman" w:eastAsia="Calibri" w:hAnsi="Times New Roman" w:cs="Times New Roman"/>
          <w:color w:val="000000"/>
          <w:lang w:eastAsia="es-ES"/>
        </w:rPr>
        <w:t>STC 58/2018, de 4 de junio, FJ. 5: “La garantía de la vida privada de la persona y de su reputación poseen hoy una dimensión positiva que excede el ámbito propio del derecho fundamental a la intimidad (artículo 18.1 CE) y que se traduce en un derecho de control sobre los datos relativos a la propia persona.</w:t>
      </w:r>
      <w:r w:rsidRPr="002B4EB8">
        <w:rPr>
          <w:rFonts w:ascii="Times New Roman" w:eastAsia="Calibri" w:hAnsi="Times New Roman" w:cs="Times New Roman"/>
          <w:b/>
          <w:color w:val="000000"/>
          <w:lang w:eastAsia="es-ES"/>
        </w:rPr>
        <w:t xml:space="preserve"> </w:t>
      </w:r>
      <w:r w:rsidRPr="002B4EB8">
        <w:rPr>
          <w:rFonts w:ascii="Times New Roman" w:eastAsia="Calibri" w:hAnsi="Times New Roman" w:cs="Times New Roman"/>
          <w:color w:val="000000"/>
          <w:lang w:eastAsia="es-ES"/>
        </w:rPr>
        <w:t>La llamada ‘libertad informática’ es así derecho a controlar el uso de los mismos datos insertos en un programa informático (</w:t>
      </w:r>
      <w:r w:rsidRPr="002B4EB8">
        <w:rPr>
          <w:rFonts w:ascii="Times New Roman" w:eastAsia="Calibri" w:hAnsi="Times New Roman" w:cs="Times New Roman"/>
          <w:i/>
          <w:color w:val="000000"/>
          <w:lang w:eastAsia="es-ES"/>
        </w:rPr>
        <w:t>habeas data</w:t>
      </w:r>
      <w:r w:rsidRPr="002B4EB8">
        <w:rPr>
          <w:rFonts w:ascii="Times New Roman" w:eastAsia="Calibri" w:hAnsi="Times New Roman" w:cs="Times New Roman"/>
          <w:color w:val="000000"/>
          <w:lang w:eastAsia="es-ES"/>
        </w:rPr>
        <w:t xml:space="preserve">) y comprende, entre otros aspectos, la oposición del ciudadano a que determinados datos personales sean utilizados para fines distintos de aquel legítimo que justificó su obtención”. Con anterioridad, las </w:t>
      </w:r>
      <w:r w:rsidRPr="002B4EB8">
        <w:rPr>
          <w:rFonts w:ascii="Times New Roman" w:hAnsi="Times New Roman" w:cs="Times New Roman"/>
        </w:rPr>
        <w:t>SSTC 290/2000, de 30 de noviembre, FJ. 7; 292/2000, de 30 de noviembre, FJ. 5; 153/2004, de 20 de septiembre, FJ. 5; 96/2012, de 7 de mayo, FJ. 5; 17/2013, de 31 de enero, FJ. 3.</w:t>
      </w:r>
    </w:p>
  </w:footnote>
  <w:footnote w:id="22">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En el mismo sentido, la STC 17/2013 vuelve a recordar que “el contenido del derecho a la protección de datos personales incorpora un poder de disposición y control sobre los datos personales, que (…)  se concreta jurídicamente en la facultad de consentir la recogida, la obtención y el acceso a los datos personales, su posterior almacenamiento y tratamiento, así como su uso o usos posibles, por un tercero, sea el Estado o un particular” (FJ. 4).</w:t>
      </w:r>
    </w:p>
  </w:footnote>
  <w:footnote w:id="23">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Artículo 8 de la Carta de Derechos Fundamen</w:t>
      </w:r>
      <w:r>
        <w:rPr>
          <w:rFonts w:ascii="Times New Roman" w:hAnsi="Times New Roman" w:cs="Times New Roman"/>
        </w:rPr>
        <w:t>t</w:t>
      </w:r>
      <w:r w:rsidRPr="00DF2607">
        <w:rPr>
          <w:rFonts w:ascii="Times New Roman" w:hAnsi="Times New Roman" w:cs="Times New Roman"/>
        </w:rPr>
        <w:t>ales de la Unión Europea “Protección de datos de carácter personal: 1. Toda persona tiene derecho a la</w:t>
      </w:r>
      <w:r>
        <w:rPr>
          <w:rFonts w:ascii="Times New Roman" w:hAnsi="Times New Roman" w:cs="Times New Roman"/>
        </w:rPr>
        <w:t xml:space="preserve"> protección de los datos de cará</w:t>
      </w:r>
      <w:r w:rsidRPr="00DF2607">
        <w:rPr>
          <w:rFonts w:ascii="Times New Roman" w:hAnsi="Times New Roman" w:cs="Times New Roman"/>
        </w:rPr>
        <w:t>cter personal que la conci</w:t>
      </w:r>
      <w:r>
        <w:rPr>
          <w:rFonts w:ascii="Times New Roman" w:hAnsi="Times New Roman" w:cs="Times New Roman"/>
        </w:rPr>
        <w:t>ernan. 2. Estos datos se tratará</w:t>
      </w:r>
      <w:r w:rsidRPr="00DF2607">
        <w:rPr>
          <w:rFonts w:ascii="Times New Roman" w:hAnsi="Times New Roman" w:cs="Times New Roman"/>
        </w:rPr>
        <w:t>n de modo leal, para fines concretos y sobre la base del consentimiento de la persona afectada o en virtud de otro fundamento legítimo previsto por la ley. Toda persona tiene derecho a acceder a los datos recogidos que la conciernan y a su rectificación. 3. El</w:t>
      </w:r>
      <w:r>
        <w:rPr>
          <w:rFonts w:ascii="Times New Roman" w:hAnsi="Times New Roman" w:cs="Times New Roman"/>
        </w:rPr>
        <w:t xml:space="preserve"> respeto de estas normas quedará</w:t>
      </w:r>
      <w:r w:rsidRPr="00DF2607">
        <w:rPr>
          <w:rFonts w:ascii="Times New Roman" w:hAnsi="Times New Roman" w:cs="Times New Roman"/>
        </w:rPr>
        <w:t xml:space="preserve"> sujeto al control de una autoridad independiente”.</w:t>
      </w:r>
    </w:p>
  </w:footnote>
  <w:footnote w:id="24">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Artículo 16 “1. Toda persona tiene derecho a la protección de los datos de carácter personal que le conciernan. 2. El Parlamento Europeo y el Consejo establecerán, con arreglo al procedimiento legislativo ordinario, las normas sobre protección de las personas físicas respecto del tratamiento de datos de carácter personal por las instituciones, órganos y organismos de la Unión, así como por los Estados miembros en el ejercicio de las actividades comprendidas en el ámbito de aplicación del Derecho de la Unión, y sobre la libre circulación de estos datos. El respeto de dichas normas estará sometido al control de autoridades independientes”.</w:t>
      </w:r>
    </w:p>
  </w:footnote>
  <w:footnote w:id="25">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En este sentido se han pronunciado, entre otros BILBAO UBILLOS, J.M.: «Ponente», en 40 años de Constitución: una mirada al futuro. Actas del XVI Congreso de la Asociación de Constitucionalistas de España / RODRÍGUEZ, A. (Coord.), Tirant lo Blanch, Valencia, 2019, p. 98.</w:t>
      </w:r>
    </w:p>
  </w:footnote>
  <w:footnote w:id="26">
    <w:p w:rsidR="00CC7F93" w:rsidRPr="00C9474E" w:rsidRDefault="00CC7F93" w:rsidP="00B25435">
      <w:pPr>
        <w:pStyle w:val="Textonotapie"/>
        <w:jc w:val="both"/>
        <w:rPr>
          <w:rFonts w:ascii="Times New Roman" w:hAnsi="Times New Roman" w:cs="Times New Roman"/>
        </w:rPr>
      </w:pPr>
      <w:r w:rsidRPr="00C9474E">
        <w:rPr>
          <w:rStyle w:val="Refdenotaalpie"/>
          <w:rFonts w:ascii="Times New Roman" w:hAnsi="Times New Roman" w:cs="Times New Roman"/>
        </w:rPr>
        <w:footnoteRef/>
      </w:r>
      <w:r w:rsidRPr="00C9474E">
        <w:rPr>
          <w:rFonts w:ascii="Times New Roman" w:hAnsi="Times New Roman" w:cs="Times New Roman"/>
        </w:rPr>
        <w:t xml:space="preserve">   Si como muestra bastara un botón, compárese las sentencias 107/1988 y 214/1991 en relación con la concepción personalista del derecho al honor. La primera consideró que, en la medida en que el honor tiene un significado per</w:t>
      </w:r>
      <w:r>
        <w:rPr>
          <w:rFonts w:ascii="Times New Roman" w:hAnsi="Times New Roman" w:cs="Times New Roman"/>
        </w:rPr>
        <w:t>s</w:t>
      </w:r>
      <w:r w:rsidRPr="00C9474E">
        <w:rPr>
          <w:rFonts w:ascii="Times New Roman" w:hAnsi="Times New Roman" w:cs="Times New Roman"/>
        </w:rPr>
        <w:t xml:space="preserve">onalista, tal valor solo era referible respecto de personas individualmente consideradas, por lo que las críticas impersonalizadas (en aquel caso fueron unas manifestaciones públicas contra el colectivo de los jueces, pero sin identificar a ninguno en concreto), no lesionaban ese derecho (FFJ. 2 y 3). La segunda, confirmando el carácter personalísimo que ese derecho tiene, admite que no siempre es necesaria la crítica </w:t>
      </w:r>
      <w:r w:rsidRPr="00307C5D">
        <w:rPr>
          <w:rFonts w:ascii="Times New Roman" w:hAnsi="Times New Roman" w:cs="Times New Roman"/>
          <w:i/>
        </w:rPr>
        <w:t>ad personam</w:t>
      </w:r>
      <w:r w:rsidRPr="00C9474E">
        <w:rPr>
          <w:rFonts w:ascii="Times New Roman" w:hAnsi="Times New Roman" w:cs="Times New Roman"/>
        </w:rPr>
        <w:t xml:space="preserve"> (individualizada) para estimar la violación del derecho; que en el caso que se juzgaba (unas manifestacione</w:t>
      </w:r>
      <w:r>
        <w:rPr>
          <w:rFonts w:ascii="Times New Roman" w:hAnsi="Times New Roman" w:cs="Times New Roman"/>
        </w:rPr>
        <w:t>s públicas contra el pueblo judí</w:t>
      </w:r>
      <w:r w:rsidRPr="00C9474E">
        <w:rPr>
          <w:rFonts w:ascii="Times New Roman" w:hAnsi="Times New Roman" w:cs="Times New Roman"/>
        </w:rPr>
        <w:t>o, sin identificar a nadie), la demandante (Violeta Friedman) tenía derecho a acudir a los tribunales en defensa de su honor como miembro del colectivo ofendido (FJ. 3), lo que supone un ensanchamiento del alcance de este derecho con respecto a la sentencia anterior.</w:t>
      </w:r>
    </w:p>
  </w:footnote>
  <w:footnote w:id="27">
    <w:p w:rsidR="00CC7F93" w:rsidRPr="00A542CF" w:rsidRDefault="00CC7F93" w:rsidP="00B25435">
      <w:pPr>
        <w:pStyle w:val="Textonotapie"/>
        <w:jc w:val="both"/>
        <w:rPr>
          <w:rFonts w:ascii="Times New Roman" w:hAnsi="Times New Roman"/>
        </w:rPr>
      </w:pPr>
      <w:r w:rsidRPr="00C9474E">
        <w:rPr>
          <w:rStyle w:val="Refdenotaalpie"/>
          <w:rFonts w:ascii="Times New Roman" w:hAnsi="Times New Roman" w:cs="Times New Roman"/>
        </w:rPr>
        <w:footnoteRef/>
      </w:r>
      <w:r w:rsidRPr="00C9474E">
        <w:rPr>
          <w:rFonts w:ascii="Times New Roman" w:hAnsi="Times New Roman" w:cs="Times New Roman"/>
        </w:rPr>
        <w:t xml:space="preserve"> En uno de los primeros trabajos publicados sobre la cuestión de los nuevos</w:t>
      </w:r>
      <w:r>
        <w:rPr>
          <w:rFonts w:ascii="Times New Roman" w:hAnsi="Times New Roman"/>
        </w:rPr>
        <w:t xml:space="preserve"> derechos, Miguel Revenga advertía que “</w:t>
      </w:r>
      <w:r w:rsidRPr="00D14102">
        <w:rPr>
          <w:rFonts w:ascii="Times New Roman" w:hAnsi="Times New Roman"/>
        </w:rPr>
        <w:t>el propio calificativo de «nuevos», aplicado a los derechos, puede resultar más o menos comprensible según cuál sea la cultura constitucional de referencia”</w:t>
      </w:r>
      <w:r>
        <w:rPr>
          <w:rFonts w:ascii="Times New Roman" w:hAnsi="Times New Roman"/>
        </w:rPr>
        <w:t xml:space="preserve"> (</w:t>
      </w:r>
      <w:r w:rsidRPr="00A542CF">
        <w:rPr>
          <w:rFonts w:ascii="Times New Roman" w:hAnsi="Times New Roman"/>
        </w:rPr>
        <w:t>R</w:t>
      </w:r>
      <w:r>
        <w:rPr>
          <w:rFonts w:ascii="Times New Roman" w:hAnsi="Times New Roman"/>
        </w:rPr>
        <w:t>EVENGA SÁNCHEZ, M.:</w:t>
      </w:r>
      <w:r w:rsidRPr="00A542CF">
        <w:rPr>
          <w:rFonts w:ascii="Times New Roman" w:hAnsi="Times New Roman"/>
        </w:rPr>
        <w:t xml:space="preserve"> “Sobre (viejos) modelos de justicia constitucional y creación de (nuevos) derechos”, </w:t>
      </w:r>
      <w:r w:rsidRPr="00D14102">
        <w:rPr>
          <w:rFonts w:ascii="Times New Roman" w:hAnsi="Times New Roman"/>
          <w:i/>
        </w:rPr>
        <w:t>Revista Española de Derecho Constituciona</w:t>
      </w:r>
      <w:r w:rsidRPr="00A542CF">
        <w:rPr>
          <w:rFonts w:ascii="Times New Roman" w:hAnsi="Times New Roman"/>
        </w:rPr>
        <w:t>l, n. 64, 2022, pp. 99-110, concretamente, p. 99.</w:t>
      </w:r>
    </w:p>
  </w:footnote>
  <w:footnote w:id="28">
    <w:p w:rsidR="00CC7F93" w:rsidRPr="00866C52" w:rsidRDefault="00CC7F93" w:rsidP="00B25435">
      <w:pPr>
        <w:pStyle w:val="Textonotapie"/>
        <w:jc w:val="both"/>
        <w:rPr>
          <w:rFonts w:ascii="Times New Roman" w:hAnsi="Times New Roman" w:cs="Times New Roman"/>
        </w:rPr>
      </w:pPr>
      <w:r w:rsidRPr="00866C52">
        <w:rPr>
          <w:rStyle w:val="Refdenotaalpie"/>
          <w:rFonts w:ascii="Times New Roman" w:hAnsi="Times New Roman" w:cs="Times New Roman"/>
        </w:rPr>
        <w:footnoteRef/>
      </w:r>
      <w:r w:rsidRPr="00866C52">
        <w:rPr>
          <w:rFonts w:ascii="Times New Roman" w:hAnsi="Times New Roman" w:cs="Times New Roman"/>
        </w:rPr>
        <w:t xml:space="preserve"> En el epígrafe anterior hemos recordado la doctrina del Tribunal Constitucional en relación con el contenido diferente del derecho a la protección de datos. N</w:t>
      </w:r>
      <w:r w:rsidRPr="00866C52">
        <w:rPr>
          <w:rFonts w:ascii="Times New Roman" w:eastAsia="Calibri" w:hAnsi="Times New Roman" w:cs="Times New Roman"/>
          <w:color w:val="000000"/>
          <w:lang w:eastAsia="es-ES"/>
        </w:rPr>
        <w:t>o se trata de una mera ampliación del derecho a la intimidad sino de un derecho diferente, como recuerda la STC 58/2018, de 4 de junio, FJ. 5: “La garantía de la vida privada de la persona y de su reputación poseen hoy una dimensión positiva que excede el ámbito propio del derecho fundamental a la intimidad (artículo 18.1 CE) y que se traduce en un derecho de control sobre los datos relativos a la propia persona.</w:t>
      </w:r>
      <w:r w:rsidRPr="00866C52">
        <w:rPr>
          <w:rFonts w:ascii="Times New Roman" w:eastAsia="Calibri" w:hAnsi="Times New Roman" w:cs="Times New Roman"/>
          <w:b/>
          <w:color w:val="000000"/>
          <w:lang w:eastAsia="es-ES"/>
        </w:rPr>
        <w:t xml:space="preserve"> </w:t>
      </w:r>
      <w:r w:rsidRPr="00866C52">
        <w:rPr>
          <w:rFonts w:ascii="Times New Roman" w:eastAsia="Calibri" w:hAnsi="Times New Roman" w:cs="Times New Roman"/>
          <w:color w:val="000000"/>
          <w:lang w:eastAsia="es-ES"/>
        </w:rPr>
        <w:t>La llamada ‘libertad informática’ es así derecho a controlar el uso de los mismos datos insertos en un programa informático (</w:t>
      </w:r>
      <w:r w:rsidRPr="00866C52">
        <w:rPr>
          <w:rFonts w:ascii="Times New Roman" w:eastAsia="Calibri" w:hAnsi="Times New Roman" w:cs="Times New Roman"/>
          <w:i/>
          <w:color w:val="000000"/>
          <w:lang w:eastAsia="es-ES"/>
        </w:rPr>
        <w:t>habeas data</w:t>
      </w:r>
      <w:r w:rsidRPr="00866C52">
        <w:rPr>
          <w:rFonts w:ascii="Times New Roman" w:eastAsia="Calibri" w:hAnsi="Times New Roman" w:cs="Times New Roman"/>
          <w:color w:val="000000"/>
          <w:lang w:eastAsia="es-ES"/>
        </w:rPr>
        <w:t xml:space="preserve">) y comprende, entre otros aspectos, la oposición del ciudadano a que determinados datos personales sean utilizados para fines distintos de aquel legítimo que justificó su obtención”. </w:t>
      </w:r>
      <w:r w:rsidRPr="00866C52">
        <w:rPr>
          <w:rFonts w:ascii="Times New Roman" w:hAnsi="Times New Roman" w:cs="Times New Roman"/>
        </w:rPr>
        <w:t>Véanse entre otras las SSTC 290/2000, de 30 de noviembre, FJ. 7; 292/2000, de 30 de noviembre, FJ. 5; 153/2004, de 20 de septiembre, FJ. 5; 96/2012, de 7 de mayo, FJ. 5; 17/2013, de 31 de enero, FJ. 3.</w:t>
      </w:r>
    </w:p>
  </w:footnote>
  <w:footnote w:id="29">
    <w:p w:rsidR="00CC7F93" w:rsidRPr="003E5CEC" w:rsidRDefault="00CC7F93" w:rsidP="00B25435">
      <w:pPr>
        <w:pStyle w:val="Textonotapie"/>
        <w:jc w:val="both"/>
        <w:rPr>
          <w:rFonts w:ascii="Times New Roman" w:hAnsi="Times New Roman" w:cs="Times New Roman"/>
        </w:rPr>
      </w:pPr>
      <w:r>
        <w:rPr>
          <w:rStyle w:val="Refdenotaalpie"/>
        </w:rPr>
        <w:footnoteRef/>
      </w:r>
      <w:r>
        <w:t xml:space="preserve"> </w:t>
      </w:r>
      <w:r w:rsidRPr="003E5CEC">
        <w:rPr>
          <w:rFonts w:ascii="Times New Roman" w:hAnsi="Times New Roman" w:cs="Times New Roman"/>
        </w:rPr>
        <w:t xml:space="preserve">Concretamente, </w:t>
      </w:r>
      <w:r>
        <w:rPr>
          <w:rFonts w:ascii="Times New Roman" w:hAnsi="Times New Roman" w:cs="Times New Roman"/>
        </w:rPr>
        <w:t>la STC 19/2023, de 22 de marzo (</w:t>
      </w:r>
      <w:r w:rsidRPr="00BF5762">
        <w:rPr>
          <w:rFonts w:ascii="Times New Roman" w:eastAsia="Times New Roman" w:hAnsi="Times New Roman" w:cs="Times New Roman"/>
          <w:spacing w:val="-3"/>
          <w:lang w:eastAsia="es-ES"/>
        </w:rPr>
        <w:t>ECLI:ES:TC:2023:19</w:t>
      </w:r>
      <w:r>
        <w:rPr>
          <w:rFonts w:ascii="Times New Roman" w:eastAsia="Times New Roman" w:hAnsi="Times New Roman" w:cs="Times New Roman"/>
          <w:spacing w:val="-3"/>
          <w:lang w:eastAsia="es-ES"/>
        </w:rPr>
        <w:t xml:space="preserve">) </w:t>
      </w:r>
      <w:r w:rsidRPr="003E5CEC">
        <w:rPr>
          <w:rFonts w:ascii="Times New Roman" w:hAnsi="Times New Roman" w:cs="Times New Roman"/>
        </w:rPr>
        <w:t>utiliza las siguientes expresiones</w:t>
      </w:r>
      <w:r>
        <w:rPr>
          <w:rFonts w:ascii="Times New Roman" w:hAnsi="Times New Roman" w:cs="Times New Roman"/>
        </w:rPr>
        <w:t>:</w:t>
      </w:r>
      <w:r w:rsidRPr="003E5CEC">
        <w:rPr>
          <w:rFonts w:ascii="Times New Roman" w:hAnsi="Times New Roman" w:cs="Times New Roman"/>
        </w:rPr>
        <w:t xml:space="preserve"> “derecho fundamental a la autodeterminación respecto de la propia muerte en contextos eutanásicos” [FJ. 6, apartado D), a)]</w:t>
      </w:r>
      <w:r>
        <w:rPr>
          <w:rFonts w:ascii="Times New Roman" w:hAnsi="Times New Roman" w:cs="Times New Roman"/>
        </w:rPr>
        <w:t xml:space="preserve">; </w:t>
      </w:r>
      <w:r w:rsidRPr="003E5CEC">
        <w:rPr>
          <w:rFonts w:ascii="Times New Roman" w:hAnsi="Times New Roman" w:cs="Times New Roman"/>
        </w:rPr>
        <w:t>“derecho fundamental a la autodeterminación de la propia muerte en situaciones eutanásicas” [FJ. 6, apartado D), b), (i), párrafo primero];</w:t>
      </w:r>
      <w:r>
        <w:rPr>
          <w:rFonts w:ascii="Times New Roman" w:hAnsi="Times New Roman" w:cs="Times New Roman"/>
        </w:rPr>
        <w:t xml:space="preserve"> y</w:t>
      </w:r>
      <w:r w:rsidRPr="003E5CEC">
        <w:rPr>
          <w:rFonts w:ascii="Times New Roman" w:hAnsi="Times New Roman" w:cs="Times New Roman"/>
        </w:rPr>
        <w:t xml:space="preserve"> “derecho fundamental a la autodeterminación respecto de la propia muerte en situaciones eutanásicas [FJ. 6, apartado D), b), (i), párrafo segundo]</w:t>
      </w:r>
      <w:r>
        <w:rPr>
          <w:rFonts w:ascii="Times New Roman" w:hAnsi="Times New Roman" w:cs="Times New Roman"/>
        </w:rPr>
        <w:t>.</w:t>
      </w:r>
    </w:p>
  </w:footnote>
  <w:footnote w:id="30">
    <w:p w:rsidR="00CC7F93" w:rsidRPr="003E5CEC" w:rsidRDefault="00CC7F93" w:rsidP="00B25435">
      <w:pPr>
        <w:spacing w:after="0" w:line="240" w:lineRule="auto"/>
        <w:jc w:val="both"/>
        <w:rPr>
          <w:rFonts w:ascii="Times New Roman" w:hAnsi="Times New Roman" w:cs="Times New Roman"/>
          <w:sz w:val="20"/>
          <w:szCs w:val="20"/>
        </w:rPr>
      </w:pPr>
      <w:r w:rsidRPr="003E5CEC">
        <w:rPr>
          <w:rStyle w:val="Refdenotaalpie"/>
          <w:rFonts w:ascii="Times New Roman" w:hAnsi="Times New Roman" w:cs="Times New Roman"/>
          <w:sz w:val="20"/>
          <w:szCs w:val="20"/>
        </w:rPr>
        <w:footnoteRef/>
      </w:r>
      <w:r w:rsidRPr="003E5CEC">
        <w:rPr>
          <w:rFonts w:ascii="Times New Roman" w:hAnsi="Times New Roman" w:cs="Times New Roman"/>
          <w:sz w:val="20"/>
          <w:szCs w:val="20"/>
        </w:rPr>
        <w:t xml:space="preserve"> </w:t>
      </w:r>
      <w:r w:rsidRPr="003E5CEC">
        <w:rPr>
          <w:rFonts w:ascii="Times New Roman" w:eastAsia="Calibri" w:hAnsi="Times New Roman" w:cs="Times New Roman"/>
          <w:color w:val="000000"/>
          <w:sz w:val="20"/>
          <w:szCs w:val="20"/>
          <w:lang w:eastAsia="es-ES"/>
        </w:rPr>
        <w:t xml:space="preserve">En este sentido el primero de los votos particulares, firmado por </w:t>
      </w:r>
      <w:r w:rsidRPr="003E5CEC">
        <w:rPr>
          <w:rFonts w:ascii="Times New Roman" w:hAnsi="Times New Roman" w:cs="Times New Roman"/>
          <w:color w:val="222222"/>
          <w:sz w:val="20"/>
          <w:szCs w:val="20"/>
          <w:shd w:val="clear" w:color="auto" w:fill="FFFFFF"/>
        </w:rPr>
        <w:t>el magistrado Enrique Arnaldo Alcubilla, apartado 2: si bien “la realida</w:t>
      </w:r>
      <w:r>
        <w:rPr>
          <w:rFonts w:ascii="Times New Roman" w:hAnsi="Times New Roman" w:cs="Times New Roman"/>
          <w:color w:val="222222"/>
          <w:sz w:val="20"/>
          <w:szCs w:val="20"/>
          <w:shd w:val="clear" w:color="auto" w:fill="FFFFFF"/>
        </w:rPr>
        <w:t>d</w:t>
      </w:r>
      <w:r w:rsidRPr="003E5CEC">
        <w:rPr>
          <w:rFonts w:ascii="Times New Roman" w:hAnsi="Times New Roman" w:cs="Times New Roman"/>
          <w:color w:val="222222"/>
          <w:sz w:val="20"/>
          <w:szCs w:val="20"/>
          <w:shd w:val="clear" w:color="auto" w:fill="FFFFFF"/>
        </w:rPr>
        <w:t xml:space="preserve"> social puede conducir a que se manifieste (…) la conveniencia de reconocer nuevos derechos fundamentales, (…) para ello está prevista la reforma constitucional [, pues n]i el legislador ni el Tribunal Constitucional pueden sustituir al poder constituyente, erigiéndose en una especie de poderes constituyentes”. El segundo, firmado por la magistrada Concepción Espejel Jonquera también advierte que “</w:t>
      </w:r>
      <w:r w:rsidRPr="003E5CEC">
        <w:rPr>
          <w:rFonts w:ascii="Times New Roman" w:hAnsi="Times New Roman" w:cs="Times New Roman"/>
          <w:sz w:val="20"/>
          <w:szCs w:val="20"/>
        </w:rPr>
        <w:t xml:space="preserve">la vía para la creación de derechos fundamentales </w:t>
      </w:r>
      <w:r w:rsidRPr="00307C5D">
        <w:rPr>
          <w:rFonts w:ascii="Times New Roman" w:hAnsi="Times New Roman" w:cs="Times New Roman"/>
          <w:i/>
          <w:sz w:val="20"/>
          <w:szCs w:val="20"/>
        </w:rPr>
        <w:t>ex novo</w:t>
      </w:r>
      <w:r w:rsidRPr="003E5CEC">
        <w:rPr>
          <w:rFonts w:ascii="Times New Roman" w:hAnsi="Times New Roman" w:cs="Times New Roman"/>
          <w:sz w:val="20"/>
          <w:szCs w:val="20"/>
        </w:rPr>
        <w:t xml:space="preserve"> sería la reforma constitucional” (apartado 1 de su voto particular).</w:t>
      </w:r>
    </w:p>
  </w:footnote>
  <w:footnote w:id="31">
    <w:p w:rsidR="00CC7F93" w:rsidRDefault="00CC7F93" w:rsidP="00B25435">
      <w:pPr>
        <w:pStyle w:val="Textonotapie"/>
        <w:jc w:val="both"/>
      </w:pPr>
      <w:r>
        <w:rPr>
          <w:rStyle w:val="Refdenotaalpie"/>
        </w:rPr>
        <w:footnoteRef/>
      </w:r>
      <w:r>
        <w:t xml:space="preserve"> </w:t>
      </w:r>
      <w:r w:rsidRPr="00DC28BE">
        <w:rPr>
          <w:rFonts w:ascii="Times New Roman" w:hAnsi="Times New Roman" w:cs="Times New Roman"/>
        </w:rPr>
        <w:t>El precepto impugnado, que la sentencia declara inconstitucional, decía así: “La recopilación de datos personales relativos a las opiniones políticas de las personas que lleven a cabo los partidos políticos en el marco de sus actividades electorales se encontrará amparada en el interés público únicamente cuando se ofrezcan garantías adecuadas”. Los artículos de la Constitución invocados como parámetro de control fueron el 9.3 (principio de seguridad jurídica), 16 (libertad ideológica), 18.4 (protección de datos personales), 23 (participación política) y 53.1 (reserva de ley).</w:t>
      </w:r>
    </w:p>
  </w:footnote>
  <w:footnote w:id="32">
    <w:p w:rsidR="00CC7F93" w:rsidRPr="005822D2"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w:t>
      </w:r>
      <w:r w:rsidRPr="00DF2607">
        <w:rPr>
          <w:rFonts w:ascii="Times New Roman" w:hAnsi="Times New Roman" w:cs="Times New Roman"/>
          <w:i/>
          <w:iCs/>
        </w:rPr>
        <w:t>Vid</w:t>
      </w:r>
      <w:r w:rsidRPr="00DF2607">
        <w:rPr>
          <w:rFonts w:ascii="Times New Roman" w:hAnsi="Times New Roman" w:cs="Times New Roman"/>
        </w:rPr>
        <w:t xml:space="preserve">. </w:t>
      </w:r>
      <w:r w:rsidRPr="005822D2">
        <w:rPr>
          <w:rFonts w:ascii="Times New Roman" w:hAnsi="Times New Roman" w:cs="Times New Roman"/>
        </w:rPr>
        <w:t xml:space="preserve">TRONCOSO REIGADA, A.: </w:t>
      </w:r>
      <w:r w:rsidRPr="005822D2">
        <w:rPr>
          <w:rFonts w:ascii="Times New Roman" w:hAnsi="Times New Roman" w:cs="Times New Roman"/>
          <w:i/>
          <w:iCs/>
        </w:rPr>
        <w:t xml:space="preserve">La Protección de Datos Personales. En busca del equilibrio, </w:t>
      </w:r>
      <w:r w:rsidRPr="005822D2">
        <w:rPr>
          <w:rFonts w:ascii="Times New Roman" w:hAnsi="Times New Roman" w:cs="Times New Roman"/>
          <w:iCs/>
        </w:rPr>
        <w:t xml:space="preserve">Tirant lo Blanch, Valencia, 2010, </w:t>
      </w:r>
      <w:r w:rsidRPr="005822D2">
        <w:rPr>
          <w:rFonts w:ascii="Times New Roman" w:hAnsi="Times New Roman" w:cs="Times New Roman"/>
        </w:rPr>
        <w:t xml:space="preserve">pp. 37-38 y 74-75; y VILLALBA CANO, L, </w:t>
      </w:r>
      <w:r w:rsidRPr="005822D2">
        <w:rPr>
          <w:rFonts w:ascii="Times New Roman" w:hAnsi="Times New Roman" w:cs="Times New Roman"/>
          <w:i/>
        </w:rPr>
        <w:t>ob</w:t>
      </w:r>
      <w:r w:rsidRPr="005822D2">
        <w:rPr>
          <w:rFonts w:ascii="Times New Roman" w:hAnsi="Times New Roman" w:cs="Times New Roman"/>
        </w:rPr>
        <w:t xml:space="preserve">. cit., p. 353. </w:t>
      </w:r>
    </w:p>
  </w:footnote>
  <w:footnote w:id="33">
    <w:p w:rsidR="00CC7F93" w:rsidRPr="00E65C5D" w:rsidRDefault="00CC7F93" w:rsidP="00B25435">
      <w:pPr>
        <w:pStyle w:val="Textonotapie"/>
        <w:jc w:val="both"/>
        <w:rPr>
          <w:rFonts w:ascii="Times New Roman" w:hAnsi="Times New Roman" w:cs="Times New Roman"/>
        </w:rPr>
      </w:pPr>
      <w:r w:rsidRPr="00E65C5D">
        <w:rPr>
          <w:rStyle w:val="Refdenotaalpie"/>
          <w:rFonts w:ascii="Times New Roman" w:hAnsi="Times New Roman" w:cs="Times New Roman"/>
        </w:rPr>
        <w:footnoteRef/>
      </w:r>
      <w:r w:rsidRPr="00E65C5D">
        <w:rPr>
          <w:rFonts w:ascii="Times New Roman" w:hAnsi="Times New Roman" w:cs="Times New Roman"/>
        </w:rPr>
        <w:t xml:space="preserve"> Por lo que a esto respecto, la STC 76/2019, FJ. 5, se remite a las SSTC 254/1993, FJ. 6 y 292/2000, FJ. 5.</w:t>
      </w:r>
    </w:p>
  </w:footnote>
  <w:footnote w:id="34">
    <w:p w:rsidR="00CC7F93" w:rsidRPr="003C4FBF" w:rsidRDefault="00CC7F93" w:rsidP="003C4FBF">
      <w:pPr>
        <w:pStyle w:val="Textonotapie"/>
        <w:jc w:val="both"/>
        <w:rPr>
          <w:rFonts w:ascii="Times New Roman" w:hAnsi="Times New Roman" w:cs="Times New Roman"/>
        </w:rPr>
      </w:pPr>
      <w:r w:rsidRPr="003C4FBF">
        <w:rPr>
          <w:rStyle w:val="Refdenotaalpie"/>
          <w:rFonts w:ascii="Times New Roman" w:hAnsi="Times New Roman" w:cs="Times New Roman"/>
        </w:rPr>
        <w:footnoteRef/>
      </w:r>
      <w:r w:rsidRPr="003C4FBF">
        <w:rPr>
          <w:rFonts w:ascii="Times New Roman" w:hAnsi="Times New Roman" w:cs="Times New Roman"/>
        </w:rPr>
        <w:t xml:space="preserve"> La exigencia de especial protección de esta categoría de datos está prevista en el Convenio para la protección de las personas con respecto al tratamiento automatizado de datos de carácter personal, de 28 de enero de 1981 (instrumento de ratificación publicado en el </w:t>
      </w:r>
      <w:r w:rsidRPr="003C4FBF">
        <w:rPr>
          <w:rFonts w:ascii="Times New Roman" w:hAnsi="Times New Roman" w:cs="Times New Roman"/>
          <w:i/>
        </w:rPr>
        <w:t>Boletín Oficial del Estado</w:t>
      </w:r>
      <w:r w:rsidRPr="003C4FBF">
        <w:rPr>
          <w:rFonts w:ascii="Times New Roman" w:hAnsi="Times New Roman" w:cs="Times New Roman"/>
        </w:rPr>
        <w:t xml:space="preserve"> núm. 274, de 15 de noviembre de 1985), cuyo artículo 6 establece lo siguiente: “Los datos de carácter personal que revelen el origen racial, las opiniones políticas, las convicciones religiosas u otras convicciones, así como los datos de carácter personal relativos a la salud o a la vida sexual, no podrán tratarse automáticamente a menos que el derecho interno prevea garantías apropiadas. […]”. Asi lo ha recordado también la Circular 1/2019 de la Agencia Española de Protección de Datos, que en su Preámbulo advierte que tales garantías adecuadas y específicas “adquieren una especial relevancia tanto por la importancia de los datos personales objeto de tratamiento como por tratarse de tratamientos a gran escala de categorías especiales que entrañarán un alto riesgo para los derechos y libertades de las personas físicas difícilmente mitigable si no se toman medidas adecuadas”.</w:t>
      </w:r>
    </w:p>
  </w:footnote>
  <w:footnote w:id="35">
    <w:p w:rsidR="00CC7F93" w:rsidRPr="00D15832" w:rsidRDefault="00CC7F93" w:rsidP="00B25435">
      <w:pPr>
        <w:pStyle w:val="Textonotapie"/>
        <w:jc w:val="both"/>
        <w:rPr>
          <w:rFonts w:ascii="Times New Roman" w:hAnsi="Times New Roman" w:cs="Times New Roman"/>
        </w:rPr>
      </w:pPr>
      <w:r w:rsidRPr="00D15832">
        <w:rPr>
          <w:rStyle w:val="Refdenotaalpie"/>
          <w:rFonts w:ascii="Times New Roman" w:hAnsi="Times New Roman" w:cs="Times New Roman"/>
        </w:rPr>
        <w:footnoteRef/>
      </w:r>
      <w:r w:rsidRPr="00D15832">
        <w:rPr>
          <w:rFonts w:ascii="Times New Roman" w:hAnsi="Times New Roman" w:cs="Times New Roman"/>
        </w:rPr>
        <w:t xml:space="preserve"> Además de las opiniones políticas y la afiliación sindical, el art. 9.1 del RGPD también identifica como categorías especiales de datos los que revelan el origen étnico o racial, las convicciones religiosas o filosóficas, y el tratamiento de datos genéticos, datos biométricos dirigidos a identificar de manera unívoca a una persona física, datos relativos a la salud o datos relativos a la vida sexual o las orientaciones sexuales de una persona física. Igualmente, el art. 9.1 de la </w:t>
      </w:r>
      <w:r w:rsidRPr="00B400F7">
        <w:rPr>
          <w:rFonts w:ascii="Times New Roman" w:hAnsi="Times New Roman" w:cs="Times New Roman"/>
        </w:rPr>
        <w:t>Ley Orgánica 3/2018, de 5 de diciembre, de protección de datos personales y garantía de los derechos digitales</w:t>
      </w:r>
      <w:r w:rsidRPr="00D15832">
        <w:rPr>
          <w:rFonts w:ascii="Times New Roman" w:hAnsi="Times New Roman" w:cs="Times New Roman"/>
        </w:rPr>
        <w:t>, además de las opiniones política y la afiliación sindical identifica como categorías especiales de datos aquellos cuya finalidad principal sea identificar su ideología la religión, orientación sexual, creencias u origen racial o étnico.</w:t>
      </w:r>
    </w:p>
  </w:footnote>
  <w:footnote w:id="36">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La ponencia que Emilia Girón Reguera presenta a este IV Congreso internacional de la Red Iberoamericana de Estudios Jurídicos 1812 también se pronuncia sobre el futuro Reglamento de la UE sobre I.A. (epígrafes II de la ponencia escrita, aún sin publicar, </w:t>
      </w:r>
      <w:r>
        <w:rPr>
          <w:rFonts w:ascii="Times New Roman" w:hAnsi="Times New Roman" w:cs="Times New Roman"/>
        </w:rPr>
        <w:t>2023): “</w:t>
      </w:r>
      <w:r w:rsidRPr="003D3D30">
        <w:rPr>
          <w:rFonts w:ascii="Times New Roman" w:hAnsi="Times New Roman" w:cs="Times New Roman"/>
        </w:rPr>
        <w:t>La regulación jurídica de la inteligencia artificial como garantía de los</w:t>
      </w:r>
      <w:r>
        <w:rPr>
          <w:rFonts w:ascii="Times New Roman" w:hAnsi="Times New Roman" w:cs="Times New Roman"/>
        </w:rPr>
        <w:t xml:space="preserve"> </w:t>
      </w:r>
      <w:r w:rsidRPr="003D3D30">
        <w:rPr>
          <w:rFonts w:ascii="Times New Roman" w:hAnsi="Times New Roman" w:cs="Times New Roman"/>
        </w:rPr>
        <w:t>derechos: su protección en la futura Ley Europea de Inteligencia Artificial</w:t>
      </w:r>
      <w:r>
        <w:rPr>
          <w:rFonts w:ascii="Times New Roman" w:hAnsi="Times New Roman" w:cs="Times New Roman"/>
        </w:rPr>
        <w:t>”</w:t>
      </w:r>
      <w:r w:rsidRPr="003D3D30">
        <w:rPr>
          <w:rFonts w:ascii="Times New Roman" w:hAnsi="Times New Roman" w:cs="Times New Roman"/>
        </w:rPr>
        <w:t>.</w:t>
      </w:r>
    </w:p>
  </w:footnote>
  <w:footnote w:id="37">
    <w:p w:rsidR="00CC7F93" w:rsidRPr="00C3321D" w:rsidRDefault="00CC7F93" w:rsidP="00C3321D">
      <w:pPr>
        <w:pStyle w:val="Textonotapie"/>
        <w:jc w:val="both"/>
        <w:rPr>
          <w:rFonts w:ascii="Times New Roman" w:hAnsi="Times New Roman" w:cs="Times New Roman"/>
        </w:rPr>
      </w:pPr>
      <w:r w:rsidRPr="00C3321D">
        <w:rPr>
          <w:rStyle w:val="Refdenotaalpie"/>
          <w:rFonts w:ascii="Times New Roman" w:hAnsi="Times New Roman" w:cs="Times New Roman"/>
        </w:rPr>
        <w:footnoteRef/>
      </w:r>
      <w:r w:rsidRPr="00C3321D">
        <w:rPr>
          <w:rFonts w:ascii="Times New Roman" w:hAnsi="Times New Roman" w:cs="Times New Roman"/>
        </w:rPr>
        <w:t xml:space="preserve"> Kahneman, D., Sibony O., &amp; Sunstein C.: </w:t>
      </w:r>
      <w:r w:rsidRPr="00C3321D">
        <w:rPr>
          <w:rFonts w:ascii="Times New Roman" w:hAnsi="Times New Roman" w:cs="Times New Roman"/>
          <w:i/>
        </w:rPr>
        <w:t>Ruido: Un fallo en el juicio humano</w:t>
      </w:r>
      <w:r w:rsidRPr="00C3321D">
        <w:rPr>
          <w:rFonts w:ascii="Times New Roman" w:hAnsi="Times New Roman" w:cs="Times New Roman"/>
        </w:rPr>
        <w:t xml:space="preserve">, Penguin Random House, Santiago de Chile, 2021. </w:t>
      </w:r>
    </w:p>
  </w:footnote>
  <w:footnote w:id="38">
    <w:p w:rsidR="00CC7F93" w:rsidRPr="00D15832" w:rsidRDefault="00CC7F93" w:rsidP="00B25435">
      <w:pPr>
        <w:pStyle w:val="Textonotapie"/>
        <w:jc w:val="both"/>
        <w:rPr>
          <w:rFonts w:ascii="Times New Roman" w:hAnsi="Times New Roman" w:cs="Times New Roman"/>
        </w:rPr>
      </w:pPr>
      <w:r w:rsidRPr="00D15832">
        <w:rPr>
          <w:rStyle w:val="Refdenotaalpie"/>
          <w:rFonts w:ascii="Times New Roman" w:hAnsi="Times New Roman" w:cs="Times New Roman"/>
        </w:rPr>
        <w:footnoteRef/>
      </w:r>
      <w:r w:rsidRPr="00D15832">
        <w:rPr>
          <w:rFonts w:ascii="Times New Roman" w:hAnsi="Times New Roman" w:cs="Times New Roman"/>
        </w:rPr>
        <w:t xml:space="preserve"> STC 76/2019, FJ. 6, c).</w:t>
      </w:r>
    </w:p>
  </w:footnote>
  <w:footnote w:id="39">
    <w:p w:rsidR="00CC7F93" w:rsidRPr="002D7907" w:rsidRDefault="00CC7F93" w:rsidP="00B25435">
      <w:pPr>
        <w:pStyle w:val="Textonotapie"/>
        <w:jc w:val="both"/>
        <w:rPr>
          <w:rFonts w:ascii="Times New Roman" w:hAnsi="Times New Roman" w:cs="Times New Roman"/>
        </w:rPr>
      </w:pPr>
      <w:r w:rsidRPr="002D7907">
        <w:rPr>
          <w:rStyle w:val="Refdenotaalpie"/>
          <w:rFonts w:ascii="Times New Roman" w:hAnsi="Times New Roman" w:cs="Times New Roman"/>
        </w:rPr>
        <w:footnoteRef/>
      </w:r>
      <w:r w:rsidRPr="002D7907">
        <w:rPr>
          <w:rFonts w:ascii="Times New Roman" w:hAnsi="Times New Roman" w:cs="Times New Roman"/>
        </w:rPr>
        <w:t xml:space="preserve"> El TC también reprocha que la di</w:t>
      </w:r>
      <w:r>
        <w:rPr>
          <w:rFonts w:ascii="Times New Roman" w:hAnsi="Times New Roman" w:cs="Times New Roman"/>
        </w:rPr>
        <w:t>s</w:t>
      </w:r>
      <w:r w:rsidRPr="002D7907">
        <w:rPr>
          <w:rFonts w:ascii="Times New Roman" w:hAnsi="Times New Roman" w:cs="Times New Roman"/>
        </w:rPr>
        <w:t>posición impugnada habilitara a los partidos políticos a la recogida de datos en ella contemplada “«en el marco de sus actividades electorales», otro concepto indeterminado que no tiene por qué coincidir con el periodo legalmente previsto en cada proceso de elecciones con la campaña electoral” [STC 76/2019, FJ. 6, c)].</w:t>
      </w:r>
    </w:p>
  </w:footnote>
  <w:footnote w:id="40">
    <w:p w:rsidR="00CC7F93" w:rsidRPr="00524DB7" w:rsidRDefault="00CC7F93" w:rsidP="00524DB7">
      <w:pPr>
        <w:pStyle w:val="Textonotapie"/>
        <w:jc w:val="both"/>
        <w:rPr>
          <w:rFonts w:ascii="Times New Roman" w:hAnsi="Times New Roman" w:cs="Times New Roman"/>
        </w:rPr>
      </w:pPr>
      <w:r w:rsidRPr="00524DB7">
        <w:rPr>
          <w:rStyle w:val="Refdenotaalpie"/>
          <w:rFonts w:ascii="Times New Roman" w:hAnsi="Times New Roman" w:cs="Times New Roman"/>
        </w:rPr>
        <w:footnoteRef/>
      </w:r>
      <w:r w:rsidRPr="00524DB7">
        <w:rPr>
          <w:rFonts w:ascii="Times New Roman" w:hAnsi="Times New Roman" w:cs="Times New Roman"/>
        </w:rPr>
        <w:t xml:space="preserve"> El TC se remite a la sentencia de la Gran Sala del TJUE de 8 de abril de 2014, asuntos acumulados C-293/12 y C-594/12, </w:t>
      </w:r>
      <w:r w:rsidRPr="00524DB7">
        <w:rPr>
          <w:rFonts w:ascii="Times New Roman" w:hAnsi="Times New Roman" w:cs="Times New Roman"/>
          <w:i/>
        </w:rPr>
        <w:t>Digital Rights Ireland Ltd</w:t>
      </w:r>
      <w:r w:rsidRPr="00524DB7">
        <w:rPr>
          <w:rFonts w:ascii="Times New Roman" w:hAnsi="Times New Roman" w:cs="Times New Roman"/>
        </w:rPr>
        <w:t xml:space="preserve">, apartado 54. En este apartado, el TJUE a su vez, se remite a las sentencias del TEDH en los casos </w:t>
      </w:r>
      <w:r w:rsidRPr="00524DB7">
        <w:rPr>
          <w:rFonts w:ascii="Times New Roman" w:hAnsi="Times New Roman" w:cs="Times New Roman"/>
          <w:i/>
        </w:rPr>
        <w:t>Liberty y otros c. Reino Unido</w:t>
      </w:r>
      <w:r w:rsidRPr="00524DB7">
        <w:rPr>
          <w:rFonts w:ascii="Times New Roman" w:hAnsi="Times New Roman" w:cs="Times New Roman"/>
        </w:rPr>
        <w:t xml:space="preserve"> de 1 de julio de 2008, núm. 58243/00, parágrafos 62 y 63; </w:t>
      </w:r>
      <w:r w:rsidRPr="00524DB7">
        <w:rPr>
          <w:rFonts w:ascii="Times New Roman" w:hAnsi="Times New Roman" w:cs="Times New Roman"/>
          <w:i/>
        </w:rPr>
        <w:t>Rotaru c. Rumanía</w:t>
      </w:r>
      <w:r w:rsidRPr="00524DB7">
        <w:rPr>
          <w:rFonts w:ascii="Times New Roman" w:hAnsi="Times New Roman" w:cs="Times New Roman"/>
        </w:rPr>
        <w:t xml:space="preserve">, parágrafos 57 a 59; y </w:t>
      </w:r>
      <w:r w:rsidRPr="00524DB7">
        <w:rPr>
          <w:rFonts w:ascii="Times New Roman" w:hAnsi="Times New Roman" w:cs="Times New Roman"/>
          <w:i/>
        </w:rPr>
        <w:t>S y Marper c. Reino Unido</w:t>
      </w:r>
      <w:r w:rsidRPr="00524DB7">
        <w:rPr>
          <w:rFonts w:ascii="Times New Roman" w:hAnsi="Times New Roman" w:cs="Times New Roman"/>
        </w:rPr>
        <w:t>, parágrafo 99.</w:t>
      </w:r>
    </w:p>
  </w:footnote>
  <w:footnote w:id="41">
    <w:p w:rsidR="00CC7F93" w:rsidRPr="00CE5C9A" w:rsidRDefault="00CC7F93" w:rsidP="00B25435">
      <w:pPr>
        <w:pStyle w:val="Textonotapie"/>
        <w:rPr>
          <w:rFonts w:ascii="Times New Roman" w:hAnsi="Times New Roman" w:cs="Times New Roman"/>
          <w:lang w:val="en-US"/>
        </w:rPr>
      </w:pPr>
      <w:r w:rsidRPr="00772DBC">
        <w:rPr>
          <w:rStyle w:val="Refdenotaalpie"/>
          <w:rFonts w:ascii="Times New Roman" w:hAnsi="Times New Roman" w:cs="Times New Roman"/>
        </w:rPr>
        <w:footnoteRef/>
      </w:r>
      <w:r w:rsidRPr="00CE5C9A">
        <w:rPr>
          <w:rFonts w:ascii="Times New Roman" w:hAnsi="Times New Roman" w:cs="Times New Roman"/>
          <w:lang w:val="en-US"/>
        </w:rPr>
        <w:t xml:space="preserve"> STC 76/2019, FJ. 7, a).</w:t>
      </w:r>
    </w:p>
  </w:footnote>
  <w:footnote w:id="42">
    <w:p w:rsidR="00CC7F93" w:rsidRPr="00CE5C9A" w:rsidRDefault="00CC7F93" w:rsidP="00B25435">
      <w:pPr>
        <w:pStyle w:val="Textonotapie"/>
        <w:rPr>
          <w:rFonts w:ascii="Times New Roman" w:hAnsi="Times New Roman" w:cs="Times New Roman"/>
          <w:lang w:val="en-US"/>
        </w:rPr>
      </w:pPr>
      <w:r w:rsidRPr="00D33BD8">
        <w:rPr>
          <w:rStyle w:val="Refdenotaalpie"/>
          <w:rFonts w:ascii="Times New Roman" w:hAnsi="Times New Roman" w:cs="Times New Roman"/>
        </w:rPr>
        <w:footnoteRef/>
      </w:r>
      <w:r w:rsidRPr="00CE5C9A">
        <w:rPr>
          <w:rFonts w:ascii="Times New Roman" w:hAnsi="Times New Roman" w:cs="Times New Roman"/>
          <w:lang w:val="en-US"/>
        </w:rPr>
        <w:t xml:space="preserve"> STC 76/2019, FJ. 7.</w:t>
      </w:r>
    </w:p>
  </w:footnote>
  <w:footnote w:id="43">
    <w:p w:rsidR="00CC7F93" w:rsidRPr="00D33BD8" w:rsidRDefault="00CC7F93" w:rsidP="00B25435">
      <w:pPr>
        <w:pStyle w:val="Textonotapie"/>
        <w:rPr>
          <w:rFonts w:ascii="Times New Roman" w:hAnsi="Times New Roman" w:cs="Times New Roman"/>
        </w:rPr>
      </w:pPr>
      <w:r w:rsidRPr="00452CF5">
        <w:rPr>
          <w:rStyle w:val="Refdenotaalpie"/>
          <w:rFonts w:ascii="Times New Roman" w:hAnsi="Times New Roman" w:cs="Times New Roman"/>
        </w:rPr>
        <w:footnoteRef/>
      </w:r>
      <w:r w:rsidRPr="00452CF5">
        <w:rPr>
          <w:rFonts w:ascii="Times New Roman" w:hAnsi="Times New Roman" w:cs="Times New Roman"/>
        </w:rPr>
        <w:t xml:space="preserve"> </w:t>
      </w:r>
      <w:r w:rsidRPr="00452CF5">
        <w:rPr>
          <w:rFonts w:ascii="Times New Roman" w:hAnsi="Times New Roman" w:cs="Times New Roman"/>
          <w:i/>
        </w:rPr>
        <w:t>Ibidem</w:t>
      </w:r>
      <w:r w:rsidRPr="00D33BD8">
        <w:rPr>
          <w:rFonts w:ascii="Times New Roman" w:hAnsi="Times New Roman" w:cs="Times New Roman"/>
        </w:rPr>
        <w:t>.</w:t>
      </w:r>
    </w:p>
  </w:footnote>
  <w:footnote w:id="44">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En su Título II (Prácticas de IA prohibidas), el artículo 5.1</w:t>
      </w:r>
      <w:r>
        <w:rPr>
          <w:rFonts w:ascii="Times New Roman" w:hAnsi="Times New Roman" w:cs="Times New Roman"/>
        </w:rPr>
        <w:t>.c)</w:t>
      </w:r>
      <w:r w:rsidRPr="00DF2607">
        <w:rPr>
          <w:rFonts w:ascii="Times New Roman" w:hAnsi="Times New Roman" w:cs="Times New Roman"/>
        </w:rPr>
        <w:t xml:space="preserve"> prohíbe, entre </w:t>
      </w:r>
      <w:r>
        <w:rPr>
          <w:rFonts w:ascii="Times New Roman" w:hAnsi="Times New Roman" w:cs="Times New Roman"/>
        </w:rPr>
        <w:t>otras prácticas: “l</w:t>
      </w:r>
      <w:r w:rsidRPr="00DF2607">
        <w:rPr>
          <w:rFonts w:ascii="Times New Roman" w:hAnsi="Times New Roman" w:cs="Times New Roman"/>
        </w:rPr>
        <w:t>a introducción en el mercado, la puesta en servicio o la utilización de sistemas de IA por parte de las autoridades públicas o en su representación con el fin de evaluar o clasificar la fiabilidad de personas físicas durante un período determinado de tiempo atendiendo a su conducta social o a características personales o de su personalidad conocidas o predichas, de forma que la clasificación social resultante provoque una o varias de las situaciones siguientes: i) un trato perjudicial o desfavorable hacia determinadas personas físicas o colectivos enteros en contextos sociales que no guarden relación con los contextos donde se generaron o recabaron los datos originalmente; ii) un trato perjudicial o desfavorable hacia determinadas personas físicas o colectivos enteros que es injustificado o desproporcionado con respecto a su comportamiento social o la gravedad de este”.</w:t>
      </w:r>
    </w:p>
  </w:footnote>
  <w:footnote w:id="45">
    <w:p w:rsidR="00CC7F93" w:rsidRPr="00DF2607" w:rsidRDefault="00CC7F93" w:rsidP="00B25435">
      <w:pPr>
        <w:pStyle w:val="Textonotapie"/>
        <w:jc w:val="both"/>
        <w:rPr>
          <w:rFonts w:ascii="Times New Roman" w:hAnsi="Times New Roman" w:cs="Times New Roman"/>
        </w:rPr>
      </w:pPr>
      <w:r w:rsidRPr="005822D2">
        <w:rPr>
          <w:rStyle w:val="Refdenotaalpie"/>
          <w:rFonts w:ascii="Times New Roman" w:hAnsi="Times New Roman" w:cs="Times New Roman"/>
        </w:rPr>
        <w:footnoteRef/>
      </w:r>
      <w:r w:rsidRPr="005822D2">
        <w:rPr>
          <w:rFonts w:ascii="Times New Roman" w:hAnsi="Times New Roman" w:cs="Times New Roman"/>
        </w:rPr>
        <w:t xml:space="preserve"> Entre otros, esta dimensión social o colectiva ha sido subrayada por TRONCOSO REIGADA, A.: “Presentación”, en TRONCOSO REIGADA, A. (Dir.). </w:t>
      </w:r>
      <w:r w:rsidRPr="005822D2">
        <w:rPr>
          <w:rFonts w:ascii="Times New Roman" w:hAnsi="Times New Roman" w:cs="Times New Roman"/>
          <w:i/>
        </w:rPr>
        <w:t>Comentario a la Ley Orgánica de Protección de Datos de Carácter Personal</w:t>
      </w:r>
      <w:r w:rsidRPr="005822D2">
        <w:rPr>
          <w:rFonts w:ascii="Times New Roman" w:hAnsi="Times New Roman" w:cs="Times New Roman"/>
        </w:rPr>
        <w:t xml:space="preserve">, Civitas, Madrid, 2010, pp. </w:t>
      </w:r>
      <w:r w:rsidRPr="00DF2607">
        <w:rPr>
          <w:rFonts w:ascii="Times New Roman" w:hAnsi="Times New Roman" w:cs="Times New Roman"/>
        </w:rPr>
        <w:t>73 y 74;</w:t>
      </w:r>
      <w:r>
        <w:rPr>
          <w:rFonts w:ascii="Times New Roman" w:hAnsi="Times New Roman" w:cs="Times New Roman"/>
        </w:rPr>
        <w:t xml:space="preserve"> y el mismo autor en</w:t>
      </w:r>
      <w:r w:rsidRPr="00DF2607">
        <w:rPr>
          <w:rFonts w:ascii="Times New Roman" w:hAnsi="Times New Roman" w:cs="Times New Roman"/>
        </w:rPr>
        <w:t xml:space="preserve"> </w:t>
      </w:r>
      <w:r w:rsidRPr="00DF2607">
        <w:rPr>
          <w:rFonts w:ascii="Times New Roman" w:hAnsi="Times New Roman" w:cs="Times New Roman"/>
          <w:i/>
          <w:iCs/>
        </w:rPr>
        <w:t>La</w:t>
      </w:r>
      <w:r>
        <w:rPr>
          <w:rFonts w:ascii="Times New Roman" w:hAnsi="Times New Roman" w:cs="Times New Roman"/>
          <w:i/>
          <w:iCs/>
        </w:rPr>
        <w:t xml:space="preserve"> Protección de Datos Personales</w:t>
      </w:r>
      <w:r>
        <w:rPr>
          <w:rFonts w:ascii="Times New Roman" w:hAnsi="Times New Roman" w:cs="Times New Roman"/>
          <w:iCs/>
        </w:rPr>
        <w:t>,</w:t>
      </w:r>
      <w:r w:rsidRPr="00DF2607">
        <w:rPr>
          <w:rFonts w:ascii="Times New Roman" w:hAnsi="Times New Roman" w:cs="Times New Roman"/>
          <w:i/>
          <w:iCs/>
        </w:rPr>
        <w:t xml:space="preserve"> </w:t>
      </w:r>
      <w:r>
        <w:rPr>
          <w:rFonts w:ascii="Times New Roman" w:hAnsi="Times New Roman" w:cs="Times New Roman"/>
        </w:rPr>
        <w:t>cit., p. 209. También por</w:t>
      </w:r>
      <w:r w:rsidRPr="00DF2607">
        <w:rPr>
          <w:rFonts w:ascii="Times New Roman" w:hAnsi="Times New Roman" w:cs="Times New Roman"/>
        </w:rPr>
        <w:t xml:space="preserve"> VILLALBA CANO, L., </w:t>
      </w:r>
      <w:r w:rsidRPr="00DF2607">
        <w:rPr>
          <w:rFonts w:ascii="Times New Roman" w:hAnsi="Times New Roman" w:cs="Times New Roman"/>
          <w:i/>
        </w:rPr>
        <w:t>ob.</w:t>
      </w:r>
      <w:r w:rsidRPr="00DF2607">
        <w:rPr>
          <w:rFonts w:ascii="Times New Roman" w:hAnsi="Times New Roman" w:cs="Times New Roman"/>
        </w:rPr>
        <w:t xml:space="preserve"> cit., p. 356. </w:t>
      </w:r>
    </w:p>
  </w:footnote>
  <w:footnote w:id="46">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Entre otros documentos, así lo advierte la Comunicación de la Comisión al Parlamento Europeo, al Consejo, al Comité Económico y Social Europeo y al Comité de las Regiones, con el título “La lucha contra la desinformación en línea: un enfoque europeo”, </w:t>
      </w:r>
      <w:proofErr w:type="gramStart"/>
      <w:r w:rsidRPr="00DF2607">
        <w:rPr>
          <w:rFonts w:ascii="Times New Roman" w:hAnsi="Times New Roman" w:cs="Times New Roman"/>
        </w:rPr>
        <w:t>COM(</w:t>
      </w:r>
      <w:proofErr w:type="gramEnd"/>
      <w:r w:rsidRPr="00DF2607">
        <w:rPr>
          <w:rFonts w:ascii="Times New Roman" w:hAnsi="Times New Roman" w:cs="Times New Roman"/>
        </w:rPr>
        <w:t>2018) 236 final, de 26 de abril de 2018, p. 13: “La seguridad de los procesos electorales, que son la base de nuestra democracia, requiere una atención especial. Hoy en día la desinformación forma parte de una gran variedad de herramientas empleadas para manipular los procesos electorales, como la piratería o la desfiguración de sitios web o el acceso a información personal sobre los políticos y su filtración”.</w:t>
      </w:r>
    </w:p>
  </w:footnote>
  <w:footnote w:id="47">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w:t>
      </w:r>
      <w:proofErr w:type="gramStart"/>
      <w:r w:rsidRPr="00DF2607">
        <w:rPr>
          <w:rFonts w:ascii="Times New Roman" w:hAnsi="Times New Roman" w:cs="Times New Roman"/>
        </w:rPr>
        <w:t>COM(</w:t>
      </w:r>
      <w:proofErr w:type="gramEnd"/>
      <w:r w:rsidRPr="00DF2607">
        <w:rPr>
          <w:rFonts w:ascii="Times New Roman" w:hAnsi="Times New Roman" w:cs="Times New Roman"/>
        </w:rPr>
        <w:t xml:space="preserve">2020) 264 final], Bruselas, 24 de junio de 2020, p. 4]. Sobre este aspecto se ha pronunciado RODOTÀ, S.: </w:t>
      </w:r>
      <w:r>
        <w:rPr>
          <w:rFonts w:ascii="Times New Roman" w:hAnsi="Times New Roman" w:cs="Times New Roman"/>
        </w:rPr>
        <w:t>“</w:t>
      </w:r>
      <w:r w:rsidRPr="005822D2">
        <w:rPr>
          <w:rFonts w:ascii="Times New Roman" w:hAnsi="Times New Roman" w:cs="Times New Roman"/>
        </w:rPr>
        <w:t>Democracia y protección de datos</w:t>
      </w:r>
      <w:r>
        <w:rPr>
          <w:rFonts w:ascii="Times New Roman" w:hAnsi="Times New Roman" w:cs="Times New Roman"/>
        </w:rPr>
        <w:t>”</w:t>
      </w:r>
      <w:r w:rsidRPr="005822D2">
        <w:rPr>
          <w:rFonts w:ascii="Times New Roman" w:hAnsi="Times New Roman" w:cs="Times New Roman"/>
        </w:rPr>
        <w:t xml:space="preserve">, </w:t>
      </w:r>
      <w:r w:rsidRPr="005822D2">
        <w:rPr>
          <w:rFonts w:ascii="Times New Roman" w:hAnsi="Times New Roman" w:cs="Times New Roman"/>
          <w:i/>
          <w:iCs/>
        </w:rPr>
        <w:t>Cuadernos de Derecho Público</w:t>
      </w:r>
      <w:r>
        <w:rPr>
          <w:rFonts w:ascii="Times New Roman" w:hAnsi="Times New Roman" w:cs="Times New Roman"/>
        </w:rPr>
        <w:t>, núm.</w:t>
      </w:r>
      <w:r w:rsidRPr="005822D2">
        <w:rPr>
          <w:rFonts w:ascii="Times New Roman" w:hAnsi="Times New Roman" w:cs="Times New Roman"/>
        </w:rPr>
        <w:t xml:space="preserve"> 19-20, 2003, pp. </w:t>
      </w:r>
      <w:r w:rsidRPr="00DF2607">
        <w:rPr>
          <w:rFonts w:ascii="Times New Roman" w:hAnsi="Times New Roman" w:cs="Times New Roman"/>
        </w:rPr>
        <w:t xml:space="preserve">p. 19. </w:t>
      </w:r>
    </w:p>
  </w:footnote>
  <w:footnote w:id="48">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lang w:val="en-US"/>
        </w:rPr>
        <w:t xml:space="preserve"> </w:t>
      </w:r>
      <w:r w:rsidRPr="00DF2607">
        <w:rPr>
          <w:rFonts w:ascii="Times New Roman" w:hAnsi="Times New Roman" w:cs="Times New Roman"/>
          <w:i/>
          <w:iCs/>
          <w:lang w:val="en-US"/>
        </w:rPr>
        <w:t>Vid</w:t>
      </w:r>
      <w:r w:rsidRPr="00DF2607">
        <w:rPr>
          <w:rFonts w:ascii="Times New Roman" w:hAnsi="Times New Roman" w:cs="Times New Roman"/>
          <w:lang w:val="en-US"/>
        </w:rPr>
        <w:t xml:space="preserve">. SCHWARTZ, P.M.: «Privacy and Democracy in Cyberspace», en </w:t>
      </w:r>
      <w:r w:rsidRPr="00DF2607">
        <w:rPr>
          <w:rFonts w:ascii="Times New Roman" w:hAnsi="Times New Roman" w:cs="Times New Roman"/>
          <w:i/>
          <w:iCs/>
          <w:lang w:val="en-US"/>
        </w:rPr>
        <w:t>Vanderbilt Law Review</w:t>
      </w:r>
      <w:r w:rsidRPr="00DF2607">
        <w:rPr>
          <w:rFonts w:ascii="Times New Roman" w:hAnsi="Times New Roman" w:cs="Times New Roman"/>
          <w:lang w:val="en-US"/>
        </w:rPr>
        <w:t>,</w:t>
      </w:r>
      <w:r>
        <w:rPr>
          <w:rFonts w:ascii="Times New Roman" w:hAnsi="Times New Roman" w:cs="Times New Roman"/>
          <w:lang w:val="en-US"/>
        </w:rPr>
        <w:t xml:space="preserve"> Vol. 52, 2019, pp. 1652 y 1653: “</w:t>
      </w:r>
      <w:r w:rsidRPr="00307C5D">
        <w:rPr>
          <w:rFonts w:ascii="Times New Roman" w:hAnsi="Times New Roman" w:cs="Times New Roman"/>
          <w:lang w:val="en-US"/>
        </w:rPr>
        <w:t xml:space="preserve">Decisionmaking in a democracy takes place not only within a given community, but also within individuals who, at any time, are anchored in a variety of social settings. The health of a democratic society depends both on the group-oriented process of democratic deliberation and the functioning of each person’s capacity for selfgovernance”. </w:t>
      </w:r>
      <w:r>
        <w:rPr>
          <w:rFonts w:ascii="Times New Roman" w:hAnsi="Times New Roman" w:cs="Times New Roman"/>
        </w:rPr>
        <w:t>En el mismo sentido se expresan TRONCOSO REIGADA, A.: “Presentación”</w:t>
      </w:r>
      <w:r w:rsidRPr="00DF2607">
        <w:rPr>
          <w:rFonts w:ascii="Times New Roman" w:hAnsi="Times New Roman" w:cs="Times New Roman"/>
        </w:rPr>
        <w:t xml:space="preserve">, </w:t>
      </w:r>
      <w:r w:rsidRPr="005822D2">
        <w:rPr>
          <w:rFonts w:ascii="Times New Roman" w:hAnsi="Times New Roman" w:cs="Times New Roman"/>
          <w:i/>
        </w:rPr>
        <w:t>ob</w:t>
      </w:r>
      <w:r>
        <w:rPr>
          <w:rFonts w:ascii="Times New Roman" w:hAnsi="Times New Roman" w:cs="Times New Roman"/>
        </w:rPr>
        <w:t xml:space="preserve">. cit., </w:t>
      </w:r>
      <w:r w:rsidRPr="00DF2607">
        <w:rPr>
          <w:rFonts w:ascii="Times New Roman" w:hAnsi="Times New Roman" w:cs="Times New Roman"/>
        </w:rPr>
        <w:t>pp. 73 y 74</w:t>
      </w:r>
      <w:r>
        <w:rPr>
          <w:rFonts w:ascii="Times New Roman" w:hAnsi="Times New Roman" w:cs="Times New Roman"/>
        </w:rPr>
        <w:t xml:space="preserve">, y </w:t>
      </w:r>
      <w:r w:rsidRPr="00DF2607">
        <w:rPr>
          <w:rFonts w:ascii="Times New Roman" w:hAnsi="Times New Roman" w:cs="Times New Roman"/>
        </w:rPr>
        <w:t xml:space="preserve">VILLALBA CANO, L., </w:t>
      </w:r>
      <w:r w:rsidRPr="00B400F7">
        <w:rPr>
          <w:rFonts w:ascii="Times New Roman" w:hAnsi="Times New Roman" w:cs="Times New Roman"/>
          <w:i/>
        </w:rPr>
        <w:t>ob</w:t>
      </w:r>
      <w:r w:rsidRPr="00DF2607">
        <w:rPr>
          <w:rFonts w:ascii="Times New Roman" w:hAnsi="Times New Roman" w:cs="Times New Roman"/>
        </w:rPr>
        <w:t>., cit., 357.</w:t>
      </w:r>
    </w:p>
  </w:footnote>
  <w:footnote w:id="49">
    <w:p w:rsidR="00CC7F93" w:rsidRPr="00452CF5" w:rsidRDefault="00CC7F93" w:rsidP="00B25435">
      <w:pPr>
        <w:pStyle w:val="Textonotapie"/>
        <w:jc w:val="both"/>
        <w:rPr>
          <w:rFonts w:ascii="Times New Roman" w:hAnsi="Times New Roman" w:cs="Times New Roman"/>
        </w:rPr>
      </w:pPr>
      <w:r w:rsidRPr="00452CF5">
        <w:rPr>
          <w:rStyle w:val="Refdenotaalpie"/>
          <w:rFonts w:ascii="Times New Roman" w:hAnsi="Times New Roman" w:cs="Times New Roman"/>
        </w:rPr>
        <w:footnoteRef/>
      </w:r>
      <w:r>
        <w:rPr>
          <w:rFonts w:ascii="Times New Roman" w:hAnsi="Times New Roman" w:cs="Times New Roman"/>
        </w:rPr>
        <w:t xml:space="preserve"> Parágrafo 15 de los Considerandos de la Propuesta de Reglamento de Inteligencia Artificial: “</w:t>
      </w:r>
      <w:r w:rsidRPr="00452CF5">
        <w:rPr>
          <w:rFonts w:ascii="Times New Roman" w:hAnsi="Times New Roman" w:cs="Times New Roman"/>
        </w:rPr>
        <w:t>Al margen de los múltiples usos beneficiosos de la inteligencia artificial, dicha tecnología también puede utilizarse indebidamente y proporcionar nuevas y poderosas herramientas para llevar a cabo prácticas de manipulación, explotación y control social. Dichas prácticas son sumamente perjudiciales y deben estar prohibidas, pues van en contra de los valores de la Unión de respeto de la dignidad humana, libertad, igualdad, democracia y Estado de Derecho y de los derechos fundamentales que reconoce la UE, como el derecho a la no discriminación, la protección de datos y la privacidad, y los derechos del niño.</w:t>
      </w:r>
    </w:p>
  </w:footnote>
  <w:footnote w:id="50">
    <w:p w:rsidR="00CC7F93" w:rsidRPr="00DF2607" w:rsidRDefault="00CC7F93" w:rsidP="00B25435">
      <w:pPr>
        <w:spacing w:after="0" w:line="240" w:lineRule="auto"/>
        <w:jc w:val="both"/>
        <w:rPr>
          <w:rFonts w:ascii="Times New Roman" w:hAnsi="Times New Roman" w:cs="Times New Roman"/>
          <w:sz w:val="20"/>
          <w:szCs w:val="20"/>
        </w:rPr>
      </w:pPr>
      <w:r w:rsidRPr="00DF2607">
        <w:rPr>
          <w:rStyle w:val="Refdenotaalpie"/>
          <w:rFonts w:ascii="Times New Roman" w:hAnsi="Times New Roman" w:cs="Times New Roman"/>
          <w:sz w:val="20"/>
          <w:szCs w:val="20"/>
        </w:rPr>
        <w:footnoteRef/>
      </w:r>
      <w:r w:rsidRPr="00DF2607">
        <w:rPr>
          <w:rFonts w:ascii="Times New Roman" w:hAnsi="Times New Roman" w:cs="Times New Roman"/>
          <w:sz w:val="20"/>
          <w:szCs w:val="20"/>
        </w:rPr>
        <w:t xml:space="preserve"> Esta reflexión se realiza al mismo tiempo de los sistemas de IA destinados a la Administración de justicia (Considerando 40).</w:t>
      </w:r>
    </w:p>
  </w:footnote>
  <w:footnote w:id="51">
    <w:p w:rsidR="00CC7F93" w:rsidRPr="00C72578" w:rsidRDefault="00CC7F93" w:rsidP="00972B53">
      <w:pPr>
        <w:pStyle w:val="Textonotapie"/>
        <w:jc w:val="both"/>
        <w:rPr>
          <w:rFonts w:ascii="Times New Roman" w:hAnsi="Times New Roman" w:cs="Times New Roman"/>
        </w:rPr>
      </w:pPr>
      <w:r w:rsidRPr="00DF2607">
        <w:rPr>
          <w:rStyle w:val="Refdenotaalpie"/>
          <w:rFonts w:ascii="Times New Roman" w:hAnsi="Times New Roman" w:cs="Times New Roman"/>
        </w:rPr>
        <w:footnoteRef/>
      </w:r>
      <w:r>
        <w:rPr>
          <w:rFonts w:ascii="Times New Roman" w:hAnsi="Times New Roman" w:cs="Times New Roman"/>
        </w:rPr>
        <w:t xml:space="preserve"> </w:t>
      </w:r>
      <w:r w:rsidRPr="00972B53">
        <w:rPr>
          <w:rFonts w:ascii="Times New Roman" w:hAnsi="Times New Roman" w:cs="Times New Roman"/>
        </w:rPr>
        <w:t>Doc.</w:t>
      </w:r>
      <w:r w:rsidRPr="00DF2607">
        <w:rPr>
          <w:rFonts w:ascii="Times New Roman" w:hAnsi="Times New Roman" w:cs="Times New Roman"/>
        </w:rPr>
        <w:t xml:space="preserve"> </w:t>
      </w:r>
      <w:proofErr w:type="gramStart"/>
      <w:r w:rsidRPr="00DF2607">
        <w:rPr>
          <w:rFonts w:ascii="Times New Roman" w:hAnsi="Times New Roman" w:cs="Times New Roman"/>
        </w:rPr>
        <w:t>COM(</w:t>
      </w:r>
      <w:proofErr w:type="gramEnd"/>
      <w:r w:rsidRPr="00DF2607">
        <w:rPr>
          <w:rFonts w:ascii="Times New Roman" w:hAnsi="Times New Roman" w:cs="Times New Roman"/>
        </w:rPr>
        <w:t xml:space="preserve">2018) 236 final, Introducción. Accesible en: </w:t>
      </w:r>
      <w:hyperlink r:id="rId10">
        <w:r w:rsidRPr="00DF2607">
          <w:rPr>
            <w:rFonts w:ascii="Times New Roman" w:eastAsia="Calibri" w:hAnsi="Times New Roman" w:cs="Times New Roman"/>
            <w:color w:val="000000"/>
            <w:lang w:eastAsia="es-ES"/>
          </w:rPr>
          <w:t>http://ec.europa.eu/transparency/regdoc/rep/1/2018/ES/COM</w:t>
        </w:r>
      </w:hyperlink>
      <w:hyperlink r:id="rId11">
        <w:r w:rsidRPr="00DF2607">
          <w:rPr>
            <w:rFonts w:ascii="Times New Roman" w:eastAsia="Calibri" w:hAnsi="Times New Roman" w:cs="Times New Roman"/>
            <w:color w:val="000000"/>
            <w:lang w:eastAsia="es-ES"/>
          </w:rPr>
          <w:t>-</w:t>
        </w:r>
      </w:hyperlink>
      <w:hyperlink r:id="rId12">
        <w:r w:rsidRPr="00DF2607">
          <w:rPr>
            <w:rFonts w:ascii="Times New Roman" w:eastAsia="Calibri" w:hAnsi="Times New Roman" w:cs="Times New Roman"/>
            <w:color w:val="000000"/>
            <w:lang w:eastAsia="es-ES"/>
          </w:rPr>
          <w:t>2018</w:t>
        </w:r>
      </w:hyperlink>
      <w:hyperlink r:id="rId13">
        <w:r w:rsidRPr="00DF2607">
          <w:rPr>
            <w:rFonts w:ascii="Times New Roman" w:eastAsia="Calibri" w:hAnsi="Times New Roman" w:cs="Times New Roman"/>
            <w:color w:val="000000"/>
            <w:lang w:eastAsia="es-ES"/>
          </w:rPr>
          <w:t>-</w:t>
        </w:r>
      </w:hyperlink>
      <w:hyperlink r:id="rId14">
        <w:r w:rsidRPr="00DF2607">
          <w:rPr>
            <w:rFonts w:ascii="Times New Roman" w:eastAsia="Calibri" w:hAnsi="Times New Roman" w:cs="Times New Roman"/>
            <w:color w:val="000000"/>
            <w:lang w:eastAsia="es-ES"/>
          </w:rPr>
          <w:t>236</w:t>
        </w:r>
      </w:hyperlink>
      <w:hyperlink r:id="rId15">
        <w:r w:rsidRPr="00DF2607">
          <w:rPr>
            <w:rFonts w:ascii="Times New Roman" w:eastAsia="Calibri" w:hAnsi="Times New Roman" w:cs="Times New Roman"/>
            <w:color w:val="000000"/>
            <w:lang w:eastAsia="es-ES"/>
          </w:rPr>
          <w:t>-</w:t>
        </w:r>
      </w:hyperlink>
      <w:hyperlink r:id="rId16">
        <w:r w:rsidRPr="00DF2607">
          <w:rPr>
            <w:rFonts w:ascii="Times New Roman" w:eastAsia="Calibri" w:hAnsi="Times New Roman" w:cs="Times New Roman"/>
            <w:color w:val="000000"/>
            <w:lang w:eastAsia="es-ES"/>
          </w:rPr>
          <w:t>F1</w:t>
        </w:r>
      </w:hyperlink>
      <w:hyperlink r:id="rId17">
        <w:r w:rsidRPr="00DF2607">
          <w:rPr>
            <w:rFonts w:ascii="Times New Roman" w:eastAsia="Calibri" w:hAnsi="Times New Roman" w:cs="Times New Roman"/>
            <w:color w:val="000000"/>
            <w:lang w:eastAsia="es-ES"/>
          </w:rPr>
          <w:t>-</w:t>
        </w:r>
      </w:hyperlink>
      <w:hyperlink r:id="rId18">
        <w:r w:rsidRPr="00DF2607">
          <w:rPr>
            <w:rFonts w:ascii="Times New Roman" w:eastAsia="Calibri" w:hAnsi="Times New Roman" w:cs="Times New Roman"/>
            <w:color w:val="000000"/>
            <w:lang w:eastAsia="es-ES"/>
          </w:rPr>
          <w:t>ES</w:t>
        </w:r>
      </w:hyperlink>
      <w:hyperlink r:id="rId19">
        <w:r w:rsidRPr="00DF2607">
          <w:rPr>
            <w:rFonts w:ascii="Times New Roman" w:eastAsia="Calibri" w:hAnsi="Times New Roman" w:cs="Times New Roman"/>
            <w:color w:val="000000"/>
            <w:lang w:eastAsia="es-ES"/>
          </w:rPr>
          <w:t>-</w:t>
        </w:r>
      </w:hyperlink>
      <w:hyperlink r:id="rId20">
        <w:r w:rsidRPr="00DF2607">
          <w:rPr>
            <w:rFonts w:ascii="Times New Roman" w:eastAsia="Calibri" w:hAnsi="Times New Roman" w:cs="Times New Roman"/>
            <w:color w:val="000000"/>
            <w:lang w:eastAsia="es-ES"/>
          </w:rPr>
          <w:t>MAIN</w:t>
        </w:r>
      </w:hyperlink>
      <w:hyperlink r:id="rId21">
        <w:r w:rsidRPr="00DF2607">
          <w:rPr>
            <w:rFonts w:ascii="Times New Roman" w:eastAsia="Calibri" w:hAnsi="Times New Roman" w:cs="Times New Roman"/>
            <w:color w:val="000000"/>
            <w:lang w:eastAsia="es-ES"/>
          </w:rPr>
          <w:t>-</w:t>
        </w:r>
      </w:hyperlink>
      <w:hyperlink r:id="rId22">
        <w:r w:rsidRPr="00DF2607">
          <w:rPr>
            <w:rFonts w:ascii="Times New Roman" w:eastAsia="Calibri" w:hAnsi="Times New Roman" w:cs="Times New Roman"/>
            <w:color w:val="000000"/>
            <w:lang w:eastAsia="es-ES"/>
          </w:rPr>
          <w:t>PART</w:t>
        </w:r>
      </w:hyperlink>
      <w:hyperlink r:id="rId23">
        <w:r w:rsidRPr="00DF2607">
          <w:rPr>
            <w:rFonts w:ascii="Times New Roman" w:eastAsia="Calibri" w:hAnsi="Times New Roman" w:cs="Times New Roman"/>
            <w:color w:val="000000"/>
            <w:lang w:eastAsia="es-ES"/>
          </w:rPr>
          <w:t>-</w:t>
        </w:r>
      </w:hyperlink>
      <w:hyperlink r:id="rId24">
        <w:r w:rsidRPr="00DF2607">
          <w:rPr>
            <w:rFonts w:ascii="Times New Roman" w:eastAsia="Calibri" w:hAnsi="Times New Roman" w:cs="Times New Roman"/>
            <w:color w:val="000000"/>
            <w:lang w:eastAsia="es-ES"/>
          </w:rPr>
          <w:t>1.PDF</w:t>
        </w:r>
      </w:hyperlink>
      <w:hyperlink r:id="rId25">
        <w:r w:rsidRPr="00DF2607">
          <w:rPr>
            <w:rFonts w:ascii="Times New Roman" w:eastAsia="Calibri" w:hAnsi="Times New Roman" w:cs="Times New Roman"/>
            <w:color w:val="000000"/>
            <w:lang w:eastAsia="es-ES"/>
          </w:rPr>
          <w:t>.</w:t>
        </w:r>
      </w:hyperlink>
      <w:r>
        <w:rPr>
          <w:rFonts w:ascii="Times New Roman" w:eastAsia="Calibri" w:hAnsi="Times New Roman" w:cs="Times New Roman"/>
          <w:color w:val="000000"/>
          <w:lang w:eastAsia="es-ES"/>
        </w:rPr>
        <w:t xml:space="preserve"> Sobre la posibilidad de </w:t>
      </w:r>
      <w:r w:rsidRPr="00C72578">
        <w:rPr>
          <w:rFonts w:ascii="Times New Roman" w:eastAsia="Calibri" w:hAnsi="Times New Roman" w:cs="Times New Roman"/>
          <w:color w:val="000000"/>
          <w:lang w:eastAsia="es-ES"/>
        </w:rPr>
        <w:t xml:space="preserve">monitorizar y, en su caso, controlar la difusión de </w:t>
      </w:r>
      <w:r>
        <w:rPr>
          <w:rFonts w:ascii="Times New Roman" w:eastAsia="Calibri" w:hAnsi="Times New Roman" w:cs="Times New Roman"/>
          <w:color w:val="000000"/>
          <w:lang w:eastAsia="es-ES"/>
        </w:rPr>
        <w:t xml:space="preserve">mensajes falsos a sabiendas de los riesgos que eso puede conllevar para las libertades de información y de expresión, </w:t>
      </w:r>
      <w:r w:rsidRPr="00C72578">
        <w:rPr>
          <w:rFonts w:ascii="Times New Roman" w:eastAsia="Calibri" w:hAnsi="Times New Roman" w:cs="Times New Roman"/>
          <w:i/>
          <w:color w:val="000000"/>
          <w:lang w:eastAsia="es-ES"/>
        </w:rPr>
        <w:t>vid.</w:t>
      </w:r>
      <w:r>
        <w:rPr>
          <w:rFonts w:ascii="Times New Roman" w:eastAsia="Calibri" w:hAnsi="Times New Roman" w:cs="Times New Roman"/>
          <w:i/>
          <w:color w:val="000000"/>
          <w:lang w:eastAsia="es-ES"/>
        </w:rPr>
        <w:t xml:space="preserve"> </w:t>
      </w:r>
      <w:r>
        <w:rPr>
          <w:rFonts w:ascii="Times New Roman" w:eastAsia="Calibri" w:hAnsi="Times New Roman" w:cs="Times New Roman"/>
          <w:color w:val="000000"/>
          <w:lang w:eastAsia="es-ES"/>
        </w:rPr>
        <w:t>SERRA CRISTOBAL, R.: “N</w:t>
      </w:r>
      <w:r w:rsidRPr="00C72578">
        <w:rPr>
          <w:rFonts w:ascii="Times New Roman" w:eastAsia="Calibri" w:hAnsi="Times New Roman" w:cs="Times New Roman"/>
          <w:color w:val="000000"/>
          <w:lang w:eastAsia="es-ES"/>
        </w:rPr>
        <w:t>oticias falsas (fakes news) y derecho a recibir información veraz. dónde se fundamenta la posibilidad de controlar la desinformación y cómo hacerlo</w:t>
      </w:r>
      <w:r>
        <w:rPr>
          <w:rFonts w:ascii="Times New Roman" w:eastAsia="Calibri" w:hAnsi="Times New Roman" w:cs="Times New Roman"/>
          <w:color w:val="000000"/>
          <w:lang w:eastAsia="es-ES"/>
        </w:rPr>
        <w:t xml:space="preserve">”, </w:t>
      </w:r>
      <w:r w:rsidRPr="00C72578">
        <w:rPr>
          <w:rFonts w:ascii="Times New Roman" w:eastAsia="Calibri" w:hAnsi="Times New Roman" w:cs="Times New Roman"/>
          <w:i/>
          <w:color w:val="000000"/>
          <w:lang w:eastAsia="es-ES"/>
        </w:rPr>
        <w:t>Revista de Derecho Político</w:t>
      </w:r>
      <w:r>
        <w:rPr>
          <w:rFonts w:ascii="Times New Roman" w:eastAsia="Calibri" w:hAnsi="Times New Roman" w:cs="Times New Roman"/>
          <w:color w:val="000000"/>
          <w:lang w:eastAsia="es-ES"/>
        </w:rPr>
        <w:t>, núm. 116, 20223, pp. 13-46.</w:t>
      </w:r>
    </w:p>
  </w:footnote>
  <w:footnote w:id="52">
    <w:p w:rsidR="00CC7F93" w:rsidRPr="00DF2607" w:rsidRDefault="00CC7F93" w:rsidP="00B25435">
      <w:pPr>
        <w:pStyle w:val="Textonotapie"/>
        <w:jc w:val="both"/>
        <w:rPr>
          <w:rFonts w:ascii="Times New Roman" w:hAnsi="Times New Roman" w:cs="Times New Roman"/>
        </w:rPr>
      </w:pPr>
      <w:r w:rsidRPr="00DF2607">
        <w:rPr>
          <w:rStyle w:val="Refdenotaalpie"/>
          <w:rFonts w:ascii="Times New Roman" w:hAnsi="Times New Roman" w:cs="Times New Roman"/>
        </w:rPr>
        <w:footnoteRef/>
      </w:r>
      <w:r w:rsidRPr="00DF2607">
        <w:rPr>
          <w:rFonts w:ascii="Times New Roman" w:hAnsi="Times New Roman" w:cs="Times New Roman"/>
        </w:rPr>
        <w:t xml:space="preserve"> Artículo 22.2 RGPD: “El apartado 1 no se aplicará si la decisión: a) es necesaria para la celebración o la ejecución de un contrato entre el interesado y un responsable del tratamiento; b) está autorizada por el Derecho de la Unión o de los Estados miembros que se aplique al responsable del tratamiento y que establezca asimismo medidas adecuadas para salvaguardar los derechos y libertades y los intereses legítimos del interesado, o c) se basa en el consentimiento explícito del interesado.”</w:t>
      </w:r>
    </w:p>
  </w:footnote>
  <w:footnote w:id="53">
    <w:p w:rsidR="00CC7F93" w:rsidRPr="00AB7ECC" w:rsidRDefault="00CC7F93" w:rsidP="00AB7ECC">
      <w:pPr>
        <w:pStyle w:val="Textonotapie"/>
        <w:jc w:val="both"/>
        <w:rPr>
          <w:rFonts w:ascii="Times New Roman" w:hAnsi="Times New Roman" w:cs="Times New Roman"/>
        </w:rPr>
      </w:pPr>
      <w:r>
        <w:rPr>
          <w:rStyle w:val="Refdenotaalpie"/>
        </w:rPr>
        <w:footnoteRef/>
      </w:r>
      <w:r>
        <w:t xml:space="preserve"> </w:t>
      </w:r>
      <w:r w:rsidRPr="00AB7ECC">
        <w:rPr>
          <w:rFonts w:ascii="Times New Roman" w:hAnsi="Times New Roman" w:cs="Times New Roman"/>
        </w:rPr>
        <w:t xml:space="preserve">La prohibición de tratar los datos especialmente sensibles a los que se refiere el art. 9.1 RGPD (entre ellos los que revelan opiniones políticas) no será de aplicación si: </w:t>
      </w:r>
      <w:r>
        <w:rPr>
          <w:rFonts w:ascii="Times New Roman" w:hAnsi="Times New Roman" w:cs="Times New Roman"/>
        </w:rPr>
        <w:t>“</w:t>
      </w:r>
      <w:r w:rsidRPr="00AB7ECC">
        <w:rPr>
          <w:rFonts w:ascii="Times New Roman" w:hAnsi="Times New Roman" w:cs="Times New Roman"/>
        </w:rPr>
        <w:t xml:space="preserve">el interesado dio su consentimiento explícito para el tratamiento de dichos datos personales con uno o más de los fines especificados, excepto cuando el Derecho de la Unión o de los Estados miembros establezca que la prohibición mencionada en el apartado 1 no puede ser levantada por el interesado” </w:t>
      </w:r>
      <w:r>
        <w:rPr>
          <w:rFonts w:ascii="Times New Roman" w:hAnsi="Times New Roman" w:cs="Times New Roman"/>
        </w:rPr>
        <w:t>[</w:t>
      </w:r>
      <w:r w:rsidRPr="00AB7ECC">
        <w:rPr>
          <w:rFonts w:ascii="Times New Roman" w:hAnsi="Times New Roman" w:cs="Times New Roman"/>
        </w:rPr>
        <w:t>art. 9.2.a) RGPD].</w:t>
      </w:r>
    </w:p>
  </w:footnote>
  <w:footnote w:id="54">
    <w:p w:rsidR="00CC7F93" w:rsidRDefault="00CC7F93" w:rsidP="00AB7ECC">
      <w:pPr>
        <w:pStyle w:val="Textonotapie"/>
        <w:jc w:val="both"/>
      </w:pPr>
      <w:r>
        <w:rPr>
          <w:rStyle w:val="Refdenotaalpie"/>
        </w:rPr>
        <w:footnoteRef/>
      </w:r>
      <w:r>
        <w:t xml:space="preserve"> </w:t>
      </w:r>
      <w:r w:rsidRPr="00AB7ECC">
        <w:rPr>
          <w:rFonts w:ascii="Times New Roman" w:hAnsi="Times New Roman" w:cs="Times New Roman"/>
        </w:rPr>
        <w:t xml:space="preserve">La prohibición de tratar los datos especialmente sensibles a los que se refiere el art. 9.1 RGPD (entre ellos los que revelan opiniones políticas) no será de aplicación si: </w:t>
      </w:r>
      <w:r>
        <w:rPr>
          <w:rFonts w:ascii="Times New Roman" w:hAnsi="Times New Roman" w:cs="Times New Roman"/>
        </w:rPr>
        <w:t>“</w:t>
      </w:r>
      <w:r w:rsidRPr="00AB7ECC">
        <w:rPr>
          <w:rFonts w:ascii="Times New Roman" w:hAnsi="Times New Roman" w:cs="Times New Roman"/>
        </w:rPr>
        <w:t xml:space="preserve">el tratamiento es necesario por razones de un interés público esencial, sobre la base del Derecho de la Unión o de los Estados miembros, que debe ser proporcional al objetivo perseguido, respetar en lo esencial el derecho a la protección de datos y establecer medidas adecuadas y específicas para proteger los intereses y derechos fundamentales del interesado” </w:t>
      </w:r>
      <w:r>
        <w:rPr>
          <w:rFonts w:ascii="Times New Roman" w:hAnsi="Times New Roman" w:cs="Times New Roman"/>
        </w:rPr>
        <w:t>[</w:t>
      </w:r>
      <w:r w:rsidRPr="00AB7ECC">
        <w:rPr>
          <w:rFonts w:ascii="Times New Roman" w:hAnsi="Times New Roman" w:cs="Times New Roman"/>
        </w:rPr>
        <w:t>art. 9.2</w:t>
      </w:r>
      <w:r>
        <w:rPr>
          <w:rFonts w:ascii="Times New Roman" w:hAnsi="Times New Roman" w:cs="Times New Roman"/>
        </w:rPr>
        <w:t>.g</w:t>
      </w:r>
      <w:r w:rsidRPr="00AB7ECC">
        <w:rPr>
          <w:rFonts w:ascii="Times New Roman" w:hAnsi="Times New Roman" w:cs="Times New Roman"/>
        </w:rPr>
        <w:t>) RGPD].</w:t>
      </w:r>
    </w:p>
  </w:footnote>
  <w:footnote w:id="55">
    <w:p w:rsidR="00CC7F93" w:rsidRPr="00324450" w:rsidRDefault="00CC7F93" w:rsidP="00B25435">
      <w:pPr>
        <w:pStyle w:val="Textonotapie"/>
        <w:jc w:val="both"/>
        <w:rPr>
          <w:rFonts w:ascii="Times New Roman" w:hAnsi="Times New Roman" w:cs="Times New Roman"/>
        </w:rPr>
      </w:pPr>
      <w:r w:rsidRPr="00324450">
        <w:rPr>
          <w:rStyle w:val="Refdenotaalpie"/>
          <w:rFonts w:ascii="Times New Roman" w:hAnsi="Times New Roman" w:cs="Times New Roman"/>
        </w:rPr>
        <w:footnoteRef/>
      </w:r>
      <w:r w:rsidRPr="00324450">
        <w:rPr>
          <w:rFonts w:ascii="Times New Roman" w:hAnsi="Times New Roman" w:cs="Times New Roman"/>
        </w:rPr>
        <w:t xml:space="preserve"> Documento </w:t>
      </w:r>
      <w:r w:rsidRPr="00324450">
        <w:rPr>
          <w:rFonts w:ascii="Times New Roman" w:hAnsi="Times New Roman" w:cs="Times New Roman"/>
          <w:color w:val="333333"/>
          <w:shd w:val="clear" w:color="auto" w:fill="FFFFFF"/>
        </w:rPr>
        <w:t>2023/C 23/01, publicado en el Diario Oficial de la Unión Europea n. 66, de 23 de enero de 2023, p. 1. Su Preámbulo (parágrafo 4) recueda que “el Parlamento ha pedido en varias ocasiones el establecimiento de principios éticos que guíen el enfoque de la UE con respecto a la transformación digital, y que se garantice el pleno respeto de derechos fundamentales como la protección de datos, el derecho a la privacidad, la ausencia de discriminación, la igualdad de género, y de principios como la protección de los consumidores, la neutralidad tecnológica y de la red, la fiabilidad y la inclusividad. También ha pedido que se refuerce la protección de los derechos de los usuarios en el entorno digital, así como de los derechos de los trabajadores y el derecho a la desconexión”.</w:t>
      </w:r>
    </w:p>
  </w:footnote>
  <w:footnote w:id="56">
    <w:p w:rsidR="00CC7F93" w:rsidRPr="00DF2607" w:rsidRDefault="00CC7F93" w:rsidP="00B25435">
      <w:pPr>
        <w:pStyle w:val="NormalWeb"/>
        <w:shd w:val="clear" w:color="auto" w:fill="FFFFFF"/>
        <w:spacing w:before="0" w:beforeAutospacing="0" w:after="0" w:afterAutospacing="0"/>
        <w:jc w:val="both"/>
        <w:rPr>
          <w:color w:val="222222"/>
          <w:sz w:val="20"/>
          <w:szCs w:val="20"/>
        </w:rPr>
      </w:pPr>
      <w:r w:rsidRPr="00DF2607">
        <w:rPr>
          <w:rStyle w:val="Refdenotaalpie"/>
          <w:sz w:val="20"/>
          <w:szCs w:val="20"/>
        </w:rPr>
        <w:footnoteRef/>
      </w:r>
      <w:r w:rsidRPr="00DF2607">
        <w:rPr>
          <w:sz w:val="20"/>
          <w:szCs w:val="20"/>
        </w:rPr>
        <w:t xml:space="preserve"> Cfr. </w:t>
      </w:r>
      <w:r w:rsidRPr="00DF2607">
        <w:rPr>
          <w:color w:val="222222"/>
          <w:sz w:val="20"/>
          <w:szCs w:val="20"/>
        </w:rPr>
        <w:t>SÁNCHEZ BARRILAO, J. F.: “El derecho constitucional ante la era de ultrón: la informática y la inteligencia artificial como objeto constitucional”, Estudios de Deusto, Vol. 64/2, 2016, p. 255.</w:t>
      </w:r>
    </w:p>
  </w:footnote>
  <w:footnote w:id="57">
    <w:p w:rsidR="00CC7F93" w:rsidRPr="00936589" w:rsidRDefault="00CC7F93" w:rsidP="00B25435">
      <w:pPr>
        <w:pStyle w:val="Textonotapie"/>
        <w:jc w:val="both"/>
        <w:rPr>
          <w:rFonts w:ascii="Times New Roman" w:hAnsi="Times New Roman" w:cs="Times New Roman"/>
        </w:rPr>
      </w:pPr>
      <w:r w:rsidRPr="00936589">
        <w:rPr>
          <w:rStyle w:val="Refdenotaalpie"/>
          <w:rFonts w:ascii="Times New Roman" w:hAnsi="Times New Roman" w:cs="Times New Roman"/>
        </w:rPr>
        <w:footnoteRef/>
      </w:r>
      <w:r w:rsidRPr="00936589">
        <w:rPr>
          <w:rFonts w:ascii="Times New Roman" w:hAnsi="Times New Roman" w:cs="Times New Roman"/>
        </w:rPr>
        <w:t xml:space="preserve"> Instrumento de ratificación publicado en el </w:t>
      </w:r>
      <w:r w:rsidRPr="00936589">
        <w:rPr>
          <w:rFonts w:ascii="Times New Roman" w:hAnsi="Times New Roman" w:cs="Times New Roman"/>
          <w:i/>
        </w:rPr>
        <w:t>Boletín Oficial del Estado</w:t>
      </w:r>
      <w:r w:rsidRPr="00936589">
        <w:rPr>
          <w:rFonts w:ascii="Times New Roman" w:hAnsi="Times New Roman" w:cs="Times New Roman"/>
        </w:rPr>
        <w:t xml:space="preserve"> núm. 274, de 15 de noviembre de 1985.</w:t>
      </w:r>
    </w:p>
  </w:footnote>
  <w:footnote w:id="58">
    <w:p w:rsidR="00CC7F93" w:rsidRPr="00324450" w:rsidRDefault="00CC7F93" w:rsidP="00B25435">
      <w:pPr>
        <w:pStyle w:val="Textonotapie"/>
        <w:jc w:val="both"/>
        <w:rPr>
          <w:rFonts w:ascii="Times New Roman" w:hAnsi="Times New Roman" w:cs="Times New Roman"/>
        </w:rPr>
      </w:pPr>
      <w:r w:rsidRPr="00324450">
        <w:rPr>
          <w:rStyle w:val="Refdenotaalpie"/>
          <w:rFonts w:ascii="Times New Roman" w:hAnsi="Times New Roman" w:cs="Times New Roman"/>
        </w:rPr>
        <w:footnoteRef/>
      </w:r>
      <w:r w:rsidRPr="00324450">
        <w:rPr>
          <w:rFonts w:ascii="Times New Roman" w:hAnsi="Times New Roman" w:cs="Times New Roman"/>
        </w:rPr>
        <w:t xml:space="preserve"> Accesible en https://rm.coe.int/convention-108-convention-for-the-protection-of-individuals-with-regar/16808b36f1</w:t>
      </w:r>
    </w:p>
  </w:footnote>
  <w:footnote w:id="59">
    <w:p w:rsidR="00CC7F93" w:rsidRPr="00324450" w:rsidRDefault="00CC7F93" w:rsidP="00B25435">
      <w:pPr>
        <w:pStyle w:val="Textonotapie"/>
        <w:jc w:val="both"/>
        <w:rPr>
          <w:rFonts w:ascii="Times New Roman" w:hAnsi="Times New Roman" w:cs="Times New Roman"/>
        </w:rPr>
      </w:pPr>
      <w:r w:rsidRPr="00324450">
        <w:rPr>
          <w:rStyle w:val="Refdenotaalpie"/>
          <w:rFonts w:ascii="Times New Roman" w:hAnsi="Times New Roman" w:cs="Times New Roman"/>
        </w:rPr>
        <w:footnoteRef/>
      </w:r>
      <w:r w:rsidRPr="00324450">
        <w:rPr>
          <w:rFonts w:ascii="Times New Roman" w:hAnsi="Times New Roman" w:cs="Times New Roman"/>
        </w:rPr>
        <w:t xml:space="preserve"> El Gobierno de la nación, reconociendo “los retos que plantea la adaptación de los derechos actuales al entorno virtual y digital”, adopta” el 14 de julio de 2021 la Carta de Derechos Digitales, accesible en: </w:t>
      </w:r>
      <w:hyperlink r:id="rId26" w:history="1">
        <w:r w:rsidRPr="00324450">
          <w:rPr>
            <w:rStyle w:val="Hipervnculo"/>
            <w:rFonts w:ascii="Times New Roman" w:hAnsi="Times New Roman" w:cs="Times New Roman"/>
          </w:rPr>
          <w:t>https://www.lamoncloa.gob.es/presidente/actividades/Documents/2021/140721-Carta_Derechos_Digitales_RedEs.pdf</w:t>
        </w:r>
      </w:hyperlink>
      <w:r w:rsidRPr="00324450">
        <w:rPr>
          <w:rFonts w:ascii="Times New Roman" w:hAnsi="Times New Roman" w:cs="Times New Roman"/>
        </w:rPr>
        <w:t xml:space="preserve">. El comunicado de prensa del Ministerio de Asuntos Económicos y Transformación Digital, señala que tal “texto recoge un conjunto de principios y derechos para guiar futuros proyectos normativos y el desarrollo de las políticas públicas de forma que se garantice la protección de los derechos individuales y colectivos en los nuevos escenarios digitales”. Se trata pues de un documento programático, esto es, sin fuerza jurídica, que trata de establecer unas directrices que ayuden a salvaguardar los derechos fundamentales en el entorno digital: accesible en </w:t>
      </w:r>
      <w:hyperlink r:id="rId27" w:history="1">
        <w:r w:rsidRPr="00324450">
          <w:rPr>
            <w:rStyle w:val="Hipervnculo"/>
            <w:rFonts w:ascii="Times New Roman" w:hAnsi="Times New Roman" w:cs="Times New Roman"/>
          </w:rPr>
          <w:t>https://portal.mineco.gob.es/es-es/comunicacion/Paginas/210714_np_Carta-.aspx</w:t>
        </w:r>
      </w:hyperlink>
      <w:r w:rsidRPr="00324450">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42193"/>
    <w:multiLevelType w:val="hybridMultilevel"/>
    <w:tmpl w:val="591274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D7E4FBF"/>
    <w:multiLevelType w:val="hybridMultilevel"/>
    <w:tmpl w:val="0BE47758"/>
    <w:lvl w:ilvl="0" w:tplc="061005FC">
      <w:start w:val="1"/>
      <w:numFmt w:val="bullet"/>
      <w:lvlText w:val=""/>
      <w:lvlJc w:val="left"/>
      <w:pPr>
        <w:tabs>
          <w:tab w:val="num" w:pos="720"/>
        </w:tabs>
        <w:ind w:left="720" w:hanging="360"/>
      </w:pPr>
      <w:rPr>
        <w:rFonts w:ascii="Wingdings" w:hAnsi="Wingdings" w:hint="default"/>
      </w:rPr>
    </w:lvl>
    <w:lvl w:ilvl="1" w:tplc="D99CC006" w:tentative="1">
      <w:start w:val="1"/>
      <w:numFmt w:val="bullet"/>
      <w:lvlText w:val=""/>
      <w:lvlJc w:val="left"/>
      <w:pPr>
        <w:tabs>
          <w:tab w:val="num" w:pos="1440"/>
        </w:tabs>
        <w:ind w:left="1440" w:hanging="360"/>
      </w:pPr>
      <w:rPr>
        <w:rFonts w:ascii="Wingdings" w:hAnsi="Wingdings" w:hint="default"/>
      </w:rPr>
    </w:lvl>
    <w:lvl w:ilvl="2" w:tplc="349CAF90" w:tentative="1">
      <w:start w:val="1"/>
      <w:numFmt w:val="bullet"/>
      <w:lvlText w:val=""/>
      <w:lvlJc w:val="left"/>
      <w:pPr>
        <w:tabs>
          <w:tab w:val="num" w:pos="2160"/>
        </w:tabs>
        <w:ind w:left="2160" w:hanging="360"/>
      </w:pPr>
      <w:rPr>
        <w:rFonts w:ascii="Wingdings" w:hAnsi="Wingdings" w:hint="default"/>
      </w:rPr>
    </w:lvl>
    <w:lvl w:ilvl="3" w:tplc="C2D87A68" w:tentative="1">
      <w:start w:val="1"/>
      <w:numFmt w:val="bullet"/>
      <w:lvlText w:val=""/>
      <w:lvlJc w:val="left"/>
      <w:pPr>
        <w:tabs>
          <w:tab w:val="num" w:pos="2880"/>
        </w:tabs>
        <w:ind w:left="2880" w:hanging="360"/>
      </w:pPr>
      <w:rPr>
        <w:rFonts w:ascii="Wingdings" w:hAnsi="Wingdings" w:hint="default"/>
      </w:rPr>
    </w:lvl>
    <w:lvl w:ilvl="4" w:tplc="84AADE56" w:tentative="1">
      <w:start w:val="1"/>
      <w:numFmt w:val="bullet"/>
      <w:lvlText w:val=""/>
      <w:lvlJc w:val="left"/>
      <w:pPr>
        <w:tabs>
          <w:tab w:val="num" w:pos="3600"/>
        </w:tabs>
        <w:ind w:left="3600" w:hanging="360"/>
      </w:pPr>
      <w:rPr>
        <w:rFonts w:ascii="Wingdings" w:hAnsi="Wingdings" w:hint="default"/>
      </w:rPr>
    </w:lvl>
    <w:lvl w:ilvl="5" w:tplc="3A5089F2" w:tentative="1">
      <w:start w:val="1"/>
      <w:numFmt w:val="bullet"/>
      <w:lvlText w:val=""/>
      <w:lvlJc w:val="left"/>
      <w:pPr>
        <w:tabs>
          <w:tab w:val="num" w:pos="4320"/>
        </w:tabs>
        <w:ind w:left="4320" w:hanging="360"/>
      </w:pPr>
      <w:rPr>
        <w:rFonts w:ascii="Wingdings" w:hAnsi="Wingdings" w:hint="default"/>
      </w:rPr>
    </w:lvl>
    <w:lvl w:ilvl="6" w:tplc="973412F0" w:tentative="1">
      <w:start w:val="1"/>
      <w:numFmt w:val="bullet"/>
      <w:lvlText w:val=""/>
      <w:lvlJc w:val="left"/>
      <w:pPr>
        <w:tabs>
          <w:tab w:val="num" w:pos="5040"/>
        </w:tabs>
        <w:ind w:left="5040" w:hanging="360"/>
      </w:pPr>
      <w:rPr>
        <w:rFonts w:ascii="Wingdings" w:hAnsi="Wingdings" w:hint="default"/>
      </w:rPr>
    </w:lvl>
    <w:lvl w:ilvl="7" w:tplc="EE4425C4" w:tentative="1">
      <w:start w:val="1"/>
      <w:numFmt w:val="bullet"/>
      <w:lvlText w:val=""/>
      <w:lvlJc w:val="left"/>
      <w:pPr>
        <w:tabs>
          <w:tab w:val="num" w:pos="5760"/>
        </w:tabs>
        <w:ind w:left="5760" w:hanging="360"/>
      </w:pPr>
      <w:rPr>
        <w:rFonts w:ascii="Wingdings" w:hAnsi="Wingdings" w:hint="default"/>
      </w:rPr>
    </w:lvl>
    <w:lvl w:ilvl="8" w:tplc="1AD4868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A247A3"/>
    <w:multiLevelType w:val="hybridMultilevel"/>
    <w:tmpl w:val="E2A09C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2DA56CE"/>
    <w:multiLevelType w:val="hybridMultilevel"/>
    <w:tmpl w:val="E094374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B344C05"/>
    <w:multiLevelType w:val="hybridMultilevel"/>
    <w:tmpl w:val="2BE2029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C1F1964"/>
    <w:multiLevelType w:val="hybridMultilevel"/>
    <w:tmpl w:val="A1D05A0E"/>
    <w:lvl w:ilvl="0" w:tplc="3EEEC4D4">
      <w:start w:val="1"/>
      <w:numFmt w:val="bullet"/>
      <w:lvlText w:val=""/>
      <w:lvlJc w:val="left"/>
      <w:pPr>
        <w:tabs>
          <w:tab w:val="num" w:pos="720"/>
        </w:tabs>
        <w:ind w:left="720" w:hanging="360"/>
      </w:pPr>
      <w:rPr>
        <w:rFonts w:ascii="Wingdings" w:hAnsi="Wingdings" w:hint="default"/>
      </w:rPr>
    </w:lvl>
    <w:lvl w:ilvl="1" w:tplc="9E721AEA" w:tentative="1">
      <w:start w:val="1"/>
      <w:numFmt w:val="bullet"/>
      <w:lvlText w:val=""/>
      <w:lvlJc w:val="left"/>
      <w:pPr>
        <w:tabs>
          <w:tab w:val="num" w:pos="1440"/>
        </w:tabs>
        <w:ind w:left="1440" w:hanging="360"/>
      </w:pPr>
      <w:rPr>
        <w:rFonts w:ascii="Wingdings" w:hAnsi="Wingdings" w:hint="default"/>
      </w:rPr>
    </w:lvl>
    <w:lvl w:ilvl="2" w:tplc="0A5235B2" w:tentative="1">
      <w:start w:val="1"/>
      <w:numFmt w:val="bullet"/>
      <w:lvlText w:val=""/>
      <w:lvlJc w:val="left"/>
      <w:pPr>
        <w:tabs>
          <w:tab w:val="num" w:pos="2160"/>
        </w:tabs>
        <w:ind w:left="2160" w:hanging="360"/>
      </w:pPr>
      <w:rPr>
        <w:rFonts w:ascii="Wingdings" w:hAnsi="Wingdings" w:hint="default"/>
      </w:rPr>
    </w:lvl>
    <w:lvl w:ilvl="3" w:tplc="45FA1004" w:tentative="1">
      <w:start w:val="1"/>
      <w:numFmt w:val="bullet"/>
      <w:lvlText w:val=""/>
      <w:lvlJc w:val="left"/>
      <w:pPr>
        <w:tabs>
          <w:tab w:val="num" w:pos="2880"/>
        </w:tabs>
        <w:ind w:left="2880" w:hanging="360"/>
      </w:pPr>
      <w:rPr>
        <w:rFonts w:ascii="Wingdings" w:hAnsi="Wingdings" w:hint="default"/>
      </w:rPr>
    </w:lvl>
    <w:lvl w:ilvl="4" w:tplc="BCE67204" w:tentative="1">
      <w:start w:val="1"/>
      <w:numFmt w:val="bullet"/>
      <w:lvlText w:val=""/>
      <w:lvlJc w:val="left"/>
      <w:pPr>
        <w:tabs>
          <w:tab w:val="num" w:pos="3600"/>
        </w:tabs>
        <w:ind w:left="3600" w:hanging="360"/>
      </w:pPr>
      <w:rPr>
        <w:rFonts w:ascii="Wingdings" w:hAnsi="Wingdings" w:hint="default"/>
      </w:rPr>
    </w:lvl>
    <w:lvl w:ilvl="5" w:tplc="650AB942" w:tentative="1">
      <w:start w:val="1"/>
      <w:numFmt w:val="bullet"/>
      <w:lvlText w:val=""/>
      <w:lvlJc w:val="left"/>
      <w:pPr>
        <w:tabs>
          <w:tab w:val="num" w:pos="4320"/>
        </w:tabs>
        <w:ind w:left="4320" w:hanging="360"/>
      </w:pPr>
      <w:rPr>
        <w:rFonts w:ascii="Wingdings" w:hAnsi="Wingdings" w:hint="default"/>
      </w:rPr>
    </w:lvl>
    <w:lvl w:ilvl="6" w:tplc="A4BAEC9C" w:tentative="1">
      <w:start w:val="1"/>
      <w:numFmt w:val="bullet"/>
      <w:lvlText w:val=""/>
      <w:lvlJc w:val="left"/>
      <w:pPr>
        <w:tabs>
          <w:tab w:val="num" w:pos="5040"/>
        </w:tabs>
        <w:ind w:left="5040" w:hanging="360"/>
      </w:pPr>
      <w:rPr>
        <w:rFonts w:ascii="Wingdings" w:hAnsi="Wingdings" w:hint="default"/>
      </w:rPr>
    </w:lvl>
    <w:lvl w:ilvl="7" w:tplc="A10CD79C" w:tentative="1">
      <w:start w:val="1"/>
      <w:numFmt w:val="bullet"/>
      <w:lvlText w:val=""/>
      <w:lvlJc w:val="left"/>
      <w:pPr>
        <w:tabs>
          <w:tab w:val="num" w:pos="5760"/>
        </w:tabs>
        <w:ind w:left="5760" w:hanging="360"/>
      </w:pPr>
      <w:rPr>
        <w:rFonts w:ascii="Wingdings" w:hAnsi="Wingdings" w:hint="default"/>
      </w:rPr>
    </w:lvl>
    <w:lvl w:ilvl="8" w:tplc="2F0E933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9079ED"/>
    <w:multiLevelType w:val="hybridMultilevel"/>
    <w:tmpl w:val="839C97F0"/>
    <w:lvl w:ilvl="0" w:tplc="5832FA1E">
      <w:start w:val="1"/>
      <w:numFmt w:val="bullet"/>
      <w:lvlText w:val=""/>
      <w:lvlJc w:val="left"/>
      <w:pPr>
        <w:tabs>
          <w:tab w:val="num" w:pos="720"/>
        </w:tabs>
        <w:ind w:left="720" w:hanging="360"/>
      </w:pPr>
      <w:rPr>
        <w:rFonts w:ascii="Wingdings" w:hAnsi="Wingdings" w:hint="default"/>
      </w:rPr>
    </w:lvl>
    <w:lvl w:ilvl="1" w:tplc="0DBE916C" w:tentative="1">
      <w:start w:val="1"/>
      <w:numFmt w:val="bullet"/>
      <w:lvlText w:val=""/>
      <w:lvlJc w:val="left"/>
      <w:pPr>
        <w:tabs>
          <w:tab w:val="num" w:pos="1440"/>
        </w:tabs>
        <w:ind w:left="1440" w:hanging="360"/>
      </w:pPr>
      <w:rPr>
        <w:rFonts w:ascii="Wingdings" w:hAnsi="Wingdings" w:hint="default"/>
      </w:rPr>
    </w:lvl>
    <w:lvl w:ilvl="2" w:tplc="8AA20256" w:tentative="1">
      <w:start w:val="1"/>
      <w:numFmt w:val="bullet"/>
      <w:lvlText w:val=""/>
      <w:lvlJc w:val="left"/>
      <w:pPr>
        <w:tabs>
          <w:tab w:val="num" w:pos="2160"/>
        </w:tabs>
        <w:ind w:left="2160" w:hanging="360"/>
      </w:pPr>
      <w:rPr>
        <w:rFonts w:ascii="Wingdings" w:hAnsi="Wingdings" w:hint="default"/>
      </w:rPr>
    </w:lvl>
    <w:lvl w:ilvl="3" w:tplc="DD06EC30" w:tentative="1">
      <w:start w:val="1"/>
      <w:numFmt w:val="bullet"/>
      <w:lvlText w:val=""/>
      <w:lvlJc w:val="left"/>
      <w:pPr>
        <w:tabs>
          <w:tab w:val="num" w:pos="2880"/>
        </w:tabs>
        <w:ind w:left="2880" w:hanging="360"/>
      </w:pPr>
      <w:rPr>
        <w:rFonts w:ascii="Wingdings" w:hAnsi="Wingdings" w:hint="default"/>
      </w:rPr>
    </w:lvl>
    <w:lvl w:ilvl="4" w:tplc="9260FD52" w:tentative="1">
      <w:start w:val="1"/>
      <w:numFmt w:val="bullet"/>
      <w:lvlText w:val=""/>
      <w:lvlJc w:val="left"/>
      <w:pPr>
        <w:tabs>
          <w:tab w:val="num" w:pos="3600"/>
        </w:tabs>
        <w:ind w:left="3600" w:hanging="360"/>
      </w:pPr>
      <w:rPr>
        <w:rFonts w:ascii="Wingdings" w:hAnsi="Wingdings" w:hint="default"/>
      </w:rPr>
    </w:lvl>
    <w:lvl w:ilvl="5" w:tplc="E654D7C0" w:tentative="1">
      <w:start w:val="1"/>
      <w:numFmt w:val="bullet"/>
      <w:lvlText w:val=""/>
      <w:lvlJc w:val="left"/>
      <w:pPr>
        <w:tabs>
          <w:tab w:val="num" w:pos="4320"/>
        </w:tabs>
        <w:ind w:left="4320" w:hanging="360"/>
      </w:pPr>
      <w:rPr>
        <w:rFonts w:ascii="Wingdings" w:hAnsi="Wingdings" w:hint="default"/>
      </w:rPr>
    </w:lvl>
    <w:lvl w:ilvl="6" w:tplc="6AA2225A" w:tentative="1">
      <w:start w:val="1"/>
      <w:numFmt w:val="bullet"/>
      <w:lvlText w:val=""/>
      <w:lvlJc w:val="left"/>
      <w:pPr>
        <w:tabs>
          <w:tab w:val="num" w:pos="5040"/>
        </w:tabs>
        <w:ind w:left="5040" w:hanging="360"/>
      </w:pPr>
      <w:rPr>
        <w:rFonts w:ascii="Wingdings" w:hAnsi="Wingdings" w:hint="default"/>
      </w:rPr>
    </w:lvl>
    <w:lvl w:ilvl="7" w:tplc="45CC1A18" w:tentative="1">
      <w:start w:val="1"/>
      <w:numFmt w:val="bullet"/>
      <w:lvlText w:val=""/>
      <w:lvlJc w:val="left"/>
      <w:pPr>
        <w:tabs>
          <w:tab w:val="num" w:pos="5760"/>
        </w:tabs>
        <w:ind w:left="5760" w:hanging="360"/>
      </w:pPr>
      <w:rPr>
        <w:rFonts w:ascii="Wingdings" w:hAnsi="Wingdings" w:hint="default"/>
      </w:rPr>
    </w:lvl>
    <w:lvl w:ilvl="8" w:tplc="871E2AA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B71D5D"/>
    <w:multiLevelType w:val="hybridMultilevel"/>
    <w:tmpl w:val="3C701762"/>
    <w:lvl w:ilvl="0" w:tplc="75F6D81A">
      <w:start w:val="1"/>
      <w:numFmt w:val="bullet"/>
      <w:lvlText w:val=""/>
      <w:lvlJc w:val="left"/>
      <w:pPr>
        <w:tabs>
          <w:tab w:val="num" w:pos="720"/>
        </w:tabs>
        <w:ind w:left="720" w:hanging="360"/>
      </w:pPr>
      <w:rPr>
        <w:rFonts w:ascii="Wingdings" w:hAnsi="Wingdings" w:hint="default"/>
      </w:rPr>
    </w:lvl>
    <w:lvl w:ilvl="1" w:tplc="F2008D28">
      <w:numFmt w:val="bullet"/>
      <w:lvlText w:val=""/>
      <w:lvlJc w:val="left"/>
      <w:pPr>
        <w:tabs>
          <w:tab w:val="num" w:pos="1440"/>
        </w:tabs>
        <w:ind w:left="1440" w:hanging="360"/>
      </w:pPr>
      <w:rPr>
        <w:rFonts w:ascii="Wingdings" w:hAnsi="Wingdings" w:hint="default"/>
      </w:rPr>
    </w:lvl>
    <w:lvl w:ilvl="2" w:tplc="B0DED89A">
      <w:numFmt w:val="bullet"/>
      <w:lvlText w:val=""/>
      <w:lvlJc w:val="left"/>
      <w:pPr>
        <w:tabs>
          <w:tab w:val="num" w:pos="2160"/>
        </w:tabs>
        <w:ind w:left="2160" w:hanging="360"/>
      </w:pPr>
      <w:rPr>
        <w:rFonts w:ascii="Wingdings" w:hAnsi="Wingdings" w:hint="default"/>
      </w:rPr>
    </w:lvl>
    <w:lvl w:ilvl="3" w:tplc="2018B404" w:tentative="1">
      <w:start w:val="1"/>
      <w:numFmt w:val="bullet"/>
      <w:lvlText w:val=""/>
      <w:lvlJc w:val="left"/>
      <w:pPr>
        <w:tabs>
          <w:tab w:val="num" w:pos="2880"/>
        </w:tabs>
        <w:ind w:left="2880" w:hanging="360"/>
      </w:pPr>
      <w:rPr>
        <w:rFonts w:ascii="Wingdings" w:hAnsi="Wingdings" w:hint="default"/>
      </w:rPr>
    </w:lvl>
    <w:lvl w:ilvl="4" w:tplc="955A4894" w:tentative="1">
      <w:start w:val="1"/>
      <w:numFmt w:val="bullet"/>
      <w:lvlText w:val=""/>
      <w:lvlJc w:val="left"/>
      <w:pPr>
        <w:tabs>
          <w:tab w:val="num" w:pos="3600"/>
        </w:tabs>
        <w:ind w:left="3600" w:hanging="360"/>
      </w:pPr>
      <w:rPr>
        <w:rFonts w:ascii="Wingdings" w:hAnsi="Wingdings" w:hint="default"/>
      </w:rPr>
    </w:lvl>
    <w:lvl w:ilvl="5" w:tplc="CD2EDDE2" w:tentative="1">
      <w:start w:val="1"/>
      <w:numFmt w:val="bullet"/>
      <w:lvlText w:val=""/>
      <w:lvlJc w:val="left"/>
      <w:pPr>
        <w:tabs>
          <w:tab w:val="num" w:pos="4320"/>
        </w:tabs>
        <w:ind w:left="4320" w:hanging="360"/>
      </w:pPr>
      <w:rPr>
        <w:rFonts w:ascii="Wingdings" w:hAnsi="Wingdings" w:hint="default"/>
      </w:rPr>
    </w:lvl>
    <w:lvl w:ilvl="6" w:tplc="BD26E0E8" w:tentative="1">
      <w:start w:val="1"/>
      <w:numFmt w:val="bullet"/>
      <w:lvlText w:val=""/>
      <w:lvlJc w:val="left"/>
      <w:pPr>
        <w:tabs>
          <w:tab w:val="num" w:pos="5040"/>
        </w:tabs>
        <w:ind w:left="5040" w:hanging="360"/>
      </w:pPr>
      <w:rPr>
        <w:rFonts w:ascii="Wingdings" w:hAnsi="Wingdings" w:hint="default"/>
      </w:rPr>
    </w:lvl>
    <w:lvl w:ilvl="7" w:tplc="B97C3C18" w:tentative="1">
      <w:start w:val="1"/>
      <w:numFmt w:val="bullet"/>
      <w:lvlText w:val=""/>
      <w:lvlJc w:val="left"/>
      <w:pPr>
        <w:tabs>
          <w:tab w:val="num" w:pos="5760"/>
        </w:tabs>
        <w:ind w:left="5760" w:hanging="360"/>
      </w:pPr>
      <w:rPr>
        <w:rFonts w:ascii="Wingdings" w:hAnsi="Wingdings" w:hint="default"/>
      </w:rPr>
    </w:lvl>
    <w:lvl w:ilvl="8" w:tplc="DBF035F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0D2B9B"/>
    <w:multiLevelType w:val="hybridMultilevel"/>
    <w:tmpl w:val="FDB23C32"/>
    <w:lvl w:ilvl="0" w:tplc="CA12C36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E6D627F"/>
    <w:multiLevelType w:val="hybridMultilevel"/>
    <w:tmpl w:val="FE56E76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22D563F"/>
    <w:multiLevelType w:val="hybridMultilevel"/>
    <w:tmpl w:val="0C94D26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5D510E8"/>
    <w:multiLevelType w:val="hybridMultilevel"/>
    <w:tmpl w:val="9DCABA24"/>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62C61409"/>
    <w:multiLevelType w:val="hybridMultilevel"/>
    <w:tmpl w:val="945E44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7D853C4B"/>
    <w:multiLevelType w:val="hybridMultilevel"/>
    <w:tmpl w:val="98B625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9"/>
  </w:num>
  <w:num w:numId="4">
    <w:abstractNumId w:val="4"/>
  </w:num>
  <w:num w:numId="5">
    <w:abstractNumId w:val="12"/>
  </w:num>
  <w:num w:numId="6">
    <w:abstractNumId w:val="2"/>
  </w:num>
  <w:num w:numId="7">
    <w:abstractNumId w:val="1"/>
  </w:num>
  <w:num w:numId="8">
    <w:abstractNumId w:val="10"/>
  </w:num>
  <w:num w:numId="9">
    <w:abstractNumId w:val="13"/>
  </w:num>
  <w:num w:numId="10">
    <w:abstractNumId w:val="11"/>
  </w:num>
  <w:num w:numId="11">
    <w:abstractNumId w:val="7"/>
  </w:num>
  <w:num w:numId="12">
    <w:abstractNumId w:val="6"/>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BD9"/>
    <w:rsid w:val="000122DD"/>
    <w:rsid w:val="00020965"/>
    <w:rsid w:val="00026E4A"/>
    <w:rsid w:val="0004174C"/>
    <w:rsid w:val="0004184D"/>
    <w:rsid w:val="00045DDF"/>
    <w:rsid w:val="0004617C"/>
    <w:rsid w:val="00053B64"/>
    <w:rsid w:val="000759D6"/>
    <w:rsid w:val="0007690B"/>
    <w:rsid w:val="000902A6"/>
    <w:rsid w:val="00094EAC"/>
    <w:rsid w:val="000B0C4D"/>
    <w:rsid w:val="000B1CDD"/>
    <w:rsid w:val="000C7AD1"/>
    <w:rsid w:val="000D2848"/>
    <w:rsid w:val="000D420E"/>
    <w:rsid w:val="000E35D0"/>
    <w:rsid w:val="000E7F82"/>
    <w:rsid w:val="000F0AD3"/>
    <w:rsid w:val="00111B14"/>
    <w:rsid w:val="00112CD2"/>
    <w:rsid w:val="001155BC"/>
    <w:rsid w:val="00125E11"/>
    <w:rsid w:val="00130144"/>
    <w:rsid w:val="001329A3"/>
    <w:rsid w:val="00140989"/>
    <w:rsid w:val="00141A51"/>
    <w:rsid w:val="00142B4E"/>
    <w:rsid w:val="00152460"/>
    <w:rsid w:val="001548F5"/>
    <w:rsid w:val="00156696"/>
    <w:rsid w:val="00162298"/>
    <w:rsid w:val="00164B92"/>
    <w:rsid w:val="00167C3D"/>
    <w:rsid w:val="001725FD"/>
    <w:rsid w:val="00175209"/>
    <w:rsid w:val="001840DE"/>
    <w:rsid w:val="00185D81"/>
    <w:rsid w:val="00195697"/>
    <w:rsid w:val="001A13A5"/>
    <w:rsid w:val="001A2CC3"/>
    <w:rsid w:val="001A31BE"/>
    <w:rsid w:val="001A5107"/>
    <w:rsid w:val="001C0BC4"/>
    <w:rsid w:val="001C2F36"/>
    <w:rsid w:val="001C6DA4"/>
    <w:rsid w:val="001D5005"/>
    <w:rsid w:val="001D773E"/>
    <w:rsid w:val="001E1A7A"/>
    <w:rsid w:val="001E464A"/>
    <w:rsid w:val="002060A4"/>
    <w:rsid w:val="00211017"/>
    <w:rsid w:val="00222038"/>
    <w:rsid w:val="00222948"/>
    <w:rsid w:val="00225395"/>
    <w:rsid w:val="00227E64"/>
    <w:rsid w:val="00232390"/>
    <w:rsid w:val="00240D0C"/>
    <w:rsid w:val="00245FDC"/>
    <w:rsid w:val="00271E75"/>
    <w:rsid w:val="00280C9E"/>
    <w:rsid w:val="00285505"/>
    <w:rsid w:val="002855D2"/>
    <w:rsid w:val="00286CD4"/>
    <w:rsid w:val="002920F5"/>
    <w:rsid w:val="00296594"/>
    <w:rsid w:val="002A1259"/>
    <w:rsid w:val="002A566C"/>
    <w:rsid w:val="002B48F3"/>
    <w:rsid w:val="002B4EB8"/>
    <w:rsid w:val="002B54BC"/>
    <w:rsid w:val="002C3908"/>
    <w:rsid w:val="002C3D10"/>
    <w:rsid w:val="002C4956"/>
    <w:rsid w:val="002C6FD5"/>
    <w:rsid w:val="002C7B2B"/>
    <w:rsid w:val="002D1269"/>
    <w:rsid w:val="002D7907"/>
    <w:rsid w:val="002E3DD7"/>
    <w:rsid w:val="002E3E93"/>
    <w:rsid w:val="002E4B5C"/>
    <w:rsid w:val="002F2DCD"/>
    <w:rsid w:val="002F6BF4"/>
    <w:rsid w:val="0030100C"/>
    <w:rsid w:val="00305FCA"/>
    <w:rsid w:val="00307C5D"/>
    <w:rsid w:val="00312766"/>
    <w:rsid w:val="003171DC"/>
    <w:rsid w:val="003172CF"/>
    <w:rsid w:val="00317BFE"/>
    <w:rsid w:val="003239C5"/>
    <w:rsid w:val="0032659B"/>
    <w:rsid w:val="00330B23"/>
    <w:rsid w:val="00334D5C"/>
    <w:rsid w:val="00335E89"/>
    <w:rsid w:val="00346B00"/>
    <w:rsid w:val="00352D8D"/>
    <w:rsid w:val="0035625B"/>
    <w:rsid w:val="00363398"/>
    <w:rsid w:val="003639C3"/>
    <w:rsid w:val="00365149"/>
    <w:rsid w:val="00367174"/>
    <w:rsid w:val="00374EF1"/>
    <w:rsid w:val="0037657A"/>
    <w:rsid w:val="003777A5"/>
    <w:rsid w:val="0038129D"/>
    <w:rsid w:val="00383C56"/>
    <w:rsid w:val="00387E24"/>
    <w:rsid w:val="003939CA"/>
    <w:rsid w:val="00395857"/>
    <w:rsid w:val="003A1CFE"/>
    <w:rsid w:val="003A2CF9"/>
    <w:rsid w:val="003A6DB5"/>
    <w:rsid w:val="003B1C77"/>
    <w:rsid w:val="003B5F3C"/>
    <w:rsid w:val="003C4FBF"/>
    <w:rsid w:val="003C5826"/>
    <w:rsid w:val="003C60B0"/>
    <w:rsid w:val="003C7763"/>
    <w:rsid w:val="003D1FCB"/>
    <w:rsid w:val="003D3D30"/>
    <w:rsid w:val="003E1069"/>
    <w:rsid w:val="003E10F6"/>
    <w:rsid w:val="003E36E8"/>
    <w:rsid w:val="003E5CEC"/>
    <w:rsid w:val="003E5D60"/>
    <w:rsid w:val="003F443B"/>
    <w:rsid w:val="003F6A6C"/>
    <w:rsid w:val="00402B73"/>
    <w:rsid w:val="00403A7C"/>
    <w:rsid w:val="00407F37"/>
    <w:rsid w:val="0041298C"/>
    <w:rsid w:val="004133E8"/>
    <w:rsid w:val="00423697"/>
    <w:rsid w:val="00426A45"/>
    <w:rsid w:val="00431E10"/>
    <w:rsid w:val="00444009"/>
    <w:rsid w:val="00446523"/>
    <w:rsid w:val="00452CF5"/>
    <w:rsid w:val="00460018"/>
    <w:rsid w:val="004603A9"/>
    <w:rsid w:val="00460CAA"/>
    <w:rsid w:val="00466037"/>
    <w:rsid w:val="00476FAE"/>
    <w:rsid w:val="00484E35"/>
    <w:rsid w:val="004A10FE"/>
    <w:rsid w:val="004A6BD9"/>
    <w:rsid w:val="004B4046"/>
    <w:rsid w:val="004C06EB"/>
    <w:rsid w:val="004C2466"/>
    <w:rsid w:val="004D028F"/>
    <w:rsid w:val="004D3813"/>
    <w:rsid w:val="004E2266"/>
    <w:rsid w:val="004E2F33"/>
    <w:rsid w:val="004E4A05"/>
    <w:rsid w:val="004F0990"/>
    <w:rsid w:val="004F20D3"/>
    <w:rsid w:val="004F237A"/>
    <w:rsid w:val="004F6842"/>
    <w:rsid w:val="00505762"/>
    <w:rsid w:val="005071B3"/>
    <w:rsid w:val="00510F19"/>
    <w:rsid w:val="00512C5C"/>
    <w:rsid w:val="005169DE"/>
    <w:rsid w:val="00516C5F"/>
    <w:rsid w:val="005239FA"/>
    <w:rsid w:val="00524DB7"/>
    <w:rsid w:val="005303A7"/>
    <w:rsid w:val="0053417B"/>
    <w:rsid w:val="00537E72"/>
    <w:rsid w:val="0054136C"/>
    <w:rsid w:val="005474FB"/>
    <w:rsid w:val="00550A74"/>
    <w:rsid w:val="005520EA"/>
    <w:rsid w:val="00554689"/>
    <w:rsid w:val="005551CF"/>
    <w:rsid w:val="0055742E"/>
    <w:rsid w:val="0056236E"/>
    <w:rsid w:val="00565646"/>
    <w:rsid w:val="00571D2E"/>
    <w:rsid w:val="005822D2"/>
    <w:rsid w:val="0059357D"/>
    <w:rsid w:val="0059726C"/>
    <w:rsid w:val="005B4956"/>
    <w:rsid w:val="005B71D3"/>
    <w:rsid w:val="005C37D3"/>
    <w:rsid w:val="005C78B3"/>
    <w:rsid w:val="005C7EF0"/>
    <w:rsid w:val="005D41A5"/>
    <w:rsid w:val="005D4DFF"/>
    <w:rsid w:val="005D7DB7"/>
    <w:rsid w:val="006047CA"/>
    <w:rsid w:val="00631E62"/>
    <w:rsid w:val="006358AA"/>
    <w:rsid w:val="0064691B"/>
    <w:rsid w:val="00647122"/>
    <w:rsid w:val="006550C1"/>
    <w:rsid w:val="006673A4"/>
    <w:rsid w:val="00673EFE"/>
    <w:rsid w:val="00674AAA"/>
    <w:rsid w:val="00674FB8"/>
    <w:rsid w:val="00675482"/>
    <w:rsid w:val="00675DF6"/>
    <w:rsid w:val="00680B13"/>
    <w:rsid w:val="00681CCE"/>
    <w:rsid w:val="006848FB"/>
    <w:rsid w:val="00685595"/>
    <w:rsid w:val="006874AB"/>
    <w:rsid w:val="00696FC9"/>
    <w:rsid w:val="006978F1"/>
    <w:rsid w:val="006A7B15"/>
    <w:rsid w:val="006B236C"/>
    <w:rsid w:val="006B4A5C"/>
    <w:rsid w:val="006C1244"/>
    <w:rsid w:val="006D04DC"/>
    <w:rsid w:val="006F01F2"/>
    <w:rsid w:val="006F597F"/>
    <w:rsid w:val="00700407"/>
    <w:rsid w:val="00705406"/>
    <w:rsid w:val="007055EA"/>
    <w:rsid w:val="00707D2B"/>
    <w:rsid w:val="00716E3D"/>
    <w:rsid w:val="007275CB"/>
    <w:rsid w:val="00736BDC"/>
    <w:rsid w:val="007372D8"/>
    <w:rsid w:val="00745DE7"/>
    <w:rsid w:val="00746A9C"/>
    <w:rsid w:val="00747461"/>
    <w:rsid w:val="007539C9"/>
    <w:rsid w:val="00753B2B"/>
    <w:rsid w:val="00757963"/>
    <w:rsid w:val="0076391B"/>
    <w:rsid w:val="00764CC1"/>
    <w:rsid w:val="00770119"/>
    <w:rsid w:val="00772642"/>
    <w:rsid w:val="00772DBC"/>
    <w:rsid w:val="00780FAD"/>
    <w:rsid w:val="00783968"/>
    <w:rsid w:val="0079115A"/>
    <w:rsid w:val="00797215"/>
    <w:rsid w:val="007A47C8"/>
    <w:rsid w:val="007B6F2B"/>
    <w:rsid w:val="007C696F"/>
    <w:rsid w:val="007C706C"/>
    <w:rsid w:val="007D11E1"/>
    <w:rsid w:val="007D2352"/>
    <w:rsid w:val="007D77F3"/>
    <w:rsid w:val="007E3214"/>
    <w:rsid w:val="007F579D"/>
    <w:rsid w:val="008022B9"/>
    <w:rsid w:val="00815C44"/>
    <w:rsid w:val="008164B1"/>
    <w:rsid w:val="008165C6"/>
    <w:rsid w:val="00821A7E"/>
    <w:rsid w:val="00824220"/>
    <w:rsid w:val="008252F4"/>
    <w:rsid w:val="008320B7"/>
    <w:rsid w:val="0083435A"/>
    <w:rsid w:val="008364BD"/>
    <w:rsid w:val="00837D2E"/>
    <w:rsid w:val="00850469"/>
    <w:rsid w:val="00852EDA"/>
    <w:rsid w:val="0085761E"/>
    <w:rsid w:val="00866C52"/>
    <w:rsid w:val="00870CFD"/>
    <w:rsid w:val="008743A6"/>
    <w:rsid w:val="008855FF"/>
    <w:rsid w:val="0089413E"/>
    <w:rsid w:val="00897AD4"/>
    <w:rsid w:val="008A77A4"/>
    <w:rsid w:val="008B3379"/>
    <w:rsid w:val="008E5BD4"/>
    <w:rsid w:val="008E6947"/>
    <w:rsid w:val="009209F8"/>
    <w:rsid w:val="00923C64"/>
    <w:rsid w:val="00926F63"/>
    <w:rsid w:val="0093180D"/>
    <w:rsid w:val="0093519E"/>
    <w:rsid w:val="00943104"/>
    <w:rsid w:val="009438E8"/>
    <w:rsid w:val="00967CA2"/>
    <w:rsid w:val="00971708"/>
    <w:rsid w:val="00972B53"/>
    <w:rsid w:val="00976302"/>
    <w:rsid w:val="00976318"/>
    <w:rsid w:val="00976F07"/>
    <w:rsid w:val="00986792"/>
    <w:rsid w:val="00991ECB"/>
    <w:rsid w:val="009948DE"/>
    <w:rsid w:val="009960FF"/>
    <w:rsid w:val="009A4468"/>
    <w:rsid w:val="009A4D52"/>
    <w:rsid w:val="009A5196"/>
    <w:rsid w:val="009B0B90"/>
    <w:rsid w:val="009B12B8"/>
    <w:rsid w:val="009C4A8F"/>
    <w:rsid w:val="009C4F83"/>
    <w:rsid w:val="009D019B"/>
    <w:rsid w:val="009D7783"/>
    <w:rsid w:val="009E341A"/>
    <w:rsid w:val="00A05C0F"/>
    <w:rsid w:val="00A15473"/>
    <w:rsid w:val="00A21441"/>
    <w:rsid w:val="00A23897"/>
    <w:rsid w:val="00A323FF"/>
    <w:rsid w:val="00A32E0F"/>
    <w:rsid w:val="00A34CED"/>
    <w:rsid w:val="00A46894"/>
    <w:rsid w:val="00A5230C"/>
    <w:rsid w:val="00A70C43"/>
    <w:rsid w:val="00A763E9"/>
    <w:rsid w:val="00A80426"/>
    <w:rsid w:val="00A91A7F"/>
    <w:rsid w:val="00A95534"/>
    <w:rsid w:val="00AA0B87"/>
    <w:rsid w:val="00AA679B"/>
    <w:rsid w:val="00AB7ECC"/>
    <w:rsid w:val="00AC3E93"/>
    <w:rsid w:val="00AC4F44"/>
    <w:rsid w:val="00AD1FE2"/>
    <w:rsid w:val="00AE5DF9"/>
    <w:rsid w:val="00AE6272"/>
    <w:rsid w:val="00AF1001"/>
    <w:rsid w:val="00B209AE"/>
    <w:rsid w:val="00B25435"/>
    <w:rsid w:val="00B31973"/>
    <w:rsid w:val="00B400F7"/>
    <w:rsid w:val="00B41D4E"/>
    <w:rsid w:val="00B43507"/>
    <w:rsid w:val="00B476F2"/>
    <w:rsid w:val="00B51CA3"/>
    <w:rsid w:val="00B5444B"/>
    <w:rsid w:val="00B57D1F"/>
    <w:rsid w:val="00B602D4"/>
    <w:rsid w:val="00B71966"/>
    <w:rsid w:val="00B770CF"/>
    <w:rsid w:val="00B77B40"/>
    <w:rsid w:val="00B8245E"/>
    <w:rsid w:val="00B91DB5"/>
    <w:rsid w:val="00B97F9B"/>
    <w:rsid w:val="00BA0D34"/>
    <w:rsid w:val="00BA0E81"/>
    <w:rsid w:val="00BB6357"/>
    <w:rsid w:val="00BC33B5"/>
    <w:rsid w:val="00BC3F77"/>
    <w:rsid w:val="00BC5E7D"/>
    <w:rsid w:val="00BC65AC"/>
    <w:rsid w:val="00BC73CD"/>
    <w:rsid w:val="00BD0EBC"/>
    <w:rsid w:val="00BD1D16"/>
    <w:rsid w:val="00BD2421"/>
    <w:rsid w:val="00BD393F"/>
    <w:rsid w:val="00BD438F"/>
    <w:rsid w:val="00BE50E2"/>
    <w:rsid w:val="00BF10C0"/>
    <w:rsid w:val="00BF5762"/>
    <w:rsid w:val="00BF7823"/>
    <w:rsid w:val="00C02F12"/>
    <w:rsid w:val="00C12B59"/>
    <w:rsid w:val="00C13BFA"/>
    <w:rsid w:val="00C22253"/>
    <w:rsid w:val="00C26AC7"/>
    <w:rsid w:val="00C30398"/>
    <w:rsid w:val="00C3321D"/>
    <w:rsid w:val="00C45AD3"/>
    <w:rsid w:val="00C50F66"/>
    <w:rsid w:val="00C639C0"/>
    <w:rsid w:val="00C64A75"/>
    <w:rsid w:val="00C72578"/>
    <w:rsid w:val="00C75BDC"/>
    <w:rsid w:val="00C8363E"/>
    <w:rsid w:val="00C83EB3"/>
    <w:rsid w:val="00C92EA4"/>
    <w:rsid w:val="00C9474E"/>
    <w:rsid w:val="00C951D0"/>
    <w:rsid w:val="00C96723"/>
    <w:rsid w:val="00CB0105"/>
    <w:rsid w:val="00CB6BFA"/>
    <w:rsid w:val="00CC078F"/>
    <w:rsid w:val="00CC56BF"/>
    <w:rsid w:val="00CC7F93"/>
    <w:rsid w:val="00CD0295"/>
    <w:rsid w:val="00CD13C0"/>
    <w:rsid w:val="00CD3BB9"/>
    <w:rsid w:val="00CD401A"/>
    <w:rsid w:val="00CD6A07"/>
    <w:rsid w:val="00CE5C9A"/>
    <w:rsid w:val="00CE7F32"/>
    <w:rsid w:val="00CF1000"/>
    <w:rsid w:val="00D02096"/>
    <w:rsid w:val="00D07507"/>
    <w:rsid w:val="00D14102"/>
    <w:rsid w:val="00D15832"/>
    <w:rsid w:val="00D15975"/>
    <w:rsid w:val="00D20709"/>
    <w:rsid w:val="00D27DE7"/>
    <w:rsid w:val="00D3028A"/>
    <w:rsid w:val="00D315AB"/>
    <w:rsid w:val="00D32829"/>
    <w:rsid w:val="00D33BD8"/>
    <w:rsid w:val="00D4002F"/>
    <w:rsid w:val="00D51D48"/>
    <w:rsid w:val="00D53282"/>
    <w:rsid w:val="00D57315"/>
    <w:rsid w:val="00D610C5"/>
    <w:rsid w:val="00D632B2"/>
    <w:rsid w:val="00D7406F"/>
    <w:rsid w:val="00D86D8F"/>
    <w:rsid w:val="00D929E6"/>
    <w:rsid w:val="00DA1A8B"/>
    <w:rsid w:val="00DC28BE"/>
    <w:rsid w:val="00DC62AB"/>
    <w:rsid w:val="00DD4CAF"/>
    <w:rsid w:val="00DE0DD8"/>
    <w:rsid w:val="00DE20D9"/>
    <w:rsid w:val="00DE2DAE"/>
    <w:rsid w:val="00DE32DB"/>
    <w:rsid w:val="00DE41A8"/>
    <w:rsid w:val="00DE453D"/>
    <w:rsid w:val="00DE5301"/>
    <w:rsid w:val="00DF2607"/>
    <w:rsid w:val="00E05C62"/>
    <w:rsid w:val="00E15751"/>
    <w:rsid w:val="00E22970"/>
    <w:rsid w:val="00E22D6B"/>
    <w:rsid w:val="00E26279"/>
    <w:rsid w:val="00E46702"/>
    <w:rsid w:val="00E559F4"/>
    <w:rsid w:val="00E62A58"/>
    <w:rsid w:val="00E65C5D"/>
    <w:rsid w:val="00E7022F"/>
    <w:rsid w:val="00E722E8"/>
    <w:rsid w:val="00E7569E"/>
    <w:rsid w:val="00E82216"/>
    <w:rsid w:val="00E86E37"/>
    <w:rsid w:val="00E878BF"/>
    <w:rsid w:val="00E926AD"/>
    <w:rsid w:val="00E932B2"/>
    <w:rsid w:val="00EA14EA"/>
    <w:rsid w:val="00EC5B00"/>
    <w:rsid w:val="00ED0A4E"/>
    <w:rsid w:val="00EE192B"/>
    <w:rsid w:val="00EE45B5"/>
    <w:rsid w:val="00EE7271"/>
    <w:rsid w:val="00EE74F1"/>
    <w:rsid w:val="00EF043A"/>
    <w:rsid w:val="00EF5DE5"/>
    <w:rsid w:val="00EF739D"/>
    <w:rsid w:val="00EF77BF"/>
    <w:rsid w:val="00F10F71"/>
    <w:rsid w:val="00F12A47"/>
    <w:rsid w:val="00F13B46"/>
    <w:rsid w:val="00F26076"/>
    <w:rsid w:val="00F31F39"/>
    <w:rsid w:val="00F320DA"/>
    <w:rsid w:val="00F34E6B"/>
    <w:rsid w:val="00F36039"/>
    <w:rsid w:val="00F379DA"/>
    <w:rsid w:val="00F414D3"/>
    <w:rsid w:val="00F479C9"/>
    <w:rsid w:val="00F53C01"/>
    <w:rsid w:val="00F6310F"/>
    <w:rsid w:val="00F720BC"/>
    <w:rsid w:val="00F749CE"/>
    <w:rsid w:val="00F74A68"/>
    <w:rsid w:val="00F77F5B"/>
    <w:rsid w:val="00F850F9"/>
    <w:rsid w:val="00F9089A"/>
    <w:rsid w:val="00F970B4"/>
    <w:rsid w:val="00FA196F"/>
    <w:rsid w:val="00FB0A5C"/>
    <w:rsid w:val="00FB292F"/>
    <w:rsid w:val="00FC139F"/>
    <w:rsid w:val="00FD08C7"/>
    <w:rsid w:val="00FD1062"/>
    <w:rsid w:val="00FD2C38"/>
    <w:rsid w:val="00FF00EB"/>
    <w:rsid w:val="00FF33F6"/>
    <w:rsid w:val="00FF45A1"/>
    <w:rsid w:val="00FF4793"/>
    <w:rsid w:val="00FF4AA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541FC"/>
  <w15:chartTrackingRefBased/>
  <w15:docId w15:val="{A25AF76F-7DC7-486C-810F-0E0237F66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26F63"/>
    <w:pPr>
      <w:ind w:left="720"/>
      <w:contextualSpacing/>
    </w:pPr>
  </w:style>
  <w:style w:type="paragraph" w:styleId="Encabezado">
    <w:name w:val="header"/>
    <w:basedOn w:val="Normal"/>
    <w:link w:val="EncabezadoCar"/>
    <w:uiPriority w:val="99"/>
    <w:unhideWhenUsed/>
    <w:rsid w:val="002D126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D1269"/>
  </w:style>
  <w:style w:type="paragraph" w:styleId="Piedepgina">
    <w:name w:val="footer"/>
    <w:basedOn w:val="Normal"/>
    <w:link w:val="PiedepginaCar"/>
    <w:uiPriority w:val="99"/>
    <w:unhideWhenUsed/>
    <w:rsid w:val="002D126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D1269"/>
  </w:style>
  <w:style w:type="character" w:customStyle="1" w:styleId="text-found">
    <w:name w:val="text-found"/>
    <w:basedOn w:val="Fuentedeprrafopredeter"/>
    <w:rsid w:val="00A34CED"/>
  </w:style>
  <w:style w:type="character" w:styleId="Hipervnculo">
    <w:name w:val="Hyperlink"/>
    <w:basedOn w:val="Fuentedeprrafopredeter"/>
    <w:uiPriority w:val="99"/>
    <w:unhideWhenUsed/>
    <w:rsid w:val="00A34CED"/>
    <w:rPr>
      <w:color w:val="0000FF"/>
      <w:u w:val="single"/>
    </w:rPr>
  </w:style>
  <w:style w:type="paragraph" w:styleId="NormalWeb">
    <w:name w:val="Normal (Web)"/>
    <w:basedOn w:val="Normal"/>
    <w:uiPriority w:val="99"/>
    <w:unhideWhenUsed/>
    <w:rsid w:val="005B495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item-number">
    <w:name w:val="item-number"/>
    <w:basedOn w:val="Fuentedeprrafopredeter"/>
    <w:rsid w:val="005B4956"/>
  </w:style>
  <w:style w:type="character" w:styleId="nfasis">
    <w:name w:val="Emphasis"/>
    <w:basedOn w:val="Fuentedeprrafopredeter"/>
    <w:uiPriority w:val="20"/>
    <w:qFormat/>
    <w:rsid w:val="005B4956"/>
    <w:rPr>
      <w:i/>
      <w:iCs/>
    </w:rPr>
  </w:style>
  <w:style w:type="character" w:styleId="Refdecomentario">
    <w:name w:val="annotation reference"/>
    <w:basedOn w:val="Fuentedeprrafopredeter"/>
    <w:uiPriority w:val="99"/>
    <w:semiHidden/>
    <w:unhideWhenUsed/>
    <w:rsid w:val="0079115A"/>
    <w:rPr>
      <w:sz w:val="16"/>
      <w:szCs w:val="16"/>
    </w:rPr>
  </w:style>
  <w:style w:type="paragraph" w:styleId="Textocomentario">
    <w:name w:val="annotation text"/>
    <w:basedOn w:val="Normal"/>
    <w:link w:val="TextocomentarioCar"/>
    <w:uiPriority w:val="99"/>
    <w:semiHidden/>
    <w:unhideWhenUsed/>
    <w:rsid w:val="0079115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9115A"/>
    <w:rPr>
      <w:sz w:val="20"/>
      <w:szCs w:val="20"/>
    </w:rPr>
  </w:style>
  <w:style w:type="paragraph" w:styleId="Asuntodelcomentario">
    <w:name w:val="annotation subject"/>
    <w:basedOn w:val="Textocomentario"/>
    <w:next w:val="Textocomentario"/>
    <w:link w:val="AsuntodelcomentarioCar"/>
    <w:uiPriority w:val="99"/>
    <w:semiHidden/>
    <w:unhideWhenUsed/>
    <w:rsid w:val="0079115A"/>
    <w:rPr>
      <w:b/>
      <w:bCs/>
    </w:rPr>
  </w:style>
  <w:style w:type="character" w:customStyle="1" w:styleId="AsuntodelcomentarioCar">
    <w:name w:val="Asunto del comentario Car"/>
    <w:basedOn w:val="TextocomentarioCar"/>
    <w:link w:val="Asuntodelcomentario"/>
    <w:uiPriority w:val="99"/>
    <w:semiHidden/>
    <w:rsid w:val="0079115A"/>
    <w:rPr>
      <w:b/>
      <w:bCs/>
      <w:sz w:val="20"/>
      <w:szCs w:val="20"/>
    </w:rPr>
  </w:style>
  <w:style w:type="paragraph" w:styleId="Textodeglobo">
    <w:name w:val="Balloon Text"/>
    <w:basedOn w:val="Normal"/>
    <w:link w:val="TextodegloboCar"/>
    <w:uiPriority w:val="99"/>
    <w:semiHidden/>
    <w:unhideWhenUsed/>
    <w:rsid w:val="0079115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9115A"/>
    <w:rPr>
      <w:rFonts w:ascii="Segoe UI" w:hAnsi="Segoe UI" w:cs="Segoe UI"/>
      <w:sz w:val="18"/>
      <w:szCs w:val="18"/>
    </w:rPr>
  </w:style>
  <w:style w:type="paragraph" w:styleId="Textonotapie">
    <w:name w:val="footnote text"/>
    <w:basedOn w:val="Normal"/>
    <w:link w:val="TextonotapieCar"/>
    <w:uiPriority w:val="99"/>
    <w:unhideWhenUsed/>
    <w:rsid w:val="000759D6"/>
    <w:pPr>
      <w:spacing w:after="0" w:line="240" w:lineRule="auto"/>
    </w:pPr>
    <w:rPr>
      <w:sz w:val="20"/>
      <w:szCs w:val="20"/>
    </w:rPr>
  </w:style>
  <w:style w:type="character" w:customStyle="1" w:styleId="TextonotapieCar">
    <w:name w:val="Texto nota pie Car"/>
    <w:basedOn w:val="Fuentedeprrafopredeter"/>
    <w:link w:val="Textonotapie"/>
    <w:uiPriority w:val="99"/>
    <w:qFormat/>
    <w:rsid w:val="000759D6"/>
    <w:rPr>
      <w:sz w:val="20"/>
      <w:szCs w:val="20"/>
    </w:rPr>
  </w:style>
  <w:style w:type="character" w:styleId="Refdenotaalpie">
    <w:name w:val="footnote reference"/>
    <w:aliases w:val="4_G"/>
    <w:basedOn w:val="Fuentedeprrafopredeter"/>
    <w:unhideWhenUsed/>
    <w:rsid w:val="000759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48534">
      <w:bodyDiv w:val="1"/>
      <w:marLeft w:val="0"/>
      <w:marRight w:val="0"/>
      <w:marTop w:val="0"/>
      <w:marBottom w:val="0"/>
      <w:divBdr>
        <w:top w:val="none" w:sz="0" w:space="0" w:color="auto"/>
        <w:left w:val="none" w:sz="0" w:space="0" w:color="auto"/>
        <w:bottom w:val="none" w:sz="0" w:space="0" w:color="auto"/>
        <w:right w:val="none" w:sz="0" w:space="0" w:color="auto"/>
      </w:divBdr>
    </w:div>
    <w:div w:id="141317240">
      <w:bodyDiv w:val="1"/>
      <w:marLeft w:val="0"/>
      <w:marRight w:val="0"/>
      <w:marTop w:val="0"/>
      <w:marBottom w:val="0"/>
      <w:divBdr>
        <w:top w:val="none" w:sz="0" w:space="0" w:color="auto"/>
        <w:left w:val="none" w:sz="0" w:space="0" w:color="auto"/>
        <w:bottom w:val="none" w:sz="0" w:space="0" w:color="auto"/>
        <w:right w:val="none" w:sz="0" w:space="0" w:color="auto"/>
      </w:divBdr>
      <w:divsChild>
        <w:div w:id="1412040351">
          <w:marLeft w:val="547"/>
          <w:marRight w:val="0"/>
          <w:marTop w:val="0"/>
          <w:marBottom w:val="0"/>
          <w:divBdr>
            <w:top w:val="none" w:sz="0" w:space="0" w:color="auto"/>
            <w:left w:val="none" w:sz="0" w:space="0" w:color="auto"/>
            <w:bottom w:val="none" w:sz="0" w:space="0" w:color="auto"/>
            <w:right w:val="none" w:sz="0" w:space="0" w:color="auto"/>
          </w:divBdr>
        </w:div>
      </w:divsChild>
    </w:div>
    <w:div w:id="164977467">
      <w:bodyDiv w:val="1"/>
      <w:marLeft w:val="0"/>
      <w:marRight w:val="0"/>
      <w:marTop w:val="0"/>
      <w:marBottom w:val="0"/>
      <w:divBdr>
        <w:top w:val="none" w:sz="0" w:space="0" w:color="auto"/>
        <w:left w:val="none" w:sz="0" w:space="0" w:color="auto"/>
        <w:bottom w:val="none" w:sz="0" w:space="0" w:color="auto"/>
        <w:right w:val="none" w:sz="0" w:space="0" w:color="auto"/>
      </w:divBdr>
      <w:divsChild>
        <w:div w:id="855732609">
          <w:marLeft w:val="547"/>
          <w:marRight w:val="0"/>
          <w:marTop w:val="0"/>
          <w:marBottom w:val="0"/>
          <w:divBdr>
            <w:top w:val="none" w:sz="0" w:space="0" w:color="auto"/>
            <w:left w:val="none" w:sz="0" w:space="0" w:color="auto"/>
            <w:bottom w:val="none" w:sz="0" w:space="0" w:color="auto"/>
            <w:right w:val="none" w:sz="0" w:space="0" w:color="auto"/>
          </w:divBdr>
        </w:div>
      </w:divsChild>
    </w:div>
    <w:div w:id="167406985">
      <w:bodyDiv w:val="1"/>
      <w:marLeft w:val="0"/>
      <w:marRight w:val="0"/>
      <w:marTop w:val="0"/>
      <w:marBottom w:val="0"/>
      <w:divBdr>
        <w:top w:val="none" w:sz="0" w:space="0" w:color="auto"/>
        <w:left w:val="none" w:sz="0" w:space="0" w:color="auto"/>
        <w:bottom w:val="none" w:sz="0" w:space="0" w:color="auto"/>
        <w:right w:val="none" w:sz="0" w:space="0" w:color="auto"/>
      </w:divBdr>
    </w:div>
    <w:div w:id="331758542">
      <w:bodyDiv w:val="1"/>
      <w:marLeft w:val="0"/>
      <w:marRight w:val="0"/>
      <w:marTop w:val="0"/>
      <w:marBottom w:val="0"/>
      <w:divBdr>
        <w:top w:val="none" w:sz="0" w:space="0" w:color="auto"/>
        <w:left w:val="none" w:sz="0" w:space="0" w:color="auto"/>
        <w:bottom w:val="none" w:sz="0" w:space="0" w:color="auto"/>
        <w:right w:val="none" w:sz="0" w:space="0" w:color="auto"/>
      </w:divBdr>
      <w:divsChild>
        <w:div w:id="720252266">
          <w:marLeft w:val="547"/>
          <w:marRight w:val="0"/>
          <w:marTop w:val="134"/>
          <w:marBottom w:val="0"/>
          <w:divBdr>
            <w:top w:val="none" w:sz="0" w:space="0" w:color="auto"/>
            <w:left w:val="none" w:sz="0" w:space="0" w:color="auto"/>
            <w:bottom w:val="none" w:sz="0" w:space="0" w:color="auto"/>
            <w:right w:val="none" w:sz="0" w:space="0" w:color="auto"/>
          </w:divBdr>
        </w:div>
        <w:div w:id="1032610023">
          <w:marLeft w:val="547"/>
          <w:marRight w:val="0"/>
          <w:marTop w:val="134"/>
          <w:marBottom w:val="0"/>
          <w:divBdr>
            <w:top w:val="none" w:sz="0" w:space="0" w:color="auto"/>
            <w:left w:val="none" w:sz="0" w:space="0" w:color="auto"/>
            <w:bottom w:val="none" w:sz="0" w:space="0" w:color="auto"/>
            <w:right w:val="none" w:sz="0" w:space="0" w:color="auto"/>
          </w:divBdr>
        </w:div>
      </w:divsChild>
    </w:div>
    <w:div w:id="351877086">
      <w:bodyDiv w:val="1"/>
      <w:marLeft w:val="0"/>
      <w:marRight w:val="0"/>
      <w:marTop w:val="0"/>
      <w:marBottom w:val="0"/>
      <w:divBdr>
        <w:top w:val="none" w:sz="0" w:space="0" w:color="auto"/>
        <w:left w:val="none" w:sz="0" w:space="0" w:color="auto"/>
        <w:bottom w:val="none" w:sz="0" w:space="0" w:color="auto"/>
        <w:right w:val="none" w:sz="0" w:space="0" w:color="auto"/>
      </w:divBdr>
    </w:div>
    <w:div w:id="551187690">
      <w:bodyDiv w:val="1"/>
      <w:marLeft w:val="0"/>
      <w:marRight w:val="0"/>
      <w:marTop w:val="0"/>
      <w:marBottom w:val="0"/>
      <w:divBdr>
        <w:top w:val="none" w:sz="0" w:space="0" w:color="auto"/>
        <w:left w:val="none" w:sz="0" w:space="0" w:color="auto"/>
        <w:bottom w:val="none" w:sz="0" w:space="0" w:color="auto"/>
        <w:right w:val="none" w:sz="0" w:space="0" w:color="auto"/>
      </w:divBdr>
    </w:div>
    <w:div w:id="1280066437">
      <w:bodyDiv w:val="1"/>
      <w:marLeft w:val="0"/>
      <w:marRight w:val="0"/>
      <w:marTop w:val="0"/>
      <w:marBottom w:val="0"/>
      <w:divBdr>
        <w:top w:val="none" w:sz="0" w:space="0" w:color="auto"/>
        <w:left w:val="none" w:sz="0" w:space="0" w:color="auto"/>
        <w:bottom w:val="none" w:sz="0" w:space="0" w:color="auto"/>
        <w:right w:val="none" w:sz="0" w:space="0" w:color="auto"/>
      </w:divBdr>
      <w:divsChild>
        <w:div w:id="1551308076">
          <w:marLeft w:val="547"/>
          <w:marRight w:val="0"/>
          <w:marTop w:val="134"/>
          <w:marBottom w:val="0"/>
          <w:divBdr>
            <w:top w:val="none" w:sz="0" w:space="0" w:color="auto"/>
            <w:left w:val="none" w:sz="0" w:space="0" w:color="auto"/>
            <w:bottom w:val="none" w:sz="0" w:space="0" w:color="auto"/>
            <w:right w:val="none" w:sz="0" w:space="0" w:color="auto"/>
          </w:divBdr>
        </w:div>
      </w:divsChild>
    </w:div>
    <w:div w:id="1877964382">
      <w:bodyDiv w:val="1"/>
      <w:marLeft w:val="0"/>
      <w:marRight w:val="0"/>
      <w:marTop w:val="0"/>
      <w:marBottom w:val="0"/>
      <w:divBdr>
        <w:top w:val="none" w:sz="0" w:space="0" w:color="auto"/>
        <w:left w:val="none" w:sz="0" w:space="0" w:color="auto"/>
        <w:bottom w:val="none" w:sz="0" w:space="0" w:color="auto"/>
        <w:right w:val="none" w:sz="0" w:space="0" w:color="auto"/>
      </w:divBdr>
    </w:div>
    <w:div w:id="1916359167">
      <w:bodyDiv w:val="1"/>
      <w:marLeft w:val="0"/>
      <w:marRight w:val="0"/>
      <w:marTop w:val="0"/>
      <w:marBottom w:val="0"/>
      <w:divBdr>
        <w:top w:val="none" w:sz="0" w:space="0" w:color="auto"/>
        <w:left w:val="none" w:sz="0" w:space="0" w:color="auto"/>
        <w:bottom w:val="none" w:sz="0" w:space="0" w:color="auto"/>
        <w:right w:val="none" w:sz="0" w:space="0" w:color="auto"/>
      </w:divBdr>
      <w:divsChild>
        <w:div w:id="349532315">
          <w:marLeft w:val="1800"/>
          <w:marRight w:val="0"/>
          <w:marTop w:val="67"/>
          <w:marBottom w:val="0"/>
          <w:divBdr>
            <w:top w:val="none" w:sz="0" w:space="0" w:color="auto"/>
            <w:left w:val="none" w:sz="0" w:space="0" w:color="auto"/>
            <w:bottom w:val="none" w:sz="0" w:space="0" w:color="auto"/>
            <w:right w:val="none" w:sz="0" w:space="0" w:color="auto"/>
          </w:divBdr>
        </w:div>
        <w:div w:id="454327745">
          <w:marLeft w:val="1166"/>
          <w:marRight w:val="0"/>
          <w:marTop w:val="67"/>
          <w:marBottom w:val="0"/>
          <w:divBdr>
            <w:top w:val="none" w:sz="0" w:space="0" w:color="auto"/>
            <w:left w:val="none" w:sz="0" w:space="0" w:color="auto"/>
            <w:bottom w:val="none" w:sz="0" w:space="0" w:color="auto"/>
            <w:right w:val="none" w:sz="0" w:space="0" w:color="auto"/>
          </w:divBdr>
        </w:div>
        <w:div w:id="738283460">
          <w:marLeft w:val="547"/>
          <w:marRight w:val="0"/>
          <w:marTop w:val="67"/>
          <w:marBottom w:val="0"/>
          <w:divBdr>
            <w:top w:val="none" w:sz="0" w:space="0" w:color="auto"/>
            <w:left w:val="none" w:sz="0" w:space="0" w:color="auto"/>
            <w:bottom w:val="none" w:sz="0" w:space="0" w:color="auto"/>
            <w:right w:val="none" w:sz="0" w:space="0" w:color="auto"/>
          </w:divBdr>
        </w:div>
        <w:div w:id="891648475">
          <w:marLeft w:val="1800"/>
          <w:marRight w:val="0"/>
          <w:marTop w:val="67"/>
          <w:marBottom w:val="0"/>
          <w:divBdr>
            <w:top w:val="none" w:sz="0" w:space="0" w:color="auto"/>
            <w:left w:val="none" w:sz="0" w:space="0" w:color="auto"/>
            <w:bottom w:val="none" w:sz="0" w:space="0" w:color="auto"/>
            <w:right w:val="none" w:sz="0" w:space="0" w:color="auto"/>
          </w:divBdr>
        </w:div>
        <w:div w:id="979457300">
          <w:marLeft w:val="1166"/>
          <w:marRight w:val="0"/>
          <w:marTop w:val="67"/>
          <w:marBottom w:val="0"/>
          <w:divBdr>
            <w:top w:val="none" w:sz="0" w:space="0" w:color="auto"/>
            <w:left w:val="none" w:sz="0" w:space="0" w:color="auto"/>
            <w:bottom w:val="none" w:sz="0" w:space="0" w:color="auto"/>
            <w:right w:val="none" w:sz="0" w:space="0" w:color="auto"/>
          </w:divBdr>
        </w:div>
        <w:div w:id="1388913362">
          <w:marLeft w:val="547"/>
          <w:marRight w:val="0"/>
          <w:marTop w:val="67"/>
          <w:marBottom w:val="0"/>
          <w:divBdr>
            <w:top w:val="none" w:sz="0" w:space="0" w:color="auto"/>
            <w:left w:val="none" w:sz="0" w:space="0" w:color="auto"/>
            <w:bottom w:val="none" w:sz="0" w:space="0" w:color="auto"/>
            <w:right w:val="none" w:sz="0" w:space="0" w:color="auto"/>
          </w:divBdr>
        </w:div>
        <w:div w:id="1573000970">
          <w:marLeft w:val="1166"/>
          <w:marRight w:val="0"/>
          <w:marTop w:val="67"/>
          <w:marBottom w:val="0"/>
          <w:divBdr>
            <w:top w:val="none" w:sz="0" w:space="0" w:color="auto"/>
            <w:left w:val="none" w:sz="0" w:space="0" w:color="auto"/>
            <w:bottom w:val="none" w:sz="0" w:space="0" w:color="auto"/>
            <w:right w:val="none" w:sz="0" w:space="0" w:color="auto"/>
          </w:divBdr>
        </w:div>
        <w:div w:id="1602378317">
          <w:marLeft w:val="1166"/>
          <w:marRight w:val="0"/>
          <w:marTop w:val="67"/>
          <w:marBottom w:val="0"/>
          <w:divBdr>
            <w:top w:val="none" w:sz="0" w:space="0" w:color="auto"/>
            <w:left w:val="none" w:sz="0" w:space="0" w:color="auto"/>
            <w:bottom w:val="none" w:sz="0" w:space="0" w:color="auto"/>
            <w:right w:val="none" w:sz="0" w:space="0" w:color="auto"/>
          </w:divBdr>
        </w:div>
        <w:div w:id="1660304503">
          <w:marLeft w:val="1166"/>
          <w:marRight w:val="0"/>
          <w:marTop w:val="67"/>
          <w:marBottom w:val="0"/>
          <w:divBdr>
            <w:top w:val="none" w:sz="0" w:space="0" w:color="auto"/>
            <w:left w:val="none" w:sz="0" w:space="0" w:color="auto"/>
            <w:bottom w:val="none" w:sz="0" w:space="0" w:color="auto"/>
            <w:right w:val="none" w:sz="0" w:space="0" w:color="auto"/>
          </w:divBdr>
        </w:div>
        <w:div w:id="1967588800">
          <w:marLeft w:val="1166"/>
          <w:marRight w:val="0"/>
          <w:marTop w:val="67"/>
          <w:marBottom w:val="0"/>
          <w:divBdr>
            <w:top w:val="none" w:sz="0" w:space="0" w:color="auto"/>
            <w:left w:val="none" w:sz="0" w:space="0" w:color="auto"/>
            <w:bottom w:val="none" w:sz="0" w:space="0" w:color="auto"/>
            <w:right w:val="none" w:sz="0" w:space="0" w:color="auto"/>
          </w:divBdr>
        </w:div>
        <w:div w:id="1967933490">
          <w:marLeft w:val="1166"/>
          <w:marRight w:val="0"/>
          <w:marTop w:val="67"/>
          <w:marBottom w:val="0"/>
          <w:divBdr>
            <w:top w:val="none" w:sz="0" w:space="0" w:color="auto"/>
            <w:left w:val="none" w:sz="0" w:space="0" w:color="auto"/>
            <w:bottom w:val="none" w:sz="0" w:space="0" w:color="auto"/>
            <w:right w:val="none" w:sz="0" w:space="0" w:color="auto"/>
          </w:divBdr>
        </w:div>
        <w:div w:id="1985625916">
          <w:marLeft w:val="547"/>
          <w:marRight w:val="0"/>
          <w:marTop w:val="67"/>
          <w:marBottom w:val="0"/>
          <w:divBdr>
            <w:top w:val="none" w:sz="0" w:space="0" w:color="auto"/>
            <w:left w:val="none" w:sz="0" w:space="0" w:color="auto"/>
            <w:bottom w:val="none" w:sz="0" w:space="0" w:color="auto"/>
            <w:right w:val="none" w:sz="0" w:space="0" w:color="auto"/>
          </w:divBdr>
        </w:div>
      </w:divsChild>
    </w:div>
    <w:div w:id="1954481788">
      <w:bodyDiv w:val="1"/>
      <w:marLeft w:val="0"/>
      <w:marRight w:val="0"/>
      <w:marTop w:val="0"/>
      <w:marBottom w:val="0"/>
      <w:divBdr>
        <w:top w:val="none" w:sz="0" w:space="0" w:color="auto"/>
        <w:left w:val="none" w:sz="0" w:space="0" w:color="auto"/>
        <w:bottom w:val="none" w:sz="0" w:space="0" w:color="auto"/>
        <w:right w:val="none" w:sz="0" w:space="0" w:color="auto"/>
      </w:divBdr>
      <w:divsChild>
        <w:div w:id="1869952503">
          <w:marLeft w:val="547"/>
          <w:marRight w:val="0"/>
          <w:marTop w:val="154"/>
          <w:marBottom w:val="0"/>
          <w:divBdr>
            <w:top w:val="none" w:sz="0" w:space="0" w:color="auto"/>
            <w:left w:val="none" w:sz="0" w:space="0" w:color="auto"/>
            <w:bottom w:val="none" w:sz="0" w:space="0" w:color="auto"/>
            <w:right w:val="none" w:sz="0" w:space="0" w:color="auto"/>
          </w:divBdr>
        </w:div>
        <w:div w:id="2028095126">
          <w:marLeft w:val="547"/>
          <w:marRight w:val="0"/>
          <w:marTop w:val="154"/>
          <w:marBottom w:val="0"/>
          <w:divBdr>
            <w:top w:val="none" w:sz="0" w:space="0" w:color="auto"/>
            <w:left w:val="none" w:sz="0" w:space="0" w:color="auto"/>
            <w:bottom w:val="none" w:sz="0" w:space="0" w:color="auto"/>
            <w:right w:val="none" w:sz="0" w:space="0" w:color="auto"/>
          </w:divBdr>
        </w:div>
      </w:divsChild>
    </w:div>
    <w:div w:id="200385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hj.tribunalconstitucional.es/es-ES/Resolucion/Show/4082" TargetMode="External"/><Relationship Id="rId13" Type="http://schemas.openxmlformats.org/officeDocument/2006/relationships/hyperlink" Target="http://ec.europa.eu/transparency/regdoc/rep/1/2018/ES/COM-2018-236-F1-ES-MAIN-PART-1.PDF" TargetMode="External"/><Relationship Id="rId18" Type="http://schemas.openxmlformats.org/officeDocument/2006/relationships/hyperlink" Target="http://ec.europa.eu/transparency/regdoc/rep/1/2018/ES/COM-2018-236-F1-ES-MAIN-PART-1.PDF" TargetMode="External"/><Relationship Id="rId26" Type="http://schemas.openxmlformats.org/officeDocument/2006/relationships/hyperlink" Target="https://www.lamoncloa.gob.es/presidente/actividades/Documents/2021/140721-Carta_Derechos_Digitales_RedEs.pdf" TargetMode="External"/><Relationship Id="rId3" Type="http://schemas.openxmlformats.org/officeDocument/2006/relationships/hyperlink" Target="http://hj.tribunalconstitucional.es/es-ES/Resolucion/Show/3513" TargetMode="External"/><Relationship Id="rId21" Type="http://schemas.openxmlformats.org/officeDocument/2006/relationships/hyperlink" Target="http://ec.europa.eu/transparency/regdoc/rep/1/2018/ES/COM-2018-236-F1-ES-MAIN-PART-1.PDF" TargetMode="External"/><Relationship Id="rId7" Type="http://schemas.openxmlformats.org/officeDocument/2006/relationships/hyperlink" Target="http://hj.tribunalconstitucional.es/es-ES/Resolucion/Show/3886" TargetMode="External"/><Relationship Id="rId12" Type="http://schemas.openxmlformats.org/officeDocument/2006/relationships/hyperlink" Target="http://ec.europa.eu/transparency/regdoc/rep/1/2018/ES/COM-2018-236-F1-ES-MAIN-PART-1.PDF" TargetMode="External"/><Relationship Id="rId17" Type="http://schemas.openxmlformats.org/officeDocument/2006/relationships/hyperlink" Target="http://ec.europa.eu/transparency/regdoc/rep/1/2018/ES/COM-2018-236-F1-ES-MAIN-PART-1.PDF" TargetMode="External"/><Relationship Id="rId25" Type="http://schemas.openxmlformats.org/officeDocument/2006/relationships/hyperlink" Target="http://ec.europa.eu/transparency/regdoc/rep/1/2018/ES/COM-2018-236-F1-ES-MAIN-PART-1.PDF" TargetMode="External"/><Relationship Id="rId2" Type="http://schemas.openxmlformats.org/officeDocument/2006/relationships/hyperlink" Target="http://hj.tribunalconstitucional.es/es-ES/Resolucion/Show/2660" TargetMode="External"/><Relationship Id="rId16" Type="http://schemas.openxmlformats.org/officeDocument/2006/relationships/hyperlink" Target="http://ec.europa.eu/transparency/regdoc/rep/1/2018/ES/COM-2018-236-F1-ES-MAIN-PART-1.PDF" TargetMode="External"/><Relationship Id="rId20" Type="http://schemas.openxmlformats.org/officeDocument/2006/relationships/hyperlink" Target="http://ec.europa.eu/transparency/regdoc/rep/1/2018/ES/COM-2018-236-F1-ES-MAIN-PART-1.PDF" TargetMode="External"/><Relationship Id="rId1" Type="http://schemas.openxmlformats.org/officeDocument/2006/relationships/hyperlink" Target="http://hj.tribunalconstitucional.es/es-ES/Resolucion/Show/2383" TargetMode="External"/><Relationship Id="rId6" Type="http://schemas.openxmlformats.org/officeDocument/2006/relationships/hyperlink" Target="http://hj.tribunalconstitucional.es/es-ES/Resolucion/Show/3876" TargetMode="External"/><Relationship Id="rId11" Type="http://schemas.openxmlformats.org/officeDocument/2006/relationships/hyperlink" Target="http://ec.europa.eu/transparency/regdoc/rep/1/2018/ES/COM-2018-236-F1-ES-MAIN-PART-1.PDF" TargetMode="External"/><Relationship Id="rId24" Type="http://schemas.openxmlformats.org/officeDocument/2006/relationships/hyperlink" Target="http://ec.europa.eu/transparency/regdoc/rep/1/2018/ES/COM-2018-236-F1-ES-MAIN-PART-1.PDF" TargetMode="External"/><Relationship Id="rId5" Type="http://schemas.openxmlformats.org/officeDocument/2006/relationships/hyperlink" Target="http://hj.tribunalconstitucional.es/es-ES/Resolucion/Show/3944" TargetMode="External"/><Relationship Id="rId15" Type="http://schemas.openxmlformats.org/officeDocument/2006/relationships/hyperlink" Target="http://ec.europa.eu/transparency/regdoc/rep/1/2018/ES/COM-2018-236-F1-ES-MAIN-PART-1.PDF" TargetMode="External"/><Relationship Id="rId23" Type="http://schemas.openxmlformats.org/officeDocument/2006/relationships/hyperlink" Target="http://ec.europa.eu/transparency/regdoc/rep/1/2018/ES/COM-2018-236-F1-ES-MAIN-PART-1.PDF" TargetMode="External"/><Relationship Id="rId10" Type="http://schemas.openxmlformats.org/officeDocument/2006/relationships/hyperlink" Target="http://ec.europa.eu/transparency/regdoc/rep/1/2018/ES/COM-2018-236-F1-ES-MAIN-PART-1.PDF" TargetMode="External"/><Relationship Id="rId19" Type="http://schemas.openxmlformats.org/officeDocument/2006/relationships/hyperlink" Target="http://ec.europa.eu/transparency/regdoc/rep/1/2018/ES/COM-2018-236-F1-ES-MAIN-PART-1.PDF" TargetMode="External"/><Relationship Id="rId4" Type="http://schemas.openxmlformats.org/officeDocument/2006/relationships/hyperlink" Target="http://hj.tribunalconstitucional.es/es-ES/Resolucion/Show/3596" TargetMode="External"/><Relationship Id="rId9" Type="http://schemas.openxmlformats.org/officeDocument/2006/relationships/hyperlink" Target="http://hj.tribunalconstitucional.es/es-ES/Resolucion/Show/4099" TargetMode="External"/><Relationship Id="rId14" Type="http://schemas.openxmlformats.org/officeDocument/2006/relationships/hyperlink" Target="http://ec.europa.eu/transparency/regdoc/rep/1/2018/ES/COM-2018-236-F1-ES-MAIN-PART-1.PDF" TargetMode="External"/><Relationship Id="rId22" Type="http://schemas.openxmlformats.org/officeDocument/2006/relationships/hyperlink" Target="http://ec.europa.eu/transparency/regdoc/rep/1/2018/ES/COM-2018-236-F1-ES-MAIN-PART-1.PDF" TargetMode="External"/><Relationship Id="rId27" Type="http://schemas.openxmlformats.org/officeDocument/2006/relationships/hyperlink" Target="https://portal.mineco.gob.es/es-es/comunicacion/Paginas/210714_np_Carta-.asp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2820A-C372-4247-94F7-2F3745858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9521</Words>
  <Characters>52366</Characters>
  <Application>Microsoft Office Word</Application>
  <DocSecurity>0</DocSecurity>
  <Lines>436</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UCA</dc:creator>
  <cp:keywords/>
  <dc:description/>
  <cp:lastModifiedBy>Usuario de Windows</cp:lastModifiedBy>
  <cp:revision>3</cp:revision>
  <cp:lastPrinted>2023-05-01T15:49:00Z</cp:lastPrinted>
  <dcterms:created xsi:type="dcterms:W3CDTF">2023-05-01T15:45:00Z</dcterms:created>
  <dcterms:modified xsi:type="dcterms:W3CDTF">2023-05-01T15:52:00Z</dcterms:modified>
</cp:coreProperties>
</file>