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284" w:rsidRDefault="008C2284" w:rsidP="008C2284">
      <w:pPr>
        <w:spacing w:after="0" w:line="240" w:lineRule="auto"/>
        <w:jc w:val="right"/>
        <w:rPr>
          <w:rFonts w:ascii="Times New Roman" w:hAnsi="Times New Roman"/>
          <w:sz w:val="24"/>
          <w:szCs w:val="24"/>
          <w:lang w:val="es-ES"/>
        </w:rPr>
      </w:pPr>
    </w:p>
    <w:p w:rsidR="00035AC0" w:rsidRDefault="00035AC0" w:rsidP="008C2284">
      <w:pPr>
        <w:spacing w:after="0" w:line="240" w:lineRule="auto"/>
        <w:jc w:val="right"/>
        <w:rPr>
          <w:rFonts w:ascii="Times New Roman" w:hAnsi="Times New Roman"/>
          <w:sz w:val="24"/>
          <w:szCs w:val="24"/>
          <w:lang w:val="es-ES"/>
        </w:rPr>
      </w:pPr>
    </w:p>
    <w:p w:rsidR="00035AC0" w:rsidRPr="00C84662" w:rsidRDefault="00035AC0" w:rsidP="00035AC0">
      <w:pPr>
        <w:spacing w:after="0" w:line="240" w:lineRule="auto"/>
        <w:jc w:val="center"/>
        <w:rPr>
          <w:rFonts w:ascii="Times New Roman" w:hAnsi="Times New Roman"/>
          <w:b/>
          <w:sz w:val="28"/>
          <w:szCs w:val="28"/>
          <w:lang w:val="es-ES"/>
        </w:rPr>
      </w:pPr>
      <w:r w:rsidRPr="00C84662">
        <w:rPr>
          <w:rFonts w:ascii="Times New Roman" w:hAnsi="Times New Roman"/>
          <w:b/>
          <w:sz w:val="28"/>
          <w:szCs w:val="28"/>
          <w:lang w:val="es-ES"/>
        </w:rPr>
        <w:t>LA PROGRESIVA CONFIGURACIÓN JUDICIAL DEL DERECHO A LA VERDAD</w:t>
      </w:r>
    </w:p>
    <w:p w:rsidR="00035AC0" w:rsidRDefault="00035AC0" w:rsidP="008C2284">
      <w:pPr>
        <w:spacing w:after="0" w:line="240" w:lineRule="auto"/>
        <w:jc w:val="right"/>
        <w:rPr>
          <w:rFonts w:ascii="Times New Roman" w:hAnsi="Times New Roman"/>
          <w:sz w:val="24"/>
          <w:szCs w:val="24"/>
          <w:lang w:val="es-ES"/>
        </w:rPr>
      </w:pPr>
    </w:p>
    <w:p w:rsidR="00C84662" w:rsidRDefault="00035AC0" w:rsidP="00C84662">
      <w:pPr>
        <w:spacing w:after="0" w:line="240" w:lineRule="auto"/>
        <w:jc w:val="center"/>
        <w:rPr>
          <w:rFonts w:ascii="Times New Roman" w:hAnsi="Times New Roman"/>
          <w:sz w:val="24"/>
          <w:szCs w:val="24"/>
        </w:rPr>
      </w:pPr>
      <w:r>
        <w:rPr>
          <w:rFonts w:ascii="Times New Roman" w:hAnsi="Times New Roman"/>
          <w:sz w:val="24"/>
          <w:szCs w:val="24"/>
          <w:lang w:val="es-ES"/>
        </w:rPr>
        <w:t xml:space="preserve">Ponencia al III Congreso </w:t>
      </w:r>
      <w:r w:rsidRPr="00035AC0">
        <w:rPr>
          <w:rFonts w:ascii="Times New Roman" w:hAnsi="Times New Roman"/>
          <w:sz w:val="24"/>
          <w:szCs w:val="24"/>
        </w:rPr>
        <w:t>Internacional Virtual de la Red Iberoamericana</w:t>
      </w:r>
    </w:p>
    <w:p w:rsidR="00C84662" w:rsidRDefault="00035AC0" w:rsidP="00C84662">
      <w:pPr>
        <w:spacing w:after="0" w:line="240" w:lineRule="auto"/>
        <w:jc w:val="center"/>
        <w:rPr>
          <w:rFonts w:ascii="Times New Roman" w:hAnsi="Times New Roman"/>
          <w:sz w:val="24"/>
          <w:szCs w:val="24"/>
        </w:rPr>
      </w:pPr>
      <w:r w:rsidRPr="00035AC0">
        <w:rPr>
          <w:rFonts w:ascii="Times New Roman" w:hAnsi="Times New Roman"/>
          <w:sz w:val="24"/>
          <w:szCs w:val="24"/>
        </w:rPr>
        <w:t>de Estudios Jurídicos 1812</w:t>
      </w:r>
    </w:p>
    <w:p w:rsidR="00035AC0" w:rsidRDefault="00035AC0" w:rsidP="00C84662">
      <w:pPr>
        <w:spacing w:after="0" w:line="240" w:lineRule="auto"/>
        <w:jc w:val="center"/>
        <w:rPr>
          <w:rFonts w:ascii="Times New Roman" w:hAnsi="Times New Roman"/>
          <w:sz w:val="24"/>
          <w:szCs w:val="24"/>
          <w:lang w:val="es-ES"/>
        </w:rPr>
      </w:pPr>
      <w:r w:rsidRPr="00035AC0">
        <w:rPr>
          <w:rFonts w:ascii="Times New Roman" w:hAnsi="Times New Roman"/>
          <w:sz w:val="24"/>
          <w:szCs w:val="24"/>
        </w:rPr>
        <w:t>“Ampliación de Derechos por los Tribunales Constitucionales y las Cortes Supremas” Universidad Iberoamericana, Ciudad de México</w:t>
      </w:r>
      <w:r w:rsidR="00C84662">
        <w:rPr>
          <w:rFonts w:ascii="Times New Roman" w:hAnsi="Times New Roman"/>
          <w:sz w:val="24"/>
          <w:szCs w:val="24"/>
        </w:rPr>
        <w:t>,</w:t>
      </w:r>
      <w:r w:rsidRPr="00035AC0">
        <w:rPr>
          <w:rFonts w:ascii="Times New Roman" w:hAnsi="Times New Roman"/>
          <w:sz w:val="24"/>
          <w:szCs w:val="24"/>
        </w:rPr>
        <w:t xml:space="preserve"> 28 y 29 de abril de 2022</w:t>
      </w:r>
    </w:p>
    <w:p w:rsidR="00035AC0" w:rsidRDefault="00035AC0" w:rsidP="008C2284">
      <w:pPr>
        <w:spacing w:after="0" w:line="240" w:lineRule="auto"/>
        <w:jc w:val="right"/>
        <w:rPr>
          <w:rFonts w:ascii="Times New Roman" w:hAnsi="Times New Roman"/>
          <w:sz w:val="24"/>
          <w:szCs w:val="24"/>
          <w:lang w:val="es-ES"/>
        </w:rPr>
      </w:pPr>
    </w:p>
    <w:p w:rsidR="00C84662" w:rsidRDefault="00C84662" w:rsidP="008C2284">
      <w:pPr>
        <w:spacing w:after="0" w:line="240" w:lineRule="auto"/>
        <w:jc w:val="right"/>
        <w:rPr>
          <w:rFonts w:ascii="Times New Roman" w:hAnsi="Times New Roman"/>
          <w:sz w:val="24"/>
          <w:szCs w:val="24"/>
          <w:lang w:val="es-ES"/>
        </w:rPr>
      </w:pPr>
    </w:p>
    <w:p w:rsidR="008C2284" w:rsidRDefault="008C2284" w:rsidP="008C2284">
      <w:pPr>
        <w:spacing w:after="0" w:line="240" w:lineRule="auto"/>
        <w:jc w:val="right"/>
        <w:rPr>
          <w:rFonts w:ascii="Times New Roman" w:hAnsi="Times New Roman"/>
          <w:sz w:val="24"/>
          <w:szCs w:val="24"/>
          <w:lang w:val="es-ES"/>
        </w:rPr>
      </w:pPr>
      <w:r>
        <w:rPr>
          <w:rFonts w:ascii="Times New Roman" w:hAnsi="Times New Roman"/>
          <w:sz w:val="24"/>
          <w:szCs w:val="24"/>
          <w:lang w:val="es-ES"/>
        </w:rPr>
        <w:t>Juan Manuel López Ulla</w:t>
      </w:r>
    </w:p>
    <w:p w:rsidR="008C2284" w:rsidRDefault="008C2284" w:rsidP="008C2284">
      <w:pPr>
        <w:spacing w:after="0" w:line="240" w:lineRule="auto"/>
        <w:jc w:val="right"/>
        <w:rPr>
          <w:rFonts w:ascii="Times New Roman" w:hAnsi="Times New Roman"/>
          <w:sz w:val="24"/>
          <w:szCs w:val="24"/>
          <w:lang w:val="es-ES"/>
        </w:rPr>
      </w:pPr>
      <w:r>
        <w:rPr>
          <w:rFonts w:ascii="Times New Roman" w:hAnsi="Times New Roman"/>
          <w:sz w:val="24"/>
          <w:szCs w:val="24"/>
          <w:lang w:val="es-ES"/>
        </w:rPr>
        <w:t>Profesor Titular de Derecho Constitucional</w:t>
      </w:r>
    </w:p>
    <w:p w:rsidR="008C2284" w:rsidRDefault="008C2284" w:rsidP="008C2284">
      <w:pPr>
        <w:spacing w:after="0" w:line="240" w:lineRule="auto"/>
        <w:jc w:val="right"/>
        <w:rPr>
          <w:rFonts w:ascii="Times New Roman" w:hAnsi="Times New Roman"/>
          <w:sz w:val="24"/>
          <w:szCs w:val="24"/>
          <w:lang w:val="es-ES"/>
        </w:rPr>
      </w:pPr>
      <w:r>
        <w:rPr>
          <w:rFonts w:ascii="Times New Roman" w:hAnsi="Times New Roman"/>
          <w:sz w:val="24"/>
          <w:szCs w:val="24"/>
          <w:lang w:val="es-ES"/>
        </w:rPr>
        <w:t>Universidad de Cádiz</w:t>
      </w:r>
    </w:p>
    <w:p w:rsidR="008C2284" w:rsidRDefault="008C2284" w:rsidP="00DD5D9F">
      <w:pPr>
        <w:spacing w:line="240" w:lineRule="auto"/>
        <w:jc w:val="both"/>
        <w:rPr>
          <w:rFonts w:ascii="Times New Roman" w:hAnsi="Times New Roman"/>
          <w:sz w:val="24"/>
          <w:szCs w:val="24"/>
          <w:lang w:val="es-ES"/>
        </w:rPr>
      </w:pPr>
    </w:p>
    <w:p w:rsidR="00343D22" w:rsidRPr="00343D22" w:rsidRDefault="00343D22" w:rsidP="00DD5D9F">
      <w:pPr>
        <w:spacing w:line="240" w:lineRule="auto"/>
        <w:jc w:val="both"/>
        <w:rPr>
          <w:rFonts w:ascii="Times New Roman" w:hAnsi="Times New Roman"/>
          <w:sz w:val="24"/>
          <w:szCs w:val="24"/>
          <w:lang w:val="es-ES"/>
        </w:rPr>
      </w:pPr>
      <w:r w:rsidRPr="00343D22">
        <w:rPr>
          <w:rFonts w:ascii="Times New Roman" w:hAnsi="Times New Roman"/>
          <w:sz w:val="24"/>
          <w:szCs w:val="24"/>
          <w:lang w:val="es-ES"/>
        </w:rPr>
        <w:t>Sumario:</w:t>
      </w:r>
      <w:r>
        <w:rPr>
          <w:rFonts w:ascii="Times New Roman" w:hAnsi="Times New Roman"/>
          <w:sz w:val="24"/>
          <w:szCs w:val="24"/>
          <w:lang w:val="es-ES"/>
        </w:rPr>
        <w:t xml:space="preserve"> I. Propósito. II. C</w:t>
      </w:r>
      <w:r w:rsidR="00340317">
        <w:rPr>
          <w:rFonts w:ascii="Times New Roman" w:hAnsi="Times New Roman"/>
          <w:sz w:val="24"/>
          <w:szCs w:val="24"/>
          <w:lang w:val="es-ES"/>
        </w:rPr>
        <w:t xml:space="preserve">ontexto: </w:t>
      </w:r>
      <w:r w:rsidRPr="00343D22">
        <w:rPr>
          <w:rFonts w:ascii="Times New Roman" w:hAnsi="Times New Roman"/>
          <w:sz w:val="24"/>
          <w:szCs w:val="24"/>
          <w:lang w:val="es-ES"/>
        </w:rPr>
        <w:t>desapariciones forzadas</w:t>
      </w:r>
      <w:r>
        <w:rPr>
          <w:rFonts w:ascii="Times New Roman" w:hAnsi="Times New Roman"/>
          <w:sz w:val="24"/>
          <w:szCs w:val="24"/>
          <w:lang w:val="es-ES"/>
        </w:rPr>
        <w:t xml:space="preserve">. III. </w:t>
      </w:r>
      <w:r w:rsidR="00340317">
        <w:rPr>
          <w:rFonts w:ascii="Times New Roman" w:hAnsi="Times New Roman"/>
          <w:sz w:val="24"/>
          <w:szCs w:val="24"/>
          <w:lang w:val="es-ES"/>
        </w:rPr>
        <w:t>La verdad:</w:t>
      </w:r>
      <w:r w:rsidRPr="00343D22">
        <w:rPr>
          <w:rFonts w:ascii="Times New Roman" w:hAnsi="Times New Roman"/>
          <w:sz w:val="24"/>
          <w:szCs w:val="24"/>
          <w:lang w:val="es-ES"/>
        </w:rPr>
        <w:t xml:space="preserve"> derecho complejo con dos dimensiones</w:t>
      </w:r>
      <w:r>
        <w:rPr>
          <w:rFonts w:ascii="Times New Roman" w:hAnsi="Times New Roman"/>
          <w:sz w:val="24"/>
          <w:szCs w:val="24"/>
          <w:lang w:val="es-ES"/>
        </w:rPr>
        <w:t>. IV.</w:t>
      </w:r>
      <w:r w:rsidR="00705B42">
        <w:rPr>
          <w:rFonts w:ascii="Times New Roman" w:hAnsi="Times New Roman"/>
          <w:sz w:val="24"/>
          <w:szCs w:val="24"/>
          <w:lang w:val="es-ES"/>
        </w:rPr>
        <w:t xml:space="preserve"> </w:t>
      </w:r>
      <w:r w:rsidR="00081073">
        <w:rPr>
          <w:rFonts w:ascii="Times New Roman" w:hAnsi="Times New Roman"/>
          <w:sz w:val="24"/>
          <w:szCs w:val="24"/>
          <w:lang w:val="es-ES"/>
        </w:rPr>
        <w:t>A</w:t>
      </w:r>
      <w:r w:rsidR="00340317" w:rsidRPr="00340317">
        <w:rPr>
          <w:rFonts w:ascii="Times New Roman" w:hAnsi="Times New Roman"/>
          <w:sz w:val="24"/>
          <w:szCs w:val="24"/>
          <w:lang w:val="es-ES"/>
        </w:rPr>
        <w:t>mnistía: paz a cambio de impunidad</w:t>
      </w:r>
      <w:r w:rsidR="00340317">
        <w:rPr>
          <w:rFonts w:ascii="Times New Roman" w:hAnsi="Times New Roman"/>
          <w:sz w:val="24"/>
          <w:szCs w:val="24"/>
          <w:lang w:val="es-ES"/>
        </w:rPr>
        <w:t xml:space="preserve">. V. </w:t>
      </w:r>
      <w:r w:rsidR="00081073">
        <w:rPr>
          <w:rFonts w:ascii="Times New Roman" w:hAnsi="Times New Roman"/>
          <w:sz w:val="24"/>
          <w:szCs w:val="24"/>
          <w:lang w:val="es-ES"/>
        </w:rPr>
        <w:t>Autonomía: acerca de la sustantividad propia</w:t>
      </w:r>
      <w:r w:rsidR="008C2284" w:rsidRPr="008C2284">
        <w:rPr>
          <w:rFonts w:ascii="Times New Roman" w:hAnsi="Times New Roman"/>
          <w:sz w:val="24"/>
          <w:szCs w:val="24"/>
          <w:lang w:val="es-ES"/>
        </w:rPr>
        <w:t xml:space="preserve"> del derecho a la verdad</w:t>
      </w:r>
      <w:r w:rsidR="008C2284">
        <w:rPr>
          <w:rFonts w:ascii="Times New Roman" w:hAnsi="Times New Roman"/>
          <w:sz w:val="24"/>
          <w:szCs w:val="24"/>
          <w:lang w:val="es-ES"/>
        </w:rPr>
        <w:t xml:space="preserve">. </w:t>
      </w:r>
      <w:r w:rsidR="00705B42">
        <w:rPr>
          <w:rFonts w:ascii="Times New Roman" w:hAnsi="Times New Roman"/>
          <w:sz w:val="24"/>
          <w:szCs w:val="24"/>
          <w:lang w:val="es-ES"/>
        </w:rPr>
        <w:t>1.</w:t>
      </w:r>
      <w:r w:rsidR="00705B42" w:rsidRPr="00705B42">
        <w:rPr>
          <w:rFonts w:ascii="Times New Roman" w:hAnsi="Times New Roman"/>
          <w:sz w:val="24"/>
          <w:szCs w:val="24"/>
          <w:lang w:val="es-ES"/>
        </w:rPr>
        <w:t xml:space="preserve"> </w:t>
      </w:r>
      <w:r w:rsidR="008C2284">
        <w:rPr>
          <w:rFonts w:ascii="Times New Roman" w:hAnsi="Times New Roman"/>
          <w:sz w:val="24"/>
          <w:szCs w:val="24"/>
          <w:lang w:val="es-ES"/>
        </w:rPr>
        <w:t>E</w:t>
      </w:r>
      <w:r w:rsidR="008C2284" w:rsidRPr="008C2284">
        <w:rPr>
          <w:rFonts w:ascii="Times New Roman" w:hAnsi="Times New Roman"/>
          <w:sz w:val="24"/>
          <w:szCs w:val="24"/>
          <w:lang w:val="es-ES"/>
        </w:rPr>
        <w:t>n relación con el derecho de acceso a la justicia</w:t>
      </w:r>
      <w:r w:rsidR="008C2284">
        <w:rPr>
          <w:rFonts w:ascii="Times New Roman" w:hAnsi="Times New Roman"/>
          <w:sz w:val="24"/>
          <w:szCs w:val="24"/>
          <w:lang w:val="es-ES"/>
        </w:rPr>
        <w:t xml:space="preserve">. </w:t>
      </w:r>
      <w:r w:rsidR="00705B42" w:rsidRPr="00705B42">
        <w:rPr>
          <w:rFonts w:ascii="Times New Roman" w:hAnsi="Times New Roman"/>
          <w:sz w:val="24"/>
          <w:szCs w:val="24"/>
          <w:lang w:val="es-ES"/>
        </w:rPr>
        <w:t xml:space="preserve">2. </w:t>
      </w:r>
      <w:r w:rsidR="00705B42">
        <w:rPr>
          <w:rFonts w:ascii="Times New Roman" w:hAnsi="Times New Roman"/>
          <w:sz w:val="24"/>
          <w:szCs w:val="24"/>
          <w:lang w:val="es-ES"/>
        </w:rPr>
        <w:t>E</w:t>
      </w:r>
      <w:r w:rsidR="00705B42" w:rsidRPr="00705B42">
        <w:rPr>
          <w:rFonts w:ascii="Times New Roman" w:hAnsi="Times New Roman"/>
          <w:sz w:val="24"/>
          <w:szCs w:val="24"/>
          <w:lang w:val="es-ES"/>
        </w:rPr>
        <w:t xml:space="preserve">n relación con el derecho a la libertad de buscar, recibir </w:t>
      </w:r>
      <w:r w:rsidR="00705B42">
        <w:rPr>
          <w:rFonts w:ascii="Times New Roman" w:hAnsi="Times New Roman"/>
          <w:sz w:val="24"/>
          <w:szCs w:val="24"/>
          <w:lang w:val="es-ES"/>
        </w:rPr>
        <w:t>y</w:t>
      </w:r>
      <w:r w:rsidR="00705B42" w:rsidRPr="00705B42">
        <w:rPr>
          <w:rFonts w:ascii="Times New Roman" w:hAnsi="Times New Roman"/>
          <w:sz w:val="24"/>
          <w:szCs w:val="24"/>
          <w:lang w:val="es-ES"/>
        </w:rPr>
        <w:t xml:space="preserve"> difundir información</w:t>
      </w:r>
      <w:r w:rsidR="008C2284">
        <w:rPr>
          <w:rFonts w:ascii="Times New Roman" w:hAnsi="Times New Roman"/>
          <w:sz w:val="24"/>
          <w:szCs w:val="24"/>
          <w:lang w:val="es-ES"/>
        </w:rPr>
        <w:t>.</w:t>
      </w:r>
      <w:r w:rsidR="0004293D">
        <w:rPr>
          <w:rFonts w:ascii="Times New Roman" w:hAnsi="Times New Roman"/>
          <w:sz w:val="24"/>
          <w:szCs w:val="24"/>
          <w:lang w:val="es-ES"/>
        </w:rPr>
        <w:t xml:space="preserve"> VI. Nota final de jurisprudencia y bibliograf</w:t>
      </w:r>
      <w:r w:rsidR="00C84662">
        <w:rPr>
          <w:rFonts w:ascii="Times New Roman" w:hAnsi="Times New Roman"/>
          <w:sz w:val="24"/>
          <w:szCs w:val="24"/>
          <w:lang w:val="es-ES"/>
        </w:rPr>
        <w:t>ía</w:t>
      </w:r>
    </w:p>
    <w:p w:rsidR="00343D22" w:rsidRDefault="00343D22" w:rsidP="00DD5D9F">
      <w:pPr>
        <w:spacing w:line="240" w:lineRule="auto"/>
        <w:jc w:val="both"/>
        <w:rPr>
          <w:rFonts w:ascii="Times New Roman" w:hAnsi="Times New Roman"/>
          <w:b/>
          <w:sz w:val="24"/>
          <w:szCs w:val="24"/>
          <w:lang w:val="es-ES"/>
        </w:rPr>
      </w:pPr>
    </w:p>
    <w:p w:rsidR="00CD758A" w:rsidRPr="00DD5D9F" w:rsidRDefault="00DD5D9F" w:rsidP="00DD5D9F">
      <w:pPr>
        <w:spacing w:line="240" w:lineRule="auto"/>
        <w:jc w:val="both"/>
        <w:rPr>
          <w:rFonts w:ascii="Times New Roman" w:hAnsi="Times New Roman"/>
          <w:b/>
          <w:sz w:val="24"/>
          <w:szCs w:val="24"/>
          <w:lang w:val="es-ES"/>
        </w:rPr>
      </w:pPr>
      <w:r>
        <w:rPr>
          <w:rFonts w:ascii="Times New Roman" w:hAnsi="Times New Roman"/>
          <w:b/>
          <w:sz w:val="24"/>
          <w:szCs w:val="24"/>
          <w:lang w:val="es-ES"/>
        </w:rPr>
        <w:t xml:space="preserve">I. </w:t>
      </w:r>
      <w:r w:rsidR="00343D22">
        <w:rPr>
          <w:rFonts w:ascii="Times New Roman" w:hAnsi="Times New Roman"/>
          <w:b/>
          <w:sz w:val="24"/>
          <w:szCs w:val="24"/>
          <w:lang w:val="es-ES"/>
        </w:rPr>
        <w:t>PROPÓSITO</w:t>
      </w:r>
    </w:p>
    <w:p w:rsidR="00F302AF" w:rsidRPr="00507C43" w:rsidRDefault="00F302AF" w:rsidP="00507C43">
      <w:pPr>
        <w:spacing w:after="0" w:line="240" w:lineRule="auto"/>
        <w:jc w:val="both"/>
        <w:rPr>
          <w:rFonts w:ascii="Times New Roman" w:hAnsi="Times New Roman"/>
          <w:sz w:val="24"/>
          <w:szCs w:val="24"/>
          <w:lang w:val="es-ES"/>
        </w:rPr>
      </w:pPr>
    </w:p>
    <w:p w:rsidR="00AA1AB1" w:rsidRDefault="00F302AF" w:rsidP="00F5752D">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t>Recuerda Zagrebelsky que “la primera de las grandes tareas de las constituciones contemporáneas consiste en distinguir claramente entre la ley, como regla establecida por el legislador, y los derechos humanos, como pretensiones subjetivas absolutas, válidas por sí mismas con independencia de la ley”</w:t>
      </w:r>
      <w:r w:rsidRPr="00507C43">
        <w:rPr>
          <w:rStyle w:val="Refdenotaalpie"/>
          <w:rFonts w:ascii="Times New Roman" w:hAnsi="Times New Roman"/>
          <w:sz w:val="24"/>
          <w:szCs w:val="24"/>
          <w:lang w:val="es-ES"/>
        </w:rPr>
        <w:footnoteReference w:id="1"/>
      </w:r>
      <w:r w:rsidRPr="00507C43">
        <w:rPr>
          <w:rFonts w:ascii="Times New Roman" w:hAnsi="Times New Roman"/>
          <w:sz w:val="24"/>
          <w:szCs w:val="24"/>
          <w:lang w:val="es-ES"/>
        </w:rPr>
        <w:t>. Entre los derec</w:t>
      </w:r>
      <w:r w:rsidR="007C0036">
        <w:rPr>
          <w:rFonts w:ascii="Times New Roman" w:hAnsi="Times New Roman"/>
          <w:sz w:val="24"/>
          <w:szCs w:val="24"/>
          <w:lang w:val="es-ES"/>
        </w:rPr>
        <w:t>Go</w:t>
      </w:r>
      <w:r w:rsidRPr="00507C43">
        <w:rPr>
          <w:rFonts w:ascii="Times New Roman" w:hAnsi="Times New Roman"/>
          <w:sz w:val="24"/>
          <w:szCs w:val="24"/>
          <w:lang w:val="es-ES"/>
        </w:rPr>
        <w:t>hos que conform</w:t>
      </w:r>
      <w:r w:rsidR="00190BBC">
        <w:rPr>
          <w:rFonts w:ascii="Times New Roman" w:hAnsi="Times New Roman"/>
          <w:sz w:val="24"/>
          <w:szCs w:val="24"/>
          <w:lang w:val="es-ES"/>
        </w:rPr>
        <w:t>an ese “patrimonio de derechos”</w:t>
      </w:r>
      <w:r w:rsidRPr="00507C43">
        <w:rPr>
          <w:rFonts w:ascii="Times New Roman" w:hAnsi="Times New Roman"/>
          <w:sz w:val="24"/>
          <w:szCs w:val="24"/>
          <w:lang w:val="es-ES"/>
        </w:rPr>
        <w:t xml:space="preserve"> están, desde luego, la v</w:t>
      </w:r>
      <w:r w:rsidR="00190BBC">
        <w:rPr>
          <w:rFonts w:ascii="Times New Roman" w:hAnsi="Times New Roman"/>
          <w:sz w:val="24"/>
          <w:szCs w:val="24"/>
          <w:lang w:val="es-ES"/>
        </w:rPr>
        <w:t>ida y la dignidad de la persona, que son</w:t>
      </w:r>
      <w:r w:rsidRPr="00507C43">
        <w:rPr>
          <w:rFonts w:ascii="Times New Roman" w:hAnsi="Times New Roman"/>
          <w:sz w:val="24"/>
          <w:szCs w:val="24"/>
          <w:lang w:val="es-ES"/>
        </w:rPr>
        <w:t xml:space="preserve"> considerados como el </w:t>
      </w:r>
      <w:r w:rsidRPr="00507C43">
        <w:rPr>
          <w:rFonts w:ascii="Times New Roman" w:hAnsi="Times New Roman"/>
          <w:i/>
          <w:sz w:val="24"/>
          <w:szCs w:val="24"/>
          <w:lang w:val="es-ES"/>
        </w:rPr>
        <w:t>prius</w:t>
      </w:r>
      <w:r w:rsidRPr="00507C43">
        <w:rPr>
          <w:rFonts w:ascii="Times New Roman" w:hAnsi="Times New Roman"/>
          <w:sz w:val="24"/>
          <w:szCs w:val="24"/>
          <w:lang w:val="es-ES"/>
        </w:rPr>
        <w:t xml:space="preserve"> lógico y ontológico para la existencia y especificación de los demás derechos</w:t>
      </w:r>
      <w:r w:rsidRPr="00507C43">
        <w:rPr>
          <w:rStyle w:val="Refdenotaalpie"/>
          <w:rFonts w:ascii="Times New Roman" w:hAnsi="Times New Roman"/>
          <w:sz w:val="24"/>
          <w:szCs w:val="24"/>
          <w:lang w:val="es-ES"/>
        </w:rPr>
        <w:footnoteReference w:id="2"/>
      </w:r>
      <w:r w:rsidRPr="00507C43">
        <w:rPr>
          <w:rFonts w:ascii="Times New Roman" w:hAnsi="Times New Roman"/>
          <w:sz w:val="24"/>
          <w:szCs w:val="24"/>
          <w:lang w:val="es-ES"/>
        </w:rPr>
        <w:t xml:space="preserve">. </w:t>
      </w:r>
      <w:r w:rsidR="00190BBC">
        <w:rPr>
          <w:rFonts w:ascii="Times New Roman" w:hAnsi="Times New Roman"/>
          <w:sz w:val="24"/>
          <w:szCs w:val="24"/>
          <w:lang w:val="es-ES"/>
        </w:rPr>
        <w:t xml:space="preserve">El catálogo de estos otros que entedemos que derivan de la dignidad humana se ha ido conformando con el tiempo. </w:t>
      </w:r>
      <w:r w:rsidR="009F49F8">
        <w:rPr>
          <w:rFonts w:ascii="Times New Roman" w:hAnsi="Times New Roman"/>
          <w:sz w:val="24"/>
          <w:szCs w:val="24"/>
          <w:lang w:val="es-ES"/>
        </w:rPr>
        <w:t>Por muy fundamentales que sean,</w:t>
      </w:r>
      <w:r w:rsidR="005A7044">
        <w:rPr>
          <w:rFonts w:ascii="Times New Roman" w:hAnsi="Times New Roman"/>
          <w:sz w:val="24"/>
          <w:szCs w:val="24"/>
          <w:lang w:val="es-ES"/>
        </w:rPr>
        <w:t xml:space="preserve"> advierte Bobbio,</w:t>
      </w:r>
      <w:r w:rsidR="009F49F8">
        <w:rPr>
          <w:rFonts w:ascii="Times New Roman" w:hAnsi="Times New Roman"/>
          <w:sz w:val="24"/>
          <w:szCs w:val="24"/>
          <w:lang w:val="es-ES"/>
        </w:rPr>
        <w:t xml:space="preserve"> los derechos fundamentales son derechos históricos, esto es, nacen gradualmente, no todos de una vez y para siempre</w:t>
      </w:r>
      <w:r w:rsidR="00F45E42">
        <w:rPr>
          <w:rStyle w:val="Refdenotaalpie"/>
          <w:rFonts w:ascii="Times New Roman" w:hAnsi="Times New Roman"/>
          <w:sz w:val="24"/>
          <w:szCs w:val="24"/>
          <w:lang w:val="es-ES"/>
        </w:rPr>
        <w:footnoteReference w:id="3"/>
      </w:r>
      <w:r w:rsidR="009F49F8">
        <w:rPr>
          <w:rFonts w:ascii="Times New Roman" w:hAnsi="Times New Roman"/>
          <w:sz w:val="24"/>
          <w:szCs w:val="24"/>
          <w:lang w:val="es-ES"/>
        </w:rPr>
        <w:t>.</w:t>
      </w:r>
      <w:r w:rsidR="005A7044">
        <w:rPr>
          <w:rFonts w:ascii="Times New Roman" w:hAnsi="Times New Roman"/>
          <w:sz w:val="24"/>
          <w:szCs w:val="24"/>
          <w:lang w:val="es-ES"/>
        </w:rPr>
        <w:t xml:space="preserve"> Por eso la relación que encontramos </w:t>
      </w:r>
      <w:r w:rsidR="00190BBC">
        <w:rPr>
          <w:rFonts w:ascii="Times New Roman" w:hAnsi="Times New Roman"/>
          <w:sz w:val="24"/>
          <w:szCs w:val="24"/>
          <w:lang w:val="es-ES"/>
        </w:rPr>
        <w:t xml:space="preserve">en las primeras cartas de derechos no coincide con la que hoy recogen nuestras Constituciones o tratados internacionales, y </w:t>
      </w:r>
      <w:r w:rsidR="00026E19">
        <w:rPr>
          <w:rFonts w:ascii="Times New Roman" w:hAnsi="Times New Roman"/>
          <w:sz w:val="24"/>
          <w:szCs w:val="24"/>
          <w:lang w:val="es-ES"/>
        </w:rPr>
        <w:t>por eso nadie de duda de que a un ritmo u otro el número irá aumentando.</w:t>
      </w:r>
      <w:r w:rsidR="00310972">
        <w:rPr>
          <w:rFonts w:ascii="Times New Roman" w:hAnsi="Times New Roman"/>
          <w:sz w:val="24"/>
          <w:szCs w:val="24"/>
          <w:lang w:val="es-ES"/>
        </w:rPr>
        <w:t xml:space="preserve"> </w:t>
      </w:r>
      <w:r w:rsidR="00026E19">
        <w:rPr>
          <w:rFonts w:ascii="Times New Roman" w:hAnsi="Times New Roman"/>
          <w:sz w:val="24"/>
          <w:szCs w:val="24"/>
          <w:lang w:val="es-ES"/>
        </w:rPr>
        <w:t xml:space="preserve"> La cuestión que vamos a abordar en </w:t>
      </w:r>
      <w:r w:rsidR="00026E19">
        <w:rPr>
          <w:rFonts w:ascii="Times New Roman" w:hAnsi="Times New Roman"/>
          <w:sz w:val="24"/>
          <w:szCs w:val="24"/>
          <w:lang w:val="es-ES"/>
        </w:rPr>
        <w:lastRenderedPageBreak/>
        <w:t>este trabajo es si podemos considerar que el derecho a la verdad</w:t>
      </w:r>
      <w:r w:rsidR="00310972">
        <w:rPr>
          <w:rFonts w:ascii="Times New Roman" w:hAnsi="Times New Roman"/>
          <w:sz w:val="24"/>
          <w:szCs w:val="24"/>
          <w:lang w:val="es-ES"/>
        </w:rPr>
        <w:t>, invocado en el contexto de graves violaciones de los derechos humanos,</w:t>
      </w:r>
      <w:r w:rsidR="00026E19">
        <w:rPr>
          <w:rFonts w:ascii="Times New Roman" w:hAnsi="Times New Roman"/>
          <w:sz w:val="24"/>
          <w:szCs w:val="24"/>
          <w:lang w:val="es-ES"/>
        </w:rPr>
        <w:t xml:space="preserve"> puede ser considerado un nuevo derecho humano.</w:t>
      </w:r>
      <w:r w:rsidR="00310972">
        <w:rPr>
          <w:rFonts w:ascii="Times New Roman" w:hAnsi="Times New Roman"/>
          <w:sz w:val="24"/>
          <w:szCs w:val="24"/>
          <w:lang w:val="es-ES"/>
        </w:rPr>
        <w:t xml:space="preserve"> </w:t>
      </w:r>
    </w:p>
    <w:p w:rsidR="00AA1AB1" w:rsidRDefault="00AA1AB1" w:rsidP="00F5752D">
      <w:pPr>
        <w:spacing w:after="0" w:line="240" w:lineRule="auto"/>
        <w:jc w:val="both"/>
        <w:rPr>
          <w:rFonts w:ascii="Times New Roman" w:hAnsi="Times New Roman"/>
          <w:sz w:val="24"/>
          <w:szCs w:val="24"/>
          <w:lang w:val="es-ES"/>
        </w:rPr>
      </w:pPr>
    </w:p>
    <w:p w:rsidR="00540CF3" w:rsidRDefault="00AA1AB1" w:rsidP="00D52BF2">
      <w:pPr>
        <w:spacing w:after="0" w:line="240" w:lineRule="auto"/>
        <w:jc w:val="both"/>
        <w:rPr>
          <w:rFonts w:ascii="Times New Roman" w:hAnsi="Times New Roman"/>
          <w:sz w:val="24"/>
          <w:szCs w:val="24"/>
          <w:lang w:val="es-ES"/>
        </w:rPr>
      </w:pPr>
      <w:r>
        <w:rPr>
          <w:rFonts w:ascii="Times New Roman" w:hAnsi="Times New Roman"/>
          <w:sz w:val="24"/>
          <w:szCs w:val="24"/>
          <w:lang w:val="es-ES"/>
        </w:rPr>
        <w:t xml:space="preserve">El derecho a la verdad está reconocido </w:t>
      </w:r>
      <w:r w:rsidR="00310972">
        <w:rPr>
          <w:rFonts w:ascii="Times New Roman" w:hAnsi="Times New Roman"/>
          <w:sz w:val="24"/>
          <w:szCs w:val="24"/>
          <w:lang w:val="es-ES"/>
        </w:rPr>
        <w:t xml:space="preserve">en </w:t>
      </w:r>
      <w:r>
        <w:rPr>
          <w:rFonts w:ascii="Times New Roman" w:hAnsi="Times New Roman"/>
          <w:sz w:val="24"/>
          <w:szCs w:val="24"/>
          <w:lang w:val="es-ES"/>
        </w:rPr>
        <w:t xml:space="preserve">el artículo 24.2 de </w:t>
      </w:r>
      <w:r w:rsidR="00310972">
        <w:rPr>
          <w:rFonts w:ascii="Times New Roman" w:hAnsi="Times New Roman"/>
          <w:sz w:val="24"/>
          <w:szCs w:val="24"/>
          <w:lang w:val="es-ES"/>
        </w:rPr>
        <w:t xml:space="preserve">la </w:t>
      </w:r>
      <w:r w:rsidR="00310972" w:rsidRPr="00507C43">
        <w:rPr>
          <w:rFonts w:ascii="Times New Roman" w:eastAsia="Times New Roman" w:hAnsi="Times New Roman"/>
          <w:sz w:val="24"/>
          <w:szCs w:val="24"/>
          <w:lang w:val="es-ES"/>
        </w:rPr>
        <w:t>Convención Internacional de Naciones Unidas para la Protección de todas las Personas contra las Desapariciones Forzadas, de 20 de diciembre de 2006 (en adelante, la Convención Internacional)</w:t>
      </w:r>
      <w:r>
        <w:rPr>
          <w:rStyle w:val="Refdenotaalpie"/>
          <w:rFonts w:ascii="Times New Roman" w:eastAsia="Times New Roman" w:hAnsi="Times New Roman"/>
          <w:sz w:val="24"/>
          <w:szCs w:val="24"/>
          <w:lang w:val="es-ES"/>
        </w:rPr>
        <w:footnoteReference w:id="4"/>
      </w:r>
      <w:r w:rsidR="00310972">
        <w:rPr>
          <w:rFonts w:ascii="Times New Roman" w:eastAsia="Times New Roman" w:hAnsi="Times New Roman"/>
          <w:sz w:val="24"/>
          <w:szCs w:val="24"/>
          <w:lang w:val="es-ES"/>
        </w:rPr>
        <w:t xml:space="preserve"> y en otros textos de ámbio universal (ONU) y regional (interamericano y europeo) del denominado </w:t>
      </w:r>
      <w:r w:rsidR="00310972" w:rsidRPr="00310972">
        <w:rPr>
          <w:rFonts w:ascii="Times New Roman" w:eastAsia="Times New Roman" w:hAnsi="Times New Roman"/>
          <w:i/>
          <w:sz w:val="24"/>
          <w:szCs w:val="24"/>
          <w:lang w:val="es-ES"/>
        </w:rPr>
        <w:t>soft law</w:t>
      </w:r>
      <w:r w:rsidR="00B468B6" w:rsidRPr="00B468B6">
        <w:rPr>
          <w:rStyle w:val="Refdenotaalpie"/>
          <w:rFonts w:ascii="Times New Roman" w:eastAsia="Times New Roman" w:hAnsi="Times New Roman"/>
          <w:sz w:val="24"/>
          <w:szCs w:val="24"/>
          <w:lang w:val="es-ES"/>
        </w:rPr>
        <w:footnoteReference w:id="5"/>
      </w:r>
      <w:r>
        <w:rPr>
          <w:rFonts w:ascii="Times New Roman" w:eastAsia="Times New Roman" w:hAnsi="Times New Roman"/>
          <w:sz w:val="24"/>
          <w:szCs w:val="24"/>
          <w:lang w:val="es-ES"/>
        </w:rPr>
        <w:t>. En su configuración,</w:t>
      </w:r>
      <w:r w:rsidR="00310972">
        <w:rPr>
          <w:rFonts w:ascii="Times New Roman" w:eastAsia="Times New Roman" w:hAnsi="Times New Roman"/>
          <w:sz w:val="24"/>
          <w:szCs w:val="24"/>
          <w:lang w:val="es-ES"/>
        </w:rPr>
        <w:t xml:space="preserve"> </w:t>
      </w:r>
      <w:r w:rsidR="00310972">
        <w:rPr>
          <w:rFonts w:ascii="Times New Roman" w:hAnsi="Times New Roman"/>
          <w:sz w:val="24"/>
          <w:szCs w:val="24"/>
          <w:lang w:val="es-ES"/>
        </w:rPr>
        <w:t>la jurisprudencia de la Corte Interamericana de Derechos Humanos (en adelante Corte Interamericana) y del Tribunal Europeo de Derechos Humanos (en adelante) ha sido determinante.</w:t>
      </w:r>
      <w:r w:rsidR="00C07B7C">
        <w:rPr>
          <w:rFonts w:ascii="Times New Roman" w:hAnsi="Times New Roman"/>
          <w:sz w:val="24"/>
          <w:szCs w:val="24"/>
          <w:lang w:val="es-ES"/>
        </w:rPr>
        <w:t xml:space="preserve"> La doctrina de uno y otro sobre las obligaciones y facultades que se derivan de este derecho, que ambos reconocen, es prácticamente la misma. En lo que difieren es en la consideración del derecho a la verdad como un derecho autónomo. El primero así lo entiende, mientras que el segundo no aprecia en él una sustantividad propia que lo distinga de otros derechos ya reconocidos en el Convenio Europeo de Derechos Humanos (en adelante, CEDH), particularmente del derecho a una investigación efectiva (dimensión procesal de los artículos </w:t>
      </w:r>
      <w:r w:rsidR="007706E4">
        <w:rPr>
          <w:rFonts w:ascii="Times New Roman" w:hAnsi="Times New Roman"/>
          <w:sz w:val="24"/>
          <w:szCs w:val="24"/>
          <w:lang w:val="es-ES"/>
        </w:rPr>
        <w:t xml:space="preserve">2, </w:t>
      </w:r>
      <w:r w:rsidR="00C07B7C">
        <w:rPr>
          <w:rFonts w:ascii="Times New Roman" w:hAnsi="Times New Roman"/>
          <w:sz w:val="24"/>
          <w:szCs w:val="24"/>
          <w:lang w:val="es-ES"/>
        </w:rPr>
        <w:t xml:space="preserve">3 y 5) y a un recurso efectivo (artículo 13). </w:t>
      </w:r>
    </w:p>
    <w:p w:rsidR="00540CF3" w:rsidRDefault="00540CF3" w:rsidP="00D52BF2">
      <w:pPr>
        <w:spacing w:after="0" w:line="240" w:lineRule="auto"/>
        <w:jc w:val="both"/>
        <w:rPr>
          <w:rFonts w:ascii="Times New Roman" w:hAnsi="Times New Roman"/>
          <w:sz w:val="24"/>
          <w:szCs w:val="24"/>
          <w:lang w:val="es-ES"/>
        </w:rPr>
      </w:pPr>
    </w:p>
    <w:p w:rsidR="00665411" w:rsidRDefault="00540CF3" w:rsidP="00D52BF2">
      <w:pPr>
        <w:spacing w:after="0" w:line="240" w:lineRule="auto"/>
        <w:jc w:val="both"/>
        <w:rPr>
          <w:rFonts w:ascii="Times New Roman" w:hAnsi="Times New Roman"/>
          <w:sz w:val="24"/>
          <w:szCs w:val="24"/>
          <w:lang w:val="es-ES"/>
        </w:rPr>
      </w:pPr>
      <w:r>
        <w:rPr>
          <w:rFonts w:ascii="Times New Roman" w:hAnsi="Times New Roman"/>
          <w:sz w:val="24"/>
          <w:szCs w:val="24"/>
          <w:lang w:val="es-ES"/>
        </w:rPr>
        <w:t>La cuestión es particularmente interesante, pues en el seno de la propia organización a la que peretenece el TEDH, el Consejo de Europa, la Asamblea Parlamentaria celebró en 2012 que en la Convención Internacional de Naciones Unidas para la protección de todas las personas contra las desapariciones forzadas, de 2006 se hubiera reconocido el derecho a la verdad como un nuevo derecho</w:t>
      </w:r>
      <w:r>
        <w:rPr>
          <w:rStyle w:val="Refdenotaalpie"/>
          <w:rFonts w:ascii="Times New Roman" w:hAnsi="Times New Roman"/>
          <w:sz w:val="24"/>
          <w:szCs w:val="24"/>
          <w:lang w:val="es-ES"/>
        </w:rPr>
        <w:footnoteReference w:id="6"/>
      </w:r>
      <w:r>
        <w:rPr>
          <w:rFonts w:ascii="Times New Roman" w:hAnsi="Times New Roman"/>
          <w:sz w:val="24"/>
          <w:szCs w:val="24"/>
          <w:lang w:val="es-ES"/>
        </w:rPr>
        <w:t>. En el seno de las Naciones Unidas, la consideración del derecho a la verdad como un derecho con autonomía propia ha sido defendida tanto por el Alto Comisionado para los Derechos Humanos</w:t>
      </w:r>
      <w:r w:rsidR="00530E68">
        <w:rPr>
          <w:rStyle w:val="Refdenotaalpie"/>
          <w:rFonts w:ascii="Times New Roman" w:hAnsi="Times New Roman"/>
          <w:sz w:val="24"/>
          <w:szCs w:val="24"/>
          <w:lang w:val="es-ES"/>
        </w:rPr>
        <w:footnoteReference w:id="7"/>
      </w:r>
      <w:r>
        <w:rPr>
          <w:rFonts w:ascii="Times New Roman" w:hAnsi="Times New Roman"/>
          <w:sz w:val="24"/>
          <w:szCs w:val="24"/>
          <w:lang w:val="es-ES"/>
        </w:rPr>
        <w:t xml:space="preserve"> como por el </w:t>
      </w:r>
      <w:r w:rsidR="00530E68" w:rsidRPr="00530E68">
        <w:rPr>
          <w:rFonts w:ascii="Times New Roman" w:hAnsi="Times New Roman"/>
          <w:sz w:val="24"/>
          <w:szCs w:val="24"/>
          <w:lang w:val="es-ES"/>
        </w:rPr>
        <w:t>Grupo de Trabajo sobre Desapariciones Forzadas</w:t>
      </w:r>
      <w:r w:rsidR="00530E68">
        <w:rPr>
          <w:rStyle w:val="Refdenotaalpie"/>
          <w:rFonts w:ascii="Times New Roman" w:hAnsi="Times New Roman"/>
          <w:sz w:val="24"/>
          <w:szCs w:val="24"/>
          <w:lang w:val="es-ES"/>
        </w:rPr>
        <w:footnoteReference w:id="8"/>
      </w:r>
      <w:r w:rsidR="00530E68">
        <w:rPr>
          <w:rFonts w:ascii="Times New Roman" w:hAnsi="Times New Roman"/>
          <w:sz w:val="24"/>
          <w:szCs w:val="24"/>
          <w:lang w:val="es-ES"/>
        </w:rPr>
        <w:t xml:space="preserve">. </w:t>
      </w:r>
      <w:r w:rsidR="00C07B7C">
        <w:rPr>
          <w:rFonts w:ascii="Times New Roman" w:hAnsi="Times New Roman"/>
          <w:sz w:val="24"/>
          <w:szCs w:val="24"/>
          <w:lang w:val="es-ES"/>
        </w:rPr>
        <w:t>Este es el tema sobre el que nos vamos a ocupar en las próximas p</w:t>
      </w:r>
      <w:r>
        <w:rPr>
          <w:rFonts w:ascii="Times New Roman" w:hAnsi="Times New Roman"/>
          <w:sz w:val="24"/>
          <w:szCs w:val="24"/>
          <w:lang w:val="es-ES"/>
        </w:rPr>
        <w:t>áginas.</w:t>
      </w:r>
    </w:p>
    <w:p w:rsidR="00D52BF2" w:rsidRDefault="00D52BF2" w:rsidP="00D52BF2">
      <w:pPr>
        <w:spacing w:after="0" w:line="240" w:lineRule="auto"/>
        <w:jc w:val="both"/>
        <w:rPr>
          <w:rFonts w:ascii="Times New Roman" w:hAnsi="Times New Roman"/>
          <w:sz w:val="24"/>
          <w:szCs w:val="24"/>
          <w:lang w:val="es-ES"/>
        </w:rPr>
      </w:pPr>
    </w:p>
    <w:p w:rsidR="007732E7" w:rsidRPr="00507C43" w:rsidRDefault="00533AA1" w:rsidP="00507C43">
      <w:pPr>
        <w:spacing w:after="0" w:line="240" w:lineRule="auto"/>
        <w:jc w:val="both"/>
        <w:rPr>
          <w:rFonts w:ascii="Times New Roman" w:hAnsi="Times New Roman"/>
          <w:color w:val="282425"/>
          <w:sz w:val="24"/>
          <w:szCs w:val="24"/>
          <w:lang w:val="es-ES"/>
        </w:rPr>
      </w:pPr>
      <w:r>
        <w:rPr>
          <w:rFonts w:ascii="Times New Roman" w:hAnsi="Times New Roman"/>
          <w:sz w:val="24"/>
          <w:szCs w:val="24"/>
          <w:lang w:val="es-ES"/>
        </w:rPr>
        <w:lastRenderedPageBreak/>
        <w:t>En un plano filosófico no cabe duda de que el ansia de conocer la verdad de las cosas es inherente a la condición humana.</w:t>
      </w:r>
      <w:r w:rsidR="00665411">
        <w:rPr>
          <w:rFonts w:ascii="Times New Roman" w:hAnsi="Times New Roman"/>
          <w:sz w:val="24"/>
          <w:szCs w:val="24"/>
          <w:lang w:val="es-ES"/>
        </w:rPr>
        <w:t xml:space="preserve"> Aristóteles comienza precisamente así su libro sobre la </w:t>
      </w:r>
      <w:r w:rsidR="00665411" w:rsidRPr="00665411">
        <w:rPr>
          <w:rFonts w:ascii="Times New Roman" w:hAnsi="Times New Roman"/>
          <w:i/>
          <w:sz w:val="24"/>
          <w:szCs w:val="24"/>
          <w:lang w:val="es-ES"/>
        </w:rPr>
        <w:t>Metafísica</w:t>
      </w:r>
      <w:r w:rsidR="00665411">
        <w:rPr>
          <w:rFonts w:ascii="Times New Roman" w:hAnsi="Times New Roman"/>
          <w:sz w:val="24"/>
          <w:szCs w:val="24"/>
          <w:lang w:val="es-ES"/>
        </w:rPr>
        <w:t>, partiendo de que “t</w:t>
      </w:r>
      <w:r w:rsidR="00146358" w:rsidRPr="00146358">
        <w:rPr>
          <w:rFonts w:ascii="Times New Roman" w:hAnsi="Times New Roman"/>
          <w:sz w:val="24"/>
          <w:szCs w:val="24"/>
          <w:lang w:val="es-ES"/>
        </w:rPr>
        <w:t>odos los hombres desean por naturaleza saber”</w:t>
      </w:r>
      <w:r w:rsidR="00665411" w:rsidRPr="00665411">
        <w:rPr>
          <w:rFonts w:ascii="Times New Roman" w:hAnsi="Times New Roman"/>
          <w:sz w:val="24"/>
          <w:szCs w:val="24"/>
          <w:vertAlign w:val="superscript"/>
          <w:lang w:val="es-ES"/>
        </w:rPr>
        <w:t xml:space="preserve"> </w:t>
      </w:r>
      <w:r w:rsidR="00665411" w:rsidRPr="00146358">
        <w:rPr>
          <w:rFonts w:ascii="Times New Roman" w:hAnsi="Times New Roman"/>
          <w:sz w:val="24"/>
          <w:szCs w:val="24"/>
          <w:vertAlign w:val="superscript"/>
          <w:lang w:val="es-ES"/>
        </w:rPr>
        <w:footnoteReference w:id="9"/>
      </w:r>
      <w:r w:rsidR="00665411">
        <w:rPr>
          <w:rFonts w:ascii="Times New Roman" w:hAnsi="Times New Roman"/>
          <w:sz w:val="24"/>
          <w:szCs w:val="24"/>
          <w:lang w:val="es-ES"/>
        </w:rPr>
        <w:t xml:space="preserve">. Que las víctimas de graves violaciones de derechos humanos </w:t>
      </w:r>
      <w:r w:rsidR="000C14D3">
        <w:rPr>
          <w:rFonts w:ascii="Times New Roman" w:hAnsi="Times New Roman"/>
          <w:sz w:val="24"/>
          <w:szCs w:val="24"/>
          <w:lang w:val="es-ES"/>
        </w:rPr>
        <w:t>reclamen</w:t>
      </w:r>
      <w:r w:rsidR="00D52BF2">
        <w:rPr>
          <w:rFonts w:ascii="Times New Roman" w:hAnsi="Times New Roman"/>
          <w:sz w:val="24"/>
          <w:szCs w:val="24"/>
          <w:lang w:val="es-ES"/>
        </w:rPr>
        <w:t xml:space="preserve"> ese derecho, el de que se esclarezcan los hechos y se conozca la verdad sobre lo sucedido, y en su caso, se depuren responsabilidades, no necesita de mayor justificación. Puesto que es </w:t>
      </w:r>
      <w:r w:rsidR="00D52BF2" w:rsidRPr="00D52BF2">
        <w:rPr>
          <w:rFonts w:ascii="Times New Roman" w:hAnsi="Times New Roman"/>
          <w:i/>
          <w:sz w:val="24"/>
          <w:szCs w:val="24"/>
          <w:lang w:val="es-ES"/>
        </w:rPr>
        <w:t xml:space="preserve">natural </w:t>
      </w:r>
      <w:r w:rsidR="00D52BF2">
        <w:rPr>
          <w:rFonts w:ascii="Times New Roman" w:hAnsi="Times New Roman"/>
          <w:sz w:val="24"/>
          <w:szCs w:val="24"/>
          <w:lang w:val="es-ES"/>
        </w:rPr>
        <w:t>que así lo exijan, el Estado tiene la obligación de darles respuesta. La cuestión que aquí vamos a abordar es si desde el punto de vista del Derecho, ese derecho a la verdad puede ser concebido como un derecho con entidad propia, esto es,</w:t>
      </w:r>
      <w:r w:rsidR="00531888">
        <w:rPr>
          <w:rFonts w:ascii="Times New Roman" w:hAnsi="Times New Roman"/>
          <w:sz w:val="24"/>
          <w:szCs w:val="24"/>
          <w:lang w:val="es-ES"/>
        </w:rPr>
        <w:t xml:space="preserve"> autónomo,</w:t>
      </w:r>
      <w:r w:rsidR="00D52BF2">
        <w:rPr>
          <w:rFonts w:ascii="Times New Roman" w:hAnsi="Times New Roman"/>
          <w:sz w:val="24"/>
          <w:szCs w:val="24"/>
          <w:lang w:val="es-ES"/>
        </w:rPr>
        <w:t xml:space="preserve"> distinto o distinguible de los ya reconocidos.</w:t>
      </w:r>
    </w:p>
    <w:p w:rsidR="00452744" w:rsidRPr="00507C43" w:rsidRDefault="00452744" w:rsidP="00507C43">
      <w:pPr>
        <w:spacing w:after="0" w:line="240" w:lineRule="auto"/>
        <w:jc w:val="both"/>
        <w:rPr>
          <w:rFonts w:ascii="Times New Roman" w:hAnsi="Times New Roman"/>
          <w:color w:val="282425"/>
          <w:sz w:val="24"/>
          <w:szCs w:val="24"/>
          <w:lang w:val="es-ES"/>
        </w:rPr>
      </w:pPr>
    </w:p>
    <w:p w:rsidR="00D17AFC" w:rsidRPr="00507C43" w:rsidRDefault="00DB2C8B" w:rsidP="00507C43">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t xml:space="preserve">El derecho a la verdad comienza a ser invocado y reconocido a mediados de los años setenta </w:t>
      </w:r>
      <w:r w:rsidR="00646092" w:rsidRPr="00507C43">
        <w:rPr>
          <w:rFonts w:ascii="Times New Roman" w:hAnsi="Times New Roman"/>
          <w:sz w:val="24"/>
          <w:szCs w:val="24"/>
          <w:lang w:val="es-ES"/>
        </w:rPr>
        <w:t>en casos de desapariciones forzadas de personas, delito cuyos elementos configuradores recordaremos en el epígrafe</w:t>
      </w:r>
      <w:r w:rsidR="00D17AFC" w:rsidRPr="00507C43">
        <w:rPr>
          <w:rFonts w:ascii="Times New Roman" w:hAnsi="Times New Roman"/>
          <w:sz w:val="24"/>
          <w:szCs w:val="24"/>
          <w:lang w:val="es-ES"/>
        </w:rPr>
        <w:t xml:space="preserve"> segundo de este capítulo</w:t>
      </w:r>
      <w:r w:rsidR="00646092" w:rsidRPr="00507C43">
        <w:rPr>
          <w:rFonts w:ascii="Times New Roman" w:hAnsi="Times New Roman"/>
          <w:sz w:val="24"/>
          <w:szCs w:val="24"/>
          <w:lang w:val="es-ES"/>
        </w:rPr>
        <w:t>. Las víctimas, concepto que comprende tanto a quienes padecieron directamente la acción criminal como a sus familiares y allegados</w:t>
      </w:r>
      <w:r w:rsidR="009D1719">
        <w:rPr>
          <w:rStyle w:val="Refdenotaalpie"/>
          <w:rFonts w:ascii="Times New Roman" w:hAnsi="Times New Roman"/>
          <w:sz w:val="24"/>
          <w:szCs w:val="24"/>
          <w:lang w:val="es-ES"/>
        </w:rPr>
        <w:footnoteReference w:id="10"/>
      </w:r>
      <w:r w:rsidR="00646092" w:rsidRPr="00507C43">
        <w:rPr>
          <w:rFonts w:ascii="Times New Roman" w:hAnsi="Times New Roman"/>
          <w:sz w:val="24"/>
          <w:szCs w:val="24"/>
          <w:lang w:val="es-ES"/>
        </w:rPr>
        <w:t xml:space="preserve">, </w:t>
      </w:r>
      <w:r w:rsidR="00014A82" w:rsidRPr="00507C43">
        <w:rPr>
          <w:rFonts w:ascii="Times New Roman" w:hAnsi="Times New Roman"/>
          <w:sz w:val="24"/>
          <w:szCs w:val="24"/>
          <w:lang w:val="es-ES"/>
        </w:rPr>
        <w:t>no solo tienen derecho a saber dónde esta el desaparecido, y qué sucedió con él, sino también a que se haga justicia, esto es, a que se encuentren, procesen y, en su caso, castiguen a los responsables, y a que se determinen las reparaciones que</w:t>
      </w:r>
      <w:r w:rsidR="00C1057B">
        <w:rPr>
          <w:rFonts w:ascii="Times New Roman" w:hAnsi="Times New Roman"/>
          <w:sz w:val="24"/>
          <w:szCs w:val="24"/>
          <w:lang w:val="es-ES"/>
        </w:rPr>
        <w:t xml:space="preserve"> haya lugar</w:t>
      </w:r>
      <w:r w:rsidR="008655D9" w:rsidRPr="00507C43">
        <w:rPr>
          <w:rStyle w:val="Refdenotaalpie"/>
          <w:rFonts w:ascii="Times New Roman" w:hAnsi="Times New Roman"/>
          <w:sz w:val="24"/>
          <w:szCs w:val="24"/>
          <w:lang w:val="es-ES"/>
        </w:rPr>
        <w:footnoteReference w:id="11"/>
      </w:r>
      <w:r w:rsidR="00C9251A" w:rsidRPr="00507C43">
        <w:rPr>
          <w:rFonts w:ascii="Times New Roman" w:hAnsi="Times New Roman"/>
          <w:sz w:val="24"/>
          <w:szCs w:val="24"/>
          <w:lang w:val="es-ES"/>
        </w:rPr>
        <w:t>.</w:t>
      </w:r>
    </w:p>
    <w:p w:rsidR="000F2674" w:rsidRPr="00507C43" w:rsidRDefault="000F2674" w:rsidP="00507C43">
      <w:pPr>
        <w:spacing w:after="0" w:line="240" w:lineRule="auto"/>
        <w:jc w:val="both"/>
        <w:rPr>
          <w:rFonts w:ascii="Times New Roman" w:hAnsi="Times New Roman"/>
          <w:sz w:val="24"/>
          <w:szCs w:val="24"/>
          <w:lang w:val="es-ES"/>
        </w:rPr>
      </w:pPr>
    </w:p>
    <w:p w:rsidR="00CD7E75" w:rsidRDefault="000F2674" w:rsidP="00595057">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t xml:space="preserve">Pero </w:t>
      </w:r>
      <w:r w:rsidR="00015721">
        <w:rPr>
          <w:rFonts w:ascii="Times New Roman" w:hAnsi="Times New Roman"/>
          <w:sz w:val="24"/>
          <w:szCs w:val="24"/>
          <w:lang w:val="es-ES"/>
        </w:rPr>
        <w:t>el derecho a la verdad no</w:t>
      </w:r>
      <w:r w:rsidR="00CC4C77">
        <w:rPr>
          <w:rFonts w:ascii="Times New Roman" w:hAnsi="Times New Roman"/>
          <w:sz w:val="24"/>
          <w:szCs w:val="24"/>
          <w:lang w:val="es-ES"/>
        </w:rPr>
        <w:t xml:space="preserve"> solo tiene esta dimensión individual que apela a las víctimas.</w:t>
      </w:r>
      <w:r w:rsidR="00015721">
        <w:rPr>
          <w:rFonts w:ascii="Times New Roman" w:hAnsi="Times New Roman"/>
          <w:sz w:val="24"/>
          <w:szCs w:val="24"/>
          <w:lang w:val="es-ES"/>
        </w:rPr>
        <w:t xml:space="preserve"> </w:t>
      </w:r>
      <w:r w:rsidR="000C5EB5" w:rsidRPr="00507C43">
        <w:rPr>
          <w:rFonts w:ascii="Times New Roman" w:eastAsia="Times New Roman" w:hAnsi="Times New Roman"/>
          <w:sz w:val="24"/>
          <w:szCs w:val="24"/>
          <w:lang w:val="es-ES"/>
        </w:rPr>
        <w:t xml:space="preserve">“Cada pueblo tiene el derecho inalienable a conocer la verdad acerca de acontecimientos sucedidos en el pasado en relación con la perpetración de crímenes aberrantes y de las circunstancias y los motivos que llevaron, mediante violaciones masivas o sistemáticas, a la </w:t>
      </w:r>
      <w:r w:rsidR="000C5EB5" w:rsidRPr="00507C43">
        <w:rPr>
          <w:rFonts w:ascii="Times New Roman" w:eastAsia="Times New Roman" w:hAnsi="Times New Roman"/>
          <w:sz w:val="24"/>
          <w:szCs w:val="24"/>
          <w:lang w:val="es-ES"/>
        </w:rPr>
        <w:lastRenderedPageBreak/>
        <w:t xml:space="preserve">perpetración de esos crímenes.  El ejercicio pleno y efectivo del derecho a la verdad proporciona una salvaguardia fundamental contra la repetición de tales violaciones”. Así reza el Principio 1 del </w:t>
      </w:r>
      <w:r w:rsidR="000C5EB5" w:rsidRPr="00507C43">
        <w:rPr>
          <w:rFonts w:ascii="Times New Roman" w:eastAsia="Times New Roman" w:hAnsi="Times New Roman"/>
          <w:i/>
          <w:sz w:val="24"/>
          <w:szCs w:val="24"/>
          <w:lang w:val="es-ES"/>
        </w:rPr>
        <w:t>Conjunto</w:t>
      </w:r>
      <w:r w:rsidR="000C5EB5" w:rsidRPr="00507C43">
        <w:rPr>
          <w:rStyle w:val="Refdenotaalpie"/>
          <w:rFonts w:ascii="Times New Roman" w:hAnsi="Times New Roman"/>
          <w:i/>
          <w:sz w:val="24"/>
          <w:szCs w:val="24"/>
          <w:lang w:val="es-ES"/>
        </w:rPr>
        <w:t xml:space="preserve"> </w:t>
      </w:r>
      <w:r w:rsidR="000C5EB5" w:rsidRPr="00507C43">
        <w:rPr>
          <w:rFonts w:ascii="Times New Roman" w:hAnsi="Times New Roman"/>
          <w:i/>
          <w:sz w:val="24"/>
          <w:szCs w:val="24"/>
          <w:lang w:val="es-ES"/>
        </w:rPr>
        <w:t>de</w:t>
      </w:r>
      <w:r w:rsidRPr="00507C43">
        <w:rPr>
          <w:rFonts w:ascii="Times New Roman" w:hAnsi="Times New Roman"/>
          <w:sz w:val="24"/>
          <w:szCs w:val="24"/>
          <w:lang w:val="es-ES"/>
        </w:rPr>
        <w:t xml:space="preserve"> </w:t>
      </w:r>
      <w:r w:rsidRPr="00507C43">
        <w:rPr>
          <w:rFonts w:ascii="Times New Roman" w:hAnsi="Times New Roman"/>
          <w:i/>
          <w:sz w:val="24"/>
          <w:szCs w:val="24"/>
          <w:lang w:val="es-ES"/>
        </w:rPr>
        <w:t>principios para la protección y la promoción de los derechos humanos mediante la lucha contra la impunidad</w:t>
      </w:r>
      <w:r w:rsidRPr="00507C43">
        <w:rPr>
          <w:rFonts w:ascii="Times New Roman" w:hAnsi="Times New Roman"/>
          <w:sz w:val="24"/>
          <w:szCs w:val="24"/>
          <w:lang w:val="es-ES"/>
        </w:rPr>
        <w:t xml:space="preserve"> (1997</w:t>
      </w:r>
      <w:r w:rsidR="000C5EB5" w:rsidRPr="00507C43">
        <w:rPr>
          <w:rFonts w:ascii="Times New Roman" w:hAnsi="Times New Roman"/>
          <w:sz w:val="24"/>
          <w:szCs w:val="24"/>
          <w:lang w:val="es-ES"/>
        </w:rPr>
        <w:t>)</w:t>
      </w:r>
      <w:r w:rsidR="000C5EB5" w:rsidRPr="00507C43">
        <w:rPr>
          <w:rStyle w:val="Refdenotaalpie"/>
          <w:rFonts w:ascii="Times New Roman" w:hAnsi="Times New Roman"/>
          <w:sz w:val="24"/>
          <w:szCs w:val="24"/>
          <w:lang w:val="es-ES"/>
        </w:rPr>
        <w:footnoteReference w:id="12"/>
      </w:r>
      <w:r w:rsidRPr="00507C43">
        <w:rPr>
          <w:rFonts w:ascii="Times New Roman" w:hAnsi="Times New Roman"/>
          <w:sz w:val="24"/>
          <w:szCs w:val="24"/>
          <w:lang w:val="es-ES"/>
        </w:rPr>
        <w:t>.</w:t>
      </w:r>
      <w:r w:rsidR="00CC4C77">
        <w:rPr>
          <w:rFonts w:ascii="Times New Roman" w:hAnsi="Times New Roman"/>
          <w:sz w:val="24"/>
          <w:szCs w:val="24"/>
          <w:lang w:val="es-ES"/>
        </w:rPr>
        <w:t xml:space="preserve"> Esta es la dimensión colectiva que del derecho a la verdad también se predica, que resulta fundamental para comprender la concepción del derecho a la verdad como garantía de no repetición. Se trata de la vieja idea de que el pueblo que no conoce su historia est</w:t>
      </w:r>
      <w:r w:rsidR="00D75E9D">
        <w:rPr>
          <w:rFonts w:ascii="Times New Roman" w:hAnsi="Times New Roman"/>
          <w:sz w:val="24"/>
          <w:szCs w:val="24"/>
          <w:lang w:val="es-ES"/>
        </w:rPr>
        <w:t>á condenado a repetirla, de que la verdad revelada sitúa a la sociedad en mejores condiciones para afrontar su futuro</w:t>
      </w:r>
      <w:r w:rsidR="00D75E9D" w:rsidRPr="00507C43">
        <w:rPr>
          <w:rFonts w:ascii="Times New Roman" w:hAnsi="Times New Roman"/>
          <w:sz w:val="24"/>
          <w:szCs w:val="24"/>
          <w:vertAlign w:val="superscript"/>
          <w:lang w:val="es-ES"/>
        </w:rPr>
        <w:footnoteReference w:id="13"/>
      </w:r>
      <w:r w:rsidR="00D75E9D">
        <w:rPr>
          <w:rFonts w:ascii="Times New Roman" w:hAnsi="Times New Roman"/>
          <w:sz w:val="24"/>
          <w:szCs w:val="24"/>
          <w:lang w:val="es-ES"/>
        </w:rPr>
        <w:t>.</w:t>
      </w:r>
      <w:r w:rsidR="00CC4C77">
        <w:rPr>
          <w:rFonts w:ascii="Times New Roman" w:hAnsi="Times New Roman"/>
          <w:sz w:val="24"/>
          <w:szCs w:val="24"/>
          <w:lang w:val="es-ES"/>
        </w:rPr>
        <w:t xml:space="preserve"> </w:t>
      </w:r>
    </w:p>
    <w:p w:rsidR="00CD7E75" w:rsidRDefault="00CD7E75" w:rsidP="00595057">
      <w:pPr>
        <w:spacing w:after="0" w:line="240" w:lineRule="auto"/>
        <w:jc w:val="both"/>
        <w:rPr>
          <w:rFonts w:ascii="Times New Roman" w:hAnsi="Times New Roman"/>
          <w:sz w:val="24"/>
          <w:szCs w:val="24"/>
          <w:lang w:val="es-ES"/>
        </w:rPr>
      </w:pPr>
    </w:p>
    <w:p w:rsidR="004746B9" w:rsidRDefault="00BC7484" w:rsidP="00595057">
      <w:pPr>
        <w:spacing w:after="0" w:line="240" w:lineRule="auto"/>
        <w:jc w:val="both"/>
        <w:rPr>
          <w:rFonts w:ascii="Times New Roman" w:hAnsi="Times New Roman"/>
          <w:sz w:val="24"/>
          <w:szCs w:val="24"/>
          <w:lang w:val="es-ES"/>
        </w:rPr>
      </w:pPr>
      <w:r>
        <w:rPr>
          <w:rFonts w:ascii="Times New Roman" w:hAnsi="Times New Roman"/>
          <w:sz w:val="24"/>
          <w:szCs w:val="24"/>
          <w:lang w:val="es-ES"/>
        </w:rPr>
        <w:t xml:space="preserve">Verdad, justicia y reparación como garantía de no repetición son elementos de un todo inescindible y necesario para </w:t>
      </w:r>
      <w:r w:rsidRPr="00507C43">
        <w:rPr>
          <w:rFonts w:ascii="Times New Roman" w:hAnsi="Times New Roman"/>
          <w:sz w:val="24"/>
          <w:szCs w:val="24"/>
          <w:lang w:val="es-ES"/>
        </w:rPr>
        <w:t xml:space="preserve">luchar contra la impunidad de </w:t>
      </w:r>
      <w:r>
        <w:rPr>
          <w:rFonts w:ascii="Times New Roman" w:hAnsi="Times New Roman"/>
          <w:sz w:val="24"/>
          <w:szCs w:val="24"/>
          <w:lang w:val="es-ES"/>
        </w:rPr>
        <w:t xml:space="preserve">las graves violaciones de los derechos humanos y fortalecer la confianza de la sociedad </w:t>
      </w:r>
      <w:r w:rsidRPr="00507C43">
        <w:rPr>
          <w:rFonts w:ascii="Times New Roman" w:hAnsi="Times New Roman"/>
          <w:sz w:val="24"/>
          <w:szCs w:val="24"/>
          <w:lang w:val="es-ES"/>
        </w:rPr>
        <w:t>en el buen funcionamiento del Estado de Derecho.</w:t>
      </w:r>
      <w:r w:rsidR="00FD7802">
        <w:rPr>
          <w:rFonts w:ascii="Times New Roman" w:hAnsi="Times New Roman"/>
          <w:sz w:val="24"/>
          <w:szCs w:val="24"/>
          <w:lang w:val="es-ES"/>
        </w:rPr>
        <w:t xml:space="preserve"> No son</w:t>
      </w:r>
      <w:r w:rsidR="00374A9D">
        <w:rPr>
          <w:rFonts w:ascii="Times New Roman" w:hAnsi="Times New Roman"/>
          <w:sz w:val="24"/>
          <w:szCs w:val="24"/>
          <w:lang w:val="es-ES"/>
        </w:rPr>
        <w:t xml:space="preserve"> solo</w:t>
      </w:r>
      <w:r w:rsidR="00FD7802">
        <w:rPr>
          <w:rFonts w:ascii="Times New Roman" w:hAnsi="Times New Roman"/>
          <w:sz w:val="24"/>
          <w:szCs w:val="24"/>
          <w:lang w:val="es-ES"/>
        </w:rPr>
        <w:t xml:space="preserve"> tres derechos que vayan de la mano</w:t>
      </w:r>
      <w:r w:rsidR="00374A9D">
        <w:rPr>
          <w:rFonts w:ascii="Times New Roman" w:hAnsi="Times New Roman"/>
          <w:sz w:val="24"/>
          <w:szCs w:val="24"/>
          <w:lang w:val="es-ES"/>
        </w:rPr>
        <w:t xml:space="preserve">. </w:t>
      </w:r>
      <w:r w:rsidR="004746B9">
        <w:rPr>
          <w:rFonts w:ascii="Times New Roman" w:hAnsi="Times New Roman"/>
          <w:sz w:val="24"/>
          <w:szCs w:val="24"/>
          <w:lang w:val="es-ES"/>
        </w:rPr>
        <w:t>El derecho a la verdad como garantía de no repetición es fruto de una idea, de una estrategia jurídica, que para llevarla a buen término exige necesariamente que se esclarezcan los hechos, que se haga justicia y que el daño, en la medida de lo posible, sea reparado. Son tres herramientas que no pueden funcionar por separado, de ahí la complejidad que de este derecho se predica.</w:t>
      </w:r>
      <w:r w:rsidR="00CF7F55">
        <w:rPr>
          <w:rFonts w:ascii="Times New Roman" w:hAnsi="Times New Roman"/>
          <w:sz w:val="24"/>
          <w:szCs w:val="24"/>
          <w:lang w:val="es-ES"/>
        </w:rPr>
        <w:t xml:space="preserve"> A los elementos configuradores de este derecho didicaremos nuestro epígrafe tercero. </w:t>
      </w:r>
    </w:p>
    <w:p w:rsidR="00595057" w:rsidRDefault="00595057" w:rsidP="00595057">
      <w:pPr>
        <w:spacing w:after="0" w:line="240" w:lineRule="auto"/>
        <w:jc w:val="both"/>
        <w:rPr>
          <w:rFonts w:ascii="Times New Roman" w:hAnsi="Times New Roman"/>
          <w:sz w:val="24"/>
          <w:szCs w:val="24"/>
          <w:lang w:val="es-ES"/>
        </w:rPr>
      </w:pPr>
    </w:p>
    <w:p w:rsidR="009A7501" w:rsidRPr="00507C43" w:rsidRDefault="00506779" w:rsidP="00595057">
      <w:pPr>
        <w:spacing w:after="0" w:line="240" w:lineRule="auto"/>
        <w:jc w:val="both"/>
        <w:rPr>
          <w:rFonts w:ascii="Times New Roman" w:hAnsi="Times New Roman"/>
          <w:sz w:val="24"/>
          <w:szCs w:val="24"/>
          <w:lang w:val="es-ES"/>
        </w:rPr>
      </w:pPr>
      <w:r>
        <w:rPr>
          <w:rFonts w:ascii="Times New Roman" w:hAnsi="Times New Roman"/>
          <w:sz w:val="24"/>
          <w:szCs w:val="24"/>
          <w:lang w:val="es-ES"/>
        </w:rPr>
        <w:t xml:space="preserve">En </w:t>
      </w:r>
      <w:r w:rsidR="009210F0">
        <w:rPr>
          <w:rFonts w:ascii="Times New Roman" w:hAnsi="Times New Roman"/>
          <w:sz w:val="24"/>
          <w:szCs w:val="24"/>
          <w:lang w:val="es-ES"/>
        </w:rPr>
        <w:t xml:space="preserve">el </w:t>
      </w:r>
      <w:r>
        <w:rPr>
          <w:rFonts w:ascii="Times New Roman" w:hAnsi="Times New Roman"/>
          <w:sz w:val="24"/>
          <w:szCs w:val="24"/>
          <w:lang w:val="es-ES"/>
        </w:rPr>
        <w:t>último</w:t>
      </w:r>
      <w:r w:rsidR="009210F0">
        <w:rPr>
          <w:rFonts w:ascii="Times New Roman" w:hAnsi="Times New Roman"/>
          <w:sz w:val="24"/>
          <w:szCs w:val="24"/>
          <w:lang w:val="es-ES"/>
        </w:rPr>
        <w:t xml:space="preserve"> epígrafe</w:t>
      </w:r>
      <w:r>
        <w:rPr>
          <w:rFonts w:ascii="Times New Roman" w:hAnsi="Times New Roman"/>
          <w:sz w:val="24"/>
          <w:szCs w:val="24"/>
          <w:lang w:val="es-ES"/>
        </w:rPr>
        <w:t xml:space="preserve"> de ese capítulo</w:t>
      </w:r>
      <w:r w:rsidR="00547C03" w:rsidRPr="00507C43">
        <w:rPr>
          <w:rFonts w:ascii="Times New Roman" w:hAnsi="Times New Roman"/>
          <w:sz w:val="24"/>
          <w:szCs w:val="24"/>
          <w:lang w:val="es-ES"/>
        </w:rPr>
        <w:t xml:space="preserve"> </w:t>
      </w:r>
      <w:r>
        <w:rPr>
          <w:rFonts w:ascii="Times New Roman" w:hAnsi="Times New Roman"/>
          <w:sz w:val="24"/>
          <w:szCs w:val="24"/>
          <w:lang w:val="es-ES"/>
        </w:rPr>
        <w:t>abordaremos</w:t>
      </w:r>
      <w:r w:rsidR="00547C03" w:rsidRPr="00507C43">
        <w:rPr>
          <w:rFonts w:ascii="Times New Roman" w:hAnsi="Times New Roman"/>
          <w:sz w:val="24"/>
          <w:szCs w:val="24"/>
          <w:lang w:val="es-ES"/>
        </w:rPr>
        <w:t xml:space="preserve"> </w:t>
      </w:r>
      <w:r>
        <w:rPr>
          <w:rFonts w:ascii="Times New Roman" w:hAnsi="Times New Roman"/>
          <w:sz w:val="24"/>
          <w:szCs w:val="24"/>
          <w:lang w:val="es-ES"/>
        </w:rPr>
        <w:t xml:space="preserve">las </w:t>
      </w:r>
      <w:r w:rsidR="00547C03" w:rsidRPr="00507C43">
        <w:rPr>
          <w:rFonts w:ascii="Times New Roman" w:hAnsi="Times New Roman"/>
          <w:sz w:val="24"/>
          <w:szCs w:val="24"/>
          <w:lang w:val="es-ES"/>
        </w:rPr>
        <w:t>dos cuestiones que a nuestro juicio</w:t>
      </w:r>
      <w:r w:rsidR="009210F0">
        <w:rPr>
          <w:rFonts w:ascii="Times New Roman" w:hAnsi="Times New Roman"/>
          <w:sz w:val="24"/>
          <w:szCs w:val="24"/>
          <w:lang w:val="es-ES"/>
        </w:rPr>
        <w:t xml:space="preserve"> no están del todo cerradas en la jurisprudencia</w:t>
      </w:r>
      <w:r w:rsidR="00AC68D6">
        <w:rPr>
          <w:rFonts w:ascii="Times New Roman" w:hAnsi="Times New Roman"/>
          <w:sz w:val="24"/>
          <w:szCs w:val="24"/>
          <w:lang w:val="es-ES"/>
        </w:rPr>
        <w:t xml:space="preserve"> y que por ello mere</w:t>
      </w:r>
      <w:r w:rsidR="009210F0">
        <w:rPr>
          <w:rFonts w:ascii="Times New Roman" w:hAnsi="Times New Roman"/>
          <w:sz w:val="24"/>
          <w:szCs w:val="24"/>
          <w:lang w:val="es-ES"/>
        </w:rPr>
        <w:t>ce</w:t>
      </w:r>
      <w:r w:rsidR="00AC68D6">
        <w:rPr>
          <w:rFonts w:ascii="Times New Roman" w:hAnsi="Times New Roman"/>
          <w:sz w:val="24"/>
          <w:szCs w:val="24"/>
          <w:lang w:val="es-ES"/>
        </w:rPr>
        <w:t>n una mayor atención por parte de la doctrina científica.</w:t>
      </w:r>
      <w:r w:rsidR="00547C03" w:rsidRPr="00507C43">
        <w:rPr>
          <w:rFonts w:ascii="Times New Roman" w:hAnsi="Times New Roman"/>
          <w:sz w:val="24"/>
          <w:szCs w:val="24"/>
          <w:lang w:val="es-ES"/>
        </w:rPr>
        <w:t xml:space="preserve"> </w:t>
      </w:r>
      <w:r w:rsidR="009210F0">
        <w:rPr>
          <w:rFonts w:ascii="Times New Roman" w:hAnsi="Times New Roman"/>
          <w:sz w:val="24"/>
          <w:szCs w:val="24"/>
          <w:lang w:val="es-ES"/>
        </w:rPr>
        <w:t xml:space="preserve">Ambas girán en torno a la autonomía del derecho a la verdad. </w:t>
      </w:r>
      <w:r w:rsidR="00547C03" w:rsidRPr="00507C43">
        <w:rPr>
          <w:rFonts w:ascii="Times New Roman" w:hAnsi="Times New Roman"/>
          <w:sz w:val="24"/>
          <w:szCs w:val="24"/>
          <w:lang w:val="es-ES"/>
        </w:rPr>
        <w:t>La primera es la relativa a la consideración del derecho a la verdad como un derecho autónomo</w:t>
      </w:r>
      <w:r w:rsidR="00C45665">
        <w:rPr>
          <w:rFonts w:ascii="Times New Roman" w:hAnsi="Times New Roman"/>
          <w:sz w:val="24"/>
          <w:szCs w:val="24"/>
          <w:lang w:val="es-ES"/>
        </w:rPr>
        <w:t>, que la Corte Interamericana reconoce a partir del voto concurrente que</w:t>
      </w:r>
      <w:r w:rsidR="007D6A35">
        <w:rPr>
          <w:rFonts w:ascii="Times New Roman" w:hAnsi="Times New Roman"/>
          <w:sz w:val="24"/>
          <w:szCs w:val="24"/>
          <w:lang w:val="es-ES"/>
        </w:rPr>
        <w:t xml:space="preserve"> en 2014</w:t>
      </w:r>
      <w:r w:rsidR="00C45665">
        <w:rPr>
          <w:rFonts w:ascii="Times New Roman" w:hAnsi="Times New Roman"/>
          <w:sz w:val="24"/>
          <w:szCs w:val="24"/>
          <w:lang w:val="es-ES"/>
        </w:rPr>
        <w:t xml:space="preserve"> el juez </w:t>
      </w:r>
      <w:r w:rsidR="00D025F8" w:rsidRPr="00507C43">
        <w:rPr>
          <w:rFonts w:ascii="Times New Roman" w:hAnsi="Times New Roman"/>
          <w:sz w:val="24"/>
          <w:szCs w:val="24"/>
          <w:lang w:val="es-ES"/>
        </w:rPr>
        <w:t xml:space="preserve">Eduardo Ferrer Mac-Gregor Poissot </w:t>
      </w:r>
      <w:r w:rsidR="00C45665">
        <w:rPr>
          <w:rFonts w:ascii="Times New Roman" w:hAnsi="Times New Roman"/>
          <w:sz w:val="24"/>
          <w:szCs w:val="24"/>
          <w:lang w:val="es-ES"/>
        </w:rPr>
        <w:t>redact</w:t>
      </w:r>
      <w:r w:rsidR="007D6A35">
        <w:rPr>
          <w:rFonts w:ascii="Times New Roman" w:hAnsi="Times New Roman"/>
          <w:sz w:val="24"/>
          <w:szCs w:val="24"/>
          <w:lang w:val="es-ES"/>
        </w:rPr>
        <w:t>a</w:t>
      </w:r>
      <w:r w:rsidR="00C45665">
        <w:rPr>
          <w:rFonts w:ascii="Times New Roman" w:hAnsi="Times New Roman"/>
          <w:sz w:val="24"/>
          <w:szCs w:val="24"/>
          <w:lang w:val="es-ES"/>
        </w:rPr>
        <w:t xml:space="preserve"> en la sentencia </w:t>
      </w:r>
      <w:r w:rsidR="00D025F8" w:rsidRPr="00507C43">
        <w:rPr>
          <w:rFonts w:ascii="Times New Roman" w:eastAsia="Times New Roman" w:hAnsi="Times New Roman"/>
          <w:i/>
          <w:sz w:val="24"/>
          <w:szCs w:val="24"/>
          <w:lang w:val="es-ES"/>
        </w:rPr>
        <w:t>Rodríguez Vera y otros (desaparecidos del Palacio de Justicia) Vs. Colombia</w:t>
      </w:r>
      <w:r w:rsidR="009A7501" w:rsidRPr="00507C43">
        <w:rPr>
          <w:rFonts w:ascii="Times New Roman" w:hAnsi="Times New Roman"/>
          <w:sz w:val="24"/>
          <w:szCs w:val="24"/>
          <w:lang w:val="es-ES"/>
        </w:rPr>
        <w:t xml:space="preserve"> (2014)</w:t>
      </w:r>
      <w:r w:rsidR="00D025F8" w:rsidRPr="00507C43">
        <w:rPr>
          <w:rFonts w:ascii="Times New Roman" w:eastAsia="Times New Roman" w:hAnsi="Times New Roman"/>
          <w:sz w:val="24"/>
          <w:szCs w:val="24"/>
          <w:vertAlign w:val="superscript"/>
          <w:lang w:val="es-ES"/>
        </w:rPr>
        <w:footnoteReference w:id="14"/>
      </w:r>
      <w:r w:rsidR="009210F0">
        <w:rPr>
          <w:rFonts w:ascii="Times New Roman" w:eastAsia="Times New Roman" w:hAnsi="Times New Roman"/>
          <w:sz w:val="24"/>
          <w:szCs w:val="24"/>
          <w:lang w:val="es-ES" w:eastAsia="es-ES_tradnl"/>
        </w:rPr>
        <w:t>, y que el TEDH</w:t>
      </w:r>
      <w:r w:rsidR="009210F0">
        <w:rPr>
          <w:rFonts w:ascii="Times New Roman" w:hAnsi="Times New Roman"/>
          <w:sz w:val="24"/>
          <w:szCs w:val="24"/>
          <w:lang w:val="es-ES"/>
        </w:rPr>
        <w:t xml:space="preserve"> hasta la fecha no comparte, al menos cuando el derecho a la verdad se predica en el marco del derecho de acceso a la justicia  </w:t>
      </w:r>
      <w:r w:rsidR="009210F0">
        <w:rPr>
          <w:rFonts w:ascii="Times New Roman" w:hAnsi="Times New Roman"/>
          <w:sz w:val="24"/>
          <w:szCs w:val="24"/>
          <w:lang w:val="es-ES"/>
        </w:rPr>
        <w:lastRenderedPageBreak/>
        <w:t xml:space="preserve">o del derecho a una investigación efectiva, </w:t>
      </w:r>
      <w:r w:rsidR="009A7501" w:rsidRPr="00507C43">
        <w:rPr>
          <w:rFonts w:ascii="Times New Roman" w:hAnsi="Times New Roman"/>
          <w:sz w:val="24"/>
          <w:szCs w:val="24"/>
          <w:lang w:val="es-ES"/>
        </w:rPr>
        <w:t>tal y como lo ve</w:t>
      </w:r>
      <w:r w:rsidR="000E0A1E" w:rsidRPr="00507C43">
        <w:rPr>
          <w:rFonts w:ascii="Times New Roman" w:hAnsi="Times New Roman"/>
          <w:sz w:val="24"/>
          <w:szCs w:val="24"/>
          <w:lang w:val="es-ES"/>
        </w:rPr>
        <w:t xml:space="preserve">nía haciendo la </w:t>
      </w:r>
      <w:r w:rsidR="00880BA0" w:rsidRPr="00880BA0">
        <w:rPr>
          <w:rFonts w:ascii="Times New Roman" w:hAnsi="Times New Roman"/>
          <w:sz w:val="24"/>
          <w:szCs w:val="24"/>
          <w:lang w:val="es-ES"/>
        </w:rPr>
        <w:t xml:space="preserve">Corte Interamericana </w:t>
      </w:r>
      <w:r w:rsidR="000E0A1E" w:rsidRPr="00507C43">
        <w:rPr>
          <w:rFonts w:ascii="Times New Roman" w:hAnsi="Times New Roman"/>
          <w:sz w:val="24"/>
          <w:szCs w:val="24"/>
          <w:lang w:val="es-ES"/>
        </w:rPr>
        <w:t>hasta</w:t>
      </w:r>
      <w:r w:rsidR="007D6A35">
        <w:rPr>
          <w:rFonts w:ascii="Times New Roman" w:hAnsi="Times New Roman"/>
          <w:sz w:val="24"/>
          <w:szCs w:val="24"/>
          <w:lang w:val="es-ES"/>
        </w:rPr>
        <w:t xml:space="preserve"> la citada sentencia de</w:t>
      </w:r>
      <w:r w:rsidR="000E0A1E" w:rsidRPr="00507C43">
        <w:rPr>
          <w:rFonts w:ascii="Times New Roman" w:hAnsi="Times New Roman"/>
          <w:sz w:val="24"/>
          <w:szCs w:val="24"/>
          <w:lang w:val="es-ES"/>
        </w:rPr>
        <w:t xml:space="preserve"> 2014</w:t>
      </w:r>
      <w:r w:rsidR="00F02A88" w:rsidRPr="00507C43">
        <w:rPr>
          <w:rStyle w:val="Refdenotaalpie"/>
          <w:rFonts w:ascii="Times New Roman" w:hAnsi="Times New Roman"/>
          <w:sz w:val="24"/>
          <w:szCs w:val="24"/>
          <w:lang w:val="es-ES"/>
        </w:rPr>
        <w:footnoteReference w:id="15"/>
      </w:r>
      <w:r w:rsidR="009A7501" w:rsidRPr="00507C43">
        <w:rPr>
          <w:rFonts w:ascii="Times New Roman" w:hAnsi="Times New Roman"/>
          <w:sz w:val="24"/>
          <w:szCs w:val="24"/>
          <w:lang w:val="es-ES"/>
        </w:rPr>
        <w:t xml:space="preserve">. </w:t>
      </w:r>
    </w:p>
    <w:p w:rsidR="00547C03" w:rsidRPr="00507C43" w:rsidRDefault="00547C03" w:rsidP="00507C43">
      <w:pPr>
        <w:spacing w:after="0" w:line="240" w:lineRule="auto"/>
        <w:jc w:val="both"/>
        <w:rPr>
          <w:rFonts w:ascii="Times New Roman" w:hAnsi="Times New Roman"/>
          <w:sz w:val="24"/>
          <w:szCs w:val="24"/>
          <w:lang w:val="es-ES"/>
        </w:rPr>
      </w:pPr>
    </w:p>
    <w:p w:rsidR="006E196F" w:rsidRPr="00507C43" w:rsidRDefault="000E0A1E" w:rsidP="00507C43">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t>La otra cuestión</w:t>
      </w:r>
      <w:r w:rsidR="006E196F" w:rsidRPr="00507C43">
        <w:rPr>
          <w:rFonts w:ascii="Times New Roman" w:hAnsi="Times New Roman"/>
          <w:sz w:val="24"/>
          <w:szCs w:val="24"/>
          <w:lang w:val="es-ES"/>
        </w:rPr>
        <w:t xml:space="preserve"> </w:t>
      </w:r>
      <w:r w:rsidR="00C05883" w:rsidRPr="00507C43">
        <w:rPr>
          <w:rFonts w:ascii="Times New Roman" w:hAnsi="Times New Roman"/>
          <w:sz w:val="24"/>
          <w:szCs w:val="24"/>
          <w:lang w:val="es-ES"/>
        </w:rPr>
        <w:t>abierta</w:t>
      </w:r>
      <w:r w:rsidRPr="00507C43">
        <w:rPr>
          <w:rFonts w:ascii="Times New Roman" w:hAnsi="Times New Roman"/>
          <w:sz w:val="24"/>
          <w:szCs w:val="24"/>
          <w:lang w:val="es-ES"/>
        </w:rPr>
        <w:t xml:space="preserve"> es </w:t>
      </w:r>
      <w:r w:rsidR="00C05883" w:rsidRPr="00507C43">
        <w:rPr>
          <w:rFonts w:ascii="Times New Roman" w:hAnsi="Times New Roman"/>
          <w:sz w:val="24"/>
          <w:szCs w:val="24"/>
          <w:lang w:val="es-ES"/>
        </w:rPr>
        <w:t>la relativa a si el derecho a la libertad de información</w:t>
      </w:r>
      <w:r w:rsidR="00F1364C">
        <w:rPr>
          <w:rFonts w:ascii="Times New Roman" w:hAnsi="Times New Roman"/>
          <w:sz w:val="24"/>
          <w:szCs w:val="24"/>
          <w:lang w:val="es-ES"/>
        </w:rPr>
        <w:t xml:space="preserve"> </w:t>
      </w:r>
      <w:r w:rsidR="00C05883" w:rsidRPr="00507C43">
        <w:rPr>
          <w:rFonts w:ascii="Times New Roman" w:hAnsi="Times New Roman"/>
          <w:sz w:val="24"/>
          <w:szCs w:val="24"/>
          <w:lang w:val="es-ES"/>
        </w:rPr>
        <w:t xml:space="preserve">se deriva la obligación que tiene el Estado de facilitar </w:t>
      </w:r>
      <w:r w:rsidR="006E196F" w:rsidRPr="00507C43">
        <w:rPr>
          <w:rFonts w:ascii="Times New Roman" w:hAnsi="Times New Roman"/>
          <w:sz w:val="24"/>
          <w:szCs w:val="24"/>
          <w:lang w:val="es-ES"/>
        </w:rPr>
        <w:t xml:space="preserve">el acceso a los archivos, registros y cualquier tipo de documentación que permita a la sociedad en general conocer las graves violaciones de derechos humanos que en el pasado pudieran haberse perpetrado. La </w:t>
      </w:r>
      <w:r w:rsidR="00880BA0" w:rsidRPr="00880BA0">
        <w:rPr>
          <w:rFonts w:ascii="Times New Roman" w:hAnsi="Times New Roman"/>
          <w:sz w:val="24"/>
          <w:szCs w:val="24"/>
          <w:lang w:val="es-ES"/>
        </w:rPr>
        <w:t xml:space="preserve">Corte Interamericana </w:t>
      </w:r>
      <w:r w:rsidR="006E196F" w:rsidRPr="00507C43">
        <w:rPr>
          <w:rFonts w:ascii="Times New Roman" w:hAnsi="Times New Roman"/>
          <w:sz w:val="24"/>
          <w:szCs w:val="24"/>
          <w:lang w:val="es-ES"/>
        </w:rPr>
        <w:t xml:space="preserve">así lo </w:t>
      </w:r>
      <w:r w:rsidR="00993C5D" w:rsidRPr="00507C43">
        <w:rPr>
          <w:rFonts w:ascii="Times New Roman" w:hAnsi="Times New Roman"/>
          <w:sz w:val="24"/>
          <w:szCs w:val="24"/>
          <w:lang w:val="es-ES"/>
        </w:rPr>
        <w:t>entiende</w:t>
      </w:r>
      <w:r w:rsidR="006E196F" w:rsidRPr="00507C43">
        <w:rPr>
          <w:rFonts w:ascii="Times New Roman" w:hAnsi="Times New Roman"/>
          <w:sz w:val="24"/>
          <w:szCs w:val="24"/>
          <w:lang w:val="es-ES"/>
        </w:rPr>
        <w:t>, pero el TEDH aún no ha tenido la oportunidad de posicionarse al respecto, aunque hay una interesante sentencia de</w:t>
      </w:r>
      <w:r w:rsidR="00993C5D" w:rsidRPr="00507C43">
        <w:rPr>
          <w:rFonts w:ascii="Times New Roman" w:hAnsi="Times New Roman"/>
          <w:sz w:val="24"/>
          <w:szCs w:val="24"/>
          <w:lang w:val="es-ES"/>
        </w:rPr>
        <w:t xml:space="preserve"> 2016, de la Gran Sala (</w:t>
      </w:r>
      <w:r w:rsidR="006E196F" w:rsidRPr="00507C43">
        <w:rPr>
          <w:rFonts w:ascii="Times New Roman" w:hAnsi="Times New Roman"/>
          <w:i/>
          <w:sz w:val="24"/>
          <w:szCs w:val="24"/>
          <w:lang w:val="es-ES"/>
        </w:rPr>
        <w:t>Magyar Helsinki Bizottság contra Hungría</w:t>
      </w:r>
      <w:r w:rsidR="00993C5D" w:rsidRPr="00507C43">
        <w:rPr>
          <w:rFonts w:ascii="Times New Roman" w:hAnsi="Times New Roman"/>
          <w:sz w:val="24"/>
          <w:szCs w:val="24"/>
          <w:lang w:val="es-ES"/>
        </w:rPr>
        <w:t>)</w:t>
      </w:r>
      <w:r w:rsidR="006E196F" w:rsidRPr="00507C43">
        <w:rPr>
          <w:rFonts w:ascii="Times New Roman" w:hAnsi="Times New Roman"/>
          <w:sz w:val="24"/>
          <w:szCs w:val="24"/>
          <w:lang w:val="es-ES"/>
        </w:rPr>
        <w:t xml:space="preserve"> que</w:t>
      </w:r>
      <w:r w:rsidR="000F26E1" w:rsidRPr="00507C43">
        <w:rPr>
          <w:rFonts w:ascii="Times New Roman" w:hAnsi="Times New Roman"/>
          <w:sz w:val="24"/>
          <w:szCs w:val="24"/>
          <w:lang w:val="es-ES"/>
        </w:rPr>
        <w:t xml:space="preserve"> </w:t>
      </w:r>
      <w:r w:rsidR="006E196F" w:rsidRPr="00507C43">
        <w:rPr>
          <w:rFonts w:ascii="Times New Roman" w:hAnsi="Times New Roman"/>
          <w:sz w:val="24"/>
          <w:szCs w:val="24"/>
          <w:lang w:val="es-ES"/>
        </w:rPr>
        <w:t>apunta en ese sentido</w:t>
      </w:r>
      <w:r w:rsidR="007C5660" w:rsidRPr="00507C43">
        <w:rPr>
          <w:rStyle w:val="Refdenotaalpie"/>
          <w:rFonts w:ascii="Times New Roman" w:hAnsi="Times New Roman"/>
          <w:sz w:val="24"/>
          <w:szCs w:val="24"/>
          <w:lang w:val="es-ES"/>
        </w:rPr>
        <w:footnoteReference w:id="16"/>
      </w:r>
      <w:r w:rsidR="007C5660" w:rsidRPr="00507C43">
        <w:rPr>
          <w:rFonts w:ascii="Times New Roman" w:hAnsi="Times New Roman"/>
          <w:sz w:val="24"/>
          <w:szCs w:val="24"/>
          <w:lang w:val="es-ES"/>
        </w:rPr>
        <w:t>.</w:t>
      </w:r>
    </w:p>
    <w:p w:rsidR="006E196F" w:rsidRPr="00507C43" w:rsidRDefault="006E196F" w:rsidP="00507C43">
      <w:pPr>
        <w:spacing w:after="0" w:line="240" w:lineRule="auto"/>
        <w:jc w:val="both"/>
        <w:rPr>
          <w:rFonts w:ascii="Times New Roman" w:hAnsi="Times New Roman"/>
          <w:sz w:val="24"/>
          <w:szCs w:val="24"/>
          <w:lang w:val="es-ES"/>
        </w:rPr>
      </w:pPr>
    </w:p>
    <w:p w:rsidR="00D17AFC" w:rsidRPr="00507C43" w:rsidRDefault="00452744" w:rsidP="00507C43">
      <w:pPr>
        <w:spacing w:after="0" w:line="240" w:lineRule="auto"/>
        <w:jc w:val="both"/>
        <w:rPr>
          <w:rFonts w:ascii="Times New Roman" w:hAnsi="Times New Roman"/>
          <w:b/>
          <w:sz w:val="24"/>
          <w:szCs w:val="24"/>
          <w:lang w:val="es-ES"/>
        </w:rPr>
      </w:pPr>
      <w:r w:rsidRPr="00507C43">
        <w:rPr>
          <w:rFonts w:ascii="Times New Roman" w:hAnsi="Times New Roman"/>
          <w:b/>
          <w:sz w:val="24"/>
          <w:szCs w:val="24"/>
          <w:lang w:val="es-ES"/>
        </w:rPr>
        <w:t xml:space="preserve">II. </w:t>
      </w:r>
      <w:r w:rsidR="00DD5D9F">
        <w:rPr>
          <w:rFonts w:ascii="Times New Roman" w:hAnsi="Times New Roman"/>
          <w:b/>
          <w:sz w:val="24"/>
          <w:szCs w:val="24"/>
          <w:lang w:val="es-ES"/>
        </w:rPr>
        <w:t>CONTEXTO: DESAPARICIONES FORZADAS</w:t>
      </w:r>
    </w:p>
    <w:p w:rsidR="00DD5D9F" w:rsidRDefault="00DD5D9F" w:rsidP="00507C43">
      <w:pPr>
        <w:spacing w:line="240" w:lineRule="auto"/>
        <w:jc w:val="both"/>
        <w:rPr>
          <w:rFonts w:ascii="Times New Roman" w:eastAsia="Times New Roman" w:hAnsi="Times New Roman"/>
          <w:sz w:val="24"/>
          <w:szCs w:val="24"/>
          <w:lang w:val="es-ES"/>
        </w:rPr>
      </w:pPr>
    </w:p>
    <w:p w:rsidR="006A0349" w:rsidRPr="00507C43" w:rsidRDefault="006A0349" w:rsidP="00507C43">
      <w:pPr>
        <w:spacing w:line="240" w:lineRule="auto"/>
        <w:jc w:val="both"/>
        <w:rPr>
          <w:rFonts w:ascii="Times New Roman" w:hAnsi="Times New Roman"/>
          <w:sz w:val="24"/>
          <w:szCs w:val="24"/>
          <w:lang w:val="es-ES"/>
        </w:rPr>
      </w:pPr>
      <w:r w:rsidRPr="00507C43">
        <w:rPr>
          <w:rFonts w:ascii="Times New Roman" w:eastAsia="Times New Roman" w:hAnsi="Times New Roman"/>
          <w:sz w:val="24"/>
          <w:szCs w:val="24"/>
          <w:lang w:val="es-ES"/>
        </w:rPr>
        <w:t>El derecho a la verdad ha sido configurado por los tribunales de justicia principalmente en casos relacionados con desapariciones forzadas de personas</w:t>
      </w:r>
      <w:r w:rsidR="00E071A2">
        <w:rPr>
          <w:rStyle w:val="Refdenotaalpie"/>
          <w:rFonts w:ascii="Times New Roman" w:eastAsia="Times New Roman" w:hAnsi="Times New Roman"/>
          <w:sz w:val="24"/>
          <w:szCs w:val="24"/>
          <w:lang w:val="es-ES"/>
        </w:rPr>
        <w:footnoteReference w:id="17"/>
      </w:r>
      <w:r w:rsidRPr="00507C43">
        <w:rPr>
          <w:rFonts w:ascii="Times New Roman" w:eastAsia="Times New Roman" w:hAnsi="Times New Roman"/>
          <w:sz w:val="24"/>
          <w:szCs w:val="24"/>
          <w:lang w:val="es-ES"/>
        </w:rPr>
        <w:t>.</w:t>
      </w:r>
      <w:r w:rsidRPr="00507C43">
        <w:rPr>
          <w:rFonts w:ascii="Times New Roman" w:hAnsi="Times New Roman"/>
          <w:sz w:val="24"/>
          <w:szCs w:val="24"/>
          <w:lang w:val="es-ES"/>
        </w:rPr>
        <w:t xml:space="preserve"> De acuerdo con el artículo 2 de la </w:t>
      </w:r>
      <w:r w:rsidRPr="00507C43">
        <w:rPr>
          <w:rFonts w:ascii="Times New Roman" w:eastAsia="Times New Roman" w:hAnsi="Times New Roman"/>
          <w:sz w:val="24"/>
          <w:szCs w:val="24"/>
          <w:lang w:val="es-ES"/>
        </w:rPr>
        <w:t>Convención Internacional</w:t>
      </w:r>
      <w:r w:rsidR="004966A3">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por tal cabe entender el </w:t>
      </w:r>
      <w:r w:rsidR="0028627C" w:rsidRPr="00507C43">
        <w:rPr>
          <w:rFonts w:ascii="Times New Roman" w:eastAsia="Times New Roman" w:hAnsi="Times New Roman"/>
          <w:sz w:val="24"/>
          <w:szCs w:val="24"/>
          <w:lang w:val="es-ES"/>
        </w:rPr>
        <w:t>“arresto, la detención, el secuestro o cualquier otra forma de privación de libertad que sean obra de agentes del Estado o de personas o grupos de personas que actúan con la autorización, el apoyo o la aquiescencia del Estado, seguido de la negativa a reconocer dicha privación de libertad o del ocultamiento de la suerte o el paradero de la persona desaparecida, quedando ésta sustraída a la protección de la ley”</w:t>
      </w:r>
      <w:r w:rsidR="0028627C" w:rsidRPr="00507C43">
        <w:rPr>
          <w:rStyle w:val="Refdenotaalpie"/>
          <w:rFonts w:ascii="Times New Roman" w:eastAsia="Times New Roman" w:hAnsi="Times New Roman"/>
          <w:sz w:val="24"/>
          <w:szCs w:val="24"/>
          <w:lang w:val="es-ES"/>
        </w:rPr>
        <w:footnoteReference w:id="18"/>
      </w:r>
      <w:r w:rsidR="0028627C" w:rsidRPr="00507C43">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Prácticamente igual es la definición que proporciona </w:t>
      </w:r>
      <w:r w:rsidR="00C51C5A" w:rsidRPr="00507C43">
        <w:rPr>
          <w:rFonts w:ascii="Times New Roman" w:eastAsia="Times New Roman" w:hAnsi="Times New Roman"/>
          <w:sz w:val="24"/>
          <w:szCs w:val="24"/>
          <w:lang w:val="es-ES"/>
        </w:rPr>
        <w:t>en su articulo 2</w:t>
      </w:r>
      <w:r w:rsidRPr="00507C43">
        <w:rPr>
          <w:rFonts w:ascii="Times New Roman" w:eastAsia="Times New Roman" w:hAnsi="Times New Roman"/>
          <w:sz w:val="24"/>
          <w:szCs w:val="24"/>
          <w:lang w:val="es-ES"/>
        </w:rPr>
        <w:t xml:space="preserve"> la </w:t>
      </w:r>
      <w:r w:rsidRPr="00507C43">
        <w:rPr>
          <w:rFonts w:ascii="Times New Roman" w:hAnsi="Times New Roman"/>
          <w:sz w:val="24"/>
          <w:szCs w:val="24"/>
          <w:lang w:val="es-ES"/>
        </w:rPr>
        <w:t>Convención Interamericana sobre desaparición forzada de personas</w:t>
      </w:r>
      <w:r w:rsidR="00C51C5A" w:rsidRPr="00507C43">
        <w:rPr>
          <w:rFonts w:ascii="Times New Roman" w:hAnsi="Times New Roman"/>
          <w:sz w:val="24"/>
          <w:szCs w:val="24"/>
          <w:lang w:val="es-ES"/>
        </w:rPr>
        <w:t>, de</w:t>
      </w:r>
      <w:r w:rsidR="00295D52" w:rsidRPr="00507C43">
        <w:rPr>
          <w:rFonts w:ascii="Times New Roman" w:hAnsi="Times New Roman"/>
          <w:sz w:val="24"/>
          <w:szCs w:val="24"/>
          <w:lang w:val="es-ES"/>
        </w:rPr>
        <w:t xml:space="preserve"> 9 de junio de</w:t>
      </w:r>
      <w:r w:rsidR="00C51C5A" w:rsidRPr="00507C43">
        <w:rPr>
          <w:rFonts w:ascii="Times New Roman" w:hAnsi="Times New Roman"/>
          <w:sz w:val="24"/>
          <w:szCs w:val="24"/>
          <w:lang w:val="es-ES"/>
        </w:rPr>
        <w:t xml:space="preserve"> 1994</w:t>
      </w:r>
      <w:r w:rsidR="00C5290C" w:rsidRPr="00507C43">
        <w:rPr>
          <w:rFonts w:ascii="Times New Roman" w:hAnsi="Times New Roman"/>
          <w:sz w:val="24"/>
          <w:szCs w:val="24"/>
          <w:lang w:val="es-ES"/>
        </w:rPr>
        <w:t>, aprobada doce años antes</w:t>
      </w:r>
      <w:r w:rsidR="004966A3">
        <w:rPr>
          <w:rFonts w:ascii="Times New Roman" w:hAnsi="Times New Roman"/>
          <w:sz w:val="24"/>
          <w:szCs w:val="24"/>
          <w:lang w:val="es-ES"/>
        </w:rPr>
        <w:t xml:space="preserve"> que el texto de la ONU</w:t>
      </w:r>
      <w:r w:rsidR="00295D52" w:rsidRPr="00507C43">
        <w:rPr>
          <w:rFonts w:ascii="Times New Roman" w:hAnsi="Times New Roman"/>
          <w:sz w:val="24"/>
          <w:szCs w:val="24"/>
          <w:lang w:val="es-ES"/>
        </w:rPr>
        <w:t xml:space="preserve"> (en adelante, la Convención Interamericana)</w:t>
      </w:r>
      <w:r w:rsidR="00C51C5A" w:rsidRPr="00507C43">
        <w:rPr>
          <w:rStyle w:val="Refdenotaalpie"/>
          <w:rFonts w:ascii="Times New Roman" w:eastAsia="Times New Roman" w:hAnsi="Times New Roman"/>
          <w:sz w:val="24"/>
          <w:szCs w:val="24"/>
          <w:lang w:val="es-ES"/>
        </w:rPr>
        <w:footnoteReference w:id="19"/>
      </w:r>
      <w:r w:rsidR="00C51C5A" w:rsidRPr="00507C43">
        <w:rPr>
          <w:rFonts w:ascii="Times New Roman" w:hAnsi="Times New Roman"/>
          <w:sz w:val="24"/>
          <w:szCs w:val="24"/>
          <w:lang w:val="es-ES"/>
        </w:rPr>
        <w:t>.</w:t>
      </w:r>
      <w:r w:rsidRPr="00507C43">
        <w:rPr>
          <w:rFonts w:ascii="Times New Roman" w:hAnsi="Times New Roman"/>
          <w:sz w:val="24"/>
          <w:szCs w:val="24"/>
          <w:lang w:val="es-ES"/>
        </w:rPr>
        <w:t xml:space="preserve"> </w:t>
      </w:r>
    </w:p>
    <w:p w:rsidR="00AE348D" w:rsidRPr="00507C43" w:rsidRDefault="00295D52" w:rsidP="00507C43">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lastRenderedPageBreak/>
        <w:t>Estas dos Convenciones</w:t>
      </w:r>
      <w:r w:rsidR="006A0349" w:rsidRPr="00507C43">
        <w:rPr>
          <w:rFonts w:ascii="Times New Roman" w:hAnsi="Times New Roman"/>
          <w:sz w:val="24"/>
          <w:szCs w:val="24"/>
          <w:lang w:val="es-ES"/>
        </w:rPr>
        <w:t xml:space="preserve"> exigen que la desaparición forzada sea </w:t>
      </w:r>
      <w:r w:rsidR="0028627C" w:rsidRPr="00507C43">
        <w:rPr>
          <w:rFonts w:ascii="Times New Roman" w:hAnsi="Times New Roman"/>
          <w:sz w:val="24"/>
          <w:szCs w:val="24"/>
          <w:lang w:val="es-ES"/>
        </w:rPr>
        <w:t xml:space="preserve">tipificada como delito, </w:t>
      </w:r>
      <w:r w:rsidR="006529E1">
        <w:rPr>
          <w:rFonts w:ascii="Times New Roman" w:hAnsi="Times New Roman"/>
          <w:sz w:val="24"/>
          <w:szCs w:val="24"/>
          <w:lang w:val="es-ES"/>
        </w:rPr>
        <w:t xml:space="preserve">que sea </w:t>
      </w:r>
      <w:r w:rsidR="0028627C" w:rsidRPr="00507C43">
        <w:rPr>
          <w:rFonts w:ascii="Times New Roman" w:hAnsi="Times New Roman"/>
          <w:sz w:val="24"/>
          <w:szCs w:val="24"/>
          <w:lang w:val="es-ES"/>
        </w:rPr>
        <w:t>sancionada con penas acordes con su extrema gravedad, y considerada como un crimen de lesa humanidad cuando se practica de manera generalizada y sistemática</w:t>
      </w:r>
      <w:r w:rsidR="00C51C5A" w:rsidRPr="00507C43">
        <w:rPr>
          <w:rFonts w:ascii="Times New Roman" w:hAnsi="Times New Roman"/>
          <w:sz w:val="24"/>
          <w:szCs w:val="24"/>
          <w:vertAlign w:val="superscript"/>
          <w:lang w:val="es-ES"/>
        </w:rPr>
        <w:footnoteReference w:id="20"/>
      </w:r>
      <w:r w:rsidR="0028627C" w:rsidRPr="00507C43">
        <w:rPr>
          <w:rFonts w:ascii="Times New Roman" w:hAnsi="Times New Roman"/>
          <w:sz w:val="24"/>
          <w:szCs w:val="24"/>
          <w:lang w:val="es-ES"/>
        </w:rPr>
        <w:t>.</w:t>
      </w:r>
      <w:r w:rsidR="006529E1">
        <w:rPr>
          <w:rFonts w:ascii="Times New Roman" w:hAnsi="Times New Roman"/>
          <w:sz w:val="24"/>
          <w:szCs w:val="24"/>
          <w:lang w:val="es-ES"/>
        </w:rPr>
        <w:t xml:space="preserve"> Sus tres elementos constitutivos que lo identifican como tal son:</w:t>
      </w:r>
      <w:r w:rsidR="0028627C" w:rsidRPr="00507C43">
        <w:rPr>
          <w:rFonts w:ascii="Times New Roman" w:hAnsi="Times New Roman"/>
          <w:sz w:val="24"/>
          <w:szCs w:val="24"/>
          <w:lang w:val="es-ES"/>
        </w:rPr>
        <w:t xml:space="preserve"> </w:t>
      </w:r>
      <w:r w:rsidR="00EF4628" w:rsidRPr="00507C43">
        <w:rPr>
          <w:rFonts w:ascii="Times New Roman" w:hAnsi="Times New Roman"/>
          <w:sz w:val="24"/>
          <w:szCs w:val="24"/>
          <w:lang w:val="es-ES"/>
        </w:rPr>
        <w:t xml:space="preserve">a) la privación de libertad; b) la intervención directa de </w:t>
      </w:r>
      <w:r w:rsidR="0009771D" w:rsidRPr="00507C43">
        <w:rPr>
          <w:rFonts w:ascii="Times New Roman" w:hAnsi="Times New Roman"/>
          <w:sz w:val="24"/>
          <w:szCs w:val="24"/>
          <w:lang w:val="es-ES"/>
        </w:rPr>
        <w:t>funcionarios</w:t>
      </w:r>
      <w:r w:rsidR="00EF4628" w:rsidRPr="00507C43">
        <w:rPr>
          <w:rFonts w:ascii="Times New Roman" w:hAnsi="Times New Roman"/>
          <w:sz w:val="24"/>
          <w:szCs w:val="24"/>
          <w:lang w:val="es-ES"/>
        </w:rPr>
        <w:t xml:space="preserve"> estatales o</w:t>
      </w:r>
      <w:r w:rsidR="0009771D" w:rsidRPr="00507C43">
        <w:rPr>
          <w:rFonts w:ascii="Times New Roman" w:hAnsi="Times New Roman"/>
          <w:sz w:val="24"/>
          <w:szCs w:val="24"/>
          <w:lang w:val="es-ES"/>
        </w:rPr>
        <w:t xml:space="preserve"> de agentes que actúan con </w:t>
      </w:r>
      <w:r w:rsidR="00EF4628" w:rsidRPr="00507C43">
        <w:rPr>
          <w:rFonts w:ascii="Times New Roman" w:hAnsi="Times New Roman"/>
          <w:sz w:val="24"/>
          <w:szCs w:val="24"/>
          <w:lang w:val="es-ES"/>
        </w:rPr>
        <w:t>la aquiescencia de estos; y c) la negativa de reconocer la detención y de revelar la suerte o el paradero de la persona desaparecida</w:t>
      </w:r>
      <w:r w:rsidR="00EF4628" w:rsidRPr="00507C43">
        <w:rPr>
          <w:rStyle w:val="Refdenotaalpie"/>
          <w:rFonts w:ascii="Times New Roman" w:hAnsi="Times New Roman"/>
          <w:sz w:val="24"/>
          <w:szCs w:val="24"/>
          <w:lang w:val="es-ES"/>
        </w:rPr>
        <w:footnoteReference w:id="21"/>
      </w:r>
      <w:r w:rsidR="00F10F4A" w:rsidRPr="00507C43">
        <w:rPr>
          <w:rFonts w:ascii="Times New Roman" w:hAnsi="Times New Roman"/>
          <w:sz w:val="24"/>
          <w:szCs w:val="24"/>
          <w:lang w:val="es-ES"/>
        </w:rPr>
        <w:t>.</w:t>
      </w:r>
    </w:p>
    <w:p w:rsidR="00B076CD" w:rsidRPr="00507C43" w:rsidRDefault="00B076CD" w:rsidP="00507C43">
      <w:pPr>
        <w:spacing w:after="0" w:line="240" w:lineRule="auto"/>
        <w:jc w:val="both"/>
        <w:rPr>
          <w:rFonts w:ascii="Times New Roman" w:eastAsia="Times New Roman" w:hAnsi="Times New Roman"/>
          <w:sz w:val="24"/>
          <w:szCs w:val="24"/>
          <w:lang w:val="es-ES"/>
        </w:rPr>
      </w:pPr>
    </w:p>
    <w:p w:rsidR="005B73B0" w:rsidRPr="00507C43" w:rsidRDefault="0033709A" w:rsidP="00507C43">
      <w:pPr>
        <w:spacing w:after="0"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La desaparición forzada</w:t>
      </w:r>
      <w:r w:rsidR="0009771D" w:rsidRPr="00507C43">
        <w:rPr>
          <w:rFonts w:ascii="Times New Roman" w:eastAsia="Times New Roman" w:hAnsi="Times New Roman"/>
          <w:sz w:val="24"/>
          <w:szCs w:val="24"/>
          <w:lang w:val="es-ES"/>
        </w:rPr>
        <w:t xml:space="preserve"> de personas</w:t>
      </w:r>
      <w:r w:rsidR="00C5290C" w:rsidRPr="00507C43">
        <w:rPr>
          <w:rFonts w:ascii="Times New Roman" w:eastAsia="Times New Roman" w:hAnsi="Times New Roman"/>
          <w:sz w:val="24"/>
          <w:szCs w:val="24"/>
          <w:lang w:val="es-ES"/>
        </w:rPr>
        <w:t xml:space="preserve"> </w:t>
      </w:r>
      <w:r w:rsidR="006529E1">
        <w:rPr>
          <w:rFonts w:ascii="Times New Roman" w:eastAsia="Times New Roman" w:hAnsi="Times New Roman"/>
          <w:sz w:val="24"/>
          <w:szCs w:val="24"/>
          <w:lang w:val="es-ES"/>
        </w:rPr>
        <w:t>es</w:t>
      </w:r>
      <w:r w:rsidR="00C5290C" w:rsidRPr="00507C43">
        <w:rPr>
          <w:rFonts w:ascii="Times New Roman" w:eastAsia="Times New Roman" w:hAnsi="Times New Roman"/>
          <w:sz w:val="24"/>
          <w:szCs w:val="24"/>
          <w:lang w:val="es-ES"/>
        </w:rPr>
        <w:t xml:space="preserve"> una forma compleja de violación múltiple, continuada y pluriofensiva de derechos humanos. No hablamos de varios delitos sino de uno solo, de “un acto único y consolidado” que se ejecuta con un determinado propósito, no de “una combinación de actos”. Los derechos habitualmente lesionados</w:t>
      </w:r>
      <w:r w:rsidR="00783F7D" w:rsidRPr="00507C43">
        <w:rPr>
          <w:rFonts w:ascii="Times New Roman" w:eastAsia="Times New Roman" w:hAnsi="Times New Roman"/>
          <w:sz w:val="24"/>
          <w:szCs w:val="24"/>
          <w:lang w:val="es-ES"/>
        </w:rPr>
        <w:t xml:space="preserve"> en este tipo de casos son:</w:t>
      </w:r>
      <w:r w:rsidR="00C5290C" w:rsidRPr="00507C43">
        <w:rPr>
          <w:rFonts w:ascii="Times New Roman" w:eastAsia="Times New Roman" w:hAnsi="Times New Roman"/>
          <w:sz w:val="24"/>
          <w:szCs w:val="24"/>
          <w:lang w:val="es-ES"/>
        </w:rPr>
        <w:t xml:space="preserve"> </w:t>
      </w:r>
      <w:r w:rsidR="005B73B0" w:rsidRPr="00507C43">
        <w:rPr>
          <w:rFonts w:ascii="Times New Roman" w:eastAsia="Times New Roman" w:hAnsi="Times New Roman"/>
          <w:sz w:val="24"/>
          <w:szCs w:val="24"/>
          <w:lang w:val="es-ES"/>
        </w:rPr>
        <w:t>“el derecho al reco</w:t>
      </w:r>
      <w:r w:rsidR="00766D2C" w:rsidRPr="00507C43">
        <w:rPr>
          <w:rFonts w:ascii="Times New Roman" w:eastAsia="Times New Roman" w:hAnsi="Times New Roman"/>
          <w:sz w:val="24"/>
          <w:szCs w:val="24"/>
          <w:lang w:val="es-ES"/>
        </w:rPr>
        <w:t>nocimiento de una</w:t>
      </w:r>
      <w:r w:rsidR="005B73B0" w:rsidRPr="00507C43">
        <w:rPr>
          <w:rFonts w:ascii="Times New Roman" w:eastAsia="Times New Roman" w:hAnsi="Times New Roman"/>
          <w:sz w:val="24"/>
          <w:szCs w:val="24"/>
          <w:lang w:val="es-ES"/>
        </w:rPr>
        <w:t xml:space="preserve"> persona ante ley, </w:t>
      </w:r>
      <w:r w:rsidR="00766D2C" w:rsidRPr="00507C43">
        <w:rPr>
          <w:rFonts w:ascii="Times New Roman" w:eastAsia="Times New Roman" w:hAnsi="Times New Roman"/>
          <w:sz w:val="24"/>
          <w:szCs w:val="24"/>
          <w:lang w:val="es-ES"/>
        </w:rPr>
        <w:t>el</w:t>
      </w:r>
      <w:r w:rsidR="005B73B0" w:rsidRPr="00507C43">
        <w:rPr>
          <w:rFonts w:ascii="Times New Roman" w:eastAsia="Times New Roman" w:hAnsi="Times New Roman"/>
          <w:sz w:val="24"/>
          <w:szCs w:val="24"/>
          <w:lang w:val="es-ES"/>
        </w:rPr>
        <w:t xml:space="preserve"> derecho a la libertad y a la seguridad</w:t>
      </w:r>
      <w:r w:rsidR="006529E1">
        <w:rPr>
          <w:rFonts w:ascii="Times New Roman" w:eastAsia="Times New Roman" w:hAnsi="Times New Roman"/>
          <w:sz w:val="24"/>
          <w:szCs w:val="24"/>
          <w:lang w:val="es-ES"/>
        </w:rPr>
        <w:t>, y el derecho a no ser sometido</w:t>
      </w:r>
      <w:r w:rsidR="005B73B0" w:rsidRPr="00507C43">
        <w:rPr>
          <w:rFonts w:ascii="Times New Roman" w:eastAsia="Times New Roman" w:hAnsi="Times New Roman"/>
          <w:sz w:val="24"/>
          <w:szCs w:val="24"/>
          <w:lang w:val="es-ES"/>
        </w:rPr>
        <w:t xml:space="preserve"> a tortura ni a otras penas o tratos crueles, inhumanos o degrandantes” y el derecho a la vida</w:t>
      </w:r>
      <w:r w:rsidR="005B73B0" w:rsidRPr="00507C43">
        <w:rPr>
          <w:rFonts w:ascii="Times New Roman" w:eastAsia="Times New Roman" w:hAnsi="Times New Roman"/>
          <w:sz w:val="24"/>
          <w:szCs w:val="24"/>
          <w:vertAlign w:val="superscript"/>
          <w:lang w:val="es-ES"/>
        </w:rPr>
        <w:footnoteReference w:id="22"/>
      </w:r>
      <w:r w:rsidR="005B73B0" w:rsidRPr="00507C43">
        <w:rPr>
          <w:rFonts w:ascii="Times New Roman" w:eastAsia="Times New Roman" w:hAnsi="Times New Roman"/>
          <w:sz w:val="24"/>
          <w:szCs w:val="24"/>
          <w:lang w:val="es-ES"/>
        </w:rPr>
        <w:t xml:space="preserve">. </w:t>
      </w:r>
    </w:p>
    <w:p w:rsidR="00AE348D" w:rsidRPr="00507C43" w:rsidRDefault="00AE348D" w:rsidP="00507C43">
      <w:pPr>
        <w:spacing w:after="0" w:line="240" w:lineRule="auto"/>
        <w:jc w:val="both"/>
        <w:rPr>
          <w:rFonts w:ascii="Times New Roman" w:eastAsia="Times New Roman" w:hAnsi="Times New Roman"/>
          <w:sz w:val="24"/>
          <w:szCs w:val="24"/>
          <w:lang w:val="es-ES"/>
        </w:rPr>
      </w:pPr>
    </w:p>
    <w:p w:rsidR="00533EF4" w:rsidRPr="00507C43" w:rsidRDefault="00B076CD" w:rsidP="00507C43">
      <w:pPr>
        <w:spacing w:after="0" w:line="240" w:lineRule="auto"/>
        <w:jc w:val="both"/>
        <w:rPr>
          <w:rFonts w:ascii="Times New Roman" w:hAnsi="Times New Roman"/>
          <w:sz w:val="24"/>
          <w:szCs w:val="24"/>
          <w:lang w:val="es-ES"/>
        </w:rPr>
      </w:pPr>
      <w:r w:rsidRPr="00507C43">
        <w:rPr>
          <w:rFonts w:ascii="Times New Roman" w:hAnsi="Times New Roman"/>
          <w:sz w:val="24"/>
          <w:szCs w:val="24"/>
          <w:lang w:val="es-ES"/>
        </w:rPr>
        <w:t xml:space="preserve">La concepción de la desaparición forzada como un crimen continuado impide </w:t>
      </w:r>
      <w:r w:rsidR="006529E1">
        <w:rPr>
          <w:rFonts w:ascii="Times New Roman" w:hAnsi="Times New Roman"/>
          <w:sz w:val="24"/>
          <w:szCs w:val="24"/>
          <w:lang w:val="es-ES"/>
        </w:rPr>
        <w:t>que prescriba</w:t>
      </w:r>
      <w:r w:rsidRPr="00507C43">
        <w:rPr>
          <w:rFonts w:ascii="Times New Roman" w:hAnsi="Times New Roman"/>
          <w:sz w:val="24"/>
          <w:szCs w:val="24"/>
          <w:lang w:val="es-ES"/>
        </w:rPr>
        <w:t xml:space="preserve"> “mientras no se aclaren la suerte y el paradero del desaparecido y las circunstancias en que fue cometido el delito”</w:t>
      </w:r>
      <w:r w:rsidRPr="00507C43">
        <w:rPr>
          <w:rFonts w:ascii="Times New Roman" w:eastAsia="Times New Roman" w:hAnsi="Times New Roman"/>
          <w:sz w:val="24"/>
          <w:szCs w:val="24"/>
          <w:vertAlign w:val="superscript"/>
          <w:lang w:val="es-ES"/>
        </w:rPr>
        <w:footnoteReference w:id="23"/>
      </w:r>
      <w:r w:rsidRPr="00507C43">
        <w:rPr>
          <w:rFonts w:ascii="Times New Roman" w:hAnsi="Times New Roman"/>
          <w:sz w:val="24"/>
          <w:szCs w:val="24"/>
          <w:lang w:val="es-ES"/>
        </w:rPr>
        <w:t>. Esto es importante a los efectos de</w:t>
      </w:r>
      <w:r w:rsidR="006529E1">
        <w:rPr>
          <w:rFonts w:ascii="Times New Roman" w:hAnsi="Times New Roman"/>
          <w:sz w:val="24"/>
          <w:szCs w:val="24"/>
          <w:lang w:val="es-ES"/>
        </w:rPr>
        <w:t>l derecho a la verdad</w:t>
      </w:r>
      <w:r w:rsidRPr="00507C43">
        <w:rPr>
          <w:rFonts w:ascii="Times New Roman" w:hAnsi="Times New Roman"/>
          <w:sz w:val="24"/>
          <w:szCs w:val="24"/>
          <w:lang w:val="es-ES"/>
        </w:rPr>
        <w:t xml:space="preserve">, </w:t>
      </w:r>
      <w:r w:rsidR="006529E1">
        <w:rPr>
          <w:rFonts w:ascii="Times New Roman" w:hAnsi="Times New Roman"/>
          <w:sz w:val="24"/>
          <w:szCs w:val="24"/>
          <w:lang w:val="es-ES"/>
        </w:rPr>
        <w:t xml:space="preserve">que </w:t>
      </w:r>
      <w:r w:rsidRPr="00507C43">
        <w:rPr>
          <w:rFonts w:ascii="Times New Roman" w:hAnsi="Times New Roman"/>
          <w:sz w:val="24"/>
          <w:szCs w:val="24"/>
          <w:lang w:val="es-ES"/>
        </w:rPr>
        <w:t xml:space="preserve">deriva de esta obligación que el Estado tiene de investigar a fondo </w:t>
      </w:r>
      <w:r w:rsidRPr="00507C43">
        <w:rPr>
          <w:rFonts w:ascii="Times New Roman" w:eastAsia="Times New Roman" w:hAnsi="Times New Roman"/>
          <w:sz w:val="24"/>
          <w:szCs w:val="24"/>
          <w:lang w:val="es-ES"/>
        </w:rPr>
        <w:t xml:space="preserve">los hechos mientras no se conozca el paradero de la víctima o se hallen sus restos, </w:t>
      </w:r>
      <w:r w:rsidR="00E071A2">
        <w:rPr>
          <w:rFonts w:ascii="Times New Roman" w:eastAsia="Times New Roman" w:hAnsi="Times New Roman"/>
          <w:sz w:val="24"/>
          <w:szCs w:val="24"/>
          <w:lang w:val="es-ES"/>
        </w:rPr>
        <w:t>a lo</w:t>
      </w:r>
      <w:r w:rsidR="006529E1">
        <w:rPr>
          <w:rFonts w:ascii="Times New Roman" w:eastAsia="Times New Roman" w:hAnsi="Times New Roman"/>
          <w:sz w:val="24"/>
          <w:szCs w:val="24"/>
          <w:lang w:val="es-ES"/>
        </w:rPr>
        <w:t xml:space="preserve"> que le sigue, la obligación de</w:t>
      </w:r>
      <w:r w:rsidRPr="00507C43">
        <w:rPr>
          <w:rFonts w:ascii="Times New Roman" w:eastAsia="Times New Roman" w:hAnsi="Times New Roman"/>
          <w:sz w:val="24"/>
          <w:szCs w:val="24"/>
          <w:lang w:val="es-ES"/>
        </w:rPr>
        <w:t xml:space="preserve"> identificar, juzgar y sancionar a los responsables.</w:t>
      </w:r>
      <w:r w:rsidR="006529E1">
        <w:rPr>
          <w:rFonts w:ascii="Times New Roman" w:eastAsia="Times New Roman" w:hAnsi="Times New Roman"/>
          <w:sz w:val="24"/>
          <w:szCs w:val="24"/>
          <w:lang w:val="es-ES"/>
        </w:rPr>
        <w:t xml:space="preserve"> Esto es, n</w:t>
      </w:r>
      <w:r w:rsidR="0022773D" w:rsidRPr="00507C43">
        <w:rPr>
          <w:rFonts w:ascii="Times New Roman" w:eastAsia="Times New Roman" w:hAnsi="Times New Roman"/>
          <w:sz w:val="24"/>
          <w:szCs w:val="24"/>
          <w:lang w:val="es-ES"/>
        </w:rPr>
        <w:t>o basta con saber dónde está la víctima y qué fue lo que le pasó</w:t>
      </w:r>
      <w:r w:rsidR="006529E1">
        <w:rPr>
          <w:rFonts w:ascii="Times New Roman" w:eastAsia="Times New Roman" w:hAnsi="Times New Roman"/>
          <w:sz w:val="24"/>
          <w:szCs w:val="24"/>
          <w:lang w:val="es-ES"/>
        </w:rPr>
        <w:t xml:space="preserve"> con ella. También </w:t>
      </w:r>
      <w:r w:rsidR="0022773D" w:rsidRPr="00507C43">
        <w:rPr>
          <w:rFonts w:ascii="Times New Roman" w:eastAsia="Times New Roman" w:hAnsi="Times New Roman"/>
          <w:sz w:val="24"/>
          <w:szCs w:val="24"/>
          <w:lang w:val="es-ES"/>
        </w:rPr>
        <w:t>se han depurar las responsabilidades penales</w:t>
      </w:r>
      <w:r w:rsidR="0022773D" w:rsidRPr="00507C43">
        <w:rPr>
          <w:rStyle w:val="Refdenotaalpie"/>
          <w:rFonts w:ascii="Times New Roman" w:eastAsia="Times New Roman" w:hAnsi="Times New Roman"/>
          <w:sz w:val="24"/>
          <w:szCs w:val="24"/>
          <w:lang w:val="es-ES"/>
        </w:rPr>
        <w:footnoteReference w:id="24"/>
      </w:r>
      <w:r w:rsidR="0022773D" w:rsidRPr="00507C43">
        <w:rPr>
          <w:rFonts w:ascii="Times New Roman" w:hAnsi="Times New Roman"/>
          <w:sz w:val="24"/>
          <w:szCs w:val="24"/>
          <w:lang w:val="es-ES"/>
        </w:rPr>
        <w:t xml:space="preserve">. Tanto la </w:t>
      </w:r>
      <w:r w:rsidR="0022773D" w:rsidRPr="00507C43">
        <w:rPr>
          <w:rFonts w:ascii="Times New Roman" w:hAnsi="Times New Roman"/>
          <w:sz w:val="24"/>
          <w:szCs w:val="24"/>
          <w:lang w:val="es-ES"/>
        </w:rPr>
        <w:lastRenderedPageBreak/>
        <w:t>prohibición absoluta de perpetrar esta clase de crímenes como la obligación estatal de investigar, juzgar y sancionar tiene</w:t>
      </w:r>
      <w:r w:rsidR="006529E1">
        <w:rPr>
          <w:rFonts w:ascii="Times New Roman" w:hAnsi="Times New Roman"/>
          <w:sz w:val="24"/>
          <w:szCs w:val="24"/>
          <w:lang w:val="es-ES"/>
        </w:rPr>
        <w:t>n</w:t>
      </w:r>
      <w:r w:rsidR="0022773D" w:rsidRPr="00507C43">
        <w:rPr>
          <w:rFonts w:ascii="Times New Roman" w:hAnsi="Times New Roman"/>
          <w:sz w:val="24"/>
          <w:szCs w:val="24"/>
          <w:lang w:val="es-ES"/>
        </w:rPr>
        <w:t xml:space="preserve"> carácter de </w:t>
      </w:r>
      <w:r w:rsidR="0022773D" w:rsidRPr="00507C43">
        <w:rPr>
          <w:rFonts w:ascii="Times New Roman" w:hAnsi="Times New Roman"/>
          <w:i/>
          <w:sz w:val="24"/>
          <w:szCs w:val="24"/>
          <w:lang w:val="es-ES"/>
        </w:rPr>
        <w:t>ius cogens</w:t>
      </w:r>
      <w:r w:rsidR="0022773D" w:rsidRPr="00507C43">
        <w:rPr>
          <w:rStyle w:val="Refdenotaalpie"/>
          <w:rFonts w:ascii="Times New Roman" w:hAnsi="Times New Roman"/>
          <w:sz w:val="24"/>
          <w:szCs w:val="24"/>
          <w:lang w:val="es-ES"/>
        </w:rPr>
        <w:footnoteReference w:id="25"/>
      </w:r>
      <w:r w:rsidR="0022773D" w:rsidRPr="00507C43">
        <w:rPr>
          <w:rFonts w:ascii="Times New Roman" w:hAnsi="Times New Roman"/>
          <w:sz w:val="24"/>
          <w:szCs w:val="24"/>
          <w:lang w:val="es-ES"/>
        </w:rPr>
        <w:t>.</w:t>
      </w:r>
      <w:r w:rsidR="00533EF4" w:rsidRPr="00507C43">
        <w:rPr>
          <w:rFonts w:ascii="Times New Roman" w:hAnsi="Times New Roman"/>
          <w:sz w:val="24"/>
          <w:szCs w:val="24"/>
          <w:lang w:val="es-ES"/>
        </w:rPr>
        <w:t xml:space="preserve"> </w:t>
      </w:r>
    </w:p>
    <w:p w:rsidR="00533EF4" w:rsidRPr="00507C43" w:rsidRDefault="00533EF4" w:rsidP="00507C43">
      <w:pPr>
        <w:spacing w:after="0" w:line="240" w:lineRule="auto"/>
        <w:jc w:val="both"/>
        <w:rPr>
          <w:rFonts w:ascii="Times New Roman" w:hAnsi="Times New Roman"/>
          <w:sz w:val="24"/>
          <w:szCs w:val="24"/>
          <w:lang w:val="es-ES"/>
        </w:rPr>
      </w:pPr>
    </w:p>
    <w:p w:rsidR="00E071A2" w:rsidRDefault="00D07F30" w:rsidP="00507C43">
      <w:pPr>
        <w:spacing w:after="0" w:line="240" w:lineRule="auto"/>
        <w:jc w:val="both"/>
        <w:rPr>
          <w:rFonts w:ascii="Times New Roman" w:eastAsia="Times New Roman" w:hAnsi="Times New Roman"/>
          <w:sz w:val="24"/>
          <w:szCs w:val="24"/>
          <w:lang w:val="es-ES"/>
        </w:rPr>
      </w:pPr>
      <w:r w:rsidRPr="00507C43">
        <w:rPr>
          <w:rFonts w:ascii="Times New Roman" w:hAnsi="Times New Roman"/>
          <w:sz w:val="24"/>
          <w:szCs w:val="24"/>
          <w:lang w:val="es-ES"/>
        </w:rPr>
        <w:t>En todas las etapas de la investigación y en el juzgamiento de los responsables, las víctimas y/o sus familiares deben estar al tanto y tener la posibilidad de intervenir</w:t>
      </w:r>
      <w:r w:rsidR="00D87A5B" w:rsidRPr="00507C43">
        <w:rPr>
          <w:rFonts w:ascii="Times New Roman" w:hAnsi="Times New Roman"/>
          <w:sz w:val="24"/>
          <w:szCs w:val="24"/>
          <w:lang w:val="es-ES"/>
        </w:rPr>
        <w:t xml:space="preserve">. Dicha participación </w:t>
      </w:r>
      <w:r w:rsidR="00ED3C67" w:rsidRPr="00507C43">
        <w:rPr>
          <w:rFonts w:ascii="Times New Roman" w:eastAsia="Times New Roman" w:hAnsi="Times New Roman"/>
          <w:sz w:val="24"/>
          <w:szCs w:val="24"/>
          <w:lang w:val="es-ES"/>
        </w:rPr>
        <w:t>solo podría restringirse para no perjudicar la instrucción penal del caso</w:t>
      </w:r>
      <w:r w:rsidRPr="00507C43">
        <w:rPr>
          <w:rFonts w:ascii="Times New Roman" w:eastAsia="Times New Roman" w:hAnsi="Times New Roman"/>
          <w:sz w:val="24"/>
          <w:szCs w:val="24"/>
          <w:lang w:val="es-ES"/>
        </w:rPr>
        <w:t>. L</w:t>
      </w:r>
      <w:r w:rsidR="00ED3C67" w:rsidRPr="00507C43">
        <w:rPr>
          <w:rFonts w:ascii="Times New Roman" w:eastAsia="Times New Roman" w:hAnsi="Times New Roman"/>
          <w:sz w:val="24"/>
          <w:szCs w:val="24"/>
          <w:lang w:val="es-ES"/>
        </w:rPr>
        <w:t>a negación absoluta de información representaría una negación del derecho a la verdad</w:t>
      </w:r>
      <w:r w:rsidR="00ED3C67" w:rsidRPr="00507C43">
        <w:rPr>
          <w:rStyle w:val="Refdenotaalpie"/>
          <w:rFonts w:ascii="Times New Roman" w:hAnsi="Times New Roman"/>
          <w:sz w:val="24"/>
          <w:szCs w:val="24"/>
          <w:lang w:val="es-ES"/>
        </w:rPr>
        <w:footnoteReference w:id="26"/>
      </w:r>
      <w:r w:rsidR="00ED3C67" w:rsidRPr="00507C43">
        <w:rPr>
          <w:rFonts w:ascii="Times New Roman" w:eastAsia="Times New Roman" w:hAnsi="Times New Roman"/>
          <w:sz w:val="24"/>
          <w:szCs w:val="24"/>
          <w:lang w:val="es-ES"/>
        </w:rPr>
        <w:t xml:space="preserve">. </w:t>
      </w:r>
    </w:p>
    <w:p w:rsidR="00E071A2" w:rsidRDefault="00E071A2" w:rsidP="00507C43">
      <w:pPr>
        <w:spacing w:after="0" w:line="240" w:lineRule="auto"/>
        <w:jc w:val="both"/>
        <w:rPr>
          <w:rFonts w:ascii="Times New Roman" w:eastAsia="Times New Roman" w:hAnsi="Times New Roman"/>
          <w:sz w:val="24"/>
          <w:szCs w:val="24"/>
          <w:lang w:val="es-ES"/>
        </w:rPr>
      </w:pPr>
    </w:p>
    <w:p w:rsidR="00ED3C67" w:rsidRPr="00507C43" w:rsidRDefault="008C72D4" w:rsidP="00507C43">
      <w:pPr>
        <w:spacing w:after="0"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Igual sucede cuando el derecho a la verdad se ubica</w:t>
      </w:r>
      <w:r w:rsidR="00E071A2">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no en el</w:t>
      </w:r>
      <w:r w:rsidR="00E071A2">
        <w:rPr>
          <w:rFonts w:ascii="Times New Roman" w:eastAsia="Times New Roman" w:hAnsi="Times New Roman"/>
          <w:sz w:val="24"/>
          <w:szCs w:val="24"/>
          <w:lang w:val="es-ES"/>
        </w:rPr>
        <w:t xml:space="preserve"> seno del</w:t>
      </w:r>
      <w:r w:rsidRPr="00507C43">
        <w:rPr>
          <w:rFonts w:ascii="Times New Roman" w:eastAsia="Times New Roman" w:hAnsi="Times New Roman"/>
          <w:sz w:val="24"/>
          <w:szCs w:val="24"/>
          <w:lang w:val="es-ES"/>
        </w:rPr>
        <w:t xml:space="preserve"> derecho de acceso a la justicia</w:t>
      </w:r>
      <w:r w:rsidR="00E071A2">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sino en el de la libertad de información. Cuando ese el contexto, la dimensión colectiva del derecho adquiere una importancia </w:t>
      </w:r>
      <w:r w:rsidR="00A72E8B" w:rsidRPr="00507C43">
        <w:rPr>
          <w:rFonts w:ascii="Times New Roman" w:eastAsia="Times New Roman" w:hAnsi="Times New Roman"/>
          <w:sz w:val="24"/>
          <w:szCs w:val="24"/>
          <w:lang w:val="es-ES"/>
        </w:rPr>
        <w:t xml:space="preserve">trascendental </w:t>
      </w:r>
      <w:r w:rsidRPr="00507C43">
        <w:rPr>
          <w:rFonts w:ascii="Times New Roman" w:eastAsia="Times New Roman" w:hAnsi="Times New Roman"/>
          <w:sz w:val="24"/>
          <w:szCs w:val="24"/>
          <w:lang w:val="es-ES"/>
        </w:rPr>
        <w:t>para presevar los cimientos del Es</w:t>
      </w:r>
      <w:r w:rsidR="00E071A2">
        <w:rPr>
          <w:rFonts w:ascii="Times New Roman" w:eastAsia="Times New Roman" w:hAnsi="Times New Roman"/>
          <w:sz w:val="24"/>
          <w:szCs w:val="24"/>
          <w:lang w:val="es-ES"/>
        </w:rPr>
        <w:t>t</w:t>
      </w:r>
      <w:r w:rsidRPr="00507C43">
        <w:rPr>
          <w:rFonts w:ascii="Times New Roman" w:eastAsia="Times New Roman" w:hAnsi="Times New Roman"/>
          <w:sz w:val="24"/>
          <w:szCs w:val="24"/>
          <w:lang w:val="es-ES"/>
        </w:rPr>
        <w:t>ado Democrático y de Derecho</w:t>
      </w:r>
      <w:r w:rsidR="004F3E60" w:rsidRPr="00507C43">
        <w:rPr>
          <w:rFonts w:ascii="Times New Roman" w:eastAsia="Times New Roman" w:hAnsi="Times New Roman"/>
          <w:sz w:val="24"/>
          <w:szCs w:val="24"/>
          <w:lang w:val="es-ES"/>
        </w:rPr>
        <w:t xml:space="preserve">. </w:t>
      </w:r>
      <w:r w:rsidR="00A72E8B" w:rsidRPr="00507C43">
        <w:rPr>
          <w:rFonts w:ascii="Times New Roman" w:eastAsia="Times New Roman" w:hAnsi="Times New Roman"/>
          <w:sz w:val="24"/>
          <w:szCs w:val="24"/>
          <w:lang w:val="es-ES"/>
        </w:rPr>
        <w:t>Nos ocuparemos de ello en el últim</w:t>
      </w:r>
      <w:r w:rsidRPr="00507C43">
        <w:rPr>
          <w:rFonts w:ascii="Times New Roman" w:eastAsia="Times New Roman" w:hAnsi="Times New Roman"/>
          <w:sz w:val="24"/>
          <w:szCs w:val="24"/>
          <w:lang w:val="es-ES"/>
        </w:rPr>
        <w:t>o epígrafe de este trabajo</w:t>
      </w:r>
      <w:r w:rsidR="004F3E60" w:rsidRPr="00507C43">
        <w:rPr>
          <w:rFonts w:ascii="Times New Roman" w:eastAsia="Times New Roman" w:hAnsi="Times New Roman"/>
          <w:sz w:val="24"/>
          <w:szCs w:val="24"/>
          <w:lang w:val="es-ES"/>
        </w:rPr>
        <w:t>.</w:t>
      </w:r>
      <w:r w:rsidR="00A72E8B" w:rsidRPr="00507C43">
        <w:rPr>
          <w:rFonts w:ascii="Times New Roman" w:eastAsia="Times New Roman" w:hAnsi="Times New Roman"/>
          <w:sz w:val="24"/>
          <w:szCs w:val="24"/>
          <w:lang w:val="es-ES"/>
        </w:rPr>
        <w:t xml:space="preserve"> </w:t>
      </w:r>
    </w:p>
    <w:p w:rsidR="00D87A5B" w:rsidRPr="00507C43" w:rsidRDefault="00D87A5B" w:rsidP="00507C43">
      <w:pPr>
        <w:spacing w:after="0" w:line="240" w:lineRule="auto"/>
        <w:jc w:val="both"/>
        <w:rPr>
          <w:rFonts w:ascii="Times New Roman" w:eastAsia="Times New Roman" w:hAnsi="Times New Roman"/>
          <w:sz w:val="24"/>
          <w:szCs w:val="24"/>
          <w:lang w:val="es-ES"/>
        </w:rPr>
      </w:pPr>
    </w:p>
    <w:p w:rsidR="00646092" w:rsidRPr="00507C43" w:rsidRDefault="008D758D" w:rsidP="00507C43">
      <w:pPr>
        <w:spacing w:after="0" w:line="240" w:lineRule="auto"/>
        <w:jc w:val="both"/>
        <w:rPr>
          <w:rFonts w:ascii="Times New Roman" w:hAnsi="Times New Roman"/>
          <w:b/>
          <w:sz w:val="24"/>
          <w:szCs w:val="24"/>
          <w:lang w:val="es-ES"/>
        </w:rPr>
      </w:pPr>
      <w:r w:rsidRPr="00507C43">
        <w:rPr>
          <w:rFonts w:ascii="Times New Roman" w:hAnsi="Times New Roman"/>
          <w:b/>
          <w:sz w:val="24"/>
          <w:szCs w:val="24"/>
          <w:lang w:val="es-ES"/>
        </w:rPr>
        <w:t>III. LA VERDAD</w:t>
      </w:r>
      <w:r w:rsidR="00340317">
        <w:rPr>
          <w:rFonts w:ascii="Times New Roman" w:hAnsi="Times New Roman"/>
          <w:b/>
          <w:sz w:val="24"/>
          <w:szCs w:val="24"/>
          <w:lang w:val="es-ES"/>
        </w:rPr>
        <w:t>:</w:t>
      </w:r>
      <w:r w:rsidRPr="00507C43">
        <w:rPr>
          <w:rFonts w:ascii="Times New Roman" w:hAnsi="Times New Roman"/>
          <w:b/>
          <w:sz w:val="24"/>
          <w:szCs w:val="24"/>
          <w:lang w:val="es-ES"/>
        </w:rPr>
        <w:t xml:space="preserve"> DERECHO COMPLEJO</w:t>
      </w:r>
      <w:r w:rsidR="004E3A84" w:rsidRPr="00507C43">
        <w:rPr>
          <w:rFonts w:ascii="Times New Roman" w:hAnsi="Times New Roman"/>
          <w:b/>
          <w:sz w:val="24"/>
          <w:szCs w:val="24"/>
          <w:lang w:val="es-ES"/>
        </w:rPr>
        <w:t xml:space="preserve"> CON DOS DIMENSIONES</w:t>
      </w:r>
    </w:p>
    <w:p w:rsidR="00DB2C8B" w:rsidRPr="00507C43" w:rsidRDefault="00DB2C8B" w:rsidP="00507C43">
      <w:pPr>
        <w:spacing w:after="0" w:line="240" w:lineRule="auto"/>
        <w:jc w:val="both"/>
        <w:rPr>
          <w:rFonts w:ascii="Times New Roman" w:hAnsi="Times New Roman"/>
          <w:sz w:val="24"/>
          <w:szCs w:val="24"/>
          <w:lang w:val="es-ES"/>
        </w:rPr>
      </w:pPr>
    </w:p>
    <w:p w:rsidR="001820EC" w:rsidRPr="00507C43" w:rsidRDefault="001820EC" w:rsidP="00507C43">
      <w:pPr>
        <w:pStyle w:val="PrrafodeSentencia"/>
        <w:numPr>
          <w:ilvl w:val="0"/>
          <w:numId w:val="0"/>
        </w:numPr>
        <w:tabs>
          <w:tab w:val="clear" w:pos="567"/>
          <w:tab w:val="left" w:pos="360"/>
        </w:tabs>
        <w:rPr>
          <w:rFonts w:ascii="Times New Roman" w:hAnsi="Times New Roman"/>
          <w:sz w:val="24"/>
          <w:szCs w:val="24"/>
          <w:lang w:val="es-ES"/>
        </w:rPr>
      </w:pPr>
      <w:r w:rsidRPr="00507C43">
        <w:rPr>
          <w:rFonts w:ascii="Times New Roman" w:hAnsi="Times New Roman"/>
          <w:sz w:val="24"/>
          <w:szCs w:val="24"/>
          <w:lang w:val="es-ES"/>
        </w:rPr>
        <w:t xml:space="preserve">El Preámbulo del la Convención Internacional </w:t>
      </w:r>
      <w:r w:rsidR="00CD2EDD">
        <w:rPr>
          <w:rFonts w:ascii="Times New Roman" w:hAnsi="Times New Roman"/>
          <w:sz w:val="24"/>
          <w:szCs w:val="24"/>
          <w:lang w:val="es-ES"/>
        </w:rPr>
        <w:t>advierte que una de las novedades del texto es</w:t>
      </w:r>
      <w:r w:rsidRPr="00507C43">
        <w:rPr>
          <w:rFonts w:ascii="Times New Roman" w:hAnsi="Times New Roman"/>
          <w:sz w:val="24"/>
          <w:szCs w:val="24"/>
          <w:lang w:val="es-ES"/>
        </w:rPr>
        <w:t xml:space="preserve"> el reconocimiento del “derecho a conocer la verdad sobre las circunstancias de una desaparición forzada y la suerte de la persona desaparecida, así como el respeto del derecho a la libertad de buscar, recibir y dif</w:t>
      </w:r>
      <w:r w:rsidR="009C5702">
        <w:rPr>
          <w:rFonts w:ascii="Times New Roman" w:hAnsi="Times New Roman"/>
          <w:sz w:val="24"/>
          <w:szCs w:val="24"/>
          <w:lang w:val="es-ES"/>
        </w:rPr>
        <w:t xml:space="preserve">undir informaciones a este fin”, que </w:t>
      </w:r>
      <w:r w:rsidRPr="00507C43">
        <w:rPr>
          <w:rFonts w:ascii="Times New Roman" w:hAnsi="Times New Roman"/>
          <w:sz w:val="24"/>
          <w:szCs w:val="24"/>
          <w:lang w:val="es-ES"/>
        </w:rPr>
        <w:t>cristaliza en el artículo 24.2 de la siguiente manera:</w:t>
      </w:r>
      <w:r w:rsidR="00121D63" w:rsidRPr="00507C43">
        <w:rPr>
          <w:rFonts w:ascii="Times New Roman" w:hAnsi="Times New Roman"/>
          <w:sz w:val="24"/>
          <w:szCs w:val="24"/>
          <w:lang w:val="es-ES"/>
        </w:rPr>
        <w:t xml:space="preserve"> “Cada víctima tiene el derecho de conocer la verdad sobre las circunstancias de la desaparición forzada, la evolución y resultados de la investigación y la suerte de la persona desaparecida. Cada Estado Parte tomará las medidas adecuadas </w:t>
      </w:r>
      <w:r w:rsidR="009C5702">
        <w:rPr>
          <w:rFonts w:ascii="Times New Roman" w:hAnsi="Times New Roman"/>
          <w:sz w:val="24"/>
          <w:szCs w:val="24"/>
          <w:lang w:val="es-ES"/>
        </w:rPr>
        <w:t>a este respecto”</w:t>
      </w:r>
      <w:r w:rsidR="00121D63" w:rsidRPr="00507C43">
        <w:rPr>
          <w:rFonts w:ascii="Times New Roman" w:hAnsi="Times New Roman"/>
          <w:sz w:val="24"/>
          <w:szCs w:val="24"/>
          <w:lang w:val="es-ES"/>
        </w:rPr>
        <w:t xml:space="preserve">. </w:t>
      </w:r>
    </w:p>
    <w:p w:rsidR="001820EC" w:rsidRPr="00507C43" w:rsidRDefault="001820EC" w:rsidP="00507C43">
      <w:pPr>
        <w:pStyle w:val="PrrafodeSentencia"/>
        <w:numPr>
          <w:ilvl w:val="0"/>
          <w:numId w:val="0"/>
        </w:numPr>
        <w:tabs>
          <w:tab w:val="clear" w:pos="567"/>
          <w:tab w:val="left" w:pos="360"/>
        </w:tabs>
        <w:rPr>
          <w:rFonts w:ascii="Times New Roman" w:hAnsi="Times New Roman"/>
          <w:sz w:val="24"/>
          <w:szCs w:val="24"/>
          <w:lang w:val="es-ES"/>
        </w:rPr>
      </w:pPr>
    </w:p>
    <w:p w:rsidR="008F401F" w:rsidRPr="00DD3150" w:rsidRDefault="008F401F" w:rsidP="00507C43">
      <w:pPr>
        <w:spacing w:after="0"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 xml:space="preserve">La jurisprudencia de la </w:t>
      </w:r>
      <w:r w:rsidR="00880BA0" w:rsidRPr="00880BA0">
        <w:rPr>
          <w:rFonts w:ascii="Times New Roman" w:eastAsia="Times New Roman" w:hAnsi="Times New Roman"/>
          <w:sz w:val="24"/>
          <w:szCs w:val="24"/>
          <w:lang w:val="es-ES"/>
        </w:rPr>
        <w:t xml:space="preserve">Corte Interamericana </w:t>
      </w:r>
      <w:r w:rsidRPr="00507C43">
        <w:rPr>
          <w:rFonts w:ascii="Times New Roman" w:eastAsia="Times New Roman" w:hAnsi="Times New Roman"/>
          <w:sz w:val="24"/>
          <w:szCs w:val="24"/>
          <w:lang w:val="es-ES"/>
        </w:rPr>
        <w:t>y del TEHD ha sido principal en la configuración jurídica de</w:t>
      </w:r>
      <w:r w:rsidR="002656C3">
        <w:rPr>
          <w:rFonts w:ascii="Times New Roman" w:eastAsia="Times New Roman" w:hAnsi="Times New Roman"/>
          <w:sz w:val="24"/>
          <w:szCs w:val="24"/>
          <w:lang w:val="es-ES"/>
        </w:rPr>
        <w:t xml:space="preserve">l </w:t>
      </w:r>
      <w:r w:rsidRPr="00507C43">
        <w:rPr>
          <w:rFonts w:ascii="Times New Roman" w:eastAsia="Times New Roman" w:hAnsi="Times New Roman"/>
          <w:sz w:val="24"/>
          <w:szCs w:val="24"/>
          <w:lang w:val="es-ES"/>
        </w:rPr>
        <w:t>derecho</w:t>
      </w:r>
      <w:r w:rsidR="002656C3">
        <w:rPr>
          <w:rFonts w:ascii="Times New Roman" w:eastAsia="Times New Roman" w:hAnsi="Times New Roman"/>
          <w:sz w:val="24"/>
          <w:szCs w:val="24"/>
          <w:lang w:val="es-ES"/>
        </w:rPr>
        <w:t xml:space="preserve"> a la verdad</w:t>
      </w:r>
      <w:r w:rsidRPr="00507C43">
        <w:rPr>
          <w:rFonts w:ascii="Times New Roman" w:eastAsia="Times New Roman" w:hAnsi="Times New Roman"/>
          <w:sz w:val="24"/>
          <w:szCs w:val="24"/>
          <w:lang w:val="es-ES"/>
        </w:rPr>
        <w:t>, que a falta de un reconocimiento explícito en sus respectivas cartas de derechos lo han ubicado</w:t>
      </w:r>
      <w:r w:rsidR="00921C88">
        <w:rPr>
          <w:rFonts w:ascii="Times New Roman" w:eastAsia="Times New Roman" w:hAnsi="Times New Roman"/>
          <w:sz w:val="24"/>
          <w:szCs w:val="24"/>
          <w:lang w:val="es-ES"/>
        </w:rPr>
        <w:t>, sobre todo,</w:t>
      </w:r>
      <w:r w:rsidRPr="00507C43">
        <w:rPr>
          <w:rFonts w:ascii="Times New Roman" w:eastAsia="Times New Roman" w:hAnsi="Times New Roman"/>
          <w:sz w:val="24"/>
          <w:szCs w:val="24"/>
          <w:lang w:val="es-ES"/>
        </w:rPr>
        <w:t xml:space="preserve"> en el ámbito de</w:t>
      </w:r>
      <w:r w:rsidR="00921C88">
        <w:rPr>
          <w:rFonts w:ascii="Times New Roman" w:eastAsia="Times New Roman" w:hAnsi="Times New Roman"/>
          <w:sz w:val="24"/>
          <w:szCs w:val="24"/>
          <w:lang w:val="es-ES"/>
        </w:rPr>
        <w:t xml:space="preserve"> </w:t>
      </w:r>
      <w:r w:rsidRPr="00507C43">
        <w:rPr>
          <w:rFonts w:ascii="Times New Roman" w:eastAsia="Times New Roman" w:hAnsi="Times New Roman"/>
          <w:sz w:val="24"/>
          <w:szCs w:val="24"/>
          <w:lang w:val="es-ES"/>
        </w:rPr>
        <w:t>l</w:t>
      </w:r>
      <w:r w:rsidR="00921C88">
        <w:rPr>
          <w:rFonts w:ascii="Times New Roman" w:eastAsia="Times New Roman" w:hAnsi="Times New Roman"/>
          <w:sz w:val="24"/>
          <w:szCs w:val="24"/>
          <w:lang w:val="es-ES"/>
        </w:rPr>
        <w:t xml:space="preserve">os derechos a las garantías judiciales y a la protección judicial, aunque también en ocasiones, en el ámbito del derecho de acceso a la información o del derecho a la integridad personal, como </w:t>
      </w:r>
      <w:r w:rsidR="00CD7E75" w:rsidRPr="00F1452F">
        <w:rPr>
          <w:rFonts w:ascii="Times New Roman" w:eastAsia="Times New Roman" w:hAnsi="Times New Roman"/>
          <w:sz w:val="24"/>
          <w:szCs w:val="24"/>
          <w:lang w:val="es-ES"/>
        </w:rPr>
        <w:t xml:space="preserve">veremos en el epígrafe </w:t>
      </w:r>
      <w:r w:rsidR="00921C88" w:rsidRPr="00F1452F">
        <w:rPr>
          <w:rFonts w:ascii="Times New Roman" w:eastAsia="Times New Roman" w:hAnsi="Times New Roman"/>
          <w:sz w:val="24"/>
          <w:szCs w:val="24"/>
          <w:lang w:val="es-ES"/>
        </w:rPr>
        <w:t>V</w:t>
      </w:r>
      <w:r w:rsidRPr="00921C88">
        <w:rPr>
          <w:rStyle w:val="Refdenotaalpie"/>
          <w:rFonts w:ascii="Times New Roman" w:hAnsi="Times New Roman"/>
          <w:bCs/>
          <w:sz w:val="20"/>
          <w:szCs w:val="20"/>
          <w:lang w:val="es-ES"/>
        </w:rPr>
        <w:footnoteReference w:id="27"/>
      </w:r>
      <w:r w:rsidR="00A46D7A">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En todas las ocasiones fueron casos relacionados </w:t>
      </w:r>
      <w:r w:rsidRPr="00507C43">
        <w:rPr>
          <w:rFonts w:ascii="Times New Roman" w:hAnsi="Times New Roman"/>
          <w:sz w:val="24"/>
          <w:szCs w:val="24"/>
          <w:lang w:val="es-ES"/>
        </w:rPr>
        <w:t>con la violación de los derechos a la vida (</w:t>
      </w:r>
      <w:r w:rsidR="00A46D7A" w:rsidRPr="00507C43">
        <w:rPr>
          <w:rFonts w:ascii="Times New Roman" w:hAnsi="Times New Roman"/>
          <w:sz w:val="24"/>
          <w:szCs w:val="24"/>
          <w:lang w:val="es-ES"/>
        </w:rPr>
        <w:t>artículo</w:t>
      </w:r>
      <w:r w:rsidRPr="00507C43">
        <w:rPr>
          <w:rFonts w:ascii="Times New Roman" w:hAnsi="Times New Roman"/>
          <w:sz w:val="24"/>
          <w:szCs w:val="24"/>
          <w:lang w:val="es-ES"/>
        </w:rPr>
        <w:t xml:space="preserve"> 4 de la Convención </w:t>
      </w:r>
      <w:r w:rsidR="005033B3">
        <w:rPr>
          <w:rFonts w:ascii="Times New Roman" w:hAnsi="Times New Roman"/>
          <w:sz w:val="24"/>
          <w:szCs w:val="24"/>
          <w:lang w:val="es-ES"/>
        </w:rPr>
        <w:t>Americana</w:t>
      </w:r>
      <w:r w:rsidRPr="00507C43">
        <w:rPr>
          <w:rFonts w:ascii="Times New Roman" w:hAnsi="Times New Roman"/>
          <w:sz w:val="24"/>
          <w:szCs w:val="24"/>
          <w:lang w:val="es-ES"/>
        </w:rPr>
        <w:t xml:space="preserve"> y </w:t>
      </w:r>
      <w:r w:rsidR="00A46D7A" w:rsidRPr="00507C43">
        <w:rPr>
          <w:rFonts w:ascii="Times New Roman" w:hAnsi="Times New Roman"/>
          <w:sz w:val="24"/>
          <w:szCs w:val="24"/>
          <w:lang w:val="es-ES"/>
        </w:rPr>
        <w:t>artículo</w:t>
      </w:r>
      <w:r w:rsidRPr="00507C43">
        <w:rPr>
          <w:rFonts w:ascii="Times New Roman" w:hAnsi="Times New Roman"/>
          <w:sz w:val="24"/>
          <w:szCs w:val="24"/>
          <w:lang w:val="es-ES"/>
        </w:rPr>
        <w:t xml:space="preserve"> 2 CEDH), a no sufrir torturas o tratos inhumanos o degradantes (artículo 5 tanto del la Convención Americana como del CEDH), </w:t>
      </w:r>
      <w:r w:rsidR="00A46D7A">
        <w:rPr>
          <w:rFonts w:ascii="Times New Roman" w:hAnsi="Times New Roman"/>
          <w:sz w:val="24"/>
          <w:szCs w:val="24"/>
          <w:lang w:val="es-ES"/>
        </w:rPr>
        <w:t xml:space="preserve">o </w:t>
      </w:r>
      <w:r w:rsidRPr="00507C43">
        <w:rPr>
          <w:rFonts w:ascii="Times New Roman" w:hAnsi="Times New Roman"/>
          <w:sz w:val="24"/>
          <w:szCs w:val="24"/>
          <w:lang w:val="es-ES"/>
        </w:rPr>
        <w:t>a no ser privado de la libertad (</w:t>
      </w:r>
      <w:r w:rsidR="00A46D7A" w:rsidRPr="00507C43">
        <w:rPr>
          <w:rFonts w:ascii="Times New Roman" w:hAnsi="Times New Roman"/>
          <w:sz w:val="24"/>
          <w:szCs w:val="24"/>
          <w:lang w:val="es-ES"/>
        </w:rPr>
        <w:t>artículo</w:t>
      </w:r>
      <w:r w:rsidRPr="00507C43">
        <w:rPr>
          <w:rFonts w:ascii="Times New Roman" w:hAnsi="Times New Roman"/>
          <w:sz w:val="24"/>
          <w:szCs w:val="24"/>
          <w:lang w:val="es-ES"/>
        </w:rPr>
        <w:t xml:space="preserve"> 7 Convenció</w:t>
      </w:r>
      <w:r w:rsidR="00921C88">
        <w:rPr>
          <w:rFonts w:ascii="Times New Roman" w:hAnsi="Times New Roman"/>
          <w:sz w:val="24"/>
          <w:szCs w:val="24"/>
          <w:lang w:val="es-ES"/>
        </w:rPr>
        <w:t xml:space="preserve">n Americana y </w:t>
      </w:r>
      <w:r w:rsidR="00A46D7A" w:rsidRPr="00507C43">
        <w:rPr>
          <w:rFonts w:ascii="Times New Roman" w:hAnsi="Times New Roman"/>
          <w:sz w:val="24"/>
          <w:szCs w:val="24"/>
          <w:lang w:val="es-ES"/>
        </w:rPr>
        <w:t>artículo</w:t>
      </w:r>
      <w:r w:rsidR="00921C88">
        <w:rPr>
          <w:rFonts w:ascii="Times New Roman" w:hAnsi="Times New Roman"/>
          <w:sz w:val="24"/>
          <w:szCs w:val="24"/>
          <w:lang w:val="es-ES"/>
        </w:rPr>
        <w:t xml:space="preserve"> 5 del CEDH).</w:t>
      </w:r>
    </w:p>
    <w:p w:rsidR="00921C88" w:rsidRDefault="00921C88" w:rsidP="00507C43">
      <w:pPr>
        <w:spacing w:after="0" w:line="240" w:lineRule="auto"/>
        <w:jc w:val="both"/>
        <w:rPr>
          <w:rFonts w:ascii="Times New Roman" w:hAnsi="Times New Roman"/>
          <w:sz w:val="24"/>
          <w:szCs w:val="24"/>
          <w:lang w:val="es-ES"/>
        </w:rPr>
      </w:pPr>
    </w:p>
    <w:p w:rsidR="00733B02" w:rsidRPr="00507C43" w:rsidRDefault="003F000B" w:rsidP="00507C43">
      <w:pPr>
        <w:pStyle w:val="PrrafodeSentencia"/>
        <w:numPr>
          <w:ilvl w:val="0"/>
          <w:numId w:val="0"/>
        </w:numPr>
        <w:tabs>
          <w:tab w:val="clear" w:pos="567"/>
          <w:tab w:val="left" w:pos="360"/>
        </w:tabs>
        <w:rPr>
          <w:rFonts w:ascii="Times New Roman" w:hAnsi="Times New Roman"/>
          <w:sz w:val="24"/>
          <w:szCs w:val="24"/>
          <w:lang w:val="es-ES"/>
        </w:rPr>
      </w:pPr>
      <w:r w:rsidRPr="00507C43">
        <w:rPr>
          <w:rFonts w:ascii="Times New Roman" w:hAnsi="Times New Roman"/>
          <w:sz w:val="24"/>
          <w:szCs w:val="24"/>
          <w:lang w:val="es-ES"/>
        </w:rPr>
        <w:t xml:space="preserve">La primera sentencia de la </w:t>
      </w:r>
      <w:r w:rsidR="00880BA0" w:rsidRPr="00880BA0">
        <w:rPr>
          <w:rFonts w:ascii="Times New Roman" w:hAnsi="Times New Roman"/>
          <w:sz w:val="24"/>
          <w:szCs w:val="24"/>
          <w:lang w:val="es-ES"/>
        </w:rPr>
        <w:t xml:space="preserve">Corte Interamericana </w:t>
      </w:r>
      <w:r w:rsidRPr="00507C43">
        <w:rPr>
          <w:rFonts w:ascii="Times New Roman" w:hAnsi="Times New Roman"/>
          <w:sz w:val="24"/>
          <w:szCs w:val="24"/>
          <w:lang w:val="es-ES"/>
        </w:rPr>
        <w:t xml:space="preserve">que </w:t>
      </w:r>
      <w:r w:rsidR="005033B3">
        <w:rPr>
          <w:rFonts w:ascii="Times New Roman" w:hAnsi="Times New Roman"/>
          <w:sz w:val="24"/>
          <w:szCs w:val="24"/>
          <w:lang w:val="es-ES"/>
        </w:rPr>
        <w:t>resuelve</w:t>
      </w:r>
      <w:r w:rsidRPr="00507C43">
        <w:rPr>
          <w:rFonts w:ascii="Times New Roman" w:hAnsi="Times New Roman"/>
          <w:sz w:val="24"/>
          <w:szCs w:val="24"/>
          <w:lang w:val="es-ES"/>
        </w:rPr>
        <w:t xml:space="preserve"> un caso de desaparición forzada -</w:t>
      </w:r>
      <w:r w:rsidRPr="00507C43">
        <w:rPr>
          <w:rFonts w:ascii="Times New Roman" w:hAnsi="Times New Roman"/>
          <w:i/>
          <w:iCs/>
          <w:sz w:val="24"/>
          <w:szCs w:val="24"/>
          <w:lang w:val="es-ES"/>
        </w:rPr>
        <w:t>Velásquez Rodríguez Vs Honduras</w:t>
      </w:r>
      <w:r w:rsidRPr="00507C43">
        <w:rPr>
          <w:rFonts w:ascii="Times New Roman" w:hAnsi="Times New Roman"/>
          <w:iCs/>
          <w:sz w:val="24"/>
          <w:szCs w:val="24"/>
          <w:lang w:val="es-ES"/>
        </w:rPr>
        <w:t xml:space="preserve"> (1988)- </w:t>
      </w:r>
      <w:r w:rsidRPr="00507C43">
        <w:rPr>
          <w:rFonts w:ascii="Times New Roman" w:hAnsi="Times New Roman"/>
          <w:sz w:val="24"/>
          <w:szCs w:val="24"/>
          <w:lang w:val="es-ES"/>
        </w:rPr>
        <w:t>no se refiere explícitamente al “derecho a la verdad” pero</w:t>
      </w:r>
      <w:r w:rsidR="00471429" w:rsidRPr="00507C43">
        <w:rPr>
          <w:rFonts w:ascii="Times New Roman" w:hAnsi="Times New Roman"/>
          <w:sz w:val="24"/>
          <w:szCs w:val="24"/>
          <w:lang w:val="es-ES"/>
        </w:rPr>
        <w:t xml:space="preserve"> </w:t>
      </w:r>
      <w:r w:rsidR="005033B3">
        <w:rPr>
          <w:rFonts w:ascii="Times New Roman" w:hAnsi="Times New Roman"/>
          <w:sz w:val="24"/>
          <w:szCs w:val="24"/>
          <w:lang w:val="es-ES"/>
        </w:rPr>
        <w:t>advierte con claridad</w:t>
      </w:r>
      <w:r w:rsidR="00471429" w:rsidRPr="00507C43">
        <w:rPr>
          <w:rFonts w:ascii="Times New Roman" w:hAnsi="Times New Roman"/>
          <w:sz w:val="24"/>
          <w:szCs w:val="24"/>
          <w:lang w:val="es-ES"/>
        </w:rPr>
        <w:t xml:space="preserve"> los</w:t>
      </w:r>
      <w:r w:rsidRPr="00507C43">
        <w:rPr>
          <w:rFonts w:ascii="Times New Roman" w:hAnsi="Times New Roman"/>
          <w:sz w:val="24"/>
          <w:szCs w:val="24"/>
          <w:lang w:val="es-ES"/>
        </w:rPr>
        <w:t xml:space="preserve"> elementos que</w:t>
      </w:r>
      <w:r w:rsidR="005033B3">
        <w:rPr>
          <w:rFonts w:ascii="Times New Roman" w:hAnsi="Times New Roman"/>
          <w:sz w:val="24"/>
          <w:szCs w:val="24"/>
          <w:lang w:val="es-ES"/>
        </w:rPr>
        <w:t xml:space="preserve"> lo identifican, ubicándolo en el marco del </w:t>
      </w:r>
      <w:r w:rsidR="00471429" w:rsidRPr="00507C43">
        <w:rPr>
          <w:rFonts w:ascii="Times New Roman" w:hAnsi="Times New Roman"/>
          <w:sz w:val="24"/>
          <w:szCs w:val="24"/>
          <w:lang w:val="es-ES"/>
        </w:rPr>
        <w:t xml:space="preserve">derecho de acceso a la justicia. </w:t>
      </w:r>
      <w:r w:rsidR="005033B3">
        <w:rPr>
          <w:rFonts w:ascii="Times New Roman" w:hAnsi="Times New Roman"/>
          <w:sz w:val="24"/>
          <w:szCs w:val="24"/>
          <w:lang w:val="es-ES"/>
        </w:rPr>
        <w:t>Concretamente,</w:t>
      </w:r>
      <w:r w:rsidR="00471429" w:rsidRPr="00507C43">
        <w:rPr>
          <w:rFonts w:ascii="Times New Roman" w:hAnsi="Times New Roman"/>
          <w:sz w:val="24"/>
          <w:szCs w:val="24"/>
          <w:lang w:val="es-ES"/>
        </w:rPr>
        <w:t xml:space="preserve"> reconoce </w:t>
      </w:r>
      <w:r w:rsidRPr="00507C43">
        <w:rPr>
          <w:rFonts w:ascii="Times New Roman" w:hAnsi="Times New Roman"/>
          <w:sz w:val="24"/>
          <w:szCs w:val="24"/>
          <w:lang w:val="es-ES"/>
        </w:rPr>
        <w:t xml:space="preserve">el </w:t>
      </w:r>
      <w:r w:rsidR="00153035" w:rsidRPr="00507C43">
        <w:rPr>
          <w:rFonts w:ascii="Times New Roman" w:hAnsi="Times New Roman"/>
          <w:iCs/>
          <w:sz w:val="24"/>
          <w:szCs w:val="24"/>
          <w:lang w:val="es-ES"/>
        </w:rPr>
        <w:t>“derecho de los familiares de las víctimas a conocer cuál fue el destino de ésta y, en su caso, dónde se encuentran sus restos”, y</w:t>
      </w:r>
      <w:r w:rsidR="00471429" w:rsidRPr="00507C43">
        <w:rPr>
          <w:rFonts w:ascii="Times New Roman" w:hAnsi="Times New Roman"/>
          <w:iCs/>
          <w:sz w:val="24"/>
          <w:szCs w:val="24"/>
          <w:lang w:val="es-ES"/>
        </w:rPr>
        <w:t xml:space="preserve"> </w:t>
      </w:r>
      <w:r w:rsidR="00471429" w:rsidRPr="00507C43">
        <w:rPr>
          <w:rFonts w:ascii="Times New Roman" w:hAnsi="Times New Roman"/>
          <w:iCs/>
          <w:sz w:val="24"/>
          <w:szCs w:val="24"/>
          <w:lang w:val="es-ES"/>
        </w:rPr>
        <w:lastRenderedPageBreak/>
        <w:t xml:space="preserve">subraya </w:t>
      </w:r>
      <w:r w:rsidR="00153035" w:rsidRPr="00507C43">
        <w:rPr>
          <w:rFonts w:ascii="Times New Roman" w:hAnsi="Times New Roman"/>
          <w:iCs/>
          <w:sz w:val="24"/>
          <w:szCs w:val="24"/>
          <w:lang w:val="es-ES"/>
        </w:rPr>
        <w:t xml:space="preserve">la correspondiente obligación </w:t>
      </w:r>
      <w:r w:rsidRPr="00507C43">
        <w:rPr>
          <w:rFonts w:ascii="Times New Roman" w:hAnsi="Times New Roman"/>
          <w:iCs/>
          <w:sz w:val="24"/>
          <w:szCs w:val="24"/>
          <w:lang w:val="es-ES"/>
        </w:rPr>
        <w:t>que el</w:t>
      </w:r>
      <w:r w:rsidR="00153035" w:rsidRPr="00507C43">
        <w:rPr>
          <w:rFonts w:ascii="Times New Roman" w:hAnsi="Times New Roman"/>
          <w:iCs/>
          <w:sz w:val="24"/>
          <w:szCs w:val="24"/>
          <w:lang w:val="es-ES"/>
        </w:rPr>
        <w:t xml:space="preserve"> Estado </w:t>
      </w:r>
      <w:r w:rsidRPr="00507C43">
        <w:rPr>
          <w:rFonts w:ascii="Times New Roman" w:hAnsi="Times New Roman"/>
          <w:iCs/>
          <w:sz w:val="24"/>
          <w:szCs w:val="24"/>
          <w:lang w:val="es-ES"/>
        </w:rPr>
        <w:t xml:space="preserve">tiene </w:t>
      </w:r>
      <w:r w:rsidR="00153035" w:rsidRPr="00507C43">
        <w:rPr>
          <w:rFonts w:ascii="Times New Roman" w:hAnsi="Times New Roman"/>
          <w:iCs/>
          <w:sz w:val="24"/>
          <w:szCs w:val="24"/>
          <w:lang w:val="es-ES"/>
        </w:rPr>
        <w:t>de abrir una investigación que permita esclarecer los hechos y procesar y castigar a los responsables</w:t>
      </w:r>
      <w:r w:rsidR="00153035" w:rsidRPr="00507C43">
        <w:rPr>
          <w:rFonts w:ascii="Times New Roman" w:hAnsi="Times New Roman"/>
          <w:sz w:val="24"/>
          <w:szCs w:val="24"/>
          <w:vertAlign w:val="superscript"/>
          <w:lang w:val="es-ES"/>
        </w:rPr>
        <w:footnoteReference w:id="28"/>
      </w:r>
      <w:r w:rsidR="00153035" w:rsidRPr="00507C43">
        <w:rPr>
          <w:rFonts w:ascii="Times New Roman" w:hAnsi="Times New Roman"/>
          <w:sz w:val="24"/>
          <w:szCs w:val="24"/>
          <w:lang w:val="es-ES"/>
        </w:rPr>
        <w:t xml:space="preserve">. </w:t>
      </w:r>
      <w:r w:rsidR="00471429" w:rsidRPr="00507C43">
        <w:rPr>
          <w:rFonts w:ascii="Times New Roman" w:hAnsi="Times New Roman"/>
          <w:sz w:val="24"/>
          <w:szCs w:val="24"/>
          <w:lang w:val="es-ES"/>
        </w:rPr>
        <w:t xml:space="preserve">Fue en </w:t>
      </w:r>
      <w:r w:rsidR="00733B02" w:rsidRPr="00507C43">
        <w:rPr>
          <w:rFonts w:ascii="Times New Roman" w:eastAsia="Times New Roman" w:hAnsi="Times New Roman"/>
          <w:bCs/>
          <w:i/>
          <w:sz w:val="24"/>
          <w:szCs w:val="24"/>
          <w:lang w:val="es-ES"/>
        </w:rPr>
        <w:t>Bámaca Velásquez </w:t>
      </w:r>
      <w:r w:rsidR="00733B02" w:rsidRPr="00507C43">
        <w:rPr>
          <w:rFonts w:ascii="Times New Roman" w:eastAsia="Times New Roman" w:hAnsi="Times New Roman"/>
          <w:bCs/>
          <w:i/>
          <w:iCs/>
          <w:sz w:val="24"/>
          <w:szCs w:val="24"/>
          <w:lang w:val="es-ES"/>
        </w:rPr>
        <w:t>Vs</w:t>
      </w:r>
      <w:r w:rsidR="00733B02" w:rsidRPr="00507C43">
        <w:rPr>
          <w:rFonts w:ascii="Times New Roman" w:eastAsia="Times New Roman" w:hAnsi="Times New Roman"/>
          <w:bCs/>
          <w:i/>
          <w:sz w:val="24"/>
          <w:szCs w:val="24"/>
          <w:lang w:val="es-ES"/>
        </w:rPr>
        <w:t xml:space="preserve">. Guatemala </w:t>
      </w:r>
      <w:r w:rsidR="00733B02" w:rsidRPr="00507C43">
        <w:rPr>
          <w:rFonts w:ascii="Times New Roman" w:eastAsia="Times New Roman" w:hAnsi="Times New Roman"/>
          <w:bCs/>
          <w:sz w:val="24"/>
          <w:szCs w:val="24"/>
          <w:lang w:val="es-ES"/>
        </w:rPr>
        <w:t>(2000)</w:t>
      </w:r>
      <w:r w:rsidR="00471429" w:rsidRPr="00507C43">
        <w:rPr>
          <w:rFonts w:ascii="Times New Roman" w:eastAsia="Times New Roman" w:hAnsi="Times New Roman"/>
          <w:bCs/>
          <w:sz w:val="24"/>
          <w:szCs w:val="24"/>
          <w:lang w:val="es-ES"/>
        </w:rPr>
        <w:t xml:space="preserve">, la segunda </w:t>
      </w:r>
      <w:r w:rsidR="00BD678B">
        <w:rPr>
          <w:rFonts w:ascii="Times New Roman" w:eastAsia="Times New Roman" w:hAnsi="Times New Roman"/>
          <w:bCs/>
          <w:sz w:val="24"/>
          <w:szCs w:val="24"/>
          <w:lang w:val="es-ES"/>
        </w:rPr>
        <w:t xml:space="preserve">de la amplia lista de </w:t>
      </w:r>
      <w:r w:rsidR="00471429" w:rsidRPr="00507C43">
        <w:rPr>
          <w:rFonts w:ascii="Times New Roman" w:eastAsia="Times New Roman" w:hAnsi="Times New Roman"/>
          <w:bCs/>
          <w:sz w:val="24"/>
          <w:szCs w:val="24"/>
          <w:lang w:val="es-ES"/>
        </w:rPr>
        <w:t>sentencia</w:t>
      </w:r>
      <w:r w:rsidR="00BD678B">
        <w:rPr>
          <w:rFonts w:ascii="Times New Roman" w:eastAsia="Times New Roman" w:hAnsi="Times New Roman"/>
          <w:bCs/>
          <w:sz w:val="24"/>
          <w:szCs w:val="24"/>
          <w:lang w:val="es-ES"/>
        </w:rPr>
        <w:t>s sobre desapariciones forzadas, cuando</w:t>
      </w:r>
      <w:r w:rsidR="00471429" w:rsidRPr="00507C43">
        <w:rPr>
          <w:rFonts w:ascii="Times New Roman" w:eastAsia="Times New Roman" w:hAnsi="Times New Roman"/>
          <w:bCs/>
          <w:sz w:val="24"/>
          <w:szCs w:val="24"/>
          <w:lang w:val="es-ES"/>
        </w:rPr>
        <w:t xml:space="preserve"> la Corte</w:t>
      </w:r>
      <w:r w:rsidR="005033B3">
        <w:rPr>
          <w:rFonts w:ascii="Times New Roman" w:eastAsia="Times New Roman" w:hAnsi="Times New Roman"/>
          <w:bCs/>
          <w:sz w:val="24"/>
          <w:szCs w:val="24"/>
          <w:lang w:val="es-ES"/>
        </w:rPr>
        <w:t xml:space="preserve"> Interamericana</w:t>
      </w:r>
      <w:r w:rsidR="00471429" w:rsidRPr="00507C43">
        <w:rPr>
          <w:rFonts w:ascii="Times New Roman" w:eastAsia="Times New Roman" w:hAnsi="Times New Roman"/>
          <w:bCs/>
          <w:sz w:val="24"/>
          <w:szCs w:val="24"/>
          <w:lang w:val="es-ES"/>
        </w:rPr>
        <w:t xml:space="preserve"> </w:t>
      </w:r>
      <w:r w:rsidR="00BD678B">
        <w:rPr>
          <w:rFonts w:ascii="Times New Roman" w:eastAsia="Times New Roman" w:hAnsi="Times New Roman"/>
          <w:bCs/>
          <w:sz w:val="24"/>
          <w:szCs w:val="24"/>
          <w:lang w:val="es-ES"/>
        </w:rPr>
        <w:t xml:space="preserve">invoca el “derecho a la verdad” </w:t>
      </w:r>
      <w:r w:rsidR="005033B3">
        <w:rPr>
          <w:rFonts w:ascii="Times New Roman" w:eastAsia="Times New Roman" w:hAnsi="Times New Roman"/>
          <w:bCs/>
          <w:sz w:val="24"/>
          <w:szCs w:val="24"/>
          <w:lang w:val="es-ES"/>
        </w:rPr>
        <w:t>por vez primera</w:t>
      </w:r>
      <w:r w:rsidR="00733B02" w:rsidRPr="00507C43">
        <w:rPr>
          <w:rStyle w:val="Refdenotaalpie"/>
          <w:rFonts w:ascii="Times New Roman" w:eastAsia="Times New Roman" w:hAnsi="Times New Roman"/>
          <w:bCs/>
          <w:sz w:val="24"/>
          <w:szCs w:val="24"/>
          <w:lang w:val="es-ES"/>
        </w:rPr>
        <w:footnoteReference w:id="29"/>
      </w:r>
      <w:r w:rsidR="00733B02" w:rsidRPr="00507C43">
        <w:rPr>
          <w:rFonts w:ascii="Times New Roman" w:eastAsia="Times New Roman" w:hAnsi="Times New Roman"/>
          <w:bCs/>
          <w:sz w:val="24"/>
          <w:szCs w:val="24"/>
          <w:lang w:val="es-ES"/>
        </w:rPr>
        <w:t xml:space="preserve">. </w:t>
      </w:r>
    </w:p>
    <w:p w:rsidR="00733B02" w:rsidRPr="00507C43" w:rsidRDefault="00733B02" w:rsidP="00507C43">
      <w:pPr>
        <w:pStyle w:val="PrrafodeSentencia"/>
        <w:numPr>
          <w:ilvl w:val="0"/>
          <w:numId w:val="0"/>
        </w:numPr>
        <w:tabs>
          <w:tab w:val="clear" w:pos="567"/>
          <w:tab w:val="left" w:pos="360"/>
        </w:tabs>
        <w:rPr>
          <w:rFonts w:ascii="Times New Roman" w:eastAsia="Times New Roman" w:hAnsi="Times New Roman"/>
          <w:bCs/>
          <w:sz w:val="24"/>
          <w:szCs w:val="24"/>
          <w:lang w:val="es-ES"/>
        </w:rPr>
      </w:pPr>
    </w:p>
    <w:p w:rsidR="00F04525" w:rsidRDefault="00EF0F06" w:rsidP="00884AAA">
      <w:pPr>
        <w:pStyle w:val="PrrafodeSentencia"/>
        <w:numPr>
          <w:ilvl w:val="0"/>
          <w:numId w:val="0"/>
        </w:numPr>
        <w:tabs>
          <w:tab w:val="clear" w:pos="567"/>
          <w:tab w:val="left" w:pos="360"/>
        </w:tabs>
        <w:rPr>
          <w:rFonts w:ascii="Times New Roman" w:hAnsi="Times New Roman"/>
          <w:sz w:val="24"/>
          <w:szCs w:val="24"/>
        </w:rPr>
      </w:pPr>
      <w:r>
        <w:rPr>
          <w:rFonts w:ascii="Times New Roman" w:hAnsi="Times New Roman"/>
          <w:noProof/>
          <w:sz w:val="24"/>
          <w:szCs w:val="24"/>
          <w:lang w:val="es-ES" w:eastAsia="fr-FR"/>
        </w:rPr>
        <w:t xml:space="preserve">En este marco de las desapariciones forazdas, </w:t>
      </w:r>
      <w:r w:rsidR="005033B3">
        <w:rPr>
          <w:rFonts w:ascii="Times New Roman" w:hAnsi="Times New Roman"/>
          <w:noProof/>
          <w:sz w:val="24"/>
          <w:szCs w:val="24"/>
          <w:lang w:val="es-ES" w:eastAsia="fr-FR"/>
        </w:rPr>
        <w:t>el número de sentencias del TEDH que invocan el derecho a la verdad es considerablemente más reducido que el de la Corte Interamericana</w:t>
      </w:r>
      <w:r w:rsidR="00246B54">
        <w:rPr>
          <w:rStyle w:val="Refdenotaalpie"/>
          <w:rFonts w:ascii="Times New Roman" w:hAnsi="Times New Roman"/>
          <w:noProof/>
          <w:sz w:val="24"/>
          <w:szCs w:val="24"/>
          <w:lang w:val="es-ES" w:eastAsia="fr-FR"/>
        </w:rPr>
        <w:footnoteReference w:id="30"/>
      </w:r>
      <w:r w:rsidR="005033B3">
        <w:rPr>
          <w:rFonts w:ascii="Times New Roman" w:hAnsi="Times New Roman"/>
          <w:noProof/>
          <w:sz w:val="24"/>
          <w:szCs w:val="24"/>
          <w:lang w:val="es-ES" w:eastAsia="fr-FR"/>
        </w:rPr>
        <w:t xml:space="preserve">.  </w:t>
      </w:r>
      <w:r w:rsidR="001C46B3" w:rsidRPr="00507C43">
        <w:rPr>
          <w:rFonts w:ascii="Times New Roman" w:hAnsi="Times New Roman"/>
          <w:noProof/>
          <w:sz w:val="24"/>
          <w:szCs w:val="24"/>
          <w:lang w:val="es-ES" w:eastAsia="fr-FR"/>
        </w:rPr>
        <w:t xml:space="preserve">La primera que expresamente lo invoca es la dictada en el caso </w:t>
      </w:r>
      <w:r w:rsidR="00E31C26" w:rsidRPr="00E31C26">
        <w:rPr>
          <w:rFonts w:ascii="Times New Roman" w:hAnsi="Times New Roman"/>
          <w:bCs/>
          <w:i/>
          <w:noProof/>
          <w:sz w:val="24"/>
          <w:szCs w:val="24"/>
          <w:lang w:val="es-ES" w:eastAsia="fr-FR"/>
        </w:rPr>
        <w:t>El-Masri c. Antigua República Yugoslava de Macedonia</w:t>
      </w:r>
      <w:r w:rsidR="00E31C26" w:rsidRPr="00E31C26">
        <w:rPr>
          <w:rFonts w:ascii="Times New Roman" w:hAnsi="Times New Roman"/>
          <w:i/>
          <w:noProof/>
          <w:sz w:val="24"/>
          <w:szCs w:val="24"/>
          <w:lang w:val="es-ES" w:eastAsia="fr-FR"/>
        </w:rPr>
        <w:t xml:space="preserve"> </w:t>
      </w:r>
      <w:r w:rsidR="001262DF">
        <w:rPr>
          <w:rFonts w:ascii="Times New Roman" w:hAnsi="Times New Roman"/>
          <w:noProof/>
          <w:sz w:val="24"/>
          <w:szCs w:val="24"/>
          <w:lang w:val="es-ES" w:eastAsia="fr-FR"/>
        </w:rPr>
        <w:t>(2012)</w:t>
      </w:r>
      <w:r w:rsidR="00884AAA">
        <w:rPr>
          <w:rFonts w:ascii="Times New Roman" w:hAnsi="Times New Roman"/>
          <w:noProof/>
          <w:sz w:val="24"/>
          <w:szCs w:val="24"/>
          <w:lang w:val="es-ES" w:eastAsia="fr-FR"/>
        </w:rPr>
        <w:t>.</w:t>
      </w:r>
      <w:r w:rsidR="001C46B3" w:rsidRPr="00507C43">
        <w:rPr>
          <w:rFonts w:ascii="Times New Roman" w:hAnsi="Times New Roman"/>
          <w:noProof/>
          <w:sz w:val="24"/>
          <w:szCs w:val="24"/>
          <w:lang w:val="es-ES" w:eastAsia="fr-FR"/>
        </w:rPr>
        <w:t xml:space="preserve"> Tras ella, el derecho a la verdad también es referido en las sentencias</w:t>
      </w:r>
      <w:r w:rsidR="00733B02" w:rsidRPr="00507C43">
        <w:rPr>
          <w:rFonts w:ascii="Times New Roman" w:hAnsi="Times New Roman"/>
          <w:noProof/>
          <w:sz w:val="24"/>
          <w:szCs w:val="24"/>
          <w:lang w:val="es-ES" w:eastAsia="fr-FR"/>
        </w:rPr>
        <w:t xml:space="preserve"> </w:t>
      </w:r>
      <w:r w:rsidR="00733B02" w:rsidRPr="00507C43">
        <w:rPr>
          <w:rFonts w:ascii="Times New Roman" w:hAnsi="Times New Roman"/>
          <w:i/>
          <w:noProof/>
          <w:sz w:val="24"/>
          <w:szCs w:val="24"/>
          <w:lang w:val="es-ES" w:eastAsia="fr-FR"/>
        </w:rPr>
        <w:t>Husayn (Abu Zubaydah) c. Polonia</w:t>
      </w:r>
      <w:r w:rsidR="00733B02" w:rsidRPr="00507C43">
        <w:rPr>
          <w:rFonts w:ascii="Times New Roman" w:hAnsi="Times New Roman"/>
          <w:noProof/>
          <w:sz w:val="24"/>
          <w:szCs w:val="24"/>
          <w:lang w:val="es-ES" w:eastAsia="fr-FR"/>
        </w:rPr>
        <w:t xml:space="preserve"> (2014); </w:t>
      </w:r>
      <w:r w:rsidR="00733B02" w:rsidRPr="00507C43">
        <w:rPr>
          <w:rFonts w:ascii="Times New Roman" w:hAnsi="Times New Roman"/>
          <w:i/>
          <w:noProof/>
          <w:sz w:val="24"/>
          <w:szCs w:val="24"/>
          <w:lang w:val="es-ES" w:eastAsia="fr-FR"/>
        </w:rPr>
        <w:t>Al Nashiri c. Polonia</w:t>
      </w:r>
      <w:r w:rsidR="00733B02" w:rsidRPr="00507C43">
        <w:rPr>
          <w:rFonts w:ascii="Times New Roman" w:hAnsi="Times New Roman"/>
          <w:noProof/>
          <w:sz w:val="24"/>
          <w:szCs w:val="24"/>
          <w:lang w:val="es-ES" w:eastAsia="fr-FR"/>
        </w:rPr>
        <w:t xml:space="preserve"> (2014);</w:t>
      </w:r>
      <w:r w:rsidR="00FD3F19" w:rsidRPr="00FD3F19">
        <w:rPr>
          <w:rFonts w:ascii="Times New Roman" w:eastAsia="Calibri" w:hAnsi="Times New Roman"/>
          <w:i/>
          <w:lang w:val="es-ES" w:eastAsia="en-US"/>
        </w:rPr>
        <w:t xml:space="preserve"> </w:t>
      </w:r>
      <w:r w:rsidR="00FD3F19" w:rsidRPr="00FD3F19">
        <w:rPr>
          <w:rFonts w:ascii="Times New Roman" w:hAnsi="Times New Roman"/>
          <w:i/>
          <w:noProof/>
          <w:sz w:val="24"/>
          <w:szCs w:val="24"/>
          <w:lang w:val="es-ES" w:eastAsia="fr-FR"/>
        </w:rPr>
        <w:t>Nasr y Ghali</w:t>
      </w:r>
      <w:r w:rsidR="00FD3F19">
        <w:rPr>
          <w:rFonts w:ascii="Times New Roman" w:hAnsi="Times New Roman"/>
          <w:i/>
          <w:noProof/>
          <w:sz w:val="24"/>
          <w:szCs w:val="24"/>
          <w:lang w:val="es-ES" w:eastAsia="fr-FR"/>
        </w:rPr>
        <w:t xml:space="preserve"> </w:t>
      </w:r>
      <w:r w:rsidR="00FD3F19">
        <w:rPr>
          <w:rFonts w:ascii="Times New Roman" w:hAnsi="Times New Roman"/>
          <w:noProof/>
          <w:sz w:val="24"/>
          <w:szCs w:val="24"/>
          <w:lang w:val="es-ES" w:eastAsia="fr-FR"/>
        </w:rPr>
        <w:t>(2016);</w:t>
      </w:r>
      <w:r w:rsidR="00733B02" w:rsidRPr="00507C43">
        <w:rPr>
          <w:rFonts w:ascii="Times New Roman" w:hAnsi="Times New Roman"/>
          <w:noProof/>
          <w:sz w:val="24"/>
          <w:szCs w:val="24"/>
          <w:lang w:val="es-ES" w:eastAsia="fr-FR"/>
        </w:rPr>
        <w:t xml:space="preserve"> </w:t>
      </w:r>
      <w:r w:rsidR="00733B02" w:rsidRPr="00507C43">
        <w:rPr>
          <w:rFonts w:ascii="Times New Roman" w:hAnsi="Times New Roman"/>
          <w:i/>
          <w:sz w:val="24"/>
          <w:szCs w:val="24"/>
          <w:lang w:val="es-ES"/>
        </w:rPr>
        <w:t>Abu Zubaydah c. Lituania</w:t>
      </w:r>
      <w:r w:rsidR="00733B02" w:rsidRPr="00507C43">
        <w:rPr>
          <w:rFonts w:ascii="Times New Roman" w:hAnsi="Times New Roman"/>
          <w:sz w:val="24"/>
          <w:szCs w:val="24"/>
          <w:lang w:val="es-ES"/>
        </w:rPr>
        <w:t xml:space="preserve"> (2018); y </w:t>
      </w:r>
      <w:r w:rsidR="0044498D" w:rsidRPr="0044498D">
        <w:rPr>
          <w:rFonts w:ascii="Times New Roman" w:hAnsi="Times New Roman"/>
          <w:i/>
          <w:sz w:val="24"/>
          <w:szCs w:val="24"/>
          <w:lang w:val="es-ES"/>
        </w:rPr>
        <w:t xml:space="preserve">Al </w:t>
      </w:r>
      <w:r w:rsidR="00733B02" w:rsidRPr="00507C43">
        <w:rPr>
          <w:rFonts w:ascii="Times New Roman" w:hAnsi="Times New Roman"/>
          <w:i/>
          <w:sz w:val="24"/>
          <w:szCs w:val="24"/>
          <w:lang w:val="es-ES"/>
        </w:rPr>
        <w:t>Nashiri c. Rumanía</w:t>
      </w:r>
      <w:r w:rsidR="00733B02" w:rsidRPr="00507C43">
        <w:rPr>
          <w:rFonts w:ascii="Times New Roman" w:hAnsi="Times New Roman"/>
          <w:sz w:val="24"/>
          <w:szCs w:val="24"/>
          <w:lang w:val="es-ES"/>
        </w:rPr>
        <w:t xml:space="preserve"> (2018)</w:t>
      </w:r>
      <w:r w:rsidR="00733B02" w:rsidRPr="00507C43">
        <w:rPr>
          <w:rFonts w:ascii="Times New Roman" w:eastAsia="Times New Roman" w:hAnsi="Times New Roman"/>
          <w:sz w:val="24"/>
          <w:szCs w:val="24"/>
          <w:vertAlign w:val="superscript"/>
          <w:lang w:val="es-ES"/>
        </w:rPr>
        <w:footnoteReference w:id="31"/>
      </w:r>
      <w:r w:rsidR="00733B02" w:rsidRPr="00507C43">
        <w:rPr>
          <w:rFonts w:ascii="Times New Roman" w:hAnsi="Times New Roman"/>
          <w:sz w:val="24"/>
          <w:szCs w:val="24"/>
          <w:lang w:val="es-ES"/>
        </w:rPr>
        <w:t>.</w:t>
      </w:r>
      <w:r w:rsidR="00884AAA">
        <w:rPr>
          <w:rFonts w:ascii="Times New Roman" w:hAnsi="Times New Roman"/>
          <w:sz w:val="24"/>
          <w:szCs w:val="24"/>
          <w:lang w:val="es-ES"/>
        </w:rPr>
        <w:t xml:space="preserve"> Todas</w:t>
      </w:r>
      <w:r w:rsidR="00A93990">
        <w:rPr>
          <w:rFonts w:ascii="Times New Roman" w:hAnsi="Times New Roman"/>
          <w:sz w:val="24"/>
          <w:szCs w:val="24"/>
          <w:lang w:val="es-ES"/>
        </w:rPr>
        <w:t xml:space="preserve"> fueron dictadas</w:t>
      </w:r>
      <w:r w:rsidR="00884AAA">
        <w:rPr>
          <w:rFonts w:ascii="Times New Roman" w:hAnsi="Times New Roman"/>
          <w:sz w:val="24"/>
          <w:szCs w:val="24"/>
          <w:lang w:val="es-ES"/>
        </w:rPr>
        <w:t xml:space="preserve"> en casos de “entregas extraordinarias”</w:t>
      </w:r>
      <w:r w:rsidR="00884AAA" w:rsidRPr="00884AAA">
        <w:rPr>
          <w:rFonts w:ascii="Times New Roman" w:hAnsi="Times New Roman"/>
          <w:sz w:val="24"/>
          <w:szCs w:val="24"/>
          <w:lang w:val="es-ES"/>
        </w:rPr>
        <w:t xml:space="preserve"> </w:t>
      </w:r>
      <w:r w:rsidR="00884AAA" w:rsidRPr="0074674F">
        <w:rPr>
          <w:rFonts w:ascii="Times New Roman" w:hAnsi="Times New Roman"/>
          <w:sz w:val="24"/>
          <w:szCs w:val="24"/>
          <w:lang w:val="es-ES"/>
        </w:rPr>
        <w:t>(</w:t>
      </w:r>
      <w:r w:rsidR="00884AAA" w:rsidRPr="0074674F">
        <w:rPr>
          <w:rFonts w:ascii="Times New Roman" w:hAnsi="Times New Roman"/>
          <w:i/>
          <w:sz w:val="24"/>
          <w:szCs w:val="24"/>
          <w:lang w:val="es-ES"/>
        </w:rPr>
        <w:t>extraordinary rendition</w:t>
      </w:r>
      <w:r w:rsidR="00884AAA">
        <w:rPr>
          <w:rFonts w:ascii="Times New Roman" w:hAnsi="Times New Roman"/>
          <w:i/>
          <w:sz w:val="24"/>
          <w:szCs w:val="24"/>
          <w:lang w:val="es-ES"/>
        </w:rPr>
        <w:t>s</w:t>
      </w:r>
      <w:r w:rsidR="00884AAA" w:rsidRPr="0074674F">
        <w:rPr>
          <w:rFonts w:ascii="Times New Roman" w:hAnsi="Times New Roman"/>
          <w:sz w:val="24"/>
          <w:szCs w:val="24"/>
          <w:lang w:val="es-ES"/>
        </w:rPr>
        <w:t>)</w:t>
      </w:r>
      <w:r w:rsidR="00884AAA">
        <w:rPr>
          <w:rFonts w:ascii="Times New Roman" w:hAnsi="Times New Roman"/>
          <w:sz w:val="24"/>
          <w:szCs w:val="24"/>
          <w:lang w:val="es-ES"/>
        </w:rPr>
        <w:t xml:space="preserve">, concepto que utiliza el Tribunal de Estraburgo (no la Corte Interamericana) para identificar una desaparición forzada en la que el detenido </w:t>
      </w:r>
      <w:r w:rsidR="00884AAA" w:rsidRPr="0074674F">
        <w:rPr>
          <w:rFonts w:ascii="Times New Roman" w:hAnsi="Times New Roman"/>
          <w:sz w:val="24"/>
          <w:szCs w:val="24"/>
          <w:lang w:val="es-ES"/>
        </w:rPr>
        <w:t>es trasladado de un Estado a otro</w:t>
      </w:r>
      <w:r w:rsidR="00884AAA">
        <w:rPr>
          <w:rFonts w:ascii="Times New Roman" w:hAnsi="Times New Roman"/>
          <w:sz w:val="24"/>
          <w:szCs w:val="24"/>
          <w:lang w:val="es-ES"/>
        </w:rPr>
        <w:t xml:space="preserve"> fuera </w:t>
      </w:r>
      <w:r w:rsidR="00884AAA" w:rsidRPr="0074674F">
        <w:rPr>
          <w:rFonts w:ascii="Times New Roman" w:hAnsi="Times New Roman"/>
          <w:sz w:val="24"/>
          <w:szCs w:val="24"/>
          <w:lang w:val="es-ES"/>
        </w:rPr>
        <w:t>de cualquier procedimiento legal de entrega o extradición, o cuando dentro de un</w:t>
      </w:r>
      <w:r w:rsidR="00884AAA">
        <w:rPr>
          <w:rFonts w:ascii="Times New Roman" w:hAnsi="Times New Roman"/>
          <w:sz w:val="24"/>
          <w:szCs w:val="24"/>
          <w:lang w:val="es-ES"/>
        </w:rPr>
        <w:t xml:space="preserve"> mismo territorio, las autorida</w:t>
      </w:r>
      <w:r w:rsidR="00884AAA" w:rsidRPr="0074674F">
        <w:rPr>
          <w:rFonts w:ascii="Times New Roman" w:hAnsi="Times New Roman"/>
          <w:sz w:val="24"/>
          <w:szCs w:val="24"/>
          <w:lang w:val="es-ES"/>
        </w:rPr>
        <w:t>des competentes ponen a</w:t>
      </w:r>
      <w:r w:rsidR="00884AAA">
        <w:rPr>
          <w:rFonts w:ascii="Times New Roman" w:hAnsi="Times New Roman"/>
          <w:sz w:val="24"/>
          <w:szCs w:val="24"/>
          <w:lang w:val="es-ES"/>
        </w:rPr>
        <w:t>l detenido a disposición de la</w:t>
      </w:r>
      <w:r w:rsidR="00884AAA" w:rsidRPr="0074674F">
        <w:rPr>
          <w:rFonts w:ascii="Times New Roman" w:hAnsi="Times New Roman"/>
          <w:sz w:val="24"/>
          <w:szCs w:val="24"/>
          <w:lang w:val="es-ES"/>
        </w:rPr>
        <w:t>s autoridad</w:t>
      </w:r>
      <w:r w:rsidR="00884AAA">
        <w:rPr>
          <w:rFonts w:ascii="Times New Roman" w:hAnsi="Times New Roman"/>
          <w:sz w:val="24"/>
          <w:szCs w:val="24"/>
          <w:lang w:val="es-ES"/>
        </w:rPr>
        <w:t>es</w:t>
      </w:r>
      <w:r w:rsidR="00884AAA" w:rsidRPr="0074674F">
        <w:rPr>
          <w:rFonts w:ascii="Times New Roman" w:hAnsi="Times New Roman"/>
          <w:sz w:val="24"/>
          <w:szCs w:val="24"/>
          <w:lang w:val="es-ES"/>
        </w:rPr>
        <w:t xml:space="preserve"> de otro Estado. El Tribunal Europeo de Derechos Humanos ha definido</w:t>
      </w:r>
      <w:r w:rsidR="00884AAA">
        <w:rPr>
          <w:rFonts w:ascii="Times New Roman" w:hAnsi="Times New Roman"/>
          <w:sz w:val="24"/>
          <w:szCs w:val="24"/>
          <w:lang w:val="es-ES"/>
        </w:rPr>
        <w:t xml:space="preserve"> esta modalidad</w:t>
      </w:r>
      <w:r w:rsidR="00884AAA" w:rsidRPr="0074674F">
        <w:rPr>
          <w:rFonts w:ascii="Times New Roman" w:hAnsi="Times New Roman"/>
          <w:sz w:val="24"/>
          <w:szCs w:val="24"/>
          <w:lang w:val="es-ES"/>
        </w:rPr>
        <w:t xml:space="preserve"> como el </w:t>
      </w:r>
      <w:r w:rsidR="00884AAA" w:rsidRPr="0074674F">
        <w:rPr>
          <w:rFonts w:ascii="Times New Roman" w:hAnsi="Times New Roman"/>
          <w:sz w:val="24"/>
          <w:szCs w:val="24"/>
        </w:rPr>
        <w:t>“traslado extrajudicial de personas desde una jurisdicción o Estado a otro, con el propósi</w:t>
      </w:r>
      <w:r w:rsidR="00884AAA">
        <w:rPr>
          <w:rFonts w:ascii="Times New Roman" w:hAnsi="Times New Roman"/>
          <w:sz w:val="24"/>
          <w:szCs w:val="24"/>
        </w:rPr>
        <w:t>t</w:t>
      </w:r>
      <w:r w:rsidR="00884AAA" w:rsidRPr="0074674F">
        <w:rPr>
          <w:rFonts w:ascii="Times New Roman" w:hAnsi="Times New Roman"/>
          <w:sz w:val="24"/>
          <w:szCs w:val="24"/>
        </w:rPr>
        <w:t>o de detenerlas e interrogarlas fuera del sistema legal no</w:t>
      </w:r>
      <w:r w:rsidR="00884AAA">
        <w:rPr>
          <w:rFonts w:ascii="Times New Roman" w:hAnsi="Times New Roman"/>
          <w:sz w:val="24"/>
          <w:szCs w:val="24"/>
        </w:rPr>
        <w:t>r</w:t>
      </w:r>
      <w:r w:rsidR="00884AAA" w:rsidRPr="0074674F">
        <w:rPr>
          <w:rFonts w:ascii="Times New Roman" w:hAnsi="Times New Roman"/>
          <w:sz w:val="24"/>
          <w:szCs w:val="24"/>
        </w:rPr>
        <w:t>mal, con riesgo real de tortura o tratos crueles, inhumanos o degradantes”</w:t>
      </w:r>
      <w:r w:rsidR="00884AAA" w:rsidRPr="0074674F">
        <w:rPr>
          <w:rStyle w:val="Refdenotaalpie"/>
          <w:rFonts w:ascii="Times New Roman" w:hAnsi="Times New Roman"/>
          <w:sz w:val="24"/>
          <w:szCs w:val="24"/>
        </w:rPr>
        <w:footnoteReference w:id="32"/>
      </w:r>
      <w:r w:rsidR="00884AAA" w:rsidRPr="0074674F">
        <w:rPr>
          <w:rFonts w:ascii="Times New Roman" w:hAnsi="Times New Roman"/>
          <w:sz w:val="24"/>
          <w:szCs w:val="24"/>
        </w:rPr>
        <w:t>.</w:t>
      </w:r>
      <w:r w:rsidR="00A93990">
        <w:rPr>
          <w:rFonts w:ascii="Times New Roman" w:hAnsi="Times New Roman"/>
          <w:sz w:val="24"/>
          <w:szCs w:val="24"/>
        </w:rPr>
        <w:t xml:space="preserve"> </w:t>
      </w:r>
    </w:p>
    <w:p w:rsidR="00134A4B" w:rsidRPr="00507C43" w:rsidRDefault="001C46B3" w:rsidP="00507C43">
      <w:pPr>
        <w:pStyle w:val="Textonotapie"/>
        <w:tabs>
          <w:tab w:val="left" w:pos="426"/>
          <w:tab w:val="left" w:pos="567"/>
        </w:tabs>
        <w:spacing w:before="120" w:after="120"/>
        <w:jc w:val="both"/>
        <w:rPr>
          <w:rFonts w:ascii="Times New Roman" w:eastAsia="Times New Roman" w:hAnsi="Times New Roman"/>
          <w:sz w:val="24"/>
          <w:szCs w:val="24"/>
          <w:lang w:val="es-ES"/>
        </w:rPr>
      </w:pPr>
      <w:r w:rsidRPr="00507C43">
        <w:rPr>
          <w:rFonts w:ascii="Times New Roman" w:hAnsi="Times New Roman"/>
          <w:noProof/>
          <w:sz w:val="24"/>
          <w:szCs w:val="24"/>
          <w:lang w:val="es-ES" w:eastAsia="fr-FR"/>
        </w:rPr>
        <w:lastRenderedPageBreak/>
        <w:t xml:space="preserve">Aunque en la jurisprudencia del TEDH no hay ninguna referencia explícita al </w:t>
      </w:r>
      <w:r w:rsidR="00CC3EB7">
        <w:rPr>
          <w:rFonts w:ascii="Times New Roman" w:hAnsi="Times New Roman"/>
          <w:noProof/>
          <w:sz w:val="24"/>
          <w:szCs w:val="24"/>
          <w:lang w:val="es-ES" w:eastAsia="fr-FR"/>
        </w:rPr>
        <w:t>“</w:t>
      </w:r>
      <w:r w:rsidRPr="00507C43">
        <w:rPr>
          <w:rFonts w:ascii="Times New Roman" w:hAnsi="Times New Roman"/>
          <w:noProof/>
          <w:sz w:val="24"/>
          <w:szCs w:val="24"/>
          <w:lang w:val="es-ES" w:eastAsia="fr-FR"/>
        </w:rPr>
        <w:t>derecho a la verdad</w:t>
      </w:r>
      <w:r w:rsidR="00CC3EB7">
        <w:rPr>
          <w:rFonts w:ascii="Times New Roman" w:hAnsi="Times New Roman"/>
          <w:noProof/>
          <w:sz w:val="24"/>
          <w:szCs w:val="24"/>
          <w:lang w:val="es-ES" w:eastAsia="fr-FR"/>
        </w:rPr>
        <w:t>”</w:t>
      </w:r>
      <w:r w:rsidRPr="00507C43">
        <w:rPr>
          <w:rFonts w:ascii="Times New Roman" w:hAnsi="Times New Roman"/>
          <w:noProof/>
          <w:sz w:val="24"/>
          <w:szCs w:val="24"/>
          <w:lang w:val="es-ES" w:eastAsia="fr-FR"/>
        </w:rPr>
        <w:t xml:space="preserve"> con anterioridad a la sentencia </w:t>
      </w:r>
      <w:r w:rsidRPr="00507C43">
        <w:rPr>
          <w:rFonts w:ascii="Times New Roman" w:hAnsi="Times New Roman"/>
          <w:i/>
          <w:noProof/>
          <w:sz w:val="24"/>
          <w:szCs w:val="24"/>
          <w:lang w:val="es-ES" w:eastAsia="fr-FR"/>
        </w:rPr>
        <w:t>El-Masri</w:t>
      </w:r>
      <w:r w:rsidRPr="00507C43">
        <w:rPr>
          <w:rFonts w:ascii="Times New Roman" w:hAnsi="Times New Roman"/>
          <w:noProof/>
          <w:sz w:val="24"/>
          <w:szCs w:val="24"/>
          <w:lang w:val="es-ES" w:eastAsia="fr-FR"/>
        </w:rPr>
        <w:t xml:space="preserve"> (2012)</w:t>
      </w:r>
      <w:r w:rsidR="00CC3EB7">
        <w:rPr>
          <w:rFonts w:ascii="Times New Roman" w:hAnsi="Times New Roman"/>
          <w:noProof/>
          <w:sz w:val="24"/>
          <w:szCs w:val="24"/>
          <w:lang w:val="es-ES" w:eastAsia="fr-FR"/>
        </w:rPr>
        <w:t>,</w:t>
      </w:r>
      <w:r w:rsidRPr="00507C43">
        <w:rPr>
          <w:rFonts w:ascii="Times New Roman" w:hAnsi="Times New Roman"/>
          <w:noProof/>
          <w:sz w:val="24"/>
          <w:szCs w:val="24"/>
          <w:lang w:val="es-ES" w:eastAsia="fr-FR"/>
        </w:rPr>
        <w:t xml:space="preserve"> sus elementos configuradores sí habían sido</w:t>
      </w:r>
      <w:r w:rsidR="00CC3EB7">
        <w:rPr>
          <w:rFonts w:ascii="Times New Roman" w:hAnsi="Times New Roman"/>
          <w:noProof/>
          <w:sz w:val="24"/>
          <w:szCs w:val="24"/>
          <w:lang w:val="es-ES" w:eastAsia="fr-FR"/>
        </w:rPr>
        <w:t xml:space="preserve"> ya</w:t>
      </w:r>
      <w:r w:rsidRPr="00507C43">
        <w:rPr>
          <w:rFonts w:ascii="Times New Roman" w:hAnsi="Times New Roman"/>
          <w:noProof/>
          <w:sz w:val="24"/>
          <w:szCs w:val="24"/>
          <w:lang w:val="es-ES" w:eastAsia="fr-FR"/>
        </w:rPr>
        <w:t xml:space="preserve"> advertidos</w:t>
      </w:r>
      <w:r w:rsidR="00134A4B" w:rsidRPr="00507C43">
        <w:rPr>
          <w:rFonts w:ascii="Times New Roman" w:hAnsi="Times New Roman"/>
          <w:noProof/>
          <w:sz w:val="24"/>
          <w:szCs w:val="24"/>
          <w:lang w:val="es-ES" w:eastAsia="fr-FR"/>
        </w:rPr>
        <w:t xml:space="preserve"> en el marco de la dimensión procesal de los artículos</w:t>
      </w:r>
      <w:r w:rsidR="00CC3EB7">
        <w:rPr>
          <w:rFonts w:ascii="Times New Roman" w:hAnsi="Times New Roman"/>
          <w:noProof/>
          <w:sz w:val="24"/>
          <w:szCs w:val="24"/>
          <w:lang w:val="es-ES" w:eastAsia="fr-FR"/>
        </w:rPr>
        <w:t xml:space="preserve"> 2,</w:t>
      </w:r>
      <w:r w:rsidR="00134A4B" w:rsidRPr="00507C43">
        <w:rPr>
          <w:rFonts w:ascii="Times New Roman" w:hAnsi="Times New Roman"/>
          <w:noProof/>
          <w:sz w:val="24"/>
          <w:szCs w:val="24"/>
          <w:lang w:val="es-ES" w:eastAsia="fr-FR"/>
        </w:rPr>
        <w:t xml:space="preserve"> 3 y 5 del C</w:t>
      </w:r>
      <w:r w:rsidR="00CC3EB7">
        <w:rPr>
          <w:rFonts w:ascii="Times New Roman" w:hAnsi="Times New Roman"/>
          <w:noProof/>
          <w:sz w:val="24"/>
          <w:szCs w:val="24"/>
          <w:lang w:val="es-ES" w:eastAsia="fr-FR"/>
        </w:rPr>
        <w:t>EDH</w:t>
      </w:r>
      <w:r w:rsidR="00134A4B" w:rsidRPr="00507C43">
        <w:rPr>
          <w:rFonts w:ascii="Times New Roman" w:hAnsi="Times New Roman"/>
          <w:noProof/>
          <w:sz w:val="24"/>
          <w:szCs w:val="24"/>
          <w:lang w:val="es-ES" w:eastAsia="fr-FR"/>
        </w:rPr>
        <w:t xml:space="preserve"> y también del artículo 13. </w:t>
      </w:r>
      <w:r w:rsidR="00CC3EB7" w:rsidRPr="00507C43">
        <w:rPr>
          <w:rFonts w:ascii="Times New Roman" w:hAnsi="Times New Roman"/>
          <w:noProof/>
          <w:sz w:val="24"/>
          <w:szCs w:val="24"/>
          <w:lang w:val="es-ES" w:eastAsia="fr-FR"/>
        </w:rPr>
        <w:t xml:space="preserve">Concretamente, el Tribunal había reconocido que ante una denuncia de una violación grave de derechos humanos, </w:t>
      </w:r>
      <w:r w:rsidR="00CC3EB7">
        <w:rPr>
          <w:rFonts w:ascii="Times New Roman" w:hAnsi="Times New Roman"/>
          <w:noProof/>
          <w:sz w:val="24"/>
          <w:szCs w:val="24"/>
          <w:lang w:val="es-ES" w:eastAsia="fr-FR"/>
        </w:rPr>
        <w:t xml:space="preserve">las víctimas, sus familiares y herederos tienen derecho a que se esclarezcan los hechos, de donde se deriva la obligación estatal de disponer un recurso </w:t>
      </w:r>
      <w:r w:rsidR="00CC3EB7" w:rsidRPr="00507C43">
        <w:rPr>
          <w:rFonts w:ascii="Times New Roman" w:hAnsi="Times New Roman"/>
          <w:noProof/>
          <w:sz w:val="24"/>
          <w:szCs w:val="24"/>
          <w:lang w:val="es-ES" w:eastAsia="fr-FR"/>
        </w:rPr>
        <w:t>efectivo que obligue a abrir una investigación capaz de indentificar a los responsables y, en su caso, juzgarlos y sancionarlos,</w:t>
      </w:r>
      <w:r w:rsidR="00CC3EB7">
        <w:rPr>
          <w:rFonts w:ascii="Times New Roman" w:hAnsi="Times New Roman"/>
          <w:noProof/>
          <w:sz w:val="24"/>
          <w:szCs w:val="24"/>
          <w:lang w:val="es-ES" w:eastAsia="fr-FR"/>
        </w:rPr>
        <w:t xml:space="preserve"> informando en todo momento a la familia</w:t>
      </w:r>
      <w:r w:rsidR="00CC3EB7" w:rsidRPr="00507C43">
        <w:rPr>
          <w:rStyle w:val="Refdenotaalpie"/>
          <w:rFonts w:ascii="Times New Roman" w:eastAsia="Times New Roman" w:hAnsi="Times New Roman"/>
          <w:sz w:val="24"/>
          <w:szCs w:val="24"/>
          <w:lang w:val="es-ES"/>
        </w:rPr>
        <w:footnoteReference w:id="33"/>
      </w:r>
      <w:r w:rsidR="00CC3EB7" w:rsidRPr="00507C43">
        <w:rPr>
          <w:rFonts w:ascii="Times New Roman" w:eastAsia="Times New Roman" w:hAnsi="Times New Roman"/>
          <w:sz w:val="24"/>
          <w:szCs w:val="24"/>
          <w:lang w:val="es-ES"/>
        </w:rPr>
        <w:t>.</w:t>
      </w:r>
      <w:r w:rsidR="006379B5">
        <w:rPr>
          <w:rFonts w:ascii="Times New Roman" w:eastAsia="Times New Roman" w:hAnsi="Times New Roman"/>
          <w:sz w:val="24"/>
          <w:szCs w:val="24"/>
          <w:lang w:val="es-ES"/>
        </w:rPr>
        <w:t xml:space="preserve">  Sin estos mecanismo de protección, </w:t>
      </w:r>
      <w:r w:rsidR="00134A4B" w:rsidRPr="00507C43">
        <w:rPr>
          <w:rFonts w:ascii="Times New Roman" w:hAnsi="Times New Roman"/>
          <w:noProof/>
          <w:sz w:val="24"/>
          <w:szCs w:val="24"/>
          <w:lang w:val="es-ES" w:eastAsia="fr-FR"/>
        </w:rPr>
        <w:t>advie</w:t>
      </w:r>
      <w:r w:rsidR="006D60E5">
        <w:rPr>
          <w:rFonts w:ascii="Times New Roman" w:hAnsi="Times New Roman"/>
          <w:noProof/>
          <w:sz w:val="24"/>
          <w:szCs w:val="24"/>
          <w:lang w:val="es-ES" w:eastAsia="fr-FR"/>
        </w:rPr>
        <w:t>r</w:t>
      </w:r>
      <w:r w:rsidR="00134A4B" w:rsidRPr="00507C43">
        <w:rPr>
          <w:rFonts w:ascii="Times New Roman" w:hAnsi="Times New Roman"/>
          <w:noProof/>
          <w:sz w:val="24"/>
          <w:szCs w:val="24"/>
          <w:lang w:val="es-ES" w:eastAsia="fr-FR"/>
        </w:rPr>
        <w:t>te el Tribunal, l</w:t>
      </w:r>
      <w:r w:rsidR="00134A4B" w:rsidRPr="00507C43">
        <w:rPr>
          <w:rFonts w:ascii="Times New Roman" w:eastAsia="Times New Roman" w:hAnsi="Times New Roman"/>
          <w:sz w:val="24"/>
          <w:szCs w:val="24"/>
          <w:lang w:val="es-ES"/>
        </w:rPr>
        <w:t>a prohibición legal general de</w:t>
      </w:r>
      <w:r w:rsidR="006379B5">
        <w:rPr>
          <w:rFonts w:ascii="Times New Roman" w:eastAsia="Times New Roman" w:hAnsi="Times New Roman"/>
          <w:sz w:val="24"/>
          <w:szCs w:val="24"/>
          <w:lang w:val="es-ES"/>
        </w:rPr>
        <w:t xml:space="preserve"> atentar contra la vida, de torturar o infligir</w:t>
      </w:r>
      <w:r w:rsidR="00134A4B" w:rsidRPr="00507C43">
        <w:rPr>
          <w:rFonts w:ascii="Times New Roman" w:eastAsia="Times New Roman" w:hAnsi="Times New Roman"/>
          <w:sz w:val="24"/>
          <w:szCs w:val="24"/>
          <w:lang w:val="es-ES"/>
        </w:rPr>
        <w:t xml:space="preserve"> tratos y penas inhumanos y degradantes </w:t>
      </w:r>
      <w:r w:rsidR="006379B5">
        <w:rPr>
          <w:rFonts w:ascii="Times New Roman" w:eastAsia="Times New Roman" w:hAnsi="Times New Roman"/>
          <w:sz w:val="24"/>
          <w:szCs w:val="24"/>
          <w:lang w:val="es-ES"/>
        </w:rPr>
        <w:t>“</w:t>
      </w:r>
      <w:r w:rsidR="00134A4B" w:rsidRPr="00507C43">
        <w:rPr>
          <w:rFonts w:ascii="Times New Roman" w:eastAsia="Times New Roman" w:hAnsi="Times New Roman"/>
          <w:sz w:val="24"/>
          <w:szCs w:val="24"/>
          <w:lang w:val="es-ES"/>
        </w:rPr>
        <w:t>sería, a pesar de su importancia fundamental, ineficaz en la práctica y sería posible en algunos casos que los agentes del Estado abusaran de los derechos de quienes están bajo su control con virtualmente impunidad”</w:t>
      </w:r>
      <w:r w:rsidR="00134A4B" w:rsidRPr="00507C43">
        <w:rPr>
          <w:rFonts w:ascii="Times New Roman" w:eastAsia="Times New Roman" w:hAnsi="Times New Roman"/>
          <w:sz w:val="24"/>
          <w:szCs w:val="24"/>
          <w:vertAlign w:val="superscript"/>
          <w:lang w:val="es-ES"/>
        </w:rPr>
        <w:footnoteReference w:id="34"/>
      </w:r>
      <w:r w:rsidR="00134A4B" w:rsidRPr="00507C43">
        <w:rPr>
          <w:rFonts w:ascii="Times New Roman" w:eastAsia="Times New Roman" w:hAnsi="Times New Roman"/>
          <w:sz w:val="24"/>
          <w:szCs w:val="24"/>
          <w:lang w:val="es-ES"/>
        </w:rPr>
        <w:t>.</w:t>
      </w:r>
    </w:p>
    <w:p w:rsidR="00EA78CB" w:rsidRPr="00507C43" w:rsidRDefault="008F401F" w:rsidP="00507C43">
      <w:pPr>
        <w:pStyle w:val="PrrafodeSentencia"/>
        <w:numPr>
          <w:ilvl w:val="0"/>
          <w:numId w:val="0"/>
        </w:numPr>
        <w:tabs>
          <w:tab w:val="clear" w:pos="567"/>
          <w:tab w:val="left" w:pos="360"/>
        </w:tabs>
        <w:rPr>
          <w:rFonts w:ascii="Times New Roman" w:hAnsi="Times New Roman"/>
          <w:bCs/>
          <w:sz w:val="24"/>
          <w:szCs w:val="24"/>
          <w:lang w:val="es-ES"/>
        </w:rPr>
      </w:pPr>
      <w:r w:rsidRPr="00507C43">
        <w:rPr>
          <w:rFonts w:ascii="Times New Roman" w:hAnsi="Times New Roman"/>
          <w:bCs/>
          <w:sz w:val="24"/>
          <w:szCs w:val="24"/>
          <w:lang w:val="es-ES"/>
        </w:rPr>
        <w:t>La Corte</w:t>
      </w:r>
      <w:r w:rsidR="00880BA0">
        <w:rPr>
          <w:rFonts w:ascii="Times New Roman" w:hAnsi="Times New Roman"/>
          <w:bCs/>
          <w:sz w:val="24"/>
          <w:szCs w:val="24"/>
          <w:lang w:val="es-ES"/>
        </w:rPr>
        <w:t xml:space="preserve"> Interamericana</w:t>
      </w:r>
      <w:r w:rsidRPr="00507C43">
        <w:rPr>
          <w:rFonts w:ascii="Times New Roman" w:hAnsi="Times New Roman"/>
          <w:bCs/>
          <w:sz w:val="24"/>
          <w:szCs w:val="24"/>
          <w:lang w:val="es-ES"/>
        </w:rPr>
        <w:t xml:space="preserve"> y el T</w:t>
      </w:r>
      <w:r w:rsidR="000F7120">
        <w:rPr>
          <w:rFonts w:ascii="Times New Roman" w:hAnsi="Times New Roman"/>
          <w:bCs/>
          <w:sz w:val="24"/>
          <w:szCs w:val="24"/>
          <w:lang w:val="es-ES"/>
        </w:rPr>
        <w:t>EDH</w:t>
      </w:r>
      <w:r w:rsidRPr="00507C43">
        <w:rPr>
          <w:rFonts w:ascii="Times New Roman" w:hAnsi="Times New Roman"/>
          <w:bCs/>
          <w:sz w:val="24"/>
          <w:szCs w:val="24"/>
          <w:lang w:val="es-ES"/>
        </w:rPr>
        <w:t xml:space="preserve"> han subrayado que</w:t>
      </w:r>
      <w:r w:rsidR="009965F8">
        <w:rPr>
          <w:rFonts w:ascii="Times New Roman" w:hAnsi="Times New Roman"/>
          <w:bCs/>
          <w:sz w:val="24"/>
          <w:szCs w:val="24"/>
          <w:lang w:val="es-ES"/>
        </w:rPr>
        <w:t xml:space="preserve"> la obligación de investigar la violación denunciada debe ser asumida como un deber jurídico propio</w:t>
      </w:r>
      <w:r w:rsidR="003D50AB" w:rsidRPr="00507C43">
        <w:rPr>
          <w:rFonts w:ascii="Times New Roman" w:hAnsi="Times New Roman"/>
          <w:bCs/>
          <w:sz w:val="24"/>
          <w:szCs w:val="24"/>
          <w:lang w:val="es-ES"/>
        </w:rPr>
        <w:t xml:space="preserve">, </w:t>
      </w:r>
      <w:r w:rsidR="00EA78CB" w:rsidRPr="00507C43">
        <w:rPr>
          <w:rFonts w:ascii="Times New Roman" w:eastAsiaTheme="minorHAnsi" w:hAnsi="Times New Roman"/>
          <w:sz w:val="24"/>
          <w:szCs w:val="24"/>
          <w:lang w:val="es-ES"/>
        </w:rPr>
        <w:t>y no como una simple formalidad condenada de antemano a ser infructuosa, o como una mera gestión de intereses particulares, que dependa de la iniciativa procesal de las víctimas, de sus familiares o de la aportación privada de elementos probatorios</w:t>
      </w:r>
      <w:r w:rsidR="003D50AB" w:rsidRPr="00507C43">
        <w:rPr>
          <w:rFonts w:ascii="Times New Roman" w:hAnsi="Times New Roman"/>
          <w:bCs/>
          <w:sz w:val="24"/>
          <w:szCs w:val="24"/>
          <w:lang w:val="es-ES"/>
        </w:rPr>
        <w:t>.</w:t>
      </w:r>
      <w:r w:rsidR="00812389" w:rsidRPr="00507C43">
        <w:rPr>
          <w:rFonts w:ascii="Times New Roman" w:hAnsi="Times New Roman"/>
          <w:bCs/>
          <w:sz w:val="24"/>
          <w:szCs w:val="24"/>
          <w:lang w:val="es-ES"/>
        </w:rPr>
        <w:t xml:space="preserve"> Dicho deber exige que el órgano que investiga lleve a cabo todas las actuaciones y averiguaciones necesarias para procurar el resultado que se persigue, aunque este finalmente no se alcance. </w:t>
      </w:r>
      <w:r w:rsidRPr="00507C43">
        <w:rPr>
          <w:rFonts w:ascii="Times New Roman" w:hAnsi="Times New Roman"/>
          <w:bCs/>
          <w:sz w:val="24"/>
          <w:szCs w:val="24"/>
          <w:lang w:val="es-ES"/>
        </w:rPr>
        <w:t>Esto es</w:t>
      </w:r>
      <w:r w:rsidR="00812389" w:rsidRPr="00507C43">
        <w:rPr>
          <w:rFonts w:ascii="Times New Roman" w:hAnsi="Times New Roman"/>
          <w:bCs/>
          <w:sz w:val="24"/>
          <w:szCs w:val="24"/>
          <w:lang w:val="es-ES"/>
        </w:rPr>
        <w:t>, se trata de una obliga</w:t>
      </w:r>
      <w:r w:rsidR="000146D7" w:rsidRPr="00507C43">
        <w:rPr>
          <w:rFonts w:ascii="Times New Roman" w:hAnsi="Times New Roman"/>
          <w:bCs/>
          <w:sz w:val="24"/>
          <w:szCs w:val="24"/>
          <w:lang w:val="es-ES"/>
        </w:rPr>
        <w:t>ción de medios</w:t>
      </w:r>
      <w:r w:rsidR="000F7120">
        <w:rPr>
          <w:rFonts w:ascii="Times New Roman" w:hAnsi="Times New Roman"/>
          <w:bCs/>
          <w:sz w:val="24"/>
          <w:szCs w:val="24"/>
          <w:lang w:val="es-ES"/>
        </w:rPr>
        <w:t>,</w:t>
      </w:r>
      <w:r w:rsidR="000146D7" w:rsidRPr="00507C43">
        <w:rPr>
          <w:rFonts w:ascii="Times New Roman" w:hAnsi="Times New Roman"/>
          <w:bCs/>
          <w:sz w:val="24"/>
          <w:szCs w:val="24"/>
          <w:lang w:val="es-ES"/>
        </w:rPr>
        <w:t xml:space="preserve"> no de resultados</w:t>
      </w:r>
      <w:r w:rsidR="000146D7" w:rsidRPr="00507C43">
        <w:rPr>
          <w:rFonts w:ascii="Times New Roman" w:eastAsiaTheme="minorHAnsi" w:hAnsi="Times New Roman"/>
          <w:sz w:val="24"/>
          <w:szCs w:val="24"/>
          <w:vertAlign w:val="superscript"/>
          <w:lang w:val="es-ES"/>
        </w:rPr>
        <w:footnoteReference w:id="35"/>
      </w:r>
      <w:r w:rsidR="000146D7" w:rsidRPr="00507C43">
        <w:rPr>
          <w:rFonts w:ascii="Times New Roman" w:hAnsi="Times New Roman"/>
          <w:bCs/>
          <w:sz w:val="24"/>
          <w:szCs w:val="24"/>
          <w:lang w:val="es-ES"/>
        </w:rPr>
        <w:t>.</w:t>
      </w:r>
    </w:p>
    <w:p w:rsidR="00EA78CB" w:rsidRPr="00507C43" w:rsidRDefault="00EA78CB" w:rsidP="00507C43">
      <w:pPr>
        <w:pStyle w:val="PrrafodeSentencia"/>
        <w:numPr>
          <w:ilvl w:val="0"/>
          <w:numId w:val="0"/>
        </w:numPr>
        <w:tabs>
          <w:tab w:val="clear" w:pos="567"/>
          <w:tab w:val="left" w:pos="360"/>
        </w:tabs>
        <w:rPr>
          <w:rFonts w:ascii="Times New Roman" w:hAnsi="Times New Roman"/>
          <w:bCs/>
          <w:sz w:val="24"/>
          <w:szCs w:val="24"/>
          <w:lang w:val="es-ES"/>
        </w:rPr>
      </w:pPr>
    </w:p>
    <w:p w:rsidR="002863CD" w:rsidRPr="00507C43" w:rsidRDefault="008F401F" w:rsidP="00507C43">
      <w:pPr>
        <w:pStyle w:val="PrrafodeSentencia"/>
        <w:numPr>
          <w:ilvl w:val="0"/>
          <w:numId w:val="0"/>
        </w:numPr>
        <w:tabs>
          <w:tab w:val="clear" w:pos="567"/>
          <w:tab w:val="left" w:pos="360"/>
        </w:tabs>
        <w:rPr>
          <w:rFonts w:ascii="Times New Roman" w:hAnsi="Times New Roman"/>
          <w:bCs/>
          <w:sz w:val="24"/>
          <w:szCs w:val="24"/>
          <w:lang w:val="es-ES"/>
        </w:rPr>
      </w:pPr>
      <w:r w:rsidRPr="00507C43">
        <w:rPr>
          <w:rFonts w:ascii="Times New Roman" w:hAnsi="Times New Roman"/>
          <w:bCs/>
          <w:sz w:val="24"/>
          <w:szCs w:val="24"/>
          <w:lang w:val="es-ES"/>
        </w:rPr>
        <w:t>Ambos tribunales también han advertido que,</w:t>
      </w:r>
      <w:r w:rsidR="00B57FCC" w:rsidRPr="00507C43">
        <w:rPr>
          <w:rFonts w:ascii="Times New Roman" w:hAnsi="Times New Roman"/>
          <w:bCs/>
          <w:sz w:val="24"/>
          <w:szCs w:val="24"/>
          <w:lang w:val="es-ES"/>
        </w:rPr>
        <w:t xml:space="preserve"> para que la investigación sea efectiva</w:t>
      </w:r>
      <w:r w:rsidRPr="00507C43">
        <w:rPr>
          <w:rFonts w:ascii="Times New Roman" w:hAnsi="Times New Roman"/>
          <w:bCs/>
          <w:sz w:val="24"/>
          <w:szCs w:val="24"/>
          <w:lang w:val="es-ES"/>
        </w:rPr>
        <w:t>,</w:t>
      </w:r>
      <w:r w:rsidR="00B57FCC" w:rsidRPr="00507C43">
        <w:rPr>
          <w:rFonts w:ascii="Times New Roman" w:hAnsi="Times New Roman"/>
          <w:bCs/>
          <w:sz w:val="24"/>
          <w:szCs w:val="24"/>
          <w:lang w:val="es-ES"/>
        </w:rPr>
        <w:t xml:space="preserve"> habrá de </w:t>
      </w:r>
      <w:r w:rsidR="006A1E2F" w:rsidRPr="00507C43">
        <w:rPr>
          <w:rFonts w:ascii="Times New Roman" w:hAnsi="Times New Roman"/>
          <w:bCs/>
          <w:sz w:val="24"/>
          <w:szCs w:val="24"/>
          <w:lang w:val="es-ES"/>
        </w:rPr>
        <w:t>llevarse a cabo sin dilación y sin interferencias del poder ejecutivo</w:t>
      </w:r>
      <w:r w:rsidR="00B57FCC" w:rsidRPr="00507C43">
        <w:rPr>
          <w:rFonts w:ascii="Times New Roman" w:hAnsi="Times New Roman"/>
          <w:bCs/>
          <w:sz w:val="24"/>
          <w:szCs w:val="24"/>
          <w:lang w:val="es-ES"/>
        </w:rPr>
        <w:t xml:space="preserve">, condición esta segunda que resulta particularmente importante cuando </w:t>
      </w:r>
      <w:r w:rsidR="006A1E2F" w:rsidRPr="00507C43">
        <w:rPr>
          <w:rFonts w:ascii="Times New Roman" w:hAnsi="Times New Roman"/>
          <w:bCs/>
          <w:sz w:val="24"/>
          <w:szCs w:val="24"/>
          <w:lang w:val="es-ES"/>
        </w:rPr>
        <w:t xml:space="preserve">se </w:t>
      </w:r>
      <w:r w:rsidR="00B57FCC" w:rsidRPr="00507C43">
        <w:rPr>
          <w:rFonts w:ascii="Times New Roman" w:hAnsi="Times New Roman"/>
          <w:bCs/>
          <w:sz w:val="24"/>
          <w:szCs w:val="24"/>
          <w:lang w:val="es-ES"/>
        </w:rPr>
        <w:t>trata de desapariciones u otras violaciones graves de derechos humanos atribuidas</w:t>
      </w:r>
      <w:r w:rsidRPr="00507C43">
        <w:rPr>
          <w:rFonts w:ascii="Times New Roman" w:hAnsi="Times New Roman"/>
          <w:bCs/>
          <w:sz w:val="24"/>
          <w:szCs w:val="24"/>
          <w:lang w:val="es-ES"/>
        </w:rPr>
        <w:t xml:space="preserve"> al Estado, </w:t>
      </w:r>
      <w:r w:rsidR="00B57FCC" w:rsidRPr="00507C43">
        <w:rPr>
          <w:rFonts w:ascii="Times New Roman" w:hAnsi="Times New Roman"/>
          <w:bCs/>
          <w:sz w:val="24"/>
          <w:szCs w:val="24"/>
          <w:lang w:val="es-ES"/>
        </w:rPr>
        <w:t>a sus funcionario</w:t>
      </w:r>
      <w:r w:rsidRPr="00507C43">
        <w:rPr>
          <w:rFonts w:ascii="Times New Roman" w:hAnsi="Times New Roman"/>
          <w:bCs/>
          <w:sz w:val="24"/>
          <w:szCs w:val="24"/>
          <w:lang w:val="es-ES"/>
        </w:rPr>
        <w:t>s</w:t>
      </w:r>
      <w:r w:rsidR="00B57FCC" w:rsidRPr="00507C43">
        <w:rPr>
          <w:rFonts w:ascii="Times New Roman" w:hAnsi="Times New Roman"/>
          <w:bCs/>
          <w:sz w:val="24"/>
          <w:szCs w:val="24"/>
          <w:lang w:val="es-ES"/>
        </w:rPr>
        <w:t xml:space="preserve">, </w:t>
      </w:r>
      <w:r w:rsidR="000F7120">
        <w:rPr>
          <w:rFonts w:ascii="Times New Roman" w:hAnsi="Times New Roman"/>
          <w:bCs/>
          <w:sz w:val="24"/>
          <w:szCs w:val="24"/>
          <w:lang w:val="es-ES"/>
        </w:rPr>
        <w:t xml:space="preserve">o a </w:t>
      </w:r>
      <w:r w:rsidR="00B57FCC" w:rsidRPr="00507C43">
        <w:rPr>
          <w:rFonts w:ascii="Times New Roman" w:hAnsi="Times New Roman"/>
          <w:bCs/>
          <w:sz w:val="24"/>
          <w:szCs w:val="24"/>
          <w:lang w:val="es-ES"/>
        </w:rPr>
        <w:t>agentes o personas que pudieran haber actuado con su aquiescencia</w:t>
      </w:r>
      <w:r w:rsidR="000F7120">
        <w:rPr>
          <w:rFonts w:ascii="Times New Roman" w:hAnsi="Times New Roman"/>
          <w:bCs/>
          <w:sz w:val="24"/>
          <w:szCs w:val="24"/>
          <w:lang w:val="es-ES"/>
        </w:rPr>
        <w:t>. Esa autonomía</w:t>
      </w:r>
      <w:r w:rsidR="00727344" w:rsidRPr="00507C43">
        <w:rPr>
          <w:rFonts w:ascii="Times New Roman" w:hAnsi="Times New Roman"/>
          <w:bCs/>
          <w:sz w:val="24"/>
          <w:szCs w:val="24"/>
          <w:lang w:val="es-ES"/>
        </w:rPr>
        <w:t xml:space="preserve"> implica no sólo ausencia de una conexión jerárquica o institucional, sino también la independencia en términos prácticos. Además, la víctima debe poder participar efectivamente en la in</w:t>
      </w:r>
      <w:r w:rsidR="000F7120">
        <w:rPr>
          <w:rFonts w:ascii="Times New Roman" w:hAnsi="Times New Roman"/>
          <w:bCs/>
          <w:sz w:val="24"/>
          <w:szCs w:val="24"/>
          <w:lang w:val="es-ES"/>
        </w:rPr>
        <w:t>vestigación de una forma u otra</w:t>
      </w:r>
      <w:r w:rsidR="00727344" w:rsidRPr="00507C43">
        <w:rPr>
          <w:rFonts w:ascii="Times New Roman" w:hAnsi="Times New Roman"/>
          <w:bCs/>
          <w:sz w:val="24"/>
          <w:szCs w:val="24"/>
          <w:vertAlign w:val="superscript"/>
          <w:lang w:val="es-ES"/>
        </w:rPr>
        <w:footnoteReference w:id="36"/>
      </w:r>
      <w:r w:rsidR="00F57A38" w:rsidRPr="00507C43">
        <w:rPr>
          <w:rFonts w:ascii="Times New Roman" w:hAnsi="Times New Roman"/>
          <w:bCs/>
          <w:sz w:val="24"/>
          <w:szCs w:val="24"/>
          <w:lang w:val="es-ES"/>
        </w:rPr>
        <w:t>.</w:t>
      </w:r>
    </w:p>
    <w:p w:rsidR="00F57A38" w:rsidRPr="00507C43" w:rsidRDefault="00F57A38" w:rsidP="00507C43">
      <w:pPr>
        <w:pStyle w:val="PrrafodeSentencia"/>
        <w:numPr>
          <w:ilvl w:val="0"/>
          <w:numId w:val="0"/>
        </w:numPr>
        <w:tabs>
          <w:tab w:val="clear" w:pos="567"/>
          <w:tab w:val="left" w:pos="360"/>
        </w:tabs>
        <w:rPr>
          <w:rFonts w:ascii="Times New Roman" w:hAnsi="Times New Roman"/>
          <w:bCs/>
          <w:sz w:val="24"/>
          <w:szCs w:val="24"/>
          <w:lang w:val="es-ES"/>
        </w:rPr>
      </w:pPr>
    </w:p>
    <w:p w:rsidR="000D7B45" w:rsidRPr="00507C43" w:rsidRDefault="00AE5FD5" w:rsidP="00507C43">
      <w:pPr>
        <w:pStyle w:val="PrrafodeSentencia"/>
        <w:numPr>
          <w:ilvl w:val="0"/>
          <w:numId w:val="0"/>
        </w:numPr>
        <w:tabs>
          <w:tab w:val="clear" w:pos="567"/>
          <w:tab w:val="left" w:pos="360"/>
        </w:tabs>
        <w:rPr>
          <w:rFonts w:ascii="Times New Roman" w:hAnsi="Times New Roman"/>
          <w:bCs/>
          <w:sz w:val="24"/>
          <w:szCs w:val="24"/>
          <w:lang w:val="es-ES"/>
        </w:rPr>
      </w:pPr>
      <w:r w:rsidRPr="00507C43">
        <w:rPr>
          <w:rFonts w:ascii="Times New Roman" w:hAnsi="Times New Roman"/>
          <w:bCs/>
          <w:sz w:val="24"/>
          <w:szCs w:val="24"/>
          <w:lang w:val="es-ES"/>
        </w:rPr>
        <w:lastRenderedPageBreak/>
        <w:t>El TEDH precis</w:t>
      </w:r>
      <w:r w:rsidR="00D01380" w:rsidRPr="00507C43">
        <w:rPr>
          <w:rFonts w:ascii="Times New Roman" w:hAnsi="Times New Roman"/>
          <w:bCs/>
          <w:sz w:val="24"/>
          <w:szCs w:val="24"/>
          <w:lang w:val="es-ES"/>
        </w:rPr>
        <w:t>a que, incluso cuando exista un</w:t>
      </w:r>
      <w:r w:rsidRPr="00507C43">
        <w:rPr>
          <w:rFonts w:ascii="Times New Roman" w:hAnsi="Times New Roman"/>
          <w:bCs/>
          <w:sz w:val="24"/>
          <w:szCs w:val="24"/>
          <w:lang w:val="es-ES"/>
        </w:rPr>
        <w:t xml:space="preserve"> interés público en mantener la confidencialidad de las fuentes de información o el contenido mismo de la información, como sucede, por ejemplo, en los casos relacionados con la lucha contra el terrorismo</w:t>
      </w:r>
      <w:r w:rsidR="008F401F" w:rsidRPr="00507C43">
        <w:rPr>
          <w:rFonts w:ascii="Times New Roman" w:hAnsi="Times New Roman"/>
          <w:bCs/>
          <w:sz w:val="24"/>
          <w:szCs w:val="24"/>
          <w:lang w:val="es-ES"/>
        </w:rPr>
        <w:t>, el Estado debe de proporcionar</w:t>
      </w:r>
      <w:r w:rsidRPr="00507C43">
        <w:rPr>
          <w:rFonts w:ascii="Times New Roman" w:hAnsi="Times New Roman"/>
          <w:bCs/>
          <w:sz w:val="24"/>
          <w:szCs w:val="24"/>
          <w:lang w:val="es-ES"/>
        </w:rPr>
        <w:t xml:space="preserve"> a las partes la mayor información que sea posible sin comprometer la seguridad nacional. Y que cuando por las razones apuntadas no se pueda proporcionar toda la información solicitada, habrá que contrarre</w:t>
      </w:r>
      <w:r w:rsidR="000F7120">
        <w:rPr>
          <w:rFonts w:ascii="Times New Roman" w:hAnsi="Times New Roman"/>
          <w:bCs/>
          <w:sz w:val="24"/>
          <w:szCs w:val="24"/>
          <w:lang w:val="es-ES"/>
        </w:rPr>
        <w:t>s</w:t>
      </w:r>
      <w:r w:rsidRPr="00507C43">
        <w:rPr>
          <w:rFonts w:ascii="Times New Roman" w:hAnsi="Times New Roman"/>
          <w:bCs/>
          <w:sz w:val="24"/>
          <w:szCs w:val="24"/>
          <w:lang w:val="es-ES"/>
        </w:rPr>
        <w:t>tar las dificultades que esto cause de tal manera que el demandante pueda defender sus intereses de manera efectiva</w:t>
      </w:r>
      <w:r w:rsidRPr="00507C43">
        <w:rPr>
          <w:rStyle w:val="Refdenotaalpie"/>
          <w:rFonts w:ascii="Times New Roman" w:hAnsi="Times New Roman"/>
          <w:bCs/>
          <w:sz w:val="24"/>
          <w:szCs w:val="24"/>
          <w:lang w:val="es-ES"/>
        </w:rPr>
        <w:footnoteReference w:id="37"/>
      </w:r>
      <w:r w:rsidRPr="00507C43">
        <w:rPr>
          <w:rFonts w:ascii="Times New Roman" w:hAnsi="Times New Roman"/>
          <w:bCs/>
          <w:sz w:val="24"/>
          <w:szCs w:val="24"/>
          <w:lang w:val="es-ES"/>
        </w:rPr>
        <w:t>.</w:t>
      </w:r>
    </w:p>
    <w:p w:rsidR="000D7B45" w:rsidRPr="00507C43" w:rsidRDefault="000D7B45" w:rsidP="00507C43">
      <w:pPr>
        <w:pStyle w:val="PrrafodeSentencia"/>
        <w:numPr>
          <w:ilvl w:val="0"/>
          <w:numId w:val="0"/>
        </w:numPr>
        <w:tabs>
          <w:tab w:val="clear" w:pos="567"/>
          <w:tab w:val="left" w:pos="360"/>
        </w:tabs>
        <w:rPr>
          <w:rFonts w:ascii="Times New Roman" w:hAnsi="Times New Roman"/>
          <w:bCs/>
          <w:sz w:val="24"/>
          <w:szCs w:val="24"/>
          <w:lang w:val="es-ES"/>
        </w:rPr>
      </w:pPr>
    </w:p>
    <w:p w:rsidR="00221196" w:rsidRPr="00507C43" w:rsidRDefault="008F401F" w:rsidP="00507C43">
      <w:pPr>
        <w:pStyle w:val="PrrafodeSentencia"/>
        <w:numPr>
          <w:ilvl w:val="0"/>
          <w:numId w:val="0"/>
        </w:numPr>
        <w:tabs>
          <w:tab w:val="clear" w:pos="567"/>
          <w:tab w:val="left" w:pos="360"/>
        </w:tabs>
        <w:rPr>
          <w:rFonts w:ascii="Times New Roman" w:hAnsi="Times New Roman"/>
          <w:sz w:val="24"/>
          <w:szCs w:val="24"/>
          <w:lang w:val="es-ES"/>
        </w:rPr>
      </w:pPr>
      <w:r w:rsidRPr="00507C43">
        <w:rPr>
          <w:rFonts w:ascii="Times New Roman" w:hAnsi="Times New Roman"/>
          <w:bCs/>
          <w:sz w:val="24"/>
          <w:szCs w:val="24"/>
          <w:lang w:val="es-ES"/>
        </w:rPr>
        <w:t>Otro elemento configurador del derecho a la verdad, que ya hemos adelantado pero que por su importancia conviene recordar</w:t>
      </w:r>
      <w:r w:rsidR="00F854F5">
        <w:rPr>
          <w:rFonts w:ascii="Times New Roman" w:hAnsi="Times New Roman"/>
          <w:bCs/>
          <w:sz w:val="24"/>
          <w:szCs w:val="24"/>
          <w:lang w:val="es-ES"/>
        </w:rPr>
        <w:t>,</w:t>
      </w:r>
      <w:r w:rsidRPr="00507C43">
        <w:rPr>
          <w:rFonts w:ascii="Times New Roman" w:hAnsi="Times New Roman"/>
          <w:bCs/>
          <w:sz w:val="24"/>
          <w:szCs w:val="24"/>
          <w:lang w:val="es-ES"/>
        </w:rPr>
        <w:t xml:space="preserve"> es que </w:t>
      </w:r>
      <w:r w:rsidR="00B57FCC" w:rsidRPr="00507C43">
        <w:rPr>
          <w:rFonts w:ascii="Times New Roman" w:hAnsi="Times New Roman"/>
          <w:bCs/>
          <w:sz w:val="24"/>
          <w:szCs w:val="24"/>
          <w:lang w:val="es-ES"/>
        </w:rPr>
        <w:t>u</w:t>
      </w:r>
      <w:r w:rsidR="006A1E2F" w:rsidRPr="00507C43">
        <w:rPr>
          <w:rFonts w:ascii="Times New Roman" w:hAnsi="Times New Roman"/>
          <w:bCs/>
          <w:sz w:val="24"/>
          <w:szCs w:val="24"/>
          <w:lang w:val="es-ES"/>
        </w:rPr>
        <w:t xml:space="preserve">na investigación efectiva no es solo la que está </w:t>
      </w:r>
      <w:r w:rsidR="00812389" w:rsidRPr="00507C43">
        <w:rPr>
          <w:rFonts w:ascii="Times New Roman" w:hAnsi="Times New Roman"/>
          <w:bCs/>
          <w:sz w:val="24"/>
          <w:szCs w:val="24"/>
          <w:lang w:val="es-ES"/>
        </w:rPr>
        <w:t>orientada</w:t>
      </w:r>
      <w:r w:rsidR="003D50AB" w:rsidRPr="00507C43">
        <w:rPr>
          <w:rFonts w:ascii="Times New Roman" w:hAnsi="Times New Roman"/>
          <w:bCs/>
          <w:sz w:val="24"/>
          <w:szCs w:val="24"/>
          <w:lang w:val="es-ES"/>
        </w:rPr>
        <w:t xml:space="preserve"> a la determinación de la verdad</w:t>
      </w:r>
      <w:r w:rsidR="00F854F5">
        <w:rPr>
          <w:rFonts w:ascii="Times New Roman" w:hAnsi="Times New Roman"/>
          <w:bCs/>
          <w:sz w:val="24"/>
          <w:szCs w:val="24"/>
          <w:lang w:val="es-ES"/>
        </w:rPr>
        <w:t>,</w:t>
      </w:r>
      <w:r w:rsidR="003D50AB" w:rsidRPr="00507C43">
        <w:rPr>
          <w:rFonts w:ascii="Times New Roman" w:hAnsi="Times New Roman"/>
          <w:bCs/>
          <w:sz w:val="24"/>
          <w:szCs w:val="24"/>
          <w:lang w:val="es-ES"/>
        </w:rPr>
        <w:t xml:space="preserve"> sino también a la persecución, captura, enjuiciamiento y eventual castig</w:t>
      </w:r>
      <w:r w:rsidR="0088003D" w:rsidRPr="00507C43">
        <w:rPr>
          <w:rFonts w:ascii="Times New Roman" w:hAnsi="Times New Roman"/>
          <w:bCs/>
          <w:sz w:val="24"/>
          <w:szCs w:val="24"/>
          <w:lang w:val="es-ES"/>
        </w:rPr>
        <w:t xml:space="preserve">o de los </w:t>
      </w:r>
      <w:r w:rsidR="00B57FCC" w:rsidRPr="00507C43">
        <w:rPr>
          <w:rFonts w:ascii="Times New Roman" w:hAnsi="Times New Roman"/>
          <w:bCs/>
          <w:sz w:val="24"/>
          <w:szCs w:val="24"/>
          <w:lang w:val="es-ES"/>
        </w:rPr>
        <w:t>responsables</w:t>
      </w:r>
      <w:r w:rsidR="003D50AB" w:rsidRPr="00507C43">
        <w:rPr>
          <w:rStyle w:val="Refdenotaalpie"/>
          <w:rFonts w:ascii="Times New Roman" w:hAnsi="Times New Roman"/>
          <w:bCs/>
          <w:sz w:val="24"/>
          <w:szCs w:val="24"/>
          <w:lang w:val="es-ES"/>
        </w:rPr>
        <w:footnoteReference w:id="38"/>
      </w:r>
      <w:r w:rsidR="003D50AB" w:rsidRPr="00507C43">
        <w:rPr>
          <w:rFonts w:ascii="Times New Roman" w:hAnsi="Times New Roman"/>
          <w:spacing w:val="-12"/>
          <w:sz w:val="24"/>
          <w:szCs w:val="24"/>
          <w:lang w:val="es-ES"/>
        </w:rPr>
        <w:t>.</w:t>
      </w:r>
      <w:r w:rsidR="00B57FCC" w:rsidRPr="00507C43">
        <w:rPr>
          <w:rFonts w:ascii="Times New Roman" w:hAnsi="Times New Roman"/>
          <w:spacing w:val="-12"/>
          <w:sz w:val="24"/>
          <w:szCs w:val="24"/>
          <w:lang w:val="es-ES"/>
        </w:rPr>
        <w:t xml:space="preserve"> </w:t>
      </w:r>
      <w:r w:rsidR="00F854F5" w:rsidRPr="00F854F5">
        <w:rPr>
          <w:rFonts w:ascii="Times New Roman" w:hAnsi="Times New Roman"/>
          <w:sz w:val="24"/>
          <w:szCs w:val="24"/>
          <w:lang w:val="es-ES"/>
        </w:rPr>
        <w:t>Como hemos señalado en nuestro primer epígrafe, no hablamos de tres derechos</w:t>
      </w:r>
      <w:r w:rsidR="009965F8">
        <w:rPr>
          <w:rFonts w:ascii="Times New Roman" w:hAnsi="Times New Roman"/>
          <w:sz w:val="24"/>
          <w:szCs w:val="24"/>
          <w:lang w:val="es-ES"/>
        </w:rPr>
        <w:t xml:space="preserve"> que</w:t>
      </w:r>
      <w:r w:rsidR="00F854F5">
        <w:rPr>
          <w:rFonts w:ascii="Times New Roman" w:hAnsi="Times New Roman"/>
          <w:sz w:val="24"/>
          <w:szCs w:val="24"/>
          <w:lang w:val="es-ES"/>
        </w:rPr>
        <w:t xml:space="preserve"> </w:t>
      </w:r>
      <w:r w:rsidR="000F7120">
        <w:rPr>
          <w:rFonts w:ascii="Times New Roman" w:hAnsi="Times New Roman"/>
          <w:sz w:val="24"/>
          <w:szCs w:val="24"/>
          <w:lang w:val="es-ES"/>
        </w:rPr>
        <w:t>vayan</w:t>
      </w:r>
      <w:r w:rsidR="00F854F5">
        <w:rPr>
          <w:rFonts w:ascii="Times New Roman" w:hAnsi="Times New Roman"/>
          <w:sz w:val="24"/>
          <w:szCs w:val="24"/>
          <w:lang w:val="es-ES"/>
        </w:rPr>
        <w:t xml:space="preserve"> de la mano</w:t>
      </w:r>
      <w:r w:rsidR="00F854F5" w:rsidRPr="00F854F5">
        <w:rPr>
          <w:rFonts w:ascii="Times New Roman" w:hAnsi="Times New Roman"/>
          <w:sz w:val="24"/>
          <w:szCs w:val="24"/>
          <w:lang w:val="es-ES"/>
        </w:rPr>
        <w:t xml:space="preserve"> sino de un solo derecho con tras vertientes: verdad, justicia y reparación</w:t>
      </w:r>
      <w:r w:rsidR="00221196" w:rsidRPr="00F854F5">
        <w:rPr>
          <w:rStyle w:val="Refdenotaalpie"/>
          <w:rFonts w:ascii="Times New Roman" w:hAnsi="Times New Roman"/>
          <w:sz w:val="24"/>
          <w:szCs w:val="24"/>
          <w:lang w:val="es-ES"/>
        </w:rPr>
        <w:footnoteReference w:id="39"/>
      </w:r>
      <w:r w:rsidR="00221196" w:rsidRPr="00F854F5">
        <w:rPr>
          <w:rFonts w:ascii="Times New Roman" w:hAnsi="Times New Roman"/>
          <w:sz w:val="24"/>
          <w:szCs w:val="24"/>
          <w:lang w:val="es-ES"/>
        </w:rPr>
        <w:t>.</w:t>
      </w:r>
    </w:p>
    <w:p w:rsidR="00221196" w:rsidRPr="00507C43" w:rsidRDefault="00221196" w:rsidP="00507C43">
      <w:pPr>
        <w:pStyle w:val="PrrafodeSentencia"/>
        <w:numPr>
          <w:ilvl w:val="0"/>
          <w:numId w:val="0"/>
        </w:numPr>
        <w:tabs>
          <w:tab w:val="clear" w:pos="567"/>
          <w:tab w:val="left" w:pos="360"/>
        </w:tabs>
        <w:rPr>
          <w:rFonts w:ascii="Times New Roman" w:hAnsi="Times New Roman"/>
          <w:sz w:val="24"/>
          <w:szCs w:val="24"/>
          <w:lang w:val="es-ES"/>
        </w:rPr>
      </w:pPr>
    </w:p>
    <w:p w:rsidR="00134A4B" w:rsidRPr="00507C43" w:rsidRDefault="00221196" w:rsidP="00507C43">
      <w:pPr>
        <w:pStyle w:val="PrrafodeSentencia"/>
        <w:numPr>
          <w:ilvl w:val="0"/>
          <w:numId w:val="0"/>
        </w:numPr>
        <w:tabs>
          <w:tab w:val="clear" w:pos="567"/>
          <w:tab w:val="left" w:pos="360"/>
        </w:tabs>
        <w:rPr>
          <w:rFonts w:ascii="Times New Roman" w:hAnsi="Times New Roman"/>
          <w:sz w:val="24"/>
          <w:szCs w:val="24"/>
          <w:lang w:val="es-ES"/>
        </w:rPr>
      </w:pPr>
      <w:r w:rsidRPr="00507C43">
        <w:rPr>
          <w:rFonts w:ascii="Times New Roman" w:hAnsi="Times New Roman"/>
          <w:sz w:val="24"/>
          <w:szCs w:val="24"/>
          <w:lang w:val="es-ES"/>
        </w:rPr>
        <w:t>Por lo que a esto último se refiere, la</w:t>
      </w:r>
      <w:r w:rsidR="00E27DCE" w:rsidRPr="00507C43">
        <w:rPr>
          <w:rFonts w:ascii="Times New Roman" w:hAnsi="Times New Roman"/>
          <w:sz w:val="24"/>
          <w:szCs w:val="24"/>
          <w:lang w:val="es-ES"/>
        </w:rPr>
        <w:t xml:space="preserve"> relación entre verdad y reparación se recoge en el documento </w:t>
      </w:r>
      <w:r w:rsidR="00E27DCE" w:rsidRPr="00507C43">
        <w:rPr>
          <w:rFonts w:ascii="Times New Roman" w:hAnsi="Times New Roman"/>
          <w:i/>
          <w:sz w:val="24"/>
          <w:szCs w:val="24"/>
          <w:lang w:val="es-ES"/>
        </w:rPr>
        <w:t>Principios y Directrices sobre el derecho a interponer recursos y obtener reparaciones</w:t>
      </w:r>
      <w:r w:rsidR="00E27DCE" w:rsidRPr="00507C43">
        <w:rPr>
          <w:rFonts w:ascii="Times New Roman" w:hAnsi="Times New Roman"/>
          <w:sz w:val="24"/>
          <w:szCs w:val="24"/>
          <w:lang w:val="es-ES"/>
        </w:rPr>
        <w:t>, de Naciones Unidas (2005)</w:t>
      </w:r>
      <w:r w:rsidR="00E27DCE" w:rsidRPr="00507C43">
        <w:rPr>
          <w:rFonts w:ascii="Times New Roman" w:hAnsi="Times New Roman"/>
          <w:sz w:val="24"/>
          <w:szCs w:val="24"/>
          <w:vertAlign w:val="superscript"/>
          <w:lang w:val="es-ES"/>
        </w:rPr>
        <w:footnoteReference w:id="40"/>
      </w:r>
      <w:r w:rsidR="000F7120">
        <w:rPr>
          <w:rFonts w:ascii="Times New Roman" w:hAnsi="Times New Roman"/>
          <w:sz w:val="24"/>
          <w:szCs w:val="24"/>
          <w:lang w:val="es-ES"/>
        </w:rPr>
        <w:t>. El</w:t>
      </w:r>
      <w:r w:rsidR="00E27DCE" w:rsidRPr="00507C43">
        <w:rPr>
          <w:rFonts w:ascii="Times New Roman" w:hAnsi="Times New Roman"/>
          <w:sz w:val="24"/>
          <w:szCs w:val="24"/>
          <w:lang w:val="es-ES"/>
        </w:rPr>
        <w:t xml:space="preserve"> parágrafo 18</w:t>
      </w:r>
      <w:r w:rsidR="000F7120">
        <w:rPr>
          <w:rFonts w:ascii="Times New Roman" w:hAnsi="Times New Roman"/>
          <w:sz w:val="24"/>
          <w:szCs w:val="24"/>
          <w:lang w:val="es-ES"/>
        </w:rPr>
        <w:t xml:space="preserve"> de este documento señala</w:t>
      </w:r>
      <w:r w:rsidR="00E27DCE" w:rsidRPr="00507C43">
        <w:rPr>
          <w:rFonts w:ascii="Times New Roman" w:hAnsi="Times New Roman"/>
          <w:sz w:val="24"/>
          <w:szCs w:val="24"/>
          <w:lang w:val="es-ES"/>
        </w:rPr>
        <w:t xml:space="preserve"> que “conforme al derecho interno y al derecho internacional, y teniendo en cuenta las circunstancias de cada caso, se debería dar a las víctimas de violaciones manifiestas de las normas internacionales de derechos humanos y de violaciones graves del derecho internacional humanitario, de forma apropiada y proporcional a la gravedad de la violación y a las circunstancias de cada caso, una reparación plena y efectiva (…) en las formas siguientes: restitución, indemnización, rehabilitación, satisfacción y garantías de no repetición”. E</w:t>
      </w:r>
      <w:r w:rsidR="000F7120">
        <w:rPr>
          <w:rFonts w:ascii="Times New Roman" w:hAnsi="Times New Roman"/>
          <w:sz w:val="24"/>
          <w:szCs w:val="24"/>
          <w:lang w:val="es-ES"/>
        </w:rPr>
        <w:t xml:space="preserve">l texto </w:t>
      </w:r>
      <w:r w:rsidR="00E27DCE" w:rsidRPr="00507C43">
        <w:rPr>
          <w:rFonts w:ascii="Times New Roman" w:hAnsi="Times New Roman"/>
          <w:sz w:val="24"/>
          <w:szCs w:val="24"/>
          <w:lang w:val="es-ES"/>
        </w:rPr>
        <w:t>señala que cuando sea pertinente y procedente, la satisfacción incluirá la totalidad o parte de las medidas siguientes: “la verificación de los hechos y la revelación pública y completa de la verdad; (...) una declaración oficial o decisión judicial que restablezca la dignidad, la reputación  y los derechos de la víctima y de las personas estrechamente vinculadas a ella; una disculpa pública que incluya el reconocimiento de los hechos y la aceptación de responsabilidades; (...) conmemoraciones y homenajes a las victimas (...)”</w:t>
      </w:r>
      <w:r w:rsidR="00E27DCE" w:rsidRPr="00507C43">
        <w:rPr>
          <w:rFonts w:ascii="Times New Roman" w:hAnsi="Times New Roman"/>
          <w:sz w:val="24"/>
          <w:szCs w:val="24"/>
          <w:vertAlign w:val="superscript"/>
          <w:lang w:val="es-ES"/>
        </w:rPr>
        <w:footnoteReference w:id="41"/>
      </w:r>
      <w:r w:rsidR="00E27DCE" w:rsidRPr="00507C43">
        <w:rPr>
          <w:rFonts w:ascii="Times New Roman" w:hAnsi="Times New Roman"/>
          <w:sz w:val="24"/>
          <w:szCs w:val="24"/>
          <w:lang w:val="es-ES"/>
        </w:rPr>
        <w:t>. E</w:t>
      </w:r>
      <w:r w:rsidR="00CE23B9" w:rsidRPr="00507C43">
        <w:rPr>
          <w:rFonts w:ascii="Times New Roman" w:hAnsi="Times New Roman"/>
          <w:sz w:val="24"/>
          <w:szCs w:val="24"/>
          <w:lang w:val="es-ES"/>
        </w:rPr>
        <w:t>sto es,</w:t>
      </w:r>
      <w:r w:rsidR="00452744" w:rsidRPr="00507C43">
        <w:rPr>
          <w:rFonts w:ascii="Times New Roman" w:hAnsi="Times New Roman"/>
          <w:sz w:val="24"/>
          <w:szCs w:val="24"/>
          <w:lang w:val="es-ES"/>
        </w:rPr>
        <w:t xml:space="preserve"> que se reconozca el daño </w:t>
      </w:r>
      <w:r w:rsidR="00452744" w:rsidRPr="00507C43">
        <w:rPr>
          <w:rFonts w:ascii="Times New Roman" w:hAnsi="Times New Roman"/>
          <w:sz w:val="24"/>
          <w:szCs w:val="24"/>
          <w:lang w:val="es-ES"/>
        </w:rPr>
        <w:lastRenderedPageBreak/>
        <w:t>causado, se restituyan</w:t>
      </w:r>
      <w:r w:rsidR="00CE23B9" w:rsidRPr="00507C43">
        <w:rPr>
          <w:rFonts w:ascii="Times New Roman" w:hAnsi="Times New Roman"/>
          <w:sz w:val="24"/>
          <w:szCs w:val="24"/>
          <w:lang w:val="es-ES"/>
        </w:rPr>
        <w:t>, cuando sea posible,</w:t>
      </w:r>
      <w:r w:rsidR="00452744" w:rsidRPr="00507C43">
        <w:rPr>
          <w:rFonts w:ascii="Times New Roman" w:hAnsi="Times New Roman"/>
          <w:sz w:val="24"/>
          <w:szCs w:val="24"/>
          <w:lang w:val="es-ES"/>
        </w:rPr>
        <w:t xml:space="preserve"> los derechos lesionados, y se satisfagan las indemnizaciones que correspondan.</w:t>
      </w:r>
    </w:p>
    <w:p w:rsidR="00221196" w:rsidRPr="00507C43" w:rsidRDefault="00221196" w:rsidP="00507C43">
      <w:pPr>
        <w:pStyle w:val="PrrafodeSentencia"/>
        <w:numPr>
          <w:ilvl w:val="0"/>
          <w:numId w:val="0"/>
        </w:numPr>
        <w:tabs>
          <w:tab w:val="clear" w:pos="567"/>
          <w:tab w:val="left" w:pos="360"/>
        </w:tabs>
        <w:rPr>
          <w:rFonts w:ascii="Times New Roman" w:hAnsi="Times New Roman"/>
          <w:sz w:val="24"/>
          <w:szCs w:val="24"/>
          <w:lang w:val="es-ES"/>
        </w:rPr>
      </w:pPr>
    </w:p>
    <w:p w:rsidR="00CB4F30" w:rsidRDefault="00221196" w:rsidP="00CB4F30">
      <w:pPr>
        <w:pStyle w:val="PrrafodeSentencia"/>
        <w:numPr>
          <w:ilvl w:val="0"/>
          <w:numId w:val="0"/>
        </w:numPr>
        <w:tabs>
          <w:tab w:val="clear" w:pos="567"/>
          <w:tab w:val="left" w:pos="360"/>
        </w:tabs>
        <w:rPr>
          <w:rFonts w:ascii="Times New Roman" w:hAnsi="Times New Roman"/>
          <w:sz w:val="24"/>
          <w:szCs w:val="24"/>
          <w:lang w:val="es-ES"/>
        </w:rPr>
      </w:pPr>
      <w:r w:rsidRPr="00507C43">
        <w:rPr>
          <w:rFonts w:ascii="Times New Roman" w:hAnsi="Times New Roman"/>
          <w:sz w:val="24"/>
          <w:szCs w:val="24"/>
          <w:lang w:val="es-ES"/>
        </w:rPr>
        <w:t>El derecho a la verdad, cuya complejidad estamos advirtiendo, no solo se concibe como un derecho sino también como una garantía: verdad, justicia y reparación</w:t>
      </w:r>
      <w:r w:rsidR="000F7120">
        <w:rPr>
          <w:rFonts w:ascii="Times New Roman" w:hAnsi="Times New Roman"/>
          <w:sz w:val="24"/>
          <w:szCs w:val="24"/>
          <w:lang w:val="es-ES"/>
        </w:rPr>
        <w:t xml:space="preserve"> son elementos inescindibles que</w:t>
      </w:r>
      <w:r w:rsidRPr="00507C43">
        <w:rPr>
          <w:rFonts w:ascii="Times New Roman" w:hAnsi="Times New Roman"/>
          <w:sz w:val="24"/>
          <w:szCs w:val="24"/>
          <w:lang w:val="es-ES"/>
        </w:rPr>
        <w:t xml:space="preserve"> forman parte de una estrategia jurídica que </w:t>
      </w:r>
      <w:r w:rsidR="000F7120">
        <w:rPr>
          <w:rFonts w:ascii="Times New Roman" w:hAnsi="Times New Roman"/>
          <w:sz w:val="24"/>
          <w:szCs w:val="24"/>
          <w:lang w:val="es-ES"/>
        </w:rPr>
        <w:t xml:space="preserve">tiene </w:t>
      </w:r>
      <w:r w:rsidRPr="00507C43">
        <w:rPr>
          <w:rFonts w:ascii="Times New Roman" w:hAnsi="Times New Roman"/>
          <w:sz w:val="24"/>
          <w:szCs w:val="24"/>
          <w:lang w:val="es-ES"/>
        </w:rPr>
        <w:t xml:space="preserve">como principal objetivo evitar </w:t>
      </w:r>
      <w:r w:rsidR="000F7120">
        <w:rPr>
          <w:rFonts w:ascii="Times New Roman" w:hAnsi="Times New Roman"/>
          <w:sz w:val="24"/>
          <w:szCs w:val="24"/>
          <w:lang w:val="es-ES"/>
        </w:rPr>
        <w:t>que esta clase de violaciones se repitan</w:t>
      </w:r>
      <w:r w:rsidRPr="00507C43">
        <w:rPr>
          <w:rFonts w:ascii="Times New Roman" w:hAnsi="Times New Roman"/>
          <w:sz w:val="24"/>
          <w:szCs w:val="24"/>
          <w:lang w:val="es-ES"/>
        </w:rPr>
        <w:t xml:space="preserve">. </w:t>
      </w:r>
    </w:p>
    <w:p w:rsidR="000F7120" w:rsidRDefault="000F7120" w:rsidP="00CB4F30">
      <w:pPr>
        <w:pStyle w:val="PrrafodeSentencia"/>
        <w:numPr>
          <w:ilvl w:val="0"/>
          <w:numId w:val="0"/>
        </w:numPr>
        <w:tabs>
          <w:tab w:val="clear" w:pos="567"/>
          <w:tab w:val="left" w:pos="360"/>
        </w:tabs>
        <w:rPr>
          <w:rFonts w:ascii="Times New Roman" w:hAnsi="Times New Roman"/>
          <w:sz w:val="24"/>
          <w:szCs w:val="24"/>
          <w:lang w:val="es-ES"/>
        </w:rPr>
      </w:pPr>
    </w:p>
    <w:p w:rsidR="00E337A4" w:rsidRPr="00507C43" w:rsidRDefault="007D2294" w:rsidP="00507C43">
      <w:pPr>
        <w:spacing w:line="240" w:lineRule="auto"/>
        <w:jc w:val="both"/>
        <w:rPr>
          <w:rFonts w:ascii="Times New Roman" w:hAnsi="Times New Roman"/>
          <w:sz w:val="24"/>
          <w:szCs w:val="24"/>
          <w:lang w:val="es-ES"/>
        </w:rPr>
      </w:pPr>
      <w:r w:rsidRPr="00507C43">
        <w:rPr>
          <w:rFonts w:ascii="Times New Roman" w:hAnsi="Times New Roman"/>
          <w:sz w:val="24"/>
          <w:szCs w:val="24"/>
          <w:lang w:val="es-ES"/>
        </w:rPr>
        <w:t>Precisamente esta última cualidad que acabamos de señalar</w:t>
      </w:r>
      <w:r w:rsidR="00367E07" w:rsidRPr="00507C43">
        <w:rPr>
          <w:rFonts w:ascii="Times New Roman" w:hAnsi="Times New Roman"/>
          <w:sz w:val="24"/>
          <w:szCs w:val="24"/>
          <w:lang w:val="es-ES"/>
        </w:rPr>
        <w:t>, la concepción del derecho a la verdad como una garantía de no repetición,</w:t>
      </w:r>
      <w:r w:rsidRPr="00507C43">
        <w:rPr>
          <w:rFonts w:ascii="Times New Roman" w:hAnsi="Times New Roman"/>
          <w:sz w:val="24"/>
          <w:szCs w:val="24"/>
          <w:lang w:val="es-ES"/>
        </w:rPr>
        <w:t xml:space="preserve"> es la que explica la dimensión </w:t>
      </w:r>
      <w:r w:rsidR="00367E07" w:rsidRPr="00507C43">
        <w:rPr>
          <w:rFonts w:ascii="Times New Roman" w:hAnsi="Times New Roman"/>
          <w:sz w:val="24"/>
          <w:szCs w:val="24"/>
          <w:lang w:val="es-ES"/>
        </w:rPr>
        <w:t xml:space="preserve">colectiva que de este derecho se predica. Esto es, además de la dimensión </w:t>
      </w:r>
      <w:r w:rsidRPr="00507C43">
        <w:rPr>
          <w:rFonts w:ascii="Times New Roman" w:hAnsi="Times New Roman"/>
          <w:sz w:val="24"/>
          <w:szCs w:val="24"/>
          <w:lang w:val="es-ES"/>
        </w:rPr>
        <w:t>individual</w:t>
      </w:r>
      <w:r w:rsidR="00367E07" w:rsidRPr="00507C43">
        <w:rPr>
          <w:rFonts w:ascii="Times New Roman" w:hAnsi="Times New Roman"/>
          <w:sz w:val="24"/>
          <w:szCs w:val="24"/>
          <w:lang w:val="es-ES"/>
        </w:rPr>
        <w:t>,</w:t>
      </w:r>
      <w:r w:rsidR="001F1CEC" w:rsidRPr="00507C43">
        <w:rPr>
          <w:rFonts w:ascii="Times New Roman" w:hAnsi="Times New Roman"/>
          <w:sz w:val="24"/>
          <w:szCs w:val="24"/>
          <w:lang w:val="es-ES"/>
        </w:rPr>
        <w:t xml:space="preserve"> </w:t>
      </w:r>
      <w:r w:rsidR="00367E07" w:rsidRPr="00507C43">
        <w:rPr>
          <w:rFonts w:ascii="Times New Roman" w:hAnsi="Times New Roman"/>
          <w:sz w:val="24"/>
          <w:szCs w:val="24"/>
          <w:lang w:val="es-ES"/>
        </w:rPr>
        <w:t>que se corresponde con el derecho</w:t>
      </w:r>
      <w:r w:rsidRPr="00507C43">
        <w:rPr>
          <w:rFonts w:ascii="Times New Roman" w:hAnsi="Times New Roman"/>
          <w:sz w:val="24"/>
          <w:szCs w:val="24"/>
          <w:lang w:val="es-ES"/>
        </w:rPr>
        <w:t xml:space="preserve"> de las víctimas, familiares y allegados</w:t>
      </w:r>
      <w:r w:rsidR="00367E07" w:rsidRPr="00507C43">
        <w:rPr>
          <w:rFonts w:ascii="Times New Roman" w:hAnsi="Times New Roman"/>
          <w:sz w:val="24"/>
          <w:szCs w:val="24"/>
          <w:lang w:val="es-ES"/>
        </w:rPr>
        <w:t>,</w:t>
      </w:r>
      <w:r w:rsidR="00CB4F30" w:rsidRPr="00CB4F30">
        <w:rPr>
          <w:rFonts w:ascii="Times New Roman" w:hAnsi="Times New Roman"/>
          <w:sz w:val="24"/>
          <w:szCs w:val="24"/>
          <w:lang w:val="es-ES"/>
        </w:rPr>
        <w:t xml:space="preserve"> </w:t>
      </w:r>
      <w:r w:rsidR="00CB4F30" w:rsidRPr="00507C43">
        <w:rPr>
          <w:rFonts w:ascii="Times New Roman" w:hAnsi="Times New Roman"/>
          <w:sz w:val="24"/>
          <w:szCs w:val="24"/>
          <w:lang w:val="es-ES"/>
        </w:rPr>
        <w:t>existe un interés publico general en que la verdad sea conocida y se actúe en consecuencia</w:t>
      </w:r>
      <w:r w:rsidR="00367E07" w:rsidRPr="00507C43">
        <w:rPr>
          <w:rFonts w:ascii="Times New Roman" w:hAnsi="Times New Roman"/>
          <w:sz w:val="24"/>
          <w:szCs w:val="24"/>
          <w:lang w:val="es-ES"/>
        </w:rPr>
        <w:t>.</w:t>
      </w:r>
      <w:r w:rsidR="001F1CEC" w:rsidRPr="00507C43">
        <w:rPr>
          <w:rFonts w:ascii="Times New Roman" w:hAnsi="Times New Roman"/>
          <w:sz w:val="24"/>
          <w:szCs w:val="24"/>
          <w:lang w:val="es-ES"/>
        </w:rPr>
        <w:t xml:space="preserve"> La información sobre lo sucedido se concibe como necesaria para combatir la impunidad, reestablecer o fortalecer el Estado de Derecho, la confianza en las instituciones, y para facilitar procesos de reconciliación</w:t>
      </w:r>
      <w:r w:rsidR="001F1CEC" w:rsidRPr="00507C43">
        <w:rPr>
          <w:rStyle w:val="Refdenotaalpie"/>
          <w:rFonts w:ascii="Times New Roman" w:hAnsi="Times New Roman"/>
          <w:sz w:val="24"/>
          <w:szCs w:val="24"/>
          <w:lang w:val="es-ES"/>
        </w:rPr>
        <w:footnoteReference w:id="42"/>
      </w:r>
      <w:r w:rsidR="001F1CEC" w:rsidRPr="00507C43">
        <w:rPr>
          <w:rFonts w:ascii="Times New Roman" w:hAnsi="Times New Roman"/>
          <w:sz w:val="24"/>
          <w:szCs w:val="24"/>
          <w:lang w:val="es-ES"/>
        </w:rPr>
        <w:t xml:space="preserve">. </w:t>
      </w:r>
      <w:r w:rsidR="003E4E9D">
        <w:rPr>
          <w:rFonts w:ascii="Times New Roman" w:hAnsi="Times New Roman"/>
          <w:sz w:val="24"/>
          <w:szCs w:val="24"/>
          <w:lang w:val="es-ES"/>
        </w:rPr>
        <w:t>En este sentido el derecho a la verdad ha sido concebido también como un instrumento para la paz</w:t>
      </w:r>
      <w:r w:rsidR="003E4E9D" w:rsidRPr="00507C43">
        <w:rPr>
          <w:rStyle w:val="Refdenotaalpie"/>
          <w:rFonts w:ascii="Times New Roman" w:hAnsi="Times New Roman"/>
          <w:sz w:val="24"/>
          <w:szCs w:val="24"/>
          <w:lang w:val="es-ES"/>
        </w:rPr>
        <w:footnoteReference w:id="43"/>
      </w:r>
      <w:r w:rsidR="003E4E9D">
        <w:rPr>
          <w:rFonts w:ascii="Times New Roman" w:hAnsi="Times New Roman"/>
          <w:sz w:val="24"/>
          <w:szCs w:val="24"/>
          <w:lang w:val="es-ES"/>
        </w:rPr>
        <w:t>.</w:t>
      </w:r>
    </w:p>
    <w:p w:rsidR="00E31C26" w:rsidRDefault="003E4E9D" w:rsidP="00507C43">
      <w:pPr>
        <w:spacing w:line="240" w:lineRule="auto"/>
        <w:jc w:val="both"/>
        <w:rPr>
          <w:rFonts w:ascii="Times New Roman" w:hAnsi="Times New Roman"/>
          <w:sz w:val="24"/>
          <w:szCs w:val="24"/>
          <w:lang w:val="es-ES"/>
        </w:rPr>
      </w:pPr>
      <w:r>
        <w:rPr>
          <w:rFonts w:ascii="Times New Roman" w:hAnsi="Times New Roman"/>
          <w:sz w:val="24"/>
          <w:szCs w:val="24"/>
          <w:lang w:val="es-ES"/>
        </w:rPr>
        <w:t xml:space="preserve">La dimensión colectiva del derecho a la verdad se reconoce en los </w:t>
      </w:r>
      <w:r>
        <w:rPr>
          <w:rFonts w:ascii="Times New Roman" w:hAnsi="Times New Roman"/>
          <w:i/>
          <w:sz w:val="24"/>
          <w:szCs w:val="24"/>
          <w:lang w:val="es-ES"/>
        </w:rPr>
        <w:t>P</w:t>
      </w:r>
      <w:r w:rsidR="001978FD" w:rsidRPr="00507C43">
        <w:rPr>
          <w:rFonts w:ascii="Times New Roman" w:hAnsi="Times New Roman"/>
          <w:i/>
          <w:sz w:val="24"/>
          <w:szCs w:val="24"/>
          <w:lang w:val="es-ES"/>
        </w:rPr>
        <w:t>rincipios para la protección y la promoción de los derechos humanos mediante la lucha contra la impunidad</w:t>
      </w:r>
      <w:r>
        <w:rPr>
          <w:rFonts w:ascii="Times New Roman" w:hAnsi="Times New Roman"/>
          <w:sz w:val="24"/>
          <w:szCs w:val="24"/>
          <w:lang w:val="es-ES"/>
        </w:rPr>
        <w:t xml:space="preserve"> (1997) cuando </w:t>
      </w:r>
      <w:r w:rsidR="00634815" w:rsidRPr="00507C43">
        <w:rPr>
          <w:rFonts w:ascii="Times New Roman" w:hAnsi="Times New Roman"/>
          <w:sz w:val="24"/>
          <w:szCs w:val="24"/>
          <w:lang w:val="es-ES"/>
        </w:rPr>
        <w:t>atribuye al “pueblo” el “derecho inalienable a conocer la verdad acerca de los acontecimientos del pasado y de las circunstancias y los motivos que condujeron a la perpetración de crímenes aberrantes, violando masiva y sistemáticamente los derechos humanos”. Añadiendo que “el ejercicio pleno y efectivo del derecho a la verdad es esencial para evitar que tales actos puedan repetirse en el futuro”</w:t>
      </w:r>
      <w:r w:rsidR="001978FD" w:rsidRPr="00507C43">
        <w:rPr>
          <w:rFonts w:ascii="Times New Roman" w:hAnsi="Times New Roman"/>
          <w:sz w:val="24"/>
          <w:szCs w:val="24"/>
          <w:vertAlign w:val="superscript"/>
          <w:lang w:val="es-ES"/>
        </w:rPr>
        <w:t xml:space="preserve"> </w:t>
      </w:r>
      <w:r w:rsidR="001978FD" w:rsidRPr="00507C43">
        <w:rPr>
          <w:rFonts w:ascii="Times New Roman" w:hAnsi="Times New Roman"/>
          <w:sz w:val="24"/>
          <w:szCs w:val="24"/>
          <w:vertAlign w:val="superscript"/>
          <w:lang w:val="es-ES"/>
        </w:rPr>
        <w:footnoteReference w:id="44"/>
      </w:r>
      <w:r w:rsidR="00634815" w:rsidRPr="00507C43">
        <w:rPr>
          <w:rFonts w:ascii="Times New Roman" w:hAnsi="Times New Roman"/>
          <w:sz w:val="24"/>
          <w:szCs w:val="24"/>
          <w:lang w:val="es-ES"/>
        </w:rPr>
        <w:t>.</w:t>
      </w:r>
      <w:r w:rsidR="00E337A4" w:rsidRPr="00507C43">
        <w:rPr>
          <w:rFonts w:ascii="Times New Roman" w:hAnsi="Times New Roman"/>
          <w:sz w:val="24"/>
          <w:szCs w:val="24"/>
          <w:lang w:val="es-ES"/>
        </w:rPr>
        <w:t xml:space="preserve"> </w:t>
      </w:r>
    </w:p>
    <w:p w:rsidR="006B69FF" w:rsidRDefault="003E4E9D" w:rsidP="00E31C26">
      <w:pPr>
        <w:spacing w:line="240" w:lineRule="auto"/>
        <w:jc w:val="both"/>
        <w:rPr>
          <w:rFonts w:ascii="Times New Roman" w:hAnsi="Times New Roman"/>
          <w:sz w:val="24"/>
          <w:szCs w:val="24"/>
          <w:lang w:val="es-ES"/>
        </w:rPr>
      </w:pPr>
      <w:r>
        <w:rPr>
          <w:rFonts w:ascii="Times New Roman" w:hAnsi="Times New Roman"/>
          <w:sz w:val="24"/>
          <w:szCs w:val="24"/>
          <w:lang w:val="es-ES"/>
        </w:rPr>
        <w:t>Esta dimensión colectiva</w:t>
      </w:r>
      <w:r w:rsidR="00340317">
        <w:rPr>
          <w:rFonts w:ascii="Times New Roman" w:hAnsi="Times New Roman"/>
          <w:sz w:val="24"/>
          <w:szCs w:val="24"/>
          <w:lang w:val="es-ES"/>
        </w:rPr>
        <w:t xml:space="preserve"> que al derecho se le reconoce</w:t>
      </w:r>
      <w:r w:rsidR="001978FD" w:rsidRPr="00507C43">
        <w:rPr>
          <w:rFonts w:ascii="Times New Roman" w:hAnsi="Times New Roman"/>
          <w:sz w:val="24"/>
          <w:szCs w:val="24"/>
          <w:lang w:val="es-ES"/>
        </w:rPr>
        <w:t xml:space="preserve"> pudiera</w:t>
      </w:r>
      <w:r>
        <w:rPr>
          <w:rFonts w:ascii="Times New Roman" w:hAnsi="Times New Roman"/>
          <w:sz w:val="24"/>
          <w:szCs w:val="24"/>
          <w:lang w:val="es-ES"/>
        </w:rPr>
        <w:t xml:space="preserve"> confundir por lo que a la titularidad </w:t>
      </w:r>
      <w:r w:rsidR="00340317">
        <w:rPr>
          <w:rFonts w:ascii="Times New Roman" w:hAnsi="Times New Roman"/>
          <w:sz w:val="24"/>
          <w:szCs w:val="24"/>
          <w:lang w:val="es-ES"/>
        </w:rPr>
        <w:t xml:space="preserve">del mismo </w:t>
      </w:r>
      <w:r w:rsidR="001978FD" w:rsidRPr="00507C43">
        <w:rPr>
          <w:rFonts w:ascii="Times New Roman" w:hAnsi="Times New Roman"/>
          <w:sz w:val="24"/>
          <w:szCs w:val="24"/>
          <w:lang w:val="es-ES"/>
        </w:rPr>
        <w:t xml:space="preserve">se refiere. </w:t>
      </w:r>
      <w:r w:rsidR="00E337A4" w:rsidRPr="00507C43">
        <w:rPr>
          <w:rFonts w:ascii="Times New Roman" w:hAnsi="Times New Roman"/>
          <w:sz w:val="24"/>
          <w:szCs w:val="24"/>
          <w:lang w:val="es-ES"/>
        </w:rPr>
        <w:t>La verdad trasciende el interés puramente personal</w:t>
      </w:r>
      <w:r w:rsidR="001978FD" w:rsidRPr="00507C43">
        <w:rPr>
          <w:rFonts w:ascii="Times New Roman" w:hAnsi="Times New Roman"/>
          <w:sz w:val="24"/>
          <w:szCs w:val="24"/>
          <w:lang w:val="es-ES"/>
        </w:rPr>
        <w:t xml:space="preserve">, pero lo cierto es </w:t>
      </w:r>
      <w:r>
        <w:rPr>
          <w:rFonts w:ascii="Times New Roman" w:hAnsi="Times New Roman"/>
          <w:sz w:val="24"/>
          <w:szCs w:val="24"/>
          <w:lang w:val="es-ES"/>
        </w:rPr>
        <w:t xml:space="preserve">que el </w:t>
      </w:r>
      <w:r w:rsidR="001978FD" w:rsidRPr="00507C43">
        <w:rPr>
          <w:rFonts w:ascii="Times New Roman" w:hAnsi="Times New Roman"/>
          <w:sz w:val="24"/>
          <w:szCs w:val="24"/>
          <w:lang w:val="es-ES"/>
        </w:rPr>
        <w:t>derecho d</w:t>
      </w:r>
      <w:r w:rsidR="00740057" w:rsidRPr="00507C43">
        <w:rPr>
          <w:rFonts w:ascii="Times New Roman" w:hAnsi="Times New Roman"/>
          <w:sz w:val="24"/>
          <w:szCs w:val="24"/>
          <w:lang w:val="es-ES"/>
        </w:rPr>
        <w:t>el pueblo a conocer la verdad sobre las graves violaciones de los derechos humanos</w:t>
      </w:r>
      <w:r w:rsidR="006B69FF" w:rsidRPr="00507C43">
        <w:rPr>
          <w:rFonts w:ascii="Times New Roman" w:hAnsi="Times New Roman"/>
          <w:sz w:val="24"/>
          <w:szCs w:val="24"/>
          <w:lang w:val="es-ES"/>
        </w:rPr>
        <w:t xml:space="preserve"> </w:t>
      </w:r>
      <w:r w:rsidR="00740057" w:rsidRPr="00507C43">
        <w:rPr>
          <w:rFonts w:ascii="Times New Roman" w:hAnsi="Times New Roman"/>
          <w:sz w:val="24"/>
          <w:szCs w:val="24"/>
          <w:lang w:val="es-ES"/>
        </w:rPr>
        <w:t xml:space="preserve">no se ha traducido en una </w:t>
      </w:r>
      <w:r w:rsidR="006C3CD2" w:rsidRPr="00507C43">
        <w:rPr>
          <w:rFonts w:ascii="Times New Roman" w:hAnsi="Times New Roman"/>
          <w:sz w:val="24"/>
          <w:szCs w:val="24"/>
          <w:lang w:val="es-ES"/>
        </w:rPr>
        <w:t>exte</w:t>
      </w:r>
      <w:r w:rsidR="00740057" w:rsidRPr="00507C43">
        <w:rPr>
          <w:rFonts w:ascii="Times New Roman" w:hAnsi="Times New Roman"/>
          <w:sz w:val="24"/>
          <w:szCs w:val="24"/>
          <w:lang w:val="es-ES"/>
        </w:rPr>
        <w:t>n</w:t>
      </w:r>
      <w:r w:rsidR="006C3CD2" w:rsidRPr="00507C43">
        <w:rPr>
          <w:rFonts w:ascii="Times New Roman" w:hAnsi="Times New Roman"/>
          <w:sz w:val="24"/>
          <w:szCs w:val="24"/>
          <w:lang w:val="es-ES"/>
        </w:rPr>
        <w:t>sión de la legitimidad procesal</w:t>
      </w:r>
      <w:r w:rsidR="00740057" w:rsidRPr="00507C43">
        <w:rPr>
          <w:rFonts w:ascii="Times New Roman" w:hAnsi="Times New Roman"/>
          <w:sz w:val="24"/>
          <w:szCs w:val="24"/>
          <w:lang w:val="es-ES"/>
        </w:rPr>
        <w:t>. El artículo 24.1 de la Convención Internacional</w:t>
      </w:r>
      <w:r w:rsidR="006C3CD2" w:rsidRPr="00507C43">
        <w:rPr>
          <w:rFonts w:ascii="Times New Roman" w:hAnsi="Times New Roman"/>
          <w:sz w:val="24"/>
          <w:szCs w:val="24"/>
          <w:lang w:val="es-ES"/>
        </w:rPr>
        <w:t xml:space="preserve"> no ofrece dudas</w:t>
      </w:r>
      <w:r w:rsidR="00340317">
        <w:rPr>
          <w:rFonts w:ascii="Times New Roman" w:hAnsi="Times New Roman"/>
          <w:sz w:val="24"/>
          <w:szCs w:val="24"/>
          <w:lang w:val="es-ES"/>
        </w:rPr>
        <w:t xml:space="preserve">. El derecho </w:t>
      </w:r>
      <w:r w:rsidR="006C3CD2" w:rsidRPr="00507C43">
        <w:rPr>
          <w:rFonts w:ascii="Times New Roman" w:hAnsi="Times New Roman"/>
          <w:sz w:val="24"/>
          <w:szCs w:val="24"/>
          <w:lang w:val="es-ES"/>
        </w:rPr>
        <w:t>se predica de “la persona desaparecida y de toda persona física que hubiere sufrido un perjuicio directo como consecuencia de una desaparición forzada” (art. 24.1 CDF)</w:t>
      </w:r>
      <w:r w:rsidR="00740057" w:rsidRPr="00507C43">
        <w:rPr>
          <w:rFonts w:ascii="Times New Roman" w:hAnsi="Times New Roman"/>
          <w:sz w:val="24"/>
          <w:szCs w:val="24"/>
          <w:lang w:val="es-ES"/>
        </w:rPr>
        <w:t xml:space="preserve">. </w:t>
      </w:r>
      <w:r w:rsidR="00E31C26">
        <w:rPr>
          <w:rFonts w:ascii="Times New Roman" w:hAnsi="Times New Roman"/>
          <w:sz w:val="24"/>
          <w:szCs w:val="24"/>
          <w:lang w:val="es-ES"/>
        </w:rPr>
        <w:t>En</w:t>
      </w:r>
      <w:r w:rsidR="00740057" w:rsidRPr="00507C43">
        <w:rPr>
          <w:rFonts w:ascii="Times New Roman" w:hAnsi="Times New Roman"/>
          <w:sz w:val="24"/>
          <w:szCs w:val="24"/>
          <w:lang w:val="es-ES"/>
        </w:rPr>
        <w:t xml:space="preserve"> este sentido se han pronunciado tanto la </w:t>
      </w:r>
      <w:r w:rsidR="00880BA0" w:rsidRPr="00880BA0">
        <w:rPr>
          <w:rFonts w:ascii="Times New Roman" w:hAnsi="Times New Roman"/>
          <w:sz w:val="24"/>
          <w:szCs w:val="24"/>
          <w:lang w:val="es-ES"/>
        </w:rPr>
        <w:t xml:space="preserve">Corte Interamericana </w:t>
      </w:r>
      <w:r w:rsidR="00740057" w:rsidRPr="00507C43">
        <w:rPr>
          <w:rFonts w:ascii="Times New Roman" w:hAnsi="Times New Roman"/>
          <w:sz w:val="24"/>
          <w:szCs w:val="24"/>
          <w:lang w:val="es-ES"/>
        </w:rPr>
        <w:t>como el TEDH, que reconociendo ambos la doble dimensión del derecho, s</w:t>
      </w:r>
      <w:r w:rsidR="00340317">
        <w:rPr>
          <w:rFonts w:ascii="Times New Roman" w:hAnsi="Times New Roman"/>
          <w:sz w:val="24"/>
          <w:szCs w:val="24"/>
          <w:lang w:val="es-ES"/>
        </w:rPr>
        <w:t>olo se lo han atribuido a</w:t>
      </w:r>
      <w:r w:rsidR="0066388F" w:rsidRPr="00507C43">
        <w:rPr>
          <w:rFonts w:ascii="Times New Roman" w:hAnsi="Times New Roman"/>
          <w:sz w:val="24"/>
          <w:szCs w:val="24"/>
          <w:lang w:val="es-ES"/>
        </w:rPr>
        <w:t xml:space="preserve"> las víctimas, familiares y allegados</w:t>
      </w:r>
      <w:r w:rsidR="00634815" w:rsidRPr="00507C43">
        <w:rPr>
          <w:rFonts w:ascii="Times New Roman" w:hAnsi="Times New Roman"/>
          <w:sz w:val="24"/>
          <w:szCs w:val="24"/>
          <w:vertAlign w:val="superscript"/>
          <w:lang w:val="es-ES"/>
        </w:rPr>
        <w:footnoteReference w:id="45"/>
      </w:r>
      <w:r w:rsidR="00873E1A" w:rsidRPr="00507C43">
        <w:rPr>
          <w:rFonts w:ascii="Times New Roman" w:hAnsi="Times New Roman"/>
          <w:sz w:val="24"/>
          <w:szCs w:val="24"/>
          <w:lang w:val="es-ES"/>
        </w:rPr>
        <w:t>.</w:t>
      </w:r>
    </w:p>
    <w:p w:rsidR="00340317" w:rsidRDefault="00340317" w:rsidP="00E31C26">
      <w:pPr>
        <w:spacing w:line="240" w:lineRule="auto"/>
        <w:jc w:val="both"/>
        <w:rPr>
          <w:rFonts w:ascii="Times New Roman" w:hAnsi="Times New Roman"/>
          <w:b/>
          <w:sz w:val="24"/>
          <w:szCs w:val="24"/>
          <w:lang w:val="es-ES"/>
        </w:rPr>
      </w:pPr>
    </w:p>
    <w:p w:rsidR="00340317" w:rsidRPr="00340317" w:rsidRDefault="00340317" w:rsidP="00E31C26">
      <w:pPr>
        <w:spacing w:line="240" w:lineRule="auto"/>
        <w:jc w:val="both"/>
        <w:rPr>
          <w:rFonts w:ascii="Times New Roman" w:hAnsi="Times New Roman"/>
          <w:b/>
          <w:sz w:val="24"/>
          <w:szCs w:val="24"/>
          <w:lang w:val="es-ES"/>
        </w:rPr>
      </w:pPr>
      <w:r>
        <w:rPr>
          <w:rFonts w:ascii="Times New Roman" w:hAnsi="Times New Roman"/>
          <w:b/>
          <w:sz w:val="24"/>
          <w:szCs w:val="24"/>
          <w:lang w:val="es-ES"/>
        </w:rPr>
        <w:t xml:space="preserve">IV. </w:t>
      </w:r>
      <w:r w:rsidRPr="00340317">
        <w:rPr>
          <w:rFonts w:ascii="Times New Roman" w:hAnsi="Times New Roman"/>
          <w:b/>
          <w:sz w:val="24"/>
          <w:szCs w:val="24"/>
          <w:lang w:val="es-ES"/>
        </w:rPr>
        <w:t>AMNISTÍA: PAZ A CAMBIO DE IMPUNIDAD</w:t>
      </w:r>
    </w:p>
    <w:p w:rsidR="00944BC0" w:rsidRPr="00507C43" w:rsidRDefault="00082626" w:rsidP="00507C43">
      <w:pPr>
        <w:spacing w:line="240" w:lineRule="auto"/>
        <w:jc w:val="both"/>
        <w:rPr>
          <w:rFonts w:ascii="Times New Roman" w:eastAsia="Times New Roman" w:hAnsi="Times New Roman"/>
          <w:sz w:val="24"/>
          <w:szCs w:val="24"/>
          <w:lang w:val="es-ES"/>
        </w:rPr>
      </w:pPr>
      <w:r>
        <w:rPr>
          <w:rFonts w:ascii="Times New Roman" w:eastAsia="Times New Roman" w:hAnsi="Times New Roman"/>
          <w:sz w:val="24"/>
          <w:szCs w:val="24"/>
          <w:lang w:val="es-ES"/>
        </w:rPr>
        <w:t xml:space="preserve">Desde el primer epígrafe de este trabajo venimos recordando que el </w:t>
      </w:r>
      <w:r w:rsidR="00944BC0" w:rsidRPr="00507C43">
        <w:rPr>
          <w:rFonts w:ascii="Times New Roman" w:eastAsia="Times New Roman" w:hAnsi="Times New Roman"/>
          <w:sz w:val="24"/>
          <w:szCs w:val="24"/>
          <w:lang w:val="es-ES"/>
        </w:rPr>
        <w:t>derecho</w:t>
      </w:r>
      <w:r>
        <w:rPr>
          <w:rFonts w:ascii="Times New Roman" w:eastAsia="Times New Roman" w:hAnsi="Times New Roman"/>
          <w:sz w:val="24"/>
          <w:szCs w:val="24"/>
          <w:lang w:val="es-ES"/>
        </w:rPr>
        <w:t xml:space="preserve"> a la verdad, como manifestación necesaria del derecho</w:t>
      </w:r>
      <w:r w:rsidR="00944BC0" w:rsidRPr="00507C43">
        <w:rPr>
          <w:rFonts w:ascii="Times New Roman" w:eastAsia="Times New Roman" w:hAnsi="Times New Roman"/>
          <w:sz w:val="24"/>
          <w:szCs w:val="24"/>
          <w:lang w:val="es-ES"/>
        </w:rPr>
        <w:t xml:space="preserve"> de acceso a la justicia</w:t>
      </w:r>
      <w:r>
        <w:rPr>
          <w:rFonts w:ascii="Times New Roman" w:eastAsia="Times New Roman" w:hAnsi="Times New Roman"/>
          <w:sz w:val="24"/>
          <w:szCs w:val="24"/>
          <w:lang w:val="es-ES"/>
        </w:rPr>
        <w:t>,</w:t>
      </w:r>
      <w:r w:rsidR="00944BC0" w:rsidRPr="00507C43">
        <w:rPr>
          <w:rFonts w:ascii="Times New Roman" w:eastAsia="Times New Roman" w:hAnsi="Times New Roman"/>
          <w:sz w:val="24"/>
          <w:szCs w:val="24"/>
          <w:lang w:val="es-ES"/>
        </w:rPr>
        <w:t xml:space="preserve"> </w:t>
      </w:r>
      <w:r>
        <w:rPr>
          <w:rFonts w:ascii="Times New Roman" w:eastAsia="Times New Roman" w:hAnsi="Times New Roman"/>
          <w:sz w:val="24"/>
          <w:szCs w:val="24"/>
          <w:lang w:val="es-ES"/>
        </w:rPr>
        <w:t xml:space="preserve">ampara a las víctimas (incluidos familiares y allegados) en su pretensión de </w:t>
      </w:r>
      <w:r w:rsidR="00944BC0" w:rsidRPr="00507C43">
        <w:rPr>
          <w:rFonts w:ascii="Times New Roman" w:eastAsia="Times New Roman" w:hAnsi="Times New Roman"/>
          <w:sz w:val="24"/>
          <w:szCs w:val="24"/>
          <w:lang w:val="es-ES"/>
        </w:rPr>
        <w:t>q</w:t>
      </w:r>
      <w:r w:rsidR="005C2B9A" w:rsidRPr="00507C43">
        <w:rPr>
          <w:rFonts w:ascii="Times New Roman" w:eastAsia="Times New Roman" w:hAnsi="Times New Roman"/>
          <w:sz w:val="24"/>
          <w:szCs w:val="24"/>
          <w:lang w:val="es-ES"/>
        </w:rPr>
        <w:t xml:space="preserve">ue se </w:t>
      </w:r>
      <w:r w:rsidR="00296BE1">
        <w:rPr>
          <w:rFonts w:ascii="Times New Roman" w:eastAsia="Times New Roman" w:hAnsi="Times New Roman"/>
          <w:sz w:val="24"/>
          <w:szCs w:val="24"/>
          <w:lang w:val="es-ES"/>
        </w:rPr>
        <w:t>esclarezcan los hechos</w:t>
      </w:r>
      <w:r w:rsidR="00944BC0" w:rsidRPr="00507C43">
        <w:rPr>
          <w:rFonts w:ascii="Times New Roman" w:eastAsiaTheme="minorHAnsi" w:hAnsi="Times New Roman"/>
          <w:sz w:val="24"/>
          <w:szCs w:val="24"/>
          <w:lang w:val="es-ES"/>
        </w:rPr>
        <w:t>, se identifique</w:t>
      </w:r>
      <w:r w:rsidR="001F7D75">
        <w:rPr>
          <w:rFonts w:ascii="Times New Roman" w:eastAsiaTheme="minorHAnsi" w:hAnsi="Times New Roman"/>
          <w:sz w:val="24"/>
          <w:szCs w:val="24"/>
          <w:lang w:val="es-ES"/>
        </w:rPr>
        <w:t>n</w:t>
      </w:r>
      <w:r w:rsidR="00944BC0" w:rsidRPr="00507C43">
        <w:rPr>
          <w:rFonts w:ascii="Times New Roman" w:eastAsiaTheme="minorHAnsi" w:hAnsi="Times New Roman"/>
          <w:sz w:val="24"/>
          <w:szCs w:val="24"/>
          <w:lang w:val="es-ES"/>
        </w:rPr>
        <w:t xml:space="preserve"> y se sancione</w:t>
      </w:r>
      <w:r w:rsidR="001F7D75">
        <w:rPr>
          <w:rFonts w:ascii="Times New Roman" w:eastAsiaTheme="minorHAnsi" w:hAnsi="Times New Roman"/>
          <w:sz w:val="24"/>
          <w:szCs w:val="24"/>
          <w:lang w:val="es-ES"/>
        </w:rPr>
        <w:t>n</w:t>
      </w:r>
      <w:r w:rsidR="00944BC0" w:rsidRPr="00507C43">
        <w:rPr>
          <w:rFonts w:ascii="Times New Roman" w:eastAsiaTheme="minorHAnsi" w:hAnsi="Times New Roman"/>
          <w:sz w:val="24"/>
          <w:szCs w:val="24"/>
          <w:lang w:val="es-ES"/>
        </w:rPr>
        <w:t xml:space="preserve"> a los responsables y </w:t>
      </w:r>
      <w:r>
        <w:rPr>
          <w:rFonts w:ascii="Times New Roman" w:eastAsiaTheme="minorHAnsi" w:hAnsi="Times New Roman"/>
          <w:sz w:val="24"/>
          <w:szCs w:val="24"/>
          <w:lang w:val="es-ES"/>
        </w:rPr>
        <w:t>se obtengan las reparaciones que</w:t>
      </w:r>
      <w:r w:rsidR="00296BE1">
        <w:rPr>
          <w:rFonts w:ascii="Times New Roman" w:eastAsiaTheme="minorHAnsi" w:hAnsi="Times New Roman"/>
          <w:sz w:val="24"/>
          <w:szCs w:val="24"/>
          <w:lang w:val="es-ES"/>
        </w:rPr>
        <w:t xml:space="preserve"> corresponda</w:t>
      </w:r>
      <w:r>
        <w:rPr>
          <w:rFonts w:ascii="Times New Roman" w:eastAsiaTheme="minorHAnsi" w:hAnsi="Times New Roman"/>
          <w:sz w:val="24"/>
          <w:szCs w:val="24"/>
          <w:lang w:val="es-ES"/>
        </w:rPr>
        <w:t xml:space="preserve">. </w:t>
      </w:r>
      <w:r w:rsidR="005C2B9A" w:rsidRPr="00507C43">
        <w:rPr>
          <w:rFonts w:ascii="Times New Roman" w:eastAsia="Times New Roman" w:hAnsi="Times New Roman"/>
          <w:sz w:val="24"/>
          <w:szCs w:val="24"/>
          <w:lang w:val="es-ES"/>
        </w:rPr>
        <w:t xml:space="preserve"> </w:t>
      </w:r>
    </w:p>
    <w:p w:rsidR="00D31AD5" w:rsidRPr="00507C43" w:rsidRDefault="00D31AD5" w:rsidP="00507C43">
      <w:pPr>
        <w:spacing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La obligación de investigar los hechos en el marco de un procedimiento judicial, al objeto de depurar responsabilidades plantea un problema importante en los procesos transicionales, pues a veces las leyes de amnistía o medidas graciables similares son utilizadas como moneda de cambio para garantizar una transición pacífica hacia la democracia. Cuando la prioridad es esta, en ocasiones el fin justifica los medios.</w:t>
      </w:r>
    </w:p>
    <w:p w:rsidR="00EF45E5" w:rsidRPr="00507C43" w:rsidRDefault="00D31AD5" w:rsidP="00507C43">
      <w:pPr>
        <w:spacing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 xml:space="preserve">Que no debiera ser así está fuera de discusión. Esta clase de leyes o decisiones </w:t>
      </w:r>
      <w:r w:rsidRPr="00507C43">
        <w:rPr>
          <w:rFonts w:ascii="Times New Roman" w:hAnsi="Times New Roman"/>
          <w:color w:val="282425"/>
          <w:sz w:val="24"/>
          <w:szCs w:val="24"/>
          <w:lang w:val="es-ES"/>
        </w:rPr>
        <w:t xml:space="preserve">que impiden la investigación y/o el enjuiciamiento de los </w:t>
      </w:r>
      <w:r w:rsidR="001F7D75">
        <w:rPr>
          <w:rFonts w:ascii="Times New Roman" w:hAnsi="Times New Roman"/>
          <w:color w:val="282425"/>
          <w:sz w:val="24"/>
          <w:szCs w:val="24"/>
          <w:lang w:val="es-ES"/>
        </w:rPr>
        <w:t>responsables</w:t>
      </w:r>
      <w:r w:rsidRPr="00507C43">
        <w:rPr>
          <w:rFonts w:ascii="Times New Roman" w:hAnsi="Times New Roman"/>
          <w:color w:val="282425"/>
          <w:sz w:val="24"/>
          <w:szCs w:val="24"/>
          <w:lang w:val="es-ES"/>
        </w:rPr>
        <w:t xml:space="preserve"> de violaciones de los derechos humanos</w:t>
      </w:r>
      <w:r w:rsidRPr="00507C43">
        <w:rPr>
          <w:rFonts w:ascii="Times New Roman" w:eastAsia="Times New Roman" w:hAnsi="Times New Roman"/>
          <w:sz w:val="24"/>
          <w:szCs w:val="24"/>
          <w:lang w:val="es-ES"/>
        </w:rPr>
        <w:t xml:space="preserve"> contravienen la obligación que los Estados tienen de combatir la impunidad</w:t>
      </w:r>
      <w:r w:rsidR="00AC54CB" w:rsidRPr="00507C43">
        <w:rPr>
          <w:rFonts w:ascii="Times New Roman" w:eastAsia="Times New Roman" w:hAnsi="Times New Roman"/>
          <w:sz w:val="24"/>
          <w:szCs w:val="24"/>
          <w:lang w:val="es-ES"/>
        </w:rPr>
        <w:t>, de hacer justicia</w:t>
      </w:r>
      <w:r w:rsidRPr="00507C43">
        <w:rPr>
          <w:rFonts w:ascii="Times New Roman" w:eastAsia="Times New Roman" w:hAnsi="Times New Roman"/>
          <w:sz w:val="24"/>
          <w:szCs w:val="24"/>
          <w:lang w:val="es-ES"/>
        </w:rPr>
        <w:t xml:space="preserve"> y de garantizar que las víctimas y sus familiares conozcan la verdad</w:t>
      </w:r>
      <w:r w:rsidRPr="00507C43">
        <w:rPr>
          <w:rStyle w:val="Refdenotaalpie"/>
          <w:rFonts w:ascii="Times New Roman" w:hAnsi="Times New Roman"/>
          <w:color w:val="282425"/>
          <w:sz w:val="24"/>
          <w:szCs w:val="24"/>
          <w:lang w:val="es-ES"/>
        </w:rPr>
        <w:footnoteReference w:id="46"/>
      </w:r>
      <w:r w:rsidRPr="00507C43">
        <w:rPr>
          <w:rFonts w:ascii="Times New Roman" w:eastAsia="Times New Roman" w:hAnsi="Times New Roman"/>
          <w:sz w:val="24"/>
          <w:szCs w:val="24"/>
          <w:lang w:val="es-ES"/>
        </w:rPr>
        <w:t xml:space="preserve">. </w:t>
      </w:r>
    </w:p>
    <w:p w:rsidR="00EF45E5" w:rsidRPr="00507C43" w:rsidRDefault="00EF45E5" w:rsidP="00507C43">
      <w:pPr>
        <w:spacing w:before="100" w:beforeAutospacing="1" w:after="100" w:afterAutospacing="1" w:line="240" w:lineRule="auto"/>
        <w:jc w:val="both"/>
        <w:rPr>
          <w:rFonts w:ascii="Times New Roman" w:eastAsia="Times New Roman" w:hAnsi="Times New Roman"/>
          <w:sz w:val="24"/>
          <w:szCs w:val="24"/>
          <w:lang w:val="es-ES" w:eastAsia="es-ES_tradnl"/>
        </w:rPr>
      </w:pPr>
      <w:r w:rsidRPr="00507C43">
        <w:rPr>
          <w:rFonts w:ascii="Times New Roman" w:eastAsia="Times New Roman" w:hAnsi="Times New Roman"/>
          <w:sz w:val="24"/>
          <w:szCs w:val="24"/>
          <w:lang w:val="es-ES"/>
        </w:rPr>
        <w:t>En relación con las leyes de amnistía es muy elocuente el Informe de la</w:t>
      </w:r>
      <w:r w:rsidR="00AC54CB" w:rsidRPr="00507C43">
        <w:rPr>
          <w:rFonts w:ascii="Times New Roman" w:eastAsia="Times New Roman" w:hAnsi="Times New Roman"/>
          <w:sz w:val="24"/>
          <w:szCs w:val="24"/>
          <w:lang w:val="es-ES"/>
        </w:rPr>
        <w:t xml:space="preserve"> Comisión Interamericana de Derechos Humanos en el </w:t>
      </w:r>
      <w:r w:rsidR="00AC54CB" w:rsidRPr="00507C43">
        <w:rPr>
          <w:rFonts w:ascii="Times New Roman" w:eastAsia="Times New Roman" w:hAnsi="Times New Roman"/>
          <w:i/>
          <w:sz w:val="24"/>
          <w:szCs w:val="24"/>
          <w:lang w:val="es-ES"/>
        </w:rPr>
        <w:t>Caso Monseñor Oscar Arnulfo Romero y Galdamez</w:t>
      </w:r>
      <w:r w:rsidR="00AC54CB" w:rsidRPr="00507C43">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que en un mismo parágrafo subraya, por un lado, la clara incompatibilidad de este tipo de mendidas con la Convención</w:t>
      </w:r>
      <w:r w:rsidR="001F7D75">
        <w:rPr>
          <w:rFonts w:ascii="Times New Roman" w:eastAsia="Times New Roman" w:hAnsi="Times New Roman"/>
          <w:sz w:val="24"/>
          <w:szCs w:val="24"/>
          <w:lang w:val="es-ES"/>
        </w:rPr>
        <w:t xml:space="preserve"> Americana,</w:t>
      </w:r>
      <w:r w:rsidRPr="00507C43">
        <w:rPr>
          <w:rFonts w:ascii="Times New Roman" w:eastAsia="Times New Roman" w:hAnsi="Times New Roman"/>
          <w:sz w:val="24"/>
          <w:szCs w:val="24"/>
          <w:lang w:val="es-ES"/>
        </w:rPr>
        <w:t xml:space="preserve"> en cuanto que “</w:t>
      </w:r>
      <w:r w:rsidR="00AC54CB" w:rsidRPr="00507C43">
        <w:rPr>
          <w:rFonts w:ascii="Times New Roman" w:eastAsia="Times New Roman" w:hAnsi="Times New Roman"/>
          <w:sz w:val="24"/>
          <w:szCs w:val="24"/>
          <w:lang w:val="es-ES" w:eastAsia="es-ES_tradnl"/>
        </w:rPr>
        <w:t>eliminan la medida más efectiva para la vigencia de los derechos humanos, esto es, el enjuiciamiento y castigo de los responsables de violaciones de tales derechos”</w:t>
      </w:r>
      <w:r w:rsidRPr="00507C43">
        <w:rPr>
          <w:rFonts w:ascii="Times New Roman" w:eastAsia="Times New Roman" w:hAnsi="Times New Roman"/>
          <w:sz w:val="24"/>
          <w:szCs w:val="24"/>
          <w:lang w:val="es-ES" w:eastAsia="es-ES_tradnl"/>
        </w:rPr>
        <w:t>, y, por otro, reconoce que la ubicación del derecho a la verdad en el marco del derecho a la libertad de información (artículo 13) no solo “permite a la sociedad el acceso a información esencial para el desarrollo de los sistemas democráticos</w:t>
      </w:r>
      <w:r w:rsidR="001F7D75">
        <w:rPr>
          <w:rFonts w:ascii="Times New Roman" w:eastAsia="Times New Roman" w:hAnsi="Times New Roman"/>
          <w:sz w:val="24"/>
          <w:szCs w:val="24"/>
          <w:lang w:val="es-ES" w:eastAsia="es-ES_tradnl"/>
        </w:rPr>
        <w:t>”, sino que también proporciona</w:t>
      </w:r>
      <w:r w:rsidRPr="00507C43">
        <w:rPr>
          <w:rFonts w:ascii="Times New Roman" w:eastAsia="Times New Roman" w:hAnsi="Times New Roman"/>
          <w:sz w:val="24"/>
          <w:szCs w:val="24"/>
          <w:lang w:val="es-ES" w:eastAsia="es-ES_tradnl"/>
        </w:rPr>
        <w:t xml:space="preserve"> a los familiares de la victimas “una forma de reparación, especialmente ante la ap</w:t>
      </w:r>
      <w:r w:rsidR="00647893" w:rsidRPr="00507C43">
        <w:rPr>
          <w:rFonts w:ascii="Times New Roman" w:eastAsia="Times New Roman" w:hAnsi="Times New Roman"/>
          <w:sz w:val="24"/>
          <w:szCs w:val="24"/>
          <w:lang w:val="es-ES" w:eastAsia="es-ES_tradnl"/>
        </w:rPr>
        <w:t>licació</w:t>
      </w:r>
      <w:r w:rsidR="001F7D75">
        <w:rPr>
          <w:rFonts w:ascii="Times New Roman" w:eastAsia="Times New Roman" w:hAnsi="Times New Roman"/>
          <w:sz w:val="24"/>
          <w:szCs w:val="24"/>
          <w:lang w:val="es-ES" w:eastAsia="es-ES_tradnl"/>
        </w:rPr>
        <w:t>n de leyes de amnistía”. Esto es,</w:t>
      </w:r>
      <w:r w:rsidR="00235C07">
        <w:rPr>
          <w:rFonts w:ascii="Times New Roman" w:eastAsia="Times New Roman" w:hAnsi="Times New Roman"/>
          <w:sz w:val="24"/>
          <w:szCs w:val="24"/>
          <w:lang w:val="es-ES" w:eastAsia="es-ES_tradnl"/>
        </w:rPr>
        <w:t xml:space="preserve"> pese a la prohibición absoluta de la que parte, </w:t>
      </w:r>
      <w:r w:rsidR="001F7D75">
        <w:rPr>
          <w:rFonts w:ascii="Times New Roman" w:eastAsia="Times New Roman" w:hAnsi="Times New Roman"/>
          <w:sz w:val="24"/>
          <w:szCs w:val="24"/>
          <w:lang w:val="es-ES" w:eastAsia="es-ES_tradnl"/>
        </w:rPr>
        <w:t>la Comisión Interamericana reconoce la virtualidad del derecho a la libertad de información como vía para averiguar la verdad de los hechos para el caso de que la puerta de los tribunales est</w:t>
      </w:r>
      <w:r w:rsidR="00235C07">
        <w:rPr>
          <w:rFonts w:ascii="Times New Roman" w:eastAsia="Times New Roman" w:hAnsi="Times New Roman"/>
          <w:sz w:val="24"/>
          <w:szCs w:val="24"/>
          <w:lang w:val="es-ES" w:eastAsia="es-ES_tradnl"/>
        </w:rPr>
        <w:t>uviera cerrada</w:t>
      </w:r>
      <w:r w:rsidRPr="00507C43">
        <w:rPr>
          <w:rStyle w:val="Refdenotaalpie"/>
          <w:rFonts w:ascii="Times New Roman" w:eastAsia="Times New Roman" w:hAnsi="Times New Roman"/>
          <w:sz w:val="24"/>
          <w:szCs w:val="24"/>
          <w:lang w:val="es-ES" w:eastAsia="es-ES_tradnl"/>
        </w:rPr>
        <w:footnoteReference w:id="47"/>
      </w:r>
      <w:r w:rsidRPr="00507C43">
        <w:rPr>
          <w:rFonts w:ascii="Times New Roman" w:eastAsia="Times New Roman" w:hAnsi="Times New Roman"/>
          <w:sz w:val="24"/>
          <w:szCs w:val="24"/>
          <w:lang w:val="es-ES" w:eastAsia="es-ES_tradnl"/>
        </w:rPr>
        <w:t>.</w:t>
      </w:r>
    </w:p>
    <w:p w:rsidR="00D31AD5" w:rsidRPr="00507C43" w:rsidRDefault="00647893" w:rsidP="00507C43">
      <w:pPr>
        <w:spacing w:line="240" w:lineRule="auto"/>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lastRenderedPageBreak/>
        <w:t>Las leyes de amnistía s</w:t>
      </w:r>
      <w:r w:rsidR="00D31AD5" w:rsidRPr="00507C43">
        <w:rPr>
          <w:rFonts w:ascii="Times New Roman" w:eastAsia="Times New Roman" w:hAnsi="Times New Roman"/>
          <w:sz w:val="24"/>
          <w:szCs w:val="24"/>
          <w:lang w:val="es-ES"/>
        </w:rPr>
        <w:t>on leyes impuestas por las circunstancias.</w:t>
      </w:r>
      <w:r w:rsidRPr="00507C43">
        <w:rPr>
          <w:rFonts w:ascii="Times New Roman" w:eastAsia="Times New Roman" w:hAnsi="Times New Roman"/>
          <w:sz w:val="24"/>
          <w:szCs w:val="24"/>
          <w:lang w:val="es-ES"/>
        </w:rPr>
        <w:t xml:space="preserve"> E</w:t>
      </w:r>
      <w:r w:rsidR="000156CA">
        <w:rPr>
          <w:rFonts w:ascii="Times New Roman" w:eastAsia="Times New Roman" w:hAnsi="Times New Roman"/>
          <w:sz w:val="24"/>
          <w:szCs w:val="24"/>
          <w:lang w:val="es-ES"/>
        </w:rPr>
        <w:t xml:space="preserve">fectivamente, </w:t>
      </w:r>
      <w:r w:rsidRPr="00507C43">
        <w:rPr>
          <w:rFonts w:ascii="Times New Roman" w:eastAsia="Times New Roman" w:hAnsi="Times New Roman"/>
          <w:sz w:val="24"/>
          <w:szCs w:val="24"/>
          <w:lang w:val="es-ES"/>
        </w:rPr>
        <w:t>no debieran existir. El Derecho Internacional de los Derechos Humanos las prohíbe, pero el Derecho</w:t>
      </w:r>
      <w:r w:rsidR="000156CA">
        <w:rPr>
          <w:rFonts w:ascii="Times New Roman" w:eastAsia="Times New Roman" w:hAnsi="Times New Roman"/>
          <w:sz w:val="24"/>
          <w:szCs w:val="24"/>
          <w:lang w:val="es-ES"/>
        </w:rPr>
        <w:t xml:space="preserve"> es</w:t>
      </w:r>
      <w:r w:rsidRPr="00507C43">
        <w:rPr>
          <w:rFonts w:ascii="Times New Roman" w:eastAsia="Times New Roman" w:hAnsi="Times New Roman"/>
          <w:sz w:val="24"/>
          <w:szCs w:val="24"/>
          <w:lang w:val="es-ES"/>
        </w:rPr>
        <w:t xml:space="preserve"> un instrumento al servicio de la sociedad y a veces transige en aras de</w:t>
      </w:r>
      <w:r w:rsidR="000156CA">
        <w:rPr>
          <w:rFonts w:ascii="Times New Roman" w:eastAsia="Times New Roman" w:hAnsi="Times New Roman"/>
          <w:sz w:val="24"/>
          <w:szCs w:val="24"/>
          <w:lang w:val="es-ES"/>
        </w:rPr>
        <w:t xml:space="preserve"> un ma</w:t>
      </w:r>
      <w:r w:rsidRPr="00507C43">
        <w:rPr>
          <w:rFonts w:ascii="Times New Roman" w:eastAsia="Times New Roman" w:hAnsi="Times New Roman"/>
          <w:sz w:val="24"/>
          <w:szCs w:val="24"/>
          <w:lang w:val="es-ES"/>
        </w:rPr>
        <w:t xml:space="preserve">l menor. Entre la prohibición o no de este tipo de normas caben soluciones intermedias, </w:t>
      </w:r>
      <w:r w:rsidR="00D31AD5" w:rsidRPr="00507C43">
        <w:rPr>
          <w:rFonts w:ascii="Times New Roman" w:eastAsia="Times New Roman" w:hAnsi="Times New Roman"/>
          <w:sz w:val="24"/>
          <w:szCs w:val="24"/>
          <w:lang w:val="es-ES"/>
        </w:rPr>
        <w:t>como las investigaciones que se llevan a cabo en procedimientos extrajudiciales, como los que puede abrir una Comisión de Investigación (o de la Verdad) o las que pueda llevar a cabo</w:t>
      </w:r>
      <w:r w:rsidR="000156CA">
        <w:rPr>
          <w:rFonts w:ascii="Times New Roman" w:eastAsia="Times New Roman" w:hAnsi="Times New Roman"/>
          <w:sz w:val="24"/>
          <w:szCs w:val="24"/>
          <w:lang w:val="es-ES"/>
        </w:rPr>
        <w:t xml:space="preserve"> instituciones garantes de los derechos como el </w:t>
      </w:r>
      <w:r w:rsidR="00D31AD5" w:rsidRPr="00507C43">
        <w:rPr>
          <w:rFonts w:ascii="Times New Roman" w:eastAsia="Times New Roman" w:hAnsi="Times New Roman"/>
          <w:i/>
          <w:sz w:val="24"/>
          <w:szCs w:val="24"/>
          <w:lang w:val="es-ES"/>
        </w:rPr>
        <w:t>Ombusdsman</w:t>
      </w:r>
      <w:r w:rsidR="00D31AD5" w:rsidRPr="00507C43">
        <w:rPr>
          <w:rFonts w:ascii="Times New Roman" w:eastAsia="Times New Roman" w:hAnsi="Times New Roman"/>
          <w:sz w:val="24"/>
          <w:szCs w:val="24"/>
          <w:lang w:val="es-ES"/>
        </w:rPr>
        <w:t xml:space="preserve"> (Defensor del Pueblo). Estas otras vías, sin embargo, suelen estar sujetas a diversas restricciones, como por ejemplo que el esclarecimiento de los hechos no permita la depuración de responsabilidades penales, que los responsables de las violaciones no sean identificados, u otros relativos a los plazos de investigación o el ámbito material de </w:t>
      </w:r>
      <w:r w:rsidR="000156CA">
        <w:rPr>
          <w:rFonts w:ascii="Times New Roman" w:eastAsia="Times New Roman" w:hAnsi="Times New Roman"/>
          <w:sz w:val="24"/>
          <w:szCs w:val="24"/>
          <w:lang w:val="es-ES"/>
        </w:rPr>
        <w:t>la misma</w:t>
      </w:r>
      <w:r w:rsidR="00D31AD5" w:rsidRPr="00507C43">
        <w:rPr>
          <w:rFonts w:ascii="Times New Roman" w:eastAsia="Times New Roman" w:hAnsi="Times New Roman"/>
          <w:sz w:val="24"/>
          <w:szCs w:val="24"/>
          <w:lang w:val="es-ES"/>
        </w:rPr>
        <w:t xml:space="preserve">. </w:t>
      </w:r>
      <w:r w:rsidR="000156CA">
        <w:rPr>
          <w:rFonts w:ascii="Times New Roman" w:eastAsia="Times New Roman" w:hAnsi="Times New Roman"/>
          <w:sz w:val="24"/>
          <w:szCs w:val="24"/>
          <w:lang w:val="es-ES"/>
        </w:rPr>
        <w:t>Todas son soluciones descafeinadas, aunque unas más que otras.</w:t>
      </w:r>
    </w:p>
    <w:p w:rsidR="00522E1E" w:rsidRDefault="000156CA" w:rsidP="0081696C">
      <w:pPr>
        <w:pStyle w:val="Textonotapie"/>
        <w:jc w:val="both"/>
        <w:rPr>
          <w:rFonts w:ascii="Times New Roman" w:eastAsia="Times New Roman" w:hAnsi="Times New Roman"/>
          <w:sz w:val="24"/>
          <w:szCs w:val="24"/>
          <w:lang w:val="es-ES"/>
        </w:rPr>
      </w:pPr>
      <w:r>
        <w:rPr>
          <w:rFonts w:ascii="Times New Roman" w:eastAsia="Times New Roman" w:hAnsi="Times New Roman"/>
          <w:sz w:val="24"/>
          <w:szCs w:val="24"/>
          <w:lang w:val="es-ES"/>
        </w:rPr>
        <w:t>Por ejemplo, no cabe duda de que e</w:t>
      </w:r>
      <w:r w:rsidR="00FB02A3" w:rsidRPr="00507C43">
        <w:rPr>
          <w:rFonts w:ascii="Times New Roman" w:eastAsia="Times New Roman" w:hAnsi="Times New Roman"/>
          <w:sz w:val="24"/>
          <w:szCs w:val="24"/>
          <w:lang w:val="es-ES"/>
        </w:rPr>
        <w:t>l derecho a la verdad comprende, como uno de sus elementos necesarios, el derecho a conocer la identidad de quienes par</w:t>
      </w:r>
      <w:r>
        <w:rPr>
          <w:rFonts w:ascii="Times New Roman" w:eastAsia="Times New Roman" w:hAnsi="Times New Roman"/>
          <w:sz w:val="24"/>
          <w:szCs w:val="24"/>
          <w:lang w:val="es-ES"/>
        </w:rPr>
        <w:t>t</w:t>
      </w:r>
      <w:r w:rsidR="006260E9">
        <w:rPr>
          <w:rFonts w:ascii="Times New Roman" w:eastAsia="Times New Roman" w:hAnsi="Times New Roman"/>
          <w:sz w:val="24"/>
          <w:szCs w:val="24"/>
          <w:lang w:val="es-ES"/>
        </w:rPr>
        <w:t>iciparon en la acción criminal, ya sea como instigadores o</w:t>
      </w:r>
      <w:r w:rsidR="00C135EC">
        <w:rPr>
          <w:rFonts w:ascii="Times New Roman" w:eastAsia="Times New Roman" w:hAnsi="Times New Roman"/>
          <w:sz w:val="24"/>
          <w:szCs w:val="24"/>
          <w:lang w:val="es-ES"/>
        </w:rPr>
        <w:t xml:space="preserve"> como</w:t>
      </w:r>
      <w:r w:rsidR="006260E9">
        <w:rPr>
          <w:rFonts w:ascii="Times New Roman" w:eastAsia="Times New Roman" w:hAnsi="Times New Roman"/>
          <w:sz w:val="24"/>
          <w:szCs w:val="24"/>
          <w:lang w:val="es-ES"/>
        </w:rPr>
        <w:t xml:space="preserve"> autores ma</w:t>
      </w:r>
      <w:r w:rsidR="00C135EC">
        <w:rPr>
          <w:rFonts w:ascii="Times New Roman" w:eastAsia="Times New Roman" w:hAnsi="Times New Roman"/>
          <w:sz w:val="24"/>
          <w:szCs w:val="24"/>
          <w:lang w:val="es-ES"/>
        </w:rPr>
        <w:t>teriales de los hechos, por lo que ninguna c</w:t>
      </w:r>
      <w:r w:rsidR="006260E9">
        <w:rPr>
          <w:rFonts w:ascii="Times New Roman" w:eastAsia="Times New Roman" w:hAnsi="Times New Roman"/>
          <w:sz w:val="24"/>
          <w:szCs w:val="24"/>
          <w:lang w:val="es-ES"/>
        </w:rPr>
        <w:t xml:space="preserve">omisión de investigación debiera de </w:t>
      </w:r>
      <w:r w:rsidR="00C135EC">
        <w:rPr>
          <w:rFonts w:ascii="Times New Roman" w:eastAsia="Times New Roman" w:hAnsi="Times New Roman"/>
          <w:sz w:val="24"/>
          <w:szCs w:val="24"/>
          <w:lang w:val="es-ES"/>
        </w:rPr>
        <w:t>nacer con ese</w:t>
      </w:r>
      <w:r w:rsidR="006260E9">
        <w:rPr>
          <w:rFonts w:ascii="Times New Roman" w:eastAsia="Times New Roman" w:hAnsi="Times New Roman"/>
          <w:sz w:val="24"/>
          <w:szCs w:val="24"/>
          <w:lang w:val="es-ES"/>
        </w:rPr>
        <w:t xml:space="preserve"> freno</w:t>
      </w:r>
      <w:r w:rsidR="00C135EC" w:rsidRPr="00507C43">
        <w:rPr>
          <w:rFonts w:ascii="Times New Roman" w:eastAsia="Times New Roman" w:hAnsi="Times New Roman"/>
          <w:sz w:val="24"/>
          <w:szCs w:val="24"/>
          <w:vertAlign w:val="superscript"/>
          <w:lang w:val="es-ES"/>
        </w:rPr>
        <w:footnoteReference w:id="48"/>
      </w:r>
      <w:r w:rsidR="006260E9">
        <w:rPr>
          <w:rFonts w:ascii="Times New Roman" w:eastAsia="Times New Roman" w:hAnsi="Times New Roman"/>
          <w:sz w:val="24"/>
          <w:szCs w:val="24"/>
          <w:lang w:val="es-ES"/>
        </w:rPr>
        <w:t>.</w:t>
      </w:r>
      <w:r w:rsidR="00C135EC">
        <w:rPr>
          <w:rFonts w:ascii="Times New Roman" w:eastAsia="Times New Roman" w:hAnsi="Times New Roman"/>
          <w:sz w:val="24"/>
          <w:szCs w:val="24"/>
          <w:lang w:val="es-ES"/>
        </w:rPr>
        <w:t xml:space="preserve"> </w:t>
      </w:r>
      <w:r w:rsidR="004E010C">
        <w:rPr>
          <w:rFonts w:ascii="Times New Roman" w:eastAsia="Times New Roman" w:hAnsi="Times New Roman"/>
          <w:sz w:val="24"/>
          <w:szCs w:val="24"/>
          <w:lang w:val="es-ES"/>
        </w:rPr>
        <w:t>Si</w:t>
      </w:r>
      <w:r w:rsidR="002879BC">
        <w:rPr>
          <w:rFonts w:ascii="Times New Roman" w:eastAsia="Times New Roman" w:hAnsi="Times New Roman"/>
          <w:sz w:val="24"/>
          <w:szCs w:val="24"/>
          <w:lang w:val="es-ES"/>
        </w:rPr>
        <w:t xml:space="preserve"> al efecto se respondiera </w:t>
      </w:r>
      <w:r w:rsidR="004E010C">
        <w:rPr>
          <w:rFonts w:ascii="Times New Roman" w:eastAsia="Times New Roman" w:hAnsi="Times New Roman"/>
          <w:sz w:val="24"/>
          <w:szCs w:val="24"/>
          <w:lang w:val="es-ES"/>
        </w:rPr>
        <w:t xml:space="preserve">que tal revelación no debiera llevarse a cabo si quienes resultaran responsables a la luz de tales pesquisas no disfrutan de las </w:t>
      </w:r>
      <w:r w:rsidR="00D31AD5" w:rsidRPr="00507C43">
        <w:rPr>
          <w:rFonts w:ascii="Times New Roman" w:eastAsia="Times New Roman" w:hAnsi="Times New Roman"/>
          <w:sz w:val="24"/>
          <w:szCs w:val="24"/>
          <w:lang w:val="es-ES"/>
        </w:rPr>
        <w:t>garantías legales que normalmente concede un proceso penal, en particular el derec</w:t>
      </w:r>
      <w:r w:rsidR="002879BC">
        <w:rPr>
          <w:rFonts w:ascii="Times New Roman" w:eastAsia="Times New Roman" w:hAnsi="Times New Roman"/>
          <w:sz w:val="24"/>
          <w:szCs w:val="24"/>
          <w:lang w:val="es-ES"/>
        </w:rPr>
        <w:t>ho a la presunción de inocencia, podríamos replicar que el derecho a la verdad está configurado por tres elementos que son necesarios y por tanto inescindibles</w:t>
      </w:r>
      <w:r w:rsidR="0081696C">
        <w:rPr>
          <w:rFonts w:ascii="Times New Roman" w:eastAsia="Times New Roman" w:hAnsi="Times New Roman"/>
          <w:sz w:val="24"/>
          <w:szCs w:val="24"/>
          <w:lang w:val="es-ES"/>
        </w:rPr>
        <w:t>:</w:t>
      </w:r>
      <w:r w:rsidR="002879BC">
        <w:rPr>
          <w:rFonts w:ascii="Times New Roman" w:eastAsia="Times New Roman" w:hAnsi="Times New Roman"/>
          <w:sz w:val="24"/>
          <w:szCs w:val="24"/>
          <w:lang w:val="es-ES"/>
        </w:rPr>
        <w:t xml:space="preserve"> verdad, justicia y reparación. </w:t>
      </w:r>
    </w:p>
    <w:p w:rsidR="00522E1E" w:rsidRDefault="00522E1E" w:rsidP="0081696C">
      <w:pPr>
        <w:pStyle w:val="Textonotapie"/>
        <w:jc w:val="both"/>
        <w:rPr>
          <w:rFonts w:ascii="Times New Roman" w:eastAsia="Times New Roman" w:hAnsi="Times New Roman"/>
          <w:sz w:val="24"/>
          <w:szCs w:val="24"/>
          <w:lang w:val="es-ES"/>
        </w:rPr>
      </w:pPr>
    </w:p>
    <w:p w:rsidR="0081696C" w:rsidRDefault="00522E1E" w:rsidP="0081696C">
      <w:pPr>
        <w:pStyle w:val="Textonotapie"/>
        <w:jc w:val="both"/>
        <w:rPr>
          <w:rFonts w:ascii="Times New Roman" w:eastAsia="Times New Roman" w:hAnsi="Times New Roman"/>
          <w:sz w:val="24"/>
          <w:szCs w:val="24"/>
          <w:lang w:val="es-ES"/>
        </w:rPr>
      </w:pPr>
      <w:r>
        <w:rPr>
          <w:rFonts w:ascii="Times New Roman" w:eastAsia="Times New Roman" w:hAnsi="Times New Roman"/>
          <w:sz w:val="24"/>
          <w:szCs w:val="24"/>
          <w:lang w:val="es-ES"/>
        </w:rPr>
        <w:t xml:space="preserve">En consecuencia, y a nuestro juicio, </w:t>
      </w:r>
      <w:r w:rsidR="0081696C">
        <w:rPr>
          <w:rFonts w:ascii="Times New Roman" w:eastAsia="Times New Roman" w:hAnsi="Times New Roman"/>
          <w:sz w:val="24"/>
          <w:szCs w:val="24"/>
          <w:lang w:val="es-ES"/>
        </w:rPr>
        <w:t>a</w:t>
      </w:r>
      <w:r w:rsidR="002879BC">
        <w:rPr>
          <w:rFonts w:ascii="Times New Roman" w:eastAsia="Times New Roman" w:hAnsi="Times New Roman"/>
          <w:sz w:val="24"/>
          <w:szCs w:val="24"/>
          <w:lang w:val="es-ES"/>
        </w:rPr>
        <w:t xml:space="preserve">unque se pacte, </w:t>
      </w:r>
      <w:r w:rsidR="002879BC" w:rsidRPr="002879BC">
        <w:rPr>
          <w:rFonts w:ascii="Times New Roman" w:eastAsia="Times New Roman" w:hAnsi="Times New Roman"/>
          <w:sz w:val="24"/>
          <w:szCs w:val="24"/>
          <w:lang w:val="es-ES"/>
        </w:rPr>
        <w:t>como mal menor,</w:t>
      </w:r>
      <w:r w:rsidR="002879BC">
        <w:rPr>
          <w:rFonts w:ascii="Times New Roman" w:eastAsia="Times New Roman" w:hAnsi="Times New Roman"/>
          <w:sz w:val="24"/>
          <w:szCs w:val="24"/>
          <w:lang w:val="es-ES"/>
        </w:rPr>
        <w:t xml:space="preserve"> que </w:t>
      </w:r>
      <w:r w:rsidR="002879BC" w:rsidRPr="002879BC">
        <w:rPr>
          <w:rFonts w:ascii="Times New Roman" w:eastAsia="Times New Roman" w:hAnsi="Times New Roman"/>
          <w:sz w:val="24"/>
          <w:szCs w:val="24"/>
          <w:lang w:val="es-ES"/>
        </w:rPr>
        <w:t>no haya procesa</w:t>
      </w:r>
      <w:r w:rsidR="002879BC">
        <w:rPr>
          <w:rFonts w:ascii="Times New Roman" w:eastAsia="Times New Roman" w:hAnsi="Times New Roman"/>
          <w:sz w:val="24"/>
          <w:szCs w:val="24"/>
          <w:lang w:val="es-ES"/>
        </w:rPr>
        <w:t>miento o castigo jurídico penal a resultas de las conclusiones (lo que tampoco debiera ser admisible</w:t>
      </w:r>
      <w:r w:rsidR="0081696C" w:rsidRPr="00507C43">
        <w:rPr>
          <w:rStyle w:val="Refdenotaalpie"/>
          <w:rFonts w:ascii="Times New Roman" w:hAnsi="Times New Roman"/>
          <w:sz w:val="24"/>
          <w:szCs w:val="24"/>
          <w:lang w:val="es-ES"/>
        </w:rPr>
        <w:footnoteReference w:id="49"/>
      </w:r>
      <w:r w:rsidR="0081696C">
        <w:rPr>
          <w:rFonts w:ascii="Times New Roman" w:hAnsi="Times New Roman"/>
          <w:sz w:val="24"/>
          <w:szCs w:val="24"/>
          <w:lang w:val="es-ES"/>
        </w:rPr>
        <w:t xml:space="preserve">), </w:t>
      </w:r>
      <w:r w:rsidR="002879BC">
        <w:rPr>
          <w:rFonts w:ascii="Times New Roman" w:eastAsia="Times New Roman" w:hAnsi="Times New Roman"/>
          <w:sz w:val="24"/>
          <w:szCs w:val="24"/>
          <w:lang w:val="es-ES"/>
        </w:rPr>
        <w:t>al menos hay que</w:t>
      </w:r>
      <w:r w:rsidR="0081696C">
        <w:rPr>
          <w:rFonts w:ascii="Times New Roman" w:eastAsia="Times New Roman" w:hAnsi="Times New Roman"/>
          <w:sz w:val="24"/>
          <w:szCs w:val="24"/>
          <w:lang w:val="es-ES"/>
        </w:rPr>
        <w:t xml:space="preserve"> identificar a los responsables. Para</w:t>
      </w:r>
      <w:r w:rsidR="002879BC">
        <w:rPr>
          <w:rFonts w:ascii="Times New Roman" w:eastAsia="Times New Roman" w:hAnsi="Times New Roman"/>
          <w:sz w:val="24"/>
          <w:szCs w:val="24"/>
          <w:lang w:val="es-ES"/>
        </w:rPr>
        <w:t xml:space="preserve"> las víctimas</w:t>
      </w:r>
      <w:r w:rsidR="0081696C">
        <w:rPr>
          <w:rFonts w:ascii="Times New Roman" w:eastAsia="Times New Roman" w:hAnsi="Times New Roman"/>
          <w:sz w:val="24"/>
          <w:szCs w:val="24"/>
          <w:lang w:val="es-ES"/>
        </w:rPr>
        <w:t xml:space="preserve"> y para la sociedad en general</w:t>
      </w:r>
      <w:r w:rsidR="002879BC">
        <w:rPr>
          <w:rFonts w:ascii="Times New Roman" w:eastAsia="Times New Roman" w:hAnsi="Times New Roman"/>
          <w:sz w:val="24"/>
          <w:szCs w:val="24"/>
          <w:lang w:val="es-ES"/>
        </w:rPr>
        <w:t xml:space="preserve"> es una manera de reparar el daño y de hacer justicia</w:t>
      </w:r>
      <w:r w:rsidR="0081696C">
        <w:rPr>
          <w:rFonts w:ascii="Times New Roman" w:eastAsia="Times New Roman" w:hAnsi="Times New Roman"/>
          <w:sz w:val="24"/>
          <w:szCs w:val="24"/>
          <w:lang w:val="es-ES"/>
        </w:rPr>
        <w:t xml:space="preserve">. Y para los </w:t>
      </w:r>
      <w:r>
        <w:rPr>
          <w:rFonts w:ascii="Times New Roman" w:eastAsia="Times New Roman" w:hAnsi="Times New Roman"/>
          <w:sz w:val="24"/>
          <w:szCs w:val="24"/>
          <w:lang w:val="es-ES"/>
        </w:rPr>
        <w:t>culpables</w:t>
      </w:r>
      <w:r w:rsidR="0081696C">
        <w:rPr>
          <w:rFonts w:ascii="Times New Roman" w:eastAsia="Times New Roman" w:hAnsi="Times New Roman"/>
          <w:sz w:val="24"/>
          <w:szCs w:val="24"/>
          <w:lang w:val="es-ES"/>
        </w:rPr>
        <w:t xml:space="preserve"> es un tipo de castigo moral. Estos últimos siempre </w:t>
      </w:r>
      <w:r>
        <w:rPr>
          <w:rFonts w:ascii="Times New Roman" w:eastAsia="Times New Roman" w:hAnsi="Times New Roman"/>
          <w:sz w:val="24"/>
          <w:szCs w:val="24"/>
          <w:lang w:val="es-ES"/>
        </w:rPr>
        <w:t xml:space="preserve">podrán </w:t>
      </w:r>
      <w:r w:rsidR="0081696C">
        <w:rPr>
          <w:rFonts w:ascii="Times New Roman" w:eastAsia="Times New Roman" w:hAnsi="Times New Roman"/>
          <w:sz w:val="24"/>
          <w:szCs w:val="24"/>
          <w:lang w:val="es-ES"/>
        </w:rPr>
        <w:t xml:space="preserve">defender su honor y dignidad </w:t>
      </w:r>
      <w:r>
        <w:rPr>
          <w:rFonts w:ascii="Times New Roman" w:eastAsia="Times New Roman" w:hAnsi="Times New Roman"/>
          <w:sz w:val="24"/>
          <w:szCs w:val="24"/>
          <w:lang w:val="es-ES"/>
        </w:rPr>
        <w:t>a través de las acciones judiciales que el Estado de Derecho proporciona.</w:t>
      </w:r>
    </w:p>
    <w:p w:rsidR="0081696C" w:rsidRPr="00507C43" w:rsidRDefault="0081696C" w:rsidP="0081696C">
      <w:pPr>
        <w:pStyle w:val="Textonotapie"/>
        <w:jc w:val="both"/>
        <w:rPr>
          <w:rFonts w:ascii="Times New Roman" w:eastAsia="Times New Roman" w:hAnsi="Times New Roman"/>
          <w:sz w:val="24"/>
          <w:szCs w:val="24"/>
          <w:lang w:val="es-ES"/>
        </w:rPr>
      </w:pPr>
    </w:p>
    <w:p w:rsidR="0053766E" w:rsidRPr="00507C43" w:rsidRDefault="00F93748" w:rsidP="00507C43">
      <w:pPr>
        <w:spacing w:line="240" w:lineRule="auto"/>
        <w:jc w:val="both"/>
        <w:rPr>
          <w:rFonts w:ascii="Times New Roman" w:eastAsia="Times New Roman" w:hAnsi="Times New Roman"/>
          <w:b/>
          <w:sz w:val="24"/>
          <w:szCs w:val="24"/>
          <w:lang w:val="es-ES"/>
        </w:rPr>
      </w:pPr>
      <w:r w:rsidRPr="00507C43">
        <w:rPr>
          <w:rFonts w:ascii="Times New Roman" w:eastAsia="Times New Roman" w:hAnsi="Times New Roman"/>
          <w:b/>
          <w:sz w:val="24"/>
          <w:szCs w:val="24"/>
          <w:lang w:val="es-ES"/>
        </w:rPr>
        <w:t xml:space="preserve">V. </w:t>
      </w:r>
      <w:r w:rsidR="00081073">
        <w:rPr>
          <w:rFonts w:ascii="Times New Roman" w:eastAsia="Times New Roman" w:hAnsi="Times New Roman"/>
          <w:b/>
          <w:sz w:val="24"/>
          <w:szCs w:val="24"/>
          <w:lang w:val="es-ES"/>
        </w:rPr>
        <w:t>AUTONOMÍA: ACERCA DE LA SUSTANTIVIDAD PROPIA DEL DERECHO A LA VERDAD</w:t>
      </w:r>
    </w:p>
    <w:p w:rsidR="00B37F62" w:rsidRDefault="00F920DB" w:rsidP="00507C43">
      <w:pPr>
        <w:pStyle w:val="Textonotapie"/>
        <w:tabs>
          <w:tab w:val="left" w:pos="426"/>
          <w:tab w:val="left" w:pos="567"/>
        </w:tabs>
        <w:spacing w:before="120" w:after="120"/>
        <w:jc w:val="both"/>
        <w:rPr>
          <w:rFonts w:ascii="Times New Roman" w:hAnsi="Times New Roman"/>
          <w:noProof/>
          <w:sz w:val="24"/>
          <w:szCs w:val="24"/>
          <w:lang w:val="es-ES" w:eastAsia="fr-FR"/>
        </w:rPr>
      </w:pPr>
      <w:r w:rsidRPr="00507C43">
        <w:rPr>
          <w:rFonts w:ascii="Times New Roman" w:hAnsi="Times New Roman"/>
          <w:noProof/>
          <w:sz w:val="24"/>
          <w:szCs w:val="24"/>
          <w:lang w:val="es-ES" w:eastAsia="fr-FR"/>
        </w:rPr>
        <w:t>El derecho a la verdad es un derecho reconocido por la</w:t>
      </w:r>
      <w:r w:rsidR="006412D1" w:rsidRPr="00507C43">
        <w:rPr>
          <w:rFonts w:ascii="Times New Roman" w:hAnsi="Times New Roman"/>
          <w:noProof/>
          <w:sz w:val="24"/>
          <w:szCs w:val="24"/>
          <w:lang w:val="es-ES" w:eastAsia="fr-FR"/>
        </w:rPr>
        <w:t xml:space="preserve"> </w:t>
      </w:r>
      <w:r w:rsidR="00880BA0" w:rsidRPr="00880BA0">
        <w:rPr>
          <w:rFonts w:ascii="Times New Roman" w:hAnsi="Times New Roman"/>
          <w:noProof/>
          <w:sz w:val="24"/>
          <w:szCs w:val="24"/>
          <w:lang w:val="es-ES" w:eastAsia="fr-FR"/>
        </w:rPr>
        <w:t xml:space="preserve">Corte Interamericana </w:t>
      </w:r>
      <w:r w:rsidRPr="00507C43">
        <w:rPr>
          <w:rFonts w:ascii="Times New Roman" w:hAnsi="Times New Roman"/>
          <w:noProof/>
          <w:sz w:val="24"/>
          <w:szCs w:val="24"/>
          <w:lang w:val="es-ES" w:eastAsia="fr-FR"/>
        </w:rPr>
        <w:t>y</w:t>
      </w:r>
      <w:r w:rsidR="006412D1" w:rsidRPr="00507C43">
        <w:rPr>
          <w:rFonts w:ascii="Times New Roman" w:hAnsi="Times New Roman"/>
          <w:noProof/>
          <w:sz w:val="24"/>
          <w:szCs w:val="24"/>
          <w:lang w:val="es-ES" w:eastAsia="fr-FR"/>
        </w:rPr>
        <w:t xml:space="preserve"> el TEDH</w:t>
      </w:r>
      <w:r w:rsidRPr="00507C43">
        <w:rPr>
          <w:rFonts w:ascii="Times New Roman" w:hAnsi="Times New Roman"/>
          <w:noProof/>
          <w:sz w:val="24"/>
          <w:szCs w:val="24"/>
          <w:lang w:val="es-ES" w:eastAsia="fr-FR"/>
        </w:rPr>
        <w:t>. La doctrin</w:t>
      </w:r>
      <w:r w:rsidR="00910540" w:rsidRPr="00507C43">
        <w:rPr>
          <w:rFonts w:ascii="Times New Roman" w:hAnsi="Times New Roman"/>
          <w:noProof/>
          <w:sz w:val="24"/>
          <w:szCs w:val="24"/>
          <w:lang w:val="es-ES" w:eastAsia="fr-FR"/>
        </w:rPr>
        <w:t xml:space="preserve">a de ambos tribunales sobre </w:t>
      </w:r>
      <w:r w:rsidR="004A6394" w:rsidRPr="00507C43">
        <w:rPr>
          <w:rFonts w:ascii="Times New Roman" w:hAnsi="Times New Roman"/>
          <w:noProof/>
          <w:sz w:val="24"/>
          <w:szCs w:val="24"/>
          <w:lang w:val="es-ES" w:eastAsia="fr-FR"/>
        </w:rPr>
        <w:t>su</w:t>
      </w:r>
      <w:r w:rsidR="00910540" w:rsidRPr="00507C43">
        <w:rPr>
          <w:rFonts w:ascii="Times New Roman" w:hAnsi="Times New Roman"/>
          <w:noProof/>
          <w:sz w:val="24"/>
          <w:szCs w:val="24"/>
          <w:lang w:val="es-ES" w:eastAsia="fr-FR"/>
        </w:rPr>
        <w:t xml:space="preserve"> contenido </w:t>
      </w:r>
      <w:r w:rsidRPr="00507C43">
        <w:rPr>
          <w:rFonts w:ascii="Times New Roman" w:hAnsi="Times New Roman"/>
          <w:noProof/>
          <w:sz w:val="24"/>
          <w:szCs w:val="24"/>
          <w:lang w:val="es-ES" w:eastAsia="fr-FR"/>
        </w:rPr>
        <w:t>es prácticamente la misma, pero difieren en</w:t>
      </w:r>
      <w:r w:rsidR="004A6394" w:rsidRPr="00507C43">
        <w:rPr>
          <w:rFonts w:ascii="Times New Roman" w:hAnsi="Times New Roman"/>
          <w:noProof/>
          <w:sz w:val="24"/>
          <w:szCs w:val="24"/>
          <w:lang w:val="es-ES" w:eastAsia="fr-FR"/>
        </w:rPr>
        <w:t xml:space="preserve"> relación con </w:t>
      </w:r>
      <w:r w:rsidR="00EB41C0">
        <w:rPr>
          <w:rFonts w:ascii="Times New Roman" w:hAnsi="Times New Roman"/>
          <w:noProof/>
          <w:sz w:val="24"/>
          <w:szCs w:val="24"/>
          <w:lang w:val="es-ES" w:eastAsia="fr-FR"/>
        </w:rPr>
        <w:t>su</w:t>
      </w:r>
      <w:r w:rsidR="004A6394" w:rsidRPr="00507C43">
        <w:rPr>
          <w:rFonts w:ascii="Times New Roman" w:hAnsi="Times New Roman"/>
          <w:noProof/>
          <w:sz w:val="24"/>
          <w:szCs w:val="24"/>
          <w:lang w:val="es-ES" w:eastAsia="fr-FR"/>
        </w:rPr>
        <w:t xml:space="preserve"> autonomía. Para la Corte, el derecho a la verdad tiene una sustantividad propia, una naturaleza más amplia que la de los derechos de acceso a la justicia o a la libertad de información, mientras que para el TEDH forma parte de los</w:t>
      </w:r>
      <w:r w:rsidR="00B37F62">
        <w:rPr>
          <w:rFonts w:ascii="Times New Roman" w:hAnsi="Times New Roman"/>
          <w:noProof/>
          <w:sz w:val="24"/>
          <w:szCs w:val="24"/>
          <w:lang w:val="es-ES" w:eastAsia="fr-FR"/>
        </w:rPr>
        <w:t xml:space="preserve"> derechos reconocidos en la dimensión procesal de los</w:t>
      </w:r>
      <w:r w:rsidR="004A6394" w:rsidRPr="00507C43">
        <w:rPr>
          <w:rFonts w:ascii="Times New Roman" w:hAnsi="Times New Roman"/>
          <w:noProof/>
          <w:sz w:val="24"/>
          <w:szCs w:val="24"/>
          <w:lang w:val="es-ES" w:eastAsia="fr-FR"/>
        </w:rPr>
        <w:t xml:space="preserve"> artículos</w:t>
      </w:r>
      <w:r w:rsidR="00B37F62">
        <w:rPr>
          <w:rFonts w:ascii="Times New Roman" w:hAnsi="Times New Roman"/>
          <w:noProof/>
          <w:sz w:val="24"/>
          <w:szCs w:val="24"/>
          <w:lang w:val="es-ES" w:eastAsia="fr-FR"/>
        </w:rPr>
        <w:t xml:space="preserve"> 2,</w:t>
      </w:r>
      <w:r w:rsidR="004A6394" w:rsidRPr="00507C43">
        <w:rPr>
          <w:rFonts w:ascii="Times New Roman" w:hAnsi="Times New Roman"/>
          <w:noProof/>
          <w:sz w:val="24"/>
          <w:szCs w:val="24"/>
          <w:lang w:val="es-ES" w:eastAsia="fr-FR"/>
        </w:rPr>
        <w:t xml:space="preserve"> 3 y 5</w:t>
      </w:r>
      <w:r w:rsidR="00B37F62">
        <w:rPr>
          <w:rFonts w:ascii="Times New Roman" w:hAnsi="Times New Roman"/>
          <w:noProof/>
          <w:sz w:val="24"/>
          <w:szCs w:val="24"/>
          <w:lang w:val="es-ES" w:eastAsia="fr-FR"/>
        </w:rPr>
        <w:t xml:space="preserve"> </w:t>
      </w:r>
      <w:r w:rsidR="004A6394" w:rsidRPr="00507C43">
        <w:rPr>
          <w:rFonts w:ascii="Times New Roman" w:hAnsi="Times New Roman"/>
          <w:noProof/>
          <w:sz w:val="24"/>
          <w:szCs w:val="24"/>
          <w:lang w:val="es-ES" w:eastAsia="fr-FR"/>
        </w:rPr>
        <w:t>o del artículo 13</w:t>
      </w:r>
      <w:r w:rsidR="00B37F62">
        <w:rPr>
          <w:rFonts w:ascii="Times New Roman" w:hAnsi="Times New Roman"/>
          <w:noProof/>
          <w:sz w:val="24"/>
          <w:szCs w:val="24"/>
          <w:lang w:val="es-ES" w:eastAsia="fr-FR"/>
        </w:rPr>
        <w:t xml:space="preserve"> CEDH</w:t>
      </w:r>
      <w:r w:rsidR="004A6394" w:rsidRPr="00507C43">
        <w:rPr>
          <w:rFonts w:ascii="Times New Roman" w:hAnsi="Times New Roman"/>
          <w:noProof/>
          <w:sz w:val="24"/>
          <w:szCs w:val="24"/>
          <w:lang w:val="es-ES" w:eastAsia="fr-FR"/>
        </w:rPr>
        <w:t>.</w:t>
      </w:r>
      <w:r w:rsidR="00B365B1" w:rsidRPr="00507C43">
        <w:rPr>
          <w:rFonts w:ascii="Times New Roman" w:hAnsi="Times New Roman"/>
          <w:noProof/>
          <w:sz w:val="24"/>
          <w:szCs w:val="24"/>
          <w:lang w:val="es-ES" w:eastAsia="fr-FR"/>
        </w:rPr>
        <w:t xml:space="preserve"> </w:t>
      </w:r>
    </w:p>
    <w:p w:rsidR="00B12B04" w:rsidRPr="00507C43" w:rsidRDefault="00B365B1" w:rsidP="00507C43">
      <w:pPr>
        <w:pStyle w:val="Textonotapie"/>
        <w:tabs>
          <w:tab w:val="left" w:pos="426"/>
          <w:tab w:val="left" w:pos="567"/>
        </w:tabs>
        <w:spacing w:before="120" w:after="120"/>
        <w:jc w:val="both"/>
        <w:rPr>
          <w:rFonts w:ascii="Times New Roman" w:hAnsi="Times New Roman"/>
          <w:noProof/>
          <w:sz w:val="24"/>
          <w:szCs w:val="24"/>
          <w:lang w:val="es-ES" w:eastAsia="fr-FR"/>
        </w:rPr>
      </w:pPr>
      <w:r w:rsidRPr="00507C43">
        <w:rPr>
          <w:rFonts w:ascii="Times New Roman" w:hAnsi="Times New Roman"/>
          <w:noProof/>
          <w:sz w:val="24"/>
          <w:szCs w:val="24"/>
          <w:lang w:val="es-ES" w:eastAsia="fr-FR"/>
        </w:rPr>
        <w:lastRenderedPageBreak/>
        <w:t xml:space="preserve">En este epígrafe </w:t>
      </w:r>
      <w:r w:rsidR="00EB41C0">
        <w:rPr>
          <w:rFonts w:ascii="Times New Roman" w:hAnsi="Times New Roman"/>
          <w:noProof/>
          <w:sz w:val="24"/>
          <w:szCs w:val="24"/>
          <w:lang w:val="es-ES" w:eastAsia="fr-FR"/>
        </w:rPr>
        <w:t xml:space="preserve">comenzaremos </w:t>
      </w:r>
      <w:r w:rsidRPr="00507C43">
        <w:rPr>
          <w:rFonts w:ascii="Times New Roman" w:hAnsi="Times New Roman"/>
          <w:noProof/>
          <w:sz w:val="24"/>
          <w:szCs w:val="24"/>
          <w:lang w:val="es-ES" w:eastAsia="fr-FR"/>
        </w:rPr>
        <w:t>examina</w:t>
      </w:r>
      <w:r w:rsidR="00EB41C0">
        <w:rPr>
          <w:rFonts w:ascii="Times New Roman" w:hAnsi="Times New Roman"/>
          <w:noProof/>
          <w:sz w:val="24"/>
          <w:szCs w:val="24"/>
          <w:lang w:val="es-ES" w:eastAsia="fr-FR"/>
        </w:rPr>
        <w:t>ndo</w:t>
      </w:r>
      <w:r w:rsidRPr="00507C43">
        <w:rPr>
          <w:rFonts w:ascii="Times New Roman" w:hAnsi="Times New Roman"/>
          <w:noProof/>
          <w:sz w:val="24"/>
          <w:szCs w:val="24"/>
          <w:lang w:val="es-ES" w:eastAsia="fr-FR"/>
        </w:rPr>
        <w:t xml:space="preserve"> la posible autonomía del derecho a la verdad en relación con el derecho de acceso a la justicia</w:t>
      </w:r>
      <w:r w:rsidR="00B12B04" w:rsidRPr="00507C43">
        <w:rPr>
          <w:rFonts w:ascii="Times New Roman" w:hAnsi="Times New Roman"/>
          <w:noProof/>
          <w:sz w:val="24"/>
          <w:szCs w:val="24"/>
          <w:lang w:val="es-ES" w:eastAsia="fr-FR"/>
        </w:rPr>
        <w:t>. Nuestra postura es la</w:t>
      </w:r>
      <w:r w:rsidR="00B37F62">
        <w:rPr>
          <w:rFonts w:ascii="Times New Roman" w:hAnsi="Times New Roman"/>
          <w:noProof/>
          <w:sz w:val="24"/>
          <w:szCs w:val="24"/>
          <w:lang w:val="es-ES" w:eastAsia="fr-FR"/>
        </w:rPr>
        <w:t xml:space="preserve"> que</w:t>
      </w:r>
      <w:r w:rsidR="00B12B04" w:rsidRPr="00507C43">
        <w:rPr>
          <w:rFonts w:ascii="Times New Roman" w:hAnsi="Times New Roman"/>
          <w:noProof/>
          <w:sz w:val="24"/>
          <w:szCs w:val="24"/>
          <w:lang w:val="es-ES" w:eastAsia="fr-FR"/>
        </w:rPr>
        <w:t xml:space="preserve"> </w:t>
      </w:r>
      <w:r w:rsidR="00B37F62">
        <w:rPr>
          <w:rFonts w:ascii="Times New Roman" w:hAnsi="Times New Roman"/>
          <w:noProof/>
          <w:sz w:val="24"/>
          <w:szCs w:val="24"/>
          <w:lang w:val="es-ES" w:eastAsia="fr-FR"/>
        </w:rPr>
        <w:t>mantiene</w:t>
      </w:r>
      <w:r w:rsidR="00EB41C0">
        <w:rPr>
          <w:rFonts w:ascii="Times New Roman" w:hAnsi="Times New Roman"/>
          <w:noProof/>
          <w:sz w:val="24"/>
          <w:szCs w:val="24"/>
          <w:lang w:val="es-ES" w:eastAsia="fr-FR"/>
        </w:rPr>
        <w:t xml:space="preserve"> el Tribunal de Estrasburgo, esto es, consideramos que el derecho a la verdad deriva de la obligación que el Estado tiene de investigar la denuncia y de juzgar y condenar a los responsables. </w:t>
      </w:r>
      <w:r w:rsidR="00B12B04" w:rsidRPr="00507C43">
        <w:rPr>
          <w:rFonts w:ascii="Times New Roman" w:hAnsi="Times New Roman"/>
          <w:noProof/>
          <w:sz w:val="24"/>
          <w:szCs w:val="24"/>
          <w:lang w:val="es-ES" w:eastAsia="fr-FR"/>
        </w:rPr>
        <w:t xml:space="preserve">Por el contrario, cuando el derecho a la verdad se </w:t>
      </w:r>
      <w:r w:rsidR="00B37F62">
        <w:rPr>
          <w:rFonts w:ascii="Times New Roman" w:hAnsi="Times New Roman"/>
          <w:noProof/>
          <w:sz w:val="24"/>
          <w:szCs w:val="24"/>
          <w:lang w:val="es-ES" w:eastAsia="fr-FR"/>
        </w:rPr>
        <w:t>invoca con la pretensión de b</w:t>
      </w:r>
      <w:r w:rsidR="00B37F62" w:rsidRPr="00705B42">
        <w:rPr>
          <w:rFonts w:ascii="Times New Roman" w:hAnsi="Times New Roman"/>
          <w:sz w:val="24"/>
          <w:szCs w:val="24"/>
          <w:lang w:val="es-ES"/>
        </w:rPr>
        <w:t xml:space="preserve">uscar, recibir </w:t>
      </w:r>
      <w:r w:rsidR="00B37F62">
        <w:rPr>
          <w:rFonts w:ascii="Times New Roman" w:hAnsi="Times New Roman"/>
          <w:sz w:val="24"/>
          <w:szCs w:val="24"/>
          <w:lang w:val="es-ES"/>
        </w:rPr>
        <w:t>y</w:t>
      </w:r>
      <w:r w:rsidR="00B37F62" w:rsidRPr="00705B42">
        <w:rPr>
          <w:rFonts w:ascii="Times New Roman" w:hAnsi="Times New Roman"/>
          <w:sz w:val="24"/>
          <w:szCs w:val="24"/>
          <w:lang w:val="es-ES"/>
        </w:rPr>
        <w:t xml:space="preserve"> difundir información</w:t>
      </w:r>
      <w:r w:rsidR="00EB41C0">
        <w:rPr>
          <w:rFonts w:ascii="Times New Roman" w:hAnsi="Times New Roman"/>
          <w:sz w:val="24"/>
          <w:szCs w:val="24"/>
          <w:lang w:val="es-ES"/>
        </w:rPr>
        <w:t>, fuera del marco de un proceso judicial</w:t>
      </w:r>
      <w:r w:rsidR="00B37F62">
        <w:rPr>
          <w:rFonts w:ascii="Times New Roman" w:hAnsi="Times New Roman"/>
          <w:sz w:val="24"/>
          <w:szCs w:val="24"/>
          <w:lang w:val="es-ES"/>
        </w:rPr>
        <w:t>,</w:t>
      </w:r>
      <w:r w:rsidR="006C1920">
        <w:rPr>
          <w:rFonts w:ascii="Times New Roman" w:hAnsi="Times New Roman"/>
          <w:sz w:val="24"/>
          <w:szCs w:val="24"/>
          <w:lang w:val="es-ES"/>
        </w:rPr>
        <w:t xml:space="preserve"> sí advertimos algunos rasgos que permitirían concebirlo como un derecho </w:t>
      </w:r>
      <w:r w:rsidR="00EB41C0">
        <w:rPr>
          <w:rFonts w:ascii="Times New Roman" w:hAnsi="Times New Roman"/>
          <w:sz w:val="24"/>
          <w:szCs w:val="24"/>
          <w:lang w:val="es-ES"/>
        </w:rPr>
        <w:t xml:space="preserve">distinto a la </w:t>
      </w:r>
      <w:r w:rsidR="006C1920">
        <w:rPr>
          <w:rFonts w:ascii="Times New Roman" w:hAnsi="Times New Roman"/>
          <w:sz w:val="24"/>
          <w:szCs w:val="24"/>
          <w:lang w:val="es-ES"/>
        </w:rPr>
        <w:t xml:space="preserve">libertad de información, y en ese sentido, como un derecho con una sustantividad propia. El TEDH aún no se ha pronunciado al respecto, pero una de sus sentencias </w:t>
      </w:r>
      <w:r w:rsidR="00EB41C0">
        <w:rPr>
          <w:rFonts w:ascii="Times New Roman" w:hAnsi="Times New Roman"/>
          <w:sz w:val="24"/>
          <w:szCs w:val="24"/>
          <w:lang w:val="es-ES"/>
        </w:rPr>
        <w:t>podría abrir</w:t>
      </w:r>
      <w:r w:rsidR="006C1920">
        <w:rPr>
          <w:rFonts w:ascii="Times New Roman" w:hAnsi="Times New Roman"/>
          <w:sz w:val="24"/>
          <w:szCs w:val="24"/>
          <w:lang w:val="es-ES"/>
        </w:rPr>
        <w:t xml:space="preserve"> la puerta en ese sentido. </w:t>
      </w:r>
    </w:p>
    <w:p w:rsidR="00B12B04" w:rsidRPr="00507C43" w:rsidRDefault="00B12B04" w:rsidP="00507C43">
      <w:pPr>
        <w:spacing w:line="240" w:lineRule="auto"/>
        <w:jc w:val="both"/>
        <w:rPr>
          <w:rFonts w:ascii="Times New Roman" w:eastAsia="Times New Roman" w:hAnsi="Times New Roman"/>
          <w:b/>
          <w:sz w:val="24"/>
          <w:szCs w:val="24"/>
          <w:lang w:val="es-ES"/>
        </w:rPr>
      </w:pPr>
      <w:r w:rsidRPr="00507C43">
        <w:rPr>
          <w:rFonts w:ascii="Times New Roman" w:eastAsia="Times New Roman" w:hAnsi="Times New Roman"/>
          <w:b/>
          <w:sz w:val="24"/>
          <w:szCs w:val="24"/>
          <w:lang w:val="es-ES"/>
        </w:rPr>
        <w:t>1. EN RELACIÓN CON EL DERECHO DE ACCESO A LA JUSTICIA</w:t>
      </w:r>
    </w:p>
    <w:p w:rsidR="00D43FAC" w:rsidRPr="00507C43" w:rsidRDefault="00D43FAC" w:rsidP="00507C43">
      <w:pPr>
        <w:pStyle w:val="Textonotapie"/>
        <w:tabs>
          <w:tab w:val="left" w:pos="426"/>
          <w:tab w:val="left" w:pos="567"/>
        </w:tabs>
        <w:spacing w:before="120" w:after="120"/>
        <w:jc w:val="both"/>
        <w:rPr>
          <w:rFonts w:ascii="Times New Roman" w:hAnsi="Times New Roman"/>
          <w:noProof/>
          <w:sz w:val="24"/>
          <w:szCs w:val="24"/>
          <w:lang w:val="es-ES" w:eastAsia="fr-FR"/>
        </w:rPr>
      </w:pPr>
      <w:r w:rsidRPr="00507C43">
        <w:rPr>
          <w:rFonts w:ascii="Times New Roman" w:hAnsi="Times New Roman"/>
          <w:noProof/>
          <w:sz w:val="24"/>
          <w:szCs w:val="24"/>
          <w:lang w:val="es-ES" w:eastAsia="fr-FR"/>
        </w:rPr>
        <w:t xml:space="preserve">La posición </w:t>
      </w:r>
      <w:r w:rsidR="00FE555F">
        <w:rPr>
          <w:rFonts w:ascii="Times New Roman" w:hAnsi="Times New Roman"/>
          <w:noProof/>
          <w:sz w:val="24"/>
          <w:szCs w:val="24"/>
          <w:lang w:val="es-ES" w:eastAsia="fr-FR"/>
        </w:rPr>
        <w:t xml:space="preserve">que sobre la cuestión planteada mantiene la </w:t>
      </w:r>
      <w:r w:rsidRPr="00507C43">
        <w:rPr>
          <w:rFonts w:ascii="Times New Roman" w:hAnsi="Times New Roman"/>
          <w:noProof/>
          <w:sz w:val="24"/>
          <w:szCs w:val="24"/>
          <w:lang w:val="es-ES" w:eastAsia="fr-FR"/>
        </w:rPr>
        <w:t xml:space="preserve">Corte Interamericana </w:t>
      </w:r>
      <w:r w:rsidR="00FE555F">
        <w:rPr>
          <w:rFonts w:ascii="Times New Roman" w:hAnsi="Times New Roman"/>
          <w:noProof/>
          <w:sz w:val="24"/>
          <w:szCs w:val="24"/>
          <w:lang w:val="es-ES" w:eastAsia="fr-FR"/>
        </w:rPr>
        <w:t>desde 2017</w:t>
      </w:r>
      <w:r w:rsidRPr="00507C43">
        <w:rPr>
          <w:rFonts w:ascii="Times New Roman" w:hAnsi="Times New Roman"/>
          <w:noProof/>
          <w:sz w:val="24"/>
          <w:szCs w:val="24"/>
          <w:lang w:val="es-ES" w:eastAsia="fr-FR"/>
        </w:rPr>
        <w:t xml:space="preserve"> es la siguiente: “</w:t>
      </w:r>
      <w:r w:rsidRPr="00507C43">
        <w:rPr>
          <w:rFonts w:ascii="Times New Roman" w:hAnsi="Times New Roman"/>
          <w:sz w:val="24"/>
          <w:szCs w:val="24"/>
          <w:lang w:val="es-ES"/>
        </w:rPr>
        <w:t>si bien el derecho a conocer la verdad se ha enmarcado fundamentalmente en el derecho de acceso a la justicia, lo cierto es que este derecho a la verdad tiene autonomía ya que aquel tiene una naturaleza amplia y su vulneración puede afectar distintos derechos contenidos en la Convención Americana, dependiendo del contexto y circunstancias particulares del caso”</w:t>
      </w:r>
      <w:r w:rsidRPr="00507C43">
        <w:rPr>
          <w:rStyle w:val="Refdenotaalpie"/>
          <w:rFonts w:ascii="Times New Roman" w:hAnsi="Times New Roman"/>
          <w:sz w:val="24"/>
          <w:szCs w:val="24"/>
          <w:lang w:val="es-ES"/>
        </w:rPr>
        <w:footnoteReference w:id="50"/>
      </w:r>
      <w:r w:rsidRPr="00507C43">
        <w:rPr>
          <w:rFonts w:ascii="Times New Roman" w:hAnsi="Times New Roman"/>
          <w:sz w:val="24"/>
          <w:szCs w:val="24"/>
          <w:lang w:val="es-ES"/>
        </w:rPr>
        <w:t>.</w:t>
      </w:r>
    </w:p>
    <w:p w:rsidR="006D37A5" w:rsidRPr="00507C43" w:rsidRDefault="008B22FA" w:rsidP="00507C43">
      <w:pPr>
        <w:pStyle w:val="Textonotapie"/>
        <w:tabs>
          <w:tab w:val="left" w:pos="426"/>
          <w:tab w:val="left" w:pos="567"/>
        </w:tabs>
        <w:spacing w:before="120" w:after="120"/>
        <w:jc w:val="both"/>
        <w:rPr>
          <w:rFonts w:ascii="Times New Roman" w:eastAsia="Times New Roman" w:hAnsi="Times New Roman"/>
          <w:sz w:val="24"/>
          <w:szCs w:val="24"/>
          <w:lang w:val="es-ES" w:eastAsia="es-ES_tradnl"/>
        </w:rPr>
      </w:pPr>
      <w:r w:rsidRPr="00507C43">
        <w:rPr>
          <w:rFonts w:ascii="Times New Roman" w:hAnsi="Times New Roman"/>
          <w:noProof/>
          <w:sz w:val="24"/>
          <w:szCs w:val="24"/>
          <w:lang w:val="es-ES" w:eastAsia="fr-FR"/>
        </w:rPr>
        <w:t>Esta</w:t>
      </w:r>
      <w:r w:rsidR="00605BCF" w:rsidRPr="00507C43">
        <w:rPr>
          <w:rFonts w:ascii="Times New Roman" w:hAnsi="Times New Roman"/>
          <w:noProof/>
          <w:sz w:val="24"/>
          <w:szCs w:val="24"/>
          <w:lang w:val="es-ES" w:eastAsia="fr-FR"/>
        </w:rPr>
        <w:t xml:space="preserve"> </w:t>
      </w:r>
      <w:r w:rsidR="00D43FAC" w:rsidRPr="00507C43">
        <w:rPr>
          <w:rFonts w:ascii="Times New Roman" w:hAnsi="Times New Roman"/>
          <w:noProof/>
          <w:sz w:val="24"/>
          <w:szCs w:val="24"/>
          <w:lang w:val="es-ES" w:eastAsia="fr-FR"/>
        </w:rPr>
        <w:t xml:space="preserve">postura </w:t>
      </w:r>
      <w:r w:rsidRPr="00507C43">
        <w:rPr>
          <w:rFonts w:ascii="Times New Roman" w:hAnsi="Times New Roman"/>
          <w:noProof/>
          <w:sz w:val="24"/>
          <w:szCs w:val="24"/>
          <w:lang w:val="es-ES" w:eastAsia="fr-FR"/>
        </w:rPr>
        <w:t>a favor de la autonomía del derecho a la v</w:t>
      </w:r>
      <w:r w:rsidR="00D43FAC" w:rsidRPr="00507C43">
        <w:rPr>
          <w:rFonts w:ascii="Times New Roman" w:hAnsi="Times New Roman"/>
          <w:noProof/>
          <w:sz w:val="24"/>
          <w:szCs w:val="24"/>
          <w:lang w:val="es-ES" w:eastAsia="fr-FR"/>
        </w:rPr>
        <w:t xml:space="preserve">erdad es relativamente reciente, pues hasta la sentencia de 2014 dictada en el </w:t>
      </w:r>
      <w:r w:rsidR="00D43FAC" w:rsidRPr="00507C43">
        <w:rPr>
          <w:rFonts w:ascii="Times New Roman" w:eastAsia="Times New Roman" w:hAnsi="Times New Roman"/>
          <w:i/>
          <w:sz w:val="24"/>
          <w:szCs w:val="24"/>
          <w:lang w:val="es-ES"/>
        </w:rPr>
        <w:t>Caso Rodríguez Vera y otros (desaparecidos del Palacio de Justicia) Vs. Colombia</w:t>
      </w:r>
      <w:r w:rsidR="00D43FAC" w:rsidRPr="00507C43">
        <w:rPr>
          <w:rFonts w:ascii="Times New Roman" w:eastAsia="Times New Roman" w:hAnsi="Times New Roman"/>
          <w:sz w:val="24"/>
          <w:szCs w:val="24"/>
          <w:vertAlign w:val="superscript"/>
          <w:lang w:val="es-ES"/>
        </w:rPr>
        <w:footnoteReference w:id="51"/>
      </w:r>
      <w:r w:rsidR="00D43FAC" w:rsidRPr="00507C43">
        <w:rPr>
          <w:rFonts w:ascii="Times New Roman" w:eastAsia="Times New Roman" w:hAnsi="Times New Roman"/>
          <w:sz w:val="24"/>
          <w:szCs w:val="24"/>
          <w:lang w:val="es-ES"/>
        </w:rPr>
        <w:t xml:space="preserve"> la Corte Interamericana entendió que este derecho a que los hechos fueran esclaredidos y los responsables juzgados y sancionados formaba parte del derecho de acceso a la justicia. </w:t>
      </w:r>
      <w:r w:rsidR="006D37A5" w:rsidRPr="00507C43">
        <w:rPr>
          <w:rFonts w:ascii="Times New Roman" w:eastAsia="Times New Roman" w:hAnsi="Times New Roman"/>
          <w:sz w:val="24"/>
          <w:szCs w:val="24"/>
          <w:lang w:val="es-ES"/>
        </w:rPr>
        <w:t>Es</w:t>
      </w:r>
      <w:r w:rsidR="00232E2F" w:rsidRPr="00507C43">
        <w:rPr>
          <w:rFonts w:ascii="Times New Roman" w:eastAsia="Times New Roman" w:hAnsi="Times New Roman"/>
          <w:sz w:val="24"/>
          <w:szCs w:val="24"/>
          <w:lang w:val="es-ES"/>
        </w:rPr>
        <w:t xml:space="preserve"> a raíz del </w:t>
      </w:r>
      <w:r w:rsidR="00D43FAC" w:rsidRPr="00507C43">
        <w:rPr>
          <w:rFonts w:ascii="Times New Roman" w:eastAsia="Times New Roman" w:hAnsi="Times New Roman"/>
          <w:sz w:val="24"/>
          <w:szCs w:val="24"/>
          <w:lang w:val="es-ES"/>
        </w:rPr>
        <w:t xml:space="preserve">voto </w:t>
      </w:r>
      <w:r w:rsidR="00D43FAC" w:rsidRPr="00507C43">
        <w:rPr>
          <w:rFonts w:ascii="Times New Roman" w:eastAsia="Times New Roman" w:hAnsi="Times New Roman"/>
          <w:sz w:val="24"/>
          <w:szCs w:val="24"/>
          <w:lang w:val="es-ES" w:eastAsia="es-ES_tradnl"/>
        </w:rPr>
        <w:t>concurrente</w:t>
      </w:r>
      <w:r w:rsidR="006D37A5" w:rsidRPr="00507C43">
        <w:rPr>
          <w:rFonts w:ascii="Times New Roman" w:eastAsia="Times New Roman" w:hAnsi="Times New Roman"/>
          <w:sz w:val="24"/>
          <w:szCs w:val="24"/>
          <w:lang w:val="es-ES" w:eastAsia="es-ES_tradnl"/>
        </w:rPr>
        <w:t xml:space="preserve"> que acompaña a esta sentencia, redactado por </w:t>
      </w:r>
      <w:r w:rsidR="00D43FAC" w:rsidRPr="00507C43">
        <w:rPr>
          <w:rFonts w:ascii="Times New Roman" w:eastAsia="Times New Roman" w:hAnsi="Times New Roman"/>
          <w:sz w:val="24"/>
          <w:szCs w:val="24"/>
          <w:lang w:val="es-ES" w:eastAsia="es-ES_tradnl"/>
        </w:rPr>
        <w:t>el juez Eduardo Ferrer Mac-Gregor Poisot</w:t>
      </w:r>
      <w:r w:rsidR="00A11892">
        <w:rPr>
          <w:rFonts w:ascii="Times New Roman" w:eastAsia="Times New Roman" w:hAnsi="Times New Roman"/>
          <w:sz w:val="24"/>
          <w:szCs w:val="24"/>
          <w:lang w:val="es-ES" w:eastAsia="es-ES_tradnl"/>
        </w:rPr>
        <w:t>,</w:t>
      </w:r>
      <w:r w:rsidR="006D37A5" w:rsidRPr="00507C43">
        <w:rPr>
          <w:rFonts w:ascii="Times New Roman" w:eastAsia="Times New Roman" w:hAnsi="Times New Roman"/>
          <w:sz w:val="24"/>
          <w:szCs w:val="24"/>
          <w:lang w:val="es-ES" w:eastAsia="es-ES_tradnl"/>
        </w:rPr>
        <w:t xml:space="preserve"> cuando </w:t>
      </w:r>
      <w:r w:rsidR="00232E2F" w:rsidRPr="00507C43">
        <w:rPr>
          <w:rFonts w:ascii="Times New Roman" w:eastAsia="Times New Roman" w:hAnsi="Times New Roman"/>
          <w:sz w:val="24"/>
          <w:szCs w:val="24"/>
          <w:lang w:val="es-ES" w:eastAsia="es-ES_tradnl"/>
        </w:rPr>
        <w:t>la Corte cambia su posición.</w:t>
      </w:r>
    </w:p>
    <w:p w:rsidR="00704415" w:rsidRPr="00507C43" w:rsidRDefault="00A11892" w:rsidP="00507C43">
      <w:pPr>
        <w:pStyle w:val="Textonotapie"/>
        <w:tabs>
          <w:tab w:val="left" w:pos="426"/>
          <w:tab w:val="left" w:pos="567"/>
        </w:tabs>
        <w:spacing w:before="120" w:after="120"/>
        <w:jc w:val="both"/>
        <w:rPr>
          <w:rFonts w:ascii="Times New Roman" w:hAnsi="Times New Roman"/>
          <w:sz w:val="24"/>
          <w:szCs w:val="24"/>
          <w:lang w:val="es-ES"/>
        </w:rPr>
      </w:pPr>
      <w:r>
        <w:rPr>
          <w:rFonts w:ascii="Times New Roman" w:eastAsia="Times New Roman" w:hAnsi="Times New Roman"/>
          <w:sz w:val="24"/>
          <w:szCs w:val="24"/>
          <w:lang w:val="es-ES" w:eastAsia="es-ES_tradnl"/>
        </w:rPr>
        <w:t>En este</w:t>
      </w:r>
      <w:r w:rsidR="00704415" w:rsidRPr="00507C43">
        <w:rPr>
          <w:rFonts w:ascii="Times New Roman" w:eastAsia="Times New Roman" w:hAnsi="Times New Roman"/>
          <w:sz w:val="24"/>
          <w:szCs w:val="24"/>
          <w:lang w:val="es-ES" w:eastAsia="es-ES_tradnl"/>
        </w:rPr>
        <w:t xml:space="preserve"> voto concurrente</w:t>
      </w:r>
      <w:r>
        <w:rPr>
          <w:rFonts w:ascii="Times New Roman" w:eastAsia="Times New Roman" w:hAnsi="Times New Roman"/>
          <w:sz w:val="24"/>
          <w:szCs w:val="24"/>
          <w:lang w:val="es-ES" w:eastAsia="es-ES_tradnl"/>
        </w:rPr>
        <w:t xml:space="preserve"> se</w:t>
      </w:r>
      <w:r w:rsidR="00704415" w:rsidRPr="00507C43">
        <w:rPr>
          <w:rFonts w:ascii="Times New Roman" w:eastAsia="Times New Roman" w:hAnsi="Times New Roman"/>
          <w:sz w:val="24"/>
          <w:szCs w:val="24"/>
          <w:lang w:val="es-ES" w:eastAsia="es-ES_tradnl"/>
        </w:rPr>
        <w:t xml:space="preserve"> advierte que el derecho a la verdad no tiene por qué quedar necesariamente subsumido </w:t>
      </w:r>
      <w:r w:rsidR="00704415" w:rsidRPr="00507C43">
        <w:rPr>
          <w:rFonts w:ascii="Times New Roman" w:hAnsi="Times New Roman"/>
          <w:sz w:val="24"/>
          <w:szCs w:val="24"/>
          <w:lang w:val="es-ES"/>
        </w:rPr>
        <w:t xml:space="preserve">en los derechos </w:t>
      </w:r>
      <w:r w:rsidR="00704415" w:rsidRPr="00A11892">
        <w:rPr>
          <w:rFonts w:ascii="Times New Roman" w:hAnsi="Times New Roman"/>
          <w:sz w:val="24"/>
          <w:szCs w:val="24"/>
          <w:lang w:val="es-ES"/>
        </w:rPr>
        <w:t xml:space="preserve">a las garantías judiciales y </w:t>
      </w:r>
      <w:r w:rsidR="00D35B9C" w:rsidRPr="00A11892">
        <w:rPr>
          <w:rFonts w:ascii="Times New Roman" w:hAnsi="Times New Roman"/>
          <w:sz w:val="24"/>
          <w:szCs w:val="24"/>
          <w:lang w:val="es-ES"/>
        </w:rPr>
        <w:t>a la</w:t>
      </w:r>
      <w:r w:rsidR="00704415" w:rsidRPr="00A11892">
        <w:rPr>
          <w:rFonts w:ascii="Times New Roman" w:hAnsi="Times New Roman"/>
          <w:sz w:val="24"/>
          <w:szCs w:val="24"/>
          <w:lang w:val="es-ES"/>
        </w:rPr>
        <w:t xml:space="preserve"> protección judicial</w:t>
      </w:r>
      <w:r w:rsidR="00C303C2" w:rsidRPr="00507C43">
        <w:rPr>
          <w:rFonts w:ascii="Times New Roman" w:hAnsi="Times New Roman"/>
          <w:sz w:val="24"/>
          <w:szCs w:val="24"/>
          <w:lang w:val="es-ES"/>
        </w:rPr>
        <w:t>,</w:t>
      </w:r>
      <w:r w:rsidR="00704415" w:rsidRPr="00507C43">
        <w:rPr>
          <w:rFonts w:ascii="Times New Roman" w:hAnsi="Times New Roman"/>
          <w:sz w:val="24"/>
          <w:szCs w:val="24"/>
          <w:lang w:val="es-ES"/>
        </w:rPr>
        <w:t xml:space="preserve"> sino que “dependiendo del contexto y circunstancias del caso”, el derecho a la verdad podrá afectar a otros derechos de la Convención, como por ejemplo el derecho de acceso a la información (artículo 13) o el derecho a la integridad personal (artículo 5). E</w:t>
      </w:r>
      <w:r w:rsidR="00C303C2" w:rsidRPr="00507C43">
        <w:rPr>
          <w:rFonts w:ascii="Times New Roman" w:hAnsi="Times New Roman"/>
          <w:sz w:val="24"/>
          <w:szCs w:val="24"/>
          <w:lang w:val="es-ES"/>
        </w:rPr>
        <w:t>s</w:t>
      </w:r>
      <w:r>
        <w:rPr>
          <w:rFonts w:ascii="Times New Roman" w:hAnsi="Times New Roman"/>
          <w:sz w:val="24"/>
          <w:szCs w:val="24"/>
          <w:lang w:val="es-ES"/>
        </w:rPr>
        <w:t xml:space="preserve"> es</w:t>
      </w:r>
      <w:r w:rsidR="00C303C2" w:rsidRPr="00507C43">
        <w:rPr>
          <w:rFonts w:ascii="Times New Roman" w:hAnsi="Times New Roman"/>
          <w:sz w:val="24"/>
          <w:szCs w:val="24"/>
          <w:lang w:val="es-ES"/>
        </w:rPr>
        <w:t>ta capacidad del derecho a la verdad de afectar a varios derechos lo que permite con</w:t>
      </w:r>
      <w:r w:rsidR="00496F7C" w:rsidRPr="00507C43">
        <w:rPr>
          <w:rFonts w:ascii="Times New Roman" w:hAnsi="Times New Roman"/>
          <w:sz w:val="24"/>
          <w:szCs w:val="24"/>
          <w:lang w:val="es-ES"/>
        </w:rPr>
        <w:t>s</w:t>
      </w:r>
      <w:r w:rsidR="00C303C2" w:rsidRPr="00507C43">
        <w:rPr>
          <w:rFonts w:ascii="Times New Roman" w:hAnsi="Times New Roman"/>
          <w:sz w:val="24"/>
          <w:szCs w:val="24"/>
          <w:lang w:val="es-ES"/>
        </w:rPr>
        <w:t xml:space="preserve">iderar que se trata de un </w:t>
      </w:r>
      <w:r w:rsidR="00704415" w:rsidRPr="00507C43">
        <w:rPr>
          <w:rFonts w:ascii="Times New Roman" w:hAnsi="Times New Roman"/>
          <w:sz w:val="24"/>
          <w:szCs w:val="24"/>
          <w:lang w:val="es-ES"/>
        </w:rPr>
        <w:t>“derecho autónomo e independiente”</w:t>
      </w:r>
      <w:r>
        <w:rPr>
          <w:rFonts w:ascii="Times New Roman" w:hAnsi="Times New Roman"/>
          <w:sz w:val="24"/>
          <w:szCs w:val="24"/>
          <w:lang w:val="es-ES"/>
        </w:rPr>
        <w:t>, en opinión del juez Eduardo Ferrer</w:t>
      </w:r>
      <w:r w:rsidR="00C303C2" w:rsidRPr="00507C43">
        <w:rPr>
          <w:rStyle w:val="Refdenotaalpie"/>
          <w:rFonts w:ascii="Times New Roman" w:hAnsi="Times New Roman"/>
          <w:sz w:val="24"/>
          <w:szCs w:val="24"/>
          <w:lang w:val="es-ES"/>
        </w:rPr>
        <w:t xml:space="preserve"> </w:t>
      </w:r>
      <w:r w:rsidR="00C303C2" w:rsidRPr="00507C43">
        <w:rPr>
          <w:rStyle w:val="Refdenotaalpie"/>
          <w:rFonts w:ascii="Times New Roman" w:hAnsi="Times New Roman"/>
          <w:sz w:val="24"/>
          <w:szCs w:val="24"/>
          <w:lang w:val="es-ES"/>
        </w:rPr>
        <w:footnoteReference w:id="52"/>
      </w:r>
      <w:r w:rsidR="00C303C2" w:rsidRPr="00507C43">
        <w:rPr>
          <w:rFonts w:ascii="Times New Roman" w:hAnsi="Times New Roman"/>
          <w:sz w:val="24"/>
          <w:szCs w:val="24"/>
          <w:lang w:val="es-ES"/>
        </w:rPr>
        <w:t>.</w:t>
      </w:r>
    </w:p>
    <w:p w:rsidR="00A11892" w:rsidRPr="00507C43" w:rsidRDefault="00A11892" w:rsidP="00A11892">
      <w:pPr>
        <w:pStyle w:val="Textonotapie"/>
        <w:tabs>
          <w:tab w:val="left" w:pos="426"/>
          <w:tab w:val="left" w:pos="567"/>
        </w:tabs>
        <w:spacing w:before="120" w:after="120"/>
        <w:jc w:val="both"/>
        <w:rPr>
          <w:rFonts w:ascii="Times New Roman" w:eastAsia="Times New Roman" w:hAnsi="Times New Roman"/>
          <w:sz w:val="24"/>
          <w:szCs w:val="24"/>
          <w:lang w:val="es-ES" w:eastAsia="es-ES_tradnl"/>
        </w:rPr>
      </w:pPr>
      <w:r>
        <w:rPr>
          <w:rFonts w:ascii="Times New Roman" w:eastAsia="Times New Roman" w:hAnsi="Times New Roman"/>
          <w:sz w:val="24"/>
          <w:szCs w:val="24"/>
          <w:lang w:val="es-ES" w:eastAsia="es-ES_tradnl"/>
        </w:rPr>
        <w:t xml:space="preserve">A este voto se </w:t>
      </w:r>
      <w:r w:rsidR="00873061">
        <w:rPr>
          <w:rFonts w:ascii="Times New Roman" w:eastAsia="Times New Roman" w:hAnsi="Times New Roman"/>
          <w:sz w:val="24"/>
          <w:szCs w:val="24"/>
          <w:lang w:val="es-ES" w:eastAsia="es-ES_tradnl"/>
        </w:rPr>
        <w:t>sumaron</w:t>
      </w:r>
      <w:r>
        <w:rPr>
          <w:rFonts w:ascii="Times New Roman" w:eastAsia="Times New Roman" w:hAnsi="Times New Roman"/>
          <w:sz w:val="24"/>
          <w:szCs w:val="24"/>
          <w:lang w:val="es-ES" w:eastAsia="es-ES_tradnl"/>
        </w:rPr>
        <w:t xml:space="preserve"> dos jueces más (</w:t>
      </w:r>
      <w:r w:rsidRPr="00507C43">
        <w:rPr>
          <w:rFonts w:ascii="Times New Roman" w:eastAsia="Times New Roman" w:hAnsi="Times New Roman"/>
          <w:sz w:val="24"/>
          <w:szCs w:val="24"/>
          <w:lang w:val="es-ES" w:eastAsia="es-ES_tradnl"/>
        </w:rPr>
        <w:t>Eduardo Vio Grossi y Manuel E. Ventura Robles)</w:t>
      </w:r>
      <w:r>
        <w:rPr>
          <w:rFonts w:ascii="Times New Roman" w:eastAsia="Times New Roman" w:hAnsi="Times New Roman"/>
          <w:sz w:val="24"/>
          <w:szCs w:val="24"/>
          <w:lang w:val="es-ES" w:eastAsia="es-ES_tradnl"/>
        </w:rPr>
        <w:t xml:space="preserve">, </w:t>
      </w:r>
      <w:r w:rsidRPr="00507C43">
        <w:rPr>
          <w:rFonts w:ascii="Times New Roman" w:eastAsia="Times New Roman" w:hAnsi="Times New Roman"/>
          <w:sz w:val="24"/>
          <w:szCs w:val="24"/>
          <w:lang w:val="es-ES" w:eastAsia="es-ES_tradnl"/>
        </w:rPr>
        <w:t>de tal manera que tres de los cinco jueces que decidieron aquel caso se expresaron a favor de la consideración del derecho a la verdad como un derecho autónomo</w:t>
      </w:r>
      <w:r w:rsidR="00873061">
        <w:rPr>
          <w:rFonts w:ascii="Times New Roman" w:eastAsia="Times New Roman" w:hAnsi="Times New Roman"/>
          <w:sz w:val="24"/>
          <w:szCs w:val="24"/>
          <w:lang w:val="es-ES" w:eastAsia="es-ES_tradnl"/>
        </w:rPr>
        <w:t xml:space="preserve">. Siendo mayoría, </w:t>
      </w:r>
      <w:r>
        <w:rPr>
          <w:rFonts w:ascii="Times New Roman" w:eastAsia="Times New Roman" w:hAnsi="Times New Roman"/>
          <w:sz w:val="24"/>
          <w:szCs w:val="24"/>
          <w:lang w:val="es-ES" w:eastAsia="es-ES_tradnl"/>
        </w:rPr>
        <w:t>llama la aten</w:t>
      </w:r>
      <w:r w:rsidR="00873061">
        <w:rPr>
          <w:rFonts w:ascii="Times New Roman" w:eastAsia="Times New Roman" w:hAnsi="Times New Roman"/>
          <w:sz w:val="24"/>
          <w:szCs w:val="24"/>
          <w:lang w:val="es-ES" w:eastAsia="es-ES_tradnl"/>
        </w:rPr>
        <w:t>ción que tal postura no se recogiera en el cuerpo de la sentencia</w:t>
      </w:r>
      <w:r w:rsidRPr="00507C43">
        <w:rPr>
          <w:rStyle w:val="Refdenotaalpie"/>
          <w:rFonts w:ascii="Times New Roman" w:eastAsia="Times New Roman" w:hAnsi="Times New Roman"/>
          <w:sz w:val="24"/>
          <w:szCs w:val="24"/>
          <w:lang w:val="es-ES" w:eastAsia="es-ES_tradnl"/>
        </w:rPr>
        <w:footnoteReference w:id="53"/>
      </w:r>
      <w:r w:rsidRPr="00507C43">
        <w:rPr>
          <w:rFonts w:ascii="Times New Roman" w:eastAsia="Times New Roman" w:hAnsi="Times New Roman"/>
          <w:sz w:val="24"/>
          <w:szCs w:val="24"/>
          <w:lang w:val="es-ES" w:eastAsia="es-ES_tradnl"/>
        </w:rPr>
        <w:t>.</w:t>
      </w:r>
    </w:p>
    <w:p w:rsidR="00E30490" w:rsidRDefault="00E30490" w:rsidP="00507C43">
      <w:pPr>
        <w:pStyle w:val="Textonotapie"/>
        <w:tabs>
          <w:tab w:val="left" w:pos="426"/>
          <w:tab w:val="left" w:pos="567"/>
        </w:tabs>
        <w:spacing w:before="120" w:after="120"/>
        <w:jc w:val="both"/>
        <w:rPr>
          <w:rFonts w:ascii="Times New Roman" w:eastAsia="Times New Roman" w:hAnsi="Times New Roman"/>
          <w:sz w:val="24"/>
          <w:szCs w:val="24"/>
          <w:lang w:val="es-ES" w:eastAsia="es-ES_tradnl"/>
        </w:rPr>
      </w:pPr>
      <w:r>
        <w:rPr>
          <w:rFonts w:ascii="Times New Roman" w:eastAsia="Times New Roman" w:hAnsi="Times New Roman"/>
          <w:sz w:val="24"/>
          <w:szCs w:val="24"/>
          <w:lang w:val="es-ES" w:eastAsia="es-ES_tradnl"/>
        </w:rPr>
        <w:t xml:space="preserve">La sentencia que se dicta en el </w:t>
      </w:r>
      <w:r w:rsidRPr="00507C43">
        <w:rPr>
          <w:rFonts w:ascii="Times New Roman" w:hAnsi="Times New Roman"/>
          <w:i/>
          <w:noProof/>
          <w:sz w:val="24"/>
          <w:szCs w:val="24"/>
          <w:lang w:val="es-ES" w:eastAsia="fr-FR"/>
        </w:rPr>
        <w:t>Caso Vereda La Esperanza Vs. Colombia</w:t>
      </w:r>
      <w:r w:rsidRPr="00507C43">
        <w:rPr>
          <w:rFonts w:ascii="Times New Roman" w:hAnsi="Times New Roman"/>
          <w:noProof/>
          <w:sz w:val="24"/>
          <w:szCs w:val="24"/>
          <w:lang w:val="es-ES" w:eastAsia="fr-FR"/>
        </w:rPr>
        <w:t>, de 2017</w:t>
      </w:r>
      <w:r>
        <w:rPr>
          <w:rFonts w:ascii="Times New Roman" w:hAnsi="Times New Roman"/>
          <w:noProof/>
          <w:sz w:val="24"/>
          <w:szCs w:val="24"/>
          <w:lang w:val="es-ES" w:eastAsia="fr-FR"/>
        </w:rPr>
        <w:t xml:space="preserve">, es la primera que expresamente reconoce la autonomía del derecho a la verdad. </w:t>
      </w:r>
      <w:r w:rsidR="00AA0079" w:rsidRPr="00507C43">
        <w:rPr>
          <w:rFonts w:ascii="Times New Roman" w:hAnsi="Times New Roman"/>
          <w:noProof/>
          <w:sz w:val="24"/>
          <w:szCs w:val="24"/>
          <w:lang w:val="es-ES" w:eastAsia="fr-FR"/>
        </w:rPr>
        <w:t xml:space="preserve">Lo hizo utilizando </w:t>
      </w:r>
      <w:r w:rsidR="00AA0079" w:rsidRPr="00507C43">
        <w:rPr>
          <w:rFonts w:ascii="Times New Roman" w:hAnsi="Times New Roman"/>
          <w:noProof/>
          <w:sz w:val="24"/>
          <w:szCs w:val="24"/>
          <w:lang w:val="es-ES" w:eastAsia="fr-FR"/>
        </w:rPr>
        <w:lastRenderedPageBreak/>
        <w:t>exactamente los mismo</w:t>
      </w:r>
      <w:r>
        <w:rPr>
          <w:rFonts w:ascii="Times New Roman" w:hAnsi="Times New Roman"/>
          <w:noProof/>
          <w:sz w:val="24"/>
          <w:szCs w:val="24"/>
          <w:lang w:val="es-ES" w:eastAsia="fr-FR"/>
        </w:rPr>
        <w:t>s argumentos</w:t>
      </w:r>
      <w:r w:rsidR="00AA0079" w:rsidRPr="00507C43">
        <w:rPr>
          <w:rFonts w:ascii="Times New Roman" w:hAnsi="Times New Roman"/>
          <w:noProof/>
          <w:sz w:val="24"/>
          <w:szCs w:val="24"/>
          <w:lang w:val="es-ES" w:eastAsia="fr-FR"/>
        </w:rPr>
        <w:t xml:space="preserve"> </w:t>
      </w:r>
      <w:r w:rsidR="006476B9" w:rsidRPr="00507C43">
        <w:rPr>
          <w:rFonts w:ascii="Times New Roman" w:hAnsi="Times New Roman"/>
          <w:noProof/>
          <w:sz w:val="24"/>
          <w:szCs w:val="24"/>
          <w:lang w:val="es-ES" w:eastAsia="fr-FR"/>
        </w:rPr>
        <w:t>d</w:t>
      </w:r>
      <w:r w:rsidR="00AA0079" w:rsidRPr="00507C43">
        <w:rPr>
          <w:rFonts w:ascii="Times New Roman" w:hAnsi="Times New Roman"/>
          <w:noProof/>
          <w:sz w:val="24"/>
          <w:szCs w:val="24"/>
          <w:lang w:val="es-ES" w:eastAsia="fr-FR"/>
        </w:rPr>
        <w:t>el juez</w:t>
      </w:r>
      <w:r>
        <w:rPr>
          <w:rFonts w:ascii="Times New Roman" w:hAnsi="Times New Roman"/>
          <w:noProof/>
          <w:sz w:val="24"/>
          <w:szCs w:val="24"/>
          <w:lang w:val="es-ES" w:eastAsia="fr-FR"/>
        </w:rPr>
        <w:t xml:space="preserve"> Eduardo</w:t>
      </w:r>
      <w:r w:rsidR="00AA0079" w:rsidRPr="00507C43">
        <w:rPr>
          <w:rFonts w:ascii="Times New Roman" w:hAnsi="Times New Roman"/>
          <w:noProof/>
          <w:sz w:val="24"/>
          <w:szCs w:val="24"/>
          <w:lang w:val="es-ES" w:eastAsia="fr-FR"/>
        </w:rPr>
        <w:t xml:space="preserve"> Ferrer</w:t>
      </w:r>
      <w:r w:rsidR="00AA0079" w:rsidRPr="00507C43">
        <w:rPr>
          <w:rFonts w:ascii="Times New Roman" w:eastAsia="Times New Roman" w:hAnsi="Times New Roman"/>
          <w:sz w:val="24"/>
          <w:szCs w:val="24"/>
          <w:lang w:val="es-ES" w:eastAsia="es-ES_tradnl"/>
        </w:rPr>
        <w:t xml:space="preserve">, </w:t>
      </w:r>
      <w:r>
        <w:rPr>
          <w:rFonts w:ascii="Times New Roman" w:eastAsia="Times New Roman" w:hAnsi="Times New Roman"/>
          <w:sz w:val="24"/>
          <w:szCs w:val="24"/>
          <w:lang w:val="es-ES" w:eastAsia="es-ES_tradnl"/>
        </w:rPr>
        <w:t xml:space="preserve">lo que representa un ejemplo paradigmático del valor que a veces tienen los votos particulares. Haciendo suyos sus argumentos, la Corte señala que la posibilidad que tiene este derecho de ser subsumido en varios preceptos de la Convención Americana, y no solo en el derecho de acceso a la justicia, </w:t>
      </w:r>
      <w:r w:rsidR="00EC6D57">
        <w:rPr>
          <w:rFonts w:ascii="Times New Roman" w:eastAsia="Times New Roman" w:hAnsi="Times New Roman"/>
          <w:sz w:val="24"/>
          <w:szCs w:val="24"/>
          <w:lang w:val="es-ES" w:eastAsia="es-ES_tradnl"/>
        </w:rPr>
        <w:t>justifica tal carácter.</w:t>
      </w:r>
    </w:p>
    <w:p w:rsidR="00C90838" w:rsidRPr="00507C43" w:rsidRDefault="00EC452E" w:rsidP="00507C43">
      <w:pPr>
        <w:pStyle w:val="Textonotapie"/>
        <w:tabs>
          <w:tab w:val="left" w:pos="426"/>
          <w:tab w:val="left" w:pos="567"/>
        </w:tabs>
        <w:spacing w:before="120" w:after="120"/>
        <w:jc w:val="both"/>
        <w:rPr>
          <w:rFonts w:ascii="Times New Roman" w:hAnsi="Times New Roman"/>
          <w:noProof/>
          <w:sz w:val="24"/>
          <w:szCs w:val="24"/>
          <w:lang w:val="es-ES" w:eastAsia="fr-FR"/>
        </w:rPr>
      </w:pPr>
      <w:r w:rsidRPr="00507C43">
        <w:rPr>
          <w:rFonts w:ascii="Times New Roman" w:hAnsi="Times New Roman"/>
          <w:noProof/>
          <w:sz w:val="24"/>
          <w:szCs w:val="24"/>
          <w:lang w:val="es-ES" w:eastAsia="fr-FR"/>
        </w:rPr>
        <w:t>Este cambio en la concepción del derecho a la verdad en la jurisprudencia de la Corte Interamericana f</w:t>
      </w:r>
      <w:r w:rsidR="004E62C5" w:rsidRPr="00507C43">
        <w:rPr>
          <w:rFonts w:ascii="Times New Roman" w:hAnsi="Times New Roman"/>
          <w:noProof/>
          <w:sz w:val="24"/>
          <w:szCs w:val="24"/>
          <w:lang w:val="es-ES" w:eastAsia="fr-FR"/>
        </w:rPr>
        <w:t>ue un tanto peculiar, pues</w:t>
      </w:r>
      <w:r w:rsidRPr="00507C43">
        <w:rPr>
          <w:rFonts w:ascii="Times New Roman" w:hAnsi="Times New Roman"/>
          <w:noProof/>
          <w:sz w:val="24"/>
          <w:szCs w:val="24"/>
          <w:lang w:val="es-ES" w:eastAsia="fr-FR"/>
        </w:rPr>
        <w:t xml:space="preserve"> </w:t>
      </w:r>
      <w:r w:rsidR="004E62C5" w:rsidRPr="00507C43">
        <w:rPr>
          <w:rFonts w:ascii="Times New Roman" w:hAnsi="Times New Roman"/>
          <w:noProof/>
          <w:sz w:val="24"/>
          <w:szCs w:val="24"/>
          <w:lang w:val="es-ES" w:eastAsia="fr-FR"/>
        </w:rPr>
        <w:t>e</w:t>
      </w:r>
      <w:r w:rsidRPr="00507C43">
        <w:rPr>
          <w:rFonts w:ascii="Times New Roman" w:hAnsi="Times New Roman"/>
          <w:noProof/>
          <w:sz w:val="24"/>
          <w:szCs w:val="24"/>
          <w:lang w:val="es-ES" w:eastAsia="fr-FR"/>
        </w:rPr>
        <w:t xml:space="preserve">ntre la sentencia </w:t>
      </w:r>
      <w:r w:rsidRPr="00507C43">
        <w:rPr>
          <w:rFonts w:ascii="Times New Roman" w:eastAsia="Times New Roman" w:hAnsi="Times New Roman"/>
          <w:i/>
          <w:sz w:val="24"/>
          <w:szCs w:val="24"/>
          <w:lang w:val="es-ES"/>
        </w:rPr>
        <w:t xml:space="preserve">Rodríguez Vera y otros </w:t>
      </w:r>
      <w:r w:rsidRPr="00507C43">
        <w:rPr>
          <w:rFonts w:ascii="Times New Roman" w:eastAsia="Times New Roman" w:hAnsi="Times New Roman"/>
          <w:sz w:val="24"/>
          <w:szCs w:val="24"/>
          <w:lang w:val="es-ES"/>
        </w:rPr>
        <w:t xml:space="preserve">(2014) y la sentencia </w:t>
      </w:r>
      <w:r w:rsidR="006476B9" w:rsidRPr="00507C43">
        <w:rPr>
          <w:rFonts w:ascii="Times New Roman" w:hAnsi="Times New Roman"/>
          <w:i/>
          <w:noProof/>
          <w:sz w:val="24"/>
          <w:szCs w:val="24"/>
          <w:lang w:val="es-ES" w:eastAsia="fr-FR"/>
        </w:rPr>
        <w:t>Vereda La Esperanza</w:t>
      </w:r>
      <w:r w:rsidRPr="00507C43">
        <w:rPr>
          <w:rFonts w:ascii="Times New Roman" w:hAnsi="Times New Roman"/>
          <w:i/>
          <w:noProof/>
          <w:sz w:val="24"/>
          <w:szCs w:val="24"/>
          <w:lang w:val="es-ES" w:eastAsia="fr-FR"/>
        </w:rPr>
        <w:t xml:space="preserve"> </w:t>
      </w:r>
      <w:r w:rsidRPr="00507C43">
        <w:rPr>
          <w:rFonts w:ascii="Times New Roman" w:hAnsi="Times New Roman"/>
          <w:noProof/>
          <w:sz w:val="24"/>
          <w:szCs w:val="24"/>
          <w:lang w:val="es-ES" w:eastAsia="fr-FR"/>
        </w:rPr>
        <w:t xml:space="preserve">(2017), </w:t>
      </w:r>
      <w:r w:rsidR="00D8697B">
        <w:rPr>
          <w:rFonts w:ascii="Times New Roman" w:hAnsi="Times New Roman"/>
          <w:noProof/>
          <w:sz w:val="24"/>
          <w:szCs w:val="24"/>
          <w:lang w:val="es-ES" w:eastAsia="fr-FR"/>
        </w:rPr>
        <w:t>se</w:t>
      </w:r>
      <w:r w:rsidRPr="00507C43">
        <w:rPr>
          <w:rFonts w:ascii="Times New Roman" w:hAnsi="Times New Roman"/>
          <w:noProof/>
          <w:sz w:val="24"/>
          <w:szCs w:val="24"/>
          <w:lang w:val="es-ES" w:eastAsia="fr-FR"/>
        </w:rPr>
        <w:t xml:space="preserve"> dicta</w:t>
      </w:r>
      <w:r w:rsidR="00D8697B">
        <w:rPr>
          <w:rFonts w:ascii="Times New Roman" w:hAnsi="Times New Roman"/>
          <w:noProof/>
          <w:sz w:val="24"/>
          <w:szCs w:val="24"/>
          <w:lang w:val="es-ES" w:eastAsia="fr-FR"/>
        </w:rPr>
        <w:t>n</w:t>
      </w:r>
      <w:r w:rsidRPr="00507C43">
        <w:rPr>
          <w:rFonts w:ascii="Times New Roman" w:hAnsi="Times New Roman"/>
          <w:noProof/>
          <w:sz w:val="24"/>
          <w:szCs w:val="24"/>
          <w:lang w:val="es-ES" w:eastAsia="fr-FR"/>
        </w:rPr>
        <w:t xml:space="preserve"> </w:t>
      </w:r>
      <w:r w:rsidR="001415AE" w:rsidRPr="00507C43">
        <w:rPr>
          <w:rFonts w:ascii="Times New Roman" w:hAnsi="Times New Roman"/>
          <w:noProof/>
          <w:sz w:val="24"/>
          <w:szCs w:val="24"/>
          <w:lang w:val="es-ES" w:eastAsia="fr-FR"/>
        </w:rPr>
        <w:t>tres sentencias</w:t>
      </w:r>
      <w:r w:rsidR="004E62C5" w:rsidRPr="00507C43">
        <w:rPr>
          <w:rFonts w:ascii="Times New Roman" w:hAnsi="Times New Roman"/>
          <w:noProof/>
          <w:sz w:val="24"/>
          <w:szCs w:val="24"/>
          <w:lang w:val="es-ES" w:eastAsia="fr-FR"/>
        </w:rPr>
        <w:t>,</w:t>
      </w:r>
      <w:r w:rsidRPr="00507C43">
        <w:rPr>
          <w:rFonts w:ascii="Times New Roman" w:hAnsi="Times New Roman"/>
          <w:noProof/>
          <w:sz w:val="24"/>
          <w:szCs w:val="24"/>
          <w:lang w:val="es-ES" w:eastAsia="fr-FR"/>
        </w:rPr>
        <w:t xml:space="preserve"> en casos</w:t>
      </w:r>
      <w:r w:rsidR="004E62C5" w:rsidRPr="00507C43">
        <w:rPr>
          <w:rFonts w:ascii="Times New Roman" w:hAnsi="Times New Roman"/>
          <w:noProof/>
          <w:sz w:val="24"/>
          <w:szCs w:val="24"/>
          <w:lang w:val="es-ES" w:eastAsia="fr-FR"/>
        </w:rPr>
        <w:t xml:space="preserve"> también</w:t>
      </w:r>
      <w:r w:rsidRPr="00507C43">
        <w:rPr>
          <w:rFonts w:ascii="Times New Roman" w:hAnsi="Times New Roman"/>
          <w:noProof/>
          <w:sz w:val="24"/>
          <w:szCs w:val="24"/>
          <w:lang w:val="es-ES" w:eastAsia="fr-FR"/>
        </w:rPr>
        <w:t xml:space="preserve"> de desapariciones forzadas</w:t>
      </w:r>
      <w:r w:rsidR="004E62C5" w:rsidRPr="00507C43">
        <w:rPr>
          <w:rFonts w:ascii="Times New Roman" w:hAnsi="Times New Roman"/>
          <w:noProof/>
          <w:sz w:val="24"/>
          <w:szCs w:val="24"/>
          <w:lang w:val="es-ES" w:eastAsia="fr-FR"/>
        </w:rPr>
        <w:t>,</w:t>
      </w:r>
      <w:r w:rsidRPr="00507C43">
        <w:rPr>
          <w:rFonts w:ascii="Times New Roman" w:hAnsi="Times New Roman"/>
          <w:noProof/>
          <w:sz w:val="24"/>
          <w:szCs w:val="24"/>
          <w:lang w:val="es-ES" w:eastAsia="fr-FR"/>
        </w:rPr>
        <w:t xml:space="preserve"> </w:t>
      </w:r>
      <w:r w:rsidR="004E62C5" w:rsidRPr="00507C43">
        <w:rPr>
          <w:rFonts w:ascii="Times New Roman" w:hAnsi="Times New Roman"/>
          <w:noProof/>
          <w:sz w:val="24"/>
          <w:szCs w:val="24"/>
          <w:lang w:val="es-ES" w:eastAsia="fr-FR"/>
        </w:rPr>
        <w:t xml:space="preserve">que sostienen, como Ferrer, que el derecho a </w:t>
      </w:r>
      <w:r w:rsidR="00C90838" w:rsidRPr="00507C43">
        <w:rPr>
          <w:rFonts w:ascii="Times New Roman" w:hAnsi="Times New Roman"/>
          <w:noProof/>
          <w:sz w:val="24"/>
          <w:szCs w:val="24"/>
          <w:lang w:val="es-ES" w:eastAsia="fr-FR"/>
        </w:rPr>
        <w:t>la verda</w:t>
      </w:r>
      <w:r w:rsidR="001415AE" w:rsidRPr="00507C43">
        <w:rPr>
          <w:rFonts w:ascii="Times New Roman" w:hAnsi="Times New Roman"/>
          <w:noProof/>
          <w:sz w:val="24"/>
          <w:szCs w:val="24"/>
          <w:lang w:val="es-ES" w:eastAsia="fr-FR"/>
        </w:rPr>
        <w:t>d tiene una naturaleza que exced</w:t>
      </w:r>
      <w:r w:rsidR="00C90838" w:rsidRPr="00507C43">
        <w:rPr>
          <w:rFonts w:ascii="Times New Roman" w:hAnsi="Times New Roman"/>
          <w:noProof/>
          <w:sz w:val="24"/>
          <w:szCs w:val="24"/>
          <w:lang w:val="es-ES" w:eastAsia="fr-FR"/>
        </w:rPr>
        <w:t>e la del derecho de acceso a la justicia, pero si</w:t>
      </w:r>
      <w:r w:rsidR="00D8697B">
        <w:rPr>
          <w:rFonts w:ascii="Times New Roman" w:hAnsi="Times New Roman"/>
          <w:noProof/>
          <w:sz w:val="24"/>
          <w:szCs w:val="24"/>
          <w:lang w:val="es-ES" w:eastAsia="fr-FR"/>
        </w:rPr>
        <w:t>n concluir que por ello se trate</w:t>
      </w:r>
      <w:r w:rsidR="00C90838" w:rsidRPr="00507C43">
        <w:rPr>
          <w:rFonts w:ascii="Times New Roman" w:hAnsi="Times New Roman"/>
          <w:noProof/>
          <w:sz w:val="24"/>
          <w:szCs w:val="24"/>
          <w:lang w:val="es-ES" w:eastAsia="fr-FR"/>
        </w:rPr>
        <w:t xml:space="preserve"> de un derecho autónomo, que es lo que</w:t>
      </w:r>
      <w:r w:rsidR="001415AE" w:rsidRPr="00507C43">
        <w:rPr>
          <w:rFonts w:ascii="Times New Roman" w:hAnsi="Times New Roman"/>
          <w:noProof/>
          <w:sz w:val="24"/>
          <w:szCs w:val="24"/>
          <w:lang w:val="es-ES" w:eastAsia="fr-FR"/>
        </w:rPr>
        <w:t>, como una consecuencia lógica de lo anterior, viene a añadir</w:t>
      </w:r>
      <w:r w:rsidR="00C90838" w:rsidRPr="00507C43">
        <w:rPr>
          <w:rFonts w:ascii="Times New Roman" w:hAnsi="Times New Roman"/>
          <w:noProof/>
          <w:sz w:val="24"/>
          <w:szCs w:val="24"/>
          <w:lang w:val="es-ES" w:eastAsia="fr-FR"/>
        </w:rPr>
        <w:t xml:space="preserve"> </w:t>
      </w:r>
      <w:r w:rsidR="00C90838" w:rsidRPr="00507C43">
        <w:rPr>
          <w:rFonts w:ascii="Times New Roman" w:hAnsi="Times New Roman"/>
          <w:i/>
          <w:noProof/>
          <w:sz w:val="24"/>
          <w:szCs w:val="24"/>
          <w:lang w:val="es-ES" w:eastAsia="fr-FR"/>
        </w:rPr>
        <w:t>Vereda La Esperanza</w:t>
      </w:r>
      <w:r w:rsidR="00C90838" w:rsidRPr="00507C43">
        <w:rPr>
          <w:rFonts w:ascii="Times New Roman" w:hAnsi="Times New Roman"/>
          <w:noProof/>
          <w:sz w:val="24"/>
          <w:szCs w:val="24"/>
          <w:lang w:val="es-ES" w:eastAsia="fr-FR"/>
        </w:rPr>
        <w:t>.</w:t>
      </w:r>
    </w:p>
    <w:p w:rsidR="00ED3E4A" w:rsidRDefault="001415AE" w:rsidP="00ED3E4A">
      <w:pPr>
        <w:pStyle w:val="Textonotapie"/>
        <w:tabs>
          <w:tab w:val="left" w:pos="426"/>
          <w:tab w:val="left" w:pos="567"/>
        </w:tabs>
        <w:spacing w:before="120" w:after="120"/>
        <w:jc w:val="both"/>
        <w:rPr>
          <w:rFonts w:ascii="Times New Roman" w:hAnsi="Times New Roman"/>
          <w:noProof/>
          <w:sz w:val="24"/>
          <w:szCs w:val="24"/>
          <w:lang w:val="es-ES" w:eastAsia="fr-FR"/>
        </w:rPr>
      </w:pPr>
      <w:r w:rsidRPr="00507C43">
        <w:rPr>
          <w:rFonts w:ascii="Times New Roman" w:hAnsi="Times New Roman"/>
          <w:noProof/>
          <w:sz w:val="24"/>
          <w:szCs w:val="24"/>
          <w:lang w:val="es-ES" w:eastAsia="fr-FR"/>
        </w:rPr>
        <w:t>La primera de estas sentencia</w:t>
      </w:r>
      <w:r w:rsidR="006F688E">
        <w:rPr>
          <w:rFonts w:ascii="Times New Roman" w:hAnsi="Times New Roman"/>
          <w:noProof/>
          <w:sz w:val="24"/>
          <w:szCs w:val="24"/>
          <w:lang w:val="es-ES" w:eastAsia="fr-FR"/>
        </w:rPr>
        <w:t>s</w:t>
      </w:r>
      <w:r w:rsidRPr="00507C43">
        <w:rPr>
          <w:rFonts w:ascii="Times New Roman" w:hAnsi="Times New Roman"/>
          <w:noProof/>
          <w:sz w:val="24"/>
          <w:szCs w:val="24"/>
          <w:lang w:val="es-ES" w:eastAsia="fr-FR"/>
        </w:rPr>
        <w:t xml:space="preserve"> fue la dictada en el </w:t>
      </w:r>
      <w:r w:rsidR="007358A4" w:rsidRPr="00507C43">
        <w:rPr>
          <w:rFonts w:ascii="Times New Roman" w:hAnsi="Times New Roman"/>
          <w:i/>
          <w:sz w:val="24"/>
          <w:szCs w:val="24"/>
          <w:lang w:val="es-ES"/>
        </w:rPr>
        <w:t>Caso Comunidad Campesina de Santa Bárbara Vs. Perú</w:t>
      </w:r>
      <w:r w:rsidRPr="00507C43">
        <w:rPr>
          <w:rFonts w:ascii="Times New Roman" w:hAnsi="Times New Roman"/>
          <w:sz w:val="24"/>
          <w:szCs w:val="24"/>
          <w:lang w:val="es-ES"/>
        </w:rPr>
        <w:t>, de 2015.</w:t>
      </w:r>
      <w:r w:rsidR="00ED3E4A">
        <w:rPr>
          <w:rFonts w:ascii="Times New Roman" w:hAnsi="Times New Roman"/>
          <w:sz w:val="24"/>
          <w:szCs w:val="24"/>
          <w:lang w:val="es-ES"/>
        </w:rPr>
        <w:t xml:space="preserve"> En ella, por primera vez, la Corte sostiene que el derecho a la verdad tiene una naturaleza que excede la de los derechos</w:t>
      </w:r>
      <w:r w:rsidR="00ED3E4A" w:rsidRPr="00ED3E4A">
        <w:rPr>
          <w:rFonts w:ascii="Times New Roman" w:hAnsi="Times New Roman"/>
          <w:noProof/>
          <w:sz w:val="24"/>
          <w:szCs w:val="24"/>
          <w:lang w:val="es-ES" w:eastAsia="fr-FR"/>
        </w:rPr>
        <w:t xml:space="preserve"> </w:t>
      </w:r>
      <w:r w:rsidR="00ED3E4A" w:rsidRPr="00ED3E4A">
        <w:rPr>
          <w:rFonts w:ascii="Times New Roman" w:hAnsi="Times New Roman"/>
          <w:sz w:val="24"/>
          <w:szCs w:val="24"/>
          <w:lang w:val="es-ES"/>
        </w:rPr>
        <w:t>reconocidos en el artículo 8 (garantías judiciales) y 25.1 (protección judicial)</w:t>
      </w:r>
      <w:r w:rsidR="00ED3E4A">
        <w:rPr>
          <w:rFonts w:ascii="Times New Roman" w:hAnsi="Times New Roman"/>
          <w:sz w:val="24"/>
          <w:szCs w:val="24"/>
          <w:lang w:val="es-ES"/>
        </w:rPr>
        <w:t xml:space="preserve">, pues, </w:t>
      </w:r>
      <w:r w:rsidR="00ED3E4A" w:rsidRPr="00507C43">
        <w:rPr>
          <w:rFonts w:ascii="Times New Roman" w:hAnsi="Times New Roman"/>
          <w:noProof/>
          <w:sz w:val="24"/>
          <w:szCs w:val="24"/>
          <w:lang w:val="es-ES" w:eastAsia="fr-FR"/>
        </w:rPr>
        <w:t>en función de las circunstancias,</w:t>
      </w:r>
      <w:r w:rsidR="00ED3E4A">
        <w:rPr>
          <w:rFonts w:ascii="Times New Roman" w:hAnsi="Times New Roman"/>
          <w:noProof/>
          <w:sz w:val="24"/>
          <w:szCs w:val="24"/>
          <w:lang w:val="es-ES" w:eastAsia="fr-FR"/>
        </w:rPr>
        <w:t xml:space="preserve"> también podría afectar</w:t>
      </w:r>
      <w:r w:rsidR="00ED3E4A" w:rsidRPr="00507C43">
        <w:rPr>
          <w:rFonts w:ascii="Times New Roman" w:hAnsi="Times New Roman"/>
          <w:noProof/>
          <w:sz w:val="24"/>
          <w:szCs w:val="24"/>
          <w:lang w:val="es-ES" w:eastAsia="fr-FR"/>
        </w:rPr>
        <w:t xml:space="preserve"> a otros derechos consagarados en la Convención Americana, como los reconocidos en los artículos 13.1 (libertad de información), 5.1 y 5.2 (integridad personal). </w:t>
      </w:r>
    </w:p>
    <w:p w:rsidR="007358A4" w:rsidRPr="00507C43" w:rsidRDefault="009E3616" w:rsidP="00507C43">
      <w:pPr>
        <w:pStyle w:val="Textonotapie"/>
        <w:tabs>
          <w:tab w:val="left" w:pos="426"/>
          <w:tab w:val="left" w:pos="567"/>
        </w:tabs>
        <w:spacing w:before="120" w:after="120"/>
        <w:jc w:val="both"/>
        <w:rPr>
          <w:rFonts w:ascii="Times New Roman" w:hAnsi="Times New Roman"/>
          <w:sz w:val="24"/>
          <w:szCs w:val="24"/>
          <w:lang w:val="es-ES"/>
        </w:rPr>
      </w:pPr>
      <w:r w:rsidRPr="00507C43">
        <w:rPr>
          <w:rFonts w:ascii="Times New Roman" w:hAnsi="Times New Roman"/>
          <w:noProof/>
          <w:sz w:val="24"/>
          <w:szCs w:val="24"/>
          <w:lang w:val="es-ES" w:eastAsia="fr-FR"/>
        </w:rPr>
        <w:t xml:space="preserve">Tras esta sentencia vinieron dos más que </w:t>
      </w:r>
      <w:r w:rsidR="00D8697B">
        <w:rPr>
          <w:rFonts w:ascii="Times New Roman" w:hAnsi="Times New Roman"/>
          <w:noProof/>
          <w:sz w:val="24"/>
          <w:szCs w:val="24"/>
          <w:lang w:val="es-ES" w:eastAsia="fr-FR"/>
        </w:rPr>
        <w:t>se suman a este argumento</w:t>
      </w:r>
      <w:r w:rsidRPr="00507C43">
        <w:rPr>
          <w:rFonts w:ascii="Times New Roman" w:hAnsi="Times New Roman"/>
          <w:noProof/>
          <w:sz w:val="24"/>
          <w:szCs w:val="24"/>
          <w:lang w:val="es-ES" w:eastAsia="fr-FR"/>
        </w:rPr>
        <w:t xml:space="preserve">, esto es, </w:t>
      </w:r>
      <w:r w:rsidR="001415AE" w:rsidRPr="00507C43">
        <w:rPr>
          <w:rFonts w:ascii="Times New Roman" w:hAnsi="Times New Roman"/>
          <w:noProof/>
          <w:sz w:val="24"/>
          <w:szCs w:val="24"/>
          <w:lang w:val="es-ES" w:eastAsia="fr-FR"/>
        </w:rPr>
        <w:t xml:space="preserve">que </w:t>
      </w:r>
      <w:r w:rsidRPr="00507C43">
        <w:rPr>
          <w:rFonts w:ascii="Times New Roman" w:hAnsi="Times New Roman"/>
          <w:noProof/>
          <w:sz w:val="24"/>
          <w:szCs w:val="24"/>
          <w:lang w:val="es-ES" w:eastAsia="fr-FR"/>
        </w:rPr>
        <w:t>apelan a la naturaleza distinta del derecho</w:t>
      </w:r>
      <w:r w:rsidR="001415AE" w:rsidRPr="00507C43">
        <w:rPr>
          <w:rFonts w:ascii="Times New Roman" w:hAnsi="Times New Roman"/>
          <w:noProof/>
          <w:sz w:val="24"/>
          <w:szCs w:val="24"/>
          <w:lang w:val="es-ES" w:eastAsia="fr-FR"/>
        </w:rPr>
        <w:t xml:space="preserve"> a la verdad</w:t>
      </w:r>
      <w:r w:rsidRPr="00507C43">
        <w:rPr>
          <w:rFonts w:ascii="Times New Roman" w:hAnsi="Times New Roman"/>
          <w:noProof/>
          <w:sz w:val="24"/>
          <w:szCs w:val="24"/>
          <w:lang w:val="es-ES" w:eastAsia="fr-FR"/>
        </w:rPr>
        <w:t xml:space="preserve">, en cuanto a su capacidad para subsumirse en distintos derechos reconocidos en la Convención, pero sin concluir </w:t>
      </w:r>
      <w:r w:rsidR="001415AE" w:rsidRPr="00507C43">
        <w:rPr>
          <w:rFonts w:ascii="Times New Roman" w:hAnsi="Times New Roman"/>
          <w:noProof/>
          <w:sz w:val="24"/>
          <w:szCs w:val="24"/>
          <w:lang w:val="es-ES" w:eastAsia="fr-FR"/>
        </w:rPr>
        <w:t>que, en consecuencia, se t</w:t>
      </w:r>
      <w:r w:rsidR="00D8697B">
        <w:rPr>
          <w:rFonts w:ascii="Times New Roman" w:hAnsi="Times New Roman"/>
          <w:noProof/>
          <w:sz w:val="24"/>
          <w:szCs w:val="24"/>
          <w:lang w:val="es-ES" w:eastAsia="fr-FR"/>
        </w:rPr>
        <w:t>rate</w:t>
      </w:r>
      <w:r w:rsidR="001415AE" w:rsidRPr="00507C43">
        <w:rPr>
          <w:rFonts w:ascii="Times New Roman" w:hAnsi="Times New Roman"/>
          <w:noProof/>
          <w:sz w:val="24"/>
          <w:szCs w:val="24"/>
          <w:lang w:val="es-ES" w:eastAsia="fr-FR"/>
        </w:rPr>
        <w:t xml:space="preserve"> de un derecho autónomo </w:t>
      </w:r>
      <w:r w:rsidRPr="00507C43">
        <w:rPr>
          <w:rFonts w:ascii="Times New Roman" w:hAnsi="Times New Roman"/>
          <w:noProof/>
          <w:sz w:val="24"/>
          <w:szCs w:val="24"/>
          <w:lang w:val="es-ES" w:eastAsia="fr-FR"/>
        </w:rPr>
        <w:t>(</w:t>
      </w:r>
      <w:r w:rsidRPr="00507C43">
        <w:rPr>
          <w:rFonts w:ascii="Times New Roman" w:hAnsi="Times New Roman"/>
          <w:i/>
          <w:sz w:val="24"/>
          <w:szCs w:val="24"/>
          <w:lang w:val="es-ES"/>
        </w:rPr>
        <w:t>Tenorio Roca y otros Vs. Perú</w:t>
      </w:r>
      <w:r w:rsidRPr="00507C43">
        <w:rPr>
          <w:rFonts w:ascii="Times New Roman" w:hAnsi="Times New Roman"/>
          <w:sz w:val="24"/>
          <w:szCs w:val="24"/>
          <w:lang w:val="es-ES"/>
        </w:rPr>
        <w:t xml:space="preserve">, de 2015, y </w:t>
      </w:r>
      <w:r w:rsidRPr="00507C43">
        <w:rPr>
          <w:rFonts w:ascii="Times New Roman" w:hAnsi="Times New Roman"/>
          <w:i/>
          <w:sz w:val="24"/>
          <w:szCs w:val="24"/>
          <w:lang w:val="es-ES"/>
        </w:rPr>
        <w:t>Vásquez Durand y otros Vs. Ecuador</w:t>
      </w:r>
      <w:r w:rsidRPr="00507C43">
        <w:rPr>
          <w:rFonts w:ascii="Times New Roman" w:hAnsi="Times New Roman"/>
          <w:sz w:val="24"/>
          <w:szCs w:val="24"/>
          <w:lang w:val="es-ES"/>
        </w:rPr>
        <w:t>, de 2017)</w:t>
      </w:r>
      <w:r w:rsidR="001415AE" w:rsidRPr="00507C43">
        <w:rPr>
          <w:rStyle w:val="Refdenotaalpie"/>
          <w:rFonts w:ascii="Times New Roman" w:hAnsi="Times New Roman"/>
          <w:noProof/>
          <w:sz w:val="24"/>
          <w:szCs w:val="24"/>
          <w:lang w:val="es-ES" w:eastAsia="fr-FR"/>
        </w:rPr>
        <w:footnoteReference w:id="54"/>
      </w:r>
      <w:r w:rsidR="001415AE" w:rsidRPr="00507C43">
        <w:rPr>
          <w:rFonts w:ascii="Times New Roman" w:hAnsi="Times New Roman"/>
          <w:sz w:val="24"/>
          <w:szCs w:val="24"/>
          <w:lang w:val="es-ES"/>
        </w:rPr>
        <w:t>.</w:t>
      </w:r>
    </w:p>
    <w:p w:rsidR="00E1502B" w:rsidRPr="00507C43" w:rsidRDefault="00D8697B" w:rsidP="00E1502B">
      <w:pPr>
        <w:pStyle w:val="Textonotapie"/>
        <w:tabs>
          <w:tab w:val="left" w:pos="426"/>
          <w:tab w:val="left" w:pos="567"/>
        </w:tabs>
        <w:spacing w:before="120" w:after="120"/>
        <w:jc w:val="both"/>
        <w:rPr>
          <w:rFonts w:ascii="Times New Roman" w:hAnsi="Times New Roman"/>
          <w:noProof/>
          <w:sz w:val="24"/>
          <w:szCs w:val="24"/>
          <w:lang w:val="es-ES" w:eastAsia="fr-FR"/>
        </w:rPr>
      </w:pPr>
      <w:r>
        <w:rPr>
          <w:rFonts w:ascii="Times New Roman" w:hAnsi="Times New Roman"/>
          <w:sz w:val="24"/>
          <w:szCs w:val="24"/>
          <w:lang w:val="es-ES"/>
        </w:rPr>
        <w:t xml:space="preserve">El reconocimiento expreso de tal condición se realiza, como venimos señalando, </w:t>
      </w:r>
      <w:r w:rsidR="001415AE" w:rsidRPr="00507C43">
        <w:rPr>
          <w:rFonts w:ascii="Times New Roman" w:hAnsi="Times New Roman"/>
          <w:sz w:val="24"/>
          <w:szCs w:val="24"/>
          <w:lang w:val="es-ES"/>
        </w:rPr>
        <w:t xml:space="preserve">en el </w:t>
      </w:r>
      <w:r w:rsidR="00595DD9" w:rsidRPr="00507C43">
        <w:rPr>
          <w:rFonts w:ascii="Times New Roman" w:hAnsi="Times New Roman"/>
          <w:i/>
          <w:noProof/>
          <w:sz w:val="24"/>
          <w:szCs w:val="24"/>
          <w:lang w:val="es-ES" w:eastAsia="fr-FR"/>
        </w:rPr>
        <w:t>Caso</w:t>
      </w:r>
      <w:r w:rsidR="00595DD9" w:rsidRPr="00507C43">
        <w:rPr>
          <w:rFonts w:ascii="Times New Roman" w:hAnsi="Times New Roman"/>
          <w:noProof/>
          <w:sz w:val="24"/>
          <w:szCs w:val="24"/>
          <w:lang w:val="es-ES" w:eastAsia="fr-FR"/>
        </w:rPr>
        <w:t xml:space="preserve"> </w:t>
      </w:r>
      <w:r w:rsidR="00595DD9" w:rsidRPr="00507C43">
        <w:rPr>
          <w:rFonts w:ascii="Times New Roman" w:hAnsi="Times New Roman"/>
          <w:i/>
          <w:noProof/>
          <w:sz w:val="24"/>
          <w:szCs w:val="24"/>
          <w:lang w:val="es-ES" w:eastAsia="fr-FR"/>
        </w:rPr>
        <w:t>Vereda La Esperanza Vs.</w:t>
      </w:r>
      <w:r w:rsidR="002A793C" w:rsidRPr="00507C43">
        <w:rPr>
          <w:rFonts w:ascii="Times New Roman" w:hAnsi="Times New Roman"/>
          <w:i/>
          <w:noProof/>
          <w:sz w:val="24"/>
          <w:szCs w:val="24"/>
          <w:lang w:val="es-ES" w:eastAsia="fr-FR"/>
        </w:rPr>
        <w:t xml:space="preserve"> </w:t>
      </w:r>
      <w:r w:rsidR="00595DD9" w:rsidRPr="00507C43">
        <w:rPr>
          <w:rFonts w:ascii="Times New Roman" w:hAnsi="Times New Roman"/>
          <w:i/>
          <w:noProof/>
          <w:sz w:val="24"/>
          <w:szCs w:val="24"/>
          <w:lang w:val="es-ES" w:eastAsia="fr-FR"/>
        </w:rPr>
        <w:t>Colombia</w:t>
      </w:r>
      <w:r w:rsidR="006A6890" w:rsidRPr="00507C43">
        <w:rPr>
          <w:rFonts w:ascii="Times New Roman" w:hAnsi="Times New Roman"/>
          <w:noProof/>
          <w:sz w:val="24"/>
          <w:szCs w:val="24"/>
          <w:lang w:val="es-ES" w:eastAsia="fr-FR"/>
        </w:rPr>
        <w:t xml:space="preserve"> (</w:t>
      </w:r>
      <w:r w:rsidR="00595DD9" w:rsidRPr="00507C43">
        <w:rPr>
          <w:rFonts w:ascii="Times New Roman" w:hAnsi="Times New Roman"/>
          <w:noProof/>
          <w:sz w:val="24"/>
          <w:szCs w:val="24"/>
          <w:lang w:val="es-ES" w:eastAsia="fr-FR"/>
        </w:rPr>
        <w:t>2017</w:t>
      </w:r>
      <w:r w:rsidR="006A6890" w:rsidRPr="00507C43">
        <w:rPr>
          <w:rFonts w:ascii="Times New Roman" w:hAnsi="Times New Roman"/>
          <w:noProof/>
          <w:sz w:val="24"/>
          <w:szCs w:val="24"/>
          <w:lang w:val="es-ES" w:eastAsia="fr-FR"/>
        </w:rPr>
        <w:t>)</w:t>
      </w:r>
      <w:r>
        <w:rPr>
          <w:rFonts w:ascii="Times New Roman" w:hAnsi="Times New Roman"/>
          <w:noProof/>
          <w:sz w:val="24"/>
          <w:szCs w:val="24"/>
          <w:lang w:val="es-ES" w:eastAsia="fr-FR"/>
        </w:rPr>
        <w:t xml:space="preserve">. </w:t>
      </w:r>
      <w:r w:rsidR="00426E75">
        <w:rPr>
          <w:rFonts w:ascii="Times New Roman" w:hAnsi="Times New Roman"/>
          <w:noProof/>
          <w:sz w:val="24"/>
          <w:szCs w:val="24"/>
          <w:lang w:val="es-ES" w:eastAsia="fr-FR"/>
        </w:rPr>
        <w:t>Con el mismo</w:t>
      </w:r>
      <w:r>
        <w:rPr>
          <w:rFonts w:ascii="Times New Roman" w:hAnsi="Times New Roman"/>
          <w:noProof/>
          <w:sz w:val="24"/>
          <w:szCs w:val="24"/>
          <w:lang w:val="es-ES" w:eastAsia="fr-FR"/>
        </w:rPr>
        <w:t xml:space="preserve"> </w:t>
      </w:r>
      <w:r w:rsidR="00426E75">
        <w:rPr>
          <w:rFonts w:ascii="Times New Roman" w:hAnsi="Times New Roman"/>
          <w:noProof/>
          <w:sz w:val="24"/>
          <w:szCs w:val="24"/>
          <w:lang w:val="es-ES" w:eastAsia="fr-FR"/>
        </w:rPr>
        <w:t xml:space="preserve">argumento de las tres sentencias anteriores (la naturaleza más amplia del derecho a la verdad por su capacidad de afectar a varios derechos), la Corte concluye que </w:t>
      </w:r>
      <w:r w:rsidR="00426E75" w:rsidRPr="00507C43">
        <w:rPr>
          <w:rFonts w:ascii="Times New Roman" w:hAnsi="Times New Roman"/>
          <w:noProof/>
          <w:sz w:val="24"/>
          <w:szCs w:val="24"/>
          <w:lang w:val="es-ES" w:eastAsia="fr-FR"/>
        </w:rPr>
        <w:t>“este derecho a la verdad tiene autonomia”</w:t>
      </w:r>
      <w:r w:rsidR="00426E75" w:rsidRPr="00507C43">
        <w:rPr>
          <w:rStyle w:val="Refdenotaalpie"/>
          <w:rFonts w:ascii="Times New Roman" w:hAnsi="Times New Roman"/>
          <w:noProof/>
          <w:sz w:val="24"/>
          <w:szCs w:val="24"/>
          <w:lang w:val="es-ES" w:eastAsia="fr-FR"/>
        </w:rPr>
        <w:footnoteReference w:id="55"/>
      </w:r>
      <w:r w:rsidR="00426E75" w:rsidRPr="00507C43">
        <w:rPr>
          <w:rFonts w:ascii="Times New Roman" w:hAnsi="Times New Roman"/>
          <w:noProof/>
          <w:sz w:val="24"/>
          <w:szCs w:val="24"/>
          <w:lang w:val="es-ES" w:eastAsia="fr-FR"/>
        </w:rPr>
        <w:t>.</w:t>
      </w:r>
      <w:r w:rsidR="00426E75" w:rsidRPr="00426E75">
        <w:rPr>
          <w:rFonts w:ascii="Times New Roman" w:hAnsi="Times New Roman"/>
          <w:noProof/>
          <w:sz w:val="24"/>
          <w:szCs w:val="24"/>
          <w:lang w:val="es-ES" w:eastAsia="fr-FR"/>
        </w:rPr>
        <w:t xml:space="preserve"> </w:t>
      </w:r>
      <w:r w:rsidR="00426E75" w:rsidRPr="00507C43">
        <w:rPr>
          <w:rFonts w:ascii="Times New Roman" w:hAnsi="Times New Roman"/>
          <w:noProof/>
          <w:sz w:val="24"/>
          <w:szCs w:val="24"/>
          <w:lang w:val="es-ES" w:eastAsia="fr-FR"/>
        </w:rPr>
        <w:t xml:space="preserve">La </w:t>
      </w:r>
      <w:r w:rsidR="00750265">
        <w:rPr>
          <w:rFonts w:ascii="Times New Roman" w:hAnsi="Times New Roman"/>
          <w:noProof/>
          <w:sz w:val="24"/>
          <w:szCs w:val="24"/>
          <w:lang w:val="es-ES" w:eastAsia="fr-FR"/>
        </w:rPr>
        <w:t>Corte</w:t>
      </w:r>
      <w:r w:rsidR="00426E75" w:rsidRPr="00507C43">
        <w:rPr>
          <w:rFonts w:ascii="Times New Roman" w:hAnsi="Times New Roman"/>
          <w:noProof/>
          <w:sz w:val="24"/>
          <w:szCs w:val="24"/>
          <w:lang w:val="es-ES" w:eastAsia="fr-FR"/>
        </w:rPr>
        <w:t xml:space="preserve"> no añadió nada más. </w:t>
      </w:r>
      <w:r w:rsidR="00426E75">
        <w:rPr>
          <w:rFonts w:ascii="Times New Roman" w:hAnsi="Times New Roman"/>
          <w:noProof/>
          <w:sz w:val="24"/>
          <w:szCs w:val="24"/>
          <w:lang w:val="es-ES" w:eastAsia="fr-FR"/>
        </w:rPr>
        <w:t xml:space="preserve">Tan solo citó como fuente de autoridad </w:t>
      </w:r>
      <w:r w:rsidR="00426E75" w:rsidRPr="00507C43">
        <w:rPr>
          <w:rFonts w:ascii="Times New Roman" w:hAnsi="Times New Roman"/>
          <w:noProof/>
          <w:sz w:val="24"/>
          <w:szCs w:val="24"/>
          <w:lang w:val="es-ES" w:eastAsia="fr-FR"/>
        </w:rPr>
        <w:t xml:space="preserve">el </w:t>
      </w:r>
      <w:r w:rsidR="00426E75" w:rsidRPr="00507C43">
        <w:rPr>
          <w:rFonts w:ascii="Times New Roman" w:hAnsi="Times New Roman"/>
          <w:i/>
          <w:noProof/>
          <w:sz w:val="24"/>
          <w:szCs w:val="24"/>
          <w:lang w:val="es-ES" w:eastAsia="fr-FR"/>
        </w:rPr>
        <w:t>Estudio sobre el derecho a la verdad</w:t>
      </w:r>
      <w:r w:rsidR="00426E75" w:rsidRPr="00507C43">
        <w:rPr>
          <w:rFonts w:ascii="Times New Roman" w:hAnsi="Times New Roman"/>
          <w:noProof/>
          <w:sz w:val="24"/>
          <w:szCs w:val="24"/>
          <w:lang w:val="es-ES" w:eastAsia="fr-FR"/>
        </w:rPr>
        <w:t xml:space="preserve"> del Alto Comisionado de las Naciones Unidas para los Derechos Humanos</w:t>
      </w:r>
      <w:r w:rsidR="00426E75">
        <w:rPr>
          <w:rFonts w:ascii="Times New Roman" w:hAnsi="Times New Roman"/>
          <w:noProof/>
          <w:sz w:val="24"/>
          <w:szCs w:val="24"/>
          <w:lang w:val="es-ES" w:eastAsia="fr-FR"/>
        </w:rPr>
        <w:t xml:space="preserve"> que en 2006 se había proniunciado en ese sentido</w:t>
      </w:r>
      <w:r w:rsidR="00426E75" w:rsidRPr="00507C43">
        <w:rPr>
          <w:rStyle w:val="Refdenotaalpie"/>
          <w:rFonts w:ascii="Times New Roman" w:hAnsi="Times New Roman"/>
          <w:noProof/>
          <w:sz w:val="24"/>
          <w:szCs w:val="24"/>
          <w:lang w:val="es-ES" w:eastAsia="fr-FR"/>
        </w:rPr>
        <w:footnoteReference w:id="56"/>
      </w:r>
      <w:r w:rsidR="00426E75">
        <w:rPr>
          <w:rFonts w:ascii="Times New Roman" w:hAnsi="Times New Roman"/>
          <w:noProof/>
          <w:sz w:val="24"/>
          <w:szCs w:val="24"/>
          <w:lang w:val="es-ES" w:eastAsia="fr-FR"/>
        </w:rPr>
        <w:t xml:space="preserve">. Recordar el voto particular del juez Eduardo Ferrer a la sentencia </w:t>
      </w:r>
      <w:r w:rsidR="00426E75" w:rsidRPr="00507C43">
        <w:rPr>
          <w:rFonts w:ascii="Times New Roman" w:hAnsi="Times New Roman"/>
          <w:i/>
          <w:noProof/>
          <w:sz w:val="24"/>
          <w:szCs w:val="24"/>
          <w:lang w:val="es-ES" w:eastAsia="fr-FR"/>
        </w:rPr>
        <w:t>Rodríguez Vera y Otros</w:t>
      </w:r>
      <w:r w:rsidR="00426E75">
        <w:rPr>
          <w:rFonts w:ascii="Times New Roman" w:hAnsi="Times New Roman"/>
          <w:noProof/>
          <w:sz w:val="24"/>
          <w:szCs w:val="24"/>
          <w:lang w:val="es-ES" w:eastAsia="fr-FR"/>
        </w:rPr>
        <w:t xml:space="preserve"> (2014)</w:t>
      </w:r>
      <w:r w:rsidR="00E1502B">
        <w:rPr>
          <w:rFonts w:ascii="Times New Roman" w:hAnsi="Times New Roman"/>
          <w:noProof/>
          <w:sz w:val="24"/>
          <w:szCs w:val="24"/>
          <w:lang w:val="es-ES" w:eastAsia="fr-FR"/>
        </w:rPr>
        <w:t xml:space="preserve"> hubiera sido de justicia.</w:t>
      </w:r>
    </w:p>
    <w:p w:rsidR="004C7309" w:rsidRDefault="006A6890" w:rsidP="004C7309">
      <w:pPr>
        <w:pStyle w:val="Textonotapie"/>
        <w:tabs>
          <w:tab w:val="left" w:pos="426"/>
          <w:tab w:val="left" w:pos="567"/>
        </w:tabs>
        <w:spacing w:before="120" w:after="120"/>
        <w:jc w:val="both"/>
        <w:rPr>
          <w:rFonts w:ascii="Times New Roman" w:hAnsi="Times New Roman"/>
          <w:sz w:val="24"/>
          <w:szCs w:val="24"/>
          <w:lang w:val="es-ES"/>
        </w:rPr>
      </w:pPr>
      <w:r w:rsidRPr="00507C43">
        <w:rPr>
          <w:rFonts w:ascii="Times New Roman" w:hAnsi="Times New Roman"/>
          <w:noProof/>
          <w:sz w:val="24"/>
          <w:szCs w:val="24"/>
          <w:lang w:val="es-ES" w:eastAsia="fr-FR"/>
        </w:rPr>
        <w:t xml:space="preserve">La sentencia que sigue a </w:t>
      </w:r>
      <w:r w:rsidRPr="00507C43">
        <w:rPr>
          <w:rFonts w:ascii="Times New Roman" w:hAnsi="Times New Roman"/>
          <w:i/>
          <w:noProof/>
          <w:sz w:val="24"/>
          <w:szCs w:val="24"/>
          <w:lang w:val="es-ES" w:eastAsia="fr-FR"/>
        </w:rPr>
        <w:t>Vereda La Esperanza</w:t>
      </w:r>
      <w:r w:rsidRPr="00507C43">
        <w:rPr>
          <w:rFonts w:ascii="Times New Roman" w:hAnsi="Times New Roman"/>
          <w:noProof/>
          <w:sz w:val="24"/>
          <w:szCs w:val="24"/>
          <w:lang w:val="es-ES" w:eastAsia="fr-FR"/>
        </w:rPr>
        <w:t xml:space="preserve"> en un caso de desaparición forzada, </w:t>
      </w:r>
      <w:r w:rsidRPr="00507C43">
        <w:rPr>
          <w:rFonts w:ascii="Times New Roman" w:hAnsi="Times New Roman"/>
          <w:i/>
          <w:sz w:val="24"/>
          <w:szCs w:val="24"/>
          <w:lang w:val="es-ES"/>
        </w:rPr>
        <w:t>Munárriz Escobar y otros Vs. Perú</w:t>
      </w:r>
      <w:r w:rsidR="00F95EF4" w:rsidRPr="00507C43">
        <w:rPr>
          <w:rStyle w:val="Refdenotaalpie"/>
          <w:rFonts w:ascii="Times New Roman" w:hAnsi="Times New Roman"/>
          <w:i/>
          <w:sz w:val="24"/>
          <w:szCs w:val="24"/>
          <w:lang w:val="es-ES"/>
        </w:rPr>
        <w:footnoteReference w:id="57"/>
      </w:r>
      <w:r w:rsidRPr="00507C43">
        <w:rPr>
          <w:rFonts w:ascii="Times New Roman" w:hAnsi="Times New Roman"/>
          <w:sz w:val="24"/>
          <w:szCs w:val="24"/>
          <w:lang w:val="es-ES"/>
        </w:rPr>
        <w:t>, de 2018, reitera la doctrina sobre la naturaleza más amplia del derecho a la verdad</w:t>
      </w:r>
      <w:r w:rsidR="00F95EF4" w:rsidRPr="00507C43">
        <w:rPr>
          <w:rFonts w:ascii="Times New Roman" w:hAnsi="Times New Roman"/>
          <w:sz w:val="24"/>
          <w:szCs w:val="24"/>
          <w:lang w:val="es-ES"/>
        </w:rPr>
        <w:t>,</w:t>
      </w:r>
      <w:r w:rsidRPr="00507C43">
        <w:rPr>
          <w:rFonts w:ascii="Times New Roman" w:hAnsi="Times New Roman"/>
          <w:sz w:val="24"/>
          <w:szCs w:val="24"/>
          <w:lang w:val="es-ES"/>
        </w:rPr>
        <w:t xml:space="preserve"> pero sin concluir qu</w:t>
      </w:r>
      <w:r w:rsidR="00ED3E4A">
        <w:rPr>
          <w:rFonts w:ascii="Times New Roman" w:hAnsi="Times New Roman"/>
          <w:sz w:val="24"/>
          <w:szCs w:val="24"/>
          <w:lang w:val="es-ES"/>
        </w:rPr>
        <w:t>e por ello se trate</w:t>
      </w:r>
      <w:r w:rsidRPr="00507C43">
        <w:rPr>
          <w:rFonts w:ascii="Times New Roman" w:hAnsi="Times New Roman"/>
          <w:sz w:val="24"/>
          <w:szCs w:val="24"/>
          <w:lang w:val="es-ES"/>
        </w:rPr>
        <w:t xml:space="preserve"> de un derecho autónomo, esto es, </w:t>
      </w:r>
      <w:r w:rsidR="00246DE8" w:rsidRPr="00507C43">
        <w:rPr>
          <w:rFonts w:ascii="Times New Roman" w:hAnsi="Times New Roman"/>
          <w:sz w:val="24"/>
          <w:szCs w:val="24"/>
          <w:lang w:val="es-ES"/>
        </w:rPr>
        <w:t xml:space="preserve">se </w:t>
      </w:r>
      <w:r w:rsidR="00246DE8" w:rsidRPr="00507C43">
        <w:rPr>
          <w:rFonts w:ascii="Times New Roman" w:hAnsi="Times New Roman"/>
          <w:sz w:val="24"/>
          <w:szCs w:val="24"/>
          <w:lang w:val="es-ES"/>
        </w:rPr>
        <w:lastRenderedPageBreak/>
        <w:t>expresa como</w:t>
      </w:r>
      <w:r w:rsidR="00F95EF4" w:rsidRPr="00507C43">
        <w:rPr>
          <w:rFonts w:ascii="Times New Roman" w:hAnsi="Times New Roman"/>
          <w:sz w:val="24"/>
          <w:szCs w:val="24"/>
          <w:lang w:val="es-ES"/>
        </w:rPr>
        <w:t xml:space="preserve"> las tres sentencias que siguen a </w:t>
      </w:r>
      <w:r w:rsidR="00ED3E4A">
        <w:rPr>
          <w:rFonts w:ascii="Times New Roman" w:hAnsi="Times New Roman"/>
          <w:i/>
          <w:sz w:val="24"/>
          <w:szCs w:val="24"/>
          <w:lang w:val="es-ES"/>
        </w:rPr>
        <w:t>Rodríguez Vera y o</w:t>
      </w:r>
      <w:r w:rsidR="00F95EF4" w:rsidRPr="00507C43">
        <w:rPr>
          <w:rFonts w:ascii="Times New Roman" w:hAnsi="Times New Roman"/>
          <w:i/>
          <w:sz w:val="24"/>
          <w:szCs w:val="24"/>
          <w:lang w:val="es-ES"/>
        </w:rPr>
        <w:t>tros</w:t>
      </w:r>
      <w:r w:rsidR="00ED3E4A">
        <w:rPr>
          <w:rFonts w:ascii="Times New Roman" w:hAnsi="Times New Roman"/>
          <w:sz w:val="24"/>
          <w:szCs w:val="24"/>
          <w:lang w:val="es-ES"/>
        </w:rPr>
        <w:t>. Esta omisión</w:t>
      </w:r>
      <w:r w:rsidR="005349A0" w:rsidRPr="00507C43">
        <w:rPr>
          <w:rFonts w:ascii="Times New Roman" w:hAnsi="Times New Roman"/>
          <w:sz w:val="24"/>
          <w:szCs w:val="24"/>
          <w:lang w:val="es-ES"/>
        </w:rPr>
        <w:t xml:space="preserve"> no ha tenido ninguna </w:t>
      </w:r>
      <w:r w:rsidR="00BA761E">
        <w:rPr>
          <w:rFonts w:ascii="Times New Roman" w:hAnsi="Times New Roman"/>
          <w:sz w:val="24"/>
          <w:szCs w:val="24"/>
          <w:lang w:val="es-ES"/>
        </w:rPr>
        <w:t>repercusión</w:t>
      </w:r>
      <w:r w:rsidR="005349A0" w:rsidRPr="00507C43">
        <w:rPr>
          <w:rFonts w:ascii="Times New Roman" w:hAnsi="Times New Roman"/>
          <w:sz w:val="24"/>
          <w:szCs w:val="24"/>
          <w:lang w:val="es-ES"/>
        </w:rPr>
        <w:t xml:space="preserve"> en </w:t>
      </w:r>
      <w:r w:rsidR="0024129B">
        <w:rPr>
          <w:rFonts w:ascii="Times New Roman" w:hAnsi="Times New Roman"/>
          <w:sz w:val="24"/>
          <w:szCs w:val="24"/>
          <w:lang w:val="es-ES"/>
        </w:rPr>
        <w:t>la</w:t>
      </w:r>
      <w:r w:rsidR="005349A0" w:rsidRPr="00507C43">
        <w:rPr>
          <w:rFonts w:ascii="Times New Roman" w:hAnsi="Times New Roman"/>
          <w:sz w:val="24"/>
          <w:szCs w:val="24"/>
          <w:lang w:val="es-ES"/>
        </w:rPr>
        <w:t xml:space="preserve"> jurisprudencia</w:t>
      </w:r>
      <w:r w:rsidR="0024129B">
        <w:rPr>
          <w:rFonts w:ascii="Times New Roman" w:hAnsi="Times New Roman"/>
          <w:sz w:val="24"/>
          <w:szCs w:val="24"/>
          <w:lang w:val="es-ES"/>
        </w:rPr>
        <w:t xml:space="preserve"> de la Corte</w:t>
      </w:r>
      <w:r w:rsidR="00ED3E4A">
        <w:rPr>
          <w:rFonts w:ascii="Times New Roman" w:hAnsi="Times New Roman"/>
          <w:sz w:val="24"/>
          <w:szCs w:val="24"/>
          <w:lang w:val="es-ES"/>
        </w:rPr>
        <w:t xml:space="preserve"> pues las que la siguen han consolidado la doctrina sobre </w:t>
      </w:r>
      <w:r w:rsidR="00E64CC7" w:rsidRPr="00507C43">
        <w:rPr>
          <w:rFonts w:ascii="Times New Roman" w:hAnsi="Times New Roman"/>
          <w:sz w:val="24"/>
          <w:szCs w:val="24"/>
          <w:lang w:val="es-ES"/>
        </w:rPr>
        <w:t>la autonomía del derecho a la verdad</w:t>
      </w:r>
      <w:r w:rsidR="00246DE8" w:rsidRPr="00507C43">
        <w:rPr>
          <w:rStyle w:val="Refdenotaalpie"/>
          <w:rFonts w:ascii="Times New Roman" w:hAnsi="Times New Roman"/>
          <w:sz w:val="24"/>
          <w:szCs w:val="24"/>
          <w:lang w:val="es-ES"/>
        </w:rPr>
        <w:footnoteReference w:id="58"/>
      </w:r>
      <w:r w:rsidR="00E64CC7" w:rsidRPr="00507C43">
        <w:rPr>
          <w:rFonts w:ascii="Times New Roman" w:hAnsi="Times New Roman"/>
          <w:sz w:val="24"/>
          <w:szCs w:val="24"/>
          <w:lang w:val="es-ES"/>
        </w:rPr>
        <w:t>.</w:t>
      </w:r>
      <w:r w:rsidR="004C7309">
        <w:rPr>
          <w:rFonts w:ascii="Times New Roman" w:hAnsi="Times New Roman"/>
          <w:sz w:val="24"/>
          <w:szCs w:val="24"/>
          <w:lang w:val="es-ES"/>
        </w:rPr>
        <w:t xml:space="preserve"> Es más, a nuestro juicio no tiene ninguna trascendencia, pues </w:t>
      </w:r>
      <w:r w:rsidR="0024129B">
        <w:rPr>
          <w:rFonts w:ascii="Times New Roman" w:hAnsi="Times New Roman"/>
          <w:sz w:val="24"/>
          <w:szCs w:val="24"/>
          <w:lang w:val="es-ES"/>
        </w:rPr>
        <w:t>una vez que la Corte sostiene que el derecho a la verdad tiene otra naturaleza, o una naturalez</w:t>
      </w:r>
      <w:r w:rsidR="004C7309">
        <w:rPr>
          <w:rFonts w:ascii="Times New Roman" w:hAnsi="Times New Roman"/>
          <w:sz w:val="24"/>
          <w:szCs w:val="24"/>
          <w:lang w:val="es-ES"/>
        </w:rPr>
        <w:t>a</w:t>
      </w:r>
      <w:r w:rsidR="0024129B">
        <w:rPr>
          <w:rFonts w:ascii="Times New Roman" w:hAnsi="Times New Roman"/>
          <w:sz w:val="24"/>
          <w:szCs w:val="24"/>
          <w:lang w:val="es-ES"/>
        </w:rPr>
        <w:t xml:space="preserve"> más amplia,</w:t>
      </w:r>
      <w:r w:rsidR="004C7309">
        <w:rPr>
          <w:rFonts w:ascii="Times New Roman" w:hAnsi="Times New Roman"/>
          <w:sz w:val="24"/>
          <w:szCs w:val="24"/>
          <w:lang w:val="es-ES"/>
        </w:rPr>
        <w:t xml:space="preserve"> su autonomía o sustantividad propia se deriva automáticamente de tal consideración</w:t>
      </w:r>
      <w:r w:rsidR="00BA761E">
        <w:rPr>
          <w:rFonts w:ascii="Times New Roman" w:hAnsi="Times New Roman"/>
          <w:sz w:val="24"/>
          <w:szCs w:val="24"/>
          <w:lang w:val="es-ES"/>
        </w:rPr>
        <w:t>. La utilización o no del adjetivo no es lo relevante.</w:t>
      </w:r>
      <w:r w:rsidR="00BA761E">
        <w:rPr>
          <w:rStyle w:val="Refdenotaalpie"/>
          <w:rFonts w:ascii="Times New Roman" w:hAnsi="Times New Roman"/>
          <w:sz w:val="24"/>
          <w:szCs w:val="24"/>
          <w:lang w:val="es-ES"/>
        </w:rPr>
        <w:footnoteReference w:id="59"/>
      </w:r>
      <w:r w:rsidR="004C7309">
        <w:rPr>
          <w:rFonts w:ascii="Times New Roman" w:hAnsi="Times New Roman"/>
          <w:sz w:val="24"/>
          <w:szCs w:val="24"/>
          <w:lang w:val="es-ES"/>
        </w:rPr>
        <w:t xml:space="preserve">. </w:t>
      </w:r>
    </w:p>
    <w:p w:rsidR="00B97B77" w:rsidRPr="00507C43" w:rsidRDefault="00B85B83" w:rsidP="001B4954">
      <w:pPr>
        <w:pStyle w:val="Textonotapie"/>
        <w:tabs>
          <w:tab w:val="left" w:pos="426"/>
          <w:tab w:val="left" w:pos="567"/>
        </w:tabs>
        <w:spacing w:before="120" w:after="120"/>
        <w:jc w:val="both"/>
        <w:rPr>
          <w:rFonts w:ascii="Times New Roman" w:hAnsi="Times New Roman"/>
          <w:sz w:val="24"/>
          <w:szCs w:val="24"/>
          <w:lang w:val="es-ES"/>
        </w:rPr>
      </w:pPr>
      <w:r>
        <w:rPr>
          <w:rFonts w:ascii="Times New Roman" w:hAnsi="Times New Roman"/>
          <w:sz w:val="24"/>
          <w:szCs w:val="24"/>
          <w:lang w:val="es-ES"/>
        </w:rPr>
        <w:t>En definitiva, para la Corte Interamericana, el derecho a la verdad es un derecho que tiene una sustantividad propia y el elemento principal que lo caracteriza y que lo diferencia de los demás es la capacidad que tiene de ser subsumido en varios derechos de la Convención, en función del contexto y de las circunstancias</w:t>
      </w:r>
      <w:r w:rsidR="00330AB5" w:rsidRPr="00507C43">
        <w:rPr>
          <w:rStyle w:val="Refdenotaalpie"/>
          <w:rFonts w:ascii="Times New Roman" w:eastAsia="Verdana" w:hAnsi="Times New Roman"/>
          <w:i/>
          <w:sz w:val="24"/>
          <w:szCs w:val="24"/>
          <w:lang w:val="es-ES"/>
        </w:rPr>
        <w:footnoteReference w:id="60"/>
      </w:r>
      <w:r w:rsidR="00330AB5" w:rsidRPr="00507C43">
        <w:rPr>
          <w:rFonts w:ascii="Times New Roman" w:eastAsia="Verdana" w:hAnsi="Times New Roman"/>
          <w:sz w:val="24"/>
          <w:szCs w:val="24"/>
          <w:lang w:val="es-ES"/>
        </w:rPr>
        <w:t>.</w:t>
      </w:r>
      <w:r w:rsidR="00304392" w:rsidRPr="00507C43">
        <w:rPr>
          <w:rFonts w:ascii="Times New Roman" w:hAnsi="Times New Roman"/>
          <w:noProof/>
          <w:sz w:val="24"/>
          <w:szCs w:val="24"/>
          <w:lang w:val="es-ES" w:eastAsia="fr-FR"/>
        </w:rPr>
        <w:t xml:space="preserve"> </w:t>
      </w:r>
    </w:p>
    <w:p w:rsidR="00CD7E75" w:rsidRDefault="00FC02CB" w:rsidP="005B6AC2">
      <w:pPr>
        <w:spacing w:line="240" w:lineRule="auto"/>
        <w:jc w:val="both"/>
        <w:rPr>
          <w:rFonts w:ascii="Times New Roman" w:hAnsi="Times New Roman"/>
          <w:sz w:val="24"/>
          <w:szCs w:val="24"/>
          <w:lang w:val="es-ES"/>
        </w:rPr>
      </w:pPr>
      <w:r>
        <w:rPr>
          <w:rFonts w:ascii="Times New Roman" w:hAnsi="Times New Roman"/>
          <w:sz w:val="24"/>
          <w:szCs w:val="24"/>
          <w:lang w:val="es-ES"/>
        </w:rPr>
        <w:t xml:space="preserve">El </w:t>
      </w:r>
      <w:r w:rsidR="00875DAB" w:rsidRPr="00507C43">
        <w:rPr>
          <w:rFonts w:ascii="Times New Roman" w:hAnsi="Times New Roman"/>
          <w:sz w:val="24"/>
          <w:szCs w:val="24"/>
          <w:lang w:val="es-ES"/>
        </w:rPr>
        <w:t>TEDH</w:t>
      </w:r>
      <w:r>
        <w:rPr>
          <w:rFonts w:ascii="Times New Roman" w:hAnsi="Times New Roman"/>
          <w:sz w:val="24"/>
          <w:szCs w:val="24"/>
          <w:lang w:val="es-ES"/>
        </w:rPr>
        <w:t>, como ya hemos adelantado, no ha</w:t>
      </w:r>
      <w:r w:rsidR="00875DAB" w:rsidRPr="00507C43">
        <w:rPr>
          <w:rFonts w:ascii="Times New Roman" w:hAnsi="Times New Roman"/>
          <w:sz w:val="24"/>
          <w:szCs w:val="24"/>
          <w:lang w:val="es-ES"/>
        </w:rPr>
        <w:t xml:space="preserve"> reconocido</w:t>
      </w:r>
      <w:r>
        <w:rPr>
          <w:rFonts w:ascii="Times New Roman" w:hAnsi="Times New Roman"/>
          <w:sz w:val="24"/>
          <w:szCs w:val="24"/>
          <w:lang w:val="es-ES"/>
        </w:rPr>
        <w:t xml:space="preserve"> hasta la fecha</w:t>
      </w:r>
      <w:r w:rsidR="00875DAB" w:rsidRPr="00507C43">
        <w:rPr>
          <w:rFonts w:ascii="Times New Roman" w:hAnsi="Times New Roman"/>
          <w:sz w:val="24"/>
          <w:szCs w:val="24"/>
          <w:lang w:val="es-ES"/>
        </w:rPr>
        <w:t xml:space="preserve"> la aut</w:t>
      </w:r>
      <w:r w:rsidR="008E75F6" w:rsidRPr="00507C43">
        <w:rPr>
          <w:rFonts w:ascii="Times New Roman" w:hAnsi="Times New Roman"/>
          <w:sz w:val="24"/>
          <w:szCs w:val="24"/>
          <w:lang w:val="es-ES"/>
        </w:rPr>
        <w:t>onomía del derecho a la verdad</w:t>
      </w:r>
      <w:r>
        <w:rPr>
          <w:rFonts w:ascii="Times New Roman" w:hAnsi="Times New Roman"/>
          <w:sz w:val="24"/>
          <w:szCs w:val="24"/>
          <w:lang w:val="es-ES"/>
        </w:rPr>
        <w:t xml:space="preserve">. Al igual que la Corte Interamericana, </w:t>
      </w:r>
      <w:r w:rsidR="00CD7E75">
        <w:rPr>
          <w:rFonts w:ascii="Times New Roman" w:hAnsi="Times New Roman"/>
          <w:sz w:val="24"/>
          <w:szCs w:val="24"/>
          <w:lang w:val="es-ES"/>
        </w:rPr>
        <w:t>entiende que el Estado tiene</w:t>
      </w:r>
      <w:r>
        <w:rPr>
          <w:rFonts w:ascii="Times New Roman" w:hAnsi="Times New Roman"/>
          <w:sz w:val="24"/>
          <w:szCs w:val="24"/>
          <w:lang w:val="es-ES"/>
        </w:rPr>
        <w:t xml:space="preserve"> la obligación de </w:t>
      </w:r>
      <w:r w:rsidRPr="00507C43">
        <w:rPr>
          <w:rFonts w:ascii="Times New Roman" w:hAnsi="Times New Roman"/>
          <w:sz w:val="24"/>
          <w:szCs w:val="24"/>
          <w:lang w:val="es-ES"/>
        </w:rPr>
        <w:t xml:space="preserve">investigar de manera exhaustiva </w:t>
      </w:r>
      <w:r>
        <w:rPr>
          <w:rFonts w:ascii="Times New Roman" w:hAnsi="Times New Roman"/>
          <w:sz w:val="24"/>
          <w:szCs w:val="24"/>
          <w:lang w:val="es-ES"/>
        </w:rPr>
        <w:t>cualquier grave violación de derechos humanos,</w:t>
      </w:r>
      <w:r w:rsidR="00CD7E75">
        <w:rPr>
          <w:rFonts w:ascii="Times New Roman" w:hAnsi="Times New Roman"/>
          <w:sz w:val="24"/>
          <w:szCs w:val="24"/>
          <w:lang w:val="es-ES"/>
        </w:rPr>
        <w:t xml:space="preserve"> esclarenciendo los hechos,</w:t>
      </w:r>
      <w:r>
        <w:rPr>
          <w:rFonts w:ascii="Times New Roman" w:hAnsi="Times New Roman"/>
          <w:sz w:val="24"/>
          <w:szCs w:val="24"/>
          <w:lang w:val="es-ES"/>
        </w:rPr>
        <w:t xml:space="preserve"> </w:t>
      </w:r>
      <w:r w:rsidR="00CD7E75">
        <w:rPr>
          <w:rFonts w:ascii="Times New Roman" w:hAnsi="Times New Roman"/>
          <w:sz w:val="24"/>
          <w:szCs w:val="24"/>
          <w:lang w:val="es-ES"/>
        </w:rPr>
        <w:t>identificando, procesando</w:t>
      </w:r>
      <w:r w:rsidRPr="00507C43">
        <w:rPr>
          <w:rFonts w:ascii="Times New Roman" w:hAnsi="Times New Roman"/>
          <w:sz w:val="24"/>
          <w:szCs w:val="24"/>
          <w:lang w:val="es-ES"/>
        </w:rPr>
        <w:t xml:space="preserve"> y</w:t>
      </w:r>
      <w:r w:rsidR="005B6AC2">
        <w:rPr>
          <w:rFonts w:ascii="Times New Roman" w:hAnsi="Times New Roman"/>
          <w:sz w:val="24"/>
          <w:szCs w:val="24"/>
          <w:lang w:val="es-ES"/>
        </w:rPr>
        <w:t>, en su caso,</w:t>
      </w:r>
      <w:r w:rsidR="00CD7E75">
        <w:rPr>
          <w:rFonts w:ascii="Times New Roman" w:hAnsi="Times New Roman"/>
          <w:sz w:val="24"/>
          <w:szCs w:val="24"/>
          <w:lang w:val="es-ES"/>
        </w:rPr>
        <w:t xml:space="preserve"> condenando</w:t>
      </w:r>
      <w:r w:rsidRPr="00507C43">
        <w:rPr>
          <w:rFonts w:ascii="Times New Roman" w:hAnsi="Times New Roman"/>
          <w:sz w:val="24"/>
          <w:szCs w:val="24"/>
          <w:lang w:val="es-ES"/>
        </w:rPr>
        <w:t xml:space="preserve"> a los responsables</w:t>
      </w:r>
      <w:r w:rsidR="005B6AC2">
        <w:rPr>
          <w:rFonts w:ascii="Times New Roman" w:hAnsi="Times New Roman"/>
          <w:sz w:val="24"/>
          <w:szCs w:val="24"/>
          <w:lang w:val="es-ES"/>
        </w:rPr>
        <w:t xml:space="preserve">, </w:t>
      </w:r>
      <w:r w:rsidR="00CD7E75">
        <w:rPr>
          <w:rFonts w:ascii="Times New Roman" w:hAnsi="Times New Roman"/>
          <w:sz w:val="24"/>
          <w:szCs w:val="24"/>
          <w:lang w:val="es-ES"/>
        </w:rPr>
        <w:t xml:space="preserve">y </w:t>
      </w:r>
      <w:r w:rsidR="007706E4">
        <w:rPr>
          <w:rFonts w:ascii="Times New Roman" w:hAnsi="Times New Roman"/>
          <w:sz w:val="24"/>
          <w:szCs w:val="24"/>
          <w:lang w:val="es-ES"/>
        </w:rPr>
        <w:t>resarciendo</w:t>
      </w:r>
      <w:r w:rsidR="005B6AC2">
        <w:rPr>
          <w:rFonts w:ascii="Times New Roman" w:hAnsi="Times New Roman"/>
          <w:sz w:val="24"/>
          <w:szCs w:val="24"/>
          <w:lang w:val="es-ES"/>
        </w:rPr>
        <w:t xml:space="preserve"> </w:t>
      </w:r>
      <w:r w:rsidR="007706E4">
        <w:rPr>
          <w:rFonts w:ascii="Times New Roman" w:hAnsi="Times New Roman"/>
          <w:sz w:val="24"/>
          <w:szCs w:val="24"/>
          <w:lang w:val="es-ES"/>
        </w:rPr>
        <w:t>en la medida de lo posible</w:t>
      </w:r>
      <w:r w:rsidR="005B6AC2">
        <w:rPr>
          <w:rFonts w:ascii="Times New Roman" w:hAnsi="Times New Roman"/>
          <w:sz w:val="24"/>
          <w:szCs w:val="24"/>
          <w:lang w:val="es-ES"/>
        </w:rPr>
        <w:t xml:space="preserve"> a las víctimas. Pero a diferencia de la Corte, el TEDH </w:t>
      </w:r>
      <w:r w:rsidR="00CD7E75">
        <w:rPr>
          <w:rFonts w:ascii="Times New Roman" w:hAnsi="Times New Roman"/>
          <w:sz w:val="24"/>
          <w:szCs w:val="24"/>
          <w:lang w:val="es-ES"/>
        </w:rPr>
        <w:t>deriva este deber de la dimensión procesal de</w:t>
      </w:r>
      <w:r w:rsidR="005B6AC2">
        <w:rPr>
          <w:rFonts w:ascii="Times New Roman" w:hAnsi="Times New Roman"/>
          <w:sz w:val="24"/>
          <w:szCs w:val="24"/>
          <w:lang w:val="es-ES"/>
        </w:rPr>
        <w:t xml:space="preserve"> los artículos</w:t>
      </w:r>
      <w:r w:rsidR="007706E4">
        <w:rPr>
          <w:rFonts w:ascii="Times New Roman" w:hAnsi="Times New Roman"/>
          <w:sz w:val="24"/>
          <w:szCs w:val="24"/>
          <w:lang w:val="es-ES"/>
        </w:rPr>
        <w:t xml:space="preserve"> 2,</w:t>
      </w:r>
      <w:r w:rsidR="005B6AC2">
        <w:rPr>
          <w:rFonts w:ascii="Times New Roman" w:hAnsi="Times New Roman"/>
          <w:sz w:val="24"/>
          <w:szCs w:val="24"/>
          <w:lang w:val="es-ES"/>
        </w:rPr>
        <w:t xml:space="preserve"> 3 y 5 y </w:t>
      </w:r>
      <w:r w:rsidR="00CD7E75">
        <w:rPr>
          <w:rFonts w:ascii="Times New Roman" w:hAnsi="Times New Roman"/>
          <w:sz w:val="24"/>
          <w:szCs w:val="24"/>
          <w:lang w:val="es-ES"/>
        </w:rPr>
        <w:t>d</w:t>
      </w:r>
      <w:r w:rsidR="005B6AC2">
        <w:rPr>
          <w:rFonts w:ascii="Times New Roman" w:hAnsi="Times New Roman"/>
          <w:sz w:val="24"/>
          <w:szCs w:val="24"/>
          <w:lang w:val="es-ES"/>
        </w:rPr>
        <w:t>el artículo 13 del CEDH</w:t>
      </w:r>
      <w:r w:rsidR="00CD7E75" w:rsidRPr="00507C43">
        <w:rPr>
          <w:rFonts w:ascii="Times New Roman" w:eastAsia="Times New Roman" w:hAnsi="Times New Roman"/>
          <w:sz w:val="24"/>
          <w:szCs w:val="24"/>
          <w:vertAlign w:val="superscript"/>
          <w:lang w:val="es-ES"/>
        </w:rPr>
        <w:footnoteReference w:id="61"/>
      </w:r>
      <w:r w:rsidR="00CD7E75">
        <w:rPr>
          <w:rFonts w:ascii="Times New Roman" w:hAnsi="Times New Roman"/>
          <w:sz w:val="24"/>
          <w:szCs w:val="24"/>
          <w:lang w:val="es-ES"/>
        </w:rPr>
        <w:t>.</w:t>
      </w:r>
    </w:p>
    <w:p w:rsidR="00EA37F6" w:rsidRPr="00EA37F6" w:rsidRDefault="005B6AC2" w:rsidP="00C81252">
      <w:pPr>
        <w:spacing w:line="240" w:lineRule="auto"/>
        <w:jc w:val="both"/>
        <w:rPr>
          <w:rFonts w:ascii="Times New Roman" w:hAnsi="Times New Roman"/>
          <w:sz w:val="24"/>
          <w:szCs w:val="24"/>
          <w:lang w:val="es-ES"/>
        </w:rPr>
      </w:pPr>
      <w:r>
        <w:rPr>
          <w:rFonts w:ascii="Times New Roman" w:hAnsi="Times New Roman"/>
          <w:sz w:val="24"/>
          <w:szCs w:val="24"/>
          <w:lang w:val="es-ES"/>
        </w:rPr>
        <w:t xml:space="preserve">En el </w:t>
      </w:r>
      <w:r w:rsidR="00387D85">
        <w:rPr>
          <w:rFonts w:ascii="Times New Roman" w:hAnsi="Times New Roman"/>
          <w:sz w:val="24"/>
          <w:szCs w:val="24"/>
          <w:lang w:val="es-ES"/>
        </w:rPr>
        <w:t xml:space="preserve">primer y tercer </w:t>
      </w:r>
      <w:r>
        <w:rPr>
          <w:rFonts w:ascii="Times New Roman" w:hAnsi="Times New Roman"/>
          <w:sz w:val="24"/>
          <w:szCs w:val="24"/>
          <w:lang w:val="es-ES"/>
        </w:rPr>
        <w:t xml:space="preserve">epígrafe de este trabajo hemos </w:t>
      </w:r>
      <w:r w:rsidR="00387D85">
        <w:rPr>
          <w:rFonts w:ascii="Times New Roman" w:hAnsi="Times New Roman"/>
          <w:sz w:val="24"/>
          <w:szCs w:val="24"/>
          <w:lang w:val="es-ES"/>
        </w:rPr>
        <w:t>aludido a</w:t>
      </w:r>
      <w:r>
        <w:rPr>
          <w:rFonts w:ascii="Times New Roman" w:hAnsi="Times New Roman"/>
          <w:sz w:val="24"/>
          <w:szCs w:val="24"/>
          <w:lang w:val="es-ES"/>
        </w:rPr>
        <w:t xml:space="preserve"> la doble dimensión</w:t>
      </w:r>
      <w:r w:rsidR="00EA37F6">
        <w:rPr>
          <w:rFonts w:ascii="Times New Roman" w:hAnsi="Times New Roman"/>
          <w:sz w:val="24"/>
          <w:szCs w:val="24"/>
          <w:lang w:val="es-ES"/>
        </w:rPr>
        <w:t>, individual y colectiva</w:t>
      </w:r>
      <w:r w:rsidR="00387D85">
        <w:rPr>
          <w:rFonts w:ascii="Times New Roman" w:hAnsi="Times New Roman"/>
          <w:sz w:val="24"/>
          <w:szCs w:val="24"/>
          <w:lang w:val="es-ES"/>
        </w:rPr>
        <w:t>,</w:t>
      </w:r>
      <w:r w:rsidR="00EA37F6">
        <w:rPr>
          <w:rFonts w:ascii="Times New Roman" w:hAnsi="Times New Roman"/>
          <w:sz w:val="24"/>
          <w:szCs w:val="24"/>
          <w:lang w:val="es-ES"/>
        </w:rPr>
        <w:t xml:space="preserve"> </w:t>
      </w:r>
      <w:r>
        <w:rPr>
          <w:rFonts w:ascii="Times New Roman" w:hAnsi="Times New Roman"/>
          <w:sz w:val="24"/>
          <w:szCs w:val="24"/>
          <w:lang w:val="es-ES"/>
        </w:rPr>
        <w:t>que del derecho a la verdad se predica</w:t>
      </w:r>
      <w:r w:rsidR="00EA37F6">
        <w:rPr>
          <w:rFonts w:ascii="Times New Roman" w:hAnsi="Times New Roman"/>
          <w:sz w:val="24"/>
          <w:szCs w:val="24"/>
          <w:lang w:val="es-ES"/>
        </w:rPr>
        <w:t xml:space="preserve">. Esta segunda dimensión es la primera que se identifica en el </w:t>
      </w:r>
      <w:r w:rsidR="00EA37F6">
        <w:rPr>
          <w:rFonts w:ascii="Times New Roman" w:hAnsi="Times New Roman"/>
          <w:i/>
          <w:sz w:val="24"/>
          <w:szCs w:val="24"/>
        </w:rPr>
        <w:t>C</w:t>
      </w:r>
      <w:r w:rsidR="00EA37F6" w:rsidRPr="00EA37F6">
        <w:rPr>
          <w:rFonts w:ascii="Times New Roman" w:hAnsi="Times New Roman"/>
          <w:i/>
          <w:sz w:val="24"/>
          <w:szCs w:val="24"/>
        </w:rPr>
        <w:t>onjunto de principios para la proteccion y la promocion de los derechos humanos mediante la lucha contra la impunidad</w:t>
      </w:r>
      <w:r w:rsidR="00EA37F6">
        <w:rPr>
          <w:rFonts w:ascii="Times New Roman" w:hAnsi="Times New Roman"/>
          <w:sz w:val="24"/>
          <w:szCs w:val="24"/>
        </w:rPr>
        <w:t xml:space="preserve"> de Naciones Unidas, que atribuye a “cada pueblo el derecho inalienable </w:t>
      </w:r>
      <w:r w:rsidR="00EA37F6" w:rsidRPr="00EA37F6">
        <w:rPr>
          <w:rFonts w:ascii="Times New Roman" w:hAnsi="Times New Roman"/>
          <w:sz w:val="24"/>
          <w:szCs w:val="24"/>
        </w:rPr>
        <w:t xml:space="preserve">a conocer la verdad acerca de los acontecimientos sucedidos y </w:t>
      </w:r>
      <w:r w:rsidR="00EA37F6" w:rsidRPr="00EA37F6">
        <w:rPr>
          <w:rFonts w:ascii="Times New Roman" w:hAnsi="Times New Roman"/>
          <w:sz w:val="24"/>
          <w:szCs w:val="24"/>
        </w:rPr>
        <w:lastRenderedPageBreak/>
        <w:t>las circunstancias y los motivos que llevaron, mediante la violación masiva y sistemática de los derechos humanos, a la perpetración de crímenes aberrantes</w:t>
      </w:r>
      <w:r w:rsidR="00EA37F6">
        <w:rPr>
          <w:rFonts w:ascii="Times New Roman" w:hAnsi="Times New Roman"/>
          <w:sz w:val="24"/>
          <w:szCs w:val="24"/>
        </w:rPr>
        <w:t>”, subrayando a renglón seguido, que “e</w:t>
      </w:r>
      <w:r w:rsidR="00EA37F6" w:rsidRPr="00EA37F6">
        <w:rPr>
          <w:rFonts w:ascii="Times New Roman" w:hAnsi="Times New Roman"/>
          <w:sz w:val="24"/>
          <w:szCs w:val="24"/>
        </w:rPr>
        <w:t>l ejercicio pleno y efectivo del derecho a la verdad es esencial para evitar que en el futuro se repitan tales actos</w:t>
      </w:r>
      <w:r w:rsidR="00EA37F6">
        <w:rPr>
          <w:rFonts w:ascii="Times New Roman" w:hAnsi="Times New Roman"/>
          <w:sz w:val="24"/>
          <w:szCs w:val="24"/>
        </w:rPr>
        <w:t>”</w:t>
      </w:r>
      <w:r w:rsidR="00EA37F6" w:rsidRPr="00EA37F6">
        <w:rPr>
          <w:rFonts w:ascii="Times New Roman" w:hAnsi="Times New Roman"/>
          <w:sz w:val="24"/>
          <w:szCs w:val="24"/>
        </w:rPr>
        <w:t>.</w:t>
      </w:r>
      <w:r w:rsidR="00EA37F6">
        <w:rPr>
          <w:rFonts w:ascii="Times New Roman" w:hAnsi="Times New Roman"/>
          <w:sz w:val="24"/>
          <w:szCs w:val="24"/>
        </w:rPr>
        <w:t xml:space="preserve"> </w:t>
      </w:r>
    </w:p>
    <w:p w:rsidR="002E7D82" w:rsidRDefault="00244C32" w:rsidP="002E7D82">
      <w:pPr>
        <w:spacing w:line="240" w:lineRule="auto"/>
        <w:jc w:val="both"/>
        <w:rPr>
          <w:rFonts w:ascii="Times New Roman" w:hAnsi="Times New Roman"/>
          <w:sz w:val="24"/>
          <w:szCs w:val="24"/>
          <w:lang w:val="es-ES"/>
        </w:rPr>
      </w:pPr>
      <w:r>
        <w:rPr>
          <w:rFonts w:ascii="Times New Roman" w:hAnsi="Times New Roman"/>
          <w:sz w:val="24"/>
          <w:szCs w:val="24"/>
          <w:lang w:val="es-ES"/>
        </w:rPr>
        <w:t>E</w:t>
      </w:r>
      <w:r w:rsidR="00C81252">
        <w:rPr>
          <w:rFonts w:ascii="Times New Roman" w:hAnsi="Times New Roman"/>
          <w:sz w:val="24"/>
          <w:szCs w:val="24"/>
          <w:lang w:val="es-ES"/>
        </w:rPr>
        <w:t xml:space="preserve">sta dimesión colectiva del derecho a conocer la verdad </w:t>
      </w:r>
      <w:r>
        <w:rPr>
          <w:rFonts w:ascii="Times New Roman" w:hAnsi="Times New Roman"/>
          <w:sz w:val="24"/>
          <w:szCs w:val="24"/>
          <w:lang w:val="es-ES"/>
        </w:rPr>
        <w:t xml:space="preserve">no se ha traducido en una ampliación de la legitimación procesal del mismo, que solo </w:t>
      </w:r>
      <w:r w:rsidR="00C81252" w:rsidRPr="00507C43">
        <w:rPr>
          <w:rFonts w:ascii="Times New Roman" w:hAnsi="Times New Roman"/>
          <w:sz w:val="24"/>
          <w:szCs w:val="24"/>
          <w:lang w:val="es-ES"/>
        </w:rPr>
        <w:t xml:space="preserve">se </w:t>
      </w:r>
      <w:r w:rsidR="00936373">
        <w:rPr>
          <w:rFonts w:ascii="Times New Roman" w:hAnsi="Times New Roman"/>
          <w:sz w:val="24"/>
          <w:szCs w:val="24"/>
          <w:lang w:val="es-ES"/>
        </w:rPr>
        <w:t>predica</w:t>
      </w:r>
      <w:r w:rsidR="00C81252" w:rsidRPr="00507C43">
        <w:rPr>
          <w:rFonts w:ascii="Times New Roman" w:hAnsi="Times New Roman"/>
          <w:sz w:val="24"/>
          <w:szCs w:val="24"/>
          <w:lang w:val="es-ES"/>
        </w:rPr>
        <w:t xml:space="preserve"> de “la persona desaparecida y de toda persona física que hubiere sufrido un perjuicio directo como consecuencia de una desaparición forzada” (art. 24.1 </w:t>
      </w:r>
      <w:r>
        <w:rPr>
          <w:rFonts w:ascii="Times New Roman" w:hAnsi="Times New Roman"/>
          <w:sz w:val="24"/>
          <w:szCs w:val="24"/>
          <w:lang w:val="es-ES"/>
        </w:rPr>
        <w:t>de la Convención Internacional</w:t>
      </w:r>
      <w:r w:rsidR="00C81252" w:rsidRPr="00507C43">
        <w:rPr>
          <w:rFonts w:ascii="Times New Roman" w:hAnsi="Times New Roman"/>
          <w:sz w:val="24"/>
          <w:szCs w:val="24"/>
          <w:lang w:val="es-ES"/>
        </w:rPr>
        <w:t>).</w:t>
      </w:r>
      <w:r w:rsidR="00540EA8">
        <w:rPr>
          <w:rFonts w:ascii="Times New Roman" w:hAnsi="Times New Roman"/>
          <w:sz w:val="24"/>
          <w:szCs w:val="24"/>
          <w:lang w:val="es-ES"/>
        </w:rPr>
        <w:t xml:space="preserve"> </w:t>
      </w:r>
      <w:r w:rsidR="002E7D82">
        <w:rPr>
          <w:rFonts w:ascii="Times New Roman" w:hAnsi="Times New Roman"/>
          <w:sz w:val="24"/>
          <w:szCs w:val="24"/>
          <w:lang w:val="es-ES"/>
        </w:rPr>
        <w:t>No se trata</w:t>
      </w:r>
      <w:r w:rsidR="00936373">
        <w:rPr>
          <w:rFonts w:ascii="Times New Roman" w:hAnsi="Times New Roman"/>
          <w:sz w:val="24"/>
          <w:szCs w:val="24"/>
          <w:lang w:val="es-ES"/>
        </w:rPr>
        <w:t>, pues,</w:t>
      </w:r>
      <w:r w:rsidR="002E7D82">
        <w:rPr>
          <w:rFonts w:ascii="Times New Roman" w:hAnsi="Times New Roman"/>
          <w:sz w:val="24"/>
          <w:szCs w:val="24"/>
          <w:lang w:val="es-ES"/>
        </w:rPr>
        <w:t xml:space="preserve"> de un derecho de titularidad colectiva, razón por la que el TEDH no tiene dificultad para subsumirlo en el marco de los preceptos del Convenio antes citados</w:t>
      </w:r>
      <w:r w:rsidR="002E7D82" w:rsidRPr="00507C43">
        <w:rPr>
          <w:rStyle w:val="Refdenotaalpie"/>
          <w:rFonts w:ascii="Times New Roman" w:hAnsi="Times New Roman"/>
          <w:sz w:val="24"/>
          <w:szCs w:val="24"/>
          <w:lang w:val="es-ES"/>
        </w:rPr>
        <w:footnoteReference w:id="62"/>
      </w:r>
      <w:r w:rsidR="002E7D82">
        <w:rPr>
          <w:rFonts w:ascii="Times New Roman" w:hAnsi="Times New Roman"/>
          <w:sz w:val="24"/>
          <w:szCs w:val="24"/>
          <w:lang w:val="es-ES"/>
        </w:rPr>
        <w:t>.</w:t>
      </w:r>
    </w:p>
    <w:p w:rsidR="00783027" w:rsidRDefault="008D56C1" w:rsidP="00507C43">
      <w:pPr>
        <w:autoSpaceDE w:val="0"/>
        <w:autoSpaceDN w:val="0"/>
        <w:adjustRightInd w:val="0"/>
        <w:spacing w:after="0" w:line="240" w:lineRule="auto"/>
        <w:jc w:val="both"/>
        <w:rPr>
          <w:rFonts w:ascii="Times New Roman" w:hAnsi="Times New Roman"/>
          <w:color w:val="282425"/>
          <w:sz w:val="24"/>
          <w:szCs w:val="24"/>
          <w:lang w:val="es-ES"/>
        </w:rPr>
      </w:pPr>
      <w:r w:rsidRPr="00507C43">
        <w:rPr>
          <w:rFonts w:ascii="Times New Roman" w:hAnsi="Times New Roman"/>
          <w:color w:val="282425"/>
          <w:sz w:val="24"/>
          <w:szCs w:val="24"/>
          <w:lang w:val="es-ES"/>
        </w:rPr>
        <w:t xml:space="preserve">En 2006, </w:t>
      </w:r>
      <w:r w:rsidR="00B36D84" w:rsidRPr="00507C43">
        <w:rPr>
          <w:rFonts w:ascii="Times New Roman" w:hAnsi="Times New Roman"/>
          <w:color w:val="282425"/>
          <w:sz w:val="24"/>
          <w:szCs w:val="24"/>
          <w:lang w:val="es-ES"/>
        </w:rPr>
        <w:t xml:space="preserve">un estudio del Alto Comisionado de las Naciones Unidas para los derechos humanos sostiene </w:t>
      </w:r>
      <w:r w:rsidRPr="00507C43">
        <w:rPr>
          <w:rFonts w:ascii="Times New Roman" w:hAnsi="Times New Roman"/>
          <w:color w:val="282425"/>
          <w:sz w:val="24"/>
          <w:szCs w:val="24"/>
          <w:lang w:val="es-ES"/>
        </w:rPr>
        <w:t xml:space="preserve">que “el derecho a conocer la verdad acerca de las violaciones manifiestas de los derechos humanos y las infracciones graves de las normas de derechos humanos es un derecho autónomo e inalienable, vinculado a la obligación y el deber del Estado de proteger y garantizar los derechos humanos, realizar investigaciones eficaces y velar por que haya recursos efectivos y se obtenga reparación”. </w:t>
      </w:r>
      <w:r w:rsidR="00783027">
        <w:rPr>
          <w:rFonts w:ascii="Times New Roman" w:hAnsi="Times New Roman"/>
          <w:color w:val="282425"/>
          <w:sz w:val="24"/>
          <w:szCs w:val="24"/>
          <w:lang w:val="es-ES"/>
        </w:rPr>
        <w:t>Al efecto se ofrecen varios argumentos que a nuestro juicio no justifican que se trate de</w:t>
      </w:r>
      <w:r w:rsidRPr="00507C43">
        <w:rPr>
          <w:rFonts w:ascii="Times New Roman" w:hAnsi="Times New Roman"/>
          <w:color w:val="282425"/>
          <w:sz w:val="24"/>
          <w:szCs w:val="24"/>
          <w:lang w:val="es-ES"/>
        </w:rPr>
        <w:t xml:space="preserve"> “un derecho autóno</w:t>
      </w:r>
      <w:r w:rsidR="00783027">
        <w:rPr>
          <w:rFonts w:ascii="Times New Roman" w:hAnsi="Times New Roman"/>
          <w:color w:val="282425"/>
          <w:sz w:val="24"/>
          <w:szCs w:val="24"/>
          <w:lang w:val="es-ES"/>
        </w:rPr>
        <w:t>mo con su propia base jurídica”. Veamos.</w:t>
      </w:r>
    </w:p>
    <w:p w:rsidR="00783027" w:rsidRDefault="00783027" w:rsidP="00507C43">
      <w:pPr>
        <w:autoSpaceDE w:val="0"/>
        <w:autoSpaceDN w:val="0"/>
        <w:adjustRightInd w:val="0"/>
        <w:spacing w:after="0" w:line="240" w:lineRule="auto"/>
        <w:jc w:val="both"/>
        <w:rPr>
          <w:rFonts w:ascii="Times New Roman" w:hAnsi="Times New Roman"/>
          <w:color w:val="282425"/>
          <w:sz w:val="24"/>
          <w:szCs w:val="24"/>
          <w:lang w:val="es-ES"/>
        </w:rPr>
      </w:pPr>
    </w:p>
    <w:p w:rsidR="00783027" w:rsidRDefault="00783027" w:rsidP="00507C43">
      <w:pPr>
        <w:autoSpaceDE w:val="0"/>
        <w:autoSpaceDN w:val="0"/>
        <w:adjustRightInd w:val="0"/>
        <w:spacing w:after="0" w:line="240" w:lineRule="auto"/>
        <w:jc w:val="both"/>
        <w:rPr>
          <w:rFonts w:ascii="Times New Roman" w:hAnsi="Times New Roman"/>
          <w:color w:val="282425"/>
          <w:sz w:val="24"/>
          <w:szCs w:val="24"/>
          <w:lang w:val="es-ES"/>
        </w:rPr>
      </w:pPr>
      <w:r>
        <w:rPr>
          <w:rFonts w:ascii="Times New Roman" w:hAnsi="Times New Roman"/>
          <w:color w:val="282425"/>
          <w:sz w:val="24"/>
          <w:szCs w:val="24"/>
          <w:lang w:val="es-ES"/>
        </w:rPr>
        <w:t xml:space="preserve">Como la Corte Interamericana, el Alto Comisionado </w:t>
      </w:r>
      <w:r w:rsidR="008D56C1" w:rsidRPr="00507C43">
        <w:rPr>
          <w:rFonts w:ascii="Times New Roman" w:hAnsi="Times New Roman"/>
          <w:color w:val="282425"/>
          <w:sz w:val="24"/>
          <w:szCs w:val="24"/>
          <w:lang w:val="es-ES"/>
        </w:rPr>
        <w:t>se centra</w:t>
      </w:r>
      <w:r>
        <w:rPr>
          <w:rFonts w:ascii="Times New Roman" w:hAnsi="Times New Roman"/>
          <w:color w:val="282425"/>
          <w:sz w:val="24"/>
          <w:szCs w:val="24"/>
          <w:lang w:val="es-ES"/>
        </w:rPr>
        <w:t xml:space="preserve"> sobre todo en la</w:t>
      </w:r>
      <w:r w:rsidR="008D56C1" w:rsidRPr="00507C43">
        <w:rPr>
          <w:rFonts w:ascii="Times New Roman" w:hAnsi="Times New Roman"/>
          <w:color w:val="282425"/>
          <w:sz w:val="24"/>
          <w:szCs w:val="24"/>
          <w:lang w:val="es-ES"/>
        </w:rPr>
        <w:t xml:space="preserve"> estrecha relación</w:t>
      </w:r>
      <w:r>
        <w:rPr>
          <w:rFonts w:ascii="Times New Roman" w:hAnsi="Times New Roman"/>
          <w:color w:val="282425"/>
          <w:sz w:val="24"/>
          <w:szCs w:val="24"/>
          <w:lang w:val="es-ES"/>
        </w:rPr>
        <w:t xml:space="preserve"> del derecho a la verdad</w:t>
      </w:r>
      <w:r w:rsidR="008D56C1" w:rsidRPr="00507C43">
        <w:rPr>
          <w:rFonts w:ascii="Times New Roman" w:hAnsi="Times New Roman"/>
          <w:color w:val="282425"/>
          <w:sz w:val="24"/>
          <w:szCs w:val="24"/>
          <w:lang w:val="es-ES"/>
        </w:rPr>
        <w:t xml:space="preserve"> con</w:t>
      </w:r>
      <w:r>
        <w:rPr>
          <w:rFonts w:ascii="Times New Roman" w:hAnsi="Times New Roman"/>
          <w:color w:val="282425"/>
          <w:sz w:val="24"/>
          <w:szCs w:val="24"/>
          <w:lang w:val="es-ES"/>
        </w:rPr>
        <w:t xml:space="preserve"> varios derechos. Concretamente se refiere a</w:t>
      </w:r>
      <w:r w:rsidR="001C57CA">
        <w:rPr>
          <w:rFonts w:ascii="Times New Roman" w:hAnsi="Times New Roman"/>
          <w:color w:val="282425"/>
          <w:sz w:val="24"/>
          <w:szCs w:val="24"/>
          <w:lang w:val="es-ES"/>
        </w:rPr>
        <w:t xml:space="preserve"> su conexión con</w:t>
      </w:r>
      <w:r>
        <w:rPr>
          <w:rFonts w:ascii="Times New Roman" w:hAnsi="Times New Roman"/>
          <w:color w:val="282425"/>
          <w:sz w:val="24"/>
          <w:szCs w:val="24"/>
          <w:lang w:val="es-ES"/>
        </w:rPr>
        <w:t xml:space="preserve"> los derechos </w:t>
      </w:r>
      <w:r w:rsidR="00936373">
        <w:rPr>
          <w:rFonts w:ascii="Times New Roman" w:hAnsi="Times New Roman"/>
          <w:color w:val="282425"/>
          <w:sz w:val="24"/>
          <w:szCs w:val="24"/>
          <w:lang w:val="es-ES"/>
        </w:rPr>
        <w:t>a un recurso efectivo,</w:t>
      </w:r>
      <w:r w:rsidR="008D56C1" w:rsidRPr="00507C43">
        <w:rPr>
          <w:rFonts w:ascii="Times New Roman" w:hAnsi="Times New Roman"/>
          <w:color w:val="282425"/>
          <w:sz w:val="24"/>
          <w:szCs w:val="24"/>
          <w:lang w:val="es-ES"/>
        </w:rPr>
        <w:t xml:space="preserve"> a la</w:t>
      </w:r>
      <w:r w:rsidR="00936373">
        <w:rPr>
          <w:rFonts w:ascii="Times New Roman" w:hAnsi="Times New Roman"/>
          <w:color w:val="282425"/>
          <w:sz w:val="24"/>
          <w:szCs w:val="24"/>
          <w:lang w:val="es-ES"/>
        </w:rPr>
        <w:t xml:space="preserve"> protección jurídica y judicial, a la vida familiar,</w:t>
      </w:r>
      <w:r w:rsidR="008D56C1" w:rsidRPr="00507C43">
        <w:rPr>
          <w:rFonts w:ascii="Times New Roman" w:hAnsi="Times New Roman"/>
          <w:color w:val="282425"/>
          <w:sz w:val="24"/>
          <w:szCs w:val="24"/>
          <w:lang w:val="es-ES"/>
        </w:rPr>
        <w:t xml:space="preserve"> </w:t>
      </w:r>
      <w:r w:rsidR="00936373">
        <w:rPr>
          <w:rFonts w:ascii="Times New Roman" w:hAnsi="Times New Roman"/>
          <w:color w:val="282425"/>
          <w:sz w:val="24"/>
          <w:szCs w:val="24"/>
          <w:lang w:val="es-ES"/>
        </w:rPr>
        <w:t>a una investigación eficaz,</w:t>
      </w:r>
      <w:r w:rsidR="008D56C1" w:rsidRPr="00507C43">
        <w:rPr>
          <w:rFonts w:ascii="Times New Roman" w:hAnsi="Times New Roman"/>
          <w:color w:val="282425"/>
          <w:sz w:val="24"/>
          <w:szCs w:val="24"/>
          <w:lang w:val="es-ES"/>
        </w:rPr>
        <w:t xml:space="preserve"> a ser oído por un tribunal compet</w:t>
      </w:r>
      <w:r w:rsidR="00936373">
        <w:rPr>
          <w:rFonts w:ascii="Times New Roman" w:hAnsi="Times New Roman"/>
          <w:color w:val="282425"/>
          <w:sz w:val="24"/>
          <w:szCs w:val="24"/>
          <w:lang w:val="es-ES"/>
        </w:rPr>
        <w:t>ente, independiente e imparcial,</w:t>
      </w:r>
      <w:r w:rsidR="008D56C1" w:rsidRPr="00507C43">
        <w:rPr>
          <w:rFonts w:ascii="Times New Roman" w:hAnsi="Times New Roman"/>
          <w:color w:val="282425"/>
          <w:sz w:val="24"/>
          <w:szCs w:val="24"/>
          <w:lang w:val="es-ES"/>
        </w:rPr>
        <w:t xml:space="preserve"> a obte</w:t>
      </w:r>
      <w:r w:rsidR="00936373">
        <w:rPr>
          <w:rFonts w:ascii="Times New Roman" w:hAnsi="Times New Roman"/>
          <w:color w:val="282425"/>
          <w:sz w:val="24"/>
          <w:szCs w:val="24"/>
          <w:lang w:val="es-ES"/>
        </w:rPr>
        <w:t>ner reparación y</w:t>
      </w:r>
      <w:r w:rsidR="008D56C1" w:rsidRPr="00507C43">
        <w:rPr>
          <w:rFonts w:ascii="Times New Roman" w:hAnsi="Times New Roman"/>
          <w:color w:val="282425"/>
          <w:sz w:val="24"/>
          <w:szCs w:val="24"/>
          <w:lang w:val="es-ES"/>
        </w:rPr>
        <w:t xml:space="preserve"> a solicitar y difundir información.</w:t>
      </w:r>
      <w:r>
        <w:rPr>
          <w:rFonts w:ascii="Times New Roman" w:hAnsi="Times New Roman"/>
          <w:color w:val="282425"/>
          <w:sz w:val="24"/>
          <w:szCs w:val="24"/>
          <w:lang w:val="es-ES"/>
        </w:rPr>
        <w:t xml:space="preserve"> </w:t>
      </w:r>
      <w:r w:rsidRPr="001C57CA">
        <w:rPr>
          <w:rFonts w:ascii="Times New Roman" w:hAnsi="Times New Roman"/>
          <w:color w:val="282425"/>
          <w:sz w:val="24"/>
          <w:szCs w:val="24"/>
          <w:lang w:val="es-ES"/>
        </w:rPr>
        <w:t>Pero a nuestro juicio este argumento no es suficiente</w:t>
      </w:r>
      <w:r w:rsidR="001C57CA" w:rsidRPr="001C57CA">
        <w:rPr>
          <w:rFonts w:ascii="Times New Roman" w:hAnsi="Times New Roman"/>
          <w:color w:val="282425"/>
          <w:sz w:val="24"/>
          <w:szCs w:val="24"/>
          <w:lang w:val="es-ES"/>
        </w:rPr>
        <w:t>,</w:t>
      </w:r>
      <w:r w:rsidRPr="001C57CA">
        <w:rPr>
          <w:rFonts w:ascii="Times New Roman" w:hAnsi="Times New Roman"/>
          <w:color w:val="282425"/>
          <w:sz w:val="24"/>
          <w:szCs w:val="24"/>
          <w:lang w:val="es-ES"/>
        </w:rPr>
        <w:t xml:space="preserve"> pues de lo que se trata es de distinguirlo, no de reconocer que en función de las circunsancias podrá confundirse con ellos</w:t>
      </w:r>
      <w:r w:rsidR="00741402">
        <w:rPr>
          <w:rFonts w:ascii="Times New Roman" w:hAnsi="Times New Roman"/>
          <w:color w:val="282425"/>
          <w:sz w:val="24"/>
          <w:szCs w:val="24"/>
          <w:lang w:val="es-ES"/>
        </w:rPr>
        <w:t xml:space="preserve">. </w:t>
      </w:r>
    </w:p>
    <w:p w:rsidR="00741402" w:rsidRDefault="00741402" w:rsidP="00507C43">
      <w:pPr>
        <w:autoSpaceDE w:val="0"/>
        <w:autoSpaceDN w:val="0"/>
        <w:adjustRightInd w:val="0"/>
        <w:spacing w:after="0" w:line="240" w:lineRule="auto"/>
        <w:jc w:val="both"/>
        <w:rPr>
          <w:rFonts w:ascii="Times New Roman" w:hAnsi="Times New Roman"/>
          <w:color w:val="282425"/>
          <w:sz w:val="24"/>
          <w:szCs w:val="24"/>
          <w:lang w:val="es-ES"/>
        </w:rPr>
      </w:pPr>
    </w:p>
    <w:p w:rsidR="00DC0F23" w:rsidRDefault="00741402" w:rsidP="00507C43">
      <w:pPr>
        <w:autoSpaceDE w:val="0"/>
        <w:autoSpaceDN w:val="0"/>
        <w:adjustRightInd w:val="0"/>
        <w:spacing w:after="0" w:line="240" w:lineRule="auto"/>
        <w:jc w:val="both"/>
        <w:rPr>
          <w:rFonts w:ascii="Times New Roman" w:hAnsi="Times New Roman"/>
          <w:color w:val="282425"/>
          <w:sz w:val="24"/>
          <w:szCs w:val="24"/>
          <w:lang w:val="es-ES"/>
        </w:rPr>
      </w:pPr>
      <w:r w:rsidRPr="00F1452F">
        <w:rPr>
          <w:rFonts w:ascii="Times New Roman" w:hAnsi="Times New Roman"/>
          <w:color w:val="282425"/>
          <w:sz w:val="24"/>
          <w:szCs w:val="24"/>
          <w:lang w:val="es-ES"/>
        </w:rPr>
        <w:t>A mayor abundamiento</w:t>
      </w:r>
      <w:r w:rsidR="00334F27" w:rsidRPr="00F1452F">
        <w:rPr>
          <w:rFonts w:ascii="Times New Roman" w:hAnsi="Times New Roman"/>
          <w:color w:val="282425"/>
          <w:sz w:val="24"/>
          <w:szCs w:val="24"/>
          <w:lang w:val="es-ES"/>
        </w:rPr>
        <w:t>, el Alto Comisionado</w:t>
      </w:r>
      <w:r w:rsidRPr="00F1452F">
        <w:rPr>
          <w:rFonts w:ascii="Times New Roman" w:hAnsi="Times New Roman"/>
          <w:color w:val="282425"/>
          <w:sz w:val="24"/>
          <w:szCs w:val="24"/>
          <w:lang w:val="es-ES"/>
        </w:rPr>
        <w:t xml:space="preserve"> advierte que se </w:t>
      </w:r>
      <w:r w:rsidR="00783027" w:rsidRPr="00F1452F">
        <w:rPr>
          <w:rFonts w:ascii="Times New Roman" w:hAnsi="Times New Roman"/>
          <w:color w:val="282425"/>
          <w:sz w:val="24"/>
          <w:szCs w:val="24"/>
          <w:lang w:val="es-ES"/>
        </w:rPr>
        <w:t xml:space="preserve">trata de un derecho </w:t>
      </w:r>
      <w:r w:rsidR="00065D71" w:rsidRPr="00F1452F">
        <w:rPr>
          <w:rFonts w:ascii="Times New Roman" w:hAnsi="Times New Roman"/>
          <w:color w:val="282425"/>
          <w:sz w:val="24"/>
          <w:szCs w:val="24"/>
          <w:lang w:val="es-ES"/>
        </w:rPr>
        <w:t>“que no admite suspensión y</w:t>
      </w:r>
      <w:r w:rsidRPr="00F1452F">
        <w:rPr>
          <w:rFonts w:ascii="Times New Roman" w:hAnsi="Times New Roman"/>
          <w:color w:val="282425"/>
          <w:sz w:val="24"/>
          <w:szCs w:val="24"/>
          <w:lang w:val="es-ES"/>
        </w:rPr>
        <w:t xml:space="preserve"> [que]</w:t>
      </w:r>
      <w:r w:rsidR="00065D71" w:rsidRPr="00F1452F">
        <w:rPr>
          <w:rFonts w:ascii="Times New Roman" w:hAnsi="Times New Roman"/>
          <w:color w:val="282425"/>
          <w:sz w:val="24"/>
          <w:szCs w:val="24"/>
          <w:lang w:val="es-ES"/>
        </w:rPr>
        <w:t xml:space="preserve"> no debe estar sujeto a restricciones”</w:t>
      </w:r>
      <w:r w:rsidR="00783027" w:rsidRPr="00F1452F">
        <w:rPr>
          <w:rFonts w:ascii="Times New Roman" w:hAnsi="Times New Roman"/>
          <w:color w:val="282425"/>
          <w:sz w:val="24"/>
          <w:szCs w:val="24"/>
          <w:lang w:val="es-ES"/>
        </w:rPr>
        <w:t>, condición que,</w:t>
      </w:r>
      <w:r w:rsidRPr="00F1452F">
        <w:rPr>
          <w:rFonts w:ascii="Times New Roman" w:hAnsi="Times New Roman"/>
          <w:color w:val="282425"/>
          <w:sz w:val="24"/>
          <w:szCs w:val="24"/>
          <w:lang w:val="es-ES"/>
        </w:rPr>
        <w:t xml:space="preserve"> por sí sola, no confiere a ningún derecho </w:t>
      </w:r>
      <w:r w:rsidR="00065D71" w:rsidRPr="00F1452F">
        <w:rPr>
          <w:rFonts w:ascii="Times New Roman" w:hAnsi="Times New Roman"/>
          <w:color w:val="282425"/>
          <w:sz w:val="24"/>
          <w:szCs w:val="24"/>
          <w:lang w:val="es-ES"/>
        </w:rPr>
        <w:t>un contenido</w:t>
      </w:r>
      <w:r w:rsidR="00783027" w:rsidRPr="00F1452F">
        <w:rPr>
          <w:rFonts w:ascii="Times New Roman" w:hAnsi="Times New Roman"/>
          <w:color w:val="282425"/>
          <w:sz w:val="24"/>
          <w:szCs w:val="24"/>
          <w:lang w:val="es-ES"/>
        </w:rPr>
        <w:t xml:space="preserve"> o una naturaleza diferente</w:t>
      </w:r>
      <w:r w:rsidRPr="00F1452F">
        <w:rPr>
          <w:rStyle w:val="Refdenotaalpie"/>
          <w:rFonts w:ascii="Times New Roman" w:hAnsi="Times New Roman"/>
          <w:color w:val="282425"/>
          <w:sz w:val="24"/>
          <w:szCs w:val="24"/>
          <w:lang w:val="es-ES"/>
        </w:rPr>
        <w:footnoteReference w:id="63"/>
      </w:r>
      <w:r w:rsidR="00783027" w:rsidRPr="00F1452F">
        <w:rPr>
          <w:rFonts w:ascii="Times New Roman" w:hAnsi="Times New Roman"/>
          <w:color w:val="282425"/>
          <w:sz w:val="24"/>
          <w:szCs w:val="24"/>
          <w:lang w:val="es-ES"/>
        </w:rPr>
        <w:t>.</w:t>
      </w:r>
      <w:r w:rsidRPr="00F1452F">
        <w:rPr>
          <w:rFonts w:ascii="Times New Roman" w:hAnsi="Times New Roman"/>
          <w:color w:val="282425"/>
          <w:sz w:val="24"/>
          <w:szCs w:val="24"/>
          <w:lang w:val="es-ES"/>
        </w:rPr>
        <w:t xml:space="preserve"> </w:t>
      </w:r>
      <w:r w:rsidR="00334F27" w:rsidRPr="00F1452F">
        <w:rPr>
          <w:rFonts w:ascii="Times New Roman" w:hAnsi="Times New Roman"/>
          <w:color w:val="282425"/>
          <w:sz w:val="24"/>
          <w:szCs w:val="24"/>
          <w:lang w:val="es-ES"/>
        </w:rPr>
        <w:t>También s</w:t>
      </w:r>
      <w:r w:rsidRPr="00F1452F">
        <w:rPr>
          <w:rFonts w:ascii="Times New Roman" w:hAnsi="Times New Roman"/>
          <w:color w:val="282425"/>
          <w:sz w:val="24"/>
          <w:szCs w:val="24"/>
          <w:lang w:val="es-ES"/>
        </w:rPr>
        <w:t>e alude a</w:t>
      </w:r>
      <w:r w:rsidR="00334F27" w:rsidRPr="00F1452F">
        <w:rPr>
          <w:rFonts w:ascii="Times New Roman" w:hAnsi="Times New Roman"/>
          <w:color w:val="282425"/>
          <w:sz w:val="24"/>
          <w:szCs w:val="24"/>
          <w:lang w:val="es-ES"/>
        </w:rPr>
        <w:t xml:space="preserve"> su</w:t>
      </w:r>
      <w:r w:rsidR="00065D71" w:rsidRPr="00F1452F">
        <w:rPr>
          <w:rFonts w:ascii="Times New Roman" w:hAnsi="Times New Roman"/>
          <w:color w:val="282425"/>
          <w:sz w:val="24"/>
          <w:szCs w:val="24"/>
          <w:lang w:val="es-ES"/>
        </w:rPr>
        <w:t xml:space="preserve"> doble dimensión individual y colectiva,</w:t>
      </w:r>
      <w:r w:rsidRPr="00F1452F">
        <w:rPr>
          <w:rFonts w:ascii="Times New Roman" w:hAnsi="Times New Roman"/>
          <w:color w:val="282425"/>
          <w:sz w:val="24"/>
          <w:szCs w:val="24"/>
          <w:lang w:val="es-ES"/>
        </w:rPr>
        <w:t xml:space="preserve"> que en puridad es una característica</w:t>
      </w:r>
      <w:r w:rsidR="00065D71" w:rsidRPr="00F1452F">
        <w:rPr>
          <w:rFonts w:ascii="Times New Roman" w:hAnsi="Times New Roman"/>
          <w:color w:val="282425"/>
          <w:sz w:val="24"/>
          <w:szCs w:val="24"/>
          <w:lang w:val="es-ES"/>
        </w:rPr>
        <w:t xml:space="preserve"> predicable de todos los derechos fundamentales</w:t>
      </w:r>
      <w:r w:rsidRPr="00F1452F">
        <w:rPr>
          <w:rFonts w:ascii="Times New Roman" w:hAnsi="Times New Roman"/>
          <w:color w:val="282425"/>
          <w:sz w:val="24"/>
          <w:szCs w:val="24"/>
          <w:lang w:val="es-ES"/>
        </w:rPr>
        <w:t xml:space="preserve"> en cuanto que elementos estructurales de</w:t>
      </w:r>
      <w:r w:rsidR="00334F27" w:rsidRPr="00F1452F">
        <w:rPr>
          <w:rFonts w:ascii="Times New Roman" w:hAnsi="Times New Roman"/>
          <w:color w:val="282425"/>
          <w:sz w:val="24"/>
          <w:szCs w:val="24"/>
          <w:lang w:val="es-ES"/>
        </w:rPr>
        <w:t>l ordenamiento jurídico y del sistema político</w:t>
      </w:r>
      <w:r w:rsidRPr="00F1452F">
        <w:rPr>
          <w:rFonts w:ascii="Times New Roman" w:hAnsi="Times New Roman"/>
          <w:color w:val="282425"/>
          <w:sz w:val="24"/>
          <w:szCs w:val="24"/>
          <w:lang w:val="es-ES"/>
        </w:rPr>
        <w:t>. Y también se apela al reconocimiento que</w:t>
      </w:r>
      <w:r w:rsidR="00334F27" w:rsidRPr="00F1452F">
        <w:rPr>
          <w:rFonts w:ascii="Times New Roman" w:hAnsi="Times New Roman"/>
          <w:color w:val="282425"/>
          <w:sz w:val="24"/>
          <w:szCs w:val="24"/>
          <w:lang w:val="es-ES"/>
        </w:rPr>
        <w:t xml:space="preserve"> en tal sentido</w:t>
      </w:r>
      <w:r w:rsidRPr="00F1452F">
        <w:rPr>
          <w:rFonts w:ascii="Times New Roman" w:hAnsi="Times New Roman"/>
          <w:color w:val="282425"/>
          <w:sz w:val="24"/>
          <w:szCs w:val="24"/>
          <w:lang w:val="es-ES"/>
        </w:rPr>
        <w:t xml:space="preserve"> varios tribunales nacionales han realizado, lo que a todas luces no es un argumento si no se razona por qué</w:t>
      </w:r>
      <w:r w:rsidR="00DC0F23" w:rsidRPr="00F1452F">
        <w:rPr>
          <w:rStyle w:val="Refdenotaalpie"/>
          <w:rFonts w:ascii="Times New Roman" w:hAnsi="Times New Roman"/>
          <w:color w:val="282425"/>
          <w:sz w:val="24"/>
          <w:szCs w:val="24"/>
          <w:lang w:val="es-ES"/>
        </w:rPr>
        <w:footnoteReference w:id="64"/>
      </w:r>
      <w:r w:rsidRPr="00F1452F">
        <w:rPr>
          <w:rFonts w:ascii="Times New Roman" w:hAnsi="Times New Roman"/>
          <w:color w:val="282425"/>
          <w:sz w:val="24"/>
          <w:szCs w:val="24"/>
          <w:lang w:val="es-ES"/>
        </w:rPr>
        <w:t>.</w:t>
      </w:r>
    </w:p>
    <w:p w:rsidR="00741402" w:rsidRPr="00507C43" w:rsidRDefault="00741402" w:rsidP="00507C43">
      <w:pPr>
        <w:autoSpaceDE w:val="0"/>
        <w:autoSpaceDN w:val="0"/>
        <w:adjustRightInd w:val="0"/>
        <w:spacing w:after="0" w:line="240" w:lineRule="auto"/>
        <w:jc w:val="both"/>
        <w:rPr>
          <w:rFonts w:ascii="Times New Roman" w:hAnsi="Times New Roman"/>
          <w:color w:val="282425"/>
          <w:sz w:val="24"/>
          <w:szCs w:val="24"/>
          <w:lang w:val="es-ES"/>
        </w:rPr>
      </w:pPr>
    </w:p>
    <w:p w:rsidR="003B6771" w:rsidRPr="00507C43" w:rsidRDefault="00334F27" w:rsidP="00507C43">
      <w:pPr>
        <w:autoSpaceDE w:val="0"/>
        <w:autoSpaceDN w:val="0"/>
        <w:adjustRightInd w:val="0"/>
        <w:spacing w:after="0" w:line="240" w:lineRule="auto"/>
        <w:jc w:val="both"/>
        <w:rPr>
          <w:rFonts w:ascii="Times New Roman" w:hAnsi="Times New Roman"/>
          <w:sz w:val="24"/>
          <w:szCs w:val="24"/>
          <w:lang w:val="es-ES"/>
        </w:rPr>
      </w:pPr>
      <w:r>
        <w:rPr>
          <w:rFonts w:ascii="Times New Roman" w:hAnsi="Times New Roman"/>
          <w:color w:val="282425"/>
          <w:sz w:val="24"/>
          <w:szCs w:val="24"/>
          <w:lang w:val="es-ES"/>
        </w:rPr>
        <w:t>Un</w:t>
      </w:r>
      <w:r w:rsidR="003D2193" w:rsidRPr="00507C43">
        <w:rPr>
          <w:rFonts w:ascii="Times New Roman" w:hAnsi="Times New Roman"/>
          <w:color w:val="282425"/>
          <w:sz w:val="24"/>
          <w:szCs w:val="24"/>
          <w:lang w:val="es-ES"/>
        </w:rPr>
        <w:t xml:space="preserve"> argumento</w:t>
      </w:r>
      <w:r>
        <w:rPr>
          <w:rFonts w:ascii="Times New Roman" w:hAnsi="Times New Roman"/>
          <w:color w:val="282425"/>
          <w:sz w:val="24"/>
          <w:szCs w:val="24"/>
          <w:lang w:val="es-ES"/>
        </w:rPr>
        <w:t xml:space="preserve"> de peso</w:t>
      </w:r>
      <w:r w:rsidR="003D2193" w:rsidRPr="00507C43">
        <w:rPr>
          <w:rFonts w:ascii="Times New Roman" w:hAnsi="Times New Roman"/>
          <w:color w:val="282425"/>
          <w:sz w:val="24"/>
          <w:szCs w:val="24"/>
          <w:lang w:val="es-ES"/>
        </w:rPr>
        <w:t xml:space="preserve"> para sostener el carácter distinto de este derecho, y por ende su autonomía, podría ser que los legitimados para invocarlos no fueran solo las víctimas, sus familiares o allegados sino la sociedad en general, que es precisamente lo que solicita el relator especial de Naciones Unidas en el caso </w:t>
      </w:r>
      <w:r w:rsidR="00C67F1F" w:rsidRPr="00507C43">
        <w:rPr>
          <w:rFonts w:ascii="Times New Roman" w:hAnsi="Times New Roman"/>
          <w:sz w:val="24"/>
          <w:szCs w:val="24"/>
          <w:lang w:val="es-ES"/>
        </w:rPr>
        <w:t xml:space="preserve">caso </w:t>
      </w:r>
      <w:r w:rsidR="00EE496C" w:rsidRPr="00EE496C">
        <w:rPr>
          <w:rFonts w:ascii="Times New Roman" w:hAnsi="Times New Roman"/>
          <w:i/>
          <w:sz w:val="24"/>
          <w:szCs w:val="24"/>
          <w:lang w:val="es-ES"/>
        </w:rPr>
        <w:t xml:space="preserve">Al </w:t>
      </w:r>
      <w:r w:rsidR="00C67F1F" w:rsidRPr="00507C43">
        <w:rPr>
          <w:rFonts w:ascii="Times New Roman" w:hAnsi="Times New Roman"/>
          <w:i/>
          <w:sz w:val="24"/>
          <w:szCs w:val="24"/>
          <w:lang w:val="es-ES"/>
        </w:rPr>
        <w:t>Nashiri c. Polonia</w:t>
      </w:r>
      <w:r w:rsidR="003D2193" w:rsidRPr="00507C43">
        <w:rPr>
          <w:rFonts w:ascii="Times New Roman" w:hAnsi="Times New Roman"/>
          <w:sz w:val="24"/>
          <w:szCs w:val="24"/>
          <w:lang w:val="es-ES"/>
        </w:rPr>
        <w:t xml:space="preserve">: </w:t>
      </w:r>
      <w:r>
        <w:rPr>
          <w:rFonts w:ascii="Times New Roman" w:hAnsi="Times New Roman"/>
          <w:sz w:val="24"/>
          <w:szCs w:val="24"/>
          <w:lang w:val="es-ES"/>
        </w:rPr>
        <w:t>“</w:t>
      </w:r>
      <w:r w:rsidR="00C67F1F" w:rsidRPr="00507C43">
        <w:rPr>
          <w:rFonts w:ascii="Times New Roman" w:hAnsi="Times New Roman"/>
          <w:sz w:val="24"/>
          <w:szCs w:val="24"/>
          <w:lang w:val="es-ES"/>
        </w:rPr>
        <w:t>reconocido que en casos de violaciones graves o sistemáticas de los derechos humanos el derecho a la verdad también pertenece a la sociedad en general, cualquier persona con un interés legítimo habría de poder invocarlo</w:t>
      </w:r>
      <w:r>
        <w:rPr>
          <w:rFonts w:ascii="Times New Roman" w:hAnsi="Times New Roman"/>
          <w:sz w:val="24"/>
          <w:szCs w:val="24"/>
          <w:lang w:val="es-ES"/>
        </w:rPr>
        <w:t>”. Y advierte:</w:t>
      </w:r>
      <w:r w:rsidR="006A0D09" w:rsidRPr="00507C43">
        <w:rPr>
          <w:rFonts w:ascii="Times New Roman" w:hAnsi="Times New Roman"/>
          <w:sz w:val="24"/>
          <w:szCs w:val="24"/>
          <w:lang w:val="es-ES"/>
        </w:rPr>
        <w:t xml:space="preserve"> “s</w:t>
      </w:r>
      <w:r w:rsidR="003B6771" w:rsidRPr="00507C43">
        <w:rPr>
          <w:rFonts w:ascii="Times New Roman" w:hAnsi="Times New Roman"/>
          <w:sz w:val="24"/>
          <w:szCs w:val="24"/>
          <w:lang w:val="es-ES"/>
        </w:rPr>
        <w:t xml:space="preserve">i la titularidad del derecho se atribuye exclusivamente a la persona </w:t>
      </w:r>
      <w:r w:rsidR="003B6771" w:rsidRPr="00507C43">
        <w:rPr>
          <w:rFonts w:ascii="Times New Roman" w:hAnsi="Times New Roman"/>
          <w:sz w:val="24"/>
          <w:szCs w:val="24"/>
          <w:lang w:val="es-ES"/>
        </w:rPr>
        <w:lastRenderedPageBreak/>
        <w:t>que ha sufrido las lesiones o a sus representantes, la revelación de estos crímenes dependerá de que ellos decidan invocarlo”</w:t>
      </w:r>
      <w:r w:rsidR="006A0D09" w:rsidRPr="00507C43">
        <w:rPr>
          <w:rFonts w:ascii="Times New Roman" w:hAnsi="Times New Roman"/>
          <w:sz w:val="24"/>
          <w:szCs w:val="24"/>
          <w:lang w:val="es-ES"/>
        </w:rPr>
        <w:t>. La s</w:t>
      </w:r>
      <w:r w:rsidR="003B6771" w:rsidRPr="00507C43">
        <w:rPr>
          <w:rFonts w:ascii="Times New Roman" w:hAnsi="Times New Roman"/>
          <w:sz w:val="24"/>
          <w:szCs w:val="24"/>
          <w:lang w:val="es-ES"/>
        </w:rPr>
        <w:t>entencia</w:t>
      </w:r>
      <w:r>
        <w:rPr>
          <w:rFonts w:ascii="Times New Roman" w:hAnsi="Times New Roman"/>
          <w:sz w:val="24"/>
          <w:szCs w:val="24"/>
          <w:lang w:val="es-ES"/>
        </w:rPr>
        <w:t>, empero,</w:t>
      </w:r>
      <w:r w:rsidR="006A0D09" w:rsidRPr="00507C43">
        <w:rPr>
          <w:rFonts w:ascii="Times New Roman" w:hAnsi="Times New Roman"/>
          <w:sz w:val="24"/>
          <w:szCs w:val="24"/>
          <w:lang w:val="es-ES"/>
        </w:rPr>
        <w:t xml:space="preserve"> no </w:t>
      </w:r>
      <w:r>
        <w:rPr>
          <w:rFonts w:ascii="Times New Roman" w:hAnsi="Times New Roman"/>
          <w:sz w:val="24"/>
          <w:szCs w:val="24"/>
          <w:lang w:val="es-ES"/>
        </w:rPr>
        <w:t>abordó</w:t>
      </w:r>
      <w:r w:rsidR="006A0D09" w:rsidRPr="00507C43">
        <w:rPr>
          <w:rFonts w:ascii="Times New Roman" w:hAnsi="Times New Roman"/>
          <w:sz w:val="24"/>
          <w:szCs w:val="24"/>
          <w:lang w:val="es-ES"/>
        </w:rPr>
        <w:t xml:space="preserve"> la cuestión planteada</w:t>
      </w:r>
      <w:r w:rsidRPr="00507C43">
        <w:rPr>
          <w:rStyle w:val="Refdenotaalpie"/>
          <w:rFonts w:ascii="Times New Roman" w:hAnsi="Times New Roman"/>
          <w:sz w:val="24"/>
          <w:szCs w:val="24"/>
          <w:lang w:val="es-ES"/>
        </w:rPr>
        <w:footnoteReference w:id="65"/>
      </w:r>
      <w:r w:rsidR="00D2287A" w:rsidRPr="00507C43">
        <w:rPr>
          <w:rFonts w:ascii="Times New Roman" w:hAnsi="Times New Roman"/>
          <w:sz w:val="24"/>
          <w:szCs w:val="24"/>
          <w:lang w:val="es-ES"/>
        </w:rPr>
        <w:t>.</w:t>
      </w:r>
    </w:p>
    <w:p w:rsidR="003D2193" w:rsidRPr="00507C43" w:rsidRDefault="003D2193" w:rsidP="00507C43">
      <w:pPr>
        <w:autoSpaceDE w:val="0"/>
        <w:autoSpaceDN w:val="0"/>
        <w:adjustRightInd w:val="0"/>
        <w:spacing w:after="0" w:line="240" w:lineRule="auto"/>
        <w:jc w:val="both"/>
        <w:rPr>
          <w:rFonts w:ascii="Times New Roman" w:hAnsi="Times New Roman"/>
          <w:color w:val="282425"/>
          <w:sz w:val="24"/>
          <w:szCs w:val="24"/>
          <w:lang w:val="es-ES"/>
        </w:rPr>
      </w:pPr>
    </w:p>
    <w:p w:rsidR="00900CA4" w:rsidRDefault="00423061" w:rsidP="00507C43">
      <w:pPr>
        <w:spacing w:line="240" w:lineRule="auto"/>
        <w:jc w:val="both"/>
        <w:rPr>
          <w:rFonts w:ascii="Times New Roman" w:hAnsi="Times New Roman"/>
          <w:sz w:val="24"/>
          <w:szCs w:val="24"/>
          <w:lang w:val="es-ES"/>
        </w:rPr>
      </w:pPr>
      <w:r w:rsidRPr="00750265">
        <w:rPr>
          <w:rFonts w:ascii="Times New Roman" w:hAnsi="Times New Roman"/>
          <w:sz w:val="24"/>
          <w:szCs w:val="24"/>
          <w:lang w:val="es-ES"/>
        </w:rPr>
        <w:t>Por lo que a la doctrina científica se refiere, algunos autores, cada vez más, se posicionan a favor de la consideración del derecho a la verdad como un derecho autonómo</w:t>
      </w:r>
      <w:r w:rsidRPr="00750265">
        <w:rPr>
          <w:rStyle w:val="Refdenotaalpie"/>
          <w:rFonts w:ascii="Times New Roman" w:hAnsi="Times New Roman"/>
          <w:sz w:val="24"/>
          <w:szCs w:val="24"/>
          <w:lang w:val="es-ES"/>
        </w:rPr>
        <w:footnoteReference w:id="66"/>
      </w:r>
      <w:r w:rsidRPr="00750265">
        <w:rPr>
          <w:rFonts w:ascii="Times New Roman" w:hAnsi="Times New Roman"/>
          <w:sz w:val="24"/>
          <w:szCs w:val="24"/>
          <w:lang w:val="es-ES"/>
        </w:rPr>
        <w:t xml:space="preserve">, mientras que otros </w:t>
      </w:r>
      <w:r w:rsidR="00900CA4" w:rsidRPr="00750265">
        <w:rPr>
          <w:rFonts w:ascii="Times New Roman" w:hAnsi="Times New Roman"/>
          <w:sz w:val="24"/>
          <w:szCs w:val="24"/>
          <w:lang w:val="es-ES"/>
        </w:rPr>
        <w:t>defienden que todas las facultades que se derivarían de este hipotético derecho ya están reconocidas en el ordenamiento, por lo que no es necesario ni correcto hablar de un nuevo derecho humano</w:t>
      </w:r>
      <w:r w:rsidR="00900CA4" w:rsidRPr="00750265">
        <w:rPr>
          <w:rStyle w:val="Refdenotaalpie"/>
          <w:rFonts w:ascii="Times New Roman" w:hAnsi="Times New Roman"/>
          <w:sz w:val="24"/>
          <w:szCs w:val="24"/>
          <w:lang w:val="es-ES"/>
        </w:rPr>
        <w:footnoteReference w:id="67"/>
      </w:r>
      <w:r w:rsidR="00900CA4" w:rsidRPr="00750265">
        <w:rPr>
          <w:rFonts w:ascii="Times New Roman" w:hAnsi="Times New Roman"/>
          <w:sz w:val="24"/>
          <w:szCs w:val="24"/>
          <w:lang w:val="es-ES"/>
        </w:rPr>
        <w:t>.</w:t>
      </w:r>
    </w:p>
    <w:p w:rsidR="00293D3D" w:rsidRPr="00507C43" w:rsidRDefault="00423061" w:rsidP="00507C43">
      <w:pPr>
        <w:spacing w:line="240" w:lineRule="auto"/>
        <w:jc w:val="both"/>
        <w:rPr>
          <w:rFonts w:ascii="Times New Roman" w:hAnsi="Times New Roman"/>
          <w:color w:val="282425"/>
          <w:sz w:val="24"/>
          <w:szCs w:val="24"/>
          <w:lang w:val="es-ES"/>
        </w:rPr>
      </w:pPr>
      <w:r>
        <w:rPr>
          <w:rFonts w:ascii="Times New Roman" w:hAnsi="Times New Roman"/>
          <w:color w:val="282425"/>
          <w:sz w:val="24"/>
          <w:szCs w:val="24"/>
          <w:lang w:val="es-ES"/>
        </w:rPr>
        <w:t>Quien suscribe se ha posicionado a favor de esta segunda tesis</w:t>
      </w:r>
      <w:r w:rsidR="00293D3D" w:rsidRPr="00507C43">
        <w:rPr>
          <w:rFonts w:ascii="Times New Roman" w:hAnsi="Times New Roman"/>
          <w:color w:val="282425"/>
          <w:sz w:val="24"/>
          <w:szCs w:val="24"/>
          <w:lang w:val="es-ES"/>
        </w:rPr>
        <w:t>: si el Convenio ya reconoce</w:t>
      </w:r>
      <w:r>
        <w:rPr>
          <w:rFonts w:ascii="Times New Roman" w:hAnsi="Times New Roman"/>
          <w:color w:val="282425"/>
          <w:sz w:val="24"/>
          <w:szCs w:val="24"/>
          <w:lang w:val="es-ES"/>
        </w:rPr>
        <w:t xml:space="preserve"> el derecho a que</w:t>
      </w:r>
      <w:r w:rsidR="00293D3D" w:rsidRPr="00507C43">
        <w:rPr>
          <w:rFonts w:ascii="Times New Roman" w:hAnsi="Times New Roman"/>
          <w:color w:val="282425"/>
          <w:sz w:val="24"/>
          <w:szCs w:val="24"/>
          <w:lang w:val="es-ES"/>
        </w:rPr>
        <w:t xml:space="preserve"> la acción criminal sea investigada, </w:t>
      </w:r>
      <w:r>
        <w:rPr>
          <w:rFonts w:ascii="Times New Roman" w:hAnsi="Times New Roman"/>
          <w:color w:val="282425"/>
          <w:sz w:val="24"/>
          <w:szCs w:val="24"/>
          <w:lang w:val="es-ES"/>
        </w:rPr>
        <w:t xml:space="preserve"> </w:t>
      </w:r>
      <w:r w:rsidR="00293D3D" w:rsidRPr="00507C43">
        <w:rPr>
          <w:rFonts w:ascii="Times New Roman" w:hAnsi="Times New Roman"/>
          <w:color w:val="282425"/>
          <w:sz w:val="24"/>
          <w:szCs w:val="24"/>
          <w:lang w:val="es-ES"/>
        </w:rPr>
        <w:t>los responsables</w:t>
      </w:r>
      <w:r w:rsidR="00900CA4">
        <w:rPr>
          <w:rFonts w:ascii="Times New Roman" w:hAnsi="Times New Roman"/>
          <w:color w:val="282425"/>
          <w:sz w:val="24"/>
          <w:szCs w:val="24"/>
          <w:lang w:val="es-ES"/>
        </w:rPr>
        <w:t>,</w:t>
      </w:r>
      <w:r w:rsidR="00293D3D" w:rsidRPr="00507C43">
        <w:rPr>
          <w:rFonts w:ascii="Times New Roman" w:hAnsi="Times New Roman"/>
          <w:color w:val="282425"/>
          <w:sz w:val="24"/>
          <w:szCs w:val="24"/>
          <w:lang w:val="es-ES"/>
        </w:rPr>
        <w:t xml:space="preserve"> procesados y, en su caso</w:t>
      </w:r>
      <w:r>
        <w:rPr>
          <w:rFonts w:ascii="Times New Roman" w:hAnsi="Times New Roman"/>
          <w:color w:val="282425"/>
          <w:sz w:val="24"/>
          <w:szCs w:val="24"/>
          <w:lang w:val="es-ES"/>
        </w:rPr>
        <w:t>,</w:t>
      </w:r>
      <w:r w:rsidR="00293D3D" w:rsidRPr="00507C43">
        <w:rPr>
          <w:rFonts w:ascii="Times New Roman" w:hAnsi="Times New Roman"/>
          <w:color w:val="282425"/>
          <w:sz w:val="24"/>
          <w:szCs w:val="24"/>
          <w:lang w:val="es-ES"/>
        </w:rPr>
        <w:t xml:space="preserve"> condenados con penas ajustadas a la gravedad del delito cometido</w:t>
      </w:r>
      <w:r>
        <w:rPr>
          <w:rFonts w:ascii="Times New Roman" w:hAnsi="Times New Roman"/>
          <w:color w:val="282425"/>
          <w:sz w:val="24"/>
          <w:szCs w:val="24"/>
          <w:lang w:val="es-ES"/>
        </w:rPr>
        <w:t>, y las víctimas sean reconocidas como tales y en la medida de las posibilidades compensadas</w:t>
      </w:r>
      <w:r w:rsidR="00293D3D" w:rsidRPr="00507C43">
        <w:rPr>
          <w:rFonts w:ascii="Times New Roman" w:hAnsi="Times New Roman"/>
          <w:color w:val="282425"/>
          <w:sz w:val="24"/>
          <w:szCs w:val="24"/>
          <w:lang w:val="es-ES"/>
        </w:rPr>
        <w:t>, hablar de un “derecho a la verdad” resulta redundante</w:t>
      </w:r>
      <w:r>
        <w:rPr>
          <w:rStyle w:val="Refdenotaalpie"/>
          <w:rFonts w:ascii="Times New Roman" w:hAnsi="Times New Roman"/>
          <w:color w:val="282425"/>
          <w:sz w:val="24"/>
          <w:szCs w:val="24"/>
          <w:lang w:val="es-ES"/>
        </w:rPr>
        <w:footnoteReference w:id="68"/>
      </w:r>
      <w:r w:rsidR="00293D3D" w:rsidRPr="00507C43">
        <w:rPr>
          <w:rFonts w:ascii="Times New Roman" w:hAnsi="Times New Roman"/>
          <w:color w:val="282425"/>
          <w:sz w:val="24"/>
          <w:szCs w:val="24"/>
          <w:lang w:val="es-ES"/>
        </w:rPr>
        <w:t>.</w:t>
      </w:r>
    </w:p>
    <w:p w:rsidR="00E440C0" w:rsidRDefault="00E440C0" w:rsidP="00507C43">
      <w:pPr>
        <w:spacing w:line="240" w:lineRule="auto"/>
        <w:jc w:val="both"/>
        <w:rPr>
          <w:rFonts w:ascii="Times New Roman" w:hAnsi="Times New Roman"/>
          <w:color w:val="282425"/>
          <w:sz w:val="24"/>
          <w:szCs w:val="24"/>
          <w:lang w:val="es-ES"/>
        </w:rPr>
      </w:pPr>
      <w:r>
        <w:rPr>
          <w:rFonts w:ascii="Times New Roman" w:hAnsi="Times New Roman"/>
          <w:color w:val="282425"/>
          <w:sz w:val="24"/>
          <w:szCs w:val="24"/>
          <w:lang w:val="es-ES"/>
        </w:rPr>
        <w:t>Es cierto que tanto el TEDH como la Corte Interamericana han reconocido el derecho que el pueblo tiene a conocer la verdad sobre las violaciones de los derechos humanos perpetradas en el pasado, pero como ya hemos comentado, tal reconocimiento no se ha traducido en una extensión de la legitimidad procesal, que sigue estando en manos de las víctimas, familiares y allegados, razón por la cual, en este ámbio del derecho a un recurso y a las garantías judiciales</w:t>
      </w:r>
      <w:r w:rsidR="00900CA4">
        <w:rPr>
          <w:rFonts w:ascii="Times New Roman" w:hAnsi="Times New Roman"/>
          <w:color w:val="282425"/>
          <w:sz w:val="24"/>
          <w:szCs w:val="24"/>
          <w:lang w:val="es-ES"/>
        </w:rPr>
        <w:t>,</w:t>
      </w:r>
      <w:r>
        <w:rPr>
          <w:rFonts w:ascii="Times New Roman" w:hAnsi="Times New Roman"/>
          <w:color w:val="282425"/>
          <w:sz w:val="24"/>
          <w:szCs w:val="24"/>
          <w:lang w:val="es-ES"/>
        </w:rPr>
        <w:t xml:space="preserve"> no somos capaces de advertir una diferencia entre los derechos ya consagrados y este </w:t>
      </w:r>
      <w:r w:rsidR="00900CA4">
        <w:rPr>
          <w:rFonts w:ascii="Times New Roman" w:hAnsi="Times New Roman"/>
          <w:color w:val="282425"/>
          <w:sz w:val="24"/>
          <w:szCs w:val="24"/>
          <w:lang w:val="es-ES"/>
        </w:rPr>
        <w:t xml:space="preserve">nuevo </w:t>
      </w:r>
      <w:r>
        <w:rPr>
          <w:rFonts w:ascii="Times New Roman" w:hAnsi="Times New Roman"/>
          <w:color w:val="282425"/>
          <w:sz w:val="24"/>
          <w:szCs w:val="24"/>
          <w:lang w:val="es-ES"/>
        </w:rPr>
        <w:t>hipotético derecho.</w:t>
      </w:r>
    </w:p>
    <w:p w:rsidR="00E440C0" w:rsidRDefault="00900CA4" w:rsidP="00507C43">
      <w:pPr>
        <w:spacing w:line="240" w:lineRule="auto"/>
        <w:jc w:val="both"/>
        <w:rPr>
          <w:rFonts w:ascii="Times New Roman" w:hAnsi="Times New Roman"/>
          <w:color w:val="282425"/>
          <w:sz w:val="24"/>
          <w:szCs w:val="24"/>
          <w:lang w:val="es-ES"/>
        </w:rPr>
      </w:pPr>
      <w:r w:rsidRPr="00F37A4D">
        <w:rPr>
          <w:rFonts w:ascii="Times New Roman" w:hAnsi="Times New Roman"/>
          <w:color w:val="282425"/>
          <w:sz w:val="24"/>
          <w:szCs w:val="24"/>
          <w:lang w:val="es-ES"/>
        </w:rPr>
        <w:t>L</w:t>
      </w:r>
      <w:r w:rsidR="00E440C0" w:rsidRPr="00F37A4D">
        <w:rPr>
          <w:rFonts w:ascii="Times New Roman" w:hAnsi="Times New Roman"/>
          <w:color w:val="282425"/>
          <w:sz w:val="24"/>
          <w:szCs w:val="24"/>
          <w:lang w:val="es-ES"/>
        </w:rPr>
        <w:t xml:space="preserve">a Corte Interamericana defiende la autonomía del derecho a la verdad con el argumento de que, en función del contexto, su violación puede ser subsumida en varios derechos, no solo en los reconocidos en el artículo 8.1 y 25.1 de la Convención. A nuestro juicio, siendo esto cierto, de ello no se deriva que el derecho tenga una naturaleza </w:t>
      </w:r>
      <w:r w:rsidR="00571D3F" w:rsidRPr="00F37A4D">
        <w:rPr>
          <w:rFonts w:ascii="Times New Roman" w:hAnsi="Times New Roman"/>
          <w:color w:val="282425"/>
          <w:sz w:val="24"/>
          <w:szCs w:val="24"/>
          <w:lang w:val="es-ES"/>
        </w:rPr>
        <w:t>distinta. El ser -la naturaleza- no muta en función de las circunstancias. Lo que sucede, sencillamente, es que</w:t>
      </w:r>
      <w:r w:rsidR="00E236C1" w:rsidRPr="00F37A4D">
        <w:rPr>
          <w:rFonts w:ascii="Times New Roman" w:hAnsi="Times New Roman"/>
          <w:color w:val="282425"/>
          <w:sz w:val="24"/>
          <w:szCs w:val="24"/>
          <w:lang w:val="es-ES"/>
        </w:rPr>
        <w:t>,</w:t>
      </w:r>
      <w:r w:rsidR="00571D3F" w:rsidRPr="00F37A4D">
        <w:rPr>
          <w:rFonts w:ascii="Times New Roman" w:hAnsi="Times New Roman"/>
          <w:color w:val="282425"/>
          <w:sz w:val="24"/>
          <w:szCs w:val="24"/>
          <w:lang w:val="es-ES"/>
        </w:rPr>
        <w:t xml:space="preserve"> si la víctima pide justicia, es en el marco de este derecho en el que se examinará su derecho a que se esclarezcan los hechos y se depuren las resposabilidades que haya lugar; si lo que pide es que la verdad sobre las violaciones</w:t>
      </w:r>
      <w:r w:rsidRPr="00F37A4D">
        <w:rPr>
          <w:rFonts w:ascii="Times New Roman" w:hAnsi="Times New Roman"/>
          <w:color w:val="282425"/>
          <w:sz w:val="24"/>
          <w:szCs w:val="24"/>
          <w:lang w:val="es-ES"/>
        </w:rPr>
        <w:t xml:space="preserve"> perpetradas en el pasado pueda ser conocida</w:t>
      </w:r>
      <w:r w:rsidR="00571D3F" w:rsidRPr="00F37A4D">
        <w:rPr>
          <w:rFonts w:ascii="Times New Roman" w:hAnsi="Times New Roman"/>
          <w:color w:val="282425"/>
          <w:sz w:val="24"/>
          <w:szCs w:val="24"/>
          <w:lang w:val="es-ES"/>
        </w:rPr>
        <w:t>, estará ejerciendo el derecho a la libertad de información;</w:t>
      </w:r>
      <w:r w:rsidRPr="00F37A4D">
        <w:rPr>
          <w:rFonts w:ascii="Times New Roman" w:hAnsi="Times New Roman"/>
          <w:color w:val="282425"/>
          <w:sz w:val="24"/>
          <w:szCs w:val="24"/>
          <w:lang w:val="es-ES"/>
        </w:rPr>
        <w:t xml:space="preserve"> y</w:t>
      </w:r>
      <w:r w:rsidR="00571D3F" w:rsidRPr="00F37A4D">
        <w:rPr>
          <w:rFonts w:ascii="Times New Roman" w:hAnsi="Times New Roman"/>
          <w:color w:val="282425"/>
          <w:sz w:val="24"/>
          <w:szCs w:val="24"/>
          <w:lang w:val="es-ES"/>
        </w:rPr>
        <w:t xml:space="preserve"> si lo que solicita es acceso a documentación pública, será este derecho el que estará invocando.</w:t>
      </w:r>
      <w:r w:rsidR="00571D3F">
        <w:rPr>
          <w:rFonts w:ascii="Times New Roman" w:hAnsi="Times New Roman"/>
          <w:color w:val="282425"/>
          <w:sz w:val="24"/>
          <w:szCs w:val="24"/>
          <w:lang w:val="es-ES"/>
        </w:rPr>
        <w:t xml:space="preserve"> </w:t>
      </w:r>
      <w:r w:rsidR="00E440C0">
        <w:rPr>
          <w:rFonts w:ascii="Times New Roman" w:hAnsi="Times New Roman"/>
          <w:color w:val="282425"/>
          <w:sz w:val="24"/>
          <w:szCs w:val="24"/>
          <w:lang w:val="es-ES"/>
        </w:rPr>
        <w:t xml:space="preserve">  </w:t>
      </w:r>
    </w:p>
    <w:p w:rsidR="00491144" w:rsidRDefault="005A0A7A" w:rsidP="00507C43">
      <w:pPr>
        <w:spacing w:line="240" w:lineRule="auto"/>
        <w:jc w:val="both"/>
        <w:rPr>
          <w:rFonts w:ascii="Times New Roman" w:hAnsi="Times New Roman"/>
          <w:color w:val="282425"/>
          <w:sz w:val="24"/>
          <w:szCs w:val="24"/>
          <w:lang w:val="es-ES"/>
        </w:rPr>
      </w:pPr>
      <w:r>
        <w:rPr>
          <w:rFonts w:ascii="Times New Roman" w:hAnsi="Times New Roman"/>
          <w:color w:val="282425"/>
          <w:sz w:val="24"/>
          <w:szCs w:val="24"/>
          <w:lang w:val="es-ES"/>
        </w:rPr>
        <w:t xml:space="preserve">Otro argumento que se emplea a favor del carácter autónomo del derecho a la verdad es </w:t>
      </w:r>
      <w:r w:rsidR="00491144">
        <w:rPr>
          <w:rFonts w:ascii="Times New Roman" w:hAnsi="Times New Roman"/>
          <w:color w:val="282425"/>
          <w:sz w:val="24"/>
          <w:szCs w:val="24"/>
          <w:lang w:val="es-ES"/>
        </w:rPr>
        <w:t>la complejidad del mismo, entendida esta en el sentido de que se trata de un derecho que junto a los de justicia y reparación conforma un todo inescindible necesa</w:t>
      </w:r>
      <w:r w:rsidR="007B53DC">
        <w:rPr>
          <w:rFonts w:ascii="Times New Roman" w:hAnsi="Times New Roman"/>
          <w:color w:val="282425"/>
          <w:sz w:val="24"/>
          <w:szCs w:val="24"/>
          <w:lang w:val="es-ES"/>
        </w:rPr>
        <w:t>rio</w:t>
      </w:r>
      <w:r w:rsidR="00491144">
        <w:rPr>
          <w:rFonts w:ascii="Times New Roman" w:hAnsi="Times New Roman"/>
          <w:color w:val="282425"/>
          <w:sz w:val="24"/>
          <w:szCs w:val="24"/>
          <w:lang w:val="es-ES"/>
        </w:rPr>
        <w:t xml:space="preserve"> para evitar que esta clase de violaciones se puedan repetir en el futuro. La concepción del derecho a la verdad como garantía de no repetición lo identificaría como un derecho distinto a cualquier otro y en ese sentido, justifiaría su carácter autónomo.</w:t>
      </w:r>
      <w:r w:rsidR="004F3914">
        <w:rPr>
          <w:rFonts w:ascii="Times New Roman" w:hAnsi="Times New Roman"/>
          <w:color w:val="282425"/>
          <w:sz w:val="24"/>
          <w:szCs w:val="24"/>
          <w:lang w:val="es-ES"/>
        </w:rPr>
        <w:t xml:space="preserve"> </w:t>
      </w:r>
      <w:r w:rsidR="007B53DC">
        <w:rPr>
          <w:rFonts w:ascii="Times New Roman" w:hAnsi="Times New Roman"/>
          <w:color w:val="282425"/>
          <w:sz w:val="24"/>
          <w:szCs w:val="24"/>
          <w:lang w:val="es-ES"/>
        </w:rPr>
        <w:t>A nuestro juicio, sin embargo, este argumento no permite</w:t>
      </w:r>
      <w:r w:rsidR="004F3914">
        <w:rPr>
          <w:rFonts w:ascii="Times New Roman" w:hAnsi="Times New Roman"/>
          <w:color w:val="282425"/>
          <w:sz w:val="24"/>
          <w:szCs w:val="24"/>
          <w:lang w:val="es-ES"/>
        </w:rPr>
        <w:t xml:space="preserve"> diferenciar el derecho a la verdad del derecho de acceso a los tribunales,</w:t>
      </w:r>
      <w:r w:rsidR="007412DA">
        <w:rPr>
          <w:rFonts w:ascii="Times New Roman" w:hAnsi="Times New Roman"/>
          <w:color w:val="282425"/>
          <w:sz w:val="24"/>
          <w:szCs w:val="24"/>
          <w:lang w:val="es-ES"/>
        </w:rPr>
        <w:t xml:space="preserve"> del que se </w:t>
      </w:r>
      <w:r w:rsidR="007412DA">
        <w:rPr>
          <w:rFonts w:ascii="Times New Roman" w:hAnsi="Times New Roman"/>
          <w:color w:val="282425"/>
          <w:sz w:val="24"/>
          <w:szCs w:val="24"/>
          <w:lang w:val="es-ES"/>
        </w:rPr>
        <w:lastRenderedPageBreak/>
        <w:t>puede predicar todas las características anteriores. Distinto sería si ese espacio de denuncia estuviera en manos de cualquier persona que invocara un interés legítimo, pero como ya hemos visto, la Convención Internacional y todos los tribunales internacionales de derechos humanos residencian la legitimidad procesal, y, por ende, la titularidad del derecho, exclusivamente en la víctima, familiares y allegados.</w:t>
      </w:r>
    </w:p>
    <w:p w:rsidR="006F2364" w:rsidRPr="00507C43" w:rsidRDefault="006F2364" w:rsidP="00507C43">
      <w:pPr>
        <w:autoSpaceDE w:val="0"/>
        <w:autoSpaceDN w:val="0"/>
        <w:adjustRightInd w:val="0"/>
        <w:spacing w:after="0" w:line="240" w:lineRule="auto"/>
        <w:jc w:val="both"/>
        <w:rPr>
          <w:rFonts w:ascii="Times New Roman" w:hAnsi="Times New Roman"/>
          <w:color w:val="282425"/>
          <w:sz w:val="24"/>
          <w:szCs w:val="24"/>
          <w:lang w:val="es-ES"/>
        </w:rPr>
      </w:pPr>
    </w:p>
    <w:p w:rsidR="00D31AD5" w:rsidRPr="00507C43" w:rsidRDefault="00B12B04" w:rsidP="00507C43">
      <w:pPr>
        <w:pStyle w:val="Textonotapie"/>
        <w:jc w:val="both"/>
        <w:rPr>
          <w:rFonts w:ascii="Times New Roman" w:hAnsi="Times New Roman"/>
          <w:b/>
          <w:sz w:val="24"/>
          <w:szCs w:val="24"/>
          <w:lang w:val="es-ES"/>
        </w:rPr>
      </w:pPr>
      <w:r w:rsidRPr="00507C43">
        <w:rPr>
          <w:rFonts w:ascii="Times New Roman" w:hAnsi="Times New Roman"/>
          <w:b/>
          <w:sz w:val="24"/>
          <w:szCs w:val="24"/>
          <w:lang w:val="es-ES"/>
        </w:rPr>
        <w:t xml:space="preserve">2. EN RELACIÓN CON </w:t>
      </w:r>
      <w:r w:rsidR="00705B42">
        <w:rPr>
          <w:rFonts w:ascii="Times New Roman" w:hAnsi="Times New Roman"/>
          <w:b/>
          <w:sz w:val="24"/>
          <w:szCs w:val="24"/>
          <w:lang w:val="es-ES"/>
        </w:rPr>
        <w:t>EL DERECHO A LA LIBERTAD DE BUSCAR, RECIBIR Y DIFUNDIR INFORMACIÓN</w:t>
      </w:r>
    </w:p>
    <w:p w:rsidR="00AE4A67" w:rsidRPr="00507C43" w:rsidRDefault="00AE4A67" w:rsidP="00507C43">
      <w:pPr>
        <w:spacing w:after="0" w:line="240" w:lineRule="auto"/>
        <w:jc w:val="both"/>
        <w:rPr>
          <w:rFonts w:ascii="Times New Roman" w:hAnsi="Times New Roman"/>
          <w:b/>
          <w:sz w:val="24"/>
          <w:szCs w:val="24"/>
          <w:lang w:val="es-ES"/>
        </w:rPr>
      </w:pPr>
    </w:p>
    <w:p w:rsidR="004B639F" w:rsidRPr="00CB58AD" w:rsidRDefault="004B639F" w:rsidP="004B639F">
      <w:pPr>
        <w:pStyle w:val="Textonotapie"/>
        <w:jc w:val="both"/>
        <w:rPr>
          <w:rFonts w:ascii="Times New Roman" w:eastAsia="Times New Roman" w:hAnsi="Times New Roman"/>
          <w:sz w:val="24"/>
          <w:szCs w:val="24"/>
          <w:lang w:val="es-ES"/>
        </w:rPr>
      </w:pPr>
      <w:r w:rsidRPr="00CB58AD">
        <w:rPr>
          <w:rFonts w:ascii="Times New Roman" w:eastAsia="Times New Roman" w:hAnsi="Times New Roman"/>
          <w:sz w:val="24"/>
          <w:szCs w:val="24"/>
          <w:lang w:val="es-ES"/>
        </w:rPr>
        <w:t>El acceso a la información que obra en poder de las autoridades competentes es de una relevancia que no es necesario justificar cuando se trata de denunciar una desaparición forzada. En el epígrafe anterior hemos visto cómo la práctica forense demuestra que en esto casos el demandado (el Estado) no suele estar por la labor de proporcionar a las víctimas la documentación o las evidencias que</w:t>
      </w:r>
      <w:r w:rsidR="003C5478">
        <w:rPr>
          <w:rFonts w:ascii="Times New Roman" w:eastAsia="Times New Roman" w:hAnsi="Times New Roman"/>
          <w:sz w:val="24"/>
          <w:szCs w:val="24"/>
          <w:lang w:val="es-ES"/>
        </w:rPr>
        <w:t xml:space="preserve"> puedan incriminarle</w:t>
      </w:r>
      <w:r w:rsidRPr="00CB58AD">
        <w:rPr>
          <w:rFonts w:ascii="Times New Roman" w:eastAsia="Times New Roman" w:hAnsi="Times New Roman"/>
          <w:sz w:val="24"/>
          <w:szCs w:val="24"/>
          <w:lang w:val="es-ES"/>
        </w:rPr>
        <w:t xml:space="preserve">. </w:t>
      </w:r>
    </w:p>
    <w:p w:rsidR="004B639F" w:rsidRPr="00CB58AD" w:rsidRDefault="004B639F" w:rsidP="00507C43">
      <w:pPr>
        <w:pStyle w:val="Textonotapie"/>
        <w:jc w:val="both"/>
        <w:rPr>
          <w:rFonts w:ascii="Times New Roman" w:hAnsi="Times New Roman"/>
          <w:sz w:val="24"/>
          <w:szCs w:val="24"/>
          <w:lang w:val="es-ES"/>
        </w:rPr>
      </w:pPr>
    </w:p>
    <w:p w:rsidR="00CB58AD" w:rsidRDefault="004B639F" w:rsidP="00CB58AD">
      <w:pPr>
        <w:pStyle w:val="Textonotapie"/>
        <w:jc w:val="both"/>
        <w:rPr>
          <w:rFonts w:ascii="Times New Roman" w:hAnsi="Times New Roman"/>
          <w:sz w:val="24"/>
          <w:szCs w:val="24"/>
          <w:lang w:val="es-ES"/>
        </w:rPr>
      </w:pPr>
      <w:r w:rsidRPr="00CB58AD">
        <w:rPr>
          <w:rFonts w:ascii="Times New Roman" w:eastAsia="Times New Roman" w:hAnsi="Times New Roman"/>
          <w:sz w:val="24"/>
          <w:szCs w:val="24"/>
          <w:lang w:val="es-ES"/>
        </w:rPr>
        <w:t>Pero en otras ocasiones, el acceso a la información no se precisa para preparar una querella criminal sino con el afán de esclarecer unos hechos de indudable relevancia para la comunidad y darlos a conocer. En relación con esta dimensión del der</w:t>
      </w:r>
      <w:r w:rsidRPr="00507C43">
        <w:rPr>
          <w:rFonts w:ascii="Times New Roman" w:eastAsia="Times New Roman" w:hAnsi="Times New Roman"/>
          <w:sz w:val="24"/>
          <w:szCs w:val="24"/>
          <w:lang w:val="es-ES"/>
        </w:rPr>
        <w:t>echo a la verdad, tan</w:t>
      </w:r>
      <w:r w:rsidR="00CB58AD">
        <w:rPr>
          <w:rFonts w:ascii="Times New Roman" w:eastAsia="Times New Roman" w:hAnsi="Times New Roman"/>
          <w:sz w:val="24"/>
          <w:szCs w:val="24"/>
          <w:lang w:val="es-ES"/>
        </w:rPr>
        <w:t>to la Corte como la Comisión Interamericana de Derechos Humanos</w:t>
      </w:r>
      <w:r w:rsidRPr="00507C43">
        <w:rPr>
          <w:rFonts w:ascii="Times New Roman" w:eastAsia="Times New Roman" w:hAnsi="Times New Roman"/>
          <w:sz w:val="24"/>
          <w:szCs w:val="24"/>
          <w:lang w:val="es-ES"/>
        </w:rPr>
        <w:t xml:space="preserve"> han subrayado la obligación q</w:t>
      </w:r>
      <w:r w:rsidRPr="00507C43">
        <w:rPr>
          <w:rFonts w:ascii="Times New Roman" w:hAnsi="Times New Roman"/>
          <w:sz w:val="24"/>
          <w:szCs w:val="24"/>
          <w:lang w:val="es-ES"/>
        </w:rPr>
        <w:t>ue los Estados tienen de permitir el acceso a los archivos que contengan información útil y relevante a tales efectos</w:t>
      </w:r>
      <w:r w:rsidRPr="00507C43">
        <w:rPr>
          <w:rStyle w:val="Refdenotaalpie"/>
          <w:rFonts w:ascii="Times New Roman" w:hAnsi="Times New Roman"/>
          <w:sz w:val="24"/>
          <w:szCs w:val="24"/>
          <w:lang w:val="es-ES"/>
        </w:rPr>
        <w:footnoteReference w:id="69"/>
      </w:r>
      <w:r w:rsidRPr="00507C43">
        <w:rPr>
          <w:rFonts w:ascii="Times New Roman" w:hAnsi="Times New Roman"/>
          <w:sz w:val="24"/>
          <w:szCs w:val="24"/>
          <w:lang w:val="es-ES"/>
        </w:rPr>
        <w:t xml:space="preserve">, y el carácter “esencial” que esta </w:t>
      </w:r>
      <w:r w:rsidR="00CB58AD">
        <w:rPr>
          <w:rFonts w:ascii="Times New Roman" w:hAnsi="Times New Roman"/>
          <w:sz w:val="24"/>
          <w:szCs w:val="24"/>
          <w:lang w:val="es-ES"/>
        </w:rPr>
        <w:t>manifestación</w:t>
      </w:r>
      <w:r w:rsidRPr="00507C43">
        <w:rPr>
          <w:rFonts w:ascii="Times New Roman" w:hAnsi="Times New Roman"/>
          <w:sz w:val="24"/>
          <w:szCs w:val="24"/>
          <w:lang w:val="es-ES"/>
        </w:rPr>
        <w:t xml:space="preserve"> colectiva del derecho a la verdad tiene “para el desarrollo de los sistemas democráticos”</w:t>
      </w:r>
      <w:r w:rsidRPr="00507C43">
        <w:rPr>
          <w:rStyle w:val="Refdenotaalpie"/>
          <w:rFonts w:ascii="Times New Roman" w:hAnsi="Times New Roman"/>
          <w:sz w:val="24"/>
          <w:szCs w:val="24"/>
          <w:lang w:val="es-ES"/>
        </w:rPr>
        <w:footnoteReference w:id="70"/>
      </w:r>
      <w:r w:rsidRPr="00507C43">
        <w:rPr>
          <w:rFonts w:ascii="Times New Roman" w:hAnsi="Times New Roman"/>
          <w:sz w:val="24"/>
          <w:szCs w:val="24"/>
          <w:lang w:val="es-ES"/>
        </w:rPr>
        <w:t>.</w:t>
      </w:r>
      <w:r w:rsidR="00CB58AD" w:rsidRPr="00CB58AD">
        <w:rPr>
          <w:rFonts w:ascii="Times New Roman" w:hAnsi="Times New Roman"/>
          <w:sz w:val="24"/>
          <w:szCs w:val="24"/>
          <w:lang w:val="es-ES"/>
        </w:rPr>
        <w:t xml:space="preserve"> </w:t>
      </w:r>
    </w:p>
    <w:p w:rsidR="00CB58AD" w:rsidRDefault="00CB58AD" w:rsidP="00CB58AD">
      <w:pPr>
        <w:pStyle w:val="Textonotapie"/>
        <w:jc w:val="both"/>
        <w:rPr>
          <w:rFonts w:ascii="Times New Roman" w:hAnsi="Times New Roman"/>
          <w:sz w:val="24"/>
          <w:szCs w:val="24"/>
          <w:lang w:val="es-ES"/>
        </w:rPr>
      </w:pPr>
    </w:p>
    <w:p w:rsidR="00CB58AD" w:rsidRPr="00507C43" w:rsidRDefault="00CB58AD" w:rsidP="00CB58AD">
      <w:pPr>
        <w:pStyle w:val="Textonotapie"/>
        <w:jc w:val="both"/>
        <w:rPr>
          <w:rFonts w:ascii="Times New Roman" w:hAnsi="Times New Roman"/>
          <w:sz w:val="24"/>
          <w:szCs w:val="24"/>
          <w:lang w:val="es-ES"/>
        </w:rPr>
      </w:pPr>
      <w:r w:rsidRPr="00507C43">
        <w:rPr>
          <w:rFonts w:ascii="Times New Roman" w:hAnsi="Times New Roman"/>
          <w:sz w:val="24"/>
          <w:szCs w:val="24"/>
          <w:lang w:val="es-ES"/>
        </w:rPr>
        <w:t>Esta otra dimensión del derecho a la verdad que fuera de un procedimiento judicial apela a la necesidad de conocer la verdad histórica de las violaciones de los derechos humanos, y que al efecto exige que el acceso</w:t>
      </w:r>
      <w:r>
        <w:rPr>
          <w:rFonts w:ascii="Times New Roman" w:hAnsi="Times New Roman"/>
          <w:sz w:val="24"/>
          <w:szCs w:val="24"/>
          <w:lang w:val="es-ES"/>
        </w:rPr>
        <w:t xml:space="preserve"> a</w:t>
      </w:r>
      <w:r w:rsidRPr="00507C43">
        <w:rPr>
          <w:rFonts w:ascii="Times New Roman" w:hAnsi="Times New Roman"/>
          <w:sz w:val="24"/>
          <w:szCs w:val="24"/>
          <w:lang w:val="es-ES"/>
        </w:rPr>
        <w:t xml:space="preserve"> los documentos y archivos que proporcionan tal información esté permitido, se ubica en el marco de la libertad de información</w:t>
      </w:r>
      <w:r w:rsidR="009879CC" w:rsidRPr="00E942CE">
        <w:rPr>
          <w:rStyle w:val="Refdenotaalpie"/>
          <w:rFonts w:ascii="Times New Roman" w:hAnsi="Times New Roman"/>
          <w:sz w:val="24"/>
          <w:szCs w:val="24"/>
          <w:lang w:val="es-ES"/>
        </w:rPr>
        <w:footnoteReference w:id="71"/>
      </w:r>
      <w:r w:rsidRPr="00507C43">
        <w:rPr>
          <w:rFonts w:ascii="Times New Roman" w:hAnsi="Times New Roman"/>
          <w:sz w:val="24"/>
          <w:szCs w:val="24"/>
          <w:lang w:val="es-ES"/>
        </w:rPr>
        <w:t xml:space="preserve">, no del derecho de acceso a la </w:t>
      </w:r>
      <w:r w:rsidRPr="00507C43">
        <w:rPr>
          <w:rFonts w:ascii="Times New Roman" w:hAnsi="Times New Roman"/>
          <w:sz w:val="24"/>
          <w:szCs w:val="24"/>
          <w:lang w:val="es-ES"/>
        </w:rPr>
        <w:lastRenderedPageBreak/>
        <w:t>justicia, con independencia de que, a la luz de tales investigaciones, con posterioridad se obre en consecuencia al objeto de depurar posibles responsabilidades penales</w:t>
      </w:r>
      <w:r w:rsidRPr="00507C43">
        <w:rPr>
          <w:rStyle w:val="Refdenotaalpie"/>
          <w:rFonts w:ascii="Times New Roman" w:eastAsia="Times New Roman" w:hAnsi="Times New Roman"/>
          <w:sz w:val="24"/>
          <w:szCs w:val="24"/>
          <w:lang w:val="es-ES" w:eastAsia="es-ES_tradnl"/>
        </w:rPr>
        <w:footnoteReference w:id="72"/>
      </w:r>
      <w:r w:rsidRPr="00507C43">
        <w:rPr>
          <w:rFonts w:ascii="Times New Roman" w:eastAsia="Times New Roman" w:hAnsi="Times New Roman"/>
          <w:sz w:val="24"/>
          <w:szCs w:val="24"/>
          <w:lang w:val="es-ES" w:eastAsia="es-ES_tradnl"/>
        </w:rPr>
        <w:t>.</w:t>
      </w:r>
      <w:r w:rsidR="009879CC">
        <w:rPr>
          <w:rFonts w:ascii="Times New Roman" w:eastAsia="Times New Roman" w:hAnsi="Times New Roman"/>
          <w:sz w:val="24"/>
          <w:szCs w:val="24"/>
          <w:lang w:val="es-ES" w:eastAsia="es-ES_tradnl"/>
        </w:rPr>
        <w:t xml:space="preserve"> Mientras que en el ámbito interamericano así se ha reconocido,</w:t>
      </w:r>
      <w:r w:rsidR="003C5478">
        <w:rPr>
          <w:rFonts w:ascii="Times New Roman" w:eastAsia="Times New Roman" w:hAnsi="Times New Roman"/>
          <w:sz w:val="24"/>
          <w:szCs w:val="24"/>
          <w:lang w:val="es-ES" w:eastAsia="es-ES_tradnl"/>
        </w:rPr>
        <w:t xml:space="preserve"> ubicándolo</w:t>
      </w:r>
      <w:r w:rsidR="009879CC">
        <w:rPr>
          <w:rFonts w:ascii="Times New Roman" w:eastAsia="Times New Roman" w:hAnsi="Times New Roman"/>
          <w:sz w:val="24"/>
          <w:szCs w:val="24"/>
          <w:lang w:val="es-ES" w:eastAsia="es-ES_tradnl"/>
        </w:rPr>
        <w:t xml:space="preserve"> en el</w:t>
      </w:r>
      <w:r w:rsidR="003C5478">
        <w:rPr>
          <w:rFonts w:ascii="Times New Roman" w:eastAsia="Times New Roman" w:hAnsi="Times New Roman"/>
          <w:sz w:val="24"/>
          <w:szCs w:val="24"/>
          <w:lang w:val="es-ES" w:eastAsia="es-ES_tradnl"/>
        </w:rPr>
        <w:t xml:space="preserve"> marco del</w:t>
      </w:r>
      <w:r w:rsidR="009879CC">
        <w:rPr>
          <w:rFonts w:ascii="Times New Roman" w:eastAsia="Times New Roman" w:hAnsi="Times New Roman"/>
          <w:sz w:val="24"/>
          <w:szCs w:val="24"/>
          <w:lang w:val="es-ES" w:eastAsia="es-ES_tradnl"/>
        </w:rPr>
        <w:t xml:space="preserve"> artículo 13 de la Convención Americana, el TEDH aún no ha tenido oportunidad de pronunciarse en ese sentido.</w:t>
      </w:r>
    </w:p>
    <w:p w:rsidR="00CB58AD" w:rsidRDefault="00CB58AD" w:rsidP="00CB58AD">
      <w:pPr>
        <w:pStyle w:val="Textonotapie"/>
        <w:jc w:val="both"/>
        <w:rPr>
          <w:rFonts w:ascii="Times New Roman" w:hAnsi="Times New Roman"/>
          <w:sz w:val="24"/>
          <w:szCs w:val="24"/>
          <w:lang w:val="es-ES"/>
        </w:rPr>
      </w:pPr>
    </w:p>
    <w:p w:rsidR="00FB2243" w:rsidRPr="00507C43" w:rsidRDefault="00ED6F6E" w:rsidP="00507C43">
      <w:pPr>
        <w:pStyle w:val="Textonotapie"/>
        <w:jc w:val="both"/>
        <w:rPr>
          <w:rFonts w:ascii="Times New Roman" w:hAnsi="Times New Roman"/>
          <w:sz w:val="24"/>
          <w:szCs w:val="24"/>
          <w:lang w:val="es-ES"/>
        </w:rPr>
      </w:pPr>
      <w:r w:rsidRPr="00E942CE">
        <w:rPr>
          <w:rFonts w:ascii="Times New Roman" w:hAnsi="Times New Roman"/>
          <w:sz w:val="24"/>
          <w:szCs w:val="24"/>
          <w:lang w:val="es-ES"/>
        </w:rPr>
        <w:t>T</w:t>
      </w:r>
      <w:r w:rsidR="00A86349" w:rsidRPr="00E942CE">
        <w:rPr>
          <w:rFonts w:ascii="Times New Roman" w:hAnsi="Times New Roman"/>
          <w:sz w:val="24"/>
          <w:szCs w:val="24"/>
          <w:lang w:val="es-ES"/>
        </w:rPr>
        <w:t>al posibilidad</w:t>
      </w:r>
      <w:r w:rsidRPr="00E942CE">
        <w:rPr>
          <w:rFonts w:ascii="Times New Roman" w:hAnsi="Times New Roman"/>
          <w:sz w:val="24"/>
          <w:szCs w:val="24"/>
          <w:lang w:val="es-ES"/>
        </w:rPr>
        <w:t>, sin embargo,</w:t>
      </w:r>
      <w:r w:rsidR="00A86349" w:rsidRPr="00E942CE">
        <w:rPr>
          <w:rFonts w:ascii="Times New Roman" w:hAnsi="Times New Roman"/>
          <w:sz w:val="24"/>
          <w:szCs w:val="24"/>
          <w:lang w:val="es-ES"/>
        </w:rPr>
        <w:t xml:space="preserve"> no nos parece remota</w:t>
      </w:r>
      <w:r w:rsidR="00FB2243" w:rsidRPr="00E942CE">
        <w:rPr>
          <w:rFonts w:ascii="Times New Roman" w:hAnsi="Times New Roman"/>
          <w:sz w:val="24"/>
          <w:szCs w:val="24"/>
          <w:lang w:val="es-ES"/>
        </w:rPr>
        <w:t xml:space="preserve"> a la luz de la sentencia dictada por la Gran Sala en el caso </w:t>
      </w:r>
      <w:r w:rsidR="00FB2243" w:rsidRPr="00E942CE">
        <w:rPr>
          <w:rFonts w:ascii="Times New Roman" w:hAnsi="Times New Roman"/>
          <w:i/>
          <w:sz w:val="24"/>
          <w:szCs w:val="24"/>
          <w:lang w:val="es-ES"/>
        </w:rPr>
        <w:t>Magyar Helsinki Bizottság contra Hungría</w:t>
      </w:r>
      <w:r w:rsidR="00A86349" w:rsidRPr="00E942CE">
        <w:rPr>
          <w:rFonts w:ascii="Times New Roman" w:hAnsi="Times New Roman"/>
          <w:sz w:val="24"/>
          <w:szCs w:val="24"/>
          <w:lang w:val="es-ES"/>
        </w:rPr>
        <w:t xml:space="preserve"> (2016).</w:t>
      </w:r>
      <w:r w:rsidR="00FB2243" w:rsidRPr="00E942CE">
        <w:rPr>
          <w:rFonts w:ascii="Times New Roman" w:hAnsi="Times New Roman"/>
          <w:sz w:val="24"/>
          <w:szCs w:val="24"/>
          <w:lang w:val="es-ES"/>
        </w:rPr>
        <w:t xml:space="preserve"> </w:t>
      </w:r>
      <w:r w:rsidR="003C5478">
        <w:rPr>
          <w:rFonts w:ascii="Times New Roman" w:hAnsi="Times New Roman"/>
          <w:sz w:val="24"/>
          <w:szCs w:val="24"/>
          <w:lang w:val="es-ES"/>
        </w:rPr>
        <w:t>De las consideraciones que en ella el Tribunal realiza, entendemos que</w:t>
      </w:r>
      <w:r w:rsidRPr="00E942CE">
        <w:rPr>
          <w:rFonts w:ascii="Times New Roman" w:hAnsi="Times New Roman"/>
          <w:sz w:val="24"/>
          <w:szCs w:val="24"/>
          <w:lang w:val="es-ES"/>
        </w:rPr>
        <w:t>, e</w:t>
      </w:r>
      <w:r w:rsidR="00A86349" w:rsidRPr="00E942CE">
        <w:rPr>
          <w:rFonts w:ascii="Times New Roman" w:hAnsi="Times New Roman"/>
          <w:sz w:val="24"/>
          <w:szCs w:val="24"/>
          <w:lang w:val="es-ES"/>
        </w:rPr>
        <w:t>n</w:t>
      </w:r>
      <w:r w:rsidR="00976CDB" w:rsidRPr="00E942CE">
        <w:rPr>
          <w:rFonts w:ascii="Times New Roman" w:hAnsi="Times New Roman"/>
          <w:sz w:val="24"/>
          <w:szCs w:val="24"/>
          <w:lang w:val="es-ES"/>
        </w:rPr>
        <w:t xml:space="preserve"> este otro marco de la libertad de información, </w:t>
      </w:r>
      <w:r w:rsidR="00C726F3" w:rsidRPr="00E942CE">
        <w:rPr>
          <w:rFonts w:ascii="Times New Roman" w:hAnsi="Times New Roman"/>
          <w:sz w:val="24"/>
          <w:szCs w:val="24"/>
          <w:lang w:val="es-ES"/>
        </w:rPr>
        <w:t>sí</w:t>
      </w:r>
      <w:r w:rsidR="003C5478">
        <w:rPr>
          <w:rFonts w:ascii="Times New Roman" w:hAnsi="Times New Roman"/>
          <w:sz w:val="24"/>
          <w:szCs w:val="24"/>
          <w:lang w:val="es-ES"/>
        </w:rPr>
        <w:t xml:space="preserve"> se advierten razones </w:t>
      </w:r>
      <w:r w:rsidR="00C726F3" w:rsidRPr="00E942CE">
        <w:rPr>
          <w:rFonts w:ascii="Times New Roman" w:hAnsi="Times New Roman"/>
          <w:sz w:val="24"/>
          <w:szCs w:val="24"/>
          <w:lang w:val="es-ES"/>
        </w:rPr>
        <w:t>para sostener</w:t>
      </w:r>
      <w:r w:rsidR="0096225A" w:rsidRPr="00E942CE">
        <w:rPr>
          <w:rFonts w:ascii="Times New Roman" w:hAnsi="Times New Roman"/>
          <w:sz w:val="24"/>
          <w:szCs w:val="24"/>
          <w:lang w:val="es-ES"/>
        </w:rPr>
        <w:t xml:space="preserve"> </w:t>
      </w:r>
      <w:r w:rsidR="00976CDB" w:rsidRPr="00E942CE">
        <w:rPr>
          <w:rFonts w:ascii="Times New Roman" w:hAnsi="Times New Roman"/>
          <w:sz w:val="24"/>
          <w:szCs w:val="24"/>
          <w:lang w:val="es-ES"/>
        </w:rPr>
        <w:t>la autonomía del derecho a la verdad</w:t>
      </w:r>
      <w:r w:rsidR="00C726F3" w:rsidRPr="00E942CE">
        <w:rPr>
          <w:rFonts w:ascii="Times New Roman" w:hAnsi="Times New Roman"/>
          <w:sz w:val="24"/>
          <w:szCs w:val="24"/>
          <w:lang w:val="es-ES"/>
        </w:rPr>
        <w:t>.</w:t>
      </w:r>
      <w:r w:rsidR="00FB2243" w:rsidRPr="00E942CE">
        <w:rPr>
          <w:rFonts w:ascii="Times New Roman" w:hAnsi="Times New Roman"/>
          <w:sz w:val="24"/>
          <w:szCs w:val="24"/>
          <w:lang w:val="es-ES"/>
        </w:rPr>
        <w:t xml:space="preserve"> </w:t>
      </w:r>
      <w:r w:rsidRPr="00E942CE">
        <w:rPr>
          <w:rFonts w:ascii="Times New Roman" w:hAnsi="Times New Roman"/>
          <w:sz w:val="24"/>
          <w:szCs w:val="24"/>
          <w:lang w:val="es-ES"/>
        </w:rPr>
        <w:t>Son las siguientes:</w:t>
      </w:r>
    </w:p>
    <w:p w:rsidR="00FB2243" w:rsidRPr="00507C43" w:rsidRDefault="00FB2243" w:rsidP="00507C43">
      <w:pPr>
        <w:pStyle w:val="Textonotapie"/>
        <w:jc w:val="both"/>
        <w:rPr>
          <w:rFonts w:ascii="Times New Roman" w:hAnsi="Times New Roman"/>
          <w:sz w:val="24"/>
          <w:szCs w:val="24"/>
          <w:lang w:val="es-ES"/>
        </w:rPr>
      </w:pPr>
    </w:p>
    <w:p w:rsidR="00667D9D" w:rsidRPr="00507C43" w:rsidRDefault="00FB2243" w:rsidP="00507C43">
      <w:pPr>
        <w:pStyle w:val="Textonotapie"/>
        <w:jc w:val="both"/>
        <w:rPr>
          <w:rFonts w:ascii="Times New Roman" w:hAnsi="Times New Roman"/>
          <w:sz w:val="24"/>
          <w:szCs w:val="24"/>
          <w:lang w:val="es-ES"/>
        </w:rPr>
      </w:pPr>
      <w:r w:rsidRPr="00507C43">
        <w:rPr>
          <w:rFonts w:ascii="Times New Roman" w:hAnsi="Times New Roman"/>
          <w:sz w:val="24"/>
          <w:szCs w:val="24"/>
          <w:lang w:val="es-ES"/>
        </w:rPr>
        <w:t>En primer lugar</w:t>
      </w:r>
      <w:r w:rsidR="00667D9D" w:rsidRPr="00507C43">
        <w:rPr>
          <w:rFonts w:ascii="Times New Roman" w:hAnsi="Times New Roman"/>
          <w:sz w:val="24"/>
          <w:szCs w:val="24"/>
          <w:lang w:val="es-ES"/>
        </w:rPr>
        <w:t>,</w:t>
      </w:r>
      <w:r w:rsidRPr="00507C43">
        <w:rPr>
          <w:rFonts w:ascii="Times New Roman" w:hAnsi="Times New Roman"/>
          <w:sz w:val="24"/>
          <w:szCs w:val="24"/>
          <w:lang w:val="es-ES"/>
        </w:rPr>
        <w:t xml:space="preserve"> hay que advertir que la sentencia </w:t>
      </w:r>
      <w:r w:rsidRPr="00507C43">
        <w:rPr>
          <w:rFonts w:ascii="Times New Roman" w:hAnsi="Times New Roman"/>
          <w:i/>
          <w:sz w:val="24"/>
          <w:szCs w:val="24"/>
          <w:lang w:val="es-ES"/>
        </w:rPr>
        <w:t>Magyar Helsinki Bizzottsá</w:t>
      </w:r>
      <w:r w:rsidRPr="00507C43">
        <w:rPr>
          <w:rFonts w:ascii="Times New Roman" w:hAnsi="Times New Roman"/>
          <w:sz w:val="24"/>
          <w:szCs w:val="24"/>
          <w:lang w:val="es-ES"/>
        </w:rPr>
        <w:t xml:space="preserve"> no resuelve un caso de graves violaciones de derechos humanos</w:t>
      </w:r>
      <w:r w:rsidR="00667D9D" w:rsidRPr="00507C43">
        <w:rPr>
          <w:rFonts w:ascii="Times New Roman" w:hAnsi="Times New Roman"/>
          <w:sz w:val="24"/>
          <w:szCs w:val="24"/>
          <w:lang w:val="es-ES"/>
        </w:rPr>
        <w:t>,</w:t>
      </w:r>
      <w:r w:rsidRPr="00507C43">
        <w:rPr>
          <w:rFonts w:ascii="Times New Roman" w:hAnsi="Times New Roman"/>
          <w:sz w:val="24"/>
          <w:szCs w:val="24"/>
          <w:lang w:val="es-ES"/>
        </w:rPr>
        <w:t xml:space="preserve"> sino que </w:t>
      </w:r>
      <w:r w:rsidRPr="00AB66D8">
        <w:rPr>
          <w:rFonts w:ascii="Times New Roman" w:hAnsi="Times New Roman"/>
          <w:sz w:val="24"/>
          <w:szCs w:val="24"/>
          <w:lang w:val="es-ES"/>
        </w:rPr>
        <w:t xml:space="preserve">juzga el rechazo de una solicitud presentada por una organización </w:t>
      </w:r>
      <w:r w:rsidR="00667D9D" w:rsidRPr="00AB66D8">
        <w:rPr>
          <w:rFonts w:ascii="Times New Roman" w:hAnsi="Times New Roman"/>
          <w:sz w:val="24"/>
          <w:szCs w:val="24"/>
          <w:lang w:val="es-ES"/>
        </w:rPr>
        <w:t xml:space="preserve">no </w:t>
      </w:r>
      <w:r w:rsidRPr="00AB66D8">
        <w:rPr>
          <w:rFonts w:ascii="Times New Roman" w:hAnsi="Times New Roman"/>
          <w:sz w:val="24"/>
          <w:szCs w:val="24"/>
          <w:lang w:val="es-ES"/>
        </w:rPr>
        <w:t xml:space="preserve">gubernamental </w:t>
      </w:r>
      <w:r w:rsidR="004316DB" w:rsidRPr="00AB66D8">
        <w:rPr>
          <w:rFonts w:ascii="Times New Roman" w:hAnsi="Times New Roman"/>
          <w:sz w:val="24"/>
          <w:szCs w:val="24"/>
          <w:lang w:val="es-ES"/>
        </w:rPr>
        <w:t>para acceder</w:t>
      </w:r>
      <w:r w:rsidRPr="00AB66D8">
        <w:rPr>
          <w:rFonts w:ascii="Times New Roman" w:hAnsi="Times New Roman"/>
          <w:sz w:val="24"/>
          <w:szCs w:val="24"/>
          <w:lang w:val="es-ES"/>
        </w:rPr>
        <w:t xml:space="preserve"> a una información que constaba en registros públicos.</w:t>
      </w:r>
      <w:r w:rsidRPr="00507C43">
        <w:rPr>
          <w:rFonts w:ascii="Times New Roman" w:hAnsi="Times New Roman"/>
          <w:sz w:val="24"/>
          <w:szCs w:val="24"/>
          <w:lang w:val="es-ES"/>
        </w:rPr>
        <w:t xml:space="preserve"> Ante la negativa de las autoridades nacionales</w:t>
      </w:r>
      <w:r w:rsidR="00667D9D" w:rsidRPr="00507C43">
        <w:rPr>
          <w:rFonts w:ascii="Times New Roman" w:hAnsi="Times New Roman"/>
          <w:sz w:val="24"/>
          <w:szCs w:val="24"/>
          <w:lang w:val="es-ES"/>
        </w:rPr>
        <w:t>, la organización demandante</w:t>
      </w:r>
      <w:r w:rsidRPr="00507C43">
        <w:rPr>
          <w:rFonts w:ascii="Times New Roman" w:hAnsi="Times New Roman"/>
          <w:sz w:val="24"/>
          <w:szCs w:val="24"/>
          <w:lang w:val="es-ES"/>
        </w:rPr>
        <w:t xml:space="preserve"> se dirige al TEDH denunciado la violación del derecho a la libertad de información que el artículo 10 del Convenio reconoce</w:t>
      </w:r>
      <w:r w:rsidRPr="00507C43">
        <w:rPr>
          <w:rStyle w:val="Refdenotaalpie"/>
          <w:rFonts w:ascii="Times New Roman" w:hAnsi="Times New Roman"/>
          <w:sz w:val="24"/>
          <w:szCs w:val="24"/>
          <w:lang w:val="es-ES"/>
        </w:rPr>
        <w:footnoteReference w:id="73"/>
      </w:r>
      <w:r w:rsidRPr="00507C43">
        <w:rPr>
          <w:rFonts w:ascii="Times New Roman" w:hAnsi="Times New Roman"/>
          <w:sz w:val="24"/>
          <w:szCs w:val="24"/>
          <w:lang w:val="es-ES"/>
        </w:rPr>
        <w:t>.</w:t>
      </w:r>
      <w:r w:rsidR="00667D9D" w:rsidRPr="00507C43">
        <w:rPr>
          <w:rFonts w:ascii="Times New Roman" w:hAnsi="Times New Roman"/>
          <w:sz w:val="24"/>
          <w:szCs w:val="24"/>
          <w:lang w:val="es-ES"/>
        </w:rPr>
        <w:t xml:space="preserve"> </w:t>
      </w:r>
    </w:p>
    <w:p w:rsidR="00667D9D" w:rsidRPr="00507C43" w:rsidRDefault="00667D9D" w:rsidP="00507C43">
      <w:pPr>
        <w:pStyle w:val="Textonotapie"/>
        <w:jc w:val="both"/>
        <w:rPr>
          <w:rFonts w:ascii="Times New Roman" w:hAnsi="Times New Roman"/>
          <w:sz w:val="24"/>
          <w:szCs w:val="24"/>
          <w:lang w:val="es-ES"/>
        </w:rPr>
      </w:pPr>
    </w:p>
    <w:p w:rsidR="00667D9D" w:rsidRPr="00507C43" w:rsidRDefault="00667D9D" w:rsidP="00507C43">
      <w:pPr>
        <w:pStyle w:val="Textonotapie"/>
        <w:jc w:val="both"/>
        <w:rPr>
          <w:rFonts w:ascii="Times New Roman" w:hAnsi="Times New Roman"/>
          <w:sz w:val="24"/>
          <w:szCs w:val="24"/>
          <w:lang w:val="es-ES"/>
        </w:rPr>
      </w:pPr>
      <w:r w:rsidRPr="00507C43">
        <w:rPr>
          <w:rFonts w:ascii="Times New Roman" w:hAnsi="Times New Roman"/>
          <w:sz w:val="24"/>
          <w:szCs w:val="24"/>
          <w:lang w:val="es-ES"/>
        </w:rPr>
        <w:t>Lo que nos interesa de esta sentencia es que el TEDH estima la demanda porque entiende que el artículo 10 del Convenio ampara el derecho de acceso a la información que obra en poder del Estado cuando este acceso es imprescindible para informar a la opinión pública sobre un tema de interés general, advirtiendo que tal derecho cabe predicarlo no solo de quienes se dedican profesionalmente al ejercicio del periodismo (medios de comunicación) sino también de todos aquellos que en mayor o menor medida tienen la capacidad de generar opinión pública (parágrafos 158, 166) o asumen una función de vigilacia pública (</w:t>
      </w:r>
      <w:r w:rsidRPr="00507C43">
        <w:rPr>
          <w:rFonts w:ascii="Times New Roman" w:hAnsi="Times New Roman"/>
          <w:i/>
          <w:sz w:val="24"/>
          <w:szCs w:val="24"/>
          <w:lang w:val="es-ES"/>
        </w:rPr>
        <w:t xml:space="preserve">social </w:t>
      </w:r>
      <w:r w:rsidRPr="00507C43">
        <w:rPr>
          <w:rFonts w:ascii="Times New Roman" w:hAnsi="Times New Roman"/>
          <w:sz w:val="24"/>
          <w:szCs w:val="24"/>
          <w:lang w:val="es-ES"/>
        </w:rPr>
        <w:t>o</w:t>
      </w:r>
      <w:r w:rsidRPr="00507C43">
        <w:rPr>
          <w:rFonts w:ascii="Times New Roman" w:hAnsi="Times New Roman"/>
          <w:i/>
          <w:sz w:val="24"/>
          <w:szCs w:val="24"/>
          <w:lang w:val="es-ES"/>
        </w:rPr>
        <w:t xml:space="preserve"> public watchdog</w:t>
      </w:r>
      <w:r w:rsidRPr="00507C43">
        <w:rPr>
          <w:rFonts w:ascii="Times New Roman" w:hAnsi="Times New Roman"/>
          <w:sz w:val="24"/>
          <w:szCs w:val="24"/>
          <w:lang w:val="es-ES"/>
        </w:rPr>
        <w:t xml:space="preserve">) (párr. 159), como es el caso de las organizaciones no gubernamentales (la demandante), u otros sujetos </w:t>
      </w:r>
      <w:r w:rsidR="004316DB">
        <w:rPr>
          <w:rFonts w:ascii="Times New Roman" w:hAnsi="Times New Roman"/>
          <w:sz w:val="24"/>
          <w:szCs w:val="24"/>
          <w:lang w:val="es-ES"/>
        </w:rPr>
        <w:t>con</w:t>
      </w:r>
      <w:r w:rsidRPr="00507C43">
        <w:rPr>
          <w:rFonts w:ascii="Times New Roman" w:hAnsi="Times New Roman"/>
          <w:sz w:val="24"/>
          <w:szCs w:val="24"/>
          <w:lang w:val="es-ES"/>
        </w:rPr>
        <w:t xml:space="preserve"> cierta notoriedad social en ese sentido, como pudieran ser los </w:t>
      </w:r>
      <w:r w:rsidRPr="00507C43">
        <w:rPr>
          <w:rFonts w:ascii="Times New Roman" w:hAnsi="Times New Roman"/>
          <w:i/>
          <w:sz w:val="24"/>
          <w:szCs w:val="24"/>
          <w:lang w:val="es-ES"/>
        </w:rPr>
        <w:t xml:space="preserve">bloggers </w:t>
      </w:r>
      <w:r w:rsidRPr="00507C43">
        <w:rPr>
          <w:rFonts w:ascii="Times New Roman" w:hAnsi="Times New Roman"/>
          <w:sz w:val="24"/>
          <w:szCs w:val="24"/>
          <w:lang w:val="es-ES"/>
        </w:rPr>
        <w:t xml:space="preserve">(parágrafo 168). </w:t>
      </w:r>
      <w:r w:rsidR="00C80E4A" w:rsidRPr="00AB66D8">
        <w:rPr>
          <w:rFonts w:ascii="Times New Roman" w:hAnsi="Times New Roman"/>
          <w:sz w:val="24"/>
          <w:szCs w:val="24"/>
          <w:lang w:val="es-ES"/>
        </w:rPr>
        <w:t>Precisa e</w:t>
      </w:r>
      <w:r w:rsidRPr="00AB66D8">
        <w:rPr>
          <w:rFonts w:ascii="Times New Roman" w:hAnsi="Times New Roman"/>
          <w:sz w:val="24"/>
          <w:szCs w:val="24"/>
          <w:lang w:val="es-ES"/>
        </w:rPr>
        <w:t xml:space="preserve">l Tribunal que el derecho que se está reconociendo es el de acceso a la información </w:t>
      </w:r>
      <w:r w:rsidR="00BA5B84" w:rsidRPr="00AB66D8">
        <w:rPr>
          <w:rFonts w:ascii="Times New Roman" w:hAnsi="Times New Roman"/>
          <w:sz w:val="24"/>
          <w:szCs w:val="24"/>
          <w:lang w:val="es-ES"/>
        </w:rPr>
        <w:t xml:space="preserve">que estuviera en manos del Estado y fuera </w:t>
      </w:r>
      <w:r w:rsidRPr="00AB66D8">
        <w:rPr>
          <w:rFonts w:ascii="Times New Roman" w:hAnsi="Times New Roman"/>
          <w:sz w:val="24"/>
          <w:szCs w:val="24"/>
          <w:lang w:val="es-ES"/>
        </w:rPr>
        <w:t>inmediatamente disponible (</w:t>
      </w:r>
      <w:r w:rsidRPr="00AB66D8">
        <w:rPr>
          <w:rFonts w:ascii="Times New Roman" w:hAnsi="Times New Roman"/>
          <w:i/>
          <w:sz w:val="24"/>
          <w:szCs w:val="24"/>
          <w:lang w:val="es-ES"/>
        </w:rPr>
        <w:t>ready and available</w:t>
      </w:r>
      <w:r w:rsidRPr="00AB66D8">
        <w:rPr>
          <w:rFonts w:ascii="Times New Roman" w:hAnsi="Times New Roman"/>
          <w:sz w:val="24"/>
          <w:szCs w:val="24"/>
          <w:lang w:val="es-ES"/>
        </w:rPr>
        <w:t>)</w:t>
      </w:r>
      <w:r w:rsidRPr="00AB66D8">
        <w:rPr>
          <w:rStyle w:val="Refdenotaalpie"/>
          <w:rFonts w:ascii="Times New Roman" w:hAnsi="Times New Roman"/>
          <w:sz w:val="24"/>
          <w:szCs w:val="24"/>
          <w:lang w:val="es-ES"/>
        </w:rPr>
        <w:footnoteReference w:id="74"/>
      </w:r>
      <w:r w:rsidR="00BA5B84" w:rsidRPr="00AB66D8">
        <w:rPr>
          <w:rFonts w:ascii="Times New Roman" w:hAnsi="Times New Roman"/>
          <w:sz w:val="24"/>
          <w:szCs w:val="24"/>
          <w:lang w:val="es-ES"/>
        </w:rPr>
        <w:t>, no aquella que precisara de una investigación,</w:t>
      </w:r>
      <w:r w:rsidRPr="00AB66D8">
        <w:rPr>
          <w:rFonts w:ascii="Times New Roman" w:hAnsi="Times New Roman"/>
          <w:sz w:val="24"/>
          <w:szCs w:val="24"/>
          <w:lang w:val="es-ES"/>
        </w:rPr>
        <w:t xml:space="preserve"> recopilación</w:t>
      </w:r>
      <w:r w:rsidR="00BA5B84" w:rsidRPr="00AB66D8">
        <w:rPr>
          <w:rFonts w:ascii="Times New Roman" w:hAnsi="Times New Roman"/>
          <w:sz w:val="24"/>
          <w:szCs w:val="24"/>
          <w:lang w:val="es-ES"/>
        </w:rPr>
        <w:t xml:space="preserve"> o elaboración</w:t>
      </w:r>
      <w:r w:rsidRPr="00AB66D8">
        <w:rPr>
          <w:rFonts w:ascii="Times New Roman" w:hAnsi="Times New Roman"/>
          <w:sz w:val="24"/>
          <w:szCs w:val="24"/>
          <w:lang w:val="es-ES"/>
        </w:rPr>
        <w:t xml:space="preserve"> por parte de </w:t>
      </w:r>
      <w:r w:rsidR="00BA5B84" w:rsidRPr="00AB66D8">
        <w:rPr>
          <w:rFonts w:ascii="Times New Roman" w:hAnsi="Times New Roman"/>
          <w:sz w:val="24"/>
          <w:szCs w:val="24"/>
          <w:lang w:val="es-ES"/>
        </w:rPr>
        <w:t>las autoridades para satisfacer la solicitud</w:t>
      </w:r>
      <w:r w:rsidR="004316DB" w:rsidRPr="00AB66D8">
        <w:rPr>
          <w:rFonts w:ascii="Times New Roman" w:hAnsi="Times New Roman"/>
          <w:sz w:val="24"/>
          <w:szCs w:val="24"/>
          <w:lang w:val="es-ES"/>
        </w:rPr>
        <w:t xml:space="preserve"> presentada</w:t>
      </w:r>
      <w:r w:rsidR="00BA5B84" w:rsidRPr="00AB66D8">
        <w:rPr>
          <w:rFonts w:ascii="Times New Roman" w:hAnsi="Times New Roman"/>
          <w:sz w:val="24"/>
          <w:szCs w:val="24"/>
          <w:lang w:val="es-ES"/>
        </w:rPr>
        <w:t>.</w:t>
      </w:r>
      <w:r w:rsidRPr="00507C43">
        <w:rPr>
          <w:rFonts w:ascii="Times New Roman" w:hAnsi="Times New Roman"/>
          <w:sz w:val="24"/>
          <w:szCs w:val="24"/>
          <w:lang w:val="es-ES"/>
        </w:rPr>
        <w:t xml:space="preserve"> </w:t>
      </w:r>
    </w:p>
    <w:p w:rsidR="00667D9D" w:rsidRPr="00507C43" w:rsidRDefault="00667D9D" w:rsidP="00507C43">
      <w:pPr>
        <w:pStyle w:val="Textonotapie"/>
        <w:jc w:val="both"/>
        <w:rPr>
          <w:rFonts w:ascii="Times New Roman" w:hAnsi="Times New Roman"/>
          <w:sz w:val="24"/>
          <w:szCs w:val="24"/>
          <w:lang w:val="es-ES"/>
        </w:rPr>
      </w:pPr>
    </w:p>
    <w:p w:rsidR="00173209" w:rsidRDefault="00C80E4A" w:rsidP="00507C43">
      <w:pPr>
        <w:pStyle w:val="Textonotapie"/>
        <w:jc w:val="both"/>
        <w:rPr>
          <w:rFonts w:ascii="Times New Roman" w:hAnsi="Times New Roman"/>
          <w:sz w:val="24"/>
          <w:szCs w:val="24"/>
          <w:lang w:val="es-ES"/>
        </w:rPr>
      </w:pPr>
      <w:r w:rsidRPr="00507C43">
        <w:rPr>
          <w:rFonts w:ascii="Times New Roman" w:hAnsi="Times New Roman"/>
          <w:sz w:val="24"/>
          <w:szCs w:val="24"/>
          <w:lang w:val="es-ES"/>
        </w:rPr>
        <w:t>Pues bien, de estas consideraciones se desprende, que en relación con aquellas informaciones que tengan una relevancia pública, como</w:t>
      </w:r>
      <w:r w:rsidR="00334134" w:rsidRPr="00507C43">
        <w:rPr>
          <w:rFonts w:ascii="Times New Roman" w:hAnsi="Times New Roman"/>
          <w:sz w:val="24"/>
          <w:szCs w:val="24"/>
          <w:lang w:val="es-ES"/>
        </w:rPr>
        <w:t xml:space="preserve"> son </w:t>
      </w:r>
      <w:r w:rsidR="00173209">
        <w:rPr>
          <w:rFonts w:ascii="Times New Roman" w:hAnsi="Times New Roman"/>
          <w:sz w:val="24"/>
          <w:szCs w:val="24"/>
          <w:lang w:val="es-ES"/>
        </w:rPr>
        <w:t xml:space="preserve">las </w:t>
      </w:r>
      <w:r w:rsidRPr="00507C43">
        <w:rPr>
          <w:rFonts w:ascii="Times New Roman" w:hAnsi="Times New Roman"/>
          <w:sz w:val="24"/>
          <w:szCs w:val="24"/>
          <w:lang w:val="es-ES"/>
        </w:rPr>
        <w:t>que tienen que ver con casos relacionados con graves violaciones de los derechos humanos, la titularidad del derecho no puede rec</w:t>
      </w:r>
      <w:r w:rsidR="00334134" w:rsidRPr="00507C43">
        <w:rPr>
          <w:rFonts w:ascii="Times New Roman" w:hAnsi="Times New Roman"/>
          <w:sz w:val="24"/>
          <w:szCs w:val="24"/>
          <w:lang w:val="es-ES"/>
        </w:rPr>
        <w:t>a</w:t>
      </w:r>
      <w:r w:rsidRPr="00507C43">
        <w:rPr>
          <w:rFonts w:ascii="Times New Roman" w:hAnsi="Times New Roman"/>
          <w:sz w:val="24"/>
          <w:szCs w:val="24"/>
          <w:lang w:val="es-ES"/>
        </w:rPr>
        <w:t>er exclusivamente en las víctimas directas o indirectas de los mismos</w:t>
      </w:r>
      <w:r w:rsidR="00334134" w:rsidRPr="00507C43">
        <w:rPr>
          <w:rFonts w:ascii="Times New Roman" w:hAnsi="Times New Roman"/>
          <w:sz w:val="24"/>
          <w:szCs w:val="24"/>
          <w:lang w:val="es-ES"/>
        </w:rPr>
        <w:t>, lo cual, en puridad no es nada nuevo pues</w:t>
      </w:r>
      <w:r w:rsidRPr="00507C43">
        <w:rPr>
          <w:rFonts w:ascii="Times New Roman" w:hAnsi="Times New Roman"/>
          <w:sz w:val="24"/>
          <w:szCs w:val="24"/>
          <w:lang w:val="es-ES"/>
        </w:rPr>
        <w:t xml:space="preserve"> de</w:t>
      </w:r>
      <w:r w:rsidR="009410D8" w:rsidRPr="00507C43">
        <w:rPr>
          <w:rFonts w:ascii="Times New Roman" w:hAnsi="Times New Roman"/>
          <w:sz w:val="24"/>
          <w:szCs w:val="24"/>
          <w:lang w:val="es-ES"/>
        </w:rPr>
        <w:t xml:space="preserve"> los textos citados a lo largo de este trabajo se deriva </w:t>
      </w:r>
      <w:r w:rsidR="00334134" w:rsidRPr="00507C43">
        <w:rPr>
          <w:rFonts w:ascii="Times New Roman" w:hAnsi="Times New Roman"/>
          <w:sz w:val="24"/>
          <w:szCs w:val="24"/>
          <w:lang w:val="es-ES"/>
        </w:rPr>
        <w:t xml:space="preserve">con meridiana claridad </w:t>
      </w:r>
      <w:r w:rsidR="00D66637" w:rsidRPr="00507C43">
        <w:rPr>
          <w:rFonts w:ascii="Times New Roman" w:hAnsi="Times New Roman"/>
          <w:sz w:val="24"/>
          <w:szCs w:val="24"/>
          <w:lang w:val="es-ES"/>
        </w:rPr>
        <w:lastRenderedPageBreak/>
        <w:t>que</w:t>
      </w:r>
      <w:r w:rsidR="009410D8" w:rsidRPr="00507C43">
        <w:rPr>
          <w:rFonts w:ascii="Times New Roman" w:hAnsi="Times New Roman"/>
          <w:sz w:val="24"/>
          <w:szCs w:val="24"/>
          <w:lang w:val="es-ES"/>
        </w:rPr>
        <w:t xml:space="preserve"> un pueblo no puede ignorar su historia, que la sociedad, o los ciudadanos</w:t>
      </w:r>
      <w:r w:rsidR="00EC10F9" w:rsidRPr="00507C43">
        <w:rPr>
          <w:rFonts w:ascii="Times New Roman" w:hAnsi="Times New Roman"/>
          <w:sz w:val="24"/>
          <w:szCs w:val="24"/>
          <w:lang w:val="es-ES"/>
        </w:rPr>
        <w:t>,</w:t>
      </w:r>
      <w:r w:rsidR="009410D8" w:rsidRPr="00507C43">
        <w:rPr>
          <w:rFonts w:ascii="Times New Roman" w:hAnsi="Times New Roman"/>
          <w:sz w:val="24"/>
          <w:szCs w:val="24"/>
          <w:lang w:val="es-ES"/>
        </w:rPr>
        <w:t xml:space="preserve"> tienen derecho </w:t>
      </w:r>
      <w:r w:rsidR="00D66637" w:rsidRPr="00507C43">
        <w:rPr>
          <w:rFonts w:ascii="Times New Roman" w:hAnsi="Times New Roman"/>
          <w:sz w:val="24"/>
          <w:szCs w:val="24"/>
          <w:lang w:val="es-ES"/>
        </w:rPr>
        <w:t xml:space="preserve">a </w:t>
      </w:r>
      <w:r w:rsidR="00173209">
        <w:rPr>
          <w:rFonts w:ascii="Times New Roman" w:hAnsi="Times New Roman"/>
          <w:sz w:val="24"/>
          <w:szCs w:val="24"/>
          <w:lang w:val="es-ES"/>
        </w:rPr>
        <w:t xml:space="preserve">conocer su pasado, lo que por lógica exige la posibilidad de acceder a los documentos que contengan tal información. </w:t>
      </w:r>
    </w:p>
    <w:p w:rsidR="00173209" w:rsidRDefault="00173209" w:rsidP="00507C43">
      <w:pPr>
        <w:pStyle w:val="Textonotapie"/>
        <w:jc w:val="both"/>
        <w:rPr>
          <w:rFonts w:ascii="Times New Roman" w:hAnsi="Times New Roman"/>
          <w:sz w:val="24"/>
          <w:szCs w:val="24"/>
          <w:lang w:val="es-ES"/>
        </w:rPr>
      </w:pPr>
    </w:p>
    <w:p w:rsidR="00B76C57" w:rsidRPr="00507C43" w:rsidRDefault="00677F54" w:rsidP="00B76C57">
      <w:pPr>
        <w:pStyle w:val="Textonotapie"/>
        <w:jc w:val="both"/>
        <w:rPr>
          <w:rFonts w:ascii="Times New Roman" w:hAnsi="Times New Roman"/>
          <w:sz w:val="24"/>
          <w:szCs w:val="24"/>
          <w:lang w:val="es-ES"/>
        </w:rPr>
      </w:pPr>
      <w:r w:rsidRPr="00AB66D8">
        <w:rPr>
          <w:rFonts w:ascii="Times New Roman" w:hAnsi="Times New Roman"/>
          <w:sz w:val="24"/>
          <w:szCs w:val="24"/>
          <w:lang w:val="es-ES"/>
        </w:rPr>
        <w:t>S</w:t>
      </w:r>
      <w:r w:rsidR="004B3687" w:rsidRPr="00AB66D8">
        <w:rPr>
          <w:rFonts w:ascii="Times New Roman" w:hAnsi="Times New Roman"/>
          <w:sz w:val="24"/>
          <w:szCs w:val="24"/>
          <w:lang w:val="es-ES"/>
        </w:rPr>
        <w:t>i</w:t>
      </w:r>
      <w:r w:rsidR="004B3687" w:rsidRPr="00AB66D8">
        <w:rPr>
          <w:rFonts w:ascii="Times New Roman" w:hAnsi="Times New Roman"/>
          <w:color w:val="282425"/>
          <w:sz w:val="24"/>
          <w:szCs w:val="24"/>
          <w:lang w:val="es-ES"/>
        </w:rPr>
        <w:t xml:space="preserve"> </w:t>
      </w:r>
      <w:r w:rsidR="00DD26A8" w:rsidRPr="00AB66D8">
        <w:rPr>
          <w:rFonts w:ascii="Times New Roman" w:hAnsi="Times New Roman"/>
          <w:sz w:val="24"/>
          <w:szCs w:val="24"/>
          <w:lang w:val="es-ES"/>
        </w:rPr>
        <w:t>convenimos que</w:t>
      </w:r>
      <w:r w:rsidR="00173209" w:rsidRPr="00AB66D8">
        <w:rPr>
          <w:rFonts w:ascii="Times New Roman" w:hAnsi="Times New Roman"/>
          <w:sz w:val="24"/>
          <w:szCs w:val="24"/>
          <w:lang w:val="es-ES"/>
        </w:rPr>
        <w:t xml:space="preserve"> esto es así, que cuando se trata de acceder a la información que nos permite conocer la historia</w:t>
      </w:r>
      <w:r w:rsidR="00AB66D8" w:rsidRPr="00AB66D8">
        <w:rPr>
          <w:rFonts w:ascii="Times New Roman" w:hAnsi="Times New Roman"/>
          <w:sz w:val="24"/>
          <w:szCs w:val="24"/>
          <w:lang w:val="es-ES"/>
        </w:rPr>
        <w:t xml:space="preserve"> </w:t>
      </w:r>
      <w:r w:rsidR="00B76C57" w:rsidRPr="00AB66D8">
        <w:rPr>
          <w:rFonts w:ascii="Times New Roman" w:hAnsi="Times New Roman"/>
          <w:sz w:val="24"/>
          <w:szCs w:val="24"/>
          <w:lang w:val="es-ES"/>
        </w:rPr>
        <w:t xml:space="preserve">cualquier persona que esgrima un interés legítimo debiera poder ejercerlo, se cae, </w:t>
      </w:r>
      <w:r w:rsidR="00B76C57" w:rsidRPr="00AB66D8">
        <w:rPr>
          <w:rFonts w:ascii="Times New Roman" w:hAnsi="Times New Roman"/>
          <w:i/>
          <w:sz w:val="24"/>
          <w:szCs w:val="24"/>
          <w:lang w:val="es-ES"/>
        </w:rPr>
        <w:t>a sensu contrario</w:t>
      </w:r>
      <w:r w:rsidR="00B76C57" w:rsidRPr="00AB66D8">
        <w:rPr>
          <w:rFonts w:ascii="Times New Roman" w:hAnsi="Times New Roman"/>
          <w:sz w:val="24"/>
          <w:szCs w:val="24"/>
          <w:lang w:val="es-ES"/>
        </w:rPr>
        <w:t>, el argumento que en el epígrafe anterior hemos utilizado para sostener que el derecho a la verdad no es un derecho con sustantividad propia cuando lo ubicamos en el marco de los artículos 2, 3, 5 o 13 del CEDH.</w:t>
      </w:r>
      <w:r w:rsidR="00B76C57" w:rsidRPr="00507C43">
        <w:rPr>
          <w:rFonts w:ascii="Times New Roman" w:hAnsi="Times New Roman"/>
          <w:sz w:val="24"/>
          <w:szCs w:val="24"/>
          <w:lang w:val="es-ES"/>
        </w:rPr>
        <w:t xml:space="preserve"> </w:t>
      </w:r>
    </w:p>
    <w:p w:rsidR="00B76C57" w:rsidRDefault="00B76C57" w:rsidP="00507C43">
      <w:pPr>
        <w:pStyle w:val="Textonotapie"/>
        <w:jc w:val="both"/>
        <w:rPr>
          <w:rFonts w:ascii="Times New Roman" w:hAnsi="Times New Roman"/>
          <w:sz w:val="24"/>
          <w:szCs w:val="24"/>
          <w:lang w:val="es-ES"/>
        </w:rPr>
      </w:pPr>
    </w:p>
    <w:p w:rsidR="00B6358F" w:rsidRPr="00507C43" w:rsidRDefault="00585ED9" w:rsidP="00507C43">
      <w:pPr>
        <w:pStyle w:val="Textonotapie"/>
        <w:jc w:val="both"/>
        <w:rPr>
          <w:rFonts w:ascii="Times New Roman" w:hAnsi="Times New Roman"/>
          <w:sz w:val="24"/>
          <w:szCs w:val="24"/>
          <w:lang w:val="es-ES"/>
        </w:rPr>
      </w:pPr>
      <w:r w:rsidRPr="00507C43">
        <w:rPr>
          <w:rFonts w:ascii="Times New Roman" w:hAnsi="Times New Roman"/>
          <w:sz w:val="24"/>
          <w:szCs w:val="24"/>
          <w:lang w:val="es-ES"/>
        </w:rPr>
        <w:t xml:space="preserve">En el ámbito de las Naciones Unidas, el Grupo de Trabajo sobre Desapariciones Forzadas se ha pronunciado en numerosas ocasiones a favor de la autonomía del derecho a la verdad. En uno de sus informes (enero de 2011) </w:t>
      </w:r>
      <w:r w:rsidR="00951B5F" w:rsidRPr="00507C43">
        <w:rPr>
          <w:rFonts w:ascii="Times New Roman" w:hAnsi="Times New Roman"/>
          <w:sz w:val="24"/>
          <w:szCs w:val="24"/>
          <w:lang w:val="es-ES"/>
        </w:rPr>
        <w:t>se s</w:t>
      </w:r>
      <w:r w:rsidRPr="00507C43">
        <w:rPr>
          <w:rFonts w:ascii="Times New Roman" w:hAnsi="Times New Roman"/>
          <w:sz w:val="24"/>
          <w:szCs w:val="24"/>
          <w:lang w:val="es-ES"/>
        </w:rPr>
        <w:t>ubraya</w:t>
      </w:r>
      <w:r w:rsidR="00951B5F" w:rsidRPr="00507C43">
        <w:rPr>
          <w:rFonts w:ascii="Times New Roman" w:hAnsi="Times New Roman"/>
          <w:sz w:val="24"/>
          <w:szCs w:val="24"/>
          <w:lang w:val="es-ES"/>
        </w:rPr>
        <w:t xml:space="preserve"> especialmente</w:t>
      </w:r>
      <w:r w:rsidRPr="00507C43">
        <w:rPr>
          <w:rFonts w:ascii="Times New Roman" w:hAnsi="Times New Roman"/>
          <w:sz w:val="24"/>
          <w:szCs w:val="24"/>
          <w:lang w:val="es-ES"/>
        </w:rPr>
        <w:t xml:space="preserve"> que “el derecho a la verdad en relación con las desapariciones forzadas debe distinguirse claramente del derecho a la información</w:t>
      </w:r>
      <w:r w:rsidR="00951B5F" w:rsidRPr="00507C43">
        <w:rPr>
          <w:rFonts w:ascii="Times New Roman" w:hAnsi="Times New Roman"/>
          <w:sz w:val="24"/>
          <w:szCs w:val="24"/>
          <w:lang w:val="es-ES"/>
        </w:rPr>
        <w:t>”. Al efecto se advierte que el derecho “</w:t>
      </w:r>
      <w:r w:rsidRPr="00507C43">
        <w:rPr>
          <w:rFonts w:ascii="Times New Roman" w:hAnsi="Times New Roman"/>
          <w:sz w:val="24"/>
          <w:szCs w:val="24"/>
          <w:lang w:val="es-ES"/>
        </w:rPr>
        <w:t>de los familiares u otras personas con un interés legítimo y sus representantes o abogados a obtener información sobre una persona privada de libertad</w:t>
      </w:r>
      <w:r w:rsidR="00951B5F" w:rsidRPr="00507C43">
        <w:rPr>
          <w:rFonts w:ascii="Times New Roman" w:hAnsi="Times New Roman"/>
          <w:sz w:val="24"/>
          <w:szCs w:val="24"/>
          <w:lang w:val="es-ES"/>
        </w:rPr>
        <w:t>” debe</w:t>
      </w:r>
      <w:r w:rsidRPr="00507C43">
        <w:rPr>
          <w:rFonts w:ascii="Times New Roman" w:hAnsi="Times New Roman"/>
          <w:sz w:val="24"/>
          <w:szCs w:val="24"/>
          <w:lang w:val="es-ES"/>
        </w:rPr>
        <w:t xml:space="preserve"> considerarse </w:t>
      </w:r>
      <w:r w:rsidR="00951B5F" w:rsidRPr="00507C43">
        <w:rPr>
          <w:rFonts w:ascii="Times New Roman" w:hAnsi="Times New Roman"/>
          <w:sz w:val="24"/>
          <w:szCs w:val="24"/>
          <w:lang w:val="es-ES"/>
        </w:rPr>
        <w:t>un instrumento fundamental “</w:t>
      </w:r>
      <w:r w:rsidRPr="00507C43">
        <w:rPr>
          <w:rFonts w:ascii="Times New Roman" w:hAnsi="Times New Roman"/>
          <w:sz w:val="24"/>
          <w:szCs w:val="24"/>
          <w:lang w:val="es-ES"/>
        </w:rPr>
        <w:t>para evitar que se produzcan desapariciones forzadas</w:t>
      </w:r>
      <w:r w:rsidR="00951B5F" w:rsidRPr="00507C43">
        <w:rPr>
          <w:rFonts w:ascii="Times New Roman" w:hAnsi="Times New Roman"/>
          <w:sz w:val="24"/>
          <w:szCs w:val="24"/>
          <w:lang w:val="es-ES"/>
        </w:rPr>
        <w:t xml:space="preserve">”; y también que </w:t>
      </w:r>
      <w:r w:rsidR="00B6358F" w:rsidRPr="00507C43">
        <w:rPr>
          <w:rFonts w:ascii="Times New Roman" w:hAnsi="Times New Roman"/>
          <w:sz w:val="24"/>
          <w:szCs w:val="24"/>
          <w:lang w:val="es-ES"/>
        </w:rPr>
        <w:t>“e</w:t>
      </w:r>
      <w:r w:rsidR="00951B5F" w:rsidRPr="00507C43">
        <w:rPr>
          <w:rFonts w:ascii="Times New Roman" w:hAnsi="Times New Roman"/>
          <w:sz w:val="24"/>
          <w:szCs w:val="24"/>
          <w:lang w:val="es-ES"/>
        </w:rPr>
        <w:t>l derecho a la verdad implica que el Estado tiene la obligación de dar pleno acceso a la información disponible para permitir la búsqueda de las personas desaparecidas</w:t>
      </w:r>
      <w:r w:rsidR="00B6358F" w:rsidRPr="00507C43">
        <w:rPr>
          <w:rFonts w:ascii="Times New Roman" w:hAnsi="Times New Roman"/>
          <w:sz w:val="24"/>
          <w:szCs w:val="24"/>
          <w:lang w:val="es-ES"/>
        </w:rPr>
        <w:t>”, incluyendo “el pleno acceso a los archivos del Estado”, que “tras el fin de las investigaciones [habrán de] preservarse y ponerse a disposición del público”</w:t>
      </w:r>
      <w:r w:rsidR="00B31A92" w:rsidRPr="00B31A92">
        <w:rPr>
          <w:rFonts w:ascii="Times New Roman" w:hAnsi="Times New Roman"/>
          <w:sz w:val="24"/>
          <w:szCs w:val="24"/>
          <w:vertAlign w:val="superscript"/>
          <w:lang w:val="es-ES"/>
        </w:rPr>
        <w:t xml:space="preserve"> </w:t>
      </w:r>
      <w:r w:rsidR="00B31A92" w:rsidRPr="00B31A92">
        <w:rPr>
          <w:rFonts w:ascii="Times New Roman" w:hAnsi="Times New Roman"/>
          <w:sz w:val="24"/>
          <w:szCs w:val="24"/>
          <w:vertAlign w:val="superscript"/>
          <w:lang w:val="es-ES"/>
        </w:rPr>
        <w:footnoteReference w:id="75"/>
      </w:r>
      <w:r w:rsidR="00B31A92">
        <w:rPr>
          <w:rFonts w:ascii="Times New Roman" w:hAnsi="Times New Roman"/>
          <w:sz w:val="24"/>
          <w:szCs w:val="24"/>
          <w:lang w:val="es-ES"/>
        </w:rPr>
        <w:t>.</w:t>
      </w:r>
    </w:p>
    <w:p w:rsidR="00B6358F" w:rsidRPr="00507C43" w:rsidRDefault="00B6358F" w:rsidP="00507C43">
      <w:pPr>
        <w:pStyle w:val="Textonotapie"/>
        <w:jc w:val="both"/>
        <w:rPr>
          <w:rFonts w:ascii="Times New Roman" w:hAnsi="Times New Roman"/>
          <w:sz w:val="24"/>
          <w:szCs w:val="24"/>
          <w:lang w:val="es-ES"/>
        </w:rPr>
      </w:pPr>
    </w:p>
    <w:p w:rsidR="00EC10F9" w:rsidRPr="00507C43" w:rsidRDefault="00B44837" w:rsidP="00507C43">
      <w:pPr>
        <w:pStyle w:val="Textonotapie"/>
        <w:jc w:val="both"/>
        <w:rPr>
          <w:rFonts w:ascii="Times New Roman" w:hAnsi="Times New Roman"/>
          <w:sz w:val="24"/>
          <w:szCs w:val="24"/>
          <w:lang w:val="es-ES"/>
        </w:rPr>
      </w:pPr>
      <w:r w:rsidRPr="00507C43">
        <w:rPr>
          <w:rFonts w:ascii="Times New Roman" w:hAnsi="Times New Roman"/>
          <w:sz w:val="24"/>
          <w:szCs w:val="24"/>
          <w:lang w:val="es-ES"/>
        </w:rPr>
        <w:t>López Guerra</w:t>
      </w:r>
      <w:r w:rsidR="00B76C57">
        <w:rPr>
          <w:rFonts w:ascii="Times New Roman" w:hAnsi="Times New Roman"/>
          <w:sz w:val="24"/>
          <w:szCs w:val="24"/>
          <w:lang w:val="es-ES"/>
        </w:rPr>
        <w:t xml:space="preserve"> sostiene</w:t>
      </w:r>
      <w:r w:rsidRPr="00507C43">
        <w:rPr>
          <w:rFonts w:ascii="Times New Roman" w:hAnsi="Times New Roman"/>
          <w:sz w:val="24"/>
          <w:szCs w:val="24"/>
          <w:lang w:val="es-ES"/>
        </w:rPr>
        <w:t xml:space="preserve"> en este sentido que la sentencia </w:t>
      </w:r>
      <w:r w:rsidRPr="00507C43">
        <w:rPr>
          <w:rFonts w:ascii="Times New Roman" w:hAnsi="Times New Roman"/>
          <w:i/>
          <w:sz w:val="24"/>
          <w:szCs w:val="24"/>
          <w:lang w:val="es-ES"/>
        </w:rPr>
        <w:t>Magyar Helsinki</w:t>
      </w:r>
      <w:r w:rsidRPr="00507C43">
        <w:rPr>
          <w:rFonts w:ascii="Times New Roman" w:hAnsi="Times New Roman"/>
          <w:sz w:val="24"/>
          <w:szCs w:val="24"/>
          <w:lang w:val="es-ES"/>
        </w:rPr>
        <w:t xml:space="preserve"> “supone un cierto reconocimiento de un «derecho a la verdad» de titularidad pública”, en la medida en que permite que</w:t>
      </w:r>
      <w:r w:rsidR="00536593" w:rsidRPr="00507C43">
        <w:rPr>
          <w:rFonts w:ascii="Times New Roman" w:hAnsi="Times New Roman"/>
          <w:sz w:val="24"/>
          <w:szCs w:val="24"/>
          <w:lang w:val="es-ES"/>
        </w:rPr>
        <w:t xml:space="preserve"> en estos casos que tienen que ver con violaciones graves de derechos del Convenio, particularmente en aquellos que tienen que ver con muertes, torturas, secuestros o desapariciones con implicación de los poderes públicos, que son de indudable interés general, </w:t>
      </w:r>
      <w:r w:rsidRPr="00507C43">
        <w:rPr>
          <w:rFonts w:ascii="Times New Roman" w:hAnsi="Times New Roman"/>
          <w:sz w:val="24"/>
          <w:szCs w:val="24"/>
          <w:lang w:val="es-ES"/>
        </w:rPr>
        <w:t xml:space="preserve">determinados sujetos especialmente cualificados -aquellos que contribuyen a la formación de la opinión pública- puedan acceder </w:t>
      </w:r>
      <w:r w:rsidR="00536593" w:rsidRPr="00507C43">
        <w:rPr>
          <w:rFonts w:ascii="Times New Roman" w:hAnsi="Times New Roman"/>
          <w:sz w:val="24"/>
          <w:szCs w:val="24"/>
          <w:lang w:val="es-ES"/>
        </w:rPr>
        <w:t>a las fuentes de información (documentos, archivos, etc)</w:t>
      </w:r>
      <w:r w:rsidRPr="00507C43">
        <w:rPr>
          <w:rFonts w:ascii="Times New Roman" w:hAnsi="Times New Roman"/>
          <w:sz w:val="24"/>
          <w:szCs w:val="24"/>
          <w:lang w:val="es-ES"/>
        </w:rPr>
        <w:t xml:space="preserve"> con independencia de</w:t>
      </w:r>
      <w:r w:rsidR="00536593" w:rsidRPr="00507C43">
        <w:rPr>
          <w:rFonts w:ascii="Times New Roman" w:hAnsi="Times New Roman"/>
          <w:sz w:val="24"/>
          <w:szCs w:val="24"/>
          <w:lang w:val="es-ES"/>
        </w:rPr>
        <w:t xml:space="preserve"> del esclarecimiento de tales hechos se puedan derivar</w:t>
      </w:r>
      <w:r w:rsidRPr="00507C43">
        <w:rPr>
          <w:rFonts w:ascii="Times New Roman" w:hAnsi="Times New Roman"/>
          <w:sz w:val="24"/>
          <w:szCs w:val="24"/>
          <w:lang w:val="es-ES"/>
        </w:rPr>
        <w:t xml:space="preserve"> consecuencias sancionatorias, penales o de otro tipo</w:t>
      </w:r>
      <w:r w:rsidR="00536593" w:rsidRPr="00507C43">
        <w:rPr>
          <w:rStyle w:val="Refdenotaalpie"/>
          <w:rFonts w:ascii="Times New Roman" w:hAnsi="Times New Roman"/>
          <w:sz w:val="24"/>
          <w:szCs w:val="24"/>
          <w:lang w:val="es-ES"/>
        </w:rPr>
        <w:footnoteReference w:id="76"/>
      </w:r>
      <w:r w:rsidRPr="00507C43">
        <w:rPr>
          <w:rFonts w:ascii="Times New Roman" w:hAnsi="Times New Roman"/>
          <w:sz w:val="24"/>
          <w:szCs w:val="24"/>
          <w:lang w:val="es-ES"/>
        </w:rPr>
        <w:t>.</w:t>
      </w:r>
    </w:p>
    <w:p w:rsidR="004B3687" w:rsidRPr="00507C43" w:rsidRDefault="004B3687" w:rsidP="00507C43">
      <w:pPr>
        <w:pStyle w:val="Textonotapie"/>
        <w:jc w:val="both"/>
        <w:rPr>
          <w:rFonts w:ascii="Times New Roman" w:hAnsi="Times New Roman"/>
          <w:sz w:val="24"/>
          <w:szCs w:val="24"/>
          <w:lang w:val="es-ES"/>
        </w:rPr>
      </w:pPr>
    </w:p>
    <w:p w:rsidR="00D96DB1" w:rsidRPr="00507C43" w:rsidRDefault="00D96DB1" w:rsidP="00507C43">
      <w:pPr>
        <w:pStyle w:val="Textonotapie"/>
        <w:jc w:val="both"/>
        <w:rPr>
          <w:rFonts w:ascii="Times New Roman" w:eastAsia="Times New Roman" w:hAnsi="Times New Roman"/>
          <w:sz w:val="24"/>
          <w:szCs w:val="24"/>
          <w:lang w:val="es-ES"/>
        </w:rPr>
      </w:pPr>
      <w:r w:rsidRPr="00507C43">
        <w:rPr>
          <w:rFonts w:ascii="Times New Roman" w:eastAsia="Times New Roman" w:hAnsi="Times New Roman"/>
          <w:sz w:val="24"/>
          <w:szCs w:val="24"/>
          <w:lang w:val="es-ES"/>
        </w:rPr>
        <w:t>Un segundo argumento para defender la autonomía del derecho a la verdad cuando se invoca en el marco de la libertad de información es que</w:t>
      </w:r>
      <w:r w:rsidR="009D2E83" w:rsidRPr="00507C43">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si bien esta es suceptible de ser suspendida en casos excepcionales [</w:t>
      </w:r>
      <w:r w:rsidR="00235C07">
        <w:rPr>
          <w:rFonts w:ascii="Times New Roman" w:eastAsia="Times New Roman" w:hAnsi="Times New Roman"/>
          <w:sz w:val="24"/>
          <w:szCs w:val="24"/>
          <w:lang w:val="es-ES"/>
        </w:rPr>
        <w:t xml:space="preserve">por ejemplo, </w:t>
      </w:r>
      <w:r w:rsidRPr="00507C43">
        <w:rPr>
          <w:rFonts w:ascii="Times New Roman" w:eastAsia="Times New Roman" w:hAnsi="Times New Roman"/>
          <w:sz w:val="24"/>
          <w:szCs w:val="24"/>
          <w:lang w:val="es-ES"/>
        </w:rPr>
        <w:t>el artículo 55.1 de la Constitución española</w:t>
      </w:r>
      <w:r w:rsidR="00235C07">
        <w:rPr>
          <w:rFonts w:ascii="Times New Roman" w:eastAsia="Times New Roman" w:hAnsi="Times New Roman"/>
          <w:sz w:val="24"/>
          <w:szCs w:val="24"/>
          <w:lang w:val="es-ES"/>
        </w:rPr>
        <w:t xml:space="preserve"> lo</w:t>
      </w:r>
      <w:r w:rsidRPr="00507C43">
        <w:rPr>
          <w:rFonts w:ascii="Times New Roman" w:eastAsia="Times New Roman" w:hAnsi="Times New Roman"/>
          <w:sz w:val="24"/>
          <w:szCs w:val="24"/>
          <w:lang w:val="es-ES"/>
        </w:rPr>
        <w:t xml:space="preserve"> permite </w:t>
      </w:r>
      <w:r w:rsidR="009D2E83" w:rsidRPr="00507C43">
        <w:rPr>
          <w:rFonts w:ascii="Times New Roman" w:eastAsia="Times New Roman" w:hAnsi="Times New Roman"/>
          <w:sz w:val="24"/>
          <w:szCs w:val="24"/>
          <w:lang w:val="es-ES"/>
        </w:rPr>
        <w:t xml:space="preserve">cuando se acuerde la declaración del estado de </w:t>
      </w:r>
      <w:r w:rsidRPr="00507C43">
        <w:rPr>
          <w:rFonts w:ascii="Times New Roman" w:eastAsia="Times New Roman" w:hAnsi="Times New Roman"/>
          <w:sz w:val="24"/>
          <w:szCs w:val="24"/>
          <w:lang w:val="es-ES"/>
        </w:rPr>
        <w:t>de excepción o de sitio (artículo 116 CE)]</w:t>
      </w:r>
      <w:r w:rsidR="009D2E83" w:rsidRPr="00507C43">
        <w:rPr>
          <w:rFonts w:ascii="Times New Roman" w:eastAsia="Times New Roman" w:hAnsi="Times New Roman"/>
          <w:sz w:val="24"/>
          <w:szCs w:val="24"/>
          <w:lang w:val="es-ES"/>
        </w:rPr>
        <w:t xml:space="preserve">, </w:t>
      </w:r>
      <w:r w:rsidR="00235C07">
        <w:rPr>
          <w:rFonts w:ascii="Times New Roman" w:eastAsia="Times New Roman" w:hAnsi="Times New Roman"/>
          <w:sz w:val="24"/>
          <w:szCs w:val="24"/>
          <w:lang w:val="es-ES"/>
        </w:rPr>
        <w:t xml:space="preserve">la suspensión del derecho a la verdad </w:t>
      </w:r>
      <w:r w:rsidR="009D2E83" w:rsidRPr="00507C43">
        <w:rPr>
          <w:rFonts w:ascii="Times New Roman" w:eastAsia="Times New Roman" w:hAnsi="Times New Roman"/>
          <w:sz w:val="24"/>
          <w:szCs w:val="24"/>
          <w:lang w:val="es-ES"/>
        </w:rPr>
        <w:t>está absolutamente prohibida, salvo que razones</w:t>
      </w:r>
      <w:r w:rsidR="00235C07">
        <w:rPr>
          <w:rFonts w:ascii="Times New Roman" w:eastAsia="Times New Roman" w:hAnsi="Times New Roman"/>
          <w:sz w:val="24"/>
          <w:szCs w:val="24"/>
          <w:lang w:val="es-ES"/>
        </w:rPr>
        <w:t xml:space="preserve"> de Estado muy estrictas</w:t>
      </w:r>
      <w:r w:rsidR="00A91E2C" w:rsidRPr="00507C43">
        <w:rPr>
          <w:rFonts w:ascii="Times New Roman" w:eastAsia="Times New Roman" w:hAnsi="Times New Roman"/>
          <w:sz w:val="24"/>
          <w:szCs w:val="24"/>
          <w:lang w:val="es-ES"/>
        </w:rPr>
        <w:t xml:space="preserve"> </w:t>
      </w:r>
      <w:r w:rsidR="00235C07">
        <w:rPr>
          <w:rFonts w:ascii="Times New Roman" w:eastAsia="Times New Roman" w:hAnsi="Times New Roman"/>
          <w:sz w:val="24"/>
          <w:szCs w:val="24"/>
          <w:lang w:val="es-ES"/>
        </w:rPr>
        <w:t>lo exigieran</w:t>
      </w:r>
      <w:r w:rsidR="009D2E83" w:rsidRPr="00507C43">
        <w:rPr>
          <w:rFonts w:ascii="Times New Roman" w:eastAsia="Times New Roman" w:hAnsi="Times New Roman"/>
          <w:sz w:val="24"/>
          <w:szCs w:val="24"/>
          <w:lang w:val="es-ES"/>
        </w:rPr>
        <w:t>.</w:t>
      </w:r>
    </w:p>
    <w:p w:rsidR="00D96DB1" w:rsidRPr="00507C43" w:rsidRDefault="00D96DB1" w:rsidP="00507C43">
      <w:pPr>
        <w:pStyle w:val="Textonotapie"/>
        <w:jc w:val="both"/>
        <w:rPr>
          <w:rFonts w:ascii="Times New Roman" w:eastAsia="Times New Roman" w:hAnsi="Times New Roman"/>
          <w:sz w:val="24"/>
          <w:szCs w:val="24"/>
          <w:lang w:val="es-ES"/>
        </w:rPr>
      </w:pPr>
    </w:p>
    <w:p w:rsidR="00536593" w:rsidRPr="00507C43" w:rsidRDefault="00DD26A8" w:rsidP="00507C43">
      <w:pPr>
        <w:pStyle w:val="Textonotapie"/>
        <w:jc w:val="both"/>
        <w:rPr>
          <w:rFonts w:ascii="Times New Roman" w:hAnsi="Times New Roman"/>
          <w:sz w:val="24"/>
          <w:szCs w:val="24"/>
          <w:lang w:val="es-ES"/>
        </w:rPr>
      </w:pPr>
      <w:r w:rsidRPr="00507C43">
        <w:rPr>
          <w:rFonts w:ascii="Times New Roman" w:eastAsia="Times New Roman" w:hAnsi="Times New Roman"/>
          <w:sz w:val="24"/>
          <w:szCs w:val="24"/>
          <w:lang w:val="es-ES"/>
        </w:rPr>
        <w:t xml:space="preserve">Otra razón para defender la autonomía del derecho a la verdad cuando </w:t>
      </w:r>
      <w:r w:rsidR="00D96DB1" w:rsidRPr="00507C43">
        <w:rPr>
          <w:rFonts w:ascii="Times New Roman" w:eastAsia="Times New Roman" w:hAnsi="Times New Roman"/>
          <w:sz w:val="24"/>
          <w:szCs w:val="24"/>
          <w:lang w:val="es-ES"/>
        </w:rPr>
        <w:t>se invoca</w:t>
      </w:r>
      <w:r w:rsidRPr="00507C43">
        <w:rPr>
          <w:rFonts w:ascii="Times New Roman" w:eastAsia="Times New Roman" w:hAnsi="Times New Roman"/>
          <w:sz w:val="24"/>
          <w:szCs w:val="24"/>
          <w:lang w:val="es-ES"/>
        </w:rPr>
        <w:t xml:space="preserve"> en el marco de la libertad de información es que</w:t>
      </w:r>
      <w:r w:rsidR="002127BB" w:rsidRPr="00507C43">
        <w:rPr>
          <w:rFonts w:ascii="Times New Roman" w:eastAsia="Times New Roman" w:hAnsi="Times New Roman"/>
          <w:sz w:val="24"/>
          <w:szCs w:val="24"/>
          <w:lang w:val="es-ES"/>
        </w:rPr>
        <w:t>,</w:t>
      </w:r>
      <w:r w:rsidRPr="00507C43">
        <w:rPr>
          <w:rFonts w:ascii="Times New Roman" w:eastAsia="Times New Roman" w:hAnsi="Times New Roman"/>
          <w:sz w:val="24"/>
          <w:szCs w:val="24"/>
          <w:lang w:val="es-ES"/>
        </w:rPr>
        <w:t xml:space="preserve"> si consideramos que para no repetir los errores del pasado el conoci</w:t>
      </w:r>
      <w:r w:rsidR="002127BB" w:rsidRPr="00507C43">
        <w:rPr>
          <w:rFonts w:ascii="Times New Roman" w:eastAsia="Times New Roman" w:hAnsi="Times New Roman"/>
          <w:sz w:val="24"/>
          <w:szCs w:val="24"/>
          <w:lang w:val="es-ES"/>
        </w:rPr>
        <w:t>m</w:t>
      </w:r>
      <w:r w:rsidRPr="00507C43">
        <w:rPr>
          <w:rFonts w:ascii="Times New Roman" w:eastAsia="Times New Roman" w:hAnsi="Times New Roman"/>
          <w:sz w:val="24"/>
          <w:szCs w:val="24"/>
          <w:lang w:val="es-ES"/>
        </w:rPr>
        <w:t xml:space="preserve">iento de la historia es esencial, del derecho a la verdad se deriva la obligación que </w:t>
      </w:r>
      <w:r w:rsidR="001D6EC4" w:rsidRPr="00507C43">
        <w:rPr>
          <w:rFonts w:ascii="Times New Roman" w:hAnsi="Times New Roman"/>
          <w:sz w:val="24"/>
          <w:szCs w:val="24"/>
          <w:lang w:val="es-ES"/>
        </w:rPr>
        <w:t>el Estado tiene</w:t>
      </w:r>
      <w:r w:rsidR="00D66637" w:rsidRPr="00507C43">
        <w:rPr>
          <w:rFonts w:ascii="Times New Roman" w:hAnsi="Times New Roman"/>
          <w:sz w:val="24"/>
          <w:szCs w:val="24"/>
          <w:lang w:val="es-ES"/>
        </w:rPr>
        <w:t xml:space="preserve"> de </w:t>
      </w:r>
      <w:r w:rsidR="001350F0" w:rsidRPr="00507C43">
        <w:rPr>
          <w:rFonts w:ascii="Times New Roman" w:hAnsi="Times New Roman"/>
          <w:sz w:val="24"/>
          <w:szCs w:val="24"/>
          <w:lang w:val="es-ES"/>
        </w:rPr>
        <w:t>articular medidas que promuevan la recuperación, protección</w:t>
      </w:r>
      <w:r w:rsidR="00FA64C8" w:rsidRPr="00507C43">
        <w:rPr>
          <w:rFonts w:ascii="Times New Roman" w:hAnsi="Times New Roman"/>
          <w:sz w:val="24"/>
          <w:szCs w:val="24"/>
          <w:lang w:val="es-ES"/>
        </w:rPr>
        <w:t xml:space="preserve">, conservación </w:t>
      </w:r>
      <w:r w:rsidR="00FA64C8" w:rsidRPr="00507C43">
        <w:rPr>
          <w:rFonts w:ascii="Times New Roman" w:hAnsi="Times New Roman"/>
          <w:sz w:val="24"/>
          <w:szCs w:val="24"/>
          <w:lang w:val="es-ES"/>
        </w:rPr>
        <w:lastRenderedPageBreak/>
        <w:t>y difusión de</w:t>
      </w:r>
      <w:r w:rsidR="003D0EF9" w:rsidRPr="00507C43">
        <w:rPr>
          <w:rFonts w:ascii="Times New Roman" w:hAnsi="Times New Roman"/>
          <w:sz w:val="24"/>
          <w:szCs w:val="24"/>
          <w:lang w:val="es-ES"/>
        </w:rPr>
        <w:t xml:space="preserve"> las fuentes de conocimiento</w:t>
      </w:r>
      <w:r w:rsidR="001350F0" w:rsidRPr="00507C43">
        <w:rPr>
          <w:rStyle w:val="Refdenotaalpie"/>
          <w:rFonts w:ascii="Times New Roman" w:hAnsi="Times New Roman"/>
          <w:sz w:val="24"/>
          <w:szCs w:val="24"/>
          <w:lang w:val="es-ES"/>
        </w:rPr>
        <w:footnoteReference w:id="77"/>
      </w:r>
      <w:r w:rsidR="008E3AAD" w:rsidRPr="00507C43">
        <w:rPr>
          <w:rFonts w:ascii="Times New Roman" w:hAnsi="Times New Roman"/>
          <w:sz w:val="24"/>
          <w:szCs w:val="24"/>
          <w:lang w:val="es-ES"/>
        </w:rPr>
        <w:t xml:space="preserve">. </w:t>
      </w:r>
      <w:r w:rsidR="00D93658" w:rsidRPr="0004293D">
        <w:rPr>
          <w:rFonts w:ascii="Times New Roman" w:hAnsi="Times New Roman"/>
          <w:sz w:val="24"/>
          <w:szCs w:val="24"/>
          <w:lang w:val="es-ES"/>
        </w:rPr>
        <w:t>Esto es, no se trata solo de permitir el acceso, de compartir la información, el derecho a la verdad también obliga al Estado a custodiar esos documentos y archivos, recuperándolos y manteniéndolos, lo que resulta de particular importancia en los periodos transicionales en los que las autoridades del momento querrán deshacerse de aquellos que les resulten comprometidos</w:t>
      </w:r>
      <w:r w:rsidR="008E3AAD" w:rsidRPr="0004293D">
        <w:rPr>
          <w:rStyle w:val="Refdenotaalpie"/>
          <w:rFonts w:ascii="Times New Roman" w:hAnsi="Times New Roman"/>
          <w:sz w:val="24"/>
          <w:szCs w:val="24"/>
          <w:lang w:val="es-ES"/>
        </w:rPr>
        <w:footnoteReference w:id="78"/>
      </w:r>
      <w:r w:rsidR="008E3AAD" w:rsidRPr="0004293D">
        <w:rPr>
          <w:rFonts w:ascii="Times New Roman" w:hAnsi="Times New Roman"/>
          <w:sz w:val="24"/>
          <w:szCs w:val="24"/>
          <w:lang w:val="es-ES"/>
        </w:rPr>
        <w:t>.</w:t>
      </w:r>
    </w:p>
    <w:p w:rsidR="00536593" w:rsidRPr="00507C43" w:rsidRDefault="00536593" w:rsidP="00507C43">
      <w:pPr>
        <w:pStyle w:val="Textonotapie"/>
        <w:jc w:val="both"/>
        <w:rPr>
          <w:rFonts w:ascii="Times New Roman" w:hAnsi="Times New Roman"/>
          <w:sz w:val="24"/>
          <w:szCs w:val="24"/>
          <w:lang w:val="es-ES"/>
        </w:rPr>
      </w:pPr>
    </w:p>
    <w:p w:rsidR="001350F0" w:rsidRPr="00507C43" w:rsidRDefault="00E13DB6" w:rsidP="00507C43">
      <w:pPr>
        <w:pStyle w:val="Textonotapie"/>
        <w:jc w:val="both"/>
        <w:rPr>
          <w:rFonts w:ascii="Times New Roman" w:hAnsi="Times New Roman"/>
          <w:sz w:val="24"/>
          <w:szCs w:val="24"/>
          <w:lang w:val="es-ES"/>
        </w:rPr>
      </w:pPr>
      <w:r w:rsidRPr="006927BE">
        <w:rPr>
          <w:rFonts w:ascii="Times New Roman" w:hAnsi="Times New Roman"/>
          <w:sz w:val="24"/>
          <w:szCs w:val="24"/>
          <w:lang w:val="es-ES"/>
        </w:rPr>
        <w:t>Por el mismo motivo que acabamos de apuntar</w:t>
      </w:r>
      <w:r w:rsidR="00240436" w:rsidRPr="006927BE">
        <w:rPr>
          <w:rFonts w:ascii="Times New Roman" w:hAnsi="Times New Roman"/>
          <w:sz w:val="24"/>
          <w:szCs w:val="24"/>
          <w:lang w:val="es-ES"/>
        </w:rPr>
        <w:t>,</w:t>
      </w:r>
      <w:r w:rsidR="008E3AAD" w:rsidRPr="006927BE">
        <w:rPr>
          <w:rFonts w:ascii="Times New Roman" w:hAnsi="Times New Roman"/>
          <w:sz w:val="24"/>
          <w:szCs w:val="24"/>
          <w:lang w:val="es-ES"/>
        </w:rPr>
        <w:t xml:space="preserve"> por la obligación que el Estado tiene de preservar la</w:t>
      </w:r>
      <w:r w:rsidR="00240436" w:rsidRPr="006927BE">
        <w:rPr>
          <w:rFonts w:ascii="Times New Roman" w:hAnsi="Times New Roman"/>
          <w:sz w:val="24"/>
          <w:szCs w:val="24"/>
          <w:lang w:val="es-ES"/>
        </w:rPr>
        <w:t xml:space="preserve"> historia</w:t>
      </w:r>
      <w:r w:rsidR="008E3AAD" w:rsidRPr="006927BE">
        <w:rPr>
          <w:rFonts w:ascii="Times New Roman" w:hAnsi="Times New Roman"/>
          <w:sz w:val="24"/>
          <w:szCs w:val="24"/>
          <w:lang w:val="es-ES"/>
        </w:rPr>
        <w:t xml:space="preserve">, </w:t>
      </w:r>
      <w:r w:rsidRPr="006927BE">
        <w:rPr>
          <w:rFonts w:ascii="Times New Roman" w:hAnsi="Times New Roman"/>
          <w:sz w:val="24"/>
          <w:szCs w:val="24"/>
          <w:lang w:val="es-ES"/>
        </w:rPr>
        <w:t>el derecho a la verdad obliga también a combatir el revisionismo</w:t>
      </w:r>
      <w:r w:rsidR="002127BB" w:rsidRPr="006927BE">
        <w:rPr>
          <w:rFonts w:ascii="Times New Roman" w:hAnsi="Times New Roman"/>
          <w:sz w:val="24"/>
          <w:szCs w:val="24"/>
          <w:lang w:val="es-ES"/>
        </w:rPr>
        <w:t xml:space="preserve"> histórico que trata de confundir a la ciudadanía cuestionando o </w:t>
      </w:r>
      <w:r w:rsidR="00514000" w:rsidRPr="006927BE">
        <w:rPr>
          <w:rFonts w:ascii="Times New Roman" w:hAnsi="Times New Roman"/>
          <w:sz w:val="24"/>
          <w:szCs w:val="24"/>
          <w:lang w:val="es-ES"/>
        </w:rPr>
        <w:t>minimizando la realidad de graves violaciones de derechos humanos objetivamente demostrada</w:t>
      </w:r>
      <w:r w:rsidR="002127BB" w:rsidRPr="006927BE">
        <w:rPr>
          <w:rFonts w:ascii="Times New Roman" w:hAnsi="Times New Roman"/>
          <w:sz w:val="24"/>
          <w:szCs w:val="24"/>
          <w:lang w:val="es-ES"/>
        </w:rPr>
        <w:t>s.</w:t>
      </w:r>
      <w:r w:rsidR="006927BE" w:rsidRPr="006927BE">
        <w:rPr>
          <w:rFonts w:ascii="Times New Roman" w:hAnsi="Times New Roman"/>
          <w:color w:val="282425"/>
          <w:sz w:val="24"/>
          <w:szCs w:val="24"/>
          <w:lang w:val="es-ES"/>
        </w:rPr>
        <w:t xml:space="preserve"> </w:t>
      </w:r>
      <w:r w:rsidR="006927BE">
        <w:rPr>
          <w:rFonts w:ascii="Times New Roman" w:hAnsi="Times New Roman"/>
          <w:color w:val="282425"/>
          <w:sz w:val="24"/>
          <w:szCs w:val="24"/>
          <w:lang w:val="es-ES"/>
        </w:rPr>
        <w:t xml:space="preserve">No se trata, desde luego, de un </w:t>
      </w:r>
      <w:r w:rsidR="006927BE" w:rsidRPr="00507C43">
        <w:rPr>
          <w:rFonts w:ascii="Times New Roman" w:hAnsi="Times New Roman"/>
          <w:color w:val="282425"/>
          <w:sz w:val="24"/>
          <w:szCs w:val="24"/>
          <w:lang w:val="es-ES"/>
        </w:rPr>
        <w:t xml:space="preserve">argumento nuevo, pues el </w:t>
      </w:r>
      <w:r w:rsidR="006927BE" w:rsidRPr="00507C43">
        <w:rPr>
          <w:rFonts w:ascii="Didot" w:eastAsia="Times New Roman" w:hAnsi="Didot" w:cs="Didot"/>
          <w:sz w:val="24"/>
          <w:szCs w:val="24"/>
          <w:lang w:val="es-ES"/>
        </w:rPr>
        <w:t xml:space="preserve">informe elaborado en 1997 por Louis Joinet que acompaña al </w:t>
      </w:r>
      <w:r w:rsidR="006927BE" w:rsidRPr="00507C43">
        <w:rPr>
          <w:rFonts w:ascii="Didot" w:eastAsia="Times New Roman" w:hAnsi="Didot" w:cs="Didot"/>
          <w:i/>
          <w:sz w:val="24"/>
          <w:szCs w:val="24"/>
          <w:lang w:val="es-ES"/>
        </w:rPr>
        <w:t>Conjunto de Principios para la protección y la promoción de los derechos humanos mediante la lucha contra la impunidad</w:t>
      </w:r>
      <w:r w:rsidR="006927BE">
        <w:rPr>
          <w:rFonts w:ascii="Didot" w:eastAsia="Times New Roman" w:hAnsi="Didot" w:cs="Didot"/>
          <w:i/>
          <w:sz w:val="24"/>
          <w:szCs w:val="24"/>
          <w:lang w:val="es-ES"/>
        </w:rPr>
        <w:t xml:space="preserve"> </w:t>
      </w:r>
      <w:r w:rsidR="006927BE" w:rsidRPr="00507C43">
        <w:rPr>
          <w:rFonts w:ascii="Didot" w:eastAsia="Times New Roman" w:hAnsi="Didot" w:cs="Didot"/>
          <w:sz w:val="24"/>
          <w:szCs w:val="24"/>
          <w:lang w:val="es-ES"/>
        </w:rPr>
        <w:t>ya advertía que para evitar que las violaciones de derechos del pasado se puedan repetir en el futuro, “al Estado le incumbe el</w:t>
      </w:r>
      <w:r w:rsidR="006927BE" w:rsidRPr="00507C43">
        <w:rPr>
          <w:rFonts w:ascii="Times New Roman" w:hAnsi="Times New Roman"/>
          <w:color w:val="282425"/>
          <w:sz w:val="24"/>
          <w:szCs w:val="24"/>
          <w:lang w:val="es-ES"/>
        </w:rPr>
        <w:t xml:space="preserve"> “deber de recordar”, </w:t>
      </w:r>
      <w:r w:rsidR="006927BE" w:rsidRPr="00507C43">
        <w:rPr>
          <w:rFonts w:ascii="Didot" w:eastAsia="Times New Roman" w:hAnsi="Didot" w:cs="Didot"/>
          <w:sz w:val="24"/>
          <w:szCs w:val="24"/>
          <w:lang w:val="es-ES"/>
        </w:rPr>
        <w:t>a fin de protegerse contra esas tergiversaciones de la historia que llevan por nombre revisionismo y negacionismo”</w:t>
      </w:r>
      <w:r w:rsidR="006927BE" w:rsidRPr="00507C43">
        <w:rPr>
          <w:rFonts w:ascii="Didot" w:eastAsia="Times New Roman" w:hAnsi="Didot" w:cs="Didot"/>
          <w:sz w:val="24"/>
          <w:szCs w:val="24"/>
          <w:vertAlign w:val="superscript"/>
          <w:lang w:val="es-ES"/>
        </w:rPr>
        <w:footnoteReference w:id="79"/>
      </w:r>
      <w:r w:rsidR="006927BE" w:rsidRPr="00507C43">
        <w:rPr>
          <w:rFonts w:ascii="Didot" w:eastAsia="Times New Roman" w:hAnsi="Didot" w:cs="Didot"/>
          <w:sz w:val="24"/>
          <w:szCs w:val="24"/>
          <w:lang w:val="es-ES"/>
        </w:rPr>
        <w:t>.</w:t>
      </w:r>
    </w:p>
    <w:p w:rsidR="00D66637" w:rsidRPr="00507C43" w:rsidRDefault="00D66637" w:rsidP="00507C43">
      <w:pPr>
        <w:pStyle w:val="Textonotapie"/>
        <w:jc w:val="both"/>
        <w:rPr>
          <w:rFonts w:ascii="Times New Roman" w:hAnsi="Times New Roman"/>
          <w:sz w:val="24"/>
          <w:szCs w:val="24"/>
          <w:lang w:val="es-ES"/>
        </w:rPr>
      </w:pPr>
    </w:p>
    <w:p w:rsidR="006927BE" w:rsidRDefault="006C4A84" w:rsidP="006927BE">
      <w:pPr>
        <w:spacing w:after="0" w:line="240" w:lineRule="auto"/>
        <w:jc w:val="both"/>
        <w:rPr>
          <w:rFonts w:ascii="Times New Roman" w:hAnsi="Times New Roman"/>
          <w:color w:val="282425"/>
          <w:sz w:val="24"/>
          <w:szCs w:val="24"/>
          <w:lang w:val="es-ES"/>
        </w:rPr>
      </w:pPr>
      <w:r w:rsidRPr="00507C43">
        <w:rPr>
          <w:rFonts w:ascii="Times New Roman" w:eastAsia="Times New Roman" w:hAnsi="Times New Roman"/>
          <w:sz w:val="24"/>
          <w:szCs w:val="24"/>
          <w:lang w:val="es-ES" w:eastAsia="es-ES_tradnl"/>
        </w:rPr>
        <w:t xml:space="preserve">En relación con </w:t>
      </w:r>
      <w:r w:rsidR="00240436">
        <w:rPr>
          <w:rFonts w:ascii="Times New Roman" w:eastAsia="Times New Roman" w:hAnsi="Times New Roman"/>
          <w:sz w:val="24"/>
          <w:szCs w:val="24"/>
          <w:lang w:val="es-ES" w:eastAsia="es-ES_tradnl"/>
        </w:rPr>
        <w:t xml:space="preserve">este </w:t>
      </w:r>
      <w:r w:rsidRPr="00507C43">
        <w:rPr>
          <w:rFonts w:ascii="Times New Roman" w:eastAsia="Times New Roman" w:hAnsi="Times New Roman"/>
          <w:sz w:val="24"/>
          <w:szCs w:val="24"/>
          <w:lang w:val="es-ES" w:eastAsia="es-ES_tradnl"/>
        </w:rPr>
        <w:t xml:space="preserve">último aspecto que acabamos de indicar, merece la pena destacar el voto concurrente que redacta el juez </w:t>
      </w:r>
      <w:r w:rsidRPr="00507C43">
        <w:rPr>
          <w:rFonts w:ascii="Times New Roman" w:hAnsi="Times New Roman"/>
          <w:color w:val="282425"/>
          <w:sz w:val="24"/>
          <w:szCs w:val="24"/>
          <w:lang w:val="es-ES"/>
        </w:rPr>
        <w:t xml:space="preserve">L. Patricio Pazmiño Freire en la sentencia de la </w:t>
      </w:r>
      <w:r w:rsidR="00880BA0" w:rsidRPr="00880BA0">
        <w:rPr>
          <w:rFonts w:ascii="Times New Roman" w:hAnsi="Times New Roman"/>
          <w:color w:val="282425"/>
          <w:sz w:val="24"/>
          <w:szCs w:val="24"/>
          <w:lang w:val="es-ES"/>
        </w:rPr>
        <w:t xml:space="preserve">Corte Interamericana </w:t>
      </w:r>
      <w:r w:rsidRPr="00507C43">
        <w:rPr>
          <w:rFonts w:ascii="Times New Roman" w:hAnsi="Times New Roman"/>
          <w:color w:val="282425"/>
          <w:sz w:val="24"/>
          <w:szCs w:val="24"/>
          <w:lang w:val="es-ES"/>
        </w:rPr>
        <w:t xml:space="preserve">dictada en el </w:t>
      </w:r>
      <w:r w:rsidRPr="00507C43">
        <w:rPr>
          <w:rFonts w:ascii="Times New Roman" w:hAnsi="Times New Roman"/>
          <w:i/>
          <w:color w:val="282425"/>
          <w:sz w:val="24"/>
          <w:szCs w:val="24"/>
          <w:lang w:val="es-ES"/>
        </w:rPr>
        <w:t>C</w:t>
      </w:r>
      <w:r w:rsidR="009778AB" w:rsidRPr="00507C43">
        <w:rPr>
          <w:rFonts w:ascii="Times New Roman" w:hAnsi="Times New Roman"/>
          <w:i/>
          <w:color w:val="282425"/>
          <w:sz w:val="24"/>
          <w:szCs w:val="24"/>
          <w:lang w:val="es-ES"/>
        </w:rPr>
        <w:t>aso Familia Julien Grisonas vs. Argentina</w:t>
      </w:r>
      <w:r w:rsidR="009778AB" w:rsidRPr="00507C43">
        <w:rPr>
          <w:rFonts w:ascii="Times New Roman" w:hAnsi="Times New Roman"/>
          <w:color w:val="282425"/>
          <w:sz w:val="24"/>
          <w:szCs w:val="24"/>
          <w:lang w:val="es-ES"/>
        </w:rPr>
        <w:t xml:space="preserve">, </w:t>
      </w:r>
      <w:r w:rsidRPr="00507C43">
        <w:rPr>
          <w:rFonts w:ascii="Times New Roman" w:hAnsi="Times New Roman"/>
          <w:color w:val="282425"/>
          <w:sz w:val="24"/>
          <w:szCs w:val="24"/>
          <w:lang w:val="es-ES"/>
        </w:rPr>
        <w:t xml:space="preserve">donde se defiende la autonomía del derecho a la verdad argumentando que tal carácter fortalece la capacidad de este derecho para </w:t>
      </w:r>
      <w:r w:rsidR="004B3687" w:rsidRPr="00507C43">
        <w:rPr>
          <w:rFonts w:ascii="Times New Roman" w:hAnsi="Times New Roman"/>
          <w:color w:val="282425"/>
          <w:sz w:val="24"/>
          <w:szCs w:val="24"/>
          <w:lang w:val="es-ES"/>
        </w:rPr>
        <w:t xml:space="preserve">hacer frente a la denominada “posverdad”, </w:t>
      </w:r>
      <w:r w:rsidR="0069688B" w:rsidRPr="00507C43">
        <w:rPr>
          <w:rFonts w:ascii="Times New Roman" w:hAnsi="Times New Roman"/>
          <w:color w:val="282425"/>
          <w:sz w:val="24"/>
          <w:szCs w:val="24"/>
          <w:lang w:val="es-ES"/>
        </w:rPr>
        <w:t xml:space="preserve">esto es, para combatir </w:t>
      </w:r>
      <w:r w:rsidR="004B3687" w:rsidRPr="00507C43">
        <w:rPr>
          <w:rFonts w:ascii="Times New Roman" w:hAnsi="Times New Roman"/>
          <w:color w:val="282425"/>
          <w:sz w:val="24"/>
          <w:szCs w:val="24"/>
          <w:lang w:val="es-ES"/>
        </w:rPr>
        <w:t xml:space="preserve">la </w:t>
      </w:r>
      <w:r w:rsidR="004B3687" w:rsidRPr="00507C43">
        <w:rPr>
          <w:rFonts w:ascii="Times New Roman" w:hAnsi="Times New Roman"/>
          <w:sz w:val="24"/>
          <w:szCs w:val="24"/>
          <w:lang w:val="es-ES"/>
        </w:rPr>
        <w:t>d</w:t>
      </w:r>
      <w:r w:rsidR="004B3687" w:rsidRPr="00507C43">
        <w:rPr>
          <w:rFonts w:ascii="Times New Roman" w:hAnsi="Times New Roman"/>
          <w:color w:val="282425"/>
          <w:sz w:val="24"/>
          <w:szCs w:val="24"/>
          <w:lang w:val="es-ES"/>
        </w:rPr>
        <w:t>istorsión deliberada de la realidad que manipula creencias y emociones con el fin de influir en la opinión pública y en actitudes sociales</w:t>
      </w:r>
      <w:r w:rsidR="004B3687" w:rsidRPr="00507C43">
        <w:rPr>
          <w:rStyle w:val="Refdenotaalpie"/>
          <w:rFonts w:ascii="Times New Roman" w:hAnsi="Times New Roman"/>
          <w:color w:val="282425"/>
          <w:sz w:val="24"/>
          <w:szCs w:val="24"/>
          <w:lang w:val="es-ES"/>
        </w:rPr>
        <w:footnoteReference w:id="80"/>
      </w:r>
      <w:r w:rsidR="004B3687" w:rsidRPr="00507C43">
        <w:rPr>
          <w:rFonts w:ascii="Times New Roman" w:hAnsi="Times New Roman"/>
          <w:color w:val="282425"/>
          <w:sz w:val="24"/>
          <w:szCs w:val="24"/>
          <w:lang w:val="es-ES"/>
        </w:rPr>
        <w:t>.</w:t>
      </w:r>
      <w:r w:rsidR="0069688B" w:rsidRPr="00507C43">
        <w:rPr>
          <w:rFonts w:ascii="Times New Roman" w:hAnsi="Times New Roman"/>
          <w:color w:val="282425"/>
          <w:sz w:val="24"/>
          <w:szCs w:val="24"/>
          <w:lang w:val="es-ES"/>
        </w:rPr>
        <w:t xml:space="preserve"> </w:t>
      </w:r>
      <w:r w:rsidR="006927BE">
        <w:rPr>
          <w:rFonts w:ascii="Times New Roman" w:hAnsi="Times New Roman"/>
          <w:color w:val="282425"/>
          <w:sz w:val="24"/>
          <w:szCs w:val="24"/>
          <w:lang w:val="es-ES"/>
        </w:rPr>
        <w:t xml:space="preserve">A estos efectos, para hacer frente a estas malas artes que amenazan </w:t>
      </w:r>
      <w:r w:rsidR="006927BE" w:rsidRPr="00507C43">
        <w:rPr>
          <w:rFonts w:ascii="Didot" w:eastAsia="Times New Roman" w:hAnsi="Didot" w:cs="Didot"/>
          <w:sz w:val="24"/>
          <w:szCs w:val="24"/>
          <w:lang w:val="es-ES"/>
        </w:rPr>
        <w:t xml:space="preserve">el buen </w:t>
      </w:r>
      <w:r w:rsidR="006927BE" w:rsidRPr="00507C43">
        <w:rPr>
          <w:rFonts w:ascii="Times New Roman" w:hAnsi="Times New Roman"/>
          <w:color w:val="282425"/>
          <w:sz w:val="24"/>
          <w:szCs w:val="24"/>
          <w:lang w:val="es-ES"/>
        </w:rPr>
        <w:t>funcionamiento del sistema democrático</w:t>
      </w:r>
      <w:r w:rsidR="006927BE">
        <w:rPr>
          <w:rFonts w:ascii="Times New Roman" w:hAnsi="Times New Roman"/>
          <w:color w:val="282425"/>
          <w:sz w:val="24"/>
          <w:szCs w:val="24"/>
          <w:lang w:val="es-ES"/>
        </w:rPr>
        <w:t>, el juez Pazmiño entiend</w:t>
      </w:r>
      <w:r w:rsidR="00AB66D8">
        <w:rPr>
          <w:rFonts w:ascii="Times New Roman" w:hAnsi="Times New Roman"/>
          <w:color w:val="282425"/>
          <w:sz w:val="24"/>
          <w:szCs w:val="24"/>
          <w:lang w:val="es-ES"/>
        </w:rPr>
        <w:t>e</w:t>
      </w:r>
      <w:r w:rsidR="006927BE">
        <w:rPr>
          <w:rFonts w:ascii="Times New Roman" w:hAnsi="Times New Roman"/>
          <w:color w:val="282425"/>
          <w:sz w:val="24"/>
          <w:szCs w:val="24"/>
          <w:lang w:val="es-ES"/>
        </w:rPr>
        <w:t xml:space="preserve"> que</w:t>
      </w:r>
      <w:r w:rsidR="006927BE" w:rsidRPr="00507C43">
        <w:rPr>
          <w:rFonts w:ascii="Times New Roman" w:hAnsi="Times New Roman"/>
          <w:color w:val="282425"/>
          <w:sz w:val="24"/>
          <w:szCs w:val="24"/>
          <w:lang w:val="es-ES"/>
        </w:rPr>
        <w:t xml:space="preserve"> </w:t>
      </w:r>
      <w:r w:rsidR="006927BE">
        <w:rPr>
          <w:rFonts w:ascii="Times New Roman" w:hAnsi="Times New Roman"/>
          <w:color w:val="282425"/>
          <w:sz w:val="24"/>
          <w:szCs w:val="24"/>
          <w:lang w:val="es-ES"/>
        </w:rPr>
        <w:t>u</w:t>
      </w:r>
      <w:r w:rsidR="006927BE" w:rsidRPr="00507C43">
        <w:rPr>
          <w:rFonts w:ascii="Times New Roman" w:hAnsi="Times New Roman"/>
          <w:color w:val="282425"/>
          <w:sz w:val="24"/>
          <w:szCs w:val="24"/>
          <w:lang w:val="es-ES"/>
        </w:rPr>
        <w:t xml:space="preserve">n derecho a la verdad de titularidad colectiva permitiría </w:t>
      </w:r>
      <w:r w:rsidR="006927BE">
        <w:rPr>
          <w:rFonts w:ascii="Times New Roman" w:hAnsi="Times New Roman"/>
          <w:color w:val="282425"/>
          <w:sz w:val="24"/>
          <w:szCs w:val="24"/>
          <w:lang w:val="es-ES"/>
        </w:rPr>
        <w:t>contrarrestar</w:t>
      </w:r>
      <w:r w:rsidR="006927BE" w:rsidRPr="00507C43">
        <w:rPr>
          <w:rFonts w:ascii="Times New Roman" w:hAnsi="Times New Roman"/>
          <w:color w:val="282425"/>
          <w:sz w:val="24"/>
          <w:szCs w:val="24"/>
          <w:lang w:val="es-ES"/>
        </w:rPr>
        <w:t xml:space="preserve"> con mayor eficacia la manipulación que de los ciudadanos se pretende con la desinformación, estrategia que tiene </w:t>
      </w:r>
      <w:r w:rsidR="006927BE" w:rsidRPr="00507C43">
        <w:rPr>
          <w:rFonts w:ascii="Times New Roman" w:hAnsi="Times New Roman"/>
          <w:color w:val="282425"/>
          <w:sz w:val="24"/>
          <w:szCs w:val="24"/>
          <w:lang w:val="es-ES"/>
        </w:rPr>
        <w:lastRenderedPageBreak/>
        <w:t>múltiples caras y que en las nuevas tecnologías de la era digital ha encontrado un magnífico aliado.</w:t>
      </w:r>
    </w:p>
    <w:p w:rsidR="006927BE" w:rsidRDefault="006927BE" w:rsidP="006927BE">
      <w:pPr>
        <w:spacing w:after="0" w:line="240" w:lineRule="auto"/>
        <w:jc w:val="both"/>
        <w:rPr>
          <w:rFonts w:ascii="Times New Roman" w:hAnsi="Times New Roman"/>
          <w:color w:val="282425"/>
          <w:sz w:val="24"/>
          <w:szCs w:val="24"/>
          <w:lang w:val="es-ES"/>
        </w:rPr>
      </w:pPr>
    </w:p>
    <w:p w:rsidR="00677F54" w:rsidRDefault="00B22C89" w:rsidP="00507C43">
      <w:pPr>
        <w:spacing w:after="0" w:line="240" w:lineRule="auto"/>
        <w:jc w:val="both"/>
        <w:rPr>
          <w:rFonts w:ascii="Times New Roman" w:hAnsi="Times New Roman"/>
          <w:color w:val="282425"/>
          <w:sz w:val="24"/>
          <w:szCs w:val="24"/>
          <w:lang w:val="es-ES"/>
        </w:rPr>
      </w:pPr>
      <w:r w:rsidRPr="0004293D">
        <w:rPr>
          <w:rFonts w:ascii="Times New Roman" w:hAnsi="Times New Roman"/>
          <w:color w:val="282425"/>
          <w:sz w:val="24"/>
          <w:szCs w:val="24"/>
          <w:lang w:val="es-ES"/>
        </w:rPr>
        <w:t>A la espera de que el TEDH tenga la oportunidad de pronunciarse al respecto, entendemos que, p</w:t>
      </w:r>
      <w:r w:rsidR="00677F54" w:rsidRPr="0004293D">
        <w:rPr>
          <w:rFonts w:ascii="Times New Roman" w:hAnsi="Times New Roman"/>
          <w:color w:val="282425"/>
          <w:sz w:val="24"/>
          <w:szCs w:val="24"/>
          <w:lang w:val="es-ES"/>
        </w:rPr>
        <w:t>or las razones apuntadas</w:t>
      </w:r>
      <w:r w:rsidRPr="0004293D">
        <w:rPr>
          <w:rFonts w:ascii="Times New Roman" w:hAnsi="Times New Roman"/>
          <w:color w:val="282425"/>
          <w:sz w:val="24"/>
          <w:szCs w:val="24"/>
          <w:lang w:val="es-ES"/>
        </w:rPr>
        <w:t>,</w:t>
      </w:r>
      <w:r w:rsidR="00677F54" w:rsidRPr="0004293D">
        <w:rPr>
          <w:rFonts w:ascii="Times New Roman" w:hAnsi="Times New Roman"/>
          <w:color w:val="282425"/>
          <w:sz w:val="24"/>
          <w:szCs w:val="24"/>
          <w:lang w:val="es-ES"/>
        </w:rPr>
        <w:t xml:space="preserve"> el derecho a la verdad presenta unos rasgos o caracteres que lo diferencia</w:t>
      </w:r>
      <w:r w:rsidRPr="0004293D">
        <w:rPr>
          <w:rFonts w:ascii="Times New Roman" w:hAnsi="Times New Roman"/>
          <w:color w:val="282425"/>
          <w:sz w:val="24"/>
          <w:szCs w:val="24"/>
          <w:lang w:val="es-ES"/>
        </w:rPr>
        <w:t>n</w:t>
      </w:r>
      <w:r w:rsidR="00677F54" w:rsidRPr="0004293D">
        <w:rPr>
          <w:rFonts w:ascii="Times New Roman" w:hAnsi="Times New Roman"/>
          <w:color w:val="282425"/>
          <w:sz w:val="24"/>
          <w:szCs w:val="24"/>
          <w:lang w:val="es-ES"/>
        </w:rPr>
        <w:t xml:space="preserve"> del derec</w:t>
      </w:r>
      <w:r w:rsidRPr="0004293D">
        <w:rPr>
          <w:rFonts w:ascii="Times New Roman" w:hAnsi="Times New Roman"/>
          <w:color w:val="282425"/>
          <w:sz w:val="24"/>
          <w:szCs w:val="24"/>
          <w:lang w:val="es-ES"/>
        </w:rPr>
        <w:t>ho a la libertad de información y</w:t>
      </w:r>
      <w:r w:rsidR="0004293D" w:rsidRPr="0004293D">
        <w:rPr>
          <w:rFonts w:ascii="Times New Roman" w:hAnsi="Times New Roman"/>
          <w:color w:val="282425"/>
          <w:sz w:val="24"/>
          <w:szCs w:val="24"/>
          <w:lang w:val="es-ES"/>
        </w:rPr>
        <w:t>,</w:t>
      </w:r>
      <w:r w:rsidRPr="0004293D">
        <w:rPr>
          <w:rFonts w:ascii="Times New Roman" w:hAnsi="Times New Roman"/>
          <w:color w:val="282425"/>
          <w:sz w:val="24"/>
          <w:szCs w:val="24"/>
          <w:lang w:val="es-ES"/>
        </w:rPr>
        <w:t xml:space="preserve"> en ese sentido, en este otro ámbito ajeno al derecho de acceso a la justicia, podría</w:t>
      </w:r>
      <w:r w:rsidR="0004293D" w:rsidRPr="0004293D">
        <w:rPr>
          <w:rFonts w:ascii="Times New Roman" w:hAnsi="Times New Roman"/>
          <w:color w:val="282425"/>
          <w:sz w:val="24"/>
          <w:szCs w:val="24"/>
          <w:lang w:val="es-ES"/>
        </w:rPr>
        <w:t>mos</w:t>
      </w:r>
      <w:r w:rsidRPr="0004293D">
        <w:rPr>
          <w:rFonts w:ascii="Times New Roman" w:hAnsi="Times New Roman"/>
          <w:color w:val="282425"/>
          <w:sz w:val="24"/>
          <w:szCs w:val="24"/>
          <w:lang w:val="es-ES"/>
        </w:rPr>
        <w:t xml:space="preserve"> reconocer</w:t>
      </w:r>
      <w:r w:rsidR="0004293D" w:rsidRPr="0004293D">
        <w:rPr>
          <w:rFonts w:ascii="Times New Roman" w:hAnsi="Times New Roman"/>
          <w:color w:val="282425"/>
          <w:sz w:val="24"/>
          <w:szCs w:val="24"/>
          <w:lang w:val="es-ES"/>
        </w:rPr>
        <w:t>lo</w:t>
      </w:r>
      <w:r w:rsidRPr="0004293D">
        <w:rPr>
          <w:rFonts w:ascii="Times New Roman" w:hAnsi="Times New Roman"/>
          <w:color w:val="282425"/>
          <w:sz w:val="24"/>
          <w:szCs w:val="24"/>
          <w:lang w:val="es-ES"/>
        </w:rPr>
        <w:t xml:space="preserve"> como un derecho autónomo o con</w:t>
      </w:r>
      <w:r w:rsidR="0004293D" w:rsidRPr="0004293D">
        <w:rPr>
          <w:rFonts w:ascii="Times New Roman" w:hAnsi="Times New Roman"/>
          <w:color w:val="282425"/>
          <w:sz w:val="24"/>
          <w:szCs w:val="24"/>
          <w:lang w:val="es-ES"/>
        </w:rPr>
        <w:t xml:space="preserve"> una</w:t>
      </w:r>
      <w:r w:rsidRPr="0004293D">
        <w:rPr>
          <w:rFonts w:ascii="Times New Roman" w:hAnsi="Times New Roman"/>
          <w:color w:val="282425"/>
          <w:sz w:val="24"/>
          <w:szCs w:val="24"/>
          <w:lang w:val="es-ES"/>
        </w:rPr>
        <w:t xml:space="preserve"> sustantividad propia.</w:t>
      </w:r>
      <w:r w:rsidR="00677F54">
        <w:rPr>
          <w:rFonts w:ascii="Times New Roman" w:hAnsi="Times New Roman"/>
          <w:color w:val="282425"/>
          <w:sz w:val="24"/>
          <w:szCs w:val="24"/>
          <w:lang w:val="es-ES"/>
        </w:rPr>
        <w:t xml:space="preserve"> </w:t>
      </w:r>
    </w:p>
    <w:p w:rsidR="00677F54" w:rsidRDefault="00677F54" w:rsidP="00507C43">
      <w:pPr>
        <w:spacing w:after="0" w:line="240" w:lineRule="auto"/>
        <w:jc w:val="both"/>
        <w:rPr>
          <w:rFonts w:ascii="Times New Roman" w:hAnsi="Times New Roman"/>
          <w:color w:val="282425"/>
          <w:sz w:val="24"/>
          <w:szCs w:val="24"/>
          <w:lang w:val="es-ES"/>
        </w:rPr>
      </w:pPr>
    </w:p>
    <w:p w:rsidR="00246B54" w:rsidRDefault="00246B54" w:rsidP="00507C43">
      <w:pPr>
        <w:spacing w:after="0" w:line="240" w:lineRule="auto"/>
        <w:jc w:val="both"/>
        <w:rPr>
          <w:rFonts w:ascii="Times New Roman" w:hAnsi="Times New Roman"/>
          <w:color w:val="282425"/>
          <w:sz w:val="24"/>
          <w:szCs w:val="24"/>
          <w:lang w:val="es-ES"/>
        </w:rPr>
      </w:pPr>
    </w:p>
    <w:p w:rsidR="00246B54" w:rsidRDefault="0004293D" w:rsidP="00246B54">
      <w:pPr>
        <w:jc w:val="both"/>
        <w:rPr>
          <w:rFonts w:ascii="Times New Roman" w:hAnsi="Times New Roman"/>
          <w:sz w:val="24"/>
          <w:szCs w:val="24"/>
        </w:rPr>
      </w:pPr>
      <w:r>
        <w:rPr>
          <w:rFonts w:ascii="Times New Roman" w:hAnsi="Times New Roman"/>
          <w:b/>
          <w:sz w:val="24"/>
          <w:szCs w:val="24"/>
        </w:rPr>
        <w:t xml:space="preserve">VI. </w:t>
      </w:r>
      <w:r w:rsidRPr="00211BB3">
        <w:rPr>
          <w:rFonts w:ascii="Times New Roman" w:hAnsi="Times New Roman"/>
          <w:b/>
          <w:sz w:val="24"/>
          <w:szCs w:val="24"/>
        </w:rPr>
        <w:t>NOTA FINAL DE JURISPRUDENCIA Y BIBLIOGRAFÍA</w:t>
      </w:r>
      <w:r w:rsidR="00246B54">
        <w:rPr>
          <w:rStyle w:val="Refdenotaalpie"/>
          <w:rFonts w:ascii="Times New Roman" w:hAnsi="Times New Roman"/>
          <w:noProof/>
          <w:sz w:val="24"/>
          <w:szCs w:val="24"/>
          <w:lang w:val="es-ES" w:eastAsia="fr-FR"/>
        </w:rPr>
        <w:footnoteReference w:id="81"/>
      </w:r>
    </w:p>
    <w:p w:rsidR="00246B54" w:rsidRDefault="00246B54" w:rsidP="00246B54">
      <w:pPr>
        <w:jc w:val="both"/>
        <w:rPr>
          <w:rFonts w:ascii="Times New Roman" w:hAnsi="Times New Roman"/>
          <w:sz w:val="24"/>
          <w:szCs w:val="24"/>
        </w:rPr>
      </w:pPr>
      <w:r w:rsidRPr="00246B54">
        <w:rPr>
          <w:rFonts w:ascii="Times New Roman" w:hAnsi="Times New Roman"/>
          <w:b/>
          <w:sz w:val="24"/>
          <w:szCs w:val="24"/>
        </w:rPr>
        <w:t>En relación con el derecho a la verdad en la jurisprudencia de la Corte Interamericana</w:t>
      </w:r>
      <w:r>
        <w:rPr>
          <w:rFonts w:ascii="Times New Roman" w:hAnsi="Times New Roman"/>
          <w:sz w:val="24"/>
          <w:szCs w:val="24"/>
        </w:rPr>
        <w:t xml:space="preserve">: </w:t>
      </w:r>
      <w:r w:rsidRPr="00E03025">
        <w:rPr>
          <w:rFonts w:ascii="Times New Roman" w:hAnsi="Times New Roman"/>
          <w:bCs/>
          <w:i/>
          <w:iCs/>
          <w:sz w:val="24"/>
          <w:szCs w:val="24"/>
          <w:lang w:val="es-MX"/>
        </w:rPr>
        <w:t xml:space="preserve">Caso Velásquez Rodríguez Vs. Honduras. </w:t>
      </w:r>
      <w:r w:rsidRPr="00E03025">
        <w:rPr>
          <w:rFonts w:ascii="Times New Roman" w:hAnsi="Times New Roman"/>
          <w:i/>
          <w:sz w:val="24"/>
          <w:szCs w:val="24"/>
          <w:lang w:val="es-CR"/>
        </w:rPr>
        <w:t>Excepciones Preliminares, Fondo, Reparaciones y Costas</w:t>
      </w:r>
      <w:r w:rsidRPr="00E03025">
        <w:rPr>
          <w:rFonts w:ascii="Times New Roman" w:hAnsi="Times New Roman"/>
          <w:bCs/>
          <w:sz w:val="24"/>
          <w:szCs w:val="24"/>
          <w:lang w:val="es-MX"/>
        </w:rPr>
        <w:t>. S</w:t>
      </w:r>
      <w:r>
        <w:rPr>
          <w:rFonts w:ascii="Times New Roman" w:hAnsi="Times New Roman"/>
          <w:bCs/>
          <w:sz w:val="24"/>
          <w:szCs w:val="24"/>
          <w:lang w:val="es-MX"/>
        </w:rPr>
        <w:t xml:space="preserve">entencia de 29 de julio de 1988; </w:t>
      </w:r>
      <w:r w:rsidRPr="00E03025">
        <w:rPr>
          <w:rFonts w:ascii="Times New Roman" w:hAnsi="Times New Roman"/>
          <w:bCs/>
          <w:i/>
          <w:iCs/>
          <w:sz w:val="24"/>
          <w:szCs w:val="24"/>
          <w:lang w:val="es-MX"/>
        </w:rPr>
        <w:t>Caso Godínez Cruz Vs. Honduras. Fondo</w:t>
      </w:r>
      <w:r w:rsidRPr="00E03025">
        <w:rPr>
          <w:rFonts w:ascii="Times New Roman" w:hAnsi="Times New Roman"/>
          <w:bCs/>
          <w:sz w:val="24"/>
          <w:szCs w:val="24"/>
          <w:lang w:val="es-MX"/>
        </w:rPr>
        <w:t>. Sentencia de 20 de enero de 1989</w:t>
      </w:r>
      <w:r>
        <w:rPr>
          <w:rFonts w:ascii="Times New Roman" w:hAnsi="Times New Roman"/>
          <w:bCs/>
          <w:sz w:val="24"/>
          <w:szCs w:val="24"/>
          <w:lang w:val="es-MX"/>
        </w:rPr>
        <w:t xml:space="preserve">; </w:t>
      </w:r>
      <w:r w:rsidRPr="00E03025">
        <w:rPr>
          <w:rFonts w:ascii="Times New Roman" w:hAnsi="Times New Roman"/>
          <w:bCs/>
          <w:i/>
          <w:iCs/>
          <w:sz w:val="24"/>
          <w:szCs w:val="24"/>
          <w:lang w:val="es-MX"/>
        </w:rPr>
        <w:t>Caso Castillo Páez Vs. Perú. Fondo</w:t>
      </w:r>
      <w:r w:rsidRPr="00E03025">
        <w:rPr>
          <w:rFonts w:ascii="Times New Roman" w:hAnsi="Times New Roman"/>
          <w:bCs/>
          <w:iCs/>
          <w:sz w:val="24"/>
          <w:szCs w:val="24"/>
          <w:lang w:val="es-MX"/>
        </w:rPr>
        <w:t>.</w:t>
      </w:r>
      <w:r w:rsidRPr="00E03025">
        <w:rPr>
          <w:rFonts w:ascii="Times New Roman" w:hAnsi="Times New Roman"/>
          <w:bCs/>
          <w:sz w:val="24"/>
          <w:szCs w:val="24"/>
          <w:lang w:val="es-MX"/>
        </w:rPr>
        <w:t xml:space="preserve"> Sentencia de </w:t>
      </w:r>
      <w:smartTag w:uri="urn:schemas-microsoft-com:office:smarttags" w:element="date">
        <w:smartTagPr>
          <w:attr w:name="Year" w:val="1997"/>
          <w:attr w:name="Day" w:val="3"/>
          <w:attr w:name="Month" w:val="11"/>
          <w:attr w:name="ls" w:val="trans"/>
        </w:smartTagPr>
        <w:r w:rsidRPr="00E03025">
          <w:rPr>
            <w:rFonts w:ascii="Times New Roman" w:hAnsi="Times New Roman"/>
            <w:bCs/>
            <w:sz w:val="24"/>
            <w:szCs w:val="24"/>
            <w:lang w:val="es-MX"/>
          </w:rPr>
          <w:t>3 de noviembre de 1997</w:t>
        </w:r>
        <w:r>
          <w:rPr>
            <w:rFonts w:ascii="Times New Roman" w:hAnsi="Times New Roman"/>
            <w:bCs/>
            <w:sz w:val="24"/>
            <w:szCs w:val="24"/>
            <w:lang w:val="es-MX"/>
          </w:rPr>
          <w:t xml:space="preserve">; </w:t>
        </w:r>
      </w:smartTag>
      <w:r w:rsidRPr="00E03025">
        <w:rPr>
          <w:rFonts w:ascii="Times New Roman" w:hAnsi="Times New Roman"/>
          <w:bCs/>
          <w:i/>
          <w:iCs/>
          <w:sz w:val="24"/>
          <w:szCs w:val="24"/>
          <w:lang w:val="es-MX"/>
        </w:rPr>
        <w:t>Caso Bámaca Velásquez Vs. Guatemala. Fondo.</w:t>
      </w:r>
      <w:r w:rsidRPr="00E03025">
        <w:rPr>
          <w:rFonts w:ascii="Times New Roman" w:hAnsi="Times New Roman"/>
          <w:bCs/>
          <w:sz w:val="24"/>
          <w:szCs w:val="24"/>
          <w:lang w:val="es-MX"/>
        </w:rPr>
        <w:t xml:space="preserve"> Sentencia de </w:t>
      </w:r>
      <w:smartTag w:uri="urn:schemas-microsoft-com:office:smarttags" w:element="date">
        <w:smartTagPr>
          <w:attr w:name="Year" w:val="2000"/>
          <w:attr w:name="Day" w:val="25"/>
          <w:attr w:name="Month" w:val="11"/>
          <w:attr w:name="ls" w:val="trans"/>
        </w:smartTagPr>
        <w:r w:rsidRPr="00E03025">
          <w:rPr>
            <w:rFonts w:ascii="Times New Roman" w:hAnsi="Times New Roman"/>
            <w:bCs/>
            <w:sz w:val="24"/>
            <w:szCs w:val="24"/>
            <w:lang w:val="es-MX"/>
          </w:rPr>
          <w:t>25 de noviembre de 2000</w:t>
        </w:r>
      </w:smartTag>
      <w:r>
        <w:rPr>
          <w:rFonts w:ascii="Times New Roman" w:hAnsi="Times New Roman"/>
          <w:bCs/>
          <w:sz w:val="24"/>
          <w:szCs w:val="24"/>
          <w:lang w:val="es-MX"/>
        </w:rPr>
        <w:t xml:space="preserve">; </w:t>
      </w:r>
      <w:r w:rsidRPr="00E03025">
        <w:rPr>
          <w:rFonts w:ascii="Times New Roman" w:hAnsi="Times New Roman"/>
          <w:bCs/>
          <w:i/>
          <w:sz w:val="24"/>
          <w:szCs w:val="24"/>
          <w:lang w:val="es-ES_tradnl"/>
        </w:rPr>
        <w:t>Caso Barrios Altos Vs. Perú. Fondo</w:t>
      </w:r>
      <w:r w:rsidRPr="00E03025">
        <w:rPr>
          <w:rFonts w:ascii="Times New Roman" w:hAnsi="Times New Roman"/>
          <w:bCs/>
          <w:sz w:val="24"/>
          <w:szCs w:val="24"/>
          <w:lang w:val="es-ES_tradnl"/>
        </w:rPr>
        <w:t xml:space="preserve">, Sentencia de </w:t>
      </w:r>
      <w:smartTag w:uri="urn:schemas-microsoft-com:office:smarttags" w:element="date">
        <w:smartTagPr>
          <w:attr w:name="Year" w:val="2001"/>
          <w:attr w:name="Day" w:val="14"/>
          <w:attr w:name="Month" w:val="3"/>
          <w:attr w:name="ls" w:val="trans"/>
        </w:smartTagPr>
        <w:r w:rsidRPr="00E03025">
          <w:rPr>
            <w:rFonts w:ascii="Times New Roman" w:hAnsi="Times New Roman"/>
            <w:bCs/>
            <w:sz w:val="24"/>
            <w:szCs w:val="24"/>
            <w:lang w:val="es-ES_tradnl"/>
          </w:rPr>
          <w:t>14 de marzo de 2001</w:t>
        </w:r>
        <w:r>
          <w:rPr>
            <w:rFonts w:ascii="Times New Roman" w:hAnsi="Times New Roman"/>
            <w:bCs/>
            <w:sz w:val="24"/>
            <w:szCs w:val="24"/>
            <w:lang w:val="es-ES_tradnl"/>
          </w:rPr>
          <w:t xml:space="preserve">; </w:t>
        </w:r>
      </w:smartTag>
      <w:r w:rsidRPr="00E03025">
        <w:rPr>
          <w:rFonts w:ascii="Times New Roman" w:hAnsi="Times New Roman"/>
          <w:bCs/>
          <w:i/>
          <w:iCs/>
          <w:sz w:val="24"/>
          <w:szCs w:val="24"/>
        </w:rPr>
        <w:t xml:space="preserve">Caso Bulacio Vs. Argentina. Fondo, Reparaciones y Costas. </w:t>
      </w:r>
      <w:r w:rsidRPr="00E03025">
        <w:rPr>
          <w:rFonts w:ascii="Times New Roman" w:hAnsi="Times New Roman"/>
          <w:bCs/>
          <w:sz w:val="24"/>
          <w:szCs w:val="24"/>
        </w:rPr>
        <w:t>Sentencia de 18 de septiembre de 2003</w:t>
      </w:r>
      <w:r>
        <w:rPr>
          <w:rFonts w:ascii="Times New Roman" w:hAnsi="Times New Roman"/>
          <w:bCs/>
          <w:sz w:val="24"/>
          <w:szCs w:val="24"/>
        </w:rPr>
        <w:t xml:space="preserve">; </w:t>
      </w:r>
      <w:r w:rsidRPr="00E03025">
        <w:rPr>
          <w:rFonts w:ascii="Times New Roman" w:hAnsi="Times New Roman"/>
          <w:bCs/>
          <w:i/>
          <w:iCs/>
          <w:sz w:val="24"/>
          <w:szCs w:val="24"/>
        </w:rPr>
        <w:t xml:space="preserve">Caso Myrna Mack Chang Vs. Guatemala Fondo. Reparaciones y Costas, </w:t>
      </w:r>
      <w:r w:rsidRPr="0050379F">
        <w:rPr>
          <w:rFonts w:ascii="Times New Roman" w:hAnsi="Times New Roman"/>
          <w:bCs/>
          <w:iCs/>
          <w:sz w:val="24"/>
          <w:szCs w:val="24"/>
        </w:rPr>
        <w:t>de 25 de noviembre de 2003</w:t>
      </w:r>
      <w:r>
        <w:rPr>
          <w:rFonts w:ascii="Times New Roman" w:hAnsi="Times New Roman"/>
          <w:bCs/>
          <w:i/>
          <w:iCs/>
          <w:sz w:val="24"/>
          <w:szCs w:val="24"/>
        </w:rPr>
        <w:t xml:space="preserve">; </w:t>
      </w:r>
      <w:r w:rsidRPr="00E03025">
        <w:rPr>
          <w:rFonts w:ascii="Times New Roman" w:hAnsi="Times New Roman"/>
          <w:bCs/>
          <w:i/>
          <w:iCs/>
          <w:sz w:val="24"/>
          <w:szCs w:val="24"/>
        </w:rPr>
        <w:t xml:space="preserve">Caso Carpio Nicolle y otros Vs. Guatemala. Fondo, Reparaciones y Costas. </w:t>
      </w:r>
      <w:r w:rsidRPr="0050379F">
        <w:rPr>
          <w:rFonts w:ascii="Times New Roman" w:hAnsi="Times New Roman"/>
          <w:bCs/>
          <w:iCs/>
          <w:sz w:val="24"/>
          <w:szCs w:val="24"/>
        </w:rPr>
        <w:t>Sentencia de 22 de noviembre de 2004</w:t>
      </w:r>
      <w:r>
        <w:rPr>
          <w:rFonts w:ascii="Times New Roman" w:hAnsi="Times New Roman"/>
          <w:bCs/>
          <w:iCs/>
          <w:sz w:val="24"/>
          <w:szCs w:val="24"/>
        </w:rPr>
        <w:t xml:space="preserve">; </w:t>
      </w:r>
      <w:r w:rsidRPr="00E03025">
        <w:rPr>
          <w:rFonts w:ascii="Times New Roman" w:hAnsi="Times New Roman"/>
          <w:bCs/>
          <w:i/>
          <w:iCs/>
          <w:sz w:val="24"/>
          <w:szCs w:val="24"/>
        </w:rPr>
        <w:t xml:space="preserve">Gómez Palomino Vs. Perú. Fondo, Reparaciones y Costas. </w:t>
      </w:r>
      <w:r w:rsidRPr="0050379F">
        <w:rPr>
          <w:rFonts w:ascii="Times New Roman" w:hAnsi="Times New Roman"/>
          <w:bCs/>
          <w:iCs/>
          <w:sz w:val="24"/>
          <w:szCs w:val="24"/>
        </w:rPr>
        <w:t>Sentencia de 22 de noviembre de 2005</w:t>
      </w:r>
      <w:r>
        <w:rPr>
          <w:rFonts w:ascii="Times New Roman" w:hAnsi="Times New Roman"/>
          <w:bCs/>
          <w:iCs/>
          <w:sz w:val="24"/>
          <w:szCs w:val="24"/>
        </w:rPr>
        <w:t xml:space="preserve">; </w:t>
      </w:r>
      <w:r w:rsidRPr="00E03025">
        <w:rPr>
          <w:rFonts w:ascii="Times New Roman" w:hAnsi="Times New Roman"/>
          <w:bCs/>
          <w:i/>
          <w:iCs/>
          <w:sz w:val="24"/>
          <w:szCs w:val="24"/>
          <w:lang w:val="es-MX"/>
        </w:rPr>
        <w:t xml:space="preserve">Caso Goiburú y otros Vs. Paraguay. Fondo, Reparaciones y Costas. </w:t>
      </w:r>
      <w:r w:rsidRPr="00E03025">
        <w:rPr>
          <w:rFonts w:ascii="Times New Roman" w:hAnsi="Times New Roman"/>
          <w:bCs/>
          <w:iCs/>
          <w:sz w:val="24"/>
          <w:szCs w:val="24"/>
          <w:lang w:val="es-MX"/>
        </w:rPr>
        <w:t>Senten</w:t>
      </w:r>
      <w:r>
        <w:rPr>
          <w:rFonts w:ascii="Times New Roman" w:hAnsi="Times New Roman"/>
          <w:bCs/>
          <w:iCs/>
          <w:sz w:val="24"/>
          <w:szCs w:val="24"/>
          <w:lang w:val="es-MX"/>
        </w:rPr>
        <w:t xml:space="preserve">cia de 22 de septiembre de 2006; </w:t>
      </w:r>
      <w:r w:rsidRPr="00E03025">
        <w:rPr>
          <w:rFonts w:ascii="Times New Roman" w:hAnsi="Times New Roman"/>
          <w:bCs/>
          <w:i/>
          <w:iCs/>
          <w:sz w:val="24"/>
          <w:szCs w:val="24"/>
        </w:rPr>
        <w:t>Heliodoro Portugal Vs. Panamá. Excepciones Preliminares, Fondo, Reparaciones y Costas</w:t>
      </w:r>
      <w:r w:rsidRPr="00E03025">
        <w:rPr>
          <w:rFonts w:ascii="Times New Roman" w:hAnsi="Times New Roman"/>
          <w:bCs/>
          <w:iCs/>
          <w:sz w:val="24"/>
          <w:szCs w:val="24"/>
        </w:rPr>
        <w:t>. Sentencia de 12 de agosto de 2008</w:t>
      </w:r>
      <w:r>
        <w:rPr>
          <w:rFonts w:ascii="Times New Roman" w:hAnsi="Times New Roman"/>
          <w:bCs/>
          <w:iCs/>
          <w:sz w:val="24"/>
          <w:szCs w:val="24"/>
        </w:rPr>
        <w:t xml:space="preserve">; </w:t>
      </w:r>
      <w:r w:rsidRPr="00E03025">
        <w:rPr>
          <w:rFonts w:ascii="Times New Roman" w:hAnsi="Times New Roman"/>
          <w:bCs/>
          <w:i/>
          <w:iCs/>
          <w:sz w:val="24"/>
          <w:szCs w:val="24"/>
        </w:rPr>
        <w:t xml:space="preserve">Caso Tiu Tojín Vs. Guatemala. Fondo, Reparaciones y Costas. </w:t>
      </w:r>
      <w:r w:rsidRPr="00E03025">
        <w:rPr>
          <w:rFonts w:ascii="Times New Roman" w:hAnsi="Times New Roman"/>
          <w:bCs/>
          <w:iCs/>
          <w:sz w:val="24"/>
          <w:szCs w:val="24"/>
        </w:rPr>
        <w:t xml:space="preserve">Sentencia de </w:t>
      </w:r>
      <w:smartTag w:uri="urn:schemas-microsoft-com:office:smarttags" w:element="date">
        <w:smartTagPr>
          <w:attr w:name="Year" w:val="2008"/>
          <w:attr w:name="Day" w:val="26"/>
          <w:attr w:name="Month" w:val="11"/>
          <w:attr w:name="ls" w:val="trans"/>
        </w:smartTagPr>
        <w:r w:rsidRPr="00E03025">
          <w:rPr>
            <w:rFonts w:ascii="Times New Roman" w:hAnsi="Times New Roman"/>
            <w:bCs/>
            <w:iCs/>
            <w:sz w:val="24"/>
            <w:szCs w:val="24"/>
          </w:rPr>
          <w:t>26 de noviembre de 2008</w:t>
        </w:r>
        <w:r>
          <w:rPr>
            <w:rFonts w:ascii="Times New Roman" w:hAnsi="Times New Roman"/>
            <w:bCs/>
            <w:iCs/>
            <w:sz w:val="24"/>
            <w:szCs w:val="24"/>
          </w:rPr>
          <w:t xml:space="preserve">; </w:t>
        </w:r>
      </w:smartTag>
      <w:r w:rsidRPr="00E03025">
        <w:rPr>
          <w:rFonts w:ascii="Times New Roman" w:hAnsi="Times New Roman"/>
          <w:bCs/>
          <w:i/>
          <w:iCs/>
          <w:sz w:val="24"/>
          <w:szCs w:val="24"/>
          <w:lang w:val="es-MX"/>
        </w:rPr>
        <w:t xml:space="preserve">Caso Tiu Tojín Vs. Guatemala. Fondo, Reparaciones y Costas. </w:t>
      </w:r>
      <w:r w:rsidRPr="00E03025">
        <w:rPr>
          <w:rFonts w:ascii="Times New Roman" w:hAnsi="Times New Roman"/>
          <w:bCs/>
          <w:iCs/>
          <w:sz w:val="24"/>
          <w:szCs w:val="24"/>
          <w:lang w:val="es-MX"/>
        </w:rPr>
        <w:t>Sentencia de 26 de noviembre de 2008</w:t>
      </w:r>
      <w:r>
        <w:rPr>
          <w:rFonts w:ascii="Times New Roman" w:hAnsi="Times New Roman"/>
          <w:bCs/>
          <w:iCs/>
          <w:sz w:val="24"/>
          <w:szCs w:val="24"/>
          <w:lang w:val="es-MX"/>
        </w:rPr>
        <w:t xml:space="preserve">; </w:t>
      </w:r>
      <w:r w:rsidRPr="00E03025">
        <w:rPr>
          <w:rFonts w:ascii="Times New Roman" w:hAnsi="Times New Roman"/>
          <w:bCs/>
          <w:i/>
          <w:iCs/>
          <w:sz w:val="24"/>
          <w:szCs w:val="24"/>
          <w:lang w:val="es-ES_tradnl"/>
        </w:rPr>
        <w:t>Caso Kawas Fernández Vs. Honduras</w:t>
      </w:r>
      <w:r w:rsidRPr="00E03025">
        <w:rPr>
          <w:rFonts w:ascii="Times New Roman" w:hAnsi="Times New Roman"/>
          <w:bCs/>
          <w:iCs/>
          <w:sz w:val="24"/>
          <w:szCs w:val="24"/>
          <w:lang w:val="es-ES_tradnl"/>
        </w:rPr>
        <w:t>.</w:t>
      </w:r>
      <w:r w:rsidRPr="00E03025">
        <w:rPr>
          <w:rFonts w:ascii="Times New Roman" w:hAnsi="Times New Roman"/>
          <w:bCs/>
          <w:i/>
          <w:iCs/>
          <w:sz w:val="24"/>
          <w:szCs w:val="24"/>
          <w:lang w:val="es-ES_tradnl"/>
        </w:rPr>
        <w:t xml:space="preserve"> Fondo, Reparaciones y Costas</w:t>
      </w:r>
      <w:r w:rsidRPr="00E03025">
        <w:rPr>
          <w:rFonts w:ascii="Times New Roman" w:hAnsi="Times New Roman"/>
          <w:bCs/>
          <w:iCs/>
          <w:sz w:val="24"/>
          <w:szCs w:val="24"/>
          <w:lang w:val="es-ES_tradnl"/>
        </w:rPr>
        <w:t>. Sentencia de 3 de abril de 2009</w:t>
      </w:r>
      <w:r>
        <w:rPr>
          <w:rFonts w:ascii="Times New Roman" w:hAnsi="Times New Roman"/>
          <w:bCs/>
          <w:iCs/>
          <w:sz w:val="24"/>
          <w:szCs w:val="24"/>
          <w:lang w:val="es-ES_tradnl"/>
        </w:rPr>
        <w:t xml:space="preserve">; </w:t>
      </w:r>
      <w:r w:rsidRPr="00E03025">
        <w:rPr>
          <w:rFonts w:ascii="Times New Roman" w:hAnsi="Times New Roman"/>
          <w:bCs/>
          <w:i/>
          <w:iCs/>
          <w:sz w:val="24"/>
          <w:szCs w:val="24"/>
          <w:lang w:val="es-MX"/>
        </w:rPr>
        <w:t>Caso Anzualdo Castro Vs. Perú. Excepción Preliminar, Fondo, Reparaciones y Costas.</w:t>
      </w:r>
      <w:r w:rsidRPr="00E03025">
        <w:rPr>
          <w:rFonts w:ascii="Times New Roman" w:hAnsi="Times New Roman"/>
          <w:bCs/>
          <w:sz w:val="24"/>
          <w:szCs w:val="24"/>
          <w:lang w:val="es-MX"/>
        </w:rPr>
        <w:t xml:space="preserve"> Senten</w:t>
      </w:r>
      <w:r>
        <w:rPr>
          <w:rFonts w:ascii="Times New Roman" w:hAnsi="Times New Roman"/>
          <w:bCs/>
          <w:sz w:val="24"/>
          <w:szCs w:val="24"/>
          <w:lang w:val="es-MX"/>
        </w:rPr>
        <w:t xml:space="preserve">cia de 22 de septiembre de 2009; </w:t>
      </w:r>
      <w:r w:rsidRPr="00E03025">
        <w:rPr>
          <w:rFonts w:ascii="Times New Roman" w:hAnsi="Times New Roman"/>
          <w:bCs/>
          <w:i/>
          <w:iCs/>
          <w:sz w:val="24"/>
          <w:szCs w:val="24"/>
          <w:lang w:val="es-MX"/>
        </w:rPr>
        <w:t xml:space="preserve">Caso Gomes Lund y otros ("Guerrilha do Araguaia") Vs. Brasil. Excepciones Preliminares, Fondo, Reparaciones y Costas. </w:t>
      </w:r>
      <w:r w:rsidRPr="00E03025">
        <w:rPr>
          <w:rFonts w:ascii="Times New Roman" w:hAnsi="Times New Roman"/>
          <w:bCs/>
          <w:iCs/>
          <w:sz w:val="24"/>
          <w:szCs w:val="24"/>
          <w:lang w:val="es-MX"/>
        </w:rPr>
        <w:t xml:space="preserve">Sentencia de </w:t>
      </w:r>
      <w:smartTag w:uri="urn:schemas-microsoft-com:office:smarttags" w:element="date">
        <w:smartTagPr>
          <w:attr w:name="Year" w:val="2010"/>
          <w:attr w:name="Day" w:val="24"/>
          <w:attr w:name="Month" w:val="11"/>
          <w:attr w:name="ls" w:val="trans"/>
        </w:smartTagPr>
        <w:r w:rsidRPr="00E03025">
          <w:rPr>
            <w:rFonts w:ascii="Times New Roman" w:hAnsi="Times New Roman"/>
            <w:bCs/>
            <w:iCs/>
            <w:sz w:val="24"/>
            <w:szCs w:val="24"/>
            <w:lang w:val="es-MX"/>
          </w:rPr>
          <w:t>24 de noviembre de 2010</w:t>
        </w:r>
        <w:r>
          <w:rPr>
            <w:rFonts w:ascii="Times New Roman" w:hAnsi="Times New Roman"/>
            <w:bCs/>
            <w:iCs/>
            <w:sz w:val="24"/>
            <w:szCs w:val="24"/>
            <w:lang w:val="es-MX"/>
          </w:rPr>
          <w:t xml:space="preserve">; </w:t>
        </w:r>
      </w:smartTag>
      <w:r w:rsidRPr="00E03025">
        <w:rPr>
          <w:rFonts w:ascii="Times New Roman" w:eastAsia="Verdana" w:hAnsi="Times New Roman"/>
          <w:bCs/>
          <w:i/>
          <w:iCs/>
          <w:sz w:val="24"/>
          <w:szCs w:val="24"/>
          <w:lang w:val="es-MX"/>
        </w:rPr>
        <w:t>Caso Gelman Vs. Uruguay. Fondo y Reparaciones.</w:t>
      </w:r>
      <w:r w:rsidRPr="00E03025">
        <w:rPr>
          <w:rFonts w:ascii="Times New Roman" w:eastAsia="Verdana" w:hAnsi="Times New Roman"/>
          <w:bCs/>
          <w:i/>
          <w:sz w:val="24"/>
          <w:szCs w:val="24"/>
          <w:lang w:val="es-MX"/>
        </w:rPr>
        <w:t xml:space="preserve"> </w:t>
      </w:r>
      <w:r w:rsidRPr="00E03025">
        <w:rPr>
          <w:rFonts w:ascii="Times New Roman" w:eastAsia="Verdana" w:hAnsi="Times New Roman"/>
          <w:bCs/>
          <w:sz w:val="24"/>
          <w:szCs w:val="24"/>
          <w:lang w:val="es-MX"/>
        </w:rPr>
        <w:t>Sentencia de 24 de febrero de 2011</w:t>
      </w:r>
      <w:r>
        <w:rPr>
          <w:rFonts w:ascii="Times New Roman" w:hAnsi="Times New Roman"/>
          <w:sz w:val="24"/>
          <w:szCs w:val="24"/>
        </w:rPr>
        <w:t xml:space="preserve">; </w:t>
      </w:r>
      <w:r w:rsidRPr="00E03025">
        <w:rPr>
          <w:rFonts w:ascii="Times New Roman" w:hAnsi="Times New Roman"/>
          <w:bCs/>
          <w:i/>
          <w:iCs/>
          <w:sz w:val="24"/>
          <w:szCs w:val="24"/>
        </w:rPr>
        <w:t xml:space="preserve">Masacres de Río Negro Vs. Guatemala. Excepción Preliminar, Fondo, Reparaciones y Costas. </w:t>
      </w:r>
      <w:r w:rsidRPr="0050379F">
        <w:rPr>
          <w:rFonts w:ascii="Times New Roman" w:hAnsi="Times New Roman"/>
          <w:bCs/>
          <w:iCs/>
          <w:sz w:val="24"/>
          <w:szCs w:val="24"/>
        </w:rPr>
        <w:t>Sentencia de 4 de septiembre de 2012</w:t>
      </w:r>
      <w:r>
        <w:rPr>
          <w:rFonts w:ascii="Times New Roman" w:hAnsi="Times New Roman"/>
          <w:bCs/>
          <w:iCs/>
          <w:sz w:val="24"/>
          <w:szCs w:val="24"/>
        </w:rPr>
        <w:t xml:space="preserve">; </w:t>
      </w:r>
      <w:r w:rsidRPr="00E03025">
        <w:rPr>
          <w:rFonts w:ascii="Times New Roman" w:hAnsi="Times New Roman"/>
          <w:bCs/>
          <w:i/>
          <w:iCs/>
          <w:sz w:val="24"/>
          <w:szCs w:val="24"/>
          <w:lang w:val="es-MX"/>
        </w:rPr>
        <w:t xml:space="preserve">Caso Masacres de El Mozote y lugares aledaños Vs. El Salvador. Fondo, Reparaciones y Costas. </w:t>
      </w:r>
      <w:r w:rsidRPr="00E03025">
        <w:rPr>
          <w:rFonts w:ascii="Times New Roman" w:hAnsi="Times New Roman"/>
          <w:bCs/>
          <w:iCs/>
          <w:sz w:val="24"/>
          <w:szCs w:val="24"/>
          <w:lang w:val="es-MX"/>
        </w:rPr>
        <w:t xml:space="preserve">Sentencia de </w:t>
      </w:r>
      <w:smartTag w:uri="urn:schemas-microsoft-com:office:smarttags" w:element="date">
        <w:smartTagPr>
          <w:attr w:name="Year" w:val="2012"/>
          <w:attr w:name="Day" w:val="25"/>
          <w:attr w:name="Month" w:val="10"/>
          <w:attr w:name="ls" w:val="trans"/>
        </w:smartTagPr>
        <w:r w:rsidRPr="00E03025">
          <w:rPr>
            <w:rFonts w:ascii="Times New Roman" w:hAnsi="Times New Roman"/>
            <w:bCs/>
            <w:iCs/>
            <w:sz w:val="24"/>
            <w:szCs w:val="24"/>
            <w:lang w:val="es-MX"/>
          </w:rPr>
          <w:t>25 de octubre de 2012</w:t>
        </w:r>
      </w:smartTag>
      <w:r>
        <w:rPr>
          <w:rFonts w:ascii="Times New Roman" w:hAnsi="Times New Roman"/>
          <w:bCs/>
          <w:i/>
          <w:iCs/>
          <w:sz w:val="24"/>
          <w:szCs w:val="24"/>
          <w:lang w:val="es-MX"/>
        </w:rPr>
        <w:t xml:space="preserve">; </w:t>
      </w:r>
      <w:r w:rsidRPr="00E03025">
        <w:rPr>
          <w:rFonts w:ascii="Times New Roman" w:hAnsi="Times New Roman"/>
          <w:bCs/>
          <w:i/>
          <w:iCs/>
          <w:sz w:val="24"/>
          <w:szCs w:val="24"/>
          <w:lang w:val="es-MX"/>
        </w:rPr>
        <w:t xml:space="preserve">Caso Gudiel Álvarez y otros (Diario Militar) Vs. Guatemala. Fondo Reparaciones y Costas. </w:t>
      </w:r>
      <w:r w:rsidRPr="0050379F">
        <w:rPr>
          <w:rFonts w:ascii="Times New Roman" w:hAnsi="Times New Roman"/>
          <w:bCs/>
          <w:iCs/>
          <w:sz w:val="24"/>
          <w:szCs w:val="24"/>
          <w:lang w:val="es-MX"/>
        </w:rPr>
        <w:t>Sentencia de 20 noviembre de 2012</w:t>
      </w:r>
      <w:r>
        <w:rPr>
          <w:rFonts w:ascii="Times New Roman" w:hAnsi="Times New Roman"/>
          <w:bCs/>
          <w:iCs/>
          <w:sz w:val="24"/>
          <w:szCs w:val="24"/>
          <w:lang w:val="es-MX"/>
        </w:rPr>
        <w:t xml:space="preserve">; </w:t>
      </w:r>
      <w:r w:rsidRPr="00E03025">
        <w:rPr>
          <w:rFonts w:ascii="Times New Roman" w:hAnsi="Times New Roman"/>
          <w:bCs/>
          <w:i/>
          <w:iCs/>
          <w:sz w:val="24"/>
          <w:szCs w:val="24"/>
        </w:rPr>
        <w:t xml:space="preserve">García y familiares Vs. Guatemala. Fondo Reparaciones y Costas. </w:t>
      </w:r>
      <w:r w:rsidRPr="0050379F">
        <w:rPr>
          <w:rFonts w:ascii="Times New Roman" w:hAnsi="Times New Roman"/>
          <w:bCs/>
          <w:iCs/>
          <w:sz w:val="24"/>
          <w:szCs w:val="24"/>
        </w:rPr>
        <w:t>Sentencia de 29 noviembre de 2012</w:t>
      </w:r>
      <w:r>
        <w:rPr>
          <w:rFonts w:ascii="Times New Roman" w:hAnsi="Times New Roman"/>
          <w:bCs/>
          <w:iCs/>
          <w:sz w:val="24"/>
          <w:szCs w:val="24"/>
        </w:rPr>
        <w:t xml:space="preserve">; </w:t>
      </w:r>
      <w:r w:rsidRPr="00E03025">
        <w:rPr>
          <w:rFonts w:ascii="Times New Roman" w:hAnsi="Times New Roman"/>
          <w:bCs/>
          <w:i/>
          <w:iCs/>
          <w:sz w:val="24"/>
          <w:szCs w:val="24"/>
          <w:lang w:val="es-MX"/>
        </w:rPr>
        <w:t>Caso Rochac Hernández y otros Vs. El Salvador. Fondo, Reparaciones y Costas</w:t>
      </w:r>
      <w:r w:rsidRPr="00E03025">
        <w:rPr>
          <w:rFonts w:ascii="Times New Roman" w:hAnsi="Times New Roman"/>
          <w:bCs/>
          <w:i/>
          <w:sz w:val="24"/>
          <w:szCs w:val="24"/>
          <w:lang w:val="es-MX"/>
        </w:rPr>
        <w:t xml:space="preserve">. </w:t>
      </w:r>
      <w:r w:rsidRPr="0050379F">
        <w:rPr>
          <w:rFonts w:ascii="Times New Roman" w:hAnsi="Times New Roman"/>
          <w:bCs/>
          <w:sz w:val="24"/>
          <w:szCs w:val="24"/>
          <w:lang w:val="es-MX"/>
        </w:rPr>
        <w:t>Sen</w:t>
      </w:r>
      <w:r>
        <w:rPr>
          <w:rFonts w:ascii="Times New Roman" w:hAnsi="Times New Roman"/>
          <w:bCs/>
          <w:sz w:val="24"/>
          <w:szCs w:val="24"/>
          <w:lang w:val="es-MX"/>
        </w:rPr>
        <w:t xml:space="preserve">tencia de 14 de octubre de 2014; </w:t>
      </w:r>
      <w:r w:rsidRPr="00E03025">
        <w:rPr>
          <w:rFonts w:ascii="Times New Roman" w:hAnsi="Times New Roman"/>
          <w:i/>
          <w:sz w:val="24"/>
          <w:szCs w:val="24"/>
        </w:rPr>
        <w:t>Caso Rodríguez Vera y otros (desaparecidos del Palacio de Justicia) Vs. Colombia. Excepciones Preliminares, Fondo, Reparaciones y Costas</w:t>
      </w:r>
      <w:r w:rsidRPr="00E03025">
        <w:rPr>
          <w:rFonts w:ascii="Times New Roman" w:hAnsi="Times New Roman"/>
          <w:sz w:val="24"/>
          <w:szCs w:val="24"/>
        </w:rPr>
        <w:t>. Sente</w:t>
      </w:r>
      <w:r>
        <w:rPr>
          <w:rFonts w:ascii="Times New Roman" w:hAnsi="Times New Roman"/>
          <w:sz w:val="24"/>
          <w:szCs w:val="24"/>
        </w:rPr>
        <w:t xml:space="preserve">ncia de 14 de noviembre de 2014; </w:t>
      </w:r>
      <w:r w:rsidRPr="0050379F">
        <w:rPr>
          <w:rFonts w:ascii="Times New Roman" w:hAnsi="Times New Roman"/>
          <w:i/>
          <w:sz w:val="24"/>
          <w:szCs w:val="24"/>
        </w:rPr>
        <w:t>C</w:t>
      </w:r>
      <w:r w:rsidRPr="00E03025">
        <w:rPr>
          <w:rFonts w:ascii="Times New Roman" w:hAnsi="Times New Roman"/>
          <w:i/>
          <w:sz w:val="24"/>
          <w:szCs w:val="24"/>
        </w:rPr>
        <w:t>aso Comunidad Campesina de Santa Bárbara Vs. Perú. Excepciones Preliminares, Fondo, Reparaciones y Costas</w:t>
      </w:r>
      <w:r w:rsidRPr="00E03025">
        <w:rPr>
          <w:rFonts w:ascii="Times New Roman" w:hAnsi="Times New Roman"/>
          <w:sz w:val="24"/>
          <w:szCs w:val="24"/>
        </w:rPr>
        <w:t>. Sente</w:t>
      </w:r>
      <w:r>
        <w:rPr>
          <w:rFonts w:ascii="Times New Roman" w:hAnsi="Times New Roman"/>
          <w:sz w:val="24"/>
          <w:szCs w:val="24"/>
        </w:rPr>
        <w:t xml:space="preserve">ncia de 1 de septiembre de 2015; </w:t>
      </w:r>
      <w:r w:rsidRPr="00E03025">
        <w:rPr>
          <w:rFonts w:ascii="Times New Roman" w:hAnsi="Times New Roman"/>
          <w:i/>
          <w:sz w:val="24"/>
          <w:szCs w:val="24"/>
        </w:rPr>
        <w:t xml:space="preserve">Caso </w:t>
      </w:r>
      <w:r w:rsidRPr="00E03025">
        <w:rPr>
          <w:rFonts w:ascii="Times New Roman" w:hAnsi="Times New Roman"/>
          <w:i/>
          <w:sz w:val="24"/>
          <w:szCs w:val="24"/>
        </w:rPr>
        <w:lastRenderedPageBreak/>
        <w:t>Tenorio Roca y otros Vs. Perú (Excepciones preliminares, Fondo, Reparaciones y Costas</w:t>
      </w:r>
      <w:r w:rsidRPr="00E03025">
        <w:rPr>
          <w:rFonts w:ascii="Times New Roman" w:hAnsi="Times New Roman"/>
          <w:sz w:val="24"/>
          <w:szCs w:val="24"/>
        </w:rPr>
        <w:t>), Sentencia de 22 de junio de 2016</w:t>
      </w:r>
      <w:r>
        <w:rPr>
          <w:rFonts w:ascii="Times New Roman" w:hAnsi="Times New Roman"/>
          <w:sz w:val="24"/>
          <w:szCs w:val="24"/>
        </w:rPr>
        <w:t xml:space="preserve">; </w:t>
      </w:r>
      <w:r w:rsidRPr="0050379F">
        <w:rPr>
          <w:rFonts w:ascii="Times New Roman" w:hAnsi="Times New Roman"/>
          <w:i/>
          <w:sz w:val="24"/>
          <w:szCs w:val="24"/>
        </w:rPr>
        <w:t>V</w:t>
      </w:r>
      <w:r w:rsidRPr="00E03025">
        <w:rPr>
          <w:rFonts w:ascii="Times New Roman" w:hAnsi="Times New Roman"/>
          <w:i/>
          <w:sz w:val="24"/>
          <w:szCs w:val="24"/>
        </w:rPr>
        <w:t>ásquez Durand y otros Vs. Ecuador. Excepciones Preliminares, Fondo, Reparaciones y Costas</w:t>
      </w:r>
      <w:r w:rsidRPr="00E03025">
        <w:rPr>
          <w:rFonts w:ascii="Times New Roman" w:hAnsi="Times New Roman"/>
          <w:sz w:val="24"/>
          <w:szCs w:val="24"/>
        </w:rPr>
        <w:t>. Sentencia de 15 febrero 2017</w:t>
      </w:r>
      <w:r>
        <w:rPr>
          <w:rFonts w:ascii="Times New Roman" w:hAnsi="Times New Roman"/>
          <w:sz w:val="24"/>
          <w:szCs w:val="24"/>
        </w:rPr>
        <w:t xml:space="preserve">; </w:t>
      </w:r>
      <w:r w:rsidRPr="00E03025">
        <w:rPr>
          <w:rFonts w:ascii="Times New Roman" w:hAnsi="Times New Roman"/>
          <w:i/>
          <w:sz w:val="24"/>
          <w:szCs w:val="24"/>
        </w:rPr>
        <w:t>Caso Vereda La Esperanza Vs. Colombia. Excepciones Preliminares, Fondo, Reparaciones y Costas.</w:t>
      </w:r>
      <w:r w:rsidRPr="00E03025">
        <w:rPr>
          <w:rFonts w:ascii="Times New Roman" w:hAnsi="Times New Roman"/>
          <w:sz w:val="24"/>
          <w:szCs w:val="24"/>
        </w:rPr>
        <w:t xml:space="preserve"> Sentencia de 31 de agost</w:t>
      </w:r>
      <w:r>
        <w:rPr>
          <w:rFonts w:ascii="Times New Roman" w:hAnsi="Times New Roman"/>
          <w:sz w:val="24"/>
          <w:szCs w:val="24"/>
        </w:rPr>
        <w:t xml:space="preserve">o de 2017; </w:t>
      </w:r>
      <w:r w:rsidRPr="00E03025">
        <w:rPr>
          <w:rFonts w:ascii="Times New Roman" w:hAnsi="Times New Roman"/>
          <w:i/>
          <w:sz w:val="24"/>
          <w:szCs w:val="24"/>
        </w:rPr>
        <w:t>Caso Munárriz Escobar y otros Vs. Perú</w:t>
      </w:r>
      <w:r w:rsidRPr="00E03025">
        <w:rPr>
          <w:rFonts w:ascii="Times New Roman" w:hAnsi="Times New Roman"/>
          <w:sz w:val="24"/>
          <w:szCs w:val="24"/>
        </w:rPr>
        <w:t xml:space="preserve">, </w:t>
      </w:r>
      <w:r w:rsidRPr="00E03025">
        <w:rPr>
          <w:rFonts w:ascii="Times New Roman" w:hAnsi="Times New Roman"/>
          <w:i/>
          <w:sz w:val="24"/>
          <w:szCs w:val="24"/>
        </w:rPr>
        <w:t>Excepción Preliminar, Fondo, Reparaciones y Costas.</w:t>
      </w:r>
      <w:r w:rsidRPr="00E03025">
        <w:rPr>
          <w:rFonts w:ascii="Times New Roman" w:hAnsi="Times New Roman"/>
          <w:sz w:val="24"/>
          <w:szCs w:val="24"/>
        </w:rPr>
        <w:t xml:space="preserve"> Sentencia de 20 agosto 2018</w:t>
      </w:r>
      <w:r>
        <w:rPr>
          <w:rFonts w:ascii="Times New Roman" w:hAnsi="Times New Roman"/>
          <w:sz w:val="24"/>
          <w:szCs w:val="24"/>
        </w:rPr>
        <w:t xml:space="preserve">; </w:t>
      </w:r>
      <w:r w:rsidRPr="00E03025">
        <w:rPr>
          <w:rFonts w:ascii="Times New Roman" w:hAnsi="Times New Roman"/>
          <w:i/>
          <w:sz w:val="24"/>
          <w:szCs w:val="24"/>
        </w:rPr>
        <w:t>Terrones Silva y Otros Vs. Perú</w:t>
      </w:r>
      <w:r w:rsidRPr="00E03025">
        <w:rPr>
          <w:rFonts w:ascii="Times New Roman" w:hAnsi="Times New Roman"/>
          <w:sz w:val="24"/>
          <w:szCs w:val="24"/>
        </w:rPr>
        <w:t xml:space="preserve">. </w:t>
      </w:r>
      <w:r w:rsidRPr="00E03025">
        <w:rPr>
          <w:rFonts w:ascii="Times New Roman" w:hAnsi="Times New Roman"/>
          <w:i/>
          <w:sz w:val="24"/>
          <w:szCs w:val="24"/>
        </w:rPr>
        <w:t>Excepciones Preliminares, Fondo, Reparaciones y Costas</w:t>
      </w:r>
      <w:r w:rsidRPr="00E03025">
        <w:rPr>
          <w:rFonts w:ascii="Times New Roman" w:hAnsi="Times New Roman"/>
          <w:sz w:val="24"/>
          <w:szCs w:val="24"/>
        </w:rPr>
        <w:t>. Sentenci</w:t>
      </w:r>
      <w:r>
        <w:rPr>
          <w:rFonts w:ascii="Times New Roman" w:hAnsi="Times New Roman"/>
          <w:sz w:val="24"/>
          <w:szCs w:val="24"/>
        </w:rPr>
        <w:t xml:space="preserve">a de 26 de septiembre de 2018; </w:t>
      </w:r>
      <w:r w:rsidRPr="00E03025">
        <w:rPr>
          <w:rFonts w:ascii="Times New Roman" w:hAnsi="Times New Roman"/>
          <w:i/>
          <w:iCs/>
          <w:sz w:val="24"/>
          <w:szCs w:val="24"/>
        </w:rPr>
        <w:t xml:space="preserve">Isaza Uribe y otros Vs. Colombia. Fondo, Reparaciones y Costas. </w:t>
      </w:r>
      <w:r w:rsidRPr="00E03025">
        <w:rPr>
          <w:rFonts w:ascii="Times New Roman" w:hAnsi="Times New Roman"/>
          <w:sz w:val="24"/>
          <w:szCs w:val="24"/>
        </w:rPr>
        <w:t>Sentencia de 20 de noviembre de 2018</w:t>
      </w:r>
      <w:r>
        <w:rPr>
          <w:rFonts w:ascii="Times New Roman" w:hAnsi="Times New Roman"/>
          <w:sz w:val="24"/>
          <w:szCs w:val="24"/>
        </w:rPr>
        <w:t xml:space="preserve">; </w:t>
      </w:r>
      <w:r w:rsidRPr="00E03025">
        <w:rPr>
          <w:rFonts w:ascii="Times New Roman" w:eastAsia="Verdana" w:hAnsi="Times New Roman"/>
          <w:i/>
          <w:sz w:val="24"/>
          <w:szCs w:val="24"/>
        </w:rPr>
        <w:t>Caso Omeara Carrascal y otros Vs. Colombia. Fondo, Reparaciones y Costas.</w:t>
      </w:r>
      <w:r w:rsidRPr="00E03025">
        <w:rPr>
          <w:rFonts w:ascii="Times New Roman" w:hAnsi="Times New Roman"/>
          <w:sz w:val="24"/>
          <w:szCs w:val="24"/>
        </w:rPr>
        <w:t xml:space="preserve"> Sentencia de 21 de noviembre de 2</w:t>
      </w:r>
      <w:r>
        <w:rPr>
          <w:rFonts w:ascii="Times New Roman" w:hAnsi="Times New Roman"/>
          <w:sz w:val="24"/>
          <w:szCs w:val="24"/>
        </w:rPr>
        <w:t xml:space="preserve">018; </w:t>
      </w:r>
      <w:r w:rsidRPr="00E03025">
        <w:rPr>
          <w:rFonts w:ascii="Times New Roman" w:hAnsi="Times New Roman"/>
          <w:i/>
          <w:sz w:val="24"/>
          <w:szCs w:val="24"/>
        </w:rPr>
        <w:t xml:space="preserve">Alvarado Espinoza y Otros Vs. México. </w:t>
      </w:r>
      <w:r w:rsidRPr="00E03025">
        <w:rPr>
          <w:rFonts w:ascii="Times New Roman" w:hAnsi="Times New Roman"/>
          <w:bCs/>
          <w:i/>
          <w:iCs/>
          <w:sz w:val="24"/>
          <w:szCs w:val="24"/>
        </w:rPr>
        <w:t>Fondo, Reparaciones y Costas</w:t>
      </w:r>
      <w:r w:rsidRPr="00E03025">
        <w:rPr>
          <w:rFonts w:ascii="Times New Roman" w:hAnsi="Times New Roman"/>
          <w:sz w:val="24"/>
          <w:szCs w:val="24"/>
        </w:rPr>
        <w:t>. Sentencia de 28 de noviembre de 2018</w:t>
      </w:r>
      <w:r>
        <w:rPr>
          <w:rFonts w:ascii="Times New Roman" w:hAnsi="Times New Roman"/>
          <w:sz w:val="24"/>
          <w:szCs w:val="24"/>
        </w:rPr>
        <w:t xml:space="preserve">; </w:t>
      </w:r>
      <w:r w:rsidRPr="00E03025">
        <w:rPr>
          <w:rFonts w:ascii="Times New Roman" w:hAnsi="Times New Roman"/>
          <w:i/>
          <w:sz w:val="24"/>
          <w:szCs w:val="24"/>
        </w:rPr>
        <w:t>Caso Guachalá Chimbo y Otros Vs. Ecuador. Fondo, Reparaciones y Costas</w:t>
      </w:r>
      <w:r w:rsidRPr="00E03025">
        <w:rPr>
          <w:rFonts w:ascii="Times New Roman" w:hAnsi="Times New Roman"/>
          <w:sz w:val="24"/>
          <w:szCs w:val="24"/>
        </w:rPr>
        <w:t>. S</w:t>
      </w:r>
      <w:r>
        <w:rPr>
          <w:rFonts w:ascii="Times New Roman" w:hAnsi="Times New Roman"/>
          <w:sz w:val="24"/>
          <w:szCs w:val="24"/>
        </w:rPr>
        <w:t xml:space="preserve">entencia de 26 de marzo de 2021; </w:t>
      </w:r>
      <w:r w:rsidRPr="00E03025">
        <w:rPr>
          <w:rFonts w:ascii="Times New Roman" w:hAnsi="Times New Roman"/>
          <w:i/>
          <w:sz w:val="24"/>
          <w:szCs w:val="24"/>
        </w:rPr>
        <w:t>Caso Garzón Guzmán y otros Vs. Ecuador. Fondo, Reparaciones y Costas</w:t>
      </w:r>
      <w:r w:rsidRPr="00E03025">
        <w:rPr>
          <w:rFonts w:ascii="Times New Roman" w:hAnsi="Times New Roman"/>
          <w:sz w:val="24"/>
          <w:szCs w:val="24"/>
        </w:rPr>
        <w:t>. Sentencia de 1 de septiembre de 2021</w:t>
      </w:r>
      <w:r>
        <w:rPr>
          <w:rFonts w:ascii="Times New Roman" w:hAnsi="Times New Roman"/>
          <w:sz w:val="24"/>
          <w:szCs w:val="24"/>
        </w:rPr>
        <w:t xml:space="preserve">; </w:t>
      </w:r>
      <w:r w:rsidRPr="00E03025">
        <w:rPr>
          <w:rFonts w:ascii="Times New Roman" w:hAnsi="Times New Roman"/>
          <w:i/>
          <w:sz w:val="24"/>
          <w:szCs w:val="24"/>
        </w:rPr>
        <w:t>Caso Familia Julien Grisonas Vs. Argentina</w:t>
      </w:r>
      <w:r w:rsidRPr="00E03025">
        <w:rPr>
          <w:rFonts w:ascii="Times New Roman" w:hAnsi="Times New Roman"/>
          <w:sz w:val="24"/>
          <w:szCs w:val="24"/>
        </w:rPr>
        <w:t xml:space="preserve">.  </w:t>
      </w:r>
      <w:r w:rsidRPr="00E03025">
        <w:rPr>
          <w:rFonts w:ascii="Times New Roman" w:hAnsi="Times New Roman"/>
          <w:i/>
          <w:sz w:val="24"/>
          <w:szCs w:val="24"/>
        </w:rPr>
        <w:t>Excepciones Preliminares, Fondo, Reparaciones y Costas</w:t>
      </w:r>
      <w:r w:rsidRPr="00E03025">
        <w:rPr>
          <w:rFonts w:ascii="Times New Roman" w:hAnsi="Times New Roman"/>
          <w:sz w:val="24"/>
          <w:szCs w:val="24"/>
        </w:rPr>
        <w:t>. Sentencia de 23 de septiembre de 2021</w:t>
      </w:r>
      <w:r>
        <w:rPr>
          <w:rFonts w:ascii="Times New Roman" w:hAnsi="Times New Roman"/>
          <w:sz w:val="24"/>
          <w:szCs w:val="24"/>
        </w:rPr>
        <w:t xml:space="preserve">; </w:t>
      </w:r>
      <w:r w:rsidRPr="00E03025">
        <w:rPr>
          <w:rFonts w:ascii="Times New Roman" w:hAnsi="Times New Roman"/>
          <w:i/>
          <w:sz w:val="24"/>
          <w:szCs w:val="24"/>
        </w:rPr>
        <w:t>Caso Masacre de la aldea Los Josefinos Vs. Guatemala</w:t>
      </w:r>
      <w:r w:rsidRPr="00E03025">
        <w:rPr>
          <w:rFonts w:ascii="Times New Roman" w:hAnsi="Times New Roman"/>
          <w:sz w:val="24"/>
          <w:szCs w:val="24"/>
        </w:rPr>
        <w:t xml:space="preserve">. </w:t>
      </w:r>
      <w:r w:rsidRPr="00E03025">
        <w:rPr>
          <w:rFonts w:ascii="Times New Roman" w:hAnsi="Times New Roman"/>
          <w:i/>
          <w:sz w:val="24"/>
          <w:szCs w:val="24"/>
        </w:rPr>
        <w:t>Excepción Preliminar, Fondo, Reparaciones y Costas</w:t>
      </w:r>
      <w:r w:rsidRPr="00E03025">
        <w:rPr>
          <w:rFonts w:ascii="Times New Roman" w:hAnsi="Times New Roman"/>
          <w:sz w:val="24"/>
          <w:szCs w:val="24"/>
        </w:rPr>
        <w:t>. Sentencia de 3 de noviembre de 2021</w:t>
      </w:r>
      <w:r>
        <w:rPr>
          <w:rFonts w:ascii="Times New Roman" w:hAnsi="Times New Roman"/>
          <w:sz w:val="24"/>
          <w:szCs w:val="24"/>
        </w:rPr>
        <w:t xml:space="preserve">; </w:t>
      </w:r>
      <w:r w:rsidRPr="00E03025">
        <w:rPr>
          <w:rFonts w:ascii="Times New Roman" w:hAnsi="Times New Roman"/>
          <w:i/>
          <w:sz w:val="24"/>
          <w:szCs w:val="24"/>
        </w:rPr>
        <w:t>Caso Maidanik y Otros Vs. Uruguay</w:t>
      </w:r>
      <w:r w:rsidRPr="00E03025">
        <w:rPr>
          <w:rFonts w:ascii="Times New Roman" w:hAnsi="Times New Roman"/>
          <w:sz w:val="24"/>
          <w:szCs w:val="24"/>
        </w:rPr>
        <w:t xml:space="preserve">. </w:t>
      </w:r>
      <w:r w:rsidRPr="00E03025">
        <w:rPr>
          <w:rFonts w:ascii="Times New Roman" w:hAnsi="Times New Roman"/>
          <w:i/>
          <w:sz w:val="24"/>
          <w:szCs w:val="24"/>
        </w:rPr>
        <w:t>Fondo y Reparaciones</w:t>
      </w:r>
      <w:r w:rsidRPr="00E03025">
        <w:rPr>
          <w:rFonts w:ascii="Times New Roman" w:hAnsi="Times New Roman"/>
          <w:sz w:val="24"/>
          <w:szCs w:val="24"/>
        </w:rPr>
        <w:t>. Sentencia de 15 de noviembre de 2021</w:t>
      </w:r>
      <w:r>
        <w:rPr>
          <w:rFonts w:ascii="Times New Roman" w:hAnsi="Times New Roman"/>
          <w:sz w:val="24"/>
          <w:szCs w:val="24"/>
        </w:rPr>
        <w:t xml:space="preserve">; </w:t>
      </w:r>
      <w:r w:rsidRPr="00E03025">
        <w:rPr>
          <w:rFonts w:ascii="Times New Roman" w:hAnsi="Times New Roman"/>
          <w:i/>
          <w:sz w:val="24"/>
          <w:szCs w:val="24"/>
        </w:rPr>
        <w:t>Caso Digna Ochoa y familiares Vs. México. Excepciones preliminares, fondo, reparaciones y costas</w:t>
      </w:r>
      <w:r w:rsidRPr="00E03025">
        <w:rPr>
          <w:rFonts w:ascii="Times New Roman" w:hAnsi="Times New Roman"/>
          <w:sz w:val="24"/>
          <w:szCs w:val="24"/>
        </w:rPr>
        <w:t>. Sentencia de 25 de noviembre de 2021.</w:t>
      </w:r>
      <w:r>
        <w:rPr>
          <w:rFonts w:ascii="Times New Roman" w:hAnsi="Times New Roman"/>
          <w:sz w:val="24"/>
          <w:szCs w:val="24"/>
        </w:rPr>
        <w:t xml:space="preserve"> </w:t>
      </w:r>
    </w:p>
    <w:p w:rsidR="00C84662" w:rsidRDefault="00246B54" w:rsidP="00246B54">
      <w:pPr>
        <w:jc w:val="both"/>
        <w:rPr>
          <w:rFonts w:ascii="Times New Roman" w:hAnsi="Times New Roman"/>
          <w:sz w:val="24"/>
          <w:szCs w:val="24"/>
        </w:rPr>
      </w:pPr>
      <w:r w:rsidRPr="00246B54">
        <w:rPr>
          <w:rFonts w:ascii="Times New Roman" w:hAnsi="Times New Roman"/>
          <w:b/>
          <w:sz w:val="24"/>
          <w:szCs w:val="24"/>
        </w:rPr>
        <w:t>En relación con el derecho a la verdad en la jurisprudencia del TEDH</w:t>
      </w:r>
      <w:r>
        <w:rPr>
          <w:rFonts w:ascii="Times New Roman" w:hAnsi="Times New Roman"/>
          <w:sz w:val="24"/>
          <w:szCs w:val="24"/>
        </w:rPr>
        <w:t xml:space="preserve">: </w:t>
      </w:r>
      <w:r w:rsidRPr="00E03025">
        <w:rPr>
          <w:rFonts w:ascii="Times New Roman" w:hAnsi="Times New Roman"/>
          <w:i/>
          <w:sz w:val="24"/>
          <w:szCs w:val="24"/>
        </w:rPr>
        <w:t>Kurt c. Turquía</w:t>
      </w:r>
      <w:r w:rsidRPr="00E03025">
        <w:rPr>
          <w:rFonts w:ascii="Times New Roman" w:hAnsi="Times New Roman"/>
          <w:sz w:val="24"/>
          <w:szCs w:val="24"/>
        </w:rPr>
        <w:t>, núm. 15/1997/799/1002. Sentencia de 25 de mayo de 1998</w:t>
      </w:r>
      <w:r>
        <w:rPr>
          <w:rFonts w:ascii="Times New Roman" w:hAnsi="Times New Roman"/>
          <w:sz w:val="24"/>
          <w:szCs w:val="24"/>
        </w:rPr>
        <w:t xml:space="preserve">; </w:t>
      </w:r>
      <w:r w:rsidRPr="00E03025">
        <w:rPr>
          <w:rFonts w:ascii="Times New Roman" w:hAnsi="Times New Roman"/>
          <w:i/>
          <w:sz w:val="24"/>
          <w:szCs w:val="24"/>
        </w:rPr>
        <w:t>Assenov y otros</w:t>
      </w:r>
      <w:r w:rsidRPr="00E03025">
        <w:rPr>
          <w:rFonts w:ascii="Times New Roman" w:hAnsi="Times New Roman"/>
          <w:sz w:val="24"/>
          <w:szCs w:val="24"/>
        </w:rPr>
        <w:t xml:space="preserve"> </w:t>
      </w:r>
      <w:r w:rsidRPr="00E03025">
        <w:rPr>
          <w:rFonts w:ascii="Times New Roman" w:hAnsi="Times New Roman"/>
          <w:i/>
          <w:sz w:val="24"/>
          <w:szCs w:val="24"/>
        </w:rPr>
        <w:t>c. Bulgaria</w:t>
      </w:r>
      <w:r w:rsidRPr="00E03025">
        <w:rPr>
          <w:rFonts w:ascii="Times New Roman" w:hAnsi="Times New Roman"/>
          <w:sz w:val="24"/>
          <w:szCs w:val="24"/>
        </w:rPr>
        <w:t xml:space="preserve">, </w:t>
      </w:r>
      <w:r w:rsidRPr="00E03025">
        <w:rPr>
          <w:rFonts w:ascii="Times New Roman" w:hAnsi="Times New Roman"/>
          <w:sz w:val="24"/>
          <w:szCs w:val="24"/>
          <w:lang w:val="es-ES_tradnl"/>
        </w:rPr>
        <w:t>núm. 24760/94. Sentencia de 28 de octubre de 1998</w:t>
      </w:r>
      <w:r>
        <w:rPr>
          <w:rFonts w:ascii="Times New Roman" w:hAnsi="Times New Roman"/>
          <w:sz w:val="24"/>
          <w:szCs w:val="24"/>
          <w:lang w:val="es-ES_tradnl"/>
        </w:rPr>
        <w:t xml:space="preserve">; </w:t>
      </w:r>
      <w:r w:rsidRPr="00E03025">
        <w:rPr>
          <w:rFonts w:ascii="Times New Roman" w:hAnsi="Times New Roman"/>
          <w:i/>
          <w:sz w:val="24"/>
          <w:szCs w:val="24"/>
        </w:rPr>
        <w:t>Chipre c. Turquía</w:t>
      </w:r>
      <w:r w:rsidRPr="00E03025">
        <w:rPr>
          <w:rFonts w:ascii="Times New Roman" w:hAnsi="Times New Roman"/>
          <w:sz w:val="24"/>
          <w:szCs w:val="24"/>
        </w:rPr>
        <w:t xml:space="preserve"> [GS], núm. 25781/94. Sentencia de 10 de mayo de 2001, párrs. 132 a 134 y 147</w:t>
      </w:r>
      <w:r>
        <w:rPr>
          <w:rFonts w:ascii="Times New Roman" w:hAnsi="Times New Roman"/>
          <w:sz w:val="24"/>
          <w:szCs w:val="24"/>
        </w:rPr>
        <w:t xml:space="preserve">; </w:t>
      </w:r>
      <w:r w:rsidRPr="00E03025">
        <w:rPr>
          <w:rFonts w:ascii="Times New Roman" w:hAnsi="Times New Roman"/>
          <w:i/>
          <w:sz w:val="24"/>
          <w:szCs w:val="24"/>
        </w:rPr>
        <w:t>Varnava y otros c. Turquía</w:t>
      </w:r>
      <w:r w:rsidRPr="00E03025">
        <w:rPr>
          <w:rFonts w:ascii="Times New Roman" w:hAnsi="Times New Roman"/>
          <w:sz w:val="24"/>
          <w:szCs w:val="24"/>
        </w:rPr>
        <w:t xml:space="preserve"> [GS], núm. 16064/90, 16065/90, 16066/90, 16068/90, 16069/90, 16070/90, 16071/90, 16072/90 y 16073/90. Sentencia de 18 de septiembre de 2009</w:t>
      </w:r>
      <w:r>
        <w:rPr>
          <w:rFonts w:ascii="Times New Roman" w:hAnsi="Times New Roman"/>
          <w:sz w:val="24"/>
          <w:szCs w:val="24"/>
        </w:rPr>
        <w:t xml:space="preserve">; </w:t>
      </w:r>
      <w:r w:rsidRPr="00E03025">
        <w:rPr>
          <w:rFonts w:ascii="Times New Roman" w:hAnsi="Times New Roman"/>
          <w:i/>
          <w:sz w:val="24"/>
          <w:szCs w:val="24"/>
        </w:rPr>
        <w:t>Asociación 21 de diciembre 1989 y otros contra Rumania</w:t>
      </w:r>
      <w:r w:rsidRPr="00E03025">
        <w:rPr>
          <w:rFonts w:ascii="Times New Roman" w:hAnsi="Times New Roman"/>
          <w:sz w:val="24"/>
          <w:szCs w:val="24"/>
        </w:rPr>
        <w:t>, del año 2011, núms. 33810/07 y 18817/08, de 24 de mayo de 2011</w:t>
      </w:r>
      <w:r>
        <w:rPr>
          <w:rFonts w:ascii="Times New Roman" w:hAnsi="Times New Roman"/>
          <w:sz w:val="24"/>
          <w:szCs w:val="24"/>
        </w:rPr>
        <w:t xml:space="preserve">; </w:t>
      </w:r>
      <w:r w:rsidRPr="00E03025">
        <w:rPr>
          <w:rFonts w:ascii="Times New Roman" w:hAnsi="Times New Roman"/>
          <w:i/>
          <w:sz w:val="24"/>
          <w:szCs w:val="24"/>
        </w:rPr>
        <w:t>Al-Skeini y Otros c. el Reino Unido</w:t>
      </w:r>
      <w:r w:rsidRPr="00E03025">
        <w:rPr>
          <w:rFonts w:ascii="Times New Roman" w:hAnsi="Times New Roman"/>
          <w:sz w:val="24"/>
          <w:szCs w:val="24"/>
        </w:rPr>
        <w:t>, [GS], núm. 55721/07. Sentencia de 7 de julio de 2011</w:t>
      </w:r>
      <w:r>
        <w:rPr>
          <w:rFonts w:ascii="Times New Roman" w:hAnsi="Times New Roman"/>
          <w:sz w:val="24"/>
          <w:szCs w:val="24"/>
        </w:rPr>
        <w:t xml:space="preserve">; </w:t>
      </w:r>
      <w:r w:rsidRPr="00E03025">
        <w:rPr>
          <w:rFonts w:ascii="Times New Roman" w:hAnsi="Times New Roman"/>
          <w:bCs/>
          <w:i/>
          <w:sz w:val="24"/>
          <w:szCs w:val="24"/>
        </w:rPr>
        <w:t>El-Masri c. Antigua República Yugoslava de Macedonia</w:t>
      </w:r>
      <w:r w:rsidRPr="00E03025">
        <w:rPr>
          <w:rFonts w:ascii="Times New Roman" w:hAnsi="Times New Roman"/>
          <w:i/>
          <w:sz w:val="24"/>
          <w:szCs w:val="24"/>
        </w:rPr>
        <w:t xml:space="preserve"> [</w:t>
      </w:r>
      <w:r w:rsidRPr="0050379F">
        <w:rPr>
          <w:rFonts w:ascii="Times New Roman" w:hAnsi="Times New Roman"/>
          <w:sz w:val="24"/>
          <w:szCs w:val="24"/>
        </w:rPr>
        <w:t>GS], núm. 39630/09, de 13 de diciembre de 2012</w:t>
      </w:r>
      <w:r>
        <w:rPr>
          <w:rFonts w:ascii="Times New Roman" w:hAnsi="Times New Roman"/>
          <w:sz w:val="24"/>
          <w:szCs w:val="24"/>
        </w:rPr>
        <w:t xml:space="preserve">; </w:t>
      </w:r>
      <w:r w:rsidRPr="00E03025">
        <w:rPr>
          <w:rFonts w:ascii="Times New Roman" w:hAnsi="Times New Roman"/>
          <w:i/>
          <w:sz w:val="24"/>
          <w:szCs w:val="24"/>
        </w:rPr>
        <w:t>Janowiec y otros c. Rusia</w:t>
      </w:r>
      <w:r w:rsidRPr="00E03025">
        <w:rPr>
          <w:rFonts w:ascii="Times New Roman" w:hAnsi="Times New Roman"/>
          <w:sz w:val="24"/>
          <w:szCs w:val="24"/>
        </w:rPr>
        <w:t>, núms. 55508/07, 29520/09. Sentencia de 21 de octubre de 2013</w:t>
      </w:r>
      <w:r>
        <w:rPr>
          <w:rFonts w:ascii="Times New Roman" w:hAnsi="Times New Roman"/>
          <w:sz w:val="24"/>
          <w:szCs w:val="24"/>
        </w:rPr>
        <w:t xml:space="preserve">; </w:t>
      </w:r>
      <w:r w:rsidRPr="00E03025">
        <w:rPr>
          <w:rFonts w:ascii="Times New Roman" w:hAnsi="Times New Roman"/>
          <w:i/>
          <w:sz w:val="24"/>
          <w:szCs w:val="20"/>
        </w:rPr>
        <w:t>Al Nashiri c. Polonia</w:t>
      </w:r>
      <w:r w:rsidRPr="00E03025">
        <w:rPr>
          <w:rFonts w:ascii="Times New Roman" w:hAnsi="Times New Roman"/>
          <w:sz w:val="24"/>
          <w:szCs w:val="20"/>
        </w:rPr>
        <w:t>, n. 28761/11. Sentencia de 24 de julio de 2014</w:t>
      </w:r>
      <w:r>
        <w:rPr>
          <w:rFonts w:ascii="Times New Roman" w:hAnsi="Times New Roman"/>
          <w:sz w:val="24"/>
        </w:rPr>
        <w:t xml:space="preserve">; </w:t>
      </w:r>
      <w:r w:rsidRPr="00E03025">
        <w:rPr>
          <w:rFonts w:ascii="Times New Roman" w:hAnsi="Times New Roman"/>
          <w:i/>
          <w:sz w:val="24"/>
          <w:szCs w:val="20"/>
        </w:rPr>
        <w:t>Husayn (Abu Zubaydah) c. Polonia</w:t>
      </w:r>
      <w:r w:rsidRPr="00E03025">
        <w:rPr>
          <w:rFonts w:ascii="Times New Roman" w:hAnsi="Times New Roman"/>
          <w:sz w:val="24"/>
          <w:szCs w:val="20"/>
        </w:rPr>
        <w:t>, n. 7511/13, de 24 de julio de 2014</w:t>
      </w:r>
      <w:r>
        <w:rPr>
          <w:rFonts w:ascii="Times New Roman" w:hAnsi="Times New Roman"/>
          <w:sz w:val="24"/>
        </w:rPr>
        <w:t xml:space="preserve">; </w:t>
      </w:r>
      <w:r w:rsidRPr="00E03025">
        <w:rPr>
          <w:rFonts w:ascii="Times New Roman" w:hAnsi="Times New Roman"/>
          <w:i/>
          <w:sz w:val="24"/>
          <w:szCs w:val="20"/>
        </w:rPr>
        <w:t>Nasr y Ghali</w:t>
      </w:r>
      <w:r w:rsidRPr="00E03025">
        <w:rPr>
          <w:rFonts w:ascii="Times New Roman" w:hAnsi="Times New Roman"/>
          <w:sz w:val="24"/>
          <w:szCs w:val="20"/>
        </w:rPr>
        <w:t>, núm. 44883/09. Sentencia de 23 de febrero de 2016</w:t>
      </w:r>
      <w:r>
        <w:rPr>
          <w:rFonts w:ascii="Times New Roman" w:hAnsi="Times New Roman"/>
          <w:sz w:val="24"/>
        </w:rPr>
        <w:t xml:space="preserve">; </w:t>
      </w:r>
      <w:r w:rsidRPr="00E03025">
        <w:rPr>
          <w:rFonts w:ascii="Times New Roman" w:hAnsi="Times New Roman"/>
          <w:i/>
          <w:sz w:val="24"/>
          <w:szCs w:val="24"/>
        </w:rPr>
        <w:t>Magyar Helsinki Bizottság c. Hungría</w:t>
      </w:r>
      <w:r w:rsidRPr="00E03025">
        <w:rPr>
          <w:rFonts w:ascii="Times New Roman" w:hAnsi="Times New Roman"/>
          <w:sz w:val="24"/>
          <w:szCs w:val="24"/>
        </w:rPr>
        <w:t>, n. 18030/11, Gran Sala, de 8 de noviembre de 2016</w:t>
      </w:r>
      <w:r>
        <w:rPr>
          <w:rFonts w:ascii="Times New Roman" w:hAnsi="Times New Roman"/>
          <w:sz w:val="24"/>
          <w:szCs w:val="24"/>
        </w:rPr>
        <w:t xml:space="preserve">; </w:t>
      </w:r>
      <w:r w:rsidRPr="00E03025">
        <w:rPr>
          <w:rFonts w:ascii="Times New Roman" w:hAnsi="Times New Roman"/>
          <w:i/>
          <w:sz w:val="24"/>
          <w:szCs w:val="24"/>
        </w:rPr>
        <w:t>Abu Zubaydah c. Lituania</w:t>
      </w:r>
      <w:r w:rsidRPr="00E03025">
        <w:rPr>
          <w:rFonts w:ascii="Times New Roman" w:hAnsi="Times New Roman"/>
          <w:sz w:val="24"/>
          <w:szCs w:val="24"/>
        </w:rPr>
        <w:t>, núm. 46454/11. Sentencia de 31 de mayo de 2018;</w:t>
      </w:r>
      <w:r>
        <w:rPr>
          <w:rFonts w:ascii="Times New Roman" w:hAnsi="Times New Roman"/>
          <w:sz w:val="24"/>
          <w:szCs w:val="24"/>
        </w:rPr>
        <w:t xml:space="preserve"> </w:t>
      </w:r>
      <w:r w:rsidRPr="00E03025">
        <w:rPr>
          <w:rFonts w:ascii="Times New Roman" w:hAnsi="Times New Roman"/>
          <w:i/>
          <w:sz w:val="24"/>
          <w:szCs w:val="24"/>
        </w:rPr>
        <w:t>Al Nashiri c. Rumanía</w:t>
      </w:r>
      <w:r w:rsidRPr="00E03025">
        <w:rPr>
          <w:rFonts w:ascii="Times New Roman" w:hAnsi="Times New Roman"/>
          <w:sz w:val="24"/>
          <w:szCs w:val="24"/>
        </w:rPr>
        <w:t>, núm. 33234/12. Sentencia de 31 de mayo de 2018.</w:t>
      </w:r>
    </w:p>
    <w:p w:rsidR="00C84662" w:rsidRDefault="00C84662" w:rsidP="00246B54">
      <w:pPr>
        <w:jc w:val="both"/>
        <w:rPr>
          <w:rFonts w:ascii="Times New Roman" w:hAnsi="Times New Roman"/>
          <w:sz w:val="24"/>
          <w:szCs w:val="24"/>
        </w:rPr>
      </w:pPr>
    </w:p>
    <w:p w:rsidR="00246B54" w:rsidRPr="00246B54" w:rsidRDefault="00246B54" w:rsidP="00246B54">
      <w:pPr>
        <w:jc w:val="both"/>
        <w:rPr>
          <w:rFonts w:ascii="Times New Roman" w:hAnsi="Times New Roman"/>
          <w:sz w:val="24"/>
          <w:szCs w:val="24"/>
        </w:rPr>
      </w:pPr>
      <w:bookmarkStart w:id="0" w:name="_GoBack"/>
      <w:bookmarkEnd w:id="0"/>
      <w:r>
        <w:rPr>
          <w:rFonts w:ascii="Times New Roman" w:hAnsi="Times New Roman"/>
          <w:b/>
          <w:sz w:val="24"/>
          <w:szCs w:val="24"/>
        </w:rPr>
        <w:t>Bi</w:t>
      </w:r>
      <w:r w:rsidRPr="00246B54">
        <w:rPr>
          <w:rFonts w:ascii="Times New Roman" w:hAnsi="Times New Roman"/>
          <w:b/>
          <w:sz w:val="24"/>
          <w:szCs w:val="24"/>
        </w:rPr>
        <w:t>bliográf</w:t>
      </w:r>
      <w:r>
        <w:rPr>
          <w:rFonts w:ascii="Times New Roman" w:hAnsi="Times New Roman"/>
          <w:b/>
          <w:sz w:val="24"/>
          <w:szCs w:val="24"/>
        </w:rPr>
        <w:t>ía citada</w:t>
      </w:r>
      <w:r>
        <w:rPr>
          <w:rFonts w:ascii="Times New Roman" w:hAnsi="Times New Roman"/>
          <w:sz w:val="24"/>
          <w:szCs w:val="24"/>
        </w:rPr>
        <w:t>: ARISTÓTELES</w:t>
      </w:r>
      <w:r w:rsidRPr="00E03025">
        <w:rPr>
          <w:rFonts w:ascii="Times New Roman" w:hAnsi="Times New Roman"/>
          <w:sz w:val="24"/>
          <w:szCs w:val="24"/>
        </w:rPr>
        <w:t>,</w:t>
      </w:r>
      <w:r>
        <w:rPr>
          <w:rFonts w:ascii="Times New Roman" w:hAnsi="Times New Roman"/>
          <w:sz w:val="24"/>
          <w:szCs w:val="24"/>
        </w:rPr>
        <w:t xml:space="preserve"> </w:t>
      </w:r>
      <w:r w:rsidRPr="00503895">
        <w:rPr>
          <w:rFonts w:ascii="Times New Roman" w:hAnsi="Times New Roman"/>
          <w:i/>
          <w:sz w:val="24"/>
          <w:szCs w:val="24"/>
        </w:rPr>
        <w:t>Metafísica</w:t>
      </w:r>
      <w:r>
        <w:rPr>
          <w:rFonts w:ascii="Times New Roman" w:hAnsi="Times New Roman"/>
          <w:sz w:val="24"/>
          <w:szCs w:val="24"/>
        </w:rPr>
        <w:t>,</w:t>
      </w:r>
      <w:r w:rsidRPr="00E03025">
        <w:rPr>
          <w:rFonts w:ascii="Times New Roman" w:hAnsi="Times New Roman"/>
          <w:sz w:val="24"/>
          <w:szCs w:val="24"/>
        </w:rPr>
        <w:t xml:space="preserve"> </w:t>
      </w:r>
      <w:r>
        <w:rPr>
          <w:rFonts w:ascii="Times New Roman" w:hAnsi="Times New Roman"/>
          <w:sz w:val="24"/>
          <w:szCs w:val="24"/>
        </w:rPr>
        <w:t xml:space="preserve">ed. Gredos, Madrid; </w:t>
      </w:r>
      <w:r w:rsidRPr="00E03025">
        <w:rPr>
          <w:rFonts w:ascii="Times New Roman" w:hAnsi="Times New Roman"/>
          <w:sz w:val="24"/>
          <w:szCs w:val="24"/>
        </w:rPr>
        <w:t xml:space="preserve">BERNALES ROJAS, Gerardo, “El derecho a la verdad”, </w:t>
      </w:r>
      <w:r w:rsidRPr="00E03025">
        <w:rPr>
          <w:rFonts w:ascii="Times New Roman" w:hAnsi="Times New Roman"/>
          <w:i/>
          <w:sz w:val="24"/>
          <w:szCs w:val="24"/>
        </w:rPr>
        <w:t>Estudios Constitucionales</w:t>
      </w:r>
      <w:r w:rsidRPr="00E03025">
        <w:rPr>
          <w:rFonts w:ascii="Times New Roman" w:hAnsi="Times New Roman"/>
          <w:sz w:val="24"/>
          <w:szCs w:val="24"/>
        </w:rPr>
        <w:t>, Universidad de Talca, año 14,</w:t>
      </w:r>
      <w:r>
        <w:rPr>
          <w:rFonts w:ascii="Times New Roman" w:hAnsi="Times New Roman"/>
          <w:sz w:val="24"/>
          <w:szCs w:val="24"/>
        </w:rPr>
        <w:t xml:space="preserve"> n. 2, 2016, pp. 263-304; </w:t>
      </w:r>
      <w:r w:rsidRPr="00E03025">
        <w:rPr>
          <w:rFonts w:ascii="Times New Roman" w:hAnsi="Times New Roman"/>
          <w:sz w:val="24"/>
          <w:szCs w:val="24"/>
        </w:rPr>
        <w:t>BOBBIO, Norberto, El tiempo de los derechos, Editorial Sistema, Madrid, 1991</w:t>
      </w:r>
      <w:r>
        <w:rPr>
          <w:rFonts w:ascii="Times New Roman" w:hAnsi="Times New Roman"/>
          <w:sz w:val="24"/>
          <w:szCs w:val="24"/>
        </w:rPr>
        <w:t xml:space="preserve">; </w:t>
      </w:r>
      <w:r w:rsidRPr="00E03025">
        <w:rPr>
          <w:rFonts w:ascii="Times New Roman" w:hAnsi="Times New Roman"/>
          <w:sz w:val="24"/>
          <w:szCs w:val="24"/>
        </w:rPr>
        <w:t>CARNEIRO LEÃO,  Anna Mariani: “La Comisión de la Verdad en la trayectoria de la justicia transicional en Brasil”,</w:t>
      </w:r>
      <w:r w:rsidRPr="00E03025">
        <w:rPr>
          <w:rFonts w:ascii="Times New Roman" w:eastAsia="Times New Roman" w:hAnsi="Times New Roman"/>
          <w:sz w:val="24"/>
          <w:szCs w:val="24"/>
          <w:lang w:val="es-ES_tradnl"/>
        </w:rPr>
        <w:t xml:space="preserve"> </w:t>
      </w:r>
      <w:r w:rsidRPr="00E03025">
        <w:rPr>
          <w:rFonts w:ascii="Times New Roman" w:hAnsi="Times New Roman"/>
          <w:i/>
          <w:sz w:val="24"/>
          <w:szCs w:val="24"/>
          <w:lang w:val="es-ES_tradnl"/>
        </w:rPr>
        <w:t>Revista de Derecho del Estado</w:t>
      </w:r>
      <w:r w:rsidRPr="00E03025">
        <w:rPr>
          <w:rFonts w:ascii="Times New Roman" w:hAnsi="Times New Roman"/>
          <w:sz w:val="24"/>
          <w:szCs w:val="24"/>
          <w:lang w:val="es-ES_tradnl"/>
        </w:rPr>
        <w:t>, n. 30, enero-junio de 2013, pp. 55-92</w:t>
      </w:r>
      <w:r>
        <w:rPr>
          <w:rFonts w:ascii="Times New Roman" w:hAnsi="Times New Roman"/>
          <w:sz w:val="24"/>
          <w:szCs w:val="24"/>
        </w:rPr>
        <w:t xml:space="preserve">; </w:t>
      </w:r>
      <w:r w:rsidRPr="00E03025">
        <w:rPr>
          <w:rFonts w:ascii="Times New Roman" w:hAnsi="Times New Roman"/>
          <w:sz w:val="24"/>
          <w:szCs w:val="24"/>
          <w:lang w:val="es-ES_tradnl"/>
        </w:rPr>
        <w:t>HEFFES, Ezequiel, “</w:t>
      </w:r>
      <w:r w:rsidRPr="00E03025">
        <w:rPr>
          <w:rFonts w:ascii="Times New Roman" w:hAnsi="Times New Roman"/>
          <w:bCs/>
          <w:sz w:val="24"/>
          <w:szCs w:val="24"/>
          <w:lang w:val="es-ES_tradnl"/>
        </w:rPr>
        <w:t xml:space="preserve">Causas, justificaciones y pretextos en «El </w:t>
      </w:r>
      <w:r w:rsidRPr="00E03025">
        <w:rPr>
          <w:rFonts w:ascii="Times New Roman" w:hAnsi="Times New Roman"/>
          <w:bCs/>
          <w:sz w:val="24"/>
          <w:szCs w:val="24"/>
          <w:lang w:val="es-ES_tradnl"/>
        </w:rPr>
        <w:lastRenderedPageBreak/>
        <w:t xml:space="preserve">Mozote». El derecho a la verdad como derecho humano y su correlato con el sistema interamericano de derechos humanos”, </w:t>
      </w:r>
      <w:r w:rsidRPr="00E03025">
        <w:rPr>
          <w:rFonts w:ascii="Times New Roman" w:hAnsi="Times New Roman"/>
          <w:i/>
          <w:sz w:val="24"/>
          <w:szCs w:val="24"/>
          <w:lang w:val="es-ES_tradnl"/>
        </w:rPr>
        <w:t>Revista Jurídica de la Universidad Autónoma de Madrid</w:t>
      </w:r>
      <w:r w:rsidRPr="00E03025">
        <w:rPr>
          <w:rFonts w:ascii="Times New Roman" w:hAnsi="Times New Roman"/>
          <w:sz w:val="24"/>
          <w:szCs w:val="24"/>
          <w:lang w:val="es-ES_tradnl"/>
        </w:rPr>
        <w:t>, n. 26, junio 2012, pp. 81-104</w:t>
      </w:r>
      <w:r>
        <w:rPr>
          <w:rFonts w:ascii="Times New Roman" w:hAnsi="Times New Roman"/>
          <w:sz w:val="24"/>
          <w:szCs w:val="24"/>
          <w:lang w:val="es-ES_tradnl"/>
        </w:rPr>
        <w:t xml:space="preserve">; </w:t>
      </w:r>
      <w:r w:rsidRPr="00E03025">
        <w:rPr>
          <w:rFonts w:ascii="Times New Roman" w:hAnsi="Times New Roman"/>
          <w:sz w:val="24"/>
          <w:szCs w:val="24"/>
        </w:rPr>
        <w:t xml:space="preserve">LÓPEZ GUERRA, Luis, “El derecho a la verdad: ¿la emergencia de un nuevo derecho en la jurisprudencia del Tribunal Europeo de Derechos Humanos?”, </w:t>
      </w:r>
      <w:r w:rsidRPr="00E03025">
        <w:rPr>
          <w:rFonts w:ascii="Times New Roman" w:hAnsi="Times New Roman"/>
          <w:i/>
          <w:sz w:val="24"/>
          <w:szCs w:val="24"/>
        </w:rPr>
        <w:t>Anuario Iberoamericano de Justicia Constitucional</w:t>
      </w:r>
      <w:r w:rsidRPr="00E03025">
        <w:rPr>
          <w:rFonts w:ascii="Times New Roman" w:hAnsi="Times New Roman"/>
          <w:sz w:val="24"/>
          <w:szCs w:val="24"/>
        </w:rPr>
        <w:t>, n. 22, pp. 11-30</w:t>
      </w:r>
      <w:r>
        <w:rPr>
          <w:rFonts w:ascii="Times New Roman" w:hAnsi="Times New Roman"/>
          <w:sz w:val="24"/>
          <w:szCs w:val="24"/>
        </w:rPr>
        <w:t xml:space="preserve">; </w:t>
      </w:r>
      <w:r w:rsidRPr="00E03025">
        <w:rPr>
          <w:rFonts w:ascii="Times New Roman" w:eastAsia="Times New Roman" w:hAnsi="Times New Roman"/>
          <w:sz w:val="24"/>
          <w:szCs w:val="24"/>
        </w:rPr>
        <w:t xml:space="preserve">LÓPEZ ULLA, Juan Manuel, </w:t>
      </w:r>
      <w:r w:rsidRPr="00E03025">
        <w:rPr>
          <w:rFonts w:ascii="Times New Roman" w:hAnsi="Times New Roman"/>
          <w:i/>
          <w:sz w:val="24"/>
          <w:szCs w:val="24"/>
        </w:rPr>
        <w:t>Derecho a la verdad y desapariciones forzadas</w:t>
      </w:r>
      <w:r w:rsidRPr="00E03025">
        <w:rPr>
          <w:rFonts w:ascii="Times New Roman" w:hAnsi="Times New Roman"/>
          <w:sz w:val="24"/>
          <w:szCs w:val="24"/>
        </w:rPr>
        <w:t>, Thomson Reuters Aranzadi, Cizur Menor (Navarra) 2015</w:t>
      </w:r>
      <w:r>
        <w:rPr>
          <w:rFonts w:ascii="Times New Roman" w:hAnsi="Times New Roman"/>
          <w:sz w:val="24"/>
          <w:szCs w:val="24"/>
        </w:rPr>
        <w:t xml:space="preserve">; </w:t>
      </w:r>
      <w:r w:rsidRPr="00E03025">
        <w:rPr>
          <w:rFonts w:ascii="Times New Roman" w:hAnsi="Times New Roman"/>
          <w:sz w:val="24"/>
          <w:szCs w:val="24"/>
        </w:rPr>
        <w:t xml:space="preserve">LÓPEZ ULLA, Juan Manuel, “El derecho a la verdad como derecho a la integridad personal de los familiares y derecho a buscar y recibir información”, </w:t>
      </w:r>
      <w:r w:rsidRPr="00E03025">
        <w:rPr>
          <w:rFonts w:ascii="Times New Roman" w:hAnsi="Times New Roman"/>
          <w:i/>
          <w:sz w:val="24"/>
          <w:szCs w:val="24"/>
        </w:rPr>
        <w:t>Estudios de casos líderes interamericano. Vol. X: Los derechos de las víctimas de desaparición forzada de personas en el sistema interamericano</w:t>
      </w:r>
      <w:r w:rsidRPr="00E03025">
        <w:rPr>
          <w:rFonts w:ascii="Times New Roman" w:hAnsi="Times New Roman"/>
          <w:sz w:val="24"/>
          <w:szCs w:val="24"/>
        </w:rPr>
        <w:t>, Tirant lo blanch, Ciudad de México, 2020, pp. 309-346</w:t>
      </w:r>
      <w:r>
        <w:rPr>
          <w:rFonts w:ascii="Times New Roman" w:hAnsi="Times New Roman"/>
          <w:sz w:val="24"/>
          <w:szCs w:val="24"/>
        </w:rPr>
        <w:t xml:space="preserve">; </w:t>
      </w:r>
      <w:r w:rsidRPr="00E03025">
        <w:rPr>
          <w:rFonts w:ascii="Times New Roman" w:hAnsi="Times New Roman"/>
          <w:sz w:val="24"/>
          <w:szCs w:val="24"/>
        </w:rPr>
        <w:t xml:space="preserve">MENDEZ, Juan E., ‘‘The Right to Truth’’, en Christopher C. Joyner (ed.), </w:t>
      </w:r>
      <w:r w:rsidRPr="00E03025">
        <w:rPr>
          <w:rFonts w:ascii="Times New Roman" w:hAnsi="Times New Roman"/>
          <w:i/>
          <w:sz w:val="24"/>
          <w:szCs w:val="24"/>
        </w:rPr>
        <w:t>Reining in Impunity for International Crimes and Serious Violations of Fundamental Human Rights: Proceedings of the Siracusa Conference 17–21 September 1998</w:t>
      </w:r>
      <w:r w:rsidRPr="00E03025">
        <w:rPr>
          <w:rFonts w:ascii="Times New Roman" w:hAnsi="Times New Roman"/>
          <w:sz w:val="24"/>
          <w:szCs w:val="24"/>
        </w:rPr>
        <w:t>, St. Agnes, Erès Toulouse 1998</w:t>
      </w:r>
      <w:r>
        <w:rPr>
          <w:rFonts w:ascii="Times New Roman" w:hAnsi="Times New Roman"/>
          <w:sz w:val="24"/>
          <w:szCs w:val="24"/>
        </w:rPr>
        <w:t xml:space="preserve">; </w:t>
      </w:r>
      <w:r w:rsidRPr="00E03025">
        <w:rPr>
          <w:rFonts w:ascii="Times New Roman" w:hAnsi="Times New Roman"/>
          <w:sz w:val="24"/>
          <w:szCs w:val="24"/>
        </w:rPr>
        <w:t xml:space="preserve">SALMÓN, Elizabeth y BLANCO, Cristina, </w:t>
      </w:r>
      <w:r w:rsidRPr="00E03025">
        <w:rPr>
          <w:rFonts w:ascii="Times New Roman" w:hAnsi="Times New Roman"/>
          <w:i/>
          <w:sz w:val="24"/>
          <w:szCs w:val="24"/>
        </w:rPr>
        <w:t>El derecho al debido proceso en la jurisprudencia en la Corte Interamericana de Derechos Humanos</w:t>
      </w:r>
      <w:r w:rsidRPr="00E03025">
        <w:rPr>
          <w:rFonts w:ascii="Times New Roman" w:hAnsi="Times New Roman"/>
          <w:sz w:val="24"/>
          <w:szCs w:val="24"/>
        </w:rPr>
        <w:t xml:space="preserve">, Impreso por Instituto de Democracia y Derechos Humanos de la PUC del Perú y Agencia de Cooperación Alemana al Desarrollo, Agencia ZIG en Perú, Lima, 2012, </w:t>
      </w:r>
      <w:r>
        <w:rPr>
          <w:rFonts w:ascii="Times New Roman" w:hAnsi="Times New Roman"/>
          <w:sz w:val="24"/>
          <w:szCs w:val="24"/>
        </w:rPr>
        <w:t xml:space="preserve">pp. 42-43; </w:t>
      </w:r>
      <w:r w:rsidRPr="00E03025">
        <w:rPr>
          <w:rFonts w:ascii="Times New Roman" w:hAnsi="Times New Roman"/>
          <w:sz w:val="24"/>
          <w:szCs w:val="24"/>
        </w:rPr>
        <w:t xml:space="preserve">ZAGREBELSKY, Gustavo, </w:t>
      </w:r>
      <w:r w:rsidRPr="00E03025">
        <w:rPr>
          <w:rFonts w:ascii="Times New Roman" w:hAnsi="Times New Roman"/>
          <w:i/>
          <w:sz w:val="24"/>
          <w:szCs w:val="24"/>
        </w:rPr>
        <w:t>El derecho dúctil. Ley, derechos, justicia</w:t>
      </w:r>
      <w:r w:rsidRPr="00E03025">
        <w:rPr>
          <w:rFonts w:ascii="Times New Roman" w:hAnsi="Times New Roman"/>
          <w:sz w:val="24"/>
          <w:szCs w:val="24"/>
        </w:rPr>
        <w:t>, Trotta, Madrid, 1995, p. 47.</w:t>
      </w:r>
    </w:p>
    <w:p w:rsidR="00D957A0" w:rsidRPr="00507C43" w:rsidRDefault="00D957A0" w:rsidP="00507C43">
      <w:pPr>
        <w:spacing w:after="0" w:line="240" w:lineRule="auto"/>
        <w:jc w:val="both"/>
        <w:rPr>
          <w:rFonts w:ascii="Times New Roman" w:hAnsi="Times New Roman"/>
          <w:color w:val="282425"/>
          <w:sz w:val="24"/>
          <w:szCs w:val="24"/>
          <w:lang w:val="es-ES"/>
        </w:rPr>
      </w:pPr>
    </w:p>
    <w:p w:rsidR="00D904A4" w:rsidRPr="00507C43" w:rsidRDefault="0069688B" w:rsidP="00507C43">
      <w:pPr>
        <w:spacing w:after="0" w:line="240" w:lineRule="auto"/>
        <w:jc w:val="both"/>
        <w:rPr>
          <w:rFonts w:ascii="Times New Roman" w:hAnsi="Times New Roman"/>
          <w:color w:val="282425"/>
          <w:sz w:val="24"/>
          <w:szCs w:val="24"/>
          <w:lang w:val="es-ES"/>
        </w:rPr>
      </w:pPr>
      <w:r w:rsidRPr="00507C43">
        <w:rPr>
          <w:rFonts w:ascii="Times New Roman" w:hAnsi="Times New Roman"/>
          <w:color w:val="282425"/>
          <w:sz w:val="24"/>
          <w:szCs w:val="24"/>
          <w:lang w:val="es-ES"/>
        </w:rPr>
        <w:t xml:space="preserve"> </w:t>
      </w:r>
    </w:p>
    <w:sectPr w:rsidR="00D904A4" w:rsidRPr="00507C43" w:rsidSect="009718E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F6" w:rsidRDefault="00F71FF6" w:rsidP="000B3F8D">
      <w:pPr>
        <w:spacing w:after="0" w:line="240" w:lineRule="auto"/>
      </w:pPr>
      <w:r>
        <w:separator/>
      </w:r>
    </w:p>
  </w:endnote>
  <w:endnote w:type="continuationSeparator" w:id="0">
    <w:p w:rsidR="00F71FF6" w:rsidRDefault="00F71FF6" w:rsidP="000B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Italic">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Did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751184"/>
      <w:docPartObj>
        <w:docPartGallery w:val="Page Numbers (Bottom of Page)"/>
        <w:docPartUnique/>
      </w:docPartObj>
    </w:sdtPr>
    <w:sdtContent>
      <w:p w:rsidR="00E12C5C" w:rsidRDefault="00E12C5C">
        <w:pPr>
          <w:pStyle w:val="Piedepgina"/>
          <w:jc w:val="center"/>
        </w:pPr>
        <w:r>
          <w:fldChar w:fldCharType="begin"/>
        </w:r>
        <w:r>
          <w:instrText>PAGE   \* MERGEFORMAT</w:instrText>
        </w:r>
        <w:r>
          <w:fldChar w:fldCharType="separate"/>
        </w:r>
        <w:r w:rsidR="00BC19A9" w:rsidRPr="00BC19A9">
          <w:rPr>
            <w:noProof/>
            <w:lang w:val="es-ES"/>
          </w:rPr>
          <w:t>1</w:t>
        </w:r>
        <w:r>
          <w:fldChar w:fldCharType="end"/>
        </w:r>
      </w:p>
    </w:sdtContent>
  </w:sdt>
  <w:p w:rsidR="00677F54" w:rsidRPr="00E12C5C" w:rsidRDefault="00677F54" w:rsidP="00E12C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F6" w:rsidRDefault="00F71FF6" w:rsidP="000B3F8D">
      <w:pPr>
        <w:spacing w:after="0" w:line="240" w:lineRule="auto"/>
      </w:pPr>
      <w:r>
        <w:separator/>
      </w:r>
    </w:p>
  </w:footnote>
  <w:footnote w:type="continuationSeparator" w:id="0">
    <w:p w:rsidR="00F71FF6" w:rsidRDefault="00F71FF6" w:rsidP="000B3F8D">
      <w:pPr>
        <w:spacing w:after="0" w:line="240" w:lineRule="auto"/>
      </w:pPr>
      <w:r>
        <w:continuationSeparator/>
      </w:r>
    </w:p>
  </w:footnote>
  <w:footnote w:id="1">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ZAGREBELSKY, Gustavo, </w:t>
      </w:r>
      <w:r w:rsidRPr="00D03F0E">
        <w:rPr>
          <w:rFonts w:ascii="Times New Roman" w:hAnsi="Times New Roman"/>
          <w:i/>
          <w:lang w:val="es-ES"/>
        </w:rPr>
        <w:t>El derecho dúctil. Ley, derechos, justicia</w:t>
      </w:r>
      <w:r w:rsidRPr="00D03F0E">
        <w:rPr>
          <w:rFonts w:ascii="Times New Roman" w:hAnsi="Times New Roman"/>
          <w:lang w:val="es-ES"/>
        </w:rPr>
        <w:t>, Trotta, Madrid, 1995, p. 47.</w:t>
      </w:r>
    </w:p>
  </w:footnote>
  <w:footnote w:id="2">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El Tribunal Constitucional español verbaliza esta idea de la siguiente manera: “(El) derecho a la vida (…) es la proyección de un valor superior del ordenamiento jurídico constitucional -la vida humana- y constituye el derecho fundamental esencial y troncal en cuanto es el supuesto ontológico sin el que los restantes derechos no tendrían existencia posible. Indisolublemente relacionado con el derecho a la vida en su dimensión humana se encuentra el valor jurídico fundamental de la dignidad de la persona, reconocido en el artículo 10 como germen o núcleo de unos derechos «que le son inherentes». La relevancia y la significación superior de uno [la vida] y otro valor y de los derechos que los encarnan [la dignidad de la persona] se manifiesta en su colocación del título destinado a tratar de los derechos y deberes fundamentales, y el artículo 15 a la cabeza del capítulo donde se concretan estos derechos, lo que muestra que dentro del sistema constitucional son considerados como el punto de arranque, como el prius lógico y ontológico para la existencia y especificación de los demás derechos” (STC 53/1985, FJ. 3).</w:t>
      </w:r>
    </w:p>
  </w:footnote>
  <w:footnote w:id="3">
    <w:p w:rsidR="00677F54" w:rsidRPr="00D03F0E" w:rsidRDefault="00677F54" w:rsidP="00F45E42">
      <w:pPr>
        <w:pStyle w:val="Textonotapie"/>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BOBBIO, Norberto, El tiempo de los derechos, Editorial Sistema, Madrid, 1991, p. 17.</w:t>
      </w:r>
    </w:p>
  </w:footnote>
  <w:footnote w:id="4">
    <w:p w:rsidR="00677F54" w:rsidRPr="00D03F0E" w:rsidRDefault="00677F54" w:rsidP="00AA1AB1">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Artículo 24.2 de la Convención Internacional: “Cada víctima tiene el derecho de conocer la verdad sobre las circunstancias de la desaparición forzada, la evolución y resultados de la investigación y la suerte de la persona desaparecida. Cada Estado Parte tomará las medidas adecuadas a este respecto”.</w:t>
      </w:r>
    </w:p>
  </w:footnote>
  <w:footnote w:id="5">
    <w:p w:rsidR="00677F54" w:rsidRPr="00D03F0E" w:rsidRDefault="00677F54" w:rsidP="00B468B6">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el ámbito de las Naciones Unidas, entre otros: </w:t>
      </w:r>
      <w:r w:rsidRPr="00D03F0E">
        <w:rPr>
          <w:rStyle w:val="nfasis"/>
          <w:rFonts w:ascii="Times New Roman" w:hAnsi="Times New Roman"/>
          <w:lang w:val="es-ES"/>
        </w:rPr>
        <w:t>Conjunto de Principios para la Protección y la Promoción de los Derechos Humanos Mediante la lucha contra la Impunidad</w:t>
      </w:r>
      <w:r w:rsidRPr="00D03F0E">
        <w:rPr>
          <w:rFonts w:ascii="Times New Roman" w:hAnsi="Times New Roman"/>
          <w:lang w:val="es-ES"/>
        </w:rPr>
        <w:t xml:space="preserve"> (E/CN.4/Sub.2/1997/20 26 de junio de 1997), que fueron actualizados en 2005 (E/CN.4/2005/102, de 18 de febrero de 2005); el Informe de la Oficina del Alto Comisionado de las Naciones Unidas para los Derechos Humanos. </w:t>
      </w:r>
      <w:r w:rsidRPr="00D03F0E">
        <w:rPr>
          <w:rFonts w:ascii="Times New Roman" w:hAnsi="Times New Roman"/>
          <w:i/>
          <w:lang w:val="es-ES"/>
        </w:rPr>
        <w:t>Estudio sobre el derecho a la verdad</w:t>
      </w:r>
      <w:r w:rsidRPr="00D03F0E">
        <w:rPr>
          <w:rFonts w:ascii="Times New Roman" w:hAnsi="Times New Roman"/>
          <w:lang w:val="es-ES"/>
        </w:rPr>
        <w:t>. U.N. Doc. E/CN.4/2006/91 de 8 de febrero de 2006); las Resoluciones 9/11 y 12/12 sobre el derecho a la verdad, adoptadas el 24 de septiembre de 2008 y 12 de octubre de 2009 por el Consejo de los Derechos del Hombre de Naciones Unidas</w:t>
      </w:r>
      <w:r w:rsidRPr="00D03F0E">
        <w:rPr>
          <w:rFonts w:ascii="Times New Roman" w:hAnsi="Times New Roman"/>
          <w:lang w:val="es-ES" w:eastAsia="en-GB"/>
        </w:rPr>
        <w:t xml:space="preserve">; o el primer Informe elaborado por </w:t>
      </w:r>
      <w:r w:rsidRPr="00D03F0E">
        <w:rPr>
          <w:rFonts w:ascii="Times New Roman" w:hAnsi="Times New Roman"/>
          <w:lang w:val="es-ES"/>
        </w:rPr>
        <w:t xml:space="preserve">el Grupo de Trabajo sobre las Desapariciones Forzadas o Involuntarias en relación con el derecho a la verdad que asiste a los familiares de víctimas de una desaparición forzada (E/CN.4/1435, de 22 de enero de 1981). En el marco de interamericano, véase por todas, Comisión Interamericana de Derechos Humanos, </w:t>
      </w:r>
      <w:r w:rsidRPr="00D03F0E">
        <w:rPr>
          <w:rFonts w:ascii="Times New Roman" w:hAnsi="Times New Roman"/>
          <w:i/>
          <w:lang w:val="es-ES"/>
        </w:rPr>
        <w:t>Derecho a la Verdad en las Américas</w:t>
      </w:r>
      <w:r w:rsidRPr="00D03F0E">
        <w:rPr>
          <w:rFonts w:ascii="Times New Roman" w:hAnsi="Times New Roman"/>
          <w:lang w:val="es-ES"/>
        </w:rPr>
        <w:t xml:space="preserve">, OEA/Ser.L/V/II.152, </w:t>
      </w:r>
      <w:r w:rsidRPr="00D03F0E">
        <w:rPr>
          <w:rFonts w:ascii="Times New Roman" w:hAnsi="Times New Roman"/>
          <w:lang w:val="es-ES"/>
        </w:rPr>
        <w:tab/>
        <w:t xml:space="preserve">Doc. </w:t>
      </w:r>
      <w:r w:rsidRPr="00D03F0E">
        <w:rPr>
          <w:rFonts w:ascii="Times New Roman" w:hAnsi="Times New Roman"/>
          <w:lang w:val="es-ES"/>
        </w:rPr>
        <w:tab/>
        <w:t xml:space="preserve">2, </w:t>
      </w:r>
      <w:r w:rsidRPr="00D03F0E">
        <w:rPr>
          <w:rFonts w:ascii="Times New Roman" w:hAnsi="Times New Roman"/>
          <w:lang w:val="es-ES"/>
        </w:rPr>
        <w:tab/>
        <w:t xml:space="preserve">13 </w:t>
      </w:r>
      <w:r w:rsidRPr="00D03F0E">
        <w:rPr>
          <w:rFonts w:ascii="Times New Roman" w:hAnsi="Times New Roman"/>
          <w:lang w:val="es-ES"/>
        </w:rPr>
        <w:tab/>
        <w:t xml:space="preserve">de </w:t>
      </w:r>
      <w:r w:rsidRPr="00D03F0E">
        <w:rPr>
          <w:rFonts w:ascii="Times New Roman" w:hAnsi="Times New Roman"/>
          <w:lang w:val="es-ES"/>
        </w:rPr>
        <w:tab/>
        <w:t xml:space="preserve">agosto </w:t>
      </w:r>
      <w:r w:rsidRPr="00D03F0E">
        <w:rPr>
          <w:rFonts w:ascii="Times New Roman" w:hAnsi="Times New Roman"/>
          <w:lang w:val="es-ES"/>
        </w:rPr>
        <w:tab/>
        <w:t xml:space="preserve">de 2014, </w:t>
      </w:r>
      <w:r w:rsidRPr="00D03F0E">
        <w:rPr>
          <w:rFonts w:ascii="Times New Roman" w:hAnsi="Times New Roman"/>
          <w:lang w:val="es-ES"/>
        </w:rPr>
        <w:tab/>
        <w:t xml:space="preserve">párr. 56. Disponible en: </w:t>
      </w:r>
      <w:hyperlink r:id="rId1" w:history="1">
        <w:r w:rsidRPr="00D03F0E">
          <w:rPr>
            <w:rStyle w:val="Hipervnculo"/>
            <w:rFonts w:ascii="Times New Roman" w:hAnsi="Times New Roman"/>
            <w:lang w:val="es-ES"/>
          </w:rPr>
          <w:t>http://www.oas.org/es/Corte Interamericana/informes/pdfs/Derecho-Verdad-es.pdf</w:t>
        </w:r>
      </w:hyperlink>
      <w:r w:rsidRPr="00D03F0E">
        <w:rPr>
          <w:rFonts w:ascii="Times New Roman" w:hAnsi="Times New Roman"/>
          <w:lang w:val="es-ES"/>
        </w:rPr>
        <w:t xml:space="preserve">. En el ámbito de la Unión Europea, entre otras, la Decisión-marco del Consejo de 15 de marzo de 2001 relativa al estatuto de la víctima en el proceso penal (2001/220/JAI), publicado en el Diario Oficial de las Comunidades Europeas de 22 de marzo de 2001, L. 82/1). En el marco del Consejo de Europa, entre otras, la Resolución 1868 (2012), de la Asamblea Parlamentaria del Consejo de Europa, </w:t>
      </w:r>
      <w:r w:rsidRPr="00D03F0E">
        <w:rPr>
          <w:rFonts w:ascii="Times New Roman" w:hAnsi="Times New Roman"/>
          <w:i/>
          <w:lang w:val="es-ES"/>
        </w:rPr>
        <w:t>La Convención Internacional para la Protección de todas las Personas contra las Desapariciones Forzadas</w:t>
      </w:r>
      <w:r w:rsidRPr="00D03F0E">
        <w:rPr>
          <w:rFonts w:ascii="Times New Roman" w:hAnsi="Times New Roman"/>
          <w:lang w:val="es-ES"/>
        </w:rPr>
        <w:t xml:space="preserve">, adoptada el </w:t>
      </w:r>
      <w:smartTag w:uri="urn:schemas-microsoft-com:office:smarttags" w:element="date">
        <w:smartTagPr>
          <w:attr w:name="Year" w:val="2012"/>
          <w:attr w:name="Day" w:val="9"/>
          <w:attr w:name="Month" w:val="3"/>
          <w:attr w:name="ls" w:val="trans"/>
        </w:smartTagPr>
        <w:r w:rsidRPr="00D03F0E">
          <w:rPr>
            <w:rFonts w:ascii="Times New Roman" w:hAnsi="Times New Roman"/>
            <w:lang w:val="es-ES"/>
          </w:rPr>
          <w:t>9 de marzo de 2012</w:t>
        </w:r>
      </w:smartTag>
      <w:r w:rsidRPr="00D03F0E">
        <w:rPr>
          <w:rFonts w:ascii="Times New Roman" w:hAnsi="Times New Roman"/>
          <w:lang w:val="es-ES"/>
        </w:rPr>
        <w:t>.</w:t>
      </w:r>
    </w:p>
  </w:footnote>
  <w:footnote w:id="6">
    <w:p w:rsidR="00677F54" w:rsidRPr="00D03F0E" w:rsidRDefault="00677F54" w:rsidP="00540CF3">
      <w:pPr>
        <w:pStyle w:val="Textonotapie"/>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6.1. “The Assembly welcomes in particular the fact that the UN Convention: (…). 6.1.4 enshrines new rights, such as the right to the truth and to appropriate measures to search for, locate and release disappeared persons”, [Resolución 1868 (2012), cit.]</w:t>
      </w:r>
    </w:p>
  </w:footnote>
  <w:footnote w:id="7">
    <w:p w:rsidR="00677F54" w:rsidRPr="00D03F0E" w:rsidRDefault="00677F54" w:rsidP="00530E68">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Informe de la Oficina del Alto Comisionado de las Naciones Unidas para los Derechos Humanos. </w:t>
      </w:r>
      <w:r w:rsidRPr="00D03F0E">
        <w:rPr>
          <w:rFonts w:ascii="Times New Roman" w:hAnsi="Times New Roman"/>
          <w:i/>
          <w:lang w:val="es-ES"/>
        </w:rPr>
        <w:t>Estudio sobre el derecho a la verdad</w:t>
      </w:r>
      <w:r w:rsidRPr="00D03F0E">
        <w:rPr>
          <w:rFonts w:ascii="Times New Roman" w:hAnsi="Times New Roman"/>
          <w:lang w:val="es-ES"/>
        </w:rPr>
        <w:t>. U.N. Doc. E/CN.4/2006/91, cit.</w:t>
      </w:r>
    </w:p>
  </w:footnote>
  <w:footnote w:id="8">
    <w:p w:rsidR="00677F54" w:rsidRPr="00D03F0E" w:rsidRDefault="00677F54" w:rsidP="00530E68">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Consejo de Derechos Humanos, Informe del Grupo de trabajo sobre desapariciones forzadas e involuntarias, Comentario General sobre el derecho a la verdad en relación con las desapariciones forzadas (A/HRC/16/48, 26 de enero de 2011), parágrafo 2, p. 13.</w:t>
      </w:r>
    </w:p>
  </w:footnote>
  <w:footnote w:id="9">
    <w:p w:rsidR="00677F54" w:rsidRPr="00D03F0E" w:rsidRDefault="00677F54" w:rsidP="00665411">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Aristóteles, Libro I, Capítulo I, ed. Gredos, Madrid.</w:t>
      </w:r>
    </w:p>
  </w:footnote>
  <w:footnote w:id="10">
    <w:p w:rsidR="00677F54" w:rsidRPr="00D03F0E" w:rsidRDefault="00677F54" w:rsidP="009D1719">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el ámbito de las Naciones Unidas, el artículo 24.1 de la Convención Internacional establece que “a los efectos de la presente Convención, se entenderá por “víctima” la persona desaparecida y toda persona física que haya sufrido un perjuicio directo como consecuencia de una desaparición forzada”. En el mismo sentido se había pronunciado el </w:t>
      </w:r>
      <w:r w:rsidRPr="00D03F0E">
        <w:rPr>
          <w:rStyle w:val="nfasis"/>
          <w:rFonts w:ascii="Times New Roman" w:hAnsi="Times New Roman"/>
          <w:lang w:val="es-ES"/>
        </w:rPr>
        <w:t>Conjunto de Principios para la Protección y la Promoción de los Derechos Humanos Mediante la lucha contra la Impunidad</w:t>
      </w:r>
      <w:r w:rsidRPr="00D03F0E">
        <w:rPr>
          <w:rStyle w:val="nfasis"/>
          <w:rFonts w:ascii="Times New Roman" w:hAnsi="Times New Roman"/>
          <w:i w:val="0"/>
          <w:lang w:val="es-ES"/>
        </w:rPr>
        <w:t>, cit.</w:t>
      </w:r>
      <w:r w:rsidRPr="00D03F0E">
        <w:rPr>
          <w:rFonts w:ascii="Times New Roman" w:hAnsi="Times New Roman"/>
          <w:lang w:val="es-ES"/>
        </w:rPr>
        <w:t>: “Independientemente de las acciones que puedan entablar ante la justicia, las víctimas, así como sus familias y allegados, tienen derecho a conocer la verdad acerca de las circunstancias en que se cometieron las violaciones y, en caso de fallecimiento o desaparición, acerca de la suerte que corrió la víctima” (Principio 3). Y más tarde, en 2005, la Resolución 60/147, de 16 de diciembre de 2005, extiende el concepto de víctima, “cuando correspond(a), y en conformidad con el derecho interno (…) a las personas a cargo de la víctima directa y a las personas que hayan sufrido daños al intervenir para prestar asistencia a víctimas en peligro o para impedir la victimización” [</w:t>
      </w:r>
      <w:r w:rsidRPr="00D03F0E">
        <w:rPr>
          <w:rFonts w:ascii="Times New Roman" w:hAnsi="Times New Roman"/>
          <w:i/>
          <w:lang w:val="es-ES"/>
        </w:rPr>
        <w:t xml:space="preserve">Principios y directrices básicos sobre el derecho de las víctimas de violaciones manifiestas de las normas internacionales de derechos humanos y de violaciones graves del derecho internacional humanitario a interponer recursos y obtener reparaciones </w:t>
      </w:r>
      <w:r w:rsidRPr="00D03F0E">
        <w:rPr>
          <w:rFonts w:ascii="Times New Roman" w:hAnsi="Times New Roman"/>
          <w:lang w:val="es-ES"/>
        </w:rPr>
        <w:t xml:space="preserve">(A/RES/60/147, 21 de marzo de 2006)]. En el ámbito del Consejo de Europa, la </w:t>
      </w:r>
      <w:r w:rsidRPr="00D03F0E">
        <w:rPr>
          <w:rFonts w:ascii="Times New Roman" w:hAnsi="Times New Roman"/>
          <w:bCs/>
          <w:lang w:val="es-ES"/>
        </w:rPr>
        <w:t>Resolución 1463 (2005),</w:t>
      </w:r>
      <w:r w:rsidRPr="00D03F0E">
        <w:rPr>
          <w:rFonts w:ascii="Times New Roman" w:hAnsi="Times New Roman"/>
          <w:lang w:val="es-ES"/>
        </w:rPr>
        <w:t xml:space="preserve"> </w:t>
      </w:r>
      <w:r w:rsidRPr="00D03F0E">
        <w:rPr>
          <w:rFonts w:ascii="Times New Roman" w:hAnsi="Times New Roman"/>
          <w:bCs/>
          <w:i/>
          <w:lang w:val="es-ES"/>
        </w:rPr>
        <w:t>Desapariciones Forzadas</w:t>
      </w:r>
      <w:r w:rsidRPr="00D03F0E">
        <w:rPr>
          <w:rFonts w:ascii="Times New Roman" w:hAnsi="Times New Roman"/>
          <w:bCs/>
          <w:lang w:val="es-ES"/>
        </w:rPr>
        <w:t xml:space="preserve">, debatida por la Asamblea el 3 de octubre de 2005, reconoce la condición de víctimas a los familiares, y también a los amigos, la </w:t>
      </w:r>
      <w:r w:rsidRPr="00D03F0E">
        <w:rPr>
          <w:rFonts w:ascii="Times New Roman" w:eastAsia="Times New Roman" w:hAnsi="Times New Roman"/>
          <w:lang w:val="es-ES"/>
        </w:rPr>
        <w:t>Resolución 1868 (2012), cit. (apartado Segundo). En el ámbito interamericano, solo se ha extendido la condición de víctima</w:t>
      </w:r>
      <w:r>
        <w:rPr>
          <w:rFonts w:ascii="Times New Roman" w:eastAsia="Times New Roman" w:hAnsi="Times New Roman"/>
          <w:lang w:val="es-ES"/>
        </w:rPr>
        <w:t xml:space="preserve"> a los familiares, no más allá: entre otras, </w:t>
      </w:r>
      <w:r w:rsidRPr="00D03F0E">
        <w:rPr>
          <w:rFonts w:ascii="Times New Roman" w:hAnsi="Times New Roman"/>
          <w:bCs/>
          <w:i/>
          <w:iCs/>
          <w:lang w:val="es-ES"/>
        </w:rPr>
        <w:t>Caso Godínez Cruz Vs. Honduras. Fondo</w:t>
      </w:r>
      <w:r w:rsidRPr="00D03F0E">
        <w:rPr>
          <w:rFonts w:ascii="Times New Roman" w:hAnsi="Times New Roman"/>
          <w:bCs/>
          <w:lang w:val="es-ES"/>
        </w:rPr>
        <w:t>. Sentencia de 20 de enero de 1989</w:t>
      </w:r>
      <w:r w:rsidRPr="00D03F0E">
        <w:rPr>
          <w:rFonts w:ascii="Times New Roman" w:hAnsi="Times New Roman"/>
          <w:color w:val="282425"/>
          <w:lang w:val="es-ES"/>
        </w:rPr>
        <w:t xml:space="preserve">; </w:t>
      </w:r>
      <w:r w:rsidRPr="00D03F0E">
        <w:rPr>
          <w:rFonts w:ascii="Times New Roman" w:hAnsi="Times New Roman"/>
          <w:bCs/>
          <w:i/>
          <w:iCs/>
          <w:color w:val="282425"/>
          <w:lang w:val="es-ES"/>
        </w:rPr>
        <w:t>Caso Castillo Páez Vs. Perú. Fondo</w:t>
      </w:r>
      <w:r w:rsidRPr="00D03F0E">
        <w:rPr>
          <w:rFonts w:ascii="Times New Roman" w:hAnsi="Times New Roman"/>
          <w:bCs/>
          <w:iCs/>
          <w:color w:val="282425"/>
          <w:lang w:val="es-ES"/>
        </w:rPr>
        <w:t>.</w:t>
      </w:r>
      <w:r w:rsidRPr="00D03F0E">
        <w:rPr>
          <w:rFonts w:ascii="Times New Roman" w:hAnsi="Times New Roman"/>
          <w:bCs/>
          <w:color w:val="282425"/>
          <w:lang w:val="es-ES"/>
        </w:rPr>
        <w:t xml:space="preserve"> Sentencia de </w:t>
      </w:r>
      <w:smartTag w:uri="urn:schemas-microsoft-com:office:smarttags" w:element="date">
        <w:smartTagPr>
          <w:attr w:name="Year" w:val="1997"/>
          <w:attr w:name="Day" w:val="3"/>
          <w:attr w:name="Month" w:val="11"/>
          <w:attr w:name="ls" w:val="trans"/>
        </w:smartTagPr>
        <w:r w:rsidRPr="00D03F0E">
          <w:rPr>
            <w:rFonts w:ascii="Times New Roman" w:hAnsi="Times New Roman"/>
            <w:bCs/>
            <w:color w:val="282425"/>
            <w:lang w:val="es-ES"/>
          </w:rPr>
          <w:t>3 de noviembre de 1997</w:t>
        </w:r>
      </w:smartTag>
      <w:r w:rsidRPr="00D03F0E">
        <w:rPr>
          <w:rFonts w:ascii="Times New Roman" w:hAnsi="Times New Roman"/>
          <w:color w:val="282425"/>
          <w:lang w:val="es-ES"/>
        </w:rPr>
        <w:t xml:space="preserve">; </w:t>
      </w:r>
      <w:r w:rsidRPr="009F4407">
        <w:rPr>
          <w:rFonts w:ascii="Times New Roman" w:hAnsi="Times New Roman"/>
          <w:i/>
          <w:iCs/>
          <w:color w:val="282425"/>
          <w:lang w:val="es-ES"/>
        </w:rPr>
        <w:t>Caso Bámaca Velásquez Vs. Guatemala. Fondo</w:t>
      </w:r>
      <w:r w:rsidRPr="00D03F0E">
        <w:rPr>
          <w:rFonts w:ascii="Times New Roman" w:hAnsi="Times New Roman"/>
          <w:color w:val="282425"/>
          <w:lang w:val="es-ES"/>
        </w:rPr>
        <w:t xml:space="preserve">; </w:t>
      </w:r>
      <w:r w:rsidRPr="009F4407">
        <w:rPr>
          <w:rFonts w:ascii="Times New Roman" w:hAnsi="Times New Roman"/>
          <w:bCs/>
          <w:i/>
          <w:iCs/>
          <w:color w:val="282425"/>
          <w:lang w:val="es-ES"/>
        </w:rPr>
        <w:t xml:space="preserve">Caso Gelman Vs. Uruguay. Fondo y Reparaciones. </w:t>
      </w:r>
      <w:r w:rsidRPr="009F4407">
        <w:rPr>
          <w:rFonts w:ascii="Times New Roman" w:hAnsi="Times New Roman"/>
          <w:bCs/>
          <w:iCs/>
          <w:color w:val="282425"/>
          <w:lang w:val="es-ES"/>
        </w:rPr>
        <w:t>Sentencia de 24 de febrero de 2011</w:t>
      </w:r>
      <w:r>
        <w:rPr>
          <w:rFonts w:ascii="Times New Roman" w:hAnsi="Times New Roman"/>
          <w:bCs/>
          <w:iCs/>
          <w:color w:val="282425"/>
          <w:lang w:val="es-ES"/>
        </w:rPr>
        <w:t xml:space="preserve">, </w:t>
      </w:r>
      <w:r w:rsidRPr="00DD3150">
        <w:rPr>
          <w:rFonts w:ascii="Times New Roman" w:hAnsi="Times New Roman"/>
          <w:iCs/>
          <w:color w:val="282425"/>
          <w:lang w:val="es-ES"/>
        </w:rPr>
        <w:t xml:space="preserve">párr. </w:t>
      </w:r>
      <w:r w:rsidRPr="00D03F0E">
        <w:rPr>
          <w:rFonts w:ascii="Times New Roman" w:hAnsi="Times New Roman"/>
          <w:iCs/>
          <w:color w:val="282425"/>
          <w:lang w:val="es-ES"/>
        </w:rPr>
        <w:t xml:space="preserve">243; </w:t>
      </w:r>
      <w:r w:rsidRPr="00D03F0E">
        <w:rPr>
          <w:rFonts w:ascii="Times New Roman" w:hAnsi="Times New Roman"/>
          <w:bCs/>
          <w:i/>
          <w:iCs/>
          <w:color w:val="282425"/>
          <w:lang w:val="es-ES"/>
        </w:rPr>
        <w:t xml:space="preserve">Caso Gomes Lund </w:t>
      </w:r>
      <w:r>
        <w:rPr>
          <w:rFonts w:ascii="Times New Roman" w:hAnsi="Times New Roman"/>
          <w:bCs/>
          <w:i/>
          <w:iCs/>
          <w:color w:val="282425"/>
          <w:lang w:val="es-ES"/>
        </w:rPr>
        <w:t>y otros</w:t>
      </w:r>
      <w:r w:rsidRPr="00D03F0E">
        <w:rPr>
          <w:rFonts w:ascii="Times New Roman" w:hAnsi="Times New Roman"/>
          <w:bCs/>
          <w:i/>
          <w:iCs/>
          <w:color w:val="282425"/>
          <w:lang w:val="es-ES"/>
        </w:rPr>
        <w:t xml:space="preserve"> ("Guerrilha do Araguaia") Vs. Brasil. Excepciones Preliminares, Fondo, Reparaciones y Costas. </w:t>
      </w:r>
      <w:r w:rsidRPr="00D03F0E">
        <w:rPr>
          <w:rFonts w:ascii="Times New Roman" w:hAnsi="Times New Roman"/>
          <w:bCs/>
          <w:iCs/>
          <w:color w:val="282425"/>
          <w:lang w:val="es-ES"/>
        </w:rPr>
        <w:t xml:space="preserve">Sentencia de </w:t>
      </w:r>
      <w:smartTag w:uri="urn:schemas-microsoft-com:office:smarttags" w:element="date">
        <w:smartTagPr>
          <w:attr w:name="Year" w:val="2010"/>
          <w:attr w:name="Day" w:val="24"/>
          <w:attr w:name="Month" w:val="11"/>
          <w:attr w:name="ls" w:val="trans"/>
        </w:smartTagPr>
        <w:r w:rsidRPr="00D03F0E">
          <w:rPr>
            <w:rFonts w:ascii="Times New Roman" w:hAnsi="Times New Roman"/>
            <w:bCs/>
            <w:iCs/>
            <w:color w:val="282425"/>
            <w:lang w:val="es-ES"/>
          </w:rPr>
          <w:t>24 de noviembre de 2010</w:t>
        </w:r>
      </w:smartTag>
      <w:r w:rsidRPr="00D03F0E">
        <w:rPr>
          <w:rFonts w:ascii="Times New Roman" w:hAnsi="Times New Roman"/>
          <w:color w:val="282425"/>
          <w:lang w:val="es-ES"/>
        </w:rPr>
        <w:t xml:space="preserve">; y en </w:t>
      </w:r>
      <w:r w:rsidRPr="00D03F0E">
        <w:rPr>
          <w:rFonts w:ascii="Times New Roman" w:hAnsi="Times New Roman"/>
          <w:bCs/>
          <w:i/>
          <w:iCs/>
          <w:lang w:val="es-ES"/>
        </w:rPr>
        <w:t xml:space="preserve">Caso Rochac Hernández </w:t>
      </w:r>
      <w:r>
        <w:rPr>
          <w:rFonts w:ascii="Times New Roman" w:hAnsi="Times New Roman"/>
          <w:bCs/>
          <w:i/>
          <w:iCs/>
          <w:lang w:val="es-ES"/>
        </w:rPr>
        <w:t>y otros</w:t>
      </w:r>
      <w:r w:rsidRPr="00D03F0E">
        <w:rPr>
          <w:rFonts w:ascii="Times New Roman" w:hAnsi="Times New Roman"/>
          <w:bCs/>
          <w:i/>
          <w:iCs/>
          <w:lang w:val="es-ES"/>
        </w:rPr>
        <w:t xml:space="preserve"> Vs. El Salvador. Fondo, Reparaciones y Costas</w:t>
      </w:r>
      <w:r w:rsidRPr="00D03F0E">
        <w:rPr>
          <w:rFonts w:ascii="Times New Roman" w:hAnsi="Times New Roman"/>
          <w:bCs/>
          <w:i/>
          <w:lang w:val="es-ES"/>
        </w:rPr>
        <w:t xml:space="preserve">. </w:t>
      </w:r>
      <w:r w:rsidRPr="009F4407">
        <w:rPr>
          <w:rFonts w:ascii="Times New Roman" w:hAnsi="Times New Roman"/>
          <w:bCs/>
          <w:lang w:val="es-ES"/>
        </w:rPr>
        <w:t xml:space="preserve">Sentencia de </w:t>
      </w:r>
      <w:smartTag w:uri="urn:schemas-microsoft-com:office:smarttags" w:element="date">
        <w:smartTagPr>
          <w:attr w:name="Year" w:val="2014"/>
          <w:attr w:name="Day" w:val="14"/>
          <w:attr w:name="Month" w:val="10"/>
          <w:attr w:name="ls" w:val="trans"/>
        </w:smartTagPr>
        <w:r w:rsidRPr="009F4407">
          <w:rPr>
            <w:rFonts w:ascii="Times New Roman" w:hAnsi="Times New Roman"/>
            <w:bCs/>
            <w:lang w:val="es-ES"/>
          </w:rPr>
          <w:t>14 de octubre de 2014</w:t>
        </w:r>
      </w:smartTag>
      <w:r w:rsidRPr="00D03F0E">
        <w:rPr>
          <w:rFonts w:ascii="Times New Roman" w:hAnsi="Times New Roman"/>
          <w:color w:val="282425"/>
          <w:lang w:val="es-ES"/>
        </w:rPr>
        <w:t>.</w:t>
      </w:r>
      <w:r>
        <w:rPr>
          <w:rFonts w:ascii="Times New Roman" w:hAnsi="Times New Roman"/>
          <w:color w:val="282425"/>
          <w:lang w:val="es-ES"/>
        </w:rPr>
        <w:t xml:space="preserve"> </w:t>
      </w:r>
      <w:r w:rsidRPr="00D03F0E">
        <w:rPr>
          <w:rFonts w:ascii="Times New Roman" w:eastAsia="Times New Roman" w:hAnsi="Times New Roman"/>
          <w:lang w:val="es-ES"/>
        </w:rPr>
        <w:t>Al respect</w:t>
      </w:r>
      <w:r>
        <w:rPr>
          <w:rFonts w:ascii="Times New Roman" w:eastAsia="Times New Roman" w:hAnsi="Times New Roman"/>
          <w:lang w:val="es-ES"/>
        </w:rPr>
        <w:t>o</w:t>
      </w:r>
      <w:r w:rsidRPr="00D03F0E">
        <w:rPr>
          <w:rFonts w:ascii="Times New Roman" w:eastAsia="Times New Roman" w:hAnsi="Times New Roman"/>
          <w:lang w:val="es-ES"/>
        </w:rPr>
        <w:t xml:space="preserve"> nos remitimos a nuestra monografía, LÓPEZ ULLA, Juan Manuel, </w:t>
      </w:r>
      <w:r w:rsidRPr="00D03F0E">
        <w:rPr>
          <w:rFonts w:ascii="Times New Roman" w:hAnsi="Times New Roman"/>
          <w:i/>
          <w:lang w:val="es-ES"/>
        </w:rPr>
        <w:t>Derecho a la verdad y desapariciones forzadas</w:t>
      </w:r>
      <w:r w:rsidRPr="00D03F0E">
        <w:rPr>
          <w:rFonts w:ascii="Times New Roman" w:hAnsi="Times New Roman"/>
          <w:lang w:val="es-ES"/>
        </w:rPr>
        <w:t>, Thomson Reuters Aranzadi, Cizur Menor (Navarra) 2015</w:t>
      </w:r>
      <w:r w:rsidRPr="00D03F0E">
        <w:rPr>
          <w:rFonts w:ascii="Times New Roman" w:eastAsia="Times New Roman" w:hAnsi="Times New Roman"/>
          <w:lang w:val="es-ES"/>
        </w:rPr>
        <w:t xml:space="preserve"> pp. 67 y ss.</w:t>
      </w:r>
    </w:p>
  </w:footnote>
  <w:footnote w:id="11">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La Corte Interamericana entiende que privar de la verdad sobre el paradero de una víctima de desaparición forzada supone una forma de trato cruel o inhumano para los familiares cercanos (padres, hijos, cónyuges, compañeros y hermanos). Se trata de una presunción </w:t>
      </w:r>
      <w:r w:rsidRPr="00D03F0E">
        <w:rPr>
          <w:rFonts w:ascii="Times New Roman" w:hAnsi="Times New Roman"/>
          <w:i/>
          <w:sz w:val="20"/>
          <w:szCs w:val="20"/>
          <w:lang w:val="es-ES"/>
        </w:rPr>
        <w:t>iuris tantum</w:t>
      </w:r>
      <w:r w:rsidRPr="00D03F0E">
        <w:rPr>
          <w:rFonts w:ascii="Times New Roman" w:hAnsi="Times New Roman"/>
          <w:sz w:val="20"/>
          <w:szCs w:val="20"/>
          <w:lang w:val="es-ES"/>
        </w:rPr>
        <w:t xml:space="preserve"> que corresponderá al Estado desvirtuar. Al respecto veánse los siguientes casos: </w:t>
      </w:r>
      <w:r w:rsidRPr="00D03F0E">
        <w:rPr>
          <w:rFonts w:ascii="Times New Roman" w:hAnsi="Times New Roman"/>
          <w:bCs/>
          <w:i/>
          <w:iCs/>
          <w:sz w:val="20"/>
          <w:szCs w:val="20"/>
          <w:lang w:val="es-ES"/>
        </w:rPr>
        <w:t xml:space="preserve">Caso Velásquez Rodríguez Vs. Honduras. </w:t>
      </w:r>
      <w:r w:rsidRPr="00D03F0E">
        <w:rPr>
          <w:rFonts w:ascii="Times New Roman" w:hAnsi="Times New Roman"/>
          <w:i/>
          <w:sz w:val="20"/>
          <w:szCs w:val="20"/>
          <w:lang w:val="es-ES"/>
        </w:rPr>
        <w:t>Excepciones Preliminares, Fondo, Reparaciones y Costas</w:t>
      </w:r>
      <w:r w:rsidRPr="00D03F0E">
        <w:rPr>
          <w:rFonts w:ascii="Times New Roman" w:hAnsi="Times New Roman"/>
          <w:bCs/>
          <w:sz w:val="20"/>
          <w:szCs w:val="20"/>
          <w:lang w:val="es-ES"/>
        </w:rPr>
        <w:t>. Sentencia de 29 de julio de 1988</w:t>
      </w:r>
      <w:r w:rsidRPr="00D03F0E">
        <w:rPr>
          <w:rFonts w:ascii="Times New Roman" w:hAnsi="Times New Roman"/>
          <w:sz w:val="20"/>
          <w:szCs w:val="20"/>
          <w:lang w:val="es-ES"/>
        </w:rPr>
        <w:t xml:space="preserve">, párr. 181; </w:t>
      </w:r>
      <w:r w:rsidRPr="00D03F0E">
        <w:rPr>
          <w:rFonts w:ascii="Times New Roman" w:hAnsi="Times New Roman"/>
          <w:bCs/>
          <w:i/>
          <w:iCs/>
          <w:sz w:val="20"/>
          <w:szCs w:val="20"/>
          <w:lang w:val="es-ES"/>
        </w:rPr>
        <w:t>Caso Anzualdo Castro Vs. Perú. Excepción Preliminar, Fondo, Reparaciones y Costas.</w:t>
      </w:r>
      <w:r w:rsidRPr="00D03F0E">
        <w:rPr>
          <w:rFonts w:ascii="Times New Roman" w:hAnsi="Times New Roman"/>
          <w:bCs/>
          <w:sz w:val="20"/>
          <w:szCs w:val="20"/>
          <w:lang w:val="es-ES"/>
        </w:rPr>
        <w:t xml:space="preserve"> Sentencia de 22 de septiembre de 2009,</w:t>
      </w:r>
      <w:r w:rsidRPr="00D03F0E">
        <w:rPr>
          <w:rFonts w:ascii="Times New Roman" w:hAnsi="Times New Roman"/>
          <w:sz w:val="20"/>
          <w:szCs w:val="20"/>
          <w:lang w:val="es-ES"/>
        </w:rPr>
        <w:t xml:space="preserve"> párr. 118; </w:t>
      </w:r>
      <w:r w:rsidRPr="00D03F0E">
        <w:rPr>
          <w:rFonts w:ascii="Times New Roman" w:eastAsia="Verdana" w:hAnsi="Times New Roman"/>
          <w:bCs/>
          <w:i/>
          <w:iCs/>
          <w:sz w:val="20"/>
          <w:szCs w:val="20"/>
          <w:lang w:val="es-ES"/>
        </w:rPr>
        <w:t>Caso Gelman Vs. Uruguay</w:t>
      </w:r>
      <w:r w:rsidRPr="009F4407">
        <w:rPr>
          <w:rFonts w:ascii="Times New Roman" w:eastAsia="Verdana" w:hAnsi="Times New Roman"/>
          <w:bCs/>
          <w:iCs/>
          <w:sz w:val="20"/>
          <w:szCs w:val="20"/>
          <w:lang w:val="es-ES"/>
        </w:rPr>
        <w:t xml:space="preserve">, supra, </w:t>
      </w:r>
      <w:r w:rsidRPr="00D03F0E">
        <w:rPr>
          <w:rFonts w:ascii="Times New Roman" w:hAnsi="Times New Roman"/>
          <w:sz w:val="20"/>
          <w:szCs w:val="20"/>
          <w:lang w:val="es-ES"/>
        </w:rPr>
        <w:t xml:space="preserve">párr. 243; </w:t>
      </w:r>
      <w:r w:rsidRPr="00D03F0E">
        <w:rPr>
          <w:rFonts w:ascii="Times New Roman" w:hAnsi="Times New Roman"/>
          <w:bCs/>
          <w:i/>
          <w:iCs/>
          <w:sz w:val="20"/>
          <w:szCs w:val="20"/>
          <w:lang w:val="es-ES"/>
        </w:rPr>
        <w:t xml:space="preserve">Caso Rochac Hernández </w:t>
      </w:r>
      <w:r>
        <w:rPr>
          <w:rFonts w:ascii="Times New Roman" w:hAnsi="Times New Roman"/>
          <w:bCs/>
          <w:i/>
          <w:iCs/>
          <w:sz w:val="20"/>
          <w:szCs w:val="20"/>
          <w:lang w:val="es-ES"/>
        </w:rPr>
        <w:t>y otros</w:t>
      </w:r>
      <w:r w:rsidRPr="00D03F0E">
        <w:rPr>
          <w:rFonts w:ascii="Times New Roman" w:hAnsi="Times New Roman"/>
          <w:bCs/>
          <w:i/>
          <w:iCs/>
          <w:sz w:val="20"/>
          <w:szCs w:val="20"/>
          <w:lang w:val="es-ES"/>
        </w:rPr>
        <w:t xml:space="preserve"> Vs. El Salvad</w:t>
      </w:r>
      <w:r>
        <w:rPr>
          <w:rFonts w:ascii="Times New Roman" w:hAnsi="Times New Roman"/>
          <w:bCs/>
          <w:i/>
          <w:iCs/>
          <w:sz w:val="20"/>
          <w:szCs w:val="20"/>
          <w:lang w:val="es-ES"/>
        </w:rPr>
        <w:t>or</w:t>
      </w:r>
      <w:r w:rsidRPr="009F4407">
        <w:rPr>
          <w:rFonts w:ascii="Times New Roman" w:hAnsi="Times New Roman"/>
          <w:bCs/>
          <w:iCs/>
          <w:sz w:val="20"/>
          <w:szCs w:val="20"/>
          <w:lang w:val="es-ES"/>
        </w:rPr>
        <w:t xml:space="preserve">, supra, </w:t>
      </w:r>
      <w:r w:rsidRPr="00D03F0E">
        <w:rPr>
          <w:rFonts w:ascii="Times New Roman" w:hAnsi="Times New Roman"/>
          <w:sz w:val="20"/>
          <w:szCs w:val="20"/>
          <w:lang w:val="es-ES"/>
        </w:rPr>
        <w:t>párr. 136.</w:t>
      </w:r>
    </w:p>
  </w:footnote>
  <w:footnote w:id="12">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E/CN.4/Sub.2/1997/20 26 de junio de 1997, cit. La Corte Interamericana predica este derecho de la sociedad en general: </w:t>
      </w:r>
      <w:r w:rsidRPr="00D03F0E">
        <w:rPr>
          <w:rFonts w:ascii="Times New Roman" w:hAnsi="Times New Roman"/>
          <w:bCs/>
          <w:i/>
          <w:iCs/>
          <w:sz w:val="20"/>
          <w:szCs w:val="20"/>
          <w:lang w:val="es-ES"/>
        </w:rPr>
        <w:t xml:space="preserve">Caso Gudiel Álvarez </w:t>
      </w:r>
      <w:r>
        <w:rPr>
          <w:rFonts w:ascii="Times New Roman" w:hAnsi="Times New Roman"/>
          <w:bCs/>
          <w:i/>
          <w:iCs/>
          <w:sz w:val="20"/>
          <w:szCs w:val="20"/>
          <w:lang w:val="es-ES"/>
        </w:rPr>
        <w:t>y otros</w:t>
      </w:r>
      <w:r w:rsidRPr="00D03F0E">
        <w:rPr>
          <w:rFonts w:ascii="Times New Roman" w:hAnsi="Times New Roman"/>
          <w:bCs/>
          <w:i/>
          <w:iCs/>
          <w:sz w:val="20"/>
          <w:szCs w:val="20"/>
          <w:lang w:val="es-ES"/>
        </w:rPr>
        <w:t xml:space="preserve"> (Diario Militar) Vs. Guatemala. Fondo Reparaciones y Costas. Sentencia de </w:t>
      </w:r>
      <w:smartTag w:uri="urn:schemas-microsoft-com:office:smarttags" w:element="date">
        <w:smartTagPr>
          <w:attr w:name="Year" w:val="2012"/>
          <w:attr w:name="Day" w:val="20"/>
          <w:attr w:name="Month" w:val="11"/>
          <w:attr w:name="ls" w:val="trans"/>
        </w:smartTagPr>
        <w:r w:rsidRPr="00D03F0E">
          <w:rPr>
            <w:rFonts w:ascii="Times New Roman" w:hAnsi="Times New Roman"/>
            <w:bCs/>
            <w:i/>
            <w:iCs/>
            <w:sz w:val="20"/>
            <w:szCs w:val="20"/>
            <w:lang w:val="es-ES"/>
          </w:rPr>
          <w:t>20 noviembre de 2012</w:t>
        </w:r>
      </w:smartTag>
      <w:r w:rsidRPr="00D03F0E">
        <w:rPr>
          <w:rFonts w:ascii="Times New Roman" w:hAnsi="Times New Roman"/>
          <w:sz w:val="20"/>
          <w:szCs w:val="20"/>
          <w:lang w:val="es-ES"/>
        </w:rPr>
        <w:t>, parrs. 301 y 302.</w:t>
      </w:r>
      <w:r w:rsidRPr="00D03F0E">
        <w:rPr>
          <w:rFonts w:ascii="Times New Roman" w:hAnsi="Times New Roman"/>
          <w:sz w:val="20"/>
          <w:szCs w:val="20"/>
          <w:lang w:val="es-ES" w:eastAsia="es-ES_tradnl"/>
        </w:rPr>
        <w:t xml:space="preserve"> </w:t>
      </w:r>
      <w:r w:rsidRPr="00D03F0E">
        <w:rPr>
          <w:rFonts w:ascii="Times New Roman" w:hAnsi="Times New Roman"/>
          <w:sz w:val="20"/>
          <w:szCs w:val="20"/>
          <w:lang w:val="es-ES"/>
        </w:rPr>
        <w:t xml:space="preserve">Con anterioridad, </w:t>
      </w:r>
      <w:r w:rsidRPr="00D03F0E">
        <w:rPr>
          <w:rFonts w:ascii="Times New Roman" w:hAnsi="Times New Roman"/>
          <w:i/>
          <w:sz w:val="20"/>
          <w:szCs w:val="20"/>
          <w:lang w:val="es-ES"/>
        </w:rPr>
        <w:t>Caso</w:t>
      </w:r>
      <w:r w:rsidRPr="00D03F0E">
        <w:rPr>
          <w:rFonts w:ascii="Times New Roman" w:hAnsi="Times New Roman"/>
          <w:sz w:val="20"/>
          <w:szCs w:val="20"/>
          <w:lang w:val="es-ES"/>
        </w:rPr>
        <w:t xml:space="preserve"> </w:t>
      </w:r>
      <w:r w:rsidRPr="00D03F0E">
        <w:rPr>
          <w:rFonts w:ascii="Times New Roman" w:hAnsi="Times New Roman"/>
          <w:i/>
          <w:sz w:val="20"/>
          <w:szCs w:val="20"/>
          <w:lang w:val="es-ES"/>
        </w:rPr>
        <w:t>Myrna Mack Chang Vs. Guatemala</w:t>
      </w:r>
      <w:r w:rsidRPr="00D03F0E">
        <w:rPr>
          <w:rFonts w:ascii="Times New Roman" w:hAnsi="Times New Roman"/>
          <w:sz w:val="20"/>
          <w:szCs w:val="20"/>
          <w:lang w:val="es-ES"/>
        </w:rPr>
        <w:t xml:space="preserve"> </w:t>
      </w:r>
      <w:r w:rsidRPr="00D03F0E">
        <w:rPr>
          <w:rFonts w:ascii="Times New Roman" w:hAnsi="Times New Roman"/>
          <w:i/>
          <w:sz w:val="20"/>
          <w:szCs w:val="20"/>
          <w:lang w:val="es-ES"/>
        </w:rPr>
        <w:t>Fondo. Reparaciones y Costas</w:t>
      </w:r>
      <w:r w:rsidRPr="00D03F0E">
        <w:rPr>
          <w:rFonts w:ascii="Times New Roman" w:hAnsi="Times New Roman"/>
          <w:sz w:val="20"/>
          <w:szCs w:val="20"/>
          <w:lang w:val="es-ES"/>
        </w:rPr>
        <w:t>, de 25 de noviembre de 2003, donde se sostiene que "la sociedad como un todo" debe ser informada "de todo lo sucedido con relación a dichas violaciones", párr. 274.</w:t>
      </w:r>
    </w:p>
  </w:footnote>
  <w:footnote w:id="13">
    <w:p w:rsidR="00677F54" w:rsidRPr="00D03F0E" w:rsidRDefault="00677F54" w:rsidP="00D75E9D">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El derecho a la verdad implica la obligación del Estado de suministrar a las víctimas, a los familiares o incluso a la sociedad en general, la información necesaria sobre las circunstancias relativas a la desaparición. La Resolución 12/12, de Naciones Unidas, reconoce la obligación positiva de proporcionar los mecanismos adecuados y efectivos para que la sociedad en su conjunto y, en particular, los familiares de las víctimas conozcan la verdad en relación con las violaciones manifiestas de los derechos humanos y las violaciones graves del derecho internacional humanitario. De acuerdo con los </w:t>
      </w:r>
      <w:r w:rsidRPr="00D03F0E">
        <w:rPr>
          <w:rFonts w:ascii="Times New Roman" w:hAnsi="Times New Roman"/>
          <w:i/>
          <w:sz w:val="20"/>
          <w:szCs w:val="20"/>
          <w:lang w:val="es-ES"/>
        </w:rPr>
        <w:t>Principios y directrices básicos sobre el derecho de las víctimas de violaciones manifiestas de las normas internacionales de derechos humanos y de violaciones graves del derecho internacional humanitario a interponer recursos y obtener reparaciones</w:t>
      </w:r>
      <w:r w:rsidRPr="00D03F0E">
        <w:rPr>
          <w:rFonts w:ascii="Times New Roman" w:hAnsi="Times New Roman"/>
          <w:sz w:val="20"/>
          <w:szCs w:val="20"/>
          <w:lang w:val="es-ES"/>
        </w:rPr>
        <w:t xml:space="preserve">, entre las “garantías de no repetición”, las procesales destacan especialmente (Resolución 60/147, </w:t>
      </w:r>
      <w:r>
        <w:rPr>
          <w:rFonts w:ascii="Times New Roman" w:hAnsi="Times New Roman"/>
          <w:sz w:val="20"/>
          <w:szCs w:val="20"/>
          <w:lang w:val="es-ES"/>
        </w:rPr>
        <w:t>parágrafo 23</w:t>
      </w:r>
      <w:r w:rsidRPr="00D03F0E">
        <w:rPr>
          <w:rFonts w:ascii="Times New Roman" w:hAnsi="Times New Roman"/>
          <w:sz w:val="20"/>
          <w:szCs w:val="20"/>
          <w:lang w:val="es-ES"/>
        </w:rPr>
        <w:t xml:space="preserve">). La Corte Interamericana ha señalado que el esclarecimiento de la verdad de los hechos y de las circunstancias en las que se cometieron las violaciones de los derechos humanos contribuye a evitar que se repitan hechos similares (entre otras, </w:t>
      </w:r>
      <w:r w:rsidRPr="00D03F0E">
        <w:rPr>
          <w:rFonts w:ascii="Times New Roman" w:hAnsi="Times New Roman"/>
          <w:bCs/>
          <w:i/>
          <w:iCs/>
          <w:color w:val="000000"/>
          <w:sz w:val="20"/>
          <w:szCs w:val="20"/>
          <w:lang w:val="es-ES"/>
        </w:rPr>
        <w:t xml:space="preserve">Caso Goiburú </w:t>
      </w:r>
      <w:r>
        <w:rPr>
          <w:rFonts w:ascii="Times New Roman" w:hAnsi="Times New Roman"/>
          <w:bCs/>
          <w:i/>
          <w:iCs/>
          <w:color w:val="000000"/>
          <w:sz w:val="20"/>
          <w:szCs w:val="20"/>
          <w:lang w:val="es-ES"/>
        </w:rPr>
        <w:t>y otros</w:t>
      </w:r>
      <w:r w:rsidRPr="00D03F0E">
        <w:rPr>
          <w:rFonts w:ascii="Times New Roman" w:hAnsi="Times New Roman"/>
          <w:bCs/>
          <w:i/>
          <w:iCs/>
          <w:color w:val="000000"/>
          <w:sz w:val="20"/>
          <w:szCs w:val="20"/>
          <w:lang w:val="es-ES"/>
        </w:rPr>
        <w:t xml:space="preserve"> Vs. Paraguay. Fondo, Reparaciones y Costas.</w:t>
      </w:r>
      <w:r w:rsidRPr="00D03F0E">
        <w:rPr>
          <w:rFonts w:ascii="Times New Roman" w:hAnsi="Times New Roman"/>
          <w:bCs/>
          <w:i/>
          <w:color w:val="000000"/>
          <w:sz w:val="20"/>
          <w:szCs w:val="20"/>
          <w:lang w:val="es-ES"/>
        </w:rPr>
        <w:t xml:space="preserve"> </w:t>
      </w:r>
      <w:r w:rsidRPr="00D03F0E">
        <w:rPr>
          <w:rFonts w:ascii="Times New Roman" w:hAnsi="Times New Roman"/>
          <w:bCs/>
          <w:color w:val="000000"/>
          <w:sz w:val="20"/>
          <w:szCs w:val="20"/>
          <w:lang w:val="es-ES"/>
        </w:rPr>
        <w:t xml:space="preserve">Sentencia de </w:t>
      </w:r>
      <w:smartTag w:uri="urn:schemas-microsoft-com:office:smarttags" w:element="date">
        <w:smartTagPr>
          <w:attr w:name="Year" w:val="2006"/>
          <w:attr w:name="Day" w:val="22"/>
          <w:attr w:name="Month" w:val="9"/>
          <w:attr w:name="ls" w:val="trans"/>
        </w:smartTagPr>
        <w:r w:rsidRPr="00D03F0E">
          <w:rPr>
            <w:rFonts w:ascii="Times New Roman" w:hAnsi="Times New Roman"/>
            <w:bCs/>
            <w:color w:val="000000"/>
            <w:sz w:val="20"/>
            <w:szCs w:val="20"/>
            <w:lang w:val="es-ES"/>
          </w:rPr>
          <w:t>22 de septiembre de 2006</w:t>
        </w:r>
      </w:smartTag>
      <w:r w:rsidRPr="00D03F0E">
        <w:rPr>
          <w:rFonts w:ascii="Times New Roman" w:hAnsi="Times New Roman"/>
          <w:color w:val="000000"/>
          <w:sz w:val="20"/>
          <w:szCs w:val="20"/>
          <w:lang w:val="es-ES"/>
        </w:rPr>
        <w:t>, párr. 53)</w:t>
      </w:r>
      <w:r w:rsidRPr="00D03F0E">
        <w:rPr>
          <w:rFonts w:ascii="Times New Roman" w:hAnsi="Times New Roman"/>
          <w:sz w:val="20"/>
          <w:szCs w:val="20"/>
          <w:lang w:val="es-ES"/>
        </w:rPr>
        <w:t>. En relación con la obligación estatal de evitar que episodios de violencia puedan repetirse en el futuro, los Estados tienen la obligación positiva de tomar todas las medidas legislativas, administrativas, judiciales y de otro tipo eficaces para prevenir o erradicar los actos de desaparición forzada, en particular para tipificarlos como delitos en su legislación penal y establecer la correspondiente responsabilidad civil. En relación con las garantías de no repetición, véase CARNEIRO LEÃO, Anna Mariani: “La Comisión de la Verdad en la trayectoria de la justicia transicional en Brasil”,</w:t>
      </w:r>
      <w:r w:rsidRPr="00D03F0E">
        <w:rPr>
          <w:rFonts w:ascii="Times New Roman" w:eastAsia="Times New Roman" w:hAnsi="Times New Roman"/>
          <w:sz w:val="24"/>
          <w:lang w:val="es-ES"/>
        </w:rPr>
        <w:t xml:space="preserve"> </w:t>
      </w:r>
      <w:r w:rsidRPr="00D03F0E">
        <w:rPr>
          <w:rFonts w:ascii="Times New Roman" w:hAnsi="Times New Roman"/>
          <w:i/>
          <w:sz w:val="20"/>
          <w:szCs w:val="20"/>
          <w:lang w:val="es-ES"/>
        </w:rPr>
        <w:t>Revista de Derecho del Estado</w:t>
      </w:r>
      <w:r w:rsidRPr="00D03F0E">
        <w:rPr>
          <w:rFonts w:ascii="Times New Roman" w:hAnsi="Times New Roman"/>
          <w:sz w:val="20"/>
          <w:szCs w:val="20"/>
          <w:lang w:val="es-ES"/>
        </w:rPr>
        <w:t>, n. 30, enero-junio de 2013, pp. 55-92.</w:t>
      </w:r>
    </w:p>
  </w:footnote>
  <w:footnote w:id="14">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Pr>
          <w:rFonts w:ascii="Times New Roman" w:hAnsi="Times New Roman"/>
          <w:i/>
          <w:lang w:val="es-ES"/>
        </w:rPr>
        <w:t>Caso Rodríguez Vera y otros</w:t>
      </w:r>
      <w:r w:rsidRPr="00D03F0E">
        <w:rPr>
          <w:rFonts w:ascii="Times New Roman" w:hAnsi="Times New Roman"/>
          <w:i/>
          <w:lang w:val="es-ES"/>
        </w:rPr>
        <w:t xml:space="preserve"> (desaparecidos del Palacio de Justicia) Vs. Colombia. Excepciones Preliminares, Fondo, Reparaciones y Costas</w:t>
      </w:r>
      <w:r w:rsidRPr="00D03F0E">
        <w:rPr>
          <w:rFonts w:ascii="Times New Roman" w:hAnsi="Times New Roman"/>
          <w:lang w:val="es-ES"/>
        </w:rPr>
        <w:t>. Sentencia de 14 de noviembre de 2014. Al voto del juez Ferrer se adhieren los jueces Eduardo Vio Grossi y Manuel E. Ventura Robles.</w:t>
      </w:r>
    </w:p>
  </w:footnote>
  <w:footnote w:id="15">
    <w:p w:rsidR="00677F54" w:rsidRPr="00D03F0E" w:rsidRDefault="00677F54" w:rsidP="00F1364C">
      <w:pPr>
        <w:autoSpaceDE w:val="0"/>
        <w:autoSpaceDN w:val="0"/>
        <w:adjustRightInd w:val="0"/>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Al respecto es muy interesante la </w:t>
      </w:r>
      <w:r w:rsidRPr="00D03F0E">
        <w:rPr>
          <w:rFonts w:ascii="Times New Roman" w:hAnsi="Times New Roman"/>
          <w:i/>
          <w:sz w:val="20"/>
          <w:szCs w:val="20"/>
          <w:lang w:val="es-ES"/>
        </w:rPr>
        <w:t xml:space="preserve">El-Masri c. </w:t>
      </w:r>
      <w:r w:rsidRPr="00082626">
        <w:rPr>
          <w:rFonts w:ascii="Times New Roman" w:hAnsi="Times New Roman"/>
          <w:bCs/>
          <w:i/>
          <w:sz w:val="20"/>
          <w:szCs w:val="20"/>
          <w:lang w:val="es-ES"/>
        </w:rPr>
        <w:t>El-Masri c. Antigua República Yugoslava de Macedonia</w:t>
      </w:r>
      <w:r w:rsidRPr="00082626">
        <w:rPr>
          <w:rFonts w:ascii="Times New Roman" w:hAnsi="Times New Roman"/>
          <w:i/>
          <w:sz w:val="20"/>
          <w:szCs w:val="20"/>
          <w:lang w:val="es-ES"/>
        </w:rPr>
        <w:t xml:space="preserve"> </w:t>
      </w:r>
      <w:r w:rsidRPr="00D03F0E">
        <w:rPr>
          <w:rFonts w:ascii="Times New Roman" w:hAnsi="Times New Roman"/>
          <w:sz w:val="20"/>
          <w:szCs w:val="20"/>
          <w:lang w:val="es-ES"/>
        </w:rPr>
        <w:t>[GS], núm. 39630/09, de 13 de diciembre de 2012, que va acompañada de dos votos concurrentes. En el primero, los cuatro jueces firmantes (Tulkens, Spielmann, Sicilianos y Keller) se postulan a favor del reconocimiento del derecho a la verdad como un derecho autónomo. En el segundo, quienes lo subscriben (Casadevall y López Guerra) entienden que la referecia que el parágrafo 191 de la sentencia al denominado “derecho a la verdad” es innecesaria, en cuanto que tal derecho apela a la dimension procesal que se reconoce en los artículos</w:t>
      </w:r>
      <w:r>
        <w:rPr>
          <w:rFonts w:ascii="Times New Roman" w:hAnsi="Times New Roman"/>
          <w:sz w:val="20"/>
          <w:szCs w:val="20"/>
          <w:lang w:val="es-ES"/>
        </w:rPr>
        <w:t xml:space="preserve"> 2,</w:t>
      </w:r>
      <w:r w:rsidRPr="00D03F0E">
        <w:rPr>
          <w:rFonts w:ascii="Times New Roman" w:hAnsi="Times New Roman"/>
          <w:sz w:val="20"/>
          <w:szCs w:val="20"/>
          <w:lang w:val="es-ES"/>
        </w:rPr>
        <w:t xml:space="preserve"> 3 y 5 del CEDH. El caso trata sobre una «entrega extraordinaria» (</w:t>
      </w:r>
      <w:r w:rsidRPr="00D03F0E">
        <w:rPr>
          <w:rFonts w:ascii="Times New Roman" w:hAnsi="Times New Roman"/>
          <w:i/>
          <w:sz w:val="20"/>
          <w:szCs w:val="20"/>
          <w:lang w:val="es-ES"/>
        </w:rPr>
        <w:t>extraordinary rendition</w:t>
      </w:r>
      <w:r w:rsidRPr="00D03F0E">
        <w:rPr>
          <w:rFonts w:ascii="Times New Roman" w:hAnsi="Times New Roman"/>
          <w:sz w:val="20"/>
          <w:szCs w:val="20"/>
          <w:lang w:val="es-ES"/>
        </w:rPr>
        <w:t>), esto es, sobre la detención ilegal por parte de las autoridades de Macedonia de un sospechoso de terrorismo yihadista y la posterior entrega a la Agencia Central de Inteligencia (CIA) de los Estados Unidos, que lo traladaron y recluyeron en un centro secreto de detención en Afganistan, donde fue torturado.</w:t>
      </w:r>
    </w:p>
  </w:footnote>
  <w:footnote w:id="16">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lang w:val="es-ES"/>
        </w:rPr>
        <w:t>Magyar Helsinki Bizottság c. Hungría</w:t>
      </w:r>
      <w:r w:rsidRPr="00D03F0E">
        <w:rPr>
          <w:rFonts w:ascii="Times New Roman" w:hAnsi="Times New Roman"/>
          <w:lang w:val="es-ES"/>
        </w:rPr>
        <w:t xml:space="preserve">, n. 18030/11, Gran Sala, de 8 de noviembre de 2016. Véase el interesante análisis que de esta sentencia raliza LÓPEZ GUERRA, Luis, “El derecho a la verdad: ¿la emergencia de un nuevo derecho en la jurisprudencia del Tribunal Europeo de Derechos Humanos?”, </w:t>
      </w:r>
      <w:r w:rsidRPr="00D03F0E">
        <w:rPr>
          <w:rFonts w:ascii="Times New Roman" w:hAnsi="Times New Roman"/>
          <w:i/>
          <w:lang w:val="es-ES"/>
        </w:rPr>
        <w:t>Anuario Iberoamericano de Justicia Constitucional</w:t>
      </w:r>
      <w:r w:rsidRPr="00D03F0E">
        <w:rPr>
          <w:rFonts w:ascii="Times New Roman" w:hAnsi="Times New Roman"/>
          <w:lang w:val="es-ES"/>
        </w:rPr>
        <w:t>, n. 22, pp. 11-30.</w:t>
      </w:r>
    </w:p>
  </w:footnote>
  <w:footnote w:id="17">
    <w:p w:rsidR="00677F54" w:rsidRPr="00D03F0E" w:rsidRDefault="00677F54" w:rsidP="002C724E">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este epígrafe tan solo apuntaremos los elementos configuradores del delito de de desaparición forzada. Para un estudi más detallado, permítanos el lector que nos remitamos a LÓPEZ ULLA, Juan Manuel, </w:t>
      </w:r>
      <w:r w:rsidRPr="00D03F0E">
        <w:rPr>
          <w:rFonts w:ascii="Times New Roman" w:hAnsi="Times New Roman"/>
          <w:i/>
          <w:lang w:val="es-ES"/>
        </w:rPr>
        <w:t>Derecho a la verdad y desapariciones forzadas</w:t>
      </w:r>
      <w:r w:rsidRPr="00D03F0E">
        <w:rPr>
          <w:rFonts w:ascii="Times New Roman" w:hAnsi="Times New Roman"/>
          <w:lang w:val="es-ES"/>
        </w:rPr>
        <w:t>, cit., pp. 23 y ss</w:t>
      </w:r>
      <w:r w:rsidRPr="00D03F0E">
        <w:rPr>
          <w:rFonts w:ascii="Times New Roman" w:hAnsi="Times New Roman"/>
          <w:bCs/>
          <w:i/>
          <w:iCs/>
          <w:lang w:val="es-ES"/>
        </w:rPr>
        <w:t>.</w:t>
      </w:r>
    </w:p>
  </w:footnote>
  <w:footnote w:id="18">
    <w:p w:rsidR="00677F54" w:rsidRPr="00D03F0E" w:rsidRDefault="00677F54" w:rsidP="0028627C">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La Convención Internacional fue </w:t>
      </w:r>
      <w:r w:rsidRPr="00D03F0E">
        <w:rPr>
          <w:rFonts w:ascii="Times New Roman" w:eastAsia="Times New Roman" w:hAnsi="Times New Roman"/>
          <w:lang w:val="es-ES"/>
        </w:rPr>
        <w:t>aprobada por la Asamblea General el 20 de diciembre de 2006. Este tratado vino</w:t>
      </w:r>
      <w:r w:rsidRPr="00D03F0E">
        <w:rPr>
          <w:rFonts w:ascii="Times New Roman" w:hAnsi="Times New Roman"/>
          <w:lang w:val="es-ES"/>
        </w:rPr>
        <w:t xml:space="preserve"> precedido</w:t>
      </w:r>
      <w:r w:rsidRPr="00D03F0E">
        <w:rPr>
          <w:rFonts w:ascii="Times New Roman" w:eastAsia="Times New Roman" w:hAnsi="Times New Roman"/>
          <w:lang w:val="es-ES"/>
        </w:rPr>
        <w:t xml:space="preserve"> de la </w:t>
      </w:r>
      <w:r w:rsidRPr="00D03F0E">
        <w:rPr>
          <w:rFonts w:ascii="Times New Roman" w:hAnsi="Times New Roman"/>
          <w:lang w:val="es-ES"/>
        </w:rPr>
        <w:t xml:space="preserve">Declaración que con el mismo título aprueba la Resolución 47/133, de 18 de diciembre de 1992, donde se reconoce que una desaparición forzada constituye una violación de las normas de Derecho internacional que garantizan a todo ser humano, entre otros, el derecho a la vida, a no ser sometido a tortura ni a otras penas o tratos crueles, inhumanos o degradantes, el derecho a la libertad y a la seguridad personal, citando al efecto la Declaración Universal de Derechos Humanos, el Pacto Internacional de Derechos Civiles y Políticos y la Convención contra la Tortura </w:t>
      </w:r>
      <w:r>
        <w:rPr>
          <w:rFonts w:ascii="Times New Roman" w:hAnsi="Times New Roman"/>
          <w:lang w:val="es-ES"/>
        </w:rPr>
        <w:t>y otros</w:t>
      </w:r>
      <w:r w:rsidRPr="00D03F0E">
        <w:rPr>
          <w:rFonts w:ascii="Times New Roman" w:hAnsi="Times New Roman"/>
          <w:lang w:val="es-ES"/>
        </w:rPr>
        <w:t xml:space="preserve"> Tratos o Penas Crueles, Inhumanos o Degradantes. Al respecto, véase, </w:t>
      </w:r>
      <w:r w:rsidRPr="00D03F0E">
        <w:rPr>
          <w:rFonts w:ascii="Times New Roman" w:hAnsi="Times New Roman"/>
          <w:bCs/>
          <w:lang w:val="es-ES"/>
        </w:rPr>
        <w:t>Oficina del Alto Comisionado de las Naciones Unidas para los Derechos Humanos. Desapariciones forzadas o involuntarias. Folleto informativo núm. 6/Rev.3., p. 5.</w:t>
      </w:r>
    </w:p>
  </w:footnote>
  <w:footnote w:id="19">
    <w:p w:rsidR="00677F54" w:rsidRPr="00D03F0E" w:rsidRDefault="00677F54" w:rsidP="00C51C5A">
      <w:pPr>
        <w:spacing w:after="0" w:line="240" w:lineRule="auto"/>
        <w:jc w:val="both"/>
        <w:rPr>
          <w:rFonts w:ascii="Times New Roman" w:eastAsia="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El artículo 2 de la </w:t>
      </w:r>
      <w:r w:rsidRPr="00D03F0E">
        <w:rPr>
          <w:rFonts w:ascii="Times New Roman" w:eastAsia="Times New Roman" w:hAnsi="Times New Roman"/>
          <w:sz w:val="20"/>
          <w:szCs w:val="20"/>
          <w:lang w:val="es-ES"/>
        </w:rPr>
        <w:t>Convención Interamericana sobre desaparición forzada de personas</w:t>
      </w:r>
      <w:r w:rsidRPr="00D03F0E">
        <w:rPr>
          <w:rFonts w:ascii="Times New Roman" w:hAnsi="Times New Roman"/>
          <w:sz w:val="20"/>
          <w:szCs w:val="20"/>
          <w:lang w:val="es-ES"/>
        </w:rPr>
        <w:t>, adoptada el 9 de junio de 1994 en Belém do Pará</w:t>
      </w:r>
      <w:r w:rsidRPr="00D03F0E">
        <w:rPr>
          <w:rFonts w:ascii="Times New Roman" w:eastAsia="Times New Roman" w:hAnsi="Times New Roman"/>
          <w:sz w:val="20"/>
          <w:szCs w:val="20"/>
          <w:lang w:val="es-ES"/>
        </w:rPr>
        <w:t xml:space="preserve"> (Brasil), ofrece la siguiente definición: “se considera desaparición forzada la privación de la libertad a una o más personas, cualquiera que fuere su forma, cometida por agentes del Estado o por personas o grupos de personas que actúen con la autorización, el apoyo o la aquiescencia del Estado, seguida de la falta de información o de la negativa a reconocer dicha privación de libertad o de informar sobre el paradero de la persona, con lo cual se impide el ejercicio de los recursos legales y de las garantías procesales pertinentes”</w:t>
      </w:r>
      <w:r w:rsidRPr="00D03F0E">
        <w:rPr>
          <w:rFonts w:ascii="Times New Roman" w:hAnsi="Times New Roman"/>
          <w:sz w:val="20"/>
          <w:szCs w:val="20"/>
          <w:shd w:val="clear" w:color="auto" w:fill="FFFFFF"/>
          <w:lang w:val="es-ES"/>
        </w:rPr>
        <w:t>.</w:t>
      </w:r>
    </w:p>
  </w:footnote>
  <w:footnote w:id="20">
    <w:p w:rsidR="00677F54" w:rsidRPr="00D03F0E" w:rsidRDefault="00677F54" w:rsidP="00783F7D">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Véase el Preámbulo y los artículos 4, 5 y 7.1</w:t>
      </w:r>
      <w:r w:rsidRPr="00D03F0E">
        <w:rPr>
          <w:rFonts w:ascii="Times New Roman" w:hAnsi="Times New Roman"/>
          <w:spacing w:val="-4"/>
          <w:lang w:val="es-ES"/>
        </w:rPr>
        <w:t xml:space="preserve"> de la Convención Internacional; y el Preámbulo y el artículo III de la Convención Interamericana. Entre otras, la Corte Interamericana se ha referido a la necesidad de tipificar este delito, que en ocasiones adquiere el carácter de crimen de lesa humanidad, en los siguientes casos: </w:t>
      </w:r>
      <w:r w:rsidRPr="00D03F0E">
        <w:rPr>
          <w:rFonts w:ascii="Times New Roman" w:eastAsia="Verdana" w:hAnsi="Times New Roman"/>
          <w:i/>
          <w:lang w:val="es-ES"/>
        </w:rPr>
        <w:t>Heliodoro Portugal Vs. Panamá. Excepciones Preliminares, Fondo, Reparaciones y Costas</w:t>
      </w:r>
      <w:r w:rsidRPr="00D03F0E">
        <w:rPr>
          <w:rFonts w:ascii="Times New Roman" w:hAnsi="Times New Roman"/>
          <w:lang w:val="es-ES"/>
        </w:rPr>
        <w:t xml:space="preserve">. Sentencia de 12 de agosto de 2008, párr. 181; </w:t>
      </w:r>
      <w:r w:rsidRPr="00D03F0E">
        <w:rPr>
          <w:rFonts w:ascii="Times New Roman" w:eastAsia="Verdana" w:hAnsi="Times New Roman"/>
          <w:i/>
          <w:lang w:val="es-ES"/>
        </w:rPr>
        <w:t xml:space="preserve">Vásquez Durand </w:t>
      </w:r>
      <w:r>
        <w:rPr>
          <w:rFonts w:ascii="Times New Roman" w:eastAsia="Verdana" w:hAnsi="Times New Roman"/>
          <w:i/>
          <w:lang w:val="es-ES"/>
        </w:rPr>
        <w:t>y otros</w:t>
      </w:r>
      <w:r w:rsidRPr="00D03F0E">
        <w:rPr>
          <w:rFonts w:ascii="Times New Roman" w:eastAsia="Verdana" w:hAnsi="Times New Roman"/>
          <w:i/>
          <w:lang w:val="es-ES"/>
        </w:rPr>
        <w:t xml:space="preserve"> Vs. Ecuador. Excepciones Preliminares, Fondo, Reparaciones y Costas. </w:t>
      </w:r>
      <w:r w:rsidRPr="00D03F0E">
        <w:rPr>
          <w:rFonts w:ascii="Times New Roman" w:eastAsia="Verdana" w:hAnsi="Times New Roman"/>
          <w:lang w:val="es-ES"/>
        </w:rPr>
        <w:t>Sentencia de 15 febrero 2017</w:t>
      </w:r>
      <w:r w:rsidRPr="00D03F0E">
        <w:rPr>
          <w:rFonts w:ascii="Times New Roman" w:hAnsi="Times New Roman"/>
          <w:lang w:val="es-ES"/>
        </w:rPr>
        <w:t>, párr. 174; y</w:t>
      </w:r>
      <w:r w:rsidRPr="00D03F0E">
        <w:rPr>
          <w:rFonts w:ascii="Times New Roman" w:hAnsi="Times New Roman"/>
          <w:i/>
          <w:lang w:val="es-ES"/>
        </w:rPr>
        <w:t xml:space="preserve"> Garzón Guzmán </w:t>
      </w:r>
      <w:r>
        <w:rPr>
          <w:rFonts w:ascii="Times New Roman" w:hAnsi="Times New Roman"/>
          <w:i/>
          <w:lang w:val="es-ES"/>
        </w:rPr>
        <w:t>y otros</w:t>
      </w:r>
      <w:r w:rsidRPr="00D03F0E">
        <w:rPr>
          <w:rFonts w:ascii="Times New Roman" w:hAnsi="Times New Roman"/>
          <w:i/>
          <w:lang w:val="es-ES"/>
        </w:rPr>
        <w:t xml:space="preserve"> Vs. Ecuador. Fondo, Reparaciones y Costas</w:t>
      </w:r>
      <w:r w:rsidRPr="00D03F0E">
        <w:rPr>
          <w:rFonts w:ascii="Times New Roman" w:hAnsi="Times New Roman"/>
          <w:lang w:val="es-ES"/>
        </w:rPr>
        <w:t>. Sentencia de 1 de septiembre de 2021, párr. 79.</w:t>
      </w:r>
    </w:p>
  </w:footnote>
  <w:footnote w:id="21">
    <w:p w:rsidR="00677F54" w:rsidRPr="00D03F0E" w:rsidRDefault="00677F54" w:rsidP="0056645F">
      <w:pPr>
        <w:widowControl w:val="0"/>
        <w:adjustRightInd w:val="0"/>
        <w:spacing w:after="0" w:line="240" w:lineRule="auto"/>
        <w:jc w:val="both"/>
        <w:textAlignment w:val="baseline"/>
        <w:rPr>
          <w:rFonts w:ascii="Times New Roman" w:hAnsi="Times New Roman"/>
          <w:bCs/>
          <w:i/>
          <w:iCs/>
          <w:snapToGrid w:val="0"/>
          <w:sz w:val="20"/>
          <w:szCs w:val="20"/>
          <w:lang w:val="es-ES" w:eastAsia="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Entre otros, la Corte Interamericana así los ha identificado, entre otros en los casos:</w:t>
      </w:r>
      <w:r w:rsidRPr="00D03F0E">
        <w:rPr>
          <w:rFonts w:ascii="Times New Roman" w:hAnsi="Times New Roman"/>
          <w:i/>
          <w:sz w:val="20"/>
          <w:szCs w:val="20"/>
          <w:lang w:val="es-ES"/>
        </w:rPr>
        <w:t xml:space="preserve"> Gómez Palomino Vs. Perú. Fondo, Reparaciones y Costas</w:t>
      </w:r>
      <w:r w:rsidRPr="00D03F0E">
        <w:rPr>
          <w:rFonts w:ascii="Times New Roman" w:hAnsi="Times New Roman"/>
          <w:sz w:val="20"/>
          <w:szCs w:val="20"/>
          <w:lang w:val="es-ES"/>
        </w:rPr>
        <w:t xml:space="preserve">. Sentencia de 22 de noviembre de 2005, párr. 97; </w:t>
      </w:r>
      <w:r w:rsidRPr="00D03F0E">
        <w:rPr>
          <w:rFonts w:ascii="Times New Roman" w:hAnsi="Times New Roman"/>
          <w:i/>
          <w:sz w:val="20"/>
          <w:szCs w:val="20"/>
          <w:lang w:val="es-ES"/>
        </w:rPr>
        <w:t xml:space="preserve">Garzón Guzmán </w:t>
      </w:r>
      <w:r>
        <w:rPr>
          <w:rFonts w:ascii="Times New Roman" w:hAnsi="Times New Roman"/>
          <w:i/>
          <w:sz w:val="20"/>
          <w:szCs w:val="20"/>
          <w:lang w:val="es-ES"/>
        </w:rPr>
        <w:t>y otros</w:t>
      </w:r>
      <w:r w:rsidRPr="00D03F0E">
        <w:rPr>
          <w:rFonts w:ascii="Times New Roman" w:hAnsi="Times New Roman"/>
          <w:i/>
          <w:sz w:val="20"/>
          <w:szCs w:val="20"/>
          <w:lang w:val="es-ES"/>
        </w:rPr>
        <w:t xml:space="preserve"> Vs. Ecuador</w:t>
      </w:r>
      <w:r w:rsidRPr="00D03F0E">
        <w:rPr>
          <w:rFonts w:ascii="Times New Roman" w:hAnsi="Times New Roman"/>
          <w:sz w:val="20"/>
          <w:szCs w:val="20"/>
          <w:lang w:val="es-ES"/>
        </w:rPr>
        <w:t xml:space="preserve">, supra, párr. 62; </w:t>
      </w:r>
      <w:r w:rsidRPr="00D03F0E">
        <w:rPr>
          <w:rFonts w:ascii="Times New Roman" w:hAnsi="Times New Roman"/>
          <w:i/>
          <w:sz w:val="20"/>
          <w:szCs w:val="20"/>
          <w:lang w:val="es-ES"/>
        </w:rPr>
        <w:t>Masacres de Río Negro Vs. Guatemala. Excepción Preliminar, Fondo, Reparaciones y Costas</w:t>
      </w:r>
      <w:r w:rsidRPr="00D03F0E">
        <w:rPr>
          <w:rFonts w:ascii="Times New Roman" w:hAnsi="Times New Roman"/>
          <w:sz w:val="20"/>
          <w:szCs w:val="20"/>
          <w:lang w:val="es-ES"/>
        </w:rPr>
        <w:t xml:space="preserve">. Sentencia de 4 de septiembre de 2012, párr. 115; </w:t>
      </w:r>
      <w:r w:rsidRPr="00D03F0E">
        <w:rPr>
          <w:rFonts w:ascii="Times New Roman" w:hAnsi="Times New Roman"/>
          <w:i/>
          <w:sz w:val="20"/>
          <w:szCs w:val="20"/>
          <w:lang w:val="es-ES"/>
        </w:rPr>
        <w:t xml:space="preserve">Alvarado Espinoza </w:t>
      </w:r>
      <w:r>
        <w:rPr>
          <w:rFonts w:ascii="Times New Roman" w:hAnsi="Times New Roman"/>
          <w:i/>
          <w:sz w:val="20"/>
          <w:szCs w:val="20"/>
          <w:lang w:val="es-ES"/>
        </w:rPr>
        <w:t>y otros</w:t>
      </w:r>
      <w:r w:rsidRPr="00D03F0E">
        <w:rPr>
          <w:rFonts w:ascii="Times New Roman" w:hAnsi="Times New Roman"/>
          <w:i/>
          <w:sz w:val="20"/>
          <w:szCs w:val="20"/>
          <w:lang w:val="es-ES"/>
        </w:rPr>
        <w:t xml:space="preserve"> Vs. México. </w:t>
      </w:r>
      <w:r w:rsidRPr="00D03F0E">
        <w:rPr>
          <w:rFonts w:ascii="Times New Roman" w:hAnsi="Times New Roman"/>
          <w:bCs/>
          <w:i/>
          <w:iCs/>
          <w:snapToGrid w:val="0"/>
          <w:sz w:val="20"/>
          <w:szCs w:val="20"/>
          <w:lang w:val="es-ES" w:eastAsia="es-ES"/>
        </w:rPr>
        <w:t>Fondo, Reparaciones y Costas</w:t>
      </w:r>
      <w:r w:rsidRPr="00D03F0E">
        <w:rPr>
          <w:rFonts w:ascii="Times New Roman" w:hAnsi="Times New Roman"/>
          <w:sz w:val="20"/>
          <w:szCs w:val="20"/>
          <w:lang w:val="es-ES"/>
        </w:rPr>
        <w:t>. Sentencia de 28 de noviembre de 2018</w:t>
      </w:r>
      <w:r w:rsidRPr="00D03F0E">
        <w:rPr>
          <w:rFonts w:ascii="Times New Roman" w:hAnsi="Times New Roman"/>
          <w:bCs/>
          <w:iCs/>
          <w:snapToGrid w:val="0"/>
          <w:sz w:val="20"/>
          <w:szCs w:val="20"/>
          <w:lang w:val="es-ES" w:eastAsia="es-ES"/>
        </w:rPr>
        <w:t xml:space="preserve">, párr. 171; </w:t>
      </w:r>
      <w:r w:rsidRPr="00D03F0E">
        <w:rPr>
          <w:rFonts w:ascii="Times New Roman" w:hAnsi="Times New Roman"/>
          <w:i/>
          <w:sz w:val="20"/>
          <w:szCs w:val="20"/>
          <w:lang w:val="es-ES"/>
        </w:rPr>
        <w:t xml:space="preserve">Caso Familia Julien Grisonas Vs. Argentina.  Excepciones Preliminares, Fondo, Reparaciones y Costas. </w:t>
      </w:r>
      <w:r w:rsidRPr="00D03F0E">
        <w:rPr>
          <w:rFonts w:ascii="Times New Roman" w:hAnsi="Times New Roman"/>
          <w:sz w:val="20"/>
          <w:szCs w:val="20"/>
          <w:lang w:val="es-ES"/>
        </w:rPr>
        <w:t>Sentencia de 23 de septiembre de 2021</w:t>
      </w:r>
      <w:r w:rsidRPr="00D03F0E">
        <w:rPr>
          <w:rFonts w:ascii="Times New Roman" w:hAnsi="Times New Roman"/>
          <w:i/>
          <w:sz w:val="20"/>
          <w:szCs w:val="20"/>
          <w:lang w:val="es-ES"/>
        </w:rPr>
        <w:t>.</w:t>
      </w:r>
      <w:r w:rsidRPr="00D03F0E">
        <w:rPr>
          <w:rFonts w:ascii="Times New Roman" w:hAnsi="Times New Roman"/>
          <w:sz w:val="20"/>
          <w:szCs w:val="20"/>
          <w:lang w:val="es-ES"/>
        </w:rPr>
        <w:t>, párr. 127.</w:t>
      </w:r>
    </w:p>
  </w:footnote>
  <w:footnote w:id="22">
    <w:p w:rsidR="00677F54" w:rsidRPr="00D03F0E" w:rsidRDefault="00677F54" w:rsidP="005B73B0">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Consejo de Derechos Humanos, Informe del Grupo de trabajo sobre desapariciones forzadas e involuntarias, Comentario General sobre el derecho a la verdad en relación con las desapariciones forzadas (A/HRC/16/48, 26 de enero de 2011), apartado 2.</w:t>
      </w:r>
    </w:p>
  </w:footnote>
  <w:footnote w:id="23">
    <w:p w:rsidR="00677F54" w:rsidRPr="00D03F0E" w:rsidRDefault="00677F54" w:rsidP="00B076CD">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Véanse los principios 26 a 28 de los </w:t>
      </w:r>
      <w:r w:rsidRPr="00D03F0E">
        <w:rPr>
          <w:rFonts w:ascii="Times New Roman" w:hAnsi="Times New Roman"/>
          <w:i/>
          <w:lang w:val="es-ES"/>
        </w:rPr>
        <w:t>Principios</w:t>
      </w:r>
      <w:r w:rsidRPr="00D03F0E">
        <w:rPr>
          <w:rFonts w:ascii="Times New Roman" w:hAnsi="Times New Roman"/>
          <w:lang w:val="es-ES"/>
        </w:rPr>
        <w:t xml:space="preserve"> de Naciones Unidas de 1997, cit..</w:t>
      </w:r>
    </w:p>
  </w:footnote>
  <w:footnote w:id="24">
    <w:p w:rsidR="00677F54" w:rsidRPr="00D03F0E" w:rsidRDefault="00677F54" w:rsidP="007C0036">
      <w:pPr>
        <w:pStyle w:val="Textonotapie"/>
        <w:tabs>
          <w:tab w:val="left" w:pos="426"/>
        </w:tabs>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este sentido, la Corte Interamericana se ha pronunciado, entre otros, en los siguientes casos:</w:t>
      </w:r>
      <w:r w:rsidRPr="00D03F0E">
        <w:rPr>
          <w:rFonts w:ascii="Times New Roman" w:hAnsi="Times New Roman"/>
          <w:i/>
          <w:lang w:val="es-ES"/>
        </w:rPr>
        <w:t xml:space="preserve"> Velásquez Rodríguez Vs. Honduras</w:t>
      </w:r>
      <w:r w:rsidRPr="00D03F0E">
        <w:rPr>
          <w:rFonts w:ascii="Times New Roman" w:hAnsi="Times New Roman"/>
          <w:lang w:val="es-ES"/>
        </w:rPr>
        <w:t xml:space="preserve">, supra, </w:t>
      </w:r>
      <w:r w:rsidRPr="00D03F0E">
        <w:rPr>
          <w:rFonts w:ascii="Times New Roman" w:hAnsi="Times New Roman"/>
          <w:noProof/>
          <w:lang w:val="es-ES"/>
        </w:rPr>
        <w:t xml:space="preserve">párrs. 150, 155 a 158, 186 y 187; </w:t>
      </w:r>
      <w:r w:rsidRPr="00D03F0E">
        <w:rPr>
          <w:rFonts w:ascii="Times New Roman" w:hAnsi="Times New Roman"/>
          <w:bCs/>
          <w:i/>
          <w:iCs/>
          <w:lang w:val="es-ES"/>
        </w:rPr>
        <w:t>Caso Godínez Cruz Vs. Honduras</w:t>
      </w:r>
      <w:r w:rsidRPr="00D03F0E">
        <w:rPr>
          <w:rFonts w:ascii="Times New Roman" w:hAnsi="Times New Roman"/>
          <w:bCs/>
          <w:lang w:val="es-ES"/>
        </w:rPr>
        <w:t>,</w:t>
      </w:r>
      <w:r>
        <w:rPr>
          <w:rFonts w:ascii="Times New Roman" w:hAnsi="Times New Roman"/>
          <w:bCs/>
          <w:lang w:val="es-ES"/>
        </w:rPr>
        <w:t xml:space="preserve"> supras,</w:t>
      </w:r>
      <w:r w:rsidRPr="00D03F0E">
        <w:rPr>
          <w:rFonts w:ascii="Times New Roman" w:hAnsi="Times New Roman"/>
          <w:bCs/>
          <w:lang w:val="es-ES"/>
        </w:rPr>
        <w:t xml:space="preserve"> </w:t>
      </w:r>
      <w:r w:rsidRPr="00D03F0E">
        <w:rPr>
          <w:rFonts w:ascii="Times New Roman" w:hAnsi="Times New Roman"/>
          <w:lang w:val="es-ES"/>
        </w:rPr>
        <w:t>párrs. 158, 163 a 167, 196 y 197;</w:t>
      </w:r>
      <w:r w:rsidRPr="00D03F0E">
        <w:rPr>
          <w:rFonts w:ascii="Times New Roman" w:hAnsi="Times New Roman"/>
          <w:i/>
          <w:iCs/>
          <w:lang w:val="es-ES"/>
        </w:rPr>
        <w:t xml:space="preserve"> Heliodoro Portugal Vs. Panamá</w:t>
      </w:r>
      <w:r w:rsidRPr="00D03F0E">
        <w:rPr>
          <w:rFonts w:ascii="Times New Roman" w:hAnsi="Times New Roman"/>
          <w:iCs/>
          <w:lang w:val="es-ES"/>
        </w:rPr>
        <w:t xml:space="preserve">, supra, </w:t>
      </w:r>
      <w:r w:rsidRPr="00D03F0E">
        <w:rPr>
          <w:rFonts w:ascii="Times New Roman" w:hAnsi="Times New Roman"/>
          <w:lang w:val="es-ES"/>
        </w:rPr>
        <w:t>párr. 112;</w:t>
      </w:r>
      <w:r w:rsidRPr="00D03F0E">
        <w:rPr>
          <w:rFonts w:ascii="Times New Roman" w:hAnsi="Times New Roman"/>
          <w:i/>
          <w:iCs/>
          <w:sz w:val="22"/>
          <w:szCs w:val="22"/>
          <w:lang w:val="es-ES"/>
        </w:rPr>
        <w:t xml:space="preserve"> </w:t>
      </w:r>
      <w:r w:rsidRPr="00D03F0E">
        <w:rPr>
          <w:rFonts w:ascii="Times New Roman" w:hAnsi="Times New Roman"/>
          <w:i/>
          <w:iCs/>
          <w:lang w:val="es-ES"/>
        </w:rPr>
        <w:t>Anzualdo Castro Vs. Perú</w:t>
      </w:r>
      <w:r w:rsidRPr="00D03F0E">
        <w:rPr>
          <w:rFonts w:ascii="Times New Roman" w:hAnsi="Times New Roman"/>
          <w:lang w:val="es-ES"/>
        </w:rPr>
        <w:t>, supra, párrs. 68 a 103;</w:t>
      </w:r>
      <w:r w:rsidRPr="00D03F0E">
        <w:rPr>
          <w:rFonts w:ascii="Times New Roman" w:hAnsi="Times New Roman"/>
          <w:i/>
          <w:lang w:val="es-ES"/>
        </w:rPr>
        <w:t xml:space="preserve"> Caso Rochac Hernández </w:t>
      </w:r>
      <w:r>
        <w:rPr>
          <w:rFonts w:ascii="Times New Roman" w:hAnsi="Times New Roman"/>
          <w:i/>
          <w:lang w:val="es-ES"/>
        </w:rPr>
        <w:t>y otros</w:t>
      </w:r>
      <w:r w:rsidRPr="00D03F0E">
        <w:rPr>
          <w:rFonts w:ascii="Times New Roman" w:hAnsi="Times New Roman"/>
          <w:i/>
          <w:lang w:val="es-ES"/>
        </w:rPr>
        <w:t xml:space="preserve"> Vs. El Salvador</w:t>
      </w:r>
      <w:r w:rsidRPr="00D03F0E">
        <w:rPr>
          <w:rFonts w:ascii="Times New Roman" w:hAnsi="Times New Roman"/>
          <w:lang w:val="es-ES"/>
        </w:rPr>
        <w:t xml:space="preserve">, supra, párr. 124; </w:t>
      </w:r>
      <w:r w:rsidRPr="00D03F0E">
        <w:rPr>
          <w:rFonts w:ascii="Times New Roman" w:hAnsi="Times New Roman"/>
          <w:bCs/>
          <w:i/>
          <w:color w:val="000000"/>
          <w:shd w:val="clear" w:color="auto" w:fill="FFFFFF"/>
          <w:lang w:val="es-ES"/>
        </w:rPr>
        <w:t xml:space="preserve">Terrones Silva </w:t>
      </w:r>
      <w:r>
        <w:rPr>
          <w:rFonts w:ascii="Times New Roman" w:hAnsi="Times New Roman"/>
          <w:bCs/>
          <w:i/>
          <w:color w:val="000000"/>
          <w:shd w:val="clear" w:color="auto" w:fill="FFFFFF"/>
          <w:lang w:val="es-ES"/>
        </w:rPr>
        <w:t>y otros</w:t>
      </w:r>
      <w:r w:rsidRPr="00D03F0E">
        <w:rPr>
          <w:rFonts w:ascii="Times New Roman" w:hAnsi="Times New Roman"/>
          <w:bCs/>
          <w:i/>
          <w:color w:val="000000"/>
          <w:shd w:val="clear" w:color="auto" w:fill="FFFFFF"/>
          <w:lang w:val="es-ES"/>
        </w:rPr>
        <w:t xml:space="preserve"> Vs. Perú. Excepciones Preliminares, Fondo, Reparaciones y Costas. </w:t>
      </w:r>
      <w:r w:rsidRPr="00D03F0E">
        <w:rPr>
          <w:rFonts w:ascii="Times New Roman" w:hAnsi="Times New Roman"/>
          <w:bCs/>
          <w:color w:val="000000"/>
          <w:shd w:val="clear" w:color="auto" w:fill="FFFFFF"/>
          <w:lang w:val="es-ES"/>
        </w:rPr>
        <w:t>Sentencia de 26 de septiembre de 2018, párr. 134</w:t>
      </w:r>
      <w:r w:rsidRPr="00D03F0E">
        <w:rPr>
          <w:rFonts w:ascii="Times New Roman" w:hAnsi="Times New Roman"/>
          <w:lang w:val="es-ES"/>
        </w:rPr>
        <w:t xml:space="preserve">; </w:t>
      </w:r>
      <w:r w:rsidRPr="00D03F0E">
        <w:rPr>
          <w:rFonts w:ascii="Times New Roman" w:hAnsi="Times New Roman"/>
          <w:i/>
          <w:iCs/>
          <w:lang w:val="es-ES"/>
        </w:rPr>
        <w:t xml:space="preserve">Isaza Uribe </w:t>
      </w:r>
      <w:r>
        <w:rPr>
          <w:rFonts w:ascii="Times New Roman" w:hAnsi="Times New Roman"/>
          <w:i/>
          <w:iCs/>
          <w:lang w:val="es-ES"/>
        </w:rPr>
        <w:t>y otros</w:t>
      </w:r>
      <w:r w:rsidRPr="00D03F0E">
        <w:rPr>
          <w:rFonts w:ascii="Times New Roman" w:hAnsi="Times New Roman"/>
          <w:i/>
          <w:iCs/>
          <w:lang w:val="es-ES"/>
        </w:rPr>
        <w:t xml:space="preserve"> Vs. Colombia. Fondo, Reparaciones y Costas. </w:t>
      </w:r>
      <w:r w:rsidRPr="00D03F0E">
        <w:rPr>
          <w:rFonts w:ascii="Times New Roman" w:hAnsi="Times New Roman"/>
          <w:lang w:val="es-ES"/>
        </w:rPr>
        <w:t>Sentencia de 20 de noviembre de 2018, párr. 81;</w:t>
      </w:r>
      <w:r w:rsidRPr="00D03F0E">
        <w:rPr>
          <w:rFonts w:ascii="Times New Roman" w:hAnsi="Times New Roman"/>
          <w:i/>
          <w:iCs/>
          <w:lang w:val="es-ES"/>
        </w:rPr>
        <w:t xml:space="preserve"> Alvarado Espinoza </w:t>
      </w:r>
      <w:r>
        <w:rPr>
          <w:rFonts w:ascii="Times New Roman" w:hAnsi="Times New Roman"/>
          <w:i/>
          <w:iCs/>
          <w:lang w:val="es-ES"/>
        </w:rPr>
        <w:t>y otros</w:t>
      </w:r>
      <w:r w:rsidRPr="00D03F0E">
        <w:rPr>
          <w:rFonts w:ascii="Times New Roman" w:hAnsi="Times New Roman"/>
          <w:i/>
          <w:iCs/>
          <w:lang w:val="es-ES"/>
        </w:rPr>
        <w:t xml:space="preserve"> Vs. México</w:t>
      </w:r>
      <w:r w:rsidRPr="00D03F0E">
        <w:rPr>
          <w:rFonts w:ascii="Times New Roman" w:hAnsi="Times New Roman"/>
          <w:iCs/>
          <w:lang w:val="es-ES"/>
        </w:rPr>
        <w:t>, supra</w:t>
      </w:r>
      <w:r w:rsidRPr="00D03F0E">
        <w:rPr>
          <w:rFonts w:ascii="Times New Roman" w:hAnsi="Times New Roman"/>
          <w:lang w:val="es-ES"/>
        </w:rPr>
        <w:t>, párrs. 165, 166 y 172</w:t>
      </w:r>
      <w:r w:rsidRPr="00D03F0E">
        <w:rPr>
          <w:rFonts w:ascii="Times New Roman" w:hAnsi="Times New Roman"/>
          <w:bCs/>
          <w:iCs/>
          <w:snapToGrid w:val="0"/>
          <w:lang w:val="es-ES" w:eastAsia="es-ES"/>
        </w:rPr>
        <w:t xml:space="preserve">; </w:t>
      </w:r>
      <w:r w:rsidRPr="00D03F0E">
        <w:rPr>
          <w:rFonts w:ascii="Times New Roman" w:hAnsi="Times New Roman"/>
          <w:i/>
          <w:lang w:val="es-ES"/>
        </w:rPr>
        <w:t xml:space="preserve">Garzón Guzmán </w:t>
      </w:r>
      <w:r>
        <w:rPr>
          <w:rFonts w:ascii="Times New Roman" w:hAnsi="Times New Roman"/>
          <w:i/>
          <w:lang w:val="es-ES"/>
        </w:rPr>
        <w:t>y otros</w:t>
      </w:r>
      <w:r w:rsidRPr="00D03F0E">
        <w:rPr>
          <w:rFonts w:ascii="Times New Roman" w:hAnsi="Times New Roman"/>
          <w:i/>
          <w:lang w:val="es-ES"/>
        </w:rPr>
        <w:t xml:space="preserve"> Vs. Ecuador</w:t>
      </w:r>
      <w:r w:rsidRPr="00D03F0E">
        <w:rPr>
          <w:rFonts w:ascii="Times New Roman" w:hAnsi="Times New Roman"/>
          <w:lang w:val="es-ES"/>
        </w:rPr>
        <w:t xml:space="preserve">, supra, párrs. 62 y 66; </w:t>
      </w:r>
      <w:r w:rsidRPr="00D03F0E">
        <w:rPr>
          <w:rFonts w:ascii="Times New Roman" w:hAnsi="Times New Roman"/>
          <w:i/>
          <w:lang w:val="es-ES"/>
        </w:rPr>
        <w:t>Familia Julien Grisonas Vs. Argentina</w:t>
      </w:r>
      <w:r w:rsidRPr="00D03F0E">
        <w:rPr>
          <w:rFonts w:ascii="Times New Roman" w:hAnsi="Times New Roman"/>
          <w:lang w:val="es-ES"/>
        </w:rPr>
        <w:t xml:space="preserve">, supra, párrs. 128, 129 y 136. Por su parte, el TEDH igualmente lo ha subrayado, entre otras, en: </w:t>
      </w:r>
      <w:r w:rsidRPr="00D03F0E">
        <w:rPr>
          <w:rFonts w:ascii="Times New Roman" w:hAnsi="Times New Roman"/>
          <w:i/>
          <w:lang w:val="es-ES"/>
        </w:rPr>
        <w:t>Kurt c. Turquía</w:t>
      </w:r>
      <w:r w:rsidRPr="00D03F0E">
        <w:rPr>
          <w:rFonts w:ascii="Times New Roman" w:hAnsi="Times New Roman"/>
          <w:lang w:val="es-ES"/>
        </w:rPr>
        <w:t xml:space="preserve">, núm. 15/1997/799/1002. Sentencia de 25 de mayo de 1998, párr. 124; </w:t>
      </w:r>
      <w:r w:rsidRPr="00D03F0E">
        <w:rPr>
          <w:rFonts w:ascii="Times New Roman" w:hAnsi="Times New Roman"/>
          <w:i/>
          <w:lang w:val="es-ES"/>
        </w:rPr>
        <w:t>Chipre c. Turquía</w:t>
      </w:r>
      <w:r w:rsidRPr="00D03F0E">
        <w:rPr>
          <w:rFonts w:ascii="Times New Roman" w:hAnsi="Times New Roman"/>
          <w:lang w:val="es-ES"/>
        </w:rPr>
        <w:t xml:space="preserve"> [GS], núm. 25781/94. Sentencia de 10 de mayo de 2001, párrs. 132 a 134 y 147; </w:t>
      </w:r>
      <w:r w:rsidRPr="00D03F0E">
        <w:rPr>
          <w:rFonts w:ascii="Times New Roman" w:hAnsi="Times New Roman"/>
          <w:i/>
          <w:lang w:val="es-ES"/>
        </w:rPr>
        <w:t xml:space="preserve">Varnava </w:t>
      </w:r>
      <w:r>
        <w:rPr>
          <w:rFonts w:ascii="Times New Roman" w:hAnsi="Times New Roman"/>
          <w:i/>
          <w:lang w:val="es-ES"/>
        </w:rPr>
        <w:t>y otros</w:t>
      </w:r>
      <w:r w:rsidRPr="00D03F0E">
        <w:rPr>
          <w:rFonts w:ascii="Times New Roman" w:hAnsi="Times New Roman"/>
          <w:i/>
          <w:lang w:val="es-ES"/>
        </w:rPr>
        <w:t xml:space="preserve"> c. Turquía</w:t>
      </w:r>
      <w:r w:rsidRPr="00D03F0E">
        <w:rPr>
          <w:rFonts w:ascii="Times New Roman" w:hAnsi="Times New Roman"/>
          <w:lang w:val="es-ES"/>
        </w:rPr>
        <w:t xml:space="preserve"> [GS], núm. 16064/90, 16065/90, 16066/90, 16068/90, 16069/90, 16070/90, 16071/90, 16072/90 y 16073/90. Sentencia de 18 de septiembre de 2009, párrs. 111 a 113, 117, 118, 133, 138 y 145; </w:t>
      </w:r>
      <w:r w:rsidRPr="00082626">
        <w:rPr>
          <w:rFonts w:ascii="Times New Roman" w:hAnsi="Times New Roman"/>
          <w:bCs/>
          <w:i/>
          <w:lang w:val="es-ES"/>
        </w:rPr>
        <w:t>El-Masri c. Antigua República Yugoslava de Macedonia</w:t>
      </w:r>
      <w:r>
        <w:rPr>
          <w:rFonts w:ascii="Times New Roman" w:hAnsi="Times New Roman"/>
          <w:i/>
          <w:lang w:val="es-ES"/>
        </w:rPr>
        <w:t xml:space="preserve">, </w:t>
      </w:r>
      <w:r w:rsidRPr="00D03F0E">
        <w:rPr>
          <w:rFonts w:ascii="Times New Roman" w:hAnsi="Times New Roman"/>
          <w:lang w:val="es-ES"/>
        </w:rPr>
        <w:t>supra, parágrafos 240 y 241.</w:t>
      </w:r>
    </w:p>
  </w:footnote>
  <w:footnote w:id="25">
    <w:p w:rsidR="00677F54" w:rsidRPr="00D03F0E" w:rsidRDefault="00677F54" w:rsidP="0038542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iCs/>
          <w:lang w:val="es-ES"/>
        </w:rPr>
        <w:t xml:space="preserve">Caso Goiburú </w:t>
      </w:r>
      <w:r>
        <w:rPr>
          <w:rFonts w:ascii="Times New Roman" w:hAnsi="Times New Roman"/>
          <w:i/>
          <w:iCs/>
          <w:lang w:val="es-ES"/>
        </w:rPr>
        <w:t>y otros</w:t>
      </w:r>
      <w:r w:rsidRPr="00D03F0E">
        <w:rPr>
          <w:rFonts w:ascii="Times New Roman" w:hAnsi="Times New Roman"/>
          <w:i/>
          <w:iCs/>
          <w:lang w:val="es-ES"/>
        </w:rPr>
        <w:t xml:space="preserve"> Vs. </w:t>
      </w:r>
      <w:r w:rsidRPr="00D03F0E">
        <w:rPr>
          <w:rFonts w:ascii="Times New Roman" w:hAnsi="Times New Roman"/>
          <w:iCs/>
          <w:lang w:val="es-ES"/>
        </w:rPr>
        <w:t xml:space="preserve">Paraguay, supra, </w:t>
      </w:r>
      <w:r w:rsidRPr="00D03F0E">
        <w:rPr>
          <w:rFonts w:ascii="Times New Roman" w:hAnsi="Times New Roman"/>
          <w:lang w:val="es-ES"/>
        </w:rPr>
        <w:t xml:space="preserve">párrs. 84 y 89; </w:t>
      </w:r>
      <w:r w:rsidRPr="00D03F0E">
        <w:rPr>
          <w:rFonts w:ascii="Times New Roman" w:hAnsi="Times New Roman"/>
          <w:i/>
          <w:iCs/>
          <w:lang w:val="es-ES"/>
        </w:rPr>
        <w:t xml:space="preserve">Caso Rochac Hernández </w:t>
      </w:r>
      <w:r>
        <w:rPr>
          <w:rFonts w:ascii="Times New Roman" w:hAnsi="Times New Roman"/>
          <w:i/>
          <w:iCs/>
          <w:lang w:val="es-ES"/>
        </w:rPr>
        <w:t>y otros</w:t>
      </w:r>
      <w:r w:rsidRPr="00D03F0E">
        <w:rPr>
          <w:rFonts w:ascii="Times New Roman" w:hAnsi="Times New Roman"/>
          <w:i/>
          <w:iCs/>
          <w:lang w:val="es-ES"/>
        </w:rPr>
        <w:t xml:space="preserve"> vs. El Salvador</w:t>
      </w:r>
      <w:r w:rsidRPr="00D03F0E">
        <w:rPr>
          <w:rFonts w:ascii="Times New Roman" w:hAnsi="Times New Roman"/>
          <w:iCs/>
          <w:lang w:val="es-ES"/>
        </w:rPr>
        <w:t>, supra,</w:t>
      </w:r>
      <w:r w:rsidRPr="00D03F0E">
        <w:rPr>
          <w:rFonts w:ascii="Times New Roman" w:hAnsi="Times New Roman"/>
          <w:lang w:val="es-ES"/>
        </w:rPr>
        <w:t xml:space="preserve"> párr. 92; </w:t>
      </w:r>
      <w:r w:rsidRPr="00D03F0E">
        <w:rPr>
          <w:rFonts w:ascii="Times New Roman" w:hAnsi="Times New Roman"/>
          <w:i/>
          <w:lang w:val="es-ES"/>
        </w:rPr>
        <w:t xml:space="preserve">Caso Tenorio Roca </w:t>
      </w:r>
      <w:r>
        <w:rPr>
          <w:rFonts w:ascii="Times New Roman" w:hAnsi="Times New Roman"/>
          <w:i/>
          <w:lang w:val="es-ES"/>
        </w:rPr>
        <w:t>y otros</w:t>
      </w:r>
      <w:r w:rsidRPr="00D03F0E">
        <w:rPr>
          <w:rFonts w:ascii="Times New Roman" w:hAnsi="Times New Roman"/>
          <w:i/>
          <w:lang w:val="es-ES"/>
        </w:rPr>
        <w:t xml:space="preserve"> Vs. Perú (Excepciones preliminares, Fondo, Reparaciones y Costas</w:t>
      </w:r>
      <w:r w:rsidRPr="00D03F0E">
        <w:rPr>
          <w:rFonts w:ascii="Times New Roman" w:hAnsi="Times New Roman"/>
          <w:lang w:val="es-ES"/>
        </w:rPr>
        <w:t xml:space="preserve">), Sentencia de 22 de junio de 2016, párr. 140; </w:t>
      </w:r>
      <w:r w:rsidRPr="00D03F0E">
        <w:rPr>
          <w:rFonts w:ascii="Times New Roman" w:hAnsi="Times New Roman"/>
          <w:i/>
          <w:lang w:val="es-ES"/>
        </w:rPr>
        <w:t>Caso Familia Julien Grisonas vs. Argentina</w:t>
      </w:r>
      <w:r w:rsidRPr="00D03F0E">
        <w:rPr>
          <w:rFonts w:ascii="Times New Roman" w:hAnsi="Times New Roman"/>
          <w:lang w:val="es-ES"/>
        </w:rPr>
        <w:t>, supra, párr. 127 y 164.</w:t>
      </w:r>
    </w:p>
  </w:footnote>
  <w:footnote w:id="26">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sz w:val="20"/>
          <w:szCs w:val="20"/>
          <w:lang w:val="es-ES"/>
        </w:rPr>
        <w:t xml:space="preserve">Terrones Silva </w:t>
      </w:r>
      <w:r>
        <w:rPr>
          <w:rFonts w:ascii="Times New Roman" w:hAnsi="Times New Roman"/>
          <w:i/>
          <w:sz w:val="20"/>
          <w:szCs w:val="20"/>
          <w:lang w:val="es-ES"/>
        </w:rPr>
        <w:t>y otros</w:t>
      </w:r>
      <w:r w:rsidRPr="00D03F0E">
        <w:rPr>
          <w:rFonts w:ascii="Times New Roman" w:hAnsi="Times New Roman"/>
          <w:i/>
          <w:sz w:val="20"/>
          <w:szCs w:val="20"/>
          <w:lang w:val="es-ES"/>
        </w:rPr>
        <w:t xml:space="preserve"> Vs. Perú</w:t>
      </w:r>
      <w:r w:rsidRPr="00D03F0E">
        <w:rPr>
          <w:rFonts w:ascii="Times New Roman" w:hAnsi="Times New Roman"/>
          <w:sz w:val="20"/>
          <w:szCs w:val="20"/>
          <w:lang w:val="es-ES"/>
        </w:rPr>
        <w:t>, supra, párr. 246.</w:t>
      </w:r>
    </w:p>
  </w:footnote>
  <w:footnote w:id="27">
    <w:p w:rsidR="00677F54" w:rsidRPr="00DD3150" w:rsidRDefault="00677F54" w:rsidP="008F401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La Corte Interamericana ha ubicado el derecho a la verdad principalmente en el derecho de acceso a la justicia, reconocido en los artículos 8.1 y 25.1 de la Convención Americana. </w:t>
      </w:r>
      <w:r>
        <w:rPr>
          <w:rFonts w:ascii="Times New Roman" w:hAnsi="Times New Roman"/>
          <w:lang w:val="es-ES"/>
        </w:rPr>
        <w:t xml:space="preserve">En ocasiones, también en otros derechos, como en el artículo 5 (integridad personal) o en el artículo 13 (acceso a la información), como veremos en el </w:t>
      </w:r>
      <w:r w:rsidRPr="00F1452F">
        <w:rPr>
          <w:rFonts w:ascii="Times New Roman" w:hAnsi="Times New Roman"/>
          <w:lang w:val="es-ES"/>
        </w:rPr>
        <w:t>epígrafe V</w:t>
      </w:r>
      <w:r>
        <w:rPr>
          <w:rFonts w:ascii="Times New Roman" w:hAnsi="Times New Roman"/>
          <w:lang w:val="es-ES"/>
        </w:rPr>
        <w:t xml:space="preserve">. El TEDH siempre ha ubicado el derecho a la verdad en el ámbito de la </w:t>
      </w:r>
      <w:r w:rsidRPr="00D03F0E">
        <w:rPr>
          <w:rFonts w:ascii="Times New Roman" w:hAnsi="Times New Roman"/>
          <w:bCs/>
          <w:lang w:val="es-ES"/>
        </w:rPr>
        <w:t>la obligación positiva que el Estado tiene de abrir una investigación efectiva sobre las violaciones de derechos denunciadas.</w:t>
      </w:r>
      <w:r>
        <w:rPr>
          <w:rFonts w:ascii="Times New Roman" w:hAnsi="Times New Roman"/>
          <w:bCs/>
          <w:lang w:val="es-ES"/>
        </w:rPr>
        <w:t xml:space="preserve"> A esto se refiere el TEDH cuando habla de la dimensión procesal de los artículos 2, </w:t>
      </w:r>
      <w:r w:rsidRPr="00D03F0E">
        <w:rPr>
          <w:rFonts w:ascii="Times New Roman" w:hAnsi="Times New Roman"/>
          <w:bCs/>
          <w:lang w:val="es-ES"/>
        </w:rPr>
        <w:t>3 y 5 del CEDH</w:t>
      </w:r>
      <w:r>
        <w:rPr>
          <w:rFonts w:ascii="Times New Roman" w:hAnsi="Times New Roman"/>
          <w:bCs/>
          <w:lang w:val="es-ES"/>
        </w:rPr>
        <w:t>.</w:t>
      </w:r>
    </w:p>
  </w:footnote>
  <w:footnote w:id="28">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color w:val="282425"/>
          <w:lang w:val="es-ES"/>
        </w:rPr>
        <w:t>Caso Velásquez Rodríguez Vs. Honduras</w:t>
      </w:r>
      <w:r w:rsidRPr="00D03F0E">
        <w:rPr>
          <w:rFonts w:ascii="Times New Roman" w:hAnsi="Times New Roman"/>
          <w:color w:val="282425"/>
          <w:lang w:val="es-ES"/>
        </w:rPr>
        <w:t>,</w:t>
      </w:r>
      <w:r w:rsidRPr="00D03F0E">
        <w:rPr>
          <w:rFonts w:ascii="Times New Roman" w:hAnsi="Times New Roman"/>
          <w:lang w:val="es-ES"/>
        </w:rPr>
        <w:t xml:space="preserve"> supra, párrs. 176 y 177. Este último parágrafo señala que la obligación de investigar “debe emprenderse con seriedad y no como una simple formalidad condenada de antemano a ser infructuosa, debe tener un sentido y ser asumida por el Estado como un deber jurídico propio y no como una simple gestión de intereses particulares, que dependa de la iniciativa procesal de la víctima o de sus familiares o de la aportación privada de elementos probatorios, sin que la autoridad pública busque efectivamente la verdad”. El parágrafo 181 subraya que</w:t>
      </w:r>
      <w:r w:rsidRPr="00D03F0E">
        <w:rPr>
          <w:rFonts w:ascii="Times New Roman" w:hAnsi="Times New Roman"/>
          <w:color w:val="282425"/>
          <w:lang w:val="es-ES"/>
        </w:rPr>
        <w:t xml:space="preserve">: </w:t>
      </w:r>
      <w:r w:rsidRPr="00D03F0E">
        <w:rPr>
          <w:rFonts w:ascii="Times New Roman" w:hAnsi="Times New Roman"/>
          <w:iCs/>
          <w:color w:val="282425"/>
          <w:lang w:val="es-ES"/>
        </w:rPr>
        <w:t>“El deber de investigar hechos de este género subsiste mientras se mantenga la incertidumbre sobre la suerte final de la persona desaparecida. Incluso en el supuesto de que circunstancias legítimas del orden jurídico interno no permitieran aplicar las sanciones correspondientes a quienes sean individualmente responsables de delitos de esta naturaleza, el derecho de los familiares de la víctima de conocer cuál fue el destino de ésta y, en su caso, dónde se encuentran sus restos, representa una justa expectativa que el Estado debe satisfacer con los medios a su alcance”.</w:t>
      </w:r>
    </w:p>
  </w:footnote>
  <w:footnote w:id="29">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spacing w:val="-4"/>
          <w:lang w:val="es-ES"/>
        </w:rPr>
        <w:t xml:space="preserve">Caso Bámaca </w:t>
      </w:r>
      <w:r w:rsidRPr="00D03F0E">
        <w:rPr>
          <w:rFonts w:ascii="Times New Roman" w:hAnsi="Times New Roman"/>
          <w:i/>
          <w:iCs/>
          <w:spacing w:val="-4"/>
          <w:lang w:val="es-ES"/>
        </w:rPr>
        <w:t>Vélasquez Vs</w:t>
      </w:r>
      <w:r w:rsidRPr="00D03F0E">
        <w:rPr>
          <w:rFonts w:ascii="Times New Roman" w:hAnsi="Times New Roman"/>
          <w:iCs/>
          <w:spacing w:val="-4"/>
          <w:lang w:val="es-ES"/>
        </w:rPr>
        <w:t xml:space="preserve">. </w:t>
      </w:r>
      <w:r w:rsidRPr="00D03F0E">
        <w:rPr>
          <w:rFonts w:ascii="Times New Roman" w:hAnsi="Times New Roman"/>
          <w:i/>
          <w:iCs/>
          <w:spacing w:val="-4"/>
          <w:lang w:val="es-ES"/>
        </w:rPr>
        <w:t>Guatemala</w:t>
      </w:r>
      <w:r w:rsidRPr="00D03F0E">
        <w:rPr>
          <w:rFonts w:ascii="Times New Roman" w:hAnsi="Times New Roman"/>
          <w:iCs/>
          <w:spacing w:val="-4"/>
          <w:lang w:val="es-ES"/>
        </w:rPr>
        <w:t xml:space="preserve">, supra, </w:t>
      </w:r>
      <w:r w:rsidRPr="00D03F0E">
        <w:rPr>
          <w:rFonts w:ascii="Times New Roman" w:hAnsi="Times New Roman"/>
          <w:spacing w:val="-4"/>
          <w:lang w:val="es-ES"/>
        </w:rPr>
        <w:t>párrs.</w:t>
      </w:r>
      <w:r>
        <w:rPr>
          <w:rFonts w:ascii="Times New Roman" w:hAnsi="Times New Roman"/>
          <w:spacing w:val="-4"/>
          <w:lang w:val="es-ES"/>
        </w:rPr>
        <w:t xml:space="preserve"> 181, 200 y 201</w:t>
      </w:r>
      <w:r>
        <w:rPr>
          <w:rFonts w:ascii="Times New Roman" w:hAnsi="Times New Roman"/>
          <w:lang w:val="es-ES"/>
        </w:rPr>
        <w:t>.</w:t>
      </w:r>
    </w:p>
  </w:footnote>
  <w:footnote w:id="30">
    <w:p w:rsidR="00677F54" w:rsidRPr="00246B54" w:rsidRDefault="00677F54" w:rsidP="00246B54">
      <w:pPr>
        <w:pStyle w:val="Textonotapie"/>
        <w:jc w:val="both"/>
        <w:rPr>
          <w:rFonts w:ascii="Times New Roman" w:hAnsi="Times New Roman"/>
          <w:lang w:val="es-ES"/>
        </w:rPr>
      </w:pPr>
      <w:r w:rsidRPr="00246B54">
        <w:rPr>
          <w:rStyle w:val="Refdenotaalpie"/>
          <w:rFonts w:ascii="Times New Roman" w:hAnsi="Times New Roman"/>
        </w:rPr>
        <w:footnoteRef/>
      </w:r>
      <w:r w:rsidRPr="00246B54">
        <w:rPr>
          <w:rFonts w:ascii="Times New Roman" w:hAnsi="Times New Roman"/>
        </w:rPr>
        <w:t xml:space="preserve"> </w:t>
      </w:r>
      <w:r>
        <w:rPr>
          <w:rFonts w:ascii="Times New Roman" w:hAnsi="Times New Roman"/>
        </w:rPr>
        <w:t>Véanse l</w:t>
      </w:r>
      <w:r w:rsidRPr="00246B54">
        <w:rPr>
          <w:rFonts w:ascii="Times New Roman" w:hAnsi="Times New Roman"/>
          <w:lang w:val="es-ES"/>
        </w:rPr>
        <w:t xml:space="preserve">as sentencias relacionadas </w:t>
      </w:r>
      <w:r>
        <w:rPr>
          <w:rFonts w:ascii="Times New Roman" w:hAnsi="Times New Roman"/>
          <w:lang w:val="es-ES"/>
        </w:rPr>
        <w:t>al final de este trabajo</w:t>
      </w:r>
      <w:r w:rsidRPr="00246B54">
        <w:rPr>
          <w:rFonts w:ascii="Times New Roman" w:hAnsi="Times New Roman"/>
          <w:lang w:val="es-ES"/>
        </w:rPr>
        <w:t>. La lista correspondiente a la Corte Interamericana no es exhaustiva.</w:t>
      </w:r>
      <w:r>
        <w:rPr>
          <w:rFonts w:ascii="Times New Roman" w:hAnsi="Times New Roman"/>
          <w:lang w:val="es-ES"/>
        </w:rPr>
        <w:t xml:space="preserve"> Son solo las citadas en este trabajo.</w:t>
      </w:r>
      <w:r w:rsidRPr="00246B54">
        <w:rPr>
          <w:rFonts w:ascii="Times New Roman" w:hAnsi="Times New Roman"/>
          <w:lang w:val="es-ES"/>
        </w:rPr>
        <w:t xml:space="preserve"> La del TEDH sí lo es. </w:t>
      </w:r>
    </w:p>
  </w:footnote>
  <w:footnote w:id="31">
    <w:p w:rsidR="00677F54" w:rsidRPr="00D03F0E" w:rsidRDefault="00677F54" w:rsidP="00D14E4A">
      <w:pPr>
        <w:pStyle w:val="OpiPara"/>
        <w:rPr>
          <w:sz w:val="20"/>
          <w:lang w:val="es-ES"/>
        </w:rPr>
      </w:pPr>
      <w:r w:rsidRPr="00D03F0E">
        <w:rPr>
          <w:rStyle w:val="Refdenotaalpie"/>
          <w:sz w:val="20"/>
          <w:lang w:val="es-ES"/>
        </w:rPr>
        <w:footnoteRef/>
      </w:r>
      <w:r w:rsidRPr="00D03F0E">
        <w:rPr>
          <w:sz w:val="20"/>
          <w:lang w:val="es-ES"/>
        </w:rPr>
        <w:t xml:space="preserve"> </w:t>
      </w:r>
      <w:r w:rsidRPr="00082626">
        <w:rPr>
          <w:bCs/>
          <w:i/>
          <w:sz w:val="20"/>
          <w:lang w:val="es-ES"/>
        </w:rPr>
        <w:t>El-Masri c. Antigua República Yugoslava de Macedonia</w:t>
      </w:r>
      <w:r>
        <w:rPr>
          <w:bCs/>
          <w:i/>
          <w:sz w:val="20"/>
          <w:lang w:val="es-ES"/>
        </w:rPr>
        <w:t>,</w:t>
      </w:r>
      <w:r w:rsidRPr="00082626">
        <w:rPr>
          <w:i/>
          <w:sz w:val="20"/>
          <w:lang w:val="es-ES"/>
        </w:rPr>
        <w:t xml:space="preserve"> </w:t>
      </w:r>
      <w:r w:rsidRPr="00D03F0E">
        <w:rPr>
          <w:sz w:val="20"/>
          <w:lang w:val="es-ES"/>
        </w:rPr>
        <w:t xml:space="preserve">supra, párr. 191; </w:t>
      </w:r>
      <w:r w:rsidRPr="00D03F0E">
        <w:rPr>
          <w:i/>
          <w:sz w:val="20"/>
          <w:lang w:val="es-ES"/>
        </w:rPr>
        <w:t>Al Nashiri c. Polonia</w:t>
      </w:r>
      <w:r w:rsidRPr="00D03F0E">
        <w:rPr>
          <w:sz w:val="20"/>
          <w:lang w:val="es-ES"/>
        </w:rPr>
        <w:t xml:space="preserve">, n. 28761/11. Sentencia de 24 de julio de 2014; </w:t>
      </w:r>
      <w:r w:rsidRPr="00D03F0E">
        <w:rPr>
          <w:i/>
          <w:sz w:val="20"/>
          <w:lang w:val="es-ES"/>
        </w:rPr>
        <w:t>Husayn (Abu Zubaydah) c. Polonia</w:t>
      </w:r>
      <w:r w:rsidRPr="00D03F0E">
        <w:rPr>
          <w:sz w:val="20"/>
          <w:lang w:val="es-ES"/>
        </w:rPr>
        <w:t xml:space="preserve">, n. 7511/13, de 24 de julio de 2014; </w:t>
      </w:r>
      <w:r w:rsidRPr="00D03F0E">
        <w:rPr>
          <w:i/>
          <w:sz w:val="20"/>
          <w:lang w:val="es-ES"/>
        </w:rPr>
        <w:t>Nasr y Ghali</w:t>
      </w:r>
      <w:r w:rsidRPr="00D03F0E">
        <w:rPr>
          <w:sz w:val="20"/>
          <w:lang w:val="es-ES"/>
        </w:rPr>
        <w:t>, núm. 44883/09. Sentencia de 23 de febrero de 2016</w:t>
      </w:r>
      <w:r>
        <w:rPr>
          <w:sz w:val="20"/>
          <w:lang w:val="es-ES"/>
        </w:rPr>
        <w:t xml:space="preserve">; </w:t>
      </w:r>
      <w:r w:rsidRPr="00D03F0E">
        <w:rPr>
          <w:i/>
          <w:sz w:val="20"/>
          <w:lang w:val="es-ES"/>
        </w:rPr>
        <w:t>Abu Zubaydah c. Lituania</w:t>
      </w:r>
      <w:r w:rsidRPr="00D03F0E">
        <w:rPr>
          <w:sz w:val="20"/>
          <w:lang w:val="es-ES"/>
        </w:rPr>
        <w:t xml:space="preserve">, núm. 46454/11. Sentencia de 31 de mayo de 2018; </w:t>
      </w:r>
      <w:r w:rsidRPr="00D03F0E">
        <w:rPr>
          <w:i/>
          <w:sz w:val="20"/>
          <w:lang w:val="es-ES"/>
        </w:rPr>
        <w:t>Al Nashiri c. Rumanía</w:t>
      </w:r>
      <w:r w:rsidRPr="00D03F0E">
        <w:rPr>
          <w:sz w:val="20"/>
          <w:lang w:val="es-ES"/>
        </w:rPr>
        <w:t>, núm. 33234/12. Sentencia de 31 de mayo de 2018.</w:t>
      </w:r>
      <w:r>
        <w:rPr>
          <w:sz w:val="20"/>
          <w:lang w:val="es-ES"/>
        </w:rPr>
        <w:t xml:space="preserve"> El derecho a la verdad también es referido en </w:t>
      </w:r>
      <w:r w:rsidRPr="00D03F0E">
        <w:rPr>
          <w:i/>
          <w:sz w:val="20"/>
          <w:lang w:val="es-ES"/>
        </w:rPr>
        <w:t xml:space="preserve">Janowiec </w:t>
      </w:r>
      <w:r>
        <w:rPr>
          <w:i/>
          <w:sz w:val="20"/>
          <w:lang w:val="es-ES"/>
        </w:rPr>
        <w:t>y otros</w:t>
      </w:r>
      <w:r w:rsidRPr="00D03F0E">
        <w:rPr>
          <w:i/>
          <w:sz w:val="20"/>
          <w:lang w:val="es-ES"/>
        </w:rPr>
        <w:t xml:space="preserve"> c. Rusia</w:t>
      </w:r>
      <w:r w:rsidRPr="00D03F0E">
        <w:rPr>
          <w:sz w:val="20"/>
          <w:lang w:val="es-ES"/>
        </w:rPr>
        <w:t xml:space="preserve">, </w:t>
      </w:r>
      <w:r>
        <w:rPr>
          <w:sz w:val="20"/>
          <w:lang w:val="es-ES"/>
        </w:rPr>
        <w:t xml:space="preserve">[GS] </w:t>
      </w:r>
      <w:r w:rsidRPr="00D03F0E">
        <w:rPr>
          <w:sz w:val="20"/>
          <w:lang w:val="es-ES"/>
        </w:rPr>
        <w:t>núms. 55508/07, 29520/09. Sentencia de 21 de octubre de 2013</w:t>
      </w:r>
      <w:r>
        <w:rPr>
          <w:sz w:val="20"/>
          <w:lang w:val="es-ES"/>
        </w:rPr>
        <w:t>, aunque no en la sentencia propiamente dicha sino en uno de los cuatro votos que la acompañan. Los cuatro jueces que lo firman</w:t>
      </w:r>
      <w:r w:rsidRPr="0028117A">
        <w:rPr>
          <w:rStyle w:val="s32a37344"/>
          <w:sz w:val="20"/>
          <w:lang w:val="es-ES"/>
        </w:rPr>
        <w:t xml:space="preserve"> </w:t>
      </w:r>
      <w:r>
        <w:rPr>
          <w:rStyle w:val="s32a37344"/>
          <w:sz w:val="20"/>
          <w:lang w:val="es-ES"/>
        </w:rPr>
        <w:t>(</w:t>
      </w:r>
      <w:r w:rsidRPr="0028117A">
        <w:rPr>
          <w:rStyle w:val="s32a37344"/>
          <w:sz w:val="20"/>
          <w:lang w:val="es-ES"/>
        </w:rPr>
        <w:t>Ziemele, De Gaetano, Laffranque y Keller</w:t>
      </w:r>
      <w:r>
        <w:rPr>
          <w:rStyle w:val="s32a37344"/>
          <w:sz w:val="20"/>
          <w:lang w:val="es-ES"/>
        </w:rPr>
        <w:t>)</w:t>
      </w:r>
      <w:r>
        <w:rPr>
          <w:sz w:val="20"/>
          <w:lang w:val="es-ES_tradnl"/>
        </w:rPr>
        <w:t xml:space="preserve"> </w:t>
      </w:r>
      <w:r w:rsidRPr="002D109B">
        <w:rPr>
          <w:sz w:val="20"/>
          <w:lang w:val="es-ES_tradnl"/>
        </w:rPr>
        <w:t>señala</w:t>
      </w:r>
      <w:r>
        <w:rPr>
          <w:sz w:val="20"/>
          <w:lang w:val="es-ES_tradnl"/>
        </w:rPr>
        <w:t>n</w:t>
      </w:r>
      <w:r w:rsidRPr="002D109B">
        <w:rPr>
          <w:sz w:val="20"/>
          <w:lang w:val="es-ES_tradnl"/>
        </w:rPr>
        <w:t xml:space="preserve"> que “en Derecho internacional hay un claro reconocimiento del derecho a la verdad en los casos de graves violaciones de los derechos humanos (…), que este Tribunal ya ha reconocido en la Sentencias </w:t>
      </w:r>
      <w:r w:rsidRPr="002D109B">
        <w:rPr>
          <w:i/>
          <w:sz w:val="20"/>
          <w:lang w:val="es-ES_tradnl"/>
        </w:rPr>
        <w:t xml:space="preserve">El-Masri c. </w:t>
      </w:r>
      <w:r>
        <w:rPr>
          <w:i/>
          <w:sz w:val="20"/>
          <w:lang w:val="es-ES_tradnl"/>
        </w:rPr>
        <w:t>Antigua República Y</w:t>
      </w:r>
      <w:r w:rsidRPr="002D109B">
        <w:rPr>
          <w:i/>
          <w:sz w:val="20"/>
          <w:lang w:val="es-ES_tradnl"/>
        </w:rPr>
        <w:t>ugoslava de Macedonia</w:t>
      </w:r>
      <w:r w:rsidRPr="002D109B">
        <w:rPr>
          <w:sz w:val="20"/>
          <w:lang w:val="es-ES_tradnl"/>
        </w:rPr>
        <w:t xml:space="preserve"> (2012), </w:t>
      </w:r>
      <w:r w:rsidRPr="006379B5">
        <w:rPr>
          <w:i/>
          <w:sz w:val="20"/>
          <w:lang w:val="es-ES_tradnl"/>
        </w:rPr>
        <w:t>Varnava y otros c. Turquía</w:t>
      </w:r>
      <w:r w:rsidRPr="006379B5">
        <w:rPr>
          <w:sz w:val="20"/>
          <w:lang w:val="es-ES_tradnl"/>
        </w:rPr>
        <w:t xml:space="preserve"> (2008), y </w:t>
      </w:r>
      <w:r w:rsidRPr="006379B5">
        <w:rPr>
          <w:i/>
          <w:sz w:val="20"/>
          <w:lang w:val="es-ES_tradnl"/>
        </w:rPr>
        <w:t>Asociación “21 de diciembre 1989” y otros c. Rumanía</w:t>
      </w:r>
      <w:r w:rsidRPr="002D109B">
        <w:rPr>
          <w:sz w:val="20"/>
          <w:lang w:val="es-ES_tradnl"/>
        </w:rPr>
        <w:t xml:space="preserve"> (2011)”</w:t>
      </w:r>
      <w:r>
        <w:rPr>
          <w:sz w:val="20"/>
          <w:lang w:val="es-ES_tradnl"/>
        </w:rPr>
        <w:t xml:space="preserve">. Sobre estas dos sentencias citadas en el voto particular hemos de advertir al lector que la del caso </w:t>
      </w:r>
      <w:r w:rsidRPr="00FB7977">
        <w:rPr>
          <w:i/>
          <w:sz w:val="20"/>
          <w:lang w:val="es-ES_tradnl"/>
        </w:rPr>
        <w:t>Varnava</w:t>
      </w:r>
      <w:r>
        <w:rPr>
          <w:sz w:val="20"/>
          <w:lang w:val="es-ES_tradnl"/>
        </w:rPr>
        <w:t xml:space="preserve">, de 2008, fue recurrida ante la Gran Sala. La sentencia que resuelve este recurso es de 2009, supra, y la referencia que en ella encontramos sobre el derecho a la verdad no es del Tribunal sino de la organización no gubernamental </w:t>
      </w:r>
      <w:r w:rsidRPr="005500F2">
        <w:rPr>
          <w:sz w:val="20"/>
          <w:lang w:val="fr-FR"/>
        </w:rPr>
        <w:t>Redres</w:t>
      </w:r>
      <w:r>
        <w:rPr>
          <w:sz w:val="20"/>
          <w:lang w:val="fr-FR"/>
        </w:rPr>
        <w:t>s (párr. 220). En cuanto a la segunda (</w:t>
      </w:r>
      <w:r w:rsidRPr="006379B5">
        <w:rPr>
          <w:i/>
          <w:sz w:val="20"/>
          <w:lang w:val="es-ES_tradnl"/>
        </w:rPr>
        <w:t>Asociación “21 de diciembre 1989”</w:t>
      </w:r>
      <w:r>
        <w:rPr>
          <w:sz w:val="20"/>
          <w:lang w:val="es-ES_tradnl"/>
        </w:rPr>
        <w:t>)</w:t>
      </w:r>
      <w:r>
        <w:rPr>
          <w:sz w:val="20"/>
          <w:lang w:val="fr-FR"/>
        </w:rPr>
        <w:t>, en ella no se invoca de manera explícita </w:t>
      </w:r>
      <w:r w:rsidRPr="006379B5">
        <w:rPr>
          <w:sz w:val="20"/>
          <w:lang w:val="es-ES"/>
        </w:rPr>
        <w:t>“</w:t>
      </w:r>
      <w:r>
        <w:rPr>
          <w:sz w:val="20"/>
          <w:lang w:val="es-ES"/>
        </w:rPr>
        <w:t>derecho a la verdad” sino que se hace referencia al derecho de las víctimas, familia y herederos a conocer las verdad sobre las circunstancias del asesinato masivo referido en ese caso, entendiéndolo como una manifestación del derecho a una investigación efectiva (dimensión procesal del artículo 2 CEDH).</w:t>
      </w:r>
    </w:p>
  </w:footnote>
  <w:footnote w:id="32">
    <w:p w:rsidR="00677F54" w:rsidRPr="00E14904" w:rsidRDefault="00677F54" w:rsidP="00D14E4A">
      <w:pPr>
        <w:spacing w:after="0" w:line="240" w:lineRule="auto"/>
        <w:jc w:val="both"/>
        <w:rPr>
          <w:rFonts w:ascii="Times New Roman" w:hAnsi="Times New Roman"/>
          <w:sz w:val="20"/>
          <w:szCs w:val="20"/>
          <w:lang w:val="es-ES_tradnl"/>
        </w:rPr>
      </w:pPr>
      <w:r w:rsidRPr="004C7BC3">
        <w:rPr>
          <w:rStyle w:val="Refdenotaalpie"/>
          <w:rFonts w:ascii="Times New Roman" w:hAnsi="Times New Roman"/>
        </w:rPr>
        <w:footnoteRef/>
      </w:r>
      <w:r w:rsidRPr="004C7BC3">
        <w:rPr>
          <w:rFonts w:ascii="Times New Roman" w:hAnsi="Times New Roman"/>
          <w:sz w:val="20"/>
          <w:szCs w:val="20"/>
          <w:lang w:val="es-ES_tradnl"/>
        </w:rPr>
        <w:t xml:space="preserve"> </w:t>
      </w:r>
      <w:r w:rsidRPr="00E14904">
        <w:rPr>
          <w:rFonts w:ascii="Times New Roman" w:hAnsi="Times New Roman"/>
          <w:bCs/>
          <w:i/>
          <w:sz w:val="20"/>
          <w:szCs w:val="20"/>
          <w:lang w:val="es-ES"/>
        </w:rPr>
        <w:t>El-Masri c. Antigua República Yugoslava de Macedonia</w:t>
      </w:r>
      <w:r w:rsidRPr="00E14904">
        <w:rPr>
          <w:rFonts w:ascii="Times New Roman" w:hAnsi="Times New Roman"/>
          <w:bCs/>
          <w:sz w:val="20"/>
          <w:szCs w:val="20"/>
          <w:lang w:val="es-ES"/>
        </w:rPr>
        <w:t>, supra</w:t>
      </w:r>
      <w:r w:rsidRPr="00E14904">
        <w:rPr>
          <w:rFonts w:ascii="Times New Roman" w:hAnsi="Times New Roman"/>
          <w:sz w:val="20"/>
          <w:szCs w:val="20"/>
          <w:lang w:val="es-ES_tradnl"/>
        </w:rPr>
        <w:t>,</w:t>
      </w:r>
      <w:r>
        <w:rPr>
          <w:rFonts w:ascii="Times New Roman" w:hAnsi="Times New Roman"/>
          <w:sz w:val="20"/>
          <w:szCs w:val="20"/>
          <w:lang w:val="es-ES_tradnl"/>
        </w:rPr>
        <w:t xml:space="preserve"> párr. 221; </w:t>
      </w:r>
      <w:r w:rsidRPr="004C7BC3">
        <w:rPr>
          <w:rFonts w:ascii="Times New Roman" w:hAnsi="Times New Roman"/>
          <w:i/>
          <w:sz w:val="20"/>
          <w:szCs w:val="20"/>
          <w:lang w:val="es-ES_tradnl"/>
        </w:rPr>
        <w:t>Caso Husayn (Abu Zubaydah) c. Polonia</w:t>
      </w:r>
      <w:r w:rsidRPr="004C7BC3">
        <w:rPr>
          <w:rFonts w:ascii="Times New Roman" w:hAnsi="Times New Roman"/>
          <w:sz w:val="20"/>
          <w:szCs w:val="20"/>
          <w:lang w:val="es-ES_tradnl"/>
        </w:rPr>
        <w:t>,</w:t>
      </w:r>
      <w:r>
        <w:rPr>
          <w:rFonts w:ascii="Times New Roman" w:hAnsi="Times New Roman"/>
          <w:sz w:val="20"/>
          <w:szCs w:val="20"/>
          <w:lang w:val="es-ES_tradnl"/>
        </w:rPr>
        <w:t xml:space="preserve"> supra, párrs.</w:t>
      </w:r>
      <w:r w:rsidRPr="004C7BC3">
        <w:rPr>
          <w:rFonts w:ascii="Times New Roman" w:hAnsi="Times New Roman"/>
          <w:sz w:val="20"/>
          <w:szCs w:val="20"/>
          <w:lang w:val="es-ES_tradnl"/>
        </w:rPr>
        <w:t xml:space="preserve"> 451 y 513; </w:t>
      </w:r>
      <w:r w:rsidRPr="004C7BC3">
        <w:rPr>
          <w:rFonts w:ascii="Times New Roman" w:hAnsi="Times New Roman"/>
          <w:i/>
          <w:sz w:val="20"/>
          <w:szCs w:val="20"/>
          <w:lang w:val="es-ES_tradnl"/>
        </w:rPr>
        <w:t>Al Nashiri c. Polonia</w:t>
      </w:r>
      <w:r w:rsidRPr="004C7BC3">
        <w:rPr>
          <w:rFonts w:ascii="Times New Roman" w:hAnsi="Times New Roman"/>
          <w:sz w:val="20"/>
          <w:szCs w:val="20"/>
          <w:lang w:val="es-ES_tradnl"/>
        </w:rPr>
        <w:t>,</w:t>
      </w:r>
      <w:r>
        <w:rPr>
          <w:rFonts w:ascii="Times New Roman" w:hAnsi="Times New Roman"/>
          <w:sz w:val="20"/>
          <w:szCs w:val="20"/>
          <w:lang w:val="es-ES_tradnl"/>
        </w:rPr>
        <w:t xml:space="preserve"> supra, párrs. 454, 518 y 588.</w:t>
      </w:r>
    </w:p>
  </w:footnote>
  <w:footnote w:id="33">
    <w:p w:rsidR="00677F54" w:rsidRPr="006379B5" w:rsidRDefault="00677F54" w:rsidP="00CC3EB7">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El Tribunal</w:t>
      </w:r>
      <w:r>
        <w:rPr>
          <w:rFonts w:ascii="Times New Roman" w:hAnsi="Times New Roman"/>
          <w:lang w:val="es-ES"/>
        </w:rPr>
        <w:t xml:space="preserve"> advierte que la no apertura de una investigación que sea capaz de</w:t>
      </w:r>
      <w:r w:rsidRPr="00D03F0E">
        <w:rPr>
          <w:rFonts w:ascii="Times New Roman" w:hAnsi="Times New Roman"/>
          <w:lang w:val="es-ES"/>
        </w:rPr>
        <w:t xml:space="preserve"> "averiguar el paradero y la suerte" de "las personas desaparecidas en circunstancias que hacían peligrar sus vidas" constituye una violación persistente de </w:t>
      </w:r>
      <w:r>
        <w:rPr>
          <w:rFonts w:ascii="Times New Roman" w:hAnsi="Times New Roman"/>
          <w:lang w:val="es-ES"/>
        </w:rPr>
        <w:t xml:space="preserve">la </w:t>
      </w:r>
      <w:r w:rsidRPr="00D03F0E">
        <w:rPr>
          <w:rFonts w:ascii="Times New Roman" w:hAnsi="Times New Roman"/>
          <w:lang w:val="es-ES"/>
        </w:rPr>
        <w:t xml:space="preserve">obligación </w:t>
      </w:r>
      <w:r>
        <w:rPr>
          <w:rFonts w:ascii="Times New Roman" w:hAnsi="Times New Roman"/>
          <w:lang w:val="es-ES"/>
        </w:rPr>
        <w:t>estatal</w:t>
      </w:r>
      <w:r w:rsidRPr="00D03F0E">
        <w:rPr>
          <w:rFonts w:ascii="Times New Roman" w:hAnsi="Times New Roman"/>
          <w:lang w:val="es-ES"/>
        </w:rPr>
        <w:t xml:space="preserve"> de proteger el derecho a la vida (</w:t>
      </w:r>
      <w:r>
        <w:rPr>
          <w:rFonts w:ascii="Times New Roman" w:hAnsi="Times New Roman"/>
          <w:lang w:val="es-ES"/>
        </w:rPr>
        <w:t xml:space="preserve">entre otras, </w:t>
      </w:r>
      <w:r w:rsidRPr="00D03F0E">
        <w:rPr>
          <w:rFonts w:ascii="Times New Roman" w:hAnsi="Times New Roman"/>
          <w:i/>
          <w:lang w:val="es-ES"/>
        </w:rPr>
        <w:t>Chipre c. Turquía</w:t>
      </w:r>
      <w:r w:rsidRPr="00D03F0E">
        <w:rPr>
          <w:rFonts w:ascii="Times New Roman" w:hAnsi="Times New Roman"/>
          <w:lang w:val="es-ES"/>
        </w:rPr>
        <w:t xml:space="preserve">, supra, párr. </w:t>
      </w:r>
      <w:r>
        <w:rPr>
          <w:rFonts w:ascii="Times New Roman" w:hAnsi="Times New Roman"/>
          <w:lang w:val="es-ES"/>
        </w:rPr>
        <w:t xml:space="preserve">136; </w:t>
      </w:r>
      <w:r w:rsidRPr="006379B5">
        <w:rPr>
          <w:rFonts w:ascii="Times New Roman" w:hAnsi="Times New Roman"/>
          <w:i/>
          <w:noProof/>
          <w:lang w:val="es-ES" w:eastAsia="fr-FR"/>
        </w:rPr>
        <w:t>Asociación “21 de diciembre 1989” y otros contra Rumania</w:t>
      </w:r>
      <w:r w:rsidRPr="006379B5">
        <w:rPr>
          <w:rFonts w:ascii="Times New Roman" w:hAnsi="Times New Roman"/>
          <w:noProof/>
          <w:lang w:val="es-ES" w:eastAsia="fr-FR"/>
        </w:rPr>
        <w:t>, del año 2011, núms. 33810/07 y 18817/08, de 24 de mayo de 2011,</w:t>
      </w:r>
      <w:r w:rsidRPr="006379B5">
        <w:rPr>
          <w:rFonts w:ascii="Times New Roman" w:hAnsi="Times New Roman"/>
          <w:noProof/>
          <w:lang w:eastAsia="fr-FR"/>
        </w:rPr>
        <w:t xml:space="preserve"> párrs. 144 y 194</w:t>
      </w:r>
      <w:r>
        <w:rPr>
          <w:rFonts w:ascii="Times New Roman" w:hAnsi="Times New Roman"/>
          <w:noProof/>
          <w:lang w:eastAsia="fr-FR"/>
        </w:rPr>
        <w:t>)</w:t>
      </w:r>
      <w:r w:rsidRPr="006379B5">
        <w:rPr>
          <w:rFonts w:ascii="Times New Roman" w:hAnsi="Times New Roman"/>
          <w:noProof/>
          <w:lang w:val="es-ES" w:eastAsia="fr-FR"/>
        </w:rPr>
        <w:t>.</w:t>
      </w:r>
    </w:p>
  </w:footnote>
  <w:footnote w:id="34">
    <w:p w:rsidR="00677F54" w:rsidRPr="00D03F0E" w:rsidRDefault="00677F54" w:rsidP="006D60E5">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sz w:val="20"/>
          <w:szCs w:val="20"/>
          <w:lang w:val="es-ES"/>
        </w:rPr>
        <w:t>Abu Zubaydah c. Lituania</w:t>
      </w:r>
      <w:r w:rsidRPr="00D03F0E">
        <w:rPr>
          <w:rFonts w:ascii="Times New Roman" w:hAnsi="Times New Roman"/>
          <w:sz w:val="20"/>
          <w:szCs w:val="20"/>
          <w:lang w:val="es-ES"/>
        </w:rPr>
        <w:t xml:space="preserve">, supra, párr. 607, y </w:t>
      </w:r>
      <w:r w:rsidRPr="00D03F0E">
        <w:rPr>
          <w:rFonts w:ascii="Times New Roman" w:hAnsi="Times New Roman"/>
          <w:i/>
          <w:sz w:val="20"/>
          <w:szCs w:val="20"/>
          <w:lang w:val="es-ES"/>
        </w:rPr>
        <w:t>Al Nashiri c. Rumanía</w:t>
      </w:r>
      <w:r w:rsidRPr="00D03F0E">
        <w:rPr>
          <w:rFonts w:ascii="Times New Roman" w:hAnsi="Times New Roman"/>
          <w:sz w:val="20"/>
          <w:szCs w:val="20"/>
          <w:lang w:val="es-ES"/>
        </w:rPr>
        <w:t xml:space="preserve">, supra., párr. 638. Con anterioridad, el TEDH se había pronunciado en este sentido en: </w:t>
      </w:r>
      <w:r w:rsidRPr="00D03F0E">
        <w:rPr>
          <w:rFonts w:ascii="Times New Roman" w:hAnsi="Times New Roman"/>
          <w:i/>
          <w:sz w:val="20"/>
          <w:szCs w:val="20"/>
          <w:lang w:val="es-ES"/>
        </w:rPr>
        <w:t xml:space="preserve">Assenov </w:t>
      </w:r>
      <w:r>
        <w:rPr>
          <w:rFonts w:ascii="Times New Roman" w:hAnsi="Times New Roman"/>
          <w:i/>
          <w:sz w:val="20"/>
          <w:szCs w:val="20"/>
          <w:lang w:val="es-ES"/>
        </w:rPr>
        <w:t>y otros</w:t>
      </w:r>
      <w:r w:rsidRPr="00D03F0E">
        <w:rPr>
          <w:rFonts w:ascii="Times New Roman" w:hAnsi="Times New Roman"/>
          <w:sz w:val="20"/>
          <w:szCs w:val="20"/>
          <w:lang w:val="es-ES"/>
        </w:rPr>
        <w:t xml:space="preserve"> </w:t>
      </w:r>
      <w:r w:rsidRPr="00D03F0E">
        <w:rPr>
          <w:rFonts w:ascii="Times New Roman" w:hAnsi="Times New Roman"/>
          <w:i/>
          <w:sz w:val="20"/>
          <w:szCs w:val="20"/>
          <w:lang w:val="es-ES"/>
        </w:rPr>
        <w:t>c. Bulgaria</w:t>
      </w:r>
      <w:r w:rsidRPr="00D03F0E">
        <w:rPr>
          <w:rFonts w:ascii="Times New Roman" w:hAnsi="Times New Roman"/>
          <w:sz w:val="20"/>
          <w:szCs w:val="20"/>
          <w:lang w:val="es-ES"/>
        </w:rPr>
        <w:t xml:space="preserve">, núm. 24760/94. Sentencia de 28 de octubre de 1998, párr. 102; </w:t>
      </w:r>
      <w:r w:rsidRPr="00082626">
        <w:rPr>
          <w:rFonts w:ascii="Times New Roman" w:hAnsi="Times New Roman"/>
          <w:bCs/>
          <w:i/>
          <w:sz w:val="20"/>
          <w:szCs w:val="20"/>
          <w:lang w:val="es-ES"/>
        </w:rPr>
        <w:t>El-Masri c. Antigua República Yugoslava de Macedonia</w:t>
      </w:r>
      <w:r>
        <w:rPr>
          <w:rFonts w:ascii="Times New Roman" w:hAnsi="Times New Roman"/>
          <w:sz w:val="20"/>
          <w:szCs w:val="20"/>
          <w:lang w:val="es-ES"/>
        </w:rPr>
        <w:t xml:space="preserve">, </w:t>
      </w:r>
      <w:r w:rsidRPr="00D03F0E">
        <w:rPr>
          <w:rFonts w:ascii="Times New Roman" w:hAnsi="Times New Roman"/>
          <w:sz w:val="20"/>
          <w:szCs w:val="20"/>
          <w:lang w:val="es-ES"/>
        </w:rPr>
        <w:t xml:space="preserve">supra, parágrafo 182; </w:t>
      </w:r>
      <w:r w:rsidRPr="00D03F0E">
        <w:rPr>
          <w:rFonts w:ascii="Times New Roman" w:hAnsi="Times New Roman"/>
          <w:i/>
          <w:sz w:val="20"/>
          <w:szCs w:val="20"/>
          <w:lang w:val="es-ES"/>
        </w:rPr>
        <w:t>Al Nashiri c. Polonia</w:t>
      </w:r>
      <w:r w:rsidRPr="00D03F0E">
        <w:rPr>
          <w:rFonts w:ascii="Times New Roman" w:hAnsi="Times New Roman"/>
          <w:sz w:val="20"/>
          <w:szCs w:val="20"/>
          <w:lang w:val="es-ES"/>
        </w:rPr>
        <w:t xml:space="preserve">, núm. 28761/11. Sentencia de 24 de julio de 2014, párr. 485; </w:t>
      </w:r>
      <w:r w:rsidRPr="00D03F0E">
        <w:rPr>
          <w:rFonts w:ascii="Times New Roman" w:hAnsi="Times New Roman"/>
          <w:i/>
          <w:sz w:val="20"/>
          <w:szCs w:val="20"/>
          <w:lang w:val="es-ES"/>
        </w:rPr>
        <w:t>Husayn (Abu Zubaydah) c. Polonia</w:t>
      </w:r>
      <w:r w:rsidRPr="00D03F0E">
        <w:rPr>
          <w:rFonts w:ascii="Times New Roman" w:hAnsi="Times New Roman"/>
          <w:sz w:val="20"/>
          <w:szCs w:val="20"/>
          <w:lang w:val="es-ES"/>
        </w:rPr>
        <w:t>, núm. 7511/13, de 24 de julio de 2014, párr. 479.</w:t>
      </w:r>
    </w:p>
  </w:footnote>
  <w:footnote w:id="35">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noProof/>
          <w:sz w:val="20"/>
          <w:szCs w:val="20"/>
          <w:lang w:val="es-ES"/>
        </w:rPr>
        <w:t>Caso Velásquez Rodríguez Vs. Honduras</w:t>
      </w:r>
      <w:r w:rsidRPr="00D03F0E">
        <w:rPr>
          <w:rFonts w:ascii="Times New Roman" w:hAnsi="Times New Roman"/>
          <w:noProof/>
          <w:sz w:val="20"/>
          <w:szCs w:val="20"/>
          <w:lang w:val="es-ES"/>
        </w:rPr>
        <w:t>, supra,</w:t>
      </w:r>
      <w:r w:rsidRPr="00D03F0E">
        <w:rPr>
          <w:rFonts w:ascii="Times New Roman" w:hAnsi="Times New Roman"/>
          <w:i/>
          <w:noProof/>
          <w:sz w:val="20"/>
          <w:szCs w:val="20"/>
          <w:lang w:val="es-ES"/>
        </w:rPr>
        <w:t xml:space="preserve"> </w:t>
      </w:r>
      <w:r w:rsidRPr="00D03F0E">
        <w:rPr>
          <w:rFonts w:ascii="Times New Roman" w:hAnsi="Times New Roman"/>
          <w:noProof/>
          <w:sz w:val="20"/>
          <w:szCs w:val="20"/>
          <w:lang w:val="es-ES"/>
        </w:rPr>
        <w:t>párr. 177</w:t>
      </w:r>
      <w:r w:rsidRPr="00D03F0E">
        <w:rPr>
          <w:rFonts w:ascii="Times New Roman" w:hAnsi="Times New Roman"/>
          <w:sz w:val="20"/>
          <w:szCs w:val="20"/>
          <w:lang w:val="es-ES"/>
        </w:rPr>
        <w:t xml:space="preserve">; </w:t>
      </w:r>
      <w:r w:rsidRPr="00D03F0E">
        <w:rPr>
          <w:rFonts w:ascii="Times New Roman" w:hAnsi="Times New Roman"/>
          <w:i/>
          <w:sz w:val="20"/>
          <w:szCs w:val="20"/>
          <w:lang w:val="es-ES"/>
        </w:rPr>
        <w:t xml:space="preserve">Caso Ortiz Hernández </w:t>
      </w:r>
      <w:r>
        <w:rPr>
          <w:rFonts w:ascii="Times New Roman" w:hAnsi="Times New Roman"/>
          <w:i/>
          <w:sz w:val="20"/>
          <w:szCs w:val="20"/>
          <w:lang w:val="es-ES"/>
        </w:rPr>
        <w:t>y otros</w:t>
      </w:r>
      <w:r w:rsidRPr="00D03F0E">
        <w:rPr>
          <w:rFonts w:ascii="Times New Roman" w:hAnsi="Times New Roman"/>
          <w:i/>
          <w:sz w:val="20"/>
          <w:szCs w:val="20"/>
          <w:lang w:val="es-ES"/>
        </w:rPr>
        <w:t xml:space="preserve"> Vs. Venenzuela</w:t>
      </w:r>
      <w:r w:rsidRPr="00D03F0E">
        <w:rPr>
          <w:rFonts w:ascii="Times New Roman" w:hAnsi="Times New Roman"/>
          <w:sz w:val="20"/>
          <w:szCs w:val="20"/>
          <w:lang w:val="es-ES"/>
        </w:rPr>
        <w:t xml:space="preserve">. </w:t>
      </w:r>
      <w:r w:rsidRPr="00D03F0E">
        <w:rPr>
          <w:rFonts w:ascii="Times New Roman" w:hAnsi="Times New Roman"/>
          <w:i/>
          <w:sz w:val="20"/>
          <w:szCs w:val="20"/>
          <w:lang w:val="es-ES"/>
        </w:rPr>
        <w:t>Fondo, Reparaciones y Costas</w:t>
      </w:r>
      <w:r w:rsidRPr="00D03F0E">
        <w:rPr>
          <w:rFonts w:ascii="Times New Roman" w:hAnsi="Times New Roman"/>
          <w:sz w:val="20"/>
          <w:szCs w:val="20"/>
          <w:lang w:val="es-ES"/>
        </w:rPr>
        <w:t xml:space="preserve">. Sentencia de 22 de agosto de 2017; </w:t>
      </w:r>
      <w:r w:rsidRPr="00D03F0E">
        <w:rPr>
          <w:rFonts w:ascii="Times New Roman" w:hAnsi="Times New Roman"/>
          <w:i/>
          <w:sz w:val="20"/>
          <w:szCs w:val="20"/>
          <w:lang w:val="es-ES"/>
        </w:rPr>
        <w:t xml:space="preserve">Caso Gómez Virula </w:t>
      </w:r>
      <w:r>
        <w:rPr>
          <w:rFonts w:ascii="Times New Roman" w:hAnsi="Times New Roman"/>
          <w:i/>
          <w:sz w:val="20"/>
          <w:szCs w:val="20"/>
          <w:lang w:val="es-ES"/>
        </w:rPr>
        <w:t>y otros</w:t>
      </w:r>
      <w:r w:rsidRPr="00D03F0E">
        <w:rPr>
          <w:rFonts w:ascii="Times New Roman" w:hAnsi="Times New Roman"/>
          <w:i/>
          <w:sz w:val="20"/>
          <w:szCs w:val="20"/>
          <w:lang w:val="es-ES"/>
        </w:rPr>
        <w:t xml:space="preserve"> Vs. Guatemala</w:t>
      </w:r>
      <w:r w:rsidRPr="00D03F0E">
        <w:rPr>
          <w:rFonts w:ascii="Times New Roman" w:hAnsi="Times New Roman"/>
          <w:sz w:val="20"/>
          <w:szCs w:val="20"/>
          <w:lang w:val="es-ES"/>
        </w:rPr>
        <w:t xml:space="preserve">. </w:t>
      </w:r>
      <w:r w:rsidRPr="00D03F0E">
        <w:rPr>
          <w:rFonts w:ascii="Times New Roman" w:hAnsi="Times New Roman"/>
          <w:i/>
          <w:sz w:val="20"/>
          <w:szCs w:val="20"/>
          <w:lang w:val="es-ES"/>
        </w:rPr>
        <w:t>Excepción Preliminar, Fondo, Reparaciones y Costas</w:t>
      </w:r>
      <w:r w:rsidRPr="00D03F0E">
        <w:rPr>
          <w:rFonts w:ascii="Times New Roman" w:hAnsi="Times New Roman"/>
          <w:sz w:val="20"/>
          <w:szCs w:val="20"/>
          <w:lang w:val="es-ES"/>
        </w:rPr>
        <w:t>. Sentencia de 21 de noviembre de 2019, párr. 65. En torno al deber de investigar de investigar y de sancinar a los responsables en la jurisprudencia del TEDH:</w:t>
      </w:r>
      <w:r w:rsidRPr="00D03F0E">
        <w:rPr>
          <w:rFonts w:ascii="Times New Roman" w:hAnsi="Times New Roman"/>
          <w:i/>
          <w:sz w:val="20"/>
          <w:szCs w:val="20"/>
          <w:lang w:val="es-ES"/>
        </w:rPr>
        <w:t xml:space="preserve"> Assenov </w:t>
      </w:r>
      <w:r>
        <w:rPr>
          <w:rFonts w:ascii="Times New Roman" w:hAnsi="Times New Roman"/>
          <w:i/>
          <w:sz w:val="20"/>
          <w:szCs w:val="20"/>
          <w:lang w:val="es-ES"/>
        </w:rPr>
        <w:t>y otros</w:t>
      </w:r>
      <w:r w:rsidRPr="00D03F0E">
        <w:rPr>
          <w:rFonts w:ascii="Times New Roman" w:hAnsi="Times New Roman"/>
          <w:sz w:val="20"/>
          <w:szCs w:val="20"/>
          <w:lang w:val="es-ES"/>
        </w:rPr>
        <w:t xml:space="preserve"> </w:t>
      </w:r>
      <w:r w:rsidRPr="00D03F0E">
        <w:rPr>
          <w:rFonts w:ascii="Times New Roman" w:hAnsi="Times New Roman"/>
          <w:i/>
          <w:sz w:val="20"/>
          <w:szCs w:val="20"/>
          <w:lang w:val="es-ES"/>
        </w:rPr>
        <w:t>c. Bulgaria</w:t>
      </w:r>
      <w:r w:rsidRPr="00D03F0E">
        <w:rPr>
          <w:rFonts w:ascii="Times New Roman" w:hAnsi="Times New Roman"/>
          <w:sz w:val="20"/>
          <w:szCs w:val="20"/>
          <w:lang w:val="es-ES"/>
        </w:rPr>
        <w:t xml:space="preserve">, sentencia de 28 de octubre de 1998, parágrafo102; </w:t>
      </w:r>
      <w:r w:rsidRPr="00082626">
        <w:rPr>
          <w:rFonts w:ascii="Times New Roman" w:hAnsi="Times New Roman"/>
          <w:bCs/>
          <w:i/>
          <w:sz w:val="20"/>
          <w:szCs w:val="20"/>
          <w:lang w:val="es-ES"/>
        </w:rPr>
        <w:t>El-Masri c. Antigua República Yugoslava de Macedonia</w:t>
      </w:r>
      <w:r w:rsidRPr="00082626">
        <w:rPr>
          <w:rFonts w:ascii="Times New Roman" w:hAnsi="Times New Roman"/>
          <w:i/>
          <w:sz w:val="20"/>
          <w:szCs w:val="20"/>
          <w:lang w:val="es-ES"/>
        </w:rPr>
        <w:t>, supra</w:t>
      </w:r>
      <w:r w:rsidRPr="00D03F0E">
        <w:rPr>
          <w:rFonts w:ascii="Times New Roman" w:hAnsi="Times New Roman"/>
          <w:sz w:val="20"/>
          <w:szCs w:val="20"/>
          <w:lang w:val="es-ES"/>
        </w:rPr>
        <w:t xml:space="preserve">, parágrafo 182; </w:t>
      </w:r>
      <w:r w:rsidRPr="00D03F0E">
        <w:rPr>
          <w:rFonts w:ascii="Times New Roman" w:hAnsi="Times New Roman"/>
          <w:i/>
          <w:sz w:val="20"/>
          <w:szCs w:val="20"/>
          <w:lang w:val="es-ES"/>
        </w:rPr>
        <w:t>Al Nashiri c. Polonia</w:t>
      </w:r>
      <w:r w:rsidRPr="00D03F0E">
        <w:rPr>
          <w:rFonts w:ascii="Times New Roman" w:hAnsi="Times New Roman"/>
          <w:sz w:val="20"/>
          <w:szCs w:val="20"/>
          <w:lang w:val="es-ES"/>
        </w:rPr>
        <w:t xml:space="preserve">, supra, párr. 485; </w:t>
      </w:r>
      <w:r w:rsidRPr="00D03F0E">
        <w:rPr>
          <w:rFonts w:ascii="Times New Roman" w:hAnsi="Times New Roman"/>
          <w:i/>
          <w:sz w:val="20"/>
          <w:szCs w:val="20"/>
          <w:lang w:val="es-ES"/>
        </w:rPr>
        <w:t>Husayn (Abu Zubaydah) c. Polonia</w:t>
      </w:r>
      <w:r w:rsidRPr="00D03F0E">
        <w:rPr>
          <w:rFonts w:ascii="Times New Roman" w:hAnsi="Times New Roman"/>
          <w:sz w:val="20"/>
          <w:szCs w:val="20"/>
          <w:lang w:val="es-ES"/>
        </w:rPr>
        <w:t xml:space="preserve">, supra, párr. 479; </w:t>
      </w:r>
      <w:r w:rsidRPr="00D03F0E">
        <w:rPr>
          <w:rFonts w:ascii="Times New Roman" w:hAnsi="Times New Roman"/>
          <w:i/>
          <w:sz w:val="20"/>
          <w:szCs w:val="20"/>
          <w:lang w:val="es-ES"/>
        </w:rPr>
        <w:t>Nasr y Ghali</w:t>
      </w:r>
      <w:r w:rsidRPr="00D03F0E">
        <w:rPr>
          <w:rFonts w:ascii="Times New Roman" w:hAnsi="Times New Roman"/>
          <w:sz w:val="20"/>
          <w:szCs w:val="20"/>
          <w:lang w:val="es-ES"/>
        </w:rPr>
        <w:t xml:space="preserve">, </w:t>
      </w:r>
      <w:r>
        <w:rPr>
          <w:rFonts w:ascii="Times New Roman" w:hAnsi="Times New Roman"/>
          <w:sz w:val="20"/>
          <w:szCs w:val="20"/>
          <w:lang w:val="es-ES"/>
        </w:rPr>
        <w:t xml:space="preserve">supra, </w:t>
      </w:r>
      <w:r w:rsidRPr="00D03F0E">
        <w:rPr>
          <w:rFonts w:ascii="Times New Roman" w:hAnsi="Times New Roman"/>
          <w:sz w:val="20"/>
          <w:szCs w:val="20"/>
          <w:lang w:val="es-ES"/>
        </w:rPr>
        <w:t>párr. 262;</w:t>
      </w:r>
      <w:r w:rsidRPr="00D03F0E">
        <w:rPr>
          <w:rFonts w:ascii="Times New Roman" w:hAnsi="Times New Roman"/>
          <w:i/>
          <w:sz w:val="20"/>
          <w:szCs w:val="20"/>
          <w:lang w:val="es-ES"/>
        </w:rPr>
        <w:t xml:space="preserve"> Abu Zubaydah c. Lituania</w:t>
      </w:r>
      <w:r w:rsidRPr="00D03F0E">
        <w:rPr>
          <w:rFonts w:ascii="Times New Roman" w:hAnsi="Times New Roman"/>
          <w:sz w:val="20"/>
          <w:szCs w:val="20"/>
          <w:lang w:val="es-ES"/>
        </w:rPr>
        <w:t xml:space="preserve">, supra, párr. 607; </w:t>
      </w:r>
      <w:r w:rsidRPr="00D03F0E">
        <w:rPr>
          <w:rFonts w:ascii="Times New Roman" w:hAnsi="Times New Roman"/>
          <w:i/>
          <w:sz w:val="20"/>
          <w:szCs w:val="20"/>
          <w:lang w:val="es-ES"/>
        </w:rPr>
        <w:t>Al Nashiri c. Rumanía</w:t>
      </w:r>
      <w:r w:rsidRPr="00D03F0E">
        <w:rPr>
          <w:rFonts w:ascii="Times New Roman" w:hAnsi="Times New Roman"/>
          <w:sz w:val="20"/>
          <w:szCs w:val="20"/>
          <w:lang w:val="es-ES"/>
        </w:rPr>
        <w:t>, supra, párr. 638.</w:t>
      </w:r>
    </w:p>
  </w:footnote>
  <w:footnote w:id="36">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sz w:val="20"/>
          <w:szCs w:val="20"/>
          <w:lang w:val="es-ES"/>
        </w:rPr>
        <w:t xml:space="preserve">Al-Skeini </w:t>
      </w:r>
      <w:r>
        <w:rPr>
          <w:rFonts w:ascii="Times New Roman" w:hAnsi="Times New Roman"/>
          <w:i/>
          <w:sz w:val="20"/>
          <w:szCs w:val="20"/>
          <w:lang w:val="es-ES"/>
        </w:rPr>
        <w:t>y otros</w:t>
      </w:r>
      <w:r w:rsidRPr="00D03F0E">
        <w:rPr>
          <w:rFonts w:ascii="Times New Roman" w:hAnsi="Times New Roman"/>
          <w:i/>
          <w:sz w:val="20"/>
          <w:szCs w:val="20"/>
          <w:lang w:val="es-ES"/>
        </w:rPr>
        <w:t xml:space="preserve"> c. el Reino Unido</w:t>
      </w:r>
      <w:r w:rsidRPr="00D03F0E">
        <w:rPr>
          <w:rFonts w:ascii="Times New Roman" w:hAnsi="Times New Roman"/>
          <w:sz w:val="20"/>
          <w:szCs w:val="20"/>
          <w:lang w:val="es-ES"/>
        </w:rPr>
        <w:t xml:space="preserve">, [GS], núm. 55721/07. Sentencia de 7 de julio de 2011, párr. 167; </w:t>
      </w:r>
      <w:r w:rsidRPr="00E31C26">
        <w:rPr>
          <w:rFonts w:ascii="Times New Roman" w:hAnsi="Times New Roman"/>
          <w:bCs/>
          <w:i/>
          <w:sz w:val="20"/>
          <w:szCs w:val="20"/>
          <w:lang w:val="es-ES"/>
        </w:rPr>
        <w:t>El-Masri c. Antigua República Yugoslava de Macedonia</w:t>
      </w:r>
      <w:r w:rsidRPr="00D03F0E">
        <w:rPr>
          <w:rFonts w:ascii="Times New Roman" w:hAnsi="Times New Roman"/>
          <w:sz w:val="20"/>
          <w:szCs w:val="20"/>
          <w:lang w:val="es-ES"/>
        </w:rPr>
        <w:t>, supra, párr. 183-185.</w:t>
      </w:r>
    </w:p>
  </w:footnote>
  <w:footnote w:id="37">
    <w:p w:rsidR="00677F54" w:rsidRPr="00D03F0E" w:rsidRDefault="00677F54" w:rsidP="0056645F">
      <w:pPr>
        <w:spacing w:after="0" w:line="240" w:lineRule="auto"/>
        <w:jc w:val="both"/>
        <w:rPr>
          <w:rFonts w:ascii="Times New Roman" w:hAnsi="Times New Roman"/>
          <w:i/>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sz w:val="20"/>
          <w:szCs w:val="20"/>
          <w:lang w:val="es-ES"/>
        </w:rPr>
        <w:t>Husayn (Abu Zubaydah) c. Polonia</w:t>
      </w:r>
      <w:r w:rsidRPr="00D03F0E">
        <w:rPr>
          <w:rFonts w:ascii="Times New Roman" w:hAnsi="Times New Roman"/>
          <w:sz w:val="20"/>
          <w:szCs w:val="20"/>
          <w:lang w:val="es-ES"/>
        </w:rPr>
        <w:t xml:space="preserve">, supra, párrs. 480, 488, 489 493; </w:t>
      </w:r>
      <w:r w:rsidRPr="00D03F0E">
        <w:rPr>
          <w:rFonts w:ascii="Times New Roman" w:hAnsi="Times New Roman"/>
          <w:bCs/>
          <w:i/>
          <w:sz w:val="20"/>
          <w:szCs w:val="20"/>
          <w:lang w:val="es-ES"/>
        </w:rPr>
        <w:t>Al Nashiri c. Polonia</w:t>
      </w:r>
      <w:r w:rsidRPr="00D03F0E">
        <w:rPr>
          <w:rFonts w:ascii="Times New Roman" w:hAnsi="Times New Roman"/>
          <w:bCs/>
          <w:sz w:val="20"/>
          <w:szCs w:val="20"/>
          <w:lang w:val="es-ES"/>
        </w:rPr>
        <w:t xml:space="preserve">, supra, párrs. 494-495; </w:t>
      </w:r>
      <w:r w:rsidRPr="00D03F0E">
        <w:rPr>
          <w:rFonts w:ascii="Times New Roman" w:hAnsi="Times New Roman"/>
          <w:i/>
          <w:sz w:val="20"/>
          <w:szCs w:val="20"/>
          <w:lang w:val="es-ES"/>
        </w:rPr>
        <w:t>Abu Zubaydah v. Lituania</w:t>
      </w:r>
      <w:r w:rsidRPr="00D03F0E">
        <w:rPr>
          <w:rFonts w:ascii="Times New Roman" w:hAnsi="Times New Roman"/>
          <w:sz w:val="20"/>
          <w:szCs w:val="20"/>
          <w:lang w:val="es-ES"/>
        </w:rPr>
        <w:t xml:space="preserve">, supra, párrs. 608 y 609; </w:t>
      </w:r>
      <w:r w:rsidRPr="00D03F0E">
        <w:rPr>
          <w:rFonts w:ascii="Times New Roman" w:hAnsi="Times New Roman"/>
          <w:i/>
          <w:sz w:val="20"/>
          <w:szCs w:val="20"/>
          <w:lang w:val="es-ES"/>
        </w:rPr>
        <w:t>Al Nashiri v. Rumanía</w:t>
      </w:r>
      <w:r w:rsidRPr="00D03F0E">
        <w:rPr>
          <w:rFonts w:ascii="Times New Roman" w:hAnsi="Times New Roman"/>
          <w:sz w:val="20"/>
          <w:szCs w:val="20"/>
          <w:lang w:val="es-ES"/>
        </w:rPr>
        <w:t>, supra, párrs. 639 y 640.</w:t>
      </w:r>
    </w:p>
  </w:footnote>
  <w:footnote w:id="38">
    <w:p w:rsidR="00677F54" w:rsidRPr="00D03F0E" w:rsidRDefault="00677F54" w:rsidP="0056645F">
      <w:pPr>
        <w:spacing w:after="0" w:line="240" w:lineRule="auto"/>
        <w:jc w:val="both"/>
        <w:rPr>
          <w:rFonts w:ascii="Times New Roman" w:eastAsia="MS ????" w:hAnsi="Times New Roman"/>
          <w:bCs/>
          <w:color w:val="000000"/>
          <w:sz w:val="20"/>
          <w:szCs w:val="20"/>
          <w:shd w:val="clear" w:color="auto" w:fill="FFFFFF"/>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Tanto la Corte Interamericana como el TEDH han subrayado este aspecto: una investigación efectiva es</w:t>
      </w:r>
      <w:r>
        <w:rPr>
          <w:rFonts w:ascii="Times New Roman" w:hAnsi="Times New Roman"/>
          <w:sz w:val="20"/>
          <w:szCs w:val="20"/>
          <w:lang w:val="es-ES"/>
        </w:rPr>
        <w:t xml:space="preserve"> aquella que es capaz</w:t>
      </w:r>
      <w:r w:rsidRPr="00D03F0E">
        <w:rPr>
          <w:rFonts w:ascii="Times New Roman" w:hAnsi="Times New Roman"/>
          <w:sz w:val="20"/>
          <w:szCs w:val="20"/>
          <w:lang w:val="es-ES"/>
        </w:rPr>
        <w:t xml:space="preserve"> de conducir a la identificación, y, en su caso, sanción de los responsables. En la Corte Interamericana, </w:t>
      </w:r>
      <w:r>
        <w:rPr>
          <w:rFonts w:ascii="Times New Roman" w:hAnsi="Times New Roman"/>
          <w:sz w:val="20"/>
          <w:szCs w:val="20"/>
          <w:lang w:val="es-ES"/>
        </w:rPr>
        <w:t>véase por todas,</w:t>
      </w:r>
      <w:r w:rsidRPr="00D03F0E">
        <w:rPr>
          <w:rFonts w:ascii="Times New Roman" w:hAnsi="Times New Roman"/>
          <w:sz w:val="20"/>
          <w:szCs w:val="20"/>
          <w:lang w:val="es-ES"/>
        </w:rPr>
        <w:t xml:space="preserve"> </w:t>
      </w:r>
      <w:r w:rsidRPr="00D03F0E">
        <w:rPr>
          <w:rFonts w:ascii="Times New Roman" w:hAnsi="Times New Roman"/>
          <w:i/>
          <w:noProof/>
          <w:sz w:val="20"/>
          <w:szCs w:val="20"/>
          <w:lang w:val="es-ES"/>
        </w:rPr>
        <w:t>Caso Velásquez Rodríguez Vs. Honduras</w:t>
      </w:r>
      <w:r w:rsidRPr="00D03F0E">
        <w:rPr>
          <w:rFonts w:ascii="Times New Roman" w:hAnsi="Times New Roman"/>
          <w:noProof/>
          <w:sz w:val="20"/>
          <w:szCs w:val="20"/>
          <w:lang w:val="es-ES"/>
        </w:rPr>
        <w:t>, supra,</w:t>
      </w:r>
      <w:r w:rsidRPr="00D03F0E">
        <w:rPr>
          <w:rFonts w:ascii="Times New Roman" w:hAnsi="Times New Roman"/>
          <w:i/>
          <w:noProof/>
          <w:sz w:val="20"/>
          <w:szCs w:val="20"/>
          <w:lang w:val="es-ES"/>
        </w:rPr>
        <w:t xml:space="preserve"> </w:t>
      </w:r>
      <w:r w:rsidRPr="00D03F0E">
        <w:rPr>
          <w:rFonts w:ascii="Times New Roman" w:hAnsi="Times New Roman"/>
          <w:noProof/>
          <w:sz w:val="20"/>
          <w:szCs w:val="20"/>
          <w:lang w:val="es-ES"/>
        </w:rPr>
        <w:t xml:space="preserve">párr. </w:t>
      </w:r>
      <w:r>
        <w:rPr>
          <w:rFonts w:ascii="Times New Roman" w:hAnsi="Times New Roman"/>
          <w:sz w:val="20"/>
          <w:szCs w:val="20"/>
          <w:lang w:val="es-ES"/>
        </w:rPr>
        <w:t>177</w:t>
      </w:r>
      <w:r w:rsidRPr="00D03F0E">
        <w:rPr>
          <w:rFonts w:ascii="Times New Roman" w:eastAsia="MS ????" w:hAnsi="Times New Roman"/>
          <w:bCs/>
          <w:color w:val="000000"/>
          <w:sz w:val="20"/>
          <w:szCs w:val="20"/>
          <w:shd w:val="clear" w:color="auto" w:fill="FFFFFF"/>
          <w:lang w:val="es-ES"/>
        </w:rPr>
        <w:t xml:space="preserve">. </w:t>
      </w:r>
      <w:r>
        <w:rPr>
          <w:rFonts w:ascii="Times New Roman" w:eastAsia="MS ????" w:hAnsi="Times New Roman"/>
          <w:bCs/>
          <w:color w:val="000000"/>
          <w:sz w:val="20"/>
          <w:szCs w:val="20"/>
          <w:shd w:val="clear" w:color="auto" w:fill="FFFFFF"/>
          <w:lang w:val="es-ES"/>
        </w:rPr>
        <w:t xml:space="preserve">Por su parte, </w:t>
      </w:r>
      <w:r w:rsidRPr="00D03F0E">
        <w:rPr>
          <w:rFonts w:ascii="Times New Roman" w:eastAsia="MS ????" w:hAnsi="Times New Roman"/>
          <w:bCs/>
          <w:color w:val="000000"/>
          <w:sz w:val="20"/>
          <w:szCs w:val="20"/>
          <w:shd w:val="clear" w:color="auto" w:fill="FFFFFF"/>
          <w:lang w:val="es-ES"/>
        </w:rPr>
        <w:t>el TEDH</w:t>
      </w:r>
      <w:r>
        <w:rPr>
          <w:rFonts w:ascii="Times New Roman" w:eastAsia="MS ????" w:hAnsi="Times New Roman"/>
          <w:bCs/>
          <w:color w:val="000000"/>
          <w:sz w:val="20"/>
          <w:szCs w:val="20"/>
          <w:shd w:val="clear" w:color="auto" w:fill="FFFFFF"/>
          <w:lang w:val="es-ES"/>
        </w:rPr>
        <w:t xml:space="preserve"> </w:t>
      </w:r>
      <w:r w:rsidRPr="00D03F0E">
        <w:rPr>
          <w:rFonts w:ascii="Times New Roman" w:eastAsia="MS ????" w:hAnsi="Times New Roman"/>
          <w:bCs/>
          <w:color w:val="000000"/>
          <w:sz w:val="20"/>
          <w:szCs w:val="20"/>
          <w:shd w:val="clear" w:color="auto" w:fill="FFFFFF"/>
          <w:lang w:val="es-ES"/>
        </w:rPr>
        <w:t>advierte que</w:t>
      </w:r>
      <w:r>
        <w:rPr>
          <w:rFonts w:ascii="Times New Roman" w:eastAsia="MS ????" w:hAnsi="Times New Roman"/>
          <w:bCs/>
          <w:color w:val="000000"/>
          <w:sz w:val="20"/>
          <w:szCs w:val="20"/>
          <w:shd w:val="clear" w:color="auto" w:fill="FFFFFF"/>
          <w:lang w:val="es-ES"/>
        </w:rPr>
        <w:t xml:space="preserve"> sin una investigación efectiva</w:t>
      </w:r>
      <w:r w:rsidRPr="00D03F0E">
        <w:rPr>
          <w:rFonts w:ascii="Times New Roman" w:eastAsia="MS ????" w:hAnsi="Times New Roman"/>
          <w:bCs/>
          <w:color w:val="000000"/>
          <w:sz w:val="20"/>
          <w:szCs w:val="20"/>
          <w:shd w:val="clear" w:color="auto" w:fill="FFFFFF"/>
          <w:lang w:val="es-ES"/>
        </w:rPr>
        <w:t xml:space="preserve"> quedaría desactivada en la práctica la dimensión sustantiva de los derechos a no sufrir torturas o tratos inhumanos o degradantes</w:t>
      </w:r>
      <w:r>
        <w:rPr>
          <w:rFonts w:ascii="Times New Roman" w:eastAsia="MS ????" w:hAnsi="Times New Roman"/>
          <w:bCs/>
          <w:color w:val="000000"/>
          <w:sz w:val="20"/>
          <w:szCs w:val="20"/>
          <w:shd w:val="clear" w:color="auto" w:fill="FFFFFF"/>
          <w:lang w:val="es-ES"/>
        </w:rPr>
        <w:t xml:space="preserve"> (artículo 3)</w:t>
      </w:r>
      <w:r w:rsidRPr="00D03F0E">
        <w:rPr>
          <w:rFonts w:ascii="Times New Roman" w:eastAsia="MS ????" w:hAnsi="Times New Roman"/>
          <w:bCs/>
          <w:color w:val="000000"/>
          <w:sz w:val="20"/>
          <w:szCs w:val="20"/>
          <w:shd w:val="clear" w:color="auto" w:fill="FFFFFF"/>
          <w:lang w:val="es-ES"/>
        </w:rPr>
        <w:t xml:space="preserve"> o a la libertad personal</w:t>
      </w:r>
      <w:r>
        <w:rPr>
          <w:rFonts w:ascii="Times New Roman" w:eastAsia="MS ????" w:hAnsi="Times New Roman"/>
          <w:bCs/>
          <w:color w:val="000000"/>
          <w:sz w:val="20"/>
          <w:szCs w:val="20"/>
          <w:shd w:val="clear" w:color="auto" w:fill="FFFFFF"/>
          <w:lang w:val="es-ES"/>
        </w:rPr>
        <w:t xml:space="preserve"> (artículo 5). En este sentido, entre otras: </w:t>
      </w:r>
      <w:r w:rsidRPr="00730386">
        <w:rPr>
          <w:rFonts w:ascii="Times New Roman" w:eastAsia="MS ????" w:hAnsi="Times New Roman"/>
          <w:bCs/>
          <w:i/>
          <w:color w:val="000000"/>
          <w:sz w:val="20"/>
          <w:szCs w:val="20"/>
          <w:shd w:val="clear" w:color="auto" w:fill="FFFFFF"/>
          <w:lang w:val="es-ES"/>
        </w:rPr>
        <w:t xml:space="preserve">Assenov </w:t>
      </w:r>
      <w:r>
        <w:rPr>
          <w:rFonts w:ascii="Times New Roman" w:eastAsia="MS ????" w:hAnsi="Times New Roman"/>
          <w:bCs/>
          <w:i/>
          <w:color w:val="000000"/>
          <w:sz w:val="20"/>
          <w:szCs w:val="20"/>
          <w:shd w:val="clear" w:color="auto" w:fill="FFFFFF"/>
          <w:lang w:val="es-ES"/>
        </w:rPr>
        <w:t>y otros</w:t>
      </w:r>
      <w:r w:rsidRPr="00730386">
        <w:rPr>
          <w:rFonts w:ascii="Times New Roman" w:eastAsia="MS ????" w:hAnsi="Times New Roman"/>
          <w:bCs/>
          <w:color w:val="000000"/>
          <w:sz w:val="20"/>
          <w:szCs w:val="20"/>
          <w:shd w:val="clear" w:color="auto" w:fill="FFFFFF"/>
          <w:lang w:val="es-ES"/>
        </w:rPr>
        <w:t xml:space="preserve"> </w:t>
      </w:r>
      <w:r w:rsidRPr="00730386">
        <w:rPr>
          <w:rFonts w:ascii="Times New Roman" w:eastAsia="MS ????" w:hAnsi="Times New Roman"/>
          <w:bCs/>
          <w:i/>
          <w:color w:val="000000"/>
          <w:sz w:val="20"/>
          <w:szCs w:val="20"/>
          <w:shd w:val="clear" w:color="auto" w:fill="FFFFFF"/>
          <w:lang w:val="es-ES"/>
        </w:rPr>
        <w:t>c. Bulgaria</w:t>
      </w:r>
      <w:r w:rsidRPr="00730386">
        <w:rPr>
          <w:rFonts w:ascii="Times New Roman" w:eastAsia="MS ????" w:hAnsi="Times New Roman"/>
          <w:bCs/>
          <w:color w:val="000000"/>
          <w:sz w:val="20"/>
          <w:szCs w:val="20"/>
          <w:shd w:val="clear" w:color="auto" w:fill="FFFFFF"/>
          <w:lang w:val="es-ES"/>
        </w:rPr>
        <w:t xml:space="preserve">, supra, párr. 102; </w:t>
      </w:r>
      <w:r w:rsidRPr="00730386">
        <w:rPr>
          <w:rFonts w:ascii="Times New Roman" w:eastAsia="MS ????" w:hAnsi="Times New Roman"/>
          <w:bCs/>
          <w:i/>
          <w:color w:val="000000"/>
          <w:sz w:val="20"/>
          <w:szCs w:val="20"/>
          <w:shd w:val="clear" w:color="auto" w:fill="FFFFFF"/>
          <w:lang w:val="es-ES"/>
        </w:rPr>
        <w:t>El-Masri c</w:t>
      </w:r>
      <w:r>
        <w:rPr>
          <w:rFonts w:ascii="Times New Roman" w:eastAsia="MS ????" w:hAnsi="Times New Roman"/>
          <w:bCs/>
          <w:i/>
          <w:color w:val="000000"/>
          <w:sz w:val="20"/>
          <w:szCs w:val="20"/>
          <w:shd w:val="clear" w:color="auto" w:fill="FFFFFF"/>
          <w:lang w:val="es-ES"/>
        </w:rPr>
        <w:t>. Antigua República Y</w:t>
      </w:r>
      <w:r w:rsidRPr="00730386">
        <w:rPr>
          <w:rFonts w:ascii="Times New Roman" w:eastAsia="MS ????" w:hAnsi="Times New Roman"/>
          <w:bCs/>
          <w:i/>
          <w:color w:val="000000"/>
          <w:sz w:val="20"/>
          <w:szCs w:val="20"/>
          <w:shd w:val="clear" w:color="auto" w:fill="FFFFFF"/>
          <w:lang w:val="es-ES"/>
        </w:rPr>
        <w:t>ugoslava de Macedonia</w:t>
      </w:r>
      <w:r w:rsidRPr="00730386">
        <w:rPr>
          <w:rFonts w:ascii="Times New Roman" w:eastAsia="MS ????" w:hAnsi="Times New Roman"/>
          <w:bCs/>
          <w:color w:val="000000"/>
          <w:sz w:val="20"/>
          <w:szCs w:val="20"/>
          <w:shd w:val="clear" w:color="auto" w:fill="FFFFFF"/>
          <w:lang w:val="es-ES"/>
        </w:rPr>
        <w:t>, supra, párr.</w:t>
      </w:r>
      <w:r>
        <w:rPr>
          <w:rFonts w:ascii="Times New Roman" w:eastAsia="MS ????" w:hAnsi="Times New Roman"/>
          <w:bCs/>
          <w:color w:val="000000"/>
          <w:sz w:val="20"/>
          <w:szCs w:val="20"/>
          <w:shd w:val="clear" w:color="auto" w:fill="FFFFFF"/>
          <w:lang w:val="es-ES"/>
        </w:rPr>
        <w:t xml:space="preserve"> 182;</w:t>
      </w:r>
      <w:r w:rsidRPr="00730386">
        <w:rPr>
          <w:rFonts w:ascii="Times New Roman" w:eastAsia="MS ????" w:hAnsi="Times New Roman"/>
          <w:bCs/>
          <w:color w:val="000000"/>
          <w:sz w:val="20"/>
          <w:szCs w:val="20"/>
          <w:shd w:val="clear" w:color="auto" w:fill="FFFFFF"/>
          <w:lang w:val="es-ES"/>
        </w:rPr>
        <w:t xml:space="preserve"> </w:t>
      </w:r>
      <w:r w:rsidRPr="00730386">
        <w:rPr>
          <w:rFonts w:ascii="Times New Roman" w:eastAsia="MS ????" w:hAnsi="Times New Roman"/>
          <w:bCs/>
          <w:i/>
          <w:color w:val="000000"/>
          <w:sz w:val="20"/>
          <w:szCs w:val="20"/>
          <w:shd w:val="clear" w:color="auto" w:fill="FFFFFF"/>
          <w:lang w:val="es-ES"/>
        </w:rPr>
        <w:t>Al Nashiri c. Polonia</w:t>
      </w:r>
      <w:r w:rsidRPr="00730386">
        <w:rPr>
          <w:rFonts w:ascii="Times New Roman" w:eastAsia="MS ????" w:hAnsi="Times New Roman"/>
          <w:bCs/>
          <w:color w:val="000000"/>
          <w:sz w:val="20"/>
          <w:szCs w:val="20"/>
          <w:shd w:val="clear" w:color="auto" w:fill="FFFFFF"/>
          <w:lang w:val="es-ES"/>
        </w:rPr>
        <w:t xml:space="preserve">, supra, párr. 485; </w:t>
      </w:r>
      <w:r w:rsidRPr="00730386">
        <w:rPr>
          <w:rFonts w:ascii="Times New Roman" w:eastAsia="MS ????" w:hAnsi="Times New Roman"/>
          <w:bCs/>
          <w:i/>
          <w:color w:val="000000"/>
          <w:sz w:val="20"/>
          <w:szCs w:val="20"/>
          <w:shd w:val="clear" w:color="auto" w:fill="FFFFFF"/>
          <w:lang w:val="es-ES"/>
        </w:rPr>
        <w:t>Husayn (Abu Zubaydah) c. Polonia</w:t>
      </w:r>
      <w:r w:rsidRPr="00730386">
        <w:rPr>
          <w:rFonts w:ascii="Times New Roman" w:eastAsia="MS ????" w:hAnsi="Times New Roman"/>
          <w:bCs/>
          <w:color w:val="000000"/>
          <w:sz w:val="20"/>
          <w:szCs w:val="20"/>
          <w:shd w:val="clear" w:color="auto" w:fill="FFFFFF"/>
          <w:lang w:val="es-ES"/>
        </w:rPr>
        <w:t xml:space="preserve">, supra, párr. </w:t>
      </w:r>
      <w:r>
        <w:rPr>
          <w:rFonts w:ascii="Times New Roman" w:eastAsia="MS ????" w:hAnsi="Times New Roman"/>
          <w:bCs/>
          <w:color w:val="000000"/>
          <w:sz w:val="20"/>
          <w:szCs w:val="20"/>
          <w:shd w:val="clear" w:color="auto" w:fill="FFFFFF"/>
          <w:lang w:val="es-ES"/>
        </w:rPr>
        <w:t xml:space="preserve">479; </w:t>
      </w:r>
      <w:r w:rsidRPr="00D03F0E">
        <w:rPr>
          <w:rFonts w:ascii="Times New Roman" w:hAnsi="Times New Roman"/>
          <w:i/>
          <w:sz w:val="20"/>
          <w:szCs w:val="20"/>
          <w:lang w:val="es-ES"/>
        </w:rPr>
        <w:t>Abu Zubaydah c. Lituania</w:t>
      </w:r>
      <w:r w:rsidRPr="00D03F0E">
        <w:rPr>
          <w:rFonts w:ascii="Times New Roman" w:hAnsi="Times New Roman"/>
          <w:sz w:val="20"/>
          <w:szCs w:val="20"/>
          <w:lang w:val="es-ES"/>
        </w:rPr>
        <w:t>, supra, párr. 607;</w:t>
      </w:r>
      <w:r>
        <w:rPr>
          <w:rFonts w:ascii="Times New Roman" w:hAnsi="Times New Roman"/>
          <w:sz w:val="20"/>
          <w:szCs w:val="20"/>
          <w:lang w:val="es-ES"/>
        </w:rPr>
        <w:t xml:space="preserve"> y</w:t>
      </w:r>
      <w:r w:rsidRPr="00D03F0E">
        <w:rPr>
          <w:rFonts w:ascii="Times New Roman" w:hAnsi="Times New Roman"/>
          <w:sz w:val="20"/>
          <w:szCs w:val="20"/>
          <w:lang w:val="es-ES"/>
        </w:rPr>
        <w:t xml:space="preserve"> </w:t>
      </w:r>
      <w:r w:rsidRPr="00D03F0E">
        <w:rPr>
          <w:rFonts w:ascii="Times New Roman" w:hAnsi="Times New Roman"/>
          <w:i/>
          <w:sz w:val="20"/>
          <w:szCs w:val="20"/>
          <w:lang w:val="es-ES"/>
        </w:rPr>
        <w:t>Al Nashiri c. Rumanía</w:t>
      </w:r>
      <w:r w:rsidRPr="00D03F0E">
        <w:rPr>
          <w:rFonts w:ascii="Times New Roman" w:hAnsi="Times New Roman"/>
          <w:sz w:val="20"/>
          <w:szCs w:val="20"/>
          <w:lang w:val="es-ES"/>
        </w:rPr>
        <w:t>, supra, párr.</w:t>
      </w:r>
      <w:r>
        <w:rPr>
          <w:rFonts w:ascii="Times New Roman" w:hAnsi="Times New Roman"/>
          <w:sz w:val="20"/>
          <w:szCs w:val="20"/>
          <w:lang w:val="es-ES"/>
        </w:rPr>
        <w:t xml:space="preserve"> 638.</w:t>
      </w:r>
    </w:p>
  </w:footnote>
  <w:footnote w:id="39">
    <w:p w:rsidR="00677F54" w:rsidRPr="00D03F0E" w:rsidRDefault="00677F54" w:rsidP="00483BB5">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spacing w:val="-4"/>
          <w:lang w:val="es-ES"/>
        </w:rPr>
        <w:t>La Corte</w:t>
      </w:r>
      <w:r>
        <w:rPr>
          <w:rFonts w:ascii="Times New Roman" w:hAnsi="Times New Roman"/>
          <w:spacing w:val="-4"/>
          <w:lang w:val="es-ES"/>
        </w:rPr>
        <w:t xml:space="preserve"> Interamericana</w:t>
      </w:r>
      <w:r w:rsidRPr="00D03F0E">
        <w:rPr>
          <w:rFonts w:ascii="Times New Roman" w:hAnsi="Times New Roman"/>
          <w:spacing w:val="-4"/>
          <w:lang w:val="es-ES"/>
        </w:rPr>
        <w:t xml:space="preserve"> ha fundamentado la obligación de investigar </w:t>
      </w:r>
      <w:r>
        <w:rPr>
          <w:rFonts w:ascii="Times New Roman" w:hAnsi="Times New Roman"/>
          <w:spacing w:val="-4"/>
          <w:lang w:val="es-ES"/>
        </w:rPr>
        <w:t>“</w:t>
      </w:r>
      <w:r w:rsidRPr="00D03F0E">
        <w:rPr>
          <w:rFonts w:ascii="Times New Roman" w:hAnsi="Times New Roman"/>
          <w:spacing w:val="-4"/>
          <w:lang w:val="es-ES"/>
        </w:rPr>
        <w:t>como una forma de reparación, ante la necesidad de reparar la violación del derecho a conocer la verdad en el caso concreto” (</w:t>
      </w:r>
      <w:r>
        <w:rPr>
          <w:rFonts w:ascii="Times New Roman" w:hAnsi="Times New Roman"/>
          <w:i/>
          <w:spacing w:val="-4"/>
          <w:lang w:val="es-ES"/>
        </w:rPr>
        <w:t xml:space="preserve">Caso Anzualdo Castro Vs. </w:t>
      </w:r>
      <w:r w:rsidRPr="009965F8">
        <w:rPr>
          <w:rFonts w:ascii="Times New Roman" w:hAnsi="Times New Roman"/>
          <w:i/>
          <w:spacing w:val="-4"/>
          <w:lang w:val="es-ES"/>
        </w:rPr>
        <w:t>Perú</w:t>
      </w:r>
      <w:r>
        <w:rPr>
          <w:rFonts w:ascii="Times New Roman" w:hAnsi="Times New Roman"/>
          <w:spacing w:val="-4"/>
          <w:lang w:val="es-ES"/>
        </w:rPr>
        <w:t xml:space="preserve">, supra, </w:t>
      </w:r>
      <w:r w:rsidRPr="00D03F0E">
        <w:rPr>
          <w:rFonts w:ascii="Times New Roman" w:hAnsi="Times New Roman"/>
          <w:spacing w:val="-4"/>
          <w:lang w:val="es-ES"/>
        </w:rPr>
        <w:t xml:space="preserve">párrs. 118 y 120). En un sentido similar, </w:t>
      </w:r>
      <w:r w:rsidRPr="00D03F0E">
        <w:rPr>
          <w:rFonts w:ascii="Times New Roman" w:hAnsi="Times New Roman"/>
          <w:i/>
          <w:lang w:val="es-ES"/>
        </w:rPr>
        <w:t>Caso Velásquez Rodríguez Vs. Honduras</w:t>
      </w:r>
      <w:r w:rsidRPr="00D03F0E">
        <w:rPr>
          <w:rFonts w:ascii="Times New Roman" w:hAnsi="Times New Roman"/>
          <w:lang w:val="es-ES"/>
        </w:rPr>
        <w:t xml:space="preserve">, supra, párr. 181; </w:t>
      </w:r>
      <w:r w:rsidRPr="00D03F0E">
        <w:rPr>
          <w:rFonts w:ascii="Times New Roman" w:hAnsi="Times New Roman"/>
          <w:i/>
          <w:spacing w:val="-4"/>
          <w:lang w:val="es-ES"/>
        </w:rPr>
        <w:t xml:space="preserve">Caso Bámaca </w:t>
      </w:r>
      <w:r w:rsidRPr="00D03F0E">
        <w:rPr>
          <w:rFonts w:ascii="Times New Roman" w:hAnsi="Times New Roman"/>
          <w:i/>
          <w:iCs/>
          <w:spacing w:val="-4"/>
          <w:lang w:val="es-ES"/>
        </w:rPr>
        <w:t>Vélasquez Vs</w:t>
      </w:r>
      <w:r w:rsidRPr="00D03F0E">
        <w:rPr>
          <w:rFonts w:ascii="Times New Roman" w:hAnsi="Times New Roman"/>
          <w:iCs/>
          <w:spacing w:val="-4"/>
          <w:lang w:val="es-ES"/>
        </w:rPr>
        <w:t xml:space="preserve">. </w:t>
      </w:r>
      <w:r w:rsidRPr="00D03F0E">
        <w:rPr>
          <w:rFonts w:ascii="Times New Roman" w:hAnsi="Times New Roman"/>
          <w:i/>
          <w:iCs/>
          <w:spacing w:val="-4"/>
          <w:lang w:val="es-ES"/>
        </w:rPr>
        <w:t>Guatemala</w:t>
      </w:r>
      <w:r w:rsidRPr="00D03F0E">
        <w:rPr>
          <w:rFonts w:ascii="Times New Roman" w:hAnsi="Times New Roman"/>
          <w:iCs/>
          <w:spacing w:val="-4"/>
          <w:lang w:val="es-ES"/>
        </w:rPr>
        <w:t xml:space="preserve">, supra, </w:t>
      </w:r>
      <w:r w:rsidRPr="00D03F0E">
        <w:rPr>
          <w:rFonts w:ascii="Times New Roman" w:hAnsi="Times New Roman"/>
          <w:spacing w:val="-4"/>
          <w:lang w:val="es-ES"/>
        </w:rPr>
        <w:t xml:space="preserve">párr. 76; </w:t>
      </w:r>
      <w:r w:rsidRPr="00D03F0E">
        <w:rPr>
          <w:rFonts w:ascii="Times New Roman" w:hAnsi="Times New Roman"/>
          <w:i/>
          <w:lang w:val="es-ES"/>
        </w:rPr>
        <w:t>Caso Kawas Fernández Vs. Honduras</w:t>
      </w:r>
      <w:r w:rsidRPr="009965F8">
        <w:rPr>
          <w:rFonts w:ascii="Times New Roman" w:hAnsi="Times New Roman"/>
          <w:bCs/>
          <w:i/>
          <w:iCs/>
          <w:lang w:val="es-ES_tradnl"/>
        </w:rPr>
        <w:t>. Fondo, Reparaciones y Costas. Sentencia de 3 de abril de 2009</w:t>
      </w:r>
      <w:r>
        <w:rPr>
          <w:rFonts w:ascii="Times New Roman" w:hAnsi="Times New Roman"/>
          <w:bCs/>
          <w:i/>
          <w:iCs/>
          <w:lang w:val="es-ES_tradnl"/>
        </w:rPr>
        <w:t xml:space="preserve">, </w:t>
      </w:r>
      <w:r w:rsidRPr="00D03F0E">
        <w:rPr>
          <w:rFonts w:ascii="Times New Roman" w:hAnsi="Times New Roman"/>
          <w:lang w:val="es-ES"/>
        </w:rPr>
        <w:t>párrs. 190 y 191</w:t>
      </w:r>
      <w:r w:rsidRPr="00D03F0E">
        <w:rPr>
          <w:rFonts w:ascii="Times New Roman" w:hAnsi="Times New Roman"/>
          <w:lang w:val="es-ES" w:bidi="en-US"/>
        </w:rPr>
        <w:t xml:space="preserve">; y </w:t>
      </w:r>
      <w:r w:rsidRPr="00D03F0E">
        <w:rPr>
          <w:rFonts w:ascii="Times New Roman" w:hAnsi="Times New Roman"/>
          <w:bCs/>
          <w:i/>
          <w:iCs/>
          <w:lang w:val="es-ES"/>
        </w:rPr>
        <w:t>Caso Tiu Tojín Vs. Guatemala. Fondo, Reparaciones y Costas.</w:t>
      </w:r>
      <w:r w:rsidRPr="00D03F0E">
        <w:rPr>
          <w:rFonts w:ascii="Times New Roman" w:hAnsi="Times New Roman"/>
          <w:bCs/>
          <w:i/>
          <w:lang w:val="es-ES"/>
        </w:rPr>
        <w:t xml:space="preserve"> </w:t>
      </w:r>
      <w:r w:rsidRPr="00D03F0E">
        <w:rPr>
          <w:rFonts w:ascii="Times New Roman" w:hAnsi="Times New Roman"/>
          <w:bCs/>
          <w:lang w:val="es-ES"/>
        </w:rPr>
        <w:t xml:space="preserve">Sentencia de </w:t>
      </w:r>
      <w:smartTag w:uri="urn:schemas-microsoft-com:office:smarttags" w:element="date">
        <w:smartTagPr>
          <w:attr w:name="Year" w:val="2008"/>
          <w:attr w:name="Day" w:val="26"/>
          <w:attr w:name="Month" w:val="11"/>
          <w:attr w:name="ls" w:val="trans"/>
        </w:smartTagPr>
        <w:r w:rsidRPr="00D03F0E">
          <w:rPr>
            <w:rFonts w:ascii="Times New Roman" w:hAnsi="Times New Roman"/>
            <w:bCs/>
            <w:lang w:val="es-ES"/>
          </w:rPr>
          <w:t>26 de noviembre de 2008</w:t>
        </w:r>
      </w:smartTag>
      <w:r w:rsidRPr="00D03F0E">
        <w:rPr>
          <w:rFonts w:ascii="Times New Roman" w:hAnsi="Times New Roman"/>
          <w:lang w:val="es-ES"/>
        </w:rPr>
        <w:t>, párr. 103.</w:t>
      </w:r>
    </w:p>
  </w:footnote>
  <w:footnote w:id="40">
    <w:p w:rsidR="00677F54" w:rsidRPr="00D03F0E" w:rsidRDefault="00677F54" w:rsidP="0056645F">
      <w:pPr>
        <w:pStyle w:val="Ttulo2"/>
        <w:spacing w:before="0" w:line="240" w:lineRule="auto"/>
        <w:jc w:val="both"/>
        <w:rPr>
          <w:rFonts w:ascii="Times New Roman" w:hAnsi="Times New Roman" w:cs="Times New Roman"/>
          <w:color w:val="auto"/>
          <w:sz w:val="20"/>
          <w:szCs w:val="20"/>
          <w:lang w:val="es-ES"/>
        </w:rPr>
      </w:pPr>
      <w:r w:rsidRPr="00D03F0E">
        <w:rPr>
          <w:rStyle w:val="Refdenotaalpie"/>
          <w:rFonts w:ascii="Times New Roman" w:hAnsi="Times New Roman"/>
          <w:color w:val="auto"/>
          <w:sz w:val="20"/>
          <w:szCs w:val="20"/>
          <w:lang w:val="es-ES"/>
        </w:rPr>
        <w:footnoteRef/>
      </w:r>
      <w:r w:rsidRPr="00D03F0E">
        <w:rPr>
          <w:rFonts w:ascii="Times New Roman" w:hAnsi="Times New Roman" w:cs="Times New Roman"/>
          <w:color w:val="auto"/>
          <w:sz w:val="20"/>
          <w:szCs w:val="20"/>
          <w:lang w:val="es-ES"/>
        </w:rPr>
        <w:t xml:space="preserve"> </w:t>
      </w:r>
      <w:r>
        <w:rPr>
          <w:rFonts w:ascii="Times New Roman" w:hAnsi="Times New Roman" w:cs="Times New Roman"/>
          <w:color w:val="auto"/>
          <w:sz w:val="20"/>
          <w:szCs w:val="20"/>
          <w:lang w:val="es-ES"/>
        </w:rPr>
        <w:t>Resolución 60/147, cit., p</w:t>
      </w:r>
      <w:r w:rsidRPr="00D03F0E">
        <w:rPr>
          <w:rFonts w:ascii="Times New Roman" w:hAnsi="Times New Roman" w:cs="Times New Roman"/>
          <w:color w:val="auto"/>
          <w:sz w:val="20"/>
          <w:szCs w:val="20"/>
          <w:lang w:val="es-ES"/>
        </w:rPr>
        <w:t>arágrafo 22.</w:t>
      </w:r>
    </w:p>
  </w:footnote>
  <w:footnote w:id="41">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color w:val="000000"/>
          <w:lang w:val="es-ES"/>
        </w:rPr>
        <w:t xml:space="preserve">En este sentido, por ejemplo, el Decreto n. 355 de la Comisión Nacional Chilena para la Verdad y la Reconciliación reconoce que “solo basándonos en la verdad será posible satisfacer las demandas de justicia, y solo así podremos generar las condiciones necesarias para alcanzar la reconciliación nacional”. Cita tomada de NAQVI, Yasmin, “The right to the truth in international law: fact or fiction?” </w:t>
      </w:r>
      <w:r w:rsidRPr="00D03F0E">
        <w:rPr>
          <w:rFonts w:ascii="Times New Roman" w:hAnsi="Times New Roman"/>
          <w:i/>
          <w:color w:val="000000"/>
          <w:lang w:val="es-ES"/>
        </w:rPr>
        <w:t>International Review of the Red Cross</w:t>
      </w:r>
      <w:r w:rsidRPr="00D03F0E">
        <w:rPr>
          <w:rFonts w:ascii="Times New Roman" w:hAnsi="Times New Roman"/>
          <w:color w:val="000000"/>
          <w:lang w:val="es-ES"/>
        </w:rPr>
        <w:t>, Volume 88, Issue 862, junio, 2006, pp 245 – 273.</w:t>
      </w:r>
    </w:p>
  </w:footnote>
  <w:footnote w:id="42">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sidRPr="00D03F0E">
        <w:rPr>
          <w:rFonts w:ascii="Times New Roman" w:hAnsi="Times New Roman"/>
          <w:i/>
          <w:sz w:val="20"/>
          <w:szCs w:val="20"/>
          <w:lang w:val="es-ES"/>
        </w:rPr>
        <w:t>Abu Zubaydah c. Lituania</w:t>
      </w:r>
      <w:r w:rsidRPr="00D03F0E">
        <w:rPr>
          <w:rFonts w:ascii="Times New Roman" w:hAnsi="Times New Roman"/>
          <w:sz w:val="20"/>
          <w:szCs w:val="20"/>
          <w:lang w:val="es-ES"/>
        </w:rPr>
        <w:t xml:space="preserve">, supra, párr. 610; </w:t>
      </w:r>
      <w:r w:rsidRPr="00D03F0E">
        <w:rPr>
          <w:rFonts w:ascii="Times New Roman" w:hAnsi="Times New Roman"/>
          <w:i/>
          <w:sz w:val="20"/>
          <w:szCs w:val="20"/>
          <w:lang w:val="es-ES"/>
        </w:rPr>
        <w:t>Nashiri c. Rumanía</w:t>
      </w:r>
      <w:r w:rsidRPr="00D03F0E">
        <w:rPr>
          <w:rFonts w:ascii="Times New Roman" w:hAnsi="Times New Roman"/>
          <w:sz w:val="20"/>
          <w:szCs w:val="20"/>
          <w:lang w:val="es-ES"/>
        </w:rPr>
        <w:t>, supra, párr.</w:t>
      </w:r>
      <w:r>
        <w:rPr>
          <w:rFonts w:ascii="Times New Roman" w:hAnsi="Times New Roman"/>
          <w:sz w:val="20"/>
          <w:szCs w:val="20"/>
          <w:lang w:val="es-ES"/>
        </w:rPr>
        <w:t xml:space="preserve"> 641.</w:t>
      </w:r>
    </w:p>
  </w:footnote>
  <w:footnote w:id="43">
    <w:p w:rsidR="00677F54" w:rsidRPr="00D03F0E" w:rsidRDefault="00677F54" w:rsidP="003E4E9D">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el marco de las Naciones Unidas, esta dimensión colectiva del derecho a la verdad fue puesta de relieve por Louis Joinet en el informe que acompaña al </w:t>
      </w:r>
      <w:r w:rsidRPr="00D03F0E">
        <w:rPr>
          <w:rFonts w:ascii="Times New Roman" w:hAnsi="Times New Roman"/>
          <w:i/>
          <w:lang w:val="es-ES"/>
        </w:rPr>
        <w:t>Conjunto de Principios para la protección y la promoción de los derechos humanos mediante la lucha contra la impunidad</w:t>
      </w:r>
      <w:r>
        <w:rPr>
          <w:rFonts w:ascii="Times New Roman" w:hAnsi="Times New Roman"/>
          <w:i/>
          <w:lang w:val="es-ES"/>
        </w:rPr>
        <w:t xml:space="preserve"> </w:t>
      </w:r>
      <w:r w:rsidRPr="00CB4F30">
        <w:rPr>
          <w:rFonts w:ascii="Times New Roman" w:hAnsi="Times New Roman"/>
          <w:lang w:val="es-ES"/>
        </w:rPr>
        <w:t>(</w:t>
      </w:r>
      <w:r w:rsidRPr="00D03F0E">
        <w:rPr>
          <w:rFonts w:ascii="Times New Roman" w:hAnsi="Times New Roman"/>
          <w:lang w:val="es-ES"/>
        </w:rPr>
        <w:t>Doc. de Naciones Unidas E/CN. 4/Sub. 2/1997</w:t>
      </w:r>
      <w:r>
        <w:rPr>
          <w:rFonts w:ascii="Times New Roman" w:hAnsi="Times New Roman"/>
          <w:lang w:val="es-ES"/>
        </w:rPr>
        <w:t>/20/Rev.1, de 2 octubre de 1997)</w:t>
      </w:r>
      <w:r w:rsidRPr="00D03F0E">
        <w:rPr>
          <w:rFonts w:ascii="Times New Roman" w:hAnsi="Times New Roman"/>
          <w:lang w:val="es-ES"/>
        </w:rPr>
        <w:t xml:space="preserve">. </w:t>
      </w:r>
      <w:r>
        <w:rPr>
          <w:rFonts w:ascii="Times New Roman" w:hAnsi="Times New Roman"/>
          <w:lang w:val="es-ES"/>
        </w:rPr>
        <w:t>Su</w:t>
      </w:r>
      <w:r w:rsidRPr="00D03F0E">
        <w:rPr>
          <w:rFonts w:ascii="Times New Roman" w:hAnsi="Times New Roman"/>
          <w:lang w:val="es-ES"/>
        </w:rPr>
        <w:t xml:space="preserve"> parágrafo 17</w:t>
      </w:r>
      <w:r>
        <w:rPr>
          <w:rFonts w:ascii="Times New Roman" w:hAnsi="Times New Roman"/>
          <w:lang w:val="es-ES"/>
        </w:rPr>
        <w:t xml:space="preserve"> señala</w:t>
      </w:r>
      <w:r w:rsidRPr="00D03F0E">
        <w:rPr>
          <w:rFonts w:ascii="Times New Roman" w:hAnsi="Times New Roman"/>
          <w:lang w:val="es-ES"/>
        </w:rPr>
        <w:t>: “no se trata sólo del derecho individual que toda víctima o sus familiares tienen a saber lo que ocurrió, que es el derecho a la verdad. El derecho a saber es también un derecho colectivo que hunde sus raíces en la historia, para evitar que puedan reproducirse en el futuro las violaciones. Como contrapartida, al Estado le incumbe, el «deber de recordar», a fin de protegerse contra esas tergiversaciones de la historia que llevan por nombre revisionismo y negacionismo; en efecto, el conocimiento por un pueblo de la historia de su opresión forma parte de su patrimonio y debe por ello conservarse. Tales son los principales objetivos del derecho a saber como derecho colectivo”.</w:t>
      </w:r>
    </w:p>
  </w:footnote>
  <w:footnote w:id="44">
    <w:p w:rsidR="00677F54" w:rsidRPr="00D03F0E" w:rsidRDefault="00677F54" w:rsidP="0056645F">
      <w:pPr>
        <w:autoSpaceDE w:val="0"/>
        <w:autoSpaceDN w:val="0"/>
        <w:adjustRightInd w:val="0"/>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Pr>
          <w:rFonts w:ascii="Times New Roman" w:hAnsi="Times New Roman"/>
          <w:sz w:val="20"/>
          <w:szCs w:val="20"/>
          <w:lang w:val="es-ES"/>
        </w:rPr>
        <w:t xml:space="preserve">Doc. </w:t>
      </w:r>
      <w:r w:rsidRPr="00D03F0E">
        <w:rPr>
          <w:rFonts w:ascii="Times New Roman" w:hAnsi="Times New Roman"/>
          <w:sz w:val="20"/>
          <w:szCs w:val="20"/>
          <w:lang w:val="es-ES" w:eastAsia="es-ES_tradnl"/>
        </w:rPr>
        <w:t>E/CN.4/Sub</w:t>
      </w:r>
      <w:r>
        <w:rPr>
          <w:rFonts w:ascii="Times New Roman" w:hAnsi="Times New Roman"/>
          <w:sz w:val="20"/>
          <w:szCs w:val="20"/>
          <w:lang w:val="es-ES" w:eastAsia="es-ES_tradnl"/>
        </w:rPr>
        <w:t>.2/1997/20, 26 de junio de 1997, cit</w:t>
      </w:r>
      <w:r w:rsidRPr="00D03F0E">
        <w:rPr>
          <w:rFonts w:ascii="Times New Roman" w:hAnsi="Times New Roman"/>
          <w:sz w:val="20"/>
          <w:szCs w:val="20"/>
          <w:lang w:val="es-ES" w:eastAsia="es-ES_tradnl"/>
        </w:rPr>
        <w:t>.</w:t>
      </w:r>
    </w:p>
  </w:footnote>
  <w:footnote w:id="45">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el</w:t>
      </w:r>
      <w:r w:rsidRPr="00D03F0E">
        <w:rPr>
          <w:rFonts w:ascii="Times New Roman" w:hAnsi="Times New Roman"/>
          <w:i/>
          <w:lang w:val="es-ES"/>
        </w:rPr>
        <w:t xml:space="preserve"> Caso </w:t>
      </w:r>
      <w:r w:rsidRPr="00D03F0E">
        <w:rPr>
          <w:rFonts w:ascii="Times New Roman" w:hAnsi="Times New Roman"/>
          <w:i/>
          <w:iCs/>
          <w:lang w:val="es-ES"/>
        </w:rPr>
        <w:t>Bámaca Velásquez Vs. Guatemala</w:t>
      </w:r>
      <w:r w:rsidRPr="00D03F0E">
        <w:rPr>
          <w:rFonts w:ascii="Times New Roman" w:hAnsi="Times New Roman"/>
          <w:iCs/>
          <w:lang w:val="es-ES"/>
        </w:rPr>
        <w:t xml:space="preserve">, supra, </w:t>
      </w:r>
      <w:r w:rsidRPr="00D03F0E">
        <w:rPr>
          <w:rFonts w:ascii="Times New Roman" w:hAnsi="Times New Roman"/>
          <w:lang w:val="es-ES" w:eastAsia="es-ES_tradnl"/>
        </w:rPr>
        <w:t xml:space="preserve">la </w:t>
      </w:r>
      <w:r w:rsidRPr="00D03F0E">
        <w:rPr>
          <w:rFonts w:ascii="Times New Roman" w:hAnsi="Times New Roman"/>
          <w:lang w:val="es-ES"/>
        </w:rPr>
        <w:t>Corte Interamericana</w:t>
      </w:r>
      <w:r w:rsidRPr="00D03F0E">
        <w:rPr>
          <w:rFonts w:ascii="Times New Roman" w:hAnsi="Times New Roman"/>
          <w:lang w:val="es-ES" w:eastAsia="es-ES_tradnl"/>
        </w:rPr>
        <w:t xml:space="preserve"> advierte </w:t>
      </w:r>
      <w:r w:rsidRPr="00D03F0E">
        <w:rPr>
          <w:rFonts w:ascii="Times New Roman" w:hAnsi="Times New Roman"/>
          <w:lang w:val="es-ES"/>
        </w:rPr>
        <w:t>que si bien el derecho a la verdad es un derecho “de los familiares de la víctima y de la sociedad en su conjunto”, que surge “como principio emergente del Derecho internacional bajo la interpretación dinámica de los tratados de derechos humanos y, en específico, de los artículos 1.1, 8, 25 y 13 de la Convención Americana” (</w:t>
      </w:r>
      <w:r w:rsidRPr="00D03F0E">
        <w:rPr>
          <w:rFonts w:ascii="Times New Roman" w:hAnsi="Times New Roman"/>
          <w:lang w:val="es-ES" w:eastAsia="es-ES_tradnl"/>
        </w:rPr>
        <w:t xml:space="preserve">párr. 197), </w:t>
      </w:r>
      <w:r w:rsidRPr="00D03F0E">
        <w:rPr>
          <w:rFonts w:ascii="Times New Roman" w:hAnsi="Times New Roman"/>
          <w:lang w:val="es-ES"/>
        </w:rPr>
        <w:t xml:space="preserve">la legitimación procesal del mismo corresponde exclusivamente a las víctimas y a sus familiares (párr.. 201). </w:t>
      </w:r>
      <w:r w:rsidRPr="00D03F0E">
        <w:rPr>
          <w:rFonts w:ascii="Times New Roman" w:hAnsi="Times New Roman"/>
          <w:lang w:val="es-ES" w:eastAsia="fr-FR"/>
        </w:rPr>
        <w:t>En el mismo sentido,</w:t>
      </w:r>
      <w:r w:rsidRPr="00D03F0E">
        <w:rPr>
          <w:rFonts w:ascii="Times New Roman" w:hAnsi="Times New Roman"/>
          <w:lang w:val="es-ES" w:eastAsia="es-ES_tradnl"/>
        </w:rPr>
        <w:t xml:space="preserve"> </w:t>
      </w:r>
      <w:r w:rsidRPr="00E31C26">
        <w:rPr>
          <w:rFonts w:ascii="Times New Roman" w:hAnsi="Times New Roman"/>
          <w:bCs/>
          <w:i/>
          <w:iCs/>
          <w:lang w:val="es-MX" w:eastAsia="es-ES_tradnl"/>
        </w:rPr>
        <w:t>Caso Masacres de El Mozote y lugares aledaños Vs. El Salvador. Fondo, Reparaciones y Costas.</w:t>
      </w:r>
      <w:r w:rsidRPr="00E31C26">
        <w:rPr>
          <w:rFonts w:ascii="Times New Roman" w:hAnsi="Times New Roman"/>
          <w:bCs/>
          <w:i/>
          <w:lang w:val="es-MX" w:eastAsia="es-ES_tradnl"/>
        </w:rPr>
        <w:t xml:space="preserve"> </w:t>
      </w:r>
      <w:r w:rsidRPr="00E31C26">
        <w:rPr>
          <w:rFonts w:ascii="Times New Roman" w:hAnsi="Times New Roman"/>
          <w:bCs/>
          <w:lang w:val="es-MX" w:eastAsia="es-ES_tradnl"/>
        </w:rPr>
        <w:t>Sentencia de 25 de octubre de 2012</w:t>
      </w:r>
      <w:r>
        <w:rPr>
          <w:rFonts w:ascii="Times New Roman" w:hAnsi="Times New Roman"/>
          <w:lang w:val="es-ES" w:eastAsia="es-ES_tradnl"/>
        </w:rPr>
        <w:t>, párr.</w:t>
      </w:r>
      <w:r w:rsidRPr="00D03F0E">
        <w:rPr>
          <w:rFonts w:ascii="Times New Roman" w:hAnsi="Times New Roman"/>
          <w:lang w:val="es-ES" w:eastAsia="es-ES_tradnl"/>
        </w:rPr>
        <w:t xml:space="preserve"> 298</w:t>
      </w:r>
      <w:r>
        <w:rPr>
          <w:rFonts w:ascii="Times New Roman" w:hAnsi="Times New Roman"/>
          <w:lang w:val="es-ES" w:eastAsia="es-ES_tradnl"/>
        </w:rPr>
        <w:t xml:space="preserve"> (sobre esta sentencia, véase: </w:t>
      </w:r>
      <w:r w:rsidRPr="00296BE1">
        <w:rPr>
          <w:rFonts w:ascii="Times New Roman" w:hAnsi="Times New Roman"/>
          <w:lang w:val="es-ES_tradnl" w:eastAsia="es-ES_tradnl"/>
        </w:rPr>
        <w:t>HEFFES, Ezequiel, “</w:t>
      </w:r>
      <w:r w:rsidRPr="00296BE1">
        <w:rPr>
          <w:rFonts w:ascii="Times New Roman" w:hAnsi="Times New Roman"/>
          <w:bCs/>
          <w:lang w:val="es-ES_tradnl" w:eastAsia="es-ES_tradnl"/>
        </w:rPr>
        <w:t xml:space="preserve">Causas, justificaciones y pretextos en «El Mozote». El derecho a la verdad como derecho humano y su correlato con el sistema interamericano de derechos humanos”, </w:t>
      </w:r>
      <w:r w:rsidRPr="00296BE1">
        <w:rPr>
          <w:rFonts w:ascii="Times New Roman" w:hAnsi="Times New Roman"/>
          <w:i/>
          <w:lang w:val="es-ES_tradnl" w:eastAsia="es-ES_tradnl"/>
        </w:rPr>
        <w:t>Revista Jurídica de la Universidad Autónoma de Madrid</w:t>
      </w:r>
      <w:r w:rsidRPr="00296BE1">
        <w:rPr>
          <w:rFonts w:ascii="Times New Roman" w:hAnsi="Times New Roman"/>
          <w:lang w:val="es-ES_tradnl" w:eastAsia="es-ES_tradnl"/>
        </w:rPr>
        <w:t>, n. 26, junio 2012, pp. 81-104</w:t>
      </w:r>
      <w:r>
        <w:rPr>
          <w:rFonts w:ascii="Times New Roman" w:hAnsi="Times New Roman"/>
          <w:lang w:val="es-ES_tradnl" w:eastAsia="es-ES_tradnl"/>
        </w:rPr>
        <w:t xml:space="preserve">); </w:t>
      </w:r>
      <w:r w:rsidRPr="00D03F0E">
        <w:rPr>
          <w:rFonts w:ascii="Times New Roman" w:hAnsi="Times New Roman"/>
          <w:i/>
          <w:lang w:val="es-ES"/>
        </w:rPr>
        <w:t xml:space="preserve">Caso Gudiel Álvarez </w:t>
      </w:r>
      <w:r>
        <w:rPr>
          <w:rFonts w:ascii="Times New Roman" w:hAnsi="Times New Roman"/>
          <w:i/>
          <w:lang w:val="es-ES"/>
        </w:rPr>
        <w:t>y otros</w:t>
      </w:r>
      <w:r w:rsidRPr="00D03F0E">
        <w:rPr>
          <w:rFonts w:ascii="Times New Roman" w:hAnsi="Times New Roman"/>
          <w:i/>
          <w:lang w:val="es-ES"/>
        </w:rPr>
        <w:t xml:space="preserve"> (“diario militar”) Vs. Guatemala</w:t>
      </w:r>
      <w:r w:rsidRPr="00D03F0E">
        <w:rPr>
          <w:rFonts w:ascii="Times New Roman" w:hAnsi="Times New Roman"/>
          <w:lang w:val="es-ES"/>
        </w:rPr>
        <w:t>,</w:t>
      </w:r>
      <w:r>
        <w:rPr>
          <w:rFonts w:ascii="Times New Roman" w:hAnsi="Times New Roman"/>
          <w:lang w:val="es-ES"/>
        </w:rPr>
        <w:t xml:space="preserve"> supra, párr.</w:t>
      </w:r>
      <w:r w:rsidRPr="00D03F0E">
        <w:rPr>
          <w:rFonts w:ascii="Times New Roman" w:hAnsi="Times New Roman"/>
          <w:lang w:val="es-ES"/>
        </w:rPr>
        <w:t xml:space="preserve"> 299. El TEDH reconoce por primera vez la dimensión pública del derecho a la verdad en la sentencia </w:t>
      </w:r>
      <w:r w:rsidRPr="00D03F0E">
        <w:rPr>
          <w:rFonts w:ascii="Times New Roman" w:hAnsi="Times New Roman"/>
          <w:i/>
          <w:lang w:val="es-ES"/>
        </w:rPr>
        <w:t xml:space="preserve">Asociación 21 de diciembre 1989 </w:t>
      </w:r>
      <w:r>
        <w:rPr>
          <w:rFonts w:ascii="Times New Roman" w:hAnsi="Times New Roman"/>
          <w:i/>
          <w:lang w:val="es-ES"/>
        </w:rPr>
        <w:t>y otros</w:t>
      </w:r>
      <w:r w:rsidRPr="00D03F0E">
        <w:rPr>
          <w:rFonts w:ascii="Times New Roman" w:hAnsi="Times New Roman"/>
          <w:i/>
          <w:lang w:val="es-ES"/>
        </w:rPr>
        <w:t xml:space="preserve"> contra Rumania</w:t>
      </w:r>
      <w:r w:rsidRPr="00D03F0E">
        <w:rPr>
          <w:rFonts w:ascii="Times New Roman" w:hAnsi="Times New Roman"/>
          <w:lang w:val="es-ES"/>
        </w:rPr>
        <w:t xml:space="preserve">, del año 2011, núms. 33810/07 y 18817/08, de 24 de mayo de 2011, </w:t>
      </w:r>
      <w:r>
        <w:rPr>
          <w:rFonts w:ascii="Times New Roman" w:hAnsi="Times New Roman"/>
          <w:lang w:val="es-ES"/>
        </w:rPr>
        <w:t>párr.</w:t>
      </w:r>
      <w:r w:rsidRPr="00D03F0E">
        <w:rPr>
          <w:rFonts w:ascii="Times New Roman" w:hAnsi="Times New Roman"/>
          <w:lang w:val="es-ES"/>
        </w:rPr>
        <w:t xml:space="preserve"> 142. Posteriormente, también en las sentencias </w:t>
      </w:r>
      <w:r>
        <w:rPr>
          <w:rFonts w:ascii="Times New Roman" w:hAnsi="Times New Roman"/>
          <w:i/>
          <w:lang w:val="es-ES"/>
        </w:rPr>
        <w:t xml:space="preserve">El-Masri c. Antigua </w:t>
      </w:r>
      <w:r w:rsidRPr="00D03F0E">
        <w:rPr>
          <w:rFonts w:ascii="Times New Roman" w:hAnsi="Times New Roman"/>
          <w:i/>
          <w:lang w:val="es-ES"/>
        </w:rPr>
        <w:t>República Yugoslava de Macedonia</w:t>
      </w:r>
      <w:r w:rsidRPr="00D03F0E">
        <w:rPr>
          <w:rFonts w:ascii="Times New Roman" w:hAnsi="Times New Roman"/>
          <w:lang w:val="es-ES"/>
        </w:rPr>
        <w:t xml:space="preserve">, </w:t>
      </w:r>
      <w:r>
        <w:rPr>
          <w:rFonts w:ascii="Times New Roman" w:hAnsi="Times New Roman"/>
          <w:lang w:val="es-ES"/>
        </w:rPr>
        <w:t xml:space="preserve">supra, </w:t>
      </w:r>
      <w:r w:rsidRPr="00D03F0E">
        <w:rPr>
          <w:rFonts w:ascii="Times New Roman" w:hAnsi="Times New Roman"/>
          <w:lang w:val="es-ES"/>
        </w:rPr>
        <w:t xml:space="preserve">parágrafo 191; </w:t>
      </w:r>
      <w:r w:rsidRPr="00D03F0E">
        <w:rPr>
          <w:rFonts w:ascii="Times New Roman" w:hAnsi="Times New Roman"/>
          <w:i/>
          <w:lang w:val="es-ES"/>
        </w:rPr>
        <w:t>Husayn (Abu Zubaydah) c. Polonia</w:t>
      </w:r>
      <w:r w:rsidRPr="00D03F0E">
        <w:rPr>
          <w:rFonts w:ascii="Times New Roman" w:hAnsi="Times New Roman"/>
          <w:lang w:val="es-ES"/>
        </w:rPr>
        <w:t xml:space="preserve">, y </w:t>
      </w:r>
      <w:r w:rsidRPr="00D03F0E">
        <w:rPr>
          <w:rFonts w:ascii="Times New Roman" w:hAnsi="Times New Roman"/>
          <w:i/>
          <w:lang w:val="es-ES"/>
        </w:rPr>
        <w:t>Al Nashiri c. Polonia</w:t>
      </w:r>
      <w:r w:rsidRPr="00D03F0E">
        <w:rPr>
          <w:rFonts w:ascii="Times New Roman" w:hAnsi="Times New Roman"/>
          <w:lang w:val="es-ES"/>
        </w:rPr>
        <w:t xml:space="preserve">, ambos de 2014, supra; </w:t>
      </w:r>
      <w:r w:rsidRPr="00D03F0E">
        <w:rPr>
          <w:rFonts w:ascii="Times New Roman" w:hAnsi="Times New Roman"/>
          <w:i/>
          <w:lang w:val="es-ES"/>
        </w:rPr>
        <w:t xml:space="preserve">Husayn (Abu Zubayda) c. Lituania </w:t>
      </w:r>
      <w:r w:rsidRPr="00D03F0E">
        <w:rPr>
          <w:rFonts w:ascii="Times New Roman" w:hAnsi="Times New Roman"/>
          <w:lang w:val="es-ES"/>
        </w:rPr>
        <w:t>y</w:t>
      </w:r>
      <w:r w:rsidRPr="00D03F0E">
        <w:rPr>
          <w:rFonts w:ascii="Times New Roman" w:hAnsi="Times New Roman"/>
          <w:i/>
          <w:lang w:val="es-ES"/>
        </w:rPr>
        <w:t xml:space="preserve"> Al Nashiri contra Rumania</w:t>
      </w:r>
      <w:r w:rsidRPr="00D03F0E">
        <w:rPr>
          <w:rFonts w:ascii="Times New Roman" w:hAnsi="Times New Roman"/>
          <w:lang w:val="es-ES"/>
        </w:rPr>
        <w:t>,</w:t>
      </w:r>
      <w:r w:rsidRPr="00D03F0E">
        <w:rPr>
          <w:rFonts w:ascii="Times New Roman" w:hAnsi="Times New Roman"/>
          <w:i/>
          <w:lang w:val="es-ES"/>
        </w:rPr>
        <w:t xml:space="preserve"> </w:t>
      </w:r>
      <w:r w:rsidRPr="00D03F0E">
        <w:rPr>
          <w:rFonts w:ascii="Times New Roman" w:hAnsi="Times New Roman"/>
          <w:lang w:val="es-ES"/>
        </w:rPr>
        <w:t>ambos de 2018, supra.</w:t>
      </w:r>
    </w:p>
  </w:footnote>
  <w:footnote w:id="46">
    <w:p w:rsidR="00677F54" w:rsidRPr="00296BE1" w:rsidRDefault="00677F54" w:rsidP="00296BE1">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Es muy sólida la jurisprudencia de la Corte Interamericana al respecto. Entre otros, véanse los casos:</w:t>
      </w:r>
      <w:r w:rsidRPr="00D03F0E">
        <w:rPr>
          <w:rFonts w:ascii="Times New Roman" w:eastAsia="Times New Roman" w:hAnsi="Times New Roman"/>
          <w:i/>
          <w:iCs/>
          <w:lang w:val="es-ES"/>
        </w:rPr>
        <w:t xml:space="preserve"> Barrios Altos (Peru)</w:t>
      </w:r>
      <w:r>
        <w:rPr>
          <w:rFonts w:ascii="Times New Roman" w:eastAsia="Times New Roman" w:hAnsi="Times New Roman"/>
          <w:lang w:val="es-ES"/>
        </w:rPr>
        <w:t>.</w:t>
      </w:r>
      <w:r w:rsidRPr="00296BE1">
        <w:rPr>
          <w:rFonts w:ascii="Times New Roman" w:eastAsia="Times New Roman" w:hAnsi="Times New Roman"/>
          <w:i/>
          <w:lang w:val="es-ES"/>
        </w:rPr>
        <w:t xml:space="preserve"> Fondo</w:t>
      </w:r>
      <w:r>
        <w:rPr>
          <w:rFonts w:ascii="Times New Roman" w:eastAsia="Times New Roman" w:hAnsi="Times New Roman"/>
          <w:lang w:val="es-ES"/>
        </w:rPr>
        <w:t>. S</w:t>
      </w:r>
      <w:r w:rsidRPr="00D03F0E">
        <w:rPr>
          <w:rFonts w:ascii="Times New Roman" w:eastAsia="Times New Roman" w:hAnsi="Times New Roman"/>
          <w:lang w:val="es-ES"/>
        </w:rPr>
        <w:t>entencia de 14 de marzo de 2001, p</w:t>
      </w:r>
      <w:r>
        <w:rPr>
          <w:rFonts w:ascii="Times New Roman" w:eastAsia="Times New Roman" w:hAnsi="Times New Roman"/>
          <w:lang w:val="es-ES"/>
        </w:rPr>
        <w:t>árr</w:t>
      </w:r>
      <w:r w:rsidRPr="00D03F0E">
        <w:rPr>
          <w:rFonts w:ascii="Times New Roman" w:eastAsia="Times New Roman" w:hAnsi="Times New Roman"/>
          <w:lang w:val="es-ES"/>
        </w:rPr>
        <w:t xml:space="preserve">. 41; </w:t>
      </w:r>
      <w:r w:rsidRPr="00296BE1">
        <w:rPr>
          <w:rFonts w:ascii="Times New Roman" w:hAnsi="Times New Roman"/>
          <w:i/>
          <w:lang w:val="es-ES"/>
        </w:rPr>
        <w:t xml:space="preserve">Caso </w:t>
      </w:r>
      <w:r w:rsidRPr="00D03F0E">
        <w:rPr>
          <w:rFonts w:ascii="Times New Roman" w:hAnsi="Times New Roman"/>
          <w:i/>
          <w:lang w:val="es-ES"/>
        </w:rPr>
        <w:t>Gelman Vs. Uruguay</w:t>
      </w:r>
      <w:r>
        <w:rPr>
          <w:rFonts w:ascii="Times New Roman" w:hAnsi="Times New Roman"/>
          <w:lang w:val="es-ES"/>
        </w:rPr>
        <w:t xml:space="preserve">, supra, </w:t>
      </w:r>
      <w:r w:rsidRPr="00D03F0E">
        <w:rPr>
          <w:rFonts w:ascii="Times New Roman" w:hAnsi="Times New Roman"/>
          <w:lang w:val="es-ES"/>
        </w:rPr>
        <w:t xml:space="preserve">párrs. 232 y 240; </w:t>
      </w:r>
      <w:r w:rsidRPr="00296BE1">
        <w:rPr>
          <w:rFonts w:ascii="Times New Roman" w:hAnsi="Times New Roman"/>
          <w:i/>
          <w:lang w:val="es-ES"/>
        </w:rPr>
        <w:t xml:space="preserve">Caso Maidanik </w:t>
      </w:r>
      <w:r>
        <w:rPr>
          <w:rFonts w:ascii="Times New Roman" w:hAnsi="Times New Roman"/>
          <w:i/>
          <w:lang w:val="es-ES"/>
        </w:rPr>
        <w:t>y otros</w:t>
      </w:r>
      <w:r w:rsidRPr="00296BE1">
        <w:rPr>
          <w:rFonts w:ascii="Times New Roman" w:hAnsi="Times New Roman"/>
          <w:i/>
          <w:lang w:val="es-ES"/>
        </w:rPr>
        <w:t xml:space="preserve"> Vs. Uruguay. Fondo y Reparaciones. </w:t>
      </w:r>
      <w:r w:rsidRPr="00296BE1">
        <w:rPr>
          <w:rFonts w:ascii="Times New Roman" w:hAnsi="Times New Roman"/>
          <w:lang w:val="es-ES"/>
        </w:rPr>
        <w:t>Sentencia de 15 de noviembre de 2021</w:t>
      </w:r>
      <w:r w:rsidRPr="00D03F0E">
        <w:rPr>
          <w:rFonts w:ascii="Times New Roman" w:hAnsi="Times New Roman"/>
          <w:lang w:val="es-ES"/>
        </w:rPr>
        <w:t xml:space="preserve">, párr. 147. </w:t>
      </w:r>
      <w:r w:rsidRPr="00D03F0E">
        <w:rPr>
          <w:rFonts w:ascii="Times New Roman" w:eastAsia="Times New Roman" w:hAnsi="Times New Roman"/>
          <w:lang w:val="es-ES"/>
        </w:rPr>
        <w:t xml:space="preserve">En el ámbito de las Naciones Unidas, véanse, el </w:t>
      </w:r>
      <w:r w:rsidRPr="00D03F0E">
        <w:rPr>
          <w:rFonts w:ascii="Times New Roman" w:hAnsi="Times New Roman"/>
          <w:lang w:val="es-ES"/>
        </w:rPr>
        <w:t xml:space="preserve">Informe de la Oficina del Alto Comisionado de las Naciones Unidas para los Derechos Humanos. </w:t>
      </w:r>
      <w:r w:rsidRPr="00D03F0E">
        <w:rPr>
          <w:rFonts w:ascii="Times New Roman" w:hAnsi="Times New Roman"/>
          <w:i/>
          <w:lang w:val="es-ES"/>
        </w:rPr>
        <w:t>Estudio sobre el derecho a la verdad</w:t>
      </w:r>
      <w:r w:rsidRPr="00D03F0E">
        <w:rPr>
          <w:rFonts w:ascii="Times New Roman" w:hAnsi="Times New Roman"/>
          <w:lang w:val="es-ES"/>
        </w:rPr>
        <w:t xml:space="preserve">, cit., </w:t>
      </w:r>
      <w:r>
        <w:rPr>
          <w:rFonts w:ascii="Times New Roman" w:hAnsi="Times New Roman"/>
          <w:lang w:val="es-ES"/>
        </w:rPr>
        <w:t xml:space="preserve">parágrafo 45; y la Observación general núm. 20, de 10 de marzo de 1992, </w:t>
      </w:r>
      <w:r w:rsidRPr="00296BE1">
        <w:rPr>
          <w:rFonts w:ascii="Times New Roman" w:hAnsi="Times New Roman"/>
          <w:lang w:val="es-ES"/>
        </w:rPr>
        <w:t>de la Oficina de Alto Comisionado para los Derechos Humanos, parágrafo 15</w:t>
      </w:r>
      <w:r>
        <w:rPr>
          <w:rFonts w:ascii="Times New Roman" w:hAnsi="Times New Roman"/>
          <w:lang w:val="es-ES"/>
        </w:rPr>
        <w:t>.</w:t>
      </w:r>
    </w:p>
  </w:footnote>
  <w:footnote w:id="47">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Informe núm. 37/00 de la Comisión Interamericana de Derechos Humanos, Caso 11.481, </w:t>
      </w:r>
      <w:r w:rsidRPr="00D03F0E">
        <w:rPr>
          <w:rFonts w:ascii="Times New Roman" w:hAnsi="Times New Roman"/>
          <w:i/>
          <w:lang w:val="es-ES"/>
        </w:rPr>
        <w:t>Monseñor Oscar Arnulfo Romero and Galdamez v. El Salvador</w:t>
      </w:r>
      <w:r w:rsidRPr="00D03F0E">
        <w:rPr>
          <w:rFonts w:ascii="Times New Roman" w:hAnsi="Times New Roman"/>
          <w:lang w:val="es-ES"/>
        </w:rPr>
        <w:t xml:space="preserve">, OEA/Ser.L/V/II.106 Doc. 3 rev. en 671 (1999), </w:t>
      </w:r>
      <w:r w:rsidRPr="005B0413">
        <w:rPr>
          <w:rFonts w:ascii="Times New Roman" w:hAnsi="Times New Roman"/>
          <w:lang w:val="es-ES"/>
        </w:rPr>
        <w:t>parágrafos 125,126 y 144</w:t>
      </w:r>
      <w:r w:rsidRPr="00D03F0E">
        <w:rPr>
          <w:rFonts w:ascii="Times New Roman" w:hAnsi="Times New Roman"/>
          <w:lang w:val="es-ES"/>
        </w:rPr>
        <w:t>.</w:t>
      </w:r>
    </w:p>
  </w:footnote>
  <w:footnote w:id="48">
    <w:p w:rsidR="00677F54" w:rsidRPr="00D03F0E" w:rsidRDefault="00677F54" w:rsidP="00C135EC">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Así lo ha subrayado la Comisión Interamericana de Derechos Humanos en el </w:t>
      </w:r>
      <w:r w:rsidRPr="00D03F0E">
        <w:rPr>
          <w:rFonts w:ascii="Times New Roman" w:eastAsia="Times New Roman" w:hAnsi="Times New Roman"/>
          <w:lang w:val="es-ES"/>
        </w:rPr>
        <w:t xml:space="preserve">Informe n. 37/00, </w:t>
      </w:r>
      <w:r w:rsidRPr="00D03F0E">
        <w:rPr>
          <w:rFonts w:ascii="Times New Roman" w:eastAsia="Times New Roman" w:hAnsi="Times New Roman"/>
          <w:i/>
          <w:lang w:val="es-ES"/>
        </w:rPr>
        <w:t>caso Monseñor Oscar Arnulfo Romero y Galdamez v. El Salvador</w:t>
      </w:r>
      <w:r w:rsidRPr="00D03F0E">
        <w:rPr>
          <w:rFonts w:ascii="Times New Roman" w:eastAsia="Times New Roman" w:hAnsi="Times New Roman"/>
          <w:lang w:val="es-ES"/>
        </w:rPr>
        <w:t xml:space="preserve">, </w:t>
      </w:r>
      <w:r>
        <w:rPr>
          <w:rFonts w:ascii="Times New Roman" w:eastAsia="Times New Roman" w:hAnsi="Times New Roman"/>
          <w:lang w:val="es-ES"/>
        </w:rPr>
        <w:t>supra.</w:t>
      </w:r>
      <w:r w:rsidRPr="00D03F0E">
        <w:rPr>
          <w:rFonts w:ascii="Times New Roman" w:eastAsia="Times New Roman" w:hAnsi="Times New Roman"/>
          <w:lang w:val="es-ES"/>
        </w:rPr>
        <w:t xml:space="preserve"> parágrafo 142, </w:t>
      </w:r>
      <w:r>
        <w:rPr>
          <w:rFonts w:ascii="Times New Roman" w:eastAsia="Times New Roman" w:hAnsi="Times New Roman"/>
          <w:lang w:val="es-ES"/>
        </w:rPr>
        <w:t>advirtiendo</w:t>
      </w:r>
      <w:r w:rsidRPr="00D03F0E">
        <w:rPr>
          <w:rFonts w:ascii="Times New Roman" w:eastAsia="Times New Roman" w:hAnsi="Times New Roman"/>
          <w:lang w:val="es-ES"/>
        </w:rPr>
        <w:t xml:space="preserve"> que tal obligación deriva de los </w:t>
      </w:r>
      <w:r w:rsidRPr="00D03F0E">
        <w:rPr>
          <w:rFonts w:ascii="Times New Roman" w:eastAsia="Times New Roman" w:hAnsi="Times New Roman"/>
          <w:lang w:val="es-ES" w:eastAsia="es-ES_tradnl"/>
        </w:rPr>
        <w:t>artículos 1(1), 8(1), 25 y 13 de la Convención Americana.</w:t>
      </w:r>
      <w:r>
        <w:rPr>
          <w:rFonts w:ascii="Times New Roman" w:eastAsia="Times New Roman" w:hAnsi="Times New Roman"/>
          <w:lang w:val="es-ES" w:eastAsia="es-ES_tradnl"/>
        </w:rPr>
        <w:t xml:space="preserve"> A favor de que la identidad de los responsables sea revelada en cualquier caso, se ha pronunciado, entre otros, </w:t>
      </w:r>
      <w:r w:rsidRPr="00D03F0E">
        <w:rPr>
          <w:rFonts w:ascii="Times New Roman" w:hAnsi="Times New Roman"/>
          <w:lang w:val="es-ES"/>
        </w:rPr>
        <w:t xml:space="preserve">MENDEZ, </w:t>
      </w:r>
      <w:r>
        <w:rPr>
          <w:rFonts w:ascii="Times New Roman" w:hAnsi="Times New Roman"/>
          <w:lang w:val="es-ES"/>
        </w:rPr>
        <w:t xml:space="preserve">Juan </w:t>
      </w:r>
      <w:r w:rsidRPr="00D03F0E">
        <w:rPr>
          <w:rFonts w:ascii="Times New Roman" w:hAnsi="Times New Roman"/>
          <w:lang w:val="es-ES"/>
        </w:rPr>
        <w:t xml:space="preserve">E., ‘‘The Right to Truth’’, en </w:t>
      </w:r>
      <w:r w:rsidRPr="008C2284">
        <w:rPr>
          <w:rFonts w:ascii="Times New Roman" w:hAnsi="Times New Roman"/>
          <w:lang w:val="es-ES"/>
        </w:rPr>
        <w:t xml:space="preserve">Christopher C. Joyner (ed.), </w:t>
      </w:r>
      <w:r w:rsidRPr="008C2284">
        <w:rPr>
          <w:rFonts w:ascii="Times New Roman" w:hAnsi="Times New Roman"/>
          <w:i/>
          <w:lang w:val="es-ES"/>
        </w:rPr>
        <w:t>Reining in Impunity for International Crimes and Serious Violations of Fundamental Human Rights: Proceedings of the Siracusa Conference 17–21 September 1998</w:t>
      </w:r>
      <w:r w:rsidRPr="008C2284">
        <w:rPr>
          <w:rFonts w:ascii="Times New Roman" w:hAnsi="Times New Roman"/>
          <w:lang w:val="es-ES"/>
        </w:rPr>
        <w:t>, St. Agnes, Erès Toulouse 1998, 255-78, p. 260.</w:t>
      </w:r>
    </w:p>
  </w:footnote>
  <w:footnote w:id="49">
    <w:p w:rsidR="00677F54" w:rsidRPr="00D03F0E" w:rsidRDefault="00677F54" w:rsidP="0081696C">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Pr>
          <w:rFonts w:ascii="Times New Roman" w:hAnsi="Times New Roman"/>
          <w:sz w:val="20"/>
          <w:szCs w:val="20"/>
          <w:lang w:val="es-ES"/>
        </w:rPr>
        <w:t>La</w:t>
      </w:r>
      <w:r w:rsidRPr="0081696C">
        <w:rPr>
          <w:rFonts w:ascii="Times New Roman" w:hAnsi="Times New Roman"/>
          <w:sz w:val="20"/>
          <w:szCs w:val="20"/>
          <w:lang w:val="es-ES"/>
        </w:rPr>
        <w:t xml:space="preserve"> jurisprudencia es clara: con independencia de las políticas que se implementen para el esclarecimiento de los hechos, </w:t>
      </w:r>
      <w:r>
        <w:rPr>
          <w:rFonts w:ascii="Times New Roman" w:hAnsi="Times New Roman"/>
          <w:sz w:val="20"/>
          <w:szCs w:val="20"/>
          <w:lang w:val="es-ES"/>
        </w:rPr>
        <w:t>l</w:t>
      </w:r>
      <w:r w:rsidRPr="0081696C">
        <w:rPr>
          <w:rFonts w:ascii="Times New Roman" w:hAnsi="Times New Roman"/>
          <w:sz w:val="20"/>
          <w:szCs w:val="20"/>
          <w:lang w:val="es-ES"/>
        </w:rPr>
        <w:t>a verdad histórica no sustituye ni satisface la obligación del Estado de establecer la verdad judicial y depurar responsabilidades penales</w:t>
      </w:r>
      <w:r>
        <w:rPr>
          <w:rFonts w:ascii="Times New Roman" w:hAnsi="Times New Roman"/>
          <w:sz w:val="20"/>
          <w:szCs w:val="20"/>
          <w:lang w:val="es-ES"/>
        </w:rPr>
        <w:t xml:space="preserve">: entre otras, </w:t>
      </w:r>
      <w:r w:rsidRPr="00B133EF">
        <w:rPr>
          <w:rFonts w:ascii="Times New Roman" w:hAnsi="Times New Roman"/>
          <w:i/>
          <w:sz w:val="20"/>
          <w:szCs w:val="20"/>
          <w:lang w:val="es-ES"/>
        </w:rPr>
        <w:t xml:space="preserve">Caso Gomes Lund </w:t>
      </w:r>
      <w:r>
        <w:rPr>
          <w:rFonts w:ascii="Times New Roman" w:hAnsi="Times New Roman"/>
          <w:i/>
          <w:sz w:val="20"/>
          <w:szCs w:val="20"/>
          <w:lang w:val="es-ES"/>
        </w:rPr>
        <w:t>y otros</w:t>
      </w:r>
      <w:r w:rsidRPr="00B133EF">
        <w:rPr>
          <w:rFonts w:ascii="Times New Roman" w:hAnsi="Times New Roman"/>
          <w:i/>
          <w:sz w:val="20"/>
          <w:szCs w:val="20"/>
          <w:lang w:val="es-ES"/>
        </w:rPr>
        <w:t xml:space="preserve"> ("Guerrilha do Araguaia") Vs. Brasil</w:t>
      </w:r>
      <w:r w:rsidRPr="00B133EF">
        <w:rPr>
          <w:rFonts w:ascii="Times New Roman" w:hAnsi="Times New Roman"/>
          <w:sz w:val="20"/>
          <w:szCs w:val="20"/>
          <w:lang w:val="es-ES"/>
        </w:rPr>
        <w:t xml:space="preserve">, </w:t>
      </w:r>
      <w:r>
        <w:rPr>
          <w:rFonts w:ascii="Times New Roman" w:hAnsi="Times New Roman"/>
          <w:sz w:val="20"/>
          <w:szCs w:val="20"/>
          <w:lang w:val="es-ES"/>
        </w:rPr>
        <w:t xml:space="preserve">supra, </w:t>
      </w:r>
      <w:r w:rsidRPr="00B133EF">
        <w:rPr>
          <w:rFonts w:ascii="Times New Roman" w:hAnsi="Times New Roman"/>
          <w:sz w:val="20"/>
          <w:szCs w:val="20"/>
          <w:lang w:val="es-ES"/>
        </w:rPr>
        <w:t>párr. 297</w:t>
      </w:r>
      <w:r>
        <w:rPr>
          <w:rFonts w:ascii="Times New Roman" w:hAnsi="Times New Roman"/>
          <w:sz w:val="20"/>
          <w:szCs w:val="20"/>
          <w:lang w:val="es-ES"/>
        </w:rPr>
        <w:t xml:space="preserve">; </w:t>
      </w:r>
      <w:r w:rsidRPr="00252697">
        <w:rPr>
          <w:rFonts w:ascii="Times New Roman" w:hAnsi="Times New Roman"/>
          <w:bCs/>
          <w:i/>
          <w:sz w:val="20"/>
          <w:szCs w:val="20"/>
          <w:lang w:val="es-ES"/>
        </w:rPr>
        <w:t>Caso Vereda La Esperanza Vs. Colombia. Excepciones Preliminares, Fondo, Reparaciones y Costas</w:t>
      </w:r>
      <w:r w:rsidRPr="00252697">
        <w:rPr>
          <w:rFonts w:ascii="Times New Roman" w:hAnsi="Times New Roman"/>
          <w:bCs/>
          <w:sz w:val="20"/>
          <w:szCs w:val="20"/>
          <w:lang w:val="es-ES"/>
        </w:rPr>
        <w:t>. Sentencia de 31 de agosto de 2017</w:t>
      </w:r>
      <w:r>
        <w:rPr>
          <w:rFonts w:ascii="Times New Roman" w:hAnsi="Times New Roman"/>
          <w:bCs/>
          <w:sz w:val="20"/>
          <w:szCs w:val="20"/>
          <w:lang w:val="es-ES"/>
        </w:rPr>
        <w:t xml:space="preserve">, párr. 225; </w:t>
      </w:r>
      <w:r w:rsidRPr="00D03F0E">
        <w:rPr>
          <w:rFonts w:ascii="Times New Roman" w:hAnsi="Times New Roman"/>
          <w:i/>
          <w:sz w:val="20"/>
          <w:szCs w:val="20"/>
          <w:lang w:val="es-ES"/>
        </w:rPr>
        <w:t xml:space="preserve">Caso Maidanik </w:t>
      </w:r>
      <w:r>
        <w:rPr>
          <w:rFonts w:ascii="Times New Roman" w:hAnsi="Times New Roman"/>
          <w:i/>
          <w:sz w:val="20"/>
          <w:szCs w:val="20"/>
          <w:lang w:val="es-ES"/>
        </w:rPr>
        <w:t>y otros</w:t>
      </w:r>
      <w:r w:rsidRPr="00D03F0E">
        <w:rPr>
          <w:rFonts w:ascii="Times New Roman" w:hAnsi="Times New Roman"/>
          <w:i/>
          <w:sz w:val="20"/>
          <w:szCs w:val="20"/>
          <w:lang w:val="es-ES"/>
        </w:rPr>
        <w:t xml:space="preserve"> Vs. Uruguay</w:t>
      </w:r>
      <w:r>
        <w:rPr>
          <w:rFonts w:ascii="Times New Roman" w:hAnsi="Times New Roman"/>
          <w:sz w:val="20"/>
          <w:szCs w:val="20"/>
          <w:lang w:val="es-ES"/>
        </w:rPr>
        <w:t xml:space="preserve">, supra, </w:t>
      </w:r>
      <w:r w:rsidRPr="00D03F0E">
        <w:rPr>
          <w:rFonts w:ascii="Times New Roman" w:hAnsi="Times New Roman"/>
          <w:sz w:val="20"/>
          <w:szCs w:val="20"/>
          <w:lang w:val="es-ES"/>
        </w:rPr>
        <w:t>párr. 179</w:t>
      </w:r>
      <w:r>
        <w:rPr>
          <w:rFonts w:ascii="Times New Roman" w:hAnsi="Times New Roman"/>
          <w:sz w:val="20"/>
          <w:szCs w:val="20"/>
          <w:lang w:val="es-ES"/>
        </w:rPr>
        <w:t>.</w:t>
      </w:r>
      <w:r w:rsidRPr="00D03F0E">
        <w:rPr>
          <w:rFonts w:ascii="Times New Roman" w:hAnsi="Times New Roman"/>
          <w:sz w:val="20"/>
          <w:szCs w:val="20"/>
          <w:lang w:val="es-ES"/>
        </w:rPr>
        <w:t xml:space="preserve"> </w:t>
      </w:r>
    </w:p>
  </w:footnote>
  <w:footnote w:id="50">
    <w:p w:rsidR="00677F54" w:rsidRPr="00D03F0E" w:rsidRDefault="00677F54" w:rsidP="00A1189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Pr>
          <w:rFonts w:ascii="Times New Roman" w:hAnsi="Times New Roman"/>
          <w:i/>
          <w:lang w:val="es-ES"/>
        </w:rPr>
        <w:t>Caso V</w:t>
      </w:r>
      <w:r w:rsidRPr="00D03F0E">
        <w:rPr>
          <w:rFonts w:ascii="Times New Roman" w:hAnsi="Times New Roman"/>
          <w:i/>
          <w:lang w:val="es-ES"/>
        </w:rPr>
        <w:t>ereda La Esperanza Vs. Colombia</w:t>
      </w:r>
      <w:r>
        <w:rPr>
          <w:rFonts w:ascii="Times New Roman" w:hAnsi="Times New Roman"/>
          <w:lang w:val="es-ES"/>
        </w:rPr>
        <w:t xml:space="preserve">, supra, </w:t>
      </w:r>
      <w:r w:rsidRPr="00D03F0E">
        <w:rPr>
          <w:rFonts w:ascii="Times New Roman" w:hAnsi="Times New Roman"/>
          <w:lang w:val="es-ES"/>
        </w:rPr>
        <w:t xml:space="preserve">párr. 220; </w:t>
      </w:r>
      <w:r w:rsidRPr="00D03F0E">
        <w:rPr>
          <w:rStyle w:val="Textoennegrita"/>
          <w:rFonts w:ascii="Times New Roman" w:hAnsi="Times New Roman"/>
          <w:b w:val="0"/>
          <w:i/>
          <w:color w:val="000000"/>
          <w:shd w:val="clear" w:color="auto" w:fill="FFFFFF"/>
          <w:lang w:val="es-ES"/>
        </w:rPr>
        <w:t xml:space="preserve">Caso Munárriz Escobar </w:t>
      </w:r>
      <w:r>
        <w:rPr>
          <w:rStyle w:val="Textoennegrita"/>
          <w:rFonts w:ascii="Times New Roman" w:hAnsi="Times New Roman"/>
          <w:b w:val="0"/>
          <w:i/>
          <w:color w:val="000000"/>
          <w:shd w:val="clear" w:color="auto" w:fill="FFFFFF"/>
          <w:lang w:val="es-ES"/>
        </w:rPr>
        <w:t>y otros</w:t>
      </w:r>
      <w:r w:rsidRPr="00D03F0E">
        <w:rPr>
          <w:rStyle w:val="Textoennegrita"/>
          <w:rFonts w:ascii="Times New Roman" w:hAnsi="Times New Roman"/>
          <w:b w:val="0"/>
          <w:i/>
          <w:color w:val="000000"/>
          <w:shd w:val="clear" w:color="auto" w:fill="FFFFFF"/>
          <w:lang w:val="es-ES"/>
        </w:rPr>
        <w:t xml:space="preserve"> Vs. Perú.</w:t>
      </w:r>
      <w:r w:rsidRPr="00D03F0E">
        <w:rPr>
          <w:rStyle w:val="Textoennegrita"/>
          <w:rFonts w:ascii="Times New Roman" w:hAnsi="Times New Roman"/>
          <w:color w:val="000000"/>
          <w:shd w:val="clear" w:color="auto" w:fill="FFFFFF"/>
          <w:lang w:val="es-ES"/>
        </w:rPr>
        <w:t xml:space="preserve"> </w:t>
      </w:r>
      <w:r w:rsidRPr="00D03F0E">
        <w:rPr>
          <w:rFonts w:ascii="Times New Roman" w:hAnsi="Times New Roman"/>
          <w:i/>
          <w:lang w:val="es-ES"/>
        </w:rPr>
        <w:t>Excepción Preliminar, Fondo, Reparaciones y Costas</w:t>
      </w:r>
      <w:r w:rsidRPr="00D03F0E">
        <w:rPr>
          <w:rFonts w:ascii="Times New Roman" w:hAnsi="Times New Roman"/>
          <w:lang w:val="es-ES"/>
        </w:rPr>
        <w:t xml:space="preserve">. Sentencia de 20 de agosto de 2018, </w:t>
      </w:r>
      <w:r w:rsidRPr="00D03F0E">
        <w:rPr>
          <w:rFonts w:ascii="Times New Roman" w:hAnsi="Times New Roman"/>
          <w:bCs/>
          <w:lang w:val="es-ES"/>
        </w:rPr>
        <w:t xml:space="preserve">párr. 109; </w:t>
      </w:r>
      <w:r w:rsidRPr="00D03F0E">
        <w:rPr>
          <w:rFonts w:ascii="Times New Roman" w:hAnsi="Times New Roman"/>
          <w:i/>
          <w:lang w:val="es-ES"/>
        </w:rPr>
        <w:t xml:space="preserve">Terrones Silva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 xml:space="preserve">, supra, párr.215; </w:t>
      </w:r>
      <w:r w:rsidRPr="00D03F0E">
        <w:rPr>
          <w:rFonts w:ascii="Times New Roman" w:eastAsia="Verdana" w:hAnsi="Times New Roman"/>
          <w:i/>
          <w:lang w:val="es-ES"/>
        </w:rPr>
        <w:t xml:space="preserve">Caso Omeara Carrascal </w:t>
      </w:r>
      <w:r>
        <w:rPr>
          <w:rFonts w:ascii="Times New Roman" w:eastAsia="Verdana" w:hAnsi="Times New Roman"/>
          <w:i/>
          <w:lang w:val="es-ES"/>
        </w:rPr>
        <w:t>y otros</w:t>
      </w:r>
      <w:r w:rsidRPr="00D03F0E">
        <w:rPr>
          <w:rFonts w:ascii="Times New Roman" w:eastAsia="Verdana" w:hAnsi="Times New Roman"/>
          <w:i/>
          <w:lang w:val="es-ES"/>
        </w:rPr>
        <w:t xml:space="preserve"> Vs. Colombia. Fondo, Reparaciones y Costas.</w:t>
      </w:r>
      <w:r w:rsidRPr="00D03F0E">
        <w:rPr>
          <w:rFonts w:ascii="Times New Roman" w:hAnsi="Times New Roman"/>
          <w:lang w:val="es-ES"/>
        </w:rPr>
        <w:t xml:space="preserve"> Sente</w:t>
      </w:r>
      <w:r>
        <w:rPr>
          <w:rFonts w:ascii="Times New Roman" w:hAnsi="Times New Roman"/>
          <w:lang w:val="es-ES"/>
        </w:rPr>
        <w:t xml:space="preserve">ncia de 21 de noviembre de 2018, párr. 256; </w:t>
      </w:r>
      <w:r>
        <w:rPr>
          <w:rFonts w:ascii="Times New Roman" w:hAnsi="Times New Roman"/>
          <w:i/>
          <w:lang w:val="es-ES"/>
        </w:rPr>
        <w:t>Caso M</w:t>
      </w:r>
      <w:r w:rsidRPr="00C97F99">
        <w:rPr>
          <w:rFonts w:ascii="Times New Roman" w:hAnsi="Times New Roman"/>
          <w:i/>
          <w:lang w:val="es-ES"/>
        </w:rPr>
        <w:t xml:space="preserve">asacre de la aldea Los Josefinos Vs. Guatemala. Excepción Preliminar, Fondo, Reparaciones y Costas. </w:t>
      </w:r>
      <w:r w:rsidRPr="00C97F99">
        <w:rPr>
          <w:rFonts w:ascii="Times New Roman" w:hAnsi="Times New Roman"/>
          <w:lang w:val="es-ES"/>
        </w:rPr>
        <w:t>Sentencia de 3 de noviembre de 2021</w:t>
      </w:r>
      <w:r>
        <w:rPr>
          <w:rFonts w:ascii="Times New Roman" w:hAnsi="Times New Roman"/>
          <w:lang w:val="es-ES"/>
        </w:rPr>
        <w:t>, p</w:t>
      </w:r>
      <w:r w:rsidRPr="00D03F0E">
        <w:rPr>
          <w:rFonts w:ascii="Times New Roman" w:hAnsi="Times New Roman"/>
          <w:lang w:val="es-ES"/>
        </w:rPr>
        <w:t xml:space="preserve">árr. 114. </w:t>
      </w:r>
      <w:r>
        <w:rPr>
          <w:rFonts w:ascii="Times New Roman" w:hAnsi="Times New Roman"/>
          <w:lang w:val="es-ES"/>
        </w:rPr>
        <w:t xml:space="preserve">Hemos de advertir que si bien es en el </w:t>
      </w:r>
      <w:r w:rsidRPr="00FE555F">
        <w:rPr>
          <w:rFonts w:ascii="Times New Roman" w:hAnsi="Times New Roman"/>
          <w:i/>
          <w:lang w:val="es-ES"/>
        </w:rPr>
        <w:t>Caso Vereda</w:t>
      </w:r>
      <w:r>
        <w:rPr>
          <w:rFonts w:ascii="Times New Roman" w:hAnsi="Times New Roman"/>
          <w:i/>
          <w:lang w:val="es-ES"/>
        </w:rPr>
        <w:t xml:space="preserve"> La Esperanza</w:t>
      </w:r>
      <w:r>
        <w:rPr>
          <w:rFonts w:ascii="Times New Roman" w:hAnsi="Times New Roman"/>
          <w:lang w:val="es-ES"/>
        </w:rPr>
        <w:t xml:space="preserve"> cuando explícitamente se sostiene por vez primera tal autonomía, esta conclusión se advierte con claridad en las tres sentencias que la preceden y que siguen a </w:t>
      </w:r>
      <w:r w:rsidRPr="00FE555F">
        <w:rPr>
          <w:rFonts w:ascii="Times New Roman" w:hAnsi="Times New Roman"/>
          <w:i/>
          <w:lang w:val="es-ES"/>
        </w:rPr>
        <w:t>Rodríguez Vera y otros</w:t>
      </w:r>
      <w:r>
        <w:rPr>
          <w:rFonts w:ascii="Times New Roman" w:hAnsi="Times New Roman"/>
          <w:lang w:val="es-ES"/>
        </w:rPr>
        <w:t>. Nos referimos a ello en el texto.</w:t>
      </w:r>
    </w:p>
  </w:footnote>
  <w:footnote w:id="51">
    <w:p w:rsidR="00677F54" w:rsidRPr="00D03F0E" w:rsidRDefault="00677F54" w:rsidP="00A1189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Pr>
          <w:rFonts w:ascii="Times New Roman" w:hAnsi="Times New Roman"/>
          <w:i/>
          <w:lang w:val="es-ES"/>
        </w:rPr>
        <w:t>Caso Rodríguez Vera y otros</w:t>
      </w:r>
      <w:r w:rsidRPr="00D03F0E">
        <w:rPr>
          <w:rFonts w:ascii="Times New Roman" w:hAnsi="Times New Roman"/>
          <w:i/>
          <w:lang w:val="es-ES"/>
        </w:rPr>
        <w:t xml:space="preserve"> (desaparecidos del Palacio de Justicia) Vs. Colombia</w:t>
      </w:r>
      <w:r>
        <w:rPr>
          <w:rFonts w:ascii="Times New Roman" w:hAnsi="Times New Roman"/>
          <w:lang w:val="es-ES"/>
        </w:rPr>
        <w:t>, supra.</w:t>
      </w:r>
    </w:p>
  </w:footnote>
  <w:footnote w:id="52">
    <w:p w:rsidR="00677F54" w:rsidRPr="00D03F0E" w:rsidRDefault="00677F54" w:rsidP="00A11892">
      <w:pPr>
        <w:pStyle w:val="Textonotapie"/>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Parágrafos 25 y 26 del voto concurrente a la sentencia</w:t>
      </w:r>
      <w:r>
        <w:rPr>
          <w:rFonts w:ascii="Times New Roman" w:eastAsia="Times New Roman" w:hAnsi="Times New Roman"/>
          <w:i/>
          <w:lang w:val="es-ES"/>
        </w:rPr>
        <w:t xml:space="preserve"> Rodríguez Vera y otros</w:t>
      </w:r>
      <w:r w:rsidRPr="00D03F0E">
        <w:rPr>
          <w:rFonts w:ascii="Times New Roman" w:eastAsia="Times New Roman" w:hAnsi="Times New Roman"/>
          <w:i/>
          <w:lang w:val="es-ES"/>
        </w:rPr>
        <w:t xml:space="preserve"> (desaparecidos del Palacio de Justicia) Vs. Colombia</w:t>
      </w:r>
      <w:r w:rsidRPr="00D03F0E">
        <w:rPr>
          <w:rFonts w:ascii="Times New Roman" w:eastAsia="Times New Roman" w:hAnsi="Times New Roman"/>
          <w:lang w:val="es-ES"/>
        </w:rPr>
        <w:t>, cit.</w:t>
      </w:r>
    </w:p>
  </w:footnote>
  <w:footnote w:id="53">
    <w:p w:rsidR="00677F54" w:rsidRPr="00D03F0E" w:rsidRDefault="00677F54" w:rsidP="00A1189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Roberto F. Caldas, Presidente en ejercicio; Manuel E. Ventura Robles, Juez; Diego García-Sayán, Juez; Eduardo Vio Grossi, Juez, y Eduardo Ferrer Mac-Gregor Poisot, Juez;</w:t>
      </w:r>
    </w:p>
  </w:footnote>
  <w:footnote w:id="54">
    <w:p w:rsidR="00677F54" w:rsidRPr="00D03F0E" w:rsidRDefault="00677F54" w:rsidP="001415AE">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lang w:val="es-ES"/>
        </w:rPr>
        <w:t>Caso Comunidad Campesina de Santa Bárbara Vs. Perú. Excepciones Preliminares, Fondo, Reparaciones y Costas</w:t>
      </w:r>
      <w:r w:rsidRPr="00D03F0E">
        <w:rPr>
          <w:rFonts w:ascii="Times New Roman" w:hAnsi="Times New Roman"/>
          <w:lang w:val="es-ES"/>
        </w:rPr>
        <w:t xml:space="preserve">. Sentencia de 1 de septiembre de 2015, párr. 265; </w:t>
      </w:r>
      <w:r w:rsidRPr="00D03F0E">
        <w:rPr>
          <w:rFonts w:ascii="Times New Roman" w:hAnsi="Times New Roman"/>
          <w:i/>
          <w:lang w:val="es-ES"/>
        </w:rPr>
        <w:t xml:space="preserve">Tenorio Roca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 supra, párr.</w:t>
      </w:r>
      <w:r w:rsidRPr="00D03F0E">
        <w:rPr>
          <w:rFonts w:ascii="Times New Roman" w:hAnsi="Times New Roman"/>
          <w:i/>
          <w:lang w:val="es-ES"/>
        </w:rPr>
        <w:t xml:space="preserve"> </w:t>
      </w:r>
      <w:r w:rsidRPr="00D03F0E">
        <w:rPr>
          <w:rFonts w:ascii="Times New Roman" w:hAnsi="Times New Roman"/>
          <w:lang w:val="es-ES"/>
        </w:rPr>
        <w:t xml:space="preserve">244; </w:t>
      </w:r>
      <w:r>
        <w:rPr>
          <w:rFonts w:ascii="Times New Roman" w:hAnsi="Times New Roman"/>
          <w:i/>
          <w:lang w:val="es-ES"/>
        </w:rPr>
        <w:t>Vásquez Durand y otros Vs. Ecuador</w:t>
      </w:r>
      <w:r w:rsidRPr="00D03F0E">
        <w:rPr>
          <w:rFonts w:ascii="Times New Roman" w:hAnsi="Times New Roman"/>
          <w:lang w:val="es-ES"/>
        </w:rPr>
        <w:t>,</w:t>
      </w:r>
      <w:r>
        <w:rPr>
          <w:rFonts w:ascii="Times New Roman" w:hAnsi="Times New Roman"/>
          <w:lang w:val="es-ES"/>
        </w:rPr>
        <w:t xml:space="preserve"> supra,</w:t>
      </w:r>
      <w:r w:rsidRPr="00D03F0E">
        <w:rPr>
          <w:rFonts w:ascii="Times New Roman" w:hAnsi="Times New Roman"/>
          <w:lang w:val="es-ES"/>
        </w:rPr>
        <w:t xml:space="preserve"> párr. 165; </w:t>
      </w:r>
      <w:r w:rsidRPr="00D03F0E">
        <w:rPr>
          <w:rFonts w:ascii="Times New Roman" w:hAnsi="Times New Roman"/>
          <w:i/>
          <w:lang w:val="es-ES"/>
        </w:rPr>
        <w:t xml:space="preserve">Munárriz Escobar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w:t>
      </w:r>
      <w:r w:rsidRPr="00C97F99">
        <w:rPr>
          <w:rFonts w:ascii="Times New Roman" w:hAnsi="Times New Roman"/>
          <w:lang w:val="es-ES"/>
        </w:rPr>
        <w:t xml:space="preserve"> supra,</w:t>
      </w:r>
      <w:r w:rsidRPr="00D03F0E">
        <w:rPr>
          <w:rFonts w:ascii="Times New Roman" w:hAnsi="Times New Roman"/>
          <w:lang w:val="es-ES"/>
        </w:rPr>
        <w:t xml:space="preserve"> párr. 109; </w:t>
      </w:r>
      <w:r w:rsidRPr="00D03F0E">
        <w:rPr>
          <w:rFonts w:ascii="Times New Roman" w:hAnsi="Times New Roman"/>
          <w:i/>
          <w:lang w:val="es-ES"/>
        </w:rPr>
        <w:t xml:space="preserve">Terrones Silva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 supra, párr. 215.</w:t>
      </w:r>
    </w:p>
  </w:footnote>
  <w:footnote w:id="55">
    <w:p w:rsidR="00677F54" w:rsidRPr="00D03F0E" w:rsidRDefault="00677F54" w:rsidP="00426E75">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C97F99">
        <w:rPr>
          <w:rFonts w:ascii="Times New Roman" w:hAnsi="Times New Roman"/>
          <w:i/>
          <w:lang w:val="es-ES"/>
        </w:rPr>
        <w:t xml:space="preserve">Caso Vereda La Esperanza Vs. Colombia, supra, </w:t>
      </w:r>
      <w:r w:rsidRPr="00D03F0E">
        <w:rPr>
          <w:rFonts w:ascii="Times New Roman" w:hAnsi="Times New Roman"/>
          <w:lang w:val="es-ES"/>
        </w:rPr>
        <w:t xml:space="preserve">párr. 220. </w:t>
      </w:r>
      <w:r>
        <w:rPr>
          <w:rFonts w:ascii="Times New Roman" w:hAnsi="Times New Roman"/>
          <w:lang w:val="es-ES"/>
        </w:rPr>
        <w:t>Hemos de advertir al lector que en uno de nuestros trabajos sostuvimos, por equivocación,</w:t>
      </w:r>
      <w:r w:rsidRPr="001209FA">
        <w:rPr>
          <w:rFonts w:ascii="Times New Roman" w:hAnsi="Times New Roman"/>
          <w:lang w:val="es-ES"/>
        </w:rPr>
        <w:t xml:space="preserve"> </w:t>
      </w:r>
      <w:r w:rsidRPr="00D03F0E">
        <w:rPr>
          <w:rFonts w:ascii="Times New Roman" w:hAnsi="Times New Roman"/>
          <w:lang w:val="es-ES"/>
        </w:rPr>
        <w:t>que la primera vez que la Corte expresamente sostiene la autonomía del</w:t>
      </w:r>
      <w:r>
        <w:rPr>
          <w:rFonts w:ascii="Times New Roman" w:hAnsi="Times New Roman"/>
          <w:lang w:val="es-ES"/>
        </w:rPr>
        <w:t xml:space="preserve"> derecho a la verdad fue en el </w:t>
      </w:r>
      <w:r w:rsidRPr="00204CC9">
        <w:rPr>
          <w:rFonts w:ascii="Times New Roman" w:hAnsi="Times New Roman"/>
          <w:i/>
          <w:lang w:val="es-ES"/>
        </w:rPr>
        <w:t xml:space="preserve">Caso </w:t>
      </w:r>
      <w:r w:rsidRPr="00D03F0E">
        <w:rPr>
          <w:rFonts w:ascii="Times New Roman" w:hAnsi="Times New Roman"/>
          <w:i/>
          <w:lang w:val="es-ES"/>
        </w:rPr>
        <w:t>Omeara C</w:t>
      </w:r>
      <w:r>
        <w:rPr>
          <w:rFonts w:ascii="Times New Roman" w:hAnsi="Times New Roman"/>
          <w:i/>
          <w:lang w:val="es-ES"/>
        </w:rPr>
        <w:t>arrascal y otros V</w:t>
      </w:r>
      <w:r w:rsidRPr="00D03F0E">
        <w:rPr>
          <w:rFonts w:ascii="Times New Roman" w:hAnsi="Times New Roman"/>
          <w:i/>
          <w:lang w:val="es-ES"/>
        </w:rPr>
        <w:t>s. Colombia</w:t>
      </w:r>
      <w:r>
        <w:rPr>
          <w:rFonts w:ascii="Times New Roman" w:hAnsi="Times New Roman"/>
          <w:lang w:val="es-ES"/>
        </w:rPr>
        <w:t>, supra</w:t>
      </w:r>
      <w:r w:rsidRPr="00D03F0E">
        <w:rPr>
          <w:rFonts w:ascii="Times New Roman" w:hAnsi="Times New Roman"/>
          <w:lang w:val="es-ES"/>
        </w:rPr>
        <w:t>, párr. 256</w:t>
      </w:r>
      <w:r>
        <w:rPr>
          <w:rFonts w:ascii="Times New Roman" w:hAnsi="Times New Roman"/>
          <w:lang w:val="es-ES"/>
        </w:rPr>
        <w:t xml:space="preserve"> (LÓPEZ ULLA, Juan Manuel, </w:t>
      </w:r>
      <w:r w:rsidRPr="00D03F0E">
        <w:rPr>
          <w:rFonts w:ascii="Times New Roman" w:hAnsi="Times New Roman"/>
          <w:lang w:val="es-ES"/>
        </w:rPr>
        <w:t xml:space="preserve">“El derecho a la verdad como derecho a la integridad personal de los familiares y derecho a buscar y recibir información”, </w:t>
      </w:r>
      <w:r w:rsidRPr="00D03F0E">
        <w:rPr>
          <w:rFonts w:ascii="Times New Roman" w:hAnsi="Times New Roman"/>
          <w:i/>
          <w:lang w:val="es-ES"/>
        </w:rPr>
        <w:t>Estudios de casos líderes interamericano. Vol. X: Los derechos de las víctimas de desaparición forzada de personas en el sistema interamericano</w:t>
      </w:r>
      <w:r w:rsidRPr="00D03F0E">
        <w:rPr>
          <w:rFonts w:ascii="Times New Roman" w:hAnsi="Times New Roman"/>
          <w:lang w:val="es-ES"/>
        </w:rPr>
        <w:t>, Tirant lo blanch, Ciudad de México, 2020, pp. 309-346</w:t>
      </w:r>
      <w:r>
        <w:rPr>
          <w:rFonts w:ascii="Times New Roman" w:hAnsi="Times New Roman"/>
          <w:lang w:val="es-ES"/>
        </w:rPr>
        <w:t xml:space="preserve">). </w:t>
      </w:r>
      <w:r w:rsidRPr="00D03F0E">
        <w:rPr>
          <w:rFonts w:ascii="Times New Roman" w:hAnsi="Times New Roman"/>
          <w:lang w:val="es-ES"/>
        </w:rPr>
        <w:t xml:space="preserve">Se trata de un error que ahora corregimos. La primera vez fue en la sentencia </w:t>
      </w:r>
      <w:r w:rsidRPr="00D03F0E">
        <w:rPr>
          <w:rFonts w:ascii="Times New Roman" w:hAnsi="Times New Roman"/>
          <w:i/>
          <w:lang w:val="es-ES"/>
        </w:rPr>
        <w:t>Vereda La Esperanza Vs. Colombia</w:t>
      </w:r>
      <w:r w:rsidRPr="00D03F0E">
        <w:rPr>
          <w:rFonts w:ascii="Times New Roman" w:hAnsi="Times New Roman"/>
          <w:lang w:val="es-ES"/>
        </w:rPr>
        <w:t xml:space="preserve">, </w:t>
      </w:r>
      <w:r>
        <w:rPr>
          <w:rFonts w:ascii="Times New Roman" w:hAnsi="Times New Roman"/>
          <w:lang w:val="es-ES"/>
        </w:rPr>
        <w:t xml:space="preserve">supra, </w:t>
      </w:r>
      <w:r w:rsidRPr="00D03F0E">
        <w:rPr>
          <w:rFonts w:ascii="Times New Roman" w:hAnsi="Times New Roman"/>
          <w:lang w:val="es-ES"/>
        </w:rPr>
        <w:t>párr. 220.</w:t>
      </w:r>
    </w:p>
  </w:footnote>
  <w:footnote w:id="56">
    <w:p w:rsidR="00677F54" w:rsidRPr="00D03F0E" w:rsidRDefault="00677F54" w:rsidP="00426E75">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Informe de la Oficina del Alto Comisionado de las Naciones Unidas para los Derechos Humanos. </w:t>
      </w:r>
      <w:r w:rsidRPr="00D03F0E">
        <w:rPr>
          <w:rFonts w:ascii="Times New Roman" w:hAnsi="Times New Roman"/>
          <w:i/>
          <w:lang w:val="es-ES"/>
        </w:rPr>
        <w:t>Estudio sobre el derecho a la verdad</w:t>
      </w:r>
      <w:r w:rsidRPr="00D03F0E">
        <w:rPr>
          <w:rFonts w:ascii="Times New Roman" w:hAnsi="Times New Roman"/>
          <w:lang w:val="es-ES"/>
        </w:rPr>
        <w:t>, cit.</w:t>
      </w:r>
    </w:p>
  </w:footnote>
  <w:footnote w:id="57">
    <w:p w:rsidR="00677F54" w:rsidRPr="00D03F0E" w:rsidRDefault="00677F54" w:rsidP="00F95EF4">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D03F0E">
        <w:rPr>
          <w:rFonts w:ascii="Times New Roman" w:hAnsi="Times New Roman"/>
          <w:i/>
          <w:lang w:val="es-ES"/>
        </w:rPr>
        <w:t xml:space="preserve">Munárriz Escobar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 xml:space="preserve">, </w:t>
      </w:r>
      <w:r>
        <w:rPr>
          <w:rFonts w:ascii="Times New Roman" w:hAnsi="Times New Roman"/>
          <w:lang w:val="es-ES"/>
        </w:rPr>
        <w:t xml:space="preserve">supra, </w:t>
      </w:r>
      <w:r w:rsidRPr="00D03F0E">
        <w:rPr>
          <w:rFonts w:ascii="Times New Roman" w:hAnsi="Times New Roman"/>
          <w:lang w:val="es-ES"/>
        </w:rPr>
        <w:t>párr. 109.</w:t>
      </w:r>
    </w:p>
  </w:footnote>
  <w:footnote w:id="58">
    <w:p w:rsidR="00677F54" w:rsidRPr="00D03F0E" w:rsidRDefault="00677F54" w:rsidP="00BA761E">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w:t>
      </w:r>
      <w:r w:rsidRPr="00D03F0E">
        <w:rPr>
          <w:rFonts w:ascii="Times New Roman" w:hAnsi="Times New Roman"/>
          <w:i/>
          <w:lang w:val="es-ES"/>
        </w:rPr>
        <w:t xml:space="preserve">Terrones Silva </w:t>
      </w:r>
      <w:r>
        <w:rPr>
          <w:rFonts w:ascii="Times New Roman" w:hAnsi="Times New Roman"/>
          <w:i/>
          <w:lang w:val="es-ES"/>
        </w:rPr>
        <w:t>y otros</w:t>
      </w:r>
      <w:r w:rsidRPr="00D03F0E">
        <w:rPr>
          <w:rFonts w:ascii="Times New Roman" w:hAnsi="Times New Roman"/>
          <w:i/>
          <w:lang w:val="es-ES"/>
        </w:rPr>
        <w:t xml:space="preserve"> Vs. Perú</w:t>
      </w:r>
      <w:r w:rsidRPr="00D03F0E">
        <w:rPr>
          <w:rFonts w:ascii="Times New Roman" w:hAnsi="Times New Roman"/>
          <w:lang w:val="es-ES"/>
        </w:rPr>
        <w:t>,</w:t>
      </w:r>
      <w:r>
        <w:rPr>
          <w:rFonts w:ascii="Times New Roman" w:hAnsi="Times New Roman"/>
          <w:lang w:val="es-ES"/>
        </w:rPr>
        <w:t xml:space="preserve"> supra, párr..215, </w:t>
      </w:r>
      <w:r w:rsidRPr="00D03F0E">
        <w:rPr>
          <w:rFonts w:ascii="Times New Roman" w:hAnsi="Times New Roman"/>
          <w:lang w:val="es-ES"/>
        </w:rPr>
        <w:t xml:space="preserve">que es la sentencia que sigue a </w:t>
      </w:r>
      <w:r w:rsidRPr="00D03F0E">
        <w:rPr>
          <w:rFonts w:ascii="Times New Roman" w:hAnsi="Times New Roman"/>
          <w:i/>
          <w:lang w:val="es-ES"/>
        </w:rPr>
        <w:t>Munárriz Escobar</w:t>
      </w:r>
      <w:r w:rsidRPr="00D03F0E">
        <w:rPr>
          <w:rFonts w:ascii="Times New Roman" w:hAnsi="Times New Roman"/>
          <w:lang w:val="es-ES"/>
        </w:rPr>
        <w:t xml:space="preserve"> en un caso de desaparición forzada, la Corte vuelve a hacer referencia a la autonomía del derecho a la verdad tal y como se hizo en</w:t>
      </w:r>
      <w:r>
        <w:rPr>
          <w:rFonts w:ascii="Times New Roman" w:hAnsi="Times New Roman"/>
          <w:lang w:val="es-ES"/>
        </w:rPr>
        <w:t xml:space="preserve"> el </w:t>
      </w:r>
      <w:r w:rsidRPr="00C97F99">
        <w:rPr>
          <w:rFonts w:ascii="Times New Roman" w:hAnsi="Times New Roman"/>
          <w:i/>
          <w:lang w:val="es-ES"/>
        </w:rPr>
        <w:t>Caso</w:t>
      </w:r>
      <w:r w:rsidRPr="00D03F0E">
        <w:rPr>
          <w:rFonts w:ascii="Times New Roman" w:hAnsi="Times New Roman"/>
          <w:lang w:val="es-ES"/>
        </w:rPr>
        <w:t xml:space="preserve"> </w:t>
      </w:r>
      <w:r w:rsidRPr="00D03F0E">
        <w:rPr>
          <w:rFonts w:ascii="Times New Roman" w:hAnsi="Times New Roman"/>
          <w:i/>
          <w:lang w:val="es-ES"/>
        </w:rPr>
        <w:t>Vereda La Esperanza</w:t>
      </w:r>
      <w:r w:rsidRPr="00D03F0E">
        <w:rPr>
          <w:rFonts w:ascii="Times New Roman" w:hAnsi="Times New Roman"/>
          <w:lang w:val="es-ES"/>
        </w:rPr>
        <w:t>.</w:t>
      </w:r>
    </w:p>
  </w:footnote>
  <w:footnote w:id="59">
    <w:p w:rsidR="00677F54" w:rsidRPr="00BA761E" w:rsidRDefault="00677F54" w:rsidP="00BA761E">
      <w:pPr>
        <w:pStyle w:val="Textonotapie"/>
        <w:tabs>
          <w:tab w:val="left" w:pos="426"/>
          <w:tab w:val="left" w:pos="567"/>
        </w:tabs>
        <w:jc w:val="both"/>
        <w:rPr>
          <w:rFonts w:ascii="Times New Roman" w:hAnsi="Times New Roman"/>
          <w:lang w:val="es-ES"/>
        </w:rPr>
      </w:pPr>
      <w:r>
        <w:rPr>
          <w:rStyle w:val="Refdenotaalpie"/>
        </w:rPr>
        <w:footnoteRef/>
      </w:r>
      <w:r>
        <w:t xml:space="preserve"> </w:t>
      </w:r>
      <w:r w:rsidRPr="00BA761E">
        <w:rPr>
          <w:rFonts w:ascii="Times New Roman" w:hAnsi="Times New Roman"/>
          <w:lang w:val="es-ES"/>
        </w:rPr>
        <w:t xml:space="preserve">Cuando en </w:t>
      </w:r>
      <w:r w:rsidRPr="00BA761E">
        <w:rPr>
          <w:rFonts w:ascii="Times New Roman" w:hAnsi="Times New Roman"/>
          <w:i/>
          <w:lang w:val="es-ES"/>
        </w:rPr>
        <w:t>Terrones Silva y otros Vs. Perú</w:t>
      </w:r>
      <w:r w:rsidRPr="00BA761E">
        <w:rPr>
          <w:rFonts w:ascii="Times New Roman" w:hAnsi="Times New Roman"/>
          <w:lang w:val="es-ES"/>
        </w:rPr>
        <w:t xml:space="preserve">, que es la que sigue a </w:t>
      </w:r>
      <w:r w:rsidRPr="00BA761E">
        <w:rPr>
          <w:rFonts w:ascii="Times New Roman" w:hAnsi="Times New Roman"/>
          <w:i/>
          <w:lang w:val="es-ES"/>
        </w:rPr>
        <w:t>Munárriz Escobar</w:t>
      </w:r>
      <w:r w:rsidRPr="00BA761E">
        <w:rPr>
          <w:rFonts w:ascii="Times New Roman" w:hAnsi="Times New Roman"/>
          <w:lang w:val="es-ES"/>
        </w:rPr>
        <w:t xml:space="preserve">, en un caso de desaparición forzada, la Corte hace referencia a la autonomía del derecho a la verdad, se cita como precedentes tanto a </w:t>
      </w:r>
      <w:r w:rsidRPr="00BA761E">
        <w:rPr>
          <w:rFonts w:ascii="Times New Roman" w:hAnsi="Times New Roman"/>
          <w:i/>
          <w:lang w:val="es-ES"/>
        </w:rPr>
        <w:t>Vereda La Esperanza</w:t>
      </w:r>
      <w:r w:rsidRPr="00BA761E">
        <w:rPr>
          <w:rFonts w:ascii="Times New Roman" w:hAnsi="Times New Roman"/>
          <w:lang w:val="es-ES"/>
        </w:rPr>
        <w:t xml:space="preserve"> como a </w:t>
      </w:r>
      <w:r w:rsidRPr="00BA761E">
        <w:rPr>
          <w:rFonts w:ascii="Times New Roman" w:hAnsi="Times New Roman"/>
          <w:i/>
          <w:lang w:val="es-ES"/>
        </w:rPr>
        <w:t>Munárriz Escobar y otros</w:t>
      </w:r>
      <w:r w:rsidRPr="00BA761E">
        <w:rPr>
          <w:rFonts w:ascii="Times New Roman" w:hAnsi="Times New Roman"/>
          <w:lang w:val="es-ES"/>
        </w:rPr>
        <w:t xml:space="preserve">, siendo que esta última sentencia, como estamos viendo, no se refiere expresamente a tal carácter. Lo mismo sucede en el </w:t>
      </w:r>
      <w:r w:rsidRPr="00BA761E">
        <w:rPr>
          <w:rFonts w:ascii="Times New Roman" w:hAnsi="Times New Roman"/>
          <w:i/>
          <w:lang w:val="es-ES"/>
        </w:rPr>
        <w:t>Caso Guachalá Chimbo y otros Vs. Ecuador. Fondo, Reparaciones y Costas, Reparaciones y Costas</w:t>
      </w:r>
      <w:r w:rsidRPr="00BA761E">
        <w:rPr>
          <w:rFonts w:ascii="Times New Roman" w:hAnsi="Times New Roman"/>
          <w:lang w:val="es-ES"/>
        </w:rPr>
        <w:t xml:space="preserve">. Sentencia de 26 de marzo de 2021 (párrs. 213 y 214) y en el </w:t>
      </w:r>
      <w:r w:rsidRPr="00BA761E">
        <w:rPr>
          <w:rFonts w:ascii="Times New Roman" w:hAnsi="Times New Roman"/>
          <w:i/>
          <w:lang w:val="es-ES"/>
        </w:rPr>
        <w:t>Caso</w:t>
      </w:r>
      <w:r w:rsidRPr="00BA761E">
        <w:rPr>
          <w:rFonts w:ascii="Times New Roman" w:hAnsi="Times New Roman"/>
          <w:lang w:val="es-ES"/>
        </w:rPr>
        <w:t xml:space="preserve"> </w:t>
      </w:r>
      <w:r w:rsidRPr="00BA761E">
        <w:rPr>
          <w:rFonts w:ascii="Times New Roman" w:hAnsi="Times New Roman"/>
          <w:i/>
          <w:lang w:val="es-ES"/>
        </w:rPr>
        <w:t>Familia Julien Grisonas Vs. Argentina</w:t>
      </w:r>
      <w:r w:rsidRPr="00BA761E">
        <w:rPr>
          <w:rFonts w:ascii="Times New Roman" w:hAnsi="Times New Roman"/>
          <w:lang w:val="es-ES"/>
        </w:rPr>
        <w:t xml:space="preserve"> (supra, párr. 221). En ambas encontramos la misma doctrina sobre la naturaleza más amplia del derecho a la verdad, pero sin que la Corte expresamente aluda a la autonomía del derecho (advertimos al lector que en </w:t>
      </w:r>
      <w:r w:rsidRPr="00BA761E">
        <w:rPr>
          <w:rFonts w:ascii="Times New Roman" w:hAnsi="Times New Roman"/>
          <w:i/>
          <w:lang w:val="es-ES"/>
        </w:rPr>
        <w:t>Guachalá Chimbó</w:t>
      </w:r>
      <w:r w:rsidRPr="00BA761E">
        <w:rPr>
          <w:rFonts w:ascii="Times New Roman" w:hAnsi="Times New Roman"/>
          <w:lang w:val="es-ES"/>
        </w:rPr>
        <w:t xml:space="preserve"> la Corte no consideró que se tratara de un caso de desaparición forzada, pero la sentencia va acompañada de un “voto razonado concurrente” del juez Ricardo C. Pérez Manrique considerando que así hubiera debido ser calificada la desaparición). Por ello sostenemos en el texto que lo relevante no es tanto el adjetivo como la consideración que lo justifica, esto es, que se trata de un derecho con otra naturaleza.</w:t>
      </w:r>
    </w:p>
  </w:footnote>
  <w:footnote w:id="60">
    <w:p w:rsidR="00677F54" w:rsidRPr="00D03F0E" w:rsidRDefault="00677F54" w:rsidP="00BA761E">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Pr>
          <w:rFonts w:ascii="Times New Roman" w:hAnsi="Times New Roman"/>
          <w:lang w:val="es-ES"/>
        </w:rPr>
        <w:t>Véanse también las siguientes sentencias:</w:t>
      </w:r>
      <w:r w:rsidRPr="00015514">
        <w:rPr>
          <w:rFonts w:ascii="Times New Roman" w:eastAsia="Verdana" w:hAnsi="Times New Roman"/>
          <w:i/>
          <w:lang w:val="es-ES"/>
        </w:rPr>
        <w:t xml:space="preserve"> </w:t>
      </w:r>
      <w:r w:rsidRPr="00204CC9">
        <w:rPr>
          <w:rFonts w:ascii="Times New Roman" w:eastAsia="Verdana" w:hAnsi="Times New Roman"/>
          <w:i/>
          <w:lang w:val="es-ES"/>
        </w:rPr>
        <w:t xml:space="preserve">Caso Omeara Carrascal </w:t>
      </w:r>
      <w:r>
        <w:rPr>
          <w:rFonts w:ascii="Times New Roman" w:eastAsia="Verdana" w:hAnsi="Times New Roman"/>
          <w:i/>
          <w:lang w:val="es-ES"/>
        </w:rPr>
        <w:t>y otros</w:t>
      </w:r>
      <w:r w:rsidRPr="00204CC9">
        <w:rPr>
          <w:rFonts w:ascii="Times New Roman" w:eastAsia="Verdana" w:hAnsi="Times New Roman"/>
          <w:i/>
          <w:lang w:val="es-ES"/>
        </w:rPr>
        <w:t xml:space="preserve"> Vs. Colombia</w:t>
      </w:r>
      <w:r w:rsidRPr="00204CC9">
        <w:rPr>
          <w:rFonts w:ascii="Times New Roman" w:eastAsia="Verdana" w:hAnsi="Times New Roman"/>
          <w:lang w:val="es-ES"/>
        </w:rPr>
        <w:t>, supra, párr.</w:t>
      </w:r>
      <w:r w:rsidRPr="00D03F0E">
        <w:rPr>
          <w:rFonts w:ascii="Times New Roman" w:hAnsi="Times New Roman"/>
          <w:lang w:val="es-ES"/>
        </w:rPr>
        <w:t>, 256</w:t>
      </w:r>
      <w:r>
        <w:rPr>
          <w:rFonts w:ascii="Times New Roman" w:hAnsi="Times New Roman"/>
          <w:lang w:val="es-ES"/>
        </w:rPr>
        <w:t xml:space="preserve">; </w:t>
      </w:r>
      <w:r w:rsidRPr="00D03F0E">
        <w:rPr>
          <w:rFonts w:ascii="Times New Roman" w:hAnsi="Times New Roman"/>
          <w:lang w:val="es-ES"/>
        </w:rPr>
        <w:t xml:space="preserve"> </w:t>
      </w:r>
      <w:r w:rsidRPr="00015514">
        <w:rPr>
          <w:rFonts w:ascii="Times New Roman" w:hAnsi="Times New Roman"/>
          <w:i/>
          <w:lang w:val="es-ES"/>
        </w:rPr>
        <w:t>Garzón Guzmán y otros Vs. Ecuador</w:t>
      </w:r>
      <w:r>
        <w:rPr>
          <w:rFonts w:ascii="Times New Roman" w:hAnsi="Times New Roman"/>
          <w:lang w:val="es-ES"/>
        </w:rPr>
        <w:t>, supra</w:t>
      </w:r>
      <w:r w:rsidRPr="00015514">
        <w:rPr>
          <w:rFonts w:ascii="Times New Roman" w:hAnsi="Times New Roman"/>
          <w:lang w:val="es-ES"/>
        </w:rPr>
        <w:t>,</w:t>
      </w:r>
      <w:r w:rsidRPr="00D03F0E">
        <w:rPr>
          <w:rFonts w:ascii="Times New Roman" w:hAnsi="Times New Roman"/>
          <w:lang w:val="es-ES"/>
        </w:rPr>
        <w:t xml:space="preserve"> párr. 86 (nota 67) y 87;</w:t>
      </w:r>
      <w:r w:rsidRPr="00D03F0E">
        <w:rPr>
          <w:rFonts w:ascii="Times New Roman" w:hAnsi="Times New Roman"/>
          <w:i/>
          <w:lang w:val="es-ES"/>
        </w:rPr>
        <w:t xml:space="preserve"> Caso Familia Julien Grisonas vs. Argentina</w:t>
      </w:r>
      <w:r w:rsidRPr="00D03F0E">
        <w:rPr>
          <w:rFonts w:ascii="Times New Roman" w:hAnsi="Times New Roman"/>
          <w:lang w:val="es-ES"/>
        </w:rPr>
        <w:t xml:space="preserve">, </w:t>
      </w:r>
      <w:r w:rsidRPr="00D03F0E">
        <w:rPr>
          <w:rFonts w:ascii="Times New Roman" w:hAnsi="Times New Roman"/>
          <w:bCs/>
          <w:lang w:val="es-ES"/>
        </w:rPr>
        <w:t>supra, párr.</w:t>
      </w:r>
      <w:r w:rsidRPr="00D03F0E">
        <w:rPr>
          <w:rFonts w:ascii="Times New Roman" w:hAnsi="Times New Roman"/>
          <w:lang w:val="es-ES"/>
        </w:rPr>
        <w:t>221;</w:t>
      </w:r>
      <w:r w:rsidRPr="00D03F0E">
        <w:rPr>
          <w:rFonts w:ascii="Times New Roman" w:hAnsi="Times New Roman"/>
          <w:i/>
          <w:lang w:val="es-ES"/>
        </w:rPr>
        <w:t xml:space="preserve"> Masacre de la aldea Los Josefinos Vs. Guatemala</w:t>
      </w:r>
      <w:r>
        <w:rPr>
          <w:rFonts w:ascii="Times New Roman" w:hAnsi="Times New Roman"/>
          <w:lang w:val="es-ES"/>
        </w:rPr>
        <w:t xml:space="preserve">, supra, </w:t>
      </w:r>
      <w:r w:rsidRPr="00D03F0E">
        <w:rPr>
          <w:rFonts w:ascii="Times New Roman" w:hAnsi="Times New Roman"/>
          <w:lang w:val="es-ES"/>
        </w:rPr>
        <w:t xml:space="preserve">párr. 114; </w:t>
      </w:r>
      <w:r w:rsidRPr="00D03F0E">
        <w:rPr>
          <w:rFonts w:ascii="Times New Roman" w:hAnsi="Times New Roman"/>
          <w:i/>
          <w:lang w:val="es-ES"/>
        </w:rPr>
        <w:t xml:space="preserve">Caso Maidanik </w:t>
      </w:r>
      <w:r>
        <w:rPr>
          <w:rFonts w:ascii="Times New Roman" w:hAnsi="Times New Roman"/>
          <w:i/>
          <w:lang w:val="es-ES"/>
        </w:rPr>
        <w:t>y otros</w:t>
      </w:r>
      <w:r w:rsidRPr="00D03F0E">
        <w:rPr>
          <w:rFonts w:ascii="Times New Roman" w:hAnsi="Times New Roman"/>
          <w:i/>
          <w:lang w:val="es-ES"/>
        </w:rPr>
        <w:t xml:space="preserve"> Vs. Uruguay</w:t>
      </w:r>
      <w:r>
        <w:rPr>
          <w:rFonts w:ascii="Times New Roman" w:hAnsi="Times New Roman"/>
          <w:lang w:val="es-ES"/>
        </w:rPr>
        <w:t>, supra, párrs. 176 a 180</w:t>
      </w:r>
      <w:r w:rsidRPr="00D03F0E">
        <w:rPr>
          <w:rFonts w:ascii="Times New Roman" w:hAnsi="Times New Roman"/>
          <w:lang w:val="es-ES"/>
        </w:rPr>
        <w:t xml:space="preserve">. </w:t>
      </w:r>
      <w:r>
        <w:rPr>
          <w:rFonts w:ascii="Times New Roman" w:hAnsi="Times New Roman"/>
          <w:lang w:val="es-ES"/>
        </w:rPr>
        <w:t xml:space="preserve">Aunque no se trata de una desaparición forzada, la Corte Interamericana declara la violación del derecho a la verdad por falta de diligencia de las autoridades en investigar un asesinato en el </w:t>
      </w:r>
      <w:r w:rsidRPr="00D03F0E">
        <w:rPr>
          <w:rFonts w:ascii="Times New Roman" w:hAnsi="Times New Roman"/>
          <w:i/>
          <w:lang w:val="es-ES"/>
        </w:rPr>
        <w:t>Caso Digna Ochoa y familiares Vs. México. Excepciones preliminares, fondo, reparaciones y costas</w:t>
      </w:r>
      <w:r w:rsidRPr="00D03F0E">
        <w:rPr>
          <w:rFonts w:ascii="Times New Roman" w:hAnsi="Times New Roman"/>
          <w:lang w:val="es-ES"/>
        </w:rPr>
        <w:t>. Sentenc</w:t>
      </w:r>
      <w:r>
        <w:rPr>
          <w:rFonts w:ascii="Times New Roman" w:hAnsi="Times New Roman"/>
          <w:lang w:val="es-ES"/>
        </w:rPr>
        <w:t>ia de 25 de noviembre de 2021, p</w:t>
      </w:r>
      <w:r w:rsidRPr="00D03F0E">
        <w:rPr>
          <w:rFonts w:ascii="Times New Roman" w:hAnsi="Times New Roman"/>
          <w:lang w:val="es-ES"/>
        </w:rPr>
        <w:t>árrs. 146 y 148.</w:t>
      </w:r>
    </w:p>
  </w:footnote>
  <w:footnote w:id="61">
    <w:p w:rsidR="00677F54" w:rsidRPr="00D03F0E" w:rsidRDefault="00677F54" w:rsidP="00CD7E75">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Pr>
          <w:rFonts w:ascii="Times New Roman" w:hAnsi="Times New Roman"/>
          <w:lang w:val="es-ES"/>
        </w:rPr>
        <w:t>En</w:t>
      </w:r>
      <w:r w:rsidRPr="00D03F0E">
        <w:rPr>
          <w:rFonts w:ascii="Times New Roman" w:hAnsi="Times New Roman"/>
          <w:lang w:val="es-ES"/>
        </w:rPr>
        <w:t xml:space="preserve"> </w:t>
      </w:r>
      <w:r w:rsidRPr="00D03F0E">
        <w:rPr>
          <w:rFonts w:ascii="Times New Roman" w:hAnsi="Times New Roman"/>
          <w:i/>
          <w:lang w:val="es-ES"/>
        </w:rPr>
        <w:t>Aksoy c. Turquía</w:t>
      </w:r>
      <w:r w:rsidRPr="00D03F0E">
        <w:rPr>
          <w:rFonts w:ascii="Times New Roman" w:hAnsi="Times New Roman"/>
          <w:lang w:val="es-ES"/>
        </w:rPr>
        <w:t>, núm. 21987/93, de 18 de diciembre de 1996,</w:t>
      </w:r>
      <w:r>
        <w:rPr>
          <w:rFonts w:ascii="Times New Roman" w:hAnsi="Times New Roman"/>
          <w:lang w:val="es-ES"/>
        </w:rPr>
        <w:t xml:space="preserve"> el TEDH</w:t>
      </w:r>
      <w:r w:rsidRPr="00D03F0E">
        <w:rPr>
          <w:rFonts w:ascii="Times New Roman" w:hAnsi="Times New Roman"/>
          <w:lang w:val="es-ES"/>
        </w:rPr>
        <w:t xml:space="preserve"> reconoció que la noción de remedio efectivo del</w:t>
      </w:r>
      <w:r>
        <w:rPr>
          <w:rFonts w:ascii="Times New Roman" w:hAnsi="Times New Roman"/>
          <w:lang w:val="es-ES"/>
        </w:rPr>
        <w:t xml:space="preserve"> artículo 13 CEDH</w:t>
      </w:r>
      <w:r w:rsidRPr="00D03F0E">
        <w:rPr>
          <w:rFonts w:ascii="Times New Roman" w:hAnsi="Times New Roman"/>
          <w:lang w:val="es-ES"/>
        </w:rPr>
        <w:t xml:space="preserve"> conlleva, además de la oportuna compensación económica y la identificación de las personas responsables, “el acceso a la investigacion por parte del demandante”. </w:t>
      </w:r>
      <w:r>
        <w:rPr>
          <w:rFonts w:ascii="Times New Roman" w:hAnsi="Times New Roman"/>
          <w:lang w:val="es-ES"/>
        </w:rPr>
        <w:t>También en</w:t>
      </w:r>
      <w:r w:rsidRPr="00D03F0E">
        <w:rPr>
          <w:rFonts w:ascii="Times New Roman" w:hAnsi="Times New Roman"/>
          <w:lang w:val="es-ES"/>
        </w:rPr>
        <w:t xml:space="preserve"> </w:t>
      </w:r>
      <w:r w:rsidRPr="00D03F0E">
        <w:rPr>
          <w:rFonts w:ascii="Times New Roman" w:hAnsi="Times New Roman"/>
          <w:i/>
          <w:iCs/>
          <w:color w:val="282425"/>
          <w:lang w:val="es-ES"/>
        </w:rPr>
        <w:t>Kurt c. Turquía</w:t>
      </w:r>
      <w:r w:rsidRPr="00D03F0E">
        <w:rPr>
          <w:rFonts w:ascii="Times New Roman" w:hAnsi="Times New Roman"/>
          <w:color w:val="282425"/>
          <w:lang w:val="es-ES"/>
        </w:rPr>
        <w:t>, supra, se subraya la obligación que tiene el Estado de garantizar una investigación efectiva. En el mismo sentido</w:t>
      </w:r>
      <w:r>
        <w:rPr>
          <w:rFonts w:ascii="Times New Roman" w:hAnsi="Times New Roman"/>
          <w:color w:val="282425"/>
          <w:lang w:val="es-ES"/>
        </w:rPr>
        <w:t>:</w:t>
      </w:r>
      <w:r w:rsidRPr="00D03F0E">
        <w:rPr>
          <w:rFonts w:ascii="Times New Roman" w:hAnsi="Times New Roman"/>
          <w:color w:val="282425"/>
          <w:lang w:val="es-ES"/>
        </w:rPr>
        <w:t xml:space="preserve"> </w:t>
      </w:r>
      <w:r w:rsidRPr="00D03F0E">
        <w:rPr>
          <w:rFonts w:ascii="Times New Roman" w:hAnsi="Times New Roman"/>
          <w:i/>
          <w:color w:val="282425"/>
          <w:lang w:val="es-ES"/>
        </w:rPr>
        <w:t xml:space="preserve">Assenov </w:t>
      </w:r>
      <w:r>
        <w:rPr>
          <w:rFonts w:ascii="Times New Roman" w:hAnsi="Times New Roman"/>
          <w:i/>
          <w:color w:val="282425"/>
          <w:lang w:val="es-ES"/>
        </w:rPr>
        <w:t>y otros</w:t>
      </w:r>
      <w:r w:rsidRPr="00D03F0E">
        <w:rPr>
          <w:rFonts w:ascii="Times New Roman" w:hAnsi="Times New Roman"/>
          <w:color w:val="282425"/>
          <w:lang w:val="es-ES"/>
        </w:rPr>
        <w:t xml:space="preserve"> </w:t>
      </w:r>
      <w:r w:rsidRPr="00D03F0E">
        <w:rPr>
          <w:rFonts w:ascii="Times New Roman" w:hAnsi="Times New Roman"/>
          <w:i/>
          <w:color w:val="282425"/>
          <w:lang w:val="es-ES"/>
        </w:rPr>
        <w:t>c. Bulgaria</w:t>
      </w:r>
      <w:r w:rsidRPr="00D03F0E">
        <w:rPr>
          <w:rFonts w:ascii="Times New Roman" w:hAnsi="Times New Roman"/>
          <w:color w:val="282425"/>
          <w:lang w:val="es-ES"/>
        </w:rPr>
        <w:t>, supra, párr..102;</w:t>
      </w:r>
      <w:r w:rsidRPr="00D03F0E">
        <w:rPr>
          <w:rFonts w:ascii="Times New Roman" w:hAnsi="Times New Roman"/>
          <w:i/>
          <w:lang w:val="es-ES"/>
        </w:rPr>
        <w:t xml:space="preserve"> El-Masri c. </w:t>
      </w:r>
      <w:r>
        <w:rPr>
          <w:rFonts w:ascii="Times New Roman" w:hAnsi="Times New Roman"/>
          <w:i/>
          <w:lang w:val="es-ES"/>
        </w:rPr>
        <w:t>Antigua R</w:t>
      </w:r>
      <w:r w:rsidRPr="00D03F0E">
        <w:rPr>
          <w:rFonts w:ascii="Times New Roman" w:hAnsi="Times New Roman"/>
          <w:i/>
          <w:lang w:val="es-ES"/>
        </w:rPr>
        <w:t>e</w:t>
      </w:r>
      <w:r>
        <w:rPr>
          <w:rFonts w:ascii="Times New Roman" w:hAnsi="Times New Roman"/>
          <w:i/>
          <w:lang w:val="es-ES"/>
        </w:rPr>
        <w:t>pública Y</w:t>
      </w:r>
      <w:r w:rsidRPr="00D03F0E">
        <w:rPr>
          <w:rFonts w:ascii="Times New Roman" w:hAnsi="Times New Roman"/>
          <w:i/>
          <w:lang w:val="es-ES"/>
        </w:rPr>
        <w:t>ugoslava de Macedonia</w:t>
      </w:r>
      <w:r>
        <w:rPr>
          <w:rFonts w:ascii="Times New Roman" w:hAnsi="Times New Roman"/>
          <w:lang w:val="es-ES"/>
        </w:rPr>
        <w:t xml:space="preserve">, </w:t>
      </w:r>
      <w:r w:rsidRPr="00D03F0E">
        <w:rPr>
          <w:rFonts w:ascii="Times New Roman" w:hAnsi="Times New Roman"/>
          <w:lang w:val="es-ES"/>
        </w:rPr>
        <w:t xml:space="preserve">supra, párr 182; </w:t>
      </w:r>
      <w:r w:rsidRPr="00D03F0E">
        <w:rPr>
          <w:rFonts w:ascii="Times New Roman" w:hAnsi="Times New Roman"/>
          <w:i/>
          <w:lang w:val="es-ES"/>
        </w:rPr>
        <w:t>Al Nashiri c. Polonia</w:t>
      </w:r>
      <w:r w:rsidRPr="00D03F0E">
        <w:rPr>
          <w:rFonts w:ascii="Times New Roman" w:hAnsi="Times New Roman"/>
          <w:lang w:val="es-ES"/>
        </w:rPr>
        <w:t xml:space="preserve">, supra, párr. 485; </w:t>
      </w:r>
      <w:r w:rsidRPr="00D03F0E">
        <w:rPr>
          <w:rFonts w:ascii="Times New Roman" w:hAnsi="Times New Roman"/>
          <w:i/>
          <w:lang w:val="es-ES"/>
        </w:rPr>
        <w:t>Husayn (Abu Zubaydah) c. Polonia</w:t>
      </w:r>
      <w:r w:rsidRPr="00D03F0E">
        <w:rPr>
          <w:rFonts w:ascii="Times New Roman" w:hAnsi="Times New Roman"/>
          <w:lang w:val="es-ES"/>
        </w:rPr>
        <w:t xml:space="preserve">, supra, párr. 479; </w:t>
      </w:r>
      <w:r w:rsidRPr="00D03F0E">
        <w:rPr>
          <w:rFonts w:ascii="Times New Roman" w:hAnsi="Times New Roman"/>
          <w:i/>
          <w:lang w:val="es-ES"/>
        </w:rPr>
        <w:t>Abu Zubaydah c. Lituania</w:t>
      </w:r>
      <w:r w:rsidRPr="00D03F0E">
        <w:rPr>
          <w:rFonts w:ascii="Times New Roman" w:hAnsi="Times New Roman"/>
          <w:lang w:val="es-ES"/>
        </w:rPr>
        <w:t xml:space="preserve">, supra, párr. 607; </w:t>
      </w:r>
      <w:r w:rsidRPr="00D03F0E">
        <w:rPr>
          <w:rFonts w:ascii="Times New Roman" w:hAnsi="Times New Roman"/>
          <w:i/>
          <w:lang w:val="es-ES"/>
        </w:rPr>
        <w:t>Al Nashiri c. Rumanía</w:t>
      </w:r>
      <w:r w:rsidRPr="00D03F0E">
        <w:rPr>
          <w:rFonts w:ascii="Times New Roman" w:hAnsi="Times New Roman"/>
          <w:lang w:val="es-ES"/>
        </w:rPr>
        <w:t xml:space="preserve">, supra, párr. 638; </w:t>
      </w:r>
      <w:r w:rsidRPr="00D03F0E">
        <w:rPr>
          <w:rFonts w:ascii="Times New Roman" w:hAnsi="Times New Roman"/>
          <w:i/>
          <w:lang w:val="es-ES"/>
        </w:rPr>
        <w:t>Nasr y Ghali</w:t>
      </w:r>
      <w:r w:rsidRPr="00D03F0E">
        <w:rPr>
          <w:rFonts w:ascii="Times New Roman" w:hAnsi="Times New Roman"/>
          <w:lang w:val="es-ES"/>
        </w:rPr>
        <w:t>, supra, párr. 262.</w:t>
      </w:r>
    </w:p>
  </w:footnote>
  <w:footnote w:id="62">
    <w:p w:rsidR="00677F54" w:rsidRPr="00D03F0E" w:rsidRDefault="00677F54" w:rsidP="002E7D8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este mismo sentido, LÓPEZ GUERRA, Luis, </w:t>
      </w:r>
      <w:r w:rsidRPr="00D03F0E">
        <w:rPr>
          <w:rFonts w:ascii="Times New Roman" w:hAnsi="Times New Roman"/>
          <w:i/>
          <w:lang w:val="es-ES"/>
        </w:rPr>
        <w:t>ob</w:t>
      </w:r>
      <w:r w:rsidRPr="00D03F0E">
        <w:rPr>
          <w:rFonts w:ascii="Times New Roman" w:hAnsi="Times New Roman"/>
          <w:lang w:val="es-ES"/>
        </w:rPr>
        <w:t>. cit.</w:t>
      </w:r>
    </w:p>
  </w:footnote>
  <w:footnote w:id="63">
    <w:p w:rsidR="00677F54" w:rsidRPr="00334F27" w:rsidRDefault="00677F54" w:rsidP="001C57CA">
      <w:pPr>
        <w:pStyle w:val="Textonotapie"/>
        <w:jc w:val="both"/>
        <w:rPr>
          <w:rFonts w:ascii="Times New Roman" w:hAnsi="Times New Roman"/>
          <w:lang w:val="es-ES"/>
        </w:rPr>
      </w:pPr>
      <w:r w:rsidRPr="00334F27">
        <w:rPr>
          <w:rStyle w:val="Refdenotaalpie"/>
          <w:rFonts w:ascii="Times New Roman" w:hAnsi="Times New Roman"/>
        </w:rPr>
        <w:footnoteRef/>
      </w:r>
      <w:r w:rsidRPr="00334F27">
        <w:rPr>
          <w:rFonts w:ascii="Times New Roman" w:hAnsi="Times New Roman"/>
        </w:rPr>
        <w:t xml:space="preserve"> </w:t>
      </w:r>
      <w:r w:rsidRPr="00334F27">
        <w:rPr>
          <w:rFonts w:ascii="Times New Roman" w:hAnsi="Times New Roman"/>
          <w:lang w:val="es-ES"/>
        </w:rPr>
        <w:t>En el próximo epígrafe examinaremos la posible autonomía del derecho a la verdad en relación con el derecho a buscar información, y una de las razones que aportaremos en ese sentido será</w:t>
      </w:r>
      <w:r w:rsidR="00F1452F">
        <w:rPr>
          <w:rFonts w:ascii="Times New Roman" w:hAnsi="Times New Roman"/>
          <w:lang w:val="es-ES"/>
        </w:rPr>
        <w:t xml:space="preserve"> que, a diferencia de la libertad de información, que en ocasiones excepcionales puede quedar suspendido, tal posibilidad no cabe cuando del derecho a la verdad se trata. Pero este argumento lo utilizamos a mayor abundamiento. Por sí solo entendemos que no justificaría ese carácter autonómo. </w:t>
      </w:r>
    </w:p>
  </w:footnote>
  <w:footnote w:id="64">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Informe de la Oficina del Alto Comisionado de las Naciones Unidas para los Derechos Humanos. </w:t>
      </w:r>
      <w:r w:rsidRPr="00D03F0E">
        <w:rPr>
          <w:rFonts w:ascii="Times New Roman" w:hAnsi="Times New Roman"/>
          <w:i/>
          <w:lang w:val="es-ES"/>
        </w:rPr>
        <w:t>Estudio sobre el derecho a la verdad</w:t>
      </w:r>
      <w:r w:rsidRPr="00D03F0E">
        <w:rPr>
          <w:rFonts w:ascii="Times New Roman" w:hAnsi="Times New Roman"/>
          <w:lang w:val="es-ES"/>
        </w:rPr>
        <w:t>, cit. sobre todo el “Resumen”</w:t>
      </w:r>
      <w:r>
        <w:rPr>
          <w:rFonts w:ascii="Times New Roman" w:hAnsi="Times New Roman"/>
          <w:lang w:val="es-ES"/>
        </w:rPr>
        <w:t xml:space="preserve"> y los parágrafos 21 y 41 a 45.</w:t>
      </w:r>
    </w:p>
  </w:footnote>
  <w:footnote w:id="65">
    <w:p w:rsidR="00677F54" w:rsidRPr="00D03F0E" w:rsidRDefault="00677F54" w:rsidP="00334F27">
      <w:pPr>
        <w:pStyle w:val="Textonotapie"/>
        <w:jc w:val="both"/>
        <w:rPr>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Sentencia </w:t>
      </w:r>
      <w:r w:rsidRPr="00D03F0E">
        <w:rPr>
          <w:rFonts w:ascii="Times New Roman" w:hAnsi="Times New Roman"/>
          <w:i/>
          <w:lang w:val="es-ES"/>
        </w:rPr>
        <w:t>Al Nashiri c. Polonia</w:t>
      </w:r>
      <w:r w:rsidRPr="00D03F0E">
        <w:rPr>
          <w:rFonts w:ascii="Times New Roman" w:hAnsi="Times New Roman"/>
          <w:lang w:val="es-ES"/>
        </w:rPr>
        <w:t>, supra, párr</w:t>
      </w:r>
      <w:r>
        <w:rPr>
          <w:rFonts w:ascii="Times New Roman" w:hAnsi="Times New Roman"/>
          <w:lang w:val="es-ES"/>
        </w:rPr>
        <w:t>s</w:t>
      </w:r>
      <w:r w:rsidRPr="00D03F0E">
        <w:rPr>
          <w:rFonts w:ascii="Times New Roman" w:hAnsi="Times New Roman"/>
          <w:lang w:val="es-ES"/>
        </w:rPr>
        <w:t>. 4</w:t>
      </w:r>
      <w:r w:rsidRPr="00334F27">
        <w:rPr>
          <w:rFonts w:ascii="Times New Roman" w:hAnsi="Times New Roman"/>
          <w:lang w:val="es-ES"/>
        </w:rPr>
        <w:t>82</w:t>
      </w:r>
      <w:r w:rsidRPr="00334F27">
        <w:rPr>
          <w:rFonts w:ascii="Times New Roman" w:hAnsi="Times New Roman"/>
          <w:lang w:val="es-ES" w:eastAsia="x-none"/>
        </w:rPr>
        <w:t xml:space="preserve"> y 495.</w:t>
      </w:r>
    </w:p>
  </w:footnote>
  <w:footnote w:id="66">
    <w:p w:rsidR="00677F54" w:rsidRPr="00D03F0E" w:rsidRDefault="00677F54" w:rsidP="00423061">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Entre quienes defienden la consideración del derecho a la </w:t>
      </w:r>
      <w:r>
        <w:rPr>
          <w:rFonts w:ascii="Times New Roman" w:hAnsi="Times New Roman"/>
          <w:lang w:val="es-ES"/>
        </w:rPr>
        <w:t>verdad como un derecho autónomo:</w:t>
      </w:r>
      <w:r w:rsidRPr="00D03F0E">
        <w:rPr>
          <w:rFonts w:ascii="Times New Roman" w:hAnsi="Times New Roman"/>
          <w:lang w:val="es-ES"/>
        </w:rPr>
        <w:t xml:space="preserve"> BERNALES ROJAS, Gerardo, “El derecho a la verdad”, </w:t>
      </w:r>
      <w:r w:rsidRPr="00D03F0E">
        <w:rPr>
          <w:rFonts w:ascii="Times New Roman" w:hAnsi="Times New Roman"/>
          <w:i/>
          <w:lang w:val="es-ES"/>
        </w:rPr>
        <w:t>Estudios Constitucionales</w:t>
      </w:r>
      <w:r w:rsidRPr="00D03F0E">
        <w:rPr>
          <w:rFonts w:ascii="Times New Roman" w:hAnsi="Times New Roman"/>
          <w:lang w:val="es-ES"/>
        </w:rPr>
        <w:t xml:space="preserve">, Universidad de Talca, año 14, </w:t>
      </w:r>
      <w:r>
        <w:rPr>
          <w:rFonts w:ascii="Times New Roman" w:hAnsi="Times New Roman"/>
          <w:lang w:val="es-ES"/>
        </w:rPr>
        <w:t>n. 2, 2016, pp. 263-304, p. 263.</w:t>
      </w:r>
    </w:p>
  </w:footnote>
  <w:footnote w:id="67">
    <w:p w:rsidR="00677F54" w:rsidRPr="00D03F0E" w:rsidRDefault="00677F54" w:rsidP="00900CA4">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Entre quienes consideran subsumen el derecho a la verdad en otros derechos ya reconocidos, entendiendo que el carácter autónomo del</w:t>
      </w:r>
      <w:r>
        <w:rPr>
          <w:rFonts w:ascii="Times New Roman" w:hAnsi="Times New Roman"/>
          <w:lang w:val="es-ES"/>
        </w:rPr>
        <w:t xml:space="preserve"> mismo no está justificado, véa</w:t>
      </w:r>
      <w:r w:rsidRPr="00D03F0E">
        <w:rPr>
          <w:rFonts w:ascii="Times New Roman" w:hAnsi="Times New Roman"/>
          <w:lang w:val="es-ES"/>
        </w:rPr>
        <w:t xml:space="preserve">se: </w:t>
      </w:r>
      <w:r>
        <w:rPr>
          <w:rFonts w:ascii="Times New Roman" w:hAnsi="Times New Roman"/>
        </w:rPr>
        <w:t xml:space="preserve">SALMÓN, Elizabeth y BLANCO, Cristina, </w:t>
      </w:r>
      <w:r w:rsidRPr="00E236C1">
        <w:rPr>
          <w:rFonts w:ascii="Times New Roman" w:hAnsi="Times New Roman"/>
          <w:i/>
        </w:rPr>
        <w:t>El derecho al debido proceso en la jurisprudencia en la Corte Interamericana de Derechos Humanos</w:t>
      </w:r>
      <w:r w:rsidRPr="00E236C1">
        <w:rPr>
          <w:rFonts w:ascii="Times New Roman" w:hAnsi="Times New Roman"/>
        </w:rPr>
        <w:t xml:space="preserve">, Impreso por Instituto de Democracia y Derechos Humanos de la PUC del Perú y Agencia de Cooperación Alemana al </w:t>
      </w:r>
      <w:r>
        <w:rPr>
          <w:rFonts w:ascii="Times New Roman" w:hAnsi="Times New Roman"/>
        </w:rPr>
        <w:t xml:space="preserve">Desarrollo, Agencia ZIG en Perú, Lima, 2012, </w:t>
      </w:r>
      <w:r w:rsidRPr="00D03F0E">
        <w:rPr>
          <w:rFonts w:ascii="Times New Roman" w:hAnsi="Times New Roman"/>
          <w:lang w:val="es-ES"/>
        </w:rPr>
        <w:t>pp. 42-43.</w:t>
      </w:r>
    </w:p>
  </w:footnote>
  <w:footnote w:id="68">
    <w:p w:rsidR="00677F54" w:rsidRPr="00D03F0E" w:rsidRDefault="00677F54" w:rsidP="00E236C1">
      <w:pPr>
        <w:pStyle w:val="Textonotapie"/>
        <w:jc w:val="both"/>
        <w:rPr>
          <w:rFonts w:ascii="Times New Roman" w:hAnsi="Times New Roman"/>
          <w:lang w:val="es-ES"/>
        </w:rPr>
      </w:pPr>
      <w:r w:rsidRPr="00D03F0E">
        <w:rPr>
          <w:rStyle w:val="Refdenotaalpie"/>
          <w:rFonts w:ascii="Times New Roman" w:hAnsi="Times New Roman"/>
          <w:lang w:val="es-ES"/>
        </w:rPr>
        <w:footnoteRef/>
      </w:r>
      <w:r>
        <w:rPr>
          <w:rFonts w:ascii="Times New Roman" w:hAnsi="Times New Roman"/>
          <w:lang w:val="es-ES"/>
        </w:rPr>
        <w:t xml:space="preserve"> Esta</w:t>
      </w:r>
      <w:r w:rsidRPr="00D03F0E">
        <w:rPr>
          <w:rFonts w:ascii="Times New Roman" w:hAnsi="Times New Roman"/>
          <w:lang w:val="es-ES"/>
        </w:rPr>
        <w:t xml:space="preserve"> fue la postura que los jueces Casadevall y López Guerra matuvieron en su voto concordante a la sentencia del TEDH en el caso </w:t>
      </w:r>
      <w:r w:rsidRPr="00D03F0E">
        <w:rPr>
          <w:rFonts w:ascii="Times New Roman" w:hAnsi="Times New Roman"/>
          <w:i/>
          <w:lang w:val="es-ES"/>
        </w:rPr>
        <w:t xml:space="preserve">El-Masri c. </w:t>
      </w:r>
      <w:r>
        <w:rPr>
          <w:rFonts w:ascii="Times New Roman" w:hAnsi="Times New Roman"/>
          <w:i/>
          <w:lang w:val="es-ES"/>
        </w:rPr>
        <w:t>Antigua República</w:t>
      </w:r>
      <w:r w:rsidRPr="00D03F0E">
        <w:rPr>
          <w:rFonts w:ascii="Times New Roman" w:hAnsi="Times New Roman"/>
          <w:i/>
          <w:lang w:val="es-ES"/>
        </w:rPr>
        <w:t xml:space="preserve"> de Macedonia</w:t>
      </w:r>
      <w:r>
        <w:rPr>
          <w:rFonts w:ascii="Times New Roman" w:hAnsi="Times New Roman"/>
          <w:lang w:val="es-ES"/>
        </w:rPr>
        <w:t>, supra</w:t>
      </w:r>
      <w:r w:rsidRPr="00D03F0E">
        <w:rPr>
          <w:rFonts w:ascii="Times New Roman" w:hAnsi="Times New Roman"/>
          <w:lang w:val="es-ES"/>
        </w:rPr>
        <w:t>.</w:t>
      </w:r>
    </w:p>
  </w:footnote>
  <w:footnote w:id="69">
    <w:p w:rsidR="004B639F" w:rsidRPr="00D03F0E" w:rsidRDefault="004B639F" w:rsidP="004B639F">
      <w:pPr>
        <w:pStyle w:val="Textonotapie"/>
        <w:jc w:val="both"/>
        <w:rPr>
          <w:rFonts w:ascii="Times New Roman" w:hAnsi="Times New Roman"/>
          <w:color w:val="221E1F"/>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En los siguientes casos, la Corte Interamericana, además de en los artículos 8.1 y 25.1 de la Convención (derecho de acceso a la justicia y a un recurso efectivo), también ha ubicado el derecho a la verdad en el artículo 13 (derecho a buscar y recibir información):</w:t>
      </w:r>
      <w:r w:rsidRPr="00D03F0E">
        <w:rPr>
          <w:rFonts w:ascii="Times New Roman" w:hAnsi="Times New Roman"/>
          <w:i/>
          <w:color w:val="221E1F"/>
          <w:lang w:val="es-ES"/>
        </w:rPr>
        <w:t xml:space="preserve"> </w:t>
      </w:r>
      <w:r w:rsidRPr="00D03F0E">
        <w:rPr>
          <w:rFonts w:ascii="Times New Roman" w:hAnsi="Times New Roman"/>
          <w:i/>
          <w:lang w:val="es-ES"/>
        </w:rPr>
        <w:t xml:space="preserve">Caso Gomes Lund </w:t>
      </w:r>
      <w:r>
        <w:rPr>
          <w:rFonts w:ascii="Times New Roman" w:hAnsi="Times New Roman"/>
          <w:i/>
          <w:lang w:val="es-ES"/>
        </w:rPr>
        <w:t>y otros</w:t>
      </w:r>
      <w:r w:rsidRPr="00D03F0E">
        <w:rPr>
          <w:rFonts w:ascii="Times New Roman" w:hAnsi="Times New Roman"/>
          <w:i/>
          <w:lang w:val="es-ES"/>
        </w:rPr>
        <w:t xml:space="preserve"> («Guerrilha do Araguaia») Vs. Brasil</w:t>
      </w:r>
      <w:r>
        <w:rPr>
          <w:rFonts w:ascii="Times New Roman" w:hAnsi="Times New Roman"/>
          <w:lang w:val="es-ES"/>
        </w:rPr>
        <w:t>, supra</w:t>
      </w:r>
      <w:r w:rsidRPr="00D03F0E">
        <w:rPr>
          <w:rFonts w:ascii="Times New Roman" w:hAnsi="Times New Roman"/>
          <w:lang w:val="es-ES"/>
        </w:rPr>
        <w:t xml:space="preserve">, </w:t>
      </w:r>
      <w:r w:rsidRPr="00D03F0E">
        <w:rPr>
          <w:rFonts w:ascii="Times New Roman" w:hAnsi="Times New Roman"/>
          <w:color w:val="221E1F"/>
          <w:lang w:val="es-ES"/>
        </w:rPr>
        <w:t>párr. 201;</w:t>
      </w:r>
    </w:p>
    <w:p w:rsidR="004B639F" w:rsidRPr="00D03F0E" w:rsidRDefault="004B639F" w:rsidP="004B639F">
      <w:pPr>
        <w:pStyle w:val="Textonotapie"/>
        <w:jc w:val="both"/>
        <w:rPr>
          <w:rFonts w:ascii="Times New Roman" w:hAnsi="Times New Roman"/>
          <w:lang w:val="es-ES"/>
        </w:rPr>
      </w:pPr>
      <w:r w:rsidRPr="00D03F0E">
        <w:rPr>
          <w:rFonts w:ascii="Times New Roman" w:hAnsi="Times New Roman"/>
          <w:i/>
          <w:lang w:val="es-ES"/>
        </w:rPr>
        <w:t xml:space="preserve">Caso Gudiel Álvarez </w:t>
      </w:r>
      <w:r>
        <w:rPr>
          <w:rFonts w:ascii="Times New Roman" w:hAnsi="Times New Roman"/>
          <w:i/>
          <w:lang w:val="es-ES"/>
        </w:rPr>
        <w:t>y otros</w:t>
      </w:r>
      <w:r w:rsidRPr="00D03F0E">
        <w:rPr>
          <w:rFonts w:ascii="Times New Roman" w:hAnsi="Times New Roman"/>
          <w:i/>
          <w:lang w:val="es-ES"/>
        </w:rPr>
        <w:t xml:space="preserve"> (Diario Militar) Vs. Guatemala</w:t>
      </w:r>
      <w:r>
        <w:rPr>
          <w:rFonts w:ascii="Times New Roman" w:hAnsi="Times New Roman"/>
          <w:lang w:val="es-ES"/>
        </w:rPr>
        <w:t>, supra</w:t>
      </w:r>
      <w:r w:rsidRPr="00D03F0E">
        <w:rPr>
          <w:rFonts w:ascii="Times New Roman" w:hAnsi="Times New Roman"/>
          <w:lang w:val="es-ES"/>
        </w:rPr>
        <w:t xml:space="preserve">; </w:t>
      </w:r>
      <w:r w:rsidRPr="009209BB">
        <w:rPr>
          <w:rFonts w:ascii="Times New Roman" w:hAnsi="Times New Roman"/>
          <w:i/>
          <w:lang w:val="es-ES"/>
        </w:rPr>
        <w:t xml:space="preserve">Caso </w:t>
      </w:r>
      <w:r w:rsidRPr="00D03F0E">
        <w:rPr>
          <w:rFonts w:ascii="Times New Roman" w:hAnsi="Times New Roman"/>
          <w:i/>
          <w:iCs/>
          <w:color w:val="221E1F"/>
          <w:lang w:val="es-ES"/>
        </w:rPr>
        <w:t xml:space="preserve">Gelman </w:t>
      </w:r>
      <w:r>
        <w:rPr>
          <w:rFonts w:ascii="Times New Roman" w:hAnsi="Times New Roman"/>
          <w:i/>
          <w:iCs/>
          <w:color w:val="221E1F"/>
          <w:lang w:val="es-ES"/>
        </w:rPr>
        <w:t>Vs. Uruguay</w:t>
      </w:r>
      <w:r>
        <w:rPr>
          <w:rFonts w:ascii="Times New Roman" w:hAnsi="Times New Roman"/>
          <w:iCs/>
          <w:color w:val="221E1F"/>
          <w:lang w:val="es-ES"/>
        </w:rPr>
        <w:t xml:space="preserve">, supra, </w:t>
      </w:r>
      <w:r>
        <w:rPr>
          <w:rFonts w:ascii="Times New Roman" w:hAnsi="Times New Roman"/>
          <w:color w:val="221E1F"/>
          <w:lang w:val="es-ES"/>
        </w:rPr>
        <w:t>párr. 243</w:t>
      </w:r>
      <w:r w:rsidRPr="00D03F0E">
        <w:rPr>
          <w:rFonts w:ascii="Times New Roman" w:hAnsi="Times New Roman"/>
          <w:color w:val="221E1F"/>
          <w:lang w:val="es-ES"/>
        </w:rPr>
        <w:t xml:space="preserve">; </w:t>
      </w:r>
      <w:r>
        <w:rPr>
          <w:rFonts w:ascii="Times New Roman" w:hAnsi="Times New Roman"/>
          <w:i/>
          <w:color w:val="221E1F"/>
          <w:lang w:val="es-ES"/>
        </w:rPr>
        <w:t>Rodríguez Vera y otros</w:t>
      </w:r>
      <w:r w:rsidRPr="00204CC9">
        <w:rPr>
          <w:rFonts w:ascii="Times New Roman" w:hAnsi="Times New Roman"/>
          <w:i/>
          <w:color w:val="221E1F"/>
          <w:lang w:val="es-ES"/>
        </w:rPr>
        <w:t xml:space="preserve"> (desaparecidos del Palacio de Justicia) Vs. Colombia</w:t>
      </w:r>
      <w:r>
        <w:rPr>
          <w:rFonts w:ascii="Times New Roman" w:hAnsi="Times New Roman"/>
          <w:color w:val="221E1F"/>
          <w:lang w:val="es-ES"/>
        </w:rPr>
        <w:t>, supra, párrs. 509 y 511</w:t>
      </w:r>
      <w:r w:rsidRPr="00D03F0E">
        <w:rPr>
          <w:rFonts w:ascii="Times New Roman" w:hAnsi="Times New Roman"/>
          <w:color w:val="221E1F"/>
          <w:lang w:val="es-ES"/>
        </w:rPr>
        <w:t xml:space="preserve">; y </w:t>
      </w:r>
      <w:r w:rsidRPr="009209BB">
        <w:rPr>
          <w:rFonts w:ascii="Times New Roman" w:hAnsi="Times New Roman"/>
          <w:i/>
          <w:iCs/>
          <w:color w:val="221E1F"/>
          <w:lang w:val="es-ES"/>
        </w:rPr>
        <w:t>Caso Comunidad Campe</w:t>
      </w:r>
      <w:r>
        <w:rPr>
          <w:rFonts w:ascii="Times New Roman" w:hAnsi="Times New Roman"/>
          <w:i/>
          <w:iCs/>
          <w:color w:val="221E1F"/>
          <w:lang w:val="es-ES"/>
        </w:rPr>
        <w:t>sina de Santa Bárbara Vs. Perú</w:t>
      </w:r>
      <w:r>
        <w:rPr>
          <w:rFonts w:ascii="Times New Roman" w:hAnsi="Times New Roman"/>
          <w:color w:val="221E1F"/>
          <w:lang w:val="es-ES"/>
        </w:rPr>
        <w:t>, supra, párr. 264</w:t>
      </w:r>
      <w:r w:rsidRPr="00D03F0E">
        <w:rPr>
          <w:rFonts w:ascii="Times New Roman" w:hAnsi="Times New Roman"/>
          <w:color w:val="221E1F"/>
          <w:lang w:val="es-ES"/>
        </w:rPr>
        <w:t>.</w:t>
      </w:r>
      <w:r w:rsidRPr="00D03F0E">
        <w:rPr>
          <w:rFonts w:ascii="Times New Roman" w:hAnsi="Times New Roman"/>
          <w:i/>
          <w:iCs/>
          <w:color w:val="221E1F"/>
          <w:lang w:val="es-ES"/>
        </w:rPr>
        <w:softHyphen/>
      </w:r>
    </w:p>
  </w:footnote>
  <w:footnote w:id="70">
    <w:p w:rsidR="004B639F" w:rsidRPr="00D03F0E" w:rsidRDefault="004B639F" w:rsidP="004B639F">
      <w:pPr>
        <w:spacing w:after="0" w:line="240" w:lineRule="auto"/>
        <w:jc w:val="both"/>
        <w:rPr>
          <w:rFonts w:ascii="Times New Roman" w:eastAsia="Times New Roman" w:hAnsi="Times New Roman"/>
          <w:sz w:val="20"/>
          <w:szCs w:val="20"/>
          <w:lang w:val="es-ES" w:eastAsia="es-ES_tradnl"/>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w:t>
      </w:r>
      <w:r>
        <w:rPr>
          <w:rFonts w:ascii="Times New Roman" w:hAnsi="Times New Roman"/>
          <w:iCs/>
          <w:sz w:val="20"/>
          <w:szCs w:val="20"/>
          <w:lang w:val="es-ES"/>
        </w:rPr>
        <w:t>E</w:t>
      </w:r>
      <w:r w:rsidRPr="00E236C1">
        <w:rPr>
          <w:rFonts w:ascii="Times New Roman" w:hAnsi="Times New Roman"/>
          <w:iCs/>
          <w:sz w:val="20"/>
          <w:szCs w:val="20"/>
          <w:lang w:val="es-ES"/>
        </w:rPr>
        <w:t xml:space="preserve">specialmente interesante </w:t>
      </w:r>
      <w:r>
        <w:rPr>
          <w:rFonts w:ascii="Times New Roman" w:hAnsi="Times New Roman"/>
          <w:iCs/>
          <w:sz w:val="20"/>
          <w:szCs w:val="20"/>
          <w:lang w:val="es-ES"/>
        </w:rPr>
        <w:t>es el</w:t>
      </w:r>
      <w:r w:rsidRPr="00E236C1">
        <w:rPr>
          <w:rFonts w:ascii="Times New Roman" w:hAnsi="Times New Roman"/>
          <w:sz w:val="20"/>
          <w:szCs w:val="20"/>
          <w:lang w:val="es-ES"/>
        </w:rPr>
        <w:t xml:space="preserve"> Informe </w:t>
      </w:r>
      <w:r>
        <w:rPr>
          <w:rFonts w:ascii="Times New Roman" w:hAnsi="Times New Roman"/>
          <w:sz w:val="20"/>
          <w:szCs w:val="20"/>
          <w:lang w:val="es-ES"/>
        </w:rPr>
        <w:t>de la Comisión Interamericana de Derechos Humanos en el caso</w:t>
      </w:r>
      <w:r w:rsidRPr="00E236C1">
        <w:rPr>
          <w:rFonts w:ascii="Times New Roman" w:hAnsi="Times New Roman"/>
          <w:i/>
          <w:sz w:val="20"/>
          <w:szCs w:val="20"/>
          <w:lang w:val="es-ES"/>
        </w:rPr>
        <w:t>Monseñor Oscar Arnulfo Romero y Galdamez v. El Salvador</w:t>
      </w:r>
      <w:r w:rsidRPr="00E236C1">
        <w:rPr>
          <w:rFonts w:ascii="Times New Roman" w:hAnsi="Times New Roman"/>
          <w:sz w:val="20"/>
          <w:szCs w:val="20"/>
          <w:lang w:val="es-ES"/>
        </w:rPr>
        <w:t>, supra, parágrafo 144</w:t>
      </w:r>
      <w:r>
        <w:rPr>
          <w:rFonts w:ascii="Times New Roman" w:hAnsi="Times New Roman"/>
          <w:sz w:val="20"/>
          <w:szCs w:val="20"/>
          <w:lang w:val="es-ES"/>
        </w:rPr>
        <w:t>.</w:t>
      </w:r>
    </w:p>
  </w:footnote>
  <w:footnote w:id="71">
    <w:p w:rsidR="009879CC" w:rsidRPr="00D03F0E" w:rsidRDefault="009879CC" w:rsidP="009879CC">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Así lo advierte Louis Joinet en el parágrafo 17 del Informe que acompaña al</w:t>
      </w:r>
      <w:r w:rsidRPr="00D03F0E">
        <w:rPr>
          <w:rFonts w:ascii="Times New Roman" w:hAnsi="Times New Roman"/>
          <w:i/>
          <w:lang w:val="es-ES"/>
        </w:rPr>
        <w:t xml:space="preserve"> Conjunto de Principios para la protección y la promoción de los derechos humanos mediante la lucha contra la impunidad</w:t>
      </w:r>
      <w:r w:rsidRPr="00D03F0E">
        <w:rPr>
          <w:rFonts w:ascii="Times New Roman" w:hAnsi="Times New Roman"/>
          <w:lang w:val="es-ES"/>
        </w:rPr>
        <w:t xml:space="preserve"> (1997): “This is not simply the right of any individual victim or closely related persons to know what happened, a right to the truth. The right to know is also a collective right, drawing upon history to prevent violations from recurring in the future. Its corollary is a "duty to remember", which the State must assume, in order to guard against the perversions of history that go under the names of revisionism or negationism; the knowledge of the oppression it has lived through is part of a people's national heritage and as such must be preserved. These, then, are the main objectives of the right to know as a collective right”. El </w:t>
      </w:r>
      <w:r w:rsidRPr="00D03F0E">
        <w:rPr>
          <w:rFonts w:ascii="Times New Roman" w:hAnsi="Times New Roman"/>
          <w:i/>
          <w:lang w:val="es-ES"/>
        </w:rPr>
        <w:t xml:space="preserve">Informe sobre el derecho de la verdad </w:t>
      </w:r>
      <w:r w:rsidRPr="00D03F0E">
        <w:rPr>
          <w:rFonts w:ascii="Times New Roman" w:hAnsi="Times New Roman"/>
          <w:lang w:val="es-ES"/>
        </w:rPr>
        <w:t>(2006), del Alto Comisionado de Naciones Unidas para los Derechos Humanos (doc. de Naciones Unidas E/CN.4/2006/91, de 9 de enero de 2006, apartado 11) también advierte que varias conferencias intergubernamentales, como la Conferencia Mundial contra el Racismo, la Discriminación Racial, la Xenofobia y las Formas Conexas de Intolerancia</w:t>
      </w:r>
      <w:r w:rsidRPr="00D03F0E">
        <w:rPr>
          <w:rFonts w:ascii="Times New Roman" w:hAnsi="Times New Roman"/>
          <w:color w:val="000000"/>
          <w:lang w:val="es-ES"/>
        </w:rPr>
        <w:t xml:space="preserve"> (doc. de Naciones Unidas A/CONF.189/12, de 8 de septiembre de 2001, para. 98)</w:t>
      </w:r>
      <w:r w:rsidRPr="00D03F0E">
        <w:rPr>
          <w:rFonts w:ascii="Times New Roman" w:hAnsi="Times New Roman"/>
          <w:lang w:val="es-ES"/>
        </w:rPr>
        <w:t xml:space="preserve">, han subrayado la importancia de enseñar los hechos y la verdad de la historia a fin de llegar a conocer de manera amplia y objetiva las tragedias del pasado. En el ámbito de la OEA, la Comisión Interamericana de Derechos Humanos entiende que, para garantizar el futuro, la sociedad ha de aprender de los errores del pasado. Con este propósito, la comunidad o el pueblo ha de tomar conciencia de su historia, por lo que se refiere a episodios donde tales crímenes o violaciones hayan podido tener lugar [en este sentido, véanse el </w:t>
      </w:r>
      <w:r w:rsidRPr="00D03F0E">
        <w:rPr>
          <w:rFonts w:ascii="Times New Roman" w:hAnsi="Times New Roman"/>
          <w:i/>
          <w:lang w:val="es-ES"/>
        </w:rPr>
        <w:t>Informe anual</w:t>
      </w:r>
      <w:r w:rsidRPr="00D03F0E">
        <w:rPr>
          <w:rFonts w:ascii="Times New Roman" w:hAnsi="Times New Roman"/>
          <w:lang w:val="es-ES"/>
        </w:rPr>
        <w:t xml:space="preserve"> 1985-1986 (OEA/Ser.L/V/II.68 Doc.8 Rev.1, de 28 de septiembre de 1986, p. 205); </w:t>
      </w:r>
      <w:r w:rsidRPr="00D03F0E">
        <w:rPr>
          <w:rFonts w:ascii="Times New Roman" w:hAnsi="Times New Roman"/>
          <w:i/>
          <w:lang w:val="es-ES"/>
        </w:rPr>
        <w:t>Informe anual</w:t>
      </w:r>
      <w:r w:rsidRPr="00D03F0E">
        <w:rPr>
          <w:rFonts w:ascii="Times New Roman" w:hAnsi="Times New Roman"/>
          <w:lang w:val="es-ES"/>
        </w:rPr>
        <w:t xml:space="preserve"> 1987–1988 (OEA/Ser.L/V/II. 74, Doc. 10 rev 1, de 16 de septiembre de 1988, p. 359); Informe número 136/99, de fecha 22 de diciembre de 1999, Caso </w:t>
      </w:r>
      <w:r w:rsidRPr="00D03F0E">
        <w:rPr>
          <w:rFonts w:ascii="Times New Roman" w:hAnsi="Times New Roman"/>
          <w:i/>
          <w:lang w:val="es-ES"/>
        </w:rPr>
        <w:t xml:space="preserve">Ignacio Ellacuría </w:t>
      </w:r>
      <w:r>
        <w:rPr>
          <w:rFonts w:ascii="Times New Roman" w:hAnsi="Times New Roman"/>
          <w:i/>
          <w:lang w:val="es-ES"/>
        </w:rPr>
        <w:t>y otros</w:t>
      </w:r>
      <w:r w:rsidRPr="00D03F0E">
        <w:rPr>
          <w:rFonts w:ascii="Times New Roman" w:hAnsi="Times New Roman"/>
          <w:i/>
          <w:lang w:val="es-ES"/>
        </w:rPr>
        <w:t xml:space="preserve"> vs. El Salvador</w:t>
      </w:r>
      <w:r w:rsidRPr="00D03F0E">
        <w:rPr>
          <w:rFonts w:ascii="Times New Roman" w:hAnsi="Times New Roman"/>
          <w:lang w:val="es-ES"/>
        </w:rPr>
        <w:t xml:space="preserve">, de 22 de diciembre de 1999, par. 221. El Tribunal Constitucional de Perú, en 2004, se posiciona en este sentido en el </w:t>
      </w:r>
      <w:r w:rsidRPr="00D03F0E">
        <w:rPr>
          <w:rFonts w:ascii="Times New Roman" w:hAnsi="Times New Roman"/>
          <w:i/>
          <w:lang w:val="es-ES"/>
        </w:rPr>
        <w:t>caso Genaro Villegas Namuche</w:t>
      </w:r>
      <w:r w:rsidRPr="00D03F0E">
        <w:rPr>
          <w:rFonts w:ascii="Times New Roman" w:hAnsi="Times New Roman"/>
          <w:lang w:val="es-ES"/>
        </w:rPr>
        <w:t xml:space="preserve">, Exp. Núm. 2488-2002-HC/TC, de 18 de marzo de 2004, parágrafo 17: “(…) Tenemos, en efecto, el derecho a saber, pero también el deber de conocer qué es lo que sucedió en nuestro país, a fin de enmendar el camino y fortalecer las condiciones mínimas y necesarias que requiere una sociedad auténticamente democrática, presupuesto de un efectivo ejercicio de los derechos fundamentales. Tras esas demandas de acceso e investigación sobre las violaciones a los derechos humanos, desde luego, no sólo están las demandas de justicia con las víctimas y familiares, sino también la exigencia al Estado y la sociedad civil para que adopten medidas necesarias a fin de evitar que en el futuro se repitan los hechos”. </w:t>
      </w:r>
    </w:p>
  </w:footnote>
  <w:footnote w:id="72">
    <w:p w:rsidR="00CB58AD" w:rsidRPr="00D03F0E" w:rsidRDefault="00CB58AD" w:rsidP="00CB58AD">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La posibilidad de llegar a la verdad por otros procedimientos distintos a los judiciales (como pudiera ser, por ejemplo, una comisión de investigación o similar) no sustituye la obligación que el Estado tiene de </w:t>
      </w:r>
      <w:r>
        <w:rPr>
          <w:rFonts w:ascii="Times New Roman" w:hAnsi="Times New Roman"/>
          <w:lang w:val="es-ES"/>
        </w:rPr>
        <w:t>depurar</w:t>
      </w:r>
      <w:r w:rsidRPr="00D03F0E">
        <w:rPr>
          <w:rFonts w:ascii="Times New Roman" w:hAnsi="Times New Roman"/>
          <w:lang w:val="es-ES"/>
        </w:rPr>
        <w:t xml:space="preserve"> responsabilidades penales. Así lo advierte el Informe de la Comisión IDH en el </w:t>
      </w:r>
      <w:r w:rsidRPr="00D03F0E">
        <w:rPr>
          <w:rFonts w:ascii="Times New Roman" w:hAnsi="Times New Roman"/>
          <w:i/>
          <w:lang w:val="es-ES"/>
        </w:rPr>
        <w:t>Caso Monseñor Romero</w:t>
      </w:r>
      <w:r w:rsidRPr="00D03F0E">
        <w:rPr>
          <w:rFonts w:ascii="Times New Roman" w:hAnsi="Times New Roman"/>
          <w:lang w:val="es-ES"/>
        </w:rPr>
        <w:t>, parágrafo 149.</w:t>
      </w:r>
    </w:p>
  </w:footnote>
  <w:footnote w:id="73">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Concreamente, la organización gubernamental pretendía conocer la lista de abogados de oficio que habían sido designados para una serie de casos.</w:t>
      </w:r>
    </w:p>
  </w:footnote>
  <w:footnote w:id="74">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w:t>
      </w:r>
      <w:r w:rsidRPr="00804DA3">
        <w:rPr>
          <w:rFonts w:ascii="Times New Roman" w:hAnsi="Times New Roman"/>
          <w:i/>
          <w:lang w:val="es-ES"/>
        </w:rPr>
        <w:t>Magyar Helsinki Bizottság c. Hungría</w:t>
      </w:r>
      <w:r w:rsidRPr="00804DA3">
        <w:rPr>
          <w:rFonts w:ascii="Times New Roman" w:hAnsi="Times New Roman"/>
          <w:lang w:val="es-ES"/>
        </w:rPr>
        <w:t>, supra</w:t>
      </w:r>
      <w:r>
        <w:rPr>
          <w:rFonts w:ascii="Times New Roman" w:hAnsi="Times New Roman"/>
          <w:lang w:val="es-ES"/>
        </w:rPr>
        <w:t>, párr.</w:t>
      </w:r>
      <w:r w:rsidRPr="00D03F0E">
        <w:rPr>
          <w:rFonts w:ascii="Times New Roman" w:hAnsi="Times New Roman"/>
          <w:lang w:val="es-ES"/>
        </w:rPr>
        <w:t xml:space="preserve"> 169.</w:t>
      </w:r>
    </w:p>
  </w:footnote>
  <w:footnote w:id="75">
    <w:p w:rsidR="00677F54" w:rsidRPr="00D03F0E" w:rsidRDefault="00677F54" w:rsidP="00B31A92">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Consejo de Derechos Humanos, Informe del Grupo de trabajo sobre desapariciones forzadas e involuntarias, Comentario General sobre el derecho a la verdad en relación con las desapariciones forzadas (A/HRC/16/48, 26 de enero de 2011), parágrafos 2 (p. 13) y 9 (p. 17).</w:t>
      </w:r>
    </w:p>
  </w:footnote>
  <w:footnote w:id="76">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Así se pronuncia LÓPEZ GUERRA, Luis, </w:t>
      </w:r>
      <w:r w:rsidRPr="00D03F0E">
        <w:rPr>
          <w:rFonts w:ascii="Times New Roman" w:hAnsi="Times New Roman"/>
          <w:i/>
          <w:lang w:val="es-ES"/>
        </w:rPr>
        <w:t>ob</w:t>
      </w:r>
      <w:r w:rsidRPr="00D03F0E">
        <w:rPr>
          <w:rFonts w:ascii="Times New Roman" w:hAnsi="Times New Roman"/>
          <w:lang w:val="es-ES"/>
        </w:rPr>
        <w:t>. cit., p. 28.</w:t>
      </w:r>
    </w:p>
  </w:footnote>
  <w:footnote w:id="77">
    <w:p w:rsidR="00677F54" w:rsidRPr="00D03F0E" w:rsidRDefault="00677F54" w:rsidP="0056645F">
      <w:pPr>
        <w:spacing w:after="0" w:line="240" w:lineRule="auto"/>
        <w:jc w:val="both"/>
        <w:rPr>
          <w:rFonts w:ascii="Times New Roman" w:hAnsi="Times New Roman"/>
          <w:sz w:val="20"/>
          <w:szCs w:val="20"/>
          <w:lang w:val="es-ES"/>
        </w:rPr>
      </w:pPr>
      <w:r w:rsidRPr="00D03F0E">
        <w:rPr>
          <w:rStyle w:val="Refdenotaalpie"/>
          <w:rFonts w:ascii="Times New Roman" w:hAnsi="Times New Roman"/>
          <w:sz w:val="20"/>
          <w:szCs w:val="20"/>
          <w:lang w:val="es-ES"/>
        </w:rPr>
        <w:footnoteRef/>
      </w:r>
      <w:r w:rsidRPr="00D03F0E">
        <w:rPr>
          <w:rFonts w:ascii="Times New Roman" w:hAnsi="Times New Roman"/>
          <w:sz w:val="20"/>
          <w:szCs w:val="20"/>
          <w:lang w:val="es-ES"/>
        </w:rPr>
        <w:t xml:space="preserve"> Louis Joinet lo advierte en un artículo de opinión, titulado “Les archives contre líoubli”, publicado en </w:t>
      </w:r>
      <w:r w:rsidRPr="00D03F0E">
        <w:rPr>
          <w:rFonts w:ascii="Times New Roman" w:hAnsi="Times New Roman"/>
          <w:i/>
          <w:sz w:val="20"/>
          <w:szCs w:val="20"/>
          <w:lang w:val="es-ES"/>
        </w:rPr>
        <w:t>Le Monde</w:t>
      </w:r>
      <w:r w:rsidRPr="00D03F0E">
        <w:rPr>
          <w:rFonts w:ascii="Times New Roman" w:hAnsi="Times New Roman"/>
          <w:sz w:val="20"/>
          <w:szCs w:val="20"/>
          <w:lang w:val="es-ES"/>
        </w:rPr>
        <w:t>, el 23 de junio de 2004: “deslindar responsabilidades por las violaciones de derechos humanos, permitir que se haga justicia y que las víctimas conozcan la verdad, todo ello exige pruebas. Sin embargo, se tiende a olvidar algo evidente: las pruebas dependen en gran parte de los archivos”. En este sentido también, el Alto Comisionado de Naciones Unidas para los Derechos Humanos advierte que “la protección de los archivos y los expedientes de violaciones manifiestas de los derechos humanos, así como la protección de los testigos y otras personas que tomen parte en juicios por tales violaciones” resulta fundamental para el ejercicio del derecho a la verdad (A/HRC/12/19, Distr. general 21 de agosto de 2009, parágrafo 2).</w:t>
      </w:r>
    </w:p>
  </w:footnote>
  <w:footnote w:id="78">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LÓPEZ GUERRA, Luis, </w:t>
      </w:r>
      <w:r w:rsidRPr="00D03F0E">
        <w:rPr>
          <w:rFonts w:ascii="Times New Roman" w:hAnsi="Times New Roman"/>
          <w:i/>
          <w:lang w:val="es-ES"/>
        </w:rPr>
        <w:t>ob</w:t>
      </w:r>
      <w:r w:rsidRPr="00D03F0E">
        <w:rPr>
          <w:rFonts w:ascii="Times New Roman" w:hAnsi="Times New Roman"/>
          <w:lang w:val="es-ES"/>
        </w:rPr>
        <w:t xml:space="preserve">. cit., pp. 28-29, advierte la particular relevancia que al respecto tiene el informe del Consejo de Derechos Humanos del año 2009 sobre conservación de archivos Consejo de Derechos Humanos. </w:t>
      </w:r>
      <w:r w:rsidRPr="00D03F0E">
        <w:rPr>
          <w:rFonts w:ascii="Times New Roman" w:hAnsi="Times New Roman"/>
          <w:i/>
          <w:lang w:val="es-ES"/>
        </w:rPr>
        <w:t>El derecho a la verdad. Informe de la Oficina del Alto Comisionado de las Naciones Unidas parta los Derechos Humanos</w:t>
      </w:r>
      <w:r w:rsidRPr="00D03F0E">
        <w:rPr>
          <w:rFonts w:ascii="Times New Roman" w:hAnsi="Times New Roman"/>
          <w:lang w:val="es-ES"/>
        </w:rPr>
        <w:t>, Doc. A/HRC/12/19, 21 de agosto de 2009.</w:t>
      </w:r>
    </w:p>
  </w:footnote>
  <w:footnote w:id="79">
    <w:p w:rsidR="006927BE" w:rsidRPr="00D03F0E" w:rsidRDefault="006927BE" w:rsidP="006927BE">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Véase el Parágrafo 17 del Informe que acompaña a este </w:t>
      </w:r>
      <w:r w:rsidRPr="00D03F0E">
        <w:rPr>
          <w:rFonts w:ascii="Times New Roman" w:hAnsi="Times New Roman"/>
          <w:i/>
          <w:lang w:val="es-ES"/>
        </w:rPr>
        <w:t>Conjunto de Principios</w:t>
      </w:r>
      <w:r w:rsidRPr="00D03F0E">
        <w:rPr>
          <w:rFonts w:ascii="Times New Roman" w:hAnsi="Times New Roman"/>
          <w:lang w:val="es-ES"/>
        </w:rPr>
        <w:t xml:space="preserve"> (doc. de Naciones Unidas E/CN.4/Sub.2/1997/20/Rev.1). Sobre los peligros del revisionismo histórico, véanse entre otras, las decisions de inadmisión del TEDH en los casos </w:t>
      </w:r>
      <w:r w:rsidRPr="00D03F0E">
        <w:rPr>
          <w:rFonts w:ascii="Times New Roman" w:hAnsi="Times New Roman"/>
          <w:i/>
          <w:lang w:val="es-ES"/>
        </w:rPr>
        <w:t>Garaudy c. Francia</w:t>
      </w:r>
      <w:r w:rsidRPr="00D03F0E">
        <w:rPr>
          <w:rFonts w:ascii="Times New Roman" w:hAnsi="Times New Roman"/>
          <w:bCs/>
          <w:lang w:val="es-ES"/>
        </w:rPr>
        <w:t xml:space="preserve">, </w:t>
      </w:r>
      <w:r>
        <w:rPr>
          <w:rFonts w:ascii="Times New Roman" w:hAnsi="Times New Roman"/>
          <w:lang w:val="es-ES"/>
        </w:rPr>
        <w:t>núm 65831/01. Sentencia</w:t>
      </w:r>
      <w:r w:rsidRPr="00D03F0E">
        <w:rPr>
          <w:rFonts w:ascii="Times New Roman" w:hAnsi="Times New Roman"/>
          <w:lang w:val="es-ES"/>
        </w:rPr>
        <w:t xml:space="preserve"> </w:t>
      </w:r>
      <w:r w:rsidRPr="00D03F0E">
        <w:rPr>
          <w:rFonts w:ascii="Times New Roman" w:hAnsi="Times New Roman"/>
          <w:bCs/>
          <w:lang w:val="es-ES"/>
        </w:rPr>
        <w:t xml:space="preserve">de </w:t>
      </w:r>
      <w:r w:rsidRPr="00D03F0E">
        <w:rPr>
          <w:rFonts w:ascii="Times New Roman" w:hAnsi="Times New Roman"/>
          <w:lang w:val="es-ES"/>
        </w:rPr>
        <w:t xml:space="preserve">24 de junio 2003; </w:t>
      </w:r>
      <w:r w:rsidRPr="00D03F0E">
        <w:rPr>
          <w:rFonts w:ascii="Times New Roman" w:hAnsi="Times New Roman"/>
          <w:i/>
          <w:lang w:val="es-ES"/>
        </w:rPr>
        <w:t>M’Bala M’Bala c. Francia</w:t>
      </w:r>
      <w:r w:rsidRPr="00D03F0E">
        <w:rPr>
          <w:rFonts w:ascii="Times New Roman" w:hAnsi="Times New Roman"/>
          <w:lang w:val="es-ES"/>
        </w:rPr>
        <w:t xml:space="preserve">, </w:t>
      </w:r>
      <w:r>
        <w:rPr>
          <w:rFonts w:ascii="Times New Roman" w:hAnsi="Times New Roman"/>
          <w:bCs/>
          <w:lang w:val="es-ES"/>
        </w:rPr>
        <w:t xml:space="preserve">núm. 25239/13. Sentencia </w:t>
      </w:r>
      <w:r w:rsidRPr="00D03F0E">
        <w:rPr>
          <w:rFonts w:ascii="Times New Roman" w:hAnsi="Times New Roman"/>
          <w:bCs/>
          <w:lang w:val="es-ES"/>
        </w:rPr>
        <w:t>de 20 de octubre de 2015</w:t>
      </w:r>
      <w:r>
        <w:rPr>
          <w:rFonts w:ascii="Times New Roman" w:hAnsi="Times New Roman"/>
          <w:bCs/>
          <w:lang w:val="es-ES"/>
        </w:rPr>
        <w:t>.</w:t>
      </w:r>
    </w:p>
  </w:footnote>
  <w:footnote w:id="80">
    <w:p w:rsidR="00677F54" w:rsidRPr="00D03F0E" w:rsidRDefault="00677F54" w:rsidP="0056645F">
      <w:pPr>
        <w:pStyle w:val="Textonotapie"/>
        <w:jc w:val="both"/>
        <w:rPr>
          <w:rFonts w:ascii="Times New Roman" w:hAnsi="Times New Roman"/>
          <w:lang w:val="es-ES"/>
        </w:rPr>
      </w:pPr>
      <w:r w:rsidRPr="00D03F0E">
        <w:rPr>
          <w:rStyle w:val="Refdenotaalpie"/>
          <w:rFonts w:ascii="Times New Roman" w:hAnsi="Times New Roman"/>
          <w:lang w:val="es-ES"/>
        </w:rPr>
        <w:footnoteRef/>
      </w:r>
      <w:r w:rsidRPr="00D03F0E">
        <w:rPr>
          <w:rFonts w:ascii="Times New Roman" w:hAnsi="Times New Roman"/>
          <w:lang w:val="es-ES"/>
        </w:rPr>
        <w:t xml:space="preserve"> Definición del Diccionario de la Real Academia de la Lengua Española. En su vot</w:t>
      </w:r>
      <w:r>
        <w:rPr>
          <w:rFonts w:ascii="Times New Roman" w:hAnsi="Times New Roman"/>
          <w:lang w:val="es-ES"/>
        </w:rPr>
        <w:t>o concurrente, el juez advierte</w:t>
      </w:r>
      <w:r w:rsidRPr="00D03F0E">
        <w:rPr>
          <w:rFonts w:ascii="Times New Roman" w:hAnsi="Times New Roman"/>
          <w:lang w:val="es-ES"/>
        </w:rPr>
        <w:t>: “Vivimos abrumados por crisis sistémicas múltiples y conglobadas, pre existentes a la pandemia del coronavirus pero que hoy las hemos visto emerger y exponerse de manera cruda y violenta, en claves que se tornan imposible de racionalizar desde la lógica formal o compleja, o lo que es peor aún, desde las añejas y casi siempre olvidadas herramientas que otorga el sentido común simple y llano. Vivimos la era de la pos verdad (sic), el engaño sistemático, la desvergüenza, la anti política, la negación de lo obvio, el engaño desenfadado y sistemático, repetido y amplificado por las redes sociales y medios de información y comunicación hegemónicos que hasta el cansancio nos convencen de la transmutación de lo lógico, verdadero y comprobable por la cultura expresada en el famoso tango Cambalache de Enrique Santos Discépolo”.</w:t>
      </w:r>
    </w:p>
  </w:footnote>
  <w:footnote w:id="81">
    <w:p w:rsidR="00677F54" w:rsidRPr="00246B54" w:rsidRDefault="00677F54" w:rsidP="00246B54">
      <w:pPr>
        <w:pStyle w:val="Textonotapie"/>
        <w:jc w:val="both"/>
        <w:rPr>
          <w:rFonts w:ascii="Times New Roman" w:hAnsi="Times New Roman"/>
          <w:lang w:val="es-ES"/>
        </w:rPr>
      </w:pPr>
      <w:r w:rsidRPr="00246B54">
        <w:rPr>
          <w:rStyle w:val="Refdenotaalpie"/>
          <w:rFonts w:ascii="Times New Roman" w:hAnsi="Times New Roman"/>
        </w:rPr>
        <w:footnoteRef/>
      </w:r>
      <w:r w:rsidRPr="00246B54">
        <w:rPr>
          <w:rFonts w:ascii="Times New Roman" w:hAnsi="Times New Roman"/>
        </w:rPr>
        <w:t xml:space="preserve"> </w:t>
      </w:r>
      <w:r w:rsidRPr="00246B54">
        <w:rPr>
          <w:rFonts w:ascii="Times New Roman" w:hAnsi="Times New Roman"/>
          <w:lang w:val="es-ES"/>
        </w:rPr>
        <w:t>Las sentencias relacionadas son exclusivamente las citadas en este trabajo. La</w:t>
      </w:r>
      <w:r>
        <w:rPr>
          <w:rFonts w:ascii="Times New Roman" w:hAnsi="Times New Roman"/>
          <w:lang w:val="es-ES"/>
        </w:rPr>
        <w:t>s de</w:t>
      </w:r>
      <w:r w:rsidRPr="00246B54">
        <w:rPr>
          <w:rFonts w:ascii="Times New Roman" w:hAnsi="Times New Roman"/>
          <w:lang w:val="es-ES"/>
        </w:rPr>
        <w:t xml:space="preserve"> la Corte Interamericana no es</w:t>
      </w:r>
      <w:r>
        <w:rPr>
          <w:rFonts w:ascii="Times New Roman" w:hAnsi="Times New Roman"/>
          <w:lang w:val="es-ES"/>
        </w:rPr>
        <w:t xml:space="preserve"> una lista </w:t>
      </w:r>
      <w:r w:rsidRPr="00246B54">
        <w:rPr>
          <w:rFonts w:ascii="Times New Roman" w:hAnsi="Times New Roman"/>
          <w:lang w:val="es-ES"/>
        </w:rPr>
        <w:t>exhaustiva.</w:t>
      </w:r>
      <w:r>
        <w:rPr>
          <w:rFonts w:ascii="Times New Roman" w:hAnsi="Times New Roman"/>
          <w:lang w:val="es-ES"/>
        </w:rPr>
        <w:t xml:space="preserve"> Sí lo es las </w:t>
      </w:r>
      <w:r w:rsidRPr="00246B54">
        <w:rPr>
          <w:rFonts w:ascii="Times New Roman" w:hAnsi="Times New Roman"/>
          <w:lang w:val="es-ES"/>
        </w:rPr>
        <w:t xml:space="preserve">del TEDH.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2ED3"/>
    <w:multiLevelType w:val="hybridMultilevel"/>
    <w:tmpl w:val="067C05F6"/>
    <w:lvl w:ilvl="0" w:tplc="0C709A90">
      <w:start w:val="252"/>
      <w:numFmt w:val="decimal"/>
      <w:lvlText w:val="%1."/>
      <w:lvlJc w:val="left"/>
      <w:pPr>
        <w:ind w:left="119" w:hanging="567"/>
      </w:pPr>
      <w:rPr>
        <w:rFonts w:ascii="Verdana" w:eastAsia="Verdana" w:hAnsi="Verdana" w:cs="Verdana" w:hint="default"/>
        <w:w w:val="99"/>
        <w:sz w:val="20"/>
        <w:szCs w:val="20"/>
      </w:rPr>
    </w:lvl>
    <w:lvl w:ilvl="1" w:tplc="2BBAEE88">
      <w:start w:val="1"/>
      <w:numFmt w:val="lowerRoman"/>
      <w:lvlText w:val="%2."/>
      <w:lvlJc w:val="left"/>
      <w:pPr>
        <w:ind w:left="1291" w:hanging="555"/>
        <w:jc w:val="right"/>
      </w:pPr>
      <w:rPr>
        <w:rFonts w:ascii="Verdana" w:eastAsia="Verdana" w:hAnsi="Verdana" w:cs="Verdana" w:hint="default"/>
        <w:spacing w:val="-1"/>
        <w:w w:val="100"/>
        <w:sz w:val="16"/>
        <w:szCs w:val="16"/>
      </w:rPr>
    </w:lvl>
    <w:lvl w:ilvl="2" w:tplc="9CE0CCF4">
      <w:numFmt w:val="bullet"/>
      <w:lvlText w:val="•"/>
      <w:lvlJc w:val="left"/>
      <w:pPr>
        <w:ind w:left="2222" w:hanging="555"/>
      </w:pPr>
      <w:rPr>
        <w:rFonts w:hint="default"/>
      </w:rPr>
    </w:lvl>
    <w:lvl w:ilvl="3" w:tplc="2E586F84">
      <w:numFmt w:val="bullet"/>
      <w:lvlText w:val="•"/>
      <w:lvlJc w:val="left"/>
      <w:pPr>
        <w:ind w:left="3144" w:hanging="555"/>
      </w:pPr>
      <w:rPr>
        <w:rFonts w:hint="default"/>
      </w:rPr>
    </w:lvl>
    <w:lvl w:ilvl="4" w:tplc="96666C28">
      <w:numFmt w:val="bullet"/>
      <w:lvlText w:val="•"/>
      <w:lvlJc w:val="left"/>
      <w:pPr>
        <w:ind w:left="4066" w:hanging="555"/>
      </w:pPr>
      <w:rPr>
        <w:rFonts w:hint="default"/>
      </w:rPr>
    </w:lvl>
    <w:lvl w:ilvl="5" w:tplc="9B50DF14">
      <w:numFmt w:val="bullet"/>
      <w:lvlText w:val="•"/>
      <w:lvlJc w:val="left"/>
      <w:pPr>
        <w:ind w:left="4988" w:hanging="555"/>
      </w:pPr>
      <w:rPr>
        <w:rFonts w:hint="default"/>
      </w:rPr>
    </w:lvl>
    <w:lvl w:ilvl="6" w:tplc="AE241A26">
      <w:numFmt w:val="bullet"/>
      <w:lvlText w:val="•"/>
      <w:lvlJc w:val="left"/>
      <w:pPr>
        <w:ind w:left="5911" w:hanging="555"/>
      </w:pPr>
      <w:rPr>
        <w:rFonts w:hint="default"/>
      </w:rPr>
    </w:lvl>
    <w:lvl w:ilvl="7" w:tplc="7DBACC36">
      <w:numFmt w:val="bullet"/>
      <w:lvlText w:val="•"/>
      <w:lvlJc w:val="left"/>
      <w:pPr>
        <w:ind w:left="6833" w:hanging="555"/>
      </w:pPr>
      <w:rPr>
        <w:rFonts w:hint="default"/>
      </w:rPr>
    </w:lvl>
    <w:lvl w:ilvl="8" w:tplc="A7784D7A">
      <w:numFmt w:val="bullet"/>
      <w:lvlText w:val="•"/>
      <w:lvlJc w:val="left"/>
      <w:pPr>
        <w:ind w:left="7755" w:hanging="555"/>
      </w:pPr>
      <w:rPr>
        <w:rFonts w:hint="default"/>
      </w:rPr>
    </w:lvl>
  </w:abstractNum>
  <w:abstractNum w:abstractNumId="1" w15:restartNumberingAfterBreak="0">
    <w:nsid w:val="08345363"/>
    <w:multiLevelType w:val="hybridMultilevel"/>
    <w:tmpl w:val="A9384A2E"/>
    <w:lvl w:ilvl="0" w:tplc="266A1AD6">
      <w:start w:val="82"/>
      <w:numFmt w:val="decimal"/>
      <w:lvlText w:val="%1."/>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13076EE">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9BC591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4E29A58">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96ADB3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210964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71C243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E46E61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8DA84A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71B5E7D"/>
    <w:multiLevelType w:val="hybridMultilevel"/>
    <w:tmpl w:val="461E5B44"/>
    <w:lvl w:ilvl="0" w:tplc="95706F08">
      <w:start w:val="170"/>
      <w:numFmt w:val="decimal"/>
      <w:lvlText w:val="%1."/>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DE28AD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3BA35F0">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5984A3A">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0C03F4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C52A520">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46C91A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78CB6A4">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23E5D3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E97D93"/>
    <w:multiLevelType w:val="hybridMultilevel"/>
    <w:tmpl w:val="A4A032A6"/>
    <w:lvl w:ilvl="0" w:tplc="89308D06">
      <w:start w:val="74"/>
      <w:numFmt w:val="decimal"/>
      <w:lvlText w:val="%1."/>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0F4F0EC">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B665B3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B96703E">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9A82D9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3303DD0">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1960D1A">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94293B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A8EA24E">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6E65998"/>
    <w:multiLevelType w:val="hybridMultilevel"/>
    <w:tmpl w:val="26806568"/>
    <w:lvl w:ilvl="0" w:tplc="DC3CAB8A">
      <w:start w:val="1"/>
      <w:numFmt w:val="decimal"/>
      <w:lvlText w:val="%1."/>
      <w:lvlJc w:val="left"/>
      <w:pPr>
        <w:ind w:left="8190" w:hanging="360"/>
      </w:pPr>
      <w:rPr>
        <w:rFonts w:ascii="Verdana" w:hAnsi="Verdana" w:hint="default"/>
        <w:b w:val="0"/>
        <w:i w:val="0"/>
        <w:strike w:val="0"/>
        <w:sz w:val="20"/>
        <w:szCs w:val="20"/>
        <w:lang w:val="es-ES"/>
      </w:rPr>
    </w:lvl>
    <w:lvl w:ilvl="1" w:tplc="1D2CABE6">
      <w:start w:val="1"/>
      <w:numFmt w:val="lowerLetter"/>
      <w:lvlText w:val="%2)"/>
      <w:lvlJc w:val="left"/>
      <w:pPr>
        <w:ind w:left="1080" w:hanging="360"/>
      </w:pPr>
      <w:rPr>
        <w:rFonts w:ascii="Verdana" w:eastAsia="Calibri" w:hAnsi="Verdana" w:cs="Calibri"/>
        <w:i w:val="0"/>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5" w15:restartNumberingAfterBreak="0">
    <w:nsid w:val="39CC010C"/>
    <w:multiLevelType w:val="hybridMultilevel"/>
    <w:tmpl w:val="B0E4A87E"/>
    <w:lvl w:ilvl="0" w:tplc="6D98C2B8">
      <w:start w:val="136"/>
      <w:numFmt w:val="decimal"/>
      <w:lvlText w:val="%1."/>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28C73CA">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C26868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1D2B4E8">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120D8A8">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AAC6FCC">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34AFD7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D22FDB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7CAD7C0">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F4A4267"/>
    <w:multiLevelType w:val="hybridMultilevel"/>
    <w:tmpl w:val="E00A5B84"/>
    <w:lvl w:ilvl="0" w:tplc="6F44E9AA">
      <w:numFmt w:val="bullet"/>
      <w:lvlText w:val="-"/>
      <w:lvlJc w:val="left"/>
      <w:pPr>
        <w:ind w:left="720" w:hanging="360"/>
      </w:pPr>
      <w:rPr>
        <w:rFonts w:ascii="Times New Roman" w:eastAsia="Times New Roman" w:hAnsi="Times New Roman" w:hint="default"/>
        <w:i/>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E06E32"/>
    <w:multiLevelType w:val="hybridMultilevel"/>
    <w:tmpl w:val="FABE0216"/>
    <w:lvl w:ilvl="0" w:tplc="6F323408">
      <w:start w:val="1"/>
      <w:numFmt w:val="decimal"/>
      <w:lvlText w:val="%1."/>
      <w:lvlJc w:val="left"/>
      <w:pPr>
        <w:tabs>
          <w:tab w:val="num" w:pos="5057"/>
        </w:tabs>
      </w:pPr>
      <w:rPr>
        <w:rFonts w:ascii="Verdana" w:eastAsia="Times New Roman" w:hAnsi="Verdana" w:cs="Times New Roman" w:hint="default"/>
        <w:b w:val="0"/>
        <w:i w:val="0"/>
        <w:strike w:val="0"/>
        <w:color w:val="auto"/>
        <w:sz w:val="20"/>
        <w:lang w:val="es-ES"/>
      </w:rPr>
    </w:lvl>
    <w:lvl w:ilvl="1" w:tplc="91ECB87E">
      <w:start w:val="1"/>
      <w:numFmt w:val="lowerLetter"/>
      <w:lvlText w:val="%2)"/>
      <w:lvlJc w:val="left"/>
      <w:pPr>
        <w:tabs>
          <w:tab w:val="num" w:pos="1080"/>
        </w:tabs>
        <w:ind w:left="1080" w:hanging="360"/>
      </w:pPr>
      <w:rPr>
        <w:rFonts w:cs="Times New Roman" w:hint="default"/>
        <w:b w:val="0"/>
        <w:i w:val="0"/>
        <w:sz w:val="20"/>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8" w15:restartNumberingAfterBreak="0">
    <w:nsid w:val="549A613C"/>
    <w:multiLevelType w:val="hybridMultilevel"/>
    <w:tmpl w:val="CEDC7F7C"/>
    <w:lvl w:ilvl="0" w:tplc="CE1C998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D595A"/>
    <w:multiLevelType w:val="hybridMultilevel"/>
    <w:tmpl w:val="3634E66C"/>
    <w:lvl w:ilvl="0" w:tplc="792AC8FC">
      <w:start w:val="100"/>
      <w:numFmt w:val="decimal"/>
      <w:lvlText w:val="%1."/>
      <w:lvlJc w:val="left"/>
      <w:pPr>
        <w:ind w:left="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7A216B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B52A2B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7A86DA0">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46438F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3C6EE32">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62EA0A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07E664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3B69BF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A8C0434"/>
    <w:multiLevelType w:val="hybridMultilevel"/>
    <w:tmpl w:val="6606507E"/>
    <w:lvl w:ilvl="0" w:tplc="8506DA8A">
      <w:start w:val="1"/>
      <w:numFmt w:val="decimal"/>
      <w:lvlText w:val="%1."/>
      <w:lvlJc w:val="left"/>
      <w:pPr>
        <w:ind w:left="720" w:hanging="360"/>
      </w:pPr>
      <w:rPr>
        <w:rFonts w:ascii="Verdana" w:hAnsi="Verdana"/>
        <w:b w:val="0"/>
        <w:i w:val="0"/>
        <w:sz w:val="20"/>
        <w:lang w:val="es-CR"/>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2A07233"/>
    <w:multiLevelType w:val="hybridMultilevel"/>
    <w:tmpl w:val="6AA6C4BE"/>
    <w:lvl w:ilvl="0" w:tplc="0B96D838">
      <w:start w:val="1"/>
      <w:numFmt w:val="lowerLetter"/>
      <w:lvlText w:val="%1)"/>
      <w:lvlJc w:val="left"/>
      <w:pPr>
        <w:ind w:left="720" w:hanging="360"/>
      </w:pPr>
      <w:rPr>
        <w:rFonts w:ascii="TimesNewRoman,Italic" w:hAnsi="TimesNewRoman,Italic" w:cs="TimesNewRoman,Italic"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4182FFA"/>
    <w:multiLevelType w:val="hybridMultilevel"/>
    <w:tmpl w:val="EDAC872E"/>
    <w:lvl w:ilvl="0" w:tplc="9D429CD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518116A"/>
    <w:multiLevelType w:val="hybridMultilevel"/>
    <w:tmpl w:val="79B22D04"/>
    <w:lvl w:ilvl="0" w:tplc="2CFC378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6C55FF7"/>
    <w:multiLevelType w:val="hybridMultilevel"/>
    <w:tmpl w:val="9F2AB1EE"/>
    <w:lvl w:ilvl="0" w:tplc="9558EC3E">
      <w:start w:val="113"/>
      <w:numFmt w:val="decimal"/>
      <w:lvlText w:val="%1."/>
      <w:lvlJc w:val="left"/>
      <w:pPr>
        <w:ind w:left="71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D040DD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D96B810">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6FA3AB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D2C8F8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3E6DED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ACC0E9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35C234C">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FFAC43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85602E8"/>
    <w:multiLevelType w:val="hybridMultilevel"/>
    <w:tmpl w:val="CB0C1CF6"/>
    <w:lvl w:ilvl="0" w:tplc="588EC156">
      <w:start w:val="1"/>
      <w:numFmt w:val="decimal"/>
      <w:pStyle w:val="PrrafodeSentencia"/>
      <w:lvlText w:val="%1."/>
      <w:lvlJc w:val="left"/>
      <w:pPr>
        <w:ind w:left="1428" w:hanging="360"/>
      </w:pPr>
      <w:rPr>
        <w:rFonts w:ascii="Verdana" w:eastAsia="Calibri" w:hAnsi="Verdana" w:cs="Arial Narrow" w:hint="default"/>
        <w:b w:val="0"/>
        <w:i w:val="0"/>
        <w:sz w:val="20"/>
      </w:r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16" w15:restartNumberingAfterBreak="0">
    <w:nsid w:val="75B32856"/>
    <w:multiLevelType w:val="hybridMultilevel"/>
    <w:tmpl w:val="2D4C14EC"/>
    <w:lvl w:ilvl="0" w:tplc="11C63B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6DD53EA"/>
    <w:multiLevelType w:val="hybridMultilevel"/>
    <w:tmpl w:val="6E5C501C"/>
    <w:lvl w:ilvl="0" w:tplc="7EE24C96">
      <w:start w:val="75"/>
      <w:numFmt w:val="decimal"/>
      <w:lvlText w:val="%1."/>
      <w:lvlJc w:val="left"/>
      <w:pPr>
        <w:ind w:left="370" w:hanging="360"/>
      </w:pPr>
      <w:rPr>
        <w:rFonts w:hint="default"/>
      </w:rPr>
    </w:lvl>
    <w:lvl w:ilvl="1" w:tplc="0C0A0019" w:tentative="1">
      <w:start w:val="1"/>
      <w:numFmt w:val="lowerLetter"/>
      <w:lvlText w:val="%2."/>
      <w:lvlJc w:val="left"/>
      <w:pPr>
        <w:ind w:left="1090" w:hanging="360"/>
      </w:pPr>
    </w:lvl>
    <w:lvl w:ilvl="2" w:tplc="0C0A001B" w:tentative="1">
      <w:start w:val="1"/>
      <w:numFmt w:val="lowerRoman"/>
      <w:lvlText w:val="%3."/>
      <w:lvlJc w:val="right"/>
      <w:pPr>
        <w:ind w:left="1810" w:hanging="180"/>
      </w:pPr>
    </w:lvl>
    <w:lvl w:ilvl="3" w:tplc="0C0A000F" w:tentative="1">
      <w:start w:val="1"/>
      <w:numFmt w:val="decimal"/>
      <w:lvlText w:val="%4."/>
      <w:lvlJc w:val="left"/>
      <w:pPr>
        <w:ind w:left="2530" w:hanging="360"/>
      </w:pPr>
    </w:lvl>
    <w:lvl w:ilvl="4" w:tplc="0C0A0019" w:tentative="1">
      <w:start w:val="1"/>
      <w:numFmt w:val="lowerLetter"/>
      <w:lvlText w:val="%5."/>
      <w:lvlJc w:val="left"/>
      <w:pPr>
        <w:ind w:left="3250" w:hanging="360"/>
      </w:pPr>
    </w:lvl>
    <w:lvl w:ilvl="5" w:tplc="0C0A001B" w:tentative="1">
      <w:start w:val="1"/>
      <w:numFmt w:val="lowerRoman"/>
      <w:lvlText w:val="%6."/>
      <w:lvlJc w:val="right"/>
      <w:pPr>
        <w:ind w:left="3970" w:hanging="180"/>
      </w:pPr>
    </w:lvl>
    <w:lvl w:ilvl="6" w:tplc="0C0A000F" w:tentative="1">
      <w:start w:val="1"/>
      <w:numFmt w:val="decimal"/>
      <w:lvlText w:val="%7."/>
      <w:lvlJc w:val="left"/>
      <w:pPr>
        <w:ind w:left="4690" w:hanging="360"/>
      </w:pPr>
    </w:lvl>
    <w:lvl w:ilvl="7" w:tplc="0C0A0019" w:tentative="1">
      <w:start w:val="1"/>
      <w:numFmt w:val="lowerLetter"/>
      <w:lvlText w:val="%8."/>
      <w:lvlJc w:val="left"/>
      <w:pPr>
        <w:ind w:left="5410" w:hanging="360"/>
      </w:pPr>
    </w:lvl>
    <w:lvl w:ilvl="8" w:tplc="0C0A001B" w:tentative="1">
      <w:start w:val="1"/>
      <w:numFmt w:val="lowerRoman"/>
      <w:lvlText w:val="%9."/>
      <w:lvlJc w:val="right"/>
      <w:pPr>
        <w:ind w:left="6130" w:hanging="180"/>
      </w:pPr>
    </w:lvl>
  </w:abstractNum>
  <w:abstractNum w:abstractNumId="18" w15:restartNumberingAfterBreak="0">
    <w:nsid w:val="79354707"/>
    <w:multiLevelType w:val="hybridMultilevel"/>
    <w:tmpl w:val="2D522CAE"/>
    <w:lvl w:ilvl="0" w:tplc="8E2CDAEA">
      <w:start w:val="1"/>
      <w:numFmt w:val="decimal"/>
      <w:lvlText w:val="%1."/>
      <w:lvlJc w:val="left"/>
      <w:pPr>
        <w:ind w:left="1534" w:hanging="825"/>
      </w:pPr>
      <w:rPr>
        <w:rFonts w:eastAsia="Verdana" w:cs="Verdana"/>
        <w:b w:val="0"/>
        <w:i w:val="0"/>
        <w:color w:val="auto"/>
        <w:sz w:val="20"/>
        <w:szCs w:val="20"/>
        <w:lang w:val="es-ES_tradnl"/>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9" w15:restartNumberingAfterBreak="0">
    <w:nsid w:val="7BA004F5"/>
    <w:multiLevelType w:val="hybridMultilevel"/>
    <w:tmpl w:val="B842758A"/>
    <w:lvl w:ilvl="0" w:tplc="8FE276D6">
      <w:start w:val="119"/>
      <w:numFmt w:val="decimal"/>
      <w:lvlText w:val="%1."/>
      <w:lvlJc w:val="left"/>
      <w:pPr>
        <w:ind w:left="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D8A8826">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BDCBA4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41A6A8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56070B4">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0DA2522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ED83AF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694E9B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8262600">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EB00A3F"/>
    <w:multiLevelType w:val="hybridMultilevel"/>
    <w:tmpl w:val="81922032"/>
    <w:lvl w:ilvl="0" w:tplc="8988B4E0">
      <w:start w:val="1"/>
      <w:numFmt w:val="decimal"/>
      <w:lvlText w:val="%1."/>
      <w:lvlJc w:val="left"/>
      <w:pPr>
        <w:ind w:left="398" w:hanging="567"/>
      </w:pPr>
      <w:rPr>
        <w:rFonts w:ascii="Verdana" w:eastAsia="Verdana" w:hAnsi="Verdana" w:cs="Verdana" w:hint="default"/>
        <w:b w:val="0"/>
        <w:bCs w:val="0"/>
        <w:i w:val="0"/>
        <w:iCs w:val="0"/>
        <w:w w:val="99"/>
        <w:sz w:val="20"/>
        <w:szCs w:val="20"/>
      </w:rPr>
    </w:lvl>
    <w:lvl w:ilvl="1" w:tplc="A1864278">
      <w:start w:val="1"/>
      <w:numFmt w:val="lowerLetter"/>
      <w:lvlText w:val="%2)"/>
      <w:lvlJc w:val="left"/>
      <w:pPr>
        <w:ind w:left="1250" w:hanging="277"/>
      </w:pPr>
      <w:rPr>
        <w:rFonts w:hint="default"/>
        <w:spacing w:val="-1"/>
        <w:w w:val="100"/>
      </w:rPr>
    </w:lvl>
    <w:lvl w:ilvl="2" w:tplc="56F0A3A4">
      <w:numFmt w:val="bullet"/>
      <w:lvlText w:val="•"/>
      <w:lvlJc w:val="left"/>
      <w:pPr>
        <w:ind w:left="1480" w:hanging="277"/>
      </w:pPr>
      <w:rPr>
        <w:rFonts w:hint="default"/>
      </w:rPr>
    </w:lvl>
    <w:lvl w:ilvl="3" w:tplc="5D96B678">
      <w:numFmt w:val="bullet"/>
      <w:lvlText w:val="•"/>
      <w:lvlJc w:val="left"/>
      <w:pPr>
        <w:ind w:left="2605" w:hanging="277"/>
      </w:pPr>
      <w:rPr>
        <w:rFonts w:hint="default"/>
      </w:rPr>
    </w:lvl>
    <w:lvl w:ilvl="4" w:tplc="D2A6C6EE">
      <w:numFmt w:val="bullet"/>
      <w:lvlText w:val="•"/>
      <w:lvlJc w:val="left"/>
      <w:pPr>
        <w:ind w:left="3730" w:hanging="277"/>
      </w:pPr>
      <w:rPr>
        <w:rFonts w:hint="default"/>
      </w:rPr>
    </w:lvl>
    <w:lvl w:ilvl="5" w:tplc="15604620">
      <w:numFmt w:val="bullet"/>
      <w:lvlText w:val="•"/>
      <w:lvlJc w:val="left"/>
      <w:pPr>
        <w:ind w:left="4855" w:hanging="277"/>
      </w:pPr>
      <w:rPr>
        <w:rFonts w:hint="default"/>
      </w:rPr>
    </w:lvl>
    <w:lvl w:ilvl="6" w:tplc="8FCAC264">
      <w:numFmt w:val="bullet"/>
      <w:lvlText w:val="•"/>
      <w:lvlJc w:val="left"/>
      <w:pPr>
        <w:ind w:left="5980" w:hanging="277"/>
      </w:pPr>
      <w:rPr>
        <w:rFonts w:hint="default"/>
      </w:rPr>
    </w:lvl>
    <w:lvl w:ilvl="7" w:tplc="1EC6FFB6">
      <w:numFmt w:val="bullet"/>
      <w:lvlText w:val="•"/>
      <w:lvlJc w:val="left"/>
      <w:pPr>
        <w:ind w:left="7105" w:hanging="277"/>
      </w:pPr>
      <w:rPr>
        <w:rFonts w:hint="default"/>
      </w:rPr>
    </w:lvl>
    <w:lvl w:ilvl="8" w:tplc="A1140A6E">
      <w:numFmt w:val="bullet"/>
      <w:lvlText w:val="•"/>
      <w:lvlJc w:val="left"/>
      <w:pPr>
        <w:ind w:left="8230" w:hanging="277"/>
      </w:pPr>
      <w:rPr>
        <w:rFonts w:hint="default"/>
      </w:rPr>
    </w:lvl>
  </w:abstractNum>
  <w:num w:numId="1">
    <w:abstractNumId w:val="6"/>
  </w:num>
  <w:num w:numId="2">
    <w:abstractNumId w:val="11"/>
  </w:num>
  <w:num w:numId="3">
    <w:abstractNumId w:val="1"/>
  </w:num>
  <w:num w:numId="4">
    <w:abstractNumId w:val="3"/>
  </w:num>
  <w:num w:numId="5">
    <w:abstractNumId w:val="17"/>
  </w:num>
  <w:num w:numId="6">
    <w:abstractNumId w:val="9"/>
  </w:num>
  <w:num w:numId="7">
    <w:abstractNumId w:val="14"/>
  </w:num>
  <w:num w:numId="8">
    <w:abstractNumId w:val="19"/>
  </w:num>
  <w:num w:numId="9">
    <w:abstractNumId w:val="5"/>
  </w:num>
  <w:num w:numId="10">
    <w:abstractNumId w:val="2"/>
  </w:num>
  <w:num w:numId="11">
    <w:abstractNumId w:val="10"/>
  </w:num>
  <w:num w:numId="12">
    <w:abstractNumId w:val="15"/>
  </w:num>
  <w:num w:numId="13">
    <w:abstractNumId w:val="18"/>
  </w:num>
  <w:num w:numId="14">
    <w:abstractNumId w:val="20"/>
  </w:num>
  <w:num w:numId="15">
    <w:abstractNumId w:val="0"/>
  </w:num>
  <w:num w:numId="16">
    <w:abstractNumId w:val="4"/>
  </w:num>
  <w:num w:numId="17">
    <w:abstractNumId w:val="7"/>
  </w:num>
  <w:num w:numId="18">
    <w:abstractNumId w:val="8"/>
  </w:num>
  <w:num w:numId="19">
    <w:abstractNumId w:val="13"/>
  </w:num>
  <w:num w:numId="20">
    <w:abstractNumId w:val="1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B5C"/>
    <w:rsid w:val="0000308E"/>
    <w:rsid w:val="000035D9"/>
    <w:rsid w:val="00005275"/>
    <w:rsid w:val="00011ED0"/>
    <w:rsid w:val="00012047"/>
    <w:rsid w:val="000146D7"/>
    <w:rsid w:val="000147E1"/>
    <w:rsid w:val="000148B7"/>
    <w:rsid w:val="00014A82"/>
    <w:rsid w:val="00015514"/>
    <w:rsid w:val="000156CA"/>
    <w:rsid w:val="00015721"/>
    <w:rsid w:val="00017632"/>
    <w:rsid w:val="0001789B"/>
    <w:rsid w:val="0002244E"/>
    <w:rsid w:val="000224AF"/>
    <w:rsid w:val="00023517"/>
    <w:rsid w:val="00024B63"/>
    <w:rsid w:val="00025CAA"/>
    <w:rsid w:val="00026B42"/>
    <w:rsid w:val="00026DD6"/>
    <w:rsid w:val="00026E19"/>
    <w:rsid w:val="00033FB4"/>
    <w:rsid w:val="000341EF"/>
    <w:rsid w:val="00035AC0"/>
    <w:rsid w:val="00035C1E"/>
    <w:rsid w:val="00035EA2"/>
    <w:rsid w:val="0004041C"/>
    <w:rsid w:val="00040C70"/>
    <w:rsid w:val="0004293D"/>
    <w:rsid w:val="00043664"/>
    <w:rsid w:val="00043E6B"/>
    <w:rsid w:val="00052029"/>
    <w:rsid w:val="00052AC8"/>
    <w:rsid w:val="00053D86"/>
    <w:rsid w:val="00054284"/>
    <w:rsid w:val="000543A9"/>
    <w:rsid w:val="0005575A"/>
    <w:rsid w:val="00056641"/>
    <w:rsid w:val="00064B0B"/>
    <w:rsid w:val="00065D71"/>
    <w:rsid w:val="00070B16"/>
    <w:rsid w:val="00076680"/>
    <w:rsid w:val="000777A2"/>
    <w:rsid w:val="0008069B"/>
    <w:rsid w:val="00081073"/>
    <w:rsid w:val="00082626"/>
    <w:rsid w:val="00083D2D"/>
    <w:rsid w:val="00084512"/>
    <w:rsid w:val="00091C7B"/>
    <w:rsid w:val="00091CCE"/>
    <w:rsid w:val="000925EF"/>
    <w:rsid w:val="00094071"/>
    <w:rsid w:val="0009568C"/>
    <w:rsid w:val="0009771D"/>
    <w:rsid w:val="00097D98"/>
    <w:rsid w:val="000A2587"/>
    <w:rsid w:val="000A6BCD"/>
    <w:rsid w:val="000A7C3F"/>
    <w:rsid w:val="000A7D82"/>
    <w:rsid w:val="000B1FFC"/>
    <w:rsid w:val="000B3F8D"/>
    <w:rsid w:val="000B4436"/>
    <w:rsid w:val="000B48C3"/>
    <w:rsid w:val="000B68B7"/>
    <w:rsid w:val="000C0AB9"/>
    <w:rsid w:val="000C14D3"/>
    <w:rsid w:val="000C1BBF"/>
    <w:rsid w:val="000C1EA1"/>
    <w:rsid w:val="000C2546"/>
    <w:rsid w:val="000C25A3"/>
    <w:rsid w:val="000C41C8"/>
    <w:rsid w:val="000C4A76"/>
    <w:rsid w:val="000C51C7"/>
    <w:rsid w:val="000C5586"/>
    <w:rsid w:val="000C5EB5"/>
    <w:rsid w:val="000C710D"/>
    <w:rsid w:val="000C7E5B"/>
    <w:rsid w:val="000D0B1A"/>
    <w:rsid w:val="000D1E2A"/>
    <w:rsid w:val="000D1F83"/>
    <w:rsid w:val="000D3571"/>
    <w:rsid w:val="000D686D"/>
    <w:rsid w:val="000D6BBA"/>
    <w:rsid w:val="000D7B45"/>
    <w:rsid w:val="000E0A1E"/>
    <w:rsid w:val="000E0ACF"/>
    <w:rsid w:val="000E0B35"/>
    <w:rsid w:val="000E2B38"/>
    <w:rsid w:val="000E4241"/>
    <w:rsid w:val="000E4B10"/>
    <w:rsid w:val="000E6DE7"/>
    <w:rsid w:val="000E70F2"/>
    <w:rsid w:val="000F1FD9"/>
    <w:rsid w:val="000F2674"/>
    <w:rsid w:val="000F26E1"/>
    <w:rsid w:val="000F4133"/>
    <w:rsid w:val="000F6517"/>
    <w:rsid w:val="000F7120"/>
    <w:rsid w:val="000F7421"/>
    <w:rsid w:val="000F7FA5"/>
    <w:rsid w:val="001006D1"/>
    <w:rsid w:val="00104667"/>
    <w:rsid w:val="0010468F"/>
    <w:rsid w:val="001062E0"/>
    <w:rsid w:val="00110E52"/>
    <w:rsid w:val="001126E0"/>
    <w:rsid w:val="001127EF"/>
    <w:rsid w:val="00114E6C"/>
    <w:rsid w:val="001209FA"/>
    <w:rsid w:val="00121B33"/>
    <w:rsid w:val="00121CAE"/>
    <w:rsid w:val="00121D63"/>
    <w:rsid w:val="00122421"/>
    <w:rsid w:val="00122785"/>
    <w:rsid w:val="00123E18"/>
    <w:rsid w:val="001254D0"/>
    <w:rsid w:val="001262DF"/>
    <w:rsid w:val="00130ECC"/>
    <w:rsid w:val="001341F2"/>
    <w:rsid w:val="00134A4B"/>
    <w:rsid w:val="001350F0"/>
    <w:rsid w:val="001415AE"/>
    <w:rsid w:val="0014187C"/>
    <w:rsid w:val="00142108"/>
    <w:rsid w:val="00142CCA"/>
    <w:rsid w:val="00142F7A"/>
    <w:rsid w:val="001435F5"/>
    <w:rsid w:val="00146358"/>
    <w:rsid w:val="00147A22"/>
    <w:rsid w:val="00152AE7"/>
    <w:rsid w:val="00153035"/>
    <w:rsid w:val="001534CB"/>
    <w:rsid w:val="001545A2"/>
    <w:rsid w:val="001549AE"/>
    <w:rsid w:val="001649DA"/>
    <w:rsid w:val="00164DEE"/>
    <w:rsid w:val="001727E3"/>
    <w:rsid w:val="00173087"/>
    <w:rsid w:val="00173209"/>
    <w:rsid w:val="00174024"/>
    <w:rsid w:val="001773C6"/>
    <w:rsid w:val="001801B4"/>
    <w:rsid w:val="00181DC8"/>
    <w:rsid w:val="001820EC"/>
    <w:rsid w:val="00183C20"/>
    <w:rsid w:val="0018498C"/>
    <w:rsid w:val="001862E3"/>
    <w:rsid w:val="00186528"/>
    <w:rsid w:val="00190BBC"/>
    <w:rsid w:val="00194BD8"/>
    <w:rsid w:val="001975EA"/>
    <w:rsid w:val="001978FD"/>
    <w:rsid w:val="001A00D6"/>
    <w:rsid w:val="001A3784"/>
    <w:rsid w:val="001A40B1"/>
    <w:rsid w:val="001A5EE6"/>
    <w:rsid w:val="001A7536"/>
    <w:rsid w:val="001A7845"/>
    <w:rsid w:val="001B1B9A"/>
    <w:rsid w:val="001B4954"/>
    <w:rsid w:val="001B53ED"/>
    <w:rsid w:val="001B656C"/>
    <w:rsid w:val="001C0002"/>
    <w:rsid w:val="001C061F"/>
    <w:rsid w:val="001C13E3"/>
    <w:rsid w:val="001C1972"/>
    <w:rsid w:val="001C2F52"/>
    <w:rsid w:val="001C3919"/>
    <w:rsid w:val="001C46B3"/>
    <w:rsid w:val="001C57CA"/>
    <w:rsid w:val="001C59AF"/>
    <w:rsid w:val="001C799A"/>
    <w:rsid w:val="001C7A79"/>
    <w:rsid w:val="001D2A04"/>
    <w:rsid w:val="001D448B"/>
    <w:rsid w:val="001D69D5"/>
    <w:rsid w:val="001D6EC4"/>
    <w:rsid w:val="001D7968"/>
    <w:rsid w:val="001D7D17"/>
    <w:rsid w:val="001E2CAF"/>
    <w:rsid w:val="001E744E"/>
    <w:rsid w:val="001F06AD"/>
    <w:rsid w:val="001F162C"/>
    <w:rsid w:val="001F1CEC"/>
    <w:rsid w:val="001F492A"/>
    <w:rsid w:val="001F5F83"/>
    <w:rsid w:val="001F663A"/>
    <w:rsid w:val="001F7004"/>
    <w:rsid w:val="001F7D75"/>
    <w:rsid w:val="00200168"/>
    <w:rsid w:val="0020114A"/>
    <w:rsid w:val="0020128C"/>
    <w:rsid w:val="00202F50"/>
    <w:rsid w:val="00204CC9"/>
    <w:rsid w:val="00207365"/>
    <w:rsid w:val="00211BA2"/>
    <w:rsid w:val="002127BB"/>
    <w:rsid w:val="00214494"/>
    <w:rsid w:val="00221196"/>
    <w:rsid w:val="00222230"/>
    <w:rsid w:val="00222617"/>
    <w:rsid w:val="0022451C"/>
    <w:rsid w:val="00224B7F"/>
    <w:rsid w:val="002270B5"/>
    <w:rsid w:val="002272C5"/>
    <w:rsid w:val="00227595"/>
    <w:rsid w:val="0022773D"/>
    <w:rsid w:val="00230B06"/>
    <w:rsid w:val="00232E2F"/>
    <w:rsid w:val="002338C1"/>
    <w:rsid w:val="00235C07"/>
    <w:rsid w:val="002363C2"/>
    <w:rsid w:val="00240436"/>
    <w:rsid w:val="002404F9"/>
    <w:rsid w:val="00241197"/>
    <w:rsid w:val="0024129B"/>
    <w:rsid w:val="0024486A"/>
    <w:rsid w:val="00244A47"/>
    <w:rsid w:val="00244C32"/>
    <w:rsid w:val="00246B54"/>
    <w:rsid w:val="00246DE8"/>
    <w:rsid w:val="002514D9"/>
    <w:rsid w:val="00252697"/>
    <w:rsid w:val="00256928"/>
    <w:rsid w:val="002629CA"/>
    <w:rsid w:val="00264D14"/>
    <w:rsid w:val="002656C3"/>
    <w:rsid w:val="00265861"/>
    <w:rsid w:val="00266660"/>
    <w:rsid w:val="00270C51"/>
    <w:rsid w:val="002745C5"/>
    <w:rsid w:val="002804C5"/>
    <w:rsid w:val="0028627C"/>
    <w:rsid w:val="002863CD"/>
    <w:rsid w:val="0028720B"/>
    <w:rsid w:val="002879BC"/>
    <w:rsid w:val="0029007C"/>
    <w:rsid w:val="00293747"/>
    <w:rsid w:val="00293D3D"/>
    <w:rsid w:val="00295672"/>
    <w:rsid w:val="00295D52"/>
    <w:rsid w:val="00296BE1"/>
    <w:rsid w:val="00297AEC"/>
    <w:rsid w:val="002A35AA"/>
    <w:rsid w:val="002A4C67"/>
    <w:rsid w:val="002A7529"/>
    <w:rsid w:val="002A793C"/>
    <w:rsid w:val="002A7B62"/>
    <w:rsid w:val="002B5609"/>
    <w:rsid w:val="002B70DF"/>
    <w:rsid w:val="002B75EB"/>
    <w:rsid w:val="002C392E"/>
    <w:rsid w:val="002C5242"/>
    <w:rsid w:val="002C724E"/>
    <w:rsid w:val="002D0475"/>
    <w:rsid w:val="002D109B"/>
    <w:rsid w:val="002D12AE"/>
    <w:rsid w:val="002D3D65"/>
    <w:rsid w:val="002D4B9D"/>
    <w:rsid w:val="002D4BF1"/>
    <w:rsid w:val="002E0EEE"/>
    <w:rsid w:val="002E1C82"/>
    <w:rsid w:val="002E47E4"/>
    <w:rsid w:val="002E7D82"/>
    <w:rsid w:val="002F178A"/>
    <w:rsid w:val="002F28A9"/>
    <w:rsid w:val="002F764A"/>
    <w:rsid w:val="00302C22"/>
    <w:rsid w:val="00304392"/>
    <w:rsid w:val="00304975"/>
    <w:rsid w:val="003056FD"/>
    <w:rsid w:val="0030659D"/>
    <w:rsid w:val="0030722C"/>
    <w:rsid w:val="003101F1"/>
    <w:rsid w:val="0031025E"/>
    <w:rsid w:val="00310972"/>
    <w:rsid w:val="003138B2"/>
    <w:rsid w:val="0031429E"/>
    <w:rsid w:val="00315173"/>
    <w:rsid w:val="00322425"/>
    <w:rsid w:val="00330AB5"/>
    <w:rsid w:val="00331083"/>
    <w:rsid w:val="00331611"/>
    <w:rsid w:val="0033236C"/>
    <w:rsid w:val="0033288C"/>
    <w:rsid w:val="00332FBF"/>
    <w:rsid w:val="00334134"/>
    <w:rsid w:val="00334F27"/>
    <w:rsid w:val="00336726"/>
    <w:rsid w:val="0033709A"/>
    <w:rsid w:val="003371FD"/>
    <w:rsid w:val="00337922"/>
    <w:rsid w:val="00337B5C"/>
    <w:rsid w:val="00340317"/>
    <w:rsid w:val="00340485"/>
    <w:rsid w:val="003430E7"/>
    <w:rsid w:val="00343D22"/>
    <w:rsid w:val="003463FE"/>
    <w:rsid w:val="0035399B"/>
    <w:rsid w:val="0035569A"/>
    <w:rsid w:val="003622FA"/>
    <w:rsid w:val="00363DA7"/>
    <w:rsid w:val="0036420B"/>
    <w:rsid w:val="00365FE6"/>
    <w:rsid w:val="00367E07"/>
    <w:rsid w:val="00371F05"/>
    <w:rsid w:val="00372C9C"/>
    <w:rsid w:val="00372D5E"/>
    <w:rsid w:val="00373C1B"/>
    <w:rsid w:val="00374A9D"/>
    <w:rsid w:val="003760E2"/>
    <w:rsid w:val="003802B4"/>
    <w:rsid w:val="00381D22"/>
    <w:rsid w:val="0038312C"/>
    <w:rsid w:val="00385422"/>
    <w:rsid w:val="00386120"/>
    <w:rsid w:val="00386BB7"/>
    <w:rsid w:val="00387D85"/>
    <w:rsid w:val="003929E9"/>
    <w:rsid w:val="00393379"/>
    <w:rsid w:val="00393528"/>
    <w:rsid w:val="003A1C10"/>
    <w:rsid w:val="003A2D27"/>
    <w:rsid w:val="003A75A6"/>
    <w:rsid w:val="003A794C"/>
    <w:rsid w:val="003B0096"/>
    <w:rsid w:val="003B2EE7"/>
    <w:rsid w:val="003B4BF7"/>
    <w:rsid w:val="003B6771"/>
    <w:rsid w:val="003B6F50"/>
    <w:rsid w:val="003C0F02"/>
    <w:rsid w:val="003C28F8"/>
    <w:rsid w:val="003C5472"/>
    <w:rsid w:val="003C5478"/>
    <w:rsid w:val="003C5A3B"/>
    <w:rsid w:val="003C6044"/>
    <w:rsid w:val="003C72B0"/>
    <w:rsid w:val="003C74A0"/>
    <w:rsid w:val="003D0EF9"/>
    <w:rsid w:val="003D1462"/>
    <w:rsid w:val="003D16FA"/>
    <w:rsid w:val="003D2193"/>
    <w:rsid w:val="003D50AB"/>
    <w:rsid w:val="003D5770"/>
    <w:rsid w:val="003D5AF8"/>
    <w:rsid w:val="003D6B37"/>
    <w:rsid w:val="003E1949"/>
    <w:rsid w:val="003E1CA9"/>
    <w:rsid w:val="003E2848"/>
    <w:rsid w:val="003E4E9D"/>
    <w:rsid w:val="003E52F2"/>
    <w:rsid w:val="003F000B"/>
    <w:rsid w:val="003F01EF"/>
    <w:rsid w:val="003F1846"/>
    <w:rsid w:val="003F3A95"/>
    <w:rsid w:val="003F44FA"/>
    <w:rsid w:val="003F5FFA"/>
    <w:rsid w:val="003F7F70"/>
    <w:rsid w:val="00400FB5"/>
    <w:rsid w:val="00401D07"/>
    <w:rsid w:val="00407D80"/>
    <w:rsid w:val="0042029E"/>
    <w:rsid w:val="004203E7"/>
    <w:rsid w:val="00421BB4"/>
    <w:rsid w:val="00423061"/>
    <w:rsid w:val="00423EA4"/>
    <w:rsid w:val="00426E75"/>
    <w:rsid w:val="00430FCD"/>
    <w:rsid w:val="004316DB"/>
    <w:rsid w:val="0043374E"/>
    <w:rsid w:val="004408FE"/>
    <w:rsid w:val="004422A7"/>
    <w:rsid w:val="004429AC"/>
    <w:rsid w:val="004448DF"/>
    <w:rsid w:val="0044498D"/>
    <w:rsid w:val="00446FEE"/>
    <w:rsid w:val="00450EBF"/>
    <w:rsid w:val="00452744"/>
    <w:rsid w:val="0045311B"/>
    <w:rsid w:val="00460596"/>
    <w:rsid w:val="00461321"/>
    <w:rsid w:val="004619AE"/>
    <w:rsid w:val="00461C1E"/>
    <w:rsid w:val="004626BE"/>
    <w:rsid w:val="004632F4"/>
    <w:rsid w:val="00465720"/>
    <w:rsid w:val="0046705E"/>
    <w:rsid w:val="00467091"/>
    <w:rsid w:val="00471429"/>
    <w:rsid w:val="00471B29"/>
    <w:rsid w:val="00472CB1"/>
    <w:rsid w:val="004746B9"/>
    <w:rsid w:val="00474741"/>
    <w:rsid w:val="00475520"/>
    <w:rsid w:val="00476864"/>
    <w:rsid w:val="00481B79"/>
    <w:rsid w:val="00482080"/>
    <w:rsid w:val="00483BB5"/>
    <w:rsid w:val="004850DD"/>
    <w:rsid w:val="00491144"/>
    <w:rsid w:val="00492C85"/>
    <w:rsid w:val="00493A11"/>
    <w:rsid w:val="00495777"/>
    <w:rsid w:val="004966A3"/>
    <w:rsid w:val="00496F7C"/>
    <w:rsid w:val="004A07EF"/>
    <w:rsid w:val="004A0F4A"/>
    <w:rsid w:val="004A2050"/>
    <w:rsid w:val="004A6394"/>
    <w:rsid w:val="004A6989"/>
    <w:rsid w:val="004A7FA8"/>
    <w:rsid w:val="004B0F55"/>
    <w:rsid w:val="004B2471"/>
    <w:rsid w:val="004B3687"/>
    <w:rsid w:val="004B4272"/>
    <w:rsid w:val="004B639F"/>
    <w:rsid w:val="004B7D04"/>
    <w:rsid w:val="004C372D"/>
    <w:rsid w:val="004C419B"/>
    <w:rsid w:val="004C5684"/>
    <w:rsid w:val="004C6026"/>
    <w:rsid w:val="004C7309"/>
    <w:rsid w:val="004D23D4"/>
    <w:rsid w:val="004D260E"/>
    <w:rsid w:val="004D3D9A"/>
    <w:rsid w:val="004D5E18"/>
    <w:rsid w:val="004D6A9B"/>
    <w:rsid w:val="004E010C"/>
    <w:rsid w:val="004E0D78"/>
    <w:rsid w:val="004E23D8"/>
    <w:rsid w:val="004E3A84"/>
    <w:rsid w:val="004E6103"/>
    <w:rsid w:val="004E62C5"/>
    <w:rsid w:val="004F13ED"/>
    <w:rsid w:val="004F3914"/>
    <w:rsid w:val="004F3E60"/>
    <w:rsid w:val="004F4522"/>
    <w:rsid w:val="004F4957"/>
    <w:rsid w:val="004F5615"/>
    <w:rsid w:val="004F614A"/>
    <w:rsid w:val="00502152"/>
    <w:rsid w:val="00502402"/>
    <w:rsid w:val="005033B3"/>
    <w:rsid w:val="00504179"/>
    <w:rsid w:val="0050603C"/>
    <w:rsid w:val="00506779"/>
    <w:rsid w:val="00507C43"/>
    <w:rsid w:val="00510990"/>
    <w:rsid w:val="005121FC"/>
    <w:rsid w:val="00514000"/>
    <w:rsid w:val="00514199"/>
    <w:rsid w:val="00514681"/>
    <w:rsid w:val="005157A0"/>
    <w:rsid w:val="005158DF"/>
    <w:rsid w:val="00515ADD"/>
    <w:rsid w:val="0052080C"/>
    <w:rsid w:val="0052213F"/>
    <w:rsid w:val="00522E1E"/>
    <w:rsid w:val="005233CD"/>
    <w:rsid w:val="00524684"/>
    <w:rsid w:val="00525BD1"/>
    <w:rsid w:val="0052706F"/>
    <w:rsid w:val="005275A8"/>
    <w:rsid w:val="00530E68"/>
    <w:rsid w:val="00531888"/>
    <w:rsid w:val="00533AA1"/>
    <w:rsid w:val="00533D20"/>
    <w:rsid w:val="00533EF4"/>
    <w:rsid w:val="005349A0"/>
    <w:rsid w:val="005349E5"/>
    <w:rsid w:val="00534D80"/>
    <w:rsid w:val="00535F5C"/>
    <w:rsid w:val="005364CB"/>
    <w:rsid w:val="00536593"/>
    <w:rsid w:val="00536CCC"/>
    <w:rsid w:val="0053766E"/>
    <w:rsid w:val="00537EA2"/>
    <w:rsid w:val="00537FBF"/>
    <w:rsid w:val="00540CF3"/>
    <w:rsid w:val="00540EA8"/>
    <w:rsid w:val="005410FD"/>
    <w:rsid w:val="00543B82"/>
    <w:rsid w:val="005471D5"/>
    <w:rsid w:val="00547C03"/>
    <w:rsid w:val="005500F2"/>
    <w:rsid w:val="00550F50"/>
    <w:rsid w:val="005527B5"/>
    <w:rsid w:val="00554C47"/>
    <w:rsid w:val="00555731"/>
    <w:rsid w:val="00556BFC"/>
    <w:rsid w:val="00557C53"/>
    <w:rsid w:val="00560A13"/>
    <w:rsid w:val="00561F98"/>
    <w:rsid w:val="00562371"/>
    <w:rsid w:val="005647AD"/>
    <w:rsid w:val="0056645F"/>
    <w:rsid w:val="00567AAD"/>
    <w:rsid w:val="00571D3F"/>
    <w:rsid w:val="00574191"/>
    <w:rsid w:val="005746D0"/>
    <w:rsid w:val="005751C4"/>
    <w:rsid w:val="00575A36"/>
    <w:rsid w:val="00575B41"/>
    <w:rsid w:val="005814CD"/>
    <w:rsid w:val="00585A7E"/>
    <w:rsid w:val="00585ED9"/>
    <w:rsid w:val="00587422"/>
    <w:rsid w:val="00594695"/>
    <w:rsid w:val="00595057"/>
    <w:rsid w:val="00595DD9"/>
    <w:rsid w:val="00596E68"/>
    <w:rsid w:val="005A0A7A"/>
    <w:rsid w:val="005A197A"/>
    <w:rsid w:val="005A25C6"/>
    <w:rsid w:val="005A26F2"/>
    <w:rsid w:val="005A2B8E"/>
    <w:rsid w:val="005A40F2"/>
    <w:rsid w:val="005A4F37"/>
    <w:rsid w:val="005A6715"/>
    <w:rsid w:val="005A7044"/>
    <w:rsid w:val="005B0413"/>
    <w:rsid w:val="005B18CF"/>
    <w:rsid w:val="005B298F"/>
    <w:rsid w:val="005B369C"/>
    <w:rsid w:val="005B4B9C"/>
    <w:rsid w:val="005B64BB"/>
    <w:rsid w:val="005B6AC2"/>
    <w:rsid w:val="005B73B0"/>
    <w:rsid w:val="005C08A5"/>
    <w:rsid w:val="005C0E12"/>
    <w:rsid w:val="005C2B9A"/>
    <w:rsid w:val="005C2F3E"/>
    <w:rsid w:val="005C2FD2"/>
    <w:rsid w:val="005C3D17"/>
    <w:rsid w:val="005D030F"/>
    <w:rsid w:val="005D3B80"/>
    <w:rsid w:val="005D4819"/>
    <w:rsid w:val="005D62EB"/>
    <w:rsid w:val="005E39AA"/>
    <w:rsid w:val="005F21F8"/>
    <w:rsid w:val="005F28EC"/>
    <w:rsid w:val="005F370C"/>
    <w:rsid w:val="005F44F3"/>
    <w:rsid w:val="005F4FC5"/>
    <w:rsid w:val="00600F5A"/>
    <w:rsid w:val="00604918"/>
    <w:rsid w:val="00605BCF"/>
    <w:rsid w:val="0061254A"/>
    <w:rsid w:val="00612B3F"/>
    <w:rsid w:val="006151C6"/>
    <w:rsid w:val="006153C0"/>
    <w:rsid w:val="00616108"/>
    <w:rsid w:val="0062156B"/>
    <w:rsid w:val="006219EC"/>
    <w:rsid w:val="006250F0"/>
    <w:rsid w:val="006254A9"/>
    <w:rsid w:val="006260E9"/>
    <w:rsid w:val="006326BD"/>
    <w:rsid w:val="00634815"/>
    <w:rsid w:val="00634F57"/>
    <w:rsid w:val="0063673E"/>
    <w:rsid w:val="006379B5"/>
    <w:rsid w:val="006412D1"/>
    <w:rsid w:val="00641C5B"/>
    <w:rsid w:val="00642E72"/>
    <w:rsid w:val="006444A0"/>
    <w:rsid w:val="00644612"/>
    <w:rsid w:val="00646092"/>
    <w:rsid w:val="00646C96"/>
    <w:rsid w:val="00646DBA"/>
    <w:rsid w:val="006476B9"/>
    <w:rsid w:val="00647893"/>
    <w:rsid w:val="006529E1"/>
    <w:rsid w:val="006539FF"/>
    <w:rsid w:val="00655C0F"/>
    <w:rsid w:val="006566A6"/>
    <w:rsid w:val="00656D15"/>
    <w:rsid w:val="00657176"/>
    <w:rsid w:val="0066171B"/>
    <w:rsid w:val="006617BB"/>
    <w:rsid w:val="0066388F"/>
    <w:rsid w:val="00664B47"/>
    <w:rsid w:val="006650A5"/>
    <w:rsid w:val="00665411"/>
    <w:rsid w:val="00665493"/>
    <w:rsid w:val="0066591A"/>
    <w:rsid w:val="00665D8C"/>
    <w:rsid w:val="00665F5F"/>
    <w:rsid w:val="00666692"/>
    <w:rsid w:val="00666EFC"/>
    <w:rsid w:val="006673B1"/>
    <w:rsid w:val="00667D9D"/>
    <w:rsid w:val="00675632"/>
    <w:rsid w:val="00677F54"/>
    <w:rsid w:val="006810DF"/>
    <w:rsid w:val="00681A9C"/>
    <w:rsid w:val="006835AF"/>
    <w:rsid w:val="006845AA"/>
    <w:rsid w:val="00686F3D"/>
    <w:rsid w:val="006927BE"/>
    <w:rsid w:val="006938F6"/>
    <w:rsid w:val="0069688B"/>
    <w:rsid w:val="00697093"/>
    <w:rsid w:val="006A00EC"/>
    <w:rsid w:val="006A0349"/>
    <w:rsid w:val="006A0D09"/>
    <w:rsid w:val="006A1E2F"/>
    <w:rsid w:val="006A1E47"/>
    <w:rsid w:val="006A63DB"/>
    <w:rsid w:val="006A6890"/>
    <w:rsid w:val="006B0887"/>
    <w:rsid w:val="006B4295"/>
    <w:rsid w:val="006B69FF"/>
    <w:rsid w:val="006C012F"/>
    <w:rsid w:val="006C1920"/>
    <w:rsid w:val="006C3CD2"/>
    <w:rsid w:val="006C4A84"/>
    <w:rsid w:val="006C5CCB"/>
    <w:rsid w:val="006C5F46"/>
    <w:rsid w:val="006C7C02"/>
    <w:rsid w:val="006D2227"/>
    <w:rsid w:val="006D37A5"/>
    <w:rsid w:val="006D3A77"/>
    <w:rsid w:val="006D41BF"/>
    <w:rsid w:val="006D4F15"/>
    <w:rsid w:val="006D52F8"/>
    <w:rsid w:val="006D546D"/>
    <w:rsid w:val="006D5E06"/>
    <w:rsid w:val="006D60E5"/>
    <w:rsid w:val="006D6DF9"/>
    <w:rsid w:val="006D7A4B"/>
    <w:rsid w:val="006E196F"/>
    <w:rsid w:val="006E6045"/>
    <w:rsid w:val="006E61A7"/>
    <w:rsid w:val="006F1295"/>
    <w:rsid w:val="006F2088"/>
    <w:rsid w:val="006F2364"/>
    <w:rsid w:val="006F4BBB"/>
    <w:rsid w:val="006F4F00"/>
    <w:rsid w:val="006F5185"/>
    <w:rsid w:val="006F688E"/>
    <w:rsid w:val="006F796B"/>
    <w:rsid w:val="006F7F31"/>
    <w:rsid w:val="00702CBC"/>
    <w:rsid w:val="00704415"/>
    <w:rsid w:val="007046AC"/>
    <w:rsid w:val="00704C21"/>
    <w:rsid w:val="00704E5F"/>
    <w:rsid w:val="00705B42"/>
    <w:rsid w:val="0070606A"/>
    <w:rsid w:val="00706B89"/>
    <w:rsid w:val="00706F1B"/>
    <w:rsid w:val="00711558"/>
    <w:rsid w:val="00713215"/>
    <w:rsid w:val="007144E2"/>
    <w:rsid w:val="00714995"/>
    <w:rsid w:val="00716B10"/>
    <w:rsid w:val="0072031B"/>
    <w:rsid w:val="00723516"/>
    <w:rsid w:val="00727344"/>
    <w:rsid w:val="00730029"/>
    <w:rsid w:val="007302FB"/>
    <w:rsid w:val="00730386"/>
    <w:rsid w:val="00733B02"/>
    <w:rsid w:val="00733D19"/>
    <w:rsid w:val="00733F28"/>
    <w:rsid w:val="007358A4"/>
    <w:rsid w:val="00737215"/>
    <w:rsid w:val="00740057"/>
    <w:rsid w:val="007403EB"/>
    <w:rsid w:val="007409C0"/>
    <w:rsid w:val="00740D34"/>
    <w:rsid w:val="00740DF0"/>
    <w:rsid w:val="007412DA"/>
    <w:rsid w:val="00741402"/>
    <w:rsid w:val="007426E5"/>
    <w:rsid w:val="00745DD2"/>
    <w:rsid w:val="00750265"/>
    <w:rsid w:val="007512C2"/>
    <w:rsid w:val="00751A68"/>
    <w:rsid w:val="00752D42"/>
    <w:rsid w:val="00754B13"/>
    <w:rsid w:val="0075615B"/>
    <w:rsid w:val="0075710C"/>
    <w:rsid w:val="0076038B"/>
    <w:rsid w:val="00765CDF"/>
    <w:rsid w:val="007665BE"/>
    <w:rsid w:val="00766D2C"/>
    <w:rsid w:val="007706E4"/>
    <w:rsid w:val="007723A2"/>
    <w:rsid w:val="007732E7"/>
    <w:rsid w:val="0077519F"/>
    <w:rsid w:val="00776BD4"/>
    <w:rsid w:val="00777036"/>
    <w:rsid w:val="00777062"/>
    <w:rsid w:val="0077782B"/>
    <w:rsid w:val="0078009B"/>
    <w:rsid w:val="00781E8F"/>
    <w:rsid w:val="007821C1"/>
    <w:rsid w:val="00783027"/>
    <w:rsid w:val="00783B17"/>
    <w:rsid w:val="00783F7D"/>
    <w:rsid w:val="00791919"/>
    <w:rsid w:val="00793326"/>
    <w:rsid w:val="00793992"/>
    <w:rsid w:val="007955A0"/>
    <w:rsid w:val="007A3531"/>
    <w:rsid w:val="007A3FBA"/>
    <w:rsid w:val="007B221F"/>
    <w:rsid w:val="007B33B2"/>
    <w:rsid w:val="007B378A"/>
    <w:rsid w:val="007B44B3"/>
    <w:rsid w:val="007B53DC"/>
    <w:rsid w:val="007B63A7"/>
    <w:rsid w:val="007C0036"/>
    <w:rsid w:val="007C16E8"/>
    <w:rsid w:val="007C5660"/>
    <w:rsid w:val="007C566D"/>
    <w:rsid w:val="007C728A"/>
    <w:rsid w:val="007D2294"/>
    <w:rsid w:val="007D2F94"/>
    <w:rsid w:val="007D330E"/>
    <w:rsid w:val="007D3B67"/>
    <w:rsid w:val="007D6A35"/>
    <w:rsid w:val="007D6FBF"/>
    <w:rsid w:val="007D7100"/>
    <w:rsid w:val="007E4D4E"/>
    <w:rsid w:val="007E5512"/>
    <w:rsid w:val="007F001D"/>
    <w:rsid w:val="007F3187"/>
    <w:rsid w:val="007F31CC"/>
    <w:rsid w:val="007F60A8"/>
    <w:rsid w:val="007F6FE6"/>
    <w:rsid w:val="0080063E"/>
    <w:rsid w:val="0080323B"/>
    <w:rsid w:val="00803712"/>
    <w:rsid w:val="00803E53"/>
    <w:rsid w:val="00804091"/>
    <w:rsid w:val="00804DA3"/>
    <w:rsid w:val="008051EE"/>
    <w:rsid w:val="00806D06"/>
    <w:rsid w:val="00807272"/>
    <w:rsid w:val="00812389"/>
    <w:rsid w:val="0081696C"/>
    <w:rsid w:val="00820B6B"/>
    <w:rsid w:val="00824385"/>
    <w:rsid w:val="0082471C"/>
    <w:rsid w:val="0082539D"/>
    <w:rsid w:val="0082701D"/>
    <w:rsid w:val="008275DD"/>
    <w:rsid w:val="0083019E"/>
    <w:rsid w:val="00831D35"/>
    <w:rsid w:val="00834B93"/>
    <w:rsid w:val="0083591B"/>
    <w:rsid w:val="00835CA1"/>
    <w:rsid w:val="00836A6E"/>
    <w:rsid w:val="0084077C"/>
    <w:rsid w:val="00842D90"/>
    <w:rsid w:val="00844E6B"/>
    <w:rsid w:val="00853B74"/>
    <w:rsid w:val="008541FE"/>
    <w:rsid w:val="00854510"/>
    <w:rsid w:val="008557FF"/>
    <w:rsid w:val="00856ACA"/>
    <w:rsid w:val="008625E8"/>
    <w:rsid w:val="00862CCC"/>
    <w:rsid w:val="00863351"/>
    <w:rsid w:val="00863386"/>
    <w:rsid w:val="00864258"/>
    <w:rsid w:val="0086442D"/>
    <w:rsid w:val="008650BE"/>
    <w:rsid w:val="008655D9"/>
    <w:rsid w:val="00873061"/>
    <w:rsid w:val="0087375B"/>
    <w:rsid w:val="00873A44"/>
    <w:rsid w:val="00873E1A"/>
    <w:rsid w:val="00875706"/>
    <w:rsid w:val="00875DAB"/>
    <w:rsid w:val="00876F3B"/>
    <w:rsid w:val="00877171"/>
    <w:rsid w:val="0088003D"/>
    <w:rsid w:val="00880BA0"/>
    <w:rsid w:val="00882185"/>
    <w:rsid w:val="00884AAA"/>
    <w:rsid w:val="00884BE8"/>
    <w:rsid w:val="008860D7"/>
    <w:rsid w:val="00886780"/>
    <w:rsid w:val="00887866"/>
    <w:rsid w:val="008900CA"/>
    <w:rsid w:val="00890919"/>
    <w:rsid w:val="008915F5"/>
    <w:rsid w:val="00891901"/>
    <w:rsid w:val="0089385D"/>
    <w:rsid w:val="00895F17"/>
    <w:rsid w:val="00896ACD"/>
    <w:rsid w:val="008A4FC1"/>
    <w:rsid w:val="008A707E"/>
    <w:rsid w:val="008A716C"/>
    <w:rsid w:val="008B0CE4"/>
    <w:rsid w:val="008B22FA"/>
    <w:rsid w:val="008B281F"/>
    <w:rsid w:val="008B33E2"/>
    <w:rsid w:val="008B37E0"/>
    <w:rsid w:val="008B3AB4"/>
    <w:rsid w:val="008B4C9B"/>
    <w:rsid w:val="008B5CE8"/>
    <w:rsid w:val="008B603B"/>
    <w:rsid w:val="008B725E"/>
    <w:rsid w:val="008B7B45"/>
    <w:rsid w:val="008C0E82"/>
    <w:rsid w:val="008C2284"/>
    <w:rsid w:val="008C4A11"/>
    <w:rsid w:val="008C5CC1"/>
    <w:rsid w:val="008C65BA"/>
    <w:rsid w:val="008C72D4"/>
    <w:rsid w:val="008C7382"/>
    <w:rsid w:val="008C7628"/>
    <w:rsid w:val="008D4807"/>
    <w:rsid w:val="008D4E1B"/>
    <w:rsid w:val="008D56C1"/>
    <w:rsid w:val="008D7156"/>
    <w:rsid w:val="008D758D"/>
    <w:rsid w:val="008E0085"/>
    <w:rsid w:val="008E07AC"/>
    <w:rsid w:val="008E2026"/>
    <w:rsid w:val="008E3A40"/>
    <w:rsid w:val="008E3AAD"/>
    <w:rsid w:val="008E75F6"/>
    <w:rsid w:val="008F0E3A"/>
    <w:rsid w:val="008F15C9"/>
    <w:rsid w:val="008F1B60"/>
    <w:rsid w:val="008F22FE"/>
    <w:rsid w:val="008F401F"/>
    <w:rsid w:val="008F4796"/>
    <w:rsid w:val="00900CA4"/>
    <w:rsid w:val="009033CD"/>
    <w:rsid w:val="00903E13"/>
    <w:rsid w:val="00904B7D"/>
    <w:rsid w:val="00910540"/>
    <w:rsid w:val="00910B77"/>
    <w:rsid w:val="00914469"/>
    <w:rsid w:val="009206F0"/>
    <w:rsid w:val="009209BB"/>
    <w:rsid w:val="009210F0"/>
    <w:rsid w:val="00921C88"/>
    <w:rsid w:val="00921F3A"/>
    <w:rsid w:val="0092329C"/>
    <w:rsid w:val="00925761"/>
    <w:rsid w:val="00930CC0"/>
    <w:rsid w:val="00934043"/>
    <w:rsid w:val="0093503A"/>
    <w:rsid w:val="00936373"/>
    <w:rsid w:val="00936995"/>
    <w:rsid w:val="009369FD"/>
    <w:rsid w:val="0094037D"/>
    <w:rsid w:val="009410D8"/>
    <w:rsid w:val="009413CA"/>
    <w:rsid w:val="00941D12"/>
    <w:rsid w:val="00944BC0"/>
    <w:rsid w:val="00951B5F"/>
    <w:rsid w:val="0095515F"/>
    <w:rsid w:val="009567A7"/>
    <w:rsid w:val="00961048"/>
    <w:rsid w:val="0096225A"/>
    <w:rsid w:val="00970002"/>
    <w:rsid w:val="0097048E"/>
    <w:rsid w:val="009718EC"/>
    <w:rsid w:val="0097190B"/>
    <w:rsid w:val="00976CDB"/>
    <w:rsid w:val="009773C0"/>
    <w:rsid w:val="009778AB"/>
    <w:rsid w:val="00981FE5"/>
    <w:rsid w:val="009844F2"/>
    <w:rsid w:val="009861D9"/>
    <w:rsid w:val="009879CC"/>
    <w:rsid w:val="00990989"/>
    <w:rsid w:val="009914B5"/>
    <w:rsid w:val="00993C5D"/>
    <w:rsid w:val="009946CC"/>
    <w:rsid w:val="0099480A"/>
    <w:rsid w:val="00995DD8"/>
    <w:rsid w:val="009965F8"/>
    <w:rsid w:val="00996AD3"/>
    <w:rsid w:val="009A0CF6"/>
    <w:rsid w:val="009A1078"/>
    <w:rsid w:val="009A440E"/>
    <w:rsid w:val="009A7501"/>
    <w:rsid w:val="009A7E3D"/>
    <w:rsid w:val="009B60E8"/>
    <w:rsid w:val="009B7A6F"/>
    <w:rsid w:val="009C131B"/>
    <w:rsid w:val="009C3870"/>
    <w:rsid w:val="009C483D"/>
    <w:rsid w:val="009C555D"/>
    <w:rsid w:val="009C5702"/>
    <w:rsid w:val="009C5C98"/>
    <w:rsid w:val="009C5F34"/>
    <w:rsid w:val="009C6125"/>
    <w:rsid w:val="009C6E3F"/>
    <w:rsid w:val="009D1719"/>
    <w:rsid w:val="009D241D"/>
    <w:rsid w:val="009D2E83"/>
    <w:rsid w:val="009D3AFD"/>
    <w:rsid w:val="009D4B26"/>
    <w:rsid w:val="009E1D27"/>
    <w:rsid w:val="009E22A0"/>
    <w:rsid w:val="009E3616"/>
    <w:rsid w:val="009E735F"/>
    <w:rsid w:val="009F0CF4"/>
    <w:rsid w:val="009F3377"/>
    <w:rsid w:val="009F3AC1"/>
    <w:rsid w:val="009F4407"/>
    <w:rsid w:val="009F49F8"/>
    <w:rsid w:val="009F4C87"/>
    <w:rsid w:val="009F7B18"/>
    <w:rsid w:val="00A00D39"/>
    <w:rsid w:val="00A030CC"/>
    <w:rsid w:val="00A04436"/>
    <w:rsid w:val="00A0451F"/>
    <w:rsid w:val="00A04AF9"/>
    <w:rsid w:val="00A06B41"/>
    <w:rsid w:val="00A07A59"/>
    <w:rsid w:val="00A1150A"/>
    <w:rsid w:val="00A11892"/>
    <w:rsid w:val="00A11F5E"/>
    <w:rsid w:val="00A173EA"/>
    <w:rsid w:val="00A20DB3"/>
    <w:rsid w:val="00A21FAB"/>
    <w:rsid w:val="00A2248B"/>
    <w:rsid w:val="00A2253B"/>
    <w:rsid w:val="00A24947"/>
    <w:rsid w:val="00A25721"/>
    <w:rsid w:val="00A25910"/>
    <w:rsid w:val="00A2683E"/>
    <w:rsid w:val="00A26DF7"/>
    <w:rsid w:val="00A348BC"/>
    <w:rsid w:val="00A41C3C"/>
    <w:rsid w:val="00A41D30"/>
    <w:rsid w:val="00A41D5F"/>
    <w:rsid w:val="00A41FE8"/>
    <w:rsid w:val="00A46333"/>
    <w:rsid w:val="00A46D7A"/>
    <w:rsid w:val="00A46FD6"/>
    <w:rsid w:val="00A47617"/>
    <w:rsid w:val="00A5006D"/>
    <w:rsid w:val="00A51F2A"/>
    <w:rsid w:val="00A52A86"/>
    <w:rsid w:val="00A5346D"/>
    <w:rsid w:val="00A60034"/>
    <w:rsid w:val="00A653DA"/>
    <w:rsid w:val="00A655A0"/>
    <w:rsid w:val="00A65739"/>
    <w:rsid w:val="00A6700E"/>
    <w:rsid w:val="00A717CA"/>
    <w:rsid w:val="00A72E8B"/>
    <w:rsid w:val="00A735AC"/>
    <w:rsid w:val="00A758BF"/>
    <w:rsid w:val="00A83FFE"/>
    <w:rsid w:val="00A85988"/>
    <w:rsid w:val="00A86349"/>
    <w:rsid w:val="00A86521"/>
    <w:rsid w:val="00A903F5"/>
    <w:rsid w:val="00A9087B"/>
    <w:rsid w:val="00A91E2C"/>
    <w:rsid w:val="00A93990"/>
    <w:rsid w:val="00A93AF4"/>
    <w:rsid w:val="00A94974"/>
    <w:rsid w:val="00AA0079"/>
    <w:rsid w:val="00AA1AB1"/>
    <w:rsid w:val="00AA3571"/>
    <w:rsid w:val="00AA6436"/>
    <w:rsid w:val="00AA6FDB"/>
    <w:rsid w:val="00AA719D"/>
    <w:rsid w:val="00AB0638"/>
    <w:rsid w:val="00AB1864"/>
    <w:rsid w:val="00AB511A"/>
    <w:rsid w:val="00AB55A3"/>
    <w:rsid w:val="00AB624C"/>
    <w:rsid w:val="00AB66D8"/>
    <w:rsid w:val="00AB7FE2"/>
    <w:rsid w:val="00AC328B"/>
    <w:rsid w:val="00AC38FF"/>
    <w:rsid w:val="00AC426B"/>
    <w:rsid w:val="00AC54CB"/>
    <w:rsid w:val="00AC6852"/>
    <w:rsid w:val="00AC68D6"/>
    <w:rsid w:val="00AD0DD4"/>
    <w:rsid w:val="00AD33A1"/>
    <w:rsid w:val="00AD3F9E"/>
    <w:rsid w:val="00AD5380"/>
    <w:rsid w:val="00AD6603"/>
    <w:rsid w:val="00AE348D"/>
    <w:rsid w:val="00AE3D88"/>
    <w:rsid w:val="00AE47CE"/>
    <w:rsid w:val="00AE4A67"/>
    <w:rsid w:val="00AE4E27"/>
    <w:rsid w:val="00AE4FE8"/>
    <w:rsid w:val="00AE5FD5"/>
    <w:rsid w:val="00AE7843"/>
    <w:rsid w:val="00AF01BD"/>
    <w:rsid w:val="00AF0966"/>
    <w:rsid w:val="00AF10CF"/>
    <w:rsid w:val="00B002A0"/>
    <w:rsid w:val="00B01D18"/>
    <w:rsid w:val="00B076CD"/>
    <w:rsid w:val="00B10A87"/>
    <w:rsid w:val="00B119EC"/>
    <w:rsid w:val="00B12B04"/>
    <w:rsid w:val="00B133EF"/>
    <w:rsid w:val="00B154BB"/>
    <w:rsid w:val="00B162AE"/>
    <w:rsid w:val="00B17B26"/>
    <w:rsid w:val="00B22021"/>
    <w:rsid w:val="00B22C89"/>
    <w:rsid w:val="00B24298"/>
    <w:rsid w:val="00B2590E"/>
    <w:rsid w:val="00B26BA7"/>
    <w:rsid w:val="00B26BFB"/>
    <w:rsid w:val="00B3194C"/>
    <w:rsid w:val="00B31A92"/>
    <w:rsid w:val="00B32587"/>
    <w:rsid w:val="00B34E75"/>
    <w:rsid w:val="00B365B1"/>
    <w:rsid w:val="00B36D84"/>
    <w:rsid w:val="00B37F62"/>
    <w:rsid w:val="00B44837"/>
    <w:rsid w:val="00B44FB7"/>
    <w:rsid w:val="00B468B6"/>
    <w:rsid w:val="00B47979"/>
    <w:rsid w:val="00B51A97"/>
    <w:rsid w:val="00B54474"/>
    <w:rsid w:val="00B549C8"/>
    <w:rsid w:val="00B556C3"/>
    <w:rsid w:val="00B57FCC"/>
    <w:rsid w:val="00B600BC"/>
    <w:rsid w:val="00B60BFE"/>
    <w:rsid w:val="00B6358F"/>
    <w:rsid w:val="00B64175"/>
    <w:rsid w:val="00B718DC"/>
    <w:rsid w:val="00B76C57"/>
    <w:rsid w:val="00B77FC6"/>
    <w:rsid w:val="00B85B83"/>
    <w:rsid w:val="00B86943"/>
    <w:rsid w:val="00B9003C"/>
    <w:rsid w:val="00B91587"/>
    <w:rsid w:val="00B91725"/>
    <w:rsid w:val="00B92E3F"/>
    <w:rsid w:val="00B93215"/>
    <w:rsid w:val="00B957DA"/>
    <w:rsid w:val="00B97B77"/>
    <w:rsid w:val="00BA03EB"/>
    <w:rsid w:val="00BA113B"/>
    <w:rsid w:val="00BA178C"/>
    <w:rsid w:val="00BA1983"/>
    <w:rsid w:val="00BA5A89"/>
    <w:rsid w:val="00BA5B84"/>
    <w:rsid w:val="00BA5DE7"/>
    <w:rsid w:val="00BA6F48"/>
    <w:rsid w:val="00BA761E"/>
    <w:rsid w:val="00BB1B1C"/>
    <w:rsid w:val="00BB301D"/>
    <w:rsid w:val="00BB431B"/>
    <w:rsid w:val="00BB5491"/>
    <w:rsid w:val="00BC05C4"/>
    <w:rsid w:val="00BC1591"/>
    <w:rsid w:val="00BC16B6"/>
    <w:rsid w:val="00BC19A9"/>
    <w:rsid w:val="00BC3220"/>
    <w:rsid w:val="00BC6FCA"/>
    <w:rsid w:val="00BC7484"/>
    <w:rsid w:val="00BD55BE"/>
    <w:rsid w:val="00BD678B"/>
    <w:rsid w:val="00BD78CF"/>
    <w:rsid w:val="00BE08EF"/>
    <w:rsid w:val="00BE3945"/>
    <w:rsid w:val="00BE3F1E"/>
    <w:rsid w:val="00BF0125"/>
    <w:rsid w:val="00BF2360"/>
    <w:rsid w:val="00BF56D0"/>
    <w:rsid w:val="00BF7B1A"/>
    <w:rsid w:val="00C00A5F"/>
    <w:rsid w:val="00C0305C"/>
    <w:rsid w:val="00C04263"/>
    <w:rsid w:val="00C04A8A"/>
    <w:rsid w:val="00C05880"/>
    <w:rsid w:val="00C05883"/>
    <w:rsid w:val="00C0754F"/>
    <w:rsid w:val="00C07B7C"/>
    <w:rsid w:val="00C1057B"/>
    <w:rsid w:val="00C135EC"/>
    <w:rsid w:val="00C138F2"/>
    <w:rsid w:val="00C13D47"/>
    <w:rsid w:val="00C1613B"/>
    <w:rsid w:val="00C22F8E"/>
    <w:rsid w:val="00C236C0"/>
    <w:rsid w:val="00C2436C"/>
    <w:rsid w:val="00C2674F"/>
    <w:rsid w:val="00C27939"/>
    <w:rsid w:val="00C303C2"/>
    <w:rsid w:val="00C36CC6"/>
    <w:rsid w:val="00C400D2"/>
    <w:rsid w:val="00C414DE"/>
    <w:rsid w:val="00C45665"/>
    <w:rsid w:val="00C47845"/>
    <w:rsid w:val="00C47B91"/>
    <w:rsid w:val="00C513DE"/>
    <w:rsid w:val="00C51440"/>
    <w:rsid w:val="00C5197D"/>
    <w:rsid w:val="00C51C5A"/>
    <w:rsid w:val="00C5290C"/>
    <w:rsid w:val="00C54311"/>
    <w:rsid w:val="00C5637C"/>
    <w:rsid w:val="00C56BC0"/>
    <w:rsid w:val="00C57A55"/>
    <w:rsid w:val="00C61B97"/>
    <w:rsid w:val="00C61E42"/>
    <w:rsid w:val="00C6246B"/>
    <w:rsid w:val="00C63BD7"/>
    <w:rsid w:val="00C67389"/>
    <w:rsid w:val="00C67F1F"/>
    <w:rsid w:val="00C70955"/>
    <w:rsid w:val="00C70F32"/>
    <w:rsid w:val="00C71407"/>
    <w:rsid w:val="00C71717"/>
    <w:rsid w:val="00C71FE5"/>
    <w:rsid w:val="00C726F3"/>
    <w:rsid w:val="00C72903"/>
    <w:rsid w:val="00C7437A"/>
    <w:rsid w:val="00C76A13"/>
    <w:rsid w:val="00C80932"/>
    <w:rsid w:val="00C80E4A"/>
    <w:rsid w:val="00C81252"/>
    <w:rsid w:val="00C822D3"/>
    <w:rsid w:val="00C84662"/>
    <w:rsid w:val="00C857E2"/>
    <w:rsid w:val="00C90838"/>
    <w:rsid w:val="00C9251A"/>
    <w:rsid w:val="00C944FE"/>
    <w:rsid w:val="00C94A41"/>
    <w:rsid w:val="00C95F32"/>
    <w:rsid w:val="00C9778C"/>
    <w:rsid w:val="00C97A5F"/>
    <w:rsid w:val="00C97F99"/>
    <w:rsid w:val="00CA45BF"/>
    <w:rsid w:val="00CA50A0"/>
    <w:rsid w:val="00CA6904"/>
    <w:rsid w:val="00CB0B6C"/>
    <w:rsid w:val="00CB1079"/>
    <w:rsid w:val="00CB4F30"/>
    <w:rsid w:val="00CB58AD"/>
    <w:rsid w:val="00CB5F18"/>
    <w:rsid w:val="00CB61CC"/>
    <w:rsid w:val="00CC235C"/>
    <w:rsid w:val="00CC281F"/>
    <w:rsid w:val="00CC3DC8"/>
    <w:rsid w:val="00CC3EB7"/>
    <w:rsid w:val="00CC3F5F"/>
    <w:rsid w:val="00CC4C77"/>
    <w:rsid w:val="00CC605E"/>
    <w:rsid w:val="00CD0B2D"/>
    <w:rsid w:val="00CD2EDD"/>
    <w:rsid w:val="00CD5DB8"/>
    <w:rsid w:val="00CD758A"/>
    <w:rsid w:val="00CD76A7"/>
    <w:rsid w:val="00CD7E75"/>
    <w:rsid w:val="00CE1CD6"/>
    <w:rsid w:val="00CE23B9"/>
    <w:rsid w:val="00CE39CA"/>
    <w:rsid w:val="00CE682B"/>
    <w:rsid w:val="00CE7928"/>
    <w:rsid w:val="00CF1E04"/>
    <w:rsid w:val="00CF4F2A"/>
    <w:rsid w:val="00CF6576"/>
    <w:rsid w:val="00CF7F55"/>
    <w:rsid w:val="00D01380"/>
    <w:rsid w:val="00D025F8"/>
    <w:rsid w:val="00D03F0E"/>
    <w:rsid w:val="00D056B1"/>
    <w:rsid w:val="00D05D5C"/>
    <w:rsid w:val="00D06D9D"/>
    <w:rsid w:val="00D06F4A"/>
    <w:rsid w:val="00D07EC2"/>
    <w:rsid w:val="00D07F30"/>
    <w:rsid w:val="00D11E2B"/>
    <w:rsid w:val="00D11F3B"/>
    <w:rsid w:val="00D1277C"/>
    <w:rsid w:val="00D14769"/>
    <w:rsid w:val="00D14E4A"/>
    <w:rsid w:val="00D17AFC"/>
    <w:rsid w:val="00D205C0"/>
    <w:rsid w:val="00D21565"/>
    <w:rsid w:val="00D224A4"/>
    <w:rsid w:val="00D2287A"/>
    <w:rsid w:val="00D31981"/>
    <w:rsid w:val="00D31AD5"/>
    <w:rsid w:val="00D33B42"/>
    <w:rsid w:val="00D34308"/>
    <w:rsid w:val="00D35B9C"/>
    <w:rsid w:val="00D36491"/>
    <w:rsid w:val="00D375EF"/>
    <w:rsid w:val="00D376CC"/>
    <w:rsid w:val="00D40152"/>
    <w:rsid w:val="00D41680"/>
    <w:rsid w:val="00D41AA1"/>
    <w:rsid w:val="00D41AF4"/>
    <w:rsid w:val="00D42944"/>
    <w:rsid w:val="00D43CD3"/>
    <w:rsid w:val="00D43FAC"/>
    <w:rsid w:val="00D43FD3"/>
    <w:rsid w:val="00D44234"/>
    <w:rsid w:val="00D45238"/>
    <w:rsid w:val="00D45434"/>
    <w:rsid w:val="00D507C7"/>
    <w:rsid w:val="00D51B09"/>
    <w:rsid w:val="00D51E11"/>
    <w:rsid w:val="00D52BF2"/>
    <w:rsid w:val="00D5334E"/>
    <w:rsid w:val="00D53AE6"/>
    <w:rsid w:val="00D54B40"/>
    <w:rsid w:val="00D6129C"/>
    <w:rsid w:val="00D63CC5"/>
    <w:rsid w:val="00D66637"/>
    <w:rsid w:val="00D72008"/>
    <w:rsid w:val="00D729ED"/>
    <w:rsid w:val="00D73F7C"/>
    <w:rsid w:val="00D745B9"/>
    <w:rsid w:val="00D74964"/>
    <w:rsid w:val="00D75D8D"/>
    <w:rsid w:val="00D75E9D"/>
    <w:rsid w:val="00D761FF"/>
    <w:rsid w:val="00D802FD"/>
    <w:rsid w:val="00D82E43"/>
    <w:rsid w:val="00D83F53"/>
    <w:rsid w:val="00D859DA"/>
    <w:rsid w:val="00D86213"/>
    <w:rsid w:val="00D8697B"/>
    <w:rsid w:val="00D87A5B"/>
    <w:rsid w:val="00D904A4"/>
    <w:rsid w:val="00D93658"/>
    <w:rsid w:val="00D93851"/>
    <w:rsid w:val="00D9388C"/>
    <w:rsid w:val="00D93DFE"/>
    <w:rsid w:val="00D94606"/>
    <w:rsid w:val="00D957A0"/>
    <w:rsid w:val="00D96DB1"/>
    <w:rsid w:val="00DA0DF1"/>
    <w:rsid w:val="00DA42B3"/>
    <w:rsid w:val="00DA56D9"/>
    <w:rsid w:val="00DB2C8B"/>
    <w:rsid w:val="00DB2CF3"/>
    <w:rsid w:val="00DB3690"/>
    <w:rsid w:val="00DB37A3"/>
    <w:rsid w:val="00DB55C3"/>
    <w:rsid w:val="00DB58FB"/>
    <w:rsid w:val="00DB62E7"/>
    <w:rsid w:val="00DC0F23"/>
    <w:rsid w:val="00DC1CB1"/>
    <w:rsid w:val="00DC26D1"/>
    <w:rsid w:val="00DC3350"/>
    <w:rsid w:val="00DC6609"/>
    <w:rsid w:val="00DC7269"/>
    <w:rsid w:val="00DD089E"/>
    <w:rsid w:val="00DD0F21"/>
    <w:rsid w:val="00DD26A8"/>
    <w:rsid w:val="00DD2D65"/>
    <w:rsid w:val="00DD3150"/>
    <w:rsid w:val="00DD42AE"/>
    <w:rsid w:val="00DD4D5B"/>
    <w:rsid w:val="00DD5740"/>
    <w:rsid w:val="00DD5D9F"/>
    <w:rsid w:val="00DD62F1"/>
    <w:rsid w:val="00DE00A8"/>
    <w:rsid w:val="00DE1B4C"/>
    <w:rsid w:val="00DE2E59"/>
    <w:rsid w:val="00DF1BE8"/>
    <w:rsid w:val="00DF51B2"/>
    <w:rsid w:val="00DF64C5"/>
    <w:rsid w:val="00DF6500"/>
    <w:rsid w:val="00E00304"/>
    <w:rsid w:val="00E00414"/>
    <w:rsid w:val="00E01B0F"/>
    <w:rsid w:val="00E02C55"/>
    <w:rsid w:val="00E0547D"/>
    <w:rsid w:val="00E071A2"/>
    <w:rsid w:val="00E07BAF"/>
    <w:rsid w:val="00E12C5C"/>
    <w:rsid w:val="00E139B1"/>
    <w:rsid w:val="00E13DB6"/>
    <w:rsid w:val="00E14904"/>
    <w:rsid w:val="00E14B41"/>
    <w:rsid w:val="00E14EB8"/>
    <w:rsid w:val="00E1502B"/>
    <w:rsid w:val="00E163BC"/>
    <w:rsid w:val="00E20706"/>
    <w:rsid w:val="00E2249D"/>
    <w:rsid w:val="00E236C1"/>
    <w:rsid w:val="00E23C70"/>
    <w:rsid w:val="00E23D42"/>
    <w:rsid w:val="00E25153"/>
    <w:rsid w:val="00E26825"/>
    <w:rsid w:val="00E2788F"/>
    <w:rsid w:val="00E27DCE"/>
    <w:rsid w:val="00E30490"/>
    <w:rsid w:val="00E31C26"/>
    <w:rsid w:val="00E32D45"/>
    <w:rsid w:val="00E335E9"/>
    <w:rsid w:val="00E337A4"/>
    <w:rsid w:val="00E339FC"/>
    <w:rsid w:val="00E412F8"/>
    <w:rsid w:val="00E4349D"/>
    <w:rsid w:val="00E43CD4"/>
    <w:rsid w:val="00E440C0"/>
    <w:rsid w:val="00E449E8"/>
    <w:rsid w:val="00E475FA"/>
    <w:rsid w:val="00E50893"/>
    <w:rsid w:val="00E50F92"/>
    <w:rsid w:val="00E51FC0"/>
    <w:rsid w:val="00E540D3"/>
    <w:rsid w:val="00E54783"/>
    <w:rsid w:val="00E56E22"/>
    <w:rsid w:val="00E570A2"/>
    <w:rsid w:val="00E600BF"/>
    <w:rsid w:val="00E60932"/>
    <w:rsid w:val="00E60B6C"/>
    <w:rsid w:val="00E625CE"/>
    <w:rsid w:val="00E6347C"/>
    <w:rsid w:val="00E64367"/>
    <w:rsid w:val="00E64CC7"/>
    <w:rsid w:val="00E65336"/>
    <w:rsid w:val="00E70175"/>
    <w:rsid w:val="00E72351"/>
    <w:rsid w:val="00E73623"/>
    <w:rsid w:val="00E748B9"/>
    <w:rsid w:val="00E7612E"/>
    <w:rsid w:val="00E772F8"/>
    <w:rsid w:val="00E77C9D"/>
    <w:rsid w:val="00E77E31"/>
    <w:rsid w:val="00E8084E"/>
    <w:rsid w:val="00E809C0"/>
    <w:rsid w:val="00E90295"/>
    <w:rsid w:val="00E93A48"/>
    <w:rsid w:val="00E9414D"/>
    <w:rsid w:val="00E942CE"/>
    <w:rsid w:val="00E94A1D"/>
    <w:rsid w:val="00E96FEC"/>
    <w:rsid w:val="00E97E87"/>
    <w:rsid w:val="00E97EFC"/>
    <w:rsid w:val="00EA0723"/>
    <w:rsid w:val="00EA1BDE"/>
    <w:rsid w:val="00EA37F6"/>
    <w:rsid w:val="00EA7604"/>
    <w:rsid w:val="00EA78CB"/>
    <w:rsid w:val="00EB1F7F"/>
    <w:rsid w:val="00EB41C0"/>
    <w:rsid w:val="00EC10F9"/>
    <w:rsid w:val="00EC436A"/>
    <w:rsid w:val="00EC452E"/>
    <w:rsid w:val="00EC4ED9"/>
    <w:rsid w:val="00EC4F14"/>
    <w:rsid w:val="00EC6D57"/>
    <w:rsid w:val="00EC7310"/>
    <w:rsid w:val="00EC76E8"/>
    <w:rsid w:val="00EC7F32"/>
    <w:rsid w:val="00EC7F70"/>
    <w:rsid w:val="00ED0084"/>
    <w:rsid w:val="00ED075D"/>
    <w:rsid w:val="00ED13CA"/>
    <w:rsid w:val="00ED268D"/>
    <w:rsid w:val="00ED3A02"/>
    <w:rsid w:val="00ED3C67"/>
    <w:rsid w:val="00ED3E4A"/>
    <w:rsid w:val="00ED6F6E"/>
    <w:rsid w:val="00EE0BDF"/>
    <w:rsid w:val="00EE23CA"/>
    <w:rsid w:val="00EE2F39"/>
    <w:rsid w:val="00EE377F"/>
    <w:rsid w:val="00EE496C"/>
    <w:rsid w:val="00EE4D65"/>
    <w:rsid w:val="00EE60C6"/>
    <w:rsid w:val="00EE6AD2"/>
    <w:rsid w:val="00EE7C3D"/>
    <w:rsid w:val="00EF0F06"/>
    <w:rsid w:val="00EF1BAF"/>
    <w:rsid w:val="00EF45E5"/>
    <w:rsid w:val="00EF4628"/>
    <w:rsid w:val="00EF52B7"/>
    <w:rsid w:val="00EF538F"/>
    <w:rsid w:val="00EF58A1"/>
    <w:rsid w:val="00EF7A52"/>
    <w:rsid w:val="00F02A88"/>
    <w:rsid w:val="00F02B76"/>
    <w:rsid w:val="00F0352C"/>
    <w:rsid w:val="00F042D9"/>
    <w:rsid w:val="00F04525"/>
    <w:rsid w:val="00F049CF"/>
    <w:rsid w:val="00F04F40"/>
    <w:rsid w:val="00F067C4"/>
    <w:rsid w:val="00F10F4A"/>
    <w:rsid w:val="00F1102F"/>
    <w:rsid w:val="00F1364C"/>
    <w:rsid w:val="00F1452F"/>
    <w:rsid w:val="00F14CB2"/>
    <w:rsid w:val="00F158A8"/>
    <w:rsid w:val="00F21DA0"/>
    <w:rsid w:val="00F22B09"/>
    <w:rsid w:val="00F22CBB"/>
    <w:rsid w:val="00F23D8D"/>
    <w:rsid w:val="00F256DB"/>
    <w:rsid w:val="00F302AF"/>
    <w:rsid w:val="00F31A7B"/>
    <w:rsid w:val="00F3511A"/>
    <w:rsid w:val="00F35631"/>
    <w:rsid w:val="00F36AE6"/>
    <w:rsid w:val="00F37A4D"/>
    <w:rsid w:val="00F437A6"/>
    <w:rsid w:val="00F45E42"/>
    <w:rsid w:val="00F4707E"/>
    <w:rsid w:val="00F512EE"/>
    <w:rsid w:val="00F51D5E"/>
    <w:rsid w:val="00F52678"/>
    <w:rsid w:val="00F5752D"/>
    <w:rsid w:val="00F5776E"/>
    <w:rsid w:val="00F57897"/>
    <w:rsid w:val="00F57A38"/>
    <w:rsid w:val="00F60A4A"/>
    <w:rsid w:val="00F65972"/>
    <w:rsid w:val="00F66AF9"/>
    <w:rsid w:val="00F67AEE"/>
    <w:rsid w:val="00F70066"/>
    <w:rsid w:val="00F70B01"/>
    <w:rsid w:val="00F71FF6"/>
    <w:rsid w:val="00F72DBE"/>
    <w:rsid w:val="00F72E72"/>
    <w:rsid w:val="00F75A25"/>
    <w:rsid w:val="00F8003C"/>
    <w:rsid w:val="00F819E7"/>
    <w:rsid w:val="00F849A7"/>
    <w:rsid w:val="00F854F5"/>
    <w:rsid w:val="00F867BC"/>
    <w:rsid w:val="00F920DB"/>
    <w:rsid w:val="00F9295B"/>
    <w:rsid w:val="00F92D39"/>
    <w:rsid w:val="00F93748"/>
    <w:rsid w:val="00F95625"/>
    <w:rsid w:val="00F95D83"/>
    <w:rsid w:val="00F95EF4"/>
    <w:rsid w:val="00F97F78"/>
    <w:rsid w:val="00FA1342"/>
    <w:rsid w:val="00FA46E4"/>
    <w:rsid w:val="00FA64C8"/>
    <w:rsid w:val="00FA65D5"/>
    <w:rsid w:val="00FA6CF1"/>
    <w:rsid w:val="00FA7A78"/>
    <w:rsid w:val="00FB02A3"/>
    <w:rsid w:val="00FB2243"/>
    <w:rsid w:val="00FB546B"/>
    <w:rsid w:val="00FB7977"/>
    <w:rsid w:val="00FC02CB"/>
    <w:rsid w:val="00FC2BCF"/>
    <w:rsid w:val="00FC5F6A"/>
    <w:rsid w:val="00FC7AF4"/>
    <w:rsid w:val="00FD13C8"/>
    <w:rsid w:val="00FD3102"/>
    <w:rsid w:val="00FD3F19"/>
    <w:rsid w:val="00FD7802"/>
    <w:rsid w:val="00FE1DD2"/>
    <w:rsid w:val="00FE4A14"/>
    <w:rsid w:val="00FE4CD8"/>
    <w:rsid w:val="00FE555F"/>
    <w:rsid w:val="00FE5777"/>
    <w:rsid w:val="00FF42A2"/>
    <w:rsid w:val="00FF501F"/>
    <w:rsid w:val="00FF5741"/>
    <w:rsid w:val="00FF603E"/>
    <w:rsid w:val="00FF715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2049"/>
    <o:shapelayout v:ext="edit">
      <o:idmap v:ext="edit" data="1"/>
    </o:shapelayout>
  </w:shapeDefaults>
  <w:decimalSymbol w:val=","/>
  <w:listSeparator w:val=";"/>
  <w14:docId w14:val="4EC2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386"/>
    <w:pPr>
      <w:spacing w:after="200" w:line="276" w:lineRule="auto"/>
    </w:pPr>
    <w:rPr>
      <w:sz w:val="22"/>
      <w:szCs w:val="22"/>
      <w:lang w:val="en-GB" w:eastAsia="en-US"/>
    </w:rPr>
  </w:style>
  <w:style w:type="paragraph" w:styleId="Ttulo2">
    <w:name w:val="heading 2"/>
    <w:basedOn w:val="Normal"/>
    <w:next w:val="Normal"/>
    <w:link w:val="Ttulo2Car"/>
    <w:semiHidden/>
    <w:unhideWhenUsed/>
    <w:qFormat/>
    <w:locked/>
    <w:rsid w:val="00AF0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uiPriority w:val="99"/>
    <w:qFormat/>
    <w:locked/>
    <w:rsid w:val="00DB2CF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uiPriority w:val="9"/>
    <w:unhideWhenUsed/>
    <w:qFormat/>
    <w:locked/>
    <w:rsid w:val="00DC1CB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uiPriority w:val="99"/>
    <w:semiHidden/>
    <w:locked/>
    <w:rsid w:val="004850DD"/>
    <w:rPr>
      <w:rFonts w:ascii="Calibri" w:hAnsi="Calibri" w:cs="Times New Roman"/>
      <w:b/>
      <w:bCs/>
      <w:sz w:val="28"/>
      <w:szCs w:val="28"/>
      <w:lang w:val="en-GB" w:eastAsia="en-US"/>
    </w:rPr>
  </w:style>
  <w:style w:type="paragraph" w:styleId="Textonotapie">
    <w:name w:val="footnote text"/>
    <w:aliases w:val="Footnote Text Char Char Char Char Char,Footnote Text Char Char Char Char,Footnote reference,FA Fu,Footnote Text Char Char Char,Footnote Text Cha,FA Fußnotentext,FA Fuﬂnotentext,Texto nota pie Car,Footnote Text Char Char,FA Fu?notentext,Ca"/>
    <w:basedOn w:val="Normal"/>
    <w:link w:val="TextonotapieCar1"/>
    <w:qFormat/>
    <w:rsid w:val="000B3F8D"/>
    <w:pPr>
      <w:spacing w:after="0" w:line="240" w:lineRule="auto"/>
    </w:pPr>
    <w:rPr>
      <w:sz w:val="20"/>
      <w:szCs w:val="20"/>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ﬂnotentext Char,Ca Char"/>
    <w:uiPriority w:val="99"/>
    <w:semiHidden/>
    <w:locked/>
    <w:rsid w:val="00533D20"/>
    <w:rPr>
      <w:rFonts w:cs="Times New Roman"/>
      <w:sz w:val="20"/>
      <w:szCs w:val="20"/>
      <w:lang w:val="en-GB" w:eastAsia="en-US"/>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 Car1,FA Fußnotentext Car1,FA Fuﬂnotentext Car1,Ca Car"/>
    <w:link w:val="Textonotapie"/>
    <w:qFormat/>
    <w:locked/>
    <w:rsid w:val="000B3F8D"/>
    <w:rPr>
      <w:rFonts w:cs="Times New Roman"/>
      <w:sz w:val="20"/>
      <w:szCs w:val="20"/>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link w:val="4GChar"/>
    <w:qFormat/>
    <w:rsid w:val="000B3F8D"/>
    <w:rPr>
      <w:rFonts w:cs="Times New Roman"/>
      <w:vertAlign w:val="superscript"/>
    </w:rPr>
  </w:style>
  <w:style w:type="character" w:styleId="Hipervnculo">
    <w:name w:val="Hyperlink"/>
    <w:rsid w:val="00704C21"/>
    <w:rPr>
      <w:rFonts w:cs="Times New Roman"/>
      <w:color w:val="0000FF"/>
      <w:u w:val="single"/>
    </w:rPr>
  </w:style>
  <w:style w:type="character" w:customStyle="1" w:styleId="FootnoteTextCharCharCharCharCharCar">
    <w:name w:val="Footnote Text Char Char Char Char Char Car"/>
    <w:aliases w:val="Footnote Text Char Char Char Char Car,Footnote reference Car,FA Fu Car,Footnote Text Char Char Char Car,Footnote Text Cha Car,FA Fußnotentext Car,FA Fuﬂnotentext Car,Texto nota pie Car Car,FA Fu?notentext Car"/>
    <w:uiPriority w:val="99"/>
    <w:qFormat/>
    <w:locked/>
    <w:rsid w:val="00D224A4"/>
    <w:rPr>
      <w:rFonts w:cs="Times New Roman"/>
      <w:sz w:val="20"/>
      <w:szCs w:val="20"/>
    </w:rPr>
  </w:style>
  <w:style w:type="paragraph" w:customStyle="1" w:styleId="JuPara">
    <w:name w:val="Ju_Para"/>
    <w:aliases w:val="Left,First line:  0 cm,ECHR_Para,Para,N_Para"/>
    <w:basedOn w:val="Normal"/>
    <w:link w:val="JuParaCar"/>
    <w:rsid w:val="00DB2CF3"/>
    <w:pPr>
      <w:suppressAutoHyphens/>
      <w:spacing w:after="0" w:line="240" w:lineRule="auto"/>
      <w:ind w:firstLine="284"/>
      <w:jc w:val="both"/>
    </w:pPr>
    <w:rPr>
      <w:rFonts w:ascii="Times New Roman" w:hAnsi="Times New Roman"/>
      <w:sz w:val="24"/>
      <w:szCs w:val="20"/>
      <w:lang w:val="fr-FR" w:eastAsia="fr-FR"/>
    </w:rPr>
  </w:style>
  <w:style w:type="character" w:customStyle="1" w:styleId="JuParaCar">
    <w:name w:val="Ju_Para Car"/>
    <w:link w:val="JuPara"/>
    <w:locked/>
    <w:rsid w:val="00DB2CF3"/>
    <w:rPr>
      <w:rFonts w:cs="Times New Roman"/>
      <w:sz w:val="24"/>
      <w:lang w:val="fr-FR" w:eastAsia="fr-FR" w:bidi="ar-SA"/>
    </w:rPr>
  </w:style>
  <w:style w:type="paragraph" w:customStyle="1" w:styleId="Pa8">
    <w:name w:val="Pa8"/>
    <w:basedOn w:val="Normal"/>
    <w:next w:val="Normal"/>
    <w:uiPriority w:val="99"/>
    <w:rsid w:val="00DB2CF3"/>
    <w:pPr>
      <w:autoSpaceDE w:val="0"/>
      <w:autoSpaceDN w:val="0"/>
      <w:adjustRightInd w:val="0"/>
      <w:spacing w:after="0" w:line="201" w:lineRule="atLeast"/>
    </w:pPr>
    <w:rPr>
      <w:rFonts w:ascii="Arial" w:hAnsi="Arial"/>
      <w:sz w:val="24"/>
      <w:szCs w:val="24"/>
      <w:lang w:val="es-ES" w:eastAsia="es-ES"/>
    </w:rPr>
  </w:style>
  <w:style w:type="paragraph" w:customStyle="1" w:styleId="ECHRHeading4">
    <w:name w:val="ECHR_Heading_4"/>
    <w:aliases w:val="Ju_H_a"/>
    <w:basedOn w:val="Ttulo4"/>
    <w:next w:val="JuPara"/>
    <w:link w:val="JuHaChar"/>
    <w:uiPriority w:val="99"/>
    <w:rsid w:val="00DB2CF3"/>
    <w:pPr>
      <w:keepLines/>
      <w:tabs>
        <w:tab w:val="left" w:pos="975"/>
      </w:tabs>
      <w:spacing w:after="120" w:line="240" w:lineRule="auto"/>
      <w:ind w:left="975" w:hanging="340"/>
      <w:jc w:val="both"/>
    </w:pPr>
    <w:rPr>
      <w:rFonts w:eastAsia="MS Gothic"/>
      <w:iCs/>
      <w:sz w:val="20"/>
      <w:szCs w:val="22"/>
      <w:lang w:val="fr-FR" w:eastAsia="fr-FR"/>
    </w:rPr>
  </w:style>
  <w:style w:type="character" w:customStyle="1" w:styleId="JuHaChar">
    <w:name w:val="Ju_H_a Char"/>
    <w:link w:val="ECHRHeading4"/>
    <w:uiPriority w:val="99"/>
    <w:locked/>
    <w:rsid w:val="00DB2CF3"/>
    <w:rPr>
      <w:rFonts w:eastAsia="MS Gothic" w:cs="Times New Roman"/>
      <w:b/>
      <w:bCs/>
      <w:iCs/>
      <w:sz w:val="22"/>
      <w:szCs w:val="22"/>
      <w:lang w:val="fr-FR" w:eastAsia="fr-FR" w:bidi="ar-SA"/>
    </w:rPr>
  </w:style>
  <w:style w:type="character" w:customStyle="1" w:styleId="sb8d990e2">
    <w:name w:val="sb8d990e2"/>
    <w:rsid w:val="009C5C98"/>
  </w:style>
  <w:style w:type="paragraph" w:customStyle="1" w:styleId="JuQuot">
    <w:name w:val="Ju_Quot"/>
    <w:basedOn w:val="JuPara"/>
    <w:rsid w:val="009C5C98"/>
    <w:pPr>
      <w:suppressAutoHyphens w:val="0"/>
      <w:spacing w:before="120" w:after="120"/>
      <w:ind w:left="425" w:firstLine="142"/>
    </w:pPr>
    <w:rPr>
      <w:rFonts w:eastAsia="Times New Roman"/>
      <w:sz w:val="20"/>
      <w:lang w:val="en-GB"/>
    </w:rPr>
  </w:style>
  <w:style w:type="paragraph" w:customStyle="1" w:styleId="OpiPara">
    <w:name w:val="Opi_Para"/>
    <w:basedOn w:val="Normal"/>
    <w:rsid w:val="00665F5F"/>
    <w:pPr>
      <w:spacing w:after="0" w:line="240" w:lineRule="auto"/>
      <w:ind w:firstLine="284"/>
      <w:jc w:val="both"/>
    </w:pPr>
    <w:rPr>
      <w:rFonts w:ascii="Times New Roman" w:eastAsia="Times New Roman" w:hAnsi="Times New Roman"/>
      <w:sz w:val="24"/>
      <w:szCs w:val="20"/>
      <w:lang w:eastAsia="fr-FR"/>
    </w:rPr>
  </w:style>
  <w:style w:type="character" w:customStyle="1" w:styleId="Ttulo5Car">
    <w:name w:val="Título 5 Car"/>
    <w:basedOn w:val="Fuentedeprrafopredeter"/>
    <w:link w:val="Ttulo5"/>
    <w:semiHidden/>
    <w:rsid w:val="00DC1CB1"/>
    <w:rPr>
      <w:rFonts w:asciiTheme="majorHAnsi" w:eastAsiaTheme="majorEastAsia" w:hAnsiTheme="majorHAnsi" w:cstheme="majorBidi"/>
      <w:color w:val="365F91" w:themeColor="accent1" w:themeShade="BF"/>
      <w:sz w:val="22"/>
      <w:szCs w:val="22"/>
      <w:lang w:val="en-GB" w:eastAsia="en-US"/>
    </w:rPr>
  </w:style>
  <w:style w:type="paragraph" w:styleId="Encabezado">
    <w:name w:val="header"/>
    <w:basedOn w:val="Normal"/>
    <w:link w:val="EncabezadoCar"/>
    <w:uiPriority w:val="99"/>
    <w:unhideWhenUsed/>
    <w:rsid w:val="00DA56D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A56D9"/>
    <w:rPr>
      <w:sz w:val="22"/>
      <w:szCs w:val="22"/>
      <w:lang w:val="en-GB" w:eastAsia="en-US"/>
    </w:rPr>
  </w:style>
  <w:style w:type="paragraph" w:styleId="Piedepgina">
    <w:name w:val="footer"/>
    <w:basedOn w:val="Normal"/>
    <w:link w:val="PiedepginaCar"/>
    <w:uiPriority w:val="99"/>
    <w:unhideWhenUsed/>
    <w:rsid w:val="00DA56D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A56D9"/>
    <w:rPr>
      <w:sz w:val="22"/>
      <w:szCs w:val="22"/>
      <w:lang w:val="en-GB" w:eastAsia="en-US"/>
    </w:rPr>
  </w:style>
  <w:style w:type="paragraph" w:customStyle="1" w:styleId="Default">
    <w:name w:val="Default"/>
    <w:rsid w:val="00481B79"/>
    <w:pPr>
      <w:autoSpaceDE w:val="0"/>
      <w:autoSpaceDN w:val="0"/>
      <w:adjustRightInd w:val="0"/>
    </w:pPr>
    <w:rPr>
      <w:rFonts w:ascii="Verdana" w:hAnsi="Verdana" w:cs="Verdana"/>
      <w:color w:val="000000"/>
      <w:sz w:val="24"/>
      <w:szCs w:val="24"/>
    </w:rPr>
  </w:style>
  <w:style w:type="character" w:styleId="nfasis">
    <w:name w:val="Emphasis"/>
    <w:qFormat/>
    <w:locked/>
    <w:rsid w:val="00665D8C"/>
    <w:rPr>
      <w:i/>
      <w:iCs/>
    </w:rPr>
  </w:style>
  <w:style w:type="character" w:customStyle="1" w:styleId="Ttulo2Car">
    <w:name w:val="Título 2 Car"/>
    <w:basedOn w:val="Fuentedeprrafopredeter"/>
    <w:link w:val="Ttulo2"/>
    <w:semiHidden/>
    <w:rsid w:val="00AF0966"/>
    <w:rPr>
      <w:rFonts w:asciiTheme="majorHAnsi" w:eastAsiaTheme="majorEastAsia" w:hAnsiTheme="majorHAnsi" w:cstheme="majorBidi"/>
      <w:color w:val="365F91" w:themeColor="accent1" w:themeShade="BF"/>
      <w:sz w:val="26"/>
      <w:szCs w:val="26"/>
      <w:lang w:val="en-GB" w:eastAsia="en-US"/>
    </w:rPr>
  </w:style>
  <w:style w:type="paragraph" w:customStyle="1" w:styleId="footnotedescription">
    <w:name w:val="footnote description"/>
    <w:next w:val="Normal"/>
    <w:link w:val="footnotedescriptionChar"/>
    <w:hidden/>
    <w:rsid w:val="0082539D"/>
    <w:pPr>
      <w:spacing w:line="266" w:lineRule="auto"/>
      <w:ind w:left="283" w:hanging="283"/>
    </w:pPr>
    <w:rPr>
      <w:rFonts w:ascii="Garamond" w:eastAsia="Garamond" w:hAnsi="Garamond" w:cs="Garamond"/>
      <w:color w:val="1A171B"/>
      <w:szCs w:val="22"/>
    </w:rPr>
  </w:style>
  <w:style w:type="character" w:customStyle="1" w:styleId="footnotedescriptionChar">
    <w:name w:val="footnote description Char"/>
    <w:link w:val="footnotedescription"/>
    <w:rsid w:val="0082539D"/>
    <w:rPr>
      <w:rFonts w:ascii="Garamond" w:eastAsia="Garamond" w:hAnsi="Garamond" w:cs="Garamond"/>
      <w:color w:val="1A171B"/>
      <w:szCs w:val="22"/>
    </w:rPr>
  </w:style>
  <w:style w:type="character" w:customStyle="1" w:styleId="footnotemark">
    <w:name w:val="footnote mark"/>
    <w:hidden/>
    <w:rsid w:val="0082539D"/>
    <w:rPr>
      <w:rFonts w:ascii="Garamond" w:eastAsia="Garamond" w:hAnsi="Garamond" w:cs="Garamond"/>
      <w:color w:val="1A171B"/>
      <w:sz w:val="20"/>
      <w:vertAlign w:val="superscript"/>
    </w:rPr>
  </w:style>
  <w:style w:type="paragraph" w:styleId="Prrafodelista">
    <w:name w:val="List Paragraph"/>
    <w:aliases w:val="List Paragraph2,Párrafo de lista1,List Paragraph1,Footnote,Colorful List - Accent 11,Lista vistosa - Énfasis 11,Subtle Emphasis1,Footnote1"/>
    <w:basedOn w:val="Normal"/>
    <w:link w:val="PrrafodelistaCar"/>
    <w:uiPriority w:val="34"/>
    <w:qFormat/>
    <w:rsid w:val="00D43CD3"/>
    <w:pPr>
      <w:ind w:left="720"/>
      <w:contextualSpacing/>
    </w:p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604918"/>
    <w:pPr>
      <w:spacing w:after="0" w:line="240" w:lineRule="auto"/>
      <w:jc w:val="both"/>
    </w:pPr>
    <w:rPr>
      <w:sz w:val="20"/>
      <w:szCs w:val="20"/>
      <w:vertAlign w:val="superscript"/>
      <w:lang w:val="es-ES" w:eastAsia="es-ES"/>
    </w:rPr>
  </w:style>
  <w:style w:type="character" w:customStyle="1" w:styleId="PrrafodelistaCar">
    <w:name w:val="Párrafo de lista Car"/>
    <w:aliases w:val="List Paragraph2 Car,Párrafo de lista1 Car,List Paragraph1 Car,Footnote Car,Colorful List - Accent 11 Car,Lista vistosa - Énfasis 11 Car,Subtle Emphasis1 Car,Footnote1 Car"/>
    <w:link w:val="Prrafodelista"/>
    <w:uiPriority w:val="34"/>
    <w:locked/>
    <w:rsid w:val="00604918"/>
    <w:rPr>
      <w:sz w:val="22"/>
      <w:szCs w:val="22"/>
      <w:lang w:val="en-GB" w:eastAsia="en-US"/>
    </w:rPr>
  </w:style>
  <w:style w:type="paragraph" w:customStyle="1" w:styleId="PrrafodeSentencia">
    <w:name w:val="*. Párrafo de Sentencia"/>
    <w:basedOn w:val="Normal"/>
    <w:link w:val="PrrafodeSentenciaChar"/>
    <w:autoRedefine/>
    <w:qFormat/>
    <w:rsid w:val="00B162AE"/>
    <w:pPr>
      <w:numPr>
        <w:numId w:val="12"/>
      </w:numPr>
      <w:tabs>
        <w:tab w:val="left" w:pos="567"/>
      </w:tabs>
      <w:spacing w:after="0" w:line="240" w:lineRule="auto"/>
      <w:ind w:left="0" w:firstLine="12"/>
      <w:jc w:val="both"/>
    </w:pPr>
    <w:rPr>
      <w:rFonts w:ascii="Verdana" w:eastAsia="Batang" w:hAnsi="Verdana"/>
      <w:sz w:val="20"/>
      <w:szCs w:val="20"/>
      <w:lang w:val="es-ES_tradnl" w:eastAsia="es-MX"/>
    </w:rPr>
  </w:style>
  <w:style w:type="character" w:customStyle="1" w:styleId="PrrafodeSentenciaChar">
    <w:name w:val="*. Párrafo de Sentencia Char"/>
    <w:link w:val="PrrafodeSentencia"/>
    <w:rsid w:val="00B162AE"/>
    <w:rPr>
      <w:rFonts w:ascii="Verdana" w:eastAsia="Batang" w:hAnsi="Verdana"/>
      <w:lang w:val="es-ES_tradnl" w:eastAsia="es-MX"/>
    </w:rPr>
  </w:style>
  <w:style w:type="character" w:styleId="Textoennegrita">
    <w:name w:val="Strong"/>
    <w:aliases w:val="Heading 2.1"/>
    <w:uiPriority w:val="22"/>
    <w:qFormat/>
    <w:locked/>
    <w:rsid w:val="00B162AE"/>
    <w:rPr>
      <w:b/>
      <w:bCs/>
    </w:rPr>
  </w:style>
  <w:style w:type="paragraph" w:styleId="Textodeglobo">
    <w:name w:val="Balloon Text"/>
    <w:basedOn w:val="Normal"/>
    <w:link w:val="TextodegloboCar"/>
    <w:uiPriority w:val="99"/>
    <w:semiHidden/>
    <w:unhideWhenUsed/>
    <w:rsid w:val="00A865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521"/>
    <w:rPr>
      <w:rFonts w:ascii="Segoe UI" w:hAnsi="Segoe UI" w:cs="Segoe UI"/>
      <w:sz w:val="18"/>
      <w:szCs w:val="18"/>
      <w:lang w:val="en-GB" w:eastAsia="en-US"/>
    </w:rPr>
  </w:style>
  <w:style w:type="character" w:customStyle="1" w:styleId="s32a37344">
    <w:name w:val="s32a37344"/>
    <w:rsid w:val="00E1490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9490">
      <w:bodyDiv w:val="1"/>
      <w:marLeft w:val="0"/>
      <w:marRight w:val="0"/>
      <w:marTop w:val="0"/>
      <w:marBottom w:val="0"/>
      <w:divBdr>
        <w:top w:val="none" w:sz="0" w:space="0" w:color="auto"/>
        <w:left w:val="none" w:sz="0" w:space="0" w:color="auto"/>
        <w:bottom w:val="none" w:sz="0" w:space="0" w:color="auto"/>
        <w:right w:val="none" w:sz="0" w:space="0" w:color="auto"/>
      </w:divBdr>
    </w:div>
    <w:div w:id="1349481485">
      <w:bodyDiv w:val="1"/>
      <w:marLeft w:val="0"/>
      <w:marRight w:val="0"/>
      <w:marTop w:val="0"/>
      <w:marBottom w:val="0"/>
      <w:divBdr>
        <w:top w:val="none" w:sz="0" w:space="0" w:color="auto"/>
        <w:left w:val="none" w:sz="0" w:space="0" w:color="auto"/>
        <w:bottom w:val="none" w:sz="0" w:space="0" w:color="auto"/>
        <w:right w:val="none" w:sz="0" w:space="0" w:color="auto"/>
      </w:divBdr>
    </w:div>
    <w:div w:id="1418093976">
      <w:bodyDiv w:val="1"/>
      <w:marLeft w:val="0"/>
      <w:marRight w:val="0"/>
      <w:marTop w:val="0"/>
      <w:marBottom w:val="0"/>
      <w:divBdr>
        <w:top w:val="none" w:sz="0" w:space="0" w:color="auto"/>
        <w:left w:val="none" w:sz="0" w:space="0" w:color="auto"/>
        <w:bottom w:val="none" w:sz="0" w:space="0" w:color="auto"/>
        <w:right w:val="none" w:sz="0" w:space="0" w:color="auto"/>
      </w:divBdr>
    </w:div>
    <w:div w:id="1428384852">
      <w:bodyDiv w:val="1"/>
      <w:marLeft w:val="0"/>
      <w:marRight w:val="0"/>
      <w:marTop w:val="0"/>
      <w:marBottom w:val="0"/>
      <w:divBdr>
        <w:top w:val="none" w:sz="0" w:space="0" w:color="auto"/>
        <w:left w:val="none" w:sz="0" w:space="0" w:color="auto"/>
        <w:bottom w:val="none" w:sz="0" w:space="0" w:color="auto"/>
        <w:right w:val="none" w:sz="0" w:space="0" w:color="auto"/>
      </w:divBdr>
    </w:div>
    <w:div w:id="1773279798">
      <w:bodyDiv w:val="1"/>
      <w:marLeft w:val="0"/>
      <w:marRight w:val="0"/>
      <w:marTop w:val="0"/>
      <w:marBottom w:val="0"/>
      <w:divBdr>
        <w:top w:val="none" w:sz="0" w:space="0" w:color="auto"/>
        <w:left w:val="none" w:sz="0" w:space="0" w:color="auto"/>
        <w:bottom w:val="none" w:sz="0" w:space="0" w:color="auto"/>
        <w:right w:val="none" w:sz="0" w:space="0" w:color="auto"/>
      </w:divBdr>
      <w:divsChild>
        <w:div w:id="467405557">
          <w:marLeft w:val="0"/>
          <w:marRight w:val="0"/>
          <w:marTop w:val="0"/>
          <w:marBottom w:val="0"/>
          <w:divBdr>
            <w:top w:val="none" w:sz="0" w:space="0" w:color="auto"/>
            <w:left w:val="none" w:sz="0" w:space="0" w:color="auto"/>
            <w:bottom w:val="none" w:sz="0" w:space="0" w:color="auto"/>
            <w:right w:val="none" w:sz="0" w:space="0" w:color="auto"/>
          </w:divBdr>
        </w:div>
        <w:div w:id="1701004547">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oas.org/es/cidh/informes/pdfs/Derecho-Verdad-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DEE5A-8F53-429D-B3DE-B0AEC291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9485</Words>
  <Characters>52172</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2022-03-14T11:27:00Z</dcterms:created>
  <dcterms:modified xsi:type="dcterms:W3CDTF">2022-03-14T11:27:00Z</dcterms:modified>
</cp:coreProperties>
</file>