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9021C" w14:textId="77777777" w:rsidR="00BB710F" w:rsidRPr="00A14DB4" w:rsidRDefault="00BB710F" w:rsidP="00BB710F">
      <w:pPr>
        <w:jc w:val="right"/>
        <w:rPr>
          <w:rFonts w:ascii="Times New Roman" w:hAnsi="Times New Roman" w:cs="Times New Roman"/>
          <w:b/>
        </w:rPr>
      </w:pPr>
      <w:bookmarkStart w:id="0" w:name="_GoBack"/>
      <w:r w:rsidRPr="00A14DB4">
        <w:rPr>
          <w:rFonts w:ascii="Times New Roman" w:hAnsi="Times New Roman" w:cs="Times New Roman"/>
          <w:b/>
        </w:rPr>
        <w:t>ASPECTOS PROCESALES RELACIONADOS CON LA VALORACIÓN POLICIAL DE RIESGO (VPR) EN LOS CASOS DE VIOLENCIA DE GÉNERO</w:t>
      </w:r>
    </w:p>
    <w:p w14:paraId="1D9193CC" w14:textId="4D1715EB" w:rsidR="00D15FD3" w:rsidRDefault="00D15FD3" w:rsidP="00B36241">
      <w:pPr>
        <w:jc w:val="both"/>
      </w:pPr>
    </w:p>
    <w:p w14:paraId="09B0B80F" w14:textId="1C25E795" w:rsidR="00BB710F" w:rsidRDefault="00BB710F" w:rsidP="00BB710F">
      <w:pPr>
        <w:jc w:val="right"/>
        <w:rPr>
          <w:rFonts w:ascii="Times New Roman" w:hAnsi="Times New Roman" w:cs="Times New Roman"/>
          <w:i/>
          <w:iCs/>
          <w:lang w:val="es-ES"/>
        </w:rPr>
      </w:pPr>
      <w:r w:rsidRPr="00BB710F">
        <w:rPr>
          <w:rFonts w:ascii="Times New Roman" w:hAnsi="Times New Roman" w:cs="Times New Roman"/>
          <w:i/>
          <w:iCs/>
          <w:lang w:val="es-ES"/>
        </w:rPr>
        <w:t>Jesús Sáez González</w:t>
      </w:r>
    </w:p>
    <w:p w14:paraId="75320CE7" w14:textId="23CE1232" w:rsidR="00BB710F" w:rsidRPr="00BB710F" w:rsidRDefault="00BB710F" w:rsidP="00BB710F">
      <w:pPr>
        <w:jc w:val="right"/>
        <w:rPr>
          <w:rFonts w:ascii="Times New Roman" w:hAnsi="Times New Roman" w:cs="Times New Roman"/>
          <w:i/>
          <w:iCs/>
          <w:lang w:val="es-ES"/>
        </w:rPr>
      </w:pPr>
      <w:r>
        <w:rPr>
          <w:rFonts w:ascii="Times New Roman" w:hAnsi="Times New Roman" w:cs="Times New Roman"/>
          <w:i/>
          <w:iCs/>
          <w:lang w:val="es-ES"/>
        </w:rPr>
        <w:t>Profesor Titular de Derecho Procesal de la Universidad de Cádiz</w:t>
      </w:r>
      <w:bookmarkEnd w:id="0"/>
    </w:p>
    <w:p w14:paraId="02E09ABF" w14:textId="77777777" w:rsidR="00BB710F" w:rsidRDefault="00BB710F" w:rsidP="00B36241">
      <w:pPr>
        <w:jc w:val="both"/>
      </w:pPr>
    </w:p>
    <w:p w14:paraId="2F33B08C" w14:textId="4EA986F6" w:rsidR="00B36241" w:rsidRPr="00A14DB4" w:rsidRDefault="00B36241" w:rsidP="00B36241">
      <w:pPr>
        <w:spacing w:line="360" w:lineRule="auto"/>
        <w:ind w:firstLine="567"/>
        <w:jc w:val="both"/>
        <w:rPr>
          <w:rFonts w:ascii="Times New Roman" w:hAnsi="Times New Roman" w:cs="Times New Roman"/>
        </w:rPr>
      </w:pPr>
      <w:r w:rsidRPr="00A14DB4">
        <w:rPr>
          <w:rFonts w:ascii="Times New Roman" w:hAnsi="Times New Roman" w:cs="Times New Roman"/>
        </w:rPr>
        <w:t xml:space="preserve">La expresión violencia de género acoge un campo bastante más limitado que el de violencia contra la mujer. Tal vez sería más exacto desarrollar este tema bajo alguna otra expresión, como bien podría ser el de violencia contra la mujer emparejada, ya que solo se contempla bajo la idea de violencia de género la que se ejerce contra una mujer por </w:t>
      </w:r>
      <w:r w:rsidRPr="00AB1E43">
        <w:rPr>
          <w:rFonts w:ascii="Times New Roman" w:hAnsi="Times New Roman" w:cs="Times New Roman"/>
        </w:rPr>
        <w:t>quien está o</w:t>
      </w:r>
      <w:r>
        <w:rPr>
          <w:rFonts w:ascii="Times New Roman" w:hAnsi="Times New Roman" w:cs="Times New Roman"/>
        </w:rPr>
        <w:t xml:space="preserve"> ha estado </w:t>
      </w:r>
      <w:r w:rsidRPr="00A14DB4">
        <w:rPr>
          <w:rFonts w:ascii="Times New Roman" w:hAnsi="Times New Roman" w:cs="Times New Roman"/>
        </w:rPr>
        <w:t xml:space="preserve">ha estado unido a ella por un vínculo matrimonial u otro semejante. Este vínculo de pareja deja fuera otros muchos modos de violencia que se ejerce contra la mujer a pesar de ejercerla por eso mismo: por se mujer. Queda fuera la violencia intrafamiliar que el padre (o la madre) ejerce sobre la hija, sea adulta o menor; quedan fuera todos los actos de agresión realizados por hombres que no se encuentran o no se han encontrado con anterioridad vinculados con la mujer agredida y que, sin embargo la agreden física o psíquicamente ya sea en el ámbito laboral, familiar o social; queda fuera el tráfico de mujeres con fines de explotación sexual; quedan fuera de este ámbito igualmente las agresiones realizadas por otras mujeres; y queda fuera también un colectivo particularmente vulnerable como es el de las niñas. </w:t>
      </w:r>
    </w:p>
    <w:p w14:paraId="04326168" w14:textId="77777777" w:rsidR="00B36241" w:rsidRDefault="00B36241" w:rsidP="00B36241">
      <w:pPr>
        <w:spacing w:line="360" w:lineRule="auto"/>
        <w:ind w:firstLine="567"/>
        <w:jc w:val="both"/>
        <w:rPr>
          <w:rFonts w:ascii="Times New Roman" w:hAnsi="Times New Roman" w:cs="Times New Roman"/>
        </w:rPr>
      </w:pPr>
      <w:r w:rsidRPr="00A14DB4">
        <w:rPr>
          <w:rFonts w:ascii="Times New Roman" w:hAnsi="Times New Roman" w:cs="Times New Roman"/>
        </w:rPr>
        <w:t xml:space="preserve">Las cifras siguen siendo muy preocupantes. Un buen indicador es el número de denuncias, o las cifras de atenciones que desde diversos servicios e instituciones se presentan. Todo ello nos muestra un estado de cosas realmente lamentable que no es nuevo, sino que es una herencia de siglos, frente al que la sociedad actual ha venido a poner cada vez más pie en pared. Los esfuerzos realizados en tal sentido han venido incrementándose en las últimas décadas en ámbitos muy diversos. </w:t>
      </w:r>
    </w:p>
    <w:p w14:paraId="6D08CA17" w14:textId="755A17C6" w:rsidR="00B36241" w:rsidRDefault="00B36241" w:rsidP="00B36241">
      <w:pPr>
        <w:spacing w:line="360" w:lineRule="auto"/>
        <w:ind w:firstLine="567"/>
        <w:jc w:val="both"/>
        <w:rPr>
          <w:rFonts w:ascii="Times New Roman" w:hAnsi="Times New Roman" w:cs="Times New Roman"/>
        </w:rPr>
      </w:pPr>
      <w:r w:rsidRPr="00A14DB4">
        <w:rPr>
          <w:rFonts w:ascii="Times New Roman" w:hAnsi="Times New Roman" w:cs="Times New Roman"/>
        </w:rPr>
        <w:t xml:space="preserve">En el ámbito jurídico se han delimitado elementos constituyentes del tipo penal de la violencia ejercida contra la mujer por hombre ligado por lazos de pareja, se han articulado medidas de protección para tratar de evitar que ello suceda, nuevos cauces procesales y judiciales han sido abiertos para que tales medidas puedan ser tomadas, al tiempo que se viene tratando de incidir en un cambio de la opinión social sobre el tema con medidas que van desde la exposición pública de la barbaridad que supone que alguien le quite la vida a alguien, con el agravante del sinsentido de que la única razón para ello es que la víctima sea una mujer, hasta la implementación de criterios educativos que incidan en ese cambio de mentalidad necesario. Los datos que se van obteniendo son al mismo tiempo alentadores y descorazonadores. Parece ser cierto que se va produciendo ese cambio, pero, por otra parte, las cifras oficiales que reflejan </w:t>
      </w:r>
      <w:r w:rsidRPr="00A14DB4">
        <w:rPr>
          <w:rFonts w:ascii="Times New Roman" w:hAnsi="Times New Roman" w:cs="Times New Roman"/>
        </w:rPr>
        <w:lastRenderedPageBreak/>
        <w:t xml:space="preserve">actos de agresiones contra la mujer por parte de sus parejas contradicen la bondad de la primera afirmación. </w:t>
      </w:r>
    </w:p>
    <w:p w14:paraId="2D0993C6" w14:textId="77777777" w:rsidR="00BB710F" w:rsidRDefault="00F7142F" w:rsidP="00BB710F">
      <w:pPr>
        <w:spacing w:line="360" w:lineRule="auto"/>
        <w:ind w:firstLine="567"/>
        <w:jc w:val="both"/>
        <w:rPr>
          <w:rFonts w:ascii="Times New Roman" w:hAnsi="Times New Roman" w:cs="Times New Roman"/>
          <w:lang w:val="es-ES"/>
        </w:rPr>
      </w:pPr>
      <w:r>
        <w:rPr>
          <w:rFonts w:ascii="Times New Roman" w:hAnsi="Times New Roman" w:cs="Times New Roman"/>
          <w:lang w:val="es-ES"/>
        </w:rPr>
        <w:t>Uno de los medios que han sido implementados han sido las valoraciones de riesgo, a través de las cuales se trata de evaluar qué riesgo existe de que el agresor vuelva a agredir a la víctima. Hablamos en plural de valoraciones de riesgo atendiendo a que las valoraciones pueden producirse inmediatamente después de presentar denuncia ante la Policía la mujer que ha sido objeto de agresión por su pareja o expareja y que tratan de hacer una evaluación inicial del riesgo; pueden ser llevadas a cabo dentro ya del procedimiento judicial por unidades especializadas dependientes de los Institutos de Medicina Legal; o pueden medir en qué medida el riesgo puede aumentar o disminuir con el paso del tiempo atendiendo a la evolución del mismo.</w:t>
      </w:r>
    </w:p>
    <w:p w14:paraId="6A22E6AB" w14:textId="6376CC06" w:rsidR="00D02BDB" w:rsidRPr="00BB710F" w:rsidRDefault="00F7142F" w:rsidP="00BB710F">
      <w:pPr>
        <w:spacing w:line="360" w:lineRule="auto"/>
        <w:ind w:firstLine="567"/>
        <w:jc w:val="both"/>
        <w:rPr>
          <w:rFonts w:ascii="Times New Roman" w:hAnsi="Times New Roman" w:cs="Times New Roman"/>
          <w:lang w:val="es-ES"/>
        </w:rPr>
      </w:pPr>
      <w:r>
        <w:rPr>
          <w:rFonts w:ascii="Times New Roman" w:hAnsi="Times New Roman" w:cs="Times New Roman"/>
          <w:lang w:val="es-ES"/>
        </w:rPr>
        <w:t>Los resultados de estas valoraciones son un instrumento adicional importante a la hora de buscar unos criterios objetivos para determinar que tipos de medidas pueden ser adoptadas p</w:t>
      </w:r>
      <w:r w:rsidR="00BB710F">
        <w:rPr>
          <w:rFonts w:ascii="Times New Roman" w:hAnsi="Times New Roman" w:cs="Times New Roman"/>
          <w:lang w:val="es-ES"/>
        </w:rPr>
        <w:t>a</w:t>
      </w:r>
      <w:r>
        <w:rPr>
          <w:rFonts w:ascii="Times New Roman" w:hAnsi="Times New Roman" w:cs="Times New Roman"/>
          <w:lang w:val="es-ES"/>
        </w:rPr>
        <w:t xml:space="preserve">ra proteger a la víctima. Su alcance, sin embargo, es limitado tanto en el ámbito policial como en el ámbito procesal. En el ámbito policial la limitación deriva de la propia naturaleza de las medidas que pueden ser acordadas, dependiendo en los casos de riesgo medio y alto de la autorización judicial de la medida. En el ámbito del procedimiento judicial la adopción de medias depende no solo de las valoraciones de riesgo </w:t>
      </w:r>
      <w:r w:rsidR="00BB710F">
        <w:rPr>
          <w:rFonts w:ascii="Times New Roman" w:hAnsi="Times New Roman" w:cs="Times New Roman"/>
          <w:lang w:val="es-ES"/>
        </w:rPr>
        <w:t>sino de otro tipo de actuaciones, como los informes periciales y las propias observaciones del órgano judicial. Hoy por hoy, estas valoraciones de riesgo no pasan de tener el mismo peso que pueden tener cualquier informe policial solicitado durante la instrucción de una causa, teniendo siempre la última palabra el titular del órgano judicial.</w:t>
      </w:r>
    </w:p>
    <w:p w14:paraId="4F27696B" w14:textId="36040743" w:rsidR="00F9468F" w:rsidRDefault="00F9468F" w:rsidP="00B36241">
      <w:pPr>
        <w:jc w:val="both"/>
        <w:rPr>
          <w:lang w:val="es-ES"/>
        </w:rPr>
      </w:pPr>
    </w:p>
    <w:p w14:paraId="53976390" w14:textId="77777777" w:rsidR="00F9468F" w:rsidRPr="00F9468F" w:rsidRDefault="00F9468F" w:rsidP="00B36241">
      <w:pPr>
        <w:jc w:val="both"/>
        <w:rPr>
          <w:lang w:val="es-ES"/>
        </w:rPr>
      </w:pPr>
    </w:p>
    <w:sectPr w:rsidR="00F9468F" w:rsidRPr="00F9468F">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6D509" w14:textId="77777777" w:rsidR="00125777" w:rsidRDefault="00125777" w:rsidP="00B36241">
      <w:r>
        <w:separator/>
      </w:r>
    </w:p>
  </w:endnote>
  <w:endnote w:type="continuationSeparator" w:id="0">
    <w:p w14:paraId="54F90F66" w14:textId="77777777" w:rsidR="00125777" w:rsidRDefault="00125777" w:rsidP="00B3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2119941125"/>
      <w:docPartObj>
        <w:docPartGallery w:val="Page Numbers (Bottom of Page)"/>
        <w:docPartUnique/>
      </w:docPartObj>
    </w:sdtPr>
    <w:sdtEndPr>
      <w:rPr>
        <w:rStyle w:val="Nmerodepgina"/>
      </w:rPr>
    </w:sdtEndPr>
    <w:sdtContent>
      <w:p w14:paraId="11CEF764" w14:textId="23599821" w:rsidR="00BB710F" w:rsidRDefault="00BB710F" w:rsidP="00373FD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271C63D" w14:textId="77777777" w:rsidR="00BB710F" w:rsidRDefault="00BB710F" w:rsidP="00BB710F">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093440507"/>
      <w:docPartObj>
        <w:docPartGallery w:val="Page Numbers (Bottom of Page)"/>
        <w:docPartUnique/>
      </w:docPartObj>
    </w:sdtPr>
    <w:sdtEndPr>
      <w:rPr>
        <w:rStyle w:val="Nmerodepgina"/>
      </w:rPr>
    </w:sdtEndPr>
    <w:sdtContent>
      <w:p w14:paraId="3720F5DF" w14:textId="66A608F0" w:rsidR="00BB710F" w:rsidRDefault="00BB710F" w:rsidP="00373FD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A47E13">
          <w:rPr>
            <w:rStyle w:val="Nmerodepgina"/>
            <w:noProof/>
          </w:rPr>
          <w:t>2</w:t>
        </w:r>
        <w:r>
          <w:rPr>
            <w:rStyle w:val="Nmerodepgina"/>
          </w:rPr>
          <w:fldChar w:fldCharType="end"/>
        </w:r>
      </w:p>
    </w:sdtContent>
  </w:sdt>
  <w:p w14:paraId="01806EA2" w14:textId="77777777" w:rsidR="00BB710F" w:rsidRDefault="00BB710F" w:rsidP="00BB710F">
    <w:pPr>
      <w:pStyle w:val="Piedep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C58C5" w14:textId="77777777" w:rsidR="00125777" w:rsidRDefault="00125777" w:rsidP="00B36241">
      <w:r>
        <w:separator/>
      </w:r>
    </w:p>
  </w:footnote>
  <w:footnote w:type="continuationSeparator" w:id="0">
    <w:p w14:paraId="56A9FE42" w14:textId="77777777" w:rsidR="00125777" w:rsidRDefault="00125777" w:rsidP="00B362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68F"/>
    <w:rsid w:val="00054EAA"/>
    <w:rsid w:val="00125777"/>
    <w:rsid w:val="003C2217"/>
    <w:rsid w:val="00A47E13"/>
    <w:rsid w:val="00AC6AFC"/>
    <w:rsid w:val="00B36241"/>
    <w:rsid w:val="00BB710F"/>
    <w:rsid w:val="00D02BDB"/>
    <w:rsid w:val="00D15FD3"/>
    <w:rsid w:val="00F7142F"/>
    <w:rsid w:val="00F9468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0AB32"/>
  <w15:chartTrackingRefBased/>
  <w15:docId w15:val="{004C1F81-6ACD-1149-802F-7ECAC2F3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B36241"/>
    <w:pPr>
      <w:jc w:val="both"/>
    </w:pPr>
    <w:rPr>
      <w:rFonts w:asciiTheme="majorHAnsi" w:eastAsiaTheme="minorEastAsia" w:hAnsiTheme="majorHAnsi"/>
      <w:lang w:val="es-ES_tradnl" w:eastAsia="es-ES"/>
    </w:rPr>
  </w:style>
  <w:style w:type="character" w:customStyle="1" w:styleId="TextonotapieCar">
    <w:name w:val="Texto nota pie Car"/>
    <w:basedOn w:val="Fuentedeprrafopredeter"/>
    <w:link w:val="Textonotapie"/>
    <w:uiPriority w:val="99"/>
    <w:rsid w:val="00B36241"/>
    <w:rPr>
      <w:rFonts w:asciiTheme="majorHAnsi" w:eastAsiaTheme="minorEastAsia" w:hAnsiTheme="majorHAnsi"/>
      <w:lang w:val="es-ES_tradnl" w:eastAsia="es-ES"/>
    </w:rPr>
  </w:style>
  <w:style w:type="character" w:styleId="Refdenotaalpie">
    <w:name w:val="footnote reference"/>
    <w:basedOn w:val="Fuentedeprrafopredeter"/>
    <w:uiPriority w:val="99"/>
    <w:unhideWhenUsed/>
    <w:rsid w:val="00B36241"/>
    <w:rPr>
      <w:vertAlign w:val="superscript"/>
    </w:rPr>
  </w:style>
  <w:style w:type="character" w:styleId="Hipervnculo">
    <w:name w:val="Hyperlink"/>
    <w:basedOn w:val="Fuentedeprrafopredeter"/>
    <w:uiPriority w:val="99"/>
    <w:unhideWhenUsed/>
    <w:rsid w:val="00B36241"/>
    <w:rPr>
      <w:color w:val="0563C1" w:themeColor="hyperlink"/>
      <w:u w:val="single"/>
    </w:rPr>
  </w:style>
  <w:style w:type="paragraph" w:styleId="Piedepgina">
    <w:name w:val="footer"/>
    <w:basedOn w:val="Normal"/>
    <w:link w:val="PiedepginaCar"/>
    <w:uiPriority w:val="99"/>
    <w:unhideWhenUsed/>
    <w:rsid w:val="00BB710F"/>
    <w:pPr>
      <w:tabs>
        <w:tab w:val="center" w:pos="4513"/>
        <w:tab w:val="right" w:pos="9026"/>
      </w:tabs>
    </w:pPr>
  </w:style>
  <w:style w:type="character" w:customStyle="1" w:styleId="PiedepginaCar">
    <w:name w:val="Pie de página Car"/>
    <w:basedOn w:val="Fuentedeprrafopredeter"/>
    <w:link w:val="Piedepgina"/>
    <w:uiPriority w:val="99"/>
    <w:rsid w:val="00BB710F"/>
  </w:style>
  <w:style w:type="character" w:styleId="Nmerodepgina">
    <w:name w:val="page number"/>
    <w:basedOn w:val="Fuentedeprrafopredeter"/>
    <w:uiPriority w:val="99"/>
    <w:semiHidden/>
    <w:unhideWhenUsed/>
    <w:rsid w:val="00BB7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708</Words>
  <Characters>3898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Sáez González</dc:creator>
  <cp:keywords/>
  <dc:description/>
  <cp:lastModifiedBy>Usuario de Windows</cp:lastModifiedBy>
  <cp:revision>2</cp:revision>
  <dcterms:created xsi:type="dcterms:W3CDTF">2021-04-21T09:07:00Z</dcterms:created>
  <dcterms:modified xsi:type="dcterms:W3CDTF">2021-04-21T09:07:00Z</dcterms:modified>
</cp:coreProperties>
</file>