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C726E" w14:textId="77777777" w:rsidR="00562A0C" w:rsidRDefault="00562A0C" w:rsidP="009F61DE">
      <w:pPr>
        <w:shd w:val="clear" w:color="auto" w:fill="FFFFFF"/>
        <w:spacing w:after="0" w:line="360" w:lineRule="auto"/>
        <w:jc w:val="center"/>
        <w:rPr>
          <w:rFonts w:ascii="Arial" w:eastAsia="Times New Roman" w:hAnsi="Arial" w:cs="Arial"/>
          <w:b/>
          <w:bCs/>
          <w:i/>
          <w:sz w:val="28"/>
          <w:szCs w:val="28"/>
          <w:lang w:val="es-ES" w:eastAsia="es-ES"/>
        </w:rPr>
      </w:pPr>
      <w:r>
        <w:rPr>
          <w:rFonts w:ascii="Arial" w:eastAsia="Times New Roman" w:hAnsi="Arial" w:cs="Arial"/>
          <w:b/>
          <w:bCs/>
          <w:i/>
          <w:sz w:val="28"/>
          <w:szCs w:val="28"/>
          <w:lang w:val="es-ES" w:eastAsia="es-ES"/>
        </w:rPr>
        <w:t xml:space="preserve">EL DERECHO A NO SER RECHAZADO EN FRONTERA </w:t>
      </w:r>
    </w:p>
    <w:p w14:paraId="221B6FDC" w14:textId="24C61AE0" w:rsidR="00562A0C" w:rsidRDefault="00562A0C" w:rsidP="009F61DE">
      <w:pPr>
        <w:shd w:val="clear" w:color="auto" w:fill="FFFFFF"/>
        <w:spacing w:after="0" w:line="360" w:lineRule="auto"/>
        <w:jc w:val="center"/>
        <w:rPr>
          <w:rFonts w:ascii="Arial" w:eastAsia="Times New Roman" w:hAnsi="Arial" w:cs="Arial"/>
          <w:b/>
          <w:bCs/>
          <w:i/>
          <w:sz w:val="28"/>
          <w:szCs w:val="28"/>
          <w:lang w:val="es-ES" w:eastAsia="es-ES"/>
        </w:rPr>
      </w:pPr>
      <w:r>
        <w:rPr>
          <w:rFonts w:ascii="Arial" w:eastAsia="Times New Roman" w:hAnsi="Arial" w:cs="Arial"/>
          <w:b/>
          <w:bCs/>
          <w:i/>
          <w:sz w:val="28"/>
          <w:szCs w:val="28"/>
          <w:lang w:val="es-ES" w:eastAsia="es-ES"/>
        </w:rPr>
        <w:t>SIN GARANTÍAS</w:t>
      </w:r>
      <w:r w:rsidR="001D607C">
        <w:rPr>
          <w:rFonts w:ascii="Arial" w:eastAsia="Times New Roman" w:hAnsi="Arial" w:cs="Arial"/>
          <w:b/>
          <w:bCs/>
          <w:i/>
          <w:sz w:val="28"/>
          <w:szCs w:val="28"/>
          <w:lang w:val="es-ES" w:eastAsia="es-ES"/>
        </w:rPr>
        <w:t xml:space="preserve"> </w:t>
      </w:r>
      <w:r w:rsidR="00C95DAB">
        <w:rPr>
          <w:rFonts w:ascii="Arial" w:eastAsia="Times New Roman" w:hAnsi="Arial" w:cs="Arial"/>
          <w:b/>
          <w:bCs/>
          <w:i/>
          <w:sz w:val="28"/>
          <w:szCs w:val="28"/>
          <w:lang w:val="es-ES" w:eastAsia="es-ES"/>
        </w:rPr>
        <w:t>EN CEUTA Y MELILLA EN LA JURISPRUDENCIA CONSTITUCIONAL</w:t>
      </w:r>
      <w:bookmarkStart w:id="0" w:name="_GoBack"/>
      <w:bookmarkEnd w:id="0"/>
    </w:p>
    <w:p w14:paraId="546934D5" w14:textId="207DD36F" w:rsidR="00AC2C5D" w:rsidRDefault="00AC2C5D" w:rsidP="009F61DE">
      <w:pPr>
        <w:shd w:val="clear" w:color="auto" w:fill="FFFFFF"/>
        <w:spacing w:after="0" w:line="360" w:lineRule="auto"/>
        <w:jc w:val="center"/>
        <w:rPr>
          <w:rFonts w:ascii="Arial" w:eastAsia="Times New Roman" w:hAnsi="Arial" w:cs="Arial"/>
          <w:b/>
          <w:bCs/>
          <w:i/>
          <w:sz w:val="28"/>
          <w:szCs w:val="28"/>
          <w:lang w:val="es-ES" w:eastAsia="es-ES"/>
        </w:rPr>
      </w:pPr>
    </w:p>
    <w:p w14:paraId="1624FFE0" w14:textId="313BC228" w:rsidR="00AC2C5D" w:rsidRDefault="00AC2C5D" w:rsidP="00AC2C5D">
      <w:pPr>
        <w:shd w:val="clear" w:color="auto" w:fill="FFFFFF"/>
        <w:spacing w:after="0" w:line="360" w:lineRule="auto"/>
        <w:jc w:val="right"/>
        <w:rPr>
          <w:rFonts w:ascii="Arial" w:eastAsia="Times New Roman" w:hAnsi="Arial" w:cs="Arial"/>
          <w:bCs/>
          <w:sz w:val="28"/>
          <w:szCs w:val="28"/>
          <w:lang w:val="es-ES" w:eastAsia="es-ES"/>
        </w:rPr>
      </w:pPr>
      <w:r>
        <w:rPr>
          <w:rFonts w:ascii="Arial" w:eastAsia="Times New Roman" w:hAnsi="Arial" w:cs="Arial"/>
          <w:bCs/>
          <w:sz w:val="28"/>
          <w:szCs w:val="28"/>
          <w:lang w:val="es-ES" w:eastAsia="es-ES"/>
        </w:rPr>
        <w:t>Emilia GIRÓN REGUERA</w:t>
      </w:r>
    </w:p>
    <w:p w14:paraId="5C9456B7" w14:textId="751ADF27" w:rsidR="00AC2C5D" w:rsidRDefault="00AC2C5D" w:rsidP="00AF3BD2">
      <w:pPr>
        <w:shd w:val="clear" w:color="auto" w:fill="FFFFFF"/>
        <w:spacing w:after="0" w:line="240" w:lineRule="auto"/>
        <w:jc w:val="right"/>
        <w:rPr>
          <w:rFonts w:ascii="Arial" w:eastAsia="Times New Roman" w:hAnsi="Arial" w:cs="Arial"/>
          <w:bCs/>
          <w:sz w:val="28"/>
          <w:szCs w:val="28"/>
          <w:lang w:val="es-ES" w:eastAsia="es-ES"/>
        </w:rPr>
      </w:pPr>
    </w:p>
    <w:p w14:paraId="22EFD9B9" w14:textId="52D90FFE" w:rsidR="00AC2C5D" w:rsidRPr="00C23624" w:rsidRDefault="00AC2C5D" w:rsidP="00A44939">
      <w:pPr>
        <w:shd w:val="clear" w:color="auto" w:fill="FFFFFF"/>
        <w:spacing w:after="0" w:line="240" w:lineRule="auto"/>
        <w:ind w:left="709" w:hanging="709"/>
        <w:jc w:val="both"/>
        <w:rPr>
          <w:rFonts w:ascii="Arial" w:eastAsia="Times New Roman" w:hAnsi="Arial" w:cs="Arial"/>
          <w:bCs/>
          <w:sz w:val="24"/>
          <w:szCs w:val="24"/>
          <w:lang w:val="es-ES" w:eastAsia="es-ES"/>
        </w:rPr>
      </w:pPr>
      <w:r w:rsidRPr="00C23624">
        <w:rPr>
          <w:rFonts w:ascii="Arial" w:eastAsia="Times New Roman" w:hAnsi="Arial" w:cs="Arial"/>
          <w:bCs/>
          <w:sz w:val="24"/>
          <w:szCs w:val="24"/>
          <w:lang w:val="es-ES" w:eastAsia="es-ES"/>
        </w:rPr>
        <w:t xml:space="preserve">SUMARIO: I. </w:t>
      </w:r>
      <w:r w:rsidR="001D607C">
        <w:rPr>
          <w:rFonts w:ascii="Arial" w:eastAsia="Times New Roman" w:hAnsi="Arial" w:cs="Arial"/>
          <w:bCs/>
          <w:sz w:val="24"/>
          <w:szCs w:val="24"/>
          <w:lang w:val="es-ES" w:eastAsia="es-ES"/>
        </w:rPr>
        <w:t>El cruce irregular de fronteras por personas migrantes</w:t>
      </w:r>
      <w:r w:rsidR="009E6309">
        <w:rPr>
          <w:rFonts w:ascii="Arial" w:eastAsia="Times New Roman" w:hAnsi="Arial" w:cs="Arial"/>
          <w:bCs/>
          <w:sz w:val="24"/>
          <w:szCs w:val="24"/>
          <w:lang w:val="es-ES" w:eastAsia="es-ES"/>
        </w:rPr>
        <w:t>:</w:t>
      </w:r>
      <w:r w:rsidR="007A1557">
        <w:rPr>
          <w:rFonts w:ascii="Arial" w:eastAsia="Times New Roman" w:hAnsi="Arial" w:cs="Arial"/>
          <w:bCs/>
          <w:sz w:val="24"/>
          <w:szCs w:val="24"/>
          <w:lang w:val="es-ES" w:eastAsia="es-ES"/>
        </w:rPr>
        <w:t xml:space="preserve"> el principio de no devolución y</w:t>
      </w:r>
      <w:r w:rsidR="009E6309">
        <w:rPr>
          <w:rFonts w:ascii="Arial" w:eastAsia="Times New Roman" w:hAnsi="Arial" w:cs="Arial"/>
          <w:bCs/>
          <w:sz w:val="24"/>
          <w:szCs w:val="24"/>
          <w:lang w:val="es-ES" w:eastAsia="es-ES"/>
        </w:rPr>
        <w:t xml:space="preserve"> la prohibición de expulsiones colectivas </w:t>
      </w:r>
      <w:r w:rsidR="00F52F4A">
        <w:rPr>
          <w:rFonts w:ascii="Arial" w:eastAsia="Times New Roman" w:hAnsi="Arial" w:cs="Arial"/>
          <w:bCs/>
          <w:sz w:val="24"/>
          <w:szCs w:val="24"/>
          <w:lang w:val="es-ES" w:eastAsia="es-ES"/>
        </w:rPr>
        <w:t>c</w:t>
      </w:r>
      <w:r w:rsidR="009E6309">
        <w:rPr>
          <w:rFonts w:ascii="Arial" w:eastAsia="Times New Roman" w:hAnsi="Arial" w:cs="Arial"/>
          <w:bCs/>
          <w:sz w:val="24"/>
          <w:szCs w:val="24"/>
          <w:lang w:val="es-ES" w:eastAsia="es-ES"/>
        </w:rPr>
        <w:t>omo garantías</w:t>
      </w:r>
      <w:r w:rsidR="00AA2F0E">
        <w:rPr>
          <w:rFonts w:ascii="Arial" w:eastAsia="Times New Roman" w:hAnsi="Arial" w:cs="Arial"/>
          <w:bCs/>
          <w:sz w:val="24"/>
          <w:szCs w:val="24"/>
          <w:lang w:val="es-ES" w:eastAsia="es-ES"/>
        </w:rPr>
        <w:t xml:space="preserve">. </w:t>
      </w:r>
      <w:r w:rsidR="00176781">
        <w:rPr>
          <w:rFonts w:ascii="Arial" w:eastAsia="Times New Roman" w:hAnsi="Arial" w:cs="Arial"/>
          <w:bCs/>
          <w:sz w:val="24"/>
          <w:szCs w:val="24"/>
          <w:lang w:val="es-ES" w:eastAsia="es-ES"/>
        </w:rPr>
        <w:t>II.</w:t>
      </w:r>
      <w:r w:rsidR="00BF1488">
        <w:rPr>
          <w:rFonts w:ascii="Arial" w:eastAsia="Times New Roman" w:hAnsi="Arial" w:cs="Arial"/>
          <w:bCs/>
          <w:sz w:val="24"/>
          <w:szCs w:val="24"/>
          <w:lang w:val="es-ES" w:eastAsia="es-ES"/>
        </w:rPr>
        <w:t xml:space="preserve"> </w:t>
      </w:r>
      <w:r w:rsidR="007546F3">
        <w:rPr>
          <w:rFonts w:ascii="Arial" w:eastAsia="Times New Roman" w:hAnsi="Arial" w:cs="Arial"/>
          <w:bCs/>
          <w:sz w:val="24"/>
          <w:szCs w:val="24"/>
          <w:lang w:val="es-ES" w:eastAsia="es-ES"/>
        </w:rPr>
        <w:t xml:space="preserve">El rechazo </w:t>
      </w:r>
      <w:r w:rsidR="00BF1488">
        <w:rPr>
          <w:rFonts w:ascii="Arial" w:eastAsia="Times New Roman" w:hAnsi="Arial" w:cs="Arial"/>
          <w:bCs/>
          <w:sz w:val="24"/>
          <w:szCs w:val="24"/>
          <w:lang w:val="es-ES" w:eastAsia="es-ES"/>
        </w:rPr>
        <w:t>en frontera en Ceuta y Melilla</w:t>
      </w:r>
      <w:r w:rsidR="004467B1">
        <w:rPr>
          <w:rFonts w:ascii="Arial" w:eastAsia="Times New Roman" w:hAnsi="Arial" w:cs="Arial"/>
          <w:bCs/>
          <w:sz w:val="24"/>
          <w:szCs w:val="24"/>
          <w:lang w:val="es-ES" w:eastAsia="es-ES"/>
        </w:rPr>
        <w:t>, una línea difusa</w:t>
      </w:r>
      <w:r w:rsidR="007546F3">
        <w:rPr>
          <w:rFonts w:ascii="Arial" w:eastAsia="Times New Roman" w:hAnsi="Arial" w:cs="Arial"/>
          <w:bCs/>
          <w:sz w:val="24"/>
          <w:szCs w:val="24"/>
          <w:lang w:val="es-ES" w:eastAsia="es-ES"/>
        </w:rPr>
        <w:t xml:space="preserve"> entre expulsiones colectivas y</w:t>
      </w:r>
      <w:r w:rsidR="00447C23">
        <w:rPr>
          <w:rFonts w:ascii="Arial" w:eastAsia="Times New Roman" w:hAnsi="Arial" w:cs="Arial"/>
          <w:bCs/>
          <w:sz w:val="24"/>
          <w:szCs w:val="24"/>
          <w:lang w:val="es-ES" w:eastAsia="es-ES"/>
        </w:rPr>
        <w:t xml:space="preserve"> el principio de</w:t>
      </w:r>
      <w:r w:rsidR="007546F3">
        <w:rPr>
          <w:rFonts w:ascii="Arial" w:eastAsia="Times New Roman" w:hAnsi="Arial" w:cs="Arial"/>
          <w:bCs/>
          <w:sz w:val="24"/>
          <w:szCs w:val="24"/>
          <w:lang w:val="es-ES" w:eastAsia="es-ES"/>
        </w:rPr>
        <w:t xml:space="preserve"> no devolución</w:t>
      </w:r>
      <w:r w:rsidR="00C23624" w:rsidRPr="00C23624">
        <w:rPr>
          <w:rFonts w:ascii="Arial" w:eastAsia="Times New Roman" w:hAnsi="Arial" w:cs="Arial"/>
          <w:bCs/>
          <w:sz w:val="24"/>
          <w:szCs w:val="24"/>
          <w:lang w:val="es-ES" w:eastAsia="es-ES"/>
        </w:rPr>
        <w:t xml:space="preserve">. III. </w:t>
      </w:r>
      <w:r w:rsidR="00C64934">
        <w:rPr>
          <w:rFonts w:ascii="Arial" w:eastAsia="Times New Roman" w:hAnsi="Arial" w:cs="Arial"/>
          <w:bCs/>
          <w:sz w:val="24"/>
          <w:szCs w:val="24"/>
          <w:lang w:val="es-ES" w:eastAsia="es-ES"/>
        </w:rPr>
        <w:t xml:space="preserve">Los límites </w:t>
      </w:r>
      <w:r w:rsidR="004D7FC9">
        <w:rPr>
          <w:rFonts w:ascii="Arial" w:eastAsia="Times New Roman" w:hAnsi="Arial" w:cs="Arial"/>
          <w:bCs/>
          <w:sz w:val="24"/>
          <w:szCs w:val="24"/>
          <w:lang w:val="es-ES" w:eastAsia="es-ES"/>
        </w:rPr>
        <w:t xml:space="preserve">jurisprudenciales </w:t>
      </w:r>
      <w:r w:rsidR="00C64934">
        <w:rPr>
          <w:rFonts w:ascii="Arial" w:eastAsia="Times New Roman" w:hAnsi="Arial" w:cs="Arial"/>
          <w:bCs/>
          <w:sz w:val="24"/>
          <w:szCs w:val="24"/>
          <w:lang w:val="es-ES" w:eastAsia="es-ES"/>
        </w:rPr>
        <w:t xml:space="preserve">a la constitucionalidad </w:t>
      </w:r>
      <w:r w:rsidR="001D607C">
        <w:rPr>
          <w:rFonts w:ascii="Arial" w:eastAsia="Times New Roman" w:hAnsi="Arial" w:cs="Arial"/>
          <w:bCs/>
          <w:sz w:val="24"/>
          <w:szCs w:val="24"/>
          <w:lang w:val="es-ES" w:eastAsia="es-ES"/>
        </w:rPr>
        <w:t xml:space="preserve">del rechazo en frontera. IV. </w:t>
      </w:r>
      <w:r w:rsidR="00AF3BD2">
        <w:rPr>
          <w:rFonts w:ascii="Arial" w:eastAsia="Times New Roman" w:hAnsi="Arial" w:cs="Arial"/>
          <w:bCs/>
          <w:sz w:val="24"/>
          <w:szCs w:val="24"/>
          <w:lang w:val="es-ES" w:eastAsia="es-ES"/>
        </w:rPr>
        <w:t>La configuración jurisprudenci</w:t>
      </w:r>
      <w:r w:rsidR="00A01641">
        <w:rPr>
          <w:rFonts w:ascii="Arial" w:eastAsia="Times New Roman" w:hAnsi="Arial" w:cs="Arial"/>
          <w:bCs/>
          <w:sz w:val="24"/>
          <w:szCs w:val="24"/>
          <w:lang w:val="es-ES" w:eastAsia="es-ES"/>
        </w:rPr>
        <w:t>al del derecho a no ser rechazado</w:t>
      </w:r>
      <w:r w:rsidR="00AF3BD2">
        <w:rPr>
          <w:rFonts w:ascii="Arial" w:eastAsia="Times New Roman" w:hAnsi="Arial" w:cs="Arial"/>
          <w:bCs/>
          <w:sz w:val="24"/>
          <w:szCs w:val="24"/>
          <w:lang w:val="es-ES" w:eastAsia="es-ES"/>
        </w:rPr>
        <w:t xml:space="preserve"> sin garantías</w:t>
      </w:r>
      <w:r w:rsidR="00A01641">
        <w:rPr>
          <w:rFonts w:ascii="Arial" w:eastAsia="Times New Roman" w:hAnsi="Arial" w:cs="Arial"/>
          <w:bCs/>
          <w:sz w:val="24"/>
          <w:szCs w:val="24"/>
          <w:lang w:val="es-ES" w:eastAsia="es-ES"/>
        </w:rPr>
        <w:t xml:space="preserve"> en las líneas fronterizas</w:t>
      </w:r>
      <w:r w:rsidR="00AF3BD2">
        <w:rPr>
          <w:rFonts w:ascii="Arial" w:eastAsia="Times New Roman" w:hAnsi="Arial" w:cs="Arial"/>
          <w:bCs/>
          <w:sz w:val="24"/>
          <w:szCs w:val="24"/>
          <w:lang w:val="es-ES" w:eastAsia="es-ES"/>
        </w:rPr>
        <w:t xml:space="preserve">. </w:t>
      </w:r>
    </w:p>
    <w:p w14:paraId="5BFC994F" w14:textId="3233F7CE" w:rsidR="00395678" w:rsidRDefault="00395678" w:rsidP="00A44939">
      <w:pPr>
        <w:shd w:val="clear" w:color="auto" w:fill="FFFFFF"/>
        <w:spacing w:after="0" w:line="240" w:lineRule="auto"/>
        <w:ind w:left="709" w:hanging="709"/>
        <w:jc w:val="both"/>
        <w:rPr>
          <w:rFonts w:ascii="Arial" w:eastAsia="Times New Roman" w:hAnsi="Arial" w:cs="Arial"/>
          <w:b/>
          <w:bCs/>
          <w:i/>
          <w:sz w:val="28"/>
          <w:szCs w:val="28"/>
          <w:lang w:val="es-ES" w:eastAsia="es-ES"/>
        </w:rPr>
      </w:pPr>
    </w:p>
    <w:p w14:paraId="0EB67A92" w14:textId="77777777" w:rsidR="00A20161" w:rsidRDefault="00A20161" w:rsidP="00A20161">
      <w:pPr>
        <w:shd w:val="clear" w:color="auto" w:fill="FFFFFF"/>
        <w:spacing w:after="0" w:line="360" w:lineRule="auto"/>
        <w:jc w:val="both"/>
        <w:rPr>
          <w:rFonts w:ascii="Arial" w:eastAsia="Times New Roman" w:hAnsi="Arial" w:cs="Arial"/>
          <w:b/>
          <w:bCs/>
          <w:i/>
          <w:sz w:val="28"/>
          <w:szCs w:val="28"/>
          <w:lang w:val="es-ES" w:eastAsia="es-ES"/>
        </w:rPr>
      </w:pPr>
    </w:p>
    <w:p w14:paraId="00905CB9" w14:textId="419D4880" w:rsidR="001D607C" w:rsidRDefault="001D607C" w:rsidP="00A20161">
      <w:pPr>
        <w:shd w:val="clear" w:color="auto" w:fill="FFFFFF"/>
        <w:spacing w:after="0" w:line="360" w:lineRule="auto"/>
        <w:jc w:val="both"/>
        <w:rPr>
          <w:rFonts w:ascii="Arial" w:eastAsia="Times New Roman" w:hAnsi="Arial" w:cs="Arial"/>
          <w:b/>
          <w:bCs/>
          <w:caps/>
          <w:sz w:val="24"/>
          <w:szCs w:val="24"/>
          <w:lang w:val="es-ES" w:eastAsia="es-ES"/>
        </w:rPr>
      </w:pPr>
      <w:r w:rsidRPr="001D607C">
        <w:rPr>
          <w:rFonts w:ascii="Arial" w:eastAsia="Times New Roman" w:hAnsi="Arial" w:cs="Arial"/>
          <w:b/>
          <w:bCs/>
          <w:caps/>
          <w:sz w:val="24"/>
          <w:szCs w:val="24"/>
          <w:lang w:val="es-ES" w:eastAsia="es-ES"/>
        </w:rPr>
        <w:t xml:space="preserve">I. </w:t>
      </w:r>
      <w:r>
        <w:rPr>
          <w:rFonts w:ascii="Arial" w:eastAsia="Times New Roman" w:hAnsi="Arial" w:cs="Arial"/>
          <w:b/>
          <w:bCs/>
          <w:caps/>
          <w:sz w:val="24"/>
          <w:szCs w:val="24"/>
          <w:lang w:val="es-ES" w:eastAsia="es-ES"/>
        </w:rPr>
        <w:t xml:space="preserve"> </w:t>
      </w:r>
      <w:r w:rsidRPr="001D607C">
        <w:rPr>
          <w:rFonts w:ascii="Arial" w:eastAsia="Times New Roman" w:hAnsi="Arial" w:cs="Arial"/>
          <w:b/>
          <w:bCs/>
          <w:caps/>
          <w:sz w:val="24"/>
          <w:szCs w:val="24"/>
          <w:lang w:val="es-ES" w:eastAsia="es-ES"/>
        </w:rPr>
        <w:t xml:space="preserve">El cruce </w:t>
      </w:r>
      <w:r w:rsidR="00AF3BD2">
        <w:rPr>
          <w:rFonts w:ascii="Arial" w:eastAsia="Times New Roman" w:hAnsi="Arial" w:cs="Arial"/>
          <w:b/>
          <w:bCs/>
          <w:caps/>
          <w:sz w:val="24"/>
          <w:szCs w:val="24"/>
          <w:lang w:val="es-ES" w:eastAsia="es-ES"/>
        </w:rPr>
        <w:t xml:space="preserve">irregular </w:t>
      </w:r>
      <w:r w:rsidRPr="001D607C">
        <w:rPr>
          <w:rFonts w:ascii="Arial" w:eastAsia="Times New Roman" w:hAnsi="Arial" w:cs="Arial"/>
          <w:b/>
          <w:bCs/>
          <w:caps/>
          <w:sz w:val="24"/>
          <w:szCs w:val="24"/>
          <w:lang w:val="es-ES" w:eastAsia="es-ES"/>
        </w:rPr>
        <w:t>de fronteras por personas migrantes</w:t>
      </w:r>
      <w:r w:rsidR="009E6309">
        <w:rPr>
          <w:rFonts w:ascii="Arial" w:eastAsia="Times New Roman" w:hAnsi="Arial" w:cs="Arial"/>
          <w:b/>
          <w:bCs/>
          <w:caps/>
          <w:sz w:val="24"/>
          <w:szCs w:val="24"/>
          <w:lang w:val="es-ES" w:eastAsia="es-ES"/>
        </w:rPr>
        <w:t xml:space="preserve">: </w:t>
      </w:r>
      <w:r w:rsidR="00C71A25">
        <w:rPr>
          <w:rFonts w:ascii="Arial" w:eastAsia="Times New Roman" w:hAnsi="Arial" w:cs="Arial"/>
          <w:b/>
          <w:bCs/>
          <w:caps/>
          <w:sz w:val="24"/>
          <w:szCs w:val="24"/>
          <w:lang w:val="es-ES" w:eastAsia="es-ES"/>
        </w:rPr>
        <w:t>el principio de no devolución</w:t>
      </w:r>
      <w:r w:rsidR="009E6309">
        <w:rPr>
          <w:rFonts w:ascii="Arial" w:eastAsia="Times New Roman" w:hAnsi="Arial" w:cs="Arial"/>
          <w:b/>
          <w:bCs/>
          <w:caps/>
          <w:sz w:val="24"/>
          <w:szCs w:val="24"/>
          <w:lang w:val="es-ES" w:eastAsia="es-ES"/>
        </w:rPr>
        <w:t xml:space="preserve"> </w:t>
      </w:r>
      <w:r w:rsidR="007A1557">
        <w:rPr>
          <w:rFonts w:ascii="Arial" w:eastAsia="Times New Roman" w:hAnsi="Arial" w:cs="Arial"/>
          <w:b/>
          <w:bCs/>
          <w:caps/>
          <w:sz w:val="24"/>
          <w:szCs w:val="24"/>
          <w:lang w:val="es-ES" w:eastAsia="es-ES"/>
        </w:rPr>
        <w:t>y la prohibición de expulsiones colectivas</w:t>
      </w:r>
      <w:r w:rsidR="00A16BA1">
        <w:rPr>
          <w:rFonts w:ascii="Arial" w:eastAsia="Times New Roman" w:hAnsi="Arial" w:cs="Arial"/>
          <w:b/>
          <w:bCs/>
          <w:caps/>
          <w:sz w:val="24"/>
          <w:szCs w:val="24"/>
          <w:lang w:val="es-ES" w:eastAsia="es-ES"/>
        </w:rPr>
        <w:t xml:space="preserve"> como garantías</w:t>
      </w:r>
      <w:r w:rsidRPr="001D607C">
        <w:rPr>
          <w:rFonts w:ascii="Arial" w:eastAsia="Times New Roman" w:hAnsi="Arial" w:cs="Arial"/>
          <w:b/>
          <w:bCs/>
          <w:caps/>
          <w:sz w:val="24"/>
          <w:szCs w:val="24"/>
          <w:lang w:val="es-ES" w:eastAsia="es-ES"/>
        </w:rPr>
        <w:t xml:space="preserve">. </w:t>
      </w:r>
    </w:p>
    <w:p w14:paraId="443C8EF1" w14:textId="77777777" w:rsidR="001D607C" w:rsidRPr="001D607C" w:rsidRDefault="001D607C" w:rsidP="001D607C">
      <w:pPr>
        <w:shd w:val="clear" w:color="auto" w:fill="FFFFFF"/>
        <w:spacing w:after="0" w:line="360" w:lineRule="auto"/>
        <w:jc w:val="both"/>
        <w:rPr>
          <w:rFonts w:ascii="Arial" w:eastAsia="Times New Roman" w:hAnsi="Arial" w:cs="Arial"/>
          <w:b/>
          <w:bCs/>
          <w:caps/>
          <w:sz w:val="24"/>
          <w:szCs w:val="24"/>
          <w:lang w:val="es-ES" w:eastAsia="es-ES"/>
        </w:rPr>
      </w:pPr>
    </w:p>
    <w:p w14:paraId="25228086" w14:textId="45756D76" w:rsidR="005D44EC" w:rsidRPr="00BA3BDF" w:rsidRDefault="00562A0C" w:rsidP="00AF3BD2">
      <w:pPr>
        <w:shd w:val="clear" w:color="auto" w:fill="FFFFFF"/>
        <w:spacing w:after="0" w:line="360" w:lineRule="auto"/>
        <w:jc w:val="both"/>
        <w:rPr>
          <w:rFonts w:ascii="Arial" w:hAnsi="Arial" w:cs="Arial"/>
          <w:sz w:val="24"/>
          <w:szCs w:val="24"/>
          <w:shd w:val="clear" w:color="auto" w:fill="FFFFFF"/>
        </w:rPr>
      </w:pPr>
      <w:r w:rsidRPr="00562A0C">
        <w:rPr>
          <w:rFonts w:ascii="Arial" w:eastAsia="Times New Roman" w:hAnsi="Arial" w:cs="Arial"/>
          <w:bCs/>
          <w:sz w:val="24"/>
          <w:szCs w:val="24"/>
          <w:lang w:val="es-ES" w:eastAsia="es-ES"/>
        </w:rPr>
        <w:t xml:space="preserve">Los </w:t>
      </w:r>
      <w:r w:rsidR="00AF3BD2">
        <w:rPr>
          <w:rFonts w:ascii="Arial" w:eastAsia="Times New Roman" w:hAnsi="Arial" w:cs="Arial"/>
          <w:bCs/>
          <w:sz w:val="24"/>
          <w:szCs w:val="24"/>
          <w:lang w:val="es-ES" w:eastAsia="es-ES"/>
        </w:rPr>
        <w:t xml:space="preserve">intentos de entrada ilegal </w:t>
      </w:r>
      <w:r w:rsidR="007A1557">
        <w:rPr>
          <w:rFonts w:ascii="Arial" w:eastAsia="Times New Roman" w:hAnsi="Arial" w:cs="Arial"/>
          <w:bCs/>
          <w:sz w:val="24"/>
          <w:szCs w:val="24"/>
          <w:lang w:val="es-ES" w:eastAsia="es-ES"/>
        </w:rPr>
        <w:t xml:space="preserve">de extranjeros </w:t>
      </w:r>
      <w:r w:rsidR="001D607C">
        <w:rPr>
          <w:rFonts w:ascii="Arial" w:eastAsia="Times New Roman" w:hAnsi="Arial" w:cs="Arial"/>
          <w:bCs/>
          <w:sz w:val="24"/>
          <w:szCs w:val="24"/>
          <w:lang w:val="es-ES" w:eastAsia="es-ES"/>
        </w:rPr>
        <w:t>en un</w:t>
      </w:r>
      <w:r>
        <w:rPr>
          <w:rFonts w:ascii="Arial" w:eastAsia="Times New Roman" w:hAnsi="Arial" w:cs="Arial"/>
          <w:bCs/>
          <w:sz w:val="24"/>
          <w:szCs w:val="24"/>
          <w:lang w:val="es-ES" w:eastAsia="es-ES"/>
        </w:rPr>
        <w:t xml:space="preserve"> país</w:t>
      </w:r>
      <w:r w:rsidR="009E6309">
        <w:rPr>
          <w:rFonts w:ascii="Arial" w:eastAsia="Times New Roman" w:hAnsi="Arial" w:cs="Arial"/>
          <w:bCs/>
          <w:sz w:val="24"/>
          <w:szCs w:val="24"/>
          <w:lang w:val="es-ES" w:eastAsia="es-ES"/>
        </w:rPr>
        <w:t xml:space="preserve"> de forma masiva</w:t>
      </w:r>
      <w:r>
        <w:rPr>
          <w:rFonts w:ascii="Arial" w:eastAsia="Times New Roman" w:hAnsi="Arial" w:cs="Arial"/>
          <w:bCs/>
          <w:sz w:val="24"/>
          <w:szCs w:val="24"/>
          <w:lang w:val="es-ES" w:eastAsia="es-ES"/>
        </w:rPr>
        <w:t>, saltándose los correspondientes c</w:t>
      </w:r>
      <w:r w:rsidR="001D607C">
        <w:rPr>
          <w:rFonts w:ascii="Arial" w:eastAsia="Times New Roman" w:hAnsi="Arial" w:cs="Arial"/>
          <w:bCs/>
          <w:sz w:val="24"/>
          <w:szCs w:val="24"/>
          <w:lang w:val="es-ES" w:eastAsia="es-ES"/>
        </w:rPr>
        <w:t xml:space="preserve">ontroles fronterizos, </w:t>
      </w:r>
      <w:r w:rsidR="00AF3BD2">
        <w:rPr>
          <w:rFonts w:ascii="Arial" w:eastAsia="Times New Roman" w:hAnsi="Arial" w:cs="Arial"/>
          <w:bCs/>
          <w:sz w:val="24"/>
          <w:szCs w:val="24"/>
          <w:lang w:val="es-ES" w:eastAsia="es-ES"/>
        </w:rPr>
        <w:t>nos ha</w:t>
      </w:r>
      <w:r w:rsidR="00A01641">
        <w:rPr>
          <w:rFonts w:ascii="Arial" w:eastAsia="Times New Roman" w:hAnsi="Arial" w:cs="Arial"/>
          <w:bCs/>
          <w:sz w:val="24"/>
          <w:szCs w:val="24"/>
          <w:lang w:val="es-ES" w:eastAsia="es-ES"/>
        </w:rPr>
        <w:t>n</w:t>
      </w:r>
      <w:r w:rsidR="00AF3BD2">
        <w:rPr>
          <w:rFonts w:ascii="Arial" w:eastAsia="Times New Roman" w:hAnsi="Arial" w:cs="Arial"/>
          <w:bCs/>
          <w:sz w:val="24"/>
          <w:szCs w:val="24"/>
          <w:lang w:val="es-ES" w:eastAsia="es-ES"/>
        </w:rPr>
        <w:t xml:space="preserve"> dejado</w:t>
      </w:r>
      <w:r w:rsidR="007E1693">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 xml:space="preserve">escenas </w:t>
      </w:r>
      <w:r w:rsidR="00A32EA2">
        <w:rPr>
          <w:rFonts w:ascii="Arial" w:eastAsia="Times New Roman" w:hAnsi="Arial" w:cs="Arial"/>
          <w:bCs/>
          <w:sz w:val="24"/>
          <w:szCs w:val="24"/>
          <w:lang w:val="es-ES" w:eastAsia="es-ES"/>
        </w:rPr>
        <w:t xml:space="preserve">conmovedoras en diferentes regiones del mundo </w:t>
      </w:r>
      <w:r w:rsidR="00AF3BD2">
        <w:rPr>
          <w:rFonts w:ascii="Arial" w:eastAsia="Times New Roman" w:hAnsi="Arial" w:cs="Arial"/>
          <w:bCs/>
          <w:sz w:val="24"/>
          <w:szCs w:val="24"/>
          <w:lang w:val="es-ES" w:eastAsia="es-ES"/>
        </w:rPr>
        <w:t>en las últimas décadas</w:t>
      </w:r>
      <w:r w:rsidR="00A32EA2">
        <w:rPr>
          <w:rFonts w:ascii="Arial" w:eastAsia="Times New Roman" w:hAnsi="Arial" w:cs="Arial"/>
          <w:bCs/>
          <w:sz w:val="24"/>
          <w:szCs w:val="24"/>
          <w:lang w:val="es-ES" w:eastAsia="es-ES"/>
        </w:rPr>
        <w:t xml:space="preserve">. </w:t>
      </w:r>
      <w:r w:rsidR="003C01C8">
        <w:rPr>
          <w:rFonts w:ascii="Arial" w:eastAsia="Times New Roman" w:hAnsi="Arial" w:cs="Arial"/>
          <w:bCs/>
          <w:sz w:val="24"/>
          <w:szCs w:val="24"/>
          <w:lang w:val="es-ES" w:eastAsia="es-ES"/>
        </w:rPr>
        <w:t>Algunos</w:t>
      </w:r>
      <w:r w:rsidR="00A32EA2">
        <w:rPr>
          <w:rFonts w:ascii="Arial" w:eastAsia="Times New Roman" w:hAnsi="Arial" w:cs="Arial"/>
          <w:bCs/>
          <w:sz w:val="24"/>
          <w:szCs w:val="24"/>
          <w:lang w:val="es-ES" w:eastAsia="es-ES"/>
        </w:rPr>
        <w:t xml:space="preserve"> Estados</w:t>
      </w:r>
      <w:r w:rsidR="00AA2F0E">
        <w:rPr>
          <w:rFonts w:ascii="Arial" w:eastAsia="Times New Roman" w:hAnsi="Arial" w:cs="Arial"/>
          <w:bCs/>
          <w:sz w:val="24"/>
          <w:szCs w:val="24"/>
          <w:lang w:val="es-ES" w:eastAsia="es-ES"/>
        </w:rPr>
        <w:t xml:space="preserve"> nacionales</w:t>
      </w:r>
      <w:r w:rsidR="00A32EA2">
        <w:rPr>
          <w:rFonts w:ascii="Arial" w:eastAsia="Times New Roman" w:hAnsi="Arial" w:cs="Arial"/>
          <w:bCs/>
          <w:sz w:val="24"/>
          <w:szCs w:val="24"/>
          <w:lang w:val="es-ES" w:eastAsia="es-ES"/>
        </w:rPr>
        <w:t xml:space="preserve"> fronterizos</w:t>
      </w:r>
      <w:r w:rsidR="00176781">
        <w:rPr>
          <w:rFonts w:ascii="Arial" w:eastAsia="Times New Roman" w:hAnsi="Arial" w:cs="Arial"/>
          <w:bCs/>
          <w:sz w:val="24"/>
          <w:szCs w:val="24"/>
          <w:lang w:val="es-ES" w:eastAsia="es-ES"/>
        </w:rPr>
        <w:t xml:space="preserve"> se ven desbordados por</w:t>
      </w:r>
      <w:r w:rsidR="003C01C8">
        <w:rPr>
          <w:rFonts w:ascii="Arial" w:eastAsia="Times New Roman" w:hAnsi="Arial" w:cs="Arial"/>
          <w:bCs/>
          <w:sz w:val="24"/>
          <w:szCs w:val="24"/>
          <w:lang w:val="es-ES" w:eastAsia="es-ES"/>
        </w:rPr>
        <w:t xml:space="preserve"> una gran presión migratoria</w:t>
      </w:r>
      <w:r w:rsidR="00F21A25">
        <w:rPr>
          <w:rFonts w:ascii="Arial" w:eastAsia="Times New Roman" w:hAnsi="Arial" w:cs="Arial"/>
          <w:bCs/>
          <w:sz w:val="24"/>
          <w:szCs w:val="24"/>
          <w:lang w:val="es-ES" w:eastAsia="es-ES"/>
        </w:rPr>
        <w:t>, generándose un pro</w:t>
      </w:r>
      <w:r w:rsidR="00A01641">
        <w:rPr>
          <w:rFonts w:ascii="Arial" w:eastAsia="Times New Roman" w:hAnsi="Arial" w:cs="Arial"/>
          <w:bCs/>
          <w:sz w:val="24"/>
          <w:szCs w:val="24"/>
          <w:lang w:val="es-ES" w:eastAsia="es-ES"/>
        </w:rPr>
        <w:t>blema humanitario de gran envergadura</w:t>
      </w:r>
      <w:r w:rsidR="00F21A25">
        <w:rPr>
          <w:rFonts w:ascii="Arial" w:eastAsia="Times New Roman" w:hAnsi="Arial" w:cs="Arial"/>
          <w:bCs/>
          <w:sz w:val="24"/>
          <w:szCs w:val="24"/>
          <w:lang w:val="es-ES" w:eastAsia="es-ES"/>
        </w:rPr>
        <w:t xml:space="preserve"> que debe ser afrontado con respeto a los derechos de las personas desplazadas. </w:t>
      </w:r>
      <w:r w:rsidR="005D44EC">
        <w:rPr>
          <w:rFonts w:ascii="Arial" w:eastAsia="Times New Roman" w:hAnsi="Arial" w:cs="Arial"/>
          <w:bCs/>
          <w:sz w:val="24"/>
          <w:szCs w:val="24"/>
          <w:lang w:val="es-ES" w:eastAsia="es-ES"/>
        </w:rPr>
        <w:t>El tratamiento del fenómeno migratorio es un tema sumamente c</w:t>
      </w:r>
      <w:r w:rsidR="000E23AF">
        <w:rPr>
          <w:rFonts w:ascii="Arial" w:eastAsia="Times New Roman" w:hAnsi="Arial" w:cs="Arial"/>
          <w:bCs/>
          <w:sz w:val="24"/>
          <w:szCs w:val="24"/>
          <w:lang w:val="es-ES" w:eastAsia="es-ES"/>
        </w:rPr>
        <w:t>omplejo</w:t>
      </w:r>
      <w:r w:rsidR="005D44EC">
        <w:rPr>
          <w:rFonts w:ascii="Arial" w:eastAsia="Times New Roman" w:hAnsi="Arial" w:cs="Arial"/>
          <w:bCs/>
          <w:sz w:val="24"/>
          <w:szCs w:val="24"/>
          <w:lang w:val="es-ES" w:eastAsia="es-ES"/>
        </w:rPr>
        <w:t xml:space="preserve"> que genera fuertes tensiones en el</w:t>
      </w:r>
      <w:r w:rsidR="00BF1488">
        <w:rPr>
          <w:rFonts w:ascii="Arial" w:eastAsia="Times New Roman" w:hAnsi="Arial" w:cs="Arial"/>
          <w:bCs/>
          <w:sz w:val="24"/>
          <w:szCs w:val="24"/>
          <w:lang w:val="es-ES" w:eastAsia="es-ES"/>
        </w:rPr>
        <w:t xml:space="preserve"> seno de la Unión Europa, </w:t>
      </w:r>
      <w:r w:rsidR="00BA3BDF">
        <w:rPr>
          <w:rFonts w:ascii="Arial" w:eastAsia="Times New Roman" w:hAnsi="Arial" w:cs="Arial"/>
          <w:bCs/>
          <w:sz w:val="24"/>
          <w:szCs w:val="24"/>
          <w:lang w:val="es-ES" w:eastAsia="es-ES"/>
        </w:rPr>
        <w:t xml:space="preserve">en especial </w:t>
      </w:r>
      <w:r w:rsidR="00BA3BDF">
        <w:rPr>
          <w:rFonts w:ascii="Arial" w:hAnsi="Arial" w:cs="Arial"/>
          <w:sz w:val="24"/>
          <w:szCs w:val="24"/>
          <w:shd w:val="clear" w:color="auto" w:fill="FFFFFF"/>
        </w:rPr>
        <w:t xml:space="preserve">el cruce irregular de las líneas fronterizas. Se está un asunto de </w:t>
      </w:r>
      <w:r w:rsidR="00BF1488">
        <w:rPr>
          <w:rFonts w:ascii="Arial" w:hAnsi="Arial" w:cs="Arial"/>
          <w:sz w:val="24"/>
          <w:szCs w:val="24"/>
          <w:shd w:val="clear" w:color="auto" w:fill="FFFFFF"/>
        </w:rPr>
        <w:t xml:space="preserve">no </w:t>
      </w:r>
      <w:r w:rsidR="00BA3BDF">
        <w:rPr>
          <w:rFonts w:ascii="Arial" w:hAnsi="Arial" w:cs="Arial"/>
          <w:sz w:val="24"/>
          <w:szCs w:val="24"/>
          <w:shd w:val="clear" w:color="auto" w:fill="FFFFFF"/>
        </w:rPr>
        <w:t>fácil resolución, porque no existe ningún derecho de entrada a un territorio nacional fuera de los pasos fronterizos autorizados reconocido en la normativ</w:t>
      </w:r>
      <w:r w:rsidR="008F6788">
        <w:rPr>
          <w:rFonts w:ascii="Arial" w:hAnsi="Arial" w:cs="Arial"/>
          <w:sz w:val="24"/>
          <w:szCs w:val="24"/>
          <w:shd w:val="clear" w:color="auto" w:fill="FFFFFF"/>
        </w:rPr>
        <w:t>a internacional y el propio Tribunal Europeo de Derechos Humanos (en adelante, TEDH)</w:t>
      </w:r>
      <w:r w:rsidR="00BA3BDF">
        <w:rPr>
          <w:rFonts w:ascii="Arial" w:hAnsi="Arial" w:cs="Arial"/>
          <w:sz w:val="24"/>
          <w:szCs w:val="24"/>
          <w:shd w:val="clear" w:color="auto" w:fill="FFFFFF"/>
        </w:rPr>
        <w:t xml:space="preserve"> reconoce que cada Estado tiene un derecho soberano de gestionar sus fronteras exteriores. </w:t>
      </w:r>
      <w:r w:rsidR="009E6309">
        <w:rPr>
          <w:rFonts w:ascii="Arial" w:eastAsia="Times New Roman" w:hAnsi="Arial" w:cs="Arial"/>
          <w:bCs/>
          <w:sz w:val="24"/>
          <w:szCs w:val="24"/>
          <w:lang w:val="es-ES" w:eastAsia="es-ES"/>
        </w:rPr>
        <w:t>L</w:t>
      </w:r>
      <w:r w:rsidR="00B4096A">
        <w:rPr>
          <w:rFonts w:ascii="Arial" w:eastAsia="Times New Roman" w:hAnsi="Arial" w:cs="Arial"/>
          <w:bCs/>
          <w:sz w:val="24"/>
          <w:szCs w:val="24"/>
          <w:lang w:val="es-ES" w:eastAsia="es-ES"/>
        </w:rPr>
        <w:t xml:space="preserve">os incesantes flujos migratorios tenidos lugar por la frontera sur, concretamente por Italia, Grecia </w:t>
      </w:r>
      <w:r w:rsidR="009E6309">
        <w:rPr>
          <w:rFonts w:ascii="Arial" w:eastAsia="Times New Roman" w:hAnsi="Arial" w:cs="Arial"/>
          <w:bCs/>
          <w:sz w:val="24"/>
          <w:szCs w:val="24"/>
          <w:lang w:val="es-ES" w:eastAsia="es-ES"/>
        </w:rPr>
        <w:t xml:space="preserve">o España, </w:t>
      </w:r>
      <w:r w:rsidR="008F6788">
        <w:rPr>
          <w:rFonts w:ascii="Arial" w:eastAsia="Times New Roman" w:hAnsi="Arial" w:cs="Arial"/>
          <w:bCs/>
          <w:sz w:val="24"/>
          <w:szCs w:val="24"/>
          <w:lang w:val="es-ES" w:eastAsia="es-ES"/>
        </w:rPr>
        <w:t>si bien también Polonia está</w:t>
      </w:r>
      <w:r w:rsidR="003C01C8">
        <w:rPr>
          <w:rFonts w:ascii="Arial" w:eastAsia="Times New Roman" w:hAnsi="Arial" w:cs="Arial"/>
          <w:bCs/>
          <w:sz w:val="24"/>
          <w:szCs w:val="24"/>
          <w:lang w:val="es-ES" w:eastAsia="es-ES"/>
        </w:rPr>
        <w:t xml:space="preserve"> experimenta</w:t>
      </w:r>
      <w:r w:rsidR="008F6788">
        <w:rPr>
          <w:rFonts w:ascii="Arial" w:eastAsia="Times New Roman" w:hAnsi="Arial" w:cs="Arial"/>
          <w:bCs/>
          <w:sz w:val="24"/>
          <w:szCs w:val="24"/>
          <w:lang w:val="es-ES" w:eastAsia="es-ES"/>
        </w:rPr>
        <w:t>n</w:t>
      </w:r>
      <w:r w:rsidR="003C01C8">
        <w:rPr>
          <w:rFonts w:ascii="Arial" w:eastAsia="Times New Roman" w:hAnsi="Arial" w:cs="Arial"/>
          <w:bCs/>
          <w:sz w:val="24"/>
          <w:szCs w:val="24"/>
          <w:lang w:val="es-ES" w:eastAsia="es-ES"/>
        </w:rPr>
        <w:t>do una importante recepción de personas migrantes</w:t>
      </w:r>
      <w:r w:rsidR="00B4096A">
        <w:rPr>
          <w:rFonts w:ascii="Arial" w:eastAsia="Times New Roman" w:hAnsi="Arial" w:cs="Arial"/>
          <w:bCs/>
          <w:sz w:val="24"/>
          <w:szCs w:val="24"/>
          <w:lang w:val="es-ES" w:eastAsia="es-ES"/>
        </w:rPr>
        <w:t xml:space="preserve">, </w:t>
      </w:r>
      <w:r w:rsidR="008F6788">
        <w:rPr>
          <w:rFonts w:ascii="Arial" w:eastAsia="Times New Roman" w:hAnsi="Arial" w:cs="Arial"/>
          <w:bCs/>
          <w:sz w:val="24"/>
          <w:szCs w:val="24"/>
          <w:lang w:val="es-ES" w:eastAsia="es-ES"/>
        </w:rPr>
        <w:t xml:space="preserve">colocan </w:t>
      </w:r>
      <w:r w:rsidR="00B4096A">
        <w:rPr>
          <w:rFonts w:ascii="Arial" w:eastAsia="Times New Roman" w:hAnsi="Arial" w:cs="Arial"/>
          <w:bCs/>
          <w:sz w:val="24"/>
          <w:szCs w:val="24"/>
          <w:lang w:val="es-ES" w:eastAsia="es-ES"/>
        </w:rPr>
        <w:t xml:space="preserve">a </w:t>
      </w:r>
      <w:r w:rsidR="00B4096A">
        <w:rPr>
          <w:rFonts w:ascii="Arial" w:eastAsia="Times New Roman" w:hAnsi="Arial" w:cs="Arial"/>
          <w:bCs/>
          <w:sz w:val="24"/>
          <w:szCs w:val="24"/>
          <w:lang w:val="es-ES" w:eastAsia="es-ES"/>
        </w:rPr>
        <w:lastRenderedPageBreak/>
        <w:t>estos países</w:t>
      </w:r>
      <w:r w:rsidR="008F6788">
        <w:rPr>
          <w:rFonts w:ascii="Arial" w:eastAsia="Times New Roman" w:hAnsi="Arial" w:cs="Arial"/>
          <w:bCs/>
          <w:sz w:val="24"/>
          <w:szCs w:val="24"/>
          <w:lang w:val="es-ES" w:eastAsia="es-ES"/>
        </w:rPr>
        <w:t xml:space="preserve"> en una difícil situación. Su pertenencia a la </w:t>
      </w:r>
      <w:r w:rsidR="00B4096A">
        <w:rPr>
          <w:rFonts w:ascii="Arial" w:eastAsia="Times New Roman" w:hAnsi="Arial" w:cs="Arial"/>
          <w:bCs/>
          <w:sz w:val="24"/>
          <w:szCs w:val="24"/>
          <w:lang w:val="es-ES" w:eastAsia="es-ES"/>
        </w:rPr>
        <w:t xml:space="preserve">Unión Europa </w:t>
      </w:r>
      <w:r w:rsidR="008F6788">
        <w:rPr>
          <w:rFonts w:ascii="Arial" w:eastAsia="Times New Roman" w:hAnsi="Arial" w:cs="Arial"/>
          <w:bCs/>
          <w:sz w:val="24"/>
          <w:szCs w:val="24"/>
          <w:lang w:val="es-ES" w:eastAsia="es-ES"/>
        </w:rPr>
        <w:t xml:space="preserve">fuerza a </w:t>
      </w:r>
      <w:r w:rsidR="00B4096A">
        <w:rPr>
          <w:rFonts w:ascii="Arial" w:eastAsia="Times New Roman" w:hAnsi="Arial" w:cs="Arial"/>
          <w:bCs/>
          <w:sz w:val="24"/>
          <w:szCs w:val="24"/>
          <w:lang w:val="es-ES" w:eastAsia="es-ES"/>
        </w:rPr>
        <w:t xml:space="preserve">dar una respuesta coordinada sobre un asunto, en el </w:t>
      </w:r>
      <w:r w:rsidR="009E6309">
        <w:rPr>
          <w:rFonts w:ascii="Arial" w:eastAsia="Times New Roman" w:hAnsi="Arial" w:cs="Arial"/>
          <w:bCs/>
          <w:sz w:val="24"/>
          <w:szCs w:val="24"/>
          <w:lang w:val="es-ES" w:eastAsia="es-ES"/>
        </w:rPr>
        <w:t xml:space="preserve">que </w:t>
      </w:r>
      <w:r w:rsidR="009C799B">
        <w:rPr>
          <w:rFonts w:ascii="Arial" w:eastAsia="Times New Roman" w:hAnsi="Arial" w:cs="Arial"/>
          <w:bCs/>
          <w:sz w:val="24"/>
          <w:szCs w:val="24"/>
          <w:lang w:val="es-ES" w:eastAsia="es-ES"/>
        </w:rPr>
        <w:t>las políticas</w:t>
      </w:r>
      <w:r w:rsidR="00AA2F0E">
        <w:rPr>
          <w:rFonts w:ascii="Arial" w:eastAsia="Times New Roman" w:hAnsi="Arial" w:cs="Arial"/>
          <w:bCs/>
          <w:sz w:val="24"/>
          <w:szCs w:val="24"/>
          <w:lang w:val="es-ES" w:eastAsia="es-ES"/>
        </w:rPr>
        <w:t xml:space="preserve"> migratorias comunitarias</w:t>
      </w:r>
      <w:r w:rsidR="009E6309">
        <w:rPr>
          <w:rFonts w:ascii="Arial" w:eastAsia="Times New Roman" w:hAnsi="Arial" w:cs="Arial"/>
          <w:bCs/>
          <w:sz w:val="24"/>
          <w:szCs w:val="24"/>
          <w:lang w:val="es-ES" w:eastAsia="es-ES"/>
        </w:rPr>
        <w:t xml:space="preserve"> están condicionadas por la normativa internacional que obliga a dispensar </w:t>
      </w:r>
      <w:r w:rsidR="00A01641">
        <w:rPr>
          <w:rFonts w:ascii="Arial" w:eastAsia="Times New Roman" w:hAnsi="Arial" w:cs="Arial"/>
          <w:bCs/>
          <w:sz w:val="24"/>
          <w:szCs w:val="24"/>
          <w:lang w:val="es-ES" w:eastAsia="es-ES"/>
        </w:rPr>
        <w:t>un trato respetuoso de</w:t>
      </w:r>
      <w:r w:rsidR="009C799B">
        <w:rPr>
          <w:rFonts w:ascii="Arial" w:eastAsia="Times New Roman" w:hAnsi="Arial" w:cs="Arial"/>
          <w:bCs/>
          <w:sz w:val="24"/>
          <w:szCs w:val="24"/>
          <w:lang w:val="es-ES" w:eastAsia="es-ES"/>
        </w:rPr>
        <w:t xml:space="preserve"> los derechos </w:t>
      </w:r>
      <w:r w:rsidR="006E3DEB">
        <w:rPr>
          <w:rFonts w:ascii="Arial" w:eastAsia="Times New Roman" w:hAnsi="Arial" w:cs="Arial"/>
          <w:bCs/>
          <w:sz w:val="24"/>
          <w:szCs w:val="24"/>
          <w:lang w:val="es-ES" w:eastAsia="es-ES"/>
        </w:rPr>
        <w:t xml:space="preserve">humanos </w:t>
      </w:r>
      <w:r w:rsidR="00A01641">
        <w:rPr>
          <w:rFonts w:ascii="Arial" w:eastAsia="Times New Roman" w:hAnsi="Arial" w:cs="Arial"/>
          <w:bCs/>
          <w:sz w:val="24"/>
          <w:szCs w:val="24"/>
          <w:lang w:val="es-ES" w:eastAsia="es-ES"/>
        </w:rPr>
        <w:t xml:space="preserve">de las personas </w:t>
      </w:r>
      <w:r w:rsidR="00B4096A">
        <w:rPr>
          <w:rFonts w:ascii="Arial" w:eastAsia="Times New Roman" w:hAnsi="Arial" w:cs="Arial"/>
          <w:bCs/>
          <w:sz w:val="24"/>
          <w:szCs w:val="24"/>
          <w:lang w:val="es-ES" w:eastAsia="es-ES"/>
        </w:rPr>
        <w:t>que huyen de sus países de origen</w:t>
      </w:r>
      <w:r w:rsidR="006E3DEB">
        <w:rPr>
          <w:rFonts w:ascii="Arial" w:eastAsia="Times New Roman" w:hAnsi="Arial" w:cs="Arial"/>
          <w:bCs/>
          <w:sz w:val="24"/>
          <w:szCs w:val="24"/>
          <w:lang w:val="es-ES" w:eastAsia="es-ES"/>
        </w:rPr>
        <w:t xml:space="preserve"> en busca de una vida mejor</w:t>
      </w:r>
      <w:r w:rsidR="009C799B">
        <w:rPr>
          <w:rFonts w:ascii="Arial" w:eastAsia="Times New Roman" w:hAnsi="Arial" w:cs="Arial"/>
          <w:bCs/>
          <w:sz w:val="24"/>
          <w:szCs w:val="24"/>
          <w:lang w:val="es-ES" w:eastAsia="es-ES"/>
        </w:rPr>
        <w:t>.</w:t>
      </w:r>
      <w:r w:rsidR="005D44EC">
        <w:rPr>
          <w:rFonts w:ascii="Arial" w:eastAsia="Times New Roman" w:hAnsi="Arial" w:cs="Arial"/>
          <w:bCs/>
          <w:sz w:val="24"/>
          <w:szCs w:val="24"/>
          <w:lang w:val="es-ES" w:eastAsia="es-ES"/>
        </w:rPr>
        <w:t xml:space="preserve"> </w:t>
      </w:r>
    </w:p>
    <w:p w14:paraId="22E08E9F" w14:textId="1298D709" w:rsidR="009E6309" w:rsidRPr="003C01C8" w:rsidRDefault="009E6309" w:rsidP="00AF3BD2">
      <w:pPr>
        <w:shd w:val="clear" w:color="auto" w:fill="FFFFFF"/>
        <w:spacing w:after="0" w:line="360" w:lineRule="auto"/>
        <w:jc w:val="both"/>
        <w:rPr>
          <w:rFonts w:ascii="Arial" w:eastAsia="Times New Roman" w:hAnsi="Arial" w:cs="Arial"/>
          <w:bCs/>
          <w:sz w:val="24"/>
          <w:szCs w:val="24"/>
          <w:lang w:eastAsia="es-ES"/>
        </w:rPr>
      </w:pPr>
    </w:p>
    <w:p w14:paraId="0C7E28CC" w14:textId="0CF38B91" w:rsidR="009E6309" w:rsidRDefault="00E13FA6" w:rsidP="00AF3BD2">
      <w:pPr>
        <w:shd w:val="clear" w:color="auto" w:fill="FFFFFF"/>
        <w:spacing w:after="0" w:line="360" w:lineRule="auto"/>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Con relación a</w:t>
      </w:r>
      <w:r w:rsidR="00BE465D">
        <w:rPr>
          <w:rFonts w:ascii="Arial" w:eastAsia="Times New Roman" w:hAnsi="Arial" w:cs="Arial"/>
          <w:bCs/>
          <w:sz w:val="24"/>
          <w:szCs w:val="24"/>
          <w:lang w:val="es-ES" w:eastAsia="es-ES"/>
        </w:rPr>
        <w:t xml:space="preserve"> estas </w:t>
      </w:r>
      <w:r w:rsidR="00F52F4A">
        <w:rPr>
          <w:rFonts w:ascii="Arial" w:eastAsia="Times New Roman" w:hAnsi="Arial" w:cs="Arial"/>
          <w:bCs/>
          <w:sz w:val="24"/>
          <w:szCs w:val="24"/>
          <w:lang w:val="es-ES" w:eastAsia="es-ES"/>
        </w:rPr>
        <w:t xml:space="preserve">entradas masivas, </w:t>
      </w:r>
      <w:r w:rsidR="009E6309">
        <w:rPr>
          <w:rFonts w:ascii="Arial" w:eastAsia="Times New Roman" w:hAnsi="Arial" w:cs="Arial"/>
          <w:bCs/>
          <w:sz w:val="24"/>
          <w:szCs w:val="24"/>
          <w:lang w:val="es-ES" w:eastAsia="es-ES"/>
        </w:rPr>
        <w:t>dos garantías</w:t>
      </w:r>
      <w:r w:rsidR="00BE465D">
        <w:rPr>
          <w:rFonts w:ascii="Arial" w:eastAsia="Times New Roman" w:hAnsi="Arial" w:cs="Arial"/>
          <w:bCs/>
          <w:sz w:val="24"/>
          <w:szCs w:val="24"/>
          <w:lang w:val="es-ES" w:eastAsia="es-ES"/>
        </w:rPr>
        <w:t xml:space="preserve"> en la legislación internacional</w:t>
      </w:r>
      <w:r w:rsidR="00F52F4A">
        <w:rPr>
          <w:rFonts w:ascii="Arial" w:eastAsia="Times New Roman" w:hAnsi="Arial" w:cs="Arial"/>
          <w:bCs/>
          <w:sz w:val="24"/>
          <w:szCs w:val="24"/>
          <w:lang w:val="es-ES" w:eastAsia="es-ES"/>
        </w:rPr>
        <w:t>,</w:t>
      </w:r>
      <w:r w:rsidR="00A16BA1">
        <w:rPr>
          <w:rFonts w:ascii="Arial" w:eastAsia="Times New Roman" w:hAnsi="Arial" w:cs="Arial"/>
          <w:bCs/>
          <w:sz w:val="24"/>
          <w:szCs w:val="24"/>
          <w:lang w:val="es-ES" w:eastAsia="es-ES"/>
        </w:rPr>
        <w:t xml:space="preserve"> cuyo alcance ha sido perfilado</w:t>
      </w:r>
      <w:r w:rsidR="00F52F4A">
        <w:rPr>
          <w:rFonts w:ascii="Arial" w:eastAsia="Times New Roman" w:hAnsi="Arial" w:cs="Arial"/>
          <w:bCs/>
          <w:sz w:val="24"/>
          <w:szCs w:val="24"/>
          <w:lang w:val="es-ES" w:eastAsia="es-ES"/>
        </w:rPr>
        <w:t xml:space="preserve"> por la jurisprudencia del Tribunal Europeo de Derechos Humanos,</w:t>
      </w:r>
      <w:r w:rsidR="009E6309">
        <w:rPr>
          <w:rFonts w:ascii="Arial" w:eastAsia="Times New Roman" w:hAnsi="Arial" w:cs="Arial"/>
          <w:bCs/>
          <w:sz w:val="24"/>
          <w:szCs w:val="24"/>
          <w:lang w:val="es-ES" w:eastAsia="es-ES"/>
        </w:rPr>
        <w:t xml:space="preserve"> </w:t>
      </w:r>
      <w:r w:rsidR="00F52F4A">
        <w:rPr>
          <w:rFonts w:ascii="Arial" w:eastAsia="Times New Roman" w:hAnsi="Arial" w:cs="Arial"/>
          <w:bCs/>
          <w:sz w:val="24"/>
          <w:szCs w:val="24"/>
          <w:lang w:val="es-ES" w:eastAsia="es-ES"/>
        </w:rPr>
        <w:t xml:space="preserve">actúan </w:t>
      </w:r>
      <w:r w:rsidR="00A16BA1">
        <w:rPr>
          <w:rFonts w:ascii="Arial" w:eastAsia="Times New Roman" w:hAnsi="Arial" w:cs="Arial"/>
          <w:bCs/>
          <w:sz w:val="24"/>
          <w:szCs w:val="24"/>
          <w:lang w:val="es-ES" w:eastAsia="es-ES"/>
        </w:rPr>
        <w:t>como límites</w:t>
      </w:r>
      <w:r w:rsidR="002F2983">
        <w:rPr>
          <w:rFonts w:ascii="Arial" w:eastAsia="Times New Roman" w:hAnsi="Arial" w:cs="Arial"/>
          <w:bCs/>
          <w:sz w:val="24"/>
          <w:szCs w:val="24"/>
          <w:lang w:val="es-ES" w:eastAsia="es-ES"/>
        </w:rPr>
        <w:t xml:space="preserve"> </w:t>
      </w:r>
      <w:r w:rsidR="008F6788">
        <w:rPr>
          <w:rFonts w:ascii="Arial" w:eastAsia="Times New Roman" w:hAnsi="Arial" w:cs="Arial"/>
          <w:bCs/>
          <w:sz w:val="24"/>
          <w:szCs w:val="24"/>
          <w:lang w:val="es-ES" w:eastAsia="es-ES"/>
        </w:rPr>
        <w:t>infranqueable</w:t>
      </w:r>
      <w:r w:rsidR="00A16BA1">
        <w:rPr>
          <w:rFonts w:ascii="Arial" w:eastAsia="Times New Roman" w:hAnsi="Arial" w:cs="Arial"/>
          <w:bCs/>
          <w:sz w:val="24"/>
          <w:szCs w:val="24"/>
          <w:lang w:val="es-ES" w:eastAsia="es-ES"/>
        </w:rPr>
        <w:t>s</w:t>
      </w:r>
      <w:r w:rsidR="008F6788">
        <w:rPr>
          <w:rFonts w:ascii="Arial" w:eastAsia="Times New Roman" w:hAnsi="Arial" w:cs="Arial"/>
          <w:bCs/>
          <w:sz w:val="24"/>
          <w:szCs w:val="24"/>
          <w:lang w:val="es-ES" w:eastAsia="es-ES"/>
        </w:rPr>
        <w:t xml:space="preserve"> para</w:t>
      </w:r>
      <w:r w:rsidR="00F52F4A">
        <w:rPr>
          <w:rFonts w:ascii="Arial" w:eastAsia="Times New Roman" w:hAnsi="Arial" w:cs="Arial"/>
          <w:bCs/>
          <w:sz w:val="24"/>
          <w:szCs w:val="24"/>
          <w:lang w:val="es-ES" w:eastAsia="es-ES"/>
        </w:rPr>
        <w:t xml:space="preserve"> los Estados en la defensa de sus fro</w:t>
      </w:r>
      <w:r w:rsidR="00803A48">
        <w:rPr>
          <w:rFonts w:ascii="Arial" w:eastAsia="Times New Roman" w:hAnsi="Arial" w:cs="Arial"/>
          <w:bCs/>
          <w:sz w:val="24"/>
          <w:szCs w:val="24"/>
          <w:lang w:val="es-ES" w:eastAsia="es-ES"/>
        </w:rPr>
        <w:t>nteras nacionales</w:t>
      </w:r>
      <w:r w:rsidR="00F52F4A">
        <w:rPr>
          <w:rFonts w:ascii="Arial" w:eastAsia="Times New Roman" w:hAnsi="Arial" w:cs="Arial"/>
          <w:bCs/>
          <w:sz w:val="24"/>
          <w:szCs w:val="24"/>
          <w:lang w:val="es-ES" w:eastAsia="es-ES"/>
        </w:rPr>
        <w:t xml:space="preserve">, imposibilitándole </w:t>
      </w:r>
      <w:r w:rsidR="002F2983">
        <w:rPr>
          <w:rFonts w:ascii="Arial" w:eastAsia="Times New Roman" w:hAnsi="Arial" w:cs="Arial"/>
          <w:bCs/>
          <w:sz w:val="24"/>
          <w:szCs w:val="24"/>
          <w:lang w:val="es-ES" w:eastAsia="es-ES"/>
        </w:rPr>
        <w:t>las devoluciones de los inm</w:t>
      </w:r>
      <w:r w:rsidR="007A1557">
        <w:rPr>
          <w:rFonts w:ascii="Arial" w:eastAsia="Times New Roman" w:hAnsi="Arial" w:cs="Arial"/>
          <w:bCs/>
          <w:sz w:val="24"/>
          <w:szCs w:val="24"/>
          <w:lang w:val="es-ES" w:eastAsia="es-ES"/>
        </w:rPr>
        <w:t xml:space="preserve">igrantes a sus países de origen: el principio de no devolución y la prohibición de expulsiones colectivas. </w:t>
      </w:r>
      <w:r w:rsidR="002F2983">
        <w:rPr>
          <w:rFonts w:ascii="Arial" w:eastAsia="Times New Roman" w:hAnsi="Arial" w:cs="Arial"/>
          <w:bCs/>
          <w:sz w:val="24"/>
          <w:szCs w:val="24"/>
          <w:lang w:val="es-ES" w:eastAsia="es-ES"/>
        </w:rPr>
        <w:t xml:space="preserve"> </w:t>
      </w:r>
    </w:p>
    <w:p w14:paraId="32312D68" w14:textId="1A43409E" w:rsidR="00EC7D1D" w:rsidRDefault="00A01641" w:rsidP="00EC7D1D">
      <w:pPr>
        <w:pStyle w:val="NormalWeb"/>
        <w:shd w:val="clear" w:color="auto" w:fill="FFFFFF"/>
        <w:spacing w:line="360" w:lineRule="auto"/>
        <w:ind w:right="44"/>
        <w:jc w:val="both"/>
        <w:rPr>
          <w:rFonts w:ascii="Arial" w:hAnsi="Arial" w:cs="Arial"/>
        </w:rPr>
      </w:pPr>
      <w:r>
        <w:rPr>
          <w:rFonts w:ascii="Arial" w:hAnsi="Arial" w:cs="Arial"/>
          <w:bCs/>
        </w:rPr>
        <w:t>La primera garantía</w:t>
      </w:r>
      <w:r w:rsidR="00803A48">
        <w:rPr>
          <w:rFonts w:ascii="Arial" w:hAnsi="Arial" w:cs="Arial"/>
          <w:bCs/>
        </w:rPr>
        <w:t>, el principio de no devolución, también conocido como non-</w:t>
      </w:r>
      <w:r w:rsidR="00803A48" w:rsidRPr="00FE585B">
        <w:rPr>
          <w:rFonts w:ascii="Arial" w:hAnsi="Arial" w:cs="Arial"/>
          <w:bCs/>
          <w:i/>
        </w:rPr>
        <w:t>refoulement</w:t>
      </w:r>
      <w:r w:rsidR="00803A48">
        <w:rPr>
          <w:rFonts w:ascii="Arial" w:hAnsi="Arial" w:cs="Arial"/>
          <w:bCs/>
        </w:rPr>
        <w:t xml:space="preserve">, </w:t>
      </w:r>
      <w:r>
        <w:rPr>
          <w:rFonts w:ascii="Arial" w:hAnsi="Arial" w:cs="Arial"/>
          <w:bCs/>
        </w:rPr>
        <w:t xml:space="preserve">es </w:t>
      </w:r>
      <w:r w:rsidR="00EC7D1D">
        <w:rPr>
          <w:rFonts w:ascii="Arial" w:hAnsi="Arial" w:cs="Arial"/>
        </w:rPr>
        <w:t>fundam</w:t>
      </w:r>
      <w:r w:rsidR="008F6788">
        <w:rPr>
          <w:rFonts w:ascii="Arial" w:hAnsi="Arial" w:cs="Arial"/>
        </w:rPr>
        <w:t xml:space="preserve">ental en </w:t>
      </w:r>
      <w:r w:rsidR="000707B1">
        <w:rPr>
          <w:rFonts w:ascii="Arial" w:hAnsi="Arial" w:cs="Arial"/>
        </w:rPr>
        <w:t xml:space="preserve">derecho migratorio, </w:t>
      </w:r>
      <w:r w:rsidR="008F6788">
        <w:rPr>
          <w:rFonts w:ascii="Arial" w:hAnsi="Arial" w:cs="Arial"/>
        </w:rPr>
        <w:t>es</w:t>
      </w:r>
      <w:r>
        <w:rPr>
          <w:rFonts w:ascii="Arial" w:hAnsi="Arial" w:cs="Arial"/>
        </w:rPr>
        <w:t>tando</w:t>
      </w:r>
      <w:r w:rsidR="008F6788">
        <w:rPr>
          <w:rFonts w:ascii="Arial" w:hAnsi="Arial" w:cs="Arial"/>
        </w:rPr>
        <w:t xml:space="preserve"> </w:t>
      </w:r>
      <w:r>
        <w:rPr>
          <w:rFonts w:ascii="Arial" w:hAnsi="Arial" w:cs="Arial"/>
        </w:rPr>
        <w:t>reconocida</w:t>
      </w:r>
      <w:r w:rsidR="000707B1">
        <w:rPr>
          <w:rFonts w:ascii="Arial" w:hAnsi="Arial" w:cs="Arial"/>
        </w:rPr>
        <w:t xml:space="preserve"> en el art. 33.1 de la Convención </w:t>
      </w:r>
      <w:r w:rsidR="00AF204E">
        <w:rPr>
          <w:rFonts w:ascii="Arial" w:hAnsi="Arial" w:cs="Arial"/>
        </w:rPr>
        <w:t xml:space="preserve">de Ginebra </w:t>
      </w:r>
      <w:r w:rsidR="000707B1">
        <w:rPr>
          <w:rFonts w:ascii="Arial" w:hAnsi="Arial" w:cs="Arial"/>
        </w:rPr>
        <w:t>sobre el Estatuto de los Refugiados de 1951 y</w:t>
      </w:r>
      <w:r w:rsidR="00AF204E">
        <w:rPr>
          <w:rFonts w:ascii="Arial" w:hAnsi="Arial" w:cs="Arial"/>
        </w:rPr>
        <w:t>, en el ámbito de la Unión Europea, en el art. 19.2 de la Carta de Derechos Fundamentales y el art. 5 de la Directiva 2008/115/CE del Parlamento Europeo y del Consejo, de 16 de diciembre de 2008, del retorno de los nacionales de terceros países en situación irregular</w:t>
      </w:r>
      <w:r w:rsidR="007E07C4">
        <w:rPr>
          <w:rFonts w:ascii="Arial" w:hAnsi="Arial" w:cs="Arial"/>
        </w:rPr>
        <w:t xml:space="preserve">. Este principio </w:t>
      </w:r>
      <w:r w:rsidR="000707B1">
        <w:rPr>
          <w:rFonts w:ascii="Arial" w:hAnsi="Arial" w:cs="Arial"/>
        </w:rPr>
        <w:t xml:space="preserve">imposibilita a los Estados a </w:t>
      </w:r>
      <w:r w:rsidR="00410131">
        <w:rPr>
          <w:rFonts w:ascii="Arial" w:hAnsi="Arial" w:cs="Arial"/>
        </w:rPr>
        <w:t xml:space="preserve">expulsar o </w:t>
      </w:r>
      <w:r w:rsidR="000707B1">
        <w:rPr>
          <w:rFonts w:ascii="Arial" w:hAnsi="Arial" w:cs="Arial"/>
        </w:rPr>
        <w:t xml:space="preserve">devolver a un extranjero llegado a un </w:t>
      </w:r>
      <w:r w:rsidR="000707B1" w:rsidRPr="001021D3">
        <w:rPr>
          <w:rFonts w:ascii="Arial" w:hAnsi="Arial" w:cs="Arial"/>
          <w:shd w:val="clear" w:color="auto" w:fill="FFFFFF"/>
        </w:rPr>
        <w:t xml:space="preserve">país en el que </w:t>
      </w:r>
      <w:r w:rsidR="000707B1">
        <w:rPr>
          <w:rFonts w:ascii="Arial" w:hAnsi="Arial" w:cs="Arial"/>
          <w:shd w:val="clear" w:color="auto" w:fill="FFFFFF"/>
        </w:rPr>
        <w:t xml:space="preserve">su vida o libertad peligrarían por causa de su </w:t>
      </w:r>
      <w:r w:rsidR="000707B1" w:rsidRPr="001021D3">
        <w:rPr>
          <w:rFonts w:ascii="Arial" w:hAnsi="Arial" w:cs="Arial"/>
          <w:shd w:val="clear" w:color="auto" w:fill="FFFFFF"/>
        </w:rPr>
        <w:t>raza, religión</w:t>
      </w:r>
      <w:r w:rsidR="000707B1">
        <w:rPr>
          <w:rFonts w:ascii="Arial" w:hAnsi="Arial" w:cs="Arial"/>
          <w:shd w:val="clear" w:color="auto" w:fill="FFFFFF"/>
        </w:rPr>
        <w:t>, nacionalidad, pertenencia a determinado</w:t>
      </w:r>
      <w:r w:rsidR="000707B1" w:rsidRPr="001021D3">
        <w:rPr>
          <w:rFonts w:ascii="Arial" w:hAnsi="Arial" w:cs="Arial"/>
          <w:shd w:val="clear" w:color="auto" w:fill="FFFFFF"/>
        </w:rPr>
        <w:t xml:space="preserve"> grupo socia</w:t>
      </w:r>
      <w:r w:rsidR="000707B1">
        <w:rPr>
          <w:rFonts w:ascii="Arial" w:hAnsi="Arial" w:cs="Arial"/>
          <w:shd w:val="clear" w:color="auto" w:fill="FFFFFF"/>
        </w:rPr>
        <w:t xml:space="preserve">l, o de sus opiniones políticas, </w:t>
      </w:r>
      <w:r w:rsidR="000707B1">
        <w:rPr>
          <w:rFonts w:ascii="Arial" w:hAnsi="Arial" w:cs="Arial"/>
        </w:rPr>
        <w:t xml:space="preserve">impidiendo el ejercicio de su derecho de asilo. </w:t>
      </w:r>
      <w:r w:rsidR="00EC7D1D">
        <w:rPr>
          <w:rFonts w:ascii="Arial" w:hAnsi="Arial" w:cs="Arial"/>
        </w:rPr>
        <w:t>La finalidad de este principio, como ha expuesto de forma reiterada el TEDH, es impedir la devolución</w:t>
      </w:r>
      <w:r w:rsidR="007E07C4">
        <w:rPr>
          <w:rFonts w:ascii="Arial" w:hAnsi="Arial" w:cs="Arial"/>
        </w:rPr>
        <w:t xml:space="preserve"> o el rechazo</w:t>
      </w:r>
      <w:r w:rsidR="00EC7D1D">
        <w:rPr>
          <w:rFonts w:ascii="Arial" w:hAnsi="Arial" w:cs="Arial"/>
        </w:rPr>
        <w:t xml:space="preserve"> de un extranjero, que está bajo la jurisdicción estatal, a u</w:t>
      </w:r>
      <w:r w:rsidR="00410131">
        <w:rPr>
          <w:rFonts w:ascii="Arial" w:hAnsi="Arial" w:cs="Arial"/>
        </w:rPr>
        <w:t xml:space="preserve">n territorio en el que su vida o </w:t>
      </w:r>
      <w:r w:rsidR="00EC7D1D">
        <w:rPr>
          <w:rFonts w:ascii="Arial" w:hAnsi="Arial" w:cs="Arial"/>
        </w:rPr>
        <w:t xml:space="preserve">integridad corran peligro. </w:t>
      </w:r>
      <w:r w:rsidR="00B13147">
        <w:rPr>
          <w:rFonts w:ascii="Arial" w:hAnsi="Arial" w:cs="Arial"/>
        </w:rPr>
        <w:t>Es, por ello, obligatorio que</w:t>
      </w:r>
      <w:r w:rsidR="000707B1">
        <w:rPr>
          <w:rFonts w:ascii="Arial" w:hAnsi="Arial" w:cs="Arial"/>
        </w:rPr>
        <w:t xml:space="preserve"> </w:t>
      </w:r>
      <w:r w:rsidR="00AF204E">
        <w:rPr>
          <w:rFonts w:ascii="Arial" w:hAnsi="Arial" w:cs="Arial"/>
        </w:rPr>
        <w:t xml:space="preserve">los Estados </w:t>
      </w:r>
      <w:r w:rsidR="00B13147">
        <w:rPr>
          <w:rFonts w:ascii="Arial" w:hAnsi="Arial" w:cs="Arial"/>
        </w:rPr>
        <w:t>garanticen</w:t>
      </w:r>
      <w:r w:rsidR="000707B1">
        <w:rPr>
          <w:rFonts w:ascii="Arial" w:hAnsi="Arial" w:cs="Arial"/>
        </w:rPr>
        <w:t xml:space="preserve"> a todas las personas </w:t>
      </w:r>
      <w:r w:rsidR="00B13147">
        <w:rPr>
          <w:rFonts w:ascii="Arial" w:hAnsi="Arial" w:cs="Arial"/>
        </w:rPr>
        <w:t xml:space="preserve">que </w:t>
      </w:r>
      <w:r w:rsidR="000707B1">
        <w:rPr>
          <w:rFonts w:ascii="Arial" w:hAnsi="Arial" w:cs="Arial"/>
        </w:rPr>
        <w:t xml:space="preserve">alcancen las fronteras de un país la posibilidad de presentar </w:t>
      </w:r>
      <w:r w:rsidR="007E07C4">
        <w:rPr>
          <w:rFonts w:ascii="Arial" w:hAnsi="Arial" w:cs="Arial"/>
        </w:rPr>
        <w:t>una solicitud de asilo</w:t>
      </w:r>
      <w:r w:rsidR="00B13147">
        <w:rPr>
          <w:rFonts w:ascii="Arial" w:hAnsi="Arial" w:cs="Arial"/>
        </w:rPr>
        <w:t xml:space="preserve"> ante las autoridades competentes,</w:t>
      </w:r>
      <w:r w:rsidR="007E07C4">
        <w:rPr>
          <w:rFonts w:ascii="Arial" w:hAnsi="Arial" w:cs="Arial"/>
        </w:rPr>
        <w:t xml:space="preserve"> que les permita acce</w:t>
      </w:r>
      <w:r w:rsidR="008F6788">
        <w:rPr>
          <w:rFonts w:ascii="Arial" w:hAnsi="Arial" w:cs="Arial"/>
        </w:rPr>
        <w:t>der a la condición de refugiado, de forma que no sean devueltas al país de origen o de procedencia, evitando así incurrir en una vulneración del art. 3</w:t>
      </w:r>
      <w:r w:rsidR="00B13147">
        <w:rPr>
          <w:rFonts w:ascii="Arial" w:hAnsi="Arial" w:cs="Arial"/>
        </w:rPr>
        <w:t xml:space="preserve"> CEDH</w:t>
      </w:r>
      <w:r w:rsidR="008F6788">
        <w:rPr>
          <w:rFonts w:ascii="Arial" w:hAnsi="Arial" w:cs="Arial"/>
        </w:rPr>
        <w:t xml:space="preserve">, que consagra el derecho a </w:t>
      </w:r>
      <w:r w:rsidR="00034D37">
        <w:rPr>
          <w:rFonts w:ascii="Arial" w:hAnsi="Arial" w:cs="Arial"/>
        </w:rPr>
        <w:t>no sufrir tratos inhumanos o degradantes</w:t>
      </w:r>
      <w:r w:rsidR="00B13147">
        <w:rPr>
          <w:rFonts w:ascii="Arial" w:hAnsi="Arial" w:cs="Arial"/>
        </w:rPr>
        <w:t xml:space="preserve"> y del art. 13</w:t>
      </w:r>
      <w:r w:rsidR="00377D34">
        <w:rPr>
          <w:rFonts w:ascii="Arial" w:hAnsi="Arial" w:cs="Arial"/>
        </w:rPr>
        <w:t>, que reconoce el derecho a un recurso efectivo</w:t>
      </w:r>
      <w:r w:rsidR="00B13147">
        <w:rPr>
          <w:rFonts w:ascii="Arial" w:hAnsi="Arial" w:cs="Arial"/>
        </w:rPr>
        <w:t xml:space="preserve"> </w:t>
      </w:r>
      <w:r w:rsidR="00034D37">
        <w:rPr>
          <w:rFonts w:ascii="Arial" w:hAnsi="Arial" w:cs="Arial"/>
        </w:rPr>
        <w:t xml:space="preserve">. </w:t>
      </w:r>
    </w:p>
    <w:p w14:paraId="55EE51C3" w14:textId="3AEDE1F7" w:rsidR="00C64934" w:rsidRDefault="00A01641" w:rsidP="00AF3BD2">
      <w:pPr>
        <w:shd w:val="clear" w:color="auto" w:fill="FFFFFF"/>
        <w:spacing w:after="0" w:line="360" w:lineRule="auto"/>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lastRenderedPageBreak/>
        <w:t>La segunda garantía</w:t>
      </w:r>
      <w:r w:rsidR="00BE465D">
        <w:rPr>
          <w:rFonts w:ascii="Arial" w:eastAsia="Times New Roman" w:hAnsi="Arial" w:cs="Arial"/>
          <w:bCs/>
          <w:sz w:val="24"/>
          <w:szCs w:val="24"/>
          <w:lang w:val="es-ES" w:eastAsia="es-ES"/>
        </w:rPr>
        <w:t xml:space="preserve">, la prohibición de </w:t>
      </w:r>
      <w:r w:rsidR="007E01FB">
        <w:rPr>
          <w:rFonts w:ascii="Arial" w:eastAsia="Times New Roman" w:hAnsi="Arial" w:cs="Arial"/>
          <w:bCs/>
          <w:sz w:val="24"/>
          <w:szCs w:val="24"/>
          <w:lang w:val="es-ES" w:eastAsia="es-ES"/>
        </w:rPr>
        <w:t xml:space="preserve">las </w:t>
      </w:r>
      <w:r w:rsidR="00BE465D">
        <w:rPr>
          <w:rFonts w:ascii="Arial" w:eastAsia="Times New Roman" w:hAnsi="Arial" w:cs="Arial"/>
          <w:bCs/>
          <w:sz w:val="24"/>
          <w:szCs w:val="24"/>
          <w:lang w:val="es-ES" w:eastAsia="es-ES"/>
        </w:rPr>
        <w:t xml:space="preserve">expulsiones colectivas de extranjeros contenida en el art. 4 del Protocolo n.º 4 al Convenio Europeo de </w:t>
      </w:r>
      <w:r w:rsidR="00034D37">
        <w:rPr>
          <w:rFonts w:ascii="Arial" w:eastAsia="Times New Roman" w:hAnsi="Arial" w:cs="Arial"/>
          <w:bCs/>
          <w:sz w:val="24"/>
          <w:szCs w:val="24"/>
          <w:lang w:val="es-ES" w:eastAsia="es-ES"/>
        </w:rPr>
        <w:t>Derechos Humanos</w:t>
      </w:r>
      <w:r w:rsidR="00410131">
        <w:rPr>
          <w:rFonts w:ascii="Arial" w:eastAsia="Times New Roman" w:hAnsi="Arial" w:cs="Arial"/>
          <w:bCs/>
          <w:sz w:val="24"/>
          <w:szCs w:val="24"/>
          <w:lang w:val="es-ES" w:eastAsia="es-ES"/>
        </w:rPr>
        <w:t xml:space="preserve"> y el art. 19.1 de la Carta de Derechos Fundamentales de la Unión Europea</w:t>
      </w:r>
      <w:r w:rsidR="00034D37">
        <w:rPr>
          <w:rFonts w:ascii="Arial" w:eastAsia="Times New Roman" w:hAnsi="Arial" w:cs="Arial"/>
          <w:bCs/>
          <w:sz w:val="24"/>
          <w:szCs w:val="24"/>
          <w:lang w:val="es-ES" w:eastAsia="es-ES"/>
        </w:rPr>
        <w:t xml:space="preserve">, exige a los </w:t>
      </w:r>
      <w:r w:rsidR="00BE465D">
        <w:rPr>
          <w:rFonts w:ascii="Arial" w:eastAsia="Times New Roman" w:hAnsi="Arial" w:cs="Arial"/>
          <w:bCs/>
          <w:sz w:val="24"/>
          <w:szCs w:val="24"/>
          <w:lang w:val="es-ES" w:eastAsia="es-ES"/>
        </w:rPr>
        <w:t>Estado</w:t>
      </w:r>
      <w:r w:rsidR="00034D37">
        <w:rPr>
          <w:rFonts w:ascii="Arial" w:eastAsia="Times New Roman" w:hAnsi="Arial" w:cs="Arial"/>
          <w:bCs/>
          <w:sz w:val="24"/>
          <w:szCs w:val="24"/>
          <w:lang w:val="es-ES" w:eastAsia="es-ES"/>
        </w:rPr>
        <w:t>s, previamente a la</w:t>
      </w:r>
      <w:r w:rsidR="00BE465D">
        <w:rPr>
          <w:rFonts w:ascii="Arial" w:eastAsia="Times New Roman" w:hAnsi="Arial" w:cs="Arial"/>
          <w:bCs/>
          <w:sz w:val="24"/>
          <w:szCs w:val="24"/>
          <w:lang w:val="es-ES" w:eastAsia="es-ES"/>
        </w:rPr>
        <w:t xml:space="preserve"> expuls</w:t>
      </w:r>
      <w:r>
        <w:rPr>
          <w:rFonts w:ascii="Arial" w:eastAsia="Times New Roman" w:hAnsi="Arial" w:cs="Arial"/>
          <w:bCs/>
          <w:sz w:val="24"/>
          <w:szCs w:val="24"/>
          <w:lang w:val="es-ES" w:eastAsia="es-ES"/>
        </w:rPr>
        <w:t xml:space="preserve">ión, </w:t>
      </w:r>
      <w:r w:rsidR="00034D37">
        <w:rPr>
          <w:rFonts w:ascii="Arial" w:eastAsia="Times New Roman" w:hAnsi="Arial" w:cs="Arial"/>
          <w:bCs/>
          <w:sz w:val="24"/>
          <w:szCs w:val="24"/>
          <w:lang w:val="es-ES" w:eastAsia="es-ES"/>
        </w:rPr>
        <w:t xml:space="preserve">proceder a identificar </w:t>
      </w:r>
      <w:r w:rsidR="00BE465D">
        <w:rPr>
          <w:rFonts w:ascii="Arial" w:eastAsia="Times New Roman" w:hAnsi="Arial" w:cs="Arial"/>
          <w:bCs/>
          <w:sz w:val="24"/>
          <w:szCs w:val="24"/>
          <w:lang w:val="es-ES" w:eastAsia="es-ES"/>
        </w:rPr>
        <w:t xml:space="preserve"> y examinar la situación individual y personal de las personas que hayan cruzado o pretendan cruzar sus fronteras de manera ilegal, posibilitándoles, en su caso, </w:t>
      </w:r>
      <w:r w:rsidR="003A0847">
        <w:rPr>
          <w:rFonts w:ascii="Arial" w:eastAsia="Times New Roman" w:hAnsi="Arial" w:cs="Arial"/>
          <w:bCs/>
          <w:sz w:val="24"/>
          <w:szCs w:val="24"/>
          <w:lang w:val="es-ES" w:eastAsia="es-ES"/>
        </w:rPr>
        <w:t>solicitar asilo, de forma que el principio de no devolución</w:t>
      </w:r>
      <w:r w:rsidR="003B0A8F">
        <w:rPr>
          <w:rFonts w:ascii="Arial" w:eastAsia="Times New Roman" w:hAnsi="Arial" w:cs="Arial"/>
          <w:bCs/>
          <w:sz w:val="24"/>
          <w:szCs w:val="24"/>
          <w:lang w:val="es-ES" w:eastAsia="es-ES"/>
        </w:rPr>
        <w:t xml:space="preserve"> no resulte conculcado</w:t>
      </w:r>
      <w:r w:rsidR="003A0847">
        <w:rPr>
          <w:rStyle w:val="Refdenotaalpie"/>
          <w:rFonts w:ascii="Arial" w:eastAsia="Times New Roman" w:hAnsi="Arial" w:cs="Arial"/>
          <w:bCs/>
          <w:sz w:val="24"/>
          <w:szCs w:val="24"/>
          <w:lang w:val="es-ES" w:eastAsia="es-ES"/>
        </w:rPr>
        <w:footnoteReference w:id="1"/>
      </w:r>
      <w:r w:rsidR="003A0847">
        <w:rPr>
          <w:rFonts w:ascii="Arial" w:eastAsia="Times New Roman" w:hAnsi="Arial" w:cs="Arial"/>
          <w:bCs/>
          <w:sz w:val="24"/>
          <w:szCs w:val="24"/>
          <w:lang w:val="es-ES" w:eastAsia="es-ES"/>
        </w:rPr>
        <w:t xml:space="preserve">. </w:t>
      </w:r>
      <w:r w:rsidR="007A1557">
        <w:rPr>
          <w:rFonts w:ascii="Arial" w:eastAsia="Times New Roman" w:hAnsi="Arial" w:cs="Arial"/>
          <w:bCs/>
          <w:sz w:val="24"/>
          <w:szCs w:val="24"/>
          <w:lang w:val="es-ES" w:eastAsia="es-ES"/>
        </w:rPr>
        <w:t xml:space="preserve">El </w:t>
      </w:r>
      <w:r>
        <w:rPr>
          <w:rFonts w:ascii="Arial" w:eastAsia="Times New Roman" w:hAnsi="Arial" w:cs="Arial"/>
          <w:bCs/>
          <w:sz w:val="24"/>
          <w:szCs w:val="24"/>
          <w:lang w:val="es-ES" w:eastAsia="es-ES"/>
        </w:rPr>
        <w:t xml:space="preserve">TEDH </w:t>
      </w:r>
      <w:r w:rsidR="00B91376">
        <w:rPr>
          <w:rFonts w:ascii="Arial" w:eastAsia="Times New Roman" w:hAnsi="Arial" w:cs="Arial"/>
          <w:bCs/>
          <w:sz w:val="24"/>
          <w:szCs w:val="24"/>
          <w:lang w:val="es-ES" w:eastAsia="es-ES"/>
        </w:rPr>
        <w:t xml:space="preserve">ha </w:t>
      </w:r>
      <w:r w:rsidR="007A1557">
        <w:rPr>
          <w:rFonts w:ascii="Arial" w:eastAsia="Times New Roman" w:hAnsi="Arial" w:cs="Arial"/>
          <w:bCs/>
          <w:sz w:val="24"/>
          <w:szCs w:val="24"/>
          <w:lang w:val="es-ES" w:eastAsia="es-ES"/>
        </w:rPr>
        <w:t>considera</w:t>
      </w:r>
      <w:r w:rsidR="00B91376">
        <w:rPr>
          <w:rFonts w:ascii="Arial" w:eastAsia="Times New Roman" w:hAnsi="Arial" w:cs="Arial"/>
          <w:bCs/>
          <w:sz w:val="24"/>
          <w:szCs w:val="24"/>
          <w:lang w:val="es-ES" w:eastAsia="es-ES"/>
        </w:rPr>
        <w:t>do</w:t>
      </w:r>
      <w:r w:rsidR="007A1557">
        <w:rPr>
          <w:rFonts w:ascii="Arial" w:eastAsia="Times New Roman" w:hAnsi="Arial" w:cs="Arial"/>
          <w:bCs/>
          <w:sz w:val="24"/>
          <w:szCs w:val="24"/>
          <w:lang w:val="es-ES" w:eastAsia="es-ES"/>
        </w:rPr>
        <w:t xml:space="preserve"> que los rechazos automáticos de inmigrantes sin </w:t>
      </w:r>
      <w:r w:rsidR="0067314B">
        <w:rPr>
          <w:rFonts w:ascii="Arial" w:eastAsia="Times New Roman" w:hAnsi="Arial" w:cs="Arial"/>
          <w:bCs/>
          <w:sz w:val="24"/>
          <w:szCs w:val="24"/>
          <w:lang w:val="es-ES" w:eastAsia="es-ES"/>
        </w:rPr>
        <w:t xml:space="preserve">examinar </w:t>
      </w:r>
      <w:r w:rsidR="006E3DEB">
        <w:rPr>
          <w:rFonts w:ascii="Arial" w:eastAsia="Times New Roman" w:hAnsi="Arial" w:cs="Arial"/>
          <w:bCs/>
          <w:sz w:val="24"/>
          <w:szCs w:val="24"/>
          <w:lang w:val="es-ES" w:eastAsia="es-ES"/>
        </w:rPr>
        <w:t xml:space="preserve">sus circunstancias personales </w:t>
      </w:r>
      <w:r w:rsidR="0067314B">
        <w:rPr>
          <w:rFonts w:ascii="Arial" w:eastAsia="Times New Roman" w:hAnsi="Arial" w:cs="Arial"/>
          <w:bCs/>
          <w:sz w:val="24"/>
          <w:szCs w:val="24"/>
          <w:lang w:val="es-ES" w:eastAsia="es-ES"/>
        </w:rPr>
        <w:t xml:space="preserve">y </w:t>
      </w:r>
      <w:r w:rsidR="006E3DEB">
        <w:rPr>
          <w:rFonts w:ascii="Arial" w:eastAsia="Times New Roman" w:hAnsi="Arial" w:cs="Arial"/>
          <w:bCs/>
          <w:sz w:val="24"/>
          <w:szCs w:val="24"/>
          <w:lang w:val="es-ES" w:eastAsia="es-ES"/>
        </w:rPr>
        <w:t xml:space="preserve">sin </w:t>
      </w:r>
      <w:r w:rsidR="0067314B">
        <w:rPr>
          <w:rFonts w:ascii="Arial" w:eastAsia="Times New Roman" w:hAnsi="Arial" w:cs="Arial"/>
          <w:bCs/>
          <w:sz w:val="24"/>
          <w:szCs w:val="24"/>
          <w:lang w:val="es-ES" w:eastAsia="es-ES"/>
        </w:rPr>
        <w:t xml:space="preserve">permitirles solicitar asilo </w:t>
      </w:r>
      <w:r w:rsidR="007A1557">
        <w:rPr>
          <w:rFonts w:ascii="Arial" w:eastAsia="Times New Roman" w:hAnsi="Arial" w:cs="Arial"/>
          <w:bCs/>
          <w:sz w:val="24"/>
          <w:szCs w:val="24"/>
          <w:lang w:val="es-ES" w:eastAsia="es-ES"/>
        </w:rPr>
        <w:t>son expulsiones colectivas que vulneran el art. 4 del Protocolo 4 del Convenio</w:t>
      </w:r>
      <w:r w:rsidR="0067314B">
        <w:rPr>
          <w:rStyle w:val="Refdenotaalpie"/>
          <w:rFonts w:ascii="Arial" w:eastAsia="Times New Roman" w:hAnsi="Arial" w:cs="Arial"/>
          <w:bCs/>
          <w:sz w:val="24"/>
          <w:szCs w:val="24"/>
          <w:lang w:val="es-ES" w:eastAsia="es-ES"/>
        </w:rPr>
        <w:footnoteReference w:id="2"/>
      </w:r>
      <w:r w:rsidR="004A613E">
        <w:rPr>
          <w:rFonts w:ascii="Arial" w:eastAsia="Times New Roman" w:hAnsi="Arial" w:cs="Arial"/>
          <w:bCs/>
          <w:sz w:val="24"/>
          <w:szCs w:val="24"/>
          <w:lang w:val="es-ES" w:eastAsia="es-ES"/>
        </w:rPr>
        <w:t>. Ahora</w:t>
      </w:r>
      <w:r w:rsidR="00AC7A1D">
        <w:rPr>
          <w:rFonts w:ascii="Arial" w:eastAsia="Times New Roman" w:hAnsi="Arial" w:cs="Arial"/>
          <w:bCs/>
          <w:sz w:val="24"/>
          <w:szCs w:val="24"/>
          <w:lang w:val="es-ES" w:eastAsia="es-ES"/>
        </w:rPr>
        <w:t xml:space="preserve"> bien, en reiterada jurisprudencia, ha aclarado que </w:t>
      </w:r>
      <w:r w:rsidR="004A613E">
        <w:rPr>
          <w:rFonts w:ascii="Arial" w:eastAsia="Times New Roman" w:hAnsi="Arial" w:cs="Arial"/>
          <w:bCs/>
          <w:sz w:val="24"/>
          <w:szCs w:val="24"/>
          <w:lang w:val="es-ES" w:eastAsia="es-ES"/>
        </w:rPr>
        <w:t>el hecho de que varios extranjeros sean objeto de decisiones similares no permite por sí mismo concluir que existe una expulsión colectiva, siempre que se haya ofrecido a cada interesado la oportunidad de presentar alegaciones individualmente a las autoridades competentes en contra de su expulsión</w:t>
      </w:r>
      <w:r w:rsidR="004A613E">
        <w:rPr>
          <w:rStyle w:val="Refdenotaalpie"/>
          <w:rFonts w:ascii="Arial" w:eastAsia="Times New Roman" w:hAnsi="Arial" w:cs="Arial"/>
          <w:bCs/>
          <w:sz w:val="24"/>
          <w:szCs w:val="24"/>
          <w:lang w:val="es-ES" w:eastAsia="es-ES"/>
        </w:rPr>
        <w:footnoteReference w:id="3"/>
      </w:r>
      <w:r w:rsidR="004A613E">
        <w:rPr>
          <w:rFonts w:ascii="Arial" w:eastAsia="Times New Roman" w:hAnsi="Arial" w:cs="Arial"/>
          <w:bCs/>
          <w:sz w:val="24"/>
          <w:szCs w:val="24"/>
          <w:lang w:val="es-ES" w:eastAsia="es-ES"/>
        </w:rPr>
        <w:t xml:space="preserve">. </w:t>
      </w:r>
      <w:r w:rsidR="00AC7A1D">
        <w:rPr>
          <w:rFonts w:ascii="Arial" w:eastAsia="Times New Roman" w:hAnsi="Arial" w:cs="Arial"/>
          <w:bCs/>
          <w:sz w:val="24"/>
          <w:szCs w:val="24"/>
          <w:lang w:val="es-ES" w:eastAsia="es-ES"/>
        </w:rPr>
        <w:t xml:space="preserve">El artículo 4 del Protocolo n.º 4 “no garantiza el derecho a una entrevista individual en todos los casos, ya que los requisitos de dicha disposición pueden cumplirse cuando cada extranjero tiene una posibilidad real y efectiva de presentar alegaciones en contra de su expulsión, y cuando dichas alegaciones son adecuadamente evaluadas por las autoridades del Estado demandado” (STEHD Gran Sala de 13 de febrero de 2020, N.D y N.T c. España, </w:t>
      </w:r>
      <w:r w:rsidR="00AC7A1D" w:rsidRPr="00724B95">
        <w:rPr>
          <w:rFonts w:ascii="Arial" w:hAnsi="Arial" w:cs="Arial"/>
        </w:rPr>
        <w:t>§</w:t>
      </w:r>
      <w:r w:rsidR="00AC7A1D">
        <w:rPr>
          <w:rFonts w:ascii="Arial" w:hAnsi="Arial" w:cs="Arial"/>
        </w:rPr>
        <w:t xml:space="preserve"> 199).</w:t>
      </w:r>
    </w:p>
    <w:p w14:paraId="4F803CAD" w14:textId="77777777" w:rsidR="00AF3BD2" w:rsidRDefault="00AF3BD2" w:rsidP="00562A0C">
      <w:pPr>
        <w:shd w:val="clear" w:color="auto" w:fill="FFFFFF"/>
        <w:spacing w:after="0" w:line="360" w:lineRule="auto"/>
        <w:jc w:val="both"/>
        <w:rPr>
          <w:rFonts w:ascii="Arial" w:eastAsia="Times New Roman" w:hAnsi="Arial" w:cs="Arial"/>
          <w:bCs/>
          <w:sz w:val="24"/>
          <w:szCs w:val="24"/>
          <w:lang w:val="es-ES" w:eastAsia="es-ES"/>
        </w:rPr>
      </w:pPr>
    </w:p>
    <w:p w14:paraId="1AF090A2" w14:textId="050C87CD" w:rsidR="0038775B" w:rsidRDefault="003C01C8" w:rsidP="00E309D7">
      <w:pPr>
        <w:shd w:val="clear" w:color="auto" w:fill="FFFFFF"/>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lang w:val="es-ES"/>
        </w:rPr>
        <w:t xml:space="preserve">Las garantías comentadas deben ser salvaguardadas cuando </w:t>
      </w:r>
      <w:r w:rsidR="00E309D7">
        <w:rPr>
          <w:rFonts w:ascii="Arial" w:hAnsi="Arial" w:cs="Arial"/>
          <w:sz w:val="24"/>
          <w:szCs w:val="24"/>
          <w:shd w:val="clear" w:color="auto" w:fill="FFFFFF"/>
        </w:rPr>
        <w:t xml:space="preserve">los </w:t>
      </w:r>
      <w:r w:rsidR="00AC7A1D">
        <w:rPr>
          <w:rFonts w:ascii="Arial" w:hAnsi="Arial" w:cs="Arial"/>
          <w:sz w:val="24"/>
          <w:szCs w:val="24"/>
          <w:shd w:val="clear" w:color="auto" w:fill="FFFFFF"/>
        </w:rPr>
        <w:t xml:space="preserve">países </w:t>
      </w:r>
      <w:r>
        <w:rPr>
          <w:rFonts w:ascii="Arial" w:hAnsi="Arial" w:cs="Arial"/>
          <w:sz w:val="24"/>
          <w:szCs w:val="24"/>
          <w:shd w:val="clear" w:color="auto" w:fill="FFFFFF"/>
        </w:rPr>
        <w:t xml:space="preserve">afrontan los </w:t>
      </w:r>
      <w:r w:rsidR="00E309D7">
        <w:rPr>
          <w:rFonts w:ascii="Arial" w:hAnsi="Arial" w:cs="Arial"/>
          <w:sz w:val="24"/>
          <w:szCs w:val="24"/>
          <w:shd w:val="clear" w:color="auto" w:fill="FFFFFF"/>
        </w:rPr>
        <w:t xml:space="preserve">desafíos que plantean los </w:t>
      </w:r>
      <w:r>
        <w:rPr>
          <w:rFonts w:ascii="Arial" w:hAnsi="Arial" w:cs="Arial"/>
          <w:sz w:val="24"/>
          <w:szCs w:val="24"/>
          <w:shd w:val="clear" w:color="auto" w:fill="FFFFFF"/>
        </w:rPr>
        <w:t xml:space="preserve">procesos migratorios, que deben </w:t>
      </w:r>
      <w:r w:rsidR="00E309D7">
        <w:rPr>
          <w:rFonts w:ascii="Arial" w:hAnsi="Arial" w:cs="Arial"/>
          <w:sz w:val="24"/>
          <w:szCs w:val="24"/>
          <w:shd w:val="clear" w:color="auto" w:fill="FFFFFF"/>
        </w:rPr>
        <w:t>ser abordados desde un enfoque de pr</w:t>
      </w:r>
      <w:r w:rsidR="00AC7A1D">
        <w:rPr>
          <w:rFonts w:ascii="Arial" w:hAnsi="Arial" w:cs="Arial"/>
          <w:sz w:val="24"/>
          <w:szCs w:val="24"/>
          <w:shd w:val="clear" w:color="auto" w:fill="FFFFFF"/>
        </w:rPr>
        <w:t>otección de los derechos. L</w:t>
      </w:r>
      <w:r w:rsidR="00034D37">
        <w:rPr>
          <w:rFonts w:ascii="Arial" w:hAnsi="Arial" w:cs="Arial"/>
          <w:sz w:val="24"/>
          <w:szCs w:val="24"/>
          <w:shd w:val="clear" w:color="auto" w:fill="FFFFFF"/>
        </w:rPr>
        <w:t>os Estados</w:t>
      </w:r>
      <w:r w:rsidR="00AC7A1D">
        <w:rPr>
          <w:rFonts w:ascii="Arial" w:hAnsi="Arial" w:cs="Arial"/>
          <w:sz w:val="24"/>
          <w:szCs w:val="24"/>
          <w:shd w:val="clear" w:color="auto" w:fill="FFFFFF"/>
        </w:rPr>
        <w:t>,</w:t>
      </w:r>
      <w:r w:rsidR="00034D37">
        <w:rPr>
          <w:rFonts w:ascii="Arial" w:hAnsi="Arial" w:cs="Arial"/>
          <w:sz w:val="24"/>
          <w:szCs w:val="24"/>
          <w:shd w:val="clear" w:color="auto" w:fill="FFFFFF"/>
        </w:rPr>
        <w:t xml:space="preserve"> </w:t>
      </w:r>
      <w:r w:rsidR="00AC7A1D">
        <w:rPr>
          <w:rFonts w:ascii="Arial" w:hAnsi="Arial" w:cs="Arial"/>
          <w:sz w:val="24"/>
          <w:szCs w:val="24"/>
          <w:shd w:val="clear" w:color="auto" w:fill="FFFFFF"/>
        </w:rPr>
        <w:t xml:space="preserve">al </w:t>
      </w:r>
      <w:r w:rsidR="00AC7A1D">
        <w:rPr>
          <w:rFonts w:ascii="Arial" w:hAnsi="Arial" w:cs="Arial"/>
          <w:sz w:val="24"/>
          <w:szCs w:val="24"/>
          <w:shd w:val="clear" w:color="auto" w:fill="FFFFFF"/>
        </w:rPr>
        <w:lastRenderedPageBreak/>
        <w:t>ejercer</w:t>
      </w:r>
      <w:r w:rsidR="00034D37">
        <w:rPr>
          <w:rFonts w:ascii="Arial" w:hAnsi="Arial" w:cs="Arial"/>
          <w:sz w:val="24"/>
          <w:szCs w:val="24"/>
          <w:shd w:val="clear" w:color="auto" w:fill="FFFFFF"/>
        </w:rPr>
        <w:t xml:space="preserve"> el control de las fronteras para evitar intentos de paso ilegal por p</w:t>
      </w:r>
      <w:r w:rsidR="00AC7A1D">
        <w:rPr>
          <w:rFonts w:ascii="Arial" w:hAnsi="Arial" w:cs="Arial"/>
          <w:sz w:val="24"/>
          <w:szCs w:val="24"/>
          <w:shd w:val="clear" w:color="auto" w:fill="FFFFFF"/>
        </w:rPr>
        <w:t xml:space="preserve">ersonas extranjeras, deben asegurar </w:t>
      </w:r>
      <w:r w:rsidR="00034D37">
        <w:rPr>
          <w:rFonts w:ascii="Arial" w:hAnsi="Arial" w:cs="Arial"/>
          <w:sz w:val="24"/>
          <w:szCs w:val="24"/>
          <w:shd w:val="clear" w:color="auto" w:fill="FFFFFF"/>
        </w:rPr>
        <w:t xml:space="preserve">el respeto de los mecanismos para acceder legalmente, sin menoscabo de los derechos humanos. </w:t>
      </w:r>
      <w:r>
        <w:rPr>
          <w:rFonts w:ascii="Arial" w:hAnsi="Arial" w:cs="Arial"/>
          <w:sz w:val="24"/>
          <w:szCs w:val="24"/>
          <w:shd w:val="clear" w:color="auto" w:fill="FFFFFF"/>
        </w:rPr>
        <w:t xml:space="preserve">  En este</w:t>
      </w:r>
      <w:r w:rsidR="00E309D7">
        <w:rPr>
          <w:rFonts w:ascii="Arial" w:hAnsi="Arial" w:cs="Arial"/>
          <w:sz w:val="24"/>
          <w:szCs w:val="24"/>
          <w:shd w:val="clear" w:color="auto" w:fill="FFFFFF"/>
        </w:rPr>
        <w:t xml:space="preserve"> sentido, la Gran Sala </w:t>
      </w:r>
      <w:r>
        <w:rPr>
          <w:rFonts w:ascii="Arial" w:hAnsi="Arial" w:cs="Arial"/>
          <w:sz w:val="24"/>
          <w:szCs w:val="24"/>
          <w:shd w:val="clear" w:color="auto" w:fill="FFFFFF"/>
        </w:rPr>
        <w:t xml:space="preserve">del TEDH, en su sentencia de 13 de febrero de 2020, asunto N.D y N.T contra España, puso de manifiesto </w:t>
      </w:r>
      <w:r w:rsidR="00E309D7">
        <w:rPr>
          <w:rFonts w:ascii="Arial" w:hAnsi="Arial" w:cs="Arial"/>
          <w:sz w:val="24"/>
          <w:szCs w:val="24"/>
          <w:shd w:val="clear" w:color="auto" w:fill="FFFFFF"/>
        </w:rPr>
        <w:t>“el amplio consenso existente en la comunidad internacional en cuanto a la obligación y la necesidad de que los Estados contratantes protejan sus fronteras (…), de forma que se respeten las salvaguardas del Convenio Europeo de Derechos Humanos y, en particular, la obligación del principio de no devolución” (</w:t>
      </w:r>
      <w:r w:rsidR="00E309D7" w:rsidRPr="00893CE5">
        <w:rPr>
          <w:rFonts w:ascii="Arial" w:hAnsi="Arial" w:cs="Arial"/>
        </w:rPr>
        <w:t>§</w:t>
      </w:r>
      <w:r w:rsidR="00E309D7">
        <w:rPr>
          <w:rFonts w:ascii="Arial" w:hAnsi="Arial" w:cs="Arial"/>
        </w:rPr>
        <w:t xml:space="preserve"> 232).</w:t>
      </w:r>
      <w:r w:rsidR="0038775B">
        <w:rPr>
          <w:rFonts w:ascii="Arial" w:hAnsi="Arial" w:cs="Arial"/>
          <w:sz w:val="24"/>
          <w:szCs w:val="24"/>
          <w:shd w:val="clear" w:color="auto" w:fill="FFFFFF"/>
        </w:rPr>
        <w:t xml:space="preserve"> </w:t>
      </w:r>
    </w:p>
    <w:p w14:paraId="156166B5" w14:textId="77777777" w:rsidR="0038775B" w:rsidRDefault="0038775B" w:rsidP="00E309D7">
      <w:pPr>
        <w:shd w:val="clear" w:color="auto" w:fill="FFFFFF"/>
        <w:spacing w:after="0" w:line="360" w:lineRule="auto"/>
        <w:jc w:val="both"/>
        <w:rPr>
          <w:rFonts w:ascii="Arial" w:hAnsi="Arial" w:cs="Arial"/>
          <w:sz w:val="24"/>
          <w:szCs w:val="24"/>
          <w:shd w:val="clear" w:color="auto" w:fill="FFFFFF"/>
        </w:rPr>
      </w:pPr>
    </w:p>
    <w:p w14:paraId="6803E96F" w14:textId="661AA188" w:rsidR="00562A0C" w:rsidRPr="004D025F" w:rsidRDefault="0038775B" w:rsidP="00562A0C">
      <w:pPr>
        <w:shd w:val="clear" w:color="auto" w:fill="FFFFFF"/>
        <w:spacing w:after="0" w:line="360" w:lineRule="auto"/>
        <w:jc w:val="both"/>
        <w:rPr>
          <w:rFonts w:ascii="Arial" w:eastAsia="Times New Roman" w:hAnsi="Arial" w:cs="Arial"/>
          <w:bCs/>
          <w:sz w:val="24"/>
          <w:szCs w:val="24"/>
          <w:lang w:val="es-ES" w:eastAsia="es-ES"/>
        </w:rPr>
      </w:pPr>
      <w:r>
        <w:rPr>
          <w:rFonts w:ascii="Arial" w:hAnsi="Arial" w:cs="Arial"/>
          <w:sz w:val="24"/>
          <w:szCs w:val="24"/>
          <w:shd w:val="clear" w:color="auto" w:fill="FFFFFF"/>
        </w:rPr>
        <w:t xml:space="preserve">Una manifestación del </w:t>
      </w:r>
      <w:r w:rsidR="00E309D7">
        <w:rPr>
          <w:rFonts w:ascii="Arial" w:hAnsi="Arial" w:cs="Arial"/>
          <w:sz w:val="24"/>
          <w:szCs w:val="24"/>
          <w:shd w:val="clear" w:color="auto" w:fill="FFFFFF"/>
        </w:rPr>
        <w:t>difícil equilibrio</w:t>
      </w:r>
      <w:r>
        <w:rPr>
          <w:rFonts w:ascii="Arial" w:hAnsi="Arial" w:cs="Arial"/>
          <w:sz w:val="24"/>
          <w:szCs w:val="24"/>
          <w:shd w:val="clear" w:color="auto" w:fill="FFFFFF"/>
        </w:rPr>
        <w:t xml:space="preserve"> entre protección de las fronteras nacionales y respeto de los derechos humanos se produce en las ciudades españolas de Ceuta y M</w:t>
      </w:r>
      <w:r w:rsidR="004B2309">
        <w:rPr>
          <w:rFonts w:ascii="Arial" w:hAnsi="Arial" w:cs="Arial"/>
          <w:sz w:val="24"/>
          <w:szCs w:val="24"/>
          <w:shd w:val="clear" w:color="auto" w:fill="FFFFFF"/>
        </w:rPr>
        <w:t>elilla</w:t>
      </w:r>
      <w:r w:rsidR="004B2309">
        <w:rPr>
          <w:rFonts w:ascii="Arial" w:hAnsi="Arial" w:cs="Arial"/>
          <w:sz w:val="24"/>
          <w:szCs w:val="24"/>
        </w:rPr>
        <w:t xml:space="preserve">, única frontera exterior terrestre entre </w:t>
      </w:r>
      <w:r w:rsidR="004B2309" w:rsidRPr="007E6EC9">
        <w:rPr>
          <w:rFonts w:ascii="Arial" w:hAnsi="Arial" w:cs="Arial"/>
          <w:sz w:val="24"/>
          <w:szCs w:val="24"/>
        </w:rPr>
        <w:t>España y, por tant</w:t>
      </w:r>
      <w:r w:rsidR="004B2309">
        <w:rPr>
          <w:rFonts w:ascii="Arial" w:hAnsi="Arial" w:cs="Arial"/>
          <w:sz w:val="24"/>
          <w:szCs w:val="24"/>
        </w:rPr>
        <w:t xml:space="preserve">o, la Unión Europea, con África. </w:t>
      </w:r>
      <w:r w:rsidR="004B2309">
        <w:rPr>
          <w:rFonts w:ascii="Arial" w:hAnsi="Arial" w:cs="Arial"/>
          <w:sz w:val="24"/>
          <w:szCs w:val="24"/>
          <w:shd w:val="clear" w:color="auto" w:fill="FFFFFF"/>
        </w:rPr>
        <w:t xml:space="preserve"> </w:t>
      </w:r>
      <w:r w:rsidR="004B2309">
        <w:rPr>
          <w:rFonts w:ascii="Arial" w:hAnsi="Arial" w:cs="Arial"/>
          <w:sz w:val="24"/>
          <w:szCs w:val="24"/>
        </w:rPr>
        <w:t xml:space="preserve">Ser la </w:t>
      </w:r>
      <w:r w:rsidR="004B2309" w:rsidRPr="00237558">
        <w:rPr>
          <w:rFonts w:ascii="Arial" w:hAnsi="Arial" w:cs="Arial"/>
          <w:bCs/>
          <w:sz w:val="24"/>
          <w:szCs w:val="24"/>
        </w:rPr>
        <w:t>única frontera exterior del espacio Schengen</w:t>
      </w:r>
      <w:r w:rsidR="003C55E4" w:rsidRPr="00237558">
        <w:rPr>
          <w:rStyle w:val="Refdenotaalpie"/>
          <w:rFonts w:ascii="Arial" w:hAnsi="Arial" w:cs="Arial"/>
          <w:bCs/>
          <w:sz w:val="24"/>
          <w:szCs w:val="24"/>
        </w:rPr>
        <w:footnoteReference w:id="4"/>
      </w:r>
      <w:r w:rsidR="004B2309" w:rsidRPr="00237558">
        <w:rPr>
          <w:rFonts w:ascii="Arial" w:hAnsi="Arial" w:cs="Arial"/>
          <w:bCs/>
          <w:sz w:val="24"/>
          <w:szCs w:val="24"/>
        </w:rPr>
        <w:t xml:space="preserve"> en tierras africanas</w:t>
      </w:r>
      <w:r w:rsidR="004B2309">
        <w:rPr>
          <w:rFonts w:ascii="Arial" w:hAnsi="Arial" w:cs="Arial"/>
          <w:sz w:val="24"/>
          <w:szCs w:val="24"/>
        </w:rPr>
        <w:t xml:space="preserve"> convierte a estas ciudades en una de las principales vías de acceso de los f</w:t>
      </w:r>
      <w:r w:rsidR="004811AB">
        <w:rPr>
          <w:rFonts w:ascii="Arial" w:hAnsi="Arial" w:cs="Arial"/>
          <w:sz w:val="24"/>
          <w:szCs w:val="24"/>
        </w:rPr>
        <w:t xml:space="preserve">lujos migratorios hacia Europa, si bien </w:t>
      </w:r>
      <w:r w:rsidR="004B2309">
        <w:rPr>
          <w:rFonts w:ascii="Arial" w:hAnsi="Arial" w:cs="Arial"/>
          <w:sz w:val="24"/>
          <w:szCs w:val="24"/>
        </w:rPr>
        <w:t xml:space="preserve">ambas </w:t>
      </w:r>
      <w:r w:rsidR="004811AB">
        <w:rPr>
          <w:rFonts w:ascii="Arial" w:eastAsia="Times New Roman" w:hAnsi="Arial" w:cs="Arial"/>
          <w:bCs/>
          <w:sz w:val="24"/>
          <w:szCs w:val="24"/>
          <w:lang w:val="es-ES" w:eastAsia="es-ES"/>
        </w:rPr>
        <w:t>ciudades quedaron excluidas del acuerdo de entrada de</w:t>
      </w:r>
      <w:r w:rsidR="007546F3">
        <w:rPr>
          <w:rFonts w:ascii="Arial" w:eastAsia="Times New Roman" w:hAnsi="Arial" w:cs="Arial"/>
          <w:bCs/>
          <w:sz w:val="24"/>
          <w:szCs w:val="24"/>
          <w:lang w:val="es-ES" w:eastAsia="es-ES"/>
        </w:rPr>
        <w:t xml:space="preserve"> España en el espacio Schengen </w:t>
      </w:r>
      <w:r w:rsidR="004811AB">
        <w:rPr>
          <w:rFonts w:ascii="Arial" w:eastAsia="Times New Roman" w:hAnsi="Arial" w:cs="Arial"/>
          <w:bCs/>
          <w:sz w:val="24"/>
          <w:szCs w:val="24"/>
          <w:lang w:val="es-ES" w:eastAsia="es-ES"/>
        </w:rPr>
        <w:t>en 1991 a los efectos de facilitar las relaciones bilaterales con Marruecos</w:t>
      </w:r>
      <w:r w:rsidR="00317983">
        <w:rPr>
          <w:rFonts w:ascii="Arial" w:eastAsia="Times New Roman" w:hAnsi="Arial" w:cs="Arial"/>
          <w:bCs/>
          <w:sz w:val="24"/>
          <w:szCs w:val="24"/>
          <w:lang w:val="es-ES" w:eastAsia="es-ES"/>
        </w:rPr>
        <w:t xml:space="preserve"> y también reducir las posibilidades de entrada de extranjeros en situación irregular al territorio de la Unión</w:t>
      </w:r>
      <w:r w:rsidR="00FB6BDF">
        <w:rPr>
          <w:rStyle w:val="Refdenotaalpie"/>
          <w:rFonts w:ascii="Arial" w:eastAsia="Times New Roman" w:hAnsi="Arial" w:cs="Arial"/>
          <w:bCs/>
          <w:sz w:val="24"/>
          <w:szCs w:val="24"/>
          <w:lang w:val="es-ES" w:eastAsia="es-ES"/>
        </w:rPr>
        <w:footnoteReference w:id="5"/>
      </w:r>
      <w:r w:rsidR="004811AB">
        <w:rPr>
          <w:rFonts w:ascii="Arial" w:eastAsia="Times New Roman" w:hAnsi="Arial" w:cs="Arial"/>
          <w:bCs/>
          <w:sz w:val="24"/>
          <w:szCs w:val="24"/>
          <w:lang w:val="es-ES" w:eastAsia="es-ES"/>
        </w:rPr>
        <w:t>. Para afrontar los incesantes intentos de entrada ilegal</w:t>
      </w:r>
      <w:r w:rsidR="007546F3">
        <w:rPr>
          <w:rFonts w:ascii="Arial" w:eastAsia="Times New Roman" w:hAnsi="Arial" w:cs="Arial"/>
          <w:bCs/>
          <w:sz w:val="24"/>
          <w:szCs w:val="24"/>
          <w:lang w:val="es-ES" w:eastAsia="es-ES"/>
        </w:rPr>
        <w:t xml:space="preserve"> </w:t>
      </w:r>
      <w:r w:rsidR="00960EF9">
        <w:rPr>
          <w:rFonts w:ascii="Arial" w:eastAsia="Times New Roman" w:hAnsi="Arial" w:cs="Arial"/>
          <w:bCs/>
          <w:sz w:val="24"/>
          <w:szCs w:val="24"/>
          <w:lang w:val="es-ES" w:eastAsia="es-ES"/>
        </w:rPr>
        <w:t>de inmigrantes africanos</w:t>
      </w:r>
      <w:r w:rsidR="000F510D">
        <w:rPr>
          <w:rFonts w:ascii="Arial" w:eastAsia="Times New Roman" w:hAnsi="Arial" w:cs="Arial"/>
          <w:bCs/>
          <w:sz w:val="24"/>
          <w:szCs w:val="24"/>
          <w:lang w:val="es-ES" w:eastAsia="es-ES"/>
        </w:rPr>
        <w:t xml:space="preserve"> en estas ciudades fronterizas</w:t>
      </w:r>
      <w:r w:rsidR="00960EF9">
        <w:rPr>
          <w:rFonts w:ascii="Arial" w:eastAsia="Times New Roman" w:hAnsi="Arial" w:cs="Arial"/>
          <w:bCs/>
          <w:sz w:val="24"/>
          <w:szCs w:val="24"/>
          <w:lang w:val="es-ES" w:eastAsia="es-ES"/>
        </w:rPr>
        <w:t xml:space="preserve"> </w:t>
      </w:r>
      <w:r w:rsidR="007546F3">
        <w:rPr>
          <w:rFonts w:ascii="Arial" w:eastAsia="Times New Roman" w:hAnsi="Arial" w:cs="Arial"/>
          <w:bCs/>
          <w:sz w:val="24"/>
          <w:szCs w:val="24"/>
          <w:lang w:val="es-ES" w:eastAsia="es-ES"/>
        </w:rPr>
        <w:t>por puestos</w:t>
      </w:r>
      <w:r w:rsidR="00447C23">
        <w:rPr>
          <w:rFonts w:ascii="Arial" w:eastAsia="Times New Roman" w:hAnsi="Arial" w:cs="Arial"/>
          <w:bCs/>
          <w:sz w:val="24"/>
          <w:szCs w:val="24"/>
          <w:lang w:val="es-ES" w:eastAsia="es-ES"/>
        </w:rPr>
        <w:t xml:space="preserve"> </w:t>
      </w:r>
      <w:r w:rsidR="007546F3">
        <w:rPr>
          <w:rFonts w:ascii="Arial" w:eastAsia="Times New Roman" w:hAnsi="Arial" w:cs="Arial"/>
          <w:bCs/>
          <w:sz w:val="24"/>
          <w:szCs w:val="24"/>
          <w:lang w:val="es-ES" w:eastAsia="es-ES"/>
        </w:rPr>
        <w:t xml:space="preserve">no habilitados se </w:t>
      </w:r>
      <w:r w:rsidR="007A1557">
        <w:rPr>
          <w:rFonts w:ascii="Arial" w:eastAsia="Times New Roman" w:hAnsi="Arial" w:cs="Arial"/>
          <w:bCs/>
          <w:sz w:val="24"/>
          <w:szCs w:val="24"/>
          <w:lang w:val="es-ES" w:eastAsia="es-ES"/>
        </w:rPr>
        <w:t>introdujo en</w:t>
      </w:r>
      <w:r w:rsidR="00960EF9">
        <w:rPr>
          <w:rFonts w:ascii="Arial" w:eastAsia="Times New Roman" w:hAnsi="Arial" w:cs="Arial"/>
          <w:bCs/>
          <w:sz w:val="24"/>
          <w:szCs w:val="24"/>
          <w:lang w:val="es-ES" w:eastAsia="es-ES"/>
        </w:rPr>
        <w:t xml:space="preserve"> la legislación española </w:t>
      </w:r>
      <w:r w:rsidR="007546F3">
        <w:rPr>
          <w:rFonts w:ascii="Arial" w:eastAsia="Times New Roman" w:hAnsi="Arial" w:cs="Arial"/>
          <w:bCs/>
          <w:sz w:val="24"/>
          <w:szCs w:val="24"/>
          <w:lang w:val="es-ES" w:eastAsia="es-ES"/>
        </w:rPr>
        <w:t xml:space="preserve">la figura jurídica del rechazo en frontera, </w:t>
      </w:r>
      <w:r w:rsidR="00B91376">
        <w:rPr>
          <w:rFonts w:ascii="Arial" w:eastAsia="Times New Roman" w:hAnsi="Arial" w:cs="Arial"/>
          <w:bCs/>
          <w:sz w:val="24"/>
          <w:szCs w:val="24"/>
          <w:lang w:val="es-ES" w:eastAsia="es-ES"/>
        </w:rPr>
        <w:t xml:space="preserve">muy cuestionada por las organizaciones defensoras de los derechos de los inmigrantes </w:t>
      </w:r>
      <w:r w:rsidR="00447C23">
        <w:rPr>
          <w:rFonts w:ascii="Arial" w:eastAsia="Times New Roman" w:hAnsi="Arial" w:cs="Arial"/>
          <w:bCs/>
          <w:sz w:val="24"/>
          <w:szCs w:val="24"/>
          <w:lang w:val="es-ES" w:eastAsia="es-ES"/>
        </w:rPr>
        <w:t>a la lu</w:t>
      </w:r>
      <w:r w:rsidR="00B91376">
        <w:rPr>
          <w:rFonts w:ascii="Arial" w:eastAsia="Times New Roman" w:hAnsi="Arial" w:cs="Arial"/>
          <w:bCs/>
          <w:sz w:val="24"/>
          <w:szCs w:val="24"/>
          <w:lang w:val="es-ES" w:eastAsia="es-ES"/>
        </w:rPr>
        <w:t>z de las garantías comentadas</w:t>
      </w:r>
      <w:r w:rsidR="00447C23">
        <w:rPr>
          <w:rFonts w:ascii="Arial" w:eastAsia="Times New Roman" w:hAnsi="Arial" w:cs="Arial"/>
          <w:bCs/>
          <w:sz w:val="24"/>
          <w:szCs w:val="24"/>
          <w:lang w:val="es-ES" w:eastAsia="es-ES"/>
        </w:rPr>
        <w:t>, la prohibición de expulsiones colectivas y el principio de no devolución</w:t>
      </w:r>
      <w:r w:rsidR="00960EF9">
        <w:rPr>
          <w:rFonts w:ascii="Arial" w:eastAsia="Times New Roman" w:hAnsi="Arial" w:cs="Arial"/>
          <w:bCs/>
          <w:sz w:val="24"/>
          <w:szCs w:val="24"/>
          <w:lang w:val="es-ES" w:eastAsia="es-ES"/>
        </w:rPr>
        <w:t xml:space="preserve">. </w:t>
      </w:r>
    </w:p>
    <w:p w14:paraId="0EB95806" w14:textId="7F853E7E" w:rsidR="00FB2C6E" w:rsidRDefault="001D607C" w:rsidP="00562A0C">
      <w:pPr>
        <w:shd w:val="clear" w:color="auto" w:fill="FFFFFF"/>
        <w:spacing w:after="0" w:line="360" w:lineRule="auto"/>
        <w:jc w:val="both"/>
        <w:rPr>
          <w:rFonts w:ascii="Arial" w:eastAsia="Times New Roman" w:hAnsi="Arial" w:cs="Arial"/>
          <w:b/>
          <w:bCs/>
          <w:sz w:val="24"/>
          <w:szCs w:val="24"/>
          <w:lang w:val="es-ES" w:eastAsia="es-ES"/>
        </w:rPr>
      </w:pPr>
      <w:r w:rsidRPr="001D607C">
        <w:rPr>
          <w:rFonts w:ascii="Arial" w:eastAsia="Times New Roman" w:hAnsi="Arial" w:cs="Arial"/>
          <w:b/>
          <w:bCs/>
          <w:sz w:val="24"/>
          <w:szCs w:val="24"/>
          <w:lang w:val="es-ES" w:eastAsia="es-ES"/>
        </w:rPr>
        <w:lastRenderedPageBreak/>
        <w:t xml:space="preserve">II. </w:t>
      </w:r>
      <w:r w:rsidR="004467B1">
        <w:rPr>
          <w:rFonts w:ascii="Arial" w:eastAsia="Times New Roman" w:hAnsi="Arial" w:cs="Arial"/>
          <w:b/>
          <w:bCs/>
          <w:sz w:val="24"/>
          <w:szCs w:val="24"/>
          <w:lang w:val="es-ES" w:eastAsia="es-ES"/>
        </w:rPr>
        <w:t xml:space="preserve"> EL</w:t>
      </w:r>
      <w:r w:rsidR="003D2DC4">
        <w:rPr>
          <w:rFonts w:ascii="Arial" w:eastAsia="Times New Roman" w:hAnsi="Arial" w:cs="Arial"/>
          <w:b/>
          <w:bCs/>
          <w:sz w:val="24"/>
          <w:szCs w:val="24"/>
          <w:lang w:val="es-ES" w:eastAsia="es-ES"/>
        </w:rPr>
        <w:t xml:space="preserve"> </w:t>
      </w:r>
      <w:r w:rsidR="00176781">
        <w:rPr>
          <w:rFonts w:ascii="Arial" w:eastAsia="Times New Roman" w:hAnsi="Arial" w:cs="Arial"/>
          <w:b/>
          <w:bCs/>
          <w:sz w:val="24"/>
          <w:szCs w:val="24"/>
          <w:lang w:val="es-ES" w:eastAsia="es-ES"/>
        </w:rPr>
        <w:t>RECHAZO EN FRONTERA</w:t>
      </w:r>
      <w:r w:rsidR="00395678">
        <w:rPr>
          <w:rFonts w:ascii="Arial" w:eastAsia="Times New Roman" w:hAnsi="Arial" w:cs="Arial"/>
          <w:b/>
          <w:bCs/>
          <w:sz w:val="24"/>
          <w:szCs w:val="24"/>
          <w:lang w:val="es-ES" w:eastAsia="es-ES"/>
        </w:rPr>
        <w:t xml:space="preserve"> EN CEUTA Y MELILLA</w:t>
      </w:r>
      <w:r w:rsidR="004467B1">
        <w:rPr>
          <w:rFonts w:ascii="Arial" w:eastAsia="Times New Roman" w:hAnsi="Arial" w:cs="Arial"/>
          <w:b/>
          <w:bCs/>
          <w:sz w:val="24"/>
          <w:szCs w:val="24"/>
          <w:lang w:val="es-ES" w:eastAsia="es-ES"/>
        </w:rPr>
        <w:t>, UNA LÍNEA DIFUS</w:t>
      </w:r>
      <w:r w:rsidR="00ED66F2">
        <w:rPr>
          <w:rFonts w:ascii="Arial" w:eastAsia="Times New Roman" w:hAnsi="Arial" w:cs="Arial"/>
          <w:b/>
          <w:bCs/>
          <w:sz w:val="24"/>
          <w:szCs w:val="24"/>
          <w:lang w:val="es-ES" w:eastAsia="es-ES"/>
        </w:rPr>
        <w:t xml:space="preserve">A ENTRE EXPULSIONES COLECTIVAS </w:t>
      </w:r>
      <w:r w:rsidR="004467B1">
        <w:rPr>
          <w:rFonts w:ascii="Arial" w:eastAsia="Times New Roman" w:hAnsi="Arial" w:cs="Arial"/>
          <w:b/>
          <w:bCs/>
          <w:sz w:val="24"/>
          <w:szCs w:val="24"/>
          <w:lang w:val="es-ES" w:eastAsia="es-ES"/>
        </w:rPr>
        <w:t xml:space="preserve">Y </w:t>
      </w:r>
      <w:r w:rsidR="00162B60">
        <w:rPr>
          <w:rFonts w:ascii="Arial" w:eastAsia="Times New Roman" w:hAnsi="Arial" w:cs="Arial"/>
          <w:b/>
          <w:bCs/>
          <w:sz w:val="24"/>
          <w:szCs w:val="24"/>
          <w:lang w:val="es-ES" w:eastAsia="es-ES"/>
        </w:rPr>
        <w:t xml:space="preserve">EL PRINCIPIO DE </w:t>
      </w:r>
      <w:r w:rsidR="004467B1">
        <w:rPr>
          <w:rFonts w:ascii="Arial" w:eastAsia="Times New Roman" w:hAnsi="Arial" w:cs="Arial"/>
          <w:b/>
          <w:bCs/>
          <w:sz w:val="24"/>
          <w:szCs w:val="24"/>
          <w:lang w:val="es-ES" w:eastAsia="es-ES"/>
        </w:rPr>
        <w:t xml:space="preserve">NO DEVOLUCIÓN. </w:t>
      </w:r>
    </w:p>
    <w:p w14:paraId="4AC8FE0D" w14:textId="77777777" w:rsidR="00447C23" w:rsidRDefault="00447C23" w:rsidP="00562A0C">
      <w:pPr>
        <w:shd w:val="clear" w:color="auto" w:fill="FFFFFF"/>
        <w:spacing w:after="0" w:line="360" w:lineRule="auto"/>
        <w:jc w:val="both"/>
        <w:rPr>
          <w:rFonts w:ascii="Arial" w:eastAsia="Times New Roman" w:hAnsi="Arial" w:cs="Arial"/>
          <w:b/>
          <w:bCs/>
          <w:sz w:val="24"/>
          <w:szCs w:val="24"/>
          <w:lang w:val="es-ES" w:eastAsia="es-ES"/>
        </w:rPr>
      </w:pPr>
    </w:p>
    <w:p w14:paraId="413C6BAF" w14:textId="12559483" w:rsidR="00485F28" w:rsidRDefault="00447C23" w:rsidP="00485F28">
      <w:pPr>
        <w:spacing w:after="0" w:line="360" w:lineRule="auto"/>
        <w:jc w:val="both"/>
        <w:rPr>
          <w:rFonts w:ascii="Arial" w:hAnsi="Arial" w:cs="Arial"/>
          <w:color w:val="FF0000"/>
          <w:sz w:val="24"/>
          <w:szCs w:val="24"/>
        </w:rPr>
      </w:pPr>
      <w:r w:rsidRPr="00485F28">
        <w:rPr>
          <w:rFonts w:ascii="Arial" w:hAnsi="Arial" w:cs="Arial"/>
          <w:bCs/>
          <w:sz w:val="24"/>
          <w:szCs w:val="24"/>
        </w:rPr>
        <w:t>La figura del rechazo en frontera rec</w:t>
      </w:r>
      <w:r w:rsidR="00485F28" w:rsidRPr="00485F28">
        <w:rPr>
          <w:rFonts w:ascii="Arial" w:hAnsi="Arial" w:cs="Arial"/>
          <w:bCs/>
          <w:sz w:val="24"/>
          <w:szCs w:val="24"/>
        </w:rPr>
        <w:t xml:space="preserve">ibió cobertura legal en España al ser </w:t>
      </w:r>
      <w:r w:rsidRPr="00485F28">
        <w:rPr>
          <w:rFonts w:ascii="Arial" w:hAnsi="Arial" w:cs="Arial"/>
          <w:bCs/>
          <w:sz w:val="24"/>
          <w:szCs w:val="24"/>
        </w:rPr>
        <w:t xml:space="preserve">introducida por la </w:t>
      </w:r>
      <w:r w:rsidRPr="00485F28">
        <w:rPr>
          <w:rFonts w:ascii="Arial" w:hAnsi="Arial" w:cs="Arial"/>
          <w:bCs/>
          <w:i/>
          <w:sz w:val="24"/>
          <w:szCs w:val="24"/>
        </w:rPr>
        <w:t xml:space="preserve">Ley de Protección de la Seguridad Ciudadana </w:t>
      </w:r>
      <w:r w:rsidRPr="00485F28">
        <w:rPr>
          <w:rFonts w:ascii="Arial" w:hAnsi="Arial" w:cs="Arial"/>
          <w:bCs/>
          <w:sz w:val="24"/>
          <w:szCs w:val="24"/>
        </w:rPr>
        <w:t xml:space="preserve">(Ley Orgánica 4/2015, de 30 de marzo, en adelante LOPSC). </w:t>
      </w:r>
      <w:r w:rsidRPr="00485F28">
        <w:rPr>
          <w:rStyle w:val="nfasis"/>
          <w:rFonts w:ascii="Arial" w:hAnsi="Arial" w:cs="Arial"/>
          <w:bCs/>
          <w:i w:val="0"/>
          <w:iCs w:val="0"/>
          <w:sz w:val="24"/>
          <w:szCs w:val="24"/>
        </w:rPr>
        <w:t>Concretamente, la Disposición</w:t>
      </w:r>
      <w:r w:rsidRPr="00D40886">
        <w:rPr>
          <w:rStyle w:val="nfasis"/>
          <w:rFonts w:ascii="Arial" w:hAnsi="Arial" w:cs="Arial"/>
          <w:bCs/>
          <w:i w:val="0"/>
          <w:iCs w:val="0"/>
          <w:sz w:val="24"/>
          <w:szCs w:val="24"/>
        </w:rPr>
        <w:t xml:space="preserve"> final primera</w:t>
      </w:r>
      <w:r>
        <w:rPr>
          <w:rStyle w:val="nfasis"/>
          <w:rFonts w:ascii="Arial" w:hAnsi="Arial" w:cs="Arial"/>
          <w:bCs/>
          <w:i w:val="0"/>
          <w:iCs w:val="0"/>
          <w:sz w:val="24"/>
          <w:szCs w:val="24"/>
        </w:rPr>
        <w:t xml:space="preserve"> de la LOPSC</w:t>
      </w:r>
      <w:r w:rsidRPr="00D40886">
        <w:rPr>
          <w:rStyle w:val="nfasis"/>
          <w:rFonts w:ascii="Arial" w:hAnsi="Arial" w:cs="Arial"/>
          <w:bCs/>
          <w:i w:val="0"/>
          <w:iCs w:val="0"/>
          <w:sz w:val="24"/>
          <w:szCs w:val="24"/>
        </w:rPr>
        <w:t>, con el título</w:t>
      </w:r>
      <w:r w:rsidRPr="00D40886">
        <w:rPr>
          <w:rStyle w:val="apple-converted-space"/>
          <w:rFonts w:ascii="Arial" w:hAnsi="Arial" w:cs="Arial"/>
          <w:bCs/>
          <w:sz w:val="24"/>
          <w:szCs w:val="24"/>
        </w:rPr>
        <w:t> </w:t>
      </w:r>
      <w:r w:rsidRPr="00677919">
        <w:rPr>
          <w:rFonts w:ascii="Arial" w:hAnsi="Arial" w:cs="Arial"/>
          <w:bCs/>
          <w:i/>
          <w:sz w:val="24"/>
          <w:szCs w:val="24"/>
        </w:rPr>
        <w:t>Régimen especial de Ceuta y Melilla</w:t>
      </w:r>
      <w:r>
        <w:rPr>
          <w:rFonts w:ascii="Arial" w:hAnsi="Arial" w:cs="Arial"/>
          <w:bCs/>
          <w:sz w:val="24"/>
          <w:szCs w:val="24"/>
        </w:rPr>
        <w:t xml:space="preserve">, </w:t>
      </w:r>
      <w:r>
        <w:rPr>
          <w:rFonts w:ascii="Arial" w:hAnsi="Arial" w:cs="Arial"/>
          <w:sz w:val="24"/>
          <w:szCs w:val="24"/>
        </w:rPr>
        <w:t>adicionó</w:t>
      </w:r>
      <w:r w:rsidRPr="00D40886">
        <w:rPr>
          <w:rFonts w:ascii="Arial" w:hAnsi="Arial" w:cs="Arial"/>
          <w:sz w:val="24"/>
          <w:szCs w:val="24"/>
        </w:rPr>
        <w:t xml:space="preserve"> una d</w:t>
      </w:r>
      <w:r>
        <w:rPr>
          <w:rFonts w:ascii="Arial" w:hAnsi="Arial" w:cs="Arial"/>
          <w:sz w:val="24"/>
          <w:szCs w:val="24"/>
        </w:rPr>
        <w:t>isposición adicional décima a la ley de extranjería</w:t>
      </w:r>
      <w:r w:rsidR="00485F28">
        <w:rPr>
          <w:rFonts w:ascii="Arial" w:hAnsi="Arial" w:cs="Arial"/>
        </w:rPr>
        <w:t xml:space="preserve"> española </w:t>
      </w:r>
      <w:r w:rsidR="00485F28" w:rsidRPr="00AE122A">
        <w:rPr>
          <w:rFonts w:ascii="Arial" w:hAnsi="Arial" w:cs="Arial"/>
          <w:sz w:val="24"/>
          <w:szCs w:val="24"/>
        </w:rPr>
        <w:t>actualmente vigente</w:t>
      </w:r>
      <w:r w:rsidRPr="00AE122A">
        <w:rPr>
          <w:rFonts w:ascii="Arial" w:hAnsi="Arial" w:cs="Arial"/>
          <w:sz w:val="24"/>
          <w:szCs w:val="24"/>
        </w:rPr>
        <w:t>, la</w:t>
      </w:r>
      <w:r w:rsidRPr="00D40886">
        <w:rPr>
          <w:rStyle w:val="apple-converted-space"/>
          <w:rFonts w:ascii="Arial" w:hAnsi="Arial" w:cs="Arial"/>
          <w:i/>
          <w:sz w:val="24"/>
          <w:szCs w:val="24"/>
        </w:rPr>
        <w:t> </w:t>
      </w:r>
      <w:hyperlink r:id="rId8" w:history="1">
        <w:r w:rsidRPr="00485F28">
          <w:rPr>
            <w:rStyle w:val="Hipervnculo"/>
            <w:rFonts w:ascii="Arial" w:hAnsi="Arial" w:cs="Arial"/>
            <w:i/>
            <w:color w:val="auto"/>
            <w:sz w:val="24"/>
            <w:szCs w:val="24"/>
            <w:u w:val="none"/>
          </w:rPr>
          <w:t>Ley Orgánica 4/2000, de 11 de enero, sobre derechos y libertades de los extranjeros en España y su integración social</w:t>
        </w:r>
      </w:hyperlink>
      <w:r w:rsidR="007C1833">
        <w:rPr>
          <w:rStyle w:val="Hipervnculo"/>
          <w:rFonts w:ascii="Arial" w:hAnsi="Arial" w:cs="Arial"/>
          <w:i/>
          <w:color w:val="auto"/>
          <w:sz w:val="24"/>
          <w:szCs w:val="24"/>
          <w:u w:val="none"/>
        </w:rPr>
        <w:t xml:space="preserve"> </w:t>
      </w:r>
      <w:r w:rsidR="007C1833">
        <w:rPr>
          <w:rStyle w:val="Hipervnculo"/>
          <w:rFonts w:ascii="Arial" w:hAnsi="Arial" w:cs="Arial"/>
          <w:color w:val="auto"/>
          <w:sz w:val="24"/>
          <w:szCs w:val="24"/>
          <w:u w:val="none"/>
        </w:rPr>
        <w:t>(en adelante, LOEX)</w:t>
      </w:r>
      <w:r w:rsidR="00A16BA1">
        <w:rPr>
          <w:rFonts w:ascii="Arial" w:hAnsi="Arial" w:cs="Arial"/>
          <w:sz w:val="24"/>
          <w:szCs w:val="24"/>
        </w:rPr>
        <w:t>. Esta disposición es</w:t>
      </w:r>
      <w:r w:rsidRPr="00485F28">
        <w:rPr>
          <w:rFonts w:ascii="Arial" w:hAnsi="Arial" w:cs="Arial"/>
          <w:sz w:val="24"/>
          <w:szCs w:val="24"/>
        </w:rPr>
        <w:t xml:space="preserve"> </w:t>
      </w:r>
      <w:r w:rsidR="00485F28" w:rsidRPr="00485F28">
        <w:rPr>
          <w:rFonts w:ascii="Arial" w:hAnsi="Arial" w:cs="Arial"/>
          <w:sz w:val="24"/>
          <w:szCs w:val="24"/>
        </w:rPr>
        <w:t xml:space="preserve">muy </w:t>
      </w:r>
      <w:r w:rsidR="000F510D">
        <w:rPr>
          <w:rFonts w:ascii="Arial" w:hAnsi="Arial" w:cs="Arial"/>
          <w:sz w:val="24"/>
          <w:szCs w:val="24"/>
        </w:rPr>
        <w:t>criticada</w:t>
      </w:r>
      <w:r w:rsidRPr="00485F28">
        <w:rPr>
          <w:rFonts w:ascii="Arial" w:hAnsi="Arial" w:cs="Arial"/>
          <w:sz w:val="24"/>
          <w:szCs w:val="24"/>
        </w:rPr>
        <w:t xml:space="preserve"> por entender</w:t>
      </w:r>
      <w:r w:rsidR="00485F28" w:rsidRPr="00485F28">
        <w:rPr>
          <w:rFonts w:ascii="Arial" w:hAnsi="Arial" w:cs="Arial"/>
          <w:sz w:val="24"/>
          <w:szCs w:val="24"/>
        </w:rPr>
        <w:t>se</w:t>
      </w:r>
      <w:r w:rsidRPr="00485F28">
        <w:rPr>
          <w:rFonts w:ascii="Arial" w:hAnsi="Arial" w:cs="Arial"/>
          <w:sz w:val="24"/>
          <w:szCs w:val="24"/>
        </w:rPr>
        <w:t xml:space="preserve"> </w:t>
      </w:r>
      <w:r w:rsidR="00A16BA1">
        <w:rPr>
          <w:rFonts w:ascii="Arial" w:hAnsi="Arial" w:cs="Arial"/>
          <w:sz w:val="24"/>
          <w:szCs w:val="24"/>
        </w:rPr>
        <w:t>que a su amparo se efectúan</w:t>
      </w:r>
      <w:r w:rsidR="00485F28" w:rsidRPr="00485F28">
        <w:rPr>
          <w:rFonts w:ascii="Arial" w:hAnsi="Arial" w:cs="Arial"/>
          <w:sz w:val="24"/>
          <w:szCs w:val="24"/>
        </w:rPr>
        <w:t xml:space="preserve"> devo</w:t>
      </w:r>
      <w:r w:rsidR="00960EF9">
        <w:rPr>
          <w:rFonts w:ascii="Arial" w:hAnsi="Arial" w:cs="Arial"/>
          <w:sz w:val="24"/>
          <w:szCs w:val="24"/>
        </w:rPr>
        <w:t>luciones sumarias</w:t>
      </w:r>
      <w:r w:rsidR="00A17CF3">
        <w:rPr>
          <w:rFonts w:ascii="Arial" w:hAnsi="Arial" w:cs="Arial"/>
          <w:sz w:val="24"/>
          <w:szCs w:val="24"/>
        </w:rPr>
        <w:t xml:space="preserve"> que vulneran </w:t>
      </w:r>
      <w:r w:rsidR="00485F28">
        <w:rPr>
          <w:rFonts w:ascii="Arial" w:hAnsi="Arial" w:cs="Arial"/>
          <w:sz w:val="24"/>
          <w:szCs w:val="24"/>
        </w:rPr>
        <w:t>los</w:t>
      </w:r>
      <w:r w:rsidR="00485F28" w:rsidRPr="00485F28">
        <w:rPr>
          <w:rFonts w:ascii="Arial" w:hAnsi="Arial" w:cs="Arial"/>
          <w:sz w:val="24"/>
          <w:szCs w:val="24"/>
        </w:rPr>
        <w:t xml:space="preserve"> </w:t>
      </w:r>
      <w:r w:rsidRPr="00485F28">
        <w:rPr>
          <w:rFonts w:ascii="Arial" w:hAnsi="Arial" w:cs="Arial"/>
          <w:sz w:val="24"/>
          <w:szCs w:val="24"/>
        </w:rPr>
        <w:t>derechos humanos</w:t>
      </w:r>
      <w:r w:rsidR="00485F28">
        <w:rPr>
          <w:rFonts w:ascii="Arial" w:hAnsi="Arial" w:cs="Arial"/>
          <w:sz w:val="24"/>
          <w:szCs w:val="24"/>
        </w:rPr>
        <w:t xml:space="preserve"> de los inmigrantes</w:t>
      </w:r>
      <w:r w:rsidR="00A16BA1">
        <w:rPr>
          <w:rStyle w:val="Refdenotaalpie"/>
          <w:rFonts w:ascii="Arial" w:hAnsi="Arial" w:cs="Arial"/>
          <w:sz w:val="24"/>
          <w:szCs w:val="24"/>
        </w:rPr>
        <w:footnoteReference w:id="6"/>
      </w:r>
      <w:r w:rsidR="000F510D">
        <w:rPr>
          <w:rFonts w:ascii="Arial" w:hAnsi="Arial" w:cs="Arial"/>
          <w:sz w:val="24"/>
          <w:szCs w:val="24"/>
        </w:rPr>
        <w:t>,</w:t>
      </w:r>
      <w:r w:rsidR="00AC7A1D">
        <w:rPr>
          <w:rFonts w:ascii="Arial" w:hAnsi="Arial" w:cs="Arial"/>
          <w:sz w:val="24"/>
          <w:szCs w:val="24"/>
        </w:rPr>
        <w:t xml:space="preserve"> aunque con ella lo que se ha hecho es </w:t>
      </w:r>
      <w:r w:rsidR="00A16BA1">
        <w:rPr>
          <w:rFonts w:ascii="Arial" w:hAnsi="Arial" w:cs="Arial"/>
          <w:sz w:val="24"/>
          <w:szCs w:val="24"/>
        </w:rPr>
        <w:t xml:space="preserve"> dar carta de naturaleza a la práctica </w:t>
      </w:r>
      <w:r w:rsidR="00A46592">
        <w:rPr>
          <w:rFonts w:ascii="Arial" w:hAnsi="Arial" w:cs="Arial"/>
          <w:sz w:val="24"/>
          <w:szCs w:val="24"/>
        </w:rPr>
        <w:t xml:space="preserve">de entregar de forma inmediata a quienes </w:t>
      </w:r>
      <w:r w:rsidR="00A16BA1">
        <w:rPr>
          <w:rFonts w:ascii="Arial" w:hAnsi="Arial" w:cs="Arial"/>
          <w:sz w:val="24"/>
          <w:szCs w:val="24"/>
        </w:rPr>
        <w:t>lograban superar la valla fronteriza  o eran sorprendidos mientras lo intentaban</w:t>
      </w:r>
      <w:r w:rsidRPr="00485F28">
        <w:rPr>
          <w:rFonts w:ascii="Arial" w:hAnsi="Arial" w:cs="Arial"/>
          <w:sz w:val="24"/>
          <w:szCs w:val="24"/>
        </w:rPr>
        <w:t xml:space="preserve">. </w:t>
      </w:r>
      <w:r w:rsidR="00485F28" w:rsidRPr="00485F28">
        <w:rPr>
          <w:rFonts w:ascii="Arial" w:hAnsi="Arial" w:cs="Arial"/>
          <w:sz w:val="24"/>
          <w:szCs w:val="24"/>
        </w:rPr>
        <w:t>Su tenor literal es el que sigue:</w:t>
      </w:r>
      <w:r w:rsidR="00485F28" w:rsidRPr="00485F28">
        <w:rPr>
          <w:rFonts w:ascii="Arial" w:hAnsi="Arial" w:cs="Arial"/>
          <w:color w:val="FF0000"/>
          <w:sz w:val="24"/>
          <w:szCs w:val="24"/>
        </w:rPr>
        <w:t xml:space="preserve"> </w:t>
      </w:r>
    </w:p>
    <w:p w14:paraId="5E2082C4" w14:textId="77777777" w:rsidR="00485F28" w:rsidRPr="00485F28" w:rsidRDefault="00485F28" w:rsidP="00485F28">
      <w:pPr>
        <w:spacing w:after="0" w:line="360" w:lineRule="auto"/>
        <w:jc w:val="both"/>
        <w:rPr>
          <w:rFonts w:ascii="Arial" w:hAnsi="Arial" w:cs="Arial"/>
          <w:color w:val="FF0000"/>
          <w:sz w:val="24"/>
          <w:szCs w:val="24"/>
        </w:rPr>
      </w:pPr>
    </w:p>
    <w:p w14:paraId="45FBFBB4" w14:textId="77777777" w:rsidR="00485F28" w:rsidRPr="00D40886" w:rsidRDefault="00485F28" w:rsidP="00485F28">
      <w:pPr>
        <w:spacing w:after="0" w:line="360" w:lineRule="auto"/>
        <w:ind w:left="708"/>
        <w:jc w:val="both"/>
        <w:rPr>
          <w:rFonts w:ascii="Arial" w:hAnsi="Arial" w:cs="Arial"/>
          <w:i/>
          <w:sz w:val="24"/>
          <w:szCs w:val="24"/>
        </w:rPr>
      </w:pPr>
      <w:r w:rsidRPr="00D40886">
        <w:rPr>
          <w:rFonts w:ascii="Arial" w:hAnsi="Arial" w:cs="Arial"/>
          <w:bCs/>
          <w:i/>
          <w:sz w:val="24"/>
          <w:szCs w:val="24"/>
        </w:rPr>
        <w:t>“1.</w:t>
      </w:r>
      <w:r w:rsidRPr="00D40886">
        <w:rPr>
          <w:rStyle w:val="apple-converted-space"/>
          <w:rFonts w:ascii="Arial" w:hAnsi="Arial" w:cs="Arial"/>
          <w:bCs/>
          <w:i/>
          <w:iCs/>
          <w:sz w:val="24"/>
          <w:szCs w:val="24"/>
        </w:rPr>
        <w:t> </w:t>
      </w:r>
      <w:r w:rsidRPr="00D40886">
        <w:rPr>
          <w:rFonts w:ascii="Arial" w:hAnsi="Arial" w:cs="Arial"/>
          <w:i/>
          <w:sz w:val="24"/>
          <w:szCs w:val="24"/>
        </w:rPr>
        <w:t xml:space="preserve">Los extranjeros que sean detectados en la línea fronteriza de la demarcación territorial de Ceuta o Melilla mientras intentan superar los elementos de contención fronterizos para cruzar irregularmente la frontera podrán ser rechazados a fin de impedir su entrada ilegal en España.   </w:t>
      </w:r>
    </w:p>
    <w:p w14:paraId="6EF40E24" w14:textId="34CA5B3F" w:rsidR="00485F28" w:rsidRPr="00D40886" w:rsidRDefault="00485F28" w:rsidP="00485F28">
      <w:pPr>
        <w:spacing w:after="0" w:line="360" w:lineRule="auto"/>
        <w:ind w:left="708"/>
        <w:jc w:val="both"/>
        <w:rPr>
          <w:rFonts w:ascii="Arial" w:hAnsi="Arial" w:cs="Arial"/>
          <w:i/>
          <w:sz w:val="24"/>
          <w:szCs w:val="24"/>
        </w:rPr>
      </w:pPr>
      <w:r w:rsidRPr="00D40886">
        <w:rPr>
          <w:rFonts w:ascii="Arial" w:hAnsi="Arial" w:cs="Arial"/>
          <w:bCs/>
          <w:i/>
          <w:sz w:val="24"/>
          <w:szCs w:val="24"/>
        </w:rPr>
        <w:t>2.</w:t>
      </w:r>
      <w:r w:rsidRPr="00D40886">
        <w:rPr>
          <w:rStyle w:val="apple-converted-space"/>
          <w:rFonts w:ascii="Arial" w:hAnsi="Arial" w:cs="Arial"/>
          <w:bCs/>
          <w:i/>
          <w:iCs/>
          <w:sz w:val="24"/>
          <w:szCs w:val="24"/>
        </w:rPr>
        <w:t> </w:t>
      </w:r>
      <w:r w:rsidRPr="00D40886">
        <w:rPr>
          <w:rFonts w:ascii="Arial" w:hAnsi="Arial" w:cs="Arial"/>
          <w:i/>
          <w:sz w:val="24"/>
          <w:szCs w:val="24"/>
        </w:rPr>
        <w:t>En todo caso, el rechazo se realizará respetando la normativa internacional de derechos humanos y de protección internacion</w:t>
      </w:r>
      <w:r>
        <w:rPr>
          <w:rFonts w:ascii="Arial" w:hAnsi="Arial" w:cs="Arial"/>
          <w:i/>
          <w:sz w:val="24"/>
          <w:szCs w:val="24"/>
        </w:rPr>
        <w:t xml:space="preserve">al de la que España es parte.  </w:t>
      </w:r>
    </w:p>
    <w:p w14:paraId="23CF6E8B" w14:textId="5A762FE9" w:rsidR="00485F28" w:rsidRDefault="00485F28" w:rsidP="00485F28">
      <w:pPr>
        <w:spacing w:after="0" w:line="360" w:lineRule="auto"/>
        <w:ind w:left="708"/>
        <w:jc w:val="both"/>
        <w:rPr>
          <w:rFonts w:ascii="Arial" w:hAnsi="Arial" w:cs="Arial"/>
          <w:i/>
          <w:sz w:val="24"/>
          <w:szCs w:val="24"/>
        </w:rPr>
      </w:pPr>
      <w:r w:rsidRPr="00D40886">
        <w:rPr>
          <w:rFonts w:ascii="Arial" w:hAnsi="Arial" w:cs="Arial"/>
          <w:i/>
          <w:sz w:val="24"/>
          <w:szCs w:val="24"/>
        </w:rPr>
        <w:t xml:space="preserve"> </w:t>
      </w:r>
      <w:r w:rsidRPr="00D40886">
        <w:rPr>
          <w:rFonts w:ascii="Arial" w:hAnsi="Arial" w:cs="Arial"/>
          <w:bCs/>
          <w:i/>
          <w:sz w:val="24"/>
          <w:szCs w:val="24"/>
        </w:rPr>
        <w:t>3.</w:t>
      </w:r>
      <w:r w:rsidRPr="00D40886">
        <w:rPr>
          <w:rStyle w:val="apple-converted-space"/>
          <w:rFonts w:ascii="Arial" w:hAnsi="Arial" w:cs="Arial"/>
          <w:bCs/>
          <w:i/>
          <w:iCs/>
          <w:sz w:val="24"/>
          <w:szCs w:val="24"/>
        </w:rPr>
        <w:t> </w:t>
      </w:r>
      <w:r w:rsidRPr="00D40886">
        <w:rPr>
          <w:rFonts w:ascii="Arial" w:hAnsi="Arial" w:cs="Arial"/>
          <w:i/>
          <w:sz w:val="24"/>
          <w:szCs w:val="24"/>
        </w:rPr>
        <w:t xml:space="preserve">Las solicitudes de protección internacional se formalizarán en los lugares habilitados al efecto en los pasos fronterizos y se tramitarán </w:t>
      </w:r>
      <w:r w:rsidRPr="00D40886">
        <w:rPr>
          <w:rFonts w:ascii="Arial" w:hAnsi="Arial" w:cs="Arial"/>
          <w:i/>
          <w:sz w:val="24"/>
          <w:szCs w:val="24"/>
        </w:rPr>
        <w:lastRenderedPageBreak/>
        <w:t xml:space="preserve">conforme a lo establecido en la normativa en materia de protección internacional”. </w:t>
      </w:r>
    </w:p>
    <w:p w14:paraId="0318DD2F" w14:textId="77777777" w:rsidR="00162B60" w:rsidRDefault="00162B60" w:rsidP="00485F28">
      <w:pPr>
        <w:spacing w:after="0" w:line="360" w:lineRule="auto"/>
        <w:ind w:left="708"/>
        <w:jc w:val="both"/>
        <w:rPr>
          <w:rFonts w:ascii="Arial" w:hAnsi="Arial" w:cs="Arial"/>
          <w:i/>
          <w:sz w:val="24"/>
          <w:szCs w:val="24"/>
        </w:rPr>
      </w:pPr>
    </w:p>
    <w:p w14:paraId="5B6B8019" w14:textId="596632E0" w:rsidR="00447C23" w:rsidRPr="00485F28" w:rsidRDefault="00485F28" w:rsidP="00485F28">
      <w:pPr>
        <w:spacing w:after="0" w:line="360" w:lineRule="auto"/>
        <w:jc w:val="both"/>
        <w:rPr>
          <w:rFonts w:ascii="Arial" w:hAnsi="Arial" w:cs="Arial"/>
          <w:sz w:val="24"/>
          <w:szCs w:val="24"/>
        </w:rPr>
      </w:pPr>
      <w:r>
        <w:rPr>
          <w:rFonts w:ascii="Arial" w:hAnsi="Arial" w:cs="Arial"/>
          <w:sz w:val="24"/>
          <w:szCs w:val="24"/>
        </w:rPr>
        <w:t xml:space="preserve">Con este precepto </w:t>
      </w:r>
      <w:r w:rsidR="000F510D">
        <w:rPr>
          <w:rFonts w:ascii="Arial" w:hAnsi="Arial" w:cs="Arial"/>
          <w:sz w:val="24"/>
          <w:szCs w:val="24"/>
        </w:rPr>
        <w:t xml:space="preserve">se articula </w:t>
      </w:r>
      <w:r>
        <w:rPr>
          <w:rFonts w:ascii="Arial" w:hAnsi="Arial" w:cs="Arial"/>
          <w:sz w:val="24"/>
          <w:szCs w:val="24"/>
        </w:rPr>
        <w:t>un procedimiento de devolución para afrontar la singularidad geográfica y fronteriza de las ciudades autónomas de Ceuta y Melilla, que justifica</w:t>
      </w:r>
      <w:r w:rsidR="00960EF9">
        <w:rPr>
          <w:rFonts w:ascii="Arial" w:hAnsi="Arial" w:cs="Arial"/>
          <w:sz w:val="24"/>
          <w:szCs w:val="24"/>
        </w:rPr>
        <w:t xml:space="preserve"> un r</w:t>
      </w:r>
      <w:r w:rsidR="00AC7A1D">
        <w:rPr>
          <w:rFonts w:ascii="Arial" w:hAnsi="Arial" w:cs="Arial"/>
          <w:sz w:val="24"/>
          <w:szCs w:val="24"/>
        </w:rPr>
        <w:t>égimen específico que permita</w:t>
      </w:r>
      <w:r>
        <w:rPr>
          <w:rFonts w:ascii="Arial" w:hAnsi="Arial" w:cs="Arial"/>
          <w:sz w:val="24"/>
          <w:szCs w:val="24"/>
        </w:rPr>
        <w:t xml:space="preserve"> rechazar en fronter</w:t>
      </w:r>
      <w:r w:rsidR="00960EF9">
        <w:rPr>
          <w:rFonts w:ascii="Arial" w:hAnsi="Arial" w:cs="Arial"/>
          <w:sz w:val="24"/>
          <w:szCs w:val="24"/>
        </w:rPr>
        <w:t xml:space="preserve">a </w:t>
      </w:r>
      <w:r w:rsidR="00AC7A1D">
        <w:rPr>
          <w:rFonts w:ascii="Arial" w:hAnsi="Arial" w:cs="Arial"/>
          <w:sz w:val="24"/>
          <w:szCs w:val="24"/>
        </w:rPr>
        <w:t>a los extranjeros que intentan</w:t>
      </w:r>
      <w:r>
        <w:rPr>
          <w:rFonts w:ascii="Arial" w:hAnsi="Arial" w:cs="Arial"/>
          <w:sz w:val="24"/>
          <w:szCs w:val="24"/>
        </w:rPr>
        <w:t xml:space="preserve"> entra</w:t>
      </w:r>
      <w:r w:rsidR="00960EF9">
        <w:rPr>
          <w:rFonts w:ascii="Arial" w:hAnsi="Arial" w:cs="Arial"/>
          <w:sz w:val="24"/>
          <w:szCs w:val="24"/>
        </w:rPr>
        <w:t>r ilegalmente, bien cruzando sus</w:t>
      </w:r>
      <w:r>
        <w:rPr>
          <w:rFonts w:ascii="Arial" w:hAnsi="Arial" w:cs="Arial"/>
          <w:sz w:val="24"/>
          <w:szCs w:val="24"/>
        </w:rPr>
        <w:t xml:space="preserve"> vallas</w:t>
      </w:r>
      <w:r w:rsidR="00960EF9">
        <w:rPr>
          <w:rFonts w:ascii="Arial" w:hAnsi="Arial" w:cs="Arial"/>
          <w:sz w:val="24"/>
          <w:szCs w:val="24"/>
        </w:rPr>
        <w:t xml:space="preserve"> fronterizas</w:t>
      </w:r>
      <w:r>
        <w:rPr>
          <w:rFonts w:ascii="Arial" w:hAnsi="Arial" w:cs="Arial"/>
          <w:sz w:val="24"/>
          <w:szCs w:val="24"/>
        </w:rPr>
        <w:t xml:space="preserve"> o arribando en embarcaciones a las costas de s</w:t>
      </w:r>
      <w:r w:rsidR="00960EF9">
        <w:rPr>
          <w:rFonts w:ascii="Arial" w:hAnsi="Arial" w:cs="Arial"/>
          <w:sz w:val="24"/>
          <w:szCs w:val="24"/>
        </w:rPr>
        <w:t>oberanía española.  Se introdujo así</w:t>
      </w:r>
      <w:r>
        <w:rPr>
          <w:rFonts w:ascii="Arial" w:hAnsi="Arial" w:cs="Arial"/>
          <w:sz w:val="24"/>
          <w:szCs w:val="24"/>
        </w:rPr>
        <w:t xml:space="preserve"> </w:t>
      </w:r>
      <w:r w:rsidR="00447C23">
        <w:rPr>
          <w:rFonts w:ascii="Arial" w:hAnsi="Arial" w:cs="Arial"/>
          <w:sz w:val="24"/>
          <w:szCs w:val="24"/>
        </w:rPr>
        <w:t>“un régimen especial en materia de extranjería para hacer frente a la situación de riesgo que se produce en los perímetros fronterizos de Ceuta y Melilla –frontera exterior de la Unión Europea- por la presión migratoria” (ST</w:t>
      </w:r>
      <w:r w:rsidR="00A46592">
        <w:rPr>
          <w:rFonts w:ascii="Arial" w:hAnsi="Arial" w:cs="Arial"/>
          <w:sz w:val="24"/>
          <w:szCs w:val="24"/>
        </w:rPr>
        <w:t xml:space="preserve">C 172/2020, FJ 8.B), dando </w:t>
      </w:r>
      <w:r w:rsidR="00AC7A1D">
        <w:rPr>
          <w:rFonts w:ascii="Arial" w:hAnsi="Arial" w:cs="Arial"/>
          <w:sz w:val="24"/>
          <w:szCs w:val="24"/>
        </w:rPr>
        <w:t xml:space="preserve">respaldo normativo </w:t>
      </w:r>
      <w:r w:rsidR="00447C23">
        <w:rPr>
          <w:rFonts w:ascii="Arial" w:hAnsi="Arial" w:cs="Arial"/>
          <w:sz w:val="24"/>
          <w:szCs w:val="24"/>
        </w:rPr>
        <w:t xml:space="preserve">a </w:t>
      </w:r>
      <w:r w:rsidR="00FC6FD5">
        <w:rPr>
          <w:rFonts w:ascii="Arial" w:hAnsi="Arial" w:cs="Arial"/>
          <w:sz w:val="24"/>
          <w:szCs w:val="24"/>
        </w:rPr>
        <w:t>las devoluciones inmediat</w:t>
      </w:r>
      <w:r w:rsidR="009D50CF">
        <w:rPr>
          <w:rFonts w:ascii="Arial" w:hAnsi="Arial" w:cs="Arial"/>
          <w:sz w:val="24"/>
          <w:szCs w:val="24"/>
        </w:rPr>
        <w:t xml:space="preserve">as de inmigrantes por parte de </w:t>
      </w:r>
      <w:r w:rsidR="00FC6FD5">
        <w:rPr>
          <w:rFonts w:ascii="Arial" w:hAnsi="Arial" w:cs="Arial"/>
          <w:sz w:val="24"/>
          <w:szCs w:val="24"/>
        </w:rPr>
        <w:t>las Fuerzas y Cuerpos de Seguridad</w:t>
      </w:r>
      <w:r w:rsidR="00AC7A1D">
        <w:rPr>
          <w:rFonts w:ascii="Arial" w:hAnsi="Arial" w:cs="Arial"/>
          <w:sz w:val="24"/>
          <w:szCs w:val="24"/>
        </w:rPr>
        <w:t xml:space="preserve"> que se venían realizando en la práctica</w:t>
      </w:r>
      <w:r w:rsidR="00FC6FD5">
        <w:rPr>
          <w:rFonts w:ascii="Arial" w:hAnsi="Arial" w:cs="Arial"/>
          <w:sz w:val="24"/>
          <w:szCs w:val="24"/>
        </w:rPr>
        <w:t xml:space="preserve">. </w:t>
      </w:r>
      <w:r w:rsidR="00960EF9">
        <w:rPr>
          <w:rFonts w:ascii="Arial" w:hAnsi="Arial" w:cs="Arial"/>
          <w:sz w:val="24"/>
          <w:szCs w:val="24"/>
        </w:rPr>
        <w:t xml:space="preserve"> Tales devoluciones son</w:t>
      </w:r>
      <w:r w:rsidR="00AC7A1D">
        <w:rPr>
          <w:rFonts w:ascii="Arial" w:hAnsi="Arial" w:cs="Arial"/>
          <w:sz w:val="24"/>
          <w:szCs w:val="24"/>
        </w:rPr>
        <w:t xml:space="preserve"> </w:t>
      </w:r>
      <w:r w:rsidR="00447C23">
        <w:rPr>
          <w:rFonts w:ascii="Arial" w:hAnsi="Arial" w:cs="Arial"/>
          <w:sz w:val="24"/>
          <w:szCs w:val="24"/>
        </w:rPr>
        <w:t>actuaciones materiales de vigilancia fronteriza</w:t>
      </w:r>
      <w:r w:rsidR="00AC7A1D">
        <w:rPr>
          <w:rFonts w:ascii="Arial" w:hAnsi="Arial" w:cs="Arial"/>
          <w:sz w:val="24"/>
          <w:szCs w:val="24"/>
        </w:rPr>
        <w:t xml:space="preserve"> orientadas a reestablecer de forma inmediata la legalidad transgredida por el intento de cruce irregular de la frontera</w:t>
      </w:r>
      <w:r w:rsidR="00447C23">
        <w:rPr>
          <w:rFonts w:ascii="Arial" w:hAnsi="Arial" w:cs="Arial"/>
          <w:sz w:val="24"/>
          <w:szCs w:val="24"/>
        </w:rPr>
        <w:t xml:space="preserve">. </w:t>
      </w:r>
    </w:p>
    <w:p w14:paraId="77D894AC" w14:textId="77777777" w:rsidR="007C1833" w:rsidRDefault="007C1833" w:rsidP="00447C23">
      <w:pPr>
        <w:spacing w:after="0" w:line="360" w:lineRule="auto"/>
        <w:jc w:val="both"/>
        <w:rPr>
          <w:rFonts w:ascii="Arial" w:hAnsi="Arial" w:cs="Arial"/>
          <w:sz w:val="24"/>
          <w:szCs w:val="24"/>
        </w:rPr>
      </w:pPr>
    </w:p>
    <w:p w14:paraId="2562CD9F" w14:textId="60032B70" w:rsidR="00ED66F2" w:rsidRDefault="00AB309E" w:rsidP="00447C23">
      <w:pPr>
        <w:spacing w:after="0" w:line="360" w:lineRule="auto"/>
        <w:jc w:val="both"/>
        <w:rPr>
          <w:rFonts w:ascii="Arial" w:hAnsi="Arial" w:cs="Arial"/>
          <w:sz w:val="24"/>
          <w:szCs w:val="24"/>
        </w:rPr>
      </w:pPr>
      <w:r>
        <w:rPr>
          <w:rFonts w:ascii="Arial" w:hAnsi="Arial" w:cs="Arial"/>
          <w:sz w:val="24"/>
          <w:szCs w:val="24"/>
        </w:rPr>
        <w:t xml:space="preserve">En los apartados segundo y tercero </w:t>
      </w:r>
      <w:r w:rsidR="007C1833">
        <w:rPr>
          <w:rFonts w:ascii="Arial" w:hAnsi="Arial" w:cs="Arial"/>
          <w:sz w:val="24"/>
          <w:szCs w:val="24"/>
        </w:rPr>
        <w:t xml:space="preserve">de la disposición comentada </w:t>
      </w:r>
      <w:r>
        <w:rPr>
          <w:rFonts w:ascii="Arial" w:hAnsi="Arial" w:cs="Arial"/>
          <w:sz w:val="24"/>
          <w:szCs w:val="24"/>
        </w:rPr>
        <w:t xml:space="preserve">se </w:t>
      </w:r>
      <w:r w:rsidR="007C1833">
        <w:rPr>
          <w:rFonts w:ascii="Arial" w:hAnsi="Arial" w:cs="Arial"/>
          <w:sz w:val="24"/>
          <w:szCs w:val="24"/>
        </w:rPr>
        <w:t xml:space="preserve">reseña </w:t>
      </w:r>
      <w:r>
        <w:rPr>
          <w:rFonts w:ascii="Arial" w:hAnsi="Arial" w:cs="Arial"/>
          <w:sz w:val="24"/>
          <w:szCs w:val="24"/>
        </w:rPr>
        <w:t xml:space="preserve">respectivamente </w:t>
      </w:r>
      <w:r w:rsidR="004D025F">
        <w:rPr>
          <w:rFonts w:ascii="Arial" w:hAnsi="Arial" w:cs="Arial"/>
          <w:sz w:val="24"/>
          <w:szCs w:val="24"/>
        </w:rPr>
        <w:t>que el rechazo debe</w:t>
      </w:r>
      <w:r w:rsidR="007C1833">
        <w:rPr>
          <w:rFonts w:ascii="Arial" w:hAnsi="Arial" w:cs="Arial"/>
          <w:sz w:val="24"/>
          <w:szCs w:val="24"/>
        </w:rPr>
        <w:t xml:space="preserve"> realizarse respetando la normativa internacional de derechos humanos y de protección internacional de la que España es parte</w:t>
      </w:r>
      <w:r>
        <w:rPr>
          <w:rFonts w:ascii="Arial" w:hAnsi="Arial" w:cs="Arial"/>
          <w:sz w:val="24"/>
          <w:szCs w:val="24"/>
        </w:rPr>
        <w:t xml:space="preserve"> y que las solicitudes de protección internacional se </w:t>
      </w:r>
      <w:r w:rsidR="004D025F">
        <w:rPr>
          <w:rFonts w:ascii="Arial" w:hAnsi="Arial" w:cs="Arial"/>
          <w:sz w:val="24"/>
          <w:szCs w:val="24"/>
        </w:rPr>
        <w:t>han de</w:t>
      </w:r>
      <w:r w:rsidR="0064079D">
        <w:rPr>
          <w:rFonts w:ascii="Arial" w:hAnsi="Arial" w:cs="Arial"/>
          <w:sz w:val="24"/>
          <w:szCs w:val="24"/>
        </w:rPr>
        <w:t xml:space="preserve"> formalizar</w:t>
      </w:r>
      <w:r>
        <w:rPr>
          <w:rFonts w:ascii="Arial" w:hAnsi="Arial" w:cs="Arial"/>
          <w:sz w:val="24"/>
          <w:szCs w:val="24"/>
        </w:rPr>
        <w:t xml:space="preserve"> en los lugares habilitados en los puestos fronterizos</w:t>
      </w:r>
      <w:r w:rsidR="0064079D">
        <w:rPr>
          <w:rFonts w:ascii="Arial" w:hAnsi="Arial" w:cs="Arial"/>
          <w:sz w:val="24"/>
          <w:szCs w:val="24"/>
        </w:rPr>
        <w:t xml:space="preserve"> de Ceuta y Melilla</w:t>
      </w:r>
      <w:r w:rsidR="007C1833">
        <w:rPr>
          <w:rFonts w:ascii="Arial" w:hAnsi="Arial" w:cs="Arial"/>
          <w:sz w:val="24"/>
          <w:szCs w:val="24"/>
        </w:rPr>
        <w:t xml:space="preserve">. </w:t>
      </w:r>
      <w:r>
        <w:rPr>
          <w:rFonts w:ascii="Arial" w:hAnsi="Arial" w:cs="Arial"/>
          <w:sz w:val="24"/>
          <w:szCs w:val="24"/>
        </w:rPr>
        <w:t xml:space="preserve">La plasmación legal de ambas indicaciones, aun siendo conveniente, no resultaba imprescindible porque el respeto de la legislación internacional en materia de derechos ratificada por España es </w:t>
      </w:r>
      <w:r w:rsidR="00AF204E">
        <w:rPr>
          <w:rFonts w:ascii="Arial" w:hAnsi="Arial" w:cs="Arial"/>
          <w:sz w:val="24"/>
          <w:szCs w:val="24"/>
        </w:rPr>
        <w:t>obligado</w:t>
      </w:r>
      <w:r>
        <w:rPr>
          <w:rFonts w:ascii="Arial" w:hAnsi="Arial" w:cs="Arial"/>
          <w:sz w:val="24"/>
          <w:szCs w:val="24"/>
        </w:rPr>
        <w:t xml:space="preserve"> y esta disposición no excepciona el </w:t>
      </w:r>
      <w:r w:rsidR="0064079D">
        <w:rPr>
          <w:rFonts w:ascii="Arial" w:hAnsi="Arial" w:cs="Arial"/>
          <w:sz w:val="24"/>
          <w:szCs w:val="24"/>
        </w:rPr>
        <w:t>régimen jurídico del derecho de asilo.</w:t>
      </w:r>
      <w:r w:rsidR="00ED66F2">
        <w:rPr>
          <w:rFonts w:ascii="Arial" w:hAnsi="Arial" w:cs="Arial"/>
          <w:sz w:val="24"/>
          <w:szCs w:val="24"/>
        </w:rPr>
        <w:t xml:space="preserve"> Sin embargo, los difusos perfiles del rechazo en frontera</w:t>
      </w:r>
      <w:r w:rsidR="0002472A">
        <w:rPr>
          <w:rFonts w:ascii="Arial" w:hAnsi="Arial" w:cs="Arial"/>
          <w:sz w:val="24"/>
          <w:szCs w:val="24"/>
        </w:rPr>
        <w:t xml:space="preserve"> suscit</w:t>
      </w:r>
      <w:r w:rsidR="00E13FA6">
        <w:rPr>
          <w:rFonts w:ascii="Arial" w:hAnsi="Arial" w:cs="Arial"/>
          <w:sz w:val="24"/>
          <w:szCs w:val="24"/>
        </w:rPr>
        <w:t>aron</w:t>
      </w:r>
      <w:r w:rsidR="0002472A">
        <w:rPr>
          <w:rFonts w:ascii="Arial" w:hAnsi="Arial" w:cs="Arial"/>
          <w:sz w:val="24"/>
          <w:szCs w:val="24"/>
        </w:rPr>
        <w:t xml:space="preserve"> </w:t>
      </w:r>
      <w:r w:rsidR="00ED66F2">
        <w:rPr>
          <w:rFonts w:ascii="Arial" w:hAnsi="Arial" w:cs="Arial"/>
          <w:sz w:val="24"/>
          <w:szCs w:val="24"/>
        </w:rPr>
        <w:t xml:space="preserve">dudas </w:t>
      </w:r>
      <w:r w:rsidR="0002472A">
        <w:rPr>
          <w:rFonts w:ascii="Arial" w:hAnsi="Arial" w:cs="Arial"/>
          <w:sz w:val="24"/>
          <w:szCs w:val="24"/>
        </w:rPr>
        <w:t xml:space="preserve">y críticas </w:t>
      </w:r>
      <w:r w:rsidR="00ED66F2">
        <w:rPr>
          <w:rFonts w:ascii="Arial" w:hAnsi="Arial" w:cs="Arial"/>
          <w:sz w:val="24"/>
          <w:szCs w:val="24"/>
        </w:rPr>
        <w:t>sobre</w:t>
      </w:r>
      <w:r w:rsidR="0002472A">
        <w:rPr>
          <w:rFonts w:ascii="Arial" w:hAnsi="Arial" w:cs="Arial"/>
          <w:sz w:val="24"/>
          <w:szCs w:val="24"/>
        </w:rPr>
        <w:t xml:space="preserve"> su</w:t>
      </w:r>
      <w:r w:rsidR="00960EF9">
        <w:rPr>
          <w:rFonts w:ascii="Arial" w:hAnsi="Arial" w:cs="Arial"/>
          <w:sz w:val="24"/>
          <w:szCs w:val="24"/>
        </w:rPr>
        <w:t xml:space="preserve"> adecuación </w:t>
      </w:r>
      <w:r w:rsidR="00DE1D5A">
        <w:rPr>
          <w:rFonts w:ascii="Arial" w:hAnsi="Arial" w:cs="Arial"/>
          <w:sz w:val="24"/>
          <w:szCs w:val="24"/>
        </w:rPr>
        <w:t>a la legislación internacional en materia de derechos humanos</w:t>
      </w:r>
      <w:r w:rsidR="0002472A">
        <w:rPr>
          <w:rFonts w:ascii="Arial" w:hAnsi="Arial" w:cs="Arial"/>
          <w:sz w:val="24"/>
          <w:szCs w:val="24"/>
        </w:rPr>
        <w:t xml:space="preserve">, al entenderse que su </w:t>
      </w:r>
      <w:r w:rsidR="00E13FA6">
        <w:rPr>
          <w:rFonts w:ascii="Arial" w:hAnsi="Arial" w:cs="Arial"/>
          <w:sz w:val="24"/>
          <w:szCs w:val="24"/>
        </w:rPr>
        <w:t>aplicación vulnera</w:t>
      </w:r>
      <w:r w:rsidR="00960EF9">
        <w:rPr>
          <w:rFonts w:ascii="Arial" w:hAnsi="Arial" w:cs="Arial"/>
          <w:sz w:val="24"/>
          <w:szCs w:val="24"/>
        </w:rPr>
        <w:t xml:space="preserve"> </w:t>
      </w:r>
      <w:r w:rsidR="00ED66F2">
        <w:rPr>
          <w:rFonts w:ascii="Arial" w:hAnsi="Arial" w:cs="Arial"/>
          <w:sz w:val="24"/>
          <w:szCs w:val="24"/>
        </w:rPr>
        <w:t xml:space="preserve">la prohibición de expulsiones colectivas </w:t>
      </w:r>
      <w:r w:rsidR="0002472A">
        <w:rPr>
          <w:rFonts w:ascii="Arial" w:hAnsi="Arial" w:cs="Arial"/>
          <w:sz w:val="24"/>
          <w:szCs w:val="24"/>
        </w:rPr>
        <w:t xml:space="preserve">e incumple </w:t>
      </w:r>
      <w:r w:rsidR="00ED66F2">
        <w:rPr>
          <w:rFonts w:ascii="Arial" w:hAnsi="Arial" w:cs="Arial"/>
          <w:sz w:val="24"/>
          <w:szCs w:val="24"/>
        </w:rPr>
        <w:t xml:space="preserve">el principio de no devolución, </w:t>
      </w:r>
      <w:r w:rsidR="0002472A">
        <w:rPr>
          <w:rFonts w:ascii="Arial" w:hAnsi="Arial" w:cs="Arial"/>
          <w:sz w:val="24"/>
          <w:szCs w:val="24"/>
        </w:rPr>
        <w:t xml:space="preserve">por lo que </w:t>
      </w:r>
      <w:r w:rsidR="00ED66F2">
        <w:rPr>
          <w:rFonts w:ascii="Arial" w:hAnsi="Arial" w:cs="Arial"/>
          <w:sz w:val="24"/>
          <w:szCs w:val="24"/>
        </w:rPr>
        <w:t>tales precisiones</w:t>
      </w:r>
      <w:r w:rsidR="0002472A">
        <w:rPr>
          <w:rFonts w:ascii="Arial" w:hAnsi="Arial" w:cs="Arial"/>
          <w:sz w:val="24"/>
          <w:szCs w:val="24"/>
        </w:rPr>
        <w:t xml:space="preserve"> eran </w:t>
      </w:r>
      <w:r w:rsidR="00960EF9">
        <w:rPr>
          <w:rFonts w:ascii="Arial" w:hAnsi="Arial" w:cs="Arial"/>
          <w:sz w:val="24"/>
          <w:szCs w:val="24"/>
        </w:rPr>
        <w:t xml:space="preserve">más que </w:t>
      </w:r>
      <w:r w:rsidR="0002472A">
        <w:rPr>
          <w:rFonts w:ascii="Arial" w:hAnsi="Arial" w:cs="Arial"/>
          <w:sz w:val="24"/>
          <w:szCs w:val="24"/>
        </w:rPr>
        <w:t>aconsejables</w:t>
      </w:r>
      <w:r w:rsidR="00ED66F2">
        <w:rPr>
          <w:rFonts w:ascii="Arial" w:hAnsi="Arial" w:cs="Arial"/>
          <w:sz w:val="24"/>
          <w:szCs w:val="24"/>
        </w:rPr>
        <w:t>.</w:t>
      </w:r>
    </w:p>
    <w:p w14:paraId="6CF75CEF" w14:textId="77777777" w:rsidR="00410131" w:rsidRDefault="00410131" w:rsidP="00447C23">
      <w:pPr>
        <w:spacing w:after="0" w:line="360" w:lineRule="auto"/>
        <w:jc w:val="both"/>
        <w:rPr>
          <w:rFonts w:ascii="Arial" w:hAnsi="Arial" w:cs="Arial"/>
          <w:sz w:val="24"/>
          <w:szCs w:val="24"/>
        </w:rPr>
      </w:pPr>
    </w:p>
    <w:p w14:paraId="666EC4BB" w14:textId="3A807438" w:rsidR="00447C23" w:rsidRPr="00FB2C6E" w:rsidRDefault="0002472A" w:rsidP="00447C23">
      <w:pPr>
        <w:spacing w:after="0" w:line="360" w:lineRule="auto"/>
        <w:jc w:val="both"/>
        <w:rPr>
          <w:rFonts w:ascii="Arial" w:hAnsi="Arial" w:cs="Arial"/>
          <w:bCs/>
          <w:sz w:val="24"/>
          <w:szCs w:val="24"/>
        </w:rPr>
      </w:pPr>
      <w:r>
        <w:rPr>
          <w:rFonts w:ascii="Arial" w:hAnsi="Arial" w:cs="Arial"/>
          <w:sz w:val="24"/>
          <w:szCs w:val="24"/>
        </w:rPr>
        <w:lastRenderedPageBreak/>
        <w:t>L</w:t>
      </w:r>
      <w:r w:rsidR="00ED66F2">
        <w:rPr>
          <w:rFonts w:ascii="Arial" w:hAnsi="Arial" w:cs="Arial"/>
          <w:sz w:val="24"/>
          <w:szCs w:val="24"/>
        </w:rPr>
        <w:t>a interpretación de la</w:t>
      </w:r>
      <w:r w:rsidR="00447C23">
        <w:rPr>
          <w:rFonts w:ascii="Arial" w:hAnsi="Arial" w:cs="Arial"/>
          <w:sz w:val="24"/>
          <w:szCs w:val="24"/>
        </w:rPr>
        <w:t xml:space="preserve"> disposición </w:t>
      </w:r>
      <w:r w:rsidR="00ED66F2">
        <w:rPr>
          <w:rFonts w:ascii="Arial" w:hAnsi="Arial" w:cs="Arial"/>
          <w:sz w:val="24"/>
          <w:szCs w:val="24"/>
        </w:rPr>
        <w:t xml:space="preserve">adicional décima de la ley de </w:t>
      </w:r>
      <w:r w:rsidR="00E15207">
        <w:rPr>
          <w:rFonts w:ascii="Arial" w:hAnsi="Arial" w:cs="Arial"/>
          <w:sz w:val="24"/>
          <w:szCs w:val="24"/>
        </w:rPr>
        <w:t xml:space="preserve">extranjería </w:t>
      </w:r>
      <w:r w:rsidR="00447C23">
        <w:rPr>
          <w:rFonts w:ascii="Arial" w:hAnsi="Arial" w:cs="Arial"/>
          <w:sz w:val="24"/>
          <w:szCs w:val="24"/>
        </w:rPr>
        <w:t>a la luz d</w:t>
      </w:r>
      <w:r w:rsidR="00447C23">
        <w:rPr>
          <w:rFonts w:ascii="Arial" w:hAnsi="Arial" w:cs="Arial"/>
          <w:sz w:val="24"/>
          <w:szCs w:val="24"/>
          <w:shd w:val="clear" w:color="auto" w:fill="FFFFFF"/>
        </w:rPr>
        <w:t xml:space="preserve">el art. 4 del Protocolo n.º 4 al Convenio Europeo de Derechos Humanos, que prohíbe las expulsiones colectivas de extranjeros, </w:t>
      </w:r>
      <w:r w:rsidR="00960EF9">
        <w:rPr>
          <w:rFonts w:ascii="Arial" w:hAnsi="Arial" w:cs="Arial"/>
          <w:sz w:val="24"/>
          <w:szCs w:val="24"/>
          <w:shd w:val="clear" w:color="auto" w:fill="FFFFFF"/>
        </w:rPr>
        <w:t xml:space="preserve">tal como exige el art. 10.2 CE, </w:t>
      </w:r>
      <w:r w:rsidR="00447C23">
        <w:rPr>
          <w:rFonts w:ascii="Arial" w:hAnsi="Arial" w:cs="Arial"/>
          <w:sz w:val="24"/>
          <w:szCs w:val="24"/>
          <w:shd w:val="clear" w:color="auto" w:fill="FFFFFF"/>
        </w:rPr>
        <w:t>obliga a entender que deben tratarse de devoluciones forzos</w:t>
      </w:r>
      <w:r w:rsidR="00092F73">
        <w:rPr>
          <w:rFonts w:ascii="Arial" w:hAnsi="Arial" w:cs="Arial"/>
          <w:sz w:val="24"/>
          <w:szCs w:val="24"/>
          <w:shd w:val="clear" w:color="auto" w:fill="FFFFFF"/>
        </w:rPr>
        <w:t xml:space="preserve">as individuales de extranjeros, que no pueden materializarse si no se tiene la certeza de que estará a su alcance la posibilidad de solicitar, si fuera el caso, el asilo, </w:t>
      </w:r>
      <w:r w:rsidR="0064079D">
        <w:rPr>
          <w:rFonts w:ascii="Arial" w:hAnsi="Arial" w:cs="Arial"/>
          <w:sz w:val="24"/>
          <w:szCs w:val="24"/>
          <w:shd w:val="clear" w:color="auto" w:fill="FFFFFF"/>
        </w:rPr>
        <w:t>“que está especialmente vinculado con el principio de “no devolución” que opera, hoy en día, como una garantía aplicable a toda la legislación en materia de extranjería, y cuy</w:t>
      </w:r>
      <w:r w:rsidR="00AF204E">
        <w:rPr>
          <w:rFonts w:ascii="Arial" w:hAnsi="Arial" w:cs="Arial"/>
          <w:sz w:val="24"/>
          <w:szCs w:val="24"/>
          <w:shd w:val="clear" w:color="auto" w:fill="FFFFFF"/>
        </w:rPr>
        <w:t xml:space="preserve">a finalidad es impedir la devolución de una persona a un territorio en el que su vida, integridad o </w:t>
      </w:r>
      <w:r w:rsidR="000716C4">
        <w:rPr>
          <w:rFonts w:ascii="Arial" w:hAnsi="Arial" w:cs="Arial"/>
          <w:sz w:val="24"/>
          <w:szCs w:val="24"/>
          <w:shd w:val="clear" w:color="auto" w:fill="FFFFFF"/>
        </w:rPr>
        <w:t xml:space="preserve">libertad corran peligro” (STC </w:t>
      </w:r>
      <w:r w:rsidR="00FC5F3C">
        <w:rPr>
          <w:rFonts w:ascii="Arial" w:hAnsi="Arial" w:cs="Arial"/>
          <w:sz w:val="24"/>
          <w:szCs w:val="24"/>
          <w:shd w:val="clear" w:color="auto" w:fill="FFFFFF"/>
        </w:rPr>
        <w:t>172/2020, FJ 8.C).</w:t>
      </w:r>
    </w:p>
    <w:p w14:paraId="47AAE706" w14:textId="77777777" w:rsidR="009D50CF" w:rsidRDefault="009D50CF" w:rsidP="00E309D7">
      <w:pPr>
        <w:shd w:val="clear" w:color="auto" w:fill="FFFFFF"/>
        <w:spacing w:after="0" w:line="360" w:lineRule="auto"/>
        <w:jc w:val="both"/>
        <w:rPr>
          <w:rFonts w:ascii="Arial" w:hAnsi="Arial" w:cs="Arial"/>
          <w:sz w:val="24"/>
          <w:szCs w:val="24"/>
          <w:shd w:val="clear" w:color="auto" w:fill="FFFFFF"/>
        </w:rPr>
      </w:pPr>
    </w:p>
    <w:p w14:paraId="6F948F37" w14:textId="00E4FEFC" w:rsidR="00E309D7" w:rsidRDefault="00FC5F3C" w:rsidP="00E309D7">
      <w:pPr>
        <w:shd w:val="clear" w:color="auto" w:fill="FFFFFF"/>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El rechazo en frontera </w:t>
      </w:r>
      <w:r w:rsidR="00E774CC">
        <w:rPr>
          <w:rFonts w:ascii="Arial" w:hAnsi="Arial" w:cs="Arial"/>
          <w:sz w:val="24"/>
          <w:szCs w:val="24"/>
          <w:shd w:val="clear" w:color="auto" w:fill="FFFFFF"/>
        </w:rPr>
        <w:t>es una forma de salida forzosa del país distinta a la expulsión y</w:t>
      </w:r>
      <w:r w:rsidR="003436C1">
        <w:rPr>
          <w:rFonts w:ascii="Arial" w:hAnsi="Arial" w:cs="Arial"/>
          <w:sz w:val="24"/>
          <w:szCs w:val="24"/>
          <w:shd w:val="clear" w:color="auto" w:fill="FFFFFF"/>
        </w:rPr>
        <w:t xml:space="preserve"> el retorno</w:t>
      </w:r>
      <w:r w:rsidR="00E774CC">
        <w:rPr>
          <w:rFonts w:ascii="Arial" w:hAnsi="Arial" w:cs="Arial"/>
          <w:sz w:val="24"/>
          <w:szCs w:val="24"/>
          <w:shd w:val="clear" w:color="auto" w:fill="FFFFFF"/>
        </w:rPr>
        <w:t xml:space="preserve">. </w:t>
      </w:r>
      <w:r w:rsidR="00744518">
        <w:rPr>
          <w:rFonts w:ascii="Arial" w:hAnsi="Arial" w:cs="Arial"/>
          <w:sz w:val="24"/>
          <w:szCs w:val="24"/>
          <w:shd w:val="clear" w:color="auto" w:fill="FFFFFF"/>
        </w:rPr>
        <w:t xml:space="preserve"> </w:t>
      </w:r>
      <w:r w:rsidR="003436C1">
        <w:rPr>
          <w:rFonts w:ascii="Arial" w:hAnsi="Arial" w:cs="Arial"/>
          <w:sz w:val="24"/>
          <w:szCs w:val="24"/>
          <w:shd w:val="clear" w:color="auto" w:fill="FFFFFF"/>
        </w:rPr>
        <w:t>Con relación a</w:t>
      </w:r>
      <w:r w:rsidR="00744518">
        <w:rPr>
          <w:rFonts w:ascii="Arial" w:hAnsi="Arial" w:cs="Arial"/>
          <w:sz w:val="24"/>
          <w:szCs w:val="24"/>
          <w:shd w:val="clear" w:color="auto" w:fill="FFFFFF"/>
        </w:rPr>
        <w:t xml:space="preserve"> la primera,</w:t>
      </w:r>
      <w:r w:rsidR="009D50CF">
        <w:rPr>
          <w:rFonts w:ascii="Arial" w:hAnsi="Arial" w:cs="Arial"/>
          <w:sz w:val="24"/>
          <w:szCs w:val="24"/>
          <w:shd w:val="clear" w:color="auto" w:fill="FFFFFF"/>
        </w:rPr>
        <w:t xml:space="preserve"> </w:t>
      </w:r>
      <w:r w:rsidR="00E309D7">
        <w:rPr>
          <w:rFonts w:ascii="Arial" w:hAnsi="Arial" w:cs="Arial"/>
          <w:sz w:val="24"/>
          <w:szCs w:val="24"/>
          <w:shd w:val="clear" w:color="auto" w:fill="FFFFFF"/>
        </w:rPr>
        <w:t>la expulsión</w:t>
      </w:r>
      <w:r w:rsidR="007B22E7">
        <w:rPr>
          <w:rFonts w:ascii="Arial" w:hAnsi="Arial" w:cs="Arial"/>
          <w:sz w:val="24"/>
          <w:szCs w:val="24"/>
          <w:shd w:val="clear" w:color="auto" w:fill="FFFFFF"/>
        </w:rPr>
        <w:t>, ya por orden judicial o ac</w:t>
      </w:r>
      <w:r w:rsidR="00EB24BA">
        <w:rPr>
          <w:rFonts w:ascii="Arial" w:hAnsi="Arial" w:cs="Arial"/>
          <w:sz w:val="24"/>
          <w:szCs w:val="24"/>
          <w:shd w:val="clear" w:color="auto" w:fill="FFFFFF"/>
        </w:rPr>
        <w:t>o</w:t>
      </w:r>
      <w:r w:rsidR="007B22E7">
        <w:rPr>
          <w:rFonts w:ascii="Arial" w:hAnsi="Arial" w:cs="Arial"/>
          <w:sz w:val="24"/>
          <w:szCs w:val="24"/>
          <w:shd w:val="clear" w:color="auto" w:fill="FFFFFF"/>
        </w:rPr>
        <w:t>rdada por resolución administrativa</w:t>
      </w:r>
      <w:r w:rsidR="009D50CF">
        <w:rPr>
          <w:rFonts w:ascii="Arial" w:hAnsi="Arial" w:cs="Arial"/>
          <w:sz w:val="24"/>
          <w:szCs w:val="24"/>
          <w:shd w:val="clear" w:color="auto" w:fill="FFFFFF"/>
        </w:rPr>
        <w:t xml:space="preserve">, reviste el carácter de sanción </w:t>
      </w:r>
      <w:r w:rsidR="00E309D7">
        <w:rPr>
          <w:rFonts w:ascii="Arial" w:hAnsi="Arial" w:cs="Arial"/>
          <w:sz w:val="24"/>
          <w:szCs w:val="24"/>
          <w:shd w:val="clear" w:color="auto" w:fill="FFFFFF"/>
        </w:rPr>
        <w:t xml:space="preserve">como consecuencia de la comisión de un </w:t>
      </w:r>
      <w:r w:rsidR="004277AC">
        <w:rPr>
          <w:rFonts w:ascii="Arial" w:hAnsi="Arial" w:cs="Arial"/>
          <w:sz w:val="24"/>
          <w:szCs w:val="24"/>
          <w:shd w:val="clear" w:color="auto" w:fill="FFFFFF"/>
        </w:rPr>
        <w:t>ilícito</w:t>
      </w:r>
      <w:r w:rsidR="00495AA5">
        <w:rPr>
          <w:rFonts w:ascii="Arial" w:hAnsi="Arial" w:cs="Arial"/>
          <w:sz w:val="24"/>
          <w:szCs w:val="24"/>
          <w:shd w:val="clear" w:color="auto" w:fill="FFFFFF"/>
        </w:rPr>
        <w:t xml:space="preserve"> (art. 57 LOEX</w:t>
      </w:r>
      <w:r w:rsidR="00744518">
        <w:rPr>
          <w:rFonts w:ascii="Arial" w:hAnsi="Arial" w:cs="Arial"/>
          <w:sz w:val="24"/>
          <w:szCs w:val="24"/>
          <w:shd w:val="clear" w:color="auto" w:fill="FFFFFF"/>
        </w:rPr>
        <w:t>).</w:t>
      </w:r>
      <w:r w:rsidR="004277AC">
        <w:rPr>
          <w:rFonts w:ascii="Arial" w:hAnsi="Arial" w:cs="Arial"/>
          <w:sz w:val="24"/>
          <w:szCs w:val="24"/>
          <w:shd w:val="clear" w:color="auto" w:fill="FFFFFF"/>
        </w:rPr>
        <w:t xml:space="preserve"> Así e</w:t>
      </w:r>
      <w:r w:rsidR="00E309D7">
        <w:rPr>
          <w:rFonts w:ascii="Arial" w:hAnsi="Arial" w:cs="Arial"/>
          <w:sz w:val="24"/>
          <w:szCs w:val="24"/>
          <w:shd w:val="clear" w:color="auto" w:fill="FFFFFF"/>
        </w:rPr>
        <w:t>ncontrars</w:t>
      </w:r>
      <w:r w:rsidR="004277AC">
        <w:rPr>
          <w:rFonts w:ascii="Arial" w:hAnsi="Arial" w:cs="Arial"/>
          <w:sz w:val="24"/>
          <w:szCs w:val="24"/>
          <w:shd w:val="clear" w:color="auto" w:fill="FFFFFF"/>
        </w:rPr>
        <w:t xml:space="preserve">e en España de manera irregular </w:t>
      </w:r>
      <w:r w:rsidR="00744518">
        <w:rPr>
          <w:rFonts w:ascii="Arial" w:hAnsi="Arial" w:cs="Arial"/>
          <w:sz w:val="24"/>
          <w:szCs w:val="24"/>
          <w:shd w:val="clear" w:color="auto" w:fill="FFFFFF"/>
        </w:rPr>
        <w:t xml:space="preserve">por </w:t>
      </w:r>
      <w:r w:rsidR="004277AC">
        <w:rPr>
          <w:rFonts w:ascii="Arial" w:hAnsi="Arial" w:cs="Arial"/>
          <w:sz w:val="24"/>
          <w:szCs w:val="24"/>
          <w:shd w:val="clear" w:color="auto" w:fill="FFFFFF"/>
        </w:rPr>
        <w:t xml:space="preserve">carecer de </w:t>
      </w:r>
      <w:r w:rsidR="007C1833">
        <w:rPr>
          <w:rFonts w:ascii="Arial" w:hAnsi="Arial" w:cs="Arial"/>
          <w:sz w:val="24"/>
          <w:szCs w:val="24"/>
          <w:shd w:val="clear" w:color="auto" w:fill="FFFFFF"/>
        </w:rPr>
        <w:t xml:space="preserve">autorización de residencia </w:t>
      </w:r>
      <w:r w:rsidR="004277AC">
        <w:rPr>
          <w:rFonts w:ascii="Arial" w:hAnsi="Arial" w:cs="Arial"/>
          <w:sz w:val="24"/>
          <w:szCs w:val="24"/>
          <w:shd w:val="clear" w:color="auto" w:fill="FFFFFF"/>
        </w:rPr>
        <w:t>es constitutivo de infracción administrativa</w:t>
      </w:r>
      <w:r w:rsidR="00092F73">
        <w:rPr>
          <w:rFonts w:ascii="Arial" w:hAnsi="Arial" w:cs="Arial"/>
          <w:sz w:val="24"/>
          <w:szCs w:val="24"/>
          <w:shd w:val="clear" w:color="auto" w:fill="FFFFFF"/>
        </w:rPr>
        <w:t xml:space="preserve"> </w:t>
      </w:r>
      <w:r w:rsidR="00495AA5">
        <w:rPr>
          <w:rFonts w:ascii="Arial" w:hAnsi="Arial" w:cs="Arial"/>
          <w:sz w:val="24"/>
          <w:szCs w:val="24"/>
          <w:shd w:val="clear" w:color="auto" w:fill="FFFFFF"/>
        </w:rPr>
        <w:t>grave (art. 53.1.a) LOEX</w:t>
      </w:r>
      <w:r w:rsidR="003436C1">
        <w:rPr>
          <w:rFonts w:ascii="Arial" w:hAnsi="Arial" w:cs="Arial"/>
          <w:sz w:val="24"/>
          <w:szCs w:val="24"/>
          <w:shd w:val="clear" w:color="auto" w:fill="FFFFFF"/>
        </w:rPr>
        <w:t>), que será sancionada con multa, que podrá ser sustituida por la expulsión del territorio español, previa tramitación del expediente administrativo y mediante res</w:t>
      </w:r>
      <w:r w:rsidR="00495AA5">
        <w:rPr>
          <w:rFonts w:ascii="Arial" w:hAnsi="Arial" w:cs="Arial"/>
          <w:sz w:val="24"/>
          <w:szCs w:val="24"/>
          <w:shd w:val="clear" w:color="auto" w:fill="FFFFFF"/>
        </w:rPr>
        <w:t>olución motivada (art. 57.1 LOEX</w:t>
      </w:r>
      <w:r w:rsidR="003436C1">
        <w:rPr>
          <w:rFonts w:ascii="Arial" w:hAnsi="Arial" w:cs="Arial"/>
          <w:sz w:val="24"/>
          <w:szCs w:val="24"/>
          <w:shd w:val="clear" w:color="auto" w:fill="FFFFFF"/>
        </w:rPr>
        <w:t>).</w:t>
      </w:r>
      <w:r w:rsidR="00092F73">
        <w:rPr>
          <w:rFonts w:ascii="Arial" w:hAnsi="Arial" w:cs="Arial"/>
          <w:sz w:val="24"/>
          <w:szCs w:val="24"/>
          <w:shd w:val="clear" w:color="auto" w:fill="FFFFFF"/>
        </w:rPr>
        <w:t xml:space="preserve"> </w:t>
      </w:r>
      <w:r w:rsidR="003436C1">
        <w:rPr>
          <w:rFonts w:ascii="Arial" w:hAnsi="Arial" w:cs="Arial"/>
          <w:sz w:val="24"/>
          <w:szCs w:val="24"/>
          <w:shd w:val="clear" w:color="auto" w:fill="FFFFFF"/>
        </w:rPr>
        <w:t>P</w:t>
      </w:r>
      <w:r w:rsidR="007C1833">
        <w:rPr>
          <w:rFonts w:ascii="Arial" w:hAnsi="Arial" w:cs="Arial"/>
          <w:sz w:val="24"/>
          <w:szCs w:val="24"/>
          <w:shd w:val="clear" w:color="auto" w:fill="FFFFFF"/>
        </w:rPr>
        <w:t xml:space="preserve">or el contrario, </w:t>
      </w:r>
      <w:r w:rsidR="00E309D7">
        <w:rPr>
          <w:rFonts w:ascii="Arial" w:hAnsi="Arial" w:cs="Arial"/>
          <w:sz w:val="24"/>
          <w:szCs w:val="24"/>
          <w:shd w:val="clear" w:color="auto" w:fill="FFFFFF"/>
        </w:rPr>
        <w:t>la devolución</w:t>
      </w:r>
      <w:r w:rsidR="007C1833">
        <w:rPr>
          <w:rFonts w:ascii="Arial" w:hAnsi="Arial" w:cs="Arial"/>
          <w:sz w:val="24"/>
          <w:szCs w:val="24"/>
          <w:shd w:val="clear" w:color="auto" w:fill="FFFFFF"/>
        </w:rPr>
        <w:t xml:space="preserve"> es una</w:t>
      </w:r>
      <w:r w:rsidR="00E309D7">
        <w:rPr>
          <w:rFonts w:ascii="Arial" w:hAnsi="Arial" w:cs="Arial"/>
          <w:sz w:val="24"/>
          <w:szCs w:val="24"/>
          <w:shd w:val="clear" w:color="auto" w:fill="FFFFFF"/>
        </w:rPr>
        <w:t xml:space="preserve"> decisión administrativa por la que se decide la salida de España de aquellos que han pretendido entrar </w:t>
      </w:r>
      <w:r w:rsidR="00706106">
        <w:rPr>
          <w:rFonts w:ascii="Arial" w:hAnsi="Arial" w:cs="Arial"/>
          <w:sz w:val="24"/>
          <w:szCs w:val="24"/>
          <w:shd w:val="clear" w:color="auto" w:fill="FFFFFF"/>
        </w:rPr>
        <w:t xml:space="preserve">ilegalmente </w:t>
      </w:r>
      <w:r w:rsidR="00E309D7">
        <w:rPr>
          <w:rFonts w:ascii="Arial" w:hAnsi="Arial" w:cs="Arial"/>
          <w:sz w:val="24"/>
          <w:szCs w:val="24"/>
          <w:shd w:val="clear" w:color="auto" w:fill="FFFFFF"/>
        </w:rPr>
        <w:t xml:space="preserve">en nuestro país </w:t>
      </w:r>
      <w:r w:rsidR="00706106">
        <w:rPr>
          <w:rFonts w:ascii="Arial" w:hAnsi="Arial" w:cs="Arial"/>
          <w:sz w:val="24"/>
          <w:szCs w:val="24"/>
          <w:shd w:val="clear" w:color="auto" w:fill="FFFFFF"/>
        </w:rPr>
        <w:t xml:space="preserve">por un puesto no habilitado al efecto, </w:t>
      </w:r>
      <w:r w:rsidR="00E309D7">
        <w:rPr>
          <w:rFonts w:ascii="Arial" w:hAnsi="Arial" w:cs="Arial"/>
          <w:sz w:val="24"/>
          <w:szCs w:val="24"/>
          <w:shd w:val="clear" w:color="auto" w:fill="FFFFFF"/>
        </w:rPr>
        <w:t>eludiendo los requisitos que</w:t>
      </w:r>
      <w:r w:rsidR="007C1833">
        <w:rPr>
          <w:rFonts w:ascii="Arial" w:hAnsi="Arial" w:cs="Arial"/>
          <w:sz w:val="24"/>
          <w:szCs w:val="24"/>
          <w:shd w:val="clear" w:color="auto" w:fill="FFFFFF"/>
        </w:rPr>
        <w:t xml:space="preserve"> para el ejercicio del derecho de entrada en territorio nacional </w:t>
      </w:r>
      <w:r w:rsidR="00E309D7">
        <w:rPr>
          <w:rFonts w:ascii="Arial" w:hAnsi="Arial" w:cs="Arial"/>
          <w:sz w:val="24"/>
          <w:szCs w:val="24"/>
          <w:shd w:val="clear" w:color="auto" w:fill="FFFFFF"/>
        </w:rPr>
        <w:t>exige la legisla</w:t>
      </w:r>
      <w:r w:rsidR="007C1833">
        <w:rPr>
          <w:rFonts w:ascii="Arial" w:hAnsi="Arial" w:cs="Arial"/>
          <w:sz w:val="24"/>
          <w:szCs w:val="24"/>
          <w:shd w:val="clear" w:color="auto" w:fill="FFFFFF"/>
        </w:rPr>
        <w:t>ción en materia de extranjería</w:t>
      </w:r>
      <w:r w:rsidR="00A17AF5">
        <w:rPr>
          <w:rFonts w:ascii="Arial" w:hAnsi="Arial" w:cs="Arial"/>
          <w:sz w:val="24"/>
          <w:szCs w:val="24"/>
          <w:shd w:val="clear" w:color="auto" w:fill="FFFFFF"/>
        </w:rPr>
        <w:t xml:space="preserve">, y, por tanto, es adoptada sin tramitación de un </w:t>
      </w:r>
      <w:r w:rsidR="00EA68EB">
        <w:rPr>
          <w:rFonts w:ascii="Arial" w:hAnsi="Arial" w:cs="Arial"/>
          <w:sz w:val="24"/>
          <w:szCs w:val="24"/>
          <w:shd w:val="clear" w:color="auto" w:fill="FFFFFF"/>
        </w:rPr>
        <w:t>expediente de expulsión</w:t>
      </w:r>
      <w:r w:rsidR="007B22E7">
        <w:rPr>
          <w:rStyle w:val="Refdenotaalpie"/>
          <w:rFonts w:ascii="Arial" w:hAnsi="Arial" w:cs="Arial"/>
          <w:sz w:val="24"/>
          <w:szCs w:val="24"/>
          <w:shd w:val="clear" w:color="auto" w:fill="FFFFFF"/>
        </w:rPr>
        <w:footnoteReference w:id="7"/>
      </w:r>
      <w:r w:rsidR="007C1833">
        <w:rPr>
          <w:rFonts w:ascii="Arial" w:hAnsi="Arial" w:cs="Arial"/>
          <w:sz w:val="24"/>
          <w:szCs w:val="24"/>
          <w:shd w:val="clear" w:color="auto" w:fill="FFFFFF"/>
        </w:rPr>
        <w:t xml:space="preserve">. </w:t>
      </w:r>
      <w:r w:rsidR="008222EC">
        <w:rPr>
          <w:rFonts w:ascii="Arial" w:hAnsi="Arial" w:cs="Arial"/>
          <w:sz w:val="24"/>
          <w:szCs w:val="24"/>
          <w:shd w:val="clear" w:color="auto" w:fill="FFFFFF"/>
        </w:rPr>
        <w:t>La devolución n</w:t>
      </w:r>
      <w:r w:rsidR="00E309D7">
        <w:rPr>
          <w:rFonts w:ascii="Arial" w:hAnsi="Arial" w:cs="Arial"/>
          <w:sz w:val="24"/>
          <w:szCs w:val="24"/>
          <w:shd w:val="clear" w:color="auto" w:fill="FFFFFF"/>
        </w:rPr>
        <w:t xml:space="preserve">o supone </w:t>
      </w:r>
      <w:r w:rsidR="007C1833">
        <w:rPr>
          <w:rFonts w:ascii="Arial" w:hAnsi="Arial" w:cs="Arial"/>
          <w:sz w:val="24"/>
          <w:szCs w:val="24"/>
          <w:shd w:val="clear" w:color="auto" w:fill="FFFFFF"/>
        </w:rPr>
        <w:t xml:space="preserve">así </w:t>
      </w:r>
      <w:r w:rsidR="00E309D7">
        <w:rPr>
          <w:rFonts w:ascii="Arial" w:hAnsi="Arial" w:cs="Arial"/>
          <w:sz w:val="24"/>
          <w:szCs w:val="24"/>
          <w:shd w:val="clear" w:color="auto" w:fill="FFFFFF"/>
        </w:rPr>
        <w:t xml:space="preserve">el ejercicio del </w:t>
      </w:r>
      <w:r w:rsidR="00E309D7">
        <w:rPr>
          <w:rFonts w:ascii="Arial" w:hAnsi="Arial" w:cs="Arial"/>
          <w:i/>
          <w:sz w:val="24"/>
          <w:szCs w:val="24"/>
          <w:shd w:val="clear" w:color="auto" w:fill="FFFFFF"/>
        </w:rPr>
        <w:t xml:space="preserve">ius puniendi </w:t>
      </w:r>
      <w:r w:rsidR="00E309D7">
        <w:rPr>
          <w:rFonts w:ascii="Arial" w:hAnsi="Arial" w:cs="Arial"/>
          <w:sz w:val="24"/>
          <w:szCs w:val="24"/>
          <w:shd w:val="clear" w:color="auto" w:fill="FFFFFF"/>
        </w:rPr>
        <w:t xml:space="preserve">estatal, sino que se dicta como </w:t>
      </w:r>
      <w:r w:rsidR="00E309D7" w:rsidRPr="007C1833">
        <w:rPr>
          <w:rFonts w:ascii="Arial" w:hAnsi="Arial" w:cs="Arial"/>
          <w:sz w:val="24"/>
          <w:szCs w:val="24"/>
          <w:shd w:val="clear" w:color="auto" w:fill="FFFFFF"/>
        </w:rPr>
        <w:t>medida de restitución de la legalidad</w:t>
      </w:r>
      <w:r w:rsidR="00A17AF5">
        <w:rPr>
          <w:rFonts w:ascii="Arial" w:hAnsi="Arial" w:cs="Arial"/>
          <w:sz w:val="24"/>
          <w:szCs w:val="24"/>
          <w:shd w:val="clear" w:color="auto" w:fill="FFFFFF"/>
        </w:rPr>
        <w:t xml:space="preserve"> migratoria</w:t>
      </w:r>
      <w:r w:rsidR="00E309D7" w:rsidRPr="007C1833">
        <w:rPr>
          <w:rFonts w:ascii="Arial" w:hAnsi="Arial" w:cs="Arial"/>
          <w:sz w:val="24"/>
          <w:szCs w:val="24"/>
          <w:shd w:val="clear" w:color="auto" w:fill="FFFFFF"/>
        </w:rPr>
        <w:t xml:space="preserve"> conculcada</w:t>
      </w:r>
      <w:r w:rsidR="00E309D7">
        <w:rPr>
          <w:rFonts w:ascii="Arial" w:hAnsi="Arial" w:cs="Arial"/>
          <w:sz w:val="24"/>
          <w:szCs w:val="24"/>
          <w:shd w:val="clear" w:color="auto" w:fill="FFFFFF"/>
        </w:rPr>
        <w:t xml:space="preserve">, </w:t>
      </w:r>
      <w:r w:rsidR="00706106">
        <w:rPr>
          <w:rFonts w:ascii="Arial" w:hAnsi="Arial" w:cs="Arial"/>
          <w:sz w:val="24"/>
          <w:szCs w:val="24"/>
          <w:shd w:val="clear" w:color="auto" w:fill="FFFFFF"/>
        </w:rPr>
        <w:t>al carecer</w:t>
      </w:r>
      <w:r w:rsidR="00E309D7">
        <w:rPr>
          <w:rFonts w:ascii="Arial" w:hAnsi="Arial" w:cs="Arial"/>
          <w:sz w:val="24"/>
          <w:szCs w:val="24"/>
          <w:shd w:val="clear" w:color="auto" w:fill="FFFFFF"/>
        </w:rPr>
        <w:t xml:space="preserve"> de </w:t>
      </w:r>
      <w:r w:rsidR="00706106">
        <w:rPr>
          <w:rFonts w:ascii="Arial" w:hAnsi="Arial" w:cs="Arial"/>
          <w:sz w:val="24"/>
          <w:szCs w:val="24"/>
          <w:shd w:val="clear" w:color="auto" w:fill="FFFFFF"/>
        </w:rPr>
        <w:t xml:space="preserve">los </w:t>
      </w:r>
      <w:r w:rsidR="00E309D7">
        <w:rPr>
          <w:rFonts w:ascii="Arial" w:hAnsi="Arial" w:cs="Arial"/>
          <w:sz w:val="24"/>
          <w:szCs w:val="24"/>
          <w:shd w:val="clear" w:color="auto" w:fill="FFFFFF"/>
        </w:rPr>
        <w:t xml:space="preserve">requisitos </w:t>
      </w:r>
      <w:r w:rsidR="00706106">
        <w:rPr>
          <w:rFonts w:ascii="Arial" w:hAnsi="Arial" w:cs="Arial"/>
          <w:sz w:val="24"/>
          <w:szCs w:val="24"/>
          <w:shd w:val="clear" w:color="auto" w:fill="FFFFFF"/>
        </w:rPr>
        <w:t xml:space="preserve">legalmente exigidos, lo </w:t>
      </w:r>
      <w:r w:rsidR="00E309D7">
        <w:rPr>
          <w:rFonts w:ascii="Arial" w:hAnsi="Arial" w:cs="Arial"/>
          <w:sz w:val="24"/>
          <w:szCs w:val="24"/>
          <w:shd w:val="clear" w:color="auto" w:fill="FFFFFF"/>
        </w:rPr>
        <w:t xml:space="preserve">que determina la salida obligatoria del territorio nacional </w:t>
      </w:r>
      <w:r w:rsidR="00706106">
        <w:rPr>
          <w:rFonts w:ascii="Arial" w:hAnsi="Arial" w:cs="Arial"/>
          <w:sz w:val="24"/>
          <w:szCs w:val="24"/>
          <w:shd w:val="clear" w:color="auto" w:fill="FFFFFF"/>
        </w:rPr>
        <w:t>y su viaje de vuelta al país de origen o de procedencia (</w:t>
      </w:r>
      <w:r w:rsidR="004D025F">
        <w:rPr>
          <w:rFonts w:ascii="Arial" w:hAnsi="Arial" w:cs="Arial"/>
          <w:sz w:val="24"/>
          <w:szCs w:val="24"/>
          <w:shd w:val="clear" w:color="auto" w:fill="FFFFFF"/>
        </w:rPr>
        <w:t>art. 28.3 b) LOEX</w:t>
      </w:r>
      <w:r w:rsidR="00706106">
        <w:rPr>
          <w:rFonts w:ascii="Arial" w:hAnsi="Arial" w:cs="Arial"/>
          <w:sz w:val="24"/>
          <w:szCs w:val="24"/>
          <w:shd w:val="clear" w:color="auto" w:fill="FFFFFF"/>
        </w:rPr>
        <w:t>)</w:t>
      </w:r>
      <w:r w:rsidR="00E309D7">
        <w:rPr>
          <w:rFonts w:ascii="Arial" w:hAnsi="Arial" w:cs="Arial"/>
          <w:sz w:val="24"/>
          <w:szCs w:val="24"/>
          <w:shd w:val="clear" w:color="auto" w:fill="FFFFFF"/>
        </w:rPr>
        <w:t>.</w:t>
      </w:r>
      <w:r w:rsidR="008222EC">
        <w:rPr>
          <w:rFonts w:ascii="Arial" w:hAnsi="Arial" w:cs="Arial"/>
          <w:sz w:val="24"/>
          <w:szCs w:val="24"/>
          <w:shd w:val="clear" w:color="auto" w:fill="FFFFFF"/>
        </w:rPr>
        <w:t xml:space="preserve"> Tal </w:t>
      </w:r>
      <w:r w:rsidR="008222EC">
        <w:rPr>
          <w:rFonts w:ascii="Arial" w:hAnsi="Arial" w:cs="Arial"/>
          <w:sz w:val="24"/>
          <w:szCs w:val="24"/>
          <w:shd w:val="clear" w:color="auto" w:fill="FFFFFF"/>
        </w:rPr>
        <w:lastRenderedPageBreak/>
        <w:t>como ha aclarado el TC,</w:t>
      </w:r>
      <w:r w:rsidR="00E309D7">
        <w:rPr>
          <w:rFonts w:ascii="Arial" w:hAnsi="Arial" w:cs="Arial"/>
          <w:sz w:val="24"/>
          <w:szCs w:val="24"/>
          <w:shd w:val="clear" w:color="auto" w:fill="FFFFFF"/>
        </w:rPr>
        <w:t xml:space="preserve"> “la devolución pretende evitar la contravención del ordenamiento jurídico de extranjería, por lo que </w:t>
      </w:r>
      <w:r w:rsidR="00E309D7" w:rsidRPr="007C1833">
        <w:rPr>
          <w:rFonts w:ascii="Arial" w:hAnsi="Arial" w:cs="Arial"/>
          <w:sz w:val="24"/>
          <w:szCs w:val="24"/>
          <w:shd w:val="clear" w:color="auto" w:fill="FFFFFF"/>
        </w:rPr>
        <w:t xml:space="preserve">no comporta en sí misma una sanción </w:t>
      </w:r>
      <w:r w:rsidR="00E309D7">
        <w:rPr>
          <w:rFonts w:ascii="Arial" w:eastAsia="Times New Roman" w:hAnsi="Arial" w:cs="Arial"/>
          <w:bCs/>
          <w:sz w:val="24"/>
          <w:szCs w:val="24"/>
          <w:lang w:val="es-ES" w:eastAsia="es-ES"/>
        </w:rPr>
        <w:t>sino una medida gubernativa de reacción inmediata frente a una perturbación del orden jurídico</w:t>
      </w:r>
      <w:r w:rsidR="00706106">
        <w:rPr>
          <w:rFonts w:ascii="Arial" w:eastAsia="Times New Roman" w:hAnsi="Arial" w:cs="Arial"/>
          <w:bCs/>
          <w:sz w:val="24"/>
          <w:szCs w:val="24"/>
          <w:lang w:val="es-ES" w:eastAsia="es-ES"/>
        </w:rPr>
        <w:t xml:space="preserve"> (…) que </w:t>
      </w:r>
      <w:r w:rsidR="00E309D7">
        <w:rPr>
          <w:rFonts w:ascii="Arial" w:hAnsi="Arial" w:cs="Arial"/>
          <w:sz w:val="24"/>
          <w:szCs w:val="24"/>
          <w:shd w:val="clear" w:color="auto" w:fill="FFFFFF"/>
        </w:rPr>
        <w:t xml:space="preserve"> se acuerda por parte del Estado español en el marco de su política de extranjería, en la que se incluye tanto el necesario control de los flujos migratorios que tiene como destino nuestro país como el establecimiento de los requisitos y condiciones exigibles a los extranjeros para su entrada y residencia en España” (</w:t>
      </w:r>
      <w:r w:rsidR="00706106">
        <w:rPr>
          <w:rFonts w:ascii="Arial" w:hAnsi="Arial" w:cs="Arial"/>
          <w:sz w:val="24"/>
          <w:szCs w:val="24"/>
          <w:shd w:val="clear" w:color="auto" w:fill="FFFFFF"/>
        </w:rPr>
        <w:t xml:space="preserve">STC 17/2013, </w:t>
      </w:r>
      <w:r w:rsidR="00E309D7">
        <w:rPr>
          <w:rFonts w:ascii="Arial" w:hAnsi="Arial" w:cs="Arial"/>
          <w:sz w:val="24"/>
          <w:szCs w:val="24"/>
          <w:shd w:val="clear" w:color="auto" w:fill="FFFFFF"/>
        </w:rPr>
        <w:t>FJ 12).</w:t>
      </w:r>
      <w:r w:rsidR="00092F73">
        <w:rPr>
          <w:rFonts w:ascii="Arial" w:hAnsi="Arial" w:cs="Arial"/>
          <w:sz w:val="24"/>
          <w:szCs w:val="24"/>
          <w:shd w:val="clear" w:color="auto" w:fill="FFFFFF"/>
        </w:rPr>
        <w:t xml:space="preserve"> Por consiguiente, los extranjeros que s</w:t>
      </w:r>
      <w:r w:rsidR="003436C1">
        <w:rPr>
          <w:rFonts w:ascii="Arial" w:hAnsi="Arial" w:cs="Arial"/>
          <w:sz w:val="24"/>
          <w:szCs w:val="24"/>
          <w:shd w:val="clear" w:color="auto" w:fill="FFFFFF"/>
        </w:rPr>
        <w:t>on interceptados en la frontera o en sus inmediaciones no son expulsados, sino devueltos</w:t>
      </w:r>
      <w:r w:rsidR="00A17AF5">
        <w:rPr>
          <w:rFonts w:ascii="Arial" w:hAnsi="Arial" w:cs="Arial"/>
          <w:sz w:val="24"/>
          <w:szCs w:val="24"/>
          <w:shd w:val="clear" w:color="auto" w:fill="FFFFFF"/>
        </w:rPr>
        <w:t>.</w:t>
      </w:r>
      <w:r w:rsidR="00390F0A">
        <w:rPr>
          <w:rFonts w:ascii="Arial" w:hAnsi="Arial" w:cs="Arial"/>
          <w:sz w:val="24"/>
          <w:szCs w:val="24"/>
          <w:shd w:val="clear" w:color="auto" w:fill="FFFFFF"/>
        </w:rPr>
        <w:t xml:space="preserve"> La devolución es la figura que más se asemeja al rechazo en frontera en Ceuta y Melilla que regula la disposición adicional décima de la ley de extranjería. </w:t>
      </w:r>
    </w:p>
    <w:p w14:paraId="5FD8D253" w14:textId="77777777" w:rsidR="00162B60" w:rsidRDefault="00162B60" w:rsidP="00562A0C">
      <w:pPr>
        <w:shd w:val="clear" w:color="auto" w:fill="FFFFFF"/>
        <w:spacing w:after="0" w:line="360" w:lineRule="auto"/>
        <w:jc w:val="both"/>
        <w:rPr>
          <w:rFonts w:ascii="Arial" w:hAnsi="Arial" w:cs="Arial"/>
          <w:sz w:val="24"/>
          <w:szCs w:val="24"/>
          <w:shd w:val="clear" w:color="auto" w:fill="FFFFFF"/>
        </w:rPr>
      </w:pPr>
    </w:p>
    <w:p w14:paraId="1B4F2643" w14:textId="40484C9D" w:rsidR="001D607C" w:rsidRDefault="00162B60" w:rsidP="00562A0C">
      <w:pPr>
        <w:shd w:val="clear" w:color="auto" w:fill="FFFFFF"/>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También el rechazo se diferencia del retorno, aun tratándose también de una forma de salida obligatoria</w:t>
      </w:r>
      <w:r w:rsidR="00744518">
        <w:rPr>
          <w:rFonts w:ascii="Arial" w:hAnsi="Arial" w:cs="Arial"/>
          <w:sz w:val="24"/>
          <w:szCs w:val="24"/>
          <w:shd w:val="clear" w:color="auto" w:fill="FFFFFF"/>
        </w:rPr>
        <w:t>,</w:t>
      </w:r>
      <w:r>
        <w:rPr>
          <w:rFonts w:ascii="Arial" w:hAnsi="Arial" w:cs="Arial"/>
          <w:sz w:val="24"/>
          <w:szCs w:val="24"/>
          <w:shd w:val="clear" w:color="auto" w:fill="FFFFFF"/>
        </w:rPr>
        <w:t xml:space="preserve"> porque el retorno consiste en</w:t>
      </w:r>
      <w:r w:rsidR="00744518">
        <w:rPr>
          <w:rFonts w:ascii="Arial" w:hAnsi="Arial" w:cs="Arial"/>
          <w:sz w:val="24"/>
          <w:szCs w:val="24"/>
          <w:shd w:val="clear" w:color="auto" w:fill="FFFFFF"/>
        </w:rPr>
        <w:t xml:space="preserve"> la denegación de entrada en el país </w:t>
      </w:r>
      <w:r w:rsidR="00A17AF5">
        <w:rPr>
          <w:rFonts w:ascii="Arial" w:hAnsi="Arial" w:cs="Arial"/>
          <w:sz w:val="24"/>
          <w:szCs w:val="24"/>
          <w:shd w:val="clear" w:color="auto" w:fill="FFFFFF"/>
        </w:rPr>
        <w:t xml:space="preserve">mediante resolución motivada en los puestos fronterizos habilitados </w:t>
      </w:r>
      <w:r>
        <w:rPr>
          <w:rFonts w:ascii="Arial" w:hAnsi="Arial" w:cs="Arial"/>
          <w:sz w:val="24"/>
          <w:szCs w:val="24"/>
          <w:shd w:val="clear" w:color="auto" w:fill="FFFFFF"/>
        </w:rPr>
        <w:t>por los agentes de</w:t>
      </w:r>
      <w:r w:rsidR="004446C4">
        <w:rPr>
          <w:rFonts w:ascii="Arial" w:hAnsi="Arial" w:cs="Arial"/>
          <w:sz w:val="24"/>
          <w:szCs w:val="24"/>
          <w:shd w:val="clear" w:color="auto" w:fill="FFFFFF"/>
        </w:rPr>
        <w:t xml:space="preserve"> policía</w:t>
      </w:r>
      <w:r>
        <w:rPr>
          <w:rFonts w:ascii="Arial" w:hAnsi="Arial" w:cs="Arial"/>
          <w:sz w:val="24"/>
          <w:szCs w:val="24"/>
          <w:shd w:val="clear" w:color="auto" w:fill="FFFFFF"/>
        </w:rPr>
        <w:t xml:space="preserve"> </w:t>
      </w:r>
      <w:r w:rsidR="00A17AF5">
        <w:rPr>
          <w:rFonts w:ascii="Arial" w:hAnsi="Arial" w:cs="Arial"/>
          <w:sz w:val="24"/>
          <w:szCs w:val="24"/>
          <w:shd w:val="clear" w:color="auto" w:fill="FFFFFF"/>
        </w:rPr>
        <w:t xml:space="preserve">a los extranjeros que no reúnan los requisitos establecidos en la normativa de extranjería </w:t>
      </w:r>
      <w:r w:rsidR="004D025F">
        <w:rPr>
          <w:rFonts w:ascii="Arial" w:hAnsi="Arial" w:cs="Arial"/>
          <w:sz w:val="24"/>
          <w:szCs w:val="24"/>
          <w:shd w:val="clear" w:color="auto" w:fill="FFFFFF"/>
        </w:rPr>
        <w:t>(art</w:t>
      </w:r>
      <w:r w:rsidR="00A17AF5">
        <w:rPr>
          <w:rFonts w:ascii="Arial" w:hAnsi="Arial" w:cs="Arial"/>
          <w:sz w:val="24"/>
          <w:szCs w:val="24"/>
          <w:shd w:val="clear" w:color="auto" w:fill="FFFFFF"/>
        </w:rPr>
        <w:t>s</w:t>
      </w:r>
      <w:r w:rsidR="004D025F">
        <w:rPr>
          <w:rFonts w:ascii="Arial" w:hAnsi="Arial" w:cs="Arial"/>
          <w:sz w:val="24"/>
          <w:szCs w:val="24"/>
          <w:shd w:val="clear" w:color="auto" w:fill="FFFFFF"/>
        </w:rPr>
        <w:t>. 26 LOEX</w:t>
      </w:r>
      <w:r w:rsidR="00A17AF5">
        <w:rPr>
          <w:rFonts w:ascii="Arial" w:hAnsi="Arial" w:cs="Arial"/>
          <w:sz w:val="24"/>
          <w:szCs w:val="24"/>
          <w:shd w:val="clear" w:color="auto" w:fill="FFFFFF"/>
        </w:rPr>
        <w:t xml:space="preserve"> y 15 RLOEX</w:t>
      </w:r>
      <w:r w:rsidR="00744518">
        <w:rPr>
          <w:rFonts w:ascii="Arial" w:hAnsi="Arial" w:cs="Arial"/>
          <w:sz w:val="24"/>
          <w:szCs w:val="24"/>
          <w:shd w:val="clear" w:color="auto" w:fill="FFFFFF"/>
        </w:rPr>
        <w:t xml:space="preserve">). </w:t>
      </w:r>
      <w:r w:rsidR="00706106">
        <w:rPr>
          <w:rFonts w:ascii="Arial" w:hAnsi="Arial" w:cs="Arial"/>
          <w:sz w:val="24"/>
          <w:szCs w:val="24"/>
          <w:shd w:val="clear" w:color="auto" w:fill="FFFFFF"/>
        </w:rPr>
        <w:t>Esta medida c</w:t>
      </w:r>
      <w:r w:rsidR="00744518">
        <w:rPr>
          <w:rFonts w:ascii="Arial" w:hAnsi="Arial" w:cs="Arial"/>
          <w:sz w:val="24"/>
          <w:szCs w:val="24"/>
          <w:shd w:val="clear" w:color="auto" w:fill="FFFFFF"/>
        </w:rPr>
        <w:t>arece de carácter sancionador al igual que la devolución, pero, a diferencia de ésta última, no se ha entrado</w:t>
      </w:r>
      <w:r w:rsidR="004446C4">
        <w:rPr>
          <w:rFonts w:ascii="Arial" w:hAnsi="Arial" w:cs="Arial"/>
          <w:sz w:val="24"/>
          <w:szCs w:val="24"/>
          <w:shd w:val="clear" w:color="auto" w:fill="FFFFFF"/>
        </w:rPr>
        <w:t xml:space="preserve"> </w:t>
      </w:r>
      <w:r w:rsidR="00744518">
        <w:rPr>
          <w:rFonts w:ascii="Arial" w:hAnsi="Arial" w:cs="Arial"/>
          <w:sz w:val="24"/>
          <w:szCs w:val="24"/>
          <w:shd w:val="clear" w:color="auto" w:fill="FFFFFF"/>
        </w:rPr>
        <w:t xml:space="preserve"> o pretendido entrar de forma ilegal</w:t>
      </w:r>
      <w:r w:rsidR="004446C4">
        <w:rPr>
          <w:rFonts w:ascii="Arial" w:hAnsi="Arial" w:cs="Arial"/>
          <w:sz w:val="24"/>
          <w:szCs w:val="24"/>
          <w:shd w:val="clear" w:color="auto" w:fill="FFFFFF"/>
        </w:rPr>
        <w:t xml:space="preserve"> en el país</w:t>
      </w:r>
      <w:r w:rsidR="00744518">
        <w:rPr>
          <w:rFonts w:ascii="Arial" w:hAnsi="Arial" w:cs="Arial"/>
          <w:sz w:val="24"/>
          <w:szCs w:val="24"/>
          <w:shd w:val="clear" w:color="auto" w:fill="FFFFFF"/>
        </w:rPr>
        <w:t xml:space="preserve">.  </w:t>
      </w:r>
    </w:p>
    <w:p w14:paraId="4EC400E2" w14:textId="77777777" w:rsidR="00476D7D" w:rsidRPr="00C9741A" w:rsidRDefault="00476D7D" w:rsidP="00562A0C">
      <w:pPr>
        <w:shd w:val="clear" w:color="auto" w:fill="FFFFFF"/>
        <w:spacing w:after="0" w:line="360" w:lineRule="auto"/>
        <w:jc w:val="both"/>
        <w:rPr>
          <w:rFonts w:ascii="Arial" w:hAnsi="Arial" w:cs="Arial"/>
          <w:sz w:val="24"/>
          <w:szCs w:val="24"/>
          <w:shd w:val="clear" w:color="auto" w:fill="FFFFFF"/>
        </w:rPr>
      </w:pPr>
    </w:p>
    <w:p w14:paraId="6FE7A3E1" w14:textId="2D273FFC" w:rsidR="00AF3BD2" w:rsidRDefault="001D607C" w:rsidP="00AF3BD2">
      <w:pPr>
        <w:shd w:val="clear" w:color="auto" w:fill="FFFFFF"/>
        <w:spacing w:after="0" w:line="360" w:lineRule="auto"/>
        <w:contextualSpacing/>
        <w:jc w:val="both"/>
        <w:rPr>
          <w:rFonts w:ascii="Arial" w:eastAsia="Times New Roman" w:hAnsi="Arial" w:cs="Arial"/>
          <w:b/>
          <w:bCs/>
          <w:caps/>
          <w:sz w:val="24"/>
          <w:szCs w:val="24"/>
          <w:lang w:val="es-ES" w:eastAsia="es-ES"/>
        </w:rPr>
      </w:pPr>
      <w:r w:rsidRPr="00AF3BD2">
        <w:rPr>
          <w:rFonts w:ascii="Arial" w:eastAsia="Times New Roman" w:hAnsi="Arial" w:cs="Arial"/>
          <w:b/>
          <w:bCs/>
          <w:caps/>
          <w:sz w:val="24"/>
          <w:szCs w:val="24"/>
          <w:lang w:val="es-ES" w:eastAsia="es-ES"/>
        </w:rPr>
        <w:t xml:space="preserve">III. </w:t>
      </w:r>
      <w:r w:rsidR="00395678">
        <w:rPr>
          <w:rFonts w:ascii="Arial" w:eastAsia="Times New Roman" w:hAnsi="Arial" w:cs="Arial"/>
          <w:b/>
          <w:bCs/>
          <w:caps/>
          <w:sz w:val="24"/>
          <w:szCs w:val="24"/>
          <w:lang w:val="es-ES" w:eastAsia="es-ES"/>
        </w:rPr>
        <w:t>Los límites</w:t>
      </w:r>
      <w:r w:rsidR="00702823">
        <w:rPr>
          <w:rFonts w:ascii="Arial" w:eastAsia="Times New Roman" w:hAnsi="Arial" w:cs="Arial"/>
          <w:b/>
          <w:bCs/>
          <w:caps/>
          <w:sz w:val="24"/>
          <w:szCs w:val="24"/>
          <w:lang w:val="es-ES" w:eastAsia="es-ES"/>
        </w:rPr>
        <w:t xml:space="preserve"> jurisprudenciales</w:t>
      </w:r>
      <w:r w:rsidR="00395678">
        <w:rPr>
          <w:rFonts w:ascii="Arial" w:eastAsia="Times New Roman" w:hAnsi="Arial" w:cs="Arial"/>
          <w:b/>
          <w:bCs/>
          <w:caps/>
          <w:sz w:val="24"/>
          <w:szCs w:val="24"/>
          <w:lang w:val="es-ES" w:eastAsia="es-ES"/>
        </w:rPr>
        <w:t xml:space="preserve"> a la</w:t>
      </w:r>
      <w:r w:rsidR="00AF3BD2" w:rsidRPr="00AF3BD2">
        <w:rPr>
          <w:rFonts w:ascii="Arial" w:eastAsia="Times New Roman" w:hAnsi="Arial" w:cs="Arial"/>
          <w:b/>
          <w:bCs/>
          <w:caps/>
          <w:sz w:val="24"/>
          <w:szCs w:val="24"/>
          <w:lang w:val="es-ES" w:eastAsia="es-ES"/>
        </w:rPr>
        <w:t xml:space="preserve"> constitucionalidad del rechazo en frontera. </w:t>
      </w:r>
    </w:p>
    <w:p w14:paraId="085F4755" w14:textId="5AF5648B" w:rsidR="00702823" w:rsidRPr="00492CB9" w:rsidRDefault="00744518" w:rsidP="00492CB9">
      <w:pPr>
        <w:pStyle w:val="NormalWeb"/>
        <w:shd w:val="clear" w:color="auto" w:fill="FFFFFF"/>
        <w:spacing w:line="360" w:lineRule="auto"/>
        <w:ind w:right="44"/>
        <w:jc w:val="both"/>
        <w:rPr>
          <w:rFonts w:ascii="Arial" w:hAnsi="Arial" w:cs="Arial"/>
        </w:rPr>
      </w:pPr>
      <w:r>
        <w:rPr>
          <w:rFonts w:ascii="Arial" w:hAnsi="Arial" w:cs="Arial"/>
          <w:bCs/>
        </w:rPr>
        <w:t xml:space="preserve">La disposición que regula el rechazo en las líneas fronterizas en Ceuta y Melilla estuvo </w:t>
      </w:r>
      <w:r w:rsidRPr="00D40886">
        <w:rPr>
          <w:rFonts w:ascii="Arial" w:hAnsi="Arial" w:cs="Arial"/>
          <w:bCs/>
        </w:rPr>
        <w:t>rodeada de polémica</w:t>
      </w:r>
      <w:r>
        <w:rPr>
          <w:rFonts w:ascii="Arial" w:hAnsi="Arial" w:cs="Arial"/>
        </w:rPr>
        <w:t xml:space="preserve"> d</w:t>
      </w:r>
      <w:r w:rsidR="00447C23" w:rsidRPr="00D40886">
        <w:rPr>
          <w:rFonts w:ascii="Arial" w:hAnsi="Arial" w:cs="Arial"/>
          <w:bCs/>
        </w:rPr>
        <w:t>esde su aprobación</w:t>
      </w:r>
      <w:r w:rsidR="00492CB9">
        <w:rPr>
          <w:rFonts w:ascii="Arial" w:hAnsi="Arial" w:cs="Arial"/>
          <w:bCs/>
        </w:rPr>
        <w:t xml:space="preserve"> en 2015</w:t>
      </w:r>
      <w:r w:rsidR="00447C23">
        <w:rPr>
          <w:rFonts w:ascii="Arial" w:hAnsi="Arial" w:cs="Arial"/>
          <w:bCs/>
        </w:rPr>
        <w:t>,</w:t>
      </w:r>
      <w:r>
        <w:rPr>
          <w:rFonts w:ascii="Arial" w:hAnsi="Arial" w:cs="Arial"/>
          <w:bCs/>
        </w:rPr>
        <w:t xml:space="preserve"> por lo que fue </w:t>
      </w:r>
      <w:r w:rsidR="00447C23" w:rsidRPr="00D40886">
        <w:rPr>
          <w:rFonts w:ascii="Arial" w:hAnsi="Arial" w:cs="Arial"/>
          <w:bCs/>
        </w:rPr>
        <w:t>recurrida</w:t>
      </w:r>
      <w:r w:rsidR="00447C23">
        <w:rPr>
          <w:rFonts w:ascii="Arial" w:hAnsi="Arial" w:cs="Arial"/>
          <w:bCs/>
        </w:rPr>
        <w:t xml:space="preserve"> </w:t>
      </w:r>
      <w:r>
        <w:rPr>
          <w:rFonts w:ascii="Arial" w:hAnsi="Arial" w:cs="Arial"/>
          <w:bCs/>
        </w:rPr>
        <w:t>su constitucionalidad ante el TC.</w:t>
      </w:r>
      <w:r w:rsidR="00702823">
        <w:rPr>
          <w:rFonts w:ascii="Arial" w:hAnsi="Arial" w:cs="Arial"/>
          <w:bCs/>
        </w:rPr>
        <w:t xml:space="preserve"> Los recursos de inconstitucionalidad interpuestos fueron finalmente desestimados en las sentencias </w:t>
      </w:r>
      <w:r w:rsidR="00702823" w:rsidRPr="00A97E55">
        <w:rPr>
          <w:rFonts w:ascii="Arial" w:hAnsi="Arial" w:cs="Arial"/>
        </w:rPr>
        <w:t>172/2020</w:t>
      </w:r>
      <w:r w:rsidR="00702823">
        <w:rPr>
          <w:rFonts w:ascii="Arial" w:hAnsi="Arial" w:cs="Arial"/>
        </w:rPr>
        <w:t xml:space="preserve">, de 19 de noviembre </w:t>
      </w:r>
      <w:r w:rsidR="00702823" w:rsidRPr="00A97E55">
        <w:rPr>
          <w:rFonts w:ascii="Arial" w:hAnsi="Arial" w:cs="Arial"/>
        </w:rPr>
        <w:t>y 13/2021</w:t>
      </w:r>
      <w:r w:rsidR="00702823">
        <w:rPr>
          <w:rFonts w:ascii="Arial" w:hAnsi="Arial" w:cs="Arial"/>
        </w:rPr>
        <w:t xml:space="preserve">, de 28 de enero, sustentándose en la doctrina establecida previamente por la Gran Sala del Tribunal Europeo de Derechos Humanos en su sentencia N.D. y N.T. c. España, de 13 de febrero de 2020.  Apoyándose en esta sentencia del TEDH, que ha servido de canon para la </w:t>
      </w:r>
      <w:r w:rsidR="00702823">
        <w:rPr>
          <w:rFonts w:ascii="Arial" w:hAnsi="Arial" w:cs="Arial"/>
        </w:rPr>
        <w:lastRenderedPageBreak/>
        <w:t>interpretación</w:t>
      </w:r>
      <w:r w:rsidR="00706106">
        <w:rPr>
          <w:rFonts w:ascii="Arial" w:hAnsi="Arial" w:cs="Arial"/>
        </w:rPr>
        <w:t xml:space="preserve"> del régimen especial para Ceuta y Melilla de rechazo en frontera de los extranjeros que intenten entrar ilegalmente en España</w:t>
      </w:r>
      <w:r w:rsidR="00702823">
        <w:rPr>
          <w:rFonts w:ascii="Arial" w:hAnsi="Arial" w:cs="Arial"/>
        </w:rPr>
        <w:t xml:space="preserve">, el Tribunal Constitucional español declaró </w:t>
      </w:r>
      <w:r w:rsidR="009A6E55">
        <w:rPr>
          <w:rFonts w:ascii="Arial" w:hAnsi="Arial" w:cs="Arial"/>
        </w:rPr>
        <w:t xml:space="preserve">su </w:t>
      </w:r>
      <w:r w:rsidR="00702823">
        <w:rPr>
          <w:rFonts w:ascii="Arial" w:hAnsi="Arial" w:cs="Arial"/>
        </w:rPr>
        <w:t xml:space="preserve">constitucionalidad, </w:t>
      </w:r>
      <w:r w:rsidR="009A6E55">
        <w:rPr>
          <w:rFonts w:ascii="Arial" w:hAnsi="Arial" w:cs="Arial"/>
        </w:rPr>
        <w:t>desestimando</w:t>
      </w:r>
      <w:r w:rsidR="00702823">
        <w:rPr>
          <w:rFonts w:ascii="Arial" w:hAnsi="Arial" w:cs="Arial"/>
        </w:rPr>
        <w:t xml:space="preserve"> todos los motivos de impugnación alegados por los recurrentes por l</w:t>
      </w:r>
      <w:r w:rsidR="00C9741A">
        <w:rPr>
          <w:rFonts w:ascii="Arial" w:hAnsi="Arial" w:cs="Arial"/>
        </w:rPr>
        <w:t xml:space="preserve">as razones que vamos a analizar. </w:t>
      </w:r>
      <w:r w:rsidR="00702823">
        <w:rPr>
          <w:rFonts w:ascii="Arial" w:hAnsi="Arial" w:cs="Arial"/>
        </w:rPr>
        <w:t xml:space="preserve">Sin embargo, ambas sentencias son interpretativas, </w:t>
      </w:r>
      <w:r w:rsidR="00C9741A">
        <w:rPr>
          <w:rFonts w:ascii="Arial" w:hAnsi="Arial" w:cs="Arial"/>
        </w:rPr>
        <w:t xml:space="preserve">de forma que </w:t>
      </w:r>
      <w:r w:rsidR="00702823">
        <w:rPr>
          <w:rFonts w:ascii="Arial" w:hAnsi="Arial" w:cs="Arial"/>
        </w:rPr>
        <w:t xml:space="preserve">avalaron las devoluciones sumarias de quienes intentan cruzar la frontera de Ceuta y Melilla de manera irregular, pero con condiciones. </w:t>
      </w:r>
      <w:r w:rsidR="00492CB9">
        <w:rPr>
          <w:rFonts w:ascii="Arial" w:hAnsi="Arial" w:cs="Arial"/>
        </w:rPr>
        <w:t xml:space="preserve">En definitiva, marcaron </w:t>
      </w:r>
      <w:r w:rsidR="003436C1">
        <w:rPr>
          <w:rFonts w:ascii="Arial" w:hAnsi="Arial" w:cs="Arial"/>
        </w:rPr>
        <w:t>uno</w:t>
      </w:r>
      <w:r w:rsidR="00492CB9">
        <w:rPr>
          <w:rFonts w:ascii="Arial" w:hAnsi="Arial" w:cs="Arial"/>
        </w:rPr>
        <w:t xml:space="preserve">s </w:t>
      </w:r>
      <w:r w:rsidR="00702823">
        <w:rPr>
          <w:rFonts w:ascii="Arial" w:hAnsi="Arial" w:cs="Arial"/>
          <w:shd w:val="clear" w:color="auto" w:fill="FFFFFF"/>
        </w:rPr>
        <w:t>límites, más allá de los cuales estas devoluciones</w:t>
      </w:r>
      <w:r w:rsidR="00492CB9">
        <w:rPr>
          <w:rFonts w:ascii="Arial" w:hAnsi="Arial" w:cs="Arial"/>
          <w:shd w:val="clear" w:color="auto" w:fill="FFFFFF"/>
        </w:rPr>
        <w:t xml:space="preserve"> inmediatas de q</w:t>
      </w:r>
      <w:r w:rsidR="00492CB9">
        <w:rPr>
          <w:rFonts w:ascii="Arial" w:hAnsi="Arial" w:cs="Arial"/>
          <w:bCs/>
        </w:rPr>
        <w:t xml:space="preserve">uienes superen los límites fronterizos de forma irregular </w:t>
      </w:r>
      <w:r w:rsidR="00702823">
        <w:rPr>
          <w:rFonts w:ascii="Arial" w:hAnsi="Arial" w:cs="Arial"/>
          <w:shd w:val="clear" w:color="auto" w:fill="FFFFFF"/>
        </w:rPr>
        <w:t xml:space="preserve">se situarían al margen de la legalidad. </w:t>
      </w:r>
    </w:p>
    <w:p w14:paraId="67F4B71E" w14:textId="08F624AC" w:rsidR="00492CB9" w:rsidRDefault="00492CB9" w:rsidP="0088025B">
      <w:pPr>
        <w:pStyle w:val="NormalWeb"/>
        <w:shd w:val="clear" w:color="auto" w:fill="FFFFFF"/>
        <w:spacing w:line="360" w:lineRule="auto"/>
        <w:ind w:right="44"/>
        <w:jc w:val="both"/>
        <w:rPr>
          <w:rFonts w:ascii="Arial" w:hAnsi="Arial" w:cs="Arial"/>
          <w:bCs/>
        </w:rPr>
      </w:pPr>
      <w:r>
        <w:rPr>
          <w:rFonts w:ascii="Arial" w:hAnsi="Arial" w:cs="Arial"/>
        </w:rPr>
        <w:t xml:space="preserve">Dado que, en </w:t>
      </w:r>
      <w:r w:rsidR="00702823">
        <w:rPr>
          <w:rFonts w:ascii="Arial" w:hAnsi="Arial" w:cs="Arial"/>
        </w:rPr>
        <w:t>el pronunciamien</w:t>
      </w:r>
      <w:r>
        <w:rPr>
          <w:rFonts w:ascii="Arial" w:hAnsi="Arial" w:cs="Arial"/>
        </w:rPr>
        <w:t xml:space="preserve">to del Tribunal Constitucional </w:t>
      </w:r>
      <w:r w:rsidR="00702823">
        <w:rPr>
          <w:rFonts w:ascii="Arial" w:hAnsi="Arial" w:cs="Arial"/>
        </w:rPr>
        <w:t>ha estado muy presente la sentencia de 13 de febrero</w:t>
      </w:r>
      <w:r w:rsidR="0088025B">
        <w:rPr>
          <w:rFonts w:ascii="Arial" w:hAnsi="Arial" w:cs="Arial"/>
        </w:rPr>
        <w:t xml:space="preserve"> de 2020 (N.D. and N.T. c. España</w:t>
      </w:r>
      <w:r w:rsidR="00702823">
        <w:rPr>
          <w:rFonts w:ascii="Arial" w:hAnsi="Arial" w:cs="Arial"/>
        </w:rPr>
        <w:t xml:space="preserve">) dictada por la Gran Sala del TEDH, </w:t>
      </w:r>
      <w:r>
        <w:rPr>
          <w:rFonts w:ascii="Arial" w:hAnsi="Arial" w:cs="Arial"/>
        </w:rPr>
        <w:t xml:space="preserve">resulta conveniente realizar una aproximación a los argumentos jurídicos esgrimidos para </w:t>
      </w:r>
      <w:r>
        <w:rPr>
          <w:rFonts w:ascii="Arial" w:hAnsi="Arial" w:cs="Arial"/>
          <w:bCs/>
        </w:rPr>
        <w:t>admitir los rechazos realizados de forma expeditiva a Marruecos.</w:t>
      </w:r>
    </w:p>
    <w:p w14:paraId="6ECD564A" w14:textId="77777777" w:rsidR="00476D7D" w:rsidRDefault="00476D7D" w:rsidP="00476D7D">
      <w:pPr>
        <w:pStyle w:val="NormalWeb"/>
        <w:shd w:val="clear" w:color="auto" w:fill="FFFFFF"/>
        <w:spacing w:before="0" w:beforeAutospacing="0" w:after="0" w:afterAutospacing="0" w:line="360" w:lineRule="auto"/>
        <w:ind w:right="45"/>
        <w:jc w:val="both"/>
        <w:rPr>
          <w:rFonts w:ascii="Arial" w:hAnsi="Arial" w:cs="Arial"/>
        </w:rPr>
      </w:pPr>
      <w:r>
        <w:rPr>
          <w:rFonts w:ascii="Arial" w:hAnsi="Arial" w:cs="Arial"/>
          <w:shd w:val="clear" w:color="auto" w:fill="FFFFFF"/>
          <w:lang w:val="es-ES_tradnl"/>
        </w:rPr>
        <w:t>F</w:t>
      </w:r>
      <w:r>
        <w:rPr>
          <w:rFonts w:ascii="Arial" w:hAnsi="Arial" w:cs="Arial"/>
          <w:shd w:val="clear" w:color="auto" w:fill="FFFFFF"/>
        </w:rPr>
        <w:t xml:space="preserve">ue en 2014 cuando se originó el asunto que dio origen a la sentencia de la Gran Sala del TEDH. El 13 de agosto de 2014 </w:t>
      </w:r>
      <w:r>
        <w:rPr>
          <w:rFonts w:ascii="Arial" w:hAnsi="Arial" w:cs="Arial"/>
        </w:rPr>
        <w:t>dos jóvenes inmigrantes ilegales, uno procedente de Mali y otro de Costa de Marfil, que l</w:t>
      </w:r>
      <w:r w:rsidRPr="00476D7D">
        <w:rPr>
          <w:rFonts w:ascii="Arial" w:hAnsi="Arial" w:cs="Arial"/>
        </w:rPr>
        <w:t>legaron con otras setenta personas procedentes de países de África subsahariana</w:t>
      </w:r>
      <w:r>
        <w:rPr>
          <w:rFonts w:ascii="Arial" w:hAnsi="Arial" w:cs="Arial"/>
        </w:rPr>
        <w:t>, intentaron acceder ilegalmente a Melilla</w:t>
      </w:r>
      <w:r w:rsidRPr="00476D7D">
        <w:rPr>
          <w:rFonts w:ascii="Arial" w:hAnsi="Arial" w:cs="Arial"/>
        </w:rPr>
        <w:t>.</w:t>
      </w:r>
      <w:r>
        <w:rPr>
          <w:rFonts w:ascii="Arial" w:hAnsi="Arial" w:cs="Arial"/>
        </w:rPr>
        <w:t xml:space="preserve"> Después de permanecer varias horas encaramados en la última valla del puesto fronterizo de Melilla, fueron ayudados a bajar por la Guardia Civil, que, tras interceptarlos, los devolvió inmediatamente al lado marroquí de la frontera. El caso de su devolución llegó hasta el TEDH, que se tendría que pronunciar por vez primera sobre estas devoluciones desde Ceuta y Melilla a Marruecos, esto es, producidas bajo jurisdicción española, porque el vallado se encuentra en territorio español. Los dos inmigrantes interpusieron sendas demandas contra el Reino de España, en la que alegaron que ese retorno inmediato a Marruecos equivalía, en su opinión, a una expulsión colectiva y se quejaron de la falta de un recurso efectivo a este respecto y del riesgo maltrato al que supuestamente se enfrentaban en Marruecos. Afirmaron que no tuvieron oportunidad alguna de ser identificados, de explicar sus </w:t>
      </w:r>
      <w:r>
        <w:rPr>
          <w:rFonts w:ascii="Arial" w:hAnsi="Arial" w:cs="Arial"/>
        </w:rPr>
        <w:lastRenderedPageBreak/>
        <w:t>circunstancias personales e de impugnar su devolución mediante un recurso con efectos suspensivos.</w:t>
      </w:r>
    </w:p>
    <w:p w14:paraId="4322B617" w14:textId="79D4F5E8" w:rsidR="00476D7D" w:rsidRDefault="00476D7D" w:rsidP="00476D7D">
      <w:pPr>
        <w:pStyle w:val="NormalWeb"/>
        <w:shd w:val="clear" w:color="auto" w:fill="FFFFFF"/>
        <w:spacing w:line="360" w:lineRule="auto"/>
        <w:ind w:right="44"/>
        <w:jc w:val="both"/>
        <w:rPr>
          <w:rFonts w:ascii="Arial" w:hAnsi="Arial" w:cs="Arial"/>
        </w:rPr>
      </w:pPr>
      <w:r>
        <w:rPr>
          <w:rFonts w:ascii="Arial" w:hAnsi="Arial" w:cs="Arial"/>
        </w:rPr>
        <w:t>El TEDH tuvo que pronunciarse si estas devoluciones merec</w:t>
      </w:r>
      <w:r w:rsidR="009A6E55">
        <w:rPr>
          <w:rFonts w:ascii="Arial" w:hAnsi="Arial" w:cs="Arial"/>
        </w:rPr>
        <w:t>ían</w:t>
      </w:r>
      <w:r>
        <w:rPr>
          <w:rFonts w:ascii="Arial" w:hAnsi="Arial" w:cs="Arial"/>
        </w:rPr>
        <w:t xml:space="preserve"> la calificación de expulsión colectiva y, si en dicha actuación, se había respetado el CEDH. El TEDH, en sentencia de 3 de octubre de 2017 apreció, por unanimidad, que estas devoluciones vulneraron el derecho a no ser sometido a expulsiones colectivas de extranjeros establecido en el art. 4 del Protocolo n.º 4 al CEDH y también el derecho a un recurso efectivo garantizado por el art. 13 CEDH en relación con el art. 4 del Protocolo nº 4, porque no tuvieron acceso a ningún procedimiento tendente a su identificación y a la comprobación de sus circunstancias personales y no se les permitió realizar ningún trámite, sin posibilidad de solicitar refugio o asilo en el puesto fronterizo de Melilla. Estimó así la demanda de los dos inmigrantes expulsados y condenó, en consecuencia, a España a indemnizar a cada uno de los demandantes con </w:t>
      </w:r>
      <w:r w:rsidR="009A6E55">
        <w:rPr>
          <w:rFonts w:ascii="Arial" w:hAnsi="Arial" w:cs="Arial"/>
        </w:rPr>
        <w:t>cinco mil</w:t>
      </w:r>
      <w:r>
        <w:rPr>
          <w:rFonts w:ascii="Arial" w:hAnsi="Arial" w:cs="Arial"/>
        </w:rPr>
        <w:t xml:space="preserve"> euros.</w:t>
      </w:r>
    </w:p>
    <w:p w14:paraId="25B06FD1" w14:textId="77777777" w:rsidR="00476D7D" w:rsidRDefault="00476D7D" w:rsidP="00476D7D">
      <w:pPr>
        <w:pStyle w:val="NormalWeb"/>
        <w:shd w:val="clear" w:color="auto" w:fill="FFFFFF"/>
        <w:spacing w:line="360" w:lineRule="auto"/>
        <w:ind w:right="44"/>
        <w:jc w:val="both"/>
        <w:rPr>
          <w:rFonts w:ascii="Arial" w:hAnsi="Arial" w:cs="Arial"/>
        </w:rPr>
      </w:pPr>
      <w:r>
        <w:rPr>
          <w:rFonts w:ascii="Arial" w:hAnsi="Arial" w:cs="Arial"/>
        </w:rPr>
        <w:t xml:space="preserve">Sin embargo, la Gran Sala del TEDH, a la que el Gobierno español decidió solicitar la remisión del asunto, rectificó dicha sentencia, avalando así esta práctica cuando concurren tres factores: </w:t>
      </w:r>
    </w:p>
    <w:p w14:paraId="7CBE6822" w14:textId="7D69D240" w:rsidR="00476D7D" w:rsidRDefault="00476D7D" w:rsidP="00476D7D">
      <w:pPr>
        <w:pStyle w:val="NormalWeb"/>
        <w:shd w:val="clear" w:color="auto" w:fill="FFFFFF"/>
        <w:spacing w:line="360" w:lineRule="auto"/>
        <w:ind w:right="44"/>
        <w:jc w:val="both"/>
        <w:rPr>
          <w:rFonts w:ascii="Arial" w:hAnsi="Arial" w:cs="Arial"/>
        </w:rPr>
      </w:pPr>
      <w:r>
        <w:rPr>
          <w:rFonts w:ascii="Arial" w:hAnsi="Arial" w:cs="Arial"/>
        </w:rPr>
        <w:t xml:space="preserve">En primer lugar, la </w:t>
      </w:r>
      <w:r w:rsidRPr="003436C1">
        <w:rPr>
          <w:rFonts w:ascii="Arial" w:hAnsi="Arial" w:cs="Arial"/>
          <w:bCs/>
        </w:rPr>
        <w:t>prop</w:t>
      </w:r>
      <w:r w:rsidR="004D025F">
        <w:rPr>
          <w:rFonts w:ascii="Arial" w:hAnsi="Arial" w:cs="Arial"/>
          <w:bCs/>
        </w:rPr>
        <w:t xml:space="preserve">ia conducta de los demandantes </w:t>
      </w:r>
      <w:r w:rsidRPr="003436C1">
        <w:rPr>
          <w:rFonts w:ascii="Arial" w:hAnsi="Arial" w:cs="Arial"/>
          <w:bCs/>
        </w:rPr>
        <w:t>es un factor relevante para evaluar la protección que se debe otorgar</w:t>
      </w:r>
      <w:r w:rsidR="009A6E55">
        <w:rPr>
          <w:rFonts w:ascii="Arial" w:hAnsi="Arial" w:cs="Arial"/>
          <w:bCs/>
        </w:rPr>
        <w:t>. D</w:t>
      </w:r>
      <w:r w:rsidRPr="003436C1">
        <w:rPr>
          <w:rFonts w:ascii="Arial" w:hAnsi="Arial" w:cs="Arial"/>
          <w:bCs/>
        </w:rPr>
        <w:t>e acuerdo con jurisprudencia ya consolidada, dictamin</w:t>
      </w:r>
      <w:r w:rsidR="009A6E55">
        <w:rPr>
          <w:rFonts w:ascii="Arial" w:hAnsi="Arial" w:cs="Arial"/>
          <w:bCs/>
        </w:rPr>
        <w:t>ó</w:t>
      </w:r>
      <w:r w:rsidRPr="003436C1">
        <w:rPr>
          <w:rFonts w:ascii="Arial" w:hAnsi="Arial" w:cs="Arial"/>
          <w:bCs/>
        </w:rPr>
        <w:t xml:space="preserve"> que no hay vulneración del art. 4 del Protocolo n.º 4 cuando la ausencia de una decisión individual sobre la expulsión, previo examen de sus circunstancias </w:t>
      </w:r>
      <w:r w:rsidR="009A6E55" w:rsidRPr="003436C1">
        <w:rPr>
          <w:rFonts w:ascii="Arial" w:hAnsi="Arial" w:cs="Arial"/>
          <w:bCs/>
        </w:rPr>
        <w:t>personales</w:t>
      </w:r>
      <w:r w:rsidRPr="003436C1">
        <w:rPr>
          <w:rFonts w:ascii="Arial" w:hAnsi="Arial" w:cs="Arial"/>
          <w:bCs/>
        </w:rPr>
        <w:t xml:space="preserve"> es atribuible a la propia conducta del demandante </w:t>
      </w:r>
      <w:r w:rsidRPr="00893CE5">
        <w:rPr>
          <w:rFonts w:ascii="Arial" w:hAnsi="Arial" w:cs="Arial"/>
        </w:rPr>
        <w:t>(§</w:t>
      </w:r>
      <w:r>
        <w:rPr>
          <w:rFonts w:ascii="Arial" w:hAnsi="Arial" w:cs="Arial"/>
        </w:rPr>
        <w:t xml:space="preserve"> 200)</w:t>
      </w:r>
      <w:r>
        <w:rPr>
          <w:rStyle w:val="Refdenotaalpie"/>
          <w:rFonts w:ascii="Arial" w:hAnsi="Arial" w:cs="Arial"/>
        </w:rPr>
        <w:footnoteReference w:id="8"/>
      </w:r>
      <w:r>
        <w:rPr>
          <w:rFonts w:ascii="Arial" w:hAnsi="Arial" w:cs="Arial"/>
        </w:rPr>
        <w:t xml:space="preserve">. La doctrina de la propia conducta permitió a la Gran Sala de Estrasburgo concluir, por unanimidad, que el Estado español no violó la prohibición de realizar expulsiones colectivas, ni tampoco el derecho al recurso </w:t>
      </w:r>
      <w:r>
        <w:rPr>
          <w:rFonts w:ascii="Arial" w:hAnsi="Arial" w:cs="Arial"/>
        </w:rPr>
        <w:lastRenderedPageBreak/>
        <w:t xml:space="preserve">efectivo para impugnar la devolución de quienes previamente se habían situado al margen de la legalidad, al utilizar vías de hecho para traspasar la frontera. </w:t>
      </w:r>
    </w:p>
    <w:p w14:paraId="2FADDDEF" w14:textId="26D14DBF" w:rsidR="00476D7D" w:rsidRPr="00960A80" w:rsidRDefault="00476D7D" w:rsidP="00476D7D">
      <w:pPr>
        <w:pStyle w:val="NormalWeb"/>
        <w:shd w:val="clear" w:color="auto" w:fill="FFFFFF"/>
        <w:spacing w:line="360" w:lineRule="auto"/>
        <w:ind w:right="44"/>
        <w:jc w:val="both"/>
        <w:rPr>
          <w:rFonts w:ascii="Arial" w:hAnsi="Arial" w:cs="Arial"/>
        </w:rPr>
      </w:pPr>
      <w:r>
        <w:rPr>
          <w:rFonts w:ascii="Arial" w:hAnsi="Arial" w:cs="Arial"/>
        </w:rPr>
        <w:t xml:space="preserve">En segundo lugar, para evaluar una queja con arreglo al art. 4 del Protocolo n.º 4 no sólo </w:t>
      </w:r>
      <w:r w:rsidR="009A6E55">
        <w:rPr>
          <w:rFonts w:ascii="Arial" w:hAnsi="Arial" w:cs="Arial"/>
        </w:rPr>
        <w:t>debe aten</w:t>
      </w:r>
      <w:r w:rsidR="004D025F">
        <w:rPr>
          <w:rFonts w:ascii="Arial" w:hAnsi="Arial" w:cs="Arial"/>
        </w:rPr>
        <w:t>d</w:t>
      </w:r>
      <w:r w:rsidR="009A6E55">
        <w:rPr>
          <w:rFonts w:ascii="Arial" w:hAnsi="Arial" w:cs="Arial"/>
        </w:rPr>
        <w:t>erse</w:t>
      </w:r>
      <w:r>
        <w:rPr>
          <w:rFonts w:ascii="Arial" w:hAnsi="Arial" w:cs="Arial"/>
        </w:rPr>
        <w:t xml:space="preserve"> a la conducta del demandante sino también si el Estado demandado proporcionó un acceso real y efectivo a los medios legales de entrada existentes a tal efecto, en particular los procedimientos para facilitar este acceso</w:t>
      </w:r>
      <w:r w:rsidR="009A6E55">
        <w:rPr>
          <w:rFonts w:ascii="Arial" w:hAnsi="Arial" w:cs="Arial"/>
        </w:rPr>
        <w:t xml:space="preserve"> en la frontera</w:t>
      </w:r>
      <w:r>
        <w:rPr>
          <w:rFonts w:ascii="Arial" w:hAnsi="Arial" w:cs="Arial"/>
        </w:rPr>
        <w:t xml:space="preserve">. </w:t>
      </w:r>
      <w:r w:rsidR="009A6E55">
        <w:rPr>
          <w:rFonts w:ascii="Arial" w:hAnsi="Arial" w:cs="Arial"/>
        </w:rPr>
        <w:t>Consider</w:t>
      </w:r>
      <w:r w:rsidR="00E44030">
        <w:rPr>
          <w:rFonts w:ascii="Arial" w:hAnsi="Arial" w:cs="Arial"/>
        </w:rPr>
        <w:t>a</w:t>
      </w:r>
      <w:r w:rsidR="009A6E55">
        <w:rPr>
          <w:rFonts w:ascii="Arial" w:hAnsi="Arial" w:cs="Arial"/>
        </w:rPr>
        <w:t xml:space="preserve"> que e</w:t>
      </w:r>
      <w:r w:rsidR="00A44939">
        <w:rPr>
          <w:rFonts w:ascii="Arial" w:hAnsi="Arial" w:cs="Arial"/>
        </w:rPr>
        <w:t xml:space="preserve">ste requisito </w:t>
      </w:r>
      <w:r>
        <w:rPr>
          <w:rFonts w:ascii="Arial" w:hAnsi="Arial" w:cs="Arial"/>
        </w:rPr>
        <w:t xml:space="preserve">está en sintonía con la línea jurisprudencial establecida en casos anteriores, que sostiene que no hay violación del art. 4 del protocolo n.º 4 si la ausencia de resoluciones individuales de expulsión es consecuencia de la propia conducta del solicitante, aun cuando quisieran hacer valer los derechos derivados del Convenio, al no utilizar los cauces legales existentes que el Estado español puso a su disposición de manera real y efectiva </w:t>
      </w:r>
      <w:r w:rsidRPr="00893CE5">
        <w:rPr>
          <w:rFonts w:ascii="Arial" w:hAnsi="Arial" w:cs="Arial"/>
        </w:rPr>
        <w:t>(§</w:t>
      </w:r>
      <w:r>
        <w:rPr>
          <w:rFonts w:ascii="Arial" w:hAnsi="Arial" w:cs="Arial"/>
        </w:rPr>
        <w:t xml:space="preserve"> 231). Por tanto, “cuando tales mecanismos de entrada legal existan y aseguren el derecho de solicitar la protección que otorga la Convención, y en particular su art. 3, de forma real y efectiva, la Convención no obsta a que los Estados parte, en cumplimiento de su obligación (Shengen) de controlar las fronteras, exijan que las solicitudes de protección se presenten en los puestos fronterizos existentes (§ 210). </w:t>
      </w:r>
    </w:p>
    <w:p w14:paraId="4D9CF7E7" w14:textId="79F0646F" w:rsidR="00E44030" w:rsidRDefault="00476D7D" w:rsidP="00476D7D">
      <w:pPr>
        <w:pStyle w:val="NormalWeb"/>
        <w:shd w:val="clear" w:color="auto" w:fill="FFFFFF"/>
        <w:spacing w:line="360" w:lineRule="auto"/>
        <w:ind w:right="44"/>
        <w:jc w:val="both"/>
        <w:rPr>
          <w:rFonts w:ascii="Arial" w:hAnsi="Arial" w:cs="Arial"/>
        </w:rPr>
      </w:pPr>
      <w:r>
        <w:rPr>
          <w:rFonts w:ascii="Arial" w:hAnsi="Arial" w:cs="Arial"/>
        </w:rPr>
        <w:t>Pero, además, el TEDH requiere que aun cuando el Estado demandado haya facilitado dicho acceso, pero un demandante no lo utilice, se debe evaluar también si concurrieron “</w:t>
      </w:r>
      <w:r w:rsidRPr="00A82627">
        <w:rPr>
          <w:rFonts w:ascii="Arial" w:hAnsi="Arial" w:cs="Arial"/>
          <w:bCs/>
        </w:rPr>
        <w:t>razones de peso para no usar esos medios de acceso, fundadas en hechos objetivos de los que el Estado correspondiente sea responsable</w:t>
      </w:r>
      <w:r>
        <w:rPr>
          <w:rFonts w:ascii="Arial" w:hAnsi="Arial" w:cs="Arial"/>
        </w:rPr>
        <w:t>” (§ 201).</w:t>
      </w:r>
      <w:r w:rsidR="009A6E55">
        <w:rPr>
          <w:rFonts w:ascii="Arial" w:hAnsi="Arial" w:cs="Arial"/>
        </w:rPr>
        <w:t xml:space="preserve"> </w:t>
      </w:r>
      <w:r>
        <w:rPr>
          <w:rFonts w:ascii="Arial" w:hAnsi="Arial" w:cs="Arial"/>
        </w:rPr>
        <w:t>En este caso concreto, el TEDH razona que no existieron tales razones de peso. Es más el TEDH reprende a los demandantes por no dar una explicación sobre los motivos por los que no intentaron acceder a España por vías legales, solicitando protección internacional en el puesto fronterizo  o en las representaciones diplomáticas españolas,  argumentando que el consulado español está a unos 13,5 Km. del lugar donde se produjo el asalto a las vallas y que permanecieron dos años en el caso de N.D. y un año y nueve meses en el caso de N.T. en un campamento desde el que podrían haber viajado hasta el consulado. Afirm</w:t>
      </w:r>
      <w:r w:rsidR="00E44030">
        <w:rPr>
          <w:rFonts w:ascii="Arial" w:hAnsi="Arial" w:cs="Arial"/>
        </w:rPr>
        <w:t>a</w:t>
      </w:r>
      <w:r>
        <w:rPr>
          <w:rFonts w:ascii="Arial" w:hAnsi="Arial" w:cs="Arial"/>
        </w:rPr>
        <w:t xml:space="preserve"> que “no dieron ninguna explicación sobre por qué no </w:t>
      </w:r>
      <w:r>
        <w:rPr>
          <w:rFonts w:ascii="Arial" w:hAnsi="Arial" w:cs="Arial"/>
        </w:rPr>
        <w:lastRenderedPageBreak/>
        <w:t xml:space="preserve">lo hicieron. De hecho, ni siquiera alegaron que se les hubiera impedido utilizar dichas posibilidades” (§ 227). </w:t>
      </w:r>
      <w:r w:rsidR="00E44030">
        <w:rPr>
          <w:rFonts w:ascii="Arial" w:hAnsi="Arial" w:cs="Arial"/>
        </w:rPr>
        <w:t>T</w:t>
      </w:r>
      <w:r>
        <w:rPr>
          <w:rFonts w:ascii="Arial" w:hAnsi="Arial" w:cs="Arial"/>
        </w:rPr>
        <w:t>ampoco</w:t>
      </w:r>
      <w:r w:rsidR="00E44030">
        <w:rPr>
          <w:rFonts w:ascii="Arial" w:hAnsi="Arial" w:cs="Arial"/>
        </w:rPr>
        <w:t xml:space="preserve">, argumenta, </w:t>
      </w:r>
      <w:r>
        <w:rPr>
          <w:rFonts w:ascii="Arial" w:hAnsi="Arial" w:cs="Arial"/>
        </w:rPr>
        <w:t xml:space="preserve">recurrieron a la posibilidad real y efectiva de solicitar un visado en otras embajadas españolas, ya fuese en sus países de origen o en alguno de los países por los que habían transitado desde 2012, </w:t>
      </w:r>
      <w:r w:rsidR="00E44030">
        <w:rPr>
          <w:rFonts w:ascii="Arial" w:hAnsi="Arial" w:cs="Arial"/>
        </w:rPr>
        <w:t xml:space="preserve">por el contrario, </w:t>
      </w:r>
      <w:r>
        <w:rPr>
          <w:rFonts w:ascii="Arial" w:hAnsi="Arial" w:cs="Arial"/>
        </w:rPr>
        <w:t>el gobierno español informó del número considerable de permisos de trabajo a ciudadanos de Malí y Costa de Marfil que se habían expedido en el período</w:t>
      </w:r>
      <w:r w:rsidR="00E44030">
        <w:rPr>
          <w:rFonts w:ascii="Arial" w:hAnsi="Arial" w:cs="Arial"/>
        </w:rPr>
        <w:t xml:space="preserve"> </w:t>
      </w:r>
      <w:r>
        <w:rPr>
          <w:rFonts w:ascii="Arial" w:hAnsi="Arial" w:cs="Arial"/>
        </w:rPr>
        <w:t>(§ 228).</w:t>
      </w:r>
    </w:p>
    <w:p w14:paraId="659C9746" w14:textId="03CD94BC" w:rsidR="00476D7D" w:rsidRDefault="00E44030" w:rsidP="00476D7D">
      <w:pPr>
        <w:pStyle w:val="NormalWeb"/>
        <w:shd w:val="clear" w:color="auto" w:fill="FFFFFF"/>
        <w:spacing w:line="360" w:lineRule="auto"/>
        <w:ind w:right="44"/>
        <w:jc w:val="both"/>
        <w:rPr>
          <w:rFonts w:ascii="Arial" w:hAnsi="Arial" w:cs="Arial"/>
        </w:rPr>
      </w:pPr>
      <w:r>
        <w:rPr>
          <w:rFonts w:ascii="Arial" w:hAnsi="Arial" w:cs="Arial"/>
        </w:rPr>
        <w:t xml:space="preserve">En definitiva, </w:t>
      </w:r>
      <w:r w:rsidR="00476D7D">
        <w:rPr>
          <w:rFonts w:ascii="Arial" w:hAnsi="Arial" w:cs="Arial"/>
        </w:rPr>
        <w:t>concluy</w:t>
      </w:r>
      <w:r>
        <w:rPr>
          <w:rFonts w:ascii="Arial" w:hAnsi="Arial" w:cs="Arial"/>
        </w:rPr>
        <w:t xml:space="preserve">ó </w:t>
      </w:r>
      <w:r w:rsidR="00476D7D">
        <w:rPr>
          <w:rFonts w:ascii="Arial" w:hAnsi="Arial" w:cs="Arial"/>
        </w:rPr>
        <w:t xml:space="preserve"> que la ausencia de </w:t>
      </w:r>
      <w:r w:rsidR="00476D7D" w:rsidRPr="00476D7D">
        <w:rPr>
          <w:rFonts w:ascii="Arial" w:hAnsi="Arial" w:cs="Arial"/>
        </w:rPr>
        <w:t xml:space="preserve">razones de peso imputables al Estado demandado para hacer uso del procedimiento legal de entrada implica que   </w:t>
      </w:r>
      <w:r w:rsidR="00476D7D">
        <w:rPr>
          <w:rFonts w:ascii="Arial" w:hAnsi="Arial" w:cs="Arial"/>
        </w:rPr>
        <w:t xml:space="preserve">los inmigrantes subsaharianos optaron así </w:t>
      </w:r>
      <w:r w:rsidR="004D025F">
        <w:rPr>
          <w:rFonts w:ascii="Arial" w:hAnsi="Arial" w:cs="Arial"/>
        </w:rPr>
        <w:t xml:space="preserve">voluntariamente </w:t>
      </w:r>
      <w:r w:rsidR="00476D7D">
        <w:rPr>
          <w:rFonts w:ascii="Arial" w:hAnsi="Arial" w:cs="Arial"/>
        </w:rPr>
        <w:t>por no utilizar los procedimientos legales, por lo que la falta de un procedimiento individualizado para su devolución fue consecuencia de la propia conducta de los demandantes al intentar entrar sin autorización en Melilla, por lo que no puede considerarse responsable al Estado demandado por no haber puesto a su disposición un recurso judicial contra dicha expulsión.</w:t>
      </w:r>
    </w:p>
    <w:p w14:paraId="436452B6" w14:textId="6AF29689" w:rsidR="00476D7D" w:rsidRPr="00F246E7" w:rsidRDefault="00E44030" w:rsidP="00476D7D">
      <w:pPr>
        <w:pStyle w:val="NormalWeb"/>
        <w:shd w:val="clear" w:color="auto" w:fill="FFFFFF"/>
        <w:spacing w:line="360" w:lineRule="auto"/>
        <w:ind w:right="44"/>
        <w:jc w:val="both"/>
        <w:rPr>
          <w:rFonts w:ascii="Arial" w:hAnsi="Arial" w:cs="Arial"/>
          <w:i/>
        </w:rPr>
      </w:pPr>
      <w:r>
        <w:rPr>
          <w:rFonts w:ascii="Arial" w:hAnsi="Arial" w:cs="Arial"/>
        </w:rPr>
        <w:t xml:space="preserve">La doctrina contenida en esta sentencia ampara a </w:t>
      </w:r>
      <w:r w:rsidR="00476D7D">
        <w:rPr>
          <w:rFonts w:ascii="Arial" w:hAnsi="Arial" w:cs="Arial"/>
        </w:rPr>
        <w:t>los Estados parte p</w:t>
      </w:r>
      <w:r>
        <w:rPr>
          <w:rFonts w:ascii="Arial" w:hAnsi="Arial" w:cs="Arial"/>
        </w:rPr>
        <w:t>ara</w:t>
      </w:r>
      <w:r w:rsidR="00476D7D">
        <w:rPr>
          <w:rFonts w:ascii="Arial" w:hAnsi="Arial" w:cs="Arial"/>
        </w:rPr>
        <w:t xml:space="preserve"> denegar la entrada en su territorio de los extranjeros, incluido los peticionarios de asilo, que, sin concurrir motivos de peso basados en hechos objetivos de los que sea responsable el Estado demandado (§ 229), no hayan hecho uso de los procedimientos legales existentes para obtener la entrada legal en territorio español, tratando de cruzar la frontera por lugares distintos a los habilitados,  y especialmente, razona el TEDH, cuando lo han intentado aprovechando </w:t>
      </w:r>
      <w:r w:rsidR="00476D7D" w:rsidRPr="00A82627">
        <w:rPr>
          <w:rFonts w:ascii="Arial" w:hAnsi="Arial" w:cs="Arial"/>
          <w:bCs/>
        </w:rPr>
        <w:t>su gran número y utilizando la fuerza</w:t>
      </w:r>
      <w:r w:rsidR="00476D7D">
        <w:rPr>
          <w:rFonts w:ascii="Arial" w:hAnsi="Arial" w:cs="Arial"/>
        </w:rPr>
        <w:t xml:space="preserve"> (§ 210, 231).</w:t>
      </w:r>
    </w:p>
    <w:p w14:paraId="7AC5FABD" w14:textId="77777777" w:rsidR="00476D7D" w:rsidRDefault="00476D7D" w:rsidP="00476D7D">
      <w:pPr>
        <w:pStyle w:val="NormalWeb"/>
        <w:shd w:val="clear" w:color="auto" w:fill="FFFFFF"/>
        <w:spacing w:line="360" w:lineRule="auto"/>
        <w:ind w:right="44"/>
        <w:jc w:val="both"/>
        <w:rPr>
          <w:rFonts w:ascii="Arial" w:hAnsi="Arial" w:cs="Arial"/>
        </w:rPr>
      </w:pPr>
      <w:r>
        <w:rPr>
          <w:rFonts w:ascii="Arial" w:hAnsi="Arial" w:cs="Arial"/>
        </w:rPr>
        <w:t xml:space="preserve">Este fue el razonamiento seguido para anular el fallo previo del propio tribunal, considerando que España actuó conforme a derecho, por lo que revocó la condena inicial y avaló así las devoluciones sumarias de estos dos subsaharianos, quienes “decidieron no utilizar las vías legales existentes”, saltando la valla,  y, por consiguiente, “se pusieron ellos mismos en una situación de ilegalidad” al intentar  deliberadamente acceder “de forma irregular” a territorio español, recurriendo además a “la fuerza” y al “efecto masa”.  </w:t>
      </w:r>
    </w:p>
    <w:p w14:paraId="183110B6" w14:textId="1E09C8EA" w:rsidR="00476D7D" w:rsidRDefault="00476D7D" w:rsidP="00476D7D">
      <w:pPr>
        <w:pStyle w:val="NormalWeb"/>
        <w:shd w:val="clear" w:color="auto" w:fill="FFFFFF"/>
        <w:spacing w:line="360" w:lineRule="auto"/>
        <w:ind w:right="44"/>
        <w:jc w:val="both"/>
        <w:rPr>
          <w:rFonts w:ascii="Arial" w:hAnsi="Arial" w:cs="Arial"/>
        </w:rPr>
      </w:pPr>
      <w:r>
        <w:rPr>
          <w:rFonts w:ascii="Arial" w:hAnsi="Arial" w:cs="Arial"/>
        </w:rPr>
        <w:lastRenderedPageBreak/>
        <w:t xml:space="preserve">De todo ello se deduce que el TEDH condiciona así el cumplimiento del principio de no devolución a dos criterios: la conducta de los demandantes y la existencia de impedimentos objetivos para acceder a las vías para entrar legalmente en España, en particular, a través de procedimientos en frontera. Al concurrir ambos elementos, el TEDH dio luz verde a las devoluciones </w:t>
      </w:r>
      <w:r w:rsidR="00E44030">
        <w:rPr>
          <w:rFonts w:ascii="Arial" w:hAnsi="Arial" w:cs="Arial"/>
        </w:rPr>
        <w:t>expeditiv</w:t>
      </w:r>
      <w:r>
        <w:rPr>
          <w:rFonts w:ascii="Arial" w:hAnsi="Arial" w:cs="Arial"/>
        </w:rPr>
        <w:t>as de las personas extranjeras, utilizando como argumento principal el intento de cruce irregular de la línea fronteriza sin razones que lo justifiquen, decisión que refuerza con otros dos criterios adicionales, que no necesarios: prevalecerse de su gran número, así como el uso de la fuerza. Por tanto, no es un requisito necesario que concurran las circunstancias de actuación “en grupo numeroso” y/o “con violencia” para la aplicación del precepto, sino que basta el intento por personas individualizadas de entrar en España y ser sorprendidos en las vallas fronterizas de Ceuta y Melilla.</w:t>
      </w:r>
    </w:p>
    <w:p w14:paraId="2820A0FD" w14:textId="06AF3AA7" w:rsidR="00A82627" w:rsidRPr="00492CB9" w:rsidRDefault="00E44030" w:rsidP="00492CB9">
      <w:pPr>
        <w:pStyle w:val="NormalWeb"/>
        <w:shd w:val="clear" w:color="auto" w:fill="FFFFFF"/>
        <w:spacing w:line="360" w:lineRule="auto"/>
        <w:ind w:right="44"/>
        <w:jc w:val="both"/>
        <w:rPr>
          <w:rFonts w:ascii="Arial" w:hAnsi="Arial" w:cs="Arial"/>
        </w:rPr>
      </w:pPr>
      <w:r>
        <w:rPr>
          <w:rFonts w:ascii="Arial" w:hAnsi="Arial" w:cs="Arial"/>
        </w:rPr>
        <w:t>S</w:t>
      </w:r>
      <w:r w:rsidR="00476D7D">
        <w:rPr>
          <w:rFonts w:ascii="Arial" w:hAnsi="Arial" w:cs="Arial"/>
        </w:rPr>
        <w:t xml:space="preserve">i se intenta una entrada ilegal por una frontera terrestre cuando se podía haber intentado la entrada legalmente por la oficina de protección internacional ubicada en el paso autorizado, no puede entenderse que haya ausencia de recurso efectivo contra la negativa de entrada. Estrasburgo expone que la ley española ofrece varias vías para lograr la admisión en el territorio nacional por procedimientos legales, por lo que la devolución fue resultado de su propia conducta, ya que los inmigrantes se colocaron ellos mismos en una situación ilegal cuando intentaron de forma deliberada entrar en España por un lugar no autorizado, prevaliéndose de su gran número y del uso de la fuerza.  En consecuencia, no se puede responsabilizar al Estado, porque podrían haber solicitado una visa o protección internacional, en particular, en el paso fronterizo, pero también en las representaciones diplomáticas y consulares de España en sus respectivos países de origen, de tránsito o en Marruecos. </w:t>
      </w:r>
    </w:p>
    <w:p w14:paraId="0D4DD340" w14:textId="2DDEC148" w:rsidR="00E309D7" w:rsidRDefault="00A82627" w:rsidP="00E309D7">
      <w:pPr>
        <w:pStyle w:val="NormalWeb"/>
        <w:shd w:val="clear" w:color="auto" w:fill="FFFFFF"/>
        <w:spacing w:line="360" w:lineRule="auto"/>
        <w:ind w:right="44"/>
        <w:jc w:val="both"/>
        <w:rPr>
          <w:rFonts w:ascii="Arial" w:hAnsi="Arial" w:cs="Arial"/>
        </w:rPr>
      </w:pPr>
      <w:r>
        <w:rPr>
          <w:rFonts w:ascii="Arial" w:hAnsi="Arial" w:cs="Arial"/>
        </w:rPr>
        <w:t>Con fundamento en esta jurisprudencia, el Tribunal Constitucional español se pronunció sobre la constitucionalidad del rechazo en frontera</w:t>
      </w:r>
      <w:r w:rsidR="00E44030">
        <w:rPr>
          <w:rFonts w:ascii="Arial" w:hAnsi="Arial" w:cs="Arial"/>
        </w:rPr>
        <w:t xml:space="preserve"> </w:t>
      </w:r>
      <w:r w:rsidR="008A722E">
        <w:rPr>
          <w:rFonts w:ascii="Arial" w:hAnsi="Arial" w:cs="Arial"/>
        </w:rPr>
        <w:t xml:space="preserve">delimitando </w:t>
      </w:r>
      <w:r w:rsidR="00F340D4">
        <w:rPr>
          <w:rFonts w:ascii="Arial" w:hAnsi="Arial" w:cs="Arial"/>
        </w:rPr>
        <w:t>en qué circunstancias es admisible</w:t>
      </w:r>
      <w:r>
        <w:rPr>
          <w:rFonts w:ascii="Arial" w:hAnsi="Arial" w:cs="Arial"/>
        </w:rPr>
        <w:t xml:space="preserve">. En su examen de la legislación de extranjería, </w:t>
      </w:r>
      <w:r w:rsidR="00E309D7">
        <w:rPr>
          <w:rFonts w:ascii="Arial" w:hAnsi="Arial" w:cs="Arial"/>
        </w:rPr>
        <w:t xml:space="preserve">parte de la premisa de que “el derecho a entrar en España no es un derecho fundamental del que sean titulares los extranjeros con apoyo en el art. 19 CE” </w:t>
      </w:r>
      <w:r w:rsidR="00E309D7">
        <w:rPr>
          <w:rFonts w:ascii="Arial" w:hAnsi="Arial" w:cs="Arial"/>
        </w:rPr>
        <w:lastRenderedPageBreak/>
        <w:t>(STC 236/2007, FJ 12), estando la entrada condicionada al cumplimiento de los requisitos de la normat</w:t>
      </w:r>
      <w:r w:rsidR="00E03C0B">
        <w:rPr>
          <w:rFonts w:ascii="Arial" w:hAnsi="Arial" w:cs="Arial"/>
        </w:rPr>
        <w:t>iva de extranjería (art. 25 LOEX y art.4 RLOEX</w:t>
      </w:r>
      <w:r w:rsidR="00E309D7">
        <w:rPr>
          <w:rFonts w:ascii="Arial" w:hAnsi="Arial" w:cs="Arial"/>
        </w:rPr>
        <w:t>)</w:t>
      </w:r>
      <w:r w:rsidR="00F340D4">
        <w:rPr>
          <w:rFonts w:ascii="Arial" w:hAnsi="Arial" w:cs="Arial"/>
        </w:rPr>
        <w:t>.</w:t>
      </w:r>
    </w:p>
    <w:p w14:paraId="7DAE001C" w14:textId="3E8ECF96" w:rsidR="00E309D7" w:rsidRDefault="00E309D7" w:rsidP="00E309D7">
      <w:pPr>
        <w:pStyle w:val="NormalWeb"/>
        <w:shd w:val="clear" w:color="auto" w:fill="FFFFFF"/>
        <w:spacing w:line="360" w:lineRule="auto"/>
        <w:ind w:right="44"/>
        <w:jc w:val="both"/>
        <w:rPr>
          <w:rFonts w:ascii="Arial" w:hAnsi="Arial" w:cs="Arial"/>
        </w:rPr>
      </w:pPr>
      <w:r>
        <w:rPr>
          <w:rFonts w:ascii="Arial" w:hAnsi="Arial" w:cs="Arial"/>
        </w:rPr>
        <w:t xml:space="preserve">El TC aclara, en primer lugar, que no resulta trascendente si el “rechazo en frontera” se produce antes, durante o después de traspasar los límites fronterizos, lo relevante es que se trata de acciones llevadas a cabo por miembros de las fuerzas y cuerpos de seguridad españoles, esto es, que se está ante una actividad de las autoridades y funcionarios españoles, incluso si aquella se desarrolla en un espacio situado más allá del territorio español, y , por tanto, está sometida al estricto cumplimiento de la Constitución y del resto del ordenamiento jurídico (art. 9.1 CE), además de tener que respetar la normativa internacional de derechos humanos y de protección internacional:  </w:t>
      </w:r>
    </w:p>
    <w:p w14:paraId="1747256A" w14:textId="77777777" w:rsidR="00E309D7" w:rsidRDefault="00E309D7" w:rsidP="00E309D7">
      <w:pPr>
        <w:pStyle w:val="NormalWeb"/>
        <w:shd w:val="clear" w:color="auto" w:fill="FFFFFF"/>
        <w:spacing w:line="360" w:lineRule="auto"/>
        <w:ind w:left="708" w:right="44"/>
        <w:jc w:val="both"/>
        <w:rPr>
          <w:rFonts w:ascii="Arial" w:hAnsi="Arial" w:cs="Arial"/>
        </w:rPr>
      </w:pPr>
      <w:r>
        <w:rPr>
          <w:rFonts w:ascii="Arial" w:hAnsi="Arial" w:cs="Arial"/>
        </w:rPr>
        <w:t xml:space="preserve">“los extranjeros aprehendidos, al intentar superar los elementos de contención, pasan a estar bajo el control y jurisdicción de los miembros de los cuerpos y fuerzas de seguridad y, por tanto, del Estado español, resultando irrelevante si dichos elementos –la valla- se sitúan o no en territorio bajo soberanía española, por lo que debe serles de aplicación la legislación en materia de extranjería y, por tanto, le son aplicables las garantías previstas en nuestro ordenamiento jurídico (FJ 8.C) (i)”. </w:t>
      </w:r>
    </w:p>
    <w:p w14:paraId="1F731513" w14:textId="0460B7E4" w:rsidR="00E309D7" w:rsidRDefault="00E309D7" w:rsidP="00E309D7">
      <w:pPr>
        <w:pStyle w:val="NormalWeb"/>
        <w:shd w:val="clear" w:color="auto" w:fill="FFFFFF"/>
        <w:spacing w:line="360" w:lineRule="auto"/>
        <w:ind w:right="44"/>
        <w:jc w:val="both"/>
        <w:rPr>
          <w:rFonts w:ascii="Arial" w:hAnsi="Arial" w:cs="Arial"/>
        </w:rPr>
      </w:pPr>
      <w:r>
        <w:rPr>
          <w:rFonts w:ascii="Arial" w:hAnsi="Arial" w:cs="Arial"/>
        </w:rPr>
        <w:t xml:space="preserve">Recurre para sustentar su posición a la misma línea seguida por el TEDH, que considera que: “desde el momento en que en un Estado, a través de sus agentes que operan fuera de su territorio, ejercen su control y su autoridad sobre un individuo, y por consiguiente su jurisdicción, recae sobre él, en virtud del art. 1, una obligación de reconocer a aquel los derechos y libertades definidos en el título I del Convenio que atañen a su caso”, por cuanto no puede admitirse la existencia de “zonas de no derecho” donde los individuos no estén amparados por un sistema jurídico capaz de brindarles el disfrute de los derechos y garantías protegidos por el Convenio Europeo de Derechos Humanos  (STEH de 23 de </w:t>
      </w:r>
      <w:r w:rsidR="00BA4C9F">
        <w:rPr>
          <w:rFonts w:ascii="Arial" w:hAnsi="Arial" w:cs="Arial"/>
        </w:rPr>
        <w:t>febrero de 2012, caso Hirsi Jam</w:t>
      </w:r>
      <w:r>
        <w:rPr>
          <w:rFonts w:ascii="Arial" w:hAnsi="Arial" w:cs="Arial"/>
        </w:rPr>
        <w:t xml:space="preserve">aa y otros c. Italia, § 74 y 178 a 180). </w:t>
      </w:r>
    </w:p>
    <w:p w14:paraId="1CFC2AE8" w14:textId="168C0C48" w:rsidR="00E309D7" w:rsidRDefault="00E309D7" w:rsidP="00E309D7">
      <w:pPr>
        <w:pStyle w:val="NormalWeb"/>
        <w:shd w:val="clear" w:color="auto" w:fill="FFFFFF"/>
        <w:spacing w:line="360" w:lineRule="auto"/>
        <w:ind w:right="44"/>
        <w:jc w:val="both"/>
        <w:rPr>
          <w:rFonts w:ascii="Arial" w:hAnsi="Arial" w:cs="Arial"/>
        </w:rPr>
      </w:pPr>
      <w:r>
        <w:rPr>
          <w:rFonts w:ascii="Arial" w:hAnsi="Arial" w:cs="Arial"/>
        </w:rPr>
        <w:t xml:space="preserve">Realizada tal aclaración, el TC define el rechazo en frontera como “una actuación material </w:t>
      </w:r>
      <w:r w:rsidRPr="00D366C9">
        <w:rPr>
          <w:rFonts w:ascii="Arial" w:hAnsi="Arial" w:cs="Arial"/>
          <w:i/>
        </w:rPr>
        <w:t>de  vigilancia</w:t>
      </w:r>
      <w:r>
        <w:rPr>
          <w:rFonts w:ascii="Arial" w:hAnsi="Arial" w:cs="Arial"/>
        </w:rPr>
        <w:t xml:space="preserve"> de carácter coactivo orientada a restablecer </w:t>
      </w:r>
      <w:r>
        <w:rPr>
          <w:rFonts w:ascii="Arial" w:hAnsi="Arial" w:cs="Arial"/>
        </w:rPr>
        <w:lastRenderedPageBreak/>
        <w:t>inmediatamente la legalidad transgredida por el intento por parte de las personas extranjeras de cruzar irregularmente esta concreta frontera terrestre” y, por ende, tal actuación es constitucional, “sin perjuicio del control judicial que proceda realizarse en virtud de las acciones y recursos que interponga, en cada caso concreto, la persona extranjera”</w:t>
      </w:r>
      <w:r w:rsidR="00A82627">
        <w:rPr>
          <w:rFonts w:ascii="Arial" w:hAnsi="Arial" w:cs="Arial"/>
        </w:rPr>
        <w:t xml:space="preserve"> (FJ 8.C)</w:t>
      </w:r>
      <w:r>
        <w:rPr>
          <w:rFonts w:ascii="Arial" w:hAnsi="Arial" w:cs="Arial"/>
        </w:rPr>
        <w:t>.</w:t>
      </w:r>
    </w:p>
    <w:p w14:paraId="1106D82E" w14:textId="709F1261" w:rsidR="00E309D7" w:rsidRDefault="00E309D7" w:rsidP="00E309D7">
      <w:pPr>
        <w:pStyle w:val="NormalWeb"/>
        <w:shd w:val="clear" w:color="auto" w:fill="FFFFFF"/>
        <w:spacing w:line="360" w:lineRule="auto"/>
        <w:ind w:right="44"/>
        <w:jc w:val="both"/>
        <w:rPr>
          <w:rFonts w:ascii="Arial" w:hAnsi="Arial" w:cs="Arial"/>
        </w:rPr>
      </w:pPr>
      <w:r>
        <w:rPr>
          <w:rFonts w:ascii="Arial" w:hAnsi="Arial" w:cs="Arial"/>
        </w:rPr>
        <w:t xml:space="preserve">En línea con la jurisprudencia del TEDH, el TC fundamenta la devolución automática en la propia conducta de los demandantes, que no utilizaron los procedimientos oficiales de entrada regular, </w:t>
      </w:r>
      <w:r w:rsidR="004D025F">
        <w:rPr>
          <w:rFonts w:ascii="Arial" w:hAnsi="Arial" w:cs="Arial"/>
        </w:rPr>
        <w:t xml:space="preserve">lo que unido a las circunstancias del </w:t>
      </w:r>
      <w:r w:rsidR="00D0648A">
        <w:rPr>
          <w:rFonts w:ascii="Arial" w:hAnsi="Arial" w:cs="Arial"/>
        </w:rPr>
        <w:t>“uso de la fuerza” y del “</w:t>
      </w:r>
      <w:r>
        <w:rPr>
          <w:rFonts w:ascii="Arial" w:hAnsi="Arial" w:cs="Arial"/>
        </w:rPr>
        <w:t xml:space="preserve">número elevado de personas que intentaron acceder”, </w:t>
      </w:r>
      <w:r w:rsidR="00D0648A">
        <w:rPr>
          <w:rFonts w:ascii="Arial" w:hAnsi="Arial" w:cs="Arial"/>
        </w:rPr>
        <w:t>legitima que los inmigrantes no quede</w:t>
      </w:r>
      <w:r>
        <w:rPr>
          <w:rFonts w:ascii="Arial" w:hAnsi="Arial" w:cs="Arial"/>
        </w:rPr>
        <w:t>n amparados por la protección que ofrece el CEDH.</w:t>
      </w:r>
    </w:p>
    <w:p w14:paraId="5A5B9EB6" w14:textId="061043AA" w:rsidR="00E309D7" w:rsidRDefault="00D0648A" w:rsidP="00E309D7">
      <w:pPr>
        <w:pStyle w:val="NormalWeb"/>
        <w:shd w:val="clear" w:color="auto" w:fill="FFFFFF"/>
        <w:spacing w:line="360" w:lineRule="auto"/>
        <w:ind w:right="44"/>
        <w:jc w:val="both"/>
        <w:rPr>
          <w:rFonts w:ascii="Arial" w:hAnsi="Arial" w:cs="Arial"/>
        </w:rPr>
      </w:pPr>
      <w:r>
        <w:rPr>
          <w:rFonts w:ascii="Arial" w:hAnsi="Arial" w:cs="Arial"/>
        </w:rPr>
        <w:t>En cuanto a la</w:t>
      </w:r>
      <w:r w:rsidR="00E309D7">
        <w:rPr>
          <w:rFonts w:ascii="Arial" w:hAnsi="Arial" w:cs="Arial"/>
        </w:rPr>
        <w:t xml:space="preserve"> posible colisión</w:t>
      </w:r>
      <w:r w:rsidR="00A11AA4">
        <w:rPr>
          <w:rFonts w:ascii="Arial" w:hAnsi="Arial" w:cs="Arial"/>
        </w:rPr>
        <w:t xml:space="preserve"> con el principio</w:t>
      </w:r>
      <w:r w:rsidR="00D41514">
        <w:rPr>
          <w:rFonts w:ascii="Arial" w:hAnsi="Arial" w:cs="Arial"/>
        </w:rPr>
        <w:t xml:space="preserve"> de legalidad administrativa, </w:t>
      </w:r>
      <w:r w:rsidR="00A44939">
        <w:rPr>
          <w:rFonts w:ascii="Arial" w:hAnsi="Arial" w:cs="Arial"/>
        </w:rPr>
        <w:t>l</w:t>
      </w:r>
      <w:r w:rsidR="00E309D7">
        <w:rPr>
          <w:rFonts w:ascii="Arial" w:hAnsi="Arial" w:cs="Arial"/>
        </w:rPr>
        <w:t>os recurrentes alegaron que se está ante una vía de hecho, al tratarse de una actuación administrativa llevada a cabo prescindiendo de todo procedimiento. Argumento que es rebatido por el TC, con doctrina constitucional ya asentada, según la que no forma parte “de la garantía otorgada por el art. 106 CE un derecho a la completa tramitación de un procedimiento administrativo en materia de extranjería que concluya, en todo caso, con una resolución sobre el fondo del asunto. Por el contrario, las garantías derivadas de este precepto constitucional se satisfacen si los interesados tienen derecho a someter al examen de los tribunales la legalidad de lo que ellos consideran un incumplimiento por parte de la administración de las obligaciones nacidas de la ley” (STC 17/2013, FJ 13).</w:t>
      </w:r>
      <w:r w:rsidR="0002472A">
        <w:rPr>
          <w:rFonts w:ascii="Arial" w:hAnsi="Arial" w:cs="Arial"/>
        </w:rPr>
        <w:t xml:space="preserve"> </w:t>
      </w:r>
      <w:r w:rsidR="00E309D7">
        <w:rPr>
          <w:rFonts w:ascii="Arial" w:hAnsi="Arial" w:cs="Arial"/>
        </w:rPr>
        <w:t xml:space="preserve">A tal respecto, el rechazo en </w:t>
      </w:r>
      <w:r w:rsidR="0002472A">
        <w:rPr>
          <w:rFonts w:ascii="Arial" w:hAnsi="Arial" w:cs="Arial"/>
        </w:rPr>
        <w:t>frontera</w:t>
      </w:r>
      <w:r w:rsidR="00A82627">
        <w:rPr>
          <w:rFonts w:ascii="Arial" w:hAnsi="Arial" w:cs="Arial"/>
        </w:rPr>
        <w:t xml:space="preserve"> </w:t>
      </w:r>
      <w:r w:rsidR="00E309D7">
        <w:rPr>
          <w:rFonts w:ascii="Arial" w:hAnsi="Arial" w:cs="Arial"/>
        </w:rPr>
        <w:t>aclara el TC, es una actuación material susceptible de control judicial en virtud de las acciones y recursos que interponga la persona extranjera. Con tal razonamiento, el TC concluye que el régimen de rechazo en frontera previsto específicamente para Ceuta y Melilla no incurre en inconstitucionalidad.</w:t>
      </w:r>
      <w:r w:rsidR="00DB3A29">
        <w:rPr>
          <w:rFonts w:ascii="Arial" w:hAnsi="Arial" w:cs="Arial"/>
        </w:rPr>
        <w:t xml:space="preserve"> </w:t>
      </w:r>
    </w:p>
    <w:p w14:paraId="6710415C" w14:textId="23339511" w:rsidR="00E309D7" w:rsidRDefault="00D41514" w:rsidP="00E309D7">
      <w:pPr>
        <w:pStyle w:val="NormalWeb"/>
        <w:shd w:val="clear" w:color="auto" w:fill="FFFFFF"/>
        <w:spacing w:line="360" w:lineRule="auto"/>
        <w:ind w:right="44"/>
        <w:jc w:val="both"/>
        <w:rPr>
          <w:rFonts w:ascii="Arial" w:hAnsi="Arial" w:cs="Arial"/>
        </w:rPr>
      </w:pPr>
      <w:r>
        <w:rPr>
          <w:rFonts w:ascii="Arial" w:hAnsi="Arial" w:cs="Arial"/>
        </w:rPr>
        <w:t xml:space="preserve">Un último reproche de constitucionalidad fue que </w:t>
      </w:r>
      <w:r w:rsidR="00E309D7">
        <w:rPr>
          <w:rFonts w:ascii="Arial" w:hAnsi="Arial" w:cs="Arial"/>
        </w:rPr>
        <w:t xml:space="preserve">el rechazo en frontera no respeta la jurisprudencia del TEDH sobre el principio de no devolución </w:t>
      </w:r>
      <w:r w:rsidR="00E309D7" w:rsidRPr="00B54042">
        <w:rPr>
          <w:rFonts w:ascii="Arial" w:hAnsi="Arial" w:cs="Arial"/>
        </w:rPr>
        <w:t>(</w:t>
      </w:r>
      <w:r w:rsidR="00E309D7" w:rsidRPr="00B54042">
        <w:rPr>
          <w:rFonts w:ascii="Arial" w:hAnsi="Arial" w:cs="Arial"/>
          <w:i/>
        </w:rPr>
        <w:t>non-refoulement</w:t>
      </w:r>
      <w:r w:rsidR="00E309D7">
        <w:rPr>
          <w:rFonts w:ascii="Arial" w:hAnsi="Arial" w:cs="Arial"/>
        </w:rPr>
        <w:t>)</w:t>
      </w:r>
      <w:r w:rsidR="000A02AA">
        <w:rPr>
          <w:rFonts w:ascii="Arial" w:hAnsi="Arial" w:cs="Arial"/>
        </w:rPr>
        <w:t xml:space="preserve">. </w:t>
      </w:r>
      <w:r w:rsidR="00E309D7">
        <w:rPr>
          <w:rFonts w:ascii="Arial" w:hAnsi="Arial" w:cs="Arial"/>
        </w:rPr>
        <w:t xml:space="preserve">Al respecto, el TC trae a colación la STEDH de 13 de febrero de 2020, caso N.D. y N.T. c. España, en la que se recordó a los Estados que, como </w:t>
      </w:r>
      <w:r w:rsidR="00E309D7">
        <w:rPr>
          <w:rFonts w:ascii="Arial" w:hAnsi="Arial" w:cs="Arial"/>
        </w:rPr>
        <w:lastRenderedPageBreak/>
        <w:t>España, tienen fronteras exteriores de la Unión Europea, el deber de disponer de un acceso real y efectivo a los procedimientos legales de entrada, para que todas las personas que se enfrenten a una persecución, con riesgo para su vida e integridad, y alcancen las fronteras puedan presentar una solicitud de protección, en condiciones tales que garanticen la tramitación de la solicitud de manera coherente con las normas internacionales. De forma que, si tales medios existen y son efectivos, los Estados podrán denegar la entrada en su territorio a los extranjeros, incluidos los posibles solicitantes de asilo, que hayan incumplido, sin razones convincentes estas disposiciones al tratar de cruzar la frontera por un lugar diferente no autorizado (§ 210).</w:t>
      </w:r>
    </w:p>
    <w:p w14:paraId="75A85EAE" w14:textId="77777777" w:rsidR="00E309D7" w:rsidRDefault="00E309D7" w:rsidP="00E309D7">
      <w:pPr>
        <w:pStyle w:val="NormalWeb"/>
        <w:shd w:val="clear" w:color="auto" w:fill="FFFFFF"/>
        <w:spacing w:line="360" w:lineRule="auto"/>
        <w:ind w:right="44"/>
        <w:jc w:val="both"/>
        <w:rPr>
          <w:rFonts w:ascii="Arial" w:hAnsi="Arial" w:cs="Arial"/>
        </w:rPr>
      </w:pPr>
      <w:r>
        <w:rPr>
          <w:rFonts w:ascii="Arial" w:hAnsi="Arial" w:cs="Arial"/>
        </w:rPr>
        <w:t xml:space="preserve">Dado que la disposición adicional décima de la Ley Orgánica sobre derechos y libertades de los extranjeros en España en nada excepciona el régimen jurídico previsto en la Ley 12/2009, de 30 de octubre, reguladora del derecho de asilo, al limitarse a indicar dónde se han de formalizar las solicitudes –puestos fronterizos de Ceuta y Melilla-, y que los medios, que permiten acceder a un procedimiento de entrada legal al territorio español, deben existir y ser efectivos, el TC rechaza estimar los reproches de inconstitucionalidad formulados en el recurso de inconstitucionalidad. </w:t>
      </w:r>
    </w:p>
    <w:p w14:paraId="57452781" w14:textId="54AA5361" w:rsidR="00E309D7" w:rsidRDefault="00E309D7" w:rsidP="00E309D7">
      <w:pPr>
        <w:pStyle w:val="NormalWeb"/>
        <w:shd w:val="clear" w:color="auto" w:fill="FFFFFF"/>
        <w:spacing w:line="360" w:lineRule="auto"/>
        <w:ind w:right="44"/>
        <w:jc w:val="both"/>
        <w:rPr>
          <w:rFonts w:ascii="Arial" w:hAnsi="Arial" w:cs="Arial"/>
        </w:rPr>
      </w:pPr>
      <w:r>
        <w:rPr>
          <w:rFonts w:ascii="Arial" w:hAnsi="Arial" w:cs="Arial"/>
        </w:rPr>
        <w:t>Por consiguiente, nuestro TC</w:t>
      </w:r>
      <w:r w:rsidR="000A02AA">
        <w:rPr>
          <w:rFonts w:ascii="Arial" w:hAnsi="Arial" w:cs="Arial"/>
        </w:rPr>
        <w:t xml:space="preserve"> declaró la constitucionalidad de</w:t>
      </w:r>
      <w:r>
        <w:rPr>
          <w:rFonts w:ascii="Arial" w:hAnsi="Arial" w:cs="Arial"/>
        </w:rPr>
        <w:t xml:space="preserve"> la disposición final primera de la Ley de Seguridad Ciudadana por la que se introduce la disposición adicional décima en la ley de extranjería</w:t>
      </w:r>
      <w:r w:rsidR="000A02AA">
        <w:rPr>
          <w:rFonts w:ascii="Arial" w:hAnsi="Arial" w:cs="Arial"/>
        </w:rPr>
        <w:t>, considerándola</w:t>
      </w:r>
      <w:r>
        <w:rPr>
          <w:rFonts w:ascii="Arial" w:hAnsi="Arial" w:cs="Arial"/>
        </w:rPr>
        <w:t xml:space="preserve"> conforme a la Constitución, siempre que sea interpretada en los términos expuestos en el FJ 8 C) de la STC 172/2020, que se concretan en el propio fallo, que recoge tres condiciones:</w:t>
      </w:r>
    </w:p>
    <w:p w14:paraId="13096817" w14:textId="40442FE3" w:rsidR="00E309D7" w:rsidRPr="005D2709" w:rsidRDefault="000A02AA" w:rsidP="00E309D7">
      <w:pPr>
        <w:pStyle w:val="NormalWeb"/>
        <w:shd w:val="clear" w:color="auto" w:fill="FFFFFF"/>
        <w:spacing w:line="360" w:lineRule="auto"/>
        <w:ind w:right="44"/>
        <w:jc w:val="both"/>
        <w:rPr>
          <w:rFonts w:ascii="Arial" w:hAnsi="Arial" w:cs="Arial"/>
        </w:rPr>
      </w:pPr>
      <w:r>
        <w:rPr>
          <w:rFonts w:ascii="Arial" w:hAnsi="Arial" w:cs="Arial"/>
        </w:rPr>
        <w:t>La primera condición</w:t>
      </w:r>
      <w:r w:rsidR="00B91376">
        <w:rPr>
          <w:rFonts w:ascii="Arial" w:hAnsi="Arial" w:cs="Arial"/>
        </w:rPr>
        <w:t xml:space="preserve"> para considerar acorde al marco </w:t>
      </w:r>
      <w:r w:rsidR="00C95518">
        <w:rPr>
          <w:rFonts w:ascii="Arial" w:hAnsi="Arial" w:cs="Arial"/>
        </w:rPr>
        <w:t>constitucional la</w:t>
      </w:r>
      <w:r w:rsidR="00B91376">
        <w:rPr>
          <w:rFonts w:ascii="Arial" w:hAnsi="Arial" w:cs="Arial"/>
        </w:rPr>
        <w:t xml:space="preserve"> práctica del rechazo inmediato en frontera</w:t>
      </w:r>
      <w:r>
        <w:rPr>
          <w:rFonts w:ascii="Arial" w:hAnsi="Arial" w:cs="Arial"/>
        </w:rPr>
        <w:t xml:space="preserve"> es la </w:t>
      </w:r>
      <w:r>
        <w:rPr>
          <w:rFonts w:ascii="Arial" w:hAnsi="Arial" w:cs="Arial"/>
          <w:bCs/>
        </w:rPr>
        <w:t>a</w:t>
      </w:r>
      <w:r w:rsidR="00E309D7" w:rsidRPr="000A02AA">
        <w:rPr>
          <w:rFonts w:ascii="Arial" w:hAnsi="Arial" w:cs="Arial"/>
          <w:bCs/>
        </w:rPr>
        <w:t>plicación a las entradas individualizadas</w:t>
      </w:r>
      <w:r w:rsidR="00E309D7">
        <w:rPr>
          <w:rFonts w:ascii="Arial" w:hAnsi="Arial" w:cs="Arial"/>
        </w:rPr>
        <w:t xml:space="preserve">. La ausencia de un procedimiento de individualización situará la devolución al margen de la legalidad. En relación a esta cuestión, es trasladable la reiterada jurisprudencia del TEDH, en la que se aclara que no es relevante  el número de personas expulsadas: “el hecho de que se dicten resoluciones similares a varias personas no  permite por sí mismo  concluir que </w:t>
      </w:r>
      <w:r w:rsidR="00E309D7">
        <w:rPr>
          <w:rFonts w:ascii="Arial" w:hAnsi="Arial" w:cs="Arial"/>
        </w:rPr>
        <w:lastRenderedPageBreak/>
        <w:t xml:space="preserve">existe una expulsión colectiva, siempre que se haya ofrecido al interesado la oportunidad de presentar  alegaciones  individualmente a las autoridades competentes en contra de su expulsión” (N.D y N.T. c. España, § 199; </w:t>
      </w:r>
      <w:r w:rsidR="00E309D7">
        <w:rPr>
          <w:rFonts w:ascii="Arial" w:hAnsi="Arial" w:cs="Arial"/>
          <w:i/>
        </w:rPr>
        <w:t xml:space="preserve">Sultani c. Francia, </w:t>
      </w:r>
      <w:r w:rsidR="00E309D7" w:rsidRPr="005D2709">
        <w:rPr>
          <w:rFonts w:ascii="Arial" w:hAnsi="Arial" w:cs="Arial"/>
        </w:rPr>
        <w:t xml:space="preserve">de 20 de noviembre de 2007, </w:t>
      </w:r>
      <w:r w:rsidR="00E309D7">
        <w:rPr>
          <w:rFonts w:ascii="Arial" w:hAnsi="Arial" w:cs="Arial"/>
        </w:rPr>
        <w:t>§ 81).</w:t>
      </w:r>
    </w:p>
    <w:p w14:paraId="6AEB073B" w14:textId="75386B69" w:rsidR="00E309D7" w:rsidRDefault="000A02AA" w:rsidP="00E309D7">
      <w:pPr>
        <w:pStyle w:val="NormalWeb"/>
        <w:shd w:val="clear" w:color="auto" w:fill="FFFFFF"/>
        <w:spacing w:line="360" w:lineRule="auto"/>
        <w:ind w:right="44"/>
        <w:jc w:val="both"/>
        <w:rPr>
          <w:rFonts w:ascii="Arial" w:hAnsi="Arial" w:cs="Arial"/>
        </w:rPr>
      </w:pPr>
      <w:r>
        <w:rPr>
          <w:rFonts w:ascii="Arial" w:hAnsi="Arial" w:cs="Arial"/>
        </w:rPr>
        <w:t xml:space="preserve">La segunda condición exige el </w:t>
      </w:r>
      <w:r w:rsidRPr="000A02AA">
        <w:rPr>
          <w:rFonts w:ascii="Arial" w:hAnsi="Arial" w:cs="Arial"/>
          <w:bCs/>
        </w:rPr>
        <w:t>p</w:t>
      </w:r>
      <w:r w:rsidR="00E309D7" w:rsidRPr="000A02AA">
        <w:rPr>
          <w:rFonts w:ascii="Arial" w:hAnsi="Arial" w:cs="Arial"/>
          <w:bCs/>
        </w:rPr>
        <w:t>leno control judicial,</w:t>
      </w:r>
      <w:r w:rsidR="00E309D7">
        <w:rPr>
          <w:rFonts w:ascii="Arial" w:hAnsi="Arial" w:cs="Arial"/>
        </w:rPr>
        <w:t xml:space="preserve"> es decir, efectivo, por consiguiente, la devolución está sujeta a revisión judicial, de forma que no pueda privarse al extranjero de su derecho a la tutela judicial. </w:t>
      </w:r>
    </w:p>
    <w:p w14:paraId="55814A35" w14:textId="05008C2B" w:rsidR="00E309D7" w:rsidRDefault="000A02AA" w:rsidP="00E309D7">
      <w:pPr>
        <w:pStyle w:val="NormalWeb"/>
        <w:shd w:val="clear" w:color="auto" w:fill="FFFFFF"/>
        <w:spacing w:line="360" w:lineRule="auto"/>
        <w:ind w:right="44"/>
        <w:jc w:val="both"/>
        <w:rPr>
          <w:rFonts w:ascii="Arial" w:hAnsi="Arial" w:cs="Arial"/>
        </w:rPr>
      </w:pPr>
      <w:r>
        <w:rPr>
          <w:rFonts w:ascii="Arial" w:hAnsi="Arial" w:cs="Arial"/>
        </w:rPr>
        <w:t xml:space="preserve">Como tercera y última condición, </w:t>
      </w:r>
      <w:r w:rsidR="00D0648A">
        <w:rPr>
          <w:rFonts w:ascii="Arial" w:hAnsi="Arial" w:cs="Arial"/>
        </w:rPr>
        <w:t xml:space="preserve">se requiere </w:t>
      </w:r>
      <w:r w:rsidRPr="00D41514">
        <w:rPr>
          <w:rFonts w:ascii="Arial" w:hAnsi="Arial" w:cs="Arial"/>
        </w:rPr>
        <w:t>el c</w:t>
      </w:r>
      <w:r w:rsidR="00E309D7" w:rsidRPr="00D41514">
        <w:rPr>
          <w:rFonts w:ascii="Arial" w:hAnsi="Arial" w:cs="Arial"/>
        </w:rPr>
        <w:t>umplimiento de las obligaciones internacionales</w:t>
      </w:r>
      <w:r w:rsidR="00E309D7">
        <w:rPr>
          <w:rFonts w:ascii="Arial" w:hAnsi="Arial" w:cs="Arial"/>
        </w:rPr>
        <w:t>, esto es, la devolución debe ser ejecutada con las garantías que a las personas extranjeras reconocen las normas, acuerdos y tratados internacionales ratificados por España, debiendo ser reales y efectivos los procedimientos de entrada legal en territorio español.</w:t>
      </w:r>
    </w:p>
    <w:p w14:paraId="5C08C31F" w14:textId="30450654" w:rsidR="00E309D7" w:rsidRDefault="00D0648A" w:rsidP="00E309D7">
      <w:pPr>
        <w:pStyle w:val="NormalWeb"/>
        <w:shd w:val="clear" w:color="auto" w:fill="FFFFFF"/>
        <w:spacing w:line="360" w:lineRule="auto"/>
        <w:ind w:right="44"/>
        <w:jc w:val="both"/>
        <w:rPr>
          <w:rFonts w:ascii="Arial" w:hAnsi="Arial" w:cs="Arial"/>
        </w:rPr>
      </w:pPr>
      <w:r>
        <w:rPr>
          <w:rFonts w:ascii="Arial" w:hAnsi="Arial" w:cs="Arial"/>
        </w:rPr>
        <w:t>Respetas estas condiciones, e</w:t>
      </w:r>
      <w:r w:rsidR="000A02AA">
        <w:rPr>
          <w:rFonts w:ascii="Arial" w:hAnsi="Arial" w:cs="Arial"/>
        </w:rPr>
        <w:t>l T</w:t>
      </w:r>
      <w:r>
        <w:rPr>
          <w:rFonts w:ascii="Arial" w:hAnsi="Arial" w:cs="Arial"/>
        </w:rPr>
        <w:t xml:space="preserve">ribunal Constitucional español </w:t>
      </w:r>
      <w:r w:rsidR="000A02AA">
        <w:rPr>
          <w:rFonts w:ascii="Arial" w:hAnsi="Arial" w:cs="Arial"/>
        </w:rPr>
        <w:t>avala</w:t>
      </w:r>
      <w:r w:rsidR="00E309D7">
        <w:rPr>
          <w:rFonts w:ascii="Arial" w:hAnsi="Arial" w:cs="Arial"/>
        </w:rPr>
        <w:t xml:space="preserve"> las devoluciones de inmigrantes que intenten atravesar la frontera de Ceuta y Melilla de manera no autorizada</w:t>
      </w:r>
      <w:r>
        <w:rPr>
          <w:rFonts w:ascii="Arial" w:hAnsi="Arial" w:cs="Arial"/>
        </w:rPr>
        <w:t>,</w:t>
      </w:r>
      <w:r w:rsidR="00E309D7">
        <w:rPr>
          <w:rFonts w:ascii="Arial" w:hAnsi="Arial" w:cs="Arial"/>
        </w:rPr>
        <w:t xml:space="preserve"> a las que la actual ley de extranjería presta cobertura jurídica. Resulta conveniente resaltar que estas devoluciones solo se pueden aplicar a los extranjeros que crucen de forma ilegal en el momento, porque a los que son sorpren</w:t>
      </w:r>
      <w:r>
        <w:rPr>
          <w:rFonts w:ascii="Arial" w:hAnsi="Arial" w:cs="Arial"/>
        </w:rPr>
        <w:t>didos posteriormente se les debe abrir</w:t>
      </w:r>
      <w:r w:rsidR="00E309D7">
        <w:rPr>
          <w:rFonts w:ascii="Arial" w:hAnsi="Arial" w:cs="Arial"/>
        </w:rPr>
        <w:t xml:space="preserve"> un expediente de expulsión</w:t>
      </w:r>
      <w:r w:rsidR="00DB3A29">
        <w:rPr>
          <w:rFonts w:ascii="Arial" w:hAnsi="Arial" w:cs="Arial"/>
        </w:rPr>
        <w:t>-</w:t>
      </w:r>
      <w:r w:rsidR="00E309D7">
        <w:rPr>
          <w:rFonts w:ascii="Arial" w:hAnsi="Arial" w:cs="Arial"/>
        </w:rPr>
        <w:t xml:space="preserve"> </w:t>
      </w:r>
    </w:p>
    <w:p w14:paraId="342FF095" w14:textId="77777777" w:rsidR="00AF3BD2" w:rsidRPr="00AF3BD2" w:rsidRDefault="00AF3BD2" w:rsidP="00AF3BD2">
      <w:pPr>
        <w:shd w:val="clear" w:color="auto" w:fill="FFFFFF"/>
        <w:spacing w:after="0" w:line="360" w:lineRule="auto"/>
        <w:contextualSpacing/>
        <w:jc w:val="both"/>
        <w:rPr>
          <w:rFonts w:ascii="Arial" w:eastAsia="Times New Roman" w:hAnsi="Arial" w:cs="Arial"/>
          <w:b/>
          <w:bCs/>
          <w:caps/>
          <w:sz w:val="24"/>
          <w:szCs w:val="24"/>
          <w:lang w:val="es-ES" w:eastAsia="es-ES"/>
        </w:rPr>
      </w:pPr>
    </w:p>
    <w:p w14:paraId="6D8936D5" w14:textId="0D2D67C2" w:rsidR="00AF3BD2" w:rsidRPr="00AF3BD2" w:rsidRDefault="00AF3BD2" w:rsidP="00AF3BD2">
      <w:pPr>
        <w:shd w:val="clear" w:color="auto" w:fill="FFFFFF"/>
        <w:spacing w:after="0" w:line="360" w:lineRule="auto"/>
        <w:contextualSpacing/>
        <w:jc w:val="both"/>
        <w:rPr>
          <w:rFonts w:ascii="Arial" w:eastAsia="Times New Roman" w:hAnsi="Arial" w:cs="Arial"/>
          <w:b/>
          <w:bCs/>
          <w:sz w:val="24"/>
          <w:szCs w:val="24"/>
          <w:lang w:val="es-ES" w:eastAsia="es-ES"/>
        </w:rPr>
      </w:pPr>
      <w:r w:rsidRPr="00AF3BD2">
        <w:rPr>
          <w:rFonts w:ascii="Arial" w:eastAsia="Times New Roman" w:hAnsi="Arial" w:cs="Arial"/>
          <w:b/>
          <w:bCs/>
          <w:caps/>
          <w:sz w:val="24"/>
          <w:szCs w:val="24"/>
          <w:lang w:val="es-ES" w:eastAsia="es-ES"/>
        </w:rPr>
        <w:t>IV. La configuración jurisprudencial del derecho a no ser rechazado</w:t>
      </w:r>
      <w:r w:rsidR="00D0648A">
        <w:rPr>
          <w:rFonts w:ascii="Arial" w:eastAsia="Times New Roman" w:hAnsi="Arial" w:cs="Arial"/>
          <w:b/>
          <w:bCs/>
          <w:caps/>
          <w:sz w:val="24"/>
          <w:szCs w:val="24"/>
          <w:lang w:val="es-ES" w:eastAsia="es-ES"/>
        </w:rPr>
        <w:t xml:space="preserve"> en las líneas fronterizas sin garantías</w:t>
      </w:r>
      <w:r>
        <w:rPr>
          <w:rFonts w:ascii="Arial" w:eastAsia="Times New Roman" w:hAnsi="Arial" w:cs="Arial"/>
          <w:bCs/>
          <w:sz w:val="24"/>
          <w:szCs w:val="24"/>
          <w:lang w:val="es-ES" w:eastAsia="es-ES"/>
        </w:rPr>
        <w:t xml:space="preserve">. </w:t>
      </w:r>
    </w:p>
    <w:p w14:paraId="41945C4C" w14:textId="272F1BD9" w:rsidR="000A02AA" w:rsidRDefault="000A02AA" w:rsidP="00562A0C">
      <w:pPr>
        <w:shd w:val="clear" w:color="auto" w:fill="FFFFFF"/>
        <w:spacing w:after="0" w:line="360" w:lineRule="auto"/>
        <w:jc w:val="both"/>
        <w:rPr>
          <w:rFonts w:ascii="Arial" w:eastAsia="Times New Roman" w:hAnsi="Arial" w:cs="Arial"/>
          <w:b/>
          <w:bCs/>
          <w:sz w:val="24"/>
          <w:szCs w:val="24"/>
          <w:lang w:val="es-ES" w:eastAsia="es-ES"/>
        </w:rPr>
      </w:pPr>
    </w:p>
    <w:p w14:paraId="43A4123D" w14:textId="10691572" w:rsidR="00410131" w:rsidRDefault="00237558" w:rsidP="00410131">
      <w:pPr>
        <w:spacing w:after="0" w:line="360" w:lineRule="auto"/>
        <w:jc w:val="both"/>
        <w:rPr>
          <w:rFonts w:ascii="Arial" w:hAnsi="Arial" w:cs="Arial"/>
          <w:sz w:val="24"/>
          <w:szCs w:val="24"/>
        </w:rPr>
      </w:pPr>
      <w:r w:rsidRPr="00237558">
        <w:rPr>
          <w:rFonts w:ascii="Arial" w:eastAsia="Times New Roman" w:hAnsi="Arial" w:cs="Arial"/>
          <w:sz w:val="24"/>
          <w:szCs w:val="24"/>
          <w:lang w:val="es-ES" w:eastAsia="es-ES"/>
        </w:rPr>
        <w:t xml:space="preserve">Las sentencias analizadas en el epígrafe anterior, la STEDH de la Gran Sala de 13 de febrero de 2020, as. N.D y N.T. c. España, y la STC  </w:t>
      </w:r>
      <w:r w:rsidRPr="00237558">
        <w:rPr>
          <w:rFonts w:ascii="Arial" w:hAnsi="Arial" w:cs="Arial"/>
          <w:sz w:val="24"/>
          <w:szCs w:val="24"/>
        </w:rPr>
        <w:t xml:space="preserve">172/2020, de 19 de noviembre, </w:t>
      </w:r>
      <w:r>
        <w:rPr>
          <w:rFonts w:ascii="Arial" w:hAnsi="Arial" w:cs="Arial"/>
          <w:sz w:val="24"/>
          <w:szCs w:val="24"/>
        </w:rPr>
        <w:t xml:space="preserve">resultan de sumo interés, porque, al admitir la legalidad de las </w:t>
      </w:r>
      <w:r w:rsidRPr="00F94686">
        <w:rPr>
          <w:rFonts w:ascii="Arial" w:hAnsi="Arial" w:cs="Arial"/>
          <w:sz w:val="24"/>
          <w:szCs w:val="24"/>
        </w:rPr>
        <w:t xml:space="preserve">devoluciones </w:t>
      </w:r>
      <w:r w:rsidR="00F6051D" w:rsidRPr="00F94686">
        <w:rPr>
          <w:rFonts w:ascii="Arial" w:hAnsi="Arial" w:cs="Arial"/>
          <w:sz w:val="24"/>
          <w:szCs w:val="24"/>
        </w:rPr>
        <w:t xml:space="preserve">de los migrantes que intenten sobrepasar las líneas de demarcación territorial al margen de los procedimientos legales de </w:t>
      </w:r>
      <w:r w:rsidR="00A27857" w:rsidRPr="00F94686">
        <w:rPr>
          <w:rFonts w:ascii="Arial" w:hAnsi="Arial" w:cs="Arial"/>
          <w:sz w:val="24"/>
          <w:szCs w:val="24"/>
        </w:rPr>
        <w:t xml:space="preserve">entrada, también han reconocido paralelamente </w:t>
      </w:r>
      <w:r w:rsidR="00F6051D" w:rsidRPr="00F94686">
        <w:rPr>
          <w:rFonts w:ascii="Arial" w:hAnsi="Arial" w:cs="Arial"/>
          <w:sz w:val="24"/>
          <w:szCs w:val="24"/>
        </w:rPr>
        <w:t xml:space="preserve">el derecho de los migrantes a no ser rechazados en </w:t>
      </w:r>
      <w:r w:rsidR="00DB3A29" w:rsidRPr="00F94686">
        <w:rPr>
          <w:rFonts w:ascii="Arial" w:hAnsi="Arial" w:cs="Arial"/>
          <w:sz w:val="24"/>
          <w:szCs w:val="24"/>
        </w:rPr>
        <w:t xml:space="preserve">la </w:t>
      </w:r>
      <w:r w:rsidR="00F6051D" w:rsidRPr="00F94686">
        <w:rPr>
          <w:rFonts w:ascii="Arial" w:hAnsi="Arial" w:cs="Arial"/>
          <w:sz w:val="24"/>
          <w:szCs w:val="24"/>
        </w:rPr>
        <w:t xml:space="preserve">frontera </w:t>
      </w:r>
      <w:r w:rsidR="00DB3A29" w:rsidRPr="00F94686">
        <w:rPr>
          <w:rFonts w:ascii="Arial" w:hAnsi="Arial" w:cs="Arial"/>
          <w:sz w:val="24"/>
          <w:szCs w:val="24"/>
        </w:rPr>
        <w:t xml:space="preserve">de un país </w:t>
      </w:r>
      <w:r w:rsidR="00A27857" w:rsidRPr="00F94686">
        <w:rPr>
          <w:rFonts w:ascii="Arial" w:hAnsi="Arial" w:cs="Arial"/>
          <w:sz w:val="24"/>
          <w:szCs w:val="24"/>
        </w:rPr>
        <w:t>sin garantías</w:t>
      </w:r>
      <w:r w:rsidR="00AD17B7">
        <w:rPr>
          <w:rFonts w:ascii="Arial" w:hAnsi="Arial" w:cs="Arial"/>
          <w:sz w:val="24"/>
          <w:szCs w:val="24"/>
        </w:rPr>
        <w:t xml:space="preserve"> jurídicas</w:t>
      </w:r>
      <w:r w:rsidR="002335D5">
        <w:rPr>
          <w:rFonts w:ascii="Arial" w:hAnsi="Arial" w:cs="Arial"/>
          <w:sz w:val="24"/>
          <w:szCs w:val="24"/>
        </w:rPr>
        <w:t xml:space="preserve"> adecuadas de </w:t>
      </w:r>
      <w:r w:rsidR="002335D5">
        <w:rPr>
          <w:rFonts w:ascii="Arial" w:hAnsi="Arial" w:cs="Arial"/>
          <w:sz w:val="24"/>
          <w:szCs w:val="24"/>
        </w:rPr>
        <w:lastRenderedPageBreak/>
        <w:t>respeto a la ley, a la dignidad de las personas y a su derechos protegidos en virtud de la legislación de la Unión Europea y el Convenio Europeo de Derechos Humanos</w:t>
      </w:r>
      <w:r w:rsidR="00A27857" w:rsidRPr="00F94686">
        <w:rPr>
          <w:rFonts w:ascii="Arial" w:hAnsi="Arial" w:cs="Arial"/>
          <w:sz w:val="24"/>
          <w:szCs w:val="24"/>
        </w:rPr>
        <w:t>.</w:t>
      </w:r>
      <w:r w:rsidR="00410131">
        <w:rPr>
          <w:rFonts w:ascii="Arial" w:hAnsi="Arial" w:cs="Arial"/>
          <w:sz w:val="24"/>
          <w:szCs w:val="24"/>
        </w:rPr>
        <w:t xml:space="preserve"> El Tribunal Constitucional español declaró su constitucionalidad, pero condicionándola al cumplimiento de</w:t>
      </w:r>
      <w:r w:rsidR="00A27857" w:rsidRPr="00F94686">
        <w:rPr>
          <w:rFonts w:ascii="Arial" w:hAnsi="Arial" w:cs="Arial"/>
          <w:sz w:val="24"/>
          <w:szCs w:val="24"/>
        </w:rPr>
        <w:t xml:space="preserve"> </w:t>
      </w:r>
      <w:r w:rsidR="00410131">
        <w:rPr>
          <w:rFonts w:ascii="Arial" w:hAnsi="Arial" w:cs="Arial"/>
          <w:sz w:val="24"/>
          <w:szCs w:val="24"/>
        </w:rPr>
        <w:t>“</w:t>
      </w:r>
      <w:r w:rsidR="00410131" w:rsidRPr="00A11AA4">
        <w:rPr>
          <w:rFonts w:ascii="Arial" w:hAnsi="Arial" w:cs="Arial"/>
          <w:sz w:val="24"/>
          <w:szCs w:val="24"/>
        </w:rPr>
        <w:t>las garantías que a las personas extranjeras reconocen las normas, acuerdos y tratados internacionales rubricados por España” (</w:t>
      </w:r>
      <w:r w:rsidR="00410131">
        <w:rPr>
          <w:rFonts w:ascii="Arial" w:hAnsi="Arial" w:cs="Arial"/>
          <w:sz w:val="24"/>
          <w:szCs w:val="24"/>
        </w:rPr>
        <w:t xml:space="preserve">STC 172/2020, </w:t>
      </w:r>
      <w:r w:rsidR="00410131" w:rsidRPr="00A11AA4">
        <w:rPr>
          <w:rFonts w:ascii="Arial" w:hAnsi="Arial" w:cs="Arial"/>
          <w:sz w:val="24"/>
          <w:szCs w:val="24"/>
        </w:rPr>
        <w:t>FJ 8C).</w:t>
      </w:r>
    </w:p>
    <w:p w14:paraId="7A6105A7" w14:textId="3601A9FD" w:rsidR="00A11AA4" w:rsidRDefault="00A11AA4" w:rsidP="00237558">
      <w:pPr>
        <w:shd w:val="clear" w:color="auto" w:fill="FFFFFF"/>
        <w:spacing w:after="0" w:line="360" w:lineRule="auto"/>
        <w:jc w:val="both"/>
        <w:rPr>
          <w:rFonts w:ascii="Arial" w:hAnsi="Arial" w:cs="Arial"/>
          <w:sz w:val="24"/>
          <w:szCs w:val="24"/>
        </w:rPr>
      </w:pPr>
    </w:p>
    <w:p w14:paraId="6CA58B90" w14:textId="2E396200" w:rsidR="00A27857" w:rsidRPr="00F94686" w:rsidRDefault="00A27857" w:rsidP="00237558">
      <w:pPr>
        <w:shd w:val="clear" w:color="auto" w:fill="FFFFFF"/>
        <w:spacing w:after="0" w:line="360" w:lineRule="auto"/>
        <w:jc w:val="both"/>
        <w:rPr>
          <w:rFonts w:ascii="Arial" w:hAnsi="Arial" w:cs="Arial"/>
          <w:sz w:val="24"/>
          <w:szCs w:val="24"/>
        </w:rPr>
      </w:pPr>
      <w:r w:rsidRPr="00F94686">
        <w:rPr>
          <w:rFonts w:ascii="Arial" w:hAnsi="Arial" w:cs="Arial"/>
          <w:sz w:val="24"/>
          <w:szCs w:val="24"/>
        </w:rPr>
        <w:t xml:space="preserve">Tal reconocimiento condicionado </w:t>
      </w:r>
      <w:r w:rsidR="00757074">
        <w:rPr>
          <w:rFonts w:ascii="Arial" w:hAnsi="Arial" w:cs="Arial"/>
          <w:sz w:val="24"/>
          <w:szCs w:val="24"/>
        </w:rPr>
        <w:t xml:space="preserve">al cumplimiento de las garantías internacionalmente reconocidas </w:t>
      </w:r>
      <w:r w:rsidR="00D0648A">
        <w:rPr>
          <w:rFonts w:ascii="Arial" w:hAnsi="Arial" w:cs="Arial"/>
          <w:sz w:val="24"/>
          <w:szCs w:val="24"/>
        </w:rPr>
        <w:t>obliga al Estado no solo</w:t>
      </w:r>
      <w:r w:rsidR="003B0A8F">
        <w:rPr>
          <w:rFonts w:ascii="Arial" w:hAnsi="Arial" w:cs="Arial"/>
          <w:sz w:val="24"/>
          <w:szCs w:val="24"/>
        </w:rPr>
        <w:t xml:space="preserve"> </w:t>
      </w:r>
      <w:r w:rsidR="006A323C">
        <w:rPr>
          <w:rFonts w:ascii="Arial" w:hAnsi="Arial" w:cs="Arial"/>
          <w:sz w:val="24"/>
          <w:szCs w:val="24"/>
        </w:rPr>
        <w:t xml:space="preserve">seguir un procedimiento que asegure </w:t>
      </w:r>
      <w:r w:rsidRPr="00F94686">
        <w:rPr>
          <w:rFonts w:ascii="Arial" w:hAnsi="Arial" w:cs="Arial"/>
          <w:sz w:val="24"/>
          <w:szCs w:val="24"/>
        </w:rPr>
        <w:t>devoluciones individu</w:t>
      </w:r>
      <w:r w:rsidR="006A323C">
        <w:rPr>
          <w:rFonts w:ascii="Arial" w:hAnsi="Arial" w:cs="Arial"/>
          <w:sz w:val="24"/>
          <w:szCs w:val="24"/>
        </w:rPr>
        <w:t>alizadas</w:t>
      </w:r>
      <w:r w:rsidR="003B0A8F">
        <w:rPr>
          <w:rFonts w:ascii="Arial" w:hAnsi="Arial" w:cs="Arial"/>
          <w:sz w:val="24"/>
          <w:szCs w:val="24"/>
        </w:rPr>
        <w:t xml:space="preserve">, impidiéndose así </w:t>
      </w:r>
      <w:r w:rsidR="00F94686">
        <w:rPr>
          <w:rFonts w:ascii="Arial" w:hAnsi="Arial" w:cs="Arial"/>
          <w:sz w:val="24"/>
          <w:szCs w:val="24"/>
        </w:rPr>
        <w:t>devoluciones autom</w:t>
      </w:r>
      <w:r w:rsidR="008D7D8F">
        <w:rPr>
          <w:rFonts w:ascii="Arial" w:hAnsi="Arial" w:cs="Arial"/>
          <w:sz w:val="24"/>
          <w:szCs w:val="24"/>
        </w:rPr>
        <w:t xml:space="preserve">áticas e indiscriminadas, </w:t>
      </w:r>
      <w:r w:rsidR="00D0648A">
        <w:rPr>
          <w:rFonts w:ascii="Arial" w:hAnsi="Arial" w:cs="Arial"/>
          <w:sz w:val="24"/>
          <w:szCs w:val="24"/>
        </w:rPr>
        <w:t xml:space="preserve">sino también </w:t>
      </w:r>
      <w:r w:rsidR="006A323C">
        <w:rPr>
          <w:rFonts w:ascii="Arial" w:hAnsi="Arial" w:cs="Arial"/>
          <w:sz w:val="24"/>
          <w:szCs w:val="24"/>
        </w:rPr>
        <w:t xml:space="preserve">confirmar que </w:t>
      </w:r>
      <w:r w:rsidRPr="00F94686">
        <w:rPr>
          <w:rFonts w:ascii="Arial" w:hAnsi="Arial" w:cs="Arial"/>
          <w:sz w:val="24"/>
          <w:szCs w:val="24"/>
        </w:rPr>
        <w:t>la</w:t>
      </w:r>
      <w:r w:rsidR="003B0A8F">
        <w:rPr>
          <w:rFonts w:ascii="Arial" w:hAnsi="Arial" w:cs="Arial"/>
          <w:sz w:val="24"/>
          <w:szCs w:val="24"/>
        </w:rPr>
        <w:t xml:space="preserve"> p</w:t>
      </w:r>
      <w:r w:rsidRPr="00F94686">
        <w:rPr>
          <w:rFonts w:ascii="Arial" w:hAnsi="Arial" w:cs="Arial"/>
          <w:sz w:val="24"/>
          <w:szCs w:val="24"/>
        </w:rPr>
        <w:t>osibilidad de solicitar acogerse a las figuras del asilo o refugio esté</w:t>
      </w:r>
      <w:r w:rsidR="006A323C">
        <w:rPr>
          <w:rFonts w:ascii="Arial" w:hAnsi="Arial" w:cs="Arial"/>
          <w:sz w:val="24"/>
          <w:szCs w:val="24"/>
        </w:rPr>
        <w:t>n</w:t>
      </w:r>
      <w:r w:rsidR="00D0648A">
        <w:rPr>
          <w:rFonts w:ascii="Arial" w:hAnsi="Arial" w:cs="Arial"/>
          <w:sz w:val="24"/>
          <w:szCs w:val="24"/>
        </w:rPr>
        <w:t xml:space="preserve"> al</w:t>
      </w:r>
      <w:r w:rsidRPr="00F94686">
        <w:rPr>
          <w:rFonts w:ascii="Arial" w:hAnsi="Arial" w:cs="Arial"/>
          <w:sz w:val="24"/>
          <w:szCs w:val="24"/>
        </w:rPr>
        <w:t xml:space="preserve"> al</w:t>
      </w:r>
      <w:r w:rsidR="008D7D8F">
        <w:rPr>
          <w:rFonts w:ascii="Arial" w:hAnsi="Arial" w:cs="Arial"/>
          <w:sz w:val="24"/>
          <w:szCs w:val="24"/>
        </w:rPr>
        <w:t xml:space="preserve">cance </w:t>
      </w:r>
      <w:r w:rsidR="00D0648A">
        <w:rPr>
          <w:rFonts w:ascii="Arial" w:hAnsi="Arial" w:cs="Arial"/>
          <w:sz w:val="24"/>
          <w:szCs w:val="24"/>
        </w:rPr>
        <w:t xml:space="preserve">de los inmigrantes </w:t>
      </w:r>
      <w:r w:rsidR="008D7D8F">
        <w:rPr>
          <w:rFonts w:ascii="Arial" w:hAnsi="Arial" w:cs="Arial"/>
          <w:sz w:val="24"/>
          <w:szCs w:val="24"/>
        </w:rPr>
        <w:t>de forma real y efectiva</w:t>
      </w:r>
      <w:r w:rsidR="006A323C">
        <w:rPr>
          <w:rFonts w:ascii="Arial" w:hAnsi="Arial" w:cs="Arial"/>
          <w:sz w:val="24"/>
          <w:szCs w:val="24"/>
        </w:rPr>
        <w:t xml:space="preserve"> una vez que estén en el país de origen</w:t>
      </w:r>
      <w:r w:rsidR="008D7D8F">
        <w:rPr>
          <w:rFonts w:ascii="Arial" w:hAnsi="Arial" w:cs="Arial"/>
          <w:sz w:val="24"/>
          <w:szCs w:val="24"/>
        </w:rPr>
        <w:t>.</w:t>
      </w:r>
      <w:r w:rsidR="002335D5">
        <w:rPr>
          <w:rFonts w:ascii="Arial" w:hAnsi="Arial" w:cs="Arial"/>
          <w:sz w:val="24"/>
          <w:szCs w:val="24"/>
        </w:rPr>
        <w:t xml:space="preserve"> Si hay sospechas fundadas de que se les va a privar de acceso al procedimiento de concesión de asilo una vez en el país al que son devueltos, no debería materializarse el rechazo en frontera, debiendo optarse por la solución más favorable a la efectividad de los derechos de los migrantes: apertura de un expediente administrativo y tramitación de la solicitud de asilo, trámites que </w:t>
      </w:r>
      <w:r w:rsidR="007A1557">
        <w:rPr>
          <w:rFonts w:ascii="Arial" w:hAnsi="Arial" w:cs="Arial"/>
          <w:sz w:val="24"/>
          <w:szCs w:val="24"/>
        </w:rPr>
        <w:t xml:space="preserve">deben ser </w:t>
      </w:r>
      <w:r w:rsidR="002335D5">
        <w:rPr>
          <w:rFonts w:ascii="Arial" w:hAnsi="Arial" w:cs="Arial"/>
          <w:sz w:val="24"/>
          <w:szCs w:val="24"/>
        </w:rPr>
        <w:t>facilitados con una adecuada asesoría jurídica.</w:t>
      </w:r>
    </w:p>
    <w:p w14:paraId="5D1E949D" w14:textId="33F4DD22" w:rsidR="00F94686" w:rsidRPr="00F94686" w:rsidRDefault="00F94686" w:rsidP="00237558">
      <w:pPr>
        <w:shd w:val="clear" w:color="auto" w:fill="FFFFFF"/>
        <w:spacing w:after="0" w:line="360" w:lineRule="auto"/>
        <w:jc w:val="both"/>
        <w:rPr>
          <w:rFonts w:ascii="Arial" w:hAnsi="Arial" w:cs="Arial"/>
          <w:sz w:val="24"/>
          <w:szCs w:val="24"/>
        </w:rPr>
      </w:pPr>
    </w:p>
    <w:p w14:paraId="53D43EF0" w14:textId="3C8D9056" w:rsidR="00F94686" w:rsidRDefault="00F94686" w:rsidP="00237558">
      <w:pPr>
        <w:shd w:val="clear" w:color="auto" w:fill="FFFFFF"/>
        <w:spacing w:after="0" w:line="360" w:lineRule="auto"/>
        <w:jc w:val="both"/>
        <w:rPr>
          <w:rFonts w:ascii="Arial" w:hAnsi="Arial" w:cs="Arial"/>
          <w:sz w:val="24"/>
          <w:szCs w:val="24"/>
        </w:rPr>
      </w:pPr>
      <w:r>
        <w:rPr>
          <w:rFonts w:ascii="Arial" w:hAnsi="Arial" w:cs="Arial"/>
          <w:sz w:val="24"/>
          <w:szCs w:val="24"/>
        </w:rPr>
        <w:t>Ambos tribunales han coincidido en subrayar que es indiferente que l</w:t>
      </w:r>
      <w:r w:rsidRPr="00F94686">
        <w:rPr>
          <w:rFonts w:ascii="Arial" w:hAnsi="Arial" w:cs="Arial"/>
          <w:sz w:val="24"/>
          <w:szCs w:val="24"/>
        </w:rPr>
        <w:t>os elem</w:t>
      </w:r>
      <w:r>
        <w:rPr>
          <w:rFonts w:ascii="Arial" w:hAnsi="Arial" w:cs="Arial"/>
          <w:sz w:val="24"/>
          <w:szCs w:val="24"/>
        </w:rPr>
        <w:t xml:space="preserve">entos de contención fronterizos -vallas, muros o barreras- no estén </w:t>
      </w:r>
      <w:r w:rsidRPr="00F94686">
        <w:rPr>
          <w:rFonts w:ascii="Arial" w:hAnsi="Arial" w:cs="Arial"/>
          <w:sz w:val="24"/>
          <w:szCs w:val="24"/>
        </w:rPr>
        <w:t>ubicados</w:t>
      </w:r>
      <w:r>
        <w:rPr>
          <w:rFonts w:ascii="Arial" w:hAnsi="Arial" w:cs="Arial"/>
          <w:sz w:val="24"/>
          <w:szCs w:val="24"/>
        </w:rPr>
        <w:t xml:space="preserve"> </w:t>
      </w:r>
      <w:r w:rsidRPr="00F94686">
        <w:rPr>
          <w:rFonts w:ascii="Arial" w:hAnsi="Arial" w:cs="Arial"/>
          <w:sz w:val="24"/>
          <w:szCs w:val="24"/>
        </w:rPr>
        <w:t xml:space="preserve">dentro </w:t>
      </w:r>
      <w:r>
        <w:rPr>
          <w:rFonts w:ascii="Arial" w:hAnsi="Arial" w:cs="Arial"/>
          <w:sz w:val="24"/>
          <w:szCs w:val="24"/>
        </w:rPr>
        <w:t>del territorio español, porque</w:t>
      </w:r>
      <w:r w:rsidRPr="00F94686">
        <w:rPr>
          <w:rFonts w:ascii="Arial" w:hAnsi="Arial" w:cs="Arial"/>
          <w:sz w:val="24"/>
          <w:szCs w:val="24"/>
        </w:rPr>
        <w:t>, aun en el caso, de que l</w:t>
      </w:r>
      <w:r>
        <w:rPr>
          <w:rFonts w:ascii="Arial" w:hAnsi="Arial" w:cs="Arial"/>
          <w:sz w:val="24"/>
          <w:szCs w:val="24"/>
        </w:rPr>
        <w:t>as autoridades españolas actuara</w:t>
      </w:r>
      <w:r w:rsidRPr="00F94686">
        <w:rPr>
          <w:rFonts w:ascii="Arial" w:hAnsi="Arial" w:cs="Arial"/>
          <w:sz w:val="24"/>
          <w:szCs w:val="24"/>
        </w:rPr>
        <w:t>n fuera del territorio español tampoco pue</w:t>
      </w:r>
      <w:r w:rsidR="007E01FB">
        <w:rPr>
          <w:rFonts w:ascii="Arial" w:hAnsi="Arial" w:cs="Arial"/>
          <w:sz w:val="24"/>
          <w:szCs w:val="24"/>
        </w:rPr>
        <w:t>den hacerlo de forma arbitraria, eludiendo las obligaciones contraídas en virtud del Convenio Europeo de Derechos Humanos, ni siquiera al aplicar un posible acuerdo bilateral, en este caso, con Marruecos</w:t>
      </w:r>
      <w:r w:rsidRPr="00F94686">
        <w:rPr>
          <w:rFonts w:ascii="Arial" w:hAnsi="Arial" w:cs="Arial"/>
          <w:sz w:val="24"/>
          <w:szCs w:val="24"/>
        </w:rPr>
        <w:t xml:space="preserve">. </w:t>
      </w:r>
      <w:r w:rsidR="007E01FB">
        <w:rPr>
          <w:rFonts w:ascii="Arial" w:hAnsi="Arial" w:cs="Arial"/>
          <w:sz w:val="24"/>
          <w:szCs w:val="24"/>
        </w:rPr>
        <w:t xml:space="preserve">Fue </w:t>
      </w:r>
      <w:r>
        <w:rPr>
          <w:rFonts w:ascii="Arial" w:hAnsi="Arial" w:cs="Arial"/>
          <w:sz w:val="24"/>
          <w:szCs w:val="24"/>
        </w:rPr>
        <w:t xml:space="preserve">la </w:t>
      </w:r>
      <w:r w:rsidRPr="00F94686">
        <w:rPr>
          <w:rFonts w:ascii="Arial" w:hAnsi="Arial" w:cs="Arial"/>
          <w:sz w:val="24"/>
          <w:szCs w:val="24"/>
        </w:rPr>
        <w:t xml:space="preserve">STEDH de 23 de febrero de 2012, as. </w:t>
      </w:r>
      <w:r w:rsidRPr="00F94686">
        <w:rPr>
          <w:rFonts w:ascii="Arial" w:hAnsi="Arial" w:cs="Arial"/>
          <w:i/>
          <w:sz w:val="24"/>
          <w:szCs w:val="24"/>
        </w:rPr>
        <w:t>Hirsi Jamaa y otros c. Italia</w:t>
      </w:r>
      <w:r>
        <w:rPr>
          <w:rFonts w:ascii="Arial" w:hAnsi="Arial" w:cs="Arial"/>
          <w:sz w:val="24"/>
          <w:szCs w:val="24"/>
        </w:rPr>
        <w:t xml:space="preserve"> </w:t>
      </w:r>
      <w:r w:rsidR="007E01FB">
        <w:rPr>
          <w:rFonts w:ascii="Arial" w:hAnsi="Arial" w:cs="Arial"/>
          <w:sz w:val="24"/>
          <w:szCs w:val="24"/>
        </w:rPr>
        <w:t xml:space="preserve">la que </w:t>
      </w:r>
      <w:r>
        <w:rPr>
          <w:rFonts w:ascii="Arial" w:hAnsi="Arial" w:cs="Arial"/>
          <w:sz w:val="24"/>
          <w:szCs w:val="24"/>
        </w:rPr>
        <w:t>sent</w:t>
      </w:r>
      <w:r w:rsidR="007E01FB">
        <w:rPr>
          <w:rFonts w:ascii="Arial" w:hAnsi="Arial" w:cs="Arial"/>
          <w:sz w:val="24"/>
          <w:szCs w:val="24"/>
        </w:rPr>
        <w:t>ó un importante precedente al declarar</w:t>
      </w:r>
      <w:r>
        <w:rPr>
          <w:rFonts w:ascii="Arial" w:hAnsi="Arial" w:cs="Arial"/>
          <w:sz w:val="24"/>
          <w:szCs w:val="24"/>
        </w:rPr>
        <w:t xml:space="preserve"> </w:t>
      </w:r>
      <w:r w:rsidRPr="00F94686">
        <w:rPr>
          <w:rFonts w:ascii="Arial" w:hAnsi="Arial" w:cs="Arial"/>
          <w:sz w:val="24"/>
          <w:szCs w:val="24"/>
        </w:rPr>
        <w:t>el alcance extraterritorial del Protocolo 4</w:t>
      </w:r>
      <w:r>
        <w:rPr>
          <w:rFonts w:ascii="Arial" w:hAnsi="Arial" w:cs="Arial"/>
          <w:sz w:val="24"/>
          <w:szCs w:val="24"/>
        </w:rPr>
        <w:t xml:space="preserve"> al Convenio Europeo de Derechos Humanos</w:t>
      </w:r>
      <w:r w:rsidRPr="00F94686">
        <w:rPr>
          <w:rFonts w:ascii="Arial" w:hAnsi="Arial" w:cs="Arial"/>
          <w:sz w:val="24"/>
          <w:szCs w:val="24"/>
        </w:rPr>
        <w:t>: “</w:t>
      </w:r>
      <w:r w:rsidRPr="00D41514">
        <w:rPr>
          <w:rFonts w:ascii="Arial" w:hAnsi="Arial" w:cs="Arial"/>
          <w:iCs/>
          <w:sz w:val="24"/>
          <w:szCs w:val="24"/>
        </w:rPr>
        <w:t xml:space="preserve">Cuando un Estado, mediante agentes que operan fuera de su territorio, ejerce control y autoridad y, por lo tanto, su jurisdicción, sobre un individuo, tal Estado tiene obligación, en virtud del artículo 1, de garantizar a este individuo todos los derechos y libertades previstos en el Título I de la Convención </w:t>
      </w:r>
      <w:r w:rsidRPr="00D41514">
        <w:rPr>
          <w:rFonts w:ascii="Arial" w:hAnsi="Arial" w:cs="Arial"/>
          <w:iCs/>
          <w:sz w:val="24"/>
          <w:szCs w:val="24"/>
        </w:rPr>
        <w:lastRenderedPageBreak/>
        <w:t>que sean pertinentes en la situación del individuo</w:t>
      </w:r>
      <w:r w:rsidRPr="00F94686">
        <w:rPr>
          <w:rFonts w:ascii="Arial" w:hAnsi="Arial" w:cs="Arial"/>
          <w:i/>
          <w:sz w:val="24"/>
          <w:szCs w:val="24"/>
        </w:rPr>
        <w:t xml:space="preserve">” </w:t>
      </w:r>
      <w:r w:rsidRPr="00F94686">
        <w:rPr>
          <w:rFonts w:ascii="Arial" w:hAnsi="Arial" w:cs="Arial"/>
          <w:sz w:val="24"/>
          <w:szCs w:val="24"/>
        </w:rPr>
        <w:t xml:space="preserve">(§ 74). </w:t>
      </w:r>
      <w:r>
        <w:rPr>
          <w:rFonts w:ascii="Arial" w:hAnsi="Arial" w:cs="Arial"/>
          <w:sz w:val="24"/>
          <w:szCs w:val="24"/>
        </w:rPr>
        <w:t xml:space="preserve"> Por consiguiente, aunque l</w:t>
      </w:r>
      <w:r w:rsidRPr="00F94686">
        <w:rPr>
          <w:rFonts w:ascii="Arial" w:hAnsi="Arial" w:cs="Arial"/>
          <w:sz w:val="24"/>
          <w:szCs w:val="24"/>
        </w:rPr>
        <w:t xml:space="preserve">os inmigrantes ilegales </w:t>
      </w:r>
      <w:r>
        <w:rPr>
          <w:rFonts w:ascii="Arial" w:hAnsi="Arial" w:cs="Arial"/>
          <w:sz w:val="24"/>
          <w:szCs w:val="24"/>
        </w:rPr>
        <w:t xml:space="preserve">con los cuales </w:t>
      </w:r>
      <w:r w:rsidR="008D7D8F">
        <w:rPr>
          <w:rFonts w:ascii="Arial" w:hAnsi="Arial" w:cs="Arial"/>
          <w:sz w:val="24"/>
          <w:szCs w:val="24"/>
        </w:rPr>
        <w:t>actúe</w:t>
      </w:r>
      <w:r w:rsidR="008D7D8F" w:rsidRPr="00F94686">
        <w:rPr>
          <w:rFonts w:ascii="Arial" w:hAnsi="Arial" w:cs="Arial"/>
          <w:sz w:val="24"/>
          <w:szCs w:val="24"/>
        </w:rPr>
        <w:t>n</w:t>
      </w:r>
      <w:r w:rsidRPr="00F94686">
        <w:rPr>
          <w:rFonts w:ascii="Arial" w:hAnsi="Arial" w:cs="Arial"/>
          <w:sz w:val="24"/>
          <w:szCs w:val="24"/>
        </w:rPr>
        <w:t xml:space="preserve"> los agentes españoles </w:t>
      </w:r>
      <w:r w:rsidR="00D41514">
        <w:rPr>
          <w:rFonts w:ascii="Arial" w:hAnsi="Arial" w:cs="Arial"/>
          <w:sz w:val="24"/>
          <w:szCs w:val="24"/>
        </w:rPr>
        <w:t>no estén en territorio español</w:t>
      </w:r>
      <w:r w:rsidRPr="00F94686">
        <w:rPr>
          <w:rFonts w:ascii="Arial" w:hAnsi="Arial" w:cs="Arial"/>
          <w:sz w:val="24"/>
          <w:szCs w:val="24"/>
        </w:rPr>
        <w:t xml:space="preserve"> son titulares de los derechos fundamentales reconocidos en España.</w:t>
      </w:r>
    </w:p>
    <w:p w14:paraId="1E4B2E49" w14:textId="6CE13D21" w:rsidR="008D7D8F" w:rsidRDefault="008D7D8F" w:rsidP="00237558">
      <w:pPr>
        <w:shd w:val="clear" w:color="auto" w:fill="FFFFFF"/>
        <w:spacing w:after="0" w:line="360" w:lineRule="auto"/>
        <w:jc w:val="both"/>
        <w:rPr>
          <w:rFonts w:ascii="Arial" w:hAnsi="Arial" w:cs="Arial"/>
          <w:sz w:val="24"/>
          <w:szCs w:val="24"/>
        </w:rPr>
      </w:pPr>
    </w:p>
    <w:p w14:paraId="26E169D5" w14:textId="5CA59669" w:rsidR="002B3DF0" w:rsidRDefault="008D7D8F" w:rsidP="008D7D8F">
      <w:pPr>
        <w:shd w:val="clear" w:color="auto" w:fill="FFFFFF"/>
        <w:spacing w:after="0" w:line="360" w:lineRule="auto"/>
        <w:jc w:val="both"/>
        <w:rPr>
          <w:rFonts w:ascii="Arial" w:hAnsi="Arial" w:cs="Arial"/>
          <w:sz w:val="24"/>
          <w:szCs w:val="24"/>
        </w:rPr>
      </w:pPr>
      <w:r w:rsidRPr="008D7D8F">
        <w:rPr>
          <w:rFonts w:ascii="Arial" w:hAnsi="Arial" w:cs="Arial"/>
          <w:sz w:val="24"/>
          <w:szCs w:val="24"/>
        </w:rPr>
        <w:t>El respeto a los derechos humanos de los migrantes exige que en el tránsito del rechazo las condiciones de recepción sean adecuadas, atendiendo</w:t>
      </w:r>
      <w:r>
        <w:rPr>
          <w:rFonts w:ascii="Arial" w:hAnsi="Arial" w:cs="Arial"/>
          <w:sz w:val="24"/>
          <w:szCs w:val="24"/>
        </w:rPr>
        <w:t xml:space="preserve"> a</w:t>
      </w:r>
      <w:r w:rsidRPr="008D7D8F">
        <w:rPr>
          <w:rFonts w:ascii="Arial" w:hAnsi="Arial" w:cs="Arial"/>
          <w:sz w:val="24"/>
          <w:szCs w:val="24"/>
        </w:rPr>
        <w:t xml:space="preserve"> las necesidades concretas de los grupos vulnerables. Al respeto,</w:t>
      </w:r>
      <w:r w:rsidR="00A27857" w:rsidRPr="008D7D8F">
        <w:rPr>
          <w:rFonts w:ascii="Arial" w:hAnsi="Arial" w:cs="Arial"/>
          <w:sz w:val="24"/>
          <w:szCs w:val="24"/>
        </w:rPr>
        <w:t xml:space="preserve"> el TC </w:t>
      </w:r>
      <w:r w:rsidR="00C1549C">
        <w:rPr>
          <w:rFonts w:ascii="Arial" w:hAnsi="Arial" w:cs="Arial"/>
          <w:sz w:val="24"/>
          <w:szCs w:val="24"/>
        </w:rPr>
        <w:t xml:space="preserve">deduce de las obligaciones internacionales en materia de derechos humanos la exclusión </w:t>
      </w:r>
      <w:r w:rsidR="003E46F2">
        <w:rPr>
          <w:rFonts w:ascii="Arial" w:hAnsi="Arial" w:cs="Arial"/>
          <w:sz w:val="24"/>
          <w:szCs w:val="24"/>
        </w:rPr>
        <w:t>de</w:t>
      </w:r>
      <w:r w:rsidR="00296780" w:rsidRPr="008D7D8F">
        <w:rPr>
          <w:rFonts w:ascii="Arial" w:hAnsi="Arial" w:cs="Arial"/>
          <w:sz w:val="24"/>
          <w:szCs w:val="24"/>
        </w:rPr>
        <w:t xml:space="preserve"> </w:t>
      </w:r>
      <w:r w:rsidR="00C1549C">
        <w:rPr>
          <w:rFonts w:ascii="Arial" w:hAnsi="Arial" w:cs="Arial"/>
          <w:sz w:val="24"/>
          <w:szCs w:val="24"/>
        </w:rPr>
        <w:t xml:space="preserve">las </w:t>
      </w:r>
      <w:r w:rsidR="00296780" w:rsidRPr="008D7D8F">
        <w:rPr>
          <w:rFonts w:ascii="Arial" w:hAnsi="Arial" w:cs="Arial"/>
          <w:sz w:val="24"/>
          <w:szCs w:val="24"/>
        </w:rPr>
        <w:t>personas</w:t>
      </w:r>
      <w:r w:rsidR="00400FFC">
        <w:rPr>
          <w:rFonts w:ascii="Arial" w:hAnsi="Arial" w:cs="Arial"/>
          <w:sz w:val="24"/>
          <w:szCs w:val="24"/>
        </w:rPr>
        <w:t xml:space="preserve"> encuadradas en la categoría de especialmente vulnerable</w:t>
      </w:r>
      <w:r w:rsidR="003E46F2">
        <w:rPr>
          <w:rFonts w:ascii="Arial" w:hAnsi="Arial" w:cs="Arial"/>
          <w:sz w:val="24"/>
          <w:szCs w:val="24"/>
        </w:rPr>
        <w:t xml:space="preserve"> del </w:t>
      </w:r>
      <w:r w:rsidR="003E46F2" w:rsidRPr="008D7D8F">
        <w:rPr>
          <w:rFonts w:ascii="Arial" w:hAnsi="Arial" w:cs="Arial"/>
          <w:sz w:val="24"/>
          <w:szCs w:val="24"/>
        </w:rPr>
        <w:t>ámbito del rechazo en frontera</w:t>
      </w:r>
      <w:r w:rsidRPr="008D7D8F">
        <w:rPr>
          <w:rFonts w:ascii="Arial" w:hAnsi="Arial" w:cs="Arial"/>
          <w:sz w:val="24"/>
          <w:szCs w:val="24"/>
        </w:rPr>
        <w:t xml:space="preserve">, citando </w:t>
      </w:r>
      <w:r w:rsidR="00296780" w:rsidRPr="008D7D8F">
        <w:rPr>
          <w:rFonts w:ascii="Arial" w:hAnsi="Arial" w:cs="Arial"/>
          <w:sz w:val="24"/>
          <w:szCs w:val="24"/>
        </w:rPr>
        <w:t>las que aparenten manifiestamente ser menores de edad, sobre todo cuando no se encuentran acompañados por sus familiares, las embarazadas o inmigrantes afectados por serios motivos de incapacidad, incluida la causada por la edad avanzada</w:t>
      </w:r>
      <w:r w:rsidR="00400FFC">
        <w:rPr>
          <w:rFonts w:ascii="Arial" w:hAnsi="Arial" w:cs="Arial"/>
          <w:sz w:val="24"/>
          <w:szCs w:val="24"/>
        </w:rPr>
        <w:t xml:space="preserve"> (STC 172/2020, FJ 8.C)</w:t>
      </w:r>
      <w:r w:rsidR="00296780" w:rsidRPr="008D7D8F">
        <w:rPr>
          <w:rFonts w:ascii="Arial" w:hAnsi="Arial" w:cs="Arial"/>
          <w:sz w:val="24"/>
          <w:szCs w:val="24"/>
        </w:rPr>
        <w:t>. Ello supone que los cuerpos y fuerzas de seguridad deberán prestar especial atención a las categorías de personas pertenecientes a colectivos vulnerable</w:t>
      </w:r>
      <w:r w:rsidR="00E13FA6" w:rsidRPr="008D7D8F">
        <w:rPr>
          <w:rFonts w:ascii="Arial" w:hAnsi="Arial" w:cs="Arial"/>
          <w:sz w:val="24"/>
          <w:szCs w:val="24"/>
        </w:rPr>
        <w:t xml:space="preserve">s, cuyo rechazo </w:t>
      </w:r>
      <w:r w:rsidR="00DE1D5A" w:rsidRPr="008D7D8F">
        <w:rPr>
          <w:rFonts w:ascii="Arial" w:hAnsi="Arial" w:cs="Arial"/>
          <w:sz w:val="24"/>
          <w:szCs w:val="24"/>
        </w:rPr>
        <w:t xml:space="preserve">inmediato </w:t>
      </w:r>
      <w:r w:rsidR="00E13FA6" w:rsidRPr="008D7D8F">
        <w:rPr>
          <w:rFonts w:ascii="Arial" w:hAnsi="Arial" w:cs="Arial"/>
          <w:sz w:val="24"/>
          <w:szCs w:val="24"/>
        </w:rPr>
        <w:t>queda prohibido</w:t>
      </w:r>
      <w:r w:rsidR="00DE1D5A" w:rsidRPr="008D7D8F">
        <w:rPr>
          <w:rFonts w:ascii="Arial" w:hAnsi="Arial" w:cs="Arial"/>
          <w:sz w:val="24"/>
          <w:szCs w:val="24"/>
        </w:rPr>
        <w:t>, aunque traten de superar de manera irregular los puestos fronterizos</w:t>
      </w:r>
      <w:r w:rsidR="00E13FA6" w:rsidRPr="008D7D8F">
        <w:rPr>
          <w:rFonts w:ascii="Arial" w:hAnsi="Arial" w:cs="Arial"/>
          <w:sz w:val="24"/>
          <w:szCs w:val="24"/>
        </w:rPr>
        <w:t>. Por consiguiente, lo</w:t>
      </w:r>
      <w:r w:rsidR="00DE1D5A" w:rsidRPr="008D7D8F">
        <w:rPr>
          <w:rFonts w:ascii="Arial" w:hAnsi="Arial" w:cs="Arial"/>
          <w:sz w:val="24"/>
          <w:szCs w:val="24"/>
        </w:rPr>
        <w:t>s</w:t>
      </w:r>
      <w:r w:rsidR="00E13FA6" w:rsidRPr="008D7D8F">
        <w:rPr>
          <w:rFonts w:ascii="Arial" w:hAnsi="Arial" w:cs="Arial"/>
          <w:sz w:val="24"/>
          <w:szCs w:val="24"/>
        </w:rPr>
        <w:t xml:space="preserve"> </w:t>
      </w:r>
      <w:r w:rsidR="00DB3A29" w:rsidRPr="008D7D8F">
        <w:rPr>
          <w:rFonts w:ascii="Arial" w:hAnsi="Arial" w:cs="Arial"/>
          <w:sz w:val="24"/>
          <w:szCs w:val="24"/>
        </w:rPr>
        <w:t xml:space="preserve">menores no acompañados que hayan cruzado ilegalmente </w:t>
      </w:r>
      <w:r w:rsidRPr="008D7D8F">
        <w:rPr>
          <w:rFonts w:ascii="Arial" w:hAnsi="Arial" w:cs="Arial"/>
          <w:sz w:val="24"/>
          <w:szCs w:val="24"/>
        </w:rPr>
        <w:t>las fronteras no pueden</w:t>
      </w:r>
      <w:r w:rsidR="00DB3A29" w:rsidRPr="008D7D8F">
        <w:rPr>
          <w:rFonts w:ascii="Arial" w:hAnsi="Arial" w:cs="Arial"/>
          <w:sz w:val="24"/>
          <w:szCs w:val="24"/>
        </w:rPr>
        <w:t xml:space="preserve"> ser devueltos, debiendo quedar bajo la tutela de la Administración Pública. </w:t>
      </w:r>
      <w:r w:rsidR="00A27857" w:rsidRPr="008D7D8F">
        <w:rPr>
          <w:rFonts w:ascii="Arial" w:hAnsi="Arial" w:cs="Arial"/>
          <w:sz w:val="24"/>
          <w:szCs w:val="24"/>
        </w:rPr>
        <w:t xml:space="preserve">En el supuesto de que no se pueda determinar con certeza la edad, lo que acontece con asiduidad, </w:t>
      </w:r>
      <w:r w:rsidR="002B3DF0" w:rsidRPr="008D7D8F">
        <w:rPr>
          <w:rFonts w:ascii="Arial" w:hAnsi="Arial" w:cs="Arial"/>
          <w:sz w:val="24"/>
          <w:szCs w:val="24"/>
        </w:rPr>
        <w:t xml:space="preserve">el Estado debe </w:t>
      </w:r>
      <w:r w:rsidR="00A27857" w:rsidRPr="008D7D8F">
        <w:rPr>
          <w:rFonts w:ascii="Arial" w:hAnsi="Arial" w:cs="Arial"/>
          <w:sz w:val="24"/>
          <w:szCs w:val="24"/>
        </w:rPr>
        <w:t xml:space="preserve">dispensar una especial protección, presumiendo </w:t>
      </w:r>
      <w:r w:rsidR="002B3DF0" w:rsidRPr="008D7D8F">
        <w:rPr>
          <w:rFonts w:ascii="Arial" w:hAnsi="Arial" w:cs="Arial"/>
          <w:sz w:val="24"/>
          <w:szCs w:val="24"/>
        </w:rPr>
        <w:t>su minoría de edad, n</w:t>
      </w:r>
      <w:r w:rsidR="00400FFC">
        <w:rPr>
          <w:rFonts w:ascii="Arial" w:hAnsi="Arial" w:cs="Arial"/>
          <w:sz w:val="24"/>
          <w:szCs w:val="24"/>
        </w:rPr>
        <w:t xml:space="preserve">unca </w:t>
      </w:r>
      <w:r w:rsidR="002B3DF0" w:rsidRPr="008D7D8F">
        <w:rPr>
          <w:rFonts w:ascii="Arial" w:hAnsi="Arial" w:cs="Arial"/>
          <w:sz w:val="24"/>
          <w:szCs w:val="24"/>
        </w:rPr>
        <w:t xml:space="preserve">su mayoría. </w:t>
      </w:r>
    </w:p>
    <w:p w14:paraId="6D6FB5DA" w14:textId="71A067F9" w:rsidR="00D41514" w:rsidRDefault="00D41514" w:rsidP="008D7D8F">
      <w:pPr>
        <w:shd w:val="clear" w:color="auto" w:fill="FFFFFF"/>
        <w:spacing w:after="0" w:line="360" w:lineRule="auto"/>
        <w:jc w:val="both"/>
        <w:rPr>
          <w:rFonts w:ascii="Arial" w:hAnsi="Arial" w:cs="Arial"/>
          <w:sz w:val="24"/>
          <w:szCs w:val="24"/>
        </w:rPr>
      </w:pPr>
    </w:p>
    <w:p w14:paraId="31C1BE5C" w14:textId="2FC6DBF9" w:rsidR="00D41514" w:rsidRDefault="00D0648A" w:rsidP="008D7D8F">
      <w:pPr>
        <w:shd w:val="clear" w:color="auto" w:fill="FFFFFF"/>
        <w:spacing w:after="0" w:line="360" w:lineRule="auto"/>
        <w:jc w:val="both"/>
        <w:rPr>
          <w:rFonts w:ascii="Arial" w:hAnsi="Arial" w:cs="Arial"/>
          <w:sz w:val="24"/>
          <w:szCs w:val="24"/>
        </w:rPr>
      </w:pPr>
      <w:r>
        <w:rPr>
          <w:rFonts w:ascii="Arial" w:hAnsi="Arial" w:cs="Arial"/>
          <w:sz w:val="24"/>
          <w:szCs w:val="24"/>
        </w:rPr>
        <w:t xml:space="preserve">El derecho a no ser rechazado sin garantías requiere que el procedimiento de </w:t>
      </w:r>
      <w:r w:rsidR="007A1557">
        <w:rPr>
          <w:rFonts w:ascii="Arial" w:hAnsi="Arial" w:cs="Arial"/>
          <w:sz w:val="24"/>
          <w:szCs w:val="24"/>
        </w:rPr>
        <w:t xml:space="preserve">rechazo </w:t>
      </w:r>
      <w:r>
        <w:rPr>
          <w:rFonts w:ascii="Arial" w:hAnsi="Arial" w:cs="Arial"/>
          <w:sz w:val="24"/>
          <w:szCs w:val="24"/>
        </w:rPr>
        <w:t xml:space="preserve">sea tramitado </w:t>
      </w:r>
      <w:r w:rsidR="007A1557">
        <w:rPr>
          <w:rFonts w:ascii="Arial" w:hAnsi="Arial" w:cs="Arial"/>
          <w:sz w:val="24"/>
          <w:szCs w:val="24"/>
        </w:rPr>
        <w:t xml:space="preserve">con la mayor brevedad posible y, por tanto, el </w:t>
      </w:r>
      <w:r w:rsidR="00E71066">
        <w:rPr>
          <w:rFonts w:ascii="Arial" w:hAnsi="Arial" w:cs="Arial"/>
          <w:sz w:val="24"/>
          <w:szCs w:val="24"/>
        </w:rPr>
        <w:t>traslado a la comisaría del Cuerpo Nacion</w:t>
      </w:r>
      <w:r w:rsidR="00A17CF3">
        <w:rPr>
          <w:rFonts w:ascii="Arial" w:hAnsi="Arial" w:cs="Arial"/>
          <w:sz w:val="24"/>
          <w:szCs w:val="24"/>
        </w:rPr>
        <w:t xml:space="preserve">al de Policía para proceder a la </w:t>
      </w:r>
      <w:r w:rsidR="00E71066">
        <w:rPr>
          <w:rFonts w:ascii="Arial" w:hAnsi="Arial" w:cs="Arial"/>
          <w:sz w:val="24"/>
          <w:szCs w:val="24"/>
        </w:rPr>
        <w:t>identificación</w:t>
      </w:r>
      <w:r w:rsidR="00C1549C">
        <w:rPr>
          <w:rFonts w:ascii="Arial" w:hAnsi="Arial" w:cs="Arial"/>
          <w:sz w:val="24"/>
          <w:szCs w:val="24"/>
        </w:rPr>
        <w:t xml:space="preserve"> </w:t>
      </w:r>
      <w:r>
        <w:rPr>
          <w:rFonts w:ascii="Arial" w:hAnsi="Arial" w:cs="Arial"/>
          <w:sz w:val="24"/>
          <w:szCs w:val="24"/>
        </w:rPr>
        <w:t>de los extranjeros sea efectuado</w:t>
      </w:r>
      <w:r w:rsidR="00400FFC">
        <w:rPr>
          <w:rFonts w:ascii="Arial" w:hAnsi="Arial" w:cs="Arial"/>
          <w:sz w:val="24"/>
          <w:szCs w:val="24"/>
        </w:rPr>
        <w:t xml:space="preserve"> </w:t>
      </w:r>
      <w:r w:rsidR="00A17CF3">
        <w:rPr>
          <w:rFonts w:ascii="Arial" w:hAnsi="Arial" w:cs="Arial"/>
          <w:sz w:val="24"/>
          <w:szCs w:val="24"/>
        </w:rPr>
        <w:t>con celeridad, evitando así posibles denuncias por incurrir en una vulneración de la prohibición de expulsiones colectivas. Una vez en dependencias policiales</w:t>
      </w:r>
      <w:r w:rsidR="00252EBB">
        <w:rPr>
          <w:rFonts w:ascii="Arial" w:hAnsi="Arial" w:cs="Arial"/>
          <w:sz w:val="24"/>
          <w:szCs w:val="24"/>
        </w:rPr>
        <w:t xml:space="preserve">, </w:t>
      </w:r>
      <w:r w:rsidR="00A17CF3">
        <w:rPr>
          <w:rFonts w:ascii="Arial" w:hAnsi="Arial" w:cs="Arial"/>
          <w:sz w:val="24"/>
          <w:szCs w:val="24"/>
        </w:rPr>
        <w:t xml:space="preserve">se debe </w:t>
      </w:r>
      <w:r w:rsidR="00252EBB">
        <w:rPr>
          <w:rFonts w:ascii="Arial" w:hAnsi="Arial" w:cs="Arial"/>
          <w:sz w:val="24"/>
          <w:szCs w:val="24"/>
        </w:rPr>
        <w:t>proporcionar</w:t>
      </w:r>
      <w:r w:rsidR="00C1549C">
        <w:rPr>
          <w:rFonts w:ascii="Arial" w:hAnsi="Arial" w:cs="Arial"/>
          <w:sz w:val="24"/>
          <w:szCs w:val="24"/>
        </w:rPr>
        <w:t xml:space="preserve"> asistencia jurídica, además de intér</w:t>
      </w:r>
      <w:r w:rsidR="007A1557">
        <w:rPr>
          <w:rFonts w:ascii="Arial" w:hAnsi="Arial" w:cs="Arial"/>
          <w:sz w:val="24"/>
          <w:szCs w:val="24"/>
        </w:rPr>
        <w:t xml:space="preserve">prete, en el supuesto de que no se </w:t>
      </w:r>
      <w:r w:rsidR="00C1549C">
        <w:rPr>
          <w:rFonts w:ascii="Arial" w:hAnsi="Arial" w:cs="Arial"/>
          <w:sz w:val="24"/>
          <w:szCs w:val="24"/>
        </w:rPr>
        <w:t xml:space="preserve">comprenda o </w:t>
      </w:r>
      <w:r w:rsidR="007A1557">
        <w:rPr>
          <w:rFonts w:ascii="Arial" w:hAnsi="Arial" w:cs="Arial"/>
          <w:sz w:val="24"/>
          <w:szCs w:val="24"/>
        </w:rPr>
        <w:t xml:space="preserve">se </w:t>
      </w:r>
      <w:r w:rsidR="00C1549C">
        <w:rPr>
          <w:rFonts w:ascii="Arial" w:hAnsi="Arial" w:cs="Arial"/>
          <w:sz w:val="24"/>
          <w:szCs w:val="24"/>
        </w:rPr>
        <w:t>hable las lenguas oficiales utilizadas</w:t>
      </w:r>
      <w:r w:rsidR="00252EBB">
        <w:rPr>
          <w:rFonts w:ascii="Arial" w:hAnsi="Arial" w:cs="Arial"/>
          <w:sz w:val="24"/>
          <w:szCs w:val="24"/>
        </w:rPr>
        <w:t xml:space="preserve">, a los efectos de </w:t>
      </w:r>
      <w:r w:rsidR="00400FFC">
        <w:rPr>
          <w:rFonts w:ascii="Arial" w:hAnsi="Arial" w:cs="Arial"/>
          <w:sz w:val="24"/>
          <w:szCs w:val="24"/>
        </w:rPr>
        <w:t>explicar</w:t>
      </w:r>
      <w:r w:rsidR="00252EBB">
        <w:rPr>
          <w:rFonts w:ascii="Arial" w:hAnsi="Arial" w:cs="Arial"/>
          <w:sz w:val="24"/>
          <w:szCs w:val="24"/>
        </w:rPr>
        <w:t>les</w:t>
      </w:r>
      <w:r w:rsidR="00400FFC">
        <w:rPr>
          <w:rFonts w:ascii="Arial" w:hAnsi="Arial" w:cs="Arial"/>
          <w:sz w:val="24"/>
          <w:szCs w:val="24"/>
        </w:rPr>
        <w:t xml:space="preserve"> el procedimien</w:t>
      </w:r>
      <w:r w:rsidR="007A1557">
        <w:rPr>
          <w:rFonts w:ascii="Arial" w:hAnsi="Arial" w:cs="Arial"/>
          <w:sz w:val="24"/>
          <w:szCs w:val="24"/>
        </w:rPr>
        <w:t xml:space="preserve">to aplicado, las razones de </w:t>
      </w:r>
      <w:r w:rsidR="00400FFC">
        <w:rPr>
          <w:rFonts w:ascii="Arial" w:hAnsi="Arial" w:cs="Arial"/>
          <w:sz w:val="24"/>
          <w:szCs w:val="24"/>
        </w:rPr>
        <w:t>rechazo, los recursos a su</w:t>
      </w:r>
      <w:r w:rsidR="00252EBB">
        <w:rPr>
          <w:rFonts w:ascii="Arial" w:hAnsi="Arial" w:cs="Arial"/>
          <w:sz w:val="24"/>
          <w:szCs w:val="24"/>
        </w:rPr>
        <w:t xml:space="preserve"> disposición, especialmente la vía a seguir </w:t>
      </w:r>
      <w:r w:rsidR="00252EBB">
        <w:rPr>
          <w:rFonts w:ascii="Arial" w:hAnsi="Arial" w:cs="Arial"/>
          <w:sz w:val="24"/>
          <w:szCs w:val="24"/>
        </w:rPr>
        <w:lastRenderedPageBreak/>
        <w:t xml:space="preserve">para formular la petición de </w:t>
      </w:r>
      <w:r w:rsidR="00400FFC">
        <w:rPr>
          <w:rFonts w:ascii="Arial" w:hAnsi="Arial" w:cs="Arial"/>
          <w:sz w:val="24"/>
          <w:szCs w:val="24"/>
        </w:rPr>
        <w:t xml:space="preserve">asilo y de protección internacional, de forma que el principio de </w:t>
      </w:r>
      <w:r w:rsidR="00D3450C">
        <w:rPr>
          <w:rFonts w:ascii="Arial" w:hAnsi="Arial" w:cs="Arial"/>
          <w:sz w:val="24"/>
          <w:szCs w:val="24"/>
        </w:rPr>
        <w:t>no devolución quede garantizado</w:t>
      </w:r>
      <w:r w:rsidR="00C1549C">
        <w:rPr>
          <w:rFonts w:ascii="Arial" w:hAnsi="Arial" w:cs="Arial"/>
          <w:sz w:val="24"/>
          <w:szCs w:val="24"/>
        </w:rPr>
        <w:t>.</w:t>
      </w:r>
      <w:r w:rsidR="00A17CF3">
        <w:rPr>
          <w:rFonts w:ascii="Arial" w:hAnsi="Arial" w:cs="Arial"/>
          <w:sz w:val="24"/>
          <w:szCs w:val="24"/>
        </w:rPr>
        <w:t xml:space="preserve"> Y, obviamente, de ser necesaria, también </w:t>
      </w:r>
      <w:r>
        <w:rPr>
          <w:rFonts w:ascii="Arial" w:hAnsi="Arial" w:cs="Arial"/>
          <w:sz w:val="24"/>
          <w:szCs w:val="24"/>
        </w:rPr>
        <w:t xml:space="preserve">se ha de proporcionar </w:t>
      </w:r>
      <w:r w:rsidR="00A17CF3">
        <w:rPr>
          <w:rFonts w:ascii="Arial" w:hAnsi="Arial" w:cs="Arial"/>
          <w:sz w:val="24"/>
          <w:szCs w:val="24"/>
        </w:rPr>
        <w:t xml:space="preserve">asistencia sanitaria. </w:t>
      </w:r>
    </w:p>
    <w:p w14:paraId="2143E65F" w14:textId="0F5A1C48" w:rsidR="006449DB" w:rsidRDefault="006449DB" w:rsidP="008D7D8F">
      <w:pPr>
        <w:shd w:val="clear" w:color="auto" w:fill="FFFFFF"/>
        <w:spacing w:after="0" w:line="360" w:lineRule="auto"/>
        <w:jc w:val="both"/>
        <w:rPr>
          <w:rFonts w:ascii="Arial" w:hAnsi="Arial" w:cs="Arial"/>
          <w:sz w:val="24"/>
          <w:szCs w:val="24"/>
        </w:rPr>
      </w:pPr>
    </w:p>
    <w:p w14:paraId="0EFBB0C1" w14:textId="710ED245" w:rsidR="006449DB" w:rsidRDefault="006449DB" w:rsidP="008D7D8F">
      <w:pPr>
        <w:shd w:val="clear" w:color="auto" w:fill="FFFFFF"/>
        <w:spacing w:after="0" w:line="360" w:lineRule="auto"/>
        <w:jc w:val="both"/>
        <w:rPr>
          <w:rFonts w:ascii="Arial" w:hAnsi="Arial" w:cs="Arial"/>
          <w:bCs/>
        </w:rPr>
      </w:pPr>
      <w:r>
        <w:rPr>
          <w:rFonts w:ascii="Arial" w:hAnsi="Arial" w:cs="Arial"/>
          <w:sz w:val="24"/>
          <w:szCs w:val="24"/>
        </w:rPr>
        <w:t xml:space="preserve">Por último, el TC, al marcar como una de las condiciones el pleno control judicial para estimar la constitucionalidad de la disposición adicional décima de la LOEX, </w:t>
      </w:r>
      <w:r w:rsidR="00B91376">
        <w:rPr>
          <w:rFonts w:ascii="Arial" w:hAnsi="Arial" w:cs="Arial"/>
          <w:sz w:val="24"/>
          <w:szCs w:val="24"/>
        </w:rPr>
        <w:t xml:space="preserve">ha impuesto indirectamente la obligación de entregar </w:t>
      </w:r>
      <w:r w:rsidR="006A323C">
        <w:rPr>
          <w:rFonts w:ascii="Arial" w:hAnsi="Arial" w:cs="Arial"/>
          <w:sz w:val="24"/>
          <w:szCs w:val="24"/>
        </w:rPr>
        <w:t xml:space="preserve">un documento oficial </w:t>
      </w:r>
      <w:r w:rsidR="00B91376">
        <w:rPr>
          <w:rFonts w:ascii="Arial" w:hAnsi="Arial" w:cs="Arial"/>
          <w:sz w:val="24"/>
          <w:szCs w:val="24"/>
        </w:rPr>
        <w:t>por los agentes en los controles fronterizos de Ceuta y Melilla</w:t>
      </w:r>
      <w:r w:rsidR="006A323C">
        <w:rPr>
          <w:rFonts w:ascii="Arial" w:hAnsi="Arial" w:cs="Arial"/>
          <w:sz w:val="24"/>
          <w:szCs w:val="24"/>
        </w:rPr>
        <w:t xml:space="preserve"> en el que conste, al menos, los datos personales de los extranjeros y la fecha</w:t>
      </w:r>
      <w:r w:rsidR="00B91376">
        <w:rPr>
          <w:rFonts w:ascii="Arial" w:hAnsi="Arial" w:cs="Arial"/>
          <w:sz w:val="24"/>
          <w:szCs w:val="24"/>
        </w:rPr>
        <w:t xml:space="preserve">. La formalización </w:t>
      </w:r>
      <w:r w:rsidR="006A323C">
        <w:rPr>
          <w:rFonts w:ascii="Arial" w:hAnsi="Arial" w:cs="Arial"/>
          <w:sz w:val="24"/>
          <w:szCs w:val="24"/>
        </w:rPr>
        <w:t xml:space="preserve">por escrito </w:t>
      </w:r>
      <w:r w:rsidR="00B91376">
        <w:rPr>
          <w:rFonts w:ascii="Arial" w:hAnsi="Arial" w:cs="Arial"/>
          <w:sz w:val="24"/>
          <w:szCs w:val="24"/>
        </w:rPr>
        <w:t xml:space="preserve">del rechazo garantizaría la posibilidad </w:t>
      </w:r>
      <w:r w:rsidR="00C95518">
        <w:rPr>
          <w:rFonts w:ascii="Arial" w:hAnsi="Arial" w:cs="Arial"/>
          <w:sz w:val="24"/>
          <w:szCs w:val="24"/>
        </w:rPr>
        <w:t>de impugnación</w:t>
      </w:r>
      <w:r w:rsidR="0081374C">
        <w:rPr>
          <w:rFonts w:ascii="Arial" w:hAnsi="Arial" w:cs="Arial"/>
          <w:sz w:val="24"/>
          <w:szCs w:val="24"/>
        </w:rPr>
        <w:t>, en el supuesto de disconformidad o que se haya incurrido en un desconocimiento de garantías</w:t>
      </w:r>
      <w:r w:rsidR="00B91376">
        <w:rPr>
          <w:rFonts w:ascii="Arial" w:hAnsi="Arial" w:cs="Arial"/>
          <w:sz w:val="24"/>
          <w:szCs w:val="24"/>
        </w:rPr>
        <w:t xml:space="preserve">, y </w:t>
      </w:r>
      <w:r w:rsidR="00B91376" w:rsidRPr="00410131">
        <w:rPr>
          <w:rFonts w:ascii="Arial" w:hAnsi="Arial" w:cs="Arial"/>
          <w:sz w:val="24"/>
          <w:szCs w:val="24"/>
        </w:rPr>
        <w:t>prevendría de situaciones de indefensión generadas por decisiones arbitrarias</w:t>
      </w:r>
      <w:r w:rsidR="0081374C" w:rsidRPr="00410131">
        <w:rPr>
          <w:rFonts w:ascii="Arial" w:hAnsi="Arial" w:cs="Arial"/>
          <w:sz w:val="24"/>
          <w:szCs w:val="24"/>
        </w:rPr>
        <w:t xml:space="preserve">. </w:t>
      </w:r>
      <w:r w:rsidR="003B1A52" w:rsidRPr="00410131">
        <w:rPr>
          <w:rFonts w:ascii="Arial" w:hAnsi="Arial" w:cs="Arial"/>
          <w:sz w:val="24"/>
          <w:szCs w:val="24"/>
        </w:rPr>
        <w:t xml:space="preserve">La salida del país </w:t>
      </w:r>
      <w:r w:rsidR="003B1A52" w:rsidRPr="00410131">
        <w:rPr>
          <w:rFonts w:ascii="Arial" w:hAnsi="Arial" w:cs="Arial"/>
          <w:bCs/>
          <w:sz w:val="24"/>
          <w:szCs w:val="24"/>
        </w:rPr>
        <w:t>mediante una resolución oral sin ningún documento escrito vaciaría de contenido, haciéndola inop</w:t>
      </w:r>
      <w:r w:rsidR="00D0648A">
        <w:rPr>
          <w:rFonts w:ascii="Arial" w:hAnsi="Arial" w:cs="Arial"/>
          <w:bCs/>
          <w:sz w:val="24"/>
          <w:szCs w:val="24"/>
        </w:rPr>
        <w:t xml:space="preserve">erante, la exigencia de revisión </w:t>
      </w:r>
      <w:r w:rsidR="003B1A52" w:rsidRPr="00410131">
        <w:rPr>
          <w:rFonts w:ascii="Arial" w:hAnsi="Arial" w:cs="Arial"/>
          <w:bCs/>
          <w:sz w:val="24"/>
          <w:szCs w:val="24"/>
        </w:rPr>
        <w:t>judicial form</w:t>
      </w:r>
      <w:r w:rsidR="00B13147">
        <w:rPr>
          <w:rFonts w:ascii="Arial" w:hAnsi="Arial" w:cs="Arial"/>
          <w:bCs/>
          <w:sz w:val="24"/>
          <w:szCs w:val="24"/>
        </w:rPr>
        <w:t xml:space="preserve">ulada por nuestro Alto Tribunal. Más complicado sería, sin base legal, conferir efectos suspensivos a un posible recurso, aunque sería </w:t>
      </w:r>
      <w:r w:rsidR="00377D34">
        <w:rPr>
          <w:rFonts w:ascii="Arial" w:hAnsi="Arial" w:cs="Arial"/>
          <w:bCs/>
          <w:sz w:val="24"/>
          <w:szCs w:val="24"/>
        </w:rPr>
        <w:t xml:space="preserve">lo deseable por cuanto ejecutada la decisión ya es irreversible. </w:t>
      </w:r>
    </w:p>
    <w:p w14:paraId="2244BA47" w14:textId="08843938" w:rsidR="00410131" w:rsidRPr="008D7D8F" w:rsidRDefault="00410131" w:rsidP="008D7D8F">
      <w:pPr>
        <w:shd w:val="clear" w:color="auto" w:fill="FFFFFF"/>
        <w:spacing w:after="0" w:line="360" w:lineRule="auto"/>
        <w:jc w:val="both"/>
        <w:rPr>
          <w:rFonts w:ascii="Arial" w:hAnsi="Arial" w:cs="Arial"/>
          <w:sz w:val="24"/>
          <w:szCs w:val="24"/>
        </w:rPr>
      </w:pPr>
      <w:r>
        <w:rPr>
          <w:rFonts w:ascii="Arial" w:hAnsi="Arial" w:cs="Arial"/>
          <w:sz w:val="24"/>
          <w:szCs w:val="24"/>
        </w:rPr>
        <w:br/>
      </w:r>
      <w:r w:rsidR="009F0E76">
        <w:rPr>
          <w:rFonts w:ascii="Arial" w:hAnsi="Arial" w:cs="Arial"/>
          <w:sz w:val="24"/>
          <w:szCs w:val="24"/>
        </w:rPr>
        <w:t>En definitiva, este pronunciamiento se suma a otros muchos, en los que e</w:t>
      </w:r>
      <w:r>
        <w:rPr>
          <w:rFonts w:ascii="Arial" w:hAnsi="Arial" w:cs="Arial"/>
          <w:sz w:val="24"/>
          <w:szCs w:val="24"/>
        </w:rPr>
        <w:t>l Tribunal Constitucional españo</w:t>
      </w:r>
      <w:r w:rsidR="009F0E76">
        <w:rPr>
          <w:rFonts w:ascii="Arial" w:hAnsi="Arial" w:cs="Arial"/>
          <w:sz w:val="24"/>
          <w:szCs w:val="24"/>
        </w:rPr>
        <w:t xml:space="preserve">l ha </w:t>
      </w:r>
      <w:r w:rsidR="000E0F01">
        <w:rPr>
          <w:rFonts w:ascii="Arial" w:hAnsi="Arial" w:cs="Arial"/>
          <w:sz w:val="24"/>
          <w:szCs w:val="24"/>
        </w:rPr>
        <w:t xml:space="preserve">contribuido de forma decisiva no sólo a </w:t>
      </w:r>
      <w:r w:rsidR="009F0E76">
        <w:rPr>
          <w:rFonts w:ascii="Arial" w:hAnsi="Arial" w:cs="Arial"/>
          <w:sz w:val="24"/>
          <w:szCs w:val="24"/>
        </w:rPr>
        <w:t>la delimitación del contenido de</w:t>
      </w:r>
      <w:r w:rsidR="000E0F01">
        <w:rPr>
          <w:rFonts w:ascii="Arial" w:hAnsi="Arial" w:cs="Arial"/>
          <w:sz w:val="24"/>
          <w:szCs w:val="24"/>
        </w:rPr>
        <w:t xml:space="preserve"> los derechos reconocidos constitucionalmente,  sino también a la construcción de </w:t>
      </w:r>
      <w:r w:rsidR="009F0E76">
        <w:rPr>
          <w:rFonts w:ascii="Arial" w:hAnsi="Arial" w:cs="Arial"/>
          <w:sz w:val="24"/>
          <w:szCs w:val="24"/>
        </w:rPr>
        <w:t>nuevos derechos</w:t>
      </w:r>
      <w:r w:rsidR="000E0F01">
        <w:rPr>
          <w:rFonts w:ascii="Arial" w:hAnsi="Arial" w:cs="Arial"/>
          <w:sz w:val="24"/>
          <w:szCs w:val="24"/>
        </w:rPr>
        <w:t xml:space="preserve"> que se</w:t>
      </w:r>
      <w:r w:rsidR="009F0E76">
        <w:rPr>
          <w:rFonts w:ascii="Arial" w:hAnsi="Arial" w:cs="Arial"/>
          <w:sz w:val="24"/>
          <w:szCs w:val="24"/>
        </w:rPr>
        <w:t xml:space="preserve"> van forjando y, en este caso, </w:t>
      </w:r>
      <w:r w:rsidR="000E0F01">
        <w:rPr>
          <w:rFonts w:ascii="Arial" w:hAnsi="Arial" w:cs="Arial"/>
          <w:sz w:val="24"/>
          <w:szCs w:val="24"/>
        </w:rPr>
        <w:t xml:space="preserve">el derecho de </w:t>
      </w:r>
      <w:r w:rsidR="009F0E76">
        <w:rPr>
          <w:rFonts w:ascii="Arial" w:hAnsi="Arial" w:cs="Arial"/>
          <w:sz w:val="24"/>
          <w:szCs w:val="24"/>
        </w:rPr>
        <w:t xml:space="preserve">los migrantes que </w:t>
      </w:r>
      <w:r w:rsidR="000E0F01">
        <w:rPr>
          <w:rFonts w:ascii="Arial" w:hAnsi="Arial" w:cs="Arial"/>
          <w:sz w:val="24"/>
          <w:szCs w:val="24"/>
        </w:rPr>
        <w:t>traspasan las fronteras de los países</w:t>
      </w:r>
      <w:r w:rsidR="00D0648A">
        <w:rPr>
          <w:rFonts w:ascii="Arial" w:hAnsi="Arial" w:cs="Arial"/>
          <w:sz w:val="24"/>
          <w:szCs w:val="24"/>
        </w:rPr>
        <w:t>,</w:t>
      </w:r>
      <w:r w:rsidR="000E0F01">
        <w:rPr>
          <w:rFonts w:ascii="Arial" w:hAnsi="Arial" w:cs="Arial"/>
          <w:sz w:val="24"/>
          <w:szCs w:val="24"/>
        </w:rPr>
        <w:t xml:space="preserve"> huyendo de conflictos bélicos o de la endémica situación de pobreza que asola a sus países</w:t>
      </w:r>
      <w:r w:rsidR="00D0648A">
        <w:rPr>
          <w:rFonts w:ascii="Arial" w:hAnsi="Arial" w:cs="Arial"/>
          <w:sz w:val="24"/>
          <w:szCs w:val="24"/>
        </w:rPr>
        <w:t>,</w:t>
      </w:r>
      <w:r w:rsidR="000E0F01">
        <w:rPr>
          <w:rFonts w:ascii="Arial" w:hAnsi="Arial" w:cs="Arial"/>
          <w:sz w:val="24"/>
          <w:szCs w:val="24"/>
        </w:rPr>
        <w:t xml:space="preserve"> a recibir un trato digno respetuoso con las garantías internacionalmente reconocidas</w:t>
      </w:r>
      <w:r w:rsidR="000E0F01">
        <w:rPr>
          <w:rStyle w:val="Refdenotaalpie"/>
          <w:rFonts w:ascii="Arial" w:hAnsi="Arial" w:cs="Arial"/>
          <w:sz w:val="24"/>
          <w:szCs w:val="24"/>
        </w:rPr>
        <w:footnoteReference w:id="9"/>
      </w:r>
      <w:r w:rsidR="000E0F01">
        <w:rPr>
          <w:rFonts w:ascii="Arial" w:hAnsi="Arial" w:cs="Arial"/>
          <w:sz w:val="24"/>
          <w:szCs w:val="24"/>
        </w:rPr>
        <w:t xml:space="preserve">. </w:t>
      </w:r>
    </w:p>
    <w:p w14:paraId="19513131" w14:textId="37650933" w:rsidR="00AD0110" w:rsidRDefault="00AD0110" w:rsidP="002E2CAF">
      <w:pPr>
        <w:rPr>
          <w:rFonts w:ascii="Arial" w:hAnsi="Arial" w:cs="Arial"/>
          <w:sz w:val="24"/>
          <w:szCs w:val="24"/>
        </w:rPr>
      </w:pPr>
    </w:p>
    <w:p w14:paraId="2DB5EE51" w14:textId="68549C1D" w:rsidR="006449DB" w:rsidRDefault="006449DB" w:rsidP="002E2CAF">
      <w:pPr>
        <w:rPr>
          <w:rFonts w:ascii="Arial" w:hAnsi="Arial" w:cs="Arial"/>
          <w:sz w:val="24"/>
          <w:szCs w:val="24"/>
        </w:rPr>
      </w:pPr>
    </w:p>
    <w:sectPr w:rsidR="006449DB">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5D012" w14:textId="77777777" w:rsidR="0043480E" w:rsidRDefault="0043480E" w:rsidP="00D40886">
      <w:pPr>
        <w:spacing w:after="0" w:line="240" w:lineRule="auto"/>
      </w:pPr>
      <w:r>
        <w:separator/>
      </w:r>
    </w:p>
  </w:endnote>
  <w:endnote w:type="continuationSeparator" w:id="0">
    <w:p w14:paraId="18659DBB" w14:textId="77777777" w:rsidR="0043480E" w:rsidRDefault="0043480E" w:rsidP="00D40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748593"/>
      <w:docPartObj>
        <w:docPartGallery w:val="Page Numbers (Bottom of Page)"/>
        <w:docPartUnique/>
      </w:docPartObj>
    </w:sdtPr>
    <w:sdtEndPr/>
    <w:sdtContent>
      <w:p w14:paraId="1085C100" w14:textId="57301EA7" w:rsidR="007E6EC9" w:rsidRDefault="007E6EC9">
        <w:pPr>
          <w:pStyle w:val="Piedepgina"/>
          <w:jc w:val="center"/>
        </w:pPr>
        <w:r>
          <w:rPr>
            <w:noProof/>
            <w:lang w:val="es-ES" w:eastAsia="es-ES"/>
          </w:rPr>
          <mc:AlternateContent>
            <mc:Choice Requires="wps">
              <w:drawing>
                <wp:inline distT="0" distB="0" distL="0" distR="0" wp14:anchorId="098D6176" wp14:editId="0FE09B73">
                  <wp:extent cx="5467350" cy="45085"/>
                  <wp:effectExtent l="9525" t="9525" r="0" b="2540"/>
                  <wp:docPr id="648" name="Autoforma 1" descr="Horizontal clara"/>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544B471" id="_x0000_t110" coordsize="21600,21600" o:spt="110" path="m10800,l,10800,10800,21600,21600,10800xe">
                  <v:stroke joinstyle="miter"/>
                  <v:path gradientshapeok="t" o:connecttype="rect" textboxrect="5400,5400,16200,16200"/>
                </v:shapetype>
                <v:shape id="Autoforma 1" o:spid="_x0000_s1026" type="#_x0000_t110" alt="Horizontal clara"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" fillcolor="black" stroked="f">
                  <v:fill r:id="rId1" o:title="" type="pattern"/>
                  <w10:anchorlock/>
                </v:shape>
              </w:pict>
            </mc:Fallback>
          </mc:AlternateContent>
        </w:r>
      </w:p>
      <w:p w14:paraId="7649D56B" w14:textId="111E3048" w:rsidR="007E6EC9" w:rsidRDefault="007E6EC9">
        <w:pPr>
          <w:pStyle w:val="Piedepgina"/>
          <w:jc w:val="center"/>
        </w:pPr>
        <w:r>
          <w:fldChar w:fldCharType="begin"/>
        </w:r>
        <w:r>
          <w:instrText>PAGE    \* MERGEFORMAT</w:instrText>
        </w:r>
        <w:r>
          <w:fldChar w:fldCharType="separate"/>
        </w:r>
        <w:r w:rsidR="00C95DAB" w:rsidRPr="00C95DAB">
          <w:rPr>
            <w:noProof/>
            <w:lang w:val="es-ES"/>
          </w:rPr>
          <w:t>2</w:t>
        </w:r>
        <w:r>
          <w:fldChar w:fldCharType="end"/>
        </w:r>
      </w:p>
    </w:sdtContent>
  </w:sdt>
  <w:p w14:paraId="0C07F9E4" w14:textId="77777777" w:rsidR="007E6EC9" w:rsidRDefault="007E6EC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1B3903" w14:textId="77777777" w:rsidR="0043480E" w:rsidRDefault="0043480E" w:rsidP="00D40886">
      <w:pPr>
        <w:spacing w:after="0" w:line="240" w:lineRule="auto"/>
      </w:pPr>
      <w:r>
        <w:separator/>
      </w:r>
    </w:p>
  </w:footnote>
  <w:footnote w:type="continuationSeparator" w:id="0">
    <w:p w14:paraId="74CDDB25" w14:textId="77777777" w:rsidR="0043480E" w:rsidRDefault="0043480E" w:rsidP="00D40886">
      <w:pPr>
        <w:spacing w:after="0" w:line="240" w:lineRule="auto"/>
      </w:pPr>
      <w:r>
        <w:continuationSeparator/>
      </w:r>
    </w:p>
  </w:footnote>
  <w:footnote w:id="1">
    <w:p w14:paraId="0AD70D7C" w14:textId="7D712677" w:rsidR="003A0847" w:rsidRPr="003A0847" w:rsidRDefault="003A0847" w:rsidP="003A0847">
      <w:pPr>
        <w:pStyle w:val="Textonotapie"/>
        <w:jc w:val="both"/>
        <w:rPr>
          <w:rFonts w:ascii="Arial" w:hAnsi="Arial" w:cs="Arial"/>
          <w:sz w:val="22"/>
          <w:szCs w:val="22"/>
        </w:rPr>
      </w:pPr>
      <w:r w:rsidRPr="003A0847">
        <w:rPr>
          <w:rStyle w:val="Refdenotaalpie"/>
          <w:rFonts w:ascii="Arial" w:hAnsi="Arial" w:cs="Arial"/>
          <w:sz w:val="22"/>
          <w:szCs w:val="22"/>
        </w:rPr>
        <w:footnoteRef/>
      </w:r>
      <w:r w:rsidRPr="003A0847">
        <w:rPr>
          <w:rFonts w:ascii="Arial" w:hAnsi="Arial" w:cs="Arial"/>
          <w:sz w:val="22"/>
          <w:szCs w:val="22"/>
        </w:rPr>
        <w:t xml:space="preserve"> Sobre la relación de ambas garantías, resulta de especial interés la STEDH de 21 octubre de 2014, caso Sharifi y otros c. Italia y Grecia. </w:t>
      </w:r>
    </w:p>
  </w:footnote>
  <w:footnote w:id="2">
    <w:p w14:paraId="2615406F" w14:textId="15C9E401" w:rsidR="0067314B" w:rsidRPr="009C141A" w:rsidRDefault="0067314B" w:rsidP="0067314B">
      <w:pPr>
        <w:pStyle w:val="Textonotapie"/>
        <w:jc w:val="both"/>
        <w:rPr>
          <w:rFonts w:ascii="Arial" w:hAnsi="Arial" w:cs="Arial"/>
          <w:sz w:val="22"/>
          <w:szCs w:val="22"/>
          <w:lang w:val="es-ES"/>
        </w:rPr>
      </w:pPr>
      <w:r w:rsidRPr="0067314B">
        <w:rPr>
          <w:rStyle w:val="Refdenotaalpie"/>
          <w:rFonts w:ascii="Arial" w:hAnsi="Arial" w:cs="Arial"/>
          <w:sz w:val="22"/>
          <w:szCs w:val="22"/>
        </w:rPr>
        <w:footnoteRef/>
      </w:r>
      <w:r w:rsidRPr="0067314B">
        <w:rPr>
          <w:rFonts w:ascii="Arial" w:hAnsi="Arial" w:cs="Arial"/>
          <w:sz w:val="22"/>
          <w:szCs w:val="22"/>
        </w:rPr>
        <w:t xml:space="preserve"> </w:t>
      </w:r>
      <w:r w:rsidRPr="0067314B">
        <w:rPr>
          <w:rFonts w:ascii="Arial" w:hAnsi="Arial" w:cs="Arial"/>
          <w:sz w:val="22"/>
          <w:szCs w:val="22"/>
          <w:lang w:val="es-ES"/>
        </w:rPr>
        <w:t xml:space="preserve">En tal sentido, véase STEDH Gran Sala </w:t>
      </w:r>
      <w:r w:rsidRPr="0067314B">
        <w:rPr>
          <w:rFonts w:ascii="Arial" w:hAnsi="Arial" w:cs="Arial"/>
          <w:sz w:val="22"/>
          <w:szCs w:val="22"/>
        </w:rPr>
        <w:t xml:space="preserve">23 de febrero de 2012, as. </w:t>
      </w:r>
      <w:r w:rsidRPr="0067314B">
        <w:rPr>
          <w:rFonts w:ascii="Arial" w:hAnsi="Arial" w:cs="Arial"/>
          <w:i/>
          <w:sz w:val="22"/>
          <w:szCs w:val="22"/>
        </w:rPr>
        <w:t>Hirsi Jamaa y otros c. Italia</w:t>
      </w:r>
      <w:r w:rsidR="009C141A">
        <w:rPr>
          <w:rFonts w:ascii="Arial" w:hAnsi="Arial" w:cs="Arial"/>
          <w:i/>
          <w:sz w:val="22"/>
          <w:szCs w:val="22"/>
        </w:rPr>
        <w:t xml:space="preserve">. </w:t>
      </w:r>
      <w:r w:rsidR="009C141A">
        <w:rPr>
          <w:rFonts w:ascii="Arial" w:hAnsi="Arial" w:cs="Arial"/>
          <w:sz w:val="22"/>
          <w:szCs w:val="22"/>
        </w:rPr>
        <w:t>En esta sentencia,</w:t>
      </w:r>
      <w:r w:rsidR="006E3DEB">
        <w:rPr>
          <w:rFonts w:ascii="Arial" w:hAnsi="Arial" w:cs="Arial"/>
          <w:sz w:val="22"/>
          <w:szCs w:val="22"/>
        </w:rPr>
        <w:t xml:space="preserve"> que concluyó que hubo violación del art. 4 del Protocolo n.º 4</w:t>
      </w:r>
      <w:r w:rsidR="000A0D08">
        <w:rPr>
          <w:rFonts w:ascii="Arial" w:hAnsi="Arial" w:cs="Arial"/>
          <w:sz w:val="22"/>
          <w:szCs w:val="22"/>
        </w:rPr>
        <w:t xml:space="preserve">, </w:t>
      </w:r>
      <w:r w:rsidR="006E3DEB">
        <w:rPr>
          <w:rFonts w:ascii="Arial" w:hAnsi="Arial" w:cs="Arial"/>
          <w:sz w:val="22"/>
          <w:szCs w:val="22"/>
        </w:rPr>
        <w:t>al devolver a Libia</w:t>
      </w:r>
      <w:r w:rsidR="00252EBB">
        <w:rPr>
          <w:rFonts w:ascii="Arial" w:hAnsi="Arial" w:cs="Arial"/>
          <w:sz w:val="22"/>
          <w:szCs w:val="22"/>
        </w:rPr>
        <w:t xml:space="preserve"> sin proceso alguno de identificación</w:t>
      </w:r>
      <w:r w:rsidR="00BA4C9F">
        <w:rPr>
          <w:rFonts w:ascii="Arial" w:hAnsi="Arial" w:cs="Arial"/>
          <w:sz w:val="22"/>
          <w:szCs w:val="22"/>
        </w:rPr>
        <w:t xml:space="preserve"> los </w:t>
      </w:r>
      <w:r w:rsidR="00252EBB">
        <w:rPr>
          <w:rFonts w:ascii="Arial" w:hAnsi="Arial" w:cs="Arial"/>
          <w:sz w:val="22"/>
          <w:szCs w:val="22"/>
        </w:rPr>
        <w:t>e</w:t>
      </w:r>
      <w:r w:rsidR="006E3DEB">
        <w:rPr>
          <w:rFonts w:ascii="Arial" w:hAnsi="Arial" w:cs="Arial"/>
          <w:sz w:val="22"/>
          <w:szCs w:val="22"/>
        </w:rPr>
        <w:t>migrantes</w:t>
      </w:r>
      <w:r w:rsidR="000A0D08">
        <w:rPr>
          <w:rFonts w:ascii="Arial" w:hAnsi="Arial" w:cs="Arial"/>
          <w:sz w:val="22"/>
          <w:szCs w:val="22"/>
        </w:rPr>
        <w:t xml:space="preserve"> inte</w:t>
      </w:r>
      <w:r w:rsidR="00BA4C9F">
        <w:rPr>
          <w:rFonts w:ascii="Arial" w:hAnsi="Arial" w:cs="Arial"/>
          <w:sz w:val="22"/>
          <w:szCs w:val="22"/>
        </w:rPr>
        <w:t xml:space="preserve">rceptados en tres embarcaciones que pretendían </w:t>
      </w:r>
      <w:r w:rsidR="000A0D08">
        <w:rPr>
          <w:rFonts w:ascii="Arial" w:hAnsi="Arial" w:cs="Arial"/>
          <w:sz w:val="22"/>
          <w:szCs w:val="22"/>
        </w:rPr>
        <w:t xml:space="preserve">alcanzar la costa italiana, </w:t>
      </w:r>
      <w:r w:rsidR="009C141A">
        <w:rPr>
          <w:rFonts w:ascii="Arial" w:hAnsi="Arial" w:cs="Arial"/>
          <w:sz w:val="22"/>
          <w:szCs w:val="22"/>
        </w:rPr>
        <w:t xml:space="preserve">se condenó por vez primera a un Estado por hechos cometidos en alta mar, no en el territorio nacional de un Estado. </w:t>
      </w:r>
    </w:p>
  </w:footnote>
  <w:footnote w:id="3">
    <w:p w14:paraId="250282D0" w14:textId="02B56BD4" w:rsidR="004A613E" w:rsidRPr="00724B95" w:rsidRDefault="004A613E" w:rsidP="00724B95">
      <w:pPr>
        <w:pStyle w:val="Textonotapie"/>
        <w:jc w:val="both"/>
        <w:rPr>
          <w:rFonts w:ascii="Arial" w:hAnsi="Arial" w:cs="Arial"/>
          <w:sz w:val="22"/>
          <w:szCs w:val="22"/>
          <w:lang w:val="es-ES"/>
        </w:rPr>
      </w:pPr>
      <w:r w:rsidRPr="00724B95">
        <w:rPr>
          <w:rStyle w:val="Refdenotaalpie"/>
          <w:rFonts w:ascii="Arial" w:hAnsi="Arial" w:cs="Arial"/>
          <w:sz w:val="22"/>
          <w:szCs w:val="22"/>
        </w:rPr>
        <w:footnoteRef/>
      </w:r>
      <w:r w:rsidRPr="00724B95">
        <w:rPr>
          <w:rFonts w:ascii="Arial" w:hAnsi="Arial" w:cs="Arial"/>
          <w:sz w:val="22"/>
          <w:szCs w:val="22"/>
        </w:rPr>
        <w:t xml:space="preserve"> Al respecto, véanse</w:t>
      </w:r>
      <w:r w:rsidR="00724B95">
        <w:rPr>
          <w:rFonts w:ascii="Arial" w:hAnsi="Arial" w:cs="Arial"/>
          <w:sz w:val="22"/>
          <w:szCs w:val="22"/>
        </w:rPr>
        <w:t xml:space="preserve">, entre otras, </w:t>
      </w:r>
      <w:r w:rsidR="00724B95" w:rsidRPr="00724B95">
        <w:rPr>
          <w:rFonts w:ascii="Arial" w:hAnsi="Arial" w:cs="Arial"/>
          <w:sz w:val="22"/>
          <w:szCs w:val="22"/>
        </w:rPr>
        <w:t>STEDH Gran Sala de 15 de diciembre de 2016, caso de Khlaifia y otros v. Italia (§ 239)</w:t>
      </w:r>
      <w:r w:rsidR="00724B95">
        <w:rPr>
          <w:rFonts w:ascii="Arial" w:hAnsi="Arial" w:cs="Arial"/>
          <w:sz w:val="22"/>
          <w:szCs w:val="22"/>
        </w:rPr>
        <w:t xml:space="preserve">; STEDH de 20 de septiembre de 2007, caso Sultani c. Francia </w:t>
      </w:r>
      <w:r w:rsidR="00724B95" w:rsidRPr="00724B95">
        <w:rPr>
          <w:rFonts w:ascii="Arial" w:hAnsi="Arial" w:cs="Arial"/>
          <w:sz w:val="22"/>
          <w:szCs w:val="22"/>
        </w:rPr>
        <w:t>(§</w:t>
      </w:r>
      <w:r w:rsidR="00724B95">
        <w:rPr>
          <w:rFonts w:ascii="Arial" w:hAnsi="Arial" w:cs="Arial"/>
          <w:sz w:val="22"/>
          <w:szCs w:val="22"/>
        </w:rPr>
        <w:t xml:space="preserve"> 81).</w:t>
      </w:r>
    </w:p>
  </w:footnote>
  <w:footnote w:id="4">
    <w:p w14:paraId="0D08FD97" w14:textId="64193C6E" w:rsidR="003C55E4" w:rsidRPr="004811AB" w:rsidRDefault="003C55E4" w:rsidP="00F9451A">
      <w:pPr>
        <w:pStyle w:val="Textonotapie"/>
        <w:jc w:val="both"/>
        <w:rPr>
          <w:rFonts w:ascii="Arial" w:hAnsi="Arial" w:cs="Arial"/>
          <w:sz w:val="22"/>
          <w:szCs w:val="22"/>
        </w:rPr>
      </w:pPr>
      <w:r w:rsidRPr="004811AB">
        <w:rPr>
          <w:rStyle w:val="Refdenotaalpie"/>
          <w:rFonts w:ascii="Arial" w:hAnsi="Arial" w:cs="Arial"/>
          <w:sz w:val="22"/>
          <w:szCs w:val="22"/>
        </w:rPr>
        <w:footnoteRef/>
      </w:r>
      <w:r w:rsidRPr="004811AB">
        <w:rPr>
          <w:rFonts w:ascii="Arial" w:hAnsi="Arial" w:cs="Arial"/>
          <w:sz w:val="22"/>
          <w:szCs w:val="22"/>
        </w:rPr>
        <w:t xml:space="preserve"> </w:t>
      </w:r>
      <w:r w:rsidR="00F9451A" w:rsidRPr="004811AB">
        <w:rPr>
          <w:rFonts w:ascii="Arial" w:hAnsi="Arial" w:cs="Arial"/>
          <w:sz w:val="22"/>
          <w:szCs w:val="22"/>
        </w:rPr>
        <w:t xml:space="preserve"> </w:t>
      </w:r>
      <w:r w:rsidR="004811AB">
        <w:rPr>
          <w:rFonts w:ascii="Arial" w:hAnsi="Arial" w:cs="Arial"/>
          <w:sz w:val="22"/>
          <w:szCs w:val="22"/>
        </w:rPr>
        <w:t>El Espacio Común Europeo e</w:t>
      </w:r>
      <w:r w:rsidR="00F9451A" w:rsidRPr="004811AB">
        <w:rPr>
          <w:rFonts w:ascii="Arial" w:hAnsi="Arial" w:cs="Arial"/>
          <w:sz w:val="22"/>
          <w:szCs w:val="22"/>
        </w:rPr>
        <w:t>s una zona única sin controles fronterizos internos formada por veintiséis Es</w:t>
      </w:r>
      <w:r w:rsidR="004811AB">
        <w:rPr>
          <w:rFonts w:ascii="Arial" w:hAnsi="Arial" w:cs="Arial"/>
          <w:sz w:val="22"/>
          <w:szCs w:val="22"/>
        </w:rPr>
        <w:t xml:space="preserve">tados europeos, que aplican </w:t>
      </w:r>
      <w:r w:rsidR="00F9451A" w:rsidRPr="004811AB">
        <w:rPr>
          <w:rFonts w:ascii="Arial" w:hAnsi="Arial" w:cs="Arial"/>
          <w:sz w:val="22"/>
          <w:szCs w:val="22"/>
        </w:rPr>
        <w:t xml:space="preserve">unas normas comunes para los controles realizados en las fronteras exteriores. </w:t>
      </w:r>
    </w:p>
  </w:footnote>
  <w:footnote w:id="5">
    <w:p w14:paraId="60E9302E" w14:textId="3D7470EB" w:rsidR="00FB6BDF" w:rsidRPr="00FB6BDF" w:rsidRDefault="00FB6BDF" w:rsidP="00B17E5D">
      <w:pPr>
        <w:pStyle w:val="Textonotapie"/>
        <w:jc w:val="both"/>
        <w:rPr>
          <w:rFonts w:ascii="Arial" w:hAnsi="Arial" w:cs="Arial"/>
          <w:sz w:val="22"/>
          <w:szCs w:val="22"/>
          <w:lang w:val="es-ES"/>
        </w:rPr>
      </w:pPr>
      <w:r w:rsidRPr="00FB6BDF">
        <w:rPr>
          <w:rStyle w:val="Refdenotaalpie"/>
          <w:rFonts w:ascii="Arial" w:hAnsi="Arial" w:cs="Arial"/>
          <w:sz w:val="22"/>
          <w:szCs w:val="22"/>
        </w:rPr>
        <w:footnoteRef/>
      </w:r>
      <w:r w:rsidRPr="00FB6BDF">
        <w:rPr>
          <w:rFonts w:ascii="Arial" w:hAnsi="Arial" w:cs="Arial"/>
          <w:sz w:val="22"/>
          <w:szCs w:val="22"/>
        </w:rPr>
        <w:t xml:space="preserve"> </w:t>
      </w:r>
      <w:r>
        <w:rPr>
          <w:rFonts w:ascii="Arial" w:hAnsi="Arial" w:cs="Arial"/>
          <w:sz w:val="22"/>
          <w:szCs w:val="22"/>
        </w:rPr>
        <w:t>El art. 41 del Código de fronteras Schengen, denominación que recibe el Reglamento (UE) 216/399 del Parlamento Europeo y del Consejo de 9 de marzo de 2016 por el que se establece un Código de normas de la Unión para el cruce de personas por las fronteras, dispone que: “L</w:t>
      </w:r>
      <w:r w:rsidR="00B17E5D">
        <w:rPr>
          <w:rFonts w:ascii="Arial" w:hAnsi="Arial" w:cs="Arial"/>
          <w:sz w:val="22"/>
          <w:szCs w:val="22"/>
        </w:rPr>
        <w:t>as disposiciones del presente R</w:t>
      </w:r>
      <w:r>
        <w:rPr>
          <w:rFonts w:ascii="Arial" w:hAnsi="Arial" w:cs="Arial"/>
          <w:sz w:val="22"/>
          <w:szCs w:val="22"/>
        </w:rPr>
        <w:t xml:space="preserve">eglamento </w:t>
      </w:r>
      <w:r w:rsidR="00B17E5D">
        <w:rPr>
          <w:rFonts w:ascii="Arial" w:hAnsi="Arial" w:cs="Arial"/>
          <w:sz w:val="22"/>
          <w:szCs w:val="22"/>
        </w:rPr>
        <w:t>no afectarán al régimen especial aplicable a las ciudades de Ceuta y Melilla, tal como se define en la Declaración del Reino de España relativa a las ciudades de Ceuta y Melilla, que figura en el acta final del Acuerdo sobre la adhesión del Reino de España al Convenio de aplicación del Acuerdo de Schengen de 14 de junio de 1985</w:t>
      </w:r>
      <w:r w:rsidR="00C95518">
        <w:rPr>
          <w:rFonts w:ascii="Arial" w:hAnsi="Arial" w:cs="Arial"/>
          <w:sz w:val="22"/>
          <w:szCs w:val="22"/>
        </w:rPr>
        <w:t>”</w:t>
      </w:r>
      <w:r w:rsidR="00B17E5D">
        <w:rPr>
          <w:rFonts w:ascii="Arial" w:hAnsi="Arial" w:cs="Arial"/>
          <w:sz w:val="22"/>
          <w:szCs w:val="22"/>
        </w:rPr>
        <w:t xml:space="preserve">. </w:t>
      </w:r>
    </w:p>
  </w:footnote>
  <w:footnote w:id="6">
    <w:p w14:paraId="2AFF2F6F" w14:textId="0C1C28C9" w:rsidR="00A16BA1" w:rsidRPr="004D025F" w:rsidRDefault="00A16BA1" w:rsidP="00856A64">
      <w:pPr>
        <w:pStyle w:val="Textonotapie"/>
        <w:jc w:val="both"/>
        <w:rPr>
          <w:rFonts w:ascii="Arial" w:hAnsi="Arial" w:cs="Arial"/>
          <w:sz w:val="22"/>
          <w:szCs w:val="22"/>
          <w:lang w:val="es-ES"/>
        </w:rPr>
      </w:pPr>
      <w:r w:rsidRPr="00A17CF3">
        <w:rPr>
          <w:rStyle w:val="Refdenotaalpie"/>
          <w:rFonts w:ascii="Arial" w:hAnsi="Arial" w:cs="Arial"/>
          <w:sz w:val="22"/>
          <w:szCs w:val="22"/>
        </w:rPr>
        <w:footnoteRef/>
      </w:r>
      <w:r w:rsidRPr="00A17CF3">
        <w:rPr>
          <w:rFonts w:ascii="Arial" w:hAnsi="Arial" w:cs="Arial"/>
          <w:sz w:val="22"/>
          <w:szCs w:val="22"/>
        </w:rPr>
        <w:t xml:space="preserve"> </w:t>
      </w:r>
      <w:r w:rsidRPr="00A17CF3">
        <w:rPr>
          <w:rFonts w:ascii="Arial" w:hAnsi="Arial" w:cs="Arial"/>
          <w:sz w:val="22"/>
          <w:szCs w:val="22"/>
          <w:lang w:val="es-ES"/>
        </w:rPr>
        <w:t>En este sentido, véa</w:t>
      </w:r>
      <w:r w:rsidR="00AF226C">
        <w:rPr>
          <w:rFonts w:ascii="Arial" w:hAnsi="Arial" w:cs="Arial"/>
          <w:sz w:val="22"/>
          <w:szCs w:val="22"/>
          <w:lang w:val="es-ES"/>
        </w:rPr>
        <w:t>n</w:t>
      </w:r>
      <w:r w:rsidRPr="00A17CF3">
        <w:rPr>
          <w:rFonts w:ascii="Arial" w:hAnsi="Arial" w:cs="Arial"/>
          <w:sz w:val="22"/>
          <w:szCs w:val="22"/>
          <w:lang w:val="es-ES"/>
        </w:rPr>
        <w:t xml:space="preserve">se </w:t>
      </w:r>
      <w:r w:rsidR="00856A64" w:rsidRPr="00A17CF3">
        <w:rPr>
          <w:rFonts w:ascii="Arial" w:hAnsi="Arial" w:cs="Arial"/>
          <w:sz w:val="22"/>
          <w:szCs w:val="22"/>
          <w:lang w:val="es-ES"/>
        </w:rPr>
        <w:t xml:space="preserve">Pinto de Albuquerque, Paulo y Preciado Domènech, Carlos Hugo, </w:t>
      </w:r>
      <w:r w:rsidR="00856A64" w:rsidRPr="00A17CF3">
        <w:rPr>
          <w:rFonts w:ascii="Arial" w:hAnsi="Arial" w:cs="Arial"/>
          <w:i/>
          <w:sz w:val="22"/>
          <w:szCs w:val="22"/>
          <w:lang w:val="es-ES"/>
        </w:rPr>
        <w:t>Hablemos de derechos humanos. La doctrina del Tribunal Europeo de Derechos Humanos y su aplicación en España desde los votos particulares del Juez Paulo Pinto de Albuquerque</w:t>
      </w:r>
      <w:r w:rsidR="00856A64" w:rsidRPr="00A17CF3">
        <w:rPr>
          <w:rFonts w:ascii="Arial" w:hAnsi="Arial" w:cs="Arial"/>
          <w:sz w:val="22"/>
          <w:szCs w:val="22"/>
          <w:lang w:val="es-ES"/>
        </w:rPr>
        <w:t>, Valencia, Tirant lo Blanch, 2020, p</w:t>
      </w:r>
      <w:r w:rsidR="00A17CF3">
        <w:rPr>
          <w:rFonts w:ascii="Arial" w:hAnsi="Arial" w:cs="Arial"/>
          <w:sz w:val="22"/>
          <w:szCs w:val="22"/>
          <w:lang w:val="es-ES"/>
        </w:rPr>
        <w:t>p</w:t>
      </w:r>
      <w:r w:rsidR="00856A64" w:rsidRPr="00A17CF3">
        <w:rPr>
          <w:rFonts w:ascii="Arial" w:hAnsi="Arial" w:cs="Arial"/>
          <w:sz w:val="22"/>
          <w:szCs w:val="22"/>
          <w:lang w:val="es-ES"/>
        </w:rPr>
        <w:t>. 803</w:t>
      </w:r>
      <w:r w:rsidR="00A17CF3">
        <w:rPr>
          <w:rFonts w:ascii="Arial" w:hAnsi="Arial" w:cs="Arial"/>
          <w:sz w:val="22"/>
          <w:szCs w:val="22"/>
          <w:lang w:val="es-ES"/>
        </w:rPr>
        <w:t xml:space="preserve"> y 806</w:t>
      </w:r>
      <w:r w:rsidR="004D025F">
        <w:rPr>
          <w:rFonts w:ascii="Arial" w:hAnsi="Arial" w:cs="Arial"/>
          <w:sz w:val="22"/>
          <w:szCs w:val="22"/>
          <w:lang w:val="es-ES"/>
        </w:rPr>
        <w:t>; Ma</w:t>
      </w:r>
      <w:r w:rsidR="00E03C0B">
        <w:rPr>
          <w:rFonts w:ascii="Arial" w:hAnsi="Arial" w:cs="Arial"/>
          <w:sz w:val="22"/>
          <w:szCs w:val="22"/>
          <w:lang w:val="es-ES"/>
        </w:rPr>
        <w:t>r</w:t>
      </w:r>
      <w:r w:rsidR="004D025F">
        <w:rPr>
          <w:rFonts w:ascii="Arial" w:hAnsi="Arial" w:cs="Arial"/>
          <w:sz w:val="22"/>
          <w:szCs w:val="22"/>
          <w:lang w:val="es-ES"/>
        </w:rPr>
        <w:t>tínez Escamilla, Margarita y Sánchez Tom</w:t>
      </w:r>
      <w:r w:rsidR="00184250">
        <w:rPr>
          <w:rFonts w:ascii="Arial" w:hAnsi="Arial" w:cs="Arial"/>
          <w:sz w:val="22"/>
          <w:szCs w:val="22"/>
          <w:lang w:val="es-ES"/>
        </w:rPr>
        <w:t>ás, José Miguel,</w:t>
      </w:r>
      <w:r w:rsidR="004D025F">
        <w:rPr>
          <w:rFonts w:ascii="Arial" w:hAnsi="Arial" w:cs="Arial"/>
          <w:sz w:val="22"/>
          <w:szCs w:val="22"/>
          <w:lang w:val="es-ES"/>
        </w:rPr>
        <w:t xml:space="preserve"> “La vulneración de derechos en la frontera sur: de las devoluciones en caliente al rechazo en frontera”, </w:t>
      </w:r>
      <w:r w:rsidR="004D025F">
        <w:rPr>
          <w:rFonts w:ascii="Arial" w:hAnsi="Arial" w:cs="Arial"/>
          <w:i/>
          <w:sz w:val="22"/>
          <w:szCs w:val="22"/>
          <w:lang w:val="es-ES"/>
        </w:rPr>
        <w:t>Revista Crítica Penal y Poder</w:t>
      </w:r>
      <w:r w:rsidR="004D025F">
        <w:rPr>
          <w:rFonts w:ascii="Arial" w:hAnsi="Arial" w:cs="Arial"/>
          <w:sz w:val="22"/>
          <w:szCs w:val="22"/>
          <w:lang w:val="es-ES"/>
        </w:rPr>
        <w:t>, núm. 18, diciembre de 2019, pp. 28-39.</w:t>
      </w:r>
    </w:p>
  </w:footnote>
  <w:footnote w:id="7">
    <w:p w14:paraId="19A2C06C" w14:textId="1B037D06" w:rsidR="007B22E7" w:rsidRPr="007B22E7" w:rsidRDefault="007B22E7" w:rsidP="007B22E7">
      <w:pPr>
        <w:pStyle w:val="Textonotapie"/>
        <w:jc w:val="both"/>
        <w:rPr>
          <w:rFonts w:ascii="Arial" w:hAnsi="Arial" w:cs="Arial"/>
          <w:sz w:val="22"/>
          <w:szCs w:val="22"/>
        </w:rPr>
      </w:pPr>
      <w:r w:rsidRPr="007B22E7">
        <w:rPr>
          <w:rStyle w:val="Refdenotaalpie"/>
          <w:rFonts w:ascii="Arial" w:hAnsi="Arial" w:cs="Arial"/>
          <w:sz w:val="22"/>
          <w:szCs w:val="22"/>
        </w:rPr>
        <w:footnoteRef/>
      </w:r>
      <w:r w:rsidRPr="007B22E7">
        <w:rPr>
          <w:rFonts w:ascii="Arial" w:hAnsi="Arial" w:cs="Arial"/>
          <w:sz w:val="22"/>
          <w:szCs w:val="22"/>
        </w:rPr>
        <w:t xml:space="preserve"> Cfr. art</w:t>
      </w:r>
      <w:r>
        <w:rPr>
          <w:rFonts w:ascii="Arial" w:hAnsi="Arial" w:cs="Arial"/>
          <w:sz w:val="22"/>
          <w:szCs w:val="22"/>
        </w:rPr>
        <w:t>s</w:t>
      </w:r>
      <w:r w:rsidRPr="007B22E7">
        <w:rPr>
          <w:rFonts w:ascii="Arial" w:hAnsi="Arial" w:cs="Arial"/>
          <w:sz w:val="22"/>
          <w:szCs w:val="22"/>
        </w:rPr>
        <w:t>.</w:t>
      </w:r>
      <w:r>
        <w:rPr>
          <w:rFonts w:ascii="Arial" w:hAnsi="Arial" w:cs="Arial"/>
          <w:sz w:val="22"/>
          <w:szCs w:val="22"/>
        </w:rPr>
        <w:t xml:space="preserve"> 28.3</w:t>
      </w:r>
      <w:r w:rsidRPr="007B22E7">
        <w:rPr>
          <w:rFonts w:ascii="Arial" w:hAnsi="Arial" w:cs="Arial"/>
          <w:sz w:val="22"/>
          <w:szCs w:val="22"/>
        </w:rPr>
        <w:t xml:space="preserve"> </w:t>
      </w:r>
      <w:r>
        <w:rPr>
          <w:rFonts w:ascii="Arial" w:hAnsi="Arial" w:cs="Arial"/>
          <w:sz w:val="22"/>
          <w:szCs w:val="22"/>
        </w:rPr>
        <w:t xml:space="preserve">y </w:t>
      </w:r>
      <w:r w:rsidR="00E03C0B">
        <w:rPr>
          <w:rFonts w:ascii="Arial" w:hAnsi="Arial" w:cs="Arial"/>
          <w:sz w:val="22"/>
          <w:szCs w:val="22"/>
        </w:rPr>
        <w:t>58.3 LOEX</w:t>
      </w:r>
      <w:r w:rsidRPr="007B22E7">
        <w:rPr>
          <w:rFonts w:ascii="Arial" w:hAnsi="Arial" w:cs="Arial"/>
          <w:sz w:val="22"/>
          <w:szCs w:val="22"/>
        </w:rPr>
        <w:t xml:space="preserve"> </w:t>
      </w:r>
      <w:r w:rsidR="00E13FA6" w:rsidRPr="007B22E7">
        <w:rPr>
          <w:rFonts w:ascii="Arial" w:hAnsi="Arial" w:cs="Arial"/>
          <w:sz w:val="22"/>
          <w:szCs w:val="22"/>
        </w:rPr>
        <w:t xml:space="preserve">y </w:t>
      </w:r>
      <w:r w:rsidR="00E13FA6">
        <w:rPr>
          <w:rFonts w:ascii="Arial" w:hAnsi="Arial" w:cs="Arial"/>
          <w:sz w:val="22"/>
          <w:szCs w:val="22"/>
        </w:rPr>
        <w:t>art.</w:t>
      </w:r>
      <w:r>
        <w:rPr>
          <w:rFonts w:ascii="Arial" w:hAnsi="Arial" w:cs="Arial"/>
          <w:sz w:val="22"/>
          <w:szCs w:val="22"/>
        </w:rPr>
        <w:t xml:space="preserve"> </w:t>
      </w:r>
      <w:r w:rsidRPr="007B22E7">
        <w:rPr>
          <w:rFonts w:ascii="Arial" w:hAnsi="Arial" w:cs="Arial"/>
          <w:sz w:val="22"/>
          <w:szCs w:val="22"/>
        </w:rPr>
        <w:t>23 del R</w:t>
      </w:r>
      <w:r>
        <w:rPr>
          <w:rFonts w:ascii="Arial" w:hAnsi="Arial" w:cs="Arial"/>
          <w:sz w:val="22"/>
          <w:szCs w:val="22"/>
        </w:rPr>
        <w:t>eglamento de la Ley de Extranjería (RLOEX) –Real Decreto 557/2011, de 20 de abril, por el que se aprueba el Reglamento de la Ley Orgánica 4/2000, sobre derechos y libertades de los extranjeros en España y su integración social.</w:t>
      </w:r>
    </w:p>
  </w:footnote>
  <w:footnote w:id="8">
    <w:p w14:paraId="1A443532" w14:textId="033F2D86" w:rsidR="00DB53C7" w:rsidRPr="00AD0110" w:rsidRDefault="00476D7D" w:rsidP="00DB53C7">
      <w:pPr>
        <w:spacing w:after="0" w:line="240" w:lineRule="auto"/>
        <w:jc w:val="both"/>
        <w:rPr>
          <w:rFonts w:ascii="Arial" w:hAnsi="Arial" w:cs="Arial"/>
          <w:sz w:val="24"/>
          <w:szCs w:val="24"/>
        </w:rPr>
      </w:pPr>
      <w:r w:rsidRPr="00136695">
        <w:rPr>
          <w:rStyle w:val="Refdenotaalpie"/>
          <w:rFonts w:ascii="Arial" w:hAnsi="Arial" w:cs="Arial"/>
        </w:rPr>
        <w:footnoteRef/>
      </w:r>
      <w:r w:rsidRPr="00136695">
        <w:rPr>
          <w:rFonts w:ascii="Arial" w:hAnsi="Arial" w:cs="Arial"/>
        </w:rPr>
        <w:t xml:space="preserve"> </w:t>
      </w:r>
      <w:r w:rsidRPr="00136695">
        <w:rPr>
          <w:rFonts w:ascii="Arial" w:hAnsi="Arial" w:cs="Arial"/>
          <w:lang w:val="es-ES"/>
        </w:rPr>
        <w:t>En opinión de Sosa Navarro</w:t>
      </w:r>
      <w:r>
        <w:rPr>
          <w:rFonts w:ascii="Arial" w:hAnsi="Arial" w:cs="Arial"/>
          <w:lang w:val="es-ES"/>
        </w:rPr>
        <w:t>, por primera vez en su historia, el TEDH condiciona la protección frente a la expulsión colectiva a la forma de entrada en el territorio de un Estado de la UE, vinculando</w:t>
      </w:r>
      <w:r w:rsidRPr="00136695">
        <w:rPr>
          <w:rFonts w:ascii="Arial" w:hAnsi="Arial" w:cs="Arial"/>
          <w:lang w:val="es-ES"/>
        </w:rPr>
        <w:t xml:space="preserve"> la aplicabilidad de la prohibición de expulsión colecti</w:t>
      </w:r>
      <w:r>
        <w:rPr>
          <w:rFonts w:ascii="Arial" w:hAnsi="Arial" w:cs="Arial"/>
          <w:lang w:val="es-ES"/>
        </w:rPr>
        <w:t xml:space="preserve">va a la conducta del demandante </w:t>
      </w:r>
      <w:r>
        <w:rPr>
          <w:rFonts w:ascii="Arial" w:hAnsi="Arial" w:cs="Arial"/>
        </w:rPr>
        <w:t>(</w:t>
      </w:r>
      <w:r w:rsidR="00DB53C7">
        <w:rPr>
          <w:rFonts w:ascii="Arial" w:hAnsi="Arial" w:cs="Arial"/>
          <w:sz w:val="24"/>
          <w:szCs w:val="24"/>
        </w:rPr>
        <w:t>“Devoluciones en caliente</w:t>
      </w:r>
      <w:r w:rsidR="00DB53C7" w:rsidRPr="00AD0110">
        <w:rPr>
          <w:rFonts w:ascii="Arial" w:hAnsi="Arial" w:cs="Arial"/>
          <w:sz w:val="24"/>
          <w:szCs w:val="24"/>
        </w:rPr>
        <w:t xml:space="preserve"> a la luz de la doctrina de la conducta culpable: el asunto N.D. y N. T. contra España ante el TEDH</w:t>
      </w:r>
      <w:r w:rsidR="00DB53C7">
        <w:rPr>
          <w:rFonts w:ascii="Arial" w:hAnsi="Arial" w:cs="Arial"/>
          <w:sz w:val="24"/>
          <w:szCs w:val="24"/>
        </w:rPr>
        <w:t>”</w:t>
      </w:r>
      <w:r w:rsidR="00DB53C7" w:rsidRPr="00AD0110">
        <w:rPr>
          <w:rFonts w:ascii="Arial" w:hAnsi="Arial" w:cs="Arial"/>
          <w:sz w:val="24"/>
          <w:szCs w:val="24"/>
        </w:rPr>
        <w:t xml:space="preserve">. </w:t>
      </w:r>
      <w:r w:rsidR="00DB53C7" w:rsidRPr="00AD0110">
        <w:rPr>
          <w:rFonts w:ascii="Arial" w:hAnsi="Arial" w:cs="Arial"/>
          <w:i/>
          <w:sz w:val="24"/>
          <w:szCs w:val="24"/>
        </w:rPr>
        <w:t xml:space="preserve">Revista de Derecho Comunitario Europeo, </w:t>
      </w:r>
      <w:r w:rsidR="00DB53C7">
        <w:rPr>
          <w:rFonts w:ascii="Arial" w:hAnsi="Arial" w:cs="Arial"/>
          <w:sz w:val="24"/>
          <w:szCs w:val="24"/>
        </w:rPr>
        <w:t>67, 2020, pp. 1051-1058</w:t>
      </w:r>
      <w:r w:rsidR="00DB53C7" w:rsidRPr="00AD0110">
        <w:rPr>
          <w:rFonts w:ascii="Arial" w:hAnsi="Arial" w:cs="Arial"/>
          <w:sz w:val="24"/>
          <w:szCs w:val="24"/>
        </w:rPr>
        <w:t>.</w:t>
      </w:r>
      <w:r w:rsidR="00DB53C7">
        <w:rPr>
          <w:rFonts w:ascii="Arial" w:hAnsi="Arial" w:cs="Arial"/>
          <w:sz w:val="24"/>
          <w:szCs w:val="24"/>
        </w:rPr>
        <w:t xml:space="preserve"> doi: https://doi.org/10.18042/cepc/rdce.67.08).</w:t>
      </w:r>
    </w:p>
    <w:p w14:paraId="0E8D228D" w14:textId="41D50661" w:rsidR="00476D7D" w:rsidRPr="00136695" w:rsidRDefault="00476D7D" w:rsidP="00DB53C7">
      <w:pPr>
        <w:pStyle w:val="Textonotapie"/>
        <w:jc w:val="both"/>
        <w:rPr>
          <w:rFonts w:ascii="Arial" w:hAnsi="Arial" w:cs="Arial"/>
          <w:sz w:val="22"/>
          <w:szCs w:val="22"/>
          <w:lang w:val="es-ES"/>
        </w:rPr>
      </w:pPr>
    </w:p>
  </w:footnote>
  <w:footnote w:id="9">
    <w:p w14:paraId="0CD60D2B" w14:textId="4A0D9DBB" w:rsidR="000E0F01" w:rsidRPr="002A6DE3" w:rsidRDefault="000E0F01" w:rsidP="002A6DE3">
      <w:pPr>
        <w:pStyle w:val="Textonotapie"/>
        <w:jc w:val="both"/>
        <w:rPr>
          <w:rFonts w:ascii="Arial" w:hAnsi="Arial" w:cs="Arial"/>
          <w:sz w:val="22"/>
          <w:szCs w:val="22"/>
          <w:lang w:val="es-ES"/>
        </w:rPr>
      </w:pPr>
      <w:r w:rsidRPr="002A6DE3">
        <w:rPr>
          <w:rStyle w:val="Refdenotaalpie"/>
          <w:rFonts w:ascii="Arial" w:hAnsi="Arial" w:cs="Arial"/>
          <w:sz w:val="22"/>
          <w:szCs w:val="22"/>
        </w:rPr>
        <w:footnoteRef/>
      </w:r>
      <w:r w:rsidRPr="002A6DE3">
        <w:rPr>
          <w:rFonts w:ascii="Arial" w:hAnsi="Arial" w:cs="Arial"/>
          <w:sz w:val="22"/>
          <w:szCs w:val="22"/>
        </w:rPr>
        <w:t xml:space="preserve"> </w:t>
      </w:r>
      <w:r w:rsidRPr="002A6DE3">
        <w:rPr>
          <w:rFonts w:ascii="Arial" w:hAnsi="Arial" w:cs="Arial"/>
          <w:sz w:val="22"/>
          <w:szCs w:val="22"/>
          <w:lang w:val="es-ES"/>
        </w:rPr>
        <w:t>El importante rol que la jurisprudencia de los tribunales europeos y las cortes nacionales han representado en la configuraci</w:t>
      </w:r>
      <w:r w:rsidR="002A6DE3" w:rsidRPr="002A6DE3">
        <w:rPr>
          <w:rFonts w:ascii="Arial" w:hAnsi="Arial" w:cs="Arial"/>
          <w:sz w:val="22"/>
          <w:szCs w:val="22"/>
          <w:lang w:val="es-ES"/>
        </w:rPr>
        <w:t xml:space="preserve">ón del estatus de </w:t>
      </w:r>
      <w:r w:rsidRPr="002A6DE3">
        <w:rPr>
          <w:rFonts w:ascii="Arial" w:hAnsi="Arial" w:cs="Arial"/>
          <w:sz w:val="22"/>
          <w:szCs w:val="22"/>
          <w:lang w:val="es-ES"/>
        </w:rPr>
        <w:t>migrante</w:t>
      </w:r>
      <w:r w:rsidR="00856A64">
        <w:rPr>
          <w:rFonts w:ascii="Arial" w:hAnsi="Arial" w:cs="Arial"/>
          <w:sz w:val="22"/>
          <w:szCs w:val="22"/>
          <w:lang w:val="es-ES"/>
        </w:rPr>
        <w:t xml:space="preserve"> ha sido resaltado por Cippitani,</w:t>
      </w:r>
      <w:r w:rsidRPr="002A6DE3">
        <w:rPr>
          <w:rFonts w:ascii="Arial" w:hAnsi="Arial" w:cs="Arial"/>
          <w:sz w:val="22"/>
          <w:szCs w:val="22"/>
          <w:lang w:val="es-ES"/>
        </w:rPr>
        <w:t xml:space="preserve"> R</w:t>
      </w:r>
      <w:r w:rsidR="002A6DE3" w:rsidRPr="002A6DE3">
        <w:rPr>
          <w:rFonts w:ascii="Arial" w:hAnsi="Arial" w:cs="Arial"/>
          <w:sz w:val="22"/>
          <w:szCs w:val="22"/>
          <w:lang w:val="es-ES"/>
        </w:rPr>
        <w:t xml:space="preserve">oberto, “Derechos de los inmigrantes en la jurisprudencia del Tribunal de Justicia de la Unión Europea”, en Martín Consarnau, Diana (coord.), </w:t>
      </w:r>
      <w:r w:rsidR="002A6DE3" w:rsidRPr="002A6DE3">
        <w:rPr>
          <w:rFonts w:ascii="Arial" w:hAnsi="Arial" w:cs="Arial"/>
          <w:i/>
          <w:sz w:val="22"/>
          <w:szCs w:val="22"/>
          <w:lang w:val="es-ES"/>
        </w:rPr>
        <w:t>Retos en inmigración, asilo y ciudadanía</w:t>
      </w:r>
      <w:r w:rsidR="002A6DE3" w:rsidRPr="002A6DE3">
        <w:rPr>
          <w:rFonts w:ascii="Arial" w:hAnsi="Arial" w:cs="Arial"/>
          <w:sz w:val="22"/>
          <w:szCs w:val="22"/>
          <w:lang w:val="es-ES"/>
        </w:rPr>
        <w:t xml:space="preserve">, Madrid, Colegio Notarial de Cataluña – Marcial Pons, 2021, pp. 15-28.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13D63"/>
    <w:multiLevelType w:val="hybridMultilevel"/>
    <w:tmpl w:val="B93A9D20"/>
    <w:lvl w:ilvl="0" w:tplc="256634EC">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83F461A"/>
    <w:multiLevelType w:val="hybridMultilevel"/>
    <w:tmpl w:val="950A4B98"/>
    <w:lvl w:ilvl="0" w:tplc="B362519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B32769"/>
    <w:multiLevelType w:val="multilevel"/>
    <w:tmpl w:val="5A74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31E2C"/>
    <w:multiLevelType w:val="multilevel"/>
    <w:tmpl w:val="71DC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0F3D77"/>
    <w:multiLevelType w:val="multilevel"/>
    <w:tmpl w:val="9D1A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0B1E4C"/>
    <w:multiLevelType w:val="multilevel"/>
    <w:tmpl w:val="2616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C707C1"/>
    <w:multiLevelType w:val="hybridMultilevel"/>
    <w:tmpl w:val="67BAE4DA"/>
    <w:lvl w:ilvl="0" w:tplc="9356E5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CA257B7"/>
    <w:multiLevelType w:val="multilevel"/>
    <w:tmpl w:val="7DD6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59392C"/>
    <w:multiLevelType w:val="hybridMultilevel"/>
    <w:tmpl w:val="8912E59A"/>
    <w:lvl w:ilvl="0" w:tplc="918C190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4"/>
  </w:num>
  <w:num w:numId="3">
    <w:abstractNumId w:val="7"/>
  </w:num>
  <w:num w:numId="4">
    <w:abstractNumId w:val="3"/>
  </w:num>
  <w:num w:numId="5">
    <w:abstractNumId w:val="2"/>
  </w:num>
  <w:num w:numId="6">
    <w:abstractNumId w:val="0"/>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91B"/>
    <w:rsid w:val="0000306E"/>
    <w:rsid w:val="00003858"/>
    <w:rsid w:val="00003F6C"/>
    <w:rsid w:val="0002472A"/>
    <w:rsid w:val="000321B2"/>
    <w:rsid w:val="00034D37"/>
    <w:rsid w:val="0003730A"/>
    <w:rsid w:val="00045114"/>
    <w:rsid w:val="0005302B"/>
    <w:rsid w:val="00064F26"/>
    <w:rsid w:val="000707B1"/>
    <w:rsid w:val="000716C4"/>
    <w:rsid w:val="00073CB2"/>
    <w:rsid w:val="00077580"/>
    <w:rsid w:val="00086395"/>
    <w:rsid w:val="00091884"/>
    <w:rsid w:val="00092F73"/>
    <w:rsid w:val="00095065"/>
    <w:rsid w:val="00095658"/>
    <w:rsid w:val="000975A5"/>
    <w:rsid w:val="000A02AA"/>
    <w:rsid w:val="000A0D08"/>
    <w:rsid w:val="000B0DE1"/>
    <w:rsid w:val="000B5CFD"/>
    <w:rsid w:val="000C24BC"/>
    <w:rsid w:val="000C29EE"/>
    <w:rsid w:val="000C4EE5"/>
    <w:rsid w:val="000C5E86"/>
    <w:rsid w:val="000D34D7"/>
    <w:rsid w:val="000E0F01"/>
    <w:rsid w:val="000E23AF"/>
    <w:rsid w:val="000E51E7"/>
    <w:rsid w:val="000E7A0E"/>
    <w:rsid w:val="000E7BAD"/>
    <w:rsid w:val="000E7CAC"/>
    <w:rsid w:val="000E7FF0"/>
    <w:rsid w:val="000F510D"/>
    <w:rsid w:val="000F57F1"/>
    <w:rsid w:val="00101DDA"/>
    <w:rsid w:val="001021D3"/>
    <w:rsid w:val="001032BE"/>
    <w:rsid w:val="001048DE"/>
    <w:rsid w:val="00105CAE"/>
    <w:rsid w:val="0011492F"/>
    <w:rsid w:val="00136695"/>
    <w:rsid w:val="0015218E"/>
    <w:rsid w:val="00154357"/>
    <w:rsid w:val="0015477C"/>
    <w:rsid w:val="00157B88"/>
    <w:rsid w:val="0016074D"/>
    <w:rsid w:val="00162B60"/>
    <w:rsid w:val="001747BC"/>
    <w:rsid w:val="001764C5"/>
    <w:rsid w:val="00176781"/>
    <w:rsid w:val="00184250"/>
    <w:rsid w:val="0018640D"/>
    <w:rsid w:val="00192D64"/>
    <w:rsid w:val="001A2DBA"/>
    <w:rsid w:val="001B6BB2"/>
    <w:rsid w:val="001C3EDE"/>
    <w:rsid w:val="001D426A"/>
    <w:rsid w:val="001D607C"/>
    <w:rsid w:val="001E1D1B"/>
    <w:rsid w:val="001E2F2A"/>
    <w:rsid w:val="001F2C4C"/>
    <w:rsid w:val="002008D8"/>
    <w:rsid w:val="002335D5"/>
    <w:rsid w:val="00233A1A"/>
    <w:rsid w:val="002360DB"/>
    <w:rsid w:val="00237558"/>
    <w:rsid w:val="00251F33"/>
    <w:rsid w:val="00252EBB"/>
    <w:rsid w:val="00254F9E"/>
    <w:rsid w:val="002558D0"/>
    <w:rsid w:val="00263548"/>
    <w:rsid w:val="00295CB0"/>
    <w:rsid w:val="00296780"/>
    <w:rsid w:val="002A6DE3"/>
    <w:rsid w:val="002B3DF0"/>
    <w:rsid w:val="002C6A44"/>
    <w:rsid w:val="002D045B"/>
    <w:rsid w:val="002D6F05"/>
    <w:rsid w:val="002E0733"/>
    <w:rsid w:val="002E1103"/>
    <w:rsid w:val="002E2CAF"/>
    <w:rsid w:val="002E5FC5"/>
    <w:rsid w:val="002E703F"/>
    <w:rsid w:val="002F2983"/>
    <w:rsid w:val="00303592"/>
    <w:rsid w:val="00312913"/>
    <w:rsid w:val="003164BD"/>
    <w:rsid w:val="00317983"/>
    <w:rsid w:val="00321299"/>
    <w:rsid w:val="00324087"/>
    <w:rsid w:val="003436C1"/>
    <w:rsid w:val="0034644C"/>
    <w:rsid w:val="00352A52"/>
    <w:rsid w:val="00353A24"/>
    <w:rsid w:val="00377D34"/>
    <w:rsid w:val="00383542"/>
    <w:rsid w:val="0038775B"/>
    <w:rsid w:val="00390F0A"/>
    <w:rsid w:val="00395678"/>
    <w:rsid w:val="003A0847"/>
    <w:rsid w:val="003A57DF"/>
    <w:rsid w:val="003B0A8F"/>
    <w:rsid w:val="003B1A52"/>
    <w:rsid w:val="003C01C8"/>
    <w:rsid w:val="003C55E4"/>
    <w:rsid w:val="003D2DC4"/>
    <w:rsid w:val="003E04D5"/>
    <w:rsid w:val="003E46F2"/>
    <w:rsid w:val="003F77E7"/>
    <w:rsid w:val="00400BBF"/>
    <w:rsid w:val="00400FFC"/>
    <w:rsid w:val="00410131"/>
    <w:rsid w:val="004150DA"/>
    <w:rsid w:val="00424562"/>
    <w:rsid w:val="004276AF"/>
    <w:rsid w:val="004277AC"/>
    <w:rsid w:val="0043291D"/>
    <w:rsid w:val="0043480E"/>
    <w:rsid w:val="004423D8"/>
    <w:rsid w:val="004446C4"/>
    <w:rsid w:val="004467B1"/>
    <w:rsid w:val="00447C23"/>
    <w:rsid w:val="004531DB"/>
    <w:rsid w:val="00455C5A"/>
    <w:rsid w:val="00471869"/>
    <w:rsid w:val="00476D7D"/>
    <w:rsid w:val="004811AB"/>
    <w:rsid w:val="00485F28"/>
    <w:rsid w:val="00492CB9"/>
    <w:rsid w:val="00495AA5"/>
    <w:rsid w:val="004A613E"/>
    <w:rsid w:val="004A6ACC"/>
    <w:rsid w:val="004B2309"/>
    <w:rsid w:val="004B3FE3"/>
    <w:rsid w:val="004B4942"/>
    <w:rsid w:val="004C1741"/>
    <w:rsid w:val="004C1A94"/>
    <w:rsid w:val="004C79EC"/>
    <w:rsid w:val="004D025F"/>
    <w:rsid w:val="004D0B48"/>
    <w:rsid w:val="004D7FC9"/>
    <w:rsid w:val="004F0AE5"/>
    <w:rsid w:val="004F559F"/>
    <w:rsid w:val="00503B38"/>
    <w:rsid w:val="0050471C"/>
    <w:rsid w:val="005061DF"/>
    <w:rsid w:val="005409C3"/>
    <w:rsid w:val="005572C9"/>
    <w:rsid w:val="00562A0C"/>
    <w:rsid w:val="0056622E"/>
    <w:rsid w:val="00592273"/>
    <w:rsid w:val="005A7122"/>
    <w:rsid w:val="005D2709"/>
    <w:rsid w:val="005D3DA8"/>
    <w:rsid w:val="005D44EC"/>
    <w:rsid w:val="005D5396"/>
    <w:rsid w:val="005E4DF1"/>
    <w:rsid w:val="006057CE"/>
    <w:rsid w:val="00605A59"/>
    <w:rsid w:val="00613C3D"/>
    <w:rsid w:val="0064079D"/>
    <w:rsid w:val="006449DB"/>
    <w:rsid w:val="00646F22"/>
    <w:rsid w:val="0067314B"/>
    <w:rsid w:val="00677919"/>
    <w:rsid w:val="00683447"/>
    <w:rsid w:val="00686FA5"/>
    <w:rsid w:val="006969B6"/>
    <w:rsid w:val="006A323C"/>
    <w:rsid w:val="006B0566"/>
    <w:rsid w:val="006C16A2"/>
    <w:rsid w:val="006C6D65"/>
    <w:rsid w:val="006E3DEB"/>
    <w:rsid w:val="006F18AE"/>
    <w:rsid w:val="006F3301"/>
    <w:rsid w:val="00702823"/>
    <w:rsid w:val="00706106"/>
    <w:rsid w:val="00707683"/>
    <w:rsid w:val="00717D75"/>
    <w:rsid w:val="00720A9F"/>
    <w:rsid w:val="00724B95"/>
    <w:rsid w:val="0073088A"/>
    <w:rsid w:val="0073224D"/>
    <w:rsid w:val="00735D05"/>
    <w:rsid w:val="00735DBA"/>
    <w:rsid w:val="0074173B"/>
    <w:rsid w:val="00744518"/>
    <w:rsid w:val="007546F3"/>
    <w:rsid w:val="00757074"/>
    <w:rsid w:val="00770D9C"/>
    <w:rsid w:val="00797627"/>
    <w:rsid w:val="007A09DF"/>
    <w:rsid w:val="007A1557"/>
    <w:rsid w:val="007A5FFC"/>
    <w:rsid w:val="007A7B6F"/>
    <w:rsid w:val="007B22E7"/>
    <w:rsid w:val="007B7FDF"/>
    <w:rsid w:val="007C1833"/>
    <w:rsid w:val="007C6A53"/>
    <w:rsid w:val="007E01FB"/>
    <w:rsid w:val="007E07C4"/>
    <w:rsid w:val="007E1693"/>
    <w:rsid w:val="007E2A8E"/>
    <w:rsid w:val="007E4D39"/>
    <w:rsid w:val="007E6EC9"/>
    <w:rsid w:val="00800052"/>
    <w:rsid w:val="00803A48"/>
    <w:rsid w:val="0081374C"/>
    <w:rsid w:val="00815E71"/>
    <w:rsid w:val="008222EC"/>
    <w:rsid w:val="0083103F"/>
    <w:rsid w:val="00837D3E"/>
    <w:rsid w:val="00856A64"/>
    <w:rsid w:val="0086248B"/>
    <w:rsid w:val="00870CA9"/>
    <w:rsid w:val="0088025B"/>
    <w:rsid w:val="00880B15"/>
    <w:rsid w:val="008829A8"/>
    <w:rsid w:val="008835DB"/>
    <w:rsid w:val="00883688"/>
    <w:rsid w:val="00893CE5"/>
    <w:rsid w:val="0089560D"/>
    <w:rsid w:val="008963E8"/>
    <w:rsid w:val="008A225C"/>
    <w:rsid w:val="008A2512"/>
    <w:rsid w:val="008A722E"/>
    <w:rsid w:val="008B49C9"/>
    <w:rsid w:val="008B554B"/>
    <w:rsid w:val="008B73AE"/>
    <w:rsid w:val="008C3705"/>
    <w:rsid w:val="008D7D8F"/>
    <w:rsid w:val="008E2BBD"/>
    <w:rsid w:val="008E4C89"/>
    <w:rsid w:val="008E5E39"/>
    <w:rsid w:val="008E784B"/>
    <w:rsid w:val="008F097F"/>
    <w:rsid w:val="008F6788"/>
    <w:rsid w:val="009317F2"/>
    <w:rsid w:val="009326AB"/>
    <w:rsid w:val="009357F8"/>
    <w:rsid w:val="009426F9"/>
    <w:rsid w:val="00950261"/>
    <w:rsid w:val="00954EC4"/>
    <w:rsid w:val="00960A80"/>
    <w:rsid w:val="00960EF9"/>
    <w:rsid w:val="00963F18"/>
    <w:rsid w:val="00966CB4"/>
    <w:rsid w:val="00976D5D"/>
    <w:rsid w:val="0098032C"/>
    <w:rsid w:val="009A372A"/>
    <w:rsid w:val="009A6DA4"/>
    <w:rsid w:val="009A6E55"/>
    <w:rsid w:val="009B31AF"/>
    <w:rsid w:val="009C141A"/>
    <w:rsid w:val="009C799B"/>
    <w:rsid w:val="009D0BBE"/>
    <w:rsid w:val="009D3A19"/>
    <w:rsid w:val="009D50CF"/>
    <w:rsid w:val="009D63E4"/>
    <w:rsid w:val="009E191B"/>
    <w:rsid w:val="009E6309"/>
    <w:rsid w:val="009F0E76"/>
    <w:rsid w:val="009F61DE"/>
    <w:rsid w:val="00A01641"/>
    <w:rsid w:val="00A11AA4"/>
    <w:rsid w:val="00A12D26"/>
    <w:rsid w:val="00A16BA1"/>
    <w:rsid w:val="00A1728A"/>
    <w:rsid w:val="00A17AF5"/>
    <w:rsid w:val="00A17CF3"/>
    <w:rsid w:val="00A20161"/>
    <w:rsid w:val="00A20547"/>
    <w:rsid w:val="00A27857"/>
    <w:rsid w:val="00A32EA2"/>
    <w:rsid w:val="00A33500"/>
    <w:rsid w:val="00A35C58"/>
    <w:rsid w:val="00A40501"/>
    <w:rsid w:val="00A44939"/>
    <w:rsid w:val="00A46592"/>
    <w:rsid w:val="00A543DF"/>
    <w:rsid w:val="00A60BC5"/>
    <w:rsid w:val="00A7012F"/>
    <w:rsid w:val="00A76DD9"/>
    <w:rsid w:val="00A81C6E"/>
    <w:rsid w:val="00A82627"/>
    <w:rsid w:val="00A9127A"/>
    <w:rsid w:val="00A94C42"/>
    <w:rsid w:val="00A96C6A"/>
    <w:rsid w:val="00A97E55"/>
    <w:rsid w:val="00AA05E1"/>
    <w:rsid w:val="00AA2F0E"/>
    <w:rsid w:val="00AA6616"/>
    <w:rsid w:val="00AB309E"/>
    <w:rsid w:val="00AB6434"/>
    <w:rsid w:val="00AC1AB2"/>
    <w:rsid w:val="00AC2C5D"/>
    <w:rsid w:val="00AC5D83"/>
    <w:rsid w:val="00AC7A1D"/>
    <w:rsid w:val="00AD0110"/>
    <w:rsid w:val="00AD17B7"/>
    <w:rsid w:val="00AD7FE6"/>
    <w:rsid w:val="00AE122A"/>
    <w:rsid w:val="00AE4020"/>
    <w:rsid w:val="00AF204E"/>
    <w:rsid w:val="00AF226C"/>
    <w:rsid w:val="00AF3BD2"/>
    <w:rsid w:val="00AF408F"/>
    <w:rsid w:val="00B13147"/>
    <w:rsid w:val="00B17E5D"/>
    <w:rsid w:val="00B24F4E"/>
    <w:rsid w:val="00B37768"/>
    <w:rsid w:val="00B4096A"/>
    <w:rsid w:val="00B50B2A"/>
    <w:rsid w:val="00B5186E"/>
    <w:rsid w:val="00B54042"/>
    <w:rsid w:val="00B54FF6"/>
    <w:rsid w:val="00B62650"/>
    <w:rsid w:val="00B648D1"/>
    <w:rsid w:val="00B91376"/>
    <w:rsid w:val="00B968AF"/>
    <w:rsid w:val="00BA08C7"/>
    <w:rsid w:val="00BA3BDF"/>
    <w:rsid w:val="00BA4C9F"/>
    <w:rsid w:val="00BB61B6"/>
    <w:rsid w:val="00BD557F"/>
    <w:rsid w:val="00BD5FF1"/>
    <w:rsid w:val="00BE465D"/>
    <w:rsid w:val="00BE56F2"/>
    <w:rsid w:val="00BF0C63"/>
    <w:rsid w:val="00BF118D"/>
    <w:rsid w:val="00BF1488"/>
    <w:rsid w:val="00BF7D50"/>
    <w:rsid w:val="00C1470A"/>
    <w:rsid w:val="00C1549C"/>
    <w:rsid w:val="00C2234C"/>
    <w:rsid w:val="00C23624"/>
    <w:rsid w:val="00C264AA"/>
    <w:rsid w:val="00C26ED7"/>
    <w:rsid w:val="00C466A2"/>
    <w:rsid w:val="00C52829"/>
    <w:rsid w:val="00C553D8"/>
    <w:rsid w:val="00C60F36"/>
    <w:rsid w:val="00C64934"/>
    <w:rsid w:val="00C71A25"/>
    <w:rsid w:val="00C94580"/>
    <w:rsid w:val="00C94773"/>
    <w:rsid w:val="00C95518"/>
    <w:rsid w:val="00C95DAB"/>
    <w:rsid w:val="00C9741A"/>
    <w:rsid w:val="00CA6907"/>
    <w:rsid w:val="00CB1278"/>
    <w:rsid w:val="00CB2524"/>
    <w:rsid w:val="00CB4EA9"/>
    <w:rsid w:val="00CC325E"/>
    <w:rsid w:val="00CC79CA"/>
    <w:rsid w:val="00CD5AF7"/>
    <w:rsid w:val="00CD60A6"/>
    <w:rsid w:val="00CE6CF1"/>
    <w:rsid w:val="00CE77AE"/>
    <w:rsid w:val="00D02753"/>
    <w:rsid w:val="00D0648A"/>
    <w:rsid w:val="00D14BED"/>
    <w:rsid w:val="00D20661"/>
    <w:rsid w:val="00D341BA"/>
    <w:rsid w:val="00D3450C"/>
    <w:rsid w:val="00D35797"/>
    <w:rsid w:val="00D361E5"/>
    <w:rsid w:val="00D366C9"/>
    <w:rsid w:val="00D40886"/>
    <w:rsid w:val="00D41514"/>
    <w:rsid w:val="00D508E8"/>
    <w:rsid w:val="00D60C01"/>
    <w:rsid w:val="00D7098F"/>
    <w:rsid w:val="00D76347"/>
    <w:rsid w:val="00D86CE1"/>
    <w:rsid w:val="00D95947"/>
    <w:rsid w:val="00DA1196"/>
    <w:rsid w:val="00DA34D3"/>
    <w:rsid w:val="00DA6BF2"/>
    <w:rsid w:val="00DB3A29"/>
    <w:rsid w:val="00DB53C7"/>
    <w:rsid w:val="00DE1D5A"/>
    <w:rsid w:val="00DE2254"/>
    <w:rsid w:val="00DE2513"/>
    <w:rsid w:val="00DF1653"/>
    <w:rsid w:val="00DF550D"/>
    <w:rsid w:val="00DF6854"/>
    <w:rsid w:val="00DF7F1A"/>
    <w:rsid w:val="00E0225A"/>
    <w:rsid w:val="00E02653"/>
    <w:rsid w:val="00E03C0B"/>
    <w:rsid w:val="00E04851"/>
    <w:rsid w:val="00E13FA6"/>
    <w:rsid w:val="00E15207"/>
    <w:rsid w:val="00E219B2"/>
    <w:rsid w:val="00E309D7"/>
    <w:rsid w:val="00E31F49"/>
    <w:rsid w:val="00E44030"/>
    <w:rsid w:val="00E54E99"/>
    <w:rsid w:val="00E55418"/>
    <w:rsid w:val="00E63CA1"/>
    <w:rsid w:val="00E71066"/>
    <w:rsid w:val="00E738D1"/>
    <w:rsid w:val="00E74392"/>
    <w:rsid w:val="00E774CC"/>
    <w:rsid w:val="00E86F72"/>
    <w:rsid w:val="00E90F79"/>
    <w:rsid w:val="00EA68EB"/>
    <w:rsid w:val="00EB24BA"/>
    <w:rsid w:val="00EC4006"/>
    <w:rsid w:val="00EC6031"/>
    <w:rsid w:val="00EC7D1D"/>
    <w:rsid w:val="00ED66F2"/>
    <w:rsid w:val="00EE5F23"/>
    <w:rsid w:val="00F056EA"/>
    <w:rsid w:val="00F06660"/>
    <w:rsid w:val="00F11A5C"/>
    <w:rsid w:val="00F21A25"/>
    <w:rsid w:val="00F246E7"/>
    <w:rsid w:val="00F30AA0"/>
    <w:rsid w:val="00F340D4"/>
    <w:rsid w:val="00F43E68"/>
    <w:rsid w:val="00F52F4A"/>
    <w:rsid w:val="00F6051D"/>
    <w:rsid w:val="00F60ED9"/>
    <w:rsid w:val="00F649AD"/>
    <w:rsid w:val="00F828D6"/>
    <w:rsid w:val="00F84093"/>
    <w:rsid w:val="00F9451A"/>
    <w:rsid w:val="00F94686"/>
    <w:rsid w:val="00FA040D"/>
    <w:rsid w:val="00FB2C6E"/>
    <w:rsid w:val="00FB6BDF"/>
    <w:rsid w:val="00FC5F3C"/>
    <w:rsid w:val="00FC6FD5"/>
    <w:rsid w:val="00FD6324"/>
    <w:rsid w:val="00FE585B"/>
    <w:rsid w:val="00FF3C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46787"/>
  <w15:docId w15:val="{B1F308C2-6A8A-4D18-BEB6-C3BCB01CC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6C16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9E191B"/>
    <w:pPr>
      <w:spacing w:before="100" w:beforeAutospacing="1" w:after="100" w:afterAutospacing="1" w:line="240" w:lineRule="auto"/>
      <w:outlineLvl w:val="1"/>
    </w:pPr>
    <w:rPr>
      <w:rFonts w:ascii="Times New Roman" w:eastAsia="Times New Roman" w:hAnsi="Times New Roman" w:cs="Times New Roman"/>
      <w:b/>
      <w:bCs/>
      <w:sz w:val="36"/>
      <w:szCs w:val="36"/>
      <w:lang w:val="es-ES" w:eastAsia="es-ES"/>
    </w:rPr>
  </w:style>
  <w:style w:type="paragraph" w:styleId="Ttulo4">
    <w:name w:val="heading 4"/>
    <w:basedOn w:val="Normal"/>
    <w:link w:val="Ttulo4Car"/>
    <w:uiPriority w:val="9"/>
    <w:qFormat/>
    <w:rsid w:val="009E191B"/>
    <w:pPr>
      <w:spacing w:before="100" w:beforeAutospacing="1" w:after="100" w:afterAutospacing="1" w:line="240" w:lineRule="auto"/>
      <w:outlineLvl w:val="3"/>
    </w:pPr>
    <w:rPr>
      <w:rFonts w:ascii="Times New Roman" w:eastAsia="Times New Roman" w:hAnsi="Times New Roman" w:cs="Times New Roman"/>
      <w:b/>
      <w:bCs/>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as-text-align-left">
    <w:name w:val="has-text-align-left"/>
    <w:basedOn w:val="Normal"/>
    <w:rsid w:val="009E191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9E191B"/>
    <w:rPr>
      <w:b/>
      <w:bCs/>
    </w:rPr>
  </w:style>
  <w:style w:type="paragraph" w:styleId="NormalWeb">
    <w:name w:val="Normal (Web)"/>
    <w:basedOn w:val="Normal"/>
    <w:unhideWhenUsed/>
    <w:rsid w:val="009E191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nfasis">
    <w:name w:val="Emphasis"/>
    <w:basedOn w:val="Fuentedeprrafopredeter"/>
    <w:qFormat/>
    <w:rsid w:val="009E191B"/>
    <w:rPr>
      <w:i/>
      <w:iCs/>
    </w:rPr>
  </w:style>
  <w:style w:type="paragraph" w:styleId="Textodeglobo">
    <w:name w:val="Balloon Text"/>
    <w:basedOn w:val="Normal"/>
    <w:link w:val="TextodegloboCar"/>
    <w:uiPriority w:val="99"/>
    <w:semiHidden/>
    <w:unhideWhenUsed/>
    <w:rsid w:val="009E191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191B"/>
    <w:rPr>
      <w:rFonts w:ascii="Tahoma" w:hAnsi="Tahoma" w:cs="Tahoma"/>
      <w:sz w:val="16"/>
      <w:szCs w:val="16"/>
      <w:lang w:val="es-ES_tradnl"/>
    </w:rPr>
  </w:style>
  <w:style w:type="character" w:customStyle="1" w:styleId="Ttulo2Car">
    <w:name w:val="Título 2 Car"/>
    <w:basedOn w:val="Fuentedeprrafopredeter"/>
    <w:link w:val="Ttulo2"/>
    <w:uiPriority w:val="9"/>
    <w:rsid w:val="009E191B"/>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uiPriority w:val="9"/>
    <w:rsid w:val="009E191B"/>
    <w:rPr>
      <w:rFonts w:ascii="Times New Roman" w:eastAsia="Times New Roman" w:hAnsi="Times New Roman" w:cs="Times New Roman"/>
      <w:b/>
      <w:bCs/>
      <w:sz w:val="24"/>
      <w:szCs w:val="24"/>
      <w:lang w:eastAsia="es-ES"/>
    </w:rPr>
  </w:style>
  <w:style w:type="character" w:styleId="Hipervnculo">
    <w:name w:val="Hyperlink"/>
    <w:basedOn w:val="Fuentedeprrafopredeter"/>
    <w:unhideWhenUsed/>
    <w:rsid w:val="009E191B"/>
    <w:rPr>
      <w:color w:val="0000FF"/>
      <w:u w:val="single"/>
    </w:rPr>
  </w:style>
  <w:style w:type="character" w:customStyle="1" w:styleId="label-value">
    <w:name w:val="label-value"/>
    <w:basedOn w:val="Fuentedeprrafopredeter"/>
    <w:rsid w:val="00D7098F"/>
  </w:style>
  <w:style w:type="character" w:customStyle="1" w:styleId="blockdsp">
    <w:name w:val="blockdsp"/>
    <w:basedOn w:val="Fuentedeprrafopredeter"/>
    <w:rsid w:val="00D7098F"/>
  </w:style>
  <w:style w:type="character" w:customStyle="1" w:styleId="bold">
    <w:name w:val="bold"/>
    <w:basedOn w:val="Fuentedeprrafopredeter"/>
    <w:rsid w:val="00D7098F"/>
  </w:style>
  <w:style w:type="character" w:customStyle="1" w:styleId="underline">
    <w:name w:val="underline"/>
    <w:basedOn w:val="Fuentedeprrafopredeter"/>
    <w:rsid w:val="00D7098F"/>
  </w:style>
  <w:style w:type="character" w:customStyle="1" w:styleId="Ttulo1Car">
    <w:name w:val="Título 1 Car"/>
    <w:basedOn w:val="Fuentedeprrafopredeter"/>
    <w:link w:val="Ttulo1"/>
    <w:uiPriority w:val="9"/>
    <w:rsid w:val="006C16A2"/>
    <w:rPr>
      <w:rFonts w:asciiTheme="majorHAnsi" w:eastAsiaTheme="majorEastAsia" w:hAnsiTheme="majorHAnsi" w:cstheme="majorBidi"/>
      <w:b/>
      <w:bCs/>
      <w:color w:val="365F91" w:themeColor="accent1" w:themeShade="BF"/>
      <w:sz w:val="28"/>
      <w:szCs w:val="28"/>
      <w:lang w:val="es-ES_tradnl"/>
    </w:rPr>
  </w:style>
  <w:style w:type="character" w:customStyle="1" w:styleId="datetimecreated">
    <w:name w:val="datetime__created"/>
    <w:basedOn w:val="Fuentedeprrafopredeter"/>
    <w:rsid w:val="006C16A2"/>
  </w:style>
  <w:style w:type="character" w:customStyle="1" w:styleId="datetimeupdated">
    <w:name w:val="datetime__updated"/>
    <w:basedOn w:val="Fuentedeprrafopredeter"/>
    <w:rsid w:val="006C16A2"/>
  </w:style>
  <w:style w:type="character" w:customStyle="1" w:styleId="intextnewsitemsignature">
    <w:name w:val="intextnews__itemsignature"/>
    <w:basedOn w:val="Fuentedeprrafopredeter"/>
    <w:rsid w:val="006C16A2"/>
  </w:style>
  <w:style w:type="paragraph" w:customStyle="1" w:styleId="scendingmessage">
    <w:name w:val="sc_ending_message"/>
    <w:basedOn w:val="Normal"/>
    <w:rsid w:val="006C16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40886"/>
  </w:style>
  <w:style w:type="character" w:styleId="Refdenotaalpie">
    <w:name w:val="footnote reference"/>
    <w:basedOn w:val="Fuentedeprrafopredeter"/>
    <w:semiHidden/>
    <w:rsid w:val="00D40886"/>
    <w:rPr>
      <w:vertAlign w:val="superscript"/>
    </w:rPr>
  </w:style>
  <w:style w:type="character" w:customStyle="1" w:styleId="apple-converted-space">
    <w:name w:val="apple-converted-space"/>
    <w:basedOn w:val="Fuentedeprrafopredeter"/>
    <w:rsid w:val="00D40886"/>
  </w:style>
  <w:style w:type="paragraph" w:customStyle="1" w:styleId="Default">
    <w:name w:val="Default"/>
    <w:rsid w:val="00D40886"/>
    <w:pPr>
      <w:autoSpaceDE w:val="0"/>
      <w:autoSpaceDN w:val="0"/>
      <w:adjustRightInd w:val="0"/>
      <w:spacing w:after="0" w:line="240" w:lineRule="auto"/>
    </w:pPr>
    <w:rPr>
      <w:rFonts w:ascii="Arial" w:eastAsia="Times New Roman" w:hAnsi="Arial" w:cs="Arial"/>
      <w:color w:val="000000"/>
      <w:sz w:val="24"/>
      <w:szCs w:val="24"/>
      <w:lang w:eastAsia="es-ES"/>
    </w:rPr>
  </w:style>
  <w:style w:type="paragraph" w:styleId="Prrafodelista">
    <w:name w:val="List Paragraph"/>
    <w:basedOn w:val="Normal"/>
    <w:uiPriority w:val="34"/>
    <w:qFormat/>
    <w:rsid w:val="00FB2C6E"/>
    <w:pPr>
      <w:ind w:left="720"/>
      <w:contextualSpacing/>
    </w:pPr>
  </w:style>
  <w:style w:type="paragraph" w:styleId="Encabezado">
    <w:name w:val="header"/>
    <w:basedOn w:val="Normal"/>
    <w:link w:val="EncabezadoCar"/>
    <w:uiPriority w:val="99"/>
    <w:unhideWhenUsed/>
    <w:rsid w:val="007E6E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E6EC9"/>
    <w:rPr>
      <w:lang w:val="es-ES_tradnl"/>
    </w:rPr>
  </w:style>
  <w:style w:type="paragraph" w:styleId="Piedepgina">
    <w:name w:val="footer"/>
    <w:basedOn w:val="Normal"/>
    <w:link w:val="PiedepginaCar"/>
    <w:uiPriority w:val="99"/>
    <w:unhideWhenUsed/>
    <w:rsid w:val="007E6E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E6EC9"/>
    <w:rPr>
      <w:lang w:val="es-ES_tradnl"/>
    </w:rPr>
  </w:style>
  <w:style w:type="paragraph" w:styleId="Textonotapie">
    <w:name w:val="footnote text"/>
    <w:basedOn w:val="Normal"/>
    <w:link w:val="TextonotapieCar"/>
    <w:uiPriority w:val="99"/>
    <w:semiHidden/>
    <w:unhideWhenUsed/>
    <w:rsid w:val="009326A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326AB"/>
    <w:rPr>
      <w:sz w:val="20"/>
      <w:szCs w:val="20"/>
      <w:lang w:val="es-ES_tradnl"/>
    </w:rPr>
  </w:style>
  <w:style w:type="paragraph" w:styleId="Textonotaalfinal">
    <w:name w:val="endnote text"/>
    <w:basedOn w:val="Normal"/>
    <w:link w:val="TextonotaalfinalCar"/>
    <w:uiPriority w:val="99"/>
    <w:semiHidden/>
    <w:unhideWhenUsed/>
    <w:rsid w:val="007B22E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B22E7"/>
    <w:rPr>
      <w:sz w:val="20"/>
      <w:szCs w:val="20"/>
      <w:lang w:val="es-ES_tradnl"/>
    </w:rPr>
  </w:style>
  <w:style w:type="character" w:styleId="Refdenotaalfinal">
    <w:name w:val="endnote reference"/>
    <w:basedOn w:val="Fuentedeprrafopredeter"/>
    <w:uiPriority w:val="99"/>
    <w:semiHidden/>
    <w:unhideWhenUsed/>
    <w:rsid w:val="007B22E7"/>
    <w:rPr>
      <w:vertAlign w:val="superscript"/>
    </w:rPr>
  </w:style>
  <w:style w:type="character" w:styleId="Refdecomentario">
    <w:name w:val="annotation reference"/>
    <w:basedOn w:val="Fuentedeprrafopredeter"/>
    <w:uiPriority w:val="99"/>
    <w:semiHidden/>
    <w:unhideWhenUsed/>
    <w:rsid w:val="00FB6BDF"/>
    <w:rPr>
      <w:sz w:val="16"/>
      <w:szCs w:val="16"/>
    </w:rPr>
  </w:style>
  <w:style w:type="paragraph" w:styleId="Textocomentario">
    <w:name w:val="annotation text"/>
    <w:basedOn w:val="Normal"/>
    <w:link w:val="TextocomentarioCar"/>
    <w:uiPriority w:val="99"/>
    <w:semiHidden/>
    <w:unhideWhenUsed/>
    <w:rsid w:val="00FB6BD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6BDF"/>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FB6BDF"/>
    <w:rPr>
      <w:b/>
      <w:bCs/>
    </w:rPr>
  </w:style>
  <w:style w:type="character" w:customStyle="1" w:styleId="AsuntodelcomentarioCar">
    <w:name w:val="Asunto del comentario Car"/>
    <w:basedOn w:val="TextocomentarioCar"/>
    <w:link w:val="Asuntodelcomentario"/>
    <w:uiPriority w:val="99"/>
    <w:semiHidden/>
    <w:rsid w:val="00FB6BDF"/>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23415">
      <w:bodyDiv w:val="1"/>
      <w:marLeft w:val="0"/>
      <w:marRight w:val="0"/>
      <w:marTop w:val="0"/>
      <w:marBottom w:val="0"/>
      <w:divBdr>
        <w:top w:val="none" w:sz="0" w:space="0" w:color="auto"/>
        <w:left w:val="none" w:sz="0" w:space="0" w:color="auto"/>
        <w:bottom w:val="none" w:sz="0" w:space="0" w:color="auto"/>
        <w:right w:val="none" w:sz="0" w:space="0" w:color="auto"/>
      </w:divBdr>
      <w:divsChild>
        <w:div w:id="2017345333">
          <w:marLeft w:val="0"/>
          <w:marRight w:val="0"/>
          <w:marTop w:val="0"/>
          <w:marBottom w:val="240"/>
          <w:divBdr>
            <w:top w:val="none" w:sz="0" w:space="0" w:color="auto"/>
            <w:left w:val="none" w:sz="0" w:space="0" w:color="auto"/>
            <w:bottom w:val="none" w:sz="0" w:space="0" w:color="auto"/>
            <w:right w:val="none" w:sz="0" w:space="0" w:color="auto"/>
          </w:divBdr>
        </w:div>
        <w:div w:id="1942251314">
          <w:marLeft w:val="0"/>
          <w:marRight w:val="0"/>
          <w:marTop w:val="0"/>
          <w:marBottom w:val="0"/>
          <w:divBdr>
            <w:top w:val="none" w:sz="0" w:space="0" w:color="auto"/>
            <w:left w:val="none" w:sz="0" w:space="0" w:color="auto"/>
            <w:bottom w:val="none" w:sz="0" w:space="0" w:color="auto"/>
            <w:right w:val="none" w:sz="0" w:space="0" w:color="auto"/>
          </w:divBdr>
        </w:div>
      </w:divsChild>
    </w:div>
    <w:div w:id="431584060">
      <w:bodyDiv w:val="1"/>
      <w:marLeft w:val="0"/>
      <w:marRight w:val="0"/>
      <w:marTop w:val="0"/>
      <w:marBottom w:val="0"/>
      <w:divBdr>
        <w:top w:val="none" w:sz="0" w:space="0" w:color="auto"/>
        <w:left w:val="none" w:sz="0" w:space="0" w:color="auto"/>
        <w:bottom w:val="none" w:sz="0" w:space="0" w:color="auto"/>
        <w:right w:val="none" w:sz="0" w:space="0" w:color="auto"/>
      </w:divBdr>
      <w:divsChild>
        <w:div w:id="1780683146">
          <w:marLeft w:val="0"/>
          <w:marRight w:val="0"/>
          <w:marTop w:val="0"/>
          <w:marBottom w:val="84"/>
          <w:divBdr>
            <w:top w:val="none" w:sz="0" w:space="0" w:color="auto"/>
            <w:left w:val="none" w:sz="0" w:space="0" w:color="auto"/>
            <w:bottom w:val="none" w:sz="0" w:space="0" w:color="auto"/>
            <w:right w:val="none" w:sz="0" w:space="0" w:color="auto"/>
          </w:divBdr>
        </w:div>
        <w:div w:id="1922325748">
          <w:marLeft w:val="0"/>
          <w:marRight w:val="0"/>
          <w:marTop w:val="0"/>
          <w:marBottom w:val="84"/>
          <w:divBdr>
            <w:top w:val="none" w:sz="0" w:space="0" w:color="auto"/>
            <w:left w:val="none" w:sz="0" w:space="0" w:color="auto"/>
            <w:bottom w:val="none" w:sz="0" w:space="0" w:color="auto"/>
            <w:right w:val="none" w:sz="0" w:space="0" w:color="auto"/>
          </w:divBdr>
        </w:div>
        <w:div w:id="597447902">
          <w:marLeft w:val="0"/>
          <w:marRight w:val="0"/>
          <w:marTop w:val="0"/>
          <w:marBottom w:val="84"/>
          <w:divBdr>
            <w:top w:val="none" w:sz="0" w:space="0" w:color="auto"/>
            <w:left w:val="none" w:sz="0" w:space="0" w:color="auto"/>
            <w:bottom w:val="none" w:sz="0" w:space="0" w:color="auto"/>
            <w:right w:val="none" w:sz="0" w:space="0" w:color="auto"/>
          </w:divBdr>
        </w:div>
        <w:div w:id="1875339122">
          <w:marLeft w:val="0"/>
          <w:marRight w:val="0"/>
          <w:marTop w:val="0"/>
          <w:marBottom w:val="84"/>
          <w:divBdr>
            <w:top w:val="none" w:sz="0" w:space="0" w:color="auto"/>
            <w:left w:val="none" w:sz="0" w:space="0" w:color="auto"/>
            <w:bottom w:val="none" w:sz="0" w:space="0" w:color="auto"/>
            <w:right w:val="none" w:sz="0" w:space="0" w:color="auto"/>
          </w:divBdr>
        </w:div>
        <w:div w:id="509760236">
          <w:marLeft w:val="0"/>
          <w:marRight w:val="0"/>
          <w:marTop w:val="0"/>
          <w:marBottom w:val="84"/>
          <w:divBdr>
            <w:top w:val="none" w:sz="0" w:space="0" w:color="auto"/>
            <w:left w:val="none" w:sz="0" w:space="0" w:color="auto"/>
            <w:bottom w:val="none" w:sz="0" w:space="0" w:color="auto"/>
            <w:right w:val="none" w:sz="0" w:space="0" w:color="auto"/>
          </w:divBdr>
        </w:div>
        <w:div w:id="1882325920">
          <w:marLeft w:val="0"/>
          <w:marRight w:val="0"/>
          <w:marTop w:val="0"/>
          <w:marBottom w:val="84"/>
          <w:divBdr>
            <w:top w:val="none" w:sz="0" w:space="0" w:color="auto"/>
            <w:left w:val="none" w:sz="0" w:space="0" w:color="auto"/>
            <w:bottom w:val="none" w:sz="0" w:space="0" w:color="auto"/>
            <w:right w:val="none" w:sz="0" w:space="0" w:color="auto"/>
          </w:divBdr>
        </w:div>
      </w:divsChild>
    </w:div>
    <w:div w:id="951401062">
      <w:bodyDiv w:val="1"/>
      <w:marLeft w:val="0"/>
      <w:marRight w:val="0"/>
      <w:marTop w:val="0"/>
      <w:marBottom w:val="0"/>
      <w:divBdr>
        <w:top w:val="none" w:sz="0" w:space="0" w:color="auto"/>
        <w:left w:val="none" w:sz="0" w:space="0" w:color="auto"/>
        <w:bottom w:val="none" w:sz="0" w:space="0" w:color="auto"/>
        <w:right w:val="none" w:sz="0" w:space="0" w:color="auto"/>
      </w:divBdr>
      <w:divsChild>
        <w:div w:id="1701586926">
          <w:marLeft w:val="-180"/>
          <w:marRight w:val="-180"/>
          <w:marTop w:val="0"/>
          <w:marBottom w:val="600"/>
          <w:divBdr>
            <w:top w:val="none" w:sz="0" w:space="0" w:color="auto"/>
            <w:left w:val="none" w:sz="0" w:space="0" w:color="auto"/>
            <w:bottom w:val="none" w:sz="0" w:space="0" w:color="auto"/>
            <w:right w:val="none" w:sz="0" w:space="0" w:color="auto"/>
          </w:divBdr>
          <w:divsChild>
            <w:div w:id="475880057">
              <w:marLeft w:val="0"/>
              <w:marRight w:val="0"/>
              <w:marTop w:val="0"/>
              <w:marBottom w:val="0"/>
              <w:divBdr>
                <w:top w:val="none" w:sz="0" w:space="0" w:color="auto"/>
                <w:left w:val="none" w:sz="0" w:space="0" w:color="auto"/>
                <w:bottom w:val="none" w:sz="0" w:space="0" w:color="auto"/>
                <w:right w:val="none" w:sz="0" w:space="0" w:color="auto"/>
              </w:divBdr>
            </w:div>
          </w:divsChild>
        </w:div>
        <w:div w:id="289751586">
          <w:marLeft w:val="0"/>
          <w:marRight w:val="0"/>
          <w:marTop w:val="240"/>
          <w:marBottom w:val="0"/>
          <w:divBdr>
            <w:top w:val="none" w:sz="0" w:space="0" w:color="auto"/>
            <w:left w:val="none" w:sz="0" w:space="0" w:color="auto"/>
            <w:bottom w:val="none" w:sz="0" w:space="0" w:color="auto"/>
            <w:right w:val="none" w:sz="0" w:space="0" w:color="auto"/>
          </w:divBdr>
          <w:divsChild>
            <w:div w:id="379550108">
              <w:marLeft w:val="-180"/>
              <w:marRight w:val="-180"/>
              <w:marTop w:val="240"/>
              <w:marBottom w:val="0"/>
              <w:divBdr>
                <w:top w:val="none" w:sz="0" w:space="0" w:color="auto"/>
                <w:left w:val="none" w:sz="0" w:space="0" w:color="auto"/>
                <w:bottom w:val="none" w:sz="0" w:space="0" w:color="auto"/>
                <w:right w:val="none" w:sz="0" w:space="0" w:color="auto"/>
              </w:divBdr>
              <w:divsChild>
                <w:div w:id="1955476948">
                  <w:marLeft w:val="0"/>
                  <w:marRight w:val="0"/>
                  <w:marTop w:val="0"/>
                  <w:marBottom w:val="0"/>
                  <w:divBdr>
                    <w:top w:val="none" w:sz="0" w:space="0" w:color="auto"/>
                    <w:left w:val="none" w:sz="0" w:space="0" w:color="auto"/>
                    <w:bottom w:val="none" w:sz="0" w:space="0" w:color="auto"/>
                    <w:right w:val="none" w:sz="0" w:space="0" w:color="auto"/>
                  </w:divBdr>
                  <w:divsChild>
                    <w:div w:id="1342077684">
                      <w:marLeft w:val="0"/>
                      <w:marRight w:val="0"/>
                      <w:marTop w:val="0"/>
                      <w:marBottom w:val="360"/>
                      <w:divBdr>
                        <w:top w:val="none" w:sz="0" w:space="0" w:color="auto"/>
                        <w:left w:val="none" w:sz="0" w:space="0" w:color="auto"/>
                        <w:bottom w:val="none" w:sz="0" w:space="0" w:color="auto"/>
                        <w:right w:val="none" w:sz="0" w:space="0" w:color="auto"/>
                      </w:divBdr>
                      <w:divsChild>
                        <w:div w:id="2039962144">
                          <w:marLeft w:val="0"/>
                          <w:marRight w:val="0"/>
                          <w:marTop w:val="0"/>
                          <w:marBottom w:val="0"/>
                          <w:divBdr>
                            <w:top w:val="none" w:sz="0" w:space="0" w:color="auto"/>
                            <w:left w:val="none" w:sz="0" w:space="0" w:color="auto"/>
                            <w:bottom w:val="none" w:sz="0" w:space="0" w:color="auto"/>
                            <w:right w:val="none" w:sz="0" w:space="0" w:color="auto"/>
                          </w:divBdr>
                          <w:divsChild>
                            <w:div w:id="849952719">
                              <w:marLeft w:val="0"/>
                              <w:marRight w:val="0"/>
                              <w:marTop w:val="0"/>
                              <w:marBottom w:val="60"/>
                              <w:divBdr>
                                <w:top w:val="none" w:sz="0" w:space="0" w:color="auto"/>
                                <w:left w:val="none" w:sz="0" w:space="0" w:color="auto"/>
                                <w:bottom w:val="none" w:sz="0" w:space="0" w:color="auto"/>
                                <w:right w:val="none" w:sz="0" w:space="0" w:color="auto"/>
                              </w:divBdr>
                              <w:divsChild>
                                <w:div w:id="1692485582">
                                  <w:marLeft w:val="0"/>
                                  <w:marRight w:val="0"/>
                                  <w:marTop w:val="0"/>
                                  <w:marBottom w:val="60"/>
                                  <w:divBdr>
                                    <w:top w:val="none" w:sz="0" w:space="0" w:color="auto"/>
                                    <w:left w:val="none" w:sz="0" w:space="0" w:color="auto"/>
                                    <w:bottom w:val="none" w:sz="0" w:space="0" w:color="auto"/>
                                    <w:right w:val="none" w:sz="0" w:space="0" w:color="auto"/>
                                  </w:divBdr>
                                </w:div>
                                <w:div w:id="1407679184">
                                  <w:marLeft w:val="0"/>
                                  <w:marRight w:val="0"/>
                                  <w:marTop w:val="0"/>
                                  <w:marBottom w:val="60"/>
                                  <w:divBdr>
                                    <w:top w:val="none" w:sz="0" w:space="0" w:color="auto"/>
                                    <w:left w:val="none" w:sz="0" w:space="0" w:color="auto"/>
                                    <w:bottom w:val="none" w:sz="0" w:space="0" w:color="auto"/>
                                    <w:right w:val="none" w:sz="0" w:space="0" w:color="auto"/>
                                  </w:divBdr>
                                </w:div>
                              </w:divsChild>
                            </w:div>
                            <w:div w:id="1980187412">
                              <w:marLeft w:val="0"/>
                              <w:marRight w:val="0"/>
                              <w:marTop w:val="0"/>
                              <w:marBottom w:val="0"/>
                              <w:divBdr>
                                <w:top w:val="none" w:sz="0" w:space="0" w:color="auto"/>
                                <w:left w:val="none" w:sz="0" w:space="0" w:color="auto"/>
                                <w:bottom w:val="none" w:sz="0" w:space="0" w:color="auto"/>
                                <w:right w:val="none" w:sz="0" w:space="0" w:color="auto"/>
                              </w:divBdr>
                            </w:div>
                          </w:divsChild>
                        </w:div>
                        <w:div w:id="858735246">
                          <w:marLeft w:val="0"/>
                          <w:marRight w:val="0"/>
                          <w:marTop w:val="0"/>
                          <w:marBottom w:val="0"/>
                          <w:divBdr>
                            <w:top w:val="none" w:sz="0" w:space="0" w:color="auto"/>
                            <w:left w:val="none" w:sz="0" w:space="0" w:color="auto"/>
                            <w:bottom w:val="none" w:sz="0" w:space="0" w:color="auto"/>
                            <w:right w:val="none" w:sz="0" w:space="0" w:color="auto"/>
                          </w:divBdr>
                        </w:div>
                      </w:divsChild>
                    </w:div>
                    <w:div w:id="1017393575">
                      <w:marLeft w:val="0"/>
                      <w:marRight w:val="0"/>
                      <w:marTop w:val="0"/>
                      <w:marBottom w:val="0"/>
                      <w:divBdr>
                        <w:top w:val="none" w:sz="0" w:space="0" w:color="auto"/>
                        <w:left w:val="none" w:sz="0" w:space="0" w:color="auto"/>
                        <w:bottom w:val="none" w:sz="0" w:space="0" w:color="auto"/>
                        <w:right w:val="none" w:sz="0" w:space="0" w:color="auto"/>
                      </w:divBdr>
                      <w:divsChild>
                        <w:div w:id="624890668">
                          <w:marLeft w:val="0"/>
                          <w:marRight w:val="0"/>
                          <w:marTop w:val="0"/>
                          <w:marBottom w:val="0"/>
                          <w:divBdr>
                            <w:top w:val="none" w:sz="0" w:space="0" w:color="auto"/>
                            <w:left w:val="none" w:sz="0" w:space="0" w:color="auto"/>
                            <w:bottom w:val="none" w:sz="0" w:space="0" w:color="auto"/>
                            <w:right w:val="none" w:sz="0" w:space="0" w:color="auto"/>
                          </w:divBdr>
                          <w:divsChild>
                            <w:div w:id="522205582">
                              <w:marLeft w:val="0"/>
                              <w:marRight w:val="0"/>
                              <w:marTop w:val="240"/>
                              <w:marBottom w:val="0"/>
                              <w:divBdr>
                                <w:top w:val="none" w:sz="0" w:space="0" w:color="auto"/>
                                <w:left w:val="none" w:sz="0" w:space="0" w:color="auto"/>
                                <w:bottom w:val="none" w:sz="0" w:space="0" w:color="auto"/>
                                <w:right w:val="none" w:sz="0" w:space="0" w:color="auto"/>
                              </w:divBdr>
                            </w:div>
                          </w:divsChild>
                        </w:div>
                        <w:div w:id="1988239553">
                          <w:marLeft w:val="0"/>
                          <w:marRight w:val="0"/>
                          <w:marTop w:val="0"/>
                          <w:marBottom w:val="0"/>
                          <w:divBdr>
                            <w:top w:val="none" w:sz="0" w:space="0" w:color="auto"/>
                            <w:left w:val="none" w:sz="0" w:space="0" w:color="auto"/>
                            <w:bottom w:val="none" w:sz="0" w:space="0" w:color="auto"/>
                            <w:right w:val="none" w:sz="0" w:space="0" w:color="auto"/>
                          </w:divBdr>
                          <w:divsChild>
                            <w:div w:id="1736587294">
                              <w:marLeft w:val="0"/>
                              <w:marRight w:val="0"/>
                              <w:marTop w:val="0"/>
                              <w:marBottom w:val="0"/>
                              <w:divBdr>
                                <w:top w:val="none" w:sz="0" w:space="0" w:color="auto"/>
                                <w:left w:val="none" w:sz="0" w:space="0" w:color="auto"/>
                                <w:bottom w:val="none" w:sz="0" w:space="0" w:color="auto"/>
                                <w:right w:val="none" w:sz="0" w:space="0" w:color="auto"/>
                              </w:divBdr>
                              <w:divsChild>
                                <w:div w:id="19215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47734">
                          <w:marLeft w:val="0"/>
                          <w:marRight w:val="0"/>
                          <w:marTop w:val="0"/>
                          <w:marBottom w:val="0"/>
                          <w:divBdr>
                            <w:top w:val="none" w:sz="0" w:space="0" w:color="auto"/>
                            <w:left w:val="none" w:sz="0" w:space="0" w:color="auto"/>
                            <w:bottom w:val="none" w:sz="0" w:space="0" w:color="auto"/>
                            <w:right w:val="none" w:sz="0" w:space="0" w:color="auto"/>
                          </w:divBdr>
                          <w:divsChild>
                            <w:div w:id="65719790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335932">
      <w:bodyDiv w:val="1"/>
      <w:marLeft w:val="0"/>
      <w:marRight w:val="0"/>
      <w:marTop w:val="0"/>
      <w:marBottom w:val="0"/>
      <w:divBdr>
        <w:top w:val="none" w:sz="0" w:space="0" w:color="auto"/>
        <w:left w:val="none" w:sz="0" w:space="0" w:color="auto"/>
        <w:bottom w:val="none" w:sz="0" w:space="0" w:color="auto"/>
        <w:right w:val="none" w:sz="0" w:space="0" w:color="auto"/>
      </w:divBdr>
    </w:div>
    <w:div w:id="1899852413">
      <w:bodyDiv w:val="1"/>
      <w:marLeft w:val="0"/>
      <w:marRight w:val="0"/>
      <w:marTop w:val="0"/>
      <w:marBottom w:val="0"/>
      <w:divBdr>
        <w:top w:val="none" w:sz="0" w:space="0" w:color="auto"/>
        <w:left w:val="none" w:sz="0" w:space="0" w:color="auto"/>
        <w:bottom w:val="none" w:sz="0" w:space="0" w:color="auto"/>
        <w:right w:val="none" w:sz="0" w:space="0" w:color="auto"/>
      </w:divBdr>
      <w:divsChild>
        <w:div w:id="1181898610">
          <w:marLeft w:val="0"/>
          <w:marRight w:val="0"/>
          <w:marTop w:val="0"/>
          <w:marBottom w:val="0"/>
          <w:divBdr>
            <w:top w:val="none" w:sz="0" w:space="0" w:color="auto"/>
            <w:left w:val="none" w:sz="0" w:space="0" w:color="auto"/>
            <w:bottom w:val="none" w:sz="0" w:space="0" w:color="auto"/>
            <w:right w:val="none" w:sz="0" w:space="0" w:color="auto"/>
          </w:divBdr>
          <w:divsChild>
            <w:div w:id="147939226">
              <w:marLeft w:val="0"/>
              <w:marRight w:val="0"/>
              <w:marTop w:val="0"/>
              <w:marBottom w:val="0"/>
              <w:divBdr>
                <w:top w:val="none" w:sz="0" w:space="0" w:color="auto"/>
                <w:left w:val="none" w:sz="0" w:space="0" w:color="auto"/>
                <w:bottom w:val="none" w:sz="0" w:space="0" w:color="auto"/>
                <w:right w:val="none" w:sz="0" w:space="0" w:color="auto"/>
              </w:divBdr>
            </w:div>
          </w:divsChild>
        </w:div>
        <w:div w:id="1476335871">
          <w:marLeft w:val="0"/>
          <w:marRight w:val="0"/>
          <w:marTop w:val="0"/>
          <w:marBottom w:val="0"/>
          <w:divBdr>
            <w:top w:val="none" w:sz="0" w:space="0" w:color="auto"/>
            <w:left w:val="none" w:sz="0" w:space="0" w:color="auto"/>
            <w:bottom w:val="none" w:sz="0" w:space="0" w:color="auto"/>
            <w:right w:val="none" w:sz="0" w:space="0" w:color="auto"/>
          </w:divBdr>
          <w:divsChild>
            <w:div w:id="1561941918">
              <w:marLeft w:val="0"/>
              <w:marRight w:val="0"/>
              <w:marTop w:val="0"/>
              <w:marBottom w:val="0"/>
              <w:divBdr>
                <w:top w:val="none" w:sz="0" w:space="0" w:color="auto"/>
                <w:left w:val="none" w:sz="0" w:space="0" w:color="auto"/>
                <w:bottom w:val="none" w:sz="0" w:space="0" w:color="auto"/>
                <w:right w:val="none" w:sz="0" w:space="0" w:color="auto"/>
              </w:divBdr>
              <w:divsChild>
                <w:div w:id="1549686964">
                  <w:marLeft w:val="0"/>
                  <w:marRight w:val="0"/>
                  <w:marTop w:val="0"/>
                  <w:marBottom w:val="270"/>
                  <w:divBdr>
                    <w:top w:val="none" w:sz="0" w:space="0" w:color="auto"/>
                    <w:left w:val="none" w:sz="0" w:space="0" w:color="auto"/>
                    <w:bottom w:val="none" w:sz="0" w:space="0" w:color="auto"/>
                    <w:right w:val="none" w:sz="0" w:space="0" w:color="auto"/>
                  </w:divBdr>
                  <w:divsChild>
                    <w:div w:id="2071296591">
                      <w:marLeft w:val="0"/>
                      <w:marRight w:val="0"/>
                      <w:marTop w:val="0"/>
                      <w:marBottom w:val="0"/>
                      <w:divBdr>
                        <w:top w:val="none" w:sz="0" w:space="0" w:color="auto"/>
                        <w:left w:val="none" w:sz="0" w:space="0" w:color="auto"/>
                        <w:bottom w:val="none" w:sz="0" w:space="0" w:color="auto"/>
                        <w:right w:val="none" w:sz="0" w:space="0" w:color="auto"/>
                      </w:divBdr>
                    </w:div>
                  </w:divsChild>
                </w:div>
                <w:div w:id="946422014">
                  <w:marLeft w:val="0"/>
                  <w:marRight w:val="0"/>
                  <w:marTop w:val="390"/>
                  <w:marBottom w:val="0"/>
                  <w:divBdr>
                    <w:top w:val="none" w:sz="0" w:space="0" w:color="auto"/>
                    <w:left w:val="none" w:sz="0" w:space="0" w:color="auto"/>
                    <w:bottom w:val="none" w:sz="0" w:space="0" w:color="auto"/>
                    <w:right w:val="none" w:sz="0" w:space="0" w:color="auto"/>
                  </w:divBdr>
                  <w:divsChild>
                    <w:div w:id="24407593">
                      <w:marLeft w:val="0"/>
                      <w:marRight w:val="0"/>
                      <w:marTop w:val="0"/>
                      <w:marBottom w:val="0"/>
                      <w:divBdr>
                        <w:top w:val="single" w:sz="6" w:space="15" w:color="BEBEBE"/>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oticias.juridicas.com/base_datos/Admin/lo4-2000.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8E2F2-F109-42C3-AEFB-36B8DC184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1616</TotalTime>
  <Pages>20</Pages>
  <Words>6520</Words>
  <Characters>35865</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UCA</cp:lastModifiedBy>
  <cp:revision>71</cp:revision>
  <cp:lastPrinted>2021-07-16T12:32:00Z</cp:lastPrinted>
  <dcterms:created xsi:type="dcterms:W3CDTF">2021-10-22T10:18:00Z</dcterms:created>
  <dcterms:modified xsi:type="dcterms:W3CDTF">2022-01-20T13:17:00Z</dcterms:modified>
</cp:coreProperties>
</file>