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2EC05" w14:textId="77777777" w:rsidR="001056B8" w:rsidRPr="002A431D" w:rsidRDefault="001056B8" w:rsidP="002A431D">
      <w:pPr>
        <w:jc w:val="both"/>
        <w:rPr>
          <w:sz w:val="24"/>
          <w:szCs w:val="24"/>
          <w:u w:val="single"/>
        </w:rPr>
      </w:pPr>
      <w:bookmarkStart w:id="0" w:name="_Hlk93490527"/>
    </w:p>
    <w:p w14:paraId="57B83FC4" w14:textId="70527798" w:rsidR="007F4F93" w:rsidRPr="002A431D" w:rsidRDefault="00861C17" w:rsidP="002A431D">
      <w:pPr>
        <w:jc w:val="center"/>
        <w:rPr>
          <w:sz w:val="24"/>
          <w:szCs w:val="24"/>
          <w:u w:val="single"/>
        </w:rPr>
      </w:pPr>
      <w:r w:rsidRPr="002A431D">
        <w:rPr>
          <w:sz w:val="24"/>
          <w:szCs w:val="24"/>
          <w:u w:val="single"/>
        </w:rPr>
        <w:t>Visiones en torno al rol del Poder Judicial</w:t>
      </w:r>
    </w:p>
    <w:p w14:paraId="06F568BB" w14:textId="77777777" w:rsidR="005B549D" w:rsidRPr="002A431D" w:rsidRDefault="001056B8" w:rsidP="002A431D">
      <w:pPr>
        <w:jc w:val="right"/>
        <w:rPr>
          <w:sz w:val="24"/>
          <w:szCs w:val="24"/>
        </w:rPr>
      </w:pPr>
      <w:r w:rsidRPr="002A431D">
        <w:rPr>
          <w:sz w:val="24"/>
          <w:szCs w:val="24"/>
        </w:rPr>
        <w:t xml:space="preserve">Nicolás </w:t>
      </w:r>
      <w:proofErr w:type="spellStart"/>
      <w:r w:rsidRPr="002A431D">
        <w:rPr>
          <w:sz w:val="24"/>
          <w:szCs w:val="24"/>
        </w:rPr>
        <w:t>Egües</w:t>
      </w:r>
      <w:proofErr w:type="spellEnd"/>
      <w:r w:rsidRPr="002A431D">
        <w:rPr>
          <w:rStyle w:val="Refdenotaalpie"/>
          <w:sz w:val="24"/>
          <w:szCs w:val="24"/>
        </w:rPr>
        <w:footnoteReference w:id="1"/>
      </w:r>
    </w:p>
    <w:p w14:paraId="4F168285" w14:textId="77777777" w:rsidR="005B549D" w:rsidRPr="002A431D" w:rsidRDefault="005B549D" w:rsidP="002A431D">
      <w:pPr>
        <w:jc w:val="both"/>
        <w:rPr>
          <w:sz w:val="24"/>
          <w:szCs w:val="24"/>
        </w:rPr>
      </w:pPr>
    </w:p>
    <w:p w14:paraId="7EA4541F" w14:textId="56C7F67D" w:rsidR="009A2134" w:rsidRPr="002A431D" w:rsidRDefault="009A2134" w:rsidP="002A431D">
      <w:pPr>
        <w:jc w:val="both"/>
        <w:rPr>
          <w:sz w:val="24"/>
          <w:szCs w:val="24"/>
        </w:rPr>
      </w:pPr>
      <w:r w:rsidRPr="002A431D">
        <w:rPr>
          <w:sz w:val="24"/>
          <w:szCs w:val="24"/>
        </w:rPr>
        <w:t xml:space="preserve">Sumario: I. Introducción. II. Dos visiones -casi- antagónicas. 1. El pesimismo judicial en su versión “clásica”. 2. </w:t>
      </w:r>
      <w:r w:rsidR="002D6024" w:rsidRPr="002A431D">
        <w:rPr>
          <w:sz w:val="24"/>
          <w:szCs w:val="24"/>
        </w:rPr>
        <w:t>Orígenes del</w:t>
      </w:r>
      <w:r w:rsidRPr="002A431D">
        <w:rPr>
          <w:sz w:val="24"/>
          <w:szCs w:val="24"/>
        </w:rPr>
        <w:t xml:space="preserve"> optimismo judicial. </w:t>
      </w:r>
      <w:r w:rsidR="002D6024" w:rsidRPr="002A431D">
        <w:rPr>
          <w:sz w:val="24"/>
          <w:szCs w:val="24"/>
        </w:rPr>
        <w:t>El control de constitucionalidad. 3. Desarrollo del optimismo judicial. 4</w:t>
      </w:r>
      <w:r w:rsidRPr="002A431D">
        <w:rPr>
          <w:sz w:val="24"/>
          <w:szCs w:val="24"/>
        </w:rPr>
        <w:t xml:space="preserve">. </w:t>
      </w:r>
      <w:r w:rsidR="00E82EF6" w:rsidRPr="002A431D">
        <w:rPr>
          <w:sz w:val="24"/>
          <w:szCs w:val="24"/>
        </w:rPr>
        <w:t>Un retorno al pesimismo con nuevos argumentos. III.</w:t>
      </w:r>
      <w:r w:rsidR="00756914" w:rsidRPr="002A431D">
        <w:rPr>
          <w:sz w:val="24"/>
          <w:szCs w:val="24"/>
        </w:rPr>
        <w:t xml:space="preserve"> La reforma judicial como síntesis de</w:t>
      </w:r>
      <w:r w:rsidR="00FC2FD0" w:rsidRPr="002A431D">
        <w:rPr>
          <w:sz w:val="24"/>
          <w:szCs w:val="24"/>
        </w:rPr>
        <w:t xml:space="preserve"> la</w:t>
      </w:r>
      <w:r w:rsidR="00756914" w:rsidRPr="002A431D">
        <w:rPr>
          <w:sz w:val="24"/>
          <w:szCs w:val="24"/>
        </w:rPr>
        <w:t xml:space="preserve"> tensión entre ambas visiones. IV.</w:t>
      </w:r>
      <w:r w:rsidR="00E82EF6" w:rsidRPr="002A431D">
        <w:rPr>
          <w:sz w:val="24"/>
          <w:szCs w:val="24"/>
        </w:rPr>
        <w:t xml:space="preserve"> Conclusiones. V. Bibliografía.</w:t>
      </w:r>
    </w:p>
    <w:p w14:paraId="25771DEA" w14:textId="10A6963D" w:rsidR="005558AA" w:rsidRPr="002A431D" w:rsidRDefault="00180D19" w:rsidP="002A431D">
      <w:pPr>
        <w:jc w:val="both"/>
        <w:rPr>
          <w:sz w:val="24"/>
          <w:szCs w:val="24"/>
          <w:u w:val="single"/>
        </w:rPr>
      </w:pPr>
      <w:r w:rsidRPr="002A431D">
        <w:rPr>
          <w:sz w:val="24"/>
          <w:szCs w:val="24"/>
          <w:u w:val="single"/>
        </w:rPr>
        <w:t xml:space="preserve">I. </w:t>
      </w:r>
      <w:r w:rsidR="005558AA" w:rsidRPr="002A431D">
        <w:rPr>
          <w:sz w:val="24"/>
          <w:szCs w:val="24"/>
          <w:u w:val="single"/>
        </w:rPr>
        <w:t>Introducción</w:t>
      </w:r>
    </w:p>
    <w:p w14:paraId="65C36E60" w14:textId="6DDB8430" w:rsidR="007F4F93" w:rsidRPr="002A431D" w:rsidRDefault="001056B8" w:rsidP="002A431D">
      <w:pPr>
        <w:jc w:val="both"/>
        <w:rPr>
          <w:sz w:val="24"/>
          <w:szCs w:val="24"/>
        </w:rPr>
      </w:pPr>
      <w:r w:rsidRPr="002A431D">
        <w:rPr>
          <w:sz w:val="24"/>
          <w:szCs w:val="24"/>
        </w:rPr>
        <w:t xml:space="preserve">La obra en </w:t>
      </w:r>
      <w:r w:rsidR="008558D3" w:rsidRPr="002A431D">
        <w:rPr>
          <w:sz w:val="24"/>
          <w:szCs w:val="24"/>
        </w:rPr>
        <w:t xml:space="preserve">que se inserta el presente trabajo, </w:t>
      </w:r>
      <w:r w:rsidRPr="002A431D">
        <w:rPr>
          <w:sz w:val="24"/>
          <w:szCs w:val="24"/>
        </w:rPr>
        <w:t xml:space="preserve">propone </w:t>
      </w:r>
      <w:r w:rsidR="00861C17" w:rsidRPr="002A431D">
        <w:rPr>
          <w:sz w:val="24"/>
          <w:szCs w:val="24"/>
        </w:rPr>
        <w:t>revisar el rol del Poder Judicial en una actividad -la “ampliación de derechos”-</w:t>
      </w:r>
      <w:r w:rsidR="008558D3" w:rsidRPr="002A431D">
        <w:rPr>
          <w:sz w:val="24"/>
          <w:szCs w:val="24"/>
        </w:rPr>
        <w:t>,</w:t>
      </w:r>
      <w:r w:rsidR="00861C17" w:rsidRPr="002A431D">
        <w:rPr>
          <w:sz w:val="24"/>
          <w:szCs w:val="24"/>
        </w:rPr>
        <w:t xml:space="preserve"> que</w:t>
      </w:r>
      <w:r w:rsidR="00724A57" w:rsidRPr="002A431D">
        <w:rPr>
          <w:sz w:val="24"/>
          <w:szCs w:val="24"/>
        </w:rPr>
        <w:t xml:space="preserve"> excede</w:t>
      </w:r>
      <w:r w:rsidR="00861C17" w:rsidRPr="002A431D">
        <w:rPr>
          <w:sz w:val="24"/>
          <w:szCs w:val="24"/>
        </w:rPr>
        <w:t xml:space="preserve"> la que ha sido tradicionalmente </w:t>
      </w:r>
      <w:r w:rsidR="00724A57" w:rsidRPr="002A431D">
        <w:rPr>
          <w:sz w:val="24"/>
          <w:szCs w:val="24"/>
        </w:rPr>
        <w:t xml:space="preserve">considerada </w:t>
      </w:r>
      <w:r w:rsidR="00861C17" w:rsidRPr="002A431D">
        <w:rPr>
          <w:sz w:val="24"/>
          <w:szCs w:val="24"/>
        </w:rPr>
        <w:t>su principal labor -el “reconocimiento de derechos”-</w:t>
      </w:r>
      <w:r w:rsidR="007F4F93" w:rsidRPr="002A431D">
        <w:rPr>
          <w:sz w:val="24"/>
          <w:szCs w:val="24"/>
        </w:rPr>
        <w:t>.</w:t>
      </w:r>
    </w:p>
    <w:p w14:paraId="156E46F3" w14:textId="3A36082F" w:rsidR="007F4F93" w:rsidRPr="002A431D" w:rsidRDefault="007F4F93" w:rsidP="002A431D">
      <w:pPr>
        <w:jc w:val="both"/>
        <w:rPr>
          <w:sz w:val="24"/>
          <w:szCs w:val="24"/>
        </w:rPr>
      </w:pPr>
      <w:r w:rsidRPr="002A431D">
        <w:rPr>
          <w:sz w:val="24"/>
          <w:szCs w:val="24"/>
        </w:rPr>
        <w:t xml:space="preserve">El tema </w:t>
      </w:r>
      <w:r w:rsidR="00724A57" w:rsidRPr="002A431D">
        <w:rPr>
          <w:sz w:val="24"/>
          <w:szCs w:val="24"/>
        </w:rPr>
        <w:t>plantead</w:t>
      </w:r>
      <w:r w:rsidR="003221A8">
        <w:rPr>
          <w:sz w:val="24"/>
          <w:szCs w:val="24"/>
        </w:rPr>
        <w:t>o</w:t>
      </w:r>
      <w:r w:rsidR="00724A57" w:rsidRPr="002A431D">
        <w:rPr>
          <w:sz w:val="24"/>
          <w:szCs w:val="24"/>
        </w:rPr>
        <w:t xml:space="preserve">, </w:t>
      </w:r>
      <w:r w:rsidRPr="002A431D">
        <w:rPr>
          <w:sz w:val="24"/>
          <w:szCs w:val="24"/>
        </w:rPr>
        <w:t xml:space="preserve">nos parece particularmente adecuado, atento la transformación que </w:t>
      </w:r>
      <w:r w:rsidR="00184936" w:rsidRPr="002A431D">
        <w:rPr>
          <w:sz w:val="24"/>
          <w:szCs w:val="24"/>
        </w:rPr>
        <w:t xml:space="preserve">ha </w:t>
      </w:r>
      <w:r w:rsidRPr="002A431D">
        <w:rPr>
          <w:sz w:val="24"/>
          <w:szCs w:val="24"/>
        </w:rPr>
        <w:t>experimentado el Órgano Judicial</w:t>
      </w:r>
      <w:r w:rsidR="00724A57" w:rsidRPr="002A431D">
        <w:rPr>
          <w:sz w:val="24"/>
          <w:szCs w:val="24"/>
        </w:rPr>
        <w:t xml:space="preserve"> en las democracias </w:t>
      </w:r>
      <w:proofErr w:type="gramStart"/>
      <w:r w:rsidR="00724A57" w:rsidRPr="002A431D">
        <w:rPr>
          <w:sz w:val="24"/>
          <w:szCs w:val="24"/>
        </w:rPr>
        <w:t>occidentales</w:t>
      </w:r>
      <w:r w:rsidRPr="002A431D">
        <w:rPr>
          <w:sz w:val="24"/>
          <w:szCs w:val="24"/>
        </w:rPr>
        <w:t xml:space="preserve">, </w:t>
      </w:r>
      <w:r w:rsidR="00724A57" w:rsidRPr="002A431D">
        <w:rPr>
          <w:sz w:val="24"/>
          <w:szCs w:val="24"/>
        </w:rPr>
        <w:t xml:space="preserve"> puesto</w:t>
      </w:r>
      <w:proofErr w:type="gramEnd"/>
      <w:r w:rsidR="00724A57" w:rsidRPr="002A431D">
        <w:rPr>
          <w:sz w:val="24"/>
          <w:szCs w:val="24"/>
        </w:rPr>
        <w:t xml:space="preserve"> </w:t>
      </w:r>
      <w:r w:rsidRPr="002A431D">
        <w:rPr>
          <w:sz w:val="24"/>
          <w:szCs w:val="24"/>
        </w:rPr>
        <w:t>que de un tiempo a esta parte ha dejado de estar dedicado casi con exclusividad a la resolución de conflictos particulares, para avanzar en la toma de decisiones que impactan directamente sobre el funcionamiento del Estado</w:t>
      </w:r>
      <w:r w:rsidR="008558D3" w:rsidRPr="002A431D">
        <w:rPr>
          <w:sz w:val="24"/>
          <w:szCs w:val="24"/>
        </w:rPr>
        <w:t>.</w:t>
      </w:r>
    </w:p>
    <w:p w14:paraId="42A4853C" w14:textId="68FEC73D" w:rsidR="007F4F93" w:rsidRPr="002A431D" w:rsidRDefault="008558D3" w:rsidP="002A431D">
      <w:pPr>
        <w:jc w:val="both"/>
        <w:rPr>
          <w:sz w:val="24"/>
          <w:szCs w:val="24"/>
        </w:rPr>
      </w:pPr>
      <w:r w:rsidRPr="002A431D">
        <w:rPr>
          <w:sz w:val="24"/>
          <w:szCs w:val="24"/>
        </w:rPr>
        <w:t>Lo</w:t>
      </w:r>
      <w:r w:rsidR="007F4F93" w:rsidRPr="002A431D">
        <w:rPr>
          <w:sz w:val="24"/>
          <w:szCs w:val="24"/>
        </w:rPr>
        <w:t xml:space="preserve"> que describimos es el resultado de un largo proceso donde se conjugan un marcado crecimiento y enriquecimiento de las declaraciones de derechos, en especial los de contenido económico, social y cultural</w:t>
      </w:r>
      <w:r w:rsidR="00724A57" w:rsidRPr="002A431D">
        <w:rPr>
          <w:sz w:val="24"/>
          <w:szCs w:val="24"/>
        </w:rPr>
        <w:t>,</w:t>
      </w:r>
      <w:r w:rsidR="007F4F93" w:rsidRPr="002A431D">
        <w:rPr>
          <w:sz w:val="24"/>
          <w:szCs w:val="24"/>
        </w:rPr>
        <w:t xml:space="preserve"> </w:t>
      </w:r>
      <w:r w:rsidR="00724A57" w:rsidRPr="002A431D">
        <w:rPr>
          <w:sz w:val="24"/>
          <w:szCs w:val="24"/>
        </w:rPr>
        <w:t>con</w:t>
      </w:r>
      <w:r w:rsidR="007F4F93" w:rsidRPr="002A431D">
        <w:rPr>
          <w:sz w:val="24"/>
          <w:szCs w:val="24"/>
        </w:rPr>
        <w:t xml:space="preserve"> una notoria incapacidad del aparato </w:t>
      </w:r>
      <w:proofErr w:type="gramStart"/>
      <w:r w:rsidR="007F4F93" w:rsidRPr="002A431D">
        <w:rPr>
          <w:sz w:val="24"/>
          <w:szCs w:val="24"/>
        </w:rPr>
        <w:t>estatal,  para</w:t>
      </w:r>
      <w:proofErr w:type="gramEnd"/>
      <w:r w:rsidR="007F4F93" w:rsidRPr="002A431D">
        <w:rPr>
          <w:sz w:val="24"/>
          <w:szCs w:val="24"/>
        </w:rPr>
        <w:t xml:space="preserve"> asegurar la vigencia de estos derechos en la medida que la sociedad demanda.</w:t>
      </w:r>
    </w:p>
    <w:p w14:paraId="18994C07" w14:textId="77777777" w:rsidR="00DA343A" w:rsidRPr="002A431D" w:rsidRDefault="000A3A95" w:rsidP="002A431D">
      <w:pPr>
        <w:jc w:val="both"/>
        <w:rPr>
          <w:sz w:val="24"/>
          <w:szCs w:val="24"/>
        </w:rPr>
      </w:pPr>
      <w:r w:rsidRPr="002A431D">
        <w:rPr>
          <w:sz w:val="24"/>
          <w:szCs w:val="24"/>
        </w:rPr>
        <w:t xml:space="preserve">Señala con acierto </w:t>
      </w:r>
      <w:proofErr w:type="spellStart"/>
      <w:r w:rsidRPr="002A431D">
        <w:rPr>
          <w:sz w:val="24"/>
          <w:szCs w:val="24"/>
        </w:rPr>
        <w:t>Gargarella</w:t>
      </w:r>
      <w:proofErr w:type="spellEnd"/>
      <w:r w:rsidRPr="002A431D">
        <w:rPr>
          <w:sz w:val="24"/>
          <w:szCs w:val="24"/>
        </w:rPr>
        <w:t>, en referencia al constitucionalismo latinoamericano del Siglo XX que</w:t>
      </w:r>
      <w:r w:rsidR="00DA343A" w:rsidRPr="002A431D">
        <w:rPr>
          <w:sz w:val="24"/>
          <w:szCs w:val="24"/>
        </w:rPr>
        <w:t>:</w:t>
      </w:r>
    </w:p>
    <w:p w14:paraId="7EECF368" w14:textId="304F217F" w:rsidR="000A3A95" w:rsidRPr="002A431D" w:rsidRDefault="00C16B36" w:rsidP="002A431D">
      <w:pPr>
        <w:ind w:left="709"/>
        <w:jc w:val="both"/>
        <w:rPr>
          <w:sz w:val="24"/>
          <w:szCs w:val="24"/>
        </w:rPr>
      </w:pPr>
      <w:r w:rsidRPr="002A431D">
        <w:rPr>
          <w:sz w:val="24"/>
          <w:szCs w:val="24"/>
        </w:rPr>
        <w:t>“</w:t>
      </w:r>
      <w:r w:rsidR="00DA343A" w:rsidRPr="002A431D">
        <w:rPr>
          <w:sz w:val="24"/>
          <w:szCs w:val="24"/>
        </w:rPr>
        <w:t>E</w:t>
      </w:r>
      <w:r w:rsidR="000A3A95" w:rsidRPr="002A431D">
        <w:rPr>
          <w:sz w:val="24"/>
          <w:szCs w:val="24"/>
        </w:rPr>
        <w:t xml:space="preserve">l nuevo siglo trajo consigo algunos acontecimientos extraordinarios, desde el sufragio universal hasta la entrada de la clase trabajadora en la arena pública. Estos cambios tuvieron ciertamente un profundo impacto en el viejo paradigma de “orden y progreso”. Sin embargo, </w:t>
      </w:r>
      <w:proofErr w:type="gramStart"/>
      <w:r w:rsidR="000A3A95" w:rsidRPr="002A431D">
        <w:rPr>
          <w:sz w:val="24"/>
          <w:szCs w:val="24"/>
        </w:rPr>
        <w:t>notablemente,  estos</w:t>
      </w:r>
      <w:proofErr w:type="gramEnd"/>
      <w:r w:rsidR="000A3A95" w:rsidRPr="002A431D">
        <w:rPr>
          <w:sz w:val="24"/>
          <w:szCs w:val="24"/>
        </w:rPr>
        <w:t xml:space="preserve"> cambios solo encontraron una traducción parcial en lo que respecta a la Constitución. Las nuevas Constituciones reconocieron estas novedades sobre todo a través de la incorporación de nuevos derechos socioeconómicos. En otras palabras, estos significativos cambios </w:t>
      </w:r>
      <w:r w:rsidR="000A3A95" w:rsidRPr="002A431D">
        <w:rPr>
          <w:sz w:val="24"/>
          <w:szCs w:val="24"/>
        </w:rPr>
        <w:lastRenderedPageBreak/>
        <w:t xml:space="preserve">sociopolíticos no se tradujeron en una nueva organización del poder en la Constitución…lo que quedó fue un </w:t>
      </w:r>
      <w:r w:rsidR="000A3A95" w:rsidRPr="002A431D">
        <w:rPr>
          <w:i/>
          <w:iCs/>
          <w:sz w:val="24"/>
          <w:szCs w:val="24"/>
        </w:rPr>
        <w:t>nuevo</w:t>
      </w:r>
      <w:r w:rsidR="000A3A95" w:rsidRPr="002A431D">
        <w:rPr>
          <w:sz w:val="24"/>
          <w:szCs w:val="24"/>
        </w:rPr>
        <w:t xml:space="preserve"> modelo </w:t>
      </w:r>
      <w:r w:rsidR="00ED76AA" w:rsidRPr="002A431D">
        <w:rPr>
          <w:sz w:val="24"/>
          <w:szCs w:val="24"/>
        </w:rPr>
        <w:t>constitucional, caracterizado por robustas declaraciones de derechos y una organización del poder todavía altamente concentrada.</w:t>
      </w:r>
      <w:r w:rsidR="00DA343A" w:rsidRPr="002A431D">
        <w:rPr>
          <w:rStyle w:val="Refdenotaalpie"/>
          <w:sz w:val="24"/>
          <w:szCs w:val="24"/>
        </w:rPr>
        <w:footnoteReference w:id="2"/>
      </w:r>
      <w:r w:rsidR="000A3A95" w:rsidRPr="002A431D">
        <w:rPr>
          <w:sz w:val="24"/>
          <w:szCs w:val="24"/>
        </w:rPr>
        <w:t xml:space="preserve">  </w:t>
      </w:r>
    </w:p>
    <w:p w14:paraId="3C982809" w14:textId="7E653A7B" w:rsidR="007F4F93" w:rsidRPr="002A431D" w:rsidRDefault="007F4F93" w:rsidP="002A431D">
      <w:pPr>
        <w:jc w:val="both"/>
        <w:rPr>
          <w:sz w:val="24"/>
          <w:szCs w:val="24"/>
        </w:rPr>
      </w:pPr>
      <w:r w:rsidRPr="002A431D">
        <w:rPr>
          <w:sz w:val="24"/>
          <w:szCs w:val="24"/>
        </w:rPr>
        <w:t xml:space="preserve">Esta combinación </w:t>
      </w:r>
      <w:r w:rsidR="00E3064E" w:rsidRPr="002A431D">
        <w:rPr>
          <w:sz w:val="24"/>
          <w:szCs w:val="24"/>
        </w:rPr>
        <w:t xml:space="preserve">de estructuras constitucionales </w:t>
      </w:r>
      <w:r w:rsidRPr="002A431D">
        <w:rPr>
          <w:sz w:val="24"/>
          <w:szCs w:val="24"/>
        </w:rPr>
        <w:t xml:space="preserve">con crecimientos disímiles </w:t>
      </w:r>
      <w:r w:rsidR="00E3064E" w:rsidRPr="002A431D">
        <w:rPr>
          <w:sz w:val="24"/>
          <w:szCs w:val="24"/>
        </w:rPr>
        <w:t>ha llevado a la irrupción del Poder Judicial como último recurso de la añeja</w:t>
      </w:r>
      <w:r w:rsidR="00180D19" w:rsidRPr="002A431D">
        <w:rPr>
          <w:sz w:val="24"/>
          <w:szCs w:val="24"/>
        </w:rPr>
        <w:t xml:space="preserve"> ingeniería</w:t>
      </w:r>
      <w:r w:rsidR="00E3064E" w:rsidRPr="002A431D">
        <w:rPr>
          <w:sz w:val="24"/>
          <w:szCs w:val="24"/>
        </w:rPr>
        <w:t xml:space="preserve"> estatal</w:t>
      </w:r>
      <w:r w:rsidR="00A46C62" w:rsidRPr="002A431D">
        <w:rPr>
          <w:sz w:val="24"/>
          <w:szCs w:val="24"/>
        </w:rPr>
        <w:t xml:space="preserve"> –añeja al menos en su lógica de funcionamiento-</w:t>
      </w:r>
      <w:r w:rsidR="00E3064E" w:rsidRPr="002A431D">
        <w:rPr>
          <w:sz w:val="24"/>
          <w:szCs w:val="24"/>
        </w:rPr>
        <w:t xml:space="preserve"> para intentar cumplir con aquello a lo que se encuentra obligado </w:t>
      </w:r>
      <w:r w:rsidR="00A46C62" w:rsidRPr="002A431D">
        <w:rPr>
          <w:sz w:val="24"/>
          <w:szCs w:val="24"/>
        </w:rPr>
        <w:t xml:space="preserve">tanto </w:t>
      </w:r>
      <w:r w:rsidR="00E3064E" w:rsidRPr="002A431D">
        <w:rPr>
          <w:sz w:val="24"/>
          <w:szCs w:val="24"/>
        </w:rPr>
        <w:t>por sus propia</w:t>
      </w:r>
      <w:r w:rsidR="00A46C62" w:rsidRPr="002A431D">
        <w:rPr>
          <w:sz w:val="24"/>
          <w:szCs w:val="24"/>
        </w:rPr>
        <w:t>s normas</w:t>
      </w:r>
      <w:r w:rsidR="00861C17" w:rsidRPr="002A431D">
        <w:rPr>
          <w:sz w:val="24"/>
          <w:szCs w:val="24"/>
        </w:rPr>
        <w:t>,</w:t>
      </w:r>
      <w:r w:rsidR="00A46C62" w:rsidRPr="002A431D">
        <w:rPr>
          <w:sz w:val="24"/>
          <w:szCs w:val="24"/>
        </w:rPr>
        <w:t xml:space="preserve"> </w:t>
      </w:r>
      <w:r w:rsidR="00E3064E" w:rsidRPr="002A431D">
        <w:rPr>
          <w:sz w:val="24"/>
          <w:szCs w:val="24"/>
        </w:rPr>
        <w:t>como por aquellas de rango internacional a las que ha decidido adherir.</w:t>
      </w:r>
    </w:p>
    <w:p w14:paraId="0C818A55" w14:textId="2D78B7E8" w:rsidR="00EC00B8" w:rsidRPr="002A431D" w:rsidRDefault="00EC00B8" w:rsidP="002A431D">
      <w:pPr>
        <w:jc w:val="both"/>
        <w:rPr>
          <w:sz w:val="24"/>
          <w:szCs w:val="24"/>
        </w:rPr>
      </w:pPr>
      <w:r w:rsidRPr="002A431D">
        <w:rPr>
          <w:sz w:val="24"/>
          <w:szCs w:val="24"/>
        </w:rPr>
        <w:t>Coincidimos de este modo, aunque parcialmente, con Alfonso Santiago cuando señala que bajo la expresión neoconstitucionalismo, tan en boga actualmente, se engloban las corrientes que asignan en materia del poder, un rol central al Poder Judicial.</w:t>
      </w:r>
      <w:r w:rsidRPr="002A431D">
        <w:rPr>
          <w:sz w:val="24"/>
          <w:szCs w:val="24"/>
          <w:vertAlign w:val="superscript"/>
        </w:rPr>
        <w:footnoteReference w:id="3"/>
      </w:r>
    </w:p>
    <w:p w14:paraId="3444C7EC" w14:textId="2A51498F" w:rsidR="00E3064E" w:rsidRPr="002A431D" w:rsidRDefault="00180D19" w:rsidP="002A431D">
      <w:pPr>
        <w:jc w:val="both"/>
        <w:rPr>
          <w:sz w:val="24"/>
          <w:szCs w:val="24"/>
        </w:rPr>
      </w:pPr>
      <w:r w:rsidRPr="002A431D">
        <w:rPr>
          <w:sz w:val="24"/>
          <w:szCs w:val="24"/>
        </w:rPr>
        <w:t xml:space="preserve">Lo sintéticamente expuesto, nos </w:t>
      </w:r>
      <w:r w:rsidR="00E3064E" w:rsidRPr="002A431D">
        <w:rPr>
          <w:sz w:val="24"/>
          <w:szCs w:val="24"/>
        </w:rPr>
        <w:t xml:space="preserve">permite conocer cuál es el estado de situación en el que </w:t>
      </w:r>
      <w:r w:rsidR="00861C17" w:rsidRPr="002A431D">
        <w:rPr>
          <w:sz w:val="24"/>
          <w:szCs w:val="24"/>
        </w:rPr>
        <w:t>los jueces deben resolver, no ya reconociendo, si no ampliando derechos</w:t>
      </w:r>
      <w:r w:rsidR="00E3064E" w:rsidRPr="002A431D">
        <w:rPr>
          <w:sz w:val="24"/>
          <w:szCs w:val="24"/>
        </w:rPr>
        <w:t>.</w:t>
      </w:r>
    </w:p>
    <w:p w14:paraId="4DB67CBA" w14:textId="71E3ED64" w:rsidR="00E3064E" w:rsidRPr="002A431D" w:rsidRDefault="00861C17" w:rsidP="002A431D">
      <w:pPr>
        <w:jc w:val="both"/>
        <w:rPr>
          <w:sz w:val="24"/>
          <w:szCs w:val="24"/>
        </w:rPr>
      </w:pPr>
      <w:r w:rsidRPr="002A431D">
        <w:rPr>
          <w:sz w:val="24"/>
          <w:szCs w:val="24"/>
        </w:rPr>
        <w:t>En est</w:t>
      </w:r>
      <w:r w:rsidR="001056B8" w:rsidRPr="002A431D">
        <w:rPr>
          <w:sz w:val="24"/>
          <w:szCs w:val="24"/>
        </w:rPr>
        <w:t>e breve aporte</w:t>
      </w:r>
      <w:r w:rsidRPr="002A431D">
        <w:rPr>
          <w:sz w:val="24"/>
          <w:szCs w:val="24"/>
        </w:rPr>
        <w:t xml:space="preserve"> </w:t>
      </w:r>
      <w:r w:rsidR="00724A57" w:rsidRPr="002A431D">
        <w:rPr>
          <w:sz w:val="24"/>
          <w:szCs w:val="24"/>
        </w:rPr>
        <w:t>mi pretensión radica</w:t>
      </w:r>
      <w:r w:rsidR="00E3064E" w:rsidRPr="002A431D">
        <w:rPr>
          <w:sz w:val="24"/>
          <w:szCs w:val="24"/>
        </w:rPr>
        <w:t>, más que</w:t>
      </w:r>
      <w:r w:rsidR="00F36139" w:rsidRPr="002A431D">
        <w:rPr>
          <w:sz w:val="24"/>
          <w:szCs w:val="24"/>
        </w:rPr>
        <w:t xml:space="preserve"> en</w:t>
      </w:r>
      <w:r w:rsidR="00E3064E" w:rsidRPr="002A431D">
        <w:rPr>
          <w:sz w:val="24"/>
          <w:szCs w:val="24"/>
        </w:rPr>
        <w:t xml:space="preserve"> adentrarme en</w:t>
      </w:r>
      <w:r w:rsidRPr="002A431D">
        <w:rPr>
          <w:sz w:val="24"/>
          <w:szCs w:val="24"/>
        </w:rPr>
        <w:t xml:space="preserve"> la casuística </w:t>
      </w:r>
      <w:r w:rsidR="00F36139" w:rsidRPr="002A431D">
        <w:rPr>
          <w:sz w:val="24"/>
          <w:szCs w:val="24"/>
        </w:rPr>
        <w:t>existente en</w:t>
      </w:r>
      <w:r w:rsidRPr="002A431D">
        <w:rPr>
          <w:sz w:val="24"/>
          <w:szCs w:val="24"/>
        </w:rPr>
        <w:t xml:space="preserve"> materia de ampliación de derechos por vía pretoriana,</w:t>
      </w:r>
      <w:r w:rsidR="00E3064E" w:rsidRPr="002A431D">
        <w:rPr>
          <w:sz w:val="24"/>
          <w:szCs w:val="24"/>
        </w:rPr>
        <w:t xml:space="preserve"> en </w:t>
      </w:r>
      <w:r w:rsidR="00F36139" w:rsidRPr="002A431D">
        <w:rPr>
          <w:sz w:val="24"/>
          <w:szCs w:val="24"/>
        </w:rPr>
        <w:t>volver sobre un aspecto</w:t>
      </w:r>
      <w:r w:rsidR="00E3064E" w:rsidRPr="002A431D">
        <w:rPr>
          <w:sz w:val="24"/>
          <w:szCs w:val="24"/>
        </w:rPr>
        <w:t xml:space="preserve"> que </w:t>
      </w:r>
      <w:r w:rsidR="00724A57" w:rsidRPr="002A431D">
        <w:rPr>
          <w:sz w:val="24"/>
          <w:szCs w:val="24"/>
        </w:rPr>
        <w:t xml:space="preserve"> </w:t>
      </w:r>
      <w:r w:rsidR="00E3064E" w:rsidRPr="002A431D">
        <w:rPr>
          <w:sz w:val="24"/>
          <w:szCs w:val="24"/>
        </w:rPr>
        <w:t>soste</w:t>
      </w:r>
      <w:r w:rsidR="00724A57" w:rsidRPr="002A431D">
        <w:rPr>
          <w:sz w:val="24"/>
          <w:szCs w:val="24"/>
        </w:rPr>
        <w:t>ngo</w:t>
      </w:r>
      <w:r w:rsidR="00E3064E" w:rsidRPr="002A431D">
        <w:rPr>
          <w:sz w:val="24"/>
          <w:szCs w:val="24"/>
        </w:rPr>
        <w:t xml:space="preserve"> desde hace</w:t>
      </w:r>
      <w:r w:rsidR="00F130B7" w:rsidRPr="002A431D">
        <w:rPr>
          <w:sz w:val="24"/>
          <w:szCs w:val="24"/>
        </w:rPr>
        <w:t xml:space="preserve"> algún</w:t>
      </w:r>
      <w:r w:rsidR="00E3064E" w:rsidRPr="002A431D">
        <w:rPr>
          <w:sz w:val="24"/>
          <w:szCs w:val="24"/>
        </w:rPr>
        <w:t xml:space="preserve"> tiempo</w:t>
      </w:r>
      <w:r w:rsidR="002E6832" w:rsidRPr="002A431D">
        <w:rPr>
          <w:rStyle w:val="Refdenotaalpie"/>
          <w:sz w:val="24"/>
          <w:szCs w:val="24"/>
        </w:rPr>
        <w:footnoteReference w:id="4"/>
      </w:r>
      <w:r w:rsidR="00F36139" w:rsidRPr="002A431D">
        <w:rPr>
          <w:sz w:val="24"/>
          <w:szCs w:val="24"/>
        </w:rPr>
        <w:t>,</w:t>
      </w:r>
      <w:r w:rsidR="00E3064E" w:rsidRPr="002A431D">
        <w:rPr>
          <w:sz w:val="24"/>
          <w:szCs w:val="24"/>
        </w:rPr>
        <w:t xml:space="preserve"> que</w:t>
      </w:r>
      <w:r w:rsidR="00F36139" w:rsidRPr="002A431D">
        <w:rPr>
          <w:sz w:val="24"/>
          <w:szCs w:val="24"/>
        </w:rPr>
        <w:t xml:space="preserve"> es que</w:t>
      </w:r>
      <w:r w:rsidR="00E3064E" w:rsidRPr="002A431D">
        <w:rPr>
          <w:sz w:val="24"/>
          <w:szCs w:val="24"/>
        </w:rPr>
        <w:t xml:space="preserve"> detrás de todo esquema o modelo judicial subyace una idea o concepción sobre cuál debe ser el rol de los jueces</w:t>
      </w:r>
      <w:r w:rsidRPr="002A431D">
        <w:rPr>
          <w:sz w:val="24"/>
          <w:szCs w:val="24"/>
        </w:rPr>
        <w:t xml:space="preserve"> y dependiendo de esta </w:t>
      </w:r>
      <w:r w:rsidRPr="002A431D">
        <w:rPr>
          <w:sz w:val="24"/>
          <w:szCs w:val="24"/>
        </w:rPr>
        <w:lastRenderedPageBreak/>
        <w:t>idea o visión, serán las libertades con las que cuent</w:t>
      </w:r>
      <w:r w:rsidR="00E462CC" w:rsidRPr="002A431D">
        <w:rPr>
          <w:sz w:val="24"/>
          <w:szCs w:val="24"/>
        </w:rPr>
        <w:t>e</w:t>
      </w:r>
      <w:r w:rsidRPr="002A431D">
        <w:rPr>
          <w:sz w:val="24"/>
          <w:szCs w:val="24"/>
        </w:rPr>
        <w:t xml:space="preserve"> para</w:t>
      </w:r>
      <w:r w:rsidR="00F36139" w:rsidRPr="002A431D">
        <w:rPr>
          <w:sz w:val="24"/>
          <w:szCs w:val="24"/>
        </w:rPr>
        <w:t>, entre otros aspectos,</w:t>
      </w:r>
      <w:r w:rsidRPr="002A431D">
        <w:rPr>
          <w:sz w:val="24"/>
          <w:szCs w:val="24"/>
        </w:rPr>
        <w:t xml:space="preserve"> ampliar en sus sentencias el contenido de los derechos</w:t>
      </w:r>
      <w:r w:rsidR="00E3064E" w:rsidRPr="002A431D">
        <w:rPr>
          <w:sz w:val="24"/>
          <w:szCs w:val="24"/>
        </w:rPr>
        <w:t>.</w:t>
      </w:r>
    </w:p>
    <w:p w14:paraId="74BC4B00" w14:textId="77777777" w:rsidR="00F130B7" w:rsidRPr="002A431D" w:rsidRDefault="00F130B7" w:rsidP="002A431D">
      <w:pPr>
        <w:jc w:val="both"/>
        <w:rPr>
          <w:sz w:val="24"/>
          <w:szCs w:val="24"/>
        </w:rPr>
      </w:pPr>
      <w:r w:rsidRPr="002A431D">
        <w:rPr>
          <w:sz w:val="24"/>
          <w:szCs w:val="24"/>
        </w:rPr>
        <w:t>Ello en el convencimiento de que, como enseña Cesar Enrique Romero “Toda Constitución…comporta una transacción, y expresa –implícita o expresamente- un sistema de creencias políticas.”</w:t>
      </w:r>
      <w:r w:rsidRPr="002A431D">
        <w:rPr>
          <w:sz w:val="24"/>
          <w:szCs w:val="24"/>
          <w:vertAlign w:val="superscript"/>
        </w:rPr>
        <w:footnoteReference w:id="5"/>
      </w:r>
      <w:r w:rsidRPr="002A431D">
        <w:rPr>
          <w:sz w:val="24"/>
          <w:szCs w:val="24"/>
        </w:rPr>
        <w:t xml:space="preserve"> Estas creencias “…ayudan a entender el contexto constitucional que es su expresión en reglas de conducta, para el poder y los súbditos y ciudadanos. Elucidar ese sistema de creencias y la ideología que subyace, constituye ingrediente insoslayable para una correcta y adecuada interpretación de las normas fundamentales.”</w:t>
      </w:r>
      <w:r w:rsidRPr="002A431D">
        <w:rPr>
          <w:sz w:val="24"/>
          <w:szCs w:val="24"/>
          <w:vertAlign w:val="superscript"/>
        </w:rPr>
        <w:footnoteReference w:id="6"/>
      </w:r>
    </w:p>
    <w:p w14:paraId="72A930BA" w14:textId="4D4226A1" w:rsidR="005558AA" w:rsidRPr="002A431D" w:rsidRDefault="009A2134" w:rsidP="002A431D">
      <w:pPr>
        <w:jc w:val="both"/>
        <w:rPr>
          <w:sz w:val="24"/>
          <w:szCs w:val="24"/>
          <w:u w:val="single"/>
        </w:rPr>
      </w:pPr>
      <w:r w:rsidRPr="002A431D">
        <w:rPr>
          <w:sz w:val="24"/>
          <w:szCs w:val="24"/>
          <w:u w:val="single"/>
        </w:rPr>
        <w:t>II</w:t>
      </w:r>
      <w:r w:rsidR="00EC00B8" w:rsidRPr="002A431D">
        <w:rPr>
          <w:sz w:val="24"/>
          <w:szCs w:val="24"/>
          <w:u w:val="single"/>
        </w:rPr>
        <w:t>.  Dos visiones -casi- antagónicas</w:t>
      </w:r>
    </w:p>
    <w:p w14:paraId="5FBF4ECC" w14:textId="574BA4A2" w:rsidR="00E3064E" w:rsidRPr="002A431D" w:rsidRDefault="00861C17" w:rsidP="002A431D">
      <w:pPr>
        <w:tabs>
          <w:tab w:val="left" w:pos="1985"/>
        </w:tabs>
        <w:jc w:val="both"/>
        <w:rPr>
          <w:sz w:val="24"/>
          <w:szCs w:val="24"/>
        </w:rPr>
      </w:pPr>
      <w:r w:rsidRPr="002A431D">
        <w:rPr>
          <w:sz w:val="24"/>
          <w:szCs w:val="24"/>
        </w:rPr>
        <w:t>Realizadas</w:t>
      </w:r>
      <w:r w:rsidR="00E3064E" w:rsidRPr="002A431D">
        <w:rPr>
          <w:sz w:val="24"/>
          <w:szCs w:val="24"/>
        </w:rPr>
        <w:t xml:space="preserve"> estas aclaraciones, podemos en</w:t>
      </w:r>
      <w:r w:rsidR="00440F9E" w:rsidRPr="002A431D">
        <w:rPr>
          <w:sz w:val="24"/>
          <w:szCs w:val="24"/>
        </w:rPr>
        <w:t xml:space="preserve">trar al análisis de </w:t>
      </w:r>
      <w:r w:rsidRPr="002A431D">
        <w:rPr>
          <w:sz w:val="24"/>
          <w:szCs w:val="24"/>
        </w:rPr>
        <w:t>las</w:t>
      </w:r>
      <w:r w:rsidR="00184936" w:rsidRPr="002A431D">
        <w:rPr>
          <w:sz w:val="24"/>
          <w:szCs w:val="24"/>
        </w:rPr>
        <w:t xml:space="preserve"> concepciones en torno al Poder Judicial</w:t>
      </w:r>
      <w:r w:rsidR="00E3064E" w:rsidRPr="002A431D">
        <w:rPr>
          <w:sz w:val="24"/>
          <w:szCs w:val="24"/>
        </w:rPr>
        <w:t xml:space="preserve"> que son</w:t>
      </w:r>
      <w:r w:rsidRPr="002A431D">
        <w:rPr>
          <w:sz w:val="24"/>
          <w:szCs w:val="24"/>
        </w:rPr>
        <w:t>, en los extremos,</w:t>
      </w:r>
      <w:r w:rsidR="00E3064E" w:rsidRPr="002A431D">
        <w:rPr>
          <w:sz w:val="24"/>
          <w:szCs w:val="24"/>
        </w:rPr>
        <w:t xml:space="preserve"> básicamente dos</w:t>
      </w:r>
      <w:r w:rsidR="00EC00B8" w:rsidRPr="002A431D">
        <w:rPr>
          <w:sz w:val="24"/>
          <w:szCs w:val="24"/>
        </w:rPr>
        <w:t>, para luego intentar analizar c</w:t>
      </w:r>
      <w:r w:rsidR="00E462CC" w:rsidRPr="002A431D">
        <w:rPr>
          <w:sz w:val="24"/>
          <w:szCs w:val="24"/>
        </w:rPr>
        <w:t>ó</w:t>
      </w:r>
      <w:r w:rsidR="00EC00B8" w:rsidRPr="002A431D">
        <w:rPr>
          <w:sz w:val="24"/>
          <w:szCs w:val="24"/>
        </w:rPr>
        <w:t>mo r</w:t>
      </w:r>
      <w:r w:rsidR="00E3064E" w:rsidRPr="002A431D">
        <w:rPr>
          <w:sz w:val="24"/>
          <w:szCs w:val="24"/>
        </w:rPr>
        <w:t xml:space="preserve">epercuten en </w:t>
      </w:r>
      <w:r w:rsidR="00EC00B8" w:rsidRPr="002A431D">
        <w:rPr>
          <w:sz w:val="24"/>
          <w:szCs w:val="24"/>
        </w:rPr>
        <w:t>e</w:t>
      </w:r>
      <w:r w:rsidR="00E3064E" w:rsidRPr="002A431D">
        <w:rPr>
          <w:sz w:val="24"/>
          <w:szCs w:val="24"/>
        </w:rPr>
        <w:t>l</w:t>
      </w:r>
      <w:r w:rsidR="00EC00B8" w:rsidRPr="002A431D">
        <w:rPr>
          <w:sz w:val="24"/>
          <w:szCs w:val="24"/>
        </w:rPr>
        <w:t xml:space="preserve"> funcionamiento </w:t>
      </w:r>
      <w:r w:rsidRPr="002A431D">
        <w:rPr>
          <w:sz w:val="24"/>
          <w:szCs w:val="24"/>
        </w:rPr>
        <w:t>judicial</w:t>
      </w:r>
      <w:r w:rsidR="00E3064E" w:rsidRPr="002A431D">
        <w:rPr>
          <w:sz w:val="24"/>
          <w:szCs w:val="24"/>
        </w:rPr>
        <w:t>.</w:t>
      </w:r>
    </w:p>
    <w:p w14:paraId="493ED26F" w14:textId="0C6C91B6" w:rsidR="007F4F93" w:rsidRPr="002A431D" w:rsidRDefault="00E3064E" w:rsidP="002A431D">
      <w:pPr>
        <w:jc w:val="both"/>
        <w:rPr>
          <w:sz w:val="24"/>
          <w:szCs w:val="24"/>
        </w:rPr>
      </w:pPr>
      <w:r w:rsidRPr="002A431D">
        <w:rPr>
          <w:sz w:val="24"/>
          <w:szCs w:val="24"/>
        </w:rPr>
        <w:t>Tomando como base una cita de Carl Schmitt referida a las ideas políticas</w:t>
      </w:r>
      <w:r w:rsidR="003F118D" w:rsidRPr="002A431D">
        <w:rPr>
          <w:sz w:val="24"/>
          <w:szCs w:val="24"/>
        </w:rPr>
        <w:t>,</w:t>
      </w:r>
      <w:r w:rsidR="003F118D" w:rsidRPr="002A431D">
        <w:rPr>
          <w:sz w:val="24"/>
          <w:szCs w:val="24"/>
          <w:vertAlign w:val="superscript"/>
        </w:rPr>
        <w:footnoteReference w:id="7"/>
      </w:r>
      <w:r w:rsidRPr="002A431D">
        <w:rPr>
          <w:sz w:val="24"/>
          <w:szCs w:val="24"/>
        </w:rPr>
        <w:t xml:space="preserve"> se pueden clasificar los sistemas políticos según </w:t>
      </w:r>
      <w:r w:rsidR="00DB2222" w:rsidRPr="002A431D">
        <w:rPr>
          <w:sz w:val="24"/>
          <w:szCs w:val="24"/>
        </w:rPr>
        <w:t>partan de considerar al hombre como bueno o malo por naturaleza: p</w:t>
      </w:r>
      <w:r w:rsidR="007F4F93" w:rsidRPr="002A431D">
        <w:rPr>
          <w:sz w:val="24"/>
          <w:szCs w:val="24"/>
        </w:rPr>
        <w:t>artiendo de una visión optimista del hombre, nos encontramos con sistemas marcados por un amplísimo ámbito de libertad y de escasa regulación o intervención del estado. Por el contrario, en caso de pregonar una visión pesimista en torno al ser humano y su condición, debemos articular un sistema de mayor injerencia del estado en desmedro de las libertades personales.</w:t>
      </w:r>
    </w:p>
    <w:p w14:paraId="0A1BBC80" w14:textId="671DE41B" w:rsidR="00DB2222" w:rsidRPr="002A431D" w:rsidRDefault="007F4F93" w:rsidP="002A431D">
      <w:pPr>
        <w:jc w:val="both"/>
        <w:rPr>
          <w:sz w:val="24"/>
          <w:szCs w:val="24"/>
        </w:rPr>
      </w:pPr>
      <w:r w:rsidRPr="002A431D">
        <w:rPr>
          <w:sz w:val="24"/>
          <w:szCs w:val="24"/>
        </w:rPr>
        <w:t>E</w:t>
      </w:r>
      <w:r w:rsidR="00DB2222" w:rsidRPr="002A431D">
        <w:rPr>
          <w:sz w:val="24"/>
          <w:szCs w:val="24"/>
        </w:rPr>
        <w:t xml:space="preserve">ste esquema, </w:t>
      </w:r>
      <w:r w:rsidR="00EF3B55" w:rsidRPr="002A431D">
        <w:rPr>
          <w:sz w:val="24"/>
          <w:szCs w:val="24"/>
        </w:rPr>
        <w:t xml:space="preserve">proponemos </w:t>
      </w:r>
      <w:r w:rsidR="00DB2222" w:rsidRPr="002A431D">
        <w:rPr>
          <w:sz w:val="24"/>
          <w:szCs w:val="24"/>
        </w:rPr>
        <w:t>trasladar</w:t>
      </w:r>
      <w:r w:rsidR="00EF3B55" w:rsidRPr="002A431D">
        <w:rPr>
          <w:sz w:val="24"/>
          <w:szCs w:val="24"/>
        </w:rPr>
        <w:t>lo</w:t>
      </w:r>
      <w:r w:rsidR="00DB2222" w:rsidRPr="002A431D">
        <w:rPr>
          <w:sz w:val="24"/>
          <w:szCs w:val="24"/>
        </w:rPr>
        <w:t xml:space="preserve"> al ámbito judicial</w:t>
      </w:r>
      <w:r w:rsidR="00EF3B55" w:rsidRPr="002A431D">
        <w:rPr>
          <w:sz w:val="24"/>
          <w:szCs w:val="24"/>
        </w:rPr>
        <w:t xml:space="preserve"> </w:t>
      </w:r>
      <w:r w:rsidR="001C4233" w:rsidRPr="002A431D">
        <w:rPr>
          <w:sz w:val="24"/>
          <w:szCs w:val="24"/>
        </w:rPr>
        <w:t>a fin</w:t>
      </w:r>
      <w:r w:rsidR="00EF3B55" w:rsidRPr="002A431D">
        <w:rPr>
          <w:sz w:val="24"/>
          <w:szCs w:val="24"/>
        </w:rPr>
        <w:t xml:space="preserve"> de delinear</w:t>
      </w:r>
      <w:r w:rsidR="00DB2222" w:rsidRPr="002A431D">
        <w:rPr>
          <w:sz w:val="24"/>
          <w:szCs w:val="24"/>
        </w:rPr>
        <w:t xml:space="preserve"> distintos modelos según pregonemos una mayor o menor confianza en torno a </w:t>
      </w:r>
      <w:r w:rsidR="00EF3B55" w:rsidRPr="002A431D">
        <w:rPr>
          <w:sz w:val="24"/>
          <w:szCs w:val="24"/>
        </w:rPr>
        <w:t>l</w:t>
      </w:r>
      <w:r w:rsidR="00DD733C" w:rsidRPr="002A431D">
        <w:rPr>
          <w:sz w:val="24"/>
          <w:szCs w:val="24"/>
        </w:rPr>
        <w:t>a magistratura</w:t>
      </w:r>
      <w:r w:rsidR="001C4233" w:rsidRPr="002A431D">
        <w:rPr>
          <w:rStyle w:val="Refdenotaalpie"/>
          <w:sz w:val="24"/>
          <w:szCs w:val="24"/>
        </w:rPr>
        <w:footnoteReference w:id="8"/>
      </w:r>
      <w:r w:rsidR="00DB2222" w:rsidRPr="002A431D">
        <w:rPr>
          <w:sz w:val="24"/>
          <w:szCs w:val="24"/>
        </w:rPr>
        <w:t>.</w:t>
      </w:r>
    </w:p>
    <w:p w14:paraId="651B3B9C" w14:textId="54ECD0CD" w:rsidR="007F4F93" w:rsidRPr="002A431D" w:rsidRDefault="007F4F93" w:rsidP="002A431D">
      <w:pPr>
        <w:jc w:val="both"/>
        <w:rPr>
          <w:sz w:val="24"/>
          <w:szCs w:val="24"/>
        </w:rPr>
      </w:pPr>
      <w:r w:rsidRPr="002A431D">
        <w:rPr>
          <w:sz w:val="24"/>
          <w:szCs w:val="24"/>
        </w:rPr>
        <w:t xml:space="preserve">La actitud de desconfianza en la labor de los jueces, que </w:t>
      </w:r>
      <w:r w:rsidR="00440F9E" w:rsidRPr="002A431D">
        <w:rPr>
          <w:sz w:val="24"/>
          <w:szCs w:val="24"/>
        </w:rPr>
        <w:t>denominamos</w:t>
      </w:r>
      <w:r w:rsidRPr="002A431D">
        <w:rPr>
          <w:sz w:val="24"/>
          <w:szCs w:val="24"/>
        </w:rPr>
        <w:t xml:space="preserve"> pesimismo judicial, se traduce en limitaciones a las funciones de los magistrados, en especial en lo atinente al </w:t>
      </w:r>
      <w:r w:rsidRPr="002A431D">
        <w:rPr>
          <w:sz w:val="24"/>
          <w:szCs w:val="24"/>
        </w:rPr>
        <w:lastRenderedPageBreak/>
        <w:t>control de constitucionalidad y a la facultad de interpretación de las normas</w:t>
      </w:r>
      <w:r w:rsidR="00BC4367" w:rsidRPr="002A431D">
        <w:rPr>
          <w:sz w:val="24"/>
          <w:szCs w:val="24"/>
        </w:rPr>
        <w:t>, lo que repercute de manera directa al tener que resolver sobre los alcances de un derecho en un caso puntual</w:t>
      </w:r>
      <w:r w:rsidRPr="002A431D">
        <w:rPr>
          <w:sz w:val="24"/>
          <w:szCs w:val="24"/>
        </w:rPr>
        <w:t xml:space="preserve">. </w:t>
      </w:r>
    </w:p>
    <w:p w14:paraId="09DD42E9" w14:textId="35BB1F28" w:rsidR="00EF3B55" w:rsidRPr="002A431D" w:rsidRDefault="00EF3B55" w:rsidP="002A431D">
      <w:pPr>
        <w:jc w:val="both"/>
        <w:rPr>
          <w:sz w:val="24"/>
          <w:szCs w:val="24"/>
        </w:rPr>
      </w:pPr>
      <w:r w:rsidRPr="002A431D">
        <w:rPr>
          <w:sz w:val="24"/>
          <w:szCs w:val="24"/>
        </w:rPr>
        <w:t>La postura contraria, parte de una visión optimista sobre la función judicial, pregonando la confianza en el rol de los jueces, con el consecuente aumento en la atribución de funciones y libertades para el desempeño de esa tarea.</w:t>
      </w:r>
    </w:p>
    <w:p w14:paraId="66A704AA" w14:textId="1A090190" w:rsidR="00810BA8" w:rsidRPr="002A431D" w:rsidRDefault="00810BA8" w:rsidP="002A431D">
      <w:pPr>
        <w:jc w:val="both"/>
        <w:rPr>
          <w:sz w:val="24"/>
          <w:szCs w:val="24"/>
        </w:rPr>
      </w:pPr>
      <w:r w:rsidRPr="002A431D">
        <w:rPr>
          <w:sz w:val="24"/>
          <w:szCs w:val="24"/>
        </w:rPr>
        <w:t>Es el juez Holmes quien mejor resume esta postura cuando define al Derecho como “Las profecías de lo que harán efectivamente los jueces y los Tribunales</w:t>
      </w:r>
      <w:r w:rsidR="00F618A3" w:rsidRPr="002A431D">
        <w:rPr>
          <w:sz w:val="24"/>
          <w:szCs w:val="24"/>
        </w:rPr>
        <w:t>.</w:t>
      </w:r>
      <w:r w:rsidRPr="002A431D">
        <w:rPr>
          <w:sz w:val="24"/>
          <w:szCs w:val="24"/>
        </w:rPr>
        <w:t>”</w:t>
      </w:r>
      <w:r w:rsidRPr="002A431D">
        <w:rPr>
          <w:rStyle w:val="Refdenotaalpie"/>
          <w:sz w:val="24"/>
          <w:szCs w:val="24"/>
        </w:rPr>
        <w:footnoteReference w:id="9"/>
      </w:r>
      <w:r w:rsidRPr="002A431D">
        <w:rPr>
          <w:sz w:val="24"/>
          <w:szCs w:val="24"/>
        </w:rPr>
        <w:t xml:space="preserve"> </w:t>
      </w:r>
    </w:p>
    <w:p w14:paraId="4AE0F2C9" w14:textId="20306E5E" w:rsidR="00EF3B55" w:rsidRPr="002A431D" w:rsidRDefault="00EF3B55" w:rsidP="002A431D">
      <w:pPr>
        <w:jc w:val="both"/>
        <w:rPr>
          <w:sz w:val="24"/>
          <w:szCs w:val="24"/>
        </w:rPr>
      </w:pPr>
      <w:r w:rsidRPr="002A431D">
        <w:rPr>
          <w:sz w:val="24"/>
          <w:szCs w:val="24"/>
        </w:rPr>
        <w:t xml:space="preserve">Entre ambos modelos teóricos, existen múltiples combinaciones </w:t>
      </w:r>
      <w:r w:rsidR="00E462CC" w:rsidRPr="002A431D">
        <w:rPr>
          <w:sz w:val="24"/>
          <w:szCs w:val="24"/>
        </w:rPr>
        <w:t>con</w:t>
      </w:r>
      <w:r w:rsidRPr="002A431D">
        <w:rPr>
          <w:sz w:val="24"/>
          <w:szCs w:val="24"/>
        </w:rPr>
        <w:t xml:space="preserve"> notas propias de uno u </w:t>
      </w:r>
      <w:proofErr w:type="gramStart"/>
      <w:r w:rsidRPr="002A431D">
        <w:rPr>
          <w:sz w:val="24"/>
          <w:szCs w:val="24"/>
        </w:rPr>
        <w:t>otro</w:t>
      </w:r>
      <w:proofErr w:type="gramEnd"/>
      <w:r w:rsidR="00BA1150" w:rsidRPr="002A431D">
        <w:rPr>
          <w:sz w:val="24"/>
          <w:szCs w:val="24"/>
        </w:rPr>
        <w:t xml:space="preserve"> </w:t>
      </w:r>
      <w:r w:rsidR="00F36139" w:rsidRPr="002A431D">
        <w:rPr>
          <w:sz w:val="24"/>
          <w:szCs w:val="24"/>
        </w:rPr>
        <w:t>aunque</w:t>
      </w:r>
      <w:r w:rsidR="00BA1150" w:rsidRPr="002A431D">
        <w:rPr>
          <w:sz w:val="24"/>
          <w:szCs w:val="24"/>
        </w:rPr>
        <w:t xml:space="preserve"> en general, ambas coinciden en la función clásica de los jueces, de allí que no podamos definirlas como estrictamente antagónicas.</w:t>
      </w:r>
    </w:p>
    <w:p w14:paraId="0EC9808E" w14:textId="5A331A14" w:rsidR="00110F36" w:rsidRPr="002A431D" w:rsidRDefault="00110F36" w:rsidP="002A431D">
      <w:pPr>
        <w:jc w:val="both"/>
        <w:rPr>
          <w:sz w:val="24"/>
          <w:szCs w:val="24"/>
        </w:rPr>
      </w:pPr>
      <w:r w:rsidRPr="002A431D">
        <w:rPr>
          <w:sz w:val="24"/>
          <w:szCs w:val="24"/>
        </w:rPr>
        <w:t xml:space="preserve">Especialmente clara aparece la tensión entre los dos sistemas judiciales que intentamos esbozar, en el relato que efectúa Sir Edward </w:t>
      </w:r>
      <w:proofErr w:type="spellStart"/>
      <w:r w:rsidRPr="002A431D">
        <w:rPr>
          <w:sz w:val="24"/>
          <w:szCs w:val="24"/>
        </w:rPr>
        <w:t>Coke</w:t>
      </w:r>
      <w:proofErr w:type="spellEnd"/>
      <w:r w:rsidRPr="002A431D">
        <w:rPr>
          <w:sz w:val="24"/>
          <w:szCs w:val="24"/>
        </w:rPr>
        <w:t xml:space="preserve"> de uno de los casos en que debió intervenir, en 1607, denominado “Prohibiciones del Rey”. Relata </w:t>
      </w:r>
      <w:proofErr w:type="spellStart"/>
      <w:r w:rsidRPr="002A431D">
        <w:rPr>
          <w:sz w:val="24"/>
          <w:szCs w:val="24"/>
        </w:rPr>
        <w:t>Coke</w:t>
      </w:r>
      <w:proofErr w:type="spellEnd"/>
      <w:r w:rsidRPr="002A431D">
        <w:rPr>
          <w:sz w:val="24"/>
          <w:szCs w:val="24"/>
        </w:rPr>
        <w:t xml:space="preserve">: </w:t>
      </w:r>
    </w:p>
    <w:p w14:paraId="6A00C16E" w14:textId="7B498063" w:rsidR="00110F36" w:rsidRPr="002A431D" w:rsidRDefault="00110F36" w:rsidP="002A431D">
      <w:pPr>
        <w:ind w:left="709"/>
        <w:jc w:val="both"/>
        <w:rPr>
          <w:sz w:val="24"/>
          <w:szCs w:val="24"/>
        </w:rPr>
      </w:pPr>
      <w:r w:rsidRPr="002A431D">
        <w:rPr>
          <w:sz w:val="24"/>
          <w:szCs w:val="24"/>
        </w:rPr>
        <w:t xml:space="preserve">…El Rey en su propia persona no puede decidir ningún caso, sea criminal, como traición, delito grave, </w:t>
      </w:r>
      <w:proofErr w:type="spellStart"/>
      <w:r w:rsidRPr="002A431D">
        <w:rPr>
          <w:sz w:val="24"/>
          <w:szCs w:val="24"/>
        </w:rPr>
        <w:t>etc</w:t>
      </w:r>
      <w:proofErr w:type="spellEnd"/>
      <w:r w:rsidRPr="002A431D">
        <w:rPr>
          <w:sz w:val="24"/>
          <w:szCs w:val="24"/>
        </w:rPr>
        <w:t>…sino que ello debe ser determinado y decidido en algún Tribunal de Justicia de acuerdo con la Ley y las costumbres de Inglaterra… después el Rey dijo que él pensaba que la ley se fundaba en la razón, y que él y otros poseían la facultad de razonar, tanto como los jueces; a lo cual contesté yo que aquello era cierto, que Dios había dotado a Su Majestad  de excelente ciencia y grandes dotes naturales; pero su Majestad no era versado en las leyes del reino de Inglaterra, y que las causas que conciernen a la vida, herencia, bienes o fortunas de sus súbditos, no deben decidirse por la razón natural, sino por la razón artificial y el juicio del derecho, el cual es un arte que requiere de largo estudio y experiencia, antes que el hombre pueda alcanzar a conocerlo…</w:t>
      </w:r>
      <w:r w:rsidRPr="002A431D">
        <w:rPr>
          <w:sz w:val="24"/>
          <w:szCs w:val="24"/>
          <w:vertAlign w:val="superscript"/>
        </w:rPr>
        <w:footnoteReference w:id="10"/>
      </w:r>
    </w:p>
    <w:p w14:paraId="18BE6083" w14:textId="1CB0341F" w:rsidR="00755CF3" w:rsidRPr="002A431D" w:rsidRDefault="007E07ED" w:rsidP="002A431D">
      <w:pPr>
        <w:jc w:val="both"/>
        <w:rPr>
          <w:sz w:val="24"/>
          <w:szCs w:val="24"/>
        </w:rPr>
      </w:pPr>
      <w:r w:rsidRPr="002A431D">
        <w:rPr>
          <w:sz w:val="24"/>
          <w:szCs w:val="24"/>
        </w:rPr>
        <w:t>Expuesta</w:t>
      </w:r>
      <w:r w:rsidR="003918AE" w:rsidRPr="002A431D">
        <w:rPr>
          <w:sz w:val="24"/>
          <w:szCs w:val="24"/>
        </w:rPr>
        <w:t xml:space="preserve"> brevemente</w:t>
      </w:r>
      <w:r w:rsidRPr="002A431D">
        <w:rPr>
          <w:sz w:val="24"/>
          <w:szCs w:val="24"/>
        </w:rPr>
        <w:t xml:space="preserve"> la problemática a analizar, nos queda ahora</w:t>
      </w:r>
      <w:r w:rsidR="00EF3B55" w:rsidRPr="002A431D">
        <w:rPr>
          <w:sz w:val="24"/>
          <w:szCs w:val="24"/>
        </w:rPr>
        <w:t xml:space="preserve"> delinear las principales características de ambas posturas, tanto en su formulación clásica, como en el debate actual.</w:t>
      </w:r>
    </w:p>
    <w:p w14:paraId="2A4DED12" w14:textId="77777777" w:rsidR="00EE3EF2" w:rsidRPr="002A431D" w:rsidRDefault="00C16B36" w:rsidP="002A431D">
      <w:pPr>
        <w:jc w:val="both"/>
        <w:rPr>
          <w:sz w:val="24"/>
          <w:szCs w:val="24"/>
        </w:rPr>
      </w:pPr>
      <w:r w:rsidRPr="002A431D">
        <w:rPr>
          <w:sz w:val="24"/>
          <w:szCs w:val="24"/>
        </w:rPr>
        <w:t>1</w:t>
      </w:r>
      <w:r w:rsidR="00EF3B55" w:rsidRPr="002A431D">
        <w:rPr>
          <w:sz w:val="24"/>
          <w:szCs w:val="24"/>
        </w:rPr>
        <w:t xml:space="preserve">. El pesimismo judicial en su </w:t>
      </w:r>
      <w:r w:rsidR="00810BA8" w:rsidRPr="002A431D">
        <w:rPr>
          <w:sz w:val="24"/>
          <w:szCs w:val="24"/>
        </w:rPr>
        <w:t>versión “clásica”</w:t>
      </w:r>
    </w:p>
    <w:p w14:paraId="796DCABD" w14:textId="41FD37AE" w:rsidR="00810BA8" w:rsidRPr="002A431D" w:rsidRDefault="00E462CC" w:rsidP="002A431D">
      <w:pPr>
        <w:jc w:val="both"/>
        <w:rPr>
          <w:sz w:val="24"/>
          <w:szCs w:val="24"/>
        </w:rPr>
      </w:pPr>
      <w:r w:rsidRPr="002A431D">
        <w:rPr>
          <w:sz w:val="24"/>
          <w:szCs w:val="24"/>
        </w:rPr>
        <w:lastRenderedPageBreak/>
        <w:t>Los orígenes de lo que denominamos “pesimismo judicial”</w:t>
      </w:r>
      <w:r w:rsidR="00C16B36" w:rsidRPr="002A431D">
        <w:rPr>
          <w:sz w:val="24"/>
          <w:szCs w:val="24"/>
        </w:rPr>
        <w:t>,</w:t>
      </w:r>
      <w:r w:rsidRPr="002A431D">
        <w:rPr>
          <w:sz w:val="24"/>
          <w:szCs w:val="24"/>
        </w:rPr>
        <w:t xml:space="preserve"> se emparentan con las primeras formulaciones de la doctrina de la separación de poderes en el derecho europeo del Siglo XVII</w:t>
      </w:r>
      <w:r w:rsidR="006673DE" w:rsidRPr="002A431D">
        <w:rPr>
          <w:sz w:val="24"/>
          <w:szCs w:val="24"/>
        </w:rPr>
        <w:t>.</w:t>
      </w:r>
      <w:r w:rsidRPr="002A431D">
        <w:rPr>
          <w:rStyle w:val="Refdenotaalpie"/>
          <w:sz w:val="24"/>
          <w:szCs w:val="24"/>
        </w:rPr>
        <w:footnoteReference w:id="11"/>
      </w:r>
    </w:p>
    <w:p w14:paraId="1E99BA1B" w14:textId="0EC259BF" w:rsidR="002541F9" w:rsidRPr="002A431D" w:rsidRDefault="002541F9" w:rsidP="002A431D">
      <w:pPr>
        <w:jc w:val="both"/>
        <w:rPr>
          <w:sz w:val="24"/>
          <w:szCs w:val="24"/>
        </w:rPr>
      </w:pPr>
      <w:r w:rsidRPr="002A431D">
        <w:rPr>
          <w:sz w:val="24"/>
          <w:szCs w:val="24"/>
        </w:rPr>
        <w:t xml:space="preserve">Esta doctrina en su concepción moderna, reconoce dos antecedentes doctrinarios fundamentales en los aportes de Locke y Montesquieu quienes introducen en el ideario político la concepción del poder estatal distribuido entre diversos órganos que a su vez ejercen distintas funciones. </w:t>
      </w:r>
    </w:p>
    <w:p w14:paraId="32FE17C3" w14:textId="56A3979F" w:rsidR="00333050" w:rsidRPr="002A431D" w:rsidRDefault="002541F9" w:rsidP="002A431D">
      <w:pPr>
        <w:jc w:val="both"/>
        <w:rPr>
          <w:sz w:val="24"/>
          <w:szCs w:val="24"/>
        </w:rPr>
      </w:pPr>
      <w:r w:rsidRPr="002A431D">
        <w:rPr>
          <w:sz w:val="24"/>
          <w:szCs w:val="24"/>
        </w:rPr>
        <w:t xml:space="preserve">En el caso de Locke, prácticamente no menciona al Poder Judicial en su principal </w:t>
      </w:r>
      <w:proofErr w:type="gramStart"/>
      <w:r w:rsidRPr="002A431D">
        <w:rPr>
          <w:sz w:val="24"/>
          <w:szCs w:val="24"/>
        </w:rPr>
        <w:t xml:space="preserve">obra,  </w:t>
      </w:r>
      <w:r w:rsidRPr="002A431D">
        <w:rPr>
          <w:i/>
          <w:iCs/>
          <w:sz w:val="24"/>
          <w:szCs w:val="24"/>
        </w:rPr>
        <w:t>Segundo</w:t>
      </w:r>
      <w:proofErr w:type="gramEnd"/>
      <w:r w:rsidRPr="002A431D">
        <w:rPr>
          <w:i/>
          <w:iCs/>
          <w:sz w:val="24"/>
          <w:szCs w:val="24"/>
        </w:rPr>
        <w:t xml:space="preserve"> Ensayo sobre el Gobierno Civil</w:t>
      </w:r>
      <w:r w:rsidRPr="002A431D">
        <w:rPr>
          <w:sz w:val="24"/>
          <w:szCs w:val="24"/>
        </w:rPr>
        <w:t xml:space="preserve"> que viera la luz en 1690 y que constituye una de las obras de teoría política que mayor influencia y proyecciones ha tenido en los siglos posteriores a su aparición.</w:t>
      </w:r>
    </w:p>
    <w:p w14:paraId="6A441408" w14:textId="600429E9" w:rsidR="001344EE" w:rsidRPr="002A431D" w:rsidRDefault="00AC1E71" w:rsidP="002A431D">
      <w:pPr>
        <w:jc w:val="both"/>
        <w:rPr>
          <w:sz w:val="24"/>
          <w:szCs w:val="24"/>
        </w:rPr>
      </w:pPr>
      <w:r w:rsidRPr="002A431D">
        <w:rPr>
          <w:sz w:val="24"/>
          <w:szCs w:val="24"/>
        </w:rPr>
        <w:t xml:space="preserve">Coincidimos con </w:t>
      </w:r>
      <w:proofErr w:type="spellStart"/>
      <w:r w:rsidRPr="002A431D">
        <w:rPr>
          <w:sz w:val="24"/>
          <w:szCs w:val="24"/>
        </w:rPr>
        <w:t>Vanossi</w:t>
      </w:r>
      <w:proofErr w:type="spellEnd"/>
      <w:r w:rsidRPr="002A431D">
        <w:rPr>
          <w:sz w:val="24"/>
          <w:szCs w:val="24"/>
        </w:rPr>
        <w:t xml:space="preserve"> en cuanto afirma que “En el pensamiento de Locke, no aparecía todavía el poder judicial como un poder independiente”</w:t>
      </w:r>
      <w:r w:rsidRPr="002A431D">
        <w:rPr>
          <w:rStyle w:val="Refdenotaalpie"/>
          <w:sz w:val="24"/>
          <w:szCs w:val="24"/>
        </w:rPr>
        <w:footnoteReference w:id="12"/>
      </w:r>
      <w:r w:rsidRPr="002A431D">
        <w:rPr>
          <w:sz w:val="24"/>
          <w:szCs w:val="24"/>
        </w:rPr>
        <w:t xml:space="preserve">. </w:t>
      </w:r>
      <w:r w:rsidR="002541F9" w:rsidRPr="002A431D">
        <w:rPr>
          <w:sz w:val="24"/>
          <w:szCs w:val="24"/>
        </w:rPr>
        <w:t>Se limita</w:t>
      </w:r>
      <w:r w:rsidR="009852C1" w:rsidRPr="002A431D">
        <w:rPr>
          <w:sz w:val="24"/>
          <w:szCs w:val="24"/>
        </w:rPr>
        <w:t xml:space="preserve"> Locke</w:t>
      </w:r>
      <w:r w:rsidR="002541F9" w:rsidRPr="002A431D">
        <w:rPr>
          <w:sz w:val="24"/>
          <w:szCs w:val="24"/>
        </w:rPr>
        <w:t xml:space="preserve"> a </w:t>
      </w:r>
      <w:r w:rsidR="00756914" w:rsidRPr="002A431D">
        <w:rPr>
          <w:sz w:val="24"/>
          <w:szCs w:val="24"/>
        </w:rPr>
        <w:t xml:space="preserve">mencionar </w:t>
      </w:r>
      <w:r w:rsidR="00393B33" w:rsidRPr="002A431D">
        <w:rPr>
          <w:sz w:val="24"/>
          <w:szCs w:val="24"/>
        </w:rPr>
        <w:t>al “juez conocido e imparcial, con autoridad para determinar todas las diferencias según la ley establecida”</w:t>
      </w:r>
      <w:r w:rsidR="00393B33" w:rsidRPr="002A431D">
        <w:rPr>
          <w:rStyle w:val="Refdenotaalpie"/>
          <w:sz w:val="24"/>
          <w:szCs w:val="24"/>
        </w:rPr>
        <w:footnoteReference w:id="13"/>
      </w:r>
      <w:r w:rsidR="00393B33" w:rsidRPr="002A431D">
        <w:rPr>
          <w:sz w:val="24"/>
          <w:szCs w:val="24"/>
        </w:rPr>
        <w:t xml:space="preserve"> como uno de los requisitos para preservar la propiedad</w:t>
      </w:r>
      <w:r w:rsidR="00660AF3" w:rsidRPr="002A431D">
        <w:rPr>
          <w:sz w:val="24"/>
          <w:szCs w:val="24"/>
        </w:rPr>
        <w:t xml:space="preserve"> que faltan en el estado de naturaleza</w:t>
      </w:r>
      <w:r w:rsidR="00393B33" w:rsidRPr="002A431D">
        <w:rPr>
          <w:sz w:val="24"/>
          <w:szCs w:val="24"/>
        </w:rPr>
        <w:t xml:space="preserve"> y que justific</w:t>
      </w:r>
      <w:r w:rsidR="00660AF3" w:rsidRPr="002A431D">
        <w:rPr>
          <w:sz w:val="24"/>
          <w:szCs w:val="24"/>
        </w:rPr>
        <w:t>a la unión en comunidades políticas. Igual referencia a “jueces autorizados y conocidos”</w:t>
      </w:r>
      <w:r w:rsidR="00660AF3" w:rsidRPr="002A431D">
        <w:rPr>
          <w:rStyle w:val="Refdenotaalpie"/>
          <w:sz w:val="24"/>
          <w:szCs w:val="24"/>
        </w:rPr>
        <w:footnoteReference w:id="14"/>
      </w:r>
      <w:r w:rsidR="00660AF3" w:rsidRPr="002A431D">
        <w:rPr>
          <w:sz w:val="24"/>
          <w:szCs w:val="24"/>
        </w:rPr>
        <w:t xml:space="preserve"> </w:t>
      </w:r>
      <w:r w:rsidR="001344EE" w:rsidRPr="002A431D">
        <w:rPr>
          <w:sz w:val="24"/>
          <w:szCs w:val="24"/>
        </w:rPr>
        <w:t xml:space="preserve">realiza </w:t>
      </w:r>
      <w:r w:rsidR="00ED0DDA" w:rsidRPr="002A431D">
        <w:rPr>
          <w:sz w:val="24"/>
          <w:szCs w:val="24"/>
        </w:rPr>
        <w:t>al referir a la función de dispensar justicia y decidir los derechos de los súbditos</w:t>
      </w:r>
      <w:r w:rsidR="001344EE" w:rsidRPr="002A431D">
        <w:rPr>
          <w:sz w:val="24"/>
          <w:szCs w:val="24"/>
        </w:rPr>
        <w:t xml:space="preserve">, entre las atribuciones </w:t>
      </w:r>
      <w:r w:rsidR="00ED0DDA" w:rsidRPr="002A431D">
        <w:rPr>
          <w:sz w:val="24"/>
          <w:szCs w:val="24"/>
        </w:rPr>
        <w:t>del Poder Legislativo</w:t>
      </w:r>
      <w:r w:rsidR="001344EE" w:rsidRPr="002A431D">
        <w:rPr>
          <w:sz w:val="24"/>
          <w:szCs w:val="24"/>
        </w:rPr>
        <w:t>, aunque en otro apartado aclara que al Legislativo corresponde “gobernar por Leyes fijas establecidas, promulgadas y conocidas de las gentes, y no mediante decretos extemporáneos; con jueces rectos e imparciales que en las contiendas decidan por tales leyes…”</w:t>
      </w:r>
      <w:r w:rsidR="001344EE" w:rsidRPr="002A431D">
        <w:rPr>
          <w:rStyle w:val="Refdenotaalpie"/>
          <w:sz w:val="24"/>
          <w:szCs w:val="24"/>
        </w:rPr>
        <w:footnoteReference w:id="15"/>
      </w:r>
      <w:r w:rsidR="001344EE" w:rsidRPr="002A431D">
        <w:rPr>
          <w:sz w:val="24"/>
          <w:szCs w:val="24"/>
        </w:rPr>
        <w:t>.</w:t>
      </w:r>
    </w:p>
    <w:p w14:paraId="7DB1597A" w14:textId="12A534D6" w:rsidR="00AC1E71" w:rsidRPr="002A431D" w:rsidRDefault="00AC1E71" w:rsidP="002A431D">
      <w:pPr>
        <w:jc w:val="both"/>
        <w:rPr>
          <w:sz w:val="24"/>
          <w:szCs w:val="24"/>
        </w:rPr>
      </w:pPr>
      <w:r w:rsidRPr="002A431D">
        <w:rPr>
          <w:sz w:val="24"/>
          <w:szCs w:val="24"/>
        </w:rPr>
        <w:lastRenderedPageBreak/>
        <w:t xml:space="preserve">Al margen de las diferencias que se evidenciarán con la doctrina de Montesquieu, esta última cita acerca a ambos autores en la medida que la función central que le asignan a este poder es la de decidir contiendas mediante la aplicación de las leyes. </w:t>
      </w:r>
    </w:p>
    <w:p w14:paraId="3B21A9F4" w14:textId="227ECFF9" w:rsidR="006C06BC" w:rsidRPr="002A431D" w:rsidRDefault="00AC1E71" w:rsidP="002A431D">
      <w:pPr>
        <w:jc w:val="both"/>
        <w:rPr>
          <w:sz w:val="24"/>
          <w:szCs w:val="24"/>
        </w:rPr>
      </w:pPr>
      <w:r w:rsidRPr="002A431D">
        <w:rPr>
          <w:sz w:val="24"/>
          <w:szCs w:val="24"/>
        </w:rPr>
        <w:t>En palabras de</w:t>
      </w:r>
      <w:r w:rsidR="001C49AA" w:rsidRPr="002A431D">
        <w:rPr>
          <w:sz w:val="24"/>
          <w:szCs w:val="24"/>
        </w:rPr>
        <w:t xml:space="preserve"> Montesquieu</w:t>
      </w:r>
      <w:r w:rsidRPr="002A431D">
        <w:rPr>
          <w:sz w:val="24"/>
          <w:szCs w:val="24"/>
        </w:rPr>
        <w:t>,</w:t>
      </w:r>
      <w:r w:rsidR="006C06BC" w:rsidRPr="002A431D">
        <w:rPr>
          <w:sz w:val="24"/>
          <w:szCs w:val="24"/>
        </w:rPr>
        <w:t xml:space="preserve"> “los jueces de la Nación… no son más ni menos que las bocas que pronuncian las palabras de la Ley, seres inanimados que no pueden mitigar la fuerza y el rigor de la ley misma”</w:t>
      </w:r>
      <w:r w:rsidR="00C213EF" w:rsidRPr="002A431D">
        <w:rPr>
          <w:sz w:val="24"/>
          <w:szCs w:val="24"/>
        </w:rPr>
        <w:t>.</w:t>
      </w:r>
      <w:r w:rsidR="006C06BC" w:rsidRPr="002A431D">
        <w:rPr>
          <w:sz w:val="24"/>
          <w:szCs w:val="24"/>
          <w:vertAlign w:val="superscript"/>
        </w:rPr>
        <w:footnoteReference w:id="16"/>
      </w:r>
    </w:p>
    <w:p w14:paraId="1581D46E" w14:textId="6492A5B9" w:rsidR="006C06BC" w:rsidRPr="002A431D" w:rsidRDefault="006C06BC" w:rsidP="002A431D">
      <w:pPr>
        <w:jc w:val="both"/>
        <w:rPr>
          <w:sz w:val="24"/>
          <w:szCs w:val="24"/>
        </w:rPr>
      </w:pPr>
      <w:r w:rsidRPr="002A431D">
        <w:rPr>
          <w:sz w:val="24"/>
          <w:szCs w:val="24"/>
        </w:rPr>
        <w:t xml:space="preserve">Propone este autor un Poder Judicial </w:t>
      </w:r>
      <w:proofErr w:type="gramStart"/>
      <w:r w:rsidRPr="002A431D">
        <w:rPr>
          <w:sz w:val="24"/>
          <w:szCs w:val="24"/>
        </w:rPr>
        <w:t>temporario,  compuesto</w:t>
      </w:r>
      <w:proofErr w:type="gramEnd"/>
      <w:r w:rsidRPr="002A431D">
        <w:rPr>
          <w:sz w:val="24"/>
          <w:szCs w:val="24"/>
        </w:rPr>
        <w:t xml:space="preserve"> por personas “…salidas de la masa popular”, designadas “….periódica y alternativamente”</w:t>
      </w:r>
      <w:r w:rsidRPr="002A431D">
        <w:rPr>
          <w:sz w:val="24"/>
          <w:szCs w:val="24"/>
          <w:vertAlign w:val="superscript"/>
        </w:rPr>
        <w:footnoteReference w:id="17"/>
      </w:r>
      <w:r w:rsidRPr="002A431D">
        <w:rPr>
          <w:sz w:val="24"/>
          <w:szCs w:val="24"/>
        </w:rPr>
        <w:t xml:space="preserve"> y que conformarán  el tribunal el tiempo que sea necesario. Esta constitución volátil del órgano judicial, esconde la preferencia de Montesquieu por el Poder Legislativo, lo que se explica claramente atento a que su función consiste en castigar los delitos y resolver las diferencias entre los particulares, siempre mediante la aplicación estricta de las normas dictadas por aquel. Carece en este esquema el órgano judicial de cualquier injerencia de tipo política y de allí su calificación como nulo o invisible. Incluso, en caso de ser necesario mitigar el rigorismo excesivo de algunas leyes, la atribución de juzgar aparece en cabeza de una de las Cámaras del legislativo.</w:t>
      </w:r>
      <w:r w:rsidRPr="002A431D">
        <w:rPr>
          <w:sz w:val="24"/>
          <w:szCs w:val="24"/>
          <w:vertAlign w:val="superscript"/>
        </w:rPr>
        <w:footnoteReference w:id="18"/>
      </w:r>
    </w:p>
    <w:p w14:paraId="30BF2AD2" w14:textId="1AC8CC54" w:rsidR="006C06BC" w:rsidRPr="002A431D" w:rsidRDefault="006C06BC" w:rsidP="002A431D">
      <w:pPr>
        <w:jc w:val="both"/>
        <w:rPr>
          <w:sz w:val="24"/>
          <w:szCs w:val="24"/>
        </w:rPr>
      </w:pPr>
      <w:r w:rsidRPr="002A431D">
        <w:rPr>
          <w:sz w:val="24"/>
          <w:szCs w:val="24"/>
        </w:rPr>
        <w:t>En aquellas primeras normas del sistema francés</w:t>
      </w:r>
      <w:r w:rsidR="009852C1" w:rsidRPr="002A431D">
        <w:rPr>
          <w:rStyle w:val="Refdenotaalpie"/>
          <w:sz w:val="24"/>
          <w:szCs w:val="24"/>
        </w:rPr>
        <w:footnoteReference w:id="19"/>
      </w:r>
      <w:r w:rsidRPr="002A431D">
        <w:rPr>
          <w:sz w:val="24"/>
          <w:szCs w:val="24"/>
        </w:rPr>
        <w:t xml:space="preserve">, dictadas en consonancia con el pensamiento de Montesquieu, el Poder Judicial era una organización administrativa encargada de administrar justicia, a la que se le prohibía la “interpretación judicial de la Leyes” la que quedaba en cabeza del propio Parlamento (decretos de 16 y 24 de agosto de 1790). Decía </w:t>
      </w:r>
      <w:proofErr w:type="gramStart"/>
      <w:r w:rsidRPr="002A431D">
        <w:rPr>
          <w:sz w:val="24"/>
          <w:szCs w:val="24"/>
        </w:rPr>
        <w:t>Robespierre  “</w:t>
      </w:r>
      <w:proofErr w:type="gramEnd"/>
      <w:r w:rsidRPr="002A431D">
        <w:rPr>
          <w:sz w:val="24"/>
          <w:szCs w:val="24"/>
        </w:rPr>
        <w:t>La afirmación de que los tribunales crean la Ley…debe desterrarse de nuestro lenguaje. En un estado que cuenta con una constitución y una legislatura, la jurisprudencia de los tribunales sólo consiste en la Ley”</w:t>
      </w:r>
      <w:r w:rsidRPr="002A431D">
        <w:rPr>
          <w:sz w:val="24"/>
          <w:szCs w:val="24"/>
          <w:vertAlign w:val="superscript"/>
        </w:rPr>
        <w:footnoteReference w:id="20"/>
      </w:r>
    </w:p>
    <w:p w14:paraId="6099D2BF" w14:textId="010FEDBA" w:rsidR="00755CF3" w:rsidRPr="002A431D" w:rsidRDefault="00755CF3" w:rsidP="002A431D">
      <w:pPr>
        <w:jc w:val="both"/>
        <w:rPr>
          <w:sz w:val="24"/>
          <w:szCs w:val="24"/>
        </w:rPr>
      </w:pPr>
      <w:r w:rsidRPr="002A431D">
        <w:rPr>
          <w:sz w:val="24"/>
          <w:szCs w:val="24"/>
        </w:rPr>
        <w:lastRenderedPageBreak/>
        <w:t>Es el famoso juez boca de la ley, que se limitará a su aplicación acrítica, mediante una simple operación de subsunción de los hechos en la norma correspondiente.</w:t>
      </w:r>
      <w:r w:rsidRPr="002A431D">
        <w:rPr>
          <w:rStyle w:val="Refdenotaalpie"/>
          <w:sz w:val="24"/>
          <w:szCs w:val="24"/>
        </w:rPr>
        <w:footnoteReference w:id="21"/>
      </w:r>
    </w:p>
    <w:p w14:paraId="30DA903C" w14:textId="6443428D" w:rsidR="006C06BC" w:rsidRPr="002A431D" w:rsidRDefault="006C06BC" w:rsidP="002A431D">
      <w:pPr>
        <w:jc w:val="both"/>
        <w:rPr>
          <w:sz w:val="24"/>
          <w:szCs w:val="24"/>
        </w:rPr>
      </w:pPr>
      <w:r w:rsidRPr="002A431D">
        <w:rPr>
          <w:sz w:val="24"/>
          <w:szCs w:val="24"/>
        </w:rPr>
        <w:t xml:space="preserve">Incluso John Marshall, padre si se quiere del sistema judicial de control de constitucionalidad, en 1796 -unos años antes de Marbury vs Madison-, siendo decano del Colegio de Abogados de </w:t>
      </w:r>
      <w:proofErr w:type="spellStart"/>
      <w:r w:rsidRPr="002A431D">
        <w:rPr>
          <w:sz w:val="24"/>
          <w:szCs w:val="24"/>
        </w:rPr>
        <w:t>Virgina</w:t>
      </w:r>
      <w:proofErr w:type="spellEnd"/>
      <w:r w:rsidRPr="002A431D">
        <w:rPr>
          <w:sz w:val="24"/>
          <w:szCs w:val="24"/>
        </w:rPr>
        <w:t>, encargado de defender ante la Suprema Corte de  los Estados Unidos una causa importante, en el curso de sus alegatos indicó que “la autoridad judicial no puede tener ningún derecho a poner en tela de juicio la validez de una ley; a menos que esa jurisdicción se le otorgue expresamente por la Constitución”</w:t>
      </w:r>
      <w:r w:rsidR="000C75AE" w:rsidRPr="002A431D">
        <w:rPr>
          <w:sz w:val="24"/>
          <w:szCs w:val="24"/>
        </w:rPr>
        <w:t>.</w:t>
      </w:r>
      <w:r w:rsidRPr="002A431D">
        <w:rPr>
          <w:sz w:val="24"/>
          <w:szCs w:val="24"/>
          <w:vertAlign w:val="superscript"/>
        </w:rPr>
        <w:footnoteReference w:id="22"/>
      </w:r>
    </w:p>
    <w:p w14:paraId="22881D96" w14:textId="069E7E13" w:rsidR="000C75AE" w:rsidRPr="002A431D" w:rsidRDefault="001C49AA" w:rsidP="002A431D">
      <w:pPr>
        <w:jc w:val="both"/>
        <w:rPr>
          <w:sz w:val="24"/>
          <w:szCs w:val="24"/>
        </w:rPr>
      </w:pPr>
      <w:r w:rsidRPr="002A431D">
        <w:rPr>
          <w:sz w:val="24"/>
          <w:szCs w:val="24"/>
        </w:rPr>
        <w:t>Esta postura se extendió en el derecho europeo durante todo el siglo XIX y parte del XX, al punto que “fue casi u</w:t>
      </w:r>
      <w:r w:rsidR="009852C1" w:rsidRPr="002A431D">
        <w:rPr>
          <w:sz w:val="24"/>
          <w:szCs w:val="24"/>
        </w:rPr>
        <w:t>n</w:t>
      </w:r>
      <w:r w:rsidRPr="002A431D">
        <w:rPr>
          <w:sz w:val="24"/>
          <w:szCs w:val="24"/>
        </w:rPr>
        <w:t xml:space="preserve"> credo jurídico que el juez debe limitarse a la aplicación de la ley mediante procesos mentales estrictamente lógicos y que debe abstenerse de propias decisiones arbitrarias; que está vinculado solamente al poder secular de la justicia reflejado en la ley, sin tener que representar ni practicar un poder social propio.”</w:t>
      </w:r>
      <w:r w:rsidRPr="002A431D">
        <w:rPr>
          <w:rStyle w:val="Refdenotaalpie"/>
          <w:sz w:val="24"/>
          <w:szCs w:val="24"/>
        </w:rPr>
        <w:footnoteReference w:id="23"/>
      </w:r>
    </w:p>
    <w:p w14:paraId="3BBF4ABE" w14:textId="77777777" w:rsidR="007B7535" w:rsidRPr="002A431D" w:rsidRDefault="006C06BC" w:rsidP="002A431D">
      <w:pPr>
        <w:jc w:val="both"/>
        <w:rPr>
          <w:sz w:val="24"/>
          <w:szCs w:val="24"/>
        </w:rPr>
      </w:pPr>
      <w:r w:rsidRPr="002A431D">
        <w:rPr>
          <w:sz w:val="24"/>
          <w:szCs w:val="24"/>
        </w:rPr>
        <w:t>Advertimos que en este esquema judicial,</w:t>
      </w:r>
      <w:r w:rsidR="007B7535" w:rsidRPr="002A431D">
        <w:rPr>
          <w:sz w:val="24"/>
          <w:szCs w:val="24"/>
        </w:rPr>
        <w:t xml:space="preserve"> n</w:t>
      </w:r>
      <w:r w:rsidRPr="002A431D">
        <w:rPr>
          <w:sz w:val="24"/>
          <w:szCs w:val="24"/>
        </w:rPr>
        <w:t xml:space="preserve">o existe control sobre los demás órganos en la medida que no puede revisar el contenido de las normas que de ellos emanan y no constituye un verdadero poder del Estado, sino una simple oficina o estructura administrativa, que en nada se diferencia de otros </w:t>
      </w:r>
      <w:proofErr w:type="gramStart"/>
      <w:r w:rsidRPr="002A431D">
        <w:rPr>
          <w:sz w:val="24"/>
          <w:szCs w:val="24"/>
        </w:rPr>
        <w:t>organismos  como</w:t>
      </w:r>
      <w:proofErr w:type="gramEnd"/>
      <w:r w:rsidRPr="002A431D">
        <w:rPr>
          <w:sz w:val="24"/>
          <w:szCs w:val="24"/>
        </w:rPr>
        <w:t xml:space="preserve"> los de aplicación de las normas fiscales. La ausencia de estas dos funciones, repercute claramente en </w:t>
      </w:r>
      <w:r w:rsidR="007B7535" w:rsidRPr="002A431D">
        <w:rPr>
          <w:sz w:val="24"/>
          <w:szCs w:val="24"/>
        </w:rPr>
        <w:t>otras que presuponen estas dos, tal el caso de la interpretación, ponderación y/o creación pretoriana de derecho.</w:t>
      </w:r>
    </w:p>
    <w:p w14:paraId="5420B578" w14:textId="725E28E8" w:rsidR="006C06BC" w:rsidRPr="002A431D" w:rsidRDefault="006C06BC" w:rsidP="002A431D">
      <w:pPr>
        <w:jc w:val="both"/>
        <w:rPr>
          <w:sz w:val="24"/>
          <w:szCs w:val="24"/>
        </w:rPr>
      </w:pPr>
      <w:r w:rsidRPr="002A431D">
        <w:rPr>
          <w:sz w:val="24"/>
          <w:szCs w:val="24"/>
        </w:rPr>
        <w:t xml:space="preserve">Todos estos elementos que convergen en el pesimismo judicial llevan a una conclusión ineludible: La naturaleza no política del poder judicial, en la medida que se trata de un órgano subordinado a las disposiciones de la </w:t>
      </w:r>
      <w:r w:rsidR="007B7535" w:rsidRPr="002A431D">
        <w:rPr>
          <w:sz w:val="24"/>
          <w:szCs w:val="24"/>
        </w:rPr>
        <w:t>l</w:t>
      </w:r>
      <w:r w:rsidRPr="002A431D">
        <w:rPr>
          <w:sz w:val="24"/>
          <w:szCs w:val="24"/>
        </w:rPr>
        <w:t xml:space="preserve">ey y en consecuencia de actividad </w:t>
      </w:r>
      <w:proofErr w:type="spellStart"/>
      <w:r w:rsidRPr="002A431D">
        <w:rPr>
          <w:sz w:val="24"/>
          <w:szCs w:val="24"/>
        </w:rPr>
        <w:t>sublegal</w:t>
      </w:r>
      <w:proofErr w:type="spellEnd"/>
      <w:r w:rsidRPr="002A431D">
        <w:rPr>
          <w:sz w:val="24"/>
          <w:szCs w:val="24"/>
        </w:rPr>
        <w:t>, de manera que su accionar no puede considerarse político sino simplemente jurídico.</w:t>
      </w:r>
      <w:r w:rsidRPr="002A431D">
        <w:rPr>
          <w:sz w:val="24"/>
          <w:szCs w:val="24"/>
          <w:vertAlign w:val="superscript"/>
        </w:rPr>
        <w:footnoteReference w:id="24"/>
      </w:r>
    </w:p>
    <w:p w14:paraId="05DE9DB4" w14:textId="5431F837" w:rsidR="006C06BC" w:rsidRPr="002A431D" w:rsidRDefault="006C06BC" w:rsidP="002A431D">
      <w:pPr>
        <w:jc w:val="both"/>
        <w:rPr>
          <w:sz w:val="24"/>
          <w:szCs w:val="24"/>
        </w:rPr>
      </w:pPr>
      <w:r w:rsidRPr="002A431D">
        <w:rPr>
          <w:sz w:val="24"/>
          <w:szCs w:val="24"/>
        </w:rPr>
        <w:t xml:space="preserve">En cuanto a su funcionamiento, opera la regla interpretativa de la subsunción bregando por un sistema jurídico de tipo positivista compuesto exclusivamente por reglas y limitando la </w:t>
      </w:r>
      <w:r w:rsidRPr="002A431D">
        <w:rPr>
          <w:sz w:val="24"/>
          <w:szCs w:val="24"/>
        </w:rPr>
        <w:lastRenderedPageBreak/>
        <w:t>intervención de los jueces a la aplicación de las normas sólo a aquellos casos expresamente estipulados en ellas.</w:t>
      </w:r>
    </w:p>
    <w:p w14:paraId="71ADD688" w14:textId="23F46C5A" w:rsidR="00756914" w:rsidRPr="002A431D" w:rsidRDefault="00756914" w:rsidP="002A431D">
      <w:pPr>
        <w:jc w:val="both"/>
        <w:rPr>
          <w:sz w:val="24"/>
          <w:szCs w:val="24"/>
        </w:rPr>
      </w:pPr>
      <w:r w:rsidRPr="002A431D">
        <w:rPr>
          <w:sz w:val="24"/>
          <w:szCs w:val="24"/>
        </w:rPr>
        <w:t xml:space="preserve">2. </w:t>
      </w:r>
      <w:r w:rsidR="00592708" w:rsidRPr="002A431D">
        <w:rPr>
          <w:sz w:val="24"/>
          <w:szCs w:val="24"/>
        </w:rPr>
        <w:t xml:space="preserve">Orígenes del </w:t>
      </w:r>
      <w:r w:rsidRPr="002A431D">
        <w:rPr>
          <w:sz w:val="24"/>
          <w:szCs w:val="24"/>
        </w:rPr>
        <w:t>optimismo judicial</w:t>
      </w:r>
      <w:r w:rsidR="00592708" w:rsidRPr="002A431D">
        <w:rPr>
          <w:sz w:val="24"/>
          <w:szCs w:val="24"/>
        </w:rPr>
        <w:t>. El control de constitucionalidad.</w:t>
      </w:r>
    </w:p>
    <w:p w14:paraId="46E5BABA" w14:textId="77777777" w:rsidR="00F01F4E" w:rsidRPr="002A431D" w:rsidRDefault="00592708" w:rsidP="002A431D">
      <w:pPr>
        <w:jc w:val="both"/>
        <w:rPr>
          <w:sz w:val="24"/>
          <w:szCs w:val="24"/>
        </w:rPr>
      </w:pPr>
      <w:r w:rsidRPr="002A431D">
        <w:rPr>
          <w:sz w:val="24"/>
          <w:szCs w:val="24"/>
        </w:rPr>
        <w:t>Esta concepción que surge por oposición a la desconfianza en la labor de los jueces, tiene su origen en el constitucionalismo norteamericano.</w:t>
      </w:r>
    </w:p>
    <w:p w14:paraId="5F6C04C4" w14:textId="22EB77D6" w:rsidR="00ED159A" w:rsidRPr="002A431D" w:rsidRDefault="00F01F4E" w:rsidP="002A431D">
      <w:pPr>
        <w:jc w:val="both"/>
        <w:rPr>
          <w:sz w:val="24"/>
          <w:szCs w:val="24"/>
        </w:rPr>
      </w:pPr>
      <w:r w:rsidRPr="002A431D">
        <w:rPr>
          <w:sz w:val="24"/>
          <w:szCs w:val="24"/>
        </w:rPr>
        <w:t xml:space="preserve">Señala Duc de </w:t>
      </w:r>
      <w:proofErr w:type="spellStart"/>
      <w:r w:rsidRPr="002A431D">
        <w:rPr>
          <w:sz w:val="24"/>
          <w:szCs w:val="24"/>
        </w:rPr>
        <w:t>Noailles</w:t>
      </w:r>
      <w:proofErr w:type="spellEnd"/>
      <w:r w:rsidRPr="002A431D">
        <w:rPr>
          <w:sz w:val="24"/>
          <w:szCs w:val="24"/>
        </w:rPr>
        <w:t xml:space="preserve">, en lúcida síntesis comparativa con el modelo </w:t>
      </w:r>
      <w:proofErr w:type="gramStart"/>
      <w:r w:rsidRPr="002A431D">
        <w:rPr>
          <w:sz w:val="24"/>
          <w:szCs w:val="24"/>
        </w:rPr>
        <w:t xml:space="preserve">europeo </w:t>
      </w:r>
      <w:r w:rsidR="00CA17D0" w:rsidRPr="002A431D">
        <w:rPr>
          <w:sz w:val="24"/>
          <w:szCs w:val="24"/>
        </w:rPr>
        <w:t xml:space="preserve"> en</w:t>
      </w:r>
      <w:proofErr w:type="gramEnd"/>
      <w:r w:rsidR="00CA17D0" w:rsidRPr="002A431D">
        <w:rPr>
          <w:sz w:val="24"/>
          <w:szCs w:val="24"/>
        </w:rPr>
        <w:t xml:space="preserve"> el que</w:t>
      </w:r>
      <w:r w:rsidRPr="002A431D">
        <w:rPr>
          <w:sz w:val="24"/>
          <w:szCs w:val="24"/>
        </w:rPr>
        <w:t xml:space="preserve">, tal como reseñamos, los tribunales se limitan a la aplicación </w:t>
      </w:r>
      <w:r w:rsidR="00ED159A" w:rsidRPr="002A431D">
        <w:rPr>
          <w:sz w:val="24"/>
          <w:szCs w:val="24"/>
        </w:rPr>
        <w:t xml:space="preserve">lisa y llana </w:t>
      </w:r>
      <w:r w:rsidRPr="002A431D">
        <w:rPr>
          <w:sz w:val="24"/>
          <w:szCs w:val="24"/>
        </w:rPr>
        <w:t>de las leyes, que</w:t>
      </w:r>
      <w:r w:rsidR="00ED159A" w:rsidRPr="002A431D">
        <w:rPr>
          <w:sz w:val="24"/>
          <w:szCs w:val="24"/>
        </w:rPr>
        <w:t>:</w:t>
      </w:r>
    </w:p>
    <w:p w14:paraId="3CC9E112" w14:textId="35DEC0E2" w:rsidR="00592708" w:rsidRPr="002A431D" w:rsidRDefault="00ED159A" w:rsidP="002A431D">
      <w:pPr>
        <w:ind w:left="709"/>
        <w:jc w:val="both"/>
        <w:rPr>
          <w:sz w:val="24"/>
          <w:szCs w:val="24"/>
        </w:rPr>
      </w:pPr>
      <w:r w:rsidRPr="002A431D">
        <w:rPr>
          <w:sz w:val="24"/>
          <w:szCs w:val="24"/>
        </w:rPr>
        <w:t>M</w:t>
      </w:r>
      <w:r w:rsidR="00F01F4E" w:rsidRPr="002A431D">
        <w:rPr>
          <w:sz w:val="24"/>
          <w:szCs w:val="24"/>
        </w:rPr>
        <w:t>uy distinta es la situación de la magistratura en los Estados Unidos. El juez norteamericano no está sometido a la voluntad parlamentaria. Es su fiel intérprete sólo en los casos en que ésta ha respetado los límites del pacto fundamental. Antes de aplicar una ley, verifica su conformidad con la Constitución; si la norma no cumple ese requisito, tiene el derecho y el deber de considerarla inexistente. Esta intervención del juez en la propia fuente de la ley ha dado origen a un poder judicial en la acepción más amplia del término y lo ha colocado justamente como el tercer poder del Estado.</w:t>
      </w:r>
      <w:r w:rsidRPr="002A431D">
        <w:rPr>
          <w:rStyle w:val="Refdenotaalpie"/>
          <w:sz w:val="24"/>
          <w:szCs w:val="24"/>
        </w:rPr>
        <w:footnoteReference w:id="25"/>
      </w:r>
      <w:r w:rsidR="00592708" w:rsidRPr="002A431D">
        <w:rPr>
          <w:sz w:val="24"/>
          <w:szCs w:val="24"/>
        </w:rPr>
        <w:t xml:space="preserve"> </w:t>
      </w:r>
    </w:p>
    <w:p w14:paraId="28F82588" w14:textId="2926873D" w:rsidR="00756914" w:rsidRPr="002A431D" w:rsidRDefault="00756914" w:rsidP="002A431D">
      <w:pPr>
        <w:jc w:val="both"/>
        <w:rPr>
          <w:sz w:val="24"/>
          <w:szCs w:val="24"/>
        </w:rPr>
      </w:pPr>
      <w:r w:rsidRPr="002A431D">
        <w:rPr>
          <w:sz w:val="24"/>
          <w:szCs w:val="24"/>
        </w:rPr>
        <w:t>Nos alejamos del juez limitado, esclavo de la letra de la Ley, para acercarnos al magistrado independiente, que ejerce funciones de control y que está dotado de las herramientas necesarias para invalidar aquellas conductas estatales contrarias al derecho.</w:t>
      </w:r>
    </w:p>
    <w:p w14:paraId="50A05899" w14:textId="77777777" w:rsidR="00592708" w:rsidRPr="002A431D" w:rsidRDefault="00592708" w:rsidP="002A431D">
      <w:pPr>
        <w:jc w:val="both"/>
        <w:rPr>
          <w:sz w:val="24"/>
          <w:szCs w:val="24"/>
        </w:rPr>
      </w:pPr>
      <w:r w:rsidRPr="002A431D">
        <w:rPr>
          <w:sz w:val="24"/>
          <w:szCs w:val="24"/>
        </w:rPr>
        <w:t xml:space="preserve">Es aquí donde la actividad judicial deja de estar limitada a la simple aplicación automática, </w:t>
      </w:r>
      <w:proofErr w:type="gramStart"/>
      <w:r w:rsidRPr="002A431D">
        <w:rPr>
          <w:sz w:val="24"/>
          <w:szCs w:val="24"/>
        </w:rPr>
        <w:t>acrítica  de</w:t>
      </w:r>
      <w:proofErr w:type="gramEnd"/>
      <w:r w:rsidRPr="002A431D">
        <w:rPr>
          <w:sz w:val="24"/>
          <w:szCs w:val="24"/>
        </w:rPr>
        <w:t xml:space="preserve"> las normas emanadas del Poder Legislativo, para jugar un rol fundamental no ya como simple organismo administrativo, sino como órgano fundamental en el esquema de división de poderes. Se parte del convencimiento de que esa mayor asignación de funciones y libertades para actuar, redundan en una mejor protección de los derechos.</w:t>
      </w:r>
    </w:p>
    <w:p w14:paraId="756154C9" w14:textId="77777777" w:rsidR="009F0503" w:rsidRPr="002A431D" w:rsidRDefault="009F0503" w:rsidP="002A431D">
      <w:pPr>
        <w:jc w:val="both"/>
        <w:rPr>
          <w:sz w:val="24"/>
          <w:szCs w:val="24"/>
        </w:rPr>
      </w:pPr>
      <w:r w:rsidRPr="002A431D">
        <w:rPr>
          <w:sz w:val="24"/>
          <w:szCs w:val="24"/>
        </w:rPr>
        <w:t xml:space="preserve">Esta postura, defendida desde antiguo por </w:t>
      </w:r>
      <w:proofErr w:type="spellStart"/>
      <w:r w:rsidRPr="002A431D">
        <w:rPr>
          <w:sz w:val="24"/>
          <w:szCs w:val="24"/>
        </w:rPr>
        <w:t>Coke</w:t>
      </w:r>
      <w:proofErr w:type="spellEnd"/>
      <w:r w:rsidRPr="002A431D">
        <w:rPr>
          <w:rStyle w:val="Refdenotaalpie"/>
          <w:sz w:val="24"/>
          <w:szCs w:val="24"/>
        </w:rPr>
        <w:footnoteReference w:id="26"/>
      </w:r>
      <w:r w:rsidRPr="002A431D">
        <w:rPr>
          <w:sz w:val="24"/>
          <w:szCs w:val="24"/>
        </w:rPr>
        <w:t xml:space="preserve">, contiene las bases de los modernos sistemas que parten ideológicamente desde una visión optimista de la función de los jueces. </w:t>
      </w:r>
    </w:p>
    <w:p w14:paraId="538E2DBC" w14:textId="79871E9E" w:rsidR="00942797" w:rsidRPr="002A431D" w:rsidRDefault="00942797" w:rsidP="002A431D">
      <w:pPr>
        <w:jc w:val="both"/>
        <w:rPr>
          <w:sz w:val="24"/>
          <w:szCs w:val="24"/>
        </w:rPr>
      </w:pPr>
      <w:r w:rsidRPr="002A431D">
        <w:rPr>
          <w:sz w:val="24"/>
          <w:szCs w:val="24"/>
        </w:rPr>
        <w:lastRenderedPageBreak/>
        <w:t>Como anticipamos, está ínsita en los orígenes constitucionales norteamericanos, donde “la teoría y la práctica del control de constitucionalidad por los jueces eran conocidas”</w:t>
      </w:r>
      <w:r w:rsidRPr="002A431D">
        <w:rPr>
          <w:rStyle w:val="Refdenotaalpie"/>
          <w:sz w:val="24"/>
          <w:szCs w:val="24"/>
        </w:rPr>
        <w:footnoteReference w:id="27"/>
      </w:r>
      <w:r w:rsidRPr="002A431D">
        <w:rPr>
          <w:sz w:val="24"/>
          <w:szCs w:val="24"/>
        </w:rPr>
        <w:t xml:space="preserve"> </w:t>
      </w:r>
      <w:r w:rsidR="00042FE6" w:rsidRPr="002A431D">
        <w:rPr>
          <w:sz w:val="24"/>
          <w:szCs w:val="24"/>
        </w:rPr>
        <w:t>encontrando su justificación en “el deber (no el poder) de los jueces de aplicar la constitución escrita como norma jurídica superior a cualquier ley que sancione el Poder Legislativo.”</w:t>
      </w:r>
      <w:r w:rsidR="00042FE6" w:rsidRPr="002A431D">
        <w:rPr>
          <w:rStyle w:val="Refdenotaalpie"/>
          <w:sz w:val="24"/>
          <w:szCs w:val="24"/>
        </w:rPr>
        <w:footnoteReference w:id="28"/>
      </w:r>
      <w:r w:rsidR="00042FE6" w:rsidRPr="002A431D">
        <w:rPr>
          <w:sz w:val="24"/>
          <w:szCs w:val="24"/>
        </w:rPr>
        <w:t xml:space="preserve"> </w:t>
      </w:r>
    </w:p>
    <w:p w14:paraId="2054EDCA" w14:textId="3C9F859F" w:rsidR="00B646E1" w:rsidRPr="002A431D" w:rsidRDefault="00B646E1" w:rsidP="002A431D">
      <w:pPr>
        <w:jc w:val="both"/>
        <w:rPr>
          <w:sz w:val="24"/>
          <w:szCs w:val="24"/>
        </w:rPr>
      </w:pPr>
      <w:r w:rsidRPr="002A431D">
        <w:rPr>
          <w:sz w:val="24"/>
          <w:szCs w:val="24"/>
        </w:rPr>
        <w:t xml:space="preserve">Hamilton expone con claridad en El Federalista </w:t>
      </w:r>
      <w:proofErr w:type="spellStart"/>
      <w:r w:rsidRPr="002A431D">
        <w:rPr>
          <w:sz w:val="24"/>
          <w:szCs w:val="24"/>
        </w:rPr>
        <w:t>nº</w:t>
      </w:r>
      <w:proofErr w:type="spellEnd"/>
      <w:r w:rsidRPr="002A431D">
        <w:rPr>
          <w:sz w:val="24"/>
          <w:szCs w:val="24"/>
        </w:rPr>
        <w:t xml:space="preserve"> 78</w:t>
      </w:r>
      <w:r w:rsidR="00535033" w:rsidRPr="002A431D">
        <w:rPr>
          <w:rStyle w:val="Refdenotaalpie"/>
          <w:sz w:val="24"/>
          <w:szCs w:val="24"/>
        </w:rPr>
        <w:footnoteReference w:id="29"/>
      </w:r>
      <w:r w:rsidRPr="002A431D">
        <w:rPr>
          <w:sz w:val="24"/>
          <w:szCs w:val="24"/>
        </w:rPr>
        <w:t xml:space="preserve"> que</w:t>
      </w:r>
      <w:r w:rsidR="001A354A" w:rsidRPr="002A431D">
        <w:rPr>
          <w:sz w:val="24"/>
          <w:szCs w:val="24"/>
        </w:rPr>
        <w:t>:</w:t>
      </w:r>
    </w:p>
    <w:p w14:paraId="4FAE9313" w14:textId="655D4ACA" w:rsidR="00B646E1" w:rsidRPr="002A431D" w:rsidRDefault="00B646E1" w:rsidP="002A431D">
      <w:pPr>
        <w:ind w:left="709"/>
        <w:jc w:val="both"/>
        <w:rPr>
          <w:sz w:val="24"/>
          <w:szCs w:val="24"/>
        </w:rPr>
      </w:pPr>
      <w:r w:rsidRPr="002A431D">
        <w:rPr>
          <w:sz w:val="24"/>
          <w:szCs w:val="24"/>
        </w:rPr>
        <w:t>… los tribunales han sido concebidos como un cuerpo intermedio entre el pueblo y la legislatura, con la finalidad, entre otras varias, de mantener a esta última dentro de los límites asignados a su autoridad. La interpretación de las leyes es propia y peculiarmente de la incumbencia de los tribunales. Una Constitución es de hecho una ley fundamental y así debe ser considerada por los jueces. A ellos pertenece, por lo tanto, determinar su significado, así como el de cualquier ley que provenga del cuerpo legislativo. Y si ocurriere que entre las dos hay una discrepancia, debe preferirse, como es natural, aquella que posee fuerza obligatoria y validez superiores; en otras palabras, debe preferirse la Constitución a la ley ordinaria, la intención del pueblo a la intención de sus mandatarios.</w:t>
      </w:r>
      <w:r w:rsidRPr="002A431D">
        <w:rPr>
          <w:rStyle w:val="Refdenotaalpie"/>
          <w:sz w:val="24"/>
          <w:szCs w:val="24"/>
        </w:rPr>
        <w:footnoteReference w:id="30"/>
      </w:r>
    </w:p>
    <w:p w14:paraId="108D3981" w14:textId="35CAB571" w:rsidR="00D93991" w:rsidRPr="002A431D" w:rsidRDefault="00592708" w:rsidP="002A431D">
      <w:pPr>
        <w:jc w:val="both"/>
        <w:rPr>
          <w:sz w:val="24"/>
          <w:szCs w:val="24"/>
        </w:rPr>
      </w:pPr>
      <w:r w:rsidRPr="002A431D">
        <w:rPr>
          <w:sz w:val="24"/>
          <w:szCs w:val="24"/>
        </w:rPr>
        <w:t xml:space="preserve">Es el propio Marshall </w:t>
      </w:r>
      <w:proofErr w:type="gramStart"/>
      <w:r w:rsidRPr="002A431D">
        <w:rPr>
          <w:sz w:val="24"/>
          <w:szCs w:val="24"/>
        </w:rPr>
        <w:t>quien</w:t>
      </w:r>
      <w:proofErr w:type="gramEnd"/>
      <w:r w:rsidRPr="002A431D">
        <w:rPr>
          <w:sz w:val="24"/>
          <w:szCs w:val="24"/>
        </w:rPr>
        <w:t xml:space="preserve"> en su carácter de juez, </w:t>
      </w:r>
      <w:r w:rsidR="00535033" w:rsidRPr="002A431D">
        <w:rPr>
          <w:sz w:val="24"/>
          <w:szCs w:val="24"/>
        </w:rPr>
        <w:t>volcará esta doctrina en la célebre sentencia del caso</w:t>
      </w:r>
      <w:r w:rsidRPr="002A431D">
        <w:rPr>
          <w:sz w:val="24"/>
          <w:szCs w:val="24"/>
        </w:rPr>
        <w:t xml:space="preserve"> Marbury vs Madison</w:t>
      </w:r>
      <w:r w:rsidR="00042FE6" w:rsidRPr="002A431D">
        <w:rPr>
          <w:rStyle w:val="Refdenotaalpie"/>
          <w:sz w:val="24"/>
          <w:szCs w:val="24"/>
        </w:rPr>
        <w:footnoteReference w:id="31"/>
      </w:r>
      <w:r w:rsidR="00535033" w:rsidRPr="002A431D">
        <w:rPr>
          <w:sz w:val="24"/>
          <w:szCs w:val="24"/>
        </w:rPr>
        <w:t>, señalando</w:t>
      </w:r>
      <w:r w:rsidRPr="002A431D">
        <w:rPr>
          <w:sz w:val="24"/>
          <w:szCs w:val="24"/>
        </w:rPr>
        <w:t xml:space="preserve"> que</w:t>
      </w:r>
      <w:r w:rsidR="00D93991" w:rsidRPr="002A431D">
        <w:rPr>
          <w:sz w:val="24"/>
          <w:szCs w:val="24"/>
        </w:rPr>
        <w:t>:</w:t>
      </w:r>
    </w:p>
    <w:p w14:paraId="7B57BD6D" w14:textId="437269D6" w:rsidR="00C0455A" w:rsidRPr="002A431D" w:rsidRDefault="00592708" w:rsidP="002A431D">
      <w:pPr>
        <w:ind w:left="709"/>
        <w:jc w:val="both"/>
        <w:rPr>
          <w:sz w:val="24"/>
          <w:szCs w:val="24"/>
        </w:rPr>
      </w:pPr>
      <w:r w:rsidRPr="002A431D">
        <w:rPr>
          <w:sz w:val="24"/>
          <w:szCs w:val="24"/>
        </w:rPr>
        <w:lastRenderedPageBreak/>
        <w:t>Es categóricamente de la incumbencia y un deber del departamento judicial decir lo que es la Ley. Los que aplican la norma a las causas particulares, deben por necesidad exponer e interpretar esa norma. Si dos leyes están en conflicto una con otra, los tribunales deben decidir sobre la aplicación de cada una. Así, si una ley está en oposición con la Constitución… el tribunal debe determinar cuál de estas normas en conflicto rige la causa. Esto es de la esencia misma del deber judicial</w:t>
      </w:r>
      <w:r w:rsidR="00ED159A" w:rsidRPr="002A431D">
        <w:rPr>
          <w:sz w:val="24"/>
          <w:szCs w:val="24"/>
        </w:rPr>
        <w:t>.</w:t>
      </w:r>
      <w:r w:rsidRPr="002A431D">
        <w:rPr>
          <w:sz w:val="24"/>
          <w:szCs w:val="24"/>
          <w:vertAlign w:val="superscript"/>
        </w:rPr>
        <w:footnoteReference w:id="32"/>
      </w:r>
    </w:p>
    <w:p w14:paraId="175321E4" w14:textId="4917C7FF" w:rsidR="006C7644" w:rsidRPr="002A431D" w:rsidRDefault="006C7644" w:rsidP="002A431D">
      <w:pPr>
        <w:jc w:val="both"/>
        <w:rPr>
          <w:sz w:val="24"/>
          <w:szCs w:val="24"/>
        </w:rPr>
      </w:pPr>
      <w:r w:rsidRPr="002A431D">
        <w:rPr>
          <w:sz w:val="24"/>
          <w:szCs w:val="24"/>
        </w:rPr>
        <w:t>Este esquema judicial tuvo importantes repercusiones en el constitucionalismo americano en general y en el argentino en particula</w:t>
      </w:r>
      <w:r w:rsidR="007812A5" w:rsidRPr="002A431D">
        <w:rPr>
          <w:sz w:val="24"/>
          <w:szCs w:val="24"/>
        </w:rPr>
        <w:t xml:space="preserve">r, </w:t>
      </w:r>
      <w:r w:rsidR="0003530B" w:rsidRPr="002A431D">
        <w:rPr>
          <w:sz w:val="24"/>
          <w:szCs w:val="24"/>
        </w:rPr>
        <w:t xml:space="preserve">en el que encontramos </w:t>
      </w:r>
      <w:r w:rsidR="007812A5" w:rsidRPr="002A431D">
        <w:rPr>
          <w:sz w:val="24"/>
          <w:szCs w:val="24"/>
        </w:rPr>
        <w:t>la noción de “la alta función moderadora del sistema político”</w:t>
      </w:r>
      <w:r w:rsidR="007812A5" w:rsidRPr="002A431D">
        <w:rPr>
          <w:rStyle w:val="Refdenotaalpie"/>
          <w:sz w:val="24"/>
          <w:szCs w:val="24"/>
        </w:rPr>
        <w:footnoteReference w:id="33"/>
      </w:r>
      <w:r w:rsidR="007812A5" w:rsidRPr="002A431D">
        <w:rPr>
          <w:sz w:val="24"/>
          <w:szCs w:val="24"/>
        </w:rPr>
        <w:t xml:space="preserve"> que </w:t>
      </w:r>
      <w:r w:rsidR="00DA2FB1" w:rsidRPr="002A431D">
        <w:rPr>
          <w:sz w:val="24"/>
          <w:szCs w:val="24"/>
        </w:rPr>
        <w:t>corresponde a</w:t>
      </w:r>
      <w:r w:rsidR="007812A5" w:rsidRPr="002A431D">
        <w:rPr>
          <w:sz w:val="24"/>
          <w:szCs w:val="24"/>
        </w:rPr>
        <w:t xml:space="preserve"> la Corte</w:t>
      </w:r>
      <w:r w:rsidR="005A06E9">
        <w:rPr>
          <w:sz w:val="24"/>
          <w:szCs w:val="24"/>
        </w:rPr>
        <w:t xml:space="preserve"> Suprema de Justicia de la</w:t>
      </w:r>
      <w:r w:rsidR="000B632D">
        <w:rPr>
          <w:sz w:val="24"/>
          <w:szCs w:val="24"/>
        </w:rPr>
        <w:t xml:space="preserve"> </w:t>
      </w:r>
      <w:r w:rsidR="005A06E9">
        <w:rPr>
          <w:sz w:val="24"/>
          <w:szCs w:val="24"/>
        </w:rPr>
        <w:lastRenderedPageBreak/>
        <w:t>Nación</w:t>
      </w:r>
      <w:r w:rsidR="005A06E9">
        <w:rPr>
          <w:rStyle w:val="Refdenotaalpie"/>
          <w:sz w:val="24"/>
          <w:szCs w:val="24"/>
        </w:rPr>
        <w:footnoteReference w:id="34"/>
      </w:r>
      <w:r w:rsidR="0003530B" w:rsidRPr="002A431D">
        <w:rPr>
          <w:sz w:val="24"/>
          <w:szCs w:val="24"/>
        </w:rPr>
        <w:t>,</w:t>
      </w:r>
      <w:r w:rsidR="007812A5" w:rsidRPr="002A431D">
        <w:rPr>
          <w:sz w:val="24"/>
          <w:szCs w:val="24"/>
        </w:rPr>
        <w:t xml:space="preserve"> desde el comienzo de su</w:t>
      </w:r>
      <w:r w:rsidR="009F0503" w:rsidRPr="002A431D">
        <w:rPr>
          <w:sz w:val="24"/>
          <w:szCs w:val="24"/>
        </w:rPr>
        <w:t xml:space="preserve"> </w:t>
      </w:r>
      <w:r w:rsidR="007812A5" w:rsidRPr="002A431D">
        <w:rPr>
          <w:sz w:val="24"/>
          <w:szCs w:val="24"/>
        </w:rPr>
        <w:t>funcionamiento en 1862</w:t>
      </w:r>
      <w:r w:rsidR="0002226E" w:rsidRPr="002A431D">
        <w:rPr>
          <w:sz w:val="24"/>
          <w:szCs w:val="24"/>
        </w:rPr>
        <w:t xml:space="preserve">, lo que </w:t>
      </w:r>
      <w:r w:rsidR="007812A5" w:rsidRPr="002A431D">
        <w:rPr>
          <w:sz w:val="24"/>
          <w:szCs w:val="24"/>
        </w:rPr>
        <w:t xml:space="preserve">se ve </w:t>
      </w:r>
      <w:r w:rsidR="0002226E" w:rsidRPr="002A431D">
        <w:rPr>
          <w:sz w:val="24"/>
          <w:szCs w:val="24"/>
        </w:rPr>
        <w:t>confirmado</w:t>
      </w:r>
      <w:r w:rsidR="007812A5" w:rsidRPr="002A431D">
        <w:rPr>
          <w:sz w:val="24"/>
          <w:szCs w:val="24"/>
        </w:rPr>
        <w:t xml:space="preserve"> en los precedentes “Ríos”</w:t>
      </w:r>
      <w:r w:rsidR="0054000C" w:rsidRPr="002A431D">
        <w:rPr>
          <w:rStyle w:val="Refdenotaalpie"/>
          <w:sz w:val="24"/>
          <w:szCs w:val="24"/>
        </w:rPr>
        <w:footnoteReference w:id="35"/>
      </w:r>
      <w:r w:rsidR="007812A5" w:rsidRPr="002A431D">
        <w:rPr>
          <w:sz w:val="24"/>
          <w:szCs w:val="24"/>
        </w:rPr>
        <w:t>, “Sojo”</w:t>
      </w:r>
      <w:r w:rsidR="0002226E" w:rsidRPr="002A431D">
        <w:rPr>
          <w:rStyle w:val="Refdenotaalpie"/>
          <w:sz w:val="24"/>
          <w:szCs w:val="24"/>
        </w:rPr>
        <w:footnoteReference w:id="36"/>
      </w:r>
      <w:r w:rsidR="007812A5" w:rsidRPr="002A431D">
        <w:rPr>
          <w:sz w:val="24"/>
          <w:szCs w:val="24"/>
        </w:rPr>
        <w:t xml:space="preserve"> y “Viuda de Elortondo”</w:t>
      </w:r>
      <w:r w:rsidR="0002226E" w:rsidRPr="002A431D">
        <w:rPr>
          <w:rStyle w:val="Refdenotaalpie"/>
          <w:sz w:val="24"/>
          <w:szCs w:val="24"/>
        </w:rPr>
        <w:footnoteReference w:id="37"/>
      </w:r>
      <w:r w:rsidR="0003530B" w:rsidRPr="002A431D">
        <w:rPr>
          <w:sz w:val="24"/>
          <w:szCs w:val="24"/>
        </w:rPr>
        <w:t>, entre otros.</w:t>
      </w:r>
    </w:p>
    <w:p w14:paraId="50720EC1" w14:textId="2A15F006" w:rsidR="00EE3EF2" w:rsidRPr="002A431D" w:rsidRDefault="00EE3EF2" w:rsidP="002A431D">
      <w:pPr>
        <w:jc w:val="both"/>
        <w:rPr>
          <w:sz w:val="24"/>
          <w:szCs w:val="24"/>
        </w:rPr>
      </w:pPr>
      <w:r w:rsidRPr="002A431D">
        <w:rPr>
          <w:sz w:val="24"/>
          <w:szCs w:val="24"/>
        </w:rPr>
        <w:t xml:space="preserve">Distinto </w:t>
      </w:r>
      <w:r w:rsidR="00CA17D0" w:rsidRPr="002A431D">
        <w:rPr>
          <w:sz w:val="24"/>
          <w:szCs w:val="24"/>
        </w:rPr>
        <w:t>ha sido</w:t>
      </w:r>
      <w:r w:rsidRPr="002A431D">
        <w:rPr>
          <w:sz w:val="24"/>
          <w:szCs w:val="24"/>
        </w:rPr>
        <w:t xml:space="preserve"> el camino</w:t>
      </w:r>
      <w:r w:rsidR="00CA17D0" w:rsidRPr="002A431D">
        <w:rPr>
          <w:sz w:val="24"/>
          <w:szCs w:val="24"/>
        </w:rPr>
        <w:t xml:space="preserve"> desandado</w:t>
      </w:r>
      <w:r w:rsidRPr="002A431D">
        <w:rPr>
          <w:sz w:val="24"/>
          <w:szCs w:val="24"/>
        </w:rPr>
        <w:t xml:space="preserve"> en el derecho europeo </w:t>
      </w:r>
      <w:r w:rsidR="00974CE8" w:rsidRPr="002A431D">
        <w:rPr>
          <w:sz w:val="24"/>
          <w:szCs w:val="24"/>
        </w:rPr>
        <w:t>-</w:t>
      </w:r>
      <w:r w:rsidRPr="002A431D">
        <w:rPr>
          <w:sz w:val="24"/>
          <w:szCs w:val="24"/>
        </w:rPr>
        <w:t xml:space="preserve">donde tuvo su origen la visión </w:t>
      </w:r>
      <w:r w:rsidR="00974CE8" w:rsidRPr="002A431D">
        <w:rPr>
          <w:sz w:val="24"/>
          <w:szCs w:val="24"/>
        </w:rPr>
        <w:t>pesimista-</w:t>
      </w:r>
      <w:r w:rsidRPr="002A431D">
        <w:rPr>
          <w:sz w:val="24"/>
          <w:szCs w:val="24"/>
        </w:rPr>
        <w:t xml:space="preserve">, puesto que la teoría del control de constitucionalidad </w:t>
      </w:r>
      <w:r w:rsidR="00CA17D0" w:rsidRPr="002A431D">
        <w:rPr>
          <w:sz w:val="24"/>
          <w:szCs w:val="24"/>
        </w:rPr>
        <w:t>fue</w:t>
      </w:r>
      <w:r w:rsidRPr="002A431D">
        <w:rPr>
          <w:sz w:val="24"/>
          <w:szCs w:val="24"/>
        </w:rPr>
        <w:t xml:space="preserve"> receptada recién entrado el Siglo XX. La creación de la Corte Constitucional fruto de las ideas de Kelsen en la Constitución de Austria de 1920, será el punto de partida para el desarrollo de la doctrina en un marco institucional diferente.</w:t>
      </w:r>
    </w:p>
    <w:p w14:paraId="09EB9BB6" w14:textId="5A94BF0C" w:rsidR="00E73E89" w:rsidRPr="002A431D" w:rsidRDefault="00E73E89" w:rsidP="002A431D">
      <w:pPr>
        <w:jc w:val="both"/>
        <w:rPr>
          <w:sz w:val="24"/>
          <w:szCs w:val="24"/>
        </w:rPr>
      </w:pPr>
      <w:r w:rsidRPr="002A431D">
        <w:rPr>
          <w:sz w:val="24"/>
          <w:szCs w:val="24"/>
        </w:rPr>
        <w:t xml:space="preserve">Enseña </w:t>
      </w:r>
      <w:proofErr w:type="spellStart"/>
      <w:r w:rsidRPr="002A431D">
        <w:rPr>
          <w:sz w:val="24"/>
          <w:szCs w:val="24"/>
        </w:rPr>
        <w:t>Bachof</w:t>
      </w:r>
      <w:proofErr w:type="spellEnd"/>
      <w:r w:rsidR="00974CE8" w:rsidRPr="002A431D">
        <w:rPr>
          <w:sz w:val="24"/>
          <w:szCs w:val="24"/>
        </w:rPr>
        <w:t>,</w:t>
      </w:r>
      <w:r w:rsidRPr="002A431D">
        <w:rPr>
          <w:sz w:val="24"/>
          <w:szCs w:val="24"/>
        </w:rPr>
        <w:t xml:space="preserve"> comentando la Ley Fundamental de Bonn, </w:t>
      </w:r>
      <w:r w:rsidR="00974CE8" w:rsidRPr="002A431D">
        <w:rPr>
          <w:sz w:val="24"/>
          <w:szCs w:val="24"/>
        </w:rPr>
        <w:t xml:space="preserve">cuáles son los argumentos que motivaron </w:t>
      </w:r>
      <w:r w:rsidRPr="002A431D">
        <w:rPr>
          <w:sz w:val="24"/>
          <w:szCs w:val="24"/>
        </w:rPr>
        <w:t>el paso de un esquema basado en la confianza en el legislador y la desconfianza en el juez, a</w:t>
      </w:r>
      <w:r w:rsidR="00974CE8" w:rsidRPr="002A431D">
        <w:rPr>
          <w:sz w:val="24"/>
          <w:szCs w:val="24"/>
        </w:rPr>
        <w:t xml:space="preserve"> un</w:t>
      </w:r>
      <w:r w:rsidRPr="002A431D">
        <w:rPr>
          <w:sz w:val="24"/>
          <w:szCs w:val="24"/>
        </w:rPr>
        <w:t xml:space="preserve"> esquema inverso, señalando</w:t>
      </w:r>
      <w:r w:rsidR="00430908" w:rsidRPr="002A431D">
        <w:rPr>
          <w:sz w:val="24"/>
          <w:szCs w:val="24"/>
        </w:rPr>
        <w:t>:</w:t>
      </w:r>
    </w:p>
    <w:p w14:paraId="728F5F51" w14:textId="0357FE69" w:rsidR="00430908" w:rsidRPr="002A431D" w:rsidRDefault="00430908" w:rsidP="002A431D">
      <w:pPr>
        <w:ind w:left="709"/>
        <w:jc w:val="both"/>
        <w:rPr>
          <w:sz w:val="24"/>
          <w:szCs w:val="24"/>
        </w:rPr>
      </w:pPr>
      <w:r w:rsidRPr="002A431D">
        <w:rPr>
          <w:sz w:val="24"/>
          <w:szCs w:val="24"/>
        </w:rPr>
        <w:lastRenderedPageBreak/>
        <w:t>¿Cómo se ha llegado a esto? Porque esta desconfianza frente a la ley no ha existido siempre. Por el contrario, el liberalismo y el constitucionalismo primitivos tenían una gran fe en la ley; no desconfiaban del legislador, sino -como ya dijo Montesquieu- del juez, consecuencia de su posición de servidor del príncipe en el Estado absoluto.</w:t>
      </w:r>
      <w:r w:rsidR="004878C3" w:rsidRPr="002A431D">
        <w:rPr>
          <w:sz w:val="24"/>
          <w:szCs w:val="24"/>
        </w:rPr>
        <w:t xml:space="preserve"> Existía, pues, una preocupación no sólo ya por asegurar al juez frente a su anterior sujeción al soberano, sino también por vincularle como un esclavo a la letra de la ley, sólo en la cual se veía la garantía contra el arbitrio de la autoridad… La ley ha sufrido ya, en el transcurso del siglo XIX, un amplio cambio de funciones, pero especialmente desde el tempestuoso desarrollo de las dos guerras mundiales</w:t>
      </w:r>
      <w:r w:rsidR="00B06CF5" w:rsidRPr="002A431D">
        <w:rPr>
          <w:sz w:val="24"/>
          <w:szCs w:val="24"/>
        </w:rPr>
        <w:t xml:space="preserve">. La ley, en su sentido clásico, la regla general y abstracta de comportamiento humano para cierto tiempo, no se encuentra ya en el primer plano de la realidad legislativa. En el moderno </w:t>
      </w:r>
      <w:r w:rsidR="00B06CF5" w:rsidRPr="002A431D">
        <w:rPr>
          <w:i/>
          <w:iCs/>
          <w:sz w:val="24"/>
          <w:szCs w:val="24"/>
        </w:rPr>
        <w:t xml:space="preserve">Estado social, Estado de prestaciones, Estado distribuidor </w:t>
      </w:r>
      <w:r w:rsidR="00B06CF5" w:rsidRPr="002A431D">
        <w:rPr>
          <w:sz w:val="24"/>
          <w:szCs w:val="24"/>
        </w:rPr>
        <w:t xml:space="preserve">-o como se lo quiera llamas-, la ley ha pasado a primer plano como acto de conformación política orientado a un fin, como una medida determinada para superar una situación totalmente concreta y, por ello, planeada a corto plazo y negociada a menudo en el conflicto de grupos contrapuestos de intereses… en la medida en que la ley se convirtió en un medio para la realización de cambiantes fines políticos, para el fomento o también para la contención de intereses especiales y frecuentemente antagónicos; en la medida en que la utilidad y finalidad políticas vinieron a primera fila, necesariamente la lucha por la preeminencia de este o de aquel interés concreto tenía que ser llevada también a los órganos </w:t>
      </w:r>
      <w:r w:rsidR="00060E64" w:rsidRPr="002A431D">
        <w:rPr>
          <w:sz w:val="24"/>
          <w:szCs w:val="24"/>
        </w:rPr>
        <w:t>legislativos, perjudicándose con ello la aptitud de estos órganos para fijarse en el valor jurídico que vincula la voluntad política.</w:t>
      </w:r>
      <w:r w:rsidR="00BB53D7" w:rsidRPr="002A431D">
        <w:rPr>
          <w:rStyle w:val="Refdenotaalpie"/>
          <w:sz w:val="24"/>
          <w:szCs w:val="24"/>
        </w:rPr>
        <w:footnoteReference w:id="38"/>
      </w:r>
    </w:p>
    <w:p w14:paraId="61C7AF66" w14:textId="7292190F" w:rsidR="00BB53D7" w:rsidRPr="002A431D" w:rsidRDefault="00BB53D7" w:rsidP="002A431D">
      <w:pPr>
        <w:jc w:val="both"/>
        <w:rPr>
          <w:sz w:val="24"/>
          <w:szCs w:val="24"/>
        </w:rPr>
      </w:pPr>
      <w:r w:rsidRPr="002A431D">
        <w:rPr>
          <w:sz w:val="24"/>
          <w:szCs w:val="24"/>
        </w:rPr>
        <w:t>Estos fenómenos descriptos como inevitables por el autor, a los que agrega la irrupción de los partidos con sus mandatos vinculantes y la carga de trabajo excesiva que enfrenta el legislativo en un modelo de estado de bienestar, llevan a l</w:t>
      </w:r>
      <w:r w:rsidR="00F66679" w:rsidRPr="002A431D">
        <w:rPr>
          <w:sz w:val="24"/>
          <w:szCs w:val="24"/>
        </w:rPr>
        <w:t xml:space="preserve">a necesidad de un </w:t>
      </w:r>
      <w:r w:rsidRPr="002A431D">
        <w:rPr>
          <w:sz w:val="24"/>
          <w:szCs w:val="24"/>
        </w:rPr>
        <w:t>contrapeso que “al menos se preocupe de que… los valores superiores del Derecho y del orden, que la Constitución ha establecido como fundamentales, permanezcan protegido</w:t>
      </w:r>
      <w:r w:rsidR="00F66679" w:rsidRPr="002A431D">
        <w:rPr>
          <w:sz w:val="24"/>
          <w:szCs w:val="24"/>
        </w:rPr>
        <w:t>s”</w:t>
      </w:r>
      <w:r w:rsidR="00F66679" w:rsidRPr="002A431D">
        <w:rPr>
          <w:rStyle w:val="Refdenotaalpie"/>
          <w:sz w:val="24"/>
          <w:szCs w:val="24"/>
        </w:rPr>
        <w:footnoteReference w:id="39"/>
      </w:r>
      <w:r w:rsidR="00F66679" w:rsidRPr="002A431D">
        <w:rPr>
          <w:sz w:val="24"/>
          <w:szCs w:val="24"/>
        </w:rPr>
        <w:t xml:space="preserve">. </w:t>
      </w:r>
    </w:p>
    <w:p w14:paraId="69D843F1" w14:textId="7339588A" w:rsidR="00F66679" w:rsidRPr="002A431D" w:rsidRDefault="00F66679" w:rsidP="002A431D">
      <w:pPr>
        <w:jc w:val="both"/>
        <w:rPr>
          <w:sz w:val="24"/>
          <w:szCs w:val="24"/>
        </w:rPr>
      </w:pPr>
      <w:r w:rsidRPr="002A431D">
        <w:rPr>
          <w:sz w:val="24"/>
          <w:szCs w:val="24"/>
        </w:rPr>
        <w:t>Esa fuerza</w:t>
      </w:r>
      <w:r w:rsidR="00CA17D0" w:rsidRPr="002A431D">
        <w:rPr>
          <w:sz w:val="24"/>
          <w:szCs w:val="24"/>
        </w:rPr>
        <w:t xml:space="preserve"> o</w:t>
      </w:r>
      <w:r w:rsidRPr="002A431D">
        <w:rPr>
          <w:sz w:val="24"/>
          <w:szCs w:val="24"/>
        </w:rPr>
        <w:t xml:space="preserve"> poder que irrumpe ante la desconfianza en el Legislativo, en palabras del auto</w:t>
      </w:r>
      <w:r w:rsidR="00E826E6" w:rsidRPr="002A431D">
        <w:rPr>
          <w:sz w:val="24"/>
          <w:szCs w:val="24"/>
        </w:rPr>
        <w:t>r</w:t>
      </w:r>
      <w:r w:rsidRPr="002A431D">
        <w:rPr>
          <w:sz w:val="24"/>
          <w:szCs w:val="24"/>
        </w:rPr>
        <w:t>, “sólo puede ser el juez”</w:t>
      </w:r>
      <w:r w:rsidR="00E826E6" w:rsidRPr="002A431D">
        <w:rPr>
          <w:rStyle w:val="Refdenotaalpie"/>
          <w:sz w:val="24"/>
          <w:szCs w:val="24"/>
        </w:rPr>
        <w:footnoteReference w:id="40"/>
      </w:r>
      <w:r w:rsidR="00E826E6" w:rsidRPr="002A431D">
        <w:rPr>
          <w:sz w:val="24"/>
          <w:szCs w:val="24"/>
        </w:rPr>
        <w:t>, que goza en este esquema de suficiente confianza y sobre el que ahora reposan “grandes esperanzas”</w:t>
      </w:r>
      <w:r w:rsidR="00E826E6" w:rsidRPr="002A431D">
        <w:rPr>
          <w:rStyle w:val="Refdenotaalpie"/>
          <w:sz w:val="24"/>
          <w:szCs w:val="24"/>
        </w:rPr>
        <w:footnoteReference w:id="41"/>
      </w:r>
      <w:r w:rsidR="00E826E6" w:rsidRPr="002A431D">
        <w:rPr>
          <w:sz w:val="24"/>
          <w:szCs w:val="24"/>
        </w:rPr>
        <w:t xml:space="preserve"> en tanto “fuerza llamada a la salvaguardia de la Constitución, de su sistema de valores y de su orden político.”</w:t>
      </w:r>
      <w:r w:rsidR="00E826E6" w:rsidRPr="002A431D">
        <w:rPr>
          <w:rStyle w:val="Refdenotaalpie"/>
          <w:sz w:val="24"/>
          <w:szCs w:val="24"/>
        </w:rPr>
        <w:footnoteReference w:id="42"/>
      </w:r>
    </w:p>
    <w:bookmarkEnd w:id="0"/>
    <w:p w14:paraId="5DBB3172" w14:textId="0E8B5F8C" w:rsidR="00592708" w:rsidRPr="002A431D" w:rsidRDefault="00592708" w:rsidP="002A431D">
      <w:pPr>
        <w:jc w:val="both"/>
        <w:rPr>
          <w:sz w:val="24"/>
          <w:szCs w:val="24"/>
        </w:rPr>
      </w:pPr>
      <w:r w:rsidRPr="002A431D">
        <w:rPr>
          <w:sz w:val="24"/>
          <w:szCs w:val="24"/>
        </w:rPr>
        <w:lastRenderedPageBreak/>
        <w:t>3. El desarrollo del optimismo judicial.</w:t>
      </w:r>
    </w:p>
    <w:p w14:paraId="13DD3D7A" w14:textId="1F582E69" w:rsidR="00E826E6" w:rsidRPr="002A431D" w:rsidRDefault="00E826E6" w:rsidP="002A431D">
      <w:pPr>
        <w:jc w:val="both"/>
        <w:rPr>
          <w:sz w:val="24"/>
          <w:szCs w:val="24"/>
        </w:rPr>
      </w:pPr>
      <w:r w:rsidRPr="002A431D">
        <w:rPr>
          <w:sz w:val="24"/>
          <w:szCs w:val="24"/>
        </w:rPr>
        <w:t xml:space="preserve">El </w:t>
      </w:r>
      <w:r w:rsidR="00AF5255" w:rsidRPr="002A431D">
        <w:rPr>
          <w:sz w:val="24"/>
          <w:szCs w:val="24"/>
        </w:rPr>
        <w:t>impulso del optimismo judicial fruto de su adopción como modelo en el derecho europeo, sumado al largo desarrollo experimentado en América, generó marcados avances en las atribuciones judiciales, que exceden largamente el control de constitucionalidad.</w:t>
      </w:r>
    </w:p>
    <w:p w14:paraId="5911981B" w14:textId="5376D094" w:rsidR="00756914" w:rsidRPr="002A431D" w:rsidRDefault="00756914" w:rsidP="002A431D">
      <w:pPr>
        <w:jc w:val="both"/>
        <w:rPr>
          <w:sz w:val="24"/>
          <w:szCs w:val="24"/>
        </w:rPr>
      </w:pPr>
      <w:r w:rsidRPr="002A431D">
        <w:rPr>
          <w:sz w:val="24"/>
          <w:szCs w:val="24"/>
        </w:rPr>
        <w:t xml:space="preserve">A modo de ejemplo y centrándonos exclusivamente en el debate moderno, </w:t>
      </w:r>
      <w:r w:rsidR="00BE4F79" w:rsidRPr="002A431D">
        <w:rPr>
          <w:sz w:val="24"/>
          <w:szCs w:val="24"/>
        </w:rPr>
        <w:t xml:space="preserve">se ha dicho que </w:t>
      </w:r>
      <w:r w:rsidRPr="002A431D">
        <w:rPr>
          <w:sz w:val="24"/>
          <w:szCs w:val="24"/>
        </w:rPr>
        <w:t>“los tribunales pueden ejercer una importante función en la consolidación y el mantenimiento del régimen democrático. Proveen de un foro ideal para la defensa de los derechos humanos y para la determinación de los poderes del gobierno. Al adjudicar cuestiones constitucionales, los tribunales constitucionales convierten a la constitución en un documento vivo que moldea y dirige el ejercicio del poder político, en vez de ser una colección de aspiraciones y frases elegantes…”</w:t>
      </w:r>
      <w:r w:rsidR="00AF5255" w:rsidRPr="002A431D">
        <w:rPr>
          <w:rStyle w:val="Refdenotaalpie"/>
          <w:sz w:val="24"/>
          <w:szCs w:val="24"/>
        </w:rPr>
        <w:footnoteReference w:id="43"/>
      </w:r>
      <w:r w:rsidRPr="002A431D">
        <w:rPr>
          <w:sz w:val="24"/>
          <w:szCs w:val="24"/>
        </w:rPr>
        <w:t xml:space="preserve"> </w:t>
      </w:r>
    </w:p>
    <w:p w14:paraId="6DCEA463" w14:textId="77777777" w:rsidR="00D93991" w:rsidRPr="002A431D" w:rsidRDefault="00D93991" w:rsidP="002A431D">
      <w:pPr>
        <w:jc w:val="both"/>
        <w:rPr>
          <w:sz w:val="24"/>
          <w:szCs w:val="24"/>
        </w:rPr>
      </w:pPr>
      <w:r w:rsidRPr="002A431D">
        <w:rPr>
          <w:sz w:val="24"/>
          <w:szCs w:val="24"/>
        </w:rPr>
        <w:t>Hablaremos ya en estos esquemas de sistemas jurídicos integrados no sólo por normas, sino también y mayormente por principios, siendo atribución del juez ponderarlos para su aplicación a los casos concretos</w:t>
      </w:r>
      <w:r w:rsidRPr="002A431D">
        <w:rPr>
          <w:sz w:val="24"/>
          <w:szCs w:val="24"/>
          <w:vertAlign w:val="superscript"/>
        </w:rPr>
        <w:footnoteReference w:id="44"/>
      </w:r>
      <w:r w:rsidRPr="002A431D">
        <w:rPr>
          <w:sz w:val="24"/>
          <w:szCs w:val="24"/>
        </w:rPr>
        <w:t>. Esta distinción es fundamental puesto que un sistema de principios flexibles sólo puede entenderse y concebirse en un esquema de fuerte protagonismo del órgano judicial.</w:t>
      </w:r>
    </w:p>
    <w:p w14:paraId="4ADB6699" w14:textId="4A1546CB" w:rsidR="00756914" w:rsidRPr="002A431D" w:rsidRDefault="00756914" w:rsidP="002A431D">
      <w:pPr>
        <w:jc w:val="both"/>
        <w:rPr>
          <w:sz w:val="24"/>
          <w:szCs w:val="24"/>
        </w:rPr>
      </w:pPr>
      <w:proofErr w:type="spellStart"/>
      <w:r w:rsidRPr="002A431D">
        <w:rPr>
          <w:sz w:val="24"/>
          <w:szCs w:val="24"/>
        </w:rPr>
        <w:t>Ost</w:t>
      </w:r>
      <w:proofErr w:type="spellEnd"/>
      <w:r w:rsidRPr="002A431D">
        <w:rPr>
          <w:sz w:val="24"/>
          <w:szCs w:val="24"/>
        </w:rPr>
        <w:t xml:space="preserve"> denomina a este modelo como el del Juez Hércules, especie de </w:t>
      </w:r>
      <w:proofErr w:type="spellStart"/>
      <w:r w:rsidRPr="002A431D">
        <w:rPr>
          <w:sz w:val="24"/>
          <w:szCs w:val="24"/>
        </w:rPr>
        <w:t>semi-dios</w:t>
      </w:r>
      <w:proofErr w:type="spellEnd"/>
      <w:r w:rsidRPr="002A431D">
        <w:rPr>
          <w:sz w:val="24"/>
          <w:szCs w:val="24"/>
        </w:rPr>
        <w:t xml:space="preserve"> llamado a resolver todas </w:t>
      </w:r>
      <w:r w:rsidR="00B97415" w:rsidRPr="002A431D">
        <w:rPr>
          <w:sz w:val="24"/>
          <w:szCs w:val="24"/>
        </w:rPr>
        <w:t xml:space="preserve">las </w:t>
      </w:r>
      <w:r w:rsidRPr="002A431D">
        <w:rPr>
          <w:sz w:val="24"/>
          <w:szCs w:val="24"/>
        </w:rPr>
        <w:t>necesidades que el paso del Estado liberal al Estado de bienestar ha dejado al descubierto.</w:t>
      </w:r>
      <w:r w:rsidR="00B97415" w:rsidRPr="002A431D">
        <w:rPr>
          <w:sz w:val="24"/>
          <w:szCs w:val="24"/>
        </w:rPr>
        <w:t xml:space="preserve"> </w:t>
      </w:r>
      <w:r w:rsidRPr="002A431D">
        <w:rPr>
          <w:sz w:val="24"/>
          <w:szCs w:val="24"/>
        </w:rPr>
        <w:t xml:space="preserve">La enumeración que efectúa el autor sobre los jueces belgas es por demás ilustrativa “conciliar economías familiares en crisis, dirigir empresas en dificultades evitando, de ser posible, la quiebra; juzgar si corresponde al interés del niño ser juzgado por su padre natural; intervenir en los conflictos colectivos de trabajo; decidir de un día para el otro si una huelga es o no lícita; juzgar si llevar el velo islámico es compatible con la disciplina y el espíritu de las escuelas, </w:t>
      </w:r>
      <w:proofErr w:type="spellStart"/>
      <w:r w:rsidRPr="002A431D">
        <w:rPr>
          <w:sz w:val="24"/>
          <w:szCs w:val="24"/>
        </w:rPr>
        <w:t>etc</w:t>
      </w:r>
      <w:proofErr w:type="spellEnd"/>
      <w:r w:rsidRPr="002A431D">
        <w:rPr>
          <w:sz w:val="24"/>
          <w:szCs w:val="24"/>
        </w:rPr>
        <w:t>”</w:t>
      </w:r>
      <w:r w:rsidR="00B97415" w:rsidRPr="002A431D">
        <w:rPr>
          <w:rStyle w:val="Refdenotaalpie"/>
          <w:sz w:val="24"/>
          <w:szCs w:val="24"/>
        </w:rPr>
        <w:footnoteReference w:id="45"/>
      </w:r>
    </w:p>
    <w:p w14:paraId="5DFBE7ED" w14:textId="5D52B80C" w:rsidR="00756914" w:rsidRPr="002A431D" w:rsidRDefault="00756914" w:rsidP="002A431D">
      <w:pPr>
        <w:jc w:val="both"/>
        <w:rPr>
          <w:sz w:val="24"/>
          <w:szCs w:val="24"/>
        </w:rPr>
      </w:pPr>
      <w:r w:rsidRPr="002A431D">
        <w:rPr>
          <w:sz w:val="24"/>
          <w:szCs w:val="24"/>
        </w:rPr>
        <w:t xml:space="preserve">Pensar en un listado similar en nuestro derecho, no lleva más que un par de minutos: </w:t>
      </w:r>
      <w:r w:rsidR="00B97415" w:rsidRPr="002A431D">
        <w:rPr>
          <w:sz w:val="24"/>
          <w:szCs w:val="24"/>
        </w:rPr>
        <w:t>c</w:t>
      </w:r>
      <w:r w:rsidRPr="002A431D">
        <w:rPr>
          <w:sz w:val="24"/>
          <w:szCs w:val="24"/>
        </w:rPr>
        <w:t xml:space="preserve">autelares que van desde la última tecnología robótica para una </w:t>
      </w:r>
      <w:r w:rsidR="00B97415" w:rsidRPr="002A431D">
        <w:rPr>
          <w:sz w:val="24"/>
          <w:szCs w:val="24"/>
        </w:rPr>
        <w:t xml:space="preserve">cirugía </w:t>
      </w:r>
      <w:r w:rsidRPr="002A431D">
        <w:rPr>
          <w:sz w:val="24"/>
          <w:szCs w:val="24"/>
        </w:rPr>
        <w:t xml:space="preserve">al análisis de un cuadro tarifario, debiendo resolver sobre la procedencia o el rechazo en cuestión de horas, es </w:t>
      </w:r>
      <w:r w:rsidRPr="002A431D">
        <w:rPr>
          <w:sz w:val="24"/>
          <w:szCs w:val="24"/>
        </w:rPr>
        <w:lastRenderedPageBreak/>
        <w:t>un ejemplo de este Juez Hércules del que hablamos</w:t>
      </w:r>
      <w:r w:rsidR="00B97415" w:rsidRPr="002A431D">
        <w:rPr>
          <w:sz w:val="24"/>
          <w:szCs w:val="24"/>
        </w:rPr>
        <w:t xml:space="preserve"> y sobre el que reposan, para bien o para mal, esas “grandes esperanzas” de las que nos alertaba </w:t>
      </w:r>
      <w:proofErr w:type="spellStart"/>
      <w:r w:rsidR="00B97415" w:rsidRPr="002A431D">
        <w:rPr>
          <w:sz w:val="24"/>
          <w:szCs w:val="24"/>
        </w:rPr>
        <w:t>Bachof</w:t>
      </w:r>
      <w:proofErr w:type="spellEnd"/>
      <w:r w:rsidR="00B97415" w:rsidRPr="002A431D">
        <w:rPr>
          <w:sz w:val="24"/>
          <w:szCs w:val="24"/>
        </w:rPr>
        <w:t>.</w:t>
      </w:r>
    </w:p>
    <w:p w14:paraId="496B7C53" w14:textId="02E22304" w:rsidR="00B97415" w:rsidRPr="002A431D" w:rsidRDefault="00B97415" w:rsidP="002A431D">
      <w:pPr>
        <w:jc w:val="both"/>
        <w:rPr>
          <w:sz w:val="24"/>
          <w:szCs w:val="24"/>
        </w:rPr>
      </w:pPr>
      <w:r w:rsidRPr="002A431D">
        <w:rPr>
          <w:sz w:val="24"/>
          <w:szCs w:val="24"/>
        </w:rPr>
        <w:t>En la misma línea se inscribe la temática central de esta obra. No puede hablarse de “ampliación de derechos” por parte de los Tribunales, cualquiera sea su rango, si previamente no existe un modelo donde el judicial goza de grandes atribuciones, o al menos, no se encuentra inexorablemente atado a la letra de la Ley.</w:t>
      </w:r>
    </w:p>
    <w:p w14:paraId="1390CD33" w14:textId="1ED3BA24" w:rsidR="006C06BC" w:rsidRPr="002A431D" w:rsidRDefault="00756914" w:rsidP="002A431D">
      <w:pPr>
        <w:jc w:val="both"/>
        <w:rPr>
          <w:sz w:val="24"/>
          <w:szCs w:val="24"/>
        </w:rPr>
      </w:pPr>
      <w:r w:rsidRPr="002A431D">
        <w:rPr>
          <w:sz w:val="24"/>
          <w:szCs w:val="24"/>
        </w:rPr>
        <w:t xml:space="preserve">Nada de esto es posible, </w:t>
      </w:r>
      <w:r w:rsidR="00B97415" w:rsidRPr="002A431D">
        <w:rPr>
          <w:sz w:val="24"/>
          <w:szCs w:val="24"/>
        </w:rPr>
        <w:t xml:space="preserve">en definitiva, </w:t>
      </w:r>
      <w:r w:rsidRPr="002A431D">
        <w:rPr>
          <w:sz w:val="24"/>
          <w:szCs w:val="24"/>
        </w:rPr>
        <w:t>si no se parte de una extrema confianza en la labor judicial.</w:t>
      </w:r>
      <w:r w:rsidR="00B97415" w:rsidRPr="002A431D">
        <w:rPr>
          <w:sz w:val="24"/>
          <w:szCs w:val="24"/>
        </w:rPr>
        <w:t xml:space="preserve"> </w:t>
      </w:r>
      <w:r w:rsidR="006C06BC" w:rsidRPr="002A431D">
        <w:rPr>
          <w:sz w:val="24"/>
          <w:szCs w:val="24"/>
        </w:rPr>
        <w:t>Y la adopción de este</w:t>
      </w:r>
      <w:r w:rsidR="005263AD">
        <w:rPr>
          <w:sz w:val="24"/>
          <w:szCs w:val="24"/>
        </w:rPr>
        <w:t xml:space="preserve"> tipo de</w:t>
      </w:r>
      <w:r w:rsidR="006C06BC" w:rsidRPr="002A431D">
        <w:rPr>
          <w:sz w:val="24"/>
          <w:szCs w:val="24"/>
        </w:rPr>
        <w:t xml:space="preserve"> sistema</w:t>
      </w:r>
      <w:r w:rsidR="005263AD">
        <w:rPr>
          <w:sz w:val="24"/>
          <w:szCs w:val="24"/>
        </w:rPr>
        <w:t xml:space="preserve"> optimista</w:t>
      </w:r>
      <w:r w:rsidR="00B97415" w:rsidRPr="002A431D">
        <w:rPr>
          <w:sz w:val="24"/>
          <w:szCs w:val="24"/>
        </w:rPr>
        <w:t>,</w:t>
      </w:r>
      <w:r w:rsidR="006C06BC" w:rsidRPr="002A431D">
        <w:rPr>
          <w:sz w:val="24"/>
          <w:szCs w:val="24"/>
        </w:rPr>
        <w:t xml:space="preserve"> t</w:t>
      </w:r>
      <w:r w:rsidR="005263AD">
        <w:rPr>
          <w:sz w:val="24"/>
          <w:szCs w:val="24"/>
        </w:rPr>
        <w:t xml:space="preserve">iene </w:t>
      </w:r>
      <w:r w:rsidR="006C06BC" w:rsidRPr="002A431D">
        <w:rPr>
          <w:sz w:val="24"/>
          <w:szCs w:val="24"/>
        </w:rPr>
        <w:t>repercusión directa</w:t>
      </w:r>
      <w:r w:rsidR="00B97415" w:rsidRPr="002A431D">
        <w:rPr>
          <w:sz w:val="24"/>
          <w:szCs w:val="24"/>
        </w:rPr>
        <w:t xml:space="preserve"> en aspectos procedimentales</w:t>
      </w:r>
      <w:r w:rsidR="006C06BC" w:rsidRPr="002A431D">
        <w:rPr>
          <w:sz w:val="24"/>
          <w:szCs w:val="24"/>
        </w:rPr>
        <w:t xml:space="preserve">. </w:t>
      </w:r>
    </w:p>
    <w:p w14:paraId="351CE0E4" w14:textId="3B98C275" w:rsidR="006C06BC" w:rsidRPr="002A431D" w:rsidRDefault="006C06BC" w:rsidP="002A431D">
      <w:pPr>
        <w:jc w:val="both"/>
        <w:rPr>
          <w:sz w:val="24"/>
          <w:szCs w:val="24"/>
        </w:rPr>
      </w:pPr>
      <w:r w:rsidRPr="002A431D">
        <w:rPr>
          <w:sz w:val="24"/>
          <w:szCs w:val="24"/>
        </w:rPr>
        <w:t>Por nombrar sólo algunos ejemplos, podremos asistir a un fuerte replanteo de los tradicionales principios en materia de control de constitucionalidad. Aparece el control de constitucionalidad y convencionalidad de oficio</w:t>
      </w:r>
      <w:r w:rsidRPr="002A431D">
        <w:rPr>
          <w:sz w:val="24"/>
          <w:szCs w:val="24"/>
          <w:vertAlign w:val="superscript"/>
        </w:rPr>
        <w:footnoteReference w:id="46"/>
      </w:r>
      <w:r w:rsidRPr="002A431D">
        <w:rPr>
          <w:sz w:val="24"/>
          <w:szCs w:val="24"/>
        </w:rPr>
        <w:t>, no ya como opción, sino también como deber que el juez debe asumir al fallar un caso</w:t>
      </w:r>
      <w:r w:rsidRPr="002A431D">
        <w:rPr>
          <w:sz w:val="24"/>
          <w:szCs w:val="24"/>
          <w:vertAlign w:val="superscript"/>
        </w:rPr>
        <w:footnoteReference w:id="47"/>
      </w:r>
      <w:r w:rsidRPr="002A431D">
        <w:rPr>
          <w:sz w:val="24"/>
          <w:szCs w:val="24"/>
        </w:rPr>
        <w:t xml:space="preserve">. Se amplía la legitimación procesal para </w:t>
      </w:r>
      <w:r w:rsidRPr="002A431D">
        <w:rPr>
          <w:sz w:val="24"/>
          <w:szCs w:val="24"/>
        </w:rPr>
        <w:lastRenderedPageBreak/>
        <w:t>acceder a los procesos constitucionales incluso esgrimiendo un interés legítimo, dando lugar a las acciones colectivas o de clase</w:t>
      </w:r>
      <w:r w:rsidRPr="002A431D">
        <w:rPr>
          <w:sz w:val="24"/>
          <w:szCs w:val="24"/>
          <w:vertAlign w:val="superscript"/>
        </w:rPr>
        <w:footnoteReference w:id="48"/>
      </w:r>
      <w:r w:rsidRPr="002A431D">
        <w:rPr>
          <w:sz w:val="24"/>
          <w:szCs w:val="24"/>
        </w:rPr>
        <w:t xml:space="preserve">. Como consecuencia de esto, se escapa a la limitación pura y simple de los efectos de las sentencias al caso concreto, pudiendo ampliarse sus efectos según </w:t>
      </w:r>
      <w:r w:rsidR="00C37AD1" w:rsidRPr="002A431D">
        <w:rPr>
          <w:sz w:val="24"/>
          <w:szCs w:val="24"/>
        </w:rPr>
        <w:t>quién</w:t>
      </w:r>
      <w:r w:rsidRPr="002A431D">
        <w:rPr>
          <w:sz w:val="24"/>
          <w:szCs w:val="24"/>
        </w:rPr>
        <w:t xml:space="preserve"> o quiénes sean los que accionan</w:t>
      </w:r>
      <w:r w:rsidRPr="002A431D">
        <w:rPr>
          <w:sz w:val="24"/>
          <w:szCs w:val="24"/>
          <w:vertAlign w:val="superscript"/>
        </w:rPr>
        <w:footnoteReference w:id="49"/>
      </w:r>
      <w:r w:rsidRPr="002A431D">
        <w:rPr>
          <w:sz w:val="24"/>
          <w:szCs w:val="24"/>
        </w:rPr>
        <w:t>.</w:t>
      </w:r>
    </w:p>
    <w:p w14:paraId="2FEC499F" w14:textId="2FE606FF" w:rsidR="006C06BC" w:rsidRPr="002A431D" w:rsidRDefault="006C06BC" w:rsidP="002A431D">
      <w:pPr>
        <w:jc w:val="both"/>
        <w:rPr>
          <w:sz w:val="24"/>
          <w:szCs w:val="24"/>
        </w:rPr>
      </w:pPr>
      <w:r w:rsidRPr="002A431D">
        <w:rPr>
          <w:sz w:val="24"/>
          <w:szCs w:val="24"/>
        </w:rPr>
        <w:t xml:space="preserve">Podrá hablarse como ha estudiado recientemente </w:t>
      </w:r>
      <w:proofErr w:type="spellStart"/>
      <w:r w:rsidRPr="002A431D">
        <w:rPr>
          <w:sz w:val="24"/>
          <w:szCs w:val="24"/>
        </w:rPr>
        <w:t>Sagüés</w:t>
      </w:r>
      <w:proofErr w:type="spellEnd"/>
      <w:r w:rsidRPr="002A431D">
        <w:rPr>
          <w:sz w:val="24"/>
          <w:szCs w:val="24"/>
        </w:rPr>
        <w:t xml:space="preserve"> de la posibilidad de la Corte de anular sus propias decisiones</w:t>
      </w:r>
      <w:r w:rsidRPr="002A431D">
        <w:rPr>
          <w:sz w:val="24"/>
          <w:szCs w:val="24"/>
          <w:vertAlign w:val="superscript"/>
        </w:rPr>
        <w:footnoteReference w:id="50"/>
      </w:r>
      <w:r w:rsidRPr="002A431D">
        <w:rPr>
          <w:sz w:val="24"/>
          <w:szCs w:val="24"/>
        </w:rPr>
        <w:t xml:space="preserve">. Los sistemas de control de constitucionalidad, dejan de ser </w:t>
      </w:r>
      <w:r w:rsidR="005A06E9">
        <w:rPr>
          <w:sz w:val="24"/>
          <w:szCs w:val="24"/>
        </w:rPr>
        <w:lastRenderedPageBreak/>
        <w:t>c</w:t>
      </w:r>
      <w:r w:rsidRPr="002A431D">
        <w:rPr>
          <w:sz w:val="24"/>
          <w:szCs w:val="24"/>
        </w:rPr>
        <w:t xml:space="preserve">lasificables por parámetros estrictos para adoptar parámetros y sistemas dúctiles en palabras de </w:t>
      </w:r>
      <w:proofErr w:type="spellStart"/>
      <w:r w:rsidRPr="002A431D">
        <w:rPr>
          <w:sz w:val="24"/>
          <w:szCs w:val="24"/>
        </w:rPr>
        <w:t>Zagrebelski</w:t>
      </w:r>
      <w:proofErr w:type="spellEnd"/>
      <w:r w:rsidRPr="002A431D">
        <w:rPr>
          <w:sz w:val="24"/>
          <w:szCs w:val="24"/>
          <w:vertAlign w:val="superscript"/>
        </w:rPr>
        <w:footnoteReference w:id="51"/>
      </w:r>
      <w:r w:rsidRPr="002A431D">
        <w:rPr>
          <w:sz w:val="24"/>
          <w:szCs w:val="24"/>
        </w:rPr>
        <w:t xml:space="preserve"> y conforme lo propone el Prof. Lucio </w:t>
      </w:r>
      <w:proofErr w:type="spellStart"/>
      <w:r w:rsidRPr="002A431D">
        <w:rPr>
          <w:sz w:val="24"/>
          <w:szCs w:val="24"/>
        </w:rPr>
        <w:t>Pegoraro</w:t>
      </w:r>
      <w:proofErr w:type="spellEnd"/>
      <w:r w:rsidRPr="002A431D">
        <w:rPr>
          <w:sz w:val="24"/>
          <w:szCs w:val="24"/>
          <w:vertAlign w:val="superscript"/>
        </w:rPr>
        <w:footnoteReference w:id="52"/>
      </w:r>
      <w:r w:rsidRPr="002A431D">
        <w:rPr>
          <w:sz w:val="24"/>
          <w:szCs w:val="24"/>
        </w:rPr>
        <w:t>.</w:t>
      </w:r>
    </w:p>
    <w:p w14:paraId="16D1147B" w14:textId="3DF7B0C3" w:rsidR="006C06BC" w:rsidRPr="002A431D" w:rsidRDefault="005263AD" w:rsidP="002A431D">
      <w:pPr>
        <w:jc w:val="both"/>
        <w:rPr>
          <w:sz w:val="24"/>
          <w:szCs w:val="24"/>
        </w:rPr>
      </w:pPr>
      <w:r>
        <w:rPr>
          <w:sz w:val="24"/>
          <w:szCs w:val="24"/>
        </w:rPr>
        <w:t>Aparece la noción</w:t>
      </w:r>
      <w:r w:rsidR="006C06BC" w:rsidRPr="002A431D">
        <w:rPr>
          <w:sz w:val="24"/>
          <w:szCs w:val="24"/>
        </w:rPr>
        <w:t xml:space="preserve"> de justicia dialógica, de diálogo entre Cortes, por nombrar sólo algunos de los temas que se vienen desarrollando en doctrina y que presuponen una visión optimista respecto del rol del poder judicial.</w:t>
      </w:r>
    </w:p>
    <w:p w14:paraId="29168816" w14:textId="41ECFAE2" w:rsidR="00756914" w:rsidRPr="002A431D" w:rsidRDefault="006C06BC" w:rsidP="002A431D">
      <w:pPr>
        <w:jc w:val="both"/>
        <w:rPr>
          <w:sz w:val="24"/>
          <w:szCs w:val="24"/>
        </w:rPr>
      </w:pPr>
      <w:r w:rsidRPr="002A431D">
        <w:rPr>
          <w:sz w:val="24"/>
          <w:szCs w:val="24"/>
        </w:rPr>
        <w:t>En definitiva, se abren nuevos horizontes que asientan sobre la confianza respecto de la labor de los jueces.</w:t>
      </w:r>
    </w:p>
    <w:p w14:paraId="32871737" w14:textId="47290F9D" w:rsidR="00756914" w:rsidRPr="002A431D" w:rsidRDefault="00BA1150" w:rsidP="002A431D">
      <w:pPr>
        <w:jc w:val="both"/>
        <w:rPr>
          <w:sz w:val="24"/>
          <w:szCs w:val="24"/>
        </w:rPr>
      </w:pPr>
      <w:r w:rsidRPr="002A431D">
        <w:rPr>
          <w:sz w:val="24"/>
          <w:szCs w:val="24"/>
        </w:rPr>
        <w:t>4</w:t>
      </w:r>
      <w:r w:rsidR="00756914" w:rsidRPr="002A431D">
        <w:rPr>
          <w:sz w:val="24"/>
          <w:szCs w:val="24"/>
        </w:rPr>
        <w:t xml:space="preserve">. </w:t>
      </w:r>
      <w:r w:rsidR="00FC2FD0" w:rsidRPr="002A431D">
        <w:rPr>
          <w:sz w:val="24"/>
          <w:szCs w:val="24"/>
        </w:rPr>
        <w:t>Un retorno al pesimismo con nuevos argumentos</w:t>
      </w:r>
      <w:r w:rsidRPr="002A431D">
        <w:rPr>
          <w:sz w:val="24"/>
          <w:szCs w:val="24"/>
        </w:rPr>
        <w:t>.</w:t>
      </w:r>
    </w:p>
    <w:p w14:paraId="4C913730" w14:textId="56C0D807" w:rsidR="006673DE" w:rsidRPr="002A431D" w:rsidRDefault="006673DE" w:rsidP="002A431D">
      <w:pPr>
        <w:jc w:val="both"/>
        <w:rPr>
          <w:sz w:val="24"/>
          <w:szCs w:val="24"/>
        </w:rPr>
      </w:pPr>
      <w:r w:rsidRPr="002A431D">
        <w:rPr>
          <w:sz w:val="24"/>
          <w:szCs w:val="24"/>
        </w:rPr>
        <w:t>Esta postura</w:t>
      </w:r>
      <w:r w:rsidR="00C37AD1" w:rsidRPr="002A431D">
        <w:rPr>
          <w:sz w:val="24"/>
          <w:szCs w:val="24"/>
        </w:rPr>
        <w:t xml:space="preserve"> que atada al positivismo más estricto</w:t>
      </w:r>
      <w:r w:rsidR="00C37AD1" w:rsidRPr="002A431D">
        <w:rPr>
          <w:rStyle w:val="Refdenotaalpie"/>
          <w:sz w:val="24"/>
          <w:szCs w:val="24"/>
        </w:rPr>
        <w:footnoteReference w:id="53"/>
      </w:r>
      <w:r w:rsidR="00C37AD1" w:rsidRPr="002A431D">
        <w:rPr>
          <w:sz w:val="24"/>
          <w:szCs w:val="24"/>
        </w:rPr>
        <w:t xml:space="preserve"> parecía superada en el constitucionalismo </w:t>
      </w:r>
      <w:proofErr w:type="gramStart"/>
      <w:r w:rsidR="00C37AD1" w:rsidRPr="002A431D">
        <w:rPr>
          <w:sz w:val="24"/>
          <w:szCs w:val="24"/>
        </w:rPr>
        <w:t xml:space="preserve">occidental, </w:t>
      </w:r>
      <w:r w:rsidRPr="002A431D">
        <w:rPr>
          <w:sz w:val="24"/>
          <w:szCs w:val="24"/>
        </w:rPr>
        <w:t xml:space="preserve"> ha</w:t>
      </w:r>
      <w:proofErr w:type="gramEnd"/>
      <w:r w:rsidRPr="002A431D">
        <w:rPr>
          <w:sz w:val="24"/>
          <w:szCs w:val="24"/>
        </w:rPr>
        <w:t xml:space="preserve"> resurgido, por decirlo de alguna manera, reformulada y </w:t>
      </w:r>
      <w:proofErr w:type="spellStart"/>
      <w:r w:rsidRPr="002A431D">
        <w:rPr>
          <w:sz w:val="24"/>
          <w:szCs w:val="24"/>
        </w:rPr>
        <w:t>aggiornada</w:t>
      </w:r>
      <w:proofErr w:type="spellEnd"/>
      <w:r w:rsidRPr="002A431D">
        <w:rPr>
          <w:sz w:val="24"/>
          <w:szCs w:val="24"/>
        </w:rPr>
        <w:t xml:space="preserve"> a los nuevos tiempos y exigencias en materia de derechos.</w:t>
      </w:r>
    </w:p>
    <w:p w14:paraId="79FF073F" w14:textId="4FD5875C" w:rsidR="006673DE" w:rsidRPr="002A431D" w:rsidRDefault="006673DE" w:rsidP="002A431D">
      <w:pPr>
        <w:jc w:val="both"/>
        <w:rPr>
          <w:sz w:val="24"/>
          <w:szCs w:val="24"/>
        </w:rPr>
      </w:pPr>
      <w:r w:rsidRPr="002A431D">
        <w:rPr>
          <w:sz w:val="24"/>
          <w:szCs w:val="24"/>
        </w:rPr>
        <w:t xml:space="preserve">No se nos puede escapar que el </w:t>
      </w:r>
      <w:proofErr w:type="gramStart"/>
      <w:r w:rsidRPr="002A431D">
        <w:rPr>
          <w:sz w:val="24"/>
          <w:szCs w:val="24"/>
        </w:rPr>
        <w:t>debate  moderno</w:t>
      </w:r>
      <w:proofErr w:type="gramEnd"/>
      <w:r w:rsidRPr="002A431D">
        <w:rPr>
          <w:sz w:val="24"/>
          <w:szCs w:val="24"/>
        </w:rPr>
        <w:t xml:space="preserve"> en materia de constitucionalismo, tal como se ha indicado al comienzo de este trabajo, vuelve sobre el rol del </w:t>
      </w:r>
      <w:r w:rsidR="00596799" w:rsidRPr="002A431D">
        <w:rPr>
          <w:sz w:val="24"/>
          <w:szCs w:val="24"/>
        </w:rPr>
        <w:t>j</w:t>
      </w:r>
      <w:r w:rsidRPr="002A431D">
        <w:rPr>
          <w:sz w:val="24"/>
          <w:szCs w:val="24"/>
        </w:rPr>
        <w:t>uez, existiendo destacadísimos autores que propugnan un esquema de fuerte limitación del activismo judicial. Y lo hacen argumentando precisamente el riesgo que corre el Poder Judicial como consecuencia del exceso de activismo.</w:t>
      </w:r>
    </w:p>
    <w:p w14:paraId="6D450561" w14:textId="1ADD9942" w:rsidR="00596799" w:rsidRPr="002A431D" w:rsidRDefault="006673DE" w:rsidP="002A431D">
      <w:pPr>
        <w:jc w:val="both"/>
        <w:rPr>
          <w:sz w:val="24"/>
          <w:szCs w:val="24"/>
        </w:rPr>
      </w:pPr>
      <w:r w:rsidRPr="002A431D">
        <w:rPr>
          <w:sz w:val="24"/>
          <w:szCs w:val="24"/>
        </w:rPr>
        <w:t>Ferrajoli es uno de los autores que se enrolan en este nuevo positivismo</w:t>
      </w:r>
      <w:r w:rsidR="00596799" w:rsidRPr="002A431D">
        <w:rPr>
          <w:sz w:val="24"/>
          <w:szCs w:val="24"/>
        </w:rPr>
        <w:t>,</w:t>
      </w:r>
      <w:r w:rsidRPr="002A431D">
        <w:rPr>
          <w:sz w:val="24"/>
          <w:szCs w:val="24"/>
        </w:rPr>
        <w:t xml:space="preserve"> que denomina </w:t>
      </w:r>
      <w:r w:rsidR="00596799" w:rsidRPr="002A431D">
        <w:rPr>
          <w:sz w:val="24"/>
          <w:szCs w:val="24"/>
        </w:rPr>
        <w:t>c</w:t>
      </w:r>
      <w:r w:rsidRPr="002A431D">
        <w:rPr>
          <w:sz w:val="24"/>
          <w:szCs w:val="24"/>
        </w:rPr>
        <w:t xml:space="preserve">onstitucionalismo garantista, en el que plantea diversas notas superadoras del tradicional, pero siempre dentro de un esquema positivista, indicando en relación al rol </w:t>
      </w:r>
      <w:proofErr w:type="spellStart"/>
      <w:r w:rsidRPr="002A431D">
        <w:rPr>
          <w:sz w:val="24"/>
          <w:szCs w:val="24"/>
        </w:rPr>
        <w:t>nomogenético</w:t>
      </w:r>
      <w:proofErr w:type="spellEnd"/>
      <w:r w:rsidRPr="002A431D">
        <w:rPr>
          <w:sz w:val="24"/>
          <w:szCs w:val="24"/>
        </w:rPr>
        <w:t xml:space="preserve"> de los jueces, no operando como legisladores positivos, sino a través de la aplicación de la regla de la ponderación respecto de principio constitucionales qu</w:t>
      </w:r>
      <w:r w:rsidR="002D428A" w:rsidRPr="002A431D">
        <w:rPr>
          <w:sz w:val="24"/>
          <w:szCs w:val="24"/>
        </w:rPr>
        <w:t>e:</w:t>
      </w:r>
    </w:p>
    <w:p w14:paraId="47C601C9" w14:textId="037F0803" w:rsidR="006673DE" w:rsidRPr="002A431D" w:rsidRDefault="006673DE" w:rsidP="002A431D">
      <w:pPr>
        <w:ind w:left="851"/>
        <w:jc w:val="both"/>
        <w:rPr>
          <w:sz w:val="24"/>
          <w:szCs w:val="24"/>
        </w:rPr>
      </w:pPr>
      <w:r w:rsidRPr="002A431D">
        <w:rPr>
          <w:sz w:val="24"/>
          <w:szCs w:val="24"/>
        </w:rPr>
        <w:t xml:space="preserve">En tiempos como los que corren –de creciente tensión entre poder político y poder judicial y de falta de tolerancia del primero a los controles de legalidad ejercitados </w:t>
      </w:r>
      <w:r w:rsidRPr="002A431D">
        <w:rPr>
          <w:sz w:val="24"/>
          <w:szCs w:val="24"/>
        </w:rPr>
        <w:lastRenderedPageBreak/>
        <w:t>por el segundo- la teorización de una semejante potestad normativa de los jueces provoca el riesgo de ofrecer un argumento potente a favor de su investidura política, a través de la elección o, peor todavía, de su colocación bajo la dependencia del poder ejecutivo</w:t>
      </w:r>
      <w:r w:rsidRPr="002A431D">
        <w:rPr>
          <w:sz w:val="24"/>
          <w:szCs w:val="24"/>
          <w:vertAlign w:val="superscript"/>
        </w:rPr>
        <w:footnoteReference w:id="54"/>
      </w:r>
    </w:p>
    <w:p w14:paraId="123F4647" w14:textId="77777777" w:rsidR="006673DE" w:rsidRPr="002A431D" w:rsidRDefault="006673DE" w:rsidP="002A431D">
      <w:pPr>
        <w:jc w:val="both"/>
        <w:rPr>
          <w:sz w:val="24"/>
          <w:szCs w:val="24"/>
        </w:rPr>
      </w:pPr>
      <w:r w:rsidRPr="002A431D">
        <w:rPr>
          <w:sz w:val="24"/>
          <w:szCs w:val="24"/>
        </w:rPr>
        <w:t>Sin perjuicio de que el planteo original de Ferrajoli es demasiado complejo como para catalogarlo sólo como pesimista en materia judicial, sirve la nota transcripta como ejemplo de lo que queremos ilustrar respecto de esta postura.</w:t>
      </w:r>
    </w:p>
    <w:p w14:paraId="00EF7664" w14:textId="5A4961C4" w:rsidR="00DB2222" w:rsidRPr="002A431D" w:rsidRDefault="002D428A" w:rsidP="002A431D">
      <w:pPr>
        <w:jc w:val="both"/>
        <w:rPr>
          <w:sz w:val="24"/>
          <w:szCs w:val="24"/>
        </w:rPr>
      </w:pPr>
      <w:r w:rsidRPr="002A431D">
        <w:rPr>
          <w:sz w:val="24"/>
          <w:szCs w:val="24"/>
        </w:rPr>
        <w:t xml:space="preserve">A la postura del jurista italiano se suma </w:t>
      </w:r>
      <w:r w:rsidR="00B17FED" w:rsidRPr="002A431D">
        <w:rPr>
          <w:sz w:val="24"/>
          <w:szCs w:val="24"/>
        </w:rPr>
        <w:t xml:space="preserve">un </w:t>
      </w:r>
      <w:r w:rsidR="00DB2222" w:rsidRPr="002A431D">
        <w:rPr>
          <w:sz w:val="24"/>
          <w:szCs w:val="24"/>
        </w:rPr>
        <w:t>auge</w:t>
      </w:r>
      <w:r w:rsidR="00596799" w:rsidRPr="002A431D">
        <w:rPr>
          <w:sz w:val="24"/>
          <w:szCs w:val="24"/>
        </w:rPr>
        <w:t xml:space="preserve"> </w:t>
      </w:r>
      <w:r w:rsidR="00B17FED" w:rsidRPr="002A431D">
        <w:rPr>
          <w:sz w:val="24"/>
          <w:szCs w:val="24"/>
        </w:rPr>
        <w:t xml:space="preserve">del </w:t>
      </w:r>
      <w:r w:rsidR="00596799" w:rsidRPr="002A431D">
        <w:rPr>
          <w:sz w:val="24"/>
          <w:szCs w:val="24"/>
        </w:rPr>
        <w:t>pesimismo judicial</w:t>
      </w:r>
      <w:r w:rsidR="00DB2222" w:rsidRPr="002A431D">
        <w:rPr>
          <w:sz w:val="24"/>
          <w:szCs w:val="24"/>
        </w:rPr>
        <w:t>,</w:t>
      </w:r>
      <w:r w:rsidR="00B17FED" w:rsidRPr="002A431D">
        <w:rPr>
          <w:sz w:val="24"/>
          <w:szCs w:val="24"/>
        </w:rPr>
        <w:t xml:space="preserve"> </w:t>
      </w:r>
      <w:r w:rsidR="00DB2222" w:rsidRPr="002A431D">
        <w:rPr>
          <w:sz w:val="24"/>
          <w:szCs w:val="24"/>
        </w:rPr>
        <w:t>con fundamentos diferentes a los de su origen</w:t>
      </w:r>
      <w:r w:rsidR="00AB0B6A" w:rsidRPr="002A431D">
        <w:rPr>
          <w:sz w:val="24"/>
          <w:szCs w:val="24"/>
        </w:rPr>
        <w:t>, haciendo hincapié</w:t>
      </w:r>
      <w:r w:rsidR="005E5C38" w:rsidRPr="002A431D">
        <w:rPr>
          <w:sz w:val="24"/>
          <w:szCs w:val="24"/>
        </w:rPr>
        <w:t xml:space="preserve"> principalmente</w:t>
      </w:r>
      <w:r w:rsidR="00AB0B6A" w:rsidRPr="002A431D">
        <w:rPr>
          <w:sz w:val="24"/>
          <w:szCs w:val="24"/>
        </w:rPr>
        <w:t xml:space="preserve"> en </w:t>
      </w:r>
      <w:r w:rsidR="00B17FED" w:rsidRPr="002A431D">
        <w:rPr>
          <w:sz w:val="24"/>
          <w:szCs w:val="24"/>
        </w:rPr>
        <w:t>sus</w:t>
      </w:r>
      <w:r w:rsidR="00AB0B6A" w:rsidRPr="002A431D">
        <w:rPr>
          <w:sz w:val="24"/>
          <w:szCs w:val="24"/>
        </w:rPr>
        <w:t xml:space="preserve"> falencias democráticas</w:t>
      </w:r>
      <w:r w:rsidR="00B17FED" w:rsidRPr="002A431D">
        <w:rPr>
          <w:sz w:val="24"/>
          <w:szCs w:val="24"/>
        </w:rPr>
        <w:t>, en especial cuando hablamos de</w:t>
      </w:r>
      <w:r w:rsidR="00AB0B6A" w:rsidRPr="002A431D">
        <w:rPr>
          <w:sz w:val="24"/>
          <w:szCs w:val="24"/>
        </w:rPr>
        <w:t>l sistema d</w:t>
      </w:r>
      <w:r w:rsidR="00440F9E" w:rsidRPr="002A431D">
        <w:rPr>
          <w:sz w:val="24"/>
          <w:szCs w:val="24"/>
        </w:rPr>
        <w:t>e control de constitucionalidad ejercido por jueces</w:t>
      </w:r>
      <w:r w:rsidR="005E5C38" w:rsidRPr="002A431D">
        <w:rPr>
          <w:sz w:val="24"/>
          <w:szCs w:val="24"/>
        </w:rPr>
        <w:t>.</w:t>
      </w:r>
    </w:p>
    <w:p w14:paraId="7D9D8AF4" w14:textId="59CDD878" w:rsidR="00DB2222" w:rsidRPr="002A431D" w:rsidRDefault="00DB2222" w:rsidP="002A431D">
      <w:pPr>
        <w:jc w:val="both"/>
        <w:rPr>
          <w:sz w:val="24"/>
          <w:szCs w:val="24"/>
        </w:rPr>
      </w:pPr>
      <w:r w:rsidRPr="002A431D">
        <w:rPr>
          <w:sz w:val="24"/>
          <w:szCs w:val="24"/>
        </w:rPr>
        <w:t>Es el caso por ejemplo de Jeremy Waldron, de quien se</w:t>
      </w:r>
      <w:r w:rsidR="005E5C38" w:rsidRPr="002A431D">
        <w:rPr>
          <w:sz w:val="24"/>
          <w:szCs w:val="24"/>
        </w:rPr>
        <w:t xml:space="preserve"> acaba de </w:t>
      </w:r>
      <w:proofErr w:type="gramStart"/>
      <w:r w:rsidR="005E5C38" w:rsidRPr="002A431D">
        <w:rPr>
          <w:sz w:val="24"/>
          <w:szCs w:val="24"/>
        </w:rPr>
        <w:t xml:space="preserve">publicar </w:t>
      </w:r>
      <w:r w:rsidRPr="002A431D">
        <w:rPr>
          <w:sz w:val="24"/>
          <w:szCs w:val="24"/>
        </w:rPr>
        <w:t xml:space="preserve"> una</w:t>
      </w:r>
      <w:proofErr w:type="gramEnd"/>
      <w:r w:rsidRPr="002A431D">
        <w:rPr>
          <w:sz w:val="24"/>
          <w:szCs w:val="24"/>
        </w:rPr>
        <w:t xml:space="preserve"> recopilación de trabajos traducidos al español, bajo el título por demás indicativo</w:t>
      </w:r>
      <w:r w:rsidR="00AB0B6A" w:rsidRPr="002A431D">
        <w:rPr>
          <w:sz w:val="24"/>
          <w:szCs w:val="24"/>
        </w:rPr>
        <w:t>:</w:t>
      </w:r>
      <w:r w:rsidRPr="002A431D">
        <w:rPr>
          <w:sz w:val="24"/>
          <w:szCs w:val="24"/>
        </w:rPr>
        <w:t xml:space="preserve"> “Cont</w:t>
      </w:r>
      <w:r w:rsidR="00AB0B6A" w:rsidRPr="002A431D">
        <w:rPr>
          <w:sz w:val="24"/>
          <w:szCs w:val="24"/>
        </w:rPr>
        <w:t>ra el gobierno de los jueces”</w:t>
      </w:r>
      <w:r w:rsidR="009F0503" w:rsidRPr="002A431D">
        <w:rPr>
          <w:sz w:val="24"/>
          <w:szCs w:val="24"/>
        </w:rPr>
        <w:t>.</w:t>
      </w:r>
      <w:r w:rsidR="00596799" w:rsidRPr="002A431D">
        <w:rPr>
          <w:rStyle w:val="Refdenotaalpie"/>
          <w:sz w:val="24"/>
          <w:szCs w:val="24"/>
        </w:rPr>
        <w:footnoteReference w:id="55"/>
      </w:r>
      <w:r w:rsidR="00AB0B6A" w:rsidRPr="002A431D">
        <w:rPr>
          <w:sz w:val="24"/>
          <w:szCs w:val="24"/>
        </w:rPr>
        <w:t xml:space="preserve"> </w:t>
      </w:r>
    </w:p>
    <w:p w14:paraId="1FE8AE6D" w14:textId="1177E989" w:rsidR="00DB2222" w:rsidRPr="002A431D" w:rsidRDefault="00DB2222" w:rsidP="002A431D">
      <w:pPr>
        <w:jc w:val="both"/>
        <w:rPr>
          <w:sz w:val="24"/>
          <w:szCs w:val="24"/>
        </w:rPr>
      </w:pPr>
      <w:r w:rsidRPr="002A431D">
        <w:rPr>
          <w:sz w:val="24"/>
          <w:szCs w:val="24"/>
        </w:rPr>
        <w:t>Dice el autor, entre ot</w:t>
      </w:r>
      <w:r w:rsidR="00A46C62" w:rsidRPr="002A431D">
        <w:rPr>
          <w:sz w:val="24"/>
          <w:szCs w:val="24"/>
        </w:rPr>
        <w:t>ros conceptos muy interesantes y partiendo de su teoría del “disenso”</w:t>
      </w:r>
      <w:r w:rsidR="00AB0B6A" w:rsidRPr="002A431D">
        <w:rPr>
          <w:sz w:val="24"/>
          <w:szCs w:val="24"/>
        </w:rPr>
        <w:t xml:space="preserve"> que “el control judicial de la legislación es inapropiado como última instancia dentro del proceso de toma de decisiones en una sociedad libre y democrática”</w:t>
      </w:r>
      <w:r w:rsidR="009F0503" w:rsidRPr="002A431D">
        <w:rPr>
          <w:rStyle w:val="Refdenotaalpie"/>
          <w:sz w:val="24"/>
          <w:szCs w:val="24"/>
        </w:rPr>
        <w:footnoteReference w:id="56"/>
      </w:r>
      <w:r w:rsidR="00CE2105" w:rsidRPr="002A431D">
        <w:rPr>
          <w:sz w:val="24"/>
          <w:szCs w:val="24"/>
        </w:rPr>
        <w:t>.</w:t>
      </w:r>
      <w:r w:rsidR="00BC4367" w:rsidRPr="002A431D">
        <w:rPr>
          <w:sz w:val="24"/>
          <w:szCs w:val="24"/>
        </w:rPr>
        <w:t xml:space="preserve"> </w:t>
      </w:r>
    </w:p>
    <w:p w14:paraId="3C784D4F" w14:textId="1661FE77" w:rsidR="00AB0B6A" w:rsidRPr="002A431D" w:rsidRDefault="00AB0B6A" w:rsidP="002A431D">
      <w:pPr>
        <w:jc w:val="both"/>
        <w:rPr>
          <w:sz w:val="24"/>
          <w:szCs w:val="24"/>
        </w:rPr>
      </w:pPr>
      <w:r w:rsidRPr="002A431D">
        <w:rPr>
          <w:sz w:val="24"/>
          <w:szCs w:val="24"/>
        </w:rPr>
        <w:t xml:space="preserve">Es la vieja doctrina </w:t>
      </w:r>
      <w:proofErr w:type="spellStart"/>
      <w:r w:rsidRPr="002A431D">
        <w:rPr>
          <w:sz w:val="24"/>
          <w:szCs w:val="24"/>
        </w:rPr>
        <w:t>contramayoritaria</w:t>
      </w:r>
      <w:proofErr w:type="spellEnd"/>
      <w:r w:rsidRPr="002A431D">
        <w:rPr>
          <w:sz w:val="24"/>
          <w:szCs w:val="24"/>
        </w:rPr>
        <w:t xml:space="preserve">, atribuida a </w:t>
      </w:r>
      <w:proofErr w:type="spellStart"/>
      <w:r w:rsidR="005E5C38" w:rsidRPr="002A431D">
        <w:rPr>
          <w:sz w:val="24"/>
          <w:szCs w:val="24"/>
        </w:rPr>
        <w:t>Bickel</w:t>
      </w:r>
      <w:proofErr w:type="spellEnd"/>
      <w:r w:rsidR="005E5C38" w:rsidRPr="002A431D">
        <w:rPr>
          <w:sz w:val="24"/>
          <w:szCs w:val="24"/>
        </w:rPr>
        <w:t xml:space="preserve"> para quien “El control judicial de la legislación es una fuerza </w:t>
      </w:r>
      <w:proofErr w:type="spellStart"/>
      <w:r w:rsidR="005E5C38" w:rsidRPr="002A431D">
        <w:rPr>
          <w:sz w:val="24"/>
          <w:szCs w:val="24"/>
        </w:rPr>
        <w:t>contramayoritaria</w:t>
      </w:r>
      <w:proofErr w:type="spellEnd"/>
      <w:r w:rsidR="005E5C38" w:rsidRPr="002A431D">
        <w:rPr>
          <w:sz w:val="24"/>
          <w:szCs w:val="24"/>
        </w:rPr>
        <w:t xml:space="preserve"> en nuestro sistema… cuando la Corte Suprema declara inconstitucional un acto de legislación… frustra la voluntad de los representantes del pueblo de aquí y ahora…”</w:t>
      </w:r>
      <w:r w:rsidR="00263021" w:rsidRPr="002A431D">
        <w:rPr>
          <w:rStyle w:val="Refdenotaalpie"/>
          <w:sz w:val="24"/>
          <w:szCs w:val="24"/>
        </w:rPr>
        <w:footnoteReference w:id="57"/>
      </w:r>
      <w:r w:rsidR="005E5C38" w:rsidRPr="002A431D">
        <w:rPr>
          <w:sz w:val="24"/>
          <w:szCs w:val="24"/>
        </w:rPr>
        <w:t xml:space="preserve"> </w:t>
      </w:r>
    </w:p>
    <w:p w14:paraId="557798C9" w14:textId="1559A60B" w:rsidR="00180D19" w:rsidRPr="002A431D" w:rsidRDefault="00180D19" w:rsidP="002A431D">
      <w:pPr>
        <w:jc w:val="both"/>
        <w:rPr>
          <w:sz w:val="24"/>
          <w:szCs w:val="24"/>
        </w:rPr>
      </w:pPr>
      <w:r w:rsidRPr="002A431D">
        <w:rPr>
          <w:sz w:val="24"/>
          <w:szCs w:val="24"/>
        </w:rPr>
        <w:t xml:space="preserve">En sentido similar se pronuncia Linares </w:t>
      </w:r>
      <w:r w:rsidR="00263021" w:rsidRPr="002A431D">
        <w:rPr>
          <w:sz w:val="24"/>
          <w:szCs w:val="24"/>
        </w:rPr>
        <w:t xml:space="preserve">al señalar que </w:t>
      </w:r>
      <w:r w:rsidRPr="002A431D">
        <w:rPr>
          <w:sz w:val="24"/>
          <w:szCs w:val="24"/>
        </w:rPr>
        <w:t>“el control judicial de las leyes, bajo una constitución rígida, significa una afrenta a los valores que dan sentido a un gobierno democrático y a los valores de igual dignidad y autonomía personal</w:t>
      </w:r>
      <w:r w:rsidR="00AD5C16" w:rsidRPr="002A431D">
        <w:rPr>
          <w:sz w:val="24"/>
          <w:szCs w:val="24"/>
        </w:rPr>
        <w:t>.</w:t>
      </w:r>
      <w:r w:rsidRPr="002A431D">
        <w:rPr>
          <w:sz w:val="24"/>
          <w:szCs w:val="24"/>
        </w:rPr>
        <w:t>”</w:t>
      </w:r>
      <w:r w:rsidR="00263021" w:rsidRPr="002A431D">
        <w:rPr>
          <w:rStyle w:val="Refdenotaalpie"/>
          <w:sz w:val="24"/>
          <w:szCs w:val="24"/>
        </w:rPr>
        <w:footnoteReference w:id="58"/>
      </w:r>
      <w:r w:rsidRPr="002A431D">
        <w:rPr>
          <w:sz w:val="24"/>
          <w:szCs w:val="24"/>
        </w:rPr>
        <w:t xml:space="preserve"> </w:t>
      </w:r>
    </w:p>
    <w:p w14:paraId="4B7B4FCF" w14:textId="3D22E5F1" w:rsidR="00A211F9" w:rsidRPr="002A431D" w:rsidRDefault="00A211F9" w:rsidP="002A431D">
      <w:pPr>
        <w:jc w:val="both"/>
        <w:rPr>
          <w:sz w:val="24"/>
          <w:szCs w:val="24"/>
        </w:rPr>
      </w:pPr>
      <w:r w:rsidRPr="002A431D">
        <w:rPr>
          <w:sz w:val="24"/>
          <w:szCs w:val="24"/>
        </w:rPr>
        <w:t>Volviendo a Waldron, son muchos los riesgos que encuentra en el exceso de poder que puede reconocerse a los jueces, instaurando una “supremacía judicial”, y que resume de la siguiente manera:</w:t>
      </w:r>
    </w:p>
    <w:p w14:paraId="54B1A7C4" w14:textId="12A14ED4" w:rsidR="00A211F9" w:rsidRPr="002A431D" w:rsidRDefault="00A211F9" w:rsidP="002A431D">
      <w:pPr>
        <w:ind w:left="709"/>
        <w:jc w:val="both"/>
        <w:rPr>
          <w:sz w:val="24"/>
          <w:szCs w:val="24"/>
        </w:rPr>
      </w:pPr>
      <w:r w:rsidRPr="002A431D">
        <w:rPr>
          <w:sz w:val="24"/>
          <w:szCs w:val="24"/>
        </w:rPr>
        <w:lastRenderedPageBreak/>
        <w:t xml:space="preserve">…tenemos tres explicaciones de lo que podría haber de malo en la preeminencia del poder judicial: 1. el desplazamiento del autogobierno; 2. la reproducción del problema </w:t>
      </w:r>
      <w:proofErr w:type="spellStart"/>
      <w:r w:rsidRPr="002A431D">
        <w:rPr>
          <w:sz w:val="24"/>
          <w:szCs w:val="24"/>
        </w:rPr>
        <w:t>hobbesiano</w:t>
      </w:r>
      <w:proofErr w:type="spellEnd"/>
      <w:r w:rsidRPr="002A431D">
        <w:rPr>
          <w:sz w:val="24"/>
          <w:szCs w:val="24"/>
        </w:rPr>
        <w:t xml:space="preserve"> sobre el Estado de derecho; y 3. la usurpación del rol de </w:t>
      </w:r>
      <w:proofErr w:type="spellStart"/>
      <w:r w:rsidRPr="002A431D">
        <w:rPr>
          <w:sz w:val="24"/>
          <w:szCs w:val="24"/>
        </w:rPr>
        <w:t>pouvoir</w:t>
      </w:r>
      <w:proofErr w:type="spellEnd"/>
      <w:r w:rsidRPr="002A431D">
        <w:rPr>
          <w:sz w:val="24"/>
          <w:szCs w:val="24"/>
        </w:rPr>
        <w:t xml:space="preserve"> </w:t>
      </w:r>
      <w:proofErr w:type="spellStart"/>
      <w:r w:rsidRPr="002A431D">
        <w:rPr>
          <w:sz w:val="24"/>
          <w:szCs w:val="24"/>
        </w:rPr>
        <w:t>constituant</w:t>
      </w:r>
      <w:proofErr w:type="spellEnd"/>
      <w:r w:rsidRPr="002A431D">
        <w:rPr>
          <w:sz w:val="24"/>
          <w:szCs w:val="24"/>
        </w:rPr>
        <w:t xml:space="preserve"> en lo referente a la </w:t>
      </w:r>
      <w:proofErr w:type="spellStart"/>
      <w:r w:rsidRPr="002A431D">
        <w:rPr>
          <w:sz w:val="24"/>
          <w:szCs w:val="24"/>
        </w:rPr>
        <w:t>Constitucón</w:t>
      </w:r>
      <w:proofErr w:type="spellEnd"/>
      <w:r w:rsidRPr="002A431D">
        <w:rPr>
          <w:sz w:val="24"/>
          <w:szCs w:val="24"/>
        </w:rPr>
        <w:t>. Si bien aquí las presente como tres posibilidades separadas, obviamente están conectadas</w:t>
      </w:r>
      <w:r w:rsidR="00AC53BF" w:rsidRPr="002A431D">
        <w:rPr>
          <w:sz w:val="24"/>
          <w:szCs w:val="24"/>
        </w:rPr>
        <w:t>…En todas se percibe cierta sensación de peligro de que la autoridad judicial desbalancee la constitución, aprovechándose del poder de los tribunales para revisar el trabajo de otras instituciones y de ese modo establecer su preeminencia en el esquema constitucional.</w:t>
      </w:r>
      <w:r w:rsidR="00AC53BF" w:rsidRPr="002A431D">
        <w:rPr>
          <w:rStyle w:val="Refdenotaalpie"/>
          <w:sz w:val="24"/>
          <w:szCs w:val="24"/>
        </w:rPr>
        <w:footnoteReference w:id="59"/>
      </w:r>
    </w:p>
    <w:p w14:paraId="7532FEEB" w14:textId="5DEC0651" w:rsidR="00E34A24" w:rsidRPr="002A431D" w:rsidRDefault="00E34A24" w:rsidP="002A431D">
      <w:pPr>
        <w:jc w:val="both"/>
        <w:rPr>
          <w:sz w:val="24"/>
          <w:szCs w:val="24"/>
        </w:rPr>
      </w:pPr>
      <w:r w:rsidRPr="002A431D">
        <w:rPr>
          <w:sz w:val="24"/>
          <w:szCs w:val="24"/>
        </w:rPr>
        <w:t xml:space="preserve">En su más reciente obra, </w:t>
      </w:r>
      <w:proofErr w:type="spellStart"/>
      <w:r w:rsidRPr="002A431D">
        <w:rPr>
          <w:sz w:val="24"/>
          <w:szCs w:val="24"/>
        </w:rPr>
        <w:t>Gargarella</w:t>
      </w:r>
      <w:proofErr w:type="spellEnd"/>
      <w:r w:rsidRPr="002A431D">
        <w:rPr>
          <w:sz w:val="24"/>
          <w:szCs w:val="24"/>
        </w:rPr>
        <w:t xml:space="preserve"> retoma la crítica </w:t>
      </w:r>
      <w:r w:rsidR="00236D8F" w:rsidRPr="002A431D">
        <w:rPr>
          <w:sz w:val="24"/>
          <w:szCs w:val="24"/>
        </w:rPr>
        <w:t>de</w:t>
      </w:r>
      <w:r w:rsidRPr="002A431D">
        <w:rPr>
          <w:sz w:val="24"/>
          <w:szCs w:val="24"/>
        </w:rPr>
        <w:t xml:space="preserve"> lo que denomina </w:t>
      </w:r>
      <w:r w:rsidR="005D2974" w:rsidRPr="002A431D">
        <w:rPr>
          <w:sz w:val="24"/>
          <w:szCs w:val="24"/>
        </w:rPr>
        <w:t>el “argumento Hamilton-Marshall”</w:t>
      </w:r>
      <w:r w:rsidR="005D2974" w:rsidRPr="002A431D">
        <w:rPr>
          <w:rStyle w:val="Refdenotaalpie"/>
          <w:sz w:val="24"/>
          <w:szCs w:val="24"/>
        </w:rPr>
        <w:footnoteReference w:id="60"/>
      </w:r>
      <w:r w:rsidR="00AC3B62" w:rsidRPr="002A431D">
        <w:rPr>
          <w:sz w:val="24"/>
          <w:szCs w:val="24"/>
        </w:rPr>
        <w:t xml:space="preserve">. Entre varios problemas que advierte en esa línea argumental que </w:t>
      </w:r>
      <w:r w:rsidR="001F16F8" w:rsidRPr="002A431D">
        <w:rPr>
          <w:sz w:val="24"/>
          <w:szCs w:val="24"/>
        </w:rPr>
        <w:t>justifica</w:t>
      </w:r>
      <w:r w:rsidR="00AC3B62" w:rsidRPr="002A431D">
        <w:rPr>
          <w:sz w:val="24"/>
          <w:szCs w:val="24"/>
        </w:rPr>
        <w:t xml:space="preserve"> la autoridad del juez para inaplicar una norma contraria a la constitución, destaca la “brecha interpretativa” que genera la existencia de textos constitucionales “imprecisos, vagos” y que están plagados “de principios, cláusulas abstractas, conceptos abiertos.”</w:t>
      </w:r>
      <w:r w:rsidR="00AC3B62" w:rsidRPr="002A431D">
        <w:rPr>
          <w:rStyle w:val="Refdenotaalpie"/>
          <w:sz w:val="24"/>
          <w:szCs w:val="24"/>
        </w:rPr>
        <w:footnoteReference w:id="61"/>
      </w:r>
      <w:r w:rsidR="00AC3B62" w:rsidRPr="002A431D">
        <w:rPr>
          <w:sz w:val="24"/>
          <w:szCs w:val="24"/>
        </w:rPr>
        <w:t xml:space="preserve"> Más aún cuando “no tenemos una teoría interpretativa compartida para resolver nuestros desacuerdos.”</w:t>
      </w:r>
      <w:r w:rsidR="00AC3B62" w:rsidRPr="002A431D">
        <w:rPr>
          <w:rStyle w:val="Refdenotaalpie"/>
          <w:sz w:val="24"/>
          <w:szCs w:val="24"/>
        </w:rPr>
        <w:footnoteReference w:id="62"/>
      </w:r>
    </w:p>
    <w:p w14:paraId="3F204A19" w14:textId="2FFD0B31" w:rsidR="001F16F8" w:rsidRPr="002A431D" w:rsidRDefault="001F16F8" w:rsidP="002A431D">
      <w:pPr>
        <w:jc w:val="both"/>
        <w:rPr>
          <w:sz w:val="24"/>
          <w:szCs w:val="24"/>
        </w:rPr>
      </w:pPr>
      <w:r w:rsidRPr="002A431D">
        <w:rPr>
          <w:sz w:val="24"/>
          <w:szCs w:val="24"/>
        </w:rPr>
        <w:t>En ese contexto, no encuentra el autor motivos suficientes para que sean los jueces quienes decidan cuál es el alcance del texto constitucional, y todavía más importante, cuando una norma está de acuerdo o no, con el alcance que se asigna a la constitución. En este punto señala que:</w:t>
      </w:r>
    </w:p>
    <w:p w14:paraId="12152BC3" w14:textId="22E342FB" w:rsidR="00AC3B62" w:rsidRPr="002A431D" w:rsidRDefault="001F16F8" w:rsidP="002A431D">
      <w:pPr>
        <w:ind w:left="709"/>
        <w:jc w:val="both"/>
        <w:rPr>
          <w:sz w:val="24"/>
          <w:szCs w:val="24"/>
        </w:rPr>
      </w:pPr>
      <w:r w:rsidRPr="002A431D">
        <w:rPr>
          <w:i/>
          <w:iCs/>
          <w:sz w:val="24"/>
          <w:szCs w:val="24"/>
        </w:rPr>
        <w:t xml:space="preserve">Cuanto más desacuerdo tenemos sobre cómo interpretar los textos jurídicos de nuestra comunidad, más se agiganta el problema de la legitimidad democrática de los jueces. </w:t>
      </w:r>
      <w:r w:rsidRPr="002A431D">
        <w:rPr>
          <w:sz w:val="24"/>
          <w:szCs w:val="24"/>
        </w:rPr>
        <w:t>Quedamos obligados a preguntarnos, entonces, por qué son los jueces, en vez de nosotros, los encargados de decidir cómo se lee la Constitución. ¿Por qué sucede, si ellos tienen tantas dudas como nosotros? El punto es que, si los jueces quedan a cargo de decidir en última instancia todos esos casos difíciles, es como si estuvieran gobernando… En otros términos, la objeción democrática reaparece ahora con todas sus fuerzas, de modo contundente e irremediable.</w:t>
      </w:r>
      <w:r w:rsidRPr="002A431D">
        <w:rPr>
          <w:rStyle w:val="Refdenotaalpie"/>
          <w:sz w:val="24"/>
          <w:szCs w:val="24"/>
        </w:rPr>
        <w:footnoteReference w:id="63"/>
      </w:r>
    </w:p>
    <w:p w14:paraId="4919D592" w14:textId="1A431AB2" w:rsidR="000C1884" w:rsidRPr="002A431D" w:rsidRDefault="00AD5C16" w:rsidP="002A431D">
      <w:pPr>
        <w:jc w:val="both"/>
        <w:rPr>
          <w:sz w:val="24"/>
          <w:szCs w:val="24"/>
        </w:rPr>
      </w:pPr>
      <w:r w:rsidRPr="002A431D">
        <w:rPr>
          <w:sz w:val="24"/>
          <w:szCs w:val="24"/>
        </w:rPr>
        <w:lastRenderedPageBreak/>
        <w:t>Al margen de la amplitud del debate, cuyo agotamiento excede largamente el objetivo del presente trabajo, l</w:t>
      </w:r>
      <w:r w:rsidR="005E5C38" w:rsidRPr="002A431D">
        <w:rPr>
          <w:sz w:val="24"/>
          <w:szCs w:val="24"/>
        </w:rPr>
        <w:t>as citas transcriptas</w:t>
      </w:r>
      <w:r w:rsidR="009A09A0" w:rsidRPr="002A431D">
        <w:rPr>
          <w:sz w:val="24"/>
          <w:szCs w:val="24"/>
        </w:rPr>
        <w:t xml:space="preserve"> </w:t>
      </w:r>
      <w:r w:rsidR="000C1884" w:rsidRPr="002A431D">
        <w:rPr>
          <w:sz w:val="24"/>
          <w:szCs w:val="24"/>
        </w:rPr>
        <w:t>pretenden demostrar el</w:t>
      </w:r>
      <w:r w:rsidRPr="002A431D">
        <w:rPr>
          <w:sz w:val="24"/>
          <w:szCs w:val="24"/>
        </w:rPr>
        <w:t xml:space="preserve"> nuevo</w:t>
      </w:r>
      <w:r w:rsidR="000C1884" w:rsidRPr="002A431D">
        <w:rPr>
          <w:sz w:val="24"/>
          <w:szCs w:val="24"/>
        </w:rPr>
        <w:t xml:space="preserve"> auge de esta postura crítica al Poder Judicial</w:t>
      </w:r>
      <w:r w:rsidRPr="002A431D">
        <w:rPr>
          <w:sz w:val="24"/>
          <w:szCs w:val="24"/>
        </w:rPr>
        <w:t xml:space="preserve"> tal como funciona en la mayor parte de las democracias occidentales.</w:t>
      </w:r>
    </w:p>
    <w:p w14:paraId="1068C176" w14:textId="51799218" w:rsidR="005558AA" w:rsidRPr="002A431D" w:rsidRDefault="00FC2FD0" w:rsidP="002A431D">
      <w:pPr>
        <w:jc w:val="both"/>
        <w:rPr>
          <w:sz w:val="24"/>
          <w:szCs w:val="24"/>
          <w:u w:val="single"/>
        </w:rPr>
      </w:pPr>
      <w:r w:rsidRPr="002A431D">
        <w:rPr>
          <w:sz w:val="24"/>
          <w:szCs w:val="24"/>
          <w:u w:val="single"/>
        </w:rPr>
        <w:t xml:space="preserve">III. </w:t>
      </w:r>
      <w:r w:rsidR="00C44EB8" w:rsidRPr="002A431D">
        <w:rPr>
          <w:sz w:val="24"/>
          <w:szCs w:val="24"/>
          <w:u w:val="single"/>
        </w:rPr>
        <w:t xml:space="preserve">La reforma del Poder Judicial como </w:t>
      </w:r>
      <w:r w:rsidRPr="002A431D">
        <w:rPr>
          <w:sz w:val="24"/>
          <w:szCs w:val="24"/>
          <w:u w:val="single"/>
        </w:rPr>
        <w:t>síntesis</w:t>
      </w:r>
      <w:r w:rsidR="00C44EB8" w:rsidRPr="002A431D">
        <w:rPr>
          <w:sz w:val="24"/>
          <w:szCs w:val="24"/>
          <w:u w:val="single"/>
        </w:rPr>
        <w:t xml:space="preserve"> de la tensión entre ambas visiones</w:t>
      </w:r>
    </w:p>
    <w:p w14:paraId="1DD2924D" w14:textId="4535A47D" w:rsidR="005558AA" w:rsidRPr="002A431D" w:rsidRDefault="005558AA" w:rsidP="002A431D">
      <w:pPr>
        <w:jc w:val="both"/>
        <w:rPr>
          <w:sz w:val="24"/>
          <w:szCs w:val="24"/>
        </w:rPr>
      </w:pPr>
      <w:r w:rsidRPr="002A431D">
        <w:rPr>
          <w:sz w:val="24"/>
          <w:szCs w:val="24"/>
        </w:rPr>
        <w:t>Este esquema breve y quizá</w:t>
      </w:r>
      <w:r w:rsidR="005263AD">
        <w:rPr>
          <w:sz w:val="24"/>
          <w:szCs w:val="24"/>
        </w:rPr>
        <w:t>s</w:t>
      </w:r>
      <w:r w:rsidRPr="002A431D">
        <w:rPr>
          <w:sz w:val="24"/>
          <w:szCs w:val="24"/>
        </w:rPr>
        <w:t xml:space="preserve"> incompleto sobre los modelos judiciales, </w:t>
      </w:r>
      <w:r w:rsidR="009A09A0" w:rsidRPr="002A431D">
        <w:rPr>
          <w:sz w:val="24"/>
          <w:szCs w:val="24"/>
        </w:rPr>
        <w:t xml:space="preserve">queda </w:t>
      </w:r>
      <w:r w:rsidR="002A431D">
        <w:rPr>
          <w:sz w:val="24"/>
          <w:szCs w:val="24"/>
        </w:rPr>
        <w:t xml:space="preserve">particularmente </w:t>
      </w:r>
      <w:r w:rsidR="009A09A0" w:rsidRPr="002A431D">
        <w:rPr>
          <w:sz w:val="24"/>
          <w:szCs w:val="24"/>
        </w:rPr>
        <w:t>en evidencia ni bien se analizan diversas</w:t>
      </w:r>
      <w:r w:rsidRPr="002A431D">
        <w:rPr>
          <w:sz w:val="24"/>
          <w:szCs w:val="24"/>
        </w:rPr>
        <w:t xml:space="preserve"> propuestas de reforma</w:t>
      </w:r>
      <w:r w:rsidR="00C44EB8" w:rsidRPr="002A431D">
        <w:rPr>
          <w:sz w:val="24"/>
          <w:szCs w:val="24"/>
        </w:rPr>
        <w:t xml:space="preserve"> del Poder Judicial que se han suscitado recientemente en </w:t>
      </w:r>
      <w:r w:rsidR="005263AD">
        <w:rPr>
          <w:sz w:val="24"/>
          <w:szCs w:val="24"/>
        </w:rPr>
        <w:t>L</w:t>
      </w:r>
      <w:r w:rsidR="00C44EB8" w:rsidRPr="002A431D">
        <w:rPr>
          <w:sz w:val="24"/>
          <w:szCs w:val="24"/>
        </w:rPr>
        <w:t>atinoamérica</w:t>
      </w:r>
      <w:r w:rsidRPr="002A431D">
        <w:rPr>
          <w:sz w:val="24"/>
          <w:szCs w:val="24"/>
        </w:rPr>
        <w:t>.</w:t>
      </w:r>
      <w:r w:rsidR="002A431D">
        <w:rPr>
          <w:sz w:val="24"/>
          <w:szCs w:val="24"/>
        </w:rPr>
        <w:t xml:space="preserve"> Allí encontramos expuesta con crudeza la tensión que existe entre una y otra postura.</w:t>
      </w:r>
      <w:r w:rsidR="009A09A0" w:rsidRPr="002A431D">
        <w:rPr>
          <w:sz w:val="24"/>
          <w:szCs w:val="24"/>
        </w:rPr>
        <w:t xml:space="preserve"> </w:t>
      </w:r>
    </w:p>
    <w:p w14:paraId="324363EC" w14:textId="73CC8AB1" w:rsidR="005558AA" w:rsidRPr="002A431D" w:rsidRDefault="00C44EB8" w:rsidP="002A431D">
      <w:pPr>
        <w:jc w:val="both"/>
        <w:rPr>
          <w:sz w:val="24"/>
          <w:szCs w:val="24"/>
        </w:rPr>
      </w:pPr>
      <w:r w:rsidRPr="002A431D">
        <w:rPr>
          <w:sz w:val="24"/>
          <w:szCs w:val="24"/>
        </w:rPr>
        <w:t xml:space="preserve">Algunos </w:t>
      </w:r>
      <w:r w:rsidR="005558AA" w:rsidRPr="002A431D">
        <w:rPr>
          <w:sz w:val="24"/>
          <w:szCs w:val="24"/>
        </w:rPr>
        <w:t>ejemplos sirven para aclarar lo expuesto:</w:t>
      </w:r>
    </w:p>
    <w:p w14:paraId="6A0DF2EE" w14:textId="77777777" w:rsidR="005B380B" w:rsidRPr="002A431D" w:rsidRDefault="005558AA" w:rsidP="002A431D">
      <w:pPr>
        <w:jc w:val="both"/>
        <w:rPr>
          <w:sz w:val="24"/>
          <w:szCs w:val="24"/>
        </w:rPr>
      </w:pPr>
      <w:r w:rsidRPr="002A431D">
        <w:rPr>
          <w:sz w:val="24"/>
          <w:szCs w:val="24"/>
        </w:rPr>
        <w:t xml:space="preserve">1. El denominado proyecto de “democratización de la justicia” que vio la luz durante los </w:t>
      </w:r>
      <w:r w:rsidR="00163F77" w:rsidRPr="002A431D">
        <w:rPr>
          <w:sz w:val="24"/>
          <w:szCs w:val="24"/>
        </w:rPr>
        <w:t>años del</w:t>
      </w:r>
      <w:r w:rsidR="00C44EB8" w:rsidRPr="002A431D">
        <w:rPr>
          <w:sz w:val="24"/>
          <w:szCs w:val="24"/>
        </w:rPr>
        <w:t xml:space="preserve"> gobierno de Cristina Fernández de Kirchner y </w:t>
      </w:r>
      <w:proofErr w:type="gramStart"/>
      <w:r w:rsidR="00C44EB8" w:rsidRPr="002A431D">
        <w:rPr>
          <w:sz w:val="24"/>
          <w:szCs w:val="24"/>
        </w:rPr>
        <w:t xml:space="preserve">que </w:t>
      </w:r>
      <w:r w:rsidR="00163F77" w:rsidRPr="002A431D">
        <w:rPr>
          <w:sz w:val="24"/>
          <w:szCs w:val="24"/>
        </w:rPr>
        <w:t xml:space="preserve"> </w:t>
      </w:r>
      <w:r w:rsidR="00265D84" w:rsidRPr="002A431D">
        <w:rPr>
          <w:sz w:val="24"/>
          <w:szCs w:val="24"/>
        </w:rPr>
        <w:t>contempla</w:t>
      </w:r>
      <w:proofErr w:type="gramEnd"/>
      <w:r w:rsidR="00163F77" w:rsidRPr="002A431D">
        <w:rPr>
          <w:sz w:val="24"/>
          <w:szCs w:val="24"/>
        </w:rPr>
        <w:t xml:space="preserve"> la regulación de las medidas cautelares contra el Estado</w:t>
      </w:r>
      <w:r w:rsidR="005B380B" w:rsidRPr="002A431D">
        <w:rPr>
          <w:sz w:val="24"/>
          <w:szCs w:val="24"/>
        </w:rPr>
        <w:t xml:space="preserve">. </w:t>
      </w:r>
    </w:p>
    <w:p w14:paraId="36B9BB9F" w14:textId="6511DAEE" w:rsidR="00265D84" w:rsidRPr="002A431D" w:rsidRDefault="005B380B" w:rsidP="002A431D">
      <w:pPr>
        <w:jc w:val="both"/>
        <w:rPr>
          <w:sz w:val="24"/>
          <w:szCs w:val="24"/>
        </w:rPr>
      </w:pPr>
      <w:r w:rsidRPr="002A431D">
        <w:rPr>
          <w:sz w:val="24"/>
          <w:szCs w:val="24"/>
        </w:rPr>
        <w:t>En este punto d</w:t>
      </w:r>
      <w:r w:rsidR="00265D84" w:rsidRPr="002A431D">
        <w:rPr>
          <w:sz w:val="24"/>
          <w:szCs w:val="24"/>
        </w:rPr>
        <w:t xml:space="preserve">ispone que cuando se soliciten medidas cautelares contra el Estado y no estén en juego </w:t>
      </w:r>
      <w:r w:rsidR="00907DF0" w:rsidRPr="002A431D">
        <w:rPr>
          <w:sz w:val="24"/>
          <w:szCs w:val="24"/>
        </w:rPr>
        <w:t xml:space="preserve">ciertos </w:t>
      </w:r>
      <w:r w:rsidR="00265D84" w:rsidRPr="002A431D">
        <w:rPr>
          <w:sz w:val="24"/>
          <w:szCs w:val="24"/>
        </w:rPr>
        <w:t>derechos</w:t>
      </w:r>
      <w:r w:rsidR="00907DF0" w:rsidRPr="002A431D">
        <w:rPr>
          <w:sz w:val="24"/>
          <w:szCs w:val="24"/>
        </w:rPr>
        <w:t xml:space="preserve"> fundamentales</w:t>
      </w:r>
      <w:r w:rsidR="00265D84" w:rsidRPr="002A431D">
        <w:rPr>
          <w:sz w:val="24"/>
          <w:szCs w:val="24"/>
        </w:rPr>
        <w:t xml:space="preserve">, deberá solicitarse un informe previo a la autoridad pública, por cinco días, para que se pronuncie sobre el interés público comprometido. </w:t>
      </w:r>
    </w:p>
    <w:p w14:paraId="0E5F85E7" w14:textId="77777777" w:rsidR="00265D84" w:rsidRPr="002A431D" w:rsidRDefault="00265D84" w:rsidP="002A431D">
      <w:pPr>
        <w:jc w:val="both"/>
        <w:rPr>
          <w:sz w:val="24"/>
          <w:szCs w:val="24"/>
        </w:rPr>
      </w:pPr>
      <w:r w:rsidRPr="002A431D">
        <w:rPr>
          <w:sz w:val="24"/>
          <w:szCs w:val="24"/>
        </w:rPr>
        <w:t>Las medidas que se dicten no podrán exceder el plazo máximo de 6 meses o de 3 si hablamos de un proceso sumarísimo como un amparo.</w:t>
      </w:r>
    </w:p>
    <w:p w14:paraId="01A098CF" w14:textId="77777777" w:rsidR="00265D84" w:rsidRPr="002A431D" w:rsidRDefault="00265D84" w:rsidP="002A431D">
      <w:pPr>
        <w:jc w:val="both"/>
        <w:rPr>
          <w:sz w:val="24"/>
          <w:szCs w:val="24"/>
        </w:rPr>
      </w:pPr>
      <w:r w:rsidRPr="002A431D">
        <w:rPr>
          <w:sz w:val="24"/>
          <w:szCs w:val="24"/>
        </w:rPr>
        <w:t xml:space="preserve">Finalmente, esas medidas no podrán afectar, obstaculizar, comprometer, distraer de su destino o de cualquier forma perturbar los bienes o recursos propios del Estado y no se admitirá como </w:t>
      </w:r>
      <w:proofErr w:type="spellStart"/>
      <w:r w:rsidRPr="002A431D">
        <w:rPr>
          <w:sz w:val="24"/>
          <w:szCs w:val="24"/>
        </w:rPr>
        <w:t>contracautela</w:t>
      </w:r>
      <w:proofErr w:type="spellEnd"/>
      <w:r w:rsidRPr="002A431D">
        <w:rPr>
          <w:sz w:val="24"/>
          <w:szCs w:val="24"/>
        </w:rPr>
        <w:t xml:space="preserve"> la caución juratoria.</w:t>
      </w:r>
    </w:p>
    <w:p w14:paraId="0912DEEC" w14:textId="77777777" w:rsidR="00265D84" w:rsidRPr="002A431D" w:rsidRDefault="00265D84" w:rsidP="002A431D">
      <w:pPr>
        <w:jc w:val="both"/>
        <w:rPr>
          <w:sz w:val="24"/>
          <w:szCs w:val="24"/>
        </w:rPr>
      </w:pPr>
      <w:r w:rsidRPr="002A431D">
        <w:rPr>
          <w:sz w:val="24"/>
          <w:szCs w:val="24"/>
        </w:rPr>
        <w:t>Hablamos en este caso de una reforma que pretende limitar las atribuciones judiciales y que deja entrever una clara desconfianza o pesimismo respecto del uso judicial de las medidas cautelares contra el Estado.</w:t>
      </w:r>
    </w:p>
    <w:p w14:paraId="33FEAD2C" w14:textId="1ADC5B18" w:rsidR="00265D84" w:rsidRPr="002A431D" w:rsidRDefault="00265D84" w:rsidP="002A431D">
      <w:pPr>
        <w:jc w:val="both"/>
        <w:rPr>
          <w:sz w:val="24"/>
          <w:szCs w:val="24"/>
        </w:rPr>
      </w:pPr>
      <w:r w:rsidRPr="002A431D">
        <w:rPr>
          <w:sz w:val="24"/>
          <w:szCs w:val="24"/>
        </w:rPr>
        <w:t>2. Igual desconf</w:t>
      </w:r>
      <w:r w:rsidR="00B84033" w:rsidRPr="002A431D">
        <w:rPr>
          <w:sz w:val="24"/>
          <w:szCs w:val="24"/>
        </w:rPr>
        <w:t>ianza, pero con fundamentos diferentes,</w:t>
      </w:r>
      <w:r w:rsidRPr="002A431D">
        <w:rPr>
          <w:sz w:val="24"/>
          <w:szCs w:val="24"/>
        </w:rPr>
        <w:t xml:space="preserve"> aparece en los proyectos que intentan </w:t>
      </w:r>
      <w:r w:rsidR="00B84033" w:rsidRPr="002A431D">
        <w:rPr>
          <w:sz w:val="24"/>
          <w:szCs w:val="24"/>
        </w:rPr>
        <w:t xml:space="preserve">“democratizar” el proceso de designación –caso de la Ley </w:t>
      </w:r>
      <w:proofErr w:type="spellStart"/>
      <w:r w:rsidR="00C44EB8" w:rsidRPr="002A431D">
        <w:rPr>
          <w:sz w:val="24"/>
          <w:szCs w:val="24"/>
        </w:rPr>
        <w:t>Nº</w:t>
      </w:r>
      <w:proofErr w:type="spellEnd"/>
      <w:r w:rsidR="00C44EB8" w:rsidRPr="002A431D">
        <w:rPr>
          <w:sz w:val="24"/>
          <w:szCs w:val="24"/>
        </w:rPr>
        <w:t xml:space="preserve"> </w:t>
      </w:r>
      <w:r w:rsidR="00B84033" w:rsidRPr="002A431D">
        <w:rPr>
          <w:sz w:val="24"/>
          <w:szCs w:val="24"/>
        </w:rPr>
        <w:t xml:space="preserve">26855 declarada inconstitucional en el precedente </w:t>
      </w:r>
      <w:r w:rsidR="00C44EB8" w:rsidRPr="002A431D">
        <w:rPr>
          <w:sz w:val="24"/>
          <w:szCs w:val="24"/>
        </w:rPr>
        <w:t>“</w:t>
      </w:r>
      <w:r w:rsidR="00B84033" w:rsidRPr="002A431D">
        <w:rPr>
          <w:sz w:val="24"/>
          <w:szCs w:val="24"/>
        </w:rPr>
        <w:t>Ri</w:t>
      </w:r>
      <w:r w:rsidR="006213EB">
        <w:rPr>
          <w:sz w:val="24"/>
          <w:szCs w:val="24"/>
        </w:rPr>
        <w:t>zzo</w:t>
      </w:r>
      <w:r w:rsidR="00C44EB8" w:rsidRPr="002A431D">
        <w:rPr>
          <w:sz w:val="24"/>
          <w:szCs w:val="24"/>
        </w:rPr>
        <w:t>”</w:t>
      </w:r>
      <w:r w:rsidR="006213EB">
        <w:rPr>
          <w:rStyle w:val="Refdenotaalpie"/>
          <w:sz w:val="24"/>
          <w:szCs w:val="24"/>
        </w:rPr>
        <w:footnoteReference w:id="64"/>
      </w:r>
      <w:r w:rsidR="00B84033" w:rsidRPr="002A431D">
        <w:rPr>
          <w:sz w:val="24"/>
          <w:szCs w:val="24"/>
        </w:rPr>
        <w:t>- de los magistrados o su toma de decisión, como sería el caso del juicio por jurados.</w:t>
      </w:r>
    </w:p>
    <w:p w14:paraId="3E3D1313" w14:textId="26A72467" w:rsidR="00B84033" w:rsidRDefault="00B84033" w:rsidP="002A431D">
      <w:pPr>
        <w:jc w:val="both"/>
        <w:rPr>
          <w:sz w:val="24"/>
          <w:szCs w:val="24"/>
        </w:rPr>
      </w:pPr>
      <w:r w:rsidRPr="002A431D">
        <w:rPr>
          <w:sz w:val="24"/>
          <w:szCs w:val="24"/>
        </w:rPr>
        <w:t>No se trata de cuestionar este tipo de proyectos.</w:t>
      </w:r>
      <w:r w:rsidR="00907DF0" w:rsidRPr="002A431D">
        <w:rPr>
          <w:sz w:val="24"/>
          <w:szCs w:val="24"/>
        </w:rPr>
        <w:t xml:space="preserve"> </w:t>
      </w:r>
      <w:r w:rsidRPr="002A431D">
        <w:rPr>
          <w:sz w:val="24"/>
          <w:szCs w:val="24"/>
        </w:rPr>
        <w:t>Simplemente afirmamos que son intentos de modificación de la actual estructura judicial que pretenden acotar el ámbito de actuación de los jueces y que por ende desconfían de lo que un Juez puede hacer con plenas libertades para actuar.</w:t>
      </w:r>
    </w:p>
    <w:p w14:paraId="08B0DE70" w14:textId="77777777" w:rsidR="00AB2CEA" w:rsidRDefault="005A06E9" w:rsidP="00AB2CEA">
      <w:pPr>
        <w:jc w:val="both"/>
        <w:rPr>
          <w:i/>
          <w:iCs/>
          <w:sz w:val="24"/>
          <w:szCs w:val="24"/>
        </w:rPr>
      </w:pPr>
      <w:r>
        <w:rPr>
          <w:sz w:val="24"/>
          <w:szCs w:val="24"/>
        </w:rPr>
        <w:lastRenderedPageBreak/>
        <w:t xml:space="preserve">3. En el reciente proyecto de reforma elaborado por iniciativa del </w:t>
      </w:r>
      <w:proofErr w:type="gramStart"/>
      <w:r>
        <w:rPr>
          <w:sz w:val="24"/>
          <w:szCs w:val="24"/>
        </w:rPr>
        <w:t>Presidente</w:t>
      </w:r>
      <w:proofErr w:type="gramEnd"/>
      <w:r>
        <w:rPr>
          <w:sz w:val="24"/>
          <w:szCs w:val="24"/>
        </w:rPr>
        <w:t xml:space="preserve"> Alberto Fernández, denominado “Reforma Judicial 2020”, se advierte una similar posición de desconfianza. En este sentido, en el mensaje de </w:t>
      </w:r>
      <w:r w:rsidR="0074265A">
        <w:rPr>
          <w:sz w:val="24"/>
          <w:szCs w:val="24"/>
        </w:rPr>
        <w:t xml:space="preserve">presentación del proyecto </w:t>
      </w:r>
      <w:r w:rsidR="00AB2CEA">
        <w:rPr>
          <w:sz w:val="24"/>
          <w:szCs w:val="24"/>
        </w:rPr>
        <w:t xml:space="preserve">el </w:t>
      </w:r>
      <w:proofErr w:type="gramStart"/>
      <w:r w:rsidR="00AB2CEA">
        <w:rPr>
          <w:sz w:val="24"/>
          <w:szCs w:val="24"/>
        </w:rPr>
        <w:t>Presidente</w:t>
      </w:r>
      <w:proofErr w:type="gramEnd"/>
      <w:r w:rsidR="00AB2CEA">
        <w:rPr>
          <w:sz w:val="24"/>
          <w:szCs w:val="24"/>
        </w:rPr>
        <w:t xml:space="preserve"> indicó que uno de los objetivos es “</w:t>
      </w:r>
      <w:r w:rsidR="00AB2CEA" w:rsidRPr="00AB2CEA">
        <w:rPr>
          <w:sz w:val="24"/>
          <w:szCs w:val="24"/>
        </w:rPr>
        <w:t>superar que el poder decisorio se concentre en un reducido número de magistrados y magistradas que, como sucede en la actualidad, tienen el poder de conocer y decidir en casi la totalidad de las causas con relevancia institucional y consecuentemente mediática. Estas han sido circunstancias determinantes para que este fuero se politizara del modo en que ha ocurrido</w:t>
      </w:r>
      <w:r w:rsidR="00AB2CEA" w:rsidRPr="00AB2CEA">
        <w:rPr>
          <w:i/>
          <w:iCs/>
          <w:sz w:val="24"/>
          <w:szCs w:val="24"/>
        </w:rPr>
        <w:t>.</w:t>
      </w:r>
      <w:r w:rsidR="00AB2CEA">
        <w:rPr>
          <w:i/>
          <w:iCs/>
          <w:sz w:val="24"/>
          <w:szCs w:val="24"/>
        </w:rPr>
        <w:t>”</w:t>
      </w:r>
    </w:p>
    <w:p w14:paraId="752C4CFF" w14:textId="0C164958" w:rsidR="005A06E9" w:rsidRPr="002A431D" w:rsidRDefault="00AB2CEA" w:rsidP="002A431D">
      <w:pPr>
        <w:jc w:val="both"/>
        <w:rPr>
          <w:sz w:val="24"/>
          <w:szCs w:val="24"/>
        </w:rPr>
      </w:pPr>
      <w:r>
        <w:rPr>
          <w:sz w:val="24"/>
          <w:szCs w:val="24"/>
        </w:rPr>
        <w:t>Al margen de las críticas que pueden encontrarse en relación al proyecto</w:t>
      </w:r>
      <w:r>
        <w:rPr>
          <w:rStyle w:val="Refdenotaalpie"/>
          <w:sz w:val="24"/>
          <w:szCs w:val="24"/>
        </w:rPr>
        <w:footnoteReference w:id="65"/>
      </w:r>
      <w:r w:rsidR="00470760">
        <w:rPr>
          <w:i/>
          <w:iCs/>
          <w:sz w:val="24"/>
          <w:szCs w:val="24"/>
        </w:rPr>
        <w:t xml:space="preserve"> </w:t>
      </w:r>
      <w:r w:rsidR="00470760">
        <w:rPr>
          <w:sz w:val="24"/>
          <w:szCs w:val="24"/>
        </w:rPr>
        <w:t>y las circunstancias que rodearon su elaboración, no podemos dejar de resaltar la actitud de desconfianza hacia la magistratura que trasunta todo su contenido.</w:t>
      </w:r>
    </w:p>
    <w:p w14:paraId="481182BD" w14:textId="7191627B" w:rsidR="00791F8F" w:rsidRPr="002A431D" w:rsidRDefault="00470760" w:rsidP="002A431D">
      <w:pPr>
        <w:jc w:val="both"/>
        <w:rPr>
          <w:sz w:val="24"/>
          <w:szCs w:val="24"/>
        </w:rPr>
      </w:pPr>
      <w:r>
        <w:rPr>
          <w:sz w:val="24"/>
          <w:szCs w:val="24"/>
        </w:rPr>
        <w:t>4</w:t>
      </w:r>
      <w:r w:rsidR="00B84033" w:rsidRPr="002A431D">
        <w:rPr>
          <w:sz w:val="24"/>
          <w:szCs w:val="24"/>
        </w:rPr>
        <w:t>. El ejemplo contrario lo encontramos en la</w:t>
      </w:r>
      <w:r w:rsidR="00335C05" w:rsidRPr="002A431D">
        <w:rPr>
          <w:sz w:val="24"/>
          <w:szCs w:val="24"/>
        </w:rPr>
        <w:t>s propuestas de</w:t>
      </w:r>
      <w:r w:rsidR="00B84033" w:rsidRPr="002A431D">
        <w:rPr>
          <w:sz w:val="24"/>
          <w:szCs w:val="24"/>
        </w:rPr>
        <w:t xml:space="preserve"> reforma al Poder Judicia</w:t>
      </w:r>
      <w:r w:rsidR="00335C05" w:rsidRPr="002A431D">
        <w:rPr>
          <w:sz w:val="24"/>
          <w:szCs w:val="24"/>
        </w:rPr>
        <w:t>l</w:t>
      </w:r>
      <w:r w:rsidR="00B84033" w:rsidRPr="002A431D">
        <w:rPr>
          <w:sz w:val="24"/>
          <w:szCs w:val="24"/>
        </w:rPr>
        <w:t xml:space="preserve"> Mexicano </w:t>
      </w:r>
      <w:r w:rsidR="00335C05" w:rsidRPr="002A431D">
        <w:rPr>
          <w:sz w:val="24"/>
          <w:szCs w:val="24"/>
        </w:rPr>
        <w:t>que efectúa</w:t>
      </w:r>
      <w:r w:rsidR="00160060">
        <w:rPr>
          <w:sz w:val="24"/>
          <w:szCs w:val="24"/>
        </w:rPr>
        <w:t xml:space="preserve"> Miguel Carbonell</w:t>
      </w:r>
      <w:r w:rsidR="000C4023">
        <w:rPr>
          <w:rStyle w:val="Refdenotaalpie"/>
          <w:sz w:val="24"/>
          <w:szCs w:val="24"/>
        </w:rPr>
        <w:footnoteReference w:id="66"/>
      </w:r>
      <w:r w:rsidR="00335C05" w:rsidRPr="002A431D">
        <w:rPr>
          <w:sz w:val="24"/>
          <w:szCs w:val="24"/>
        </w:rPr>
        <w:t xml:space="preserve"> quien </w:t>
      </w:r>
      <w:r w:rsidR="00791F8F" w:rsidRPr="002A431D">
        <w:rPr>
          <w:sz w:val="24"/>
          <w:szCs w:val="24"/>
        </w:rPr>
        <w:t>luego de resaltar la centralidad del Poder Judicial en la estructura estatal actual, proponen entre otras cosas:</w:t>
      </w:r>
    </w:p>
    <w:p w14:paraId="62D16766" w14:textId="3EDDD93E" w:rsidR="00B84033" w:rsidRPr="002A431D" w:rsidRDefault="00335C05" w:rsidP="002A431D">
      <w:pPr>
        <w:jc w:val="both"/>
        <w:rPr>
          <w:sz w:val="24"/>
          <w:szCs w:val="24"/>
        </w:rPr>
      </w:pPr>
      <w:r w:rsidRPr="002A431D">
        <w:rPr>
          <w:sz w:val="24"/>
          <w:szCs w:val="24"/>
        </w:rPr>
        <w:tab/>
        <w:t>a) Mejoras en la administración de justicia</w:t>
      </w:r>
    </w:p>
    <w:p w14:paraId="16788C9F" w14:textId="1155D967" w:rsidR="00335C05" w:rsidRPr="002A431D" w:rsidRDefault="00335C05" w:rsidP="002A431D">
      <w:pPr>
        <w:jc w:val="both"/>
        <w:rPr>
          <w:sz w:val="24"/>
          <w:szCs w:val="24"/>
        </w:rPr>
      </w:pPr>
      <w:r w:rsidRPr="002A431D">
        <w:rPr>
          <w:sz w:val="24"/>
          <w:szCs w:val="24"/>
        </w:rPr>
        <w:tab/>
        <w:t>b) Fortalecimiento de la independencia judicial</w:t>
      </w:r>
    </w:p>
    <w:p w14:paraId="5F143A36" w14:textId="77777777" w:rsidR="00551E76" w:rsidRDefault="00335C05" w:rsidP="00551E76">
      <w:pPr>
        <w:jc w:val="both"/>
        <w:rPr>
          <w:sz w:val="24"/>
          <w:szCs w:val="24"/>
        </w:rPr>
      </w:pPr>
      <w:r w:rsidRPr="002A431D">
        <w:rPr>
          <w:sz w:val="24"/>
          <w:szCs w:val="24"/>
        </w:rPr>
        <w:tab/>
      </w:r>
      <w:r w:rsidR="009A09A0" w:rsidRPr="002A431D">
        <w:rPr>
          <w:sz w:val="24"/>
          <w:szCs w:val="24"/>
        </w:rPr>
        <w:t>c</w:t>
      </w:r>
      <w:r w:rsidR="00791F8F" w:rsidRPr="002A431D">
        <w:rPr>
          <w:sz w:val="24"/>
          <w:szCs w:val="24"/>
        </w:rPr>
        <w:t>) Eliminación del principio de relatividad de las sentencias de amparo</w:t>
      </w:r>
    </w:p>
    <w:p w14:paraId="46C47ABF" w14:textId="49231373" w:rsidR="00791F8F" w:rsidRPr="002A431D" w:rsidRDefault="00791F8F" w:rsidP="002A431D">
      <w:pPr>
        <w:jc w:val="both"/>
        <w:rPr>
          <w:sz w:val="24"/>
          <w:szCs w:val="24"/>
        </w:rPr>
      </w:pPr>
      <w:r w:rsidRPr="002A431D">
        <w:rPr>
          <w:sz w:val="24"/>
          <w:szCs w:val="24"/>
        </w:rPr>
        <w:t>El contraste</w:t>
      </w:r>
      <w:r w:rsidR="00335C05" w:rsidRPr="002A431D">
        <w:rPr>
          <w:sz w:val="24"/>
          <w:szCs w:val="24"/>
        </w:rPr>
        <w:t xml:space="preserve"> con las propuestas anteriores es evidente</w:t>
      </w:r>
      <w:r w:rsidRPr="002A431D">
        <w:rPr>
          <w:sz w:val="24"/>
          <w:szCs w:val="24"/>
        </w:rPr>
        <w:t>: Limitación de las cautelares vs eliminación del principio de relatividad de las sentencias</w:t>
      </w:r>
      <w:r w:rsidR="00335C05" w:rsidRPr="002A431D">
        <w:rPr>
          <w:sz w:val="24"/>
          <w:szCs w:val="24"/>
        </w:rPr>
        <w:t xml:space="preserve">. </w:t>
      </w:r>
    </w:p>
    <w:p w14:paraId="76F7ACA9" w14:textId="77777777" w:rsidR="0011047A" w:rsidRDefault="00160060" w:rsidP="002A431D">
      <w:pPr>
        <w:jc w:val="both"/>
        <w:rPr>
          <w:sz w:val="24"/>
          <w:szCs w:val="24"/>
        </w:rPr>
      </w:pPr>
      <w:r>
        <w:rPr>
          <w:sz w:val="24"/>
          <w:szCs w:val="24"/>
        </w:rPr>
        <w:lastRenderedPageBreak/>
        <w:t>5</w:t>
      </w:r>
      <w:r w:rsidR="00695F30" w:rsidRPr="002A431D">
        <w:rPr>
          <w:sz w:val="24"/>
          <w:szCs w:val="24"/>
        </w:rPr>
        <w:t xml:space="preserve">. Otro ejemplo de reforma que puede encontrarse en este marco de confianza, es el de la regulación de las denominadas “sentencias estructurales”, que al decir de Osuna en relación al caso colombiano son aquellas en que </w:t>
      </w:r>
    </w:p>
    <w:p w14:paraId="7AA5BABD" w14:textId="6565C49F" w:rsidR="00695F30" w:rsidRPr="002A431D" w:rsidRDefault="00C44439" w:rsidP="0011047A">
      <w:pPr>
        <w:ind w:left="709"/>
        <w:jc w:val="both"/>
        <w:rPr>
          <w:sz w:val="24"/>
          <w:szCs w:val="24"/>
        </w:rPr>
      </w:pPr>
      <w:r w:rsidRPr="002A431D">
        <w:rPr>
          <w:sz w:val="24"/>
          <w:szCs w:val="24"/>
        </w:rPr>
        <w:t>el juez se habilita, como máximo intérprete y defensor de los derechos establecidos en la Constitución, para definir cómo deben actuar las autoridades con miras a garantizar el ejercicio efectivo de esos derechos, en asuntos que han sido gravemente descuidados por ellas y, en consecuencia, expide órdenes que exceden las coordenadas inter partes de los casos que originaron la respectiva sentencia y que apuntan a resolver el problema generalizado que se ha detectado.</w:t>
      </w:r>
      <w:r w:rsidR="0011047A">
        <w:rPr>
          <w:rStyle w:val="Refdenotaalpie"/>
          <w:sz w:val="24"/>
          <w:szCs w:val="24"/>
        </w:rPr>
        <w:footnoteReference w:id="67"/>
      </w:r>
    </w:p>
    <w:p w14:paraId="256E56DE" w14:textId="7245AF3C" w:rsidR="00791F8F" w:rsidRPr="002A431D" w:rsidRDefault="00FC2FD0" w:rsidP="002A431D">
      <w:pPr>
        <w:jc w:val="both"/>
        <w:rPr>
          <w:sz w:val="24"/>
          <w:szCs w:val="24"/>
          <w:u w:val="single"/>
        </w:rPr>
      </w:pPr>
      <w:r w:rsidRPr="002A431D">
        <w:rPr>
          <w:sz w:val="24"/>
          <w:szCs w:val="24"/>
          <w:u w:val="single"/>
        </w:rPr>
        <w:t xml:space="preserve">IV. </w:t>
      </w:r>
      <w:r w:rsidR="00F72284" w:rsidRPr="002A431D">
        <w:rPr>
          <w:sz w:val="24"/>
          <w:szCs w:val="24"/>
          <w:u w:val="single"/>
        </w:rPr>
        <w:t>Conclusiones</w:t>
      </w:r>
    </w:p>
    <w:p w14:paraId="58380D8E" w14:textId="0D85601C" w:rsidR="005B3BF0" w:rsidRDefault="005B3BF0" w:rsidP="002A431D">
      <w:pPr>
        <w:jc w:val="both"/>
        <w:rPr>
          <w:sz w:val="24"/>
          <w:szCs w:val="24"/>
        </w:rPr>
      </w:pPr>
      <w:r>
        <w:rPr>
          <w:sz w:val="24"/>
          <w:szCs w:val="24"/>
        </w:rPr>
        <w:t>Hemos desarrollado a lo largo del presente trabajo las que consideramos son las dos posturas centrales detrás de todo esquema judicial. La tensión entre ambas posiciones, de confianza o desconfianza en la labor de la magistratura, se remonta a los orígenes de la atribución de ciertas facultades con peso institucional al Poder Judicial, y se mantiene hasta nuestros días.</w:t>
      </w:r>
    </w:p>
    <w:p w14:paraId="50C4D4A2" w14:textId="062F0690" w:rsidR="005B3BF0" w:rsidRDefault="005B3BF0" w:rsidP="002A431D">
      <w:pPr>
        <w:jc w:val="both"/>
        <w:rPr>
          <w:sz w:val="24"/>
          <w:szCs w:val="24"/>
        </w:rPr>
      </w:pPr>
      <w:r>
        <w:rPr>
          <w:sz w:val="24"/>
          <w:szCs w:val="24"/>
        </w:rPr>
        <w:t>Ello al punto que cíclicamente y partiendo desde una u otra posición, se proponen modificaciones al Poder Judicial. Allí donde se advierten excesos, se intentan recortes y lo contrario en donde se encuentran falencias.</w:t>
      </w:r>
    </w:p>
    <w:p w14:paraId="152F1DEF" w14:textId="365A40F5" w:rsidR="009A09A0" w:rsidRPr="002A431D" w:rsidRDefault="00C44439" w:rsidP="002A431D">
      <w:pPr>
        <w:jc w:val="both"/>
        <w:rPr>
          <w:sz w:val="24"/>
          <w:szCs w:val="24"/>
        </w:rPr>
      </w:pPr>
      <w:r w:rsidRPr="002A431D">
        <w:rPr>
          <w:sz w:val="24"/>
          <w:szCs w:val="24"/>
        </w:rPr>
        <w:t>En este marco</w:t>
      </w:r>
      <w:r w:rsidR="009A09A0" w:rsidRPr="002A431D">
        <w:rPr>
          <w:sz w:val="24"/>
          <w:szCs w:val="24"/>
        </w:rPr>
        <w:t xml:space="preserve"> resulta claro que solo en un contexto de confianza u optimismo sobre la labor judicial, pueden concebirse sentencias que resulten ampliatorias de derechos.</w:t>
      </w:r>
      <w:r w:rsidR="005B3BF0">
        <w:rPr>
          <w:sz w:val="24"/>
          <w:szCs w:val="24"/>
        </w:rPr>
        <w:t xml:space="preserve"> Sólo en un marco de reconocimiento de amplísimas facultades a los jueces puede alcanzar vigencia una sentencia que no sólo amplíe el texto legal o constitucional, sino que como lógica consecuencia determine una mayor obligación a los otros órganos del poder.</w:t>
      </w:r>
    </w:p>
    <w:p w14:paraId="15074DA8" w14:textId="6D757B51" w:rsidR="00C44439" w:rsidRPr="002A431D" w:rsidRDefault="009A09A0" w:rsidP="002A431D">
      <w:pPr>
        <w:jc w:val="both"/>
        <w:rPr>
          <w:sz w:val="24"/>
          <w:szCs w:val="24"/>
        </w:rPr>
      </w:pPr>
      <w:r w:rsidRPr="002A431D">
        <w:rPr>
          <w:sz w:val="24"/>
          <w:szCs w:val="24"/>
        </w:rPr>
        <w:t>Resulta notorio como aquellos proyectos de modificación del Poder Judicial que parten de la desconfianza en el poder de los jueces,</w:t>
      </w:r>
      <w:r w:rsidR="00C44439" w:rsidRPr="002A431D">
        <w:rPr>
          <w:sz w:val="24"/>
          <w:szCs w:val="24"/>
        </w:rPr>
        <w:t xml:space="preserve"> </w:t>
      </w:r>
      <w:r w:rsidRPr="002A431D">
        <w:rPr>
          <w:sz w:val="24"/>
          <w:szCs w:val="24"/>
        </w:rPr>
        <w:t xml:space="preserve">implicarían un serio obstáculo para hacer valer sentencias de esta naturaleza contra el Estado. </w:t>
      </w:r>
    </w:p>
    <w:p w14:paraId="0994A9E6" w14:textId="1B28ABC4" w:rsidR="00C44439" w:rsidRPr="002A431D" w:rsidRDefault="009A09A0" w:rsidP="002A431D">
      <w:pPr>
        <w:jc w:val="both"/>
        <w:rPr>
          <w:sz w:val="24"/>
          <w:szCs w:val="24"/>
        </w:rPr>
      </w:pPr>
      <w:r w:rsidRPr="002A431D">
        <w:rPr>
          <w:sz w:val="24"/>
          <w:szCs w:val="24"/>
        </w:rPr>
        <w:t>Lo cierto es que los sistemas americanos, dependiendo del momento político de cada país, oscilan como un péndulo de una a otra postura</w:t>
      </w:r>
      <w:r w:rsidR="00C44439" w:rsidRPr="002A431D">
        <w:rPr>
          <w:sz w:val="24"/>
          <w:szCs w:val="24"/>
        </w:rPr>
        <w:t>.</w:t>
      </w:r>
    </w:p>
    <w:p w14:paraId="274688D7" w14:textId="633969BF" w:rsidR="00FA2D1B" w:rsidRPr="002A431D" w:rsidRDefault="00FA2D1B" w:rsidP="002A431D">
      <w:pPr>
        <w:jc w:val="both"/>
        <w:rPr>
          <w:sz w:val="24"/>
          <w:szCs w:val="24"/>
        </w:rPr>
      </w:pPr>
      <w:r w:rsidRPr="002A431D">
        <w:rPr>
          <w:sz w:val="24"/>
          <w:szCs w:val="24"/>
        </w:rPr>
        <w:t>E</w:t>
      </w:r>
      <w:r w:rsidR="009A09A0" w:rsidRPr="002A431D">
        <w:rPr>
          <w:sz w:val="24"/>
          <w:szCs w:val="24"/>
        </w:rPr>
        <w:t>ntendemos que</w:t>
      </w:r>
      <w:r w:rsidR="00836921">
        <w:rPr>
          <w:sz w:val="24"/>
          <w:szCs w:val="24"/>
        </w:rPr>
        <w:t xml:space="preserve"> las visiones descriptas, en sus extremos, son pasibles de críticas profundas, y muchas de ellas válidas, de modo que coincidimos con quienes pregonan </w:t>
      </w:r>
      <w:r w:rsidRPr="002A431D">
        <w:rPr>
          <w:sz w:val="24"/>
          <w:szCs w:val="24"/>
        </w:rPr>
        <w:t xml:space="preserve">una nueva perspectiva </w:t>
      </w:r>
      <w:r w:rsidR="00836921">
        <w:rPr>
          <w:sz w:val="24"/>
          <w:szCs w:val="24"/>
        </w:rPr>
        <w:t>que</w:t>
      </w:r>
      <w:r w:rsidRPr="002A431D">
        <w:rPr>
          <w:sz w:val="24"/>
          <w:szCs w:val="24"/>
        </w:rPr>
        <w:t xml:space="preserve"> super</w:t>
      </w:r>
      <w:r w:rsidR="00836921">
        <w:rPr>
          <w:sz w:val="24"/>
          <w:szCs w:val="24"/>
        </w:rPr>
        <w:t>e</w:t>
      </w:r>
      <w:r w:rsidRPr="002A431D">
        <w:rPr>
          <w:sz w:val="24"/>
          <w:szCs w:val="24"/>
        </w:rPr>
        <w:t xml:space="preserve"> las visiones de la pirámide –coincidente con nuestro pesimismo judicial- y de la pirámide invertida –que coincidiría con el optimismo-. Ni un código con </w:t>
      </w:r>
      <w:r w:rsidRPr="002A431D">
        <w:rPr>
          <w:sz w:val="24"/>
          <w:szCs w:val="24"/>
        </w:rPr>
        <w:lastRenderedPageBreak/>
        <w:t>reglas en las que deben subsumirse todos los casos, ni el proceso inverso de creación de reglas a partir de una suma de casos individuales, donde el derecho es lo que dicen los jueces.</w:t>
      </w:r>
    </w:p>
    <w:p w14:paraId="57FC60FE" w14:textId="1B449081" w:rsidR="00C44439" w:rsidRPr="002A431D" w:rsidRDefault="00FA2D1B" w:rsidP="002A431D">
      <w:pPr>
        <w:jc w:val="both"/>
        <w:rPr>
          <w:sz w:val="24"/>
          <w:szCs w:val="24"/>
        </w:rPr>
      </w:pPr>
      <w:r w:rsidRPr="002A431D">
        <w:rPr>
          <w:sz w:val="24"/>
          <w:szCs w:val="24"/>
        </w:rPr>
        <w:t>Hablamos de una tercera etapa</w:t>
      </w:r>
      <w:r w:rsidR="00C44439" w:rsidRPr="002A431D">
        <w:rPr>
          <w:sz w:val="24"/>
          <w:szCs w:val="24"/>
        </w:rPr>
        <w:t xml:space="preserve"> –</w:t>
      </w:r>
      <w:r w:rsidRPr="002A431D">
        <w:rPr>
          <w:sz w:val="24"/>
          <w:szCs w:val="24"/>
        </w:rPr>
        <w:t xml:space="preserve">a falta de un mejor nombre, </w:t>
      </w:r>
      <w:proofErr w:type="spellStart"/>
      <w:r w:rsidR="00C44439" w:rsidRPr="002A431D">
        <w:rPr>
          <w:sz w:val="24"/>
          <w:szCs w:val="24"/>
        </w:rPr>
        <w:t>neoconstitucional</w:t>
      </w:r>
      <w:proofErr w:type="spellEnd"/>
      <w:r w:rsidR="00C44439" w:rsidRPr="002A431D">
        <w:rPr>
          <w:sz w:val="24"/>
          <w:szCs w:val="24"/>
        </w:rPr>
        <w:t>- en</w:t>
      </w:r>
      <w:r w:rsidRPr="002A431D">
        <w:rPr>
          <w:sz w:val="24"/>
          <w:szCs w:val="24"/>
        </w:rPr>
        <w:t xml:space="preserve"> la</w:t>
      </w:r>
      <w:r w:rsidR="00C44439" w:rsidRPr="002A431D">
        <w:rPr>
          <w:sz w:val="24"/>
          <w:szCs w:val="24"/>
        </w:rPr>
        <w:t xml:space="preserve"> que el juez cambia de escala. Ni limitación ni exceso</w:t>
      </w:r>
      <w:r w:rsidR="00836921">
        <w:rPr>
          <w:sz w:val="24"/>
          <w:szCs w:val="24"/>
        </w:rPr>
        <w:t>, sino prudencia judicial.</w:t>
      </w:r>
      <w:r w:rsidR="00C44439" w:rsidRPr="002A431D">
        <w:rPr>
          <w:sz w:val="24"/>
          <w:szCs w:val="24"/>
        </w:rPr>
        <w:t xml:space="preserve"> Dice </w:t>
      </w:r>
      <w:proofErr w:type="spellStart"/>
      <w:r w:rsidR="00C44439" w:rsidRPr="002A431D">
        <w:rPr>
          <w:sz w:val="24"/>
          <w:szCs w:val="24"/>
        </w:rPr>
        <w:t>Ost</w:t>
      </w:r>
      <w:proofErr w:type="spellEnd"/>
      <w:r w:rsidR="00C44439" w:rsidRPr="002A431D">
        <w:rPr>
          <w:sz w:val="24"/>
          <w:szCs w:val="24"/>
        </w:rPr>
        <w:t xml:space="preserve"> “Ante todo, un mensaje muy antiguo, tan viejo sin duda como el derecho mismo. Es la restauración de la vieja regla de prudencia de la que cierto Derecho extrae su nombre: </w:t>
      </w:r>
      <w:proofErr w:type="spellStart"/>
      <w:r w:rsidR="00C44439" w:rsidRPr="002A431D">
        <w:rPr>
          <w:sz w:val="24"/>
          <w:szCs w:val="24"/>
        </w:rPr>
        <w:t>prudentia</w:t>
      </w:r>
      <w:proofErr w:type="spellEnd"/>
      <w:r w:rsidR="00C44439" w:rsidRPr="002A431D">
        <w:rPr>
          <w:sz w:val="24"/>
          <w:szCs w:val="24"/>
        </w:rPr>
        <w:t xml:space="preserve">, </w:t>
      </w:r>
      <w:proofErr w:type="spellStart"/>
      <w:r w:rsidR="00C44439" w:rsidRPr="002A431D">
        <w:rPr>
          <w:sz w:val="24"/>
          <w:szCs w:val="24"/>
        </w:rPr>
        <w:t>jurisprudentia</w:t>
      </w:r>
      <w:proofErr w:type="spellEnd"/>
      <w:r w:rsidR="00C44439" w:rsidRPr="002A431D">
        <w:rPr>
          <w:sz w:val="24"/>
          <w:szCs w:val="24"/>
        </w:rPr>
        <w:t>, jurisprudencia.</w:t>
      </w:r>
      <w:r w:rsidR="00836921">
        <w:rPr>
          <w:sz w:val="24"/>
          <w:szCs w:val="24"/>
        </w:rPr>
        <w:t>”</w:t>
      </w:r>
      <w:r w:rsidR="006213EB">
        <w:rPr>
          <w:rStyle w:val="Refdenotaalpie"/>
          <w:sz w:val="24"/>
          <w:szCs w:val="24"/>
        </w:rPr>
        <w:footnoteReference w:id="68"/>
      </w:r>
    </w:p>
    <w:p w14:paraId="0821D5A8" w14:textId="44307BD2" w:rsidR="00FA2D1B" w:rsidRPr="002A431D" w:rsidRDefault="00FA2D1B" w:rsidP="002A431D">
      <w:pPr>
        <w:jc w:val="both"/>
        <w:rPr>
          <w:sz w:val="24"/>
          <w:szCs w:val="24"/>
        </w:rPr>
      </w:pPr>
      <w:r w:rsidRPr="002A431D">
        <w:rPr>
          <w:sz w:val="24"/>
          <w:szCs w:val="24"/>
        </w:rPr>
        <w:t>Un</w:t>
      </w:r>
      <w:r w:rsidR="00836921">
        <w:rPr>
          <w:sz w:val="24"/>
          <w:szCs w:val="24"/>
        </w:rPr>
        <w:t xml:space="preserve">a magistratura </w:t>
      </w:r>
      <w:r w:rsidRPr="002A431D">
        <w:rPr>
          <w:sz w:val="24"/>
          <w:szCs w:val="24"/>
        </w:rPr>
        <w:t>que pose</w:t>
      </w:r>
      <w:r w:rsidR="00836921">
        <w:rPr>
          <w:sz w:val="24"/>
          <w:szCs w:val="24"/>
        </w:rPr>
        <w:t>a</w:t>
      </w:r>
      <w:r w:rsidRPr="002A431D">
        <w:rPr>
          <w:sz w:val="24"/>
          <w:szCs w:val="24"/>
        </w:rPr>
        <w:t xml:space="preserve"> herramientas pero que al mismo tiempo se </w:t>
      </w:r>
      <w:r w:rsidR="00836921">
        <w:rPr>
          <w:sz w:val="24"/>
          <w:szCs w:val="24"/>
        </w:rPr>
        <w:t>conciba</w:t>
      </w:r>
      <w:r w:rsidRPr="002A431D">
        <w:rPr>
          <w:sz w:val="24"/>
          <w:szCs w:val="24"/>
        </w:rPr>
        <w:t xml:space="preserve"> parte de una red donde cada eslabón debe cumplir su rol para asegurar los derechos. Donde cada decisión repercute en las capacidades. Donde existen instancias no sólo nacionales, sino también internacionales que deben coordinar para una mejor defensa</w:t>
      </w:r>
      <w:r w:rsidR="00836921">
        <w:rPr>
          <w:sz w:val="24"/>
          <w:szCs w:val="24"/>
        </w:rPr>
        <w:t xml:space="preserve"> </w:t>
      </w:r>
      <w:r w:rsidRPr="002A431D">
        <w:rPr>
          <w:sz w:val="24"/>
          <w:szCs w:val="24"/>
        </w:rPr>
        <w:t>de los derechos</w:t>
      </w:r>
      <w:r w:rsidR="00836921">
        <w:rPr>
          <w:sz w:val="24"/>
          <w:szCs w:val="24"/>
        </w:rPr>
        <w:t xml:space="preserve"> que nos hemos encargado de enunciar, olvidando muchas veces la forma de garantizar su vigencia.</w:t>
      </w:r>
    </w:p>
    <w:p w14:paraId="1B06A47B" w14:textId="77777777" w:rsidR="00EE33EF" w:rsidRPr="002A431D" w:rsidRDefault="00EE33EF" w:rsidP="002A431D">
      <w:pPr>
        <w:jc w:val="both"/>
        <w:rPr>
          <w:sz w:val="24"/>
          <w:szCs w:val="24"/>
          <w:u w:val="single"/>
        </w:rPr>
      </w:pPr>
      <w:r w:rsidRPr="002A431D">
        <w:rPr>
          <w:sz w:val="24"/>
          <w:szCs w:val="24"/>
          <w:u w:val="single"/>
        </w:rPr>
        <w:t>V. Bibliografía</w:t>
      </w:r>
    </w:p>
    <w:p w14:paraId="77626CED" w14:textId="2F39D0DA" w:rsidR="000B632D" w:rsidRDefault="000B632D" w:rsidP="002A431D">
      <w:pPr>
        <w:jc w:val="both"/>
        <w:rPr>
          <w:sz w:val="24"/>
          <w:szCs w:val="24"/>
        </w:rPr>
      </w:pPr>
      <w:r>
        <w:rPr>
          <w:sz w:val="24"/>
          <w:szCs w:val="24"/>
        </w:rPr>
        <w:t xml:space="preserve">- </w:t>
      </w:r>
      <w:proofErr w:type="spellStart"/>
      <w:r w:rsidRPr="000B632D">
        <w:rPr>
          <w:sz w:val="24"/>
          <w:szCs w:val="24"/>
        </w:rPr>
        <w:t>Aldazabal</w:t>
      </w:r>
      <w:proofErr w:type="spellEnd"/>
      <w:r w:rsidRPr="000B632D">
        <w:rPr>
          <w:sz w:val="24"/>
          <w:szCs w:val="24"/>
        </w:rPr>
        <w:t xml:space="preserve">, Marcos y </w:t>
      </w:r>
      <w:proofErr w:type="spellStart"/>
      <w:r w:rsidRPr="000B632D">
        <w:rPr>
          <w:sz w:val="24"/>
          <w:szCs w:val="24"/>
        </w:rPr>
        <w:t>Haissiner</w:t>
      </w:r>
      <w:proofErr w:type="spellEnd"/>
      <w:r w:rsidRPr="000B632D">
        <w:rPr>
          <w:sz w:val="24"/>
          <w:szCs w:val="24"/>
        </w:rPr>
        <w:t xml:space="preserve"> Martín D., “Comentario al Proyecto de Reforma Judicial: Su impacto en la Justicia Penal Federal con asiento en la Ciudad de Buenos Aires”, Diario DPI, Diario Penal </w:t>
      </w:r>
      <w:proofErr w:type="spellStart"/>
      <w:r w:rsidRPr="000B632D">
        <w:rPr>
          <w:sz w:val="24"/>
          <w:szCs w:val="24"/>
        </w:rPr>
        <w:t>nº</w:t>
      </w:r>
      <w:proofErr w:type="spellEnd"/>
      <w:r w:rsidRPr="000B632D">
        <w:rPr>
          <w:sz w:val="24"/>
          <w:szCs w:val="24"/>
        </w:rPr>
        <w:t xml:space="preserve"> 293 – 19/08/2020, disponible en  </w:t>
      </w:r>
      <w:hyperlink r:id="rId7" w:history="1">
        <w:r w:rsidRPr="001D3562">
          <w:rPr>
            <w:rStyle w:val="Hipervnculo"/>
            <w:sz w:val="24"/>
            <w:szCs w:val="24"/>
          </w:rPr>
          <w:t>https://dpicuantico.com/sitio/wp-content/uploads/2020/08/Doctrina-penal.-19.07.2020-Aldazabal-y-Haissiner-1.pdf</w:t>
        </w:r>
      </w:hyperlink>
    </w:p>
    <w:p w14:paraId="4B86A514" w14:textId="5F2707C8" w:rsidR="000749E6" w:rsidRPr="002A431D" w:rsidRDefault="000749E6" w:rsidP="002A431D">
      <w:pPr>
        <w:jc w:val="both"/>
        <w:rPr>
          <w:sz w:val="24"/>
          <w:szCs w:val="24"/>
          <w:lang w:val="es-ES"/>
        </w:rPr>
      </w:pPr>
      <w:r w:rsidRPr="002A431D">
        <w:rPr>
          <w:sz w:val="24"/>
          <w:szCs w:val="24"/>
        </w:rPr>
        <w:t xml:space="preserve">- </w:t>
      </w:r>
      <w:proofErr w:type="spellStart"/>
      <w:r w:rsidRPr="002A431D">
        <w:rPr>
          <w:sz w:val="24"/>
          <w:szCs w:val="24"/>
          <w:lang w:val="es-ES"/>
        </w:rPr>
        <w:t>Bachof</w:t>
      </w:r>
      <w:proofErr w:type="spellEnd"/>
      <w:r w:rsidRPr="002A431D">
        <w:rPr>
          <w:sz w:val="24"/>
          <w:szCs w:val="24"/>
          <w:lang w:val="es-ES"/>
        </w:rPr>
        <w:t xml:space="preserve">, Otto, </w:t>
      </w:r>
      <w:r w:rsidRPr="002A431D">
        <w:rPr>
          <w:i/>
          <w:iCs/>
          <w:sz w:val="24"/>
          <w:szCs w:val="24"/>
          <w:lang w:val="es-ES"/>
        </w:rPr>
        <w:t xml:space="preserve">Jueces y constitución, </w:t>
      </w:r>
      <w:r w:rsidRPr="002A431D">
        <w:rPr>
          <w:sz w:val="24"/>
          <w:szCs w:val="24"/>
          <w:lang w:val="es-ES"/>
        </w:rPr>
        <w:t xml:space="preserve">traducción de </w:t>
      </w:r>
      <w:proofErr w:type="spellStart"/>
      <w:r w:rsidRPr="002A431D">
        <w:rPr>
          <w:sz w:val="24"/>
          <w:szCs w:val="24"/>
          <w:lang w:val="es-ES"/>
        </w:rPr>
        <w:t>Bercovitz</w:t>
      </w:r>
      <w:proofErr w:type="spellEnd"/>
      <w:r w:rsidRPr="002A431D">
        <w:rPr>
          <w:sz w:val="24"/>
          <w:szCs w:val="24"/>
          <w:lang w:val="es-ES"/>
        </w:rPr>
        <w:t xml:space="preserve"> Rodríguez-Cano, Rodrigo, Madrid, Taurus, 1963.</w:t>
      </w:r>
    </w:p>
    <w:p w14:paraId="3E5AF8AF" w14:textId="31EA3D08" w:rsidR="00F11D0B" w:rsidRPr="002A431D" w:rsidRDefault="00F11D0B" w:rsidP="002A431D">
      <w:pPr>
        <w:jc w:val="both"/>
        <w:rPr>
          <w:sz w:val="24"/>
          <w:szCs w:val="24"/>
        </w:rPr>
      </w:pPr>
      <w:r w:rsidRPr="002A431D">
        <w:rPr>
          <w:sz w:val="24"/>
          <w:szCs w:val="24"/>
          <w:lang w:val="es-ES"/>
        </w:rPr>
        <w:t xml:space="preserve">- </w:t>
      </w:r>
      <w:r w:rsidRPr="002A431D">
        <w:rPr>
          <w:sz w:val="24"/>
          <w:szCs w:val="24"/>
        </w:rPr>
        <w:t xml:space="preserve">Bianchi, Alberto, </w:t>
      </w:r>
      <w:r w:rsidRPr="002A431D">
        <w:rPr>
          <w:i/>
          <w:iCs/>
          <w:sz w:val="24"/>
          <w:szCs w:val="24"/>
        </w:rPr>
        <w:t>La separación de poderes, un estudio desde el derecho comprado</w:t>
      </w:r>
      <w:r w:rsidRPr="002A431D">
        <w:rPr>
          <w:sz w:val="24"/>
          <w:szCs w:val="24"/>
        </w:rPr>
        <w:t>, Buenos Aires, Cathedra Jurídica, 2019.</w:t>
      </w:r>
    </w:p>
    <w:p w14:paraId="1E4B9A5F" w14:textId="066689DE" w:rsidR="000B632D" w:rsidRDefault="000B632D" w:rsidP="002A431D">
      <w:pPr>
        <w:jc w:val="both"/>
        <w:rPr>
          <w:sz w:val="24"/>
          <w:szCs w:val="24"/>
        </w:rPr>
      </w:pPr>
      <w:r>
        <w:rPr>
          <w:sz w:val="24"/>
          <w:szCs w:val="24"/>
        </w:rPr>
        <w:t xml:space="preserve">- </w:t>
      </w:r>
      <w:r w:rsidRPr="000B632D">
        <w:rPr>
          <w:sz w:val="24"/>
          <w:szCs w:val="24"/>
        </w:rPr>
        <w:t xml:space="preserve">Carbonell, Miguel, “Algunas posibles reformas al Poder Judicial en México”, disponible en </w:t>
      </w:r>
      <w:hyperlink r:id="rId8" w:history="1">
        <w:r w:rsidRPr="000B632D">
          <w:rPr>
            <w:rStyle w:val="Hipervnculo"/>
            <w:sz w:val="24"/>
            <w:szCs w:val="24"/>
          </w:rPr>
          <w:t>https://biblioteca.cejamericas.org/bitstream/handle/2015/4808/Algunasposiblesreformasalpoderjudicial.pdf?sequence=1&amp;isAllowed=</w:t>
        </w:r>
      </w:hyperlink>
    </w:p>
    <w:p w14:paraId="0777C038" w14:textId="42D27126" w:rsidR="000749E6" w:rsidRPr="002A431D" w:rsidRDefault="000749E6" w:rsidP="002A431D">
      <w:pPr>
        <w:jc w:val="both"/>
        <w:rPr>
          <w:rStyle w:val="Hipervnculo"/>
          <w:sz w:val="24"/>
          <w:szCs w:val="24"/>
        </w:rPr>
      </w:pPr>
      <w:r w:rsidRPr="002A431D">
        <w:rPr>
          <w:sz w:val="24"/>
          <w:szCs w:val="24"/>
        </w:rPr>
        <w:t xml:space="preserve">- </w:t>
      </w:r>
      <w:proofErr w:type="spellStart"/>
      <w:r w:rsidRPr="002A431D">
        <w:rPr>
          <w:sz w:val="24"/>
          <w:szCs w:val="24"/>
        </w:rPr>
        <w:t>Egües</w:t>
      </w:r>
      <w:proofErr w:type="spellEnd"/>
      <w:r w:rsidRPr="002A431D">
        <w:rPr>
          <w:sz w:val="24"/>
          <w:szCs w:val="24"/>
        </w:rPr>
        <w:t>, Nicolás, “Modelos judiciales y procesos constitucionales”, publicado en Revista “Actualidad Jurídica”, año II, Vol. 24, Julio/</w:t>
      </w:r>
      <w:proofErr w:type="gramStart"/>
      <w:r w:rsidRPr="002A431D">
        <w:rPr>
          <w:sz w:val="24"/>
          <w:szCs w:val="24"/>
        </w:rPr>
        <w:t>Agosto</w:t>
      </w:r>
      <w:proofErr w:type="gramEnd"/>
      <w:r w:rsidRPr="002A431D">
        <w:rPr>
          <w:sz w:val="24"/>
          <w:szCs w:val="24"/>
        </w:rPr>
        <w:t xml:space="preserve"> 2016, </w:t>
      </w:r>
      <w:hyperlink r:id="rId9" w:history="1">
        <w:r w:rsidRPr="002A431D">
          <w:rPr>
            <w:rStyle w:val="Hipervnculo"/>
            <w:sz w:val="24"/>
            <w:szCs w:val="24"/>
          </w:rPr>
          <w:t>www.actualidadjuridica.com.ar</w:t>
        </w:r>
      </w:hyperlink>
    </w:p>
    <w:p w14:paraId="1815D08E" w14:textId="77777777" w:rsidR="000749E6" w:rsidRPr="002A431D" w:rsidRDefault="000749E6" w:rsidP="002A431D">
      <w:pPr>
        <w:pStyle w:val="Textonotapie"/>
        <w:spacing w:line="276" w:lineRule="auto"/>
        <w:rPr>
          <w:sz w:val="24"/>
          <w:szCs w:val="24"/>
          <w:lang w:val="es-ES"/>
        </w:rPr>
      </w:pPr>
      <w:r w:rsidRPr="002A431D">
        <w:rPr>
          <w:sz w:val="24"/>
          <w:szCs w:val="24"/>
          <w:lang w:val="es-ES"/>
        </w:rPr>
        <w:t xml:space="preserve">- </w:t>
      </w:r>
      <w:r w:rsidRPr="002A431D">
        <w:rPr>
          <w:sz w:val="24"/>
          <w:szCs w:val="24"/>
        </w:rPr>
        <w:t xml:space="preserve">comentario al caso “F. c/ Linares Borobio” publicado en </w:t>
      </w:r>
      <w:r w:rsidRPr="002A431D">
        <w:rPr>
          <w:sz w:val="24"/>
          <w:szCs w:val="24"/>
          <w:lang w:val="es-ES"/>
        </w:rPr>
        <w:t>Parellada Carlos y Parellada Ariel (</w:t>
      </w:r>
      <w:proofErr w:type="gramStart"/>
      <w:r w:rsidRPr="002A431D">
        <w:rPr>
          <w:sz w:val="24"/>
          <w:szCs w:val="24"/>
          <w:lang w:val="es-ES"/>
        </w:rPr>
        <w:t>Directores</w:t>
      </w:r>
      <w:proofErr w:type="gramEnd"/>
      <w:r w:rsidRPr="002A431D">
        <w:rPr>
          <w:sz w:val="24"/>
          <w:szCs w:val="24"/>
          <w:lang w:val="es-ES"/>
        </w:rPr>
        <w:t xml:space="preserve">), </w:t>
      </w:r>
      <w:r w:rsidRPr="002A431D">
        <w:rPr>
          <w:i/>
          <w:sz w:val="24"/>
          <w:szCs w:val="24"/>
          <w:lang w:val="es-ES"/>
        </w:rPr>
        <w:t xml:space="preserve">Máximos Precedentes, Suprema Corte de Justicia de Mendoza, </w:t>
      </w:r>
      <w:r w:rsidRPr="002A431D">
        <w:rPr>
          <w:sz w:val="24"/>
          <w:szCs w:val="24"/>
          <w:lang w:val="es-ES"/>
        </w:rPr>
        <w:t>Buenos Aires, La Ley, 2014.</w:t>
      </w:r>
    </w:p>
    <w:p w14:paraId="17EE9182" w14:textId="77777777" w:rsidR="000749E6" w:rsidRPr="002A431D" w:rsidRDefault="000749E6" w:rsidP="002A431D">
      <w:pPr>
        <w:pStyle w:val="Textonotapie"/>
        <w:spacing w:line="276" w:lineRule="auto"/>
        <w:rPr>
          <w:sz w:val="24"/>
          <w:szCs w:val="24"/>
        </w:rPr>
      </w:pPr>
      <w:r w:rsidRPr="002A431D">
        <w:rPr>
          <w:sz w:val="24"/>
          <w:szCs w:val="24"/>
          <w:lang w:val="es-ES"/>
        </w:rPr>
        <w:t xml:space="preserve">- </w:t>
      </w:r>
      <w:r w:rsidRPr="002A431D">
        <w:rPr>
          <w:sz w:val="24"/>
          <w:szCs w:val="24"/>
        </w:rPr>
        <w:t xml:space="preserve">Ferrajoli, Luigi, </w:t>
      </w:r>
      <w:r w:rsidRPr="002A431D">
        <w:rPr>
          <w:i/>
          <w:sz w:val="24"/>
          <w:szCs w:val="24"/>
        </w:rPr>
        <w:t xml:space="preserve">Un debate sobre el </w:t>
      </w:r>
      <w:proofErr w:type="gramStart"/>
      <w:r w:rsidRPr="002A431D">
        <w:rPr>
          <w:i/>
          <w:sz w:val="24"/>
          <w:szCs w:val="24"/>
        </w:rPr>
        <w:t xml:space="preserve">constitucionalismo, </w:t>
      </w:r>
      <w:r w:rsidRPr="002A431D">
        <w:rPr>
          <w:sz w:val="24"/>
          <w:szCs w:val="24"/>
        </w:rPr>
        <w:t xml:space="preserve"> Madrid</w:t>
      </w:r>
      <w:proofErr w:type="gramEnd"/>
      <w:r w:rsidRPr="002A431D">
        <w:rPr>
          <w:sz w:val="24"/>
          <w:szCs w:val="24"/>
        </w:rPr>
        <w:t>, Marcial Pons, 2012.</w:t>
      </w:r>
    </w:p>
    <w:p w14:paraId="3650EB5D" w14:textId="77777777" w:rsidR="000749E6" w:rsidRPr="002A431D" w:rsidRDefault="000749E6" w:rsidP="002A431D">
      <w:pPr>
        <w:pStyle w:val="Textonotapie"/>
        <w:spacing w:line="276" w:lineRule="auto"/>
        <w:rPr>
          <w:sz w:val="24"/>
          <w:szCs w:val="24"/>
          <w:lang w:val="es-ES"/>
        </w:rPr>
      </w:pPr>
      <w:r w:rsidRPr="002A431D">
        <w:rPr>
          <w:sz w:val="24"/>
          <w:szCs w:val="24"/>
        </w:rPr>
        <w:lastRenderedPageBreak/>
        <w:t xml:space="preserve">- Ferrajoli, Luigi y Atienza, Manuel, </w:t>
      </w:r>
      <w:r w:rsidRPr="002A431D">
        <w:rPr>
          <w:bCs/>
          <w:i/>
          <w:sz w:val="24"/>
          <w:szCs w:val="24"/>
        </w:rPr>
        <w:t xml:space="preserve">Jurisdicción y argumentación en el nuevo estado de derecho, </w:t>
      </w:r>
      <w:proofErr w:type="spellStart"/>
      <w:r w:rsidRPr="002A431D">
        <w:rPr>
          <w:bCs/>
          <w:sz w:val="24"/>
          <w:szCs w:val="24"/>
        </w:rPr>
        <w:t>Mexico</w:t>
      </w:r>
      <w:proofErr w:type="spellEnd"/>
      <w:r w:rsidRPr="002A431D">
        <w:rPr>
          <w:bCs/>
          <w:sz w:val="24"/>
          <w:szCs w:val="24"/>
        </w:rPr>
        <w:t>, Universidad Nacional Autónoma de México, 2011.</w:t>
      </w:r>
    </w:p>
    <w:p w14:paraId="59621F08" w14:textId="77777777" w:rsidR="000749E6" w:rsidRPr="002A431D" w:rsidRDefault="000749E6" w:rsidP="002A431D">
      <w:pPr>
        <w:pStyle w:val="Textonotapie"/>
        <w:spacing w:line="276" w:lineRule="auto"/>
        <w:rPr>
          <w:sz w:val="24"/>
          <w:szCs w:val="24"/>
          <w:lang w:val="es-ES"/>
        </w:rPr>
      </w:pPr>
      <w:r w:rsidRPr="002A431D">
        <w:rPr>
          <w:sz w:val="24"/>
          <w:szCs w:val="24"/>
        </w:rPr>
        <w:t>- García-Mansilla, Manuel. J, “Marbury v. Madison y los mitos acerca del control judicial de constitucionalidad</w:t>
      </w:r>
      <w:proofErr w:type="gramStart"/>
      <w:r w:rsidRPr="002A431D">
        <w:rPr>
          <w:sz w:val="24"/>
          <w:szCs w:val="24"/>
        </w:rPr>
        <w:t>”,  Revista</w:t>
      </w:r>
      <w:proofErr w:type="gramEnd"/>
      <w:r w:rsidRPr="002A431D">
        <w:rPr>
          <w:sz w:val="24"/>
          <w:szCs w:val="24"/>
        </w:rPr>
        <w:t xml:space="preserve"> Jurídica Austral, 2020, 1(1), 9-89. </w:t>
      </w:r>
      <w:hyperlink r:id="rId10" w:history="1">
        <w:r w:rsidRPr="002A431D">
          <w:rPr>
            <w:rStyle w:val="Hipervnculo"/>
            <w:sz w:val="24"/>
            <w:szCs w:val="24"/>
          </w:rPr>
          <w:t>https://doi.org/10.26422/RJA.2020.0101.gar</w:t>
        </w:r>
      </w:hyperlink>
    </w:p>
    <w:p w14:paraId="244D645A" w14:textId="5EE98AE0" w:rsidR="000749E6" w:rsidRPr="002A431D" w:rsidRDefault="000749E6" w:rsidP="002A431D">
      <w:pPr>
        <w:pStyle w:val="Textonotapie"/>
        <w:spacing w:line="276" w:lineRule="auto"/>
        <w:rPr>
          <w:i/>
          <w:iCs/>
          <w:sz w:val="24"/>
          <w:szCs w:val="24"/>
          <w:lang w:val="es-ES"/>
        </w:rPr>
      </w:pPr>
      <w:r w:rsidRPr="002A431D">
        <w:rPr>
          <w:sz w:val="24"/>
          <w:szCs w:val="24"/>
          <w:lang w:val="es-ES"/>
        </w:rPr>
        <w:t xml:space="preserve">- </w:t>
      </w:r>
      <w:proofErr w:type="spellStart"/>
      <w:r w:rsidRPr="002A431D">
        <w:rPr>
          <w:sz w:val="24"/>
          <w:szCs w:val="24"/>
          <w:lang w:val="es-ES"/>
        </w:rPr>
        <w:t>Gargarella</w:t>
      </w:r>
      <w:proofErr w:type="spellEnd"/>
      <w:r w:rsidRPr="002A431D">
        <w:rPr>
          <w:sz w:val="24"/>
          <w:szCs w:val="24"/>
          <w:lang w:val="es-ES"/>
        </w:rPr>
        <w:t xml:space="preserve">, Roberto, </w:t>
      </w:r>
      <w:r w:rsidRPr="002A431D">
        <w:rPr>
          <w:i/>
          <w:iCs/>
          <w:sz w:val="24"/>
          <w:szCs w:val="24"/>
          <w:lang w:val="es-ES"/>
        </w:rPr>
        <w:t>La sala de máquinas de la Constitución. Dos siglos de constitucionalismo en América Lantina (1810-2010),</w:t>
      </w:r>
      <w:r w:rsidRPr="002A431D">
        <w:rPr>
          <w:sz w:val="24"/>
          <w:szCs w:val="24"/>
          <w:lang w:val="es-ES"/>
        </w:rPr>
        <w:t xml:space="preserve"> Buenos Aires, Katz Editores, 2014.</w:t>
      </w:r>
      <w:r w:rsidRPr="002A431D">
        <w:rPr>
          <w:i/>
          <w:iCs/>
          <w:sz w:val="24"/>
          <w:szCs w:val="24"/>
          <w:lang w:val="es-ES"/>
        </w:rPr>
        <w:t xml:space="preserve"> </w:t>
      </w:r>
    </w:p>
    <w:p w14:paraId="6A7F22DE" w14:textId="5F4F659C" w:rsidR="00446294" w:rsidRDefault="00446294" w:rsidP="002A431D">
      <w:pPr>
        <w:pStyle w:val="Textonotapie"/>
        <w:spacing w:line="276" w:lineRule="auto"/>
        <w:rPr>
          <w:i/>
          <w:iCs/>
          <w:sz w:val="24"/>
          <w:szCs w:val="24"/>
        </w:rPr>
      </w:pPr>
      <w:r w:rsidRPr="002A431D">
        <w:rPr>
          <w:i/>
          <w:iCs/>
          <w:sz w:val="24"/>
          <w:szCs w:val="24"/>
          <w:lang w:val="es-ES"/>
        </w:rPr>
        <w:t xml:space="preserve">- </w:t>
      </w:r>
      <w:r w:rsidRPr="002A431D">
        <w:rPr>
          <w:i/>
          <w:iCs/>
          <w:sz w:val="24"/>
          <w:szCs w:val="24"/>
        </w:rPr>
        <w:t>El derecho como una conversación entre iguales, Buenos Aires, Siglo Veintiuno Editores, 2021</w:t>
      </w:r>
    </w:p>
    <w:p w14:paraId="03F9F3D5" w14:textId="65216A29" w:rsidR="000B632D" w:rsidRPr="002A431D" w:rsidRDefault="000B632D" w:rsidP="002A431D">
      <w:pPr>
        <w:pStyle w:val="Textonotapie"/>
        <w:spacing w:line="276" w:lineRule="auto"/>
        <w:rPr>
          <w:i/>
          <w:iCs/>
          <w:sz w:val="24"/>
          <w:szCs w:val="24"/>
          <w:lang w:val="es-ES"/>
        </w:rPr>
      </w:pPr>
      <w:r>
        <w:rPr>
          <w:i/>
          <w:iCs/>
          <w:sz w:val="24"/>
          <w:szCs w:val="24"/>
        </w:rPr>
        <w:t xml:space="preserve">- </w:t>
      </w:r>
      <w:r w:rsidRPr="000B632D">
        <w:rPr>
          <w:sz w:val="24"/>
          <w:szCs w:val="24"/>
          <w:lang w:val="es-ES"/>
        </w:rPr>
        <w:t xml:space="preserve">“Reforma Judicial: diez primeras críticas al proyecto que presentó el gobierno” en diario Infobae del 1/08/2020, disponible en </w:t>
      </w:r>
      <w:hyperlink r:id="rId11" w:history="1">
        <w:r w:rsidRPr="000B632D">
          <w:rPr>
            <w:rStyle w:val="Hipervnculo"/>
            <w:sz w:val="24"/>
            <w:szCs w:val="24"/>
            <w:lang w:val="es-ES"/>
          </w:rPr>
          <w:t>https://www.infobae.com/opinion/2020/08/01/reforma-judicial-diez-primeras-criticas-al-proyecto-que-presento-el-gobierno/</w:t>
        </w:r>
      </w:hyperlink>
    </w:p>
    <w:p w14:paraId="6B004029" w14:textId="1B19F801" w:rsidR="00700135" w:rsidRPr="002A431D" w:rsidRDefault="00700135" w:rsidP="002A431D">
      <w:pPr>
        <w:pStyle w:val="Textonotapie"/>
        <w:spacing w:line="276" w:lineRule="auto"/>
        <w:rPr>
          <w:sz w:val="24"/>
          <w:szCs w:val="24"/>
          <w:lang w:val="es-ES"/>
        </w:rPr>
      </w:pPr>
      <w:r w:rsidRPr="002A431D">
        <w:rPr>
          <w:sz w:val="24"/>
          <w:szCs w:val="24"/>
          <w:lang w:val="es-ES"/>
        </w:rPr>
        <w:t xml:space="preserve">- </w:t>
      </w:r>
      <w:r w:rsidRPr="002A431D">
        <w:rPr>
          <w:sz w:val="24"/>
          <w:szCs w:val="24"/>
        </w:rPr>
        <w:t xml:space="preserve">Hamilton, Madison y Jay, </w:t>
      </w:r>
      <w:r w:rsidRPr="002A431D">
        <w:rPr>
          <w:i/>
          <w:iCs/>
          <w:sz w:val="24"/>
          <w:szCs w:val="24"/>
        </w:rPr>
        <w:t xml:space="preserve">El Federalista, </w:t>
      </w:r>
      <w:r w:rsidRPr="002A431D">
        <w:rPr>
          <w:sz w:val="24"/>
          <w:szCs w:val="24"/>
        </w:rPr>
        <w:t>México, Fondo de Cultura Económica, 1974.</w:t>
      </w:r>
    </w:p>
    <w:p w14:paraId="480FA07E" w14:textId="7C037345" w:rsidR="000749E6" w:rsidRPr="002A431D" w:rsidRDefault="000749E6" w:rsidP="002A431D">
      <w:pPr>
        <w:pStyle w:val="Textonotapie"/>
        <w:spacing w:line="276" w:lineRule="auto"/>
        <w:rPr>
          <w:sz w:val="24"/>
          <w:szCs w:val="24"/>
          <w:lang w:val="es-ES"/>
        </w:rPr>
      </w:pPr>
      <w:r w:rsidRPr="002A431D">
        <w:rPr>
          <w:i/>
          <w:iCs/>
          <w:sz w:val="24"/>
          <w:szCs w:val="24"/>
          <w:lang w:val="es-ES"/>
        </w:rPr>
        <w:t xml:space="preserve">- </w:t>
      </w:r>
      <w:r w:rsidRPr="002A431D">
        <w:rPr>
          <w:sz w:val="24"/>
          <w:szCs w:val="24"/>
        </w:rPr>
        <w:t xml:space="preserve">Ibáñez </w:t>
      </w:r>
      <w:proofErr w:type="spellStart"/>
      <w:r w:rsidRPr="002A431D">
        <w:rPr>
          <w:sz w:val="24"/>
          <w:szCs w:val="24"/>
        </w:rPr>
        <w:t>Rosaz</w:t>
      </w:r>
      <w:proofErr w:type="spellEnd"/>
      <w:r w:rsidRPr="002A431D">
        <w:rPr>
          <w:sz w:val="24"/>
          <w:szCs w:val="24"/>
        </w:rPr>
        <w:t xml:space="preserve">, Víctor E., “El control de constitucionalidad de oficio. Antecedentes históricos, evolución y estado actual en la jurisprudencia de la Corte Suprema de Justicia de la Nación”, en revista Corpus Iuris </w:t>
      </w:r>
      <w:proofErr w:type="spellStart"/>
      <w:r w:rsidRPr="002A431D">
        <w:rPr>
          <w:sz w:val="24"/>
          <w:szCs w:val="24"/>
        </w:rPr>
        <w:t>Regionis</w:t>
      </w:r>
      <w:proofErr w:type="spellEnd"/>
      <w:r w:rsidRPr="002A431D">
        <w:rPr>
          <w:sz w:val="24"/>
          <w:szCs w:val="24"/>
        </w:rPr>
        <w:t xml:space="preserve"> -Revista Jurídica Regional </w:t>
      </w:r>
      <w:proofErr w:type="gramStart"/>
      <w:r w:rsidRPr="002A431D">
        <w:rPr>
          <w:sz w:val="24"/>
          <w:szCs w:val="24"/>
        </w:rPr>
        <w:t>y  </w:t>
      </w:r>
      <w:proofErr w:type="spellStart"/>
      <w:r w:rsidRPr="002A431D">
        <w:rPr>
          <w:sz w:val="24"/>
          <w:szCs w:val="24"/>
        </w:rPr>
        <w:t>Sub</w:t>
      </w:r>
      <w:proofErr w:type="gramEnd"/>
      <w:r w:rsidRPr="002A431D">
        <w:rPr>
          <w:sz w:val="24"/>
          <w:szCs w:val="24"/>
        </w:rPr>
        <w:t>-regional</w:t>
      </w:r>
      <w:proofErr w:type="spellEnd"/>
      <w:r w:rsidRPr="002A431D">
        <w:rPr>
          <w:sz w:val="24"/>
          <w:szCs w:val="24"/>
        </w:rPr>
        <w:t xml:space="preserve"> Andina-, Escuela de Derecho Universidad Arturo Prat, Iquique, República de Chile, </w:t>
      </w:r>
      <w:proofErr w:type="spellStart"/>
      <w:r w:rsidRPr="002A431D">
        <w:rPr>
          <w:sz w:val="24"/>
          <w:szCs w:val="24"/>
        </w:rPr>
        <w:t>n°</w:t>
      </w:r>
      <w:proofErr w:type="spellEnd"/>
      <w:r w:rsidRPr="002A431D">
        <w:rPr>
          <w:sz w:val="24"/>
          <w:szCs w:val="24"/>
        </w:rPr>
        <w:t xml:space="preserve"> 6/2.006 (Edición Especial).</w:t>
      </w:r>
    </w:p>
    <w:p w14:paraId="678501DA" w14:textId="2B6B27D4" w:rsidR="00AD5C16" w:rsidRPr="002A431D" w:rsidRDefault="00AD5C16" w:rsidP="002A431D">
      <w:pPr>
        <w:rPr>
          <w:sz w:val="24"/>
          <w:szCs w:val="24"/>
          <w:lang w:val="es-ES"/>
        </w:rPr>
      </w:pPr>
      <w:r w:rsidRPr="002A431D">
        <w:rPr>
          <w:sz w:val="24"/>
          <w:szCs w:val="24"/>
        </w:rPr>
        <w:t xml:space="preserve">- </w:t>
      </w:r>
      <w:r w:rsidRPr="002A431D">
        <w:rPr>
          <w:sz w:val="24"/>
          <w:szCs w:val="24"/>
          <w:lang w:val="es-ES"/>
        </w:rPr>
        <w:t xml:space="preserve">Linares, Sebastián, </w:t>
      </w:r>
      <w:r w:rsidRPr="002A431D">
        <w:rPr>
          <w:i/>
          <w:iCs/>
          <w:sz w:val="24"/>
          <w:szCs w:val="24"/>
        </w:rPr>
        <w:t xml:space="preserve">La ilegitimidad democrática del control judicial de las Leyes, </w:t>
      </w:r>
      <w:r w:rsidRPr="002A431D">
        <w:rPr>
          <w:sz w:val="24"/>
          <w:szCs w:val="24"/>
        </w:rPr>
        <w:t>Buenos Aires,</w:t>
      </w:r>
      <w:r w:rsidR="000C5646" w:rsidRPr="002A431D">
        <w:rPr>
          <w:sz w:val="24"/>
          <w:szCs w:val="24"/>
        </w:rPr>
        <w:t xml:space="preserve"> Marcial Pons, 2008</w:t>
      </w:r>
      <w:r w:rsidRPr="002A431D">
        <w:rPr>
          <w:sz w:val="24"/>
          <w:szCs w:val="24"/>
        </w:rPr>
        <w:t>.</w:t>
      </w:r>
    </w:p>
    <w:p w14:paraId="1A8CECC6" w14:textId="7BFD813D" w:rsidR="000749E6" w:rsidRPr="002A431D" w:rsidRDefault="000749E6" w:rsidP="002A431D">
      <w:pPr>
        <w:jc w:val="both"/>
        <w:rPr>
          <w:sz w:val="24"/>
          <w:szCs w:val="24"/>
        </w:rPr>
      </w:pPr>
      <w:r w:rsidRPr="002A431D">
        <w:rPr>
          <w:sz w:val="24"/>
          <w:szCs w:val="24"/>
        </w:rPr>
        <w:t xml:space="preserve">- Locke, </w:t>
      </w:r>
      <w:proofErr w:type="gramStart"/>
      <w:r w:rsidRPr="002A431D">
        <w:rPr>
          <w:sz w:val="24"/>
          <w:szCs w:val="24"/>
        </w:rPr>
        <w:t xml:space="preserve">John,  </w:t>
      </w:r>
      <w:r w:rsidRPr="002A431D">
        <w:rPr>
          <w:i/>
          <w:iCs/>
          <w:sz w:val="24"/>
          <w:szCs w:val="24"/>
        </w:rPr>
        <w:t>Segundo</w:t>
      </w:r>
      <w:proofErr w:type="gramEnd"/>
      <w:r w:rsidRPr="002A431D">
        <w:rPr>
          <w:i/>
          <w:iCs/>
          <w:sz w:val="24"/>
          <w:szCs w:val="24"/>
        </w:rPr>
        <w:t xml:space="preserve"> e</w:t>
      </w:r>
      <w:r w:rsidRPr="002A431D">
        <w:rPr>
          <w:i/>
          <w:sz w:val="24"/>
          <w:szCs w:val="24"/>
        </w:rPr>
        <w:t>nsayo sobre el gobierno civil</w:t>
      </w:r>
      <w:r w:rsidRPr="002A431D">
        <w:rPr>
          <w:sz w:val="24"/>
          <w:szCs w:val="24"/>
        </w:rPr>
        <w:t>,</w:t>
      </w:r>
      <w:r w:rsidRPr="002A431D">
        <w:rPr>
          <w:i/>
          <w:iCs/>
          <w:sz w:val="24"/>
          <w:szCs w:val="24"/>
        </w:rPr>
        <w:t xml:space="preserve"> </w:t>
      </w:r>
      <w:r w:rsidRPr="002A431D">
        <w:rPr>
          <w:sz w:val="24"/>
          <w:szCs w:val="24"/>
        </w:rPr>
        <w:t>Buenos Aires, Ediciones Libertador, 2004.</w:t>
      </w:r>
    </w:p>
    <w:p w14:paraId="2B642A18" w14:textId="77777777" w:rsidR="000749E6" w:rsidRPr="002A431D" w:rsidRDefault="000749E6" w:rsidP="002A431D">
      <w:pPr>
        <w:jc w:val="both"/>
        <w:rPr>
          <w:sz w:val="24"/>
          <w:szCs w:val="24"/>
        </w:rPr>
      </w:pPr>
      <w:r w:rsidRPr="002A431D">
        <w:rPr>
          <w:sz w:val="24"/>
          <w:szCs w:val="24"/>
        </w:rPr>
        <w:t xml:space="preserve">- </w:t>
      </w:r>
      <w:proofErr w:type="spellStart"/>
      <w:r w:rsidRPr="002A431D">
        <w:rPr>
          <w:sz w:val="24"/>
          <w:szCs w:val="24"/>
        </w:rPr>
        <w:t>Lowenstein</w:t>
      </w:r>
      <w:proofErr w:type="spellEnd"/>
      <w:r w:rsidRPr="002A431D">
        <w:rPr>
          <w:sz w:val="24"/>
          <w:szCs w:val="24"/>
        </w:rPr>
        <w:t xml:space="preserve">, Karl, </w:t>
      </w:r>
      <w:r w:rsidRPr="002A431D">
        <w:rPr>
          <w:i/>
          <w:sz w:val="24"/>
          <w:szCs w:val="24"/>
        </w:rPr>
        <w:t xml:space="preserve">Teoría de la Constitución, </w:t>
      </w:r>
      <w:r w:rsidRPr="002A431D">
        <w:rPr>
          <w:sz w:val="24"/>
          <w:szCs w:val="24"/>
        </w:rPr>
        <w:t>Barcelona, Ariel, 1976.</w:t>
      </w:r>
    </w:p>
    <w:p w14:paraId="3CAF9D1B" w14:textId="77777777" w:rsidR="000749E6" w:rsidRPr="002A431D" w:rsidRDefault="000749E6" w:rsidP="002A431D">
      <w:pPr>
        <w:jc w:val="both"/>
        <w:rPr>
          <w:sz w:val="24"/>
          <w:szCs w:val="24"/>
          <w:lang w:val="en-US"/>
        </w:rPr>
      </w:pPr>
      <w:r w:rsidRPr="002A431D">
        <w:rPr>
          <w:sz w:val="24"/>
          <w:szCs w:val="24"/>
          <w:lang w:val="en-US"/>
        </w:rPr>
        <w:t xml:space="preserve">- Mclaughlin, Andrew C., </w:t>
      </w:r>
      <w:r w:rsidRPr="002A431D">
        <w:rPr>
          <w:i/>
          <w:iCs/>
          <w:sz w:val="24"/>
          <w:szCs w:val="24"/>
          <w:lang w:val="en-US"/>
        </w:rPr>
        <w:t xml:space="preserve">Foundations of American Constitutionalism, </w:t>
      </w:r>
      <w:r w:rsidRPr="002A431D">
        <w:rPr>
          <w:sz w:val="24"/>
          <w:szCs w:val="24"/>
          <w:lang w:val="en-US"/>
        </w:rPr>
        <w:t>New York, Fawcett World Library, 1966.</w:t>
      </w:r>
    </w:p>
    <w:p w14:paraId="382AEC1A" w14:textId="77777777" w:rsidR="000749E6" w:rsidRPr="002A431D" w:rsidRDefault="000749E6" w:rsidP="002A431D">
      <w:pPr>
        <w:jc w:val="both"/>
        <w:rPr>
          <w:sz w:val="24"/>
          <w:szCs w:val="24"/>
          <w:lang w:val="es-ES"/>
        </w:rPr>
      </w:pPr>
      <w:r w:rsidRPr="002A431D">
        <w:rPr>
          <w:sz w:val="24"/>
          <w:szCs w:val="24"/>
        </w:rPr>
        <w:t xml:space="preserve">- Montesquieu, </w:t>
      </w:r>
      <w:r w:rsidRPr="002A431D">
        <w:rPr>
          <w:i/>
          <w:sz w:val="24"/>
          <w:szCs w:val="24"/>
        </w:rPr>
        <w:t xml:space="preserve">Obras, El espíritu de las leyes, grandeza y decadencia de los romanos, </w:t>
      </w:r>
      <w:r w:rsidRPr="002A431D">
        <w:rPr>
          <w:sz w:val="24"/>
          <w:szCs w:val="24"/>
        </w:rPr>
        <w:t>Buenos Aires, El Ateneo, 1951.</w:t>
      </w:r>
    </w:p>
    <w:p w14:paraId="61B06C5F" w14:textId="77777777" w:rsidR="000749E6" w:rsidRPr="002A431D" w:rsidRDefault="000749E6" w:rsidP="002A431D">
      <w:pPr>
        <w:jc w:val="both"/>
        <w:rPr>
          <w:sz w:val="24"/>
          <w:szCs w:val="24"/>
          <w:lang w:val="es-ES"/>
        </w:rPr>
      </w:pPr>
      <w:r w:rsidRPr="002A431D">
        <w:rPr>
          <w:sz w:val="24"/>
          <w:szCs w:val="24"/>
          <w:lang w:val="es-ES"/>
        </w:rPr>
        <w:t xml:space="preserve">- </w:t>
      </w:r>
      <w:proofErr w:type="spellStart"/>
      <w:r w:rsidRPr="002A431D">
        <w:rPr>
          <w:sz w:val="24"/>
          <w:szCs w:val="24"/>
          <w:lang w:val="es-ES"/>
        </w:rPr>
        <w:t>Ost</w:t>
      </w:r>
      <w:proofErr w:type="spellEnd"/>
      <w:r w:rsidRPr="002A431D">
        <w:rPr>
          <w:sz w:val="24"/>
          <w:szCs w:val="24"/>
          <w:lang w:val="es-ES"/>
        </w:rPr>
        <w:t xml:space="preserve">, </w:t>
      </w:r>
      <w:proofErr w:type="spellStart"/>
      <w:r w:rsidRPr="002A431D">
        <w:rPr>
          <w:sz w:val="24"/>
          <w:szCs w:val="24"/>
          <w:lang w:val="es-ES"/>
        </w:rPr>
        <w:t>Francois</w:t>
      </w:r>
      <w:proofErr w:type="spellEnd"/>
      <w:r w:rsidRPr="002A431D">
        <w:rPr>
          <w:sz w:val="24"/>
          <w:szCs w:val="24"/>
          <w:lang w:val="es-ES"/>
        </w:rPr>
        <w:t xml:space="preserve">, “Júpiter, Hércules, Hermes: tres modelos de juez”, trad. </w:t>
      </w:r>
      <w:proofErr w:type="spellStart"/>
      <w:r w:rsidRPr="002A431D">
        <w:rPr>
          <w:sz w:val="24"/>
          <w:szCs w:val="24"/>
          <w:lang w:val="es-ES"/>
        </w:rPr>
        <w:t>Lifante</w:t>
      </w:r>
      <w:proofErr w:type="spellEnd"/>
      <w:r w:rsidRPr="002A431D">
        <w:rPr>
          <w:sz w:val="24"/>
          <w:szCs w:val="24"/>
          <w:lang w:val="es-ES"/>
        </w:rPr>
        <w:t xml:space="preserve"> Vidal, Isabel, Academia, Revista de Enseñanza del Derecho, año 4, núm. 8, 2007, pp. 101-130.</w:t>
      </w:r>
    </w:p>
    <w:p w14:paraId="4430C0DD" w14:textId="758EAD50" w:rsidR="000B632D" w:rsidRDefault="000B632D" w:rsidP="002A431D">
      <w:pPr>
        <w:jc w:val="both"/>
        <w:rPr>
          <w:sz w:val="24"/>
          <w:szCs w:val="24"/>
          <w:lang w:val="es-ES"/>
        </w:rPr>
      </w:pPr>
      <w:r>
        <w:rPr>
          <w:sz w:val="24"/>
          <w:szCs w:val="24"/>
          <w:lang w:val="es-ES"/>
        </w:rPr>
        <w:t xml:space="preserve">- </w:t>
      </w:r>
      <w:r w:rsidRPr="000B632D">
        <w:rPr>
          <w:sz w:val="24"/>
          <w:szCs w:val="24"/>
        </w:rPr>
        <w:t xml:space="preserve">Osuna, Néstor, “Las sentencias estructurales. Tres ejemplos en Colombia”, en Bazán, Víctor (editor), </w:t>
      </w:r>
      <w:r w:rsidRPr="000B632D">
        <w:rPr>
          <w:i/>
          <w:iCs/>
          <w:sz w:val="24"/>
          <w:szCs w:val="24"/>
        </w:rPr>
        <w:t xml:space="preserve">Justicia constitucional y derechos fundamentales. La protección de los derechos sociales. Las sentencias estructurales, </w:t>
      </w:r>
      <w:r w:rsidRPr="000B632D">
        <w:rPr>
          <w:sz w:val="24"/>
          <w:szCs w:val="24"/>
        </w:rPr>
        <w:t>Colombia, Unión Gráfica, 2015</w:t>
      </w:r>
      <w:r>
        <w:rPr>
          <w:sz w:val="24"/>
          <w:szCs w:val="24"/>
        </w:rPr>
        <w:t>.</w:t>
      </w:r>
    </w:p>
    <w:p w14:paraId="483A6AED" w14:textId="6A2C6522" w:rsidR="000749E6" w:rsidRPr="002A431D" w:rsidRDefault="000749E6" w:rsidP="002A431D">
      <w:pPr>
        <w:jc w:val="both"/>
        <w:rPr>
          <w:sz w:val="24"/>
          <w:szCs w:val="24"/>
          <w:lang w:val="es-ES"/>
        </w:rPr>
      </w:pPr>
      <w:r w:rsidRPr="002A431D">
        <w:rPr>
          <w:sz w:val="24"/>
          <w:szCs w:val="24"/>
          <w:lang w:val="es-ES"/>
        </w:rPr>
        <w:lastRenderedPageBreak/>
        <w:t xml:space="preserve">- </w:t>
      </w:r>
      <w:proofErr w:type="spellStart"/>
      <w:r w:rsidRPr="002A431D">
        <w:rPr>
          <w:sz w:val="24"/>
          <w:szCs w:val="24"/>
        </w:rPr>
        <w:t>Pegoraro</w:t>
      </w:r>
      <w:proofErr w:type="spellEnd"/>
      <w:r w:rsidRPr="002A431D">
        <w:rPr>
          <w:sz w:val="24"/>
          <w:szCs w:val="24"/>
        </w:rPr>
        <w:t>, Lucio, “Hacia una nueva sistemática de los modelos de control de constitucionalidad”, comunicación presentada en el “XII Congreso Iberoamericano de Derecho Constitucional”. (Inédita)</w:t>
      </w:r>
    </w:p>
    <w:p w14:paraId="0424EDF4" w14:textId="77777777" w:rsidR="000749E6" w:rsidRPr="002A431D" w:rsidRDefault="000749E6" w:rsidP="002A431D">
      <w:pPr>
        <w:jc w:val="both"/>
        <w:rPr>
          <w:sz w:val="24"/>
          <w:szCs w:val="24"/>
        </w:rPr>
      </w:pPr>
      <w:r w:rsidRPr="002A431D">
        <w:rPr>
          <w:sz w:val="24"/>
          <w:szCs w:val="24"/>
        </w:rPr>
        <w:t xml:space="preserve">- Prieto Sanchís, Luis, voz “neoconstitucionalismo” en Miguel Carbonell (coord.), </w:t>
      </w:r>
      <w:r w:rsidRPr="002A431D">
        <w:rPr>
          <w:i/>
          <w:iCs/>
          <w:sz w:val="24"/>
          <w:szCs w:val="24"/>
        </w:rPr>
        <w:t>Diccionario de Derecho Constitucional</w:t>
      </w:r>
      <w:r w:rsidRPr="002A431D">
        <w:rPr>
          <w:sz w:val="24"/>
          <w:szCs w:val="24"/>
        </w:rPr>
        <w:t>, México, Porrúa y UNAM, 2005.</w:t>
      </w:r>
    </w:p>
    <w:p w14:paraId="05D2D778" w14:textId="24E2A3D4" w:rsidR="000B632D" w:rsidRDefault="000749E6" w:rsidP="002A431D">
      <w:pPr>
        <w:jc w:val="both"/>
        <w:rPr>
          <w:sz w:val="24"/>
          <w:szCs w:val="24"/>
          <w:lang w:val="es-ES"/>
        </w:rPr>
      </w:pPr>
      <w:r w:rsidRPr="002A431D">
        <w:rPr>
          <w:sz w:val="24"/>
          <w:szCs w:val="24"/>
        </w:rPr>
        <w:t>-</w:t>
      </w:r>
      <w:r w:rsidR="000B632D">
        <w:rPr>
          <w:sz w:val="24"/>
          <w:szCs w:val="24"/>
        </w:rPr>
        <w:t xml:space="preserve"> </w:t>
      </w:r>
      <w:r w:rsidR="000B632D" w:rsidRPr="000B632D">
        <w:rPr>
          <w:sz w:val="24"/>
          <w:szCs w:val="24"/>
          <w:lang w:val="es-ES"/>
        </w:rPr>
        <w:t xml:space="preserve">Rizzo, Jorge, “Reforma judicial: algunas críticas y varias propuestas”, en diario Infobae del 7/08/2020 disponible en </w:t>
      </w:r>
      <w:hyperlink r:id="rId12" w:history="1">
        <w:r w:rsidR="000B632D" w:rsidRPr="000B632D">
          <w:rPr>
            <w:rStyle w:val="Hipervnculo"/>
            <w:sz w:val="24"/>
            <w:szCs w:val="24"/>
            <w:lang w:val="es-ES"/>
          </w:rPr>
          <w:t>https://www.infobae.com/opinion/2020/08/07/reforma-judicial-algunas-criticas-y-varias-propuestas/</w:t>
        </w:r>
      </w:hyperlink>
    </w:p>
    <w:p w14:paraId="17C953AE" w14:textId="7D85405F" w:rsidR="000749E6" w:rsidRPr="002A431D" w:rsidRDefault="000B632D" w:rsidP="002A431D">
      <w:pPr>
        <w:jc w:val="both"/>
        <w:rPr>
          <w:sz w:val="24"/>
          <w:szCs w:val="24"/>
        </w:rPr>
      </w:pPr>
      <w:r>
        <w:rPr>
          <w:sz w:val="24"/>
          <w:szCs w:val="24"/>
        </w:rPr>
        <w:t>-</w:t>
      </w:r>
      <w:r w:rsidR="000749E6" w:rsidRPr="002A431D">
        <w:rPr>
          <w:sz w:val="24"/>
          <w:szCs w:val="24"/>
        </w:rPr>
        <w:t xml:space="preserve"> Romero, Cesar Enrique, </w:t>
      </w:r>
      <w:r w:rsidR="000749E6" w:rsidRPr="002A431D">
        <w:rPr>
          <w:i/>
          <w:sz w:val="24"/>
          <w:szCs w:val="24"/>
        </w:rPr>
        <w:t>Introducción al derecho constitucional</w:t>
      </w:r>
      <w:r w:rsidR="000749E6" w:rsidRPr="002A431D">
        <w:rPr>
          <w:sz w:val="24"/>
          <w:szCs w:val="24"/>
        </w:rPr>
        <w:t>, Buenos Aires, Zavalía, 1973.</w:t>
      </w:r>
    </w:p>
    <w:p w14:paraId="219BE9DE" w14:textId="77777777" w:rsidR="000749E6" w:rsidRPr="002A431D" w:rsidRDefault="000749E6" w:rsidP="002A431D">
      <w:pPr>
        <w:jc w:val="both"/>
        <w:rPr>
          <w:sz w:val="24"/>
          <w:szCs w:val="24"/>
        </w:rPr>
      </w:pPr>
      <w:r w:rsidRPr="002A431D">
        <w:rPr>
          <w:sz w:val="24"/>
          <w:szCs w:val="24"/>
        </w:rPr>
        <w:t xml:space="preserve">- </w:t>
      </w:r>
      <w:proofErr w:type="spellStart"/>
      <w:r w:rsidRPr="002A431D">
        <w:rPr>
          <w:sz w:val="24"/>
          <w:szCs w:val="24"/>
        </w:rPr>
        <w:t>Sagüés</w:t>
      </w:r>
      <w:proofErr w:type="spellEnd"/>
      <w:r w:rsidRPr="002A431D">
        <w:rPr>
          <w:sz w:val="24"/>
          <w:szCs w:val="24"/>
        </w:rPr>
        <w:t xml:space="preserve">, Néstor Pedro, “La </w:t>
      </w:r>
      <w:proofErr w:type="spellStart"/>
      <w:r w:rsidRPr="002A431D">
        <w:rPr>
          <w:sz w:val="24"/>
          <w:szCs w:val="24"/>
        </w:rPr>
        <w:t>autorrevisión</w:t>
      </w:r>
      <w:proofErr w:type="spellEnd"/>
      <w:r w:rsidRPr="002A431D">
        <w:rPr>
          <w:sz w:val="24"/>
          <w:szCs w:val="24"/>
        </w:rPr>
        <w:t xml:space="preserve"> de las sentencias definitivas de los Tribunales Constitucionales”, comunicación presentada en el “XII Congreso Iberoamericano de Derecho Constitucional”. (Inédita)</w:t>
      </w:r>
    </w:p>
    <w:p w14:paraId="7567B134" w14:textId="77777777" w:rsidR="000749E6" w:rsidRPr="002A431D" w:rsidRDefault="000749E6" w:rsidP="002A431D">
      <w:pPr>
        <w:jc w:val="both"/>
        <w:rPr>
          <w:sz w:val="24"/>
          <w:szCs w:val="24"/>
        </w:rPr>
      </w:pPr>
      <w:r w:rsidRPr="002A431D">
        <w:rPr>
          <w:sz w:val="24"/>
          <w:szCs w:val="24"/>
        </w:rPr>
        <w:t xml:space="preserve">- Santiago, Alfonso, </w:t>
      </w:r>
      <w:r w:rsidRPr="002A431D">
        <w:rPr>
          <w:i/>
          <w:sz w:val="24"/>
          <w:szCs w:val="24"/>
        </w:rPr>
        <w:t xml:space="preserve">En las fronteras entre el Derecho Constitucional y la Filosofía del Derecho. Consideraciones </w:t>
      </w:r>
      <w:proofErr w:type="spellStart"/>
      <w:r w:rsidRPr="002A431D">
        <w:rPr>
          <w:i/>
          <w:sz w:val="24"/>
          <w:szCs w:val="24"/>
        </w:rPr>
        <w:t>iusfilosóficas</w:t>
      </w:r>
      <w:proofErr w:type="spellEnd"/>
      <w:r w:rsidRPr="002A431D">
        <w:rPr>
          <w:i/>
          <w:sz w:val="24"/>
          <w:szCs w:val="24"/>
        </w:rPr>
        <w:t xml:space="preserve"> acerca de algunos temas constitucionales, </w:t>
      </w:r>
      <w:r w:rsidRPr="002A431D">
        <w:rPr>
          <w:sz w:val="24"/>
          <w:szCs w:val="24"/>
        </w:rPr>
        <w:t>Buenos Aires, Marcial Pons, 2010.</w:t>
      </w:r>
    </w:p>
    <w:p w14:paraId="260603A4" w14:textId="77777777" w:rsidR="000749E6" w:rsidRPr="002A431D" w:rsidRDefault="000749E6" w:rsidP="002A431D">
      <w:pPr>
        <w:jc w:val="both"/>
        <w:rPr>
          <w:sz w:val="24"/>
          <w:szCs w:val="24"/>
        </w:rPr>
      </w:pPr>
      <w:r w:rsidRPr="002A431D">
        <w:rPr>
          <w:sz w:val="24"/>
          <w:szCs w:val="24"/>
        </w:rPr>
        <w:t xml:space="preserve">- Schmitt, Carl, </w:t>
      </w:r>
      <w:r w:rsidRPr="002A431D">
        <w:rPr>
          <w:i/>
          <w:sz w:val="24"/>
          <w:szCs w:val="24"/>
        </w:rPr>
        <w:t>Interpretación europea de Donoso Cortés</w:t>
      </w:r>
      <w:r w:rsidRPr="002A431D">
        <w:rPr>
          <w:sz w:val="24"/>
          <w:szCs w:val="24"/>
        </w:rPr>
        <w:t>, Madrid, Ediciones Rialp S.A., 1973.</w:t>
      </w:r>
    </w:p>
    <w:p w14:paraId="4FC665D9" w14:textId="77777777" w:rsidR="000749E6" w:rsidRPr="002A431D" w:rsidRDefault="000749E6" w:rsidP="002A431D">
      <w:pPr>
        <w:jc w:val="both"/>
        <w:rPr>
          <w:sz w:val="24"/>
          <w:szCs w:val="24"/>
        </w:rPr>
      </w:pPr>
      <w:r w:rsidRPr="002A431D">
        <w:rPr>
          <w:sz w:val="24"/>
          <w:szCs w:val="24"/>
        </w:rPr>
        <w:t xml:space="preserve">- Schwartz, </w:t>
      </w:r>
      <w:proofErr w:type="gramStart"/>
      <w:r w:rsidRPr="002A431D">
        <w:rPr>
          <w:sz w:val="24"/>
          <w:szCs w:val="24"/>
        </w:rPr>
        <w:t xml:space="preserve">Bernard, </w:t>
      </w:r>
      <w:r w:rsidRPr="002A431D">
        <w:rPr>
          <w:i/>
          <w:sz w:val="24"/>
          <w:szCs w:val="24"/>
        </w:rPr>
        <w:t xml:space="preserve"> Los</w:t>
      </w:r>
      <w:proofErr w:type="gramEnd"/>
      <w:r w:rsidRPr="002A431D">
        <w:rPr>
          <w:i/>
          <w:sz w:val="24"/>
          <w:szCs w:val="24"/>
        </w:rPr>
        <w:t xml:space="preserve"> poderes del </w:t>
      </w:r>
      <w:proofErr w:type="spellStart"/>
      <w:r w:rsidRPr="002A431D">
        <w:rPr>
          <w:i/>
          <w:sz w:val="24"/>
          <w:szCs w:val="24"/>
        </w:rPr>
        <w:t>gobierno,Comentario</w:t>
      </w:r>
      <w:proofErr w:type="spellEnd"/>
      <w:r w:rsidRPr="002A431D">
        <w:rPr>
          <w:i/>
          <w:sz w:val="24"/>
          <w:szCs w:val="24"/>
        </w:rPr>
        <w:t xml:space="preserve"> sobre la Constitución de los Estados Unidos,  </w:t>
      </w:r>
      <w:proofErr w:type="spellStart"/>
      <w:r w:rsidRPr="002A431D">
        <w:rPr>
          <w:sz w:val="24"/>
          <w:szCs w:val="24"/>
        </w:rPr>
        <w:t>Mexico</w:t>
      </w:r>
      <w:proofErr w:type="spellEnd"/>
      <w:r w:rsidRPr="002A431D">
        <w:rPr>
          <w:sz w:val="24"/>
          <w:szCs w:val="24"/>
        </w:rPr>
        <w:t>, Facultad de Derecho,  UNAM, 1966.</w:t>
      </w:r>
    </w:p>
    <w:p w14:paraId="093E0350" w14:textId="77777777" w:rsidR="000749E6" w:rsidRPr="002A431D" w:rsidRDefault="000749E6" w:rsidP="002A431D">
      <w:pPr>
        <w:jc w:val="both"/>
        <w:rPr>
          <w:sz w:val="24"/>
          <w:szCs w:val="24"/>
        </w:rPr>
      </w:pPr>
      <w:r w:rsidRPr="002A431D">
        <w:rPr>
          <w:sz w:val="24"/>
          <w:szCs w:val="24"/>
        </w:rPr>
        <w:t xml:space="preserve">- Segovia, Juan Fernando, “La independencia del Poder Judicial y el Estado de derecho”, en Pérez </w:t>
      </w:r>
      <w:proofErr w:type="spellStart"/>
      <w:r w:rsidRPr="002A431D">
        <w:rPr>
          <w:sz w:val="24"/>
          <w:szCs w:val="24"/>
        </w:rPr>
        <w:t>Guilhou</w:t>
      </w:r>
      <w:proofErr w:type="spellEnd"/>
      <w:r w:rsidRPr="002A431D">
        <w:rPr>
          <w:sz w:val="24"/>
          <w:szCs w:val="24"/>
        </w:rPr>
        <w:t xml:space="preserve"> y </w:t>
      </w:r>
      <w:proofErr w:type="spellStart"/>
      <w:r w:rsidRPr="002A431D">
        <w:rPr>
          <w:sz w:val="24"/>
          <w:szCs w:val="24"/>
        </w:rPr>
        <w:t>ots</w:t>
      </w:r>
      <w:proofErr w:type="spellEnd"/>
      <w:r w:rsidRPr="002A431D">
        <w:rPr>
          <w:sz w:val="24"/>
          <w:szCs w:val="24"/>
        </w:rPr>
        <w:t xml:space="preserve">., </w:t>
      </w:r>
      <w:r w:rsidRPr="002A431D">
        <w:rPr>
          <w:i/>
          <w:sz w:val="24"/>
          <w:szCs w:val="24"/>
        </w:rPr>
        <w:t>El Poder Judicial,</w:t>
      </w:r>
      <w:r w:rsidRPr="002A431D">
        <w:rPr>
          <w:sz w:val="24"/>
          <w:szCs w:val="24"/>
        </w:rPr>
        <w:t xml:space="preserve"> Buenos Aires, </w:t>
      </w:r>
      <w:proofErr w:type="spellStart"/>
      <w:r w:rsidRPr="002A431D">
        <w:rPr>
          <w:sz w:val="24"/>
          <w:szCs w:val="24"/>
        </w:rPr>
        <w:t>Depalma</w:t>
      </w:r>
      <w:proofErr w:type="spellEnd"/>
      <w:r w:rsidRPr="002A431D">
        <w:rPr>
          <w:sz w:val="24"/>
          <w:szCs w:val="24"/>
        </w:rPr>
        <w:t>, 1989</w:t>
      </w:r>
    </w:p>
    <w:p w14:paraId="2B11C07F" w14:textId="77777777" w:rsidR="000749E6" w:rsidRPr="002A431D" w:rsidRDefault="000749E6" w:rsidP="002A431D">
      <w:pPr>
        <w:jc w:val="both"/>
        <w:rPr>
          <w:sz w:val="24"/>
          <w:szCs w:val="24"/>
        </w:rPr>
      </w:pPr>
      <w:r w:rsidRPr="002A431D">
        <w:rPr>
          <w:sz w:val="24"/>
          <w:szCs w:val="24"/>
        </w:rPr>
        <w:t xml:space="preserve">- </w:t>
      </w:r>
      <w:proofErr w:type="spellStart"/>
      <w:r w:rsidRPr="002A431D">
        <w:rPr>
          <w:sz w:val="24"/>
          <w:szCs w:val="24"/>
        </w:rPr>
        <w:t>Serrafero</w:t>
      </w:r>
      <w:proofErr w:type="spellEnd"/>
      <w:r w:rsidRPr="002A431D">
        <w:rPr>
          <w:sz w:val="24"/>
          <w:szCs w:val="24"/>
        </w:rPr>
        <w:t xml:space="preserve">, Mario Daniel, </w:t>
      </w:r>
      <w:r w:rsidRPr="002A431D">
        <w:rPr>
          <w:i/>
          <w:sz w:val="24"/>
          <w:szCs w:val="24"/>
        </w:rPr>
        <w:t xml:space="preserve">Momentos institucionales y modelos constitucionales, </w:t>
      </w:r>
      <w:r w:rsidRPr="002A431D">
        <w:rPr>
          <w:sz w:val="24"/>
          <w:szCs w:val="24"/>
        </w:rPr>
        <w:t>Buenos Aires, Centro Editor de América Latina, 1993.</w:t>
      </w:r>
    </w:p>
    <w:p w14:paraId="631296F6" w14:textId="77777777" w:rsidR="000749E6" w:rsidRPr="002A431D" w:rsidRDefault="000749E6" w:rsidP="002A431D">
      <w:pPr>
        <w:jc w:val="both"/>
        <w:rPr>
          <w:sz w:val="24"/>
          <w:szCs w:val="24"/>
          <w:lang w:val="es-ES"/>
        </w:rPr>
      </w:pPr>
      <w:r w:rsidRPr="002A431D">
        <w:rPr>
          <w:sz w:val="24"/>
          <w:szCs w:val="24"/>
        </w:rPr>
        <w:t xml:space="preserve">- Sutherland, Arthur E., </w:t>
      </w:r>
      <w:r w:rsidRPr="002A431D">
        <w:rPr>
          <w:i/>
          <w:sz w:val="24"/>
          <w:szCs w:val="24"/>
        </w:rPr>
        <w:t xml:space="preserve">De la Carta Magna a la Constitución Norteamericana, </w:t>
      </w:r>
      <w:r w:rsidRPr="002A431D">
        <w:rPr>
          <w:sz w:val="24"/>
          <w:szCs w:val="24"/>
        </w:rPr>
        <w:t>Buenos Aires, TEA, 1972.</w:t>
      </w:r>
    </w:p>
    <w:p w14:paraId="5B363880" w14:textId="6F56A2B4" w:rsidR="000749E6" w:rsidRPr="002A431D" w:rsidRDefault="000749E6" w:rsidP="002A431D">
      <w:pPr>
        <w:jc w:val="both"/>
        <w:rPr>
          <w:sz w:val="24"/>
          <w:szCs w:val="24"/>
        </w:rPr>
      </w:pPr>
      <w:r w:rsidRPr="002A431D">
        <w:rPr>
          <w:sz w:val="24"/>
          <w:szCs w:val="24"/>
        </w:rPr>
        <w:t xml:space="preserve">- </w:t>
      </w:r>
      <w:proofErr w:type="spellStart"/>
      <w:r w:rsidRPr="002A431D">
        <w:rPr>
          <w:sz w:val="24"/>
          <w:szCs w:val="24"/>
        </w:rPr>
        <w:t>Vanossi</w:t>
      </w:r>
      <w:proofErr w:type="spellEnd"/>
      <w:r w:rsidRPr="002A431D">
        <w:rPr>
          <w:sz w:val="24"/>
          <w:szCs w:val="24"/>
        </w:rPr>
        <w:t xml:space="preserve">, Jorge Reinaldo, </w:t>
      </w:r>
      <w:r w:rsidRPr="002A431D">
        <w:rPr>
          <w:i/>
          <w:sz w:val="24"/>
          <w:szCs w:val="24"/>
        </w:rPr>
        <w:t xml:space="preserve">Teoría Constitucional, </w:t>
      </w:r>
      <w:r w:rsidRPr="002A431D">
        <w:rPr>
          <w:sz w:val="24"/>
          <w:szCs w:val="24"/>
        </w:rPr>
        <w:t xml:space="preserve">Buenos Aires, </w:t>
      </w:r>
      <w:proofErr w:type="spellStart"/>
      <w:r w:rsidRPr="002A431D">
        <w:rPr>
          <w:sz w:val="24"/>
          <w:szCs w:val="24"/>
        </w:rPr>
        <w:t>Depalma</w:t>
      </w:r>
      <w:proofErr w:type="spellEnd"/>
      <w:r w:rsidRPr="002A431D">
        <w:rPr>
          <w:sz w:val="24"/>
          <w:szCs w:val="24"/>
        </w:rPr>
        <w:t>, 2000.</w:t>
      </w:r>
    </w:p>
    <w:p w14:paraId="1D3809B4" w14:textId="77777777" w:rsidR="009F0503" w:rsidRPr="002A431D" w:rsidRDefault="009F0503" w:rsidP="002A431D">
      <w:pPr>
        <w:jc w:val="both"/>
        <w:rPr>
          <w:sz w:val="24"/>
          <w:szCs w:val="24"/>
          <w:lang w:val="es-ES"/>
        </w:rPr>
      </w:pPr>
      <w:r w:rsidRPr="002A431D">
        <w:rPr>
          <w:sz w:val="24"/>
          <w:szCs w:val="24"/>
        </w:rPr>
        <w:t xml:space="preserve">- </w:t>
      </w:r>
      <w:r w:rsidRPr="002A431D">
        <w:rPr>
          <w:sz w:val="24"/>
          <w:szCs w:val="24"/>
          <w:lang w:val="es-ES"/>
        </w:rPr>
        <w:t xml:space="preserve">Waldron, Jeremy, </w:t>
      </w:r>
      <w:r w:rsidRPr="002A431D">
        <w:rPr>
          <w:i/>
          <w:iCs/>
          <w:sz w:val="24"/>
          <w:szCs w:val="24"/>
          <w:lang w:val="es-ES"/>
        </w:rPr>
        <w:t xml:space="preserve">Contra el gobierno de los jueces, </w:t>
      </w:r>
      <w:r w:rsidRPr="002A431D">
        <w:rPr>
          <w:sz w:val="24"/>
          <w:szCs w:val="24"/>
          <w:lang w:val="es-ES"/>
        </w:rPr>
        <w:t>Buenos Aires, Siglo Veintiuno Editores, 2018.</w:t>
      </w:r>
    </w:p>
    <w:p w14:paraId="6A4D2B2A" w14:textId="33BCF8AA" w:rsidR="000C5646" w:rsidRPr="002A431D" w:rsidRDefault="000749E6" w:rsidP="002A431D">
      <w:pPr>
        <w:rPr>
          <w:sz w:val="24"/>
          <w:szCs w:val="24"/>
        </w:rPr>
      </w:pPr>
      <w:r w:rsidRPr="002A431D">
        <w:rPr>
          <w:sz w:val="24"/>
          <w:szCs w:val="24"/>
        </w:rPr>
        <w:t xml:space="preserve">- </w:t>
      </w:r>
      <w:proofErr w:type="spellStart"/>
      <w:r w:rsidR="000C5646" w:rsidRPr="002A431D">
        <w:rPr>
          <w:sz w:val="24"/>
          <w:szCs w:val="24"/>
        </w:rPr>
        <w:t>Zagrebelski</w:t>
      </w:r>
      <w:proofErr w:type="spellEnd"/>
      <w:r w:rsidR="000C5646" w:rsidRPr="002A431D">
        <w:rPr>
          <w:sz w:val="24"/>
          <w:szCs w:val="24"/>
        </w:rPr>
        <w:t xml:space="preserve"> Gustavo, </w:t>
      </w:r>
      <w:r w:rsidR="000C5646" w:rsidRPr="002A431D">
        <w:rPr>
          <w:i/>
          <w:sz w:val="24"/>
          <w:szCs w:val="24"/>
        </w:rPr>
        <w:t>El derecho dúctil. Ley, derechos, justicia,</w:t>
      </w:r>
      <w:r w:rsidR="000C5646" w:rsidRPr="002A431D">
        <w:rPr>
          <w:iCs/>
          <w:sz w:val="24"/>
          <w:szCs w:val="24"/>
        </w:rPr>
        <w:t xml:space="preserve"> Madrid, Trotta, 1995.</w:t>
      </w:r>
      <w:r w:rsidR="000C5646" w:rsidRPr="002A431D">
        <w:rPr>
          <w:i/>
          <w:sz w:val="24"/>
          <w:szCs w:val="24"/>
        </w:rPr>
        <w:t xml:space="preserve"> </w:t>
      </w:r>
    </w:p>
    <w:p w14:paraId="5A12E90A" w14:textId="77777777" w:rsidR="00EE33EF" w:rsidRPr="002A431D" w:rsidRDefault="00EE33EF" w:rsidP="002A431D">
      <w:pPr>
        <w:jc w:val="both"/>
        <w:rPr>
          <w:sz w:val="24"/>
          <w:szCs w:val="24"/>
        </w:rPr>
      </w:pPr>
    </w:p>
    <w:p w14:paraId="2653366B" w14:textId="77777777" w:rsidR="0064755F" w:rsidRPr="002A431D" w:rsidRDefault="0064755F" w:rsidP="002A431D">
      <w:pPr>
        <w:jc w:val="both"/>
        <w:rPr>
          <w:sz w:val="24"/>
          <w:szCs w:val="24"/>
        </w:rPr>
      </w:pPr>
    </w:p>
    <w:p w14:paraId="0523ADA3" w14:textId="77777777" w:rsidR="00756914" w:rsidRPr="002A431D" w:rsidRDefault="00756914" w:rsidP="002A431D">
      <w:pPr>
        <w:jc w:val="both"/>
        <w:rPr>
          <w:sz w:val="24"/>
          <w:szCs w:val="24"/>
        </w:rPr>
      </w:pPr>
    </w:p>
    <w:sectPr w:rsidR="00756914" w:rsidRPr="002A431D" w:rsidSect="00C16B36">
      <w:pgSz w:w="12242" w:h="15842"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FED51" w14:textId="77777777" w:rsidR="00873B88" w:rsidRDefault="00873B88" w:rsidP="007F4F93">
      <w:pPr>
        <w:spacing w:after="0" w:line="240" w:lineRule="auto"/>
      </w:pPr>
      <w:r>
        <w:separator/>
      </w:r>
    </w:p>
  </w:endnote>
  <w:endnote w:type="continuationSeparator" w:id="0">
    <w:p w14:paraId="35CA81DF" w14:textId="77777777" w:rsidR="00873B88" w:rsidRDefault="00873B88" w:rsidP="007F4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DDF81" w14:textId="77777777" w:rsidR="00873B88" w:rsidRDefault="00873B88" w:rsidP="007F4F93">
      <w:pPr>
        <w:spacing w:after="0" w:line="240" w:lineRule="auto"/>
      </w:pPr>
      <w:r>
        <w:separator/>
      </w:r>
    </w:p>
  </w:footnote>
  <w:footnote w:type="continuationSeparator" w:id="0">
    <w:p w14:paraId="13814961" w14:textId="77777777" w:rsidR="00873B88" w:rsidRDefault="00873B88" w:rsidP="007F4F93">
      <w:pPr>
        <w:spacing w:after="0" w:line="240" w:lineRule="auto"/>
      </w:pPr>
      <w:r>
        <w:continuationSeparator/>
      </w:r>
    </w:p>
  </w:footnote>
  <w:footnote w:id="1">
    <w:p w14:paraId="66F5403E" w14:textId="73FAC7ED" w:rsidR="001056B8" w:rsidRPr="002A431D" w:rsidRDefault="001056B8" w:rsidP="002A431D">
      <w:pPr>
        <w:pStyle w:val="Textonotapie"/>
        <w:spacing w:line="240" w:lineRule="auto"/>
        <w:rPr>
          <w:lang w:val="es-ES"/>
        </w:rPr>
      </w:pPr>
      <w:r w:rsidRPr="002A431D">
        <w:rPr>
          <w:rStyle w:val="Refdenotaalpie"/>
        </w:rPr>
        <w:footnoteRef/>
      </w:r>
      <w:r w:rsidRPr="002A431D">
        <w:t xml:space="preserve"> Abogado. Profesor de Derecho Constitucional en la Universidad de Mendoza, Universidad Nacional de Cuyo y Universidad del Aconcagua. Miembro titular del Instituto Argentino de Estudios Constitucionales y Políticos y de la Asociación Argentina de Derecho Constitucional.</w:t>
      </w:r>
    </w:p>
  </w:footnote>
  <w:footnote w:id="2">
    <w:p w14:paraId="2EA21187" w14:textId="46939CF1" w:rsidR="00DA343A" w:rsidRPr="002A431D" w:rsidRDefault="00DA343A" w:rsidP="002A431D">
      <w:pPr>
        <w:pStyle w:val="Textonotapie"/>
        <w:spacing w:line="240" w:lineRule="auto"/>
        <w:rPr>
          <w:lang w:val="es-ES"/>
        </w:rPr>
      </w:pPr>
      <w:r w:rsidRPr="002A431D">
        <w:rPr>
          <w:rStyle w:val="Refdenotaalpie"/>
        </w:rPr>
        <w:footnoteRef/>
      </w:r>
      <w:r w:rsidRPr="002A431D">
        <w:t xml:space="preserve"> </w:t>
      </w:r>
      <w:proofErr w:type="spellStart"/>
      <w:r w:rsidRPr="002A431D">
        <w:rPr>
          <w:lang w:val="es-ES"/>
        </w:rPr>
        <w:t>Gargarella</w:t>
      </w:r>
      <w:proofErr w:type="spellEnd"/>
      <w:r w:rsidRPr="002A431D">
        <w:rPr>
          <w:lang w:val="es-ES"/>
        </w:rPr>
        <w:t xml:space="preserve">, Roberto, </w:t>
      </w:r>
      <w:r w:rsidRPr="002A431D">
        <w:rPr>
          <w:i/>
          <w:iCs/>
          <w:lang w:val="es-ES"/>
        </w:rPr>
        <w:t>La sala de máquinas de la Constitución. Dos siglos de constitucionalismo en América Lantina (1810-2010),</w:t>
      </w:r>
      <w:r w:rsidRPr="002A431D">
        <w:rPr>
          <w:lang w:val="es-ES"/>
        </w:rPr>
        <w:t xml:space="preserve"> Buenos Aires, Katz Editores, 2014, p. 353.</w:t>
      </w:r>
      <w:r w:rsidRPr="002A431D">
        <w:rPr>
          <w:i/>
          <w:iCs/>
          <w:lang w:val="es-ES"/>
        </w:rPr>
        <w:t xml:space="preserve"> </w:t>
      </w:r>
    </w:p>
  </w:footnote>
  <w:footnote w:id="3">
    <w:p w14:paraId="68EBA1A6" w14:textId="1F485A3B" w:rsidR="00EC00B8" w:rsidRPr="002A431D" w:rsidRDefault="00EC00B8" w:rsidP="002A431D">
      <w:pPr>
        <w:pStyle w:val="Textonotapie"/>
        <w:spacing w:line="240" w:lineRule="auto"/>
      </w:pPr>
      <w:r w:rsidRPr="002A431D">
        <w:rPr>
          <w:rStyle w:val="Refdenotaalpie"/>
        </w:rPr>
        <w:footnoteRef/>
      </w:r>
      <w:r w:rsidRPr="002A431D">
        <w:t xml:space="preserve"> Santiago, </w:t>
      </w:r>
      <w:r w:rsidR="00001923" w:rsidRPr="002A431D">
        <w:t xml:space="preserve">Alfonso, </w:t>
      </w:r>
      <w:r w:rsidRPr="002A431D">
        <w:rPr>
          <w:i/>
        </w:rPr>
        <w:t xml:space="preserve">En las fronteras entre el Derecho Constitucional y la Filosofía del Derecho. Consideraciones </w:t>
      </w:r>
      <w:proofErr w:type="spellStart"/>
      <w:r w:rsidRPr="002A431D">
        <w:rPr>
          <w:i/>
        </w:rPr>
        <w:t>iusfilosóficas</w:t>
      </w:r>
      <w:proofErr w:type="spellEnd"/>
      <w:r w:rsidRPr="002A431D">
        <w:rPr>
          <w:i/>
        </w:rPr>
        <w:t xml:space="preserve"> acerca de algunos temas constitucionales, </w:t>
      </w:r>
      <w:r w:rsidRPr="002A431D">
        <w:t xml:space="preserve">Buenos Aires, Marcial Pons, </w:t>
      </w:r>
      <w:proofErr w:type="gramStart"/>
      <w:r w:rsidRPr="002A431D">
        <w:t>2010</w:t>
      </w:r>
      <w:r w:rsidR="00001923" w:rsidRPr="002A431D">
        <w:t>,  p.</w:t>
      </w:r>
      <w:proofErr w:type="gramEnd"/>
      <w:r w:rsidR="00001923" w:rsidRPr="002A431D">
        <w:t xml:space="preserve"> </w:t>
      </w:r>
      <w:r w:rsidR="00002468" w:rsidRPr="002A431D">
        <w:t>168</w:t>
      </w:r>
      <w:r w:rsidRPr="002A431D">
        <w:t xml:space="preserve">. Dice el autor, refiriendo al desarrollo del neoconstitucionalismo en Europa que “De la Constitución considerada fundamentalmente como carta política dirigida al Parlamento, se pasa a su consideración como norma jurídica suprema y de aplicación directa, dirigida en esencia a los tribunales, en especial el tribunal constitucional. Del Estado legal de Derecho se pasa al Estado constitucional de Derecho, donde la Constitución, mucho más que la ley, se convierte en el centro de todo el sistema normativo. De la centralidad del Estado y, de sus prerrogativas, se da lugar a la consideración de la persona humana y sus derechos como ejes del sistema jurídico. De la soberanía del legislador se pasa a la palabra final a cargo de los jueces.” </w:t>
      </w:r>
    </w:p>
    <w:p w14:paraId="581E62BE" w14:textId="57D2F4B0" w:rsidR="00001923" w:rsidRPr="002A431D" w:rsidRDefault="00001923" w:rsidP="002A431D">
      <w:pPr>
        <w:pStyle w:val="Textonotapie"/>
        <w:spacing w:line="240" w:lineRule="auto"/>
      </w:pPr>
      <w:r w:rsidRPr="002A431D">
        <w:t xml:space="preserve">La coincidencia parcial </w:t>
      </w:r>
      <w:r w:rsidR="00002468" w:rsidRPr="002A431D">
        <w:t xml:space="preserve">que referimos, </w:t>
      </w:r>
      <w:r w:rsidRPr="002A431D">
        <w:t>radica en el hecho de considerar que el neoconstitucionalismo, como fenómeno, comprende otros aspectos distintos a la organización del poder, aunque es claro que en este punto se destaca por la preminencia que se asigna al órgano judicial. Señala P</w:t>
      </w:r>
      <w:r w:rsidR="00756914" w:rsidRPr="002A431D">
        <w:t>r</w:t>
      </w:r>
      <w:r w:rsidRPr="002A431D">
        <w:t xml:space="preserve">ieto Sanchís en breve síntesis que compartimos que “con el nombre de neoconstitucionalismo o constitucionalismo contemporáneo se alude tanto a un modelo de organización jurídico político o de estado de derecho, como al tipo de teoría del derecho requerida para explicar dicho modelo; e incluso cabría hablar de una tercera acepción, el neoconstitucionalismo como ideología, para referirse a la filosofía política que justifica la fórmula del estado constitucional de derecho”; </w:t>
      </w:r>
      <w:bookmarkStart w:id="1" w:name="_Hlk92993102"/>
      <w:r w:rsidR="00756914" w:rsidRPr="002A431D">
        <w:t xml:space="preserve">Prieto Sanchís, Luis, </w:t>
      </w:r>
      <w:r w:rsidRPr="002A431D">
        <w:t xml:space="preserve">voz “neoconstitucionalismo” en Miguel Carbonell (coord.), </w:t>
      </w:r>
      <w:r w:rsidRPr="002A431D">
        <w:rPr>
          <w:i/>
          <w:iCs/>
        </w:rPr>
        <w:t>Diccionario de Derecho Constitucional</w:t>
      </w:r>
      <w:r w:rsidRPr="002A431D">
        <w:t xml:space="preserve">, México, Porrúa y </w:t>
      </w:r>
      <w:proofErr w:type="spellStart"/>
      <w:r w:rsidRPr="002A431D">
        <w:t>unaM</w:t>
      </w:r>
      <w:proofErr w:type="spellEnd"/>
      <w:r w:rsidRPr="002A431D">
        <w:t>, 2005, p. 420</w:t>
      </w:r>
      <w:r w:rsidR="00F130B7" w:rsidRPr="002A431D">
        <w:t>.</w:t>
      </w:r>
      <w:bookmarkEnd w:id="1"/>
    </w:p>
  </w:footnote>
  <w:footnote w:id="4">
    <w:p w14:paraId="1BD81262" w14:textId="7EE1BA57" w:rsidR="002E6832" w:rsidRPr="002A431D" w:rsidRDefault="002E6832" w:rsidP="002A431D">
      <w:pPr>
        <w:pStyle w:val="Textonotapie"/>
        <w:spacing w:line="240" w:lineRule="auto"/>
        <w:rPr>
          <w:lang w:val="es-ES"/>
        </w:rPr>
      </w:pPr>
      <w:r w:rsidRPr="002A431D">
        <w:rPr>
          <w:rStyle w:val="Refdenotaalpie"/>
        </w:rPr>
        <w:footnoteRef/>
      </w:r>
      <w:r w:rsidRPr="002A431D">
        <w:t xml:space="preserve"> Puede verse de nuestra autoría </w:t>
      </w:r>
      <w:bookmarkStart w:id="2" w:name="_Hlk92993126"/>
      <w:r w:rsidRPr="002A431D">
        <w:t>“Modelos judiciales y procesos constitucionales”, publicado en Revista “Actualidad Jurídica”, año II, Vol. 24, Julio/</w:t>
      </w:r>
      <w:proofErr w:type="gramStart"/>
      <w:r w:rsidRPr="002A431D">
        <w:t>Agosto</w:t>
      </w:r>
      <w:proofErr w:type="gramEnd"/>
      <w:r w:rsidRPr="002A431D">
        <w:t xml:space="preserve"> 2016</w:t>
      </w:r>
      <w:r w:rsidR="00F130B7" w:rsidRPr="002A431D">
        <w:t>,</w:t>
      </w:r>
      <w:r w:rsidRPr="002A431D">
        <w:t xml:space="preserve"> </w:t>
      </w:r>
      <w:hyperlink r:id="rId1" w:history="1">
        <w:r w:rsidRPr="002A431D">
          <w:rPr>
            <w:rStyle w:val="Hipervnculo"/>
          </w:rPr>
          <w:t>www.actualidadjuridica.com.ar</w:t>
        </w:r>
      </w:hyperlink>
      <w:bookmarkEnd w:id="2"/>
    </w:p>
  </w:footnote>
  <w:footnote w:id="5">
    <w:p w14:paraId="769637EE" w14:textId="1FAC79F7" w:rsidR="00F130B7" w:rsidRPr="002A431D" w:rsidRDefault="00F130B7" w:rsidP="002A431D">
      <w:pPr>
        <w:pStyle w:val="Textonotapie"/>
        <w:spacing w:line="240" w:lineRule="auto"/>
      </w:pPr>
      <w:r w:rsidRPr="002A431D">
        <w:rPr>
          <w:rStyle w:val="Refdenotaalpie"/>
        </w:rPr>
        <w:footnoteRef/>
      </w:r>
      <w:r w:rsidRPr="002A431D">
        <w:t xml:space="preserve"> </w:t>
      </w:r>
      <w:r w:rsidR="003F118D" w:rsidRPr="002A431D">
        <w:t xml:space="preserve">Romero, </w:t>
      </w:r>
      <w:r w:rsidRPr="002A431D">
        <w:t xml:space="preserve">Cesar Enrique, </w:t>
      </w:r>
      <w:r w:rsidRPr="002A431D">
        <w:rPr>
          <w:i/>
        </w:rPr>
        <w:t>Introducción al derecho constitucional</w:t>
      </w:r>
      <w:r w:rsidRPr="002A431D">
        <w:t xml:space="preserve">, </w:t>
      </w:r>
      <w:r w:rsidR="003F118D" w:rsidRPr="002A431D">
        <w:t xml:space="preserve">Buenos Aires, Zavalía, 1973, </w:t>
      </w:r>
      <w:r w:rsidRPr="002A431D">
        <w:t>p. 128</w:t>
      </w:r>
    </w:p>
  </w:footnote>
  <w:footnote w:id="6">
    <w:p w14:paraId="7BECAC41" w14:textId="2DB19E4F" w:rsidR="00F130B7" w:rsidRPr="002A431D" w:rsidRDefault="00F130B7" w:rsidP="002A431D">
      <w:pPr>
        <w:pStyle w:val="Textonotapie"/>
        <w:spacing w:line="240" w:lineRule="auto"/>
      </w:pPr>
      <w:r w:rsidRPr="002A431D">
        <w:rPr>
          <w:rStyle w:val="Refdenotaalpie"/>
        </w:rPr>
        <w:footnoteRef/>
      </w:r>
      <w:r w:rsidRPr="002A431D">
        <w:t xml:space="preserve"> Ibidem, p. 130</w:t>
      </w:r>
      <w:r w:rsidR="003F118D" w:rsidRPr="002A431D">
        <w:t>.</w:t>
      </w:r>
    </w:p>
  </w:footnote>
  <w:footnote w:id="7">
    <w:p w14:paraId="5575ECF7" w14:textId="075AC82A" w:rsidR="003F118D" w:rsidRPr="002A431D" w:rsidRDefault="003F118D" w:rsidP="002A431D">
      <w:pPr>
        <w:pStyle w:val="Textonotapie"/>
        <w:spacing w:line="240" w:lineRule="auto"/>
      </w:pPr>
      <w:r w:rsidRPr="002A431D">
        <w:rPr>
          <w:rStyle w:val="Refdenotaalpie"/>
        </w:rPr>
        <w:footnoteRef/>
      </w:r>
      <w:r w:rsidRPr="002A431D">
        <w:t xml:space="preserve"> “Toda idea política se enfrenta de algún modo con la naturaleza del hombre, partiendo de la hipótesis de que éste, por naturaleza, es bueno o malo</w:t>
      </w:r>
      <w:r w:rsidR="00EF3B55" w:rsidRPr="002A431D">
        <w:t>”.</w:t>
      </w:r>
      <w:r w:rsidR="00EF3B55" w:rsidRPr="002A431D">
        <w:rPr>
          <w:vertAlign w:val="superscript"/>
        </w:rPr>
        <w:t xml:space="preserve"> </w:t>
      </w:r>
      <w:bookmarkStart w:id="3" w:name="_Hlk92993198"/>
      <w:r w:rsidR="00EF3B55" w:rsidRPr="002A431D">
        <w:t>S</w:t>
      </w:r>
      <w:r w:rsidRPr="002A431D">
        <w:t xml:space="preserve">chmitt, </w:t>
      </w:r>
      <w:r w:rsidR="00EF3B55" w:rsidRPr="002A431D">
        <w:t xml:space="preserve">Carl, </w:t>
      </w:r>
      <w:r w:rsidRPr="002A431D">
        <w:rPr>
          <w:i/>
        </w:rPr>
        <w:t>Interpretación europea de Donoso Cortés</w:t>
      </w:r>
      <w:r w:rsidRPr="002A431D">
        <w:t>, Madrid, Ediciones Rialp S.A., 1973, p. 77</w:t>
      </w:r>
      <w:r w:rsidR="00EF3B55" w:rsidRPr="002A431D">
        <w:t>.</w:t>
      </w:r>
    </w:p>
    <w:bookmarkEnd w:id="3"/>
  </w:footnote>
  <w:footnote w:id="8">
    <w:p w14:paraId="47E3F63D" w14:textId="65AE8621" w:rsidR="001C4233" w:rsidRPr="002A431D" w:rsidRDefault="001C4233" w:rsidP="002A431D">
      <w:pPr>
        <w:pStyle w:val="Textonotapie"/>
        <w:spacing w:line="240" w:lineRule="auto"/>
      </w:pPr>
      <w:r w:rsidRPr="002A431D">
        <w:rPr>
          <w:rStyle w:val="Refdenotaalpie"/>
        </w:rPr>
        <w:footnoteRef/>
      </w:r>
      <w:r w:rsidRPr="002A431D">
        <w:t xml:space="preserve"> </w:t>
      </w:r>
      <w:r w:rsidRPr="002A431D">
        <w:rPr>
          <w:lang w:val="es-ES"/>
        </w:rPr>
        <w:t xml:space="preserve">Algo similar deja entrever </w:t>
      </w:r>
      <w:proofErr w:type="spellStart"/>
      <w:r w:rsidRPr="002A431D">
        <w:rPr>
          <w:lang w:val="es-ES"/>
        </w:rPr>
        <w:t>Vanossi</w:t>
      </w:r>
      <w:proofErr w:type="spellEnd"/>
      <w:r w:rsidRPr="002A431D">
        <w:rPr>
          <w:lang w:val="es-ES"/>
        </w:rPr>
        <w:t xml:space="preserve"> cuando señala que “</w:t>
      </w:r>
      <w:r w:rsidRPr="002A431D">
        <w:t xml:space="preserve">La función constitucional de los jueces…admite diversos mirajes posibles, así: a) como órgano de poder del Estado; b) como instrumento de control sobre los demás poderes, y c) como garantía de los derechos o libertades de las personas. Y en cada posición que se asuma, para esos tres mirajes, puede generarse una actitud de confianza o de desconfianza en el juez…”. </w:t>
      </w:r>
      <w:bookmarkStart w:id="4" w:name="_Hlk92993219"/>
      <w:proofErr w:type="spellStart"/>
      <w:r w:rsidRPr="002A431D">
        <w:t>Vanossi</w:t>
      </w:r>
      <w:proofErr w:type="spellEnd"/>
      <w:r w:rsidRPr="002A431D">
        <w:t xml:space="preserve">, Jorge Reinaldo, </w:t>
      </w:r>
      <w:r w:rsidRPr="002A431D">
        <w:rPr>
          <w:i/>
        </w:rPr>
        <w:t xml:space="preserve">Teoría Constitucional, </w:t>
      </w:r>
      <w:r w:rsidRPr="002A431D">
        <w:t xml:space="preserve">Buenos Aires, </w:t>
      </w:r>
      <w:proofErr w:type="spellStart"/>
      <w:r w:rsidRPr="002A431D">
        <w:t>Depalma</w:t>
      </w:r>
      <w:proofErr w:type="spellEnd"/>
      <w:r w:rsidR="00F618A3" w:rsidRPr="002A431D">
        <w:t>, 2000, T II</w:t>
      </w:r>
      <w:r w:rsidRPr="002A431D">
        <w:t xml:space="preserve">, p. </w:t>
      </w:r>
      <w:bookmarkEnd w:id="4"/>
      <w:r w:rsidR="00F618A3" w:rsidRPr="002A431D">
        <w:t>341</w:t>
      </w:r>
      <w:r w:rsidRPr="002A431D">
        <w:t>.</w:t>
      </w:r>
    </w:p>
    <w:p w14:paraId="0BDA7F99" w14:textId="0F6A54BC" w:rsidR="001C4233" w:rsidRPr="002A431D" w:rsidRDefault="001C4233" w:rsidP="002A431D">
      <w:pPr>
        <w:pStyle w:val="Textonotapie"/>
        <w:spacing w:line="240" w:lineRule="auto"/>
      </w:pPr>
    </w:p>
    <w:p w14:paraId="7DC1ACF5" w14:textId="585DD78A" w:rsidR="001C4233" w:rsidRPr="002A431D" w:rsidRDefault="001C4233" w:rsidP="002A431D">
      <w:pPr>
        <w:pStyle w:val="Textonotapie"/>
        <w:spacing w:line="240" w:lineRule="auto"/>
        <w:rPr>
          <w:lang w:val="es-ES"/>
        </w:rPr>
      </w:pPr>
    </w:p>
  </w:footnote>
  <w:footnote w:id="9">
    <w:p w14:paraId="00CD0F06" w14:textId="76F0FF79" w:rsidR="00810BA8" w:rsidRPr="002A431D" w:rsidRDefault="00810BA8" w:rsidP="002A431D">
      <w:pPr>
        <w:pStyle w:val="Textonotapie"/>
        <w:spacing w:line="240" w:lineRule="auto"/>
        <w:rPr>
          <w:lang w:val="es-ES"/>
        </w:rPr>
      </w:pPr>
      <w:r w:rsidRPr="002A431D">
        <w:rPr>
          <w:rStyle w:val="Refdenotaalpie"/>
        </w:rPr>
        <w:footnoteRef/>
      </w:r>
      <w:r w:rsidRPr="002A431D">
        <w:t xml:space="preserve"> </w:t>
      </w:r>
      <w:bookmarkStart w:id="5" w:name="_Hlk92993250"/>
      <w:proofErr w:type="spellStart"/>
      <w:r w:rsidRPr="002A431D">
        <w:rPr>
          <w:lang w:val="es-ES"/>
        </w:rPr>
        <w:t>Ost</w:t>
      </w:r>
      <w:proofErr w:type="spellEnd"/>
      <w:r w:rsidRPr="002A431D">
        <w:rPr>
          <w:lang w:val="es-ES"/>
        </w:rPr>
        <w:t xml:space="preserve">, </w:t>
      </w:r>
      <w:proofErr w:type="spellStart"/>
      <w:r w:rsidRPr="002A431D">
        <w:rPr>
          <w:lang w:val="es-ES"/>
        </w:rPr>
        <w:t>Francois</w:t>
      </w:r>
      <w:proofErr w:type="spellEnd"/>
      <w:r w:rsidRPr="002A431D">
        <w:rPr>
          <w:lang w:val="es-ES"/>
        </w:rPr>
        <w:t xml:space="preserve">, “Júpiter, Hércules, Hermes: tres modelos de juez”, trad. </w:t>
      </w:r>
      <w:proofErr w:type="spellStart"/>
      <w:r w:rsidRPr="002A431D">
        <w:rPr>
          <w:lang w:val="es-ES"/>
        </w:rPr>
        <w:t>Lifante</w:t>
      </w:r>
      <w:proofErr w:type="spellEnd"/>
      <w:r w:rsidRPr="002A431D">
        <w:rPr>
          <w:lang w:val="es-ES"/>
        </w:rPr>
        <w:t xml:space="preserve"> Vidal, Isabel, Academia, Revista de Enseñanza del Derecho, </w:t>
      </w:r>
      <w:r w:rsidR="00FA4D64" w:rsidRPr="002A431D">
        <w:rPr>
          <w:lang w:val="es-ES"/>
        </w:rPr>
        <w:t>año 4, núm. 8, 2007, p. 110.</w:t>
      </w:r>
    </w:p>
    <w:bookmarkEnd w:id="5"/>
  </w:footnote>
  <w:footnote w:id="10">
    <w:p w14:paraId="1BFB20CE" w14:textId="2606434B" w:rsidR="00110F36" w:rsidRPr="002A431D" w:rsidRDefault="00110F36" w:rsidP="002A431D">
      <w:pPr>
        <w:pStyle w:val="Textonotapie"/>
        <w:spacing w:line="240" w:lineRule="auto"/>
      </w:pPr>
      <w:r w:rsidRPr="002A431D">
        <w:rPr>
          <w:rStyle w:val="Refdenotaalpie"/>
        </w:rPr>
        <w:footnoteRef/>
      </w:r>
      <w:r w:rsidRPr="002A431D">
        <w:t xml:space="preserve"> </w:t>
      </w:r>
      <w:bookmarkStart w:id="6" w:name="_Hlk93321139"/>
      <w:r w:rsidR="00F618A3" w:rsidRPr="002A431D">
        <w:t xml:space="preserve">Sutherland, Arthur E., </w:t>
      </w:r>
      <w:r w:rsidR="00F618A3" w:rsidRPr="002A431D">
        <w:rPr>
          <w:i/>
        </w:rPr>
        <w:t xml:space="preserve">De la Carta Magna a la Constitución Norteamericana, </w:t>
      </w:r>
      <w:r w:rsidR="00F618A3" w:rsidRPr="002A431D">
        <w:t xml:space="preserve">Buenos Aires, TEA, 1972, </w:t>
      </w:r>
      <w:r w:rsidRPr="002A431D">
        <w:t>p. 82.</w:t>
      </w:r>
    </w:p>
    <w:bookmarkEnd w:id="6"/>
  </w:footnote>
  <w:footnote w:id="11">
    <w:p w14:paraId="4409015C" w14:textId="162463CE" w:rsidR="00E462CC" w:rsidRPr="002A431D" w:rsidRDefault="00E462CC" w:rsidP="002A431D">
      <w:pPr>
        <w:pStyle w:val="Textonotapie"/>
        <w:spacing w:line="240" w:lineRule="auto"/>
        <w:rPr>
          <w:lang w:val="es-ES"/>
        </w:rPr>
      </w:pPr>
      <w:r w:rsidRPr="002A431D">
        <w:rPr>
          <w:rStyle w:val="Refdenotaalpie"/>
        </w:rPr>
        <w:footnoteRef/>
      </w:r>
      <w:r w:rsidRPr="002A431D">
        <w:t xml:space="preserve"> </w:t>
      </w:r>
      <w:r w:rsidRPr="002A431D">
        <w:rPr>
          <w:lang w:val="es-ES"/>
        </w:rPr>
        <w:t xml:space="preserve">Dejamos de lado </w:t>
      </w:r>
      <w:r w:rsidR="00333050" w:rsidRPr="002A431D">
        <w:rPr>
          <w:lang w:val="es-ES"/>
        </w:rPr>
        <w:t xml:space="preserve">los postulados de pensadores de períodos anteriores, en especial Aristóteles, por cuanto </w:t>
      </w:r>
      <w:r w:rsidR="00333050" w:rsidRPr="002A431D">
        <w:t xml:space="preserve">“la división aristotélica más que inaugurar la doctrina, consistía en una división objetiva de funciones sin distinción de los sujetos, de modo que una misma persona podía participar en los diferentes órganos estatales.” </w:t>
      </w:r>
      <w:bookmarkStart w:id="7" w:name="_Hlk92993285"/>
      <w:proofErr w:type="spellStart"/>
      <w:r w:rsidR="00B30BAD" w:rsidRPr="002A431D">
        <w:t>Serrafero</w:t>
      </w:r>
      <w:proofErr w:type="spellEnd"/>
      <w:r w:rsidR="00B30BAD" w:rsidRPr="002A431D">
        <w:t xml:space="preserve">, Mario Daniel, </w:t>
      </w:r>
      <w:r w:rsidR="00B30BAD" w:rsidRPr="002A431D">
        <w:rPr>
          <w:i/>
        </w:rPr>
        <w:t xml:space="preserve">Momentos institucionales y modelos constitucionales, </w:t>
      </w:r>
      <w:r w:rsidR="00B30BAD" w:rsidRPr="002A431D">
        <w:t>Buenos Aires, Centro Editor de América Latina, 1993, p. 11</w:t>
      </w:r>
      <w:bookmarkEnd w:id="7"/>
      <w:r w:rsidR="00B30BAD" w:rsidRPr="002A431D">
        <w:t xml:space="preserve">. </w:t>
      </w:r>
      <w:r w:rsidR="00F4586D" w:rsidRPr="002A431D">
        <w:t xml:space="preserve">En una postura similar se enrola </w:t>
      </w:r>
      <w:proofErr w:type="spellStart"/>
      <w:r w:rsidR="00F4586D" w:rsidRPr="002A431D">
        <w:t>Lowenstewin</w:t>
      </w:r>
      <w:proofErr w:type="spellEnd"/>
      <w:r w:rsidR="00F4586D" w:rsidRPr="002A431D">
        <w:t xml:space="preserve"> para quien “…la comprensión aristotélica de la diferencia entre estas categorías no puede equipararse con la exigencia actual de separación de funciones tal como se ha pretendido deducir del texto en cuestión…Nada permite deducir que Aristóteles observase empíricamente o desease teóricamente la atribución de estas tres funciones a diferentes órganos o personas. Y justamente en este punto yace la importancia ideológica de la doctrina de la separación de poderes del liberalismo constitucional de la primera época. El constitucionalismo de la antigüedad no se adscribió a la teoría de la separación de poderes…” </w:t>
      </w:r>
      <w:bookmarkStart w:id="8" w:name="_Hlk93321178"/>
      <w:proofErr w:type="spellStart"/>
      <w:r w:rsidR="00F4586D" w:rsidRPr="002A431D">
        <w:t>Lowenstein</w:t>
      </w:r>
      <w:proofErr w:type="spellEnd"/>
      <w:r w:rsidR="00F4586D" w:rsidRPr="002A431D">
        <w:t xml:space="preserve">, Karl, </w:t>
      </w:r>
      <w:r w:rsidR="00F4586D" w:rsidRPr="002A431D">
        <w:rPr>
          <w:i/>
        </w:rPr>
        <w:t xml:space="preserve">Teoría de la Constitución, </w:t>
      </w:r>
      <w:r w:rsidR="00F4586D" w:rsidRPr="002A431D">
        <w:t>Barcelona, 1976</w:t>
      </w:r>
      <w:bookmarkEnd w:id="8"/>
      <w:r w:rsidR="00F4586D" w:rsidRPr="002A431D">
        <w:t xml:space="preserve">, p. 57. </w:t>
      </w:r>
      <w:r w:rsidR="00C12726" w:rsidRPr="002A431D">
        <w:t xml:space="preserve">Sobre la evolución de la doctrina de la separación de poderes, puede verse </w:t>
      </w:r>
      <w:bookmarkStart w:id="9" w:name="_Hlk93510391"/>
      <w:r w:rsidR="00C12726" w:rsidRPr="002A431D">
        <w:t xml:space="preserve">Bianchi, Alberto, </w:t>
      </w:r>
      <w:r w:rsidR="00C12726" w:rsidRPr="002A431D">
        <w:rPr>
          <w:i/>
          <w:iCs/>
        </w:rPr>
        <w:t>La separación de poderes, un estudio desde el derecho comprado</w:t>
      </w:r>
      <w:r w:rsidR="00C12726" w:rsidRPr="002A431D">
        <w:t>, Buenos Aires, Cathedra Jurídica, 2019.</w:t>
      </w:r>
      <w:bookmarkEnd w:id="9"/>
    </w:p>
  </w:footnote>
  <w:footnote w:id="12">
    <w:p w14:paraId="370CA48D" w14:textId="263CEDB3" w:rsidR="00AC1E71" w:rsidRPr="002A431D" w:rsidRDefault="00AC1E71" w:rsidP="002A431D">
      <w:pPr>
        <w:pStyle w:val="Textonotapie"/>
        <w:spacing w:line="240" w:lineRule="auto"/>
        <w:rPr>
          <w:lang w:val="en-US"/>
        </w:rPr>
      </w:pPr>
      <w:r w:rsidRPr="002A431D">
        <w:rPr>
          <w:rStyle w:val="Refdenotaalpie"/>
        </w:rPr>
        <w:footnoteRef/>
      </w:r>
      <w:r w:rsidRPr="002A431D">
        <w:rPr>
          <w:lang w:val="en-US"/>
        </w:rPr>
        <w:t xml:space="preserve"> </w:t>
      </w:r>
      <w:proofErr w:type="spellStart"/>
      <w:r w:rsidRPr="002A431D">
        <w:rPr>
          <w:lang w:val="en-US"/>
        </w:rPr>
        <w:t>Vanossi</w:t>
      </w:r>
      <w:proofErr w:type="spellEnd"/>
      <w:r w:rsidRPr="002A431D">
        <w:rPr>
          <w:lang w:val="en-US"/>
        </w:rPr>
        <w:t xml:space="preserve">, Jorge R., </w:t>
      </w:r>
      <w:r w:rsidR="000B632D">
        <w:rPr>
          <w:i/>
          <w:iCs/>
          <w:lang w:val="en-US"/>
        </w:rPr>
        <w:t>o</w:t>
      </w:r>
      <w:r w:rsidR="00F618A3" w:rsidRPr="002A431D">
        <w:rPr>
          <w:i/>
          <w:iCs/>
          <w:lang w:val="en-US"/>
        </w:rPr>
        <w:t xml:space="preserve">p. </w:t>
      </w:r>
      <w:r w:rsidR="000B632D">
        <w:rPr>
          <w:i/>
          <w:iCs/>
          <w:lang w:val="en-US"/>
        </w:rPr>
        <w:t>c</w:t>
      </w:r>
      <w:r w:rsidR="00F618A3" w:rsidRPr="002A431D">
        <w:rPr>
          <w:i/>
          <w:iCs/>
          <w:lang w:val="en-US"/>
        </w:rPr>
        <w:t>it.,</w:t>
      </w:r>
      <w:r w:rsidRPr="002A431D">
        <w:rPr>
          <w:lang w:val="en-US"/>
        </w:rPr>
        <w:t xml:space="preserve"> TII, p. 75.</w:t>
      </w:r>
    </w:p>
  </w:footnote>
  <w:footnote w:id="13">
    <w:p w14:paraId="10B47212" w14:textId="70668A27" w:rsidR="00393B33" w:rsidRPr="002A431D" w:rsidRDefault="00393B33" w:rsidP="002A431D">
      <w:pPr>
        <w:pStyle w:val="Textonotapie"/>
        <w:spacing w:line="240" w:lineRule="auto"/>
        <w:rPr>
          <w:lang w:val="es-ES"/>
        </w:rPr>
      </w:pPr>
      <w:r w:rsidRPr="002A431D">
        <w:rPr>
          <w:rStyle w:val="Refdenotaalpie"/>
        </w:rPr>
        <w:footnoteRef/>
      </w:r>
      <w:r w:rsidRPr="002A431D">
        <w:t xml:space="preserve"> Locke, </w:t>
      </w:r>
      <w:proofErr w:type="gramStart"/>
      <w:r w:rsidRPr="002A431D">
        <w:t xml:space="preserve">John,  </w:t>
      </w:r>
      <w:r w:rsidRPr="002A431D">
        <w:rPr>
          <w:i/>
          <w:iCs/>
        </w:rPr>
        <w:t>Segundo</w:t>
      </w:r>
      <w:proofErr w:type="gramEnd"/>
      <w:r w:rsidRPr="002A431D">
        <w:rPr>
          <w:i/>
          <w:iCs/>
        </w:rPr>
        <w:t xml:space="preserve"> e</w:t>
      </w:r>
      <w:r w:rsidRPr="002A431D">
        <w:rPr>
          <w:i/>
        </w:rPr>
        <w:t>nsayo sobre el gobierno civil</w:t>
      </w:r>
      <w:r w:rsidRPr="002A431D">
        <w:t>,</w:t>
      </w:r>
      <w:r w:rsidRPr="002A431D">
        <w:rPr>
          <w:i/>
          <w:iCs/>
        </w:rPr>
        <w:t xml:space="preserve"> </w:t>
      </w:r>
      <w:r w:rsidRPr="002A431D">
        <w:t>Buenos Aires, Ediciones Libertador, 2004, p. 82.</w:t>
      </w:r>
    </w:p>
  </w:footnote>
  <w:footnote w:id="14">
    <w:p w14:paraId="7211EAF6" w14:textId="686CEEF1" w:rsidR="00660AF3" w:rsidRPr="002A431D" w:rsidRDefault="00660AF3" w:rsidP="002A431D">
      <w:pPr>
        <w:pStyle w:val="Textonotapie"/>
        <w:spacing w:line="240" w:lineRule="auto"/>
        <w:rPr>
          <w:lang w:val="es-ES"/>
        </w:rPr>
      </w:pPr>
      <w:r w:rsidRPr="002A431D">
        <w:rPr>
          <w:rStyle w:val="Refdenotaalpie"/>
        </w:rPr>
        <w:footnoteRef/>
      </w:r>
      <w:r w:rsidRPr="002A431D">
        <w:t xml:space="preserve"> </w:t>
      </w:r>
      <w:r w:rsidRPr="002A431D">
        <w:rPr>
          <w:lang w:val="es-ES"/>
        </w:rPr>
        <w:t>Ibidem, p. 89.</w:t>
      </w:r>
    </w:p>
  </w:footnote>
  <w:footnote w:id="15">
    <w:p w14:paraId="27B1180C" w14:textId="7EE5CDD5" w:rsidR="001344EE" w:rsidRPr="002A431D" w:rsidRDefault="001344EE" w:rsidP="002A431D">
      <w:pPr>
        <w:pStyle w:val="Textonotapie"/>
        <w:spacing w:line="240" w:lineRule="auto"/>
        <w:rPr>
          <w:lang w:val="es-ES"/>
        </w:rPr>
      </w:pPr>
      <w:r w:rsidRPr="002A431D">
        <w:rPr>
          <w:rStyle w:val="Refdenotaalpie"/>
        </w:rPr>
        <w:footnoteRef/>
      </w:r>
      <w:r w:rsidRPr="002A431D">
        <w:t xml:space="preserve"> </w:t>
      </w:r>
      <w:r w:rsidRPr="002A431D">
        <w:rPr>
          <w:lang w:val="es-ES"/>
        </w:rPr>
        <w:t>Ibidem, p. 84.</w:t>
      </w:r>
    </w:p>
  </w:footnote>
  <w:footnote w:id="16">
    <w:p w14:paraId="459821F5" w14:textId="704A2839" w:rsidR="006C06BC" w:rsidRPr="002A431D" w:rsidRDefault="006C06BC" w:rsidP="002A431D">
      <w:pPr>
        <w:pStyle w:val="Textonotapie"/>
        <w:spacing w:line="240" w:lineRule="auto"/>
      </w:pPr>
      <w:r w:rsidRPr="002A431D">
        <w:rPr>
          <w:rStyle w:val="Refdenotaalpie"/>
        </w:rPr>
        <w:footnoteRef/>
      </w:r>
      <w:r w:rsidRPr="002A431D">
        <w:t xml:space="preserve"> </w:t>
      </w:r>
      <w:bookmarkStart w:id="10" w:name="_Hlk93321258"/>
      <w:r w:rsidR="00AC1E71" w:rsidRPr="002A431D">
        <w:t xml:space="preserve">Montesquieu, </w:t>
      </w:r>
      <w:r w:rsidR="00AC1E71" w:rsidRPr="002A431D">
        <w:rPr>
          <w:i/>
        </w:rPr>
        <w:t xml:space="preserve">Obras, El espíritu de las leyes, grandeza y decadencia de los romanos, </w:t>
      </w:r>
      <w:r w:rsidR="00AC1E71" w:rsidRPr="002A431D">
        <w:t>Buenos Aires, El Ateneo, 1951</w:t>
      </w:r>
      <w:bookmarkEnd w:id="10"/>
      <w:r w:rsidR="00AC1E71" w:rsidRPr="002A431D">
        <w:t>, p.</w:t>
      </w:r>
      <w:r w:rsidRPr="002A431D">
        <w:t xml:space="preserve"> 207</w:t>
      </w:r>
      <w:r w:rsidR="00AC1E71" w:rsidRPr="002A431D">
        <w:t>.</w:t>
      </w:r>
    </w:p>
  </w:footnote>
  <w:footnote w:id="17">
    <w:p w14:paraId="785B9B41" w14:textId="2CE4A1DF" w:rsidR="006C06BC" w:rsidRPr="002A431D" w:rsidRDefault="006C06BC" w:rsidP="002A431D">
      <w:pPr>
        <w:pStyle w:val="Textonotapie"/>
        <w:spacing w:line="240" w:lineRule="auto"/>
      </w:pPr>
      <w:r w:rsidRPr="002A431D">
        <w:rPr>
          <w:rStyle w:val="Refdenotaalpie"/>
        </w:rPr>
        <w:footnoteRef/>
      </w:r>
      <w:r w:rsidRPr="002A431D">
        <w:t xml:space="preserve"> </w:t>
      </w:r>
      <w:proofErr w:type="gramStart"/>
      <w:r w:rsidR="00312B1E" w:rsidRPr="002A431D">
        <w:t xml:space="preserve">Ibidem, </w:t>
      </w:r>
      <w:r w:rsidRPr="002A431D">
        <w:t xml:space="preserve"> p.</w:t>
      </w:r>
      <w:proofErr w:type="gramEnd"/>
      <w:r w:rsidRPr="002A431D">
        <w:t xml:space="preserve"> 204.</w:t>
      </w:r>
    </w:p>
  </w:footnote>
  <w:footnote w:id="18">
    <w:p w14:paraId="14D36DF9" w14:textId="799A1970" w:rsidR="006C06BC" w:rsidRPr="002A431D" w:rsidRDefault="006C06BC" w:rsidP="002A431D">
      <w:pPr>
        <w:pStyle w:val="Textonotapie"/>
        <w:spacing w:line="240" w:lineRule="auto"/>
      </w:pPr>
      <w:r w:rsidRPr="002A431D">
        <w:rPr>
          <w:rStyle w:val="Refdenotaalpie"/>
        </w:rPr>
        <w:footnoteRef/>
      </w:r>
      <w:r w:rsidRPr="002A431D">
        <w:t xml:space="preserve"> </w:t>
      </w:r>
      <w:r w:rsidR="000C75AE" w:rsidRPr="002A431D">
        <w:t>Ibidem, p.</w:t>
      </w:r>
      <w:r w:rsidRPr="002A431D">
        <w:t xml:space="preserve"> 209.</w:t>
      </w:r>
    </w:p>
  </w:footnote>
  <w:footnote w:id="19">
    <w:p w14:paraId="24536F96" w14:textId="5EA0AE22" w:rsidR="009852C1" w:rsidRPr="002A431D" w:rsidRDefault="009852C1" w:rsidP="002A431D">
      <w:pPr>
        <w:pStyle w:val="Textonotapie"/>
        <w:spacing w:line="240" w:lineRule="auto"/>
        <w:rPr>
          <w:lang w:val="es-ES"/>
        </w:rPr>
      </w:pPr>
      <w:r w:rsidRPr="002A431D">
        <w:rPr>
          <w:rStyle w:val="Refdenotaalpie"/>
        </w:rPr>
        <w:footnoteRef/>
      </w:r>
      <w:r w:rsidRPr="002A431D">
        <w:t xml:space="preserve"> </w:t>
      </w:r>
      <w:r w:rsidRPr="002A431D">
        <w:rPr>
          <w:lang w:val="es-ES"/>
        </w:rPr>
        <w:t xml:space="preserve">“Hay dos o tres disposiciones liminares del gobierno revolucionario que tienden precisamente a impedir todo avance del poder judicial sobre el poder legislativo o cualquier examen del poder judicial sobre los actos del poder ejecutivo o administrador. Tenemos así, en ese orden ideas, las leyes del 16 y 24 de agosto de 1790 y del 16 de fructidor del año III que prohibían a los </w:t>
      </w:r>
      <w:r w:rsidR="00365280" w:rsidRPr="002A431D">
        <w:rPr>
          <w:lang w:val="es-ES"/>
        </w:rPr>
        <w:t xml:space="preserve">tribunales conocer y decidir de los actos </w:t>
      </w:r>
      <w:proofErr w:type="gramStart"/>
      <w:r w:rsidR="00365280" w:rsidRPr="002A431D">
        <w:rPr>
          <w:lang w:val="es-ES"/>
        </w:rPr>
        <w:t>administrativos ,</w:t>
      </w:r>
      <w:proofErr w:type="gramEnd"/>
      <w:r w:rsidR="00365280" w:rsidRPr="002A431D">
        <w:rPr>
          <w:lang w:val="es-ES"/>
        </w:rPr>
        <w:t xml:space="preserve"> y con respecto al parlamento, la ley primeramente enunciada y luego la Constitución revolucionario del 1791, que prohibió a los tribunales entrar a suspender la ejecución o aplicación de la leyes.” </w:t>
      </w:r>
      <w:proofErr w:type="spellStart"/>
      <w:r w:rsidR="00365280" w:rsidRPr="002A431D">
        <w:rPr>
          <w:lang w:val="es-ES"/>
        </w:rPr>
        <w:t>Vanossi</w:t>
      </w:r>
      <w:proofErr w:type="spellEnd"/>
      <w:r w:rsidR="00365280" w:rsidRPr="002A431D">
        <w:rPr>
          <w:lang w:val="es-ES"/>
        </w:rPr>
        <w:t xml:space="preserve">, Jorge R., </w:t>
      </w:r>
      <w:proofErr w:type="spellStart"/>
      <w:r w:rsidR="000B632D">
        <w:rPr>
          <w:i/>
          <w:iCs/>
          <w:lang w:val="es-ES"/>
        </w:rPr>
        <w:t>o</w:t>
      </w:r>
      <w:r w:rsidR="00365280" w:rsidRPr="002A431D">
        <w:rPr>
          <w:i/>
          <w:iCs/>
          <w:lang w:val="es-ES"/>
        </w:rPr>
        <w:t>p</w:t>
      </w:r>
      <w:proofErr w:type="spellEnd"/>
      <w:r w:rsidR="00365280" w:rsidRPr="002A431D">
        <w:rPr>
          <w:i/>
          <w:iCs/>
          <w:lang w:val="es-ES"/>
        </w:rPr>
        <w:t xml:space="preserve">. </w:t>
      </w:r>
      <w:r w:rsidR="000B632D">
        <w:rPr>
          <w:i/>
          <w:iCs/>
          <w:lang w:val="es-ES"/>
        </w:rPr>
        <w:t>c</w:t>
      </w:r>
      <w:r w:rsidR="00365280" w:rsidRPr="002A431D">
        <w:rPr>
          <w:i/>
          <w:iCs/>
          <w:lang w:val="es-ES"/>
        </w:rPr>
        <w:t>it.</w:t>
      </w:r>
      <w:r w:rsidR="00365280" w:rsidRPr="002A431D">
        <w:rPr>
          <w:lang w:val="es-ES"/>
        </w:rPr>
        <w:t>, T II, p. 77.</w:t>
      </w:r>
      <w:r w:rsidRPr="002A431D">
        <w:rPr>
          <w:lang w:val="es-ES"/>
        </w:rPr>
        <w:t xml:space="preserve"> </w:t>
      </w:r>
    </w:p>
  </w:footnote>
  <w:footnote w:id="20">
    <w:p w14:paraId="0E2EB510" w14:textId="7C467C62" w:rsidR="006C06BC" w:rsidRPr="002A431D" w:rsidRDefault="006C06BC" w:rsidP="002A431D">
      <w:pPr>
        <w:pStyle w:val="Textonotapie"/>
        <w:spacing w:line="240" w:lineRule="auto"/>
      </w:pPr>
      <w:r w:rsidRPr="002A431D">
        <w:rPr>
          <w:rStyle w:val="Refdenotaalpie"/>
        </w:rPr>
        <w:footnoteRef/>
      </w:r>
      <w:r w:rsidRPr="002A431D">
        <w:t xml:space="preserve"> </w:t>
      </w:r>
      <w:r w:rsidR="009E4D09" w:rsidRPr="002A431D">
        <w:t>Robespierre, c</w:t>
      </w:r>
      <w:r w:rsidR="000C75AE" w:rsidRPr="002A431D">
        <w:t xml:space="preserve">itado por </w:t>
      </w:r>
      <w:bookmarkStart w:id="11" w:name="_Hlk93321289"/>
      <w:r w:rsidRPr="002A431D">
        <w:t>Segovia</w:t>
      </w:r>
      <w:r w:rsidR="000C75AE" w:rsidRPr="002A431D">
        <w:t>, Juan Fernando</w:t>
      </w:r>
      <w:r w:rsidRPr="002A431D">
        <w:t xml:space="preserve">, “La independencia del Poder Judicial y el Estado de derecho”, en Pérez </w:t>
      </w:r>
      <w:proofErr w:type="spellStart"/>
      <w:r w:rsidRPr="002A431D">
        <w:t>Guilhou</w:t>
      </w:r>
      <w:proofErr w:type="spellEnd"/>
      <w:r w:rsidRPr="002A431D">
        <w:t xml:space="preserve"> y </w:t>
      </w:r>
      <w:proofErr w:type="spellStart"/>
      <w:r w:rsidRPr="002A431D">
        <w:t>ots</w:t>
      </w:r>
      <w:proofErr w:type="spellEnd"/>
      <w:r w:rsidRPr="002A431D">
        <w:t xml:space="preserve">., </w:t>
      </w:r>
      <w:r w:rsidRPr="002A431D">
        <w:rPr>
          <w:i/>
        </w:rPr>
        <w:t>El Poder Judicial,</w:t>
      </w:r>
      <w:r w:rsidRPr="002A431D">
        <w:t xml:space="preserve"> Buenos Aires, </w:t>
      </w:r>
      <w:proofErr w:type="spellStart"/>
      <w:r w:rsidRPr="002A431D">
        <w:t>Depalma</w:t>
      </w:r>
      <w:proofErr w:type="spellEnd"/>
      <w:r w:rsidRPr="002A431D">
        <w:t>, 1989</w:t>
      </w:r>
      <w:bookmarkEnd w:id="11"/>
      <w:r w:rsidRPr="002A431D">
        <w:t>, p</w:t>
      </w:r>
      <w:r w:rsidR="000C75AE" w:rsidRPr="002A431D">
        <w:t>.</w:t>
      </w:r>
      <w:r w:rsidRPr="002A431D">
        <w:t>148.</w:t>
      </w:r>
    </w:p>
  </w:footnote>
  <w:footnote w:id="21">
    <w:p w14:paraId="5B1FA97F" w14:textId="211106EB" w:rsidR="00755CF3" w:rsidRPr="002A431D" w:rsidRDefault="00755CF3" w:rsidP="002A431D">
      <w:pPr>
        <w:pStyle w:val="Textonotapie"/>
        <w:spacing w:line="240" w:lineRule="auto"/>
        <w:rPr>
          <w:lang w:val="es-ES"/>
        </w:rPr>
      </w:pPr>
      <w:r w:rsidRPr="002A431D">
        <w:rPr>
          <w:rStyle w:val="Refdenotaalpie"/>
        </w:rPr>
        <w:footnoteRef/>
      </w:r>
      <w:r w:rsidRPr="002A431D">
        <w:t xml:space="preserve"> </w:t>
      </w:r>
      <w:r w:rsidRPr="002A431D">
        <w:rPr>
          <w:lang w:val="es-ES"/>
        </w:rPr>
        <w:t xml:space="preserve">Dice </w:t>
      </w:r>
      <w:proofErr w:type="spellStart"/>
      <w:r w:rsidRPr="002A431D">
        <w:rPr>
          <w:lang w:val="es-ES"/>
        </w:rPr>
        <w:t>Vanossi</w:t>
      </w:r>
      <w:proofErr w:type="spellEnd"/>
      <w:r w:rsidRPr="002A431D">
        <w:rPr>
          <w:lang w:val="es-ES"/>
        </w:rPr>
        <w:t>: “El mismo Montesquieu</w:t>
      </w:r>
      <w:r w:rsidR="001C3F9A" w:rsidRPr="002A431D">
        <w:rPr>
          <w:lang w:val="es-ES"/>
        </w:rPr>
        <w:t xml:space="preserve"> se encarga de explicarnos que el poder judicial es un poder neutro, es el mero aplicador del silogismo, que toma la premisa mayor que es la ley, encara la premisa menor que son los hechos de la causa, y dicta la sentencia que es la conclusión razonada y automática de esa operación: el silogismo judicial. El poder judicial no podía entrar a </w:t>
      </w:r>
      <w:proofErr w:type="spellStart"/>
      <w:r w:rsidR="001C3F9A" w:rsidRPr="002A431D">
        <w:rPr>
          <w:lang w:val="es-ES"/>
        </w:rPr>
        <w:t>merituar</w:t>
      </w:r>
      <w:proofErr w:type="spellEnd"/>
      <w:r w:rsidR="001C3F9A" w:rsidRPr="002A431D">
        <w:rPr>
          <w:lang w:val="es-ES"/>
        </w:rPr>
        <w:t xml:space="preserve"> el valor de la ley ni mucho menos su constitucionalidad, es decir, su confrontación con normas superiores.”. </w:t>
      </w:r>
      <w:proofErr w:type="spellStart"/>
      <w:r w:rsidR="001C3F9A" w:rsidRPr="002A431D">
        <w:rPr>
          <w:lang w:val="es-ES"/>
        </w:rPr>
        <w:t>Vanossi</w:t>
      </w:r>
      <w:proofErr w:type="spellEnd"/>
      <w:r w:rsidR="001C3F9A" w:rsidRPr="002A431D">
        <w:rPr>
          <w:lang w:val="es-ES"/>
        </w:rPr>
        <w:t xml:space="preserve">, Jorge R., </w:t>
      </w:r>
      <w:proofErr w:type="spellStart"/>
      <w:r w:rsidR="000B632D">
        <w:rPr>
          <w:i/>
          <w:iCs/>
          <w:lang w:val="es-ES"/>
        </w:rPr>
        <w:t>o</w:t>
      </w:r>
      <w:r w:rsidR="001C3F9A" w:rsidRPr="002A431D">
        <w:rPr>
          <w:i/>
          <w:iCs/>
          <w:lang w:val="es-ES"/>
        </w:rPr>
        <w:t>p</w:t>
      </w:r>
      <w:proofErr w:type="spellEnd"/>
      <w:r w:rsidR="001C3F9A" w:rsidRPr="002A431D">
        <w:rPr>
          <w:i/>
          <w:iCs/>
          <w:lang w:val="es-ES"/>
        </w:rPr>
        <w:t xml:space="preserve">. </w:t>
      </w:r>
      <w:r w:rsidR="000B632D">
        <w:rPr>
          <w:i/>
          <w:iCs/>
          <w:lang w:val="es-ES"/>
        </w:rPr>
        <w:t>c</w:t>
      </w:r>
      <w:r w:rsidR="001C3F9A" w:rsidRPr="002A431D">
        <w:rPr>
          <w:i/>
          <w:iCs/>
          <w:lang w:val="es-ES"/>
        </w:rPr>
        <w:t xml:space="preserve">it., </w:t>
      </w:r>
      <w:r w:rsidR="001C3F9A" w:rsidRPr="002A431D">
        <w:rPr>
          <w:lang w:val="es-ES"/>
        </w:rPr>
        <w:t>T. II, p. 76.</w:t>
      </w:r>
    </w:p>
  </w:footnote>
  <w:footnote w:id="22">
    <w:p w14:paraId="30E4E4DB" w14:textId="2C304F55" w:rsidR="006C06BC" w:rsidRPr="002A431D" w:rsidRDefault="006C06BC" w:rsidP="002A431D">
      <w:pPr>
        <w:pStyle w:val="Textonotapie"/>
        <w:spacing w:line="240" w:lineRule="auto"/>
      </w:pPr>
      <w:r w:rsidRPr="002A431D">
        <w:rPr>
          <w:rStyle w:val="Refdenotaalpie"/>
        </w:rPr>
        <w:footnoteRef/>
      </w:r>
      <w:r w:rsidRPr="002A431D">
        <w:t xml:space="preserve"> </w:t>
      </w:r>
      <w:bookmarkStart w:id="12" w:name="_Hlk93321310"/>
      <w:r w:rsidRPr="002A431D">
        <w:t>Schwartz,</w:t>
      </w:r>
      <w:r w:rsidR="00F618A3" w:rsidRPr="002A431D">
        <w:t xml:space="preserve"> </w:t>
      </w:r>
      <w:proofErr w:type="gramStart"/>
      <w:r w:rsidR="00F618A3" w:rsidRPr="002A431D">
        <w:t xml:space="preserve">Bernard, </w:t>
      </w:r>
      <w:r w:rsidRPr="002A431D">
        <w:rPr>
          <w:i/>
        </w:rPr>
        <w:t xml:space="preserve"> Los</w:t>
      </w:r>
      <w:proofErr w:type="gramEnd"/>
      <w:r w:rsidRPr="002A431D">
        <w:rPr>
          <w:i/>
        </w:rPr>
        <w:t xml:space="preserve"> poderes del </w:t>
      </w:r>
      <w:proofErr w:type="spellStart"/>
      <w:r w:rsidRPr="002A431D">
        <w:rPr>
          <w:i/>
        </w:rPr>
        <w:t>gobierno,Comentario</w:t>
      </w:r>
      <w:proofErr w:type="spellEnd"/>
      <w:r w:rsidRPr="002A431D">
        <w:rPr>
          <w:i/>
        </w:rPr>
        <w:t xml:space="preserve"> sobre la Constitución de los Estados Unidos,  </w:t>
      </w:r>
      <w:proofErr w:type="spellStart"/>
      <w:r w:rsidRPr="002A431D">
        <w:t>Mexico</w:t>
      </w:r>
      <w:proofErr w:type="spellEnd"/>
      <w:r w:rsidRPr="002A431D">
        <w:t>, Facultad de Derecho,  UNAM, 1966</w:t>
      </w:r>
      <w:bookmarkEnd w:id="12"/>
      <w:r w:rsidRPr="002A431D">
        <w:t>, p</w:t>
      </w:r>
      <w:r w:rsidR="00F618A3" w:rsidRPr="002A431D">
        <w:t>.</w:t>
      </w:r>
      <w:r w:rsidRPr="002A431D">
        <w:t xml:space="preserve"> 26.</w:t>
      </w:r>
    </w:p>
  </w:footnote>
  <w:footnote w:id="23">
    <w:p w14:paraId="007FDDB6" w14:textId="148A3B59" w:rsidR="001C49AA" w:rsidRPr="002A431D" w:rsidRDefault="001C49AA" w:rsidP="002A431D">
      <w:pPr>
        <w:pStyle w:val="Textonotapie"/>
        <w:spacing w:line="240" w:lineRule="auto"/>
        <w:rPr>
          <w:lang w:val="es-ES"/>
        </w:rPr>
      </w:pPr>
      <w:r w:rsidRPr="002A431D">
        <w:rPr>
          <w:rStyle w:val="Refdenotaalpie"/>
        </w:rPr>
        <w:footnoteRef/>
      </w:r>
      <w:r w:rsidRPr="002A431D">
        <w:t xml:space="preserve"> </w:t>
      </w:r>
      <w:bookmarkStart w:id="13" w:name="_Hlk93321327"/>
      <w:proofErr w:type="spellStart"/>
      <w:r w:rsidRPr="002A431D">
        <w:rPr>
          <w:lang w:val="es-ES"/>
        </w:rPr>
        <w:t>Bachof</w:t>
      </w:r>
      <w:proofErr w:type="spellEnd"/>
      <w:r w:rsidRPr="002A431D">
        <w:rPr>
          <w:lang w:val="es-ES"/>
        </w:rPr>
        <w:t xml:space="preserve">, Otto, </w:t>
      </w:r>
      <w:r w:rsidRPr="002A431D">
        <w:rPr>
          <w:i/>
          <w:iCs/>
          <w:lang w:val="es-ES"/>
        </w:rPr>
        <w:t xml:space="preserve">Jueces y constitución, </w:t>
      </w:r>
      <w:r w:rsidRPr="002A431D">
        <w:rPr>
          <w:lang w:val="es-ES"/>
        </w:rPr>
        <w:t xml:space="preserve">traducción de </w:t>
      </w:r>
      <w:proofErr w:type="spellStart"/>
      <w:r w:rsidRPr="002A431D">
        <w:rPr>
          <w:lang w:val="es-ES"/>
        </w:rPr>
        <w:t>Bercovitz</w:t>
      </w:r>
      <w:proofErr w:type="spellEnd"/>
      <w:r w:rsidRPr="002A431D">
        <w:rPr>
          <w:lang w:val="es-ES"/>
        </w:rPr>
        <w:t xml:space="preserve"> Rodríguez-Cano, Rodrigo, </w:t>
      </w:r>
      <w:r w:rsidR="009843D5" w:rsidRPr="002A431D">
        <w:rPr>
          <w:lang w:val="es-ES"/>
        </w:rPr>
        <w:t>Madrid, Taurus, 1963</w:t>
      </w:r>
      <w:bookmarkEnd w:id="13"/>
      <w:r w:rsidR="009843D5" w:rsidRPr="002A431D">
        <w:rPr>
          <w:lang w:val="es-ES"/>
        </w:rPr>
        <w:t>, p. 11.</w:t>
      </w:r>
    </w:p>
  </w:footnote>
  <w:footnote w:id="24">
    <w:p w14:paraId="582C6852" w14:textId="3F79686E" w:rsidR="006C06BC" w:rsidRPr="002A431D" w:rsidRDefault="006C06BC" w:rsidP="002A431D">
      <w:pPr>
        <w:pStyle w:val="Textonotapie"/>
        <w:spacing w:line="240" w:lineRule="auto"/>
      </w:pPr>
      <w:r w:rsidRPr="002A431D">
        <w:rPr>
          <w:rStyle w:val="Refdenotaalpie"/>
        </w:rPr>
        <w:footnoteRef/>
      </w:r>
      <w:r w:rsidRPr="002A431D">
        <w:t xml:space="preserve"> Segovia,</w:t>
      </w:r>
      <w:r w:rsidR="00F618A3" w:rsidRPr="002A431D">
        <w:t xml:space="preserve"> Juan Fernando,</w:t>
      </w:r>
      <w:r w:rsidRPr="002A431D">
        <w:t xml:space="preserve"> </w:t>
      </w:r>
      <w:proofErr w:type="spellStart"/>
      <w:r w:rsidR="000B632D">
        <w:rPr>
          <w:i/>
        </w:rPr>
        <w:t>o</w:t>
      </w:r>
      <w:r w:rsidRPr="002A431D">
        <w:rPr>
          <w:i/>
        </w:rPr>
        <w:t>p</w:t>
      </w:r>
      <w:proofErr w:type="spellEnd"/>
      <w:r w:rsidRPr="002A431D">
        <w:rPr>
          <w:i/>
        </w:rPr>
        <w:t xml:space="preserve">. </w:t>
      </w:r>
      <w:r w:rsidR="000B632D">
        <w:rPr>
          <w:i/>
        </w:rPr>
        <w:t>c</w:t>
      </w:r>
      <w:r w:rsidRPr="002A431D">
        <w:rPr>
          <w:i/>
        </w:rPr>
        <w:t>it.</w:t>
      </w:r>
      <w:proofErr w:type="gramStart"/>
      <w:r w:rsidRPr="002A431D">
        <w:rPr>
          <w:i/>
        </w:rPr>
        <w:t xml:space="preserve">, </w:t>
      </w:r>
      <w:r w:rsidRPr="002A431D">
        <w:t xml:space="preserve"> p.</w:t>
      </w:r>
      <w:proofErr w:type="gramEnd"/>
      <w:r w:rsidRPr="002A431D">
        <w:t xml:space="preserve"> 149.</w:t>
      </w:r>
    </w:p>
  </w:footnote>
  <w:footnote w:id="25">
    <w:p w14:paraId="3D9A7039" w14:textId="428800AE" w:rsidR="00ED159A" w:rsidRPr="002A431D" w:rsidRDefault="00ED159A" w:rsidP="002A431D">
      <w:pPr>
        <w:pStyle w:val="Textonotapie"/>
        <w:spacing w:line="240" w:lineRule="auto"/>
        <w:rPr>
          <w:lang w:val="es-ES"/>
        </w:rPr>
      </w:pPr>
      <w:r w:rsidRPr="002A431D">
        <w:rPr>
          <w:rStyle w:val="Refdenotaalpie"/>
        </w:rPr>
        <w:footnoteRef/>
      </w:r>
      <w:r w:rsidRPr="002A431D">
        <w:t xml:space="preserve"> </w:t>
      </w:r>
      <w:r w:rsidRPr="002A431D">
        <w:rPr>
          <w:lang w:val="es-ES"/>
        </w:rPr>
        <w:t xml:space="preserve">Duc de </w:t>
      </w:r>
      <w:proofErr w:type="spellStart"/>
      <w:r w:rsidRPr="002A431D">
        <w:rPr>
          <w:lang w:val="es-ES"/>
        </w:rPr>
        <w:t>Noailles</w:t>
      </w:r>
      <w:proofErr w:type="spellEnd"/>
      <w:r w:rsidRPr="002A431D">
        <w:rPr>
          <w:lang w:val="es-ES"/>
        </w:rPr>
        <w:t xml:space="preserve">, </w:t>
      </w:r>
      <w:proofErr w:type="gramStart"/>
      <w:r w:rsidRPr="002A431D">
        <w:rPr>
          <w:i/>
          <w:iCs/>
          <w:lang w:val="es-ES"/>
        </w:rPr>
        <w:t>Cent</w:t>
      </w:r>
      <w:proofErr w:type="gramEnd"/>
      <w:r w:rsidRPr="002A431D">
        <w:rPr>
          <w:i/>
          <w:iCs/>
          <w:lang w:val="es-ES"/>
        </w:rPr>
        <w:t xml:space="preserve"> </w:t>
      </w:r>
      <w:proofErr w:type="spellStart"/>
      <w:r w:rsidRPr="002A431D">
        <w:rPr>
          <w:i/>
          <w:iCs/>
          <w:lang w:val="es-ES"/>
        </w:rPr>
        <w:t>ans</w:t>
      </w:r>
      <w:proofErr w:type="spellEnd"/>
      <w:r w:rsidRPr="002A431D">
        <w:rPr>
          <w:i/>
          <w:iCs/>
          <w:lang w:val="es-ES"/>
        </w:rPr>
        <w:t xml:space="preserve"> de </w:t>
      </w:r>
      <w:proofErr w:type="spellStart"/>
      <w:r w:rsidRPr="002A431D">
        <w:rPr>
          <w:i/>
          <w:iCs/>
          <w:lang w:val="es-ES"/>
        </w:rPr>
        <w:t>république</w:t>
      </w:r>
      <w:proofErr w:type="spellEnd"/>
      <w:r w:rsidRPr="002A431D">
        <w:rPr>
          <w:i/>
          <w:iCs/>
          <w:lang w:val="es-ES"/>
        </w:rPr>
        <w:t xml:space="preserve"> </w:t>
      </w:r>
      <w:proofErr w:type="spellStart"/>
      <w:r w:rsidRPr="002A431D">
        <w:rPr>
          <w:i/>
          <w:iCs/>
          <w:lang w:val="es-ES"/>
        </w:rPr>
        <w:t>auz</w:t>
      </w:r>
      <w:proofErr w:type="spellEnd"/>
      <w:r w:rsidRPr="002A431D">
        <w:rPr>
          <w:i/>
          <w:iCs/>
          <w:lang w:val="es-ES"/>
        </w:rPr>
        <w:t xml:space="preserve"> </w:t>
      </w:r>
      <w:proofErr w:type="spellStart"/>
      <w:r w:rsidRPr="002A431D">
        <w:rPr>
          <w:i/>
          <w:iCs/>
          <w:lang w:val="es-ES"/>
        </w:rPr>
        <w:t>États-Unis</w:t>
      </w:r>
      <w:proofErr w:type="spellEnd"/>
      <w:r w:rsidRPr="002A431D">
        <w:rPr>
          <w:i/>
          <w:iCs/>
          <w:lang w:val="es-ES"/>
        </w:rPr>
        <w:t xml:space="preserve">, </w:t>
      </w:r>
      <w:r w:rsidRPr="002A431D">
        <w:rPr>
          <w:lang w:val="es-ES"/>
        </w:rPr>
        <w:t xml:space="preserve">París, 1889, T. II, p. 142, citado por </w:t>
      </w:r>
      <w:proofErr w:type="spellStart"/>
      <w:r w:rsidRPr="002A431D">
        <w:rPr>
          <w:lang w:val="es-ES"/>
        </w:rPr>
        <w:t>Vanossi</w:t>
      </w:r>
      <w:proofErr w:type="spellEnd"/>
      <w:r w:rsidRPr="002A431D">
        <w:rPr>
          <w:lang w:val="es-ES"/>
        </w:rPr>
        <w:t xml:space="preserve">, Jorge R., </w:t>
      </w:r>
      <w:proofErr w:type="spellStart"/>
      <w:r w:rsidR="000B632D">
        <w:rPr>
          <w:i/>
          <w:iCs/>
          <w:lang w:val="es-ES"/>
        </w:rPr>
        <w:t>o</w:t>
      </w:r>
      <w:r w:rsidRPr="002A431D">
        <w:rPr>
          <w:i/>
          <w:iCs/>
          <w:lang w:val="es-ES"/>
        </w:rPr>
        <w:t>p</w:t>
      </w:r>
      <w:proofErr w:type="spellEnd"/>
      <w:r w:rsidRPr="002A431D">
        <w:rPr>
          <w:i/>
          <w:iCs/>
          <w:lang w:val="es-ES"/>
        </w:rPr>
        <w:t xml:space="preserve">. </w:t>
      </w:r>
      <w:r w:rsidR="000B632D">
        <w:rPr>
          <w:i/>
          <w:iCs/>
          <w:lang w:val="es-ES"/>
        </w:rPr>
        <w:t>c</w:t>
      </w:r>
      <w:r w:rsidRPr="002A431D">
        <w:rPr>
          <w:i/>
          <w:iCs/>
          <w:lang w:val="es-ES"/>
        </w:rPr>
        <w:t xml:space="preserve">it., </w:t>
      </w:r>
      <w:r w:rsidRPr="002A431D">
        <w:rPr>
          <w:lang w:val="es-ES"/>
        </w:rPr>
        <w:t>TII, p. 76.</w:t>
      </w:r>
    </w:p>
  </w:footnote>
  <w:footnote w:id="26">
    <w:p w14:paraId="31FE9403" w14:textId="46332D4C" w:rsidR="009F0503" w:rsidRPr="000B632D" w:rsidRDefault="009F0503" w:rsidP="002A431D">
      <w:pPr>
        <w:pStyle w:val="Textonotapie"/>
        <w:spacing w:line="240" w:lineRule="auto"/>
      </w:pPr>
      <w:r w:rsidRPr="002A431D">
        <w:rPr>
          <w:rStyle w:val="Refdenotaalpie"/>
        </w:rPr>
        <w:footnoteRef/>
      </w:r>
      <w:r w:rsidRPr="002A431D">
        <w:t xml:space="preserve"> </w:t>
      </w:r>
      <w:r w:rsidRPr="002A431D">
        <w:rPr>
          <w:lang w:val="es-ES"/>
        </w:rPr>
        <w:t xml:space="preserve">“La tentativa de </w:t>
      </w:r>
      <w:proofErr w:type="spellStart"/>
      <w:r w:rsidRPr="002A431D">
        <w:rPr>
          <w:lang w:val="es-ES"/>
        </w:rPr>
        <w:t>Coke</w:t>
      </w:r>
      <w:proofErr w:type="spellEnd"/>
      <w:r w:rsidRPr="002A431D">
        <w:rPr>
          <w:lang w:val="es-ES"/>
        </w:rPr>
        <w:t xml:space="preserve"> encuentra su justificación en circunstancias de orden político. Es notorio que en la primera </w:t>
      </w:r>
      <w:proofErr w:type="gramStart"/>
      <w:r w:rsidRPr="002A431D">
        <w:rPr>
          <w:lang w:val="es-ES"/>
        </w:rPr>
        <w:t>mitad  del</w:t>
      </w:r>
      <w:proofErr w:type="gramEnd"/>
      <w:r w:rsidRPr="002A431D">
        <w:rPr>
          <w:lang w:val="es-ES"/>
        </w:rPr>
        <w:t xml:space="preserve"> siglo XVII los soberanos Estuardos querían establecer la monarquía absoluta; el Parlamento, en cambio, procuraba afirmar su soberanía sobre el mismo rey. </w:t>
      </w:r>
      <w:proofErr w:type="gramStart"/>
      <w:r w:rsidRPr="002A431D">
        <w:rPr>
          <w:lang w:val="es-ES"/>
        </w:rPr>
        <w:t>Las graves luchas políticas suscitadas por este insuperable contrate</w:t>
      </w:r>
      <w:proofErr w:type="gramEnd"/>
      <w:r w:rsidRPr="002A431D">
        <w:rPr>
          <w:lang w:val="es-ES"/>
        </w:rPr>
        <w:t xml:space="preserve"> perjudicaban la normalidad jurídica que trató </w:t>
      </w:r>
      <w:proofErr w:type="spellStart"/>
      <w:r w:rsidRPr="002A431D">
        <w:rPr>
          <w:lang w:val="es-ES"/>
        </w:rPr>
        <w:t>Coke</w:t>
      </w:r>
      <w:proofErr w:type="spellEnd"/>
      <w:r w:rsidRPr="002A431D">
        <w:rPr>
          <w:lang w:val="es-ES"/>
        </w:rPr>
        <w:t xml:space="preserve"> de restaurar atribuyéndole a la Corte de Justicia poderes de control sobre la actividad normativa.” </w:t>
      </w:r>
      <w:proofErr w:type="spellStart"/>
      <w:r w:rsidRPr="002A431D">
        <w:rPr>
          <w:lang w:val="es-ES"/>
        </w:rPr>
        <w:t>Catinella</w:t>
      </w:r>
      <w:proofErr w:type="spellEnd"/>
      <w:r w:rsidRPr="002A431D">
        <w:rPr>
          <w:lang w:val="es-ES"/>
        </w:rPr>
        <w:t xml:space="preserve">, Salvatore, </w:t>
      </w:r>
      <w:r w:rsidRPr="002A431D">
        <w:rPr>
          <w:i/>
          <w:iCs/>
          <w:lang w:val="es-ES"/>
        </w:rPr>
        <w:t xml:space="preserve">La Corte Suprema </w:t>
      </w:r>
      <w:proofErr w:type="spellStart"/>
      <w:r w:rsidRPr="002A431D">
        <w:rPr>
          <w:i/>
          <w:iCs/>
          <w:lang w:val="es-ES"/>
        </w:rPr>
        <w:t>Federale</w:t>
      </w:r>
      <w:proofErr w:type="spellEnd"/>
      <w:r w:rsidRPr="002A431D">
        <w:rPr>
          <w:i/>
          <w:iCs/>
          <w:lang w:val="es-ES"/>
        </w:rPr>
        <w:t xml:space="preserve"> nel </w:t>
      </w:r>
      <w:proofErr w:type="spellStart"/>
      <w:r w:rsidRPr="002A431D">
        <w:rPr>
          <w:i/>
          <w:iCs/>
          <w:lang w:val="es-ES"/>
        </w:rPr>
        <w:t>sistam</w:t>
      </w:r>
      <w:proofErr w:type="spellEnd"/>
      <w:r w:rsidRPr="002A431D">
        <w:rPr>
          <w:i/>
          <w:iCs/>
          <w:lang w:val="es-ES"/>
        </w:rPr>
        <w:t xml:space="preserve"> </w:t>
      </w:r>
      <w:proofErr w:type="spellStart"/>
      <w:r w:rsidRPr="002A431D">
        <w:rPr>
          <w:i/>
          <w:iCs/>
          <w:lang w:val="es-ES"/>
        </w:rPr>
        <w:t>constituzionale</w:t>
      </w:r>
      <w:proofErr w:type="spellEnd"/>
      <w:r w:rsidRPr="002A431D">
        <w:rPr>
          <w:i/>
          <w:iCs/>
          <w:lang w:val="es-ES"/>
        </w:rPr>
        <w:t xml:space="preserve"> </w:t>
      </w:r>
      <w:proofErr w:type="spellStart"/>
      <w:r w:rsidRPr="002A431D">
        <w:rPr>
          <w:i/>
          <w:iCs/>
          <w:lang w:val="es-ES"/>
        </w:rPr>
        <w:t>degili</w:t>
      </w:r>
      <w:proofErr w:type="spellEnd"/>
      <w:r w:rsidRPr="002A431D">
        <w:rPr>
          <w:i/>
          <w:iCs/>
          <w:lang w:val="es-ES"/>
        </w:rPr>
        <w:t xml:space="preserve"> </w:t>
      </w:r>
      <w:proofErr w:type="spellStart"/>
      <w:r w:rsidRPr="002A431D">
        <w:rPr>
          <w:i/>
          <w:iCs/>
          <w:lang w:val="es-ES"/>
        </w:rPr>
        <w:t>Stati</w:t>
      </w:r>
      <w:proofErr w:type="spellEnd"/>
      <w:r w:rsidRPr="002A431D">
        <w:rPr>
          <w:i/>
          <w:iCs/>
          <w:lang w:val="es-ES"/>
        </w:rPr>
        <w:t xml:space="preserve"> </w:t>
      </w:r>
      <w:proofErr w:type="spellStart"/>
      <w:r w:rsidRPr="002A431D">
        <w:rPr>
          <w:i/>
          <w:iCs/>
          <w:lang w:val="es-ES"/>
        </w:rPr>
        <w:t>Uniti</w:t>
      </w:r>
      <w:proofErr w:type="spellEnd"/>
      <w:r w:rsidRPr="002A431D">
        <w:rPr>
          <w:i/>
          <w:iCs/>
          <w:lang w:val="es-ES"/>
        </w:rPr>
        <w:t xml:space="preserve"> </w:t>
      </w:r>
      <w:proofErr w:type="spellStart"/>
      <w:r w:rsidRPr="002A431D">
        <w:rPr>
          <w:i/>
          <w:iCs/>
          <w:lang w:val="es-ES"/>
        </w:rPr>
        <w:t>d’America</w:t>
      </w:r>
      <w:proofErr w:type="spellEnd"/>
      <w:r w:rsidRPr="002A431D">
        <w:rPr>
          <w:i/>
          <w:iCs/>
          <w:lang w:val="es-ES"/>
        </w:rPr>
        <w:t>,</w:t>
      </w:r>
      <w:r w:rsidRPr="002A431D">
        <w:rPr>
          <w:lang w:val="es-ES"/>
        </w:rPr>
        <w:t xml:space="preserve"> </w:t>
      </w:r>
      <w:proofErr w:type="spellStart"/>
      <w:r w:rsidRPr="002A431D">
        <w:rPr>
          <w:lang w:val="es-ES"/>
        </w:rPr>
        <w:t>Padova</w:t>
      </w:r>
      <w:proofErr w:type="spellEnd"/>
      <w:r w:rsidRPr="002A431D">
        <w:rPr>
          <w:lang w:val="es-ES"/>
        </w:rPr>
        <w:t xml:space="preserve">, </w:t>
      </w:r>
      <w:proofErr w:type="spellStart"/>
      <w:r w:rsidRPr="002A431D">
        <w:rPr>
          <w:lang w:val="es-ES"/>
        </w:rPr>
        <w:t>Cedam</w:t>
      </w:r>
      <w:proofErr w:type="spellEnd"/>
      <w:r w:rsidRPr="002A431D">
        <w:rPr>
          <w:lang w:val="es-ES"/>
        </w:rPr>
        <w:t xml:space="preserve">, 1934, p. 157, citado por </w:t>
      </w:r>
      <w:proofErr w:type="spellStart"/>
      <w:r w:rsidRPr="002A431D">
        <w:rPr>
          <w:lang w:val="es-ES"/>
        </w:rPr>
        <w:t>Vanossi</w:t>
      </w:r>
      <w:proofErr w:type="spellEnd"/>
      <w:r w:rsidRPr="002A431D">
        <w:rPr>
          <w:lang w:val="es-ES"/>
        </w:rPr>
        <w:t xml:space="preserve">, Jorge R., </w:t>
      </w:r>
      <w:proofErr w:type="spellStart"/>
      <w:r w:rsidR="000B632D">
        <w:rPr>
          <w:i/>
          <w:iCs/>
          <w:lang w:val="es-ES"/>
        </w:rPr>
        <w:t>o</w:t>
      </w:r>
      <w:r w:rsidRPr="002A431D">
        <w:rPr>
          <w:i/>
          <w:iCs/>
          <w:lang w:val="es-ES"/>
        </w:rPr>
        <w:t>p</w:t>
      </w:r>
      <w:proofErr w:type="spellEnd"/>
      <w:r w:rsidRPr="002A431D">
        <w:rPr>
          <w:i/>
          <w:iCs/>
          <w:lang w:val="es-ES"/>
        </w:rPr>
        <w:t xml:space="preserve">. </w:t>
      </w:r>
      <w:r w:rsidR="000B632D" w:rsidRPr="000B632D">
        <w:rPr>
          <w:i/>
          <w:iCs/>
        </w:rPr>
        <w:t>c</w:t>
      </w:r>
      <w:r w:rsidRPr="000B632D">
        <w:rPr>
          <w:i/>
          <w:iCs/>
        </w:rPr>
        <w:t>it.</w:t>
      </w:r>
      <w:r w:rsidRPr="000B632D">
        <w:t>, T. II, p. 105.</w:t>
      </w:r>
    </w:p>
  </w:footnote>
  <w:footnote w:id="27">
    <w:p w14:paraId="566E66CF" w14:textId="73898D8A" w:rsidR="00942797" w:rsidRPr="002A431D" w:rsidRDefault="00942797" w:rsidP="002A431D">
      <w:pPr>
        <w:pStyle w:val="Textonotapie"/>
        <w:spacing w:line="240" w:lineRule="auto"/>
      </w:pPr>
      <w:r w:rsidRPr="002A431D">
        <w:rPr>
          <w:rStyle w:val="Refdenotaalpie"/>
        </w:rPr>
        <w:footnoteRef/>
      </w:r>
      <w:r w:rsidRPr="002A431D">
        <w:rPr>
          <w:lang w:val="en-US"/>
        </w:rPr>
        <w:t xml:space="preserve"> </w:t>
      </w:r>
      <w:proofErr w:type="spellStart"/>
      <w:r w:rsidRPr="002A431D">
        <w:rPr>
          <w:lang w:val="en-US"/>
        </w:rPr>
        <w:t>Vanossi</w:t>
      </w:r>
      <w:proofErr w:type="spellEnd"/>
      <w:r w:rsidRPr="002A431D">
        <w:rPr>
          <w:lang w:val="en-US"/>
        </w:rPr>
        <w:t xml:space="preserve">, Jorge R., </w:t>
      </w:r>
      <w:r w:rsidR="000B632D">
        <w:rPr>
          <w:i/>
          <w:iCs/>
          <w:lang w:val="en-US"/>
        </w:rPr>
        <w:t>o</w:t>
      </w:r>
      <w:r w:rsidRPr="002A431D">
        <w:rPr>
          <w:i/>
          <w:iCs/>
          <w:lang w:val="en-US"/>
        </w:rPr>
        <w:t xml:space="preserve">p. </w:t>
      </w:r>
      <w:r w:rsidR="000B632D">
        <w:rPr>
          <w:i/>
          <w:iCs/>
          <w:lang w:val="en-US"/>
        </w:rPr>
        <w:t>c</w:t>
      </w:r>
      <w:r w:rsidRPr="002A431D">
        <w:rPr>
          <w:i/>
          <w:iCs/>
          <w:lang w:val="en-US"/>
        </w:rPr>
        <w:t>it.</w:t>
      </w:r>
      <w:r w:rsidRPr="002A431D">
        <w:rPr>
          <w:lang w:val="en-US"/>
        </w:rPr>
        <w:t>, T II, p. 79.</w:t>
      </w:r>
      <w:r w:rsidR="006026E5" w:rsidRPr="002A431D">
        <w:rPr>
          <w:lang w:val="en-US"/>
        </w:rPr>
        <w:t xml:space="preserve"> </w:t>
      </w:r>
      <w:r w:rsidR="006026E5" w:rsidRPr="002A431D">
        <w:t xml:space="preserve">Ese conocimiento generó también fuertes críticas. Señala </w:t>
      </w:r>
      <w:proofErr w:type="spellStart"/>
      <w:r w:rsidR="006026E5" w:rsidRPr="002A431D">
        <w:t>Gargarella</w:t>
      </w:r>
      <w:proofErr w:type="spellEnd"/>
      <w:r w:rsidR="006026E5" w:rsidRPr="002A431D">
        <w:t xml:space="preserve"> que “antes de que estuviera </w:t>
      </w:r>
      <w:r w:rsidR="002D428A" w:rsidRPr="002A431D">
        <w:t xml:space="preserve">vigente la Constitución de los Estados Unidos, aparecieron fortísimos ataques contra los alcances de la intervención de los jueces. En efecto, muchos se preguntaron cómo era posible que ellos tuvieran el poder de invalidar leyes dictadas por la rama legislativa y que, por lo tanto, eran resultado de la voluntad del pueblo.” </w:t>
      </w:r>
      <w:proofErr w:type="spellStart"/>
      <w:r w:rsidR="002D428A" w:rsidRPr="002A431D">
        <w:t>Gargarella</w:t>
      </w:r>
      <w:proofErr w:type="spellEnd"/>
      <w:r w:rsidR="002D428A" w:rsidRPr="002A431D">
        <w:t xml:space="preserve">, Roberto, </w:t>
      </w:r>
      <w:r w:rsidR="002D428A" w:rsidRPr="002A431D">
        <w:rPr>
          <w:i/>
          <w:iCs/>
        </w:rPr>
        <w:t xml:space="preserve">El derecho como una conversación entre iguales, </w:t>
      </w:r>
      <w:r w:rsidR="002D428A" w:rsidRPr="002A431D">
        <w:t>Buenos Aires, Siglo Veintiuno Editores, 2021, p. 196.</w:t>
      </w:r>
    </w:p>
  </w:footnote>
  <w:footnote w:id="28">
    <w:p w14:paraId="7AE68EB3" w14:textId="27A0BA6D" w:rsidR="00042FE6" w:rsidRPr="002A431D" w:rsidRDefault="00042FE6" w:rsidP="002A431D">
      <w:pPr>
        <w:pStyle w:val="Textonotapie"/>
        <w:spacing w:line="240" w:lineRule="auto"/>
        <w:rPr>
          <w:lang w:val="en-US"/>
        </w:rPr>
      </w:pPr>
      <w:r w:rsidRPr="002A431D">
        <w:rPr>
          <w:rStyle w:val="Refdenotaalpie"/>
        </w:rPr>
        <w:footnoteRef/>
      </w:r>
      <w:r w:rsidRPr="002A431D">
        <w:t xml:space="preserve"> García-Mansilla, Manuel. J, “Marbury v. Madison y los mitos acerca del control judicial de constitucionalidad</w:t>
      </w:r>
      <w:proofErr w:type="gramStart"/>
      <w:r w:rsidRPr="002A431D">
        <w:t>”,  Revista</w:t>
      </w:r>
      <w:proofErr w:type="gramEnd"/>
      <w:r w:rsidRPr="002A431D">
        <w:t xml:space="preserve"> Jurídica Austral, 2020, 1(1), </w:t>
      </w:r>
      <w:r w:rsidR="006C7644" w:rsidRPr="002A431D">
        <w:t>p. 38</w:t>
      </w:r>
      <w:r w:rsidRPr="002A431D">
        <w:t xml:space="preserve">. </w:t>
      </w:r>
      <w:hyperlink r:id="rId2" w:history="1">
        <w:r w:rsidRPr="002A431D">
          <w:rPr>
            <w:rStyle w:val="Hipervnculo"/>
            <w:lang w:val="en-US"/>
          </w:rPr>
          <w:t>https://doi.org/10.26422/RJA.2020.0101.gar</w:t>
        </w:r>
      </w:hyperlink>
      <w:r w:rsidRPr="002A431D">
        <w:rPr>
          <w:lang w:val="en-US"/>
        </w:rPr>
        <w:t xml:space="preserve">. </w:t>
      </w:r>
      <w:proofErr w:type="spellStart"/>
      <w:r w:rsidR="00126E22" w:rsidRPr="002A431D">
        <w:rPr>
          <w:lang w:val="en-US"/>
        </w:rPr>
        <w:t>En</w:t>
      </w:r>
      <w:proofErr w:type="spellEnd"/>
      <w:r w:rsidR="00126E22" w:rsidRPr="002A431D">
        <w:rPr>
          <w:lang w:val="en-US"/>
        </w:rPr>
        <w:t xml:space="preserve"> </w:t>
      </w:r>
      <w:proofErr w:type="spellStart"/>
      <w:r w:rsidR="00126E22" w:rsidRPr="002A431D">
        <w:rPr>
          <w:lang w:val="en-US"/>
        </w:rPr>
        <w:t>sentido</w:t>
      </w:r>
      <w:proofErr w:type="spellEnd"/>
      <w:r w:rsidR="00126E22" w:rsidRPr="002A431D">
        <w:rPr>
          <w:lang w:val="en-US"/>
        </w:rPr>
        <w:t xml:space="preserve"> similar, se ha </w:t>
      </w:r>
      <w:proofErr w:type="spellStart"/>
      <w:r w:rsidR="00126E22" w:rsidRPr="002A431D">
        <w:rPr>
          <w:lang w:val="en-US"/>
        </w:rPr>
        <w:t>dicho</w:t>
      </w:r>
      <w:proofErr w:type="spellEnd"/>
      <w:r w:rsidR="00126E22" w:rsidRPr="002A431D">
        <w:rPr>
          <w:lang w:val="en-US"/>
        </w:rPr>
        <w:t xml:space="preserve"> que</w:t>
      </w:r>
      <w:r w:rsidR="006B5F80" w:rsidRPr="002A431D">
        <w:rPr>
          <w:lang w:val="en-US"/>
        </w:rPr>
        <w:t xml:space="preserve"> </w:t>
      </w:r>
      <w:proofErr w:type="spellStart"/>
      <w:r w:rsidR="006B5F80" w:rsidRPr="002A431D">
        <w:rPr>
          <w:lang w:val="en-US"/>
        </w:rPr>
        <w:t>en</w:t>
      </w:r>
      <w:proofErr w:type="spellEnd"/>
      <w:r w:rsidR="006B5F80" w:rsidRPr="002A431D">
        <w:rPr>
          <w:lang w:val="en-US"/>
        </w:rPr>
        <w:t xml:space="preserve"> </w:t>
      </w:r>
      <w:proofErr w:type="spellStart"/>
      <w:r w:rsidR="006B5F80" w:rsidRPr="002A431D">
        <w:rPr>
          <w:lang w:val="en-US"/>
        </w:rPr>
        <w:t>el</w:t>
      </w:r>
      <w:proofErr w:type="spellEnd"/>
      <w:r w:rsidR="006B5F80" w:rsidRPr="002A431D">
        <w:rPr>
          <w:lang w:val="en-US"/>
        </w:rPr>
        <w:t xml:space="preserve"> derecho </w:t>
      </w:r>
      <w:proofErr w:type="spellStart"/>
      <w:r w:rsidR="006B5F80" w:rsidRPr="002A431D">
        <w:rPr>
          <w:lang w:val="en-US"/>
        </w:rPr>
        <w:t>norteamericano</w:t>
      </w:r>
      <w:proofErr w:type="spellEnd"/>
      <w:r w:rsidR="00126E22" w:rsidRPr="002A431D">
        <w:rPr>
          <w:lang w:val="en-US"/>
        </w:rPr>
        <w:t xml:space="preserve"> “</w:t>
      </w:r>
      <w:r w:rsidR="006B5F80" w:rsidRPr="002A431D">
        <w:rPr>
          <w:lang w:val="en-US"/>
        </w:rPr>
        <w:t xml:space="preserve">When the rights of an individual citizen are affected by an act, which he believes to be unconstitutional, he has the right, and indeed we may say the duty, to challenge its validity, in order that the question may be decided by the court.” Mclaughlin, Andrew C., </w:t>
      </w:r>
      <w:r w:rsidR="006B5F80" w:rsidRPr="002A431D">
        <w:rPr>
          <w:i/>
          <w:iCs/>
          <w:lang w:val="en-US"/>
        </w:rPr>
        <w:t xml:space="preserve">Foundations of American Constitutionalism, </w:t>
      </w:r>
      <w:r w:rsidR="006B5F80" w:rsidRPr="002A431D">
        <w:rPr>
          <w:lang w:val="en-US"/>
        </w:rPr>
        <w:t xml:space="preserve">New York, Fawcett World Library, 1966, </w:t>
      </w:r>
      <w:r w:rsidR="006C7644" w:rsidRPr="002A431D">
        <w:rPr>
          <w:lang w:val="en-US"/>
        </w:rPr>
        <w:t>p.114.</w:t>
      </w:r>
    </w:p>
  </w:footnote>
  <w:footnote w:id="29">
    <w:p w14:paraId="4ED5E8DF" w14:textId="6BB5F1D5" w:rsidR="00535033" w:rsidRPr="002A431D" w:rsidRDefault="00535033" w:rsidP="002A431D">
      <w:pPr>
        <w:pStyle w:val="Textonotapie"/>
        <w:spacing w:line="240" w:lineRule="auto"/>
      </w:pPr>
      <w:r w:rsidRPr="002A431D">
        <w:rPr>
          <w:rStyle w:val="Refdenotaalpie"/>
        </w:rPr>
        <w:footnoteRef/>
      </w:r>
      <w:r w:rsidRPr="002A431D">
        <w:t xml:space="preserve"> Señala </w:t>
      </w:r>
      <w:proofErr w:type="spellStart"/>
      <w:r w:rsidRPr="002A431D">
        <w:t>Gargarella</w:t>
      </w:r>
      <w:proofErr w:type="spellEnd"/>
      <w:r w:rsidRPr="002A431D">
        <w:t xml:space="preserve"> que “El texto </w:t>
      </w:r>
      <w:proofErr w:type="spellStart"/>
      <w:r w:rsidRPr="002A431D">
        <w:t>nº</w:t>
      </w:r>
      <w:proofErr w:type="spellEnd"/>
      <w:r w:rsidRPr="002A431D">
        <w:t xml:space="preserve"> 78 de </w:t>
      </w:r>
      <w:r w:rsidRPr="002A431D">
        <w:rPr>
          <w:i/>
          <w:iCs/>
        </w:rPr>
        <w:t>El Federalista</w:t>
      </w:r>
      <w:r w:rsidRPr="002A431D">
        <w:t xml:space="preserve">, escrito por Alexander Hamilton, es uno de los más notables de la serie. Uno puede estar en desacuerdo con él, pero aun así quedar extasiado ante sus logros. En tres o cuatro páginas, Hamilton examina el Poder Judicial de un modo históricamente único…Allí Hamilton se ocupa del tema que más controversia ha generado en la historia de la institución: el </w:t>
      </w:r>
      <w:r w:rsidR="00BC2045" w:rsidRPr="002A431D">
        <w:t xml:space="preserve">del </w:t>
      </w:r>
      <w:r w:rsidRPr="002A431D">
        <w:t xml:space="preserve">control judicial de constitucionalidad </w:t>
      </w:r>
      <w:r w:rsidR="00BC2045" w:rsidRPr="002A431D">
        <w:t xml:space="preserve">y su justificación democrática. Este autor ofrece la primera gran respuesta y lo hace con una agudeza, simplicidad y contundencia admirables.” </w:t>
      </w:r>
      <w:bookmarkStart w:id="14" w:name="_Hlk93522674"/>
      <w:proofErr w:type="spellStart"/>
      <w:r w:rsidR="00BC2045" w:rsidRPr="002A431D">
        <w:t>Gargarella</w:t>
      </w:r>
      <w:proofErr w:type="spellEnd"/>
      <w:r w:rsidR="00BC2045" w:rsidRPr="002A431D">
        <w:t xml:space="preserve">, Roberto, </w:t>
      </w:r>
      <w:r w:rsidR="00D14451" w:rsidRPr="002A431D">
        <w:rPr>
          <w:i/>
          <w:iCs/>
        </w:rPr>
        <w:t xml:space="preserve">El derecho…, </w:t>
      </w:r>
      <w:r w:rsidR="000B632D">
        <w:rPr>
          <w:i/>
          <w:iCs/>
        </w:rPr>
        <w:t>c</w:t>
      </w:r>
      <w:r w:rsidR="002D428A" w:rsidRPr="002A431D">
        <w:rPr>
          <w:i/>
          <w:iCs/>
        </w:rPr>
        <w:t>it.</w:t>
      </w:r>
      <w:bookmarkEnd w:id="14"/>
      <w:r w:rsidR="00BC2045" w:rsidRPr="002A431D">
        <w:t xml:space="preserve"> p. 195.</w:t>
      </w:r>
    </w:p>
  </w:footnote>
  <w:footnote w:id="30">
    <w:p w14:paraId="470B0964" w14:textId="12CD12F1" w:rsidR="00B646E1" w:rsidRPr="002A431D" w:rsidRDefault="00B646E1" w:rsidP="002A431D">
      <w:pPr>
        <w:pStyle w:val="Textonotapie"/>
        <w:spacing w:line="240" w:lineRule="auto"/>
      </w:pPr>
      <w:r w:rsidRPr="002A431D">
        <w:rPr>
          <w:rStyle w:val="Refdenotaalpie"/>
        </w:rPr>
        <w:footnoteRef/>
      </w:r>
      <w:r w:rsidRPr="002A431D">
        <w:t xml:space="preserve"> </w:t>
      </w:r>
      <w:bookmarkStart w:id="15" w:name="_Hlk93511965"/>
      <w:r w:rsidRPr="002A431D">
        <w:t xml:space="preserve">Hamilton, </w:t>
      </w:r>
      <w:r w:rsidR="006D24CB" w:rsidRPr="002A431D">
        <w:t xml:space="preserve">Madison y Jay, </w:t>
      </w:r>
      <w:r w:rsidR="006D24CB" w:rsidRPr="002A431D">
        <w:rPr>
          <w:i/>
          <w:iCs/>
        </w:rPr>
        <w:t xml:space="preserve">El Federalista, </w:t>
      </w:r>
      <w:r w:rsidR="006D24CB" w:rsidRPr="002A431D">
        <w:t>México, Fondo de Cultura Económica, 1974, p. 332.</w:t>
      </w:r>
      <w:bookmarkEnd w:id="15"/>
    </w:p>
  </w:footnote>
  <w:footnote w:id="31">
    <w:p w14:paraId="7C16BD41" w14:textId="21042961" w:rsidR="00042FE6" w:rsidRPr="00913E2E" w:rsidRDefault="00042FE6" w:rsidP="002A431D">
      <w:pPr>
        <w:pStyle w:val="Textonotapie"/>
        <w:spacing w:line="240" w:lineRule="auto"/>
      </w:pPr>
      <w:r w:rsidRPr="002A431D">
        <w:rPr>
          <w:rStyle w:val="Refdenotaalpie"/>
        </w:rPr>
        <w:footnoteRef/>
      </w:r>
      <w:r w:rsidR="00D14451" w:rsidRPr="002A431D">
        <w:t xml:space="preserve"> Según </w:t>
      </w:r>
      <w:proofErr w:type="spellStart"/>
      <w:r w:rsidR="00D14451" w:rsidRPr="002A431D">
        <w:t>Gargarella</w:t>
      </w:r>
      <w:proofErr w:type="spellEnd"/>
      <w:r w:rsidR="00D14451" w:rsidRPr="002A431D">
        <w:t xml:space="preserve">, “el caso más citado de la historia” </w:t>
      </w:r>
      <w:proofErr w:type="spellStart"/>
      <w:r w:rsidR="00D14451" w:rsidRPr="002A431D">
        <w:t>Gargarella</w:t>
      </w:r>
      <w:proofErr w:type="spellEnd"/>
      <w:r w:rsidR="00D14451" w:rsidRPr="002A431D">
        <w:t xml:space="preserve">, Roberto, </w:t>
      </w:r>
      <w:r w:rsidR="00D14451" w:rsidRPr="002A431D">
        <w:rPr>
          <w:i/>
          <w:iCs/>
        </w:rPr>
        <w:t>El derecho…</w:t>
      </w:r>
      <w:r w:rsidR="00D14451" w:rsidRPr="002A431D">
        <w:t xml:space="preserve">, </w:t>
      </w:r>
      <w:r w:rsidR="000B632D">
        <w:rPr>
          <w:i/>
          <w:iCs/>
        </w:rPr>
        <w:t>c</w:t>
      </w:r>
      <w:r w:rsidR="00D14451" w:rsidRPr="002A431D">
        <w:rPr>
          <w:i/>
          <w:iCs/>
        </w:rPr>
        <w:t>it.,</w:t>
      </w:r>
      <w:r w:rsidR="00D14451" w:rsidRPr="002A431D">
        <w:t xml:space="preserve"> p. 198. </w:t>
      </w:r>
      <w:r w:rsidRPr="002A431D">
        <w:rPr>
          <w:lang w:val="es-ES"/>
        </w:rPr>
        <w:t xml:space="preserve">No se nos escapa la existencia de otros precedentes en el derecho norteamericano, tanto doctrinarios como jurisprudenciales, que consagran visiones similares y que son previos al caso Marbury. Nos limitamos a citar este caso por su relevancia histórica y la difusión que tuvo su doctrina en el constitucionalismo moderno. Un detallado análisis de estos precedentes puede verse en </w:t>
      </w:r>
      <w:r w:rsidRPr="002A431D">
        <w:t xml:space="preserve">García-Mansilla, Manuel. J., </w:t>
      </w:r>
      <w:proofErr w:type="spellStart"/>
      <w:r w:rsidRPr="002A431D">
        <w:t>Op</w:t>
      </w:r>
      <w:proofErr w:type="spellEnd"/>
      <w:r w:rsidRPr="002A431D">
        <w:t>. Cit.</w:t>
      </w:r>
      <w:r w:rsidR="006C7644" w:rsidRPr="002A431D">
        <w:t xml:space="preserve"> Pueden consultarse también los antecedentes referidos en </w:t>
      </w:r>
      <w:proofErr w:type="spellStart"/>
      <w:r w:rsidR="006C7644" w:rsidRPr="002A431D">
        <w:t>Mclaughlin</w:t>
      </w:r>
      <w:proofErr w:type="spellEnd"/>
      <w:r w:rsidR="006C7644" w:rsidRPr="002A431D">
        <w:t xml:space="preserve">, Andrew C., </w:t>
      </w:r>
      <w:proofErr w:type="spellStart"/>
      <w:r w:rsidR="00913E2E">
        <w:rPr>
          <w:i/>
          <w:iCs/>
        </w:rPr>
        <w:t>o</w:t>
      </w:r>
      <w:r w:rsidR="006C7644" w:rsidRPr="002A431D">
        <w:rPr>
          <w:i/>
          <w:iCs/>
        </w:rPr>
        <w:t>p</w:t>
      </w:r>
      <w:proofErr w:type="spellEnd"/>
      <w:r w:rsidR="006C7644" w:rsidRPr="002A431D">
        <w:rPr>
          <w:i/>
          <w:iCs/>
        </w:rPr>
        <w:t xml:space="preserve">. </w:t>
      </w:r>
      <w:proofErr w:type="spellStart"/>
      <w:proofErr w:type="gramStart"/>
      <w:r w:rsidR="00913E2E" w:rsidRPr="00913E2E">
        <w:rPr>
          <w:i/>
          <w:iCs/>
        </w:rPr>
        <w:t>c</w:t>
      </w:r>
      <w:r w:rsidR="006C7644" w:rsidRPr="00913E2E">
        <w:rPr>
          <w:i/>
          <w:iCs/>
        </w:rPr>
        <w:t>it</w:t>
      </w:r>
      <w:proofErr w:type="spellEnd"/>
      <w:r w:rsidR="006C7644" w:rsidRPr="00913E2E">
        <w:rPr>
          <w:i/>
          <w:iCs/>
        </w:rPr>
        <w:t>.,</w:t>
      </w:r>
      <w:r w:rsidR="006C7644" w:rsidRPr="00913E2E">
        <w:t>pp.</w:t>
      </w:r>
      <w:proofErr w:type="gramEnd"/>
      <w:r w:rsidR="006C7644" w:rsidRPr="00913E2E">
        <w:t xml:space="preserve"> 1</w:t>
      </w:r>
      <w:r w:rsidR="005F54E8" w:rsidRPr="00913E2E">
        <w:t>16-12</w:t>
      </w:r>
      <w:r w:rsidR="00221D12" w:rsidRPr="00913E2E">
        <w:t>4</w:t>
      </w:r>
      <w:r w:rsidR="005F54E8" w:rsidRPr="00913E2E">
        <w:t>.</w:t>
      </w:r>
    </w:p>
  </w:footnote>
  <w:footnote w:id="32">
    <w:p w14:paraId="05FB8EE0" w14:textId="2376AC7E" w:rsidR="00592708" w:rsidRPr="002A431D" w:rsidRDefault="00592708" w:rsidP="002A431D">
      <w:pPr>
        <w:pStyle w:val="Textonotapie"/>
        <w:spacing w:line="240" w:lineRule="auto"/>
        <w:rPr>
          <w:lang w:val="en-US"/>
        </w:rPr>
      </w:pPr>
      <w:r w:rsidRPr="002A431D">
        <w:rPr>
          <w:rStyle w:val="Refdenotaalpie"/>
        </w:rPr>
        <w:footnoteRef/>
      </w:r>
      <w:r w:rsidRPr="002A431D">
        <w:rPr>
          <w:lang w:val="en-US"/>
        </w:rPr>
        <w:t xml:space="preserve"> Schwartz,</w:t>
      </w:r>
      <w:r w:rsidR="00F618A3" w:rsidRPr="002A431D">
        <w:rPr>
          <w:lang w:val="en-US"/>
        </w:rPr>
        <w:t xml:space="preserve"> Bernard,</w:t>
      </w:r>
      <w:r w:rsidRPr="002A431D">
        <w:rPr>
          <w:lang w:val="en-US"/>
        </w:rPr>
        <w:t xml:space="preserve"> </w:t>
      </w:r>
      <w:r w:rsidR="00913E2E">
        <w:rPr>
          <w:i/>
          <w:lang w:val="en-US"/>
        </w:rPr>
        <w:t>o</w:t>
      </w:r>
      <w:r w:rsidRPr="002A431D">
        <w:rPr>
          <w:i/>
          <w:lang w:val="en-US"/>
        </w:rPr>
        <w:t xml:space="preserve">p. </w:t>
      </w:r>
      <w:proofErr w:type="spellStart"/>
      <w:r w:rsidR="00913E2E">
        <w:rPr>
          <w:i/>
          <w:lang w:val="en-US"/>
        </w:rPr>
        <w:t>c</w:t>
      </w:r>
      <w:r w:rsidRPr="002A431D">
        <w:rPr>
          <w:i/>
          <w:lang w:val="en-US"/>
        </w:rPr>
        <w:t>it</w:t>
      </w:r>
      <w:proofErr w:type="spellEnd"/>
      <w:r w:rsidRPr="002A431D">
        <w:rPr>
          <w:i/>
          <w:lang w:val="en-US"/>
        </w:rPr>
        <w:t xml:space="preserve">, </w:t>
      </w:r>
      <w:proofErr w:type="spellStart"/>
      <w:r w:rsidRPr="002A431D">
        <w:rPr>
          <w:lang w:val="en-US"/>
        </w:rPr>
        <w:t>pág</w:t>
      </w:r>
      <w:proofErr w:type="spellEnd"/>
      <w:r w:rsidRPr="002A431D">
        <w:rPr>
          <w:lang w:val="en-US"/>
        </w:rPr>
        <w:t>. 29.</w:t>
      </w:r>
    </w:p>
  </w:footnote>
  <w:footnote w:id="33">
    <w:p w14:paraId="1AD0C25A" w14:textId="72B444E4" w:rsidR="007812A5" w:rsidRPr="002A431D" w:rsidRDefault="007812A5" w:rsidP="002A431D">
      <w:pPr>
        <w:pStyle w:val="Textonotapie"/>
        <w:spacing w:line="240" w:lineRule="auto"/>
        <w:rPr>
          <w:lang w:val="es-ES"/>
        </w:rPr>
      </w:pPr>
      <w:r w:rsidRPr="002A431D">
        <w:rPr>
          <w:rStyle w:val="Refdenotaalpie"/>
        </w:rPr>
        <w:footnoteRef/>
      </w:r>
      <w:r w:rsidRPr="002A431D">
        <w:rPr>
          <w:lang w:val="en-US"/>
        </w:rPr>
        <w:t xml:space="preserve"> </w:t>
      </w:r>
      <w:proofErr w:type="spellStart"/>
      <w:r w:rsidRPr="002A431D">
        <w:rPr>
          <w:lang w:val="en-US"/>
        </w:rPr>
        <w:t>Vanossi</w:t>
      </w:r>
      <w:proofErr w:type="spellEnd"/>
      <w:r w:rsidRPr="002A431D">
        <w:rPr>
          <w:lang w:val="en-US"/>
        </w:rPr>
        <w:t xml:space="preserve">, Jorge R., </w:t>
      </w:r>
      <w:r w:rsidR="00913E2E">
        <w:rPr>
          <w:i/>
          <w:iCs/>
          <w:lang w:val="en-US"/>
        </w:rPr>
        <w:t>o</w:t>
      </w:r>
      <w:r w:rsidRPr="002A431D">
        <w:rPr>
          <w:i/>
          <w:iCs/>
          <w:lang w:val="en-US"/>
        </w:rPr>
        <w:t xml:space="preserve">p. </w:t>
      </w:r>
      <w:r w:rsidR="00913E2E">
        <w:rPr>
          <w:i/>
          <w:iCs/>
          <w:lang w:val="en-US"/>
        </w:rPr>
        <w:t>c</w:t>
      </w:r>
      <w:r w:rsidRPr="002A431D">
        <w:rPr>
          <w:i/>
          <w:iCs/>
          <w:lang w:val="en-US"/>
        </w:rPr>
        <w:t xml:space="preserve">it., </w:t>
      </w:r>
      <w:r w:rsidRPr="002A431D">
        <w:rPr>
          <w:lang w:val="en-US"/>
        </w:rPr>
        <w:t xml:space="preserve">T II, p. 85. </w:t>
      </w:r>
      <w:r w:rsidRPr="002A431D">
        <w:rPr>
          <w:lang w:val="es-ES"/>
        </w:rPr>
        <w:t xml:space="preserve">Cita este autor </w:t>
      </w:r>
      <w:proofErr w:type="gramStart"/>
      <w:r w:rsidRPr="002A431D">
        <w:rPr>
          <w:lang w:val="es-ES"/>
        </w:rPr>
        <w:t>las palabra</w:t>
      </w:r>
      <w:proofErr w:type="gramEnd"/>
      <w:r w:rsidRPr="002A431D">
        <w:rPr>
          <w:lang w:val="es-ES"/>
        </w:rPr>
        <w:t xml:space="preserve"> del Senador Zapata en el 1857, cuando en uno de los discursos en la Cámara señala: “Los jueces federales están revestidos por la Constitución de gran poder político, cuyo poder </w:t>
      </w:r>
      <w:proofErr w:type="spellStart"/>
      <w:r w:rsidRPr="002A431D">
        <w:rPr>
          <w:lang w:val="es-ES"/>
        </w:rPr>
        <w:t>emana</w:t>
      </w:r>
      <w:proofErr w:type="spellEnd"/>
      <w:r w:rsidRPr="002A431D">
        <w:rPr>
          <w:lang w:val="es-ES"/>
        </w:rPr>
        <w:t xml:space="preserve"> del derecho que tienen </w:t>
      </w:r>
      <w:r w:rsidR="00791781" w:rsidRPr="002A431D">
        <w:rPr>
          <w:lang w:val="es-ES"/>
        </w:rPr>
        <w:t xml:space="preserve">de fundar sus fallos en la Constitución con preferencia a las leyes o, en otros términos, de no aplicar las leyes que les parezcan inconstitucionales; y de juzgar también la constitucionalidad de los actos gubernativos.” </w:t>
      </w:r>
    </w:p>
  </w:footnote>
  <w:footnote w:id="34">
    <w:p w14:paraId="6BB7ED9E" w14:textId="717E73AC" w:rsidR="005A06E9" w:rsidRPr="005A06E9" w:rsidRDefault="005A06E9">
      <w:pPr>
        <w:pStyle w:val="Textonotapie"/>
      </w:pPr>
      <w:r>
        <w:rPr>
          <w:rStyle w:val="Refdenotaalpie"/>
        </w:rPr>
        <w:footnoteRef/>
      </w:r>
      <w:r>
        <w:t xml:space="preserve"> </w:t>
      </w:r>
      <w:r>
        <w:t xml:space="preserve">Los fallos de la Corte Suprema de Justicia de la Nación Argentina, se citan por su publicación en los tomos de la colección “Fallos” que puede consultarse en </w:t>
      </w:r>
      <w:hyperlink r:id="rId3" w:history="1">
        <w:r w:rsidRPr="00B50BBA">
          <w:rPr>
            <w:rStyle w:val="Hipervnculo"/>
          </w:rPr>
          <w:t>https://sjservicios.csjn.gov.ar/sj/tomosFallos.do?method=iniciar</w:t>
        </w:r>
      </w:hyperlink>
    </w:p>
  </w:footnote>
  <w:footnote w:id="35">
    <w:p w14:paraId="01280D28" w14:textId="1B288B97" w:rsidR="0054000C" w:rsidRPr="002A431D" w:rsidRDefault="0054000C" w:rsidP="002A431D">
      <w:pPr>
        <w:pStyle w:val="Textonotapie"/>
        <w:spacing w:line="240" w:lineRule="auto"/>
        <w:rPr>
          <w:lang w:val="es-ES"/>
        </w:rPr>
      </w:pPr>
      <w:r w:rsidRPr="002A431D">
        <w:rPr>
          <w:rStyle w:val="Refdenotaalpie"/>
        </w:rPr>
        <w:footnoteRef/>
      </w:r>
      <w:r w:rsidRPr="002A431D">
        <w:t xml:space="preserve"> </w:t>
      </w:r>
      <w:r w:rsidR="005A06E9">
        <w:t xml:space="preserve"> </w:t>
      </w:r>
      <w:r w:rsidRPr="002A431D">
        <w:rPr>
          <w:lang w:val="es-ES"/>
        </w:rPr>
        <w:t>CSJN, Fallos 1:37.</w:t>
      </w:r>
      <w:r w:rsidR="00DA2FB1" w:rsidRPr="002A431D">
        <w:rPr>
          <w:lang w:val="es-ES"/>
        </w:rPr>
        <w:t xml:space="preserve"> Dice la Corte en este fallo: “…siendo un principio </w:t>
      </w:r>
      <w:r w:rsidR="00B6209F" w:rsidRPr="002A431D">
        <w:rPr>
          <w:lang w:val="es-ES"/>
        </w:rPr>
        <w:t>fundamental de nuestro sistema político la división del Gobierno en tres grandes Departamentos, el Legislativo, el Ejecutivo y el Judicial, independientes y soberanos en su esfera</w:t>
      </w:r>
      <w:r w:rsidR="00023ED2" w:rsidRPr="002A431D">
        <w:rPr>
          <w:lang w:val="es-ES"/>
        </w:rPr>
        <w:t>, se sigue forzosamente que las atribuciones de cada uno le son peculiares y exclusivas….por consiguiente, el citado Decreto del Poder Ejecutivo en virtud del cual se ha considerado competente para conocer de esta causa al Capitán de Puerto de la Ciudad del Rosario no tiene valor alguno legal, porque él importa una usurpación de las atribuciones del Poder Legislativo…”</w:t>
      </w:r>
    </w:p>
  </w:footnote>
  <w:footnote w:id="36">
    <w:p w14:paraId="6BB00A2E" w14:textId="0DF68594" w:rsidR="0002226E" w:rsidRPr="002A431D" w:rsidRDefault="0002226E" w:rsidP="002A431D">
      <w:pPr>
        <w:pStyle w:val="Textonotapie"/>
        <w:spacing w:line="240" w:lineRule="auto"/>
      </w:pPr>
      <w:r w:rsidRPr="002A431D">
        <w:rPr>
          <w:rStyle w:val="Refdenotaalpie"/>
        </w:rPr>
        <w:footnoteRef/>
      </w:r>
      <w:r w:rsidRPr="002A431D">
        <w:t xml:space="preserve"> </w:t>
      </w:r>
      <w:r w:rsidRPr="002A431D">
        <w:rPr>
          <w:lang w:val="es-ES"/>
        </w:rPr>
        <w:t xml:space="preserve">CSJN, Fallos, </w:t>
      </w:r>
      <w:r w:rsidR="002C320B" w:rsidRPr="002A431D">
        <w:rPr>
          <w:lang w:val="es-ES"/>
        </w:rPr>
        <w:t>3</w:t>
      </w:r>
      <w:r w:rsidRPr="002A431D">
        <w:rPr>
          <w:lang w:val="es-ES"/>
        </w:rPr>
        <w:t>2:</w:t>
      </w:r>
      <w:r w:rsidR="002C320B" w:rsidRPr="002A431D">
        <w:rPr>
          <w:lang w:val="es-ES"/>
        </w:rPr>
        <w:t>120</w:t>
      </w:r>
      <w:r w:rsidRPr="002A431D">
        <w:rPr>
          <w:lang w:val="es-ES"/>
        </w:rPr>
        <w:t>.</w:t>
      </w:r>
      <w:r w:rsidR="00762D1B" w:rsidRPr="002A431D">
        <w:rPr>
          <w:lang w:val="es-ES"/>
        </w:rPr>
        <w:t xml:space="preserve"> Afirma el Tribunal en el fallo que “…</w:t>
      </w:r>
      <w:r w:rsidR="00762D1B" w:rsidRPr="002A431D">
        <w:t xml:space="preserve">La </w:t>
      </w:r>
      <w:proofErr w:type="spellStart"/>
      <w:r w:rsidR="00762D1B" w:rsidRPr="002A431D">
        <w:t>mision</w:t>
      </w:r>
      <w:proofErr w:type="spellEnd"/>
      <w:r w:rsidR="00762D1B" w:rsidRPr="002A431D">
        <w:t xml:space="preserve"> que incumbe </w:t>
      </w:r>
      <w:proofErr w:type="spellStart"/>
      <w:r w:rsidR="00762D1B" w:rsidRPr="002A431D">
        <w:t>á</w:t>
      </w:r>
      <w:proofErr w:type="spellEnd"/>
      <w:r w:rsidR="00762D1B" w:rsidRPr="002A431D">
        <w:t xml:space="preserve"> la Suprema Corte de mantener </w:t>
      </w:r>
      <w:proofErr w:type="spellStart"/>
      <w:r w:rsidR="00762D1B" w:rsidRPr="002A431D">
        <w:t>á</w:t>
      </w:r>
      <w:proofErr w:type="spellEnd"/>
      <w:r w:rsidR="00762D1B" w:rsidRPr="002A431D">
        <w:t xml:space="preserve"> los diversos poderes tanto nacionales como provinciales en la esfera de las facultades trazadas por la </w:t>
      </w:r>
      <w:proofErr w:type="spellStart"/>
      <w:r w:rsidR="00762D1B" w:rsidRPr="002A431D">
        <w:t>Constitucion</w:t>
      </w:r>
      <w:proofErr w:type="spellEnd"/>
      <w:r w:rsidR="00762D1B" w:rsidRPr="002A431D">
        <w:t xml:space="preserve">, la obliga </w:t>
      </w:r>
      <w:proofErr w:type="spellStart"/>
      <w:r w:rsidR="00762D1B" w:rsidRPr="002A431D">
        <w:t>á</w:t>
      </w:r>
      <w:proofErr w:type="spellEnd"/>
      <w:r w:rsidR="00762D1B" w:rsidRPr="002A431D">
        <w:t xml:space="preserve"> ella misma á absoluta estrictez para no </w:t>
      </w:r>
      <w:proofErr w:type="spellStart"/>
      <w:r w:rsidR="00762D1B" w:rsidRPr="002A431D">
        <w:t>estralimitar</w:t>
      </w:r>
      <w:proofErr w:type="spellEnd"/>
      <w:r w:rsidR="00762D1B" w:rsidRPr="002A431D">
        <w:t xml:space="preserve"> la suya, como la mayor garantía que puede ofrecer </w:t>
      </w:r>
      <w:proofErr w:type="spellStart"/>
      <w:r w:rsidR="00762D1B" w:rsidRPr="002A431D">
        <w:t>á</w:t>
      </w:r>
      <w:proofErr w:type="spellEnd"/>
      <w:r w:rsidR="00762D1B" w:rsidRPr="002A431D">
        <w:t xml:space="preserve"> los derechos individuales. Por grande que sea el interés general, cuando un derecho de libertad se ha puesto en conflicto con atribuciones de una rama del poder público, más grande y más respetable es el de que se </w:t>
      </w:r>
      <w:proofErr w:type="spellStart"/>
      <w:r w:rsidR="00762D1B" w:rsidRPr="002A431D">
        <w:t>rodée</w:t>
      </w:r>
      <w:proofErr w:type="spellEnd"/>
      <w:r w:rsidR="00762D1B" w:rsidRPr="002A431D">
        <w:t xml:space="preserve"> ese derecho individual de la formalidad establecida para su </w:t>
      </w:r>
      <w:proofErr w:type="gramStart"/>
      <w:r w:rsidR="00762D1B" w:rsidRPr="002A431D">
        <w:t>defensa….</w:t>
      </w:r>
      <w:proofErr w:type="gramEnd"/>
      <w:r w:rsidR="00762D1B" w:rsidRPr="002A431D">
        <w:t xml:space="preserve">” Abunda la sentencia en citas de doctrina y jurisprudencia norteamericana, destacando la referencia a Marbury en los siguientes términos: “…Es oportuno </w:t>
      </w:r>
      <w:proofErr w:type="spellStart"/>
      <w:r w:rsidR="00762D1B" w:rsidRPr="002A431D">
        <w:t>tambien</w:t>
      </w:r>
      <w:proofErr w:type="spellEnd"/>
      <w:r w:rsidR="00762D1B" w:rsidRPr="002A431D">
        <w:t xml:space="preserve"> citar el caso de William Marbury v. James </w:t>
      </w:r>
      <w:proofErr w:type="spellStart"/>
      <w:r w:rsidR="00762D1B" w:rsidRPr="002A431D">
        <w:t>Madisson</w:t>
      </w:r>
      <w:proofErr w:type="spellEnd"/>
      <w:r w:rsidR="00762D1B" w:rsidRPr="002A431D">
        <w:t xml:space="preserve"> (1 </w:t>
      </w:r>
      <w:proofErr w:type="spellStart"/>
      <w:r w:rsidR="00762D1B" w:rsidRPr="002A431D">
        <w:t>Cranch</w:t>
      </w:r>
      <w:proofErr w:type="spellEnd"/>
      <w:r w:rsidR="00762D1B" w:rsidRPr="002A431D">
        <w:t xml:space="preserve"> 137, p. 368), secretario de los Estados Unidos, en </w:t>
      </w:r>
      <w:proofErr w:type="spellStart"/>
      <w:r w:rsidR="00762D1B" w:rsidRPr="002A431D">
        <w:t>confirmacion</w:t>
      </w:r>
      <w:proofErr w:type="spellEnd"/>
      <w:r w:rsidR="00762D1B" w:rsidRPr="002A431D">
        <w:t xml:space="preserve"> de la doctrina sostenida invariablemente por la Corte Suprema de los Estados Unidos, de que el Congreso no puede asignar </w:t>
      </w:r>
      <w:proofErr w:type="spellStart"/>
      <w:r w:rsidR="00762D1B" w:rsidRPr="002A431D">
        <w:t>jurisdiccion</w:t>
      </w:r>
      <w:proofErr w:type="spellEnd"/>
      <w:r w:rsidR="00762D1B" w:rsidRPr="002A431D">
        <w:t xml:space="preserve"> originaria </w:t>
      </w:r>
      <w:proofErr w:type="spellStart"/>
      <w:r w:rsidR="00762D1B" w:rsidRPr="002A431D">
        <w:t>á</w:t>
      </w:r>
      <w:proofErr w:type="spellEnd"/>
      <w:r w:rsidR="00762D1B" w:rsidRPr="002A431D">
        <w:t xml:space="preserve"> la Suprema Corte en casos diferentes de los especificados, en la </w:t>
      </w:r>
      <w:proofErr w:type="spellStart"/>
      <w:r w:rsidR="00762D1B" w:rsidRPr="002A431D">
        <w:t>Constitucion</w:t>
      </w:r>
      <w:proofErr w:type="spellEnd"/>
      <w:r w:rsidR="00762D1B" w:rsidRPr="002A431D">
        <w:t xml:space="preserve">. En dichos casos se establecieron las decisiones siguientes: "Una ley del Congreso repugnante </w:t>
      </w:r>
      <w:proofErr w:type="spellStart"/>
      <w:r w:rsidR="00762D1B" w:rsidRPr="002A431D">
        <w:t>á</w:t>
      </w:r>
      <w:proofErr w:type="spellEnd"/>
      <w:r w:rsidR="00762D1B" w:rsidRPr="002A431D">
        <w:t xml:space="preserve"> la </w:t>
      </w:r>
      <w:proofErr w:type="spellStart"/>
      <w:r w:rsidR="00762D1B" w:rsidRPr="002A431D">
        <w:t>Constitucion</w:t>
      </w:r>
      <w:proofErr w:type="spellEnd"/>
      <w:r w:rsidR="00762D1B" w:rsidRPr="002A431D">
        <w:t xml:space="preserve">, no es ley." "Cuando la </w:t>
      </w:r>
      <w:proofErr w:type="spellStart"/>
      <w:r w:rsidR="00762D1B" w:rsidRPr="002A431D">
        <w:t>Constitucion</w:t>
      </w:r>
      <w:proofErr w:type="spellEnd"/>
      <w:r w:rsidR="00762D1B" w:rsidRPr="002A431D">
        <w:t xml:space="preserve"> y una ley del Congreso están en conflicto, la </w:t>
      </w:r>
      <w:proofErr w:type="spellStart"/>
      <w:r w:rsidR="00762D1B" w:rsidRPr="002A431D">
        <w:t>Constitucion</w:t>
      </w:r>
      <w:proofErr w:type="spellEnd"/>
      <w:r w:rsidR="00762D1B" w:rsidRPr="002A431D">
        <w:t xml:space="preserve"> debe regir el caso </w:t>
      </w:r>
      <w:proofErr w:type="spellStart"/>
      <w:r w:rsidR="00762D1B" w:rsidRPr="002A431D">
        <w:t>á</w:t>
      </w:r>
      <w:proofErr w:type="spellEnd"/>
      <w:r w:rsidR="00762D1B" w:rsidRPr="002A431D">
        <w:t xml:space="preserve"> que ambas se refieren. "El Congreso no puede conferir </w:t>
      </w:r>
      <w:proofErr w:type="spellStart"/>
      <w:r w:rsidR="00762D1B" w:rsidRPr="002A431D">
        <w:t>á</w:t>
      </w:r>
      <w:proofErr w:type="spellEnd"/>
      <w:r w:rsidR="00762D1B" w:rsidRPr="002A431D">
        <w:t xml:space="preserve"> esta Corte </w:t>
      </w:r>
      <w:proofErr w:type="spellStart"/>
      <w:r w:rsidR="00762D1B" w:rsidRPr="002A431D">
        <w:t>jurisdiccion</w:t>
      </w:r>
      <w:proofErr w:type="spellEnd"/>
      <w:r w:rsidR="00762D1B" w:rsidRPr="002A431D">
        <w:t xml:space="preserve"> originaria alguna." "Librar un auto de </w:t>
      </w:r>
      <w:proofErr w:type="spellStart"/>
      <w:r w:rsidR="00762D1B" w:rsidRPr="002A431D">
        <w:t>mandamus</w:t>
      </w:r>
      <w:proofErr w:type="spellEnd"/>
      <w:r w:rsidR="00762D1B" w:rsidRPr="002A431D">
        <w:t xml:space="preserve"> ordenando </w:t>
      </w:r>
      <w:proofErr w:type="spellStart"/>
      <w:r w:rsidR="00762D1B" w:rsidRPr="002A431D">
        <w:t>á</w:t>
      </w:r>
      <w:proofErr w:type="spellEnd"/>
      <w:r w:rsidR="00762D1B" w:rsidRPr="002A431D">
        <w:t xml:space="preserve"> un secretario de estado la entrega de un papel, sería el ejercicio de la </w:t>
      </w:r>
      <w:proofErr w:type="spellStart"/>
      <w:r w:rsidR="00762D1B" w:rsidRPr="002A431D">
        <w:t>jurisdiccion</w:t>
      </w:r>
      <w:proofErr w:type="spellEnd"/>
      <w:r w:rsidR="00762D1B" w:rsidRPr="002A431D">
        <w:t xml:space="preserve"> originaria que no puede conferirle el Congreso y que no está conferida por la </w:t>
      </w:r>
      <w:proofErr w:type="spellStart"/>
      <w:r w:rsidR="00762D1B" w:rsidRPr="002A431D">
        <w:t>Constitucion</w:t>
      </w:r>
      <w:proofErr w:type="spellEnd"/>
      <w:r w:rsidR="00762D1B" w:rsidRPr="002A431D">
        <w:t xml:space="preserve"> á esta Corte". "La </w:t>
      </w:r>
      <w:proofErr w:type="spellStart"/>
      <w:r w:rsidR="00762D1B" w:rsidRPr="002A431D">
        <w:t>seccion</w:t>
      </w:r>
      <w:proofErr w:type="spellEnd"/>
      <w:r w:rsidR="00762D1B" w:rsidRPr="002A431D">
        <w:t xml:space="preserve"> XXIII del </w:t>
      </w:r>
      <w:proofErr w:type="spellStart"/>
      <w:r w:rsidR="00762D1B" w:rsidRPr="002A431D">
        <w:t>Judiciary</w:t>
      </w:r>
      <w:proofErr w:type="spellEnd"/>
      <w:r w:rsidR="00762D1B" w:rsidRPr="002A431D">
        <w:t xml:space="preserve"> </w:t>
      </w:r>
      <w:proofErr w:type="spellStart"/>
      <w:r w:rsidR="00762D1B" w:rsidRPr="002A431D">
        <w:t>Act</w:t>
      </w:r>
      <w:proofErr w:type="spellEnd"/>
      <w:r w:rsidR="00762D1B" w:rsidRPr="002A431D">
        <w:t xml:space="preserve"> (1 </w:t>
      </w:r>
      <w:proofErr w:type="spellStart"/>
      <w:r w:rsidR="00762D1B" w:rsidRPr="002A431D">
        <w:t>Stat</w:t>
      </w:r>
      <w:proofErr w:type="spellEnd"/>
      <w:r w:rsidR="00762D1B" w:rsidRPr="002A431D">
        <w:t xml:space="preserve"> at </w:t>
      </w:r>
      <w:proofErr w:type="spellStart"/>
      <w:r w:rsidR="00762D1B" w:rsidRPr="002A431D">
        <w:t>Large</w:t>
      </w:r>
      <w:proofErr w:type="spellEnd"/>
      <w:r w:rsidR="00762D1B" w:rsidRPr="002A431D">
        <w:t xml:space="preserve"> 81) es sin valor, en tanto cuanto intenta acordar facultad </w:t>
      </w:r>
      <w:proofErr w:type="spellStart"/>
      <w:r w:rsidR="00762D1B" w:rsidRPr="002A431D">
        <w:t>á</w:t>
      </w:r>
      <w:proofErr w:type="spellEnd"/>
      <w:r w:rsidR="00762D1B" w:rsidRPr="002A431D">
        <w:t xml:space="preserve"> esta Corte para librar autos de </w:t>
      </w:r>
      <w:proofErr w:type="spellStart"/>
      <w:r w:rsidR="00762D1B" w:rsidRPr="002A431D">
        <w:t>mandamus</w:t>
      </w:r>
      <w:proofErr w:type="spellEnd"/>
      <w:r w:rsidR="00762D1B" w:rsidRPr="002A431D">
        <w:t xml:space="preserve"> en casos de </w:t>
      </w:r>
      <w:proofErr w:type="spellStart"/>
      <w:r w:rsidR="00762D1B" w:rsidRPr="002A431D">
        <w:t>jurisdiccion</w:t>
      </w:r>
      <w:proofErr w:type="spellEnd"/>
      <w:r w:rsidR="00762D1B" w:rsidRPr="002A431D">
        <w:t xml:space="preserve"> originaria que la </w:t>
      </w:r>
      <w:proofErr w:type="spellStart"/>
      <w:r w:rsidR="00762D1B" w:rsidRPr="002A431D">
        <w:t>Constitucion</w:t>
      </w:r>
      <w:proofErr w:type="spellEnd"/>
      <w:r w:rsidR="00762D1B" w:rsidRPr="002A431D">
        <w:t xml:space="preserve"> no ha conferido </w:t>
      </w:r>
      <w:proofErr w:type="spellStart"/>
      <w:r w:rsidR="00762D1B" w:rsidRPr="002A431D">
        <w:t>á</w:t>
      </w:r>
      <w:proofErr w:type="spellEnd"/>
      <w:r w:rsidR="00762D1B" w:rsidRPr="002A431D">
        <w:t xml:space="preserve"> esta Corte…"</w:t>
      </w:r>
    </w:p>
  </w:footnote>
  <w:footnote w:id="37">
    <w:p w14:paraId="5E09E5B4" w14:textId="43AADF2F" w:rsidR="0002226E" w:rsidRPr="002A431D" w:rsidRDefault="0002226E" w:rsidP="002A431D">
      <w:pPr>
        <w:pStyle w:val="Textonotapie"/>
        <w:spacing w:line="240" w:lineRule="auto"/>
      </w:pPr>
      <w:r w:rsidRPr="002A431D">
        <w:rPr>
          <w:rStyle w:val="Refdenotaalpie"/>
        </w:rPr>
        <w:footnoteRef/>
      </w:r>
      <w:r w:rsidRPr="002A431D">
        <w:t xml:space="preserve"> </w:t>
      </w:r>
      <w:r w:rsidRPr="002A431D">
        <w:rPr>
          <w:lang w:val="es-ES"/>
        </w:rPr>
        <w:t xml:space="preserve">CSJN, Fallos, </w:t>
      </w:r>
      <w:r w:rsidR="002A13D3" w:rsidRPr="002A431D">
        <w:rPr>
          <w:lang w:val="es-ES"/>
        </w:rPr>
        <w:t>33:162.</w:t>
      </w:r>
      <w:r w:rsidR="00BE4F79" w:rsidRPr="002A431D">
        <w:rPr>
          <w:lang w:val="es-ES"/>
        </w:rPr>
        <w:t xml:space="preserve"> Dice la Corte “</w:t>
      </w:r>
      <w:r w:rsidR="00BE4F79" w:rsidRPr="002A431D">
        <w:t xml:space="preserve">Es elemental en nuestra organización constitucional, la atribución que tienen y el deber en que se hallan los tribunales de justicia, de examinar las leyes en los casos concretos que se traen a su decisión, comparándolas con el texto de la Constitución para averiguar si guardan </w:t>
      </w:r>
      <w:proofErr w:type="spellStart"/>
      <w:r w:rsidR="00BE4F79" w:rsidRPr="002A431D">
        <w:t>ó</w:t>
      </w:r>
      <w:proofErr w:type="spellEnd"/>
      <w:r w:rsidR="00BE4F79" w:rsidRPr="002A431D">
        <w:t xml:space="preserve"> no conformidad con </w:t>
      </w:r>
      <w:proofErr w:type="spellStart"/>
      <w:r w:rsidR="00BE4F79" w:rsidRPr="002A431D">
        <w:t>ésta,y</w:t>
      </w:r>
      <w:proofErr w:type="spellEnd"/>
      <w:r w:rsidR="00BE4F79" w:rsidRPr="002A431D">
        <w:t xml:space="preserve"> abstenerse de aplicarlas, si las encuentran en oposición con ella, constituyendo esta atribución moderadora, uno de los fines supremos y fundamentales del poder judicial nacional y una de las mayores garantías con que se ha entendido asegurar los derechos consignados en la Constitución, contra los abusos posibles é involuntarios de los poderes públicos.”</w:t>
      </w:r>
    </w:p>
  </w:footnote>
  <w:footnote w:id="38">
    <w:p w14:paraId="582A0C4C" w14:textId="2FD04D49" w:rsidR="00BB53D7" w:rsidRPr="002A431D" w:rsidRDefault="00BB53D7" w:rsidP="002A431D">
      <w:pPr>
        <w:pStyle w:val="Textonotapie"/>
        <w:spacing w:line="240" w:lineRule="auto"/>
        <w:rPr>
          <w:lang w:val="en-US"/>
        </w:rPr>
      </w:pPr>
      <w:r w:rsidRPr="002A431D">
        <w:rPr>
          <w:rStyle w:val="Refdenotaalpie"/>
        </w:rPr>
        <w:footnoteRef/>
      </w:r>
      <w:r w:rsidRPr="002A431D">
        <w:rPr>
          <w:lang w:val="en-US"/>
        </w:rPr>
        <w:t xml:space="preserve"> </w:t>
      </w:r>
      <w:proofErr w:type="spellStart"/>
      <w:r w:rsidRPr="002A431D">
        <w:rPr>
          <w:lang w:val="en-US"/>
        </w:rPr>
        <w:t>Bachof</w:t>
      </w:r>
      <w:proofErr w:type="spellEnd"/>
      <w:r w:rsidRPr="002A431D">
        <w:rPr>
          <w:lang w:val="en-US"/>
        </w:rPr>
        <w:t xml:space="preserve">, Otto, </w:t>
      </w:r>
      <w:r w:rsidR="00913E2E">
        <w:rPr>
          <w:i/>
          <w:iCs/>
          <w:lang w:val="en-US"/>
        </w:rPr>
        <w:t>o</w:t>
      </w:r>
      <w:r w:rsidRPr="002A431D">
        <w:rPr>
          <w:i/>
          <w:iCs/>
          <w:lang w:val="en-US"/>
        </w:rPr>
        <w:t xml:space="preserve">p. </w:t>
      </w:r>
      <w:r w:rsidR="00913E2E">
        <w:rPr>
          <w:i/>
          <w:iCs/>
          <w:lang w:val="en-US"/>
        </w:rPr>
        <w:t>c</w:t>
      </w:r>
      <w:r w:rsidRPr="002A431D">
        <w:rPr>
          <w:i/>
          <w:iCs/>
          <w:lang w:val="en-US"/>
        </w:rPr>
        <w:t>it.,</w:t>
      </w:r>
      <w:r w:rsidRPr="002A431D">
        <w:rPr>
          <w:lang w:val="en-US"/>
        </w:rPr>
        <w:t xml:space="preserve"> pp. 39-42.</w:t>
      </w:r>
    </w:p>
  </w:footnote>
  <w:footnote w:id="39">
    <w:p w14:paraId="683DB5DA" w14:textId="61BB3089" w:rsidR="00F66679" w:rsidRPr="002A431D" w:rsidRDefault="00F66679" w:rsidP="002A431D">
      <w:pPr>
        <w:pStyle w:val="Textonotapie"/>
        <w:spacing w:line="240" w:lineRule="auto"/>
      </w:pPr>
      <w:r w:rsidRPr="002A431D">
        <w:rPr>
          <w:rStyle w:val="Refdenotaalpie"/>
        </w:rPr>
        <w:footnoteRef/>
      </w:r>
      <w:r w:rsidRPr="002A431D">
        <w:t xml:space="preserve"> Ibidem, p. 45.</w:t>
      </w:r>
    </w:p>
  </w:footnote>
  <w:footnote w:id="40">
    <w:p w14:paraId="60FBE11A" w14:textId="00F00503" w:rsidR="00E826E6" w:rsidRPr="002A431D" w:rsidRDefault="00E826E6" w:rsidP="002A431D">
      <w:pPr>
        <w:pStyle w:val="Textonotapie"/>
        <w:spacing w:line="240" w:lineRule="auto"/>
      </w:pPr>
      <w:r w:rsidRPr="002A431D">
        <w:rPr>
          <w:rStyle w:val="Refdenotaalpie"/>
        </w:rPr>
        <w:footnoteRef/>
      </w:r>
      <w:r w:rsidRPr="002A431D">
        <w:t xml:space="preserve"> Ibidem, p. 45.</w:t>
      </w:r>
    </w:p>
  </w:footnote>
  <w:footnote w:id="41">
    <w:p w14:paraId="3048FAA6" w14:textId="4D1646D8" w:rsidR="00E826E6" w:rsidRPr="002A431D" w:rsidRDefault="00E826E6" w:rsidP="002A431D">
      <w:pPr>
        <w:pStyle w:val="Textonotapie"/>
        <w:spacing w:line="240" w:lineRule="auto"/>
      </w:pPr>
      <w:r w:rsidRPr="002A431D">
        <w:rPr>
          <w:rStyle w:val="Refdenotaalpie"/>
        </w:rPr>
        <w:footnoteRef/>
      </w:r>
      <w:r w:rsidRPr="002A431D">
        <w:t xml:space="preserve"> Ibidem, p. 57</w:t>
      </w:r>
    </w:p>
  </w:footnote>
  <w:footnote w:id="42">
    <w:p w14:paraId="365D3FD9" w14:textId="2BEF9791" w:rsidR="00E826E6" w:rsidRPr="002A431D" w:rsidRDefault="00E826E6" w:rsidP="002A431D">
      <w:pPr>
        <w:pStyle w:val="Textonotapie"/>
        <w:spacing w:line="240" w:lineRule="auto"/>
        <w:rPr>
          <w:lang w:val="en-US"/>
        </w:rPr>
      </w:pPr>
      <w:r w:rsidRPr="002A431D">
        <w:rPr>
          <w:rStyle w:val="Refdenotaalpie"/>
        </w:rPr>
        <w:footnoteRef/>
      </w:r>
      <w:r w:rsidRPr="002A431D">
        <w:rPr>
          <w:lang w:val="en-US"/>
        </w:rPr>
        <w:t xml:space="preserve"> Ibidem, p. 61.</w:t>
      </w:r>
    </w:p>
  </w:footnote>
  <w:footnote w:id="43">
    <w:p w14:paraId="352AD62D" w14:textId="0FAA15AC" w:rsidR="00AF5255" w:rsidRPr="002A431D" w:rsidRDefault="00AF5255" w:rsidP="002A431D">
      <w:pPr>
        <w:pStyle w:val="Textonotapie"/>
        <w:spacing w:line="240" w:lineRule="auto"/>
        <w:rPr>
          <w:lang w:val="en-US"/>
        </w:rPr>
      </w:pPr>
      <w:r w:rsidRPr="002A431D">
        <w:rPr>
          <w:rStyle w:val="Refdenotaalpie"/>
        </w:rPr>
        <w:footnoteRef/>
      </w:r>
      <w:r w:rsidRPr="002A431D">
        <w:rPr>
          <w:lang w:val="en-US"/>
        </w:rPr>
        <w:t xml:space="preserve"> </w:t>
      </w:r>
      <w:r w:rsidR="00BE4F79" w:rsidRPr="002A431D">
        <w:rPr>
          <w:lang w:val="en-US"/>
        </w:rPr>
        <w:t xml:space="preserve">Ost, Francois, </w:t>
      </w:r>
      <w:r w:rsidR="00913E2E">
        <w:rPr>
          <w:lang w:val="en-US"/>
        </w:rPr>
        <w:t>o</w:t>
      </w:r>
      <w:r w:rsidR="00BE4F79" w:rsidRPr="002A431D">
        <w:rPr>
          <w:lang w:val="en-US"/>
        </w:rPr>
        <w:t xml:space="preserve">p. </w:t>
      </w:r>
      <w:r w:rsidR="00913E2E">
        <w:rPr>
          <w:lang w:val="en-US"/>
        </w:rPr>
        <w:t>c</w:t>
      </w:r>
      <w:r w:rsidR="00BE4F79" w:rsidRPr="002A431D">
        <w:rPr>
          <w:lang w:val="en-US"/>
        </w:rPr>
        <w:t>it., p. 109.</w:t>
      </w:r>
    </w:p>
  </w:footnote>
  <w:footnote w:id="44">
    <w:p w14:paraId="2B85538A" w14:textId="1C8EF572" w:rsidR="00D93991" w:rsidRPr="002A431D" w:rsidRDefault="00D93991" w:rsidP="002A431D">
      <w:pPr>
        <w:pStyle w:val="Textonotapie"/>
        <w:spacing w:line="240" w:lineRule="auto"/>
      </w:pPr>
      <w:r w:rsidRPr="002A431D">
        <w:rPr>
          <w:rStyle w:val="Refdenotaalpie"/>
        </w:rPr>
        <w:footnoteRef/>
      </w:r>
      <w:r w:rsidRPr="002A431D">
        <w:t xml:space="preserve"> Sobre los conceptos y</w:t>
      </w:r>
      <w:r w:rsidR="00745E0D" w:rsidRPr="002A431D">
        <w:t xml:space="preserve"> diferencias</w:t>
      </w:r>
      <w:r w:rsidRPr="002A431D">
        <w:t xml:space="preserve"> entre ponderación y subsunción y la consecuente contraposición entre sistemas integrados por normas o por principios, pueden verse los trabajos reunidos en la obra de </w:t>
      </w:r>
      <w:bookmarkStart w:id="16" w:name="_Hlk93486654"/>
      <w:r w:rsidRPr="002A431D">
        <w:t>Ferrajoli,</w:t>
      </w:r>
      <w:r w:rsidR="00745E0D" w:rsidRPr="002A431D">
        <w:t xml:space="preserve"> Luigi,</w:t>
      </w:r>
      <w:r w:rsidRPr="002A431D">
        <w:t xml:space="preserve"> </w:t>
      </w:r>
      <w:r w:rsidRPr="002A431D">
        <w:rPr>
          <w:i/>
        </w:rPr>
        <w:t xml:space="preserve">Un debate sobre el </w:t>
      </w:r>
      <w:proofErr w:type="gramStart"/>
      <w:r w:rsidRPr="002A431D">
        <w:rPr>
          <w:i/>
        </w:rPr>
        <w:t xml:space="preserve">constitucionalismo, </w:t>
      </w:r>
      <w:r w:rsidRPr="002A431D">
        <w:t xml:space="preserve"> </w:t>
      </w:r>
      <w:r w:rsidR="00745E0D" w:rsidRPr="002A431D">
        <w:t>Madrid</w:t>
      </w:r>
      <w:proofErr w:type="gramEnd"/>
      <w:r w:rsidR="00745E0D" w:rsidRPr="002A431D">
        <w:t>, Marcial Pons, 2012</w:t>
      </w:r>
      <w:bookmarkEnd w:id="16"/>
      <w:r w:rsidRPr="002A431D">
        <w:t xml:space="preserve">. En especial, el tema es tratado con profundidad en los trabajos del mismo Ferrajoli, “Constitucionalismo </w:t>
      </w:r>
      <w:proofErr w:type="spellStart"/>
      <w:r w:rsidRPr="002A431D">
        <w:t>principialista</w:t>
      </w:r>
      <w:proofErr w:type="spellEnd"/>
      <w:r w:rsidRPr="002A431D">
        <w:t xml:space="preserve"> y constitucionalismo garantista</w:t>
      </w:r>
      <w:proofErr w:type="gramStart"/>
      <w:r w:rsidRPr="002A431D">
        <w:t>”,  en</w:t>
      </w:r>
      <w:proofErr w:type="gramEnd"/>
      <w:r w:rsidRPr="002A431D">
        <w:t xml:space="preserve"> el de </w:t>
      </w:r>
      <w:r w:rsidR="00745E0D" w:rsidRPr="002A431D">
        <w:t>A</w:t>
      </w:r>
      <w:r w:rsidRPr="002A431D">
        <w:t xml:space="preserve">tienza, </w:t>
      </w:r>
      <w:r w:rsidR="00745E0D" w:rsidRPr="002A431D">
        <w:t xml:space="preserve">Manuel, </w:t>
      </w:r>
      <w:r w:rsidRPr="002A431D">
        <w:t>“Dos versiones del constitucionalismo” y en el de Salazar Ugarte,</w:t>
      </w:r>
      <w:r w:rsidR="00745E0D" w:rsidRPr="002A431D">
        <w:t xml:space="preserve"> Pedro,</w:t>
      </w:r>
      <w:r w:rsidRPr="002A431D">
        <w:t xml:space="preserve"> “</w:t>
      </w:r>
      <w:r w:rsidRPr="002A431D">
        <w:rPr>
          <w:bCs/>
        </w:rPr>
        <w:t xml:space="preserve">Garantismo y Neoconstitucionalismo frente a frente: algunas claves para su distinción”.  Puede verse también, de los primeros dos autores, la obra </w:t>
      </w:r>
      <w:bookmarkStart w:id="17" w:name="_Hlk93486686"/>
      <w:r w:rsidRPr="002A431D">
        <w:rPr>
          <w:bCs/>
          <w:i/>
        </w:rPr>
        <w:t xml:space="preserve">Jurisdicción y argumentación en el nuevo estado de derecho, </w:t>
      </w:r>
      <w:proofErr w:type="spellStart"/>
      <w:r w:rsidRPr="002A431D">
        <w:rPr>
          <w:bCs/>
        </w:rPr>
        <w:t>Mexico</w:t>
      </w:r>
      <w:proofErr w:type="spellEnd"/>
      <w:r w:rsidRPr="002A431D">
        <w:rPr>
          <w:bCs/>
        </w:rPr>
        <w:t>, Universidad Nacional Autónoma de México, 2011</w:t>
      </w:r>
      <w:bookmarkEnd w:id="17"/>
      <w:r w:rsidRPr="002A431D">
        <w:rPr>
          <w:bCs/>
        </w:rPr>
        <w:t>.</w:t>
      </w:r>
    </w:p>
  </w:footnote>
  <w:footnote w:id="45">
    <w:p w14:paraId="2D49AAE5" w14:textId="6B9C93A3" w:rsidR="00B97415" w:rsidRPr="002A431D" w:rsidRDefault="00B97415" w:rsidP="002A431D">
      <w:pPr>
        <w:pStyle w:val="Textonotapie"/>
        <w:spacing w:line="240" w:lineRule="auto"/>
        <w:rPr>
          <w:lang w:val="en-US"/>
        </w:rPr>
      </w:pPr>
      <w:r w:rsidRPr="002A431D">
        <w:rPr>
          <w:rStyle w:val="Refdenotaalpie"/>
        </w:rPr>
        <w:footnoteRef/>
      </w:r>
      <w:r w:rsidRPr="002A431D">
        <w:rPr>
          <w:lang w:val="en-US"/>
        </w:rPr>
        <w:t xml:space="preserve"> Ost, Francois, </w:t>
      </w:r>
      <w:r w:rsidR="00913E2E">
        <w:rPr>
          <w:lang w:val="en-US"/>
        </w:rPr>
        <w:t>o</w:t>
      </w:r>
      <w:r w:rsidRPr="002A431D">
        <w:rPr>
          <w:lang w:val="en-US"/>
        </w:rPr>
        <w:t xml:space="preserve">p. </w:t>
      </w:r>
      <w:r w:rsidR="00913E2E">
        <w:rPr>
          <w:lang w:val="en-US"/>
        </w:rPr>
        <w:t>c</w:t>
      </w:r>
      <w:r w:rsidRPr="002A431D">
        <w:rPr>
          <w:lang w:val="en-US"/>
        </w:rPr>
        <w:t>it., p. 109.</w:t>
      </w:r>
    </w:p>
  </w:footnote>
  <w:footnote w:id="46">
    <w:p w14:paraId="5A8E3F3A" w14:textId="4BC52219" w:rsidR="006C06BC" w:rsidRPr="002A431D" w:rsidRDefault="006C06BC" w:rsidP="002A431D">
      <w:pPr>
        <w:pStyle w:val="Textonotapie"/>
        <w:spacing w:line="240" w:lineRule="auto"/>
      </w:pPr>
      <w:r w:rsidRPr="002A431D">
        <w:rPr>
          <w:rStyle w:val="Refdenotaalpie"/>
        </w:rPr>
        <w:footnoteRef/>
      </w:r>
      <w:r w:rsidRPr="002A431D">
        <w:t xml:space="preserve"> En el reciente fallo</w:t>
      </w:r>
      <w:r w:rsidRPr="002A431D">
        <w:rPr>
          <w:lang w:val="es-ES"/>
        </w:rPr>
        <w:t xml:space="preserve"> “</w:t>
      </w:r>
      <w:r w:rsidRPr="002A431D">
        <w:t xml:space="preserve">Rodríguez Pereyra, Jorge Luis y otro c. Ejército Argentino s/daños y perjuicios”, </w:t>
      </w:r>
      <w:r w:rsidRPr="002A431D">
        <w:rPr>
          <w:bCs/>
        </w:rPr>
        <w:t>Fallos CSJN: Rex S.C. R. 401. XLIII</w:t>
      </w:r>
      <w:r w:rsidRPr="002A431D">
        <w:t xml:space="preserve"> ha dicho la Corte que “…tras la reforma constitucional de 1994 deben tenerse en cuenta las directivas que surgen del derecho internacional de los derechos humanos. En el precedente “</w:t>
      </w:r>
      <w:proofErr w:type="spellStart"/>
      <w:r w:rsidRPr="002A431D">
        <w:t>Mazzeo</w:t>
      </w:r>
      <w:proofErr w:type="spellEnd"/>
      <w:r w:rsidRPr="002A431D">
        <w:t>” (Fallos: 330:3248), esta Corte enfatizó que “la interpretación de la Convención Americana sobre Derechos Humanos debe guiarse por la jurisprudencia de la Corte Interamericana de Derechos Humanos (CIDH)” que importa “una insoslayable pauta de interpretación para los poderes constituidos argentinos en el ámbito de su competencia y, en consecuencia, también para la Corte Suprema de Justicia de la Nación, a los efectos de resguardar las obligaciones asumidas por el Estado argentino en el sistema interamericano de protección de los derechos humanos” (considerando 20).</w:t>
      </w:r>
      <w:r w:rsidR="0066440E" w:rsidRPr="002A431D">
        <w:t xml:space="preserve">  </w:t>
      </w:r>
      <w:r w:rsidRPr="002A431D">
        <w:t>Se advirtió también en “</w:t>
      </w:r>
      <w:proofErr w:type="spellStart"/>
      <w:r w:rsidRPr="002A431D">
        <w:t>Mazzeo</w:t>
      </w:r>
      <w:proofErr w:type="spellEnd"/>
      <w:r w:rsidRPr="002A431D">
        <w:t>” que la CIDH “ha señalado que es consciente de que los jueces y tribunales internos están sujetos al imperio de la ley y, por ello, están obligados a aplicar las disposiciones vigentes en el ordenamiento jurídico. Pero cuando un Estado ha ratificado un tratado internacional como la Convención Americana, sus jueces, como parte del aparato del Estado, también están sometidos a ella, lo que les obliga a velar porque los efectos de las disposiciones de la Convención no se vean mermados por la aplicación de leyes contrarias a su objeto y fin, y que desde un inicio carecen de efectos jurídicos”. Concluyó que “[e]n otras palabras, el Poder Judicial debe ejercer una especie de ‘control de convencionalidad’ entre las normas jurídicas internas que aplican en los casos concretos y la Convención Americana sobre Derechos Humanos” (caso “Almonacid”, del 26 de septiembre de 2006, parágrafo 124, considerando 21).</w:t>
      </w:r>
      <w:r w:rsidR="0066440E" w:rsidRPr="002A431D">
        <w:t xml:space="preserve"> </w:t>
      </w:r>
      <w:r w:rsidRPr="002A431D">
        <w:t xml:space="preserve">…Recientemente, el citado Tribunal ha insistido respecto del control de convencionalidad ex </w:t>
      </w:r>
      <w:proofErr w:type="spellStart"/>
      <w:r w:rsidRPr="002A431D">
        <w:t>officio</w:t>
      </w:r>
      <w:proofErr w:type="spellEnd"/>
      <w:r w:rsidRPr="002A431D">
        <w:t>, añadiendo que en dicha tarea los jueces y órganos vinculados con la administración de justicia deben tener en cuenta no solamente el tratado, sino también la interpretación que del mismo ha hecho la Corte Interamericana (conf. caso “</w:t>
      </w:r>
      <w:proofErr w:type="spellStart"/>
      <w:r w:rsidRPr="002A431D">
        <w:t>Fontevecchia</w:t>
      </w:r>
      <w:proofErr w:type="spellEnd"/>
      <w:r w:rsidRPr="002A431D">
        <w:t xml:space="preserve"> y </w:t>
      </w:r>
      <w:proofErr w:type="spellStart"/>
      <w:r w:rsidRPr="002A431D">
        <w:t>D’Amico</w:t>
      </w:r>
      <w:proofErr w:type="spellEnd"/>
      <w:r w:rsidRPr="002A431D">
        <w:t xml:space="preserve"> vs. Argentina” del 29 de noviembre de 2011). La jurisprudencia reseñada no deja lugar a dudas de que los órganos judiciales de los países que han ratificado la Convención Americana sobre Derechos Humanos están obligados a ejercer, de oficio, el control de convencionalidad, descalificando las normas internas que se opongan a dicho tratado. Resultaría, pues, un contrasentido aceptar que la Constitución Nacional que, por un lado, confiere rango constitucional a la mencionada Convención (art. 75, inc. 22), incorpora sus disposiciones al derecho interno y, por consiguiente, habilita la aplicación de la regla interpretativa -formulada por su intérprete auténtico, es decir, la Corte Interamericana de Derechos Humanos- que obliga a los tribunales nacionales a ejercer de oficio el control de convencionalidad, impida, por otro lado, que esos mismos tribunales ejerzan similar examen con el fin de salvaguardar su supremacía frente a normas locales de menor rango.” </w:t>
      </w:r>
    </w:p>
  </w:footnote>
  <w:footnote w:id="47">
    <w:p w14:paraId="1E1C6B24" w14:textId="77777777" w:rsidR="006C06BC" w:rsidRPr="002A431D" w:rsidRDefault="006C06BC" w:rsidP="002A431D">
      <w:pPr>
        <w:pStyle w:val="Textonotapie"/>
        <w:spacing w:line="240" w:lineRule="auto"/>
        <w:rPr>
          <w:lang w:val="es-ES"/>
        </w:rPr>
      </w:pPr>
      <w:r w:rsidRPr="002A431D">
        <w:rPr>
          <w:rStyle w:val="Refdenotaalpie"/>
        </w:rPr>
        <w:footnoteRef/>
      </w:r>
      <w:r w:rsidRPr="002A431D">
        <w:t xml:space="preserve"> Un exhaustivo análisis de la evolución jurisprudencial en la materia puede verse en </w:t>
      </w:r>
      <w:bookmarkStart w:id="18" w:name="_Hlk93321424"/>
      <w:r w:rsidRPr="002A431D">
        <w:t xml:space="preserve">Ibáñez </w:t>
      </w:r>
      <w:proofErr w:type="spellStart"/>
      <w:r w:rsidRPr="002A431D">
        <w:t>Rosaz</w:t>
      </w:r>
      <w:proofErr w:type="spellEnd"/>
      <w:r w:rsidRPr="002A431D">
        <w:t>, Víctor E., “El control de constitucionalidad de oficio. Antecedentes históricos, evolución y estado actual en la jurisprudencia de la Corte Suprema de Justicia de la Nación”, en revista </w:t>
      </w:r>
      <w:r w:rsidRPr="002A431D">
        <w:rPr>
          <w:i/>
          <w:iCs/>
        </w:rPr>
        <w:t xml:space="preserve">Corpus Iuris </w:t>
      </w:r>
      <w:proofErr w:type="spellStart"/>
      <w:r w:rsidRPr="002A431D">
        <w:rPr>
          <w:i/>
          <w:iCs/>
        </w:rPr>
        <w:t>Regionis</w:t>
      </w:r>
      <w:proofErr w:type="spellEnd"/>
      <w:r w:rsidRPr="002A431D">
        <w:rPr>
          <w:i/>
          <w:iCs/>
        </w:rPr>
        <w:t xml:space="preserve"> -Revista Jurídica Regional </w:t>
      </w:r>
      <w:proofErr w:type="gramStart"/>
      <w:r w:rsidRPr="002A431D">
        <w:rPr>
          <w:i/>
          <w:iCs/>
        </w:rPr>
        <w:t>y  </w:t>
      </w:r>
      <w:proofErr w:type="spellStart"/>
      <w:r w:rsidRPr="002A431D">
        <w:rPr>
          <w:i/>
          <w:iCs/>
        </w:rPr>
        <w:t>Sub</w:t>
      </w:r>
      <w:proofErr w:type="gramEnd"/>
      <w:r w:rsidRPr="002A431D">
        <w:rPr>
          <w:i/>
          <w:iCs/>
        </w:rPr>
        <w:t>-regional</w:t>
      </w:r>
      <w:proofErr w:type="spellEnd"/>
      <w:r w:rsidRPr="002A431D">
        <w:rPr>
          <w:i/>
          <w:iCs/>
        </w:rPr>
        <w:t xml:space="preserve"> Andina-</w:t>
      </w:r>
      <w:r w:rsidRPr="002A431D">
        <w:t xml:space="preserve">, Escuela de Derecho Universidad Arturo Prat, Iquique, República de Chile, </w:t>
      </w:r>
      <w:proofErr w:type="spellStart"/>
      <w:r w:rsidRPr="002A431D">
        <w:t>n°</w:t>
      </w:r>
      <w:proofErr w:type="spellEnd"/>
      <w:r w:rsidRPr="002A431D">
        <w:t xml:space="preserve"> 6/2.006 (Edición Especial)</w:t>
      </w:r>
      <w:bookmarkEnd w:id="18"/>
      <w:r w:rsidRPr="002A431D">
        <w:t xml:space="preserve">, págs. 479/489.  Puede verse también nuestro </w:t>
      </w:r>
      <w:bookmarkStart w:id="19" w:name="_Hlk93321463"/>
      <w:r w:rsidRPr="002A431D">
        <w:t xml:space="preserve">comentario al caso “F. c/ Linares Borobio” publicado en </w:t>
      </w:r>
      <w:r w:rsidRPr="002A431D">
        <w:rPr>
          <w:lang w:val="es-ES"/>
        </w:rPr>
        <w:t>Parellada Carlos y Parellada Ariel (</w:t>
      </w:r>
      <w:proofErr w:type="gramStart"/>
      <w:r w:rsidRPr="002A431D">
        <w:rPr>
          <w:lang w:val="es-ES"/>
        </w:rPr>
        <w:t>Directores</w:t>
      </w:r>
      <w:proofErr w:type="gramEnd"/>
      <w:r w:rsidRPr="002A431D">
        <w:rPr>
          <w:lang w:val="es-ES"/>
        </w:rPr>
        <w:t xml:space="preserve">), </w:t>
      </w:r>
      <w:r w:rsidRPr="002A431D">
        <w:rPr>
          <w:i/>
          <w:lang w:val="es-ES"/>
        </w:rPr>
        <w:t xml:space="preserve">Máximos Precedentes, Suprema Corte de Justicia de Mendoza, </w:t>
      </w:r>
      <w:r w:rsidRPr="002A431D">
        <w:rPr>
          <w:lang w:val="es-ES"/>
        </w:rPr>
        <w:t>Buenos Aires, La Ley, 2014.</w:t>
      </w:r>
    </w:p>
    <w:bookmarkEnd w:id="19"/>
  </w:footnote>
  <w:footnote w:id="48">
    <w:p w14:paraId="4346FA1A" w14:textId="77777777" w:rsidR="006C06BC" w:rsidRPr="002A431D" w:rsidRDefault="006C06BC" w:rsidP="002A431D">
      <w:pPr>
        <w:spacing w:line="240" w:lineRule="auto"/>
        <w:jc w:val="both"/>
        <w:rPr>
          <w:sz w:val="20"/>
          <w:szCs w:val="20"/>
          <w:lang w:val="es-ES_tradnl"/>
        </w:rPr>
      </w:pPr>
      <w:r w:rsidRPr="002A431D">
        <w:rPr>
          <w:rStyle w:val="Refdenotaalpie"/>
          <w:sz w:val="20"/>
          <w:szCs w:val="20"/>
        </w:rPr>
        <w:footnoteRef/>
      </w:r>
      <w:r w:rsidRPr="002A431D">
        <w:rPr>
          <w:sz w:val="20"/>
          <w:szCs w:val="20"/>
        </w:rPr>
        <w:t xml:space="preserve"> Encontramos en este aspecto, como </w:t>
      </w:r>
      <w:proofErr w:type="spellStart"/>
      <w:r w:rsidRPr="002A431D">
        <w:rPr>
          <w:sz w:val="20"/>
          <w:szCs w:val="20"/>
        </w:rPr>
        <w:t>leading</w:t>
      </w:r>
      <w:proofErr w:type="spellEnd"/>
      <w:r w:rsidRPr="002A431D">
        <w:rPr>
          <w:sz w:val="20"/>
          <w:szCs w:val="20"/>
        </w:rPr>
        <w:t xml:space="preserve"> case a nivel nacional, el precedente “</w:t>
      </w:r>
      <w:proofErr w:type="spellStart"/>
      <w:r w:rsidRPr="002A431D">
        <w:rPr>
          <w:sz w:val="20"/>
          <w:szCs w:val="20"/>
        </w:rPr>
        <w:t>Halabi</w:t>
      </w:r>
      <w:proofErr w:type="spellEnd"/>
      <w:r w:rsidRPr="002A431D">
        <w:rPr>
          <w:sz w:val="20"/>
          <w:szCs w:val="20"/>
        </w:rPr>
        <w:t>” (Fallos 332-111)  en el que la Corte dispuso: “…</w:t>
      </w:r>
      <w:r w:rsidRPr="002A431D">
        <w:rPr>
          <w:sz w:val="20"/>
          <w:szCs w:val="20"/>
          <w:lang w:val="es-ES_tradnl"/>
        </w:rPr>
        <w:t>en materia de legitimación procesal corres</w:t>
      </w:r>
      <w:r w:rsidRPr="002A431D">
        <w:rPr>
          <w:sz w:val="20"/>
          <w:szCs w:val="20"/>
          <w:lang w:val="es-ES_tradnl"/>
        </w:rPr>
        <w:softHyphen/>
        <w:t>ponde, como primer paso, delimitar con precisión tres catego</w:t>
      </w:r>
      <w:r w:rsidRPr="002A431D">
        <w:rPr>
          <w:sz w:val="20"/>
          <w:szCs w:val="20"/>
          <w:lang w:val="es-ES_tradnl"/>
        </w:rPr>
        <w:softHyphen/>
        <w:t>rías de derechos: individuales, de incidencia colectiva que tienen por objeto bienes colectivos, y de incidencia colectiva referentes a intereses individuales homogéneos… la regla general en materia de legitimación es que los derechos sobre bienes jurídicos individuales son ejercidos por su titular…</w:t>
      </w:r>
      <w:r w:rsidRPr="002A431D">
        <w:rPr>
          <w:rFonts w:ascii="Courier New" w:eastAsia="Times New Roman" w:hAnsi="Courier New" w:cs="Courier New"/>
          <w:sz w:val="20"/>
          <w:szCs w:val="20"/>
          <w:lang w:val="es-ES_tradnl" w:eastAsia="es-ES"/>
        </w:rPr>
        <w:t xml:space="preserve"> </w:t>
      </w:r>
      <w:r w:rsidRPr="002A431D">
        <w:rPr>
          <w:sz w:val="20"/>
          <w:szCs w:val="20"/>
          <w:lang w:val="es-ES_tradnl"/>
        </w:rPr>
        <w:t>los derechos de incidencia colectiva que tie</w:t>
      </w:r>
      <w:r w:rsidRPr="002A431D">
        <w:rPr>
          <w:sz w:val="20"/>
          <w:szCs w:val="20"/>
          <w:lang w:val="es-ES_tradnl"/>
        </w:rPr>
        <w:softHyphen/>
        <w:t>nen por objeto bienes colectivos (art. 43 de la Constitución Nacional) son ejercidos por el Defensor del Pueblo de la Na</w:t>
      </w:r>
      <w:r w:rsidRPr="002A431D">
        <w:rPr>
          <w:sz w:val="20"/>
          <w:szCs w:val="20"/>
          <w:lang w:val="es-ES_tradnl"/>
        </w:rPr>
        <w:softHyphen/>
        <w:t>ción, las asociaciones que concentran el interés colectivo y el afectado.  En estos supuestos…la petición debe tener por objeto la tutela de un bien colectivo, lo que ocurre cuando éste pertene</w:t>
      </w:r>
      <w:r w:rsidRPr="002A431D">
        <w:rPr>
          <w:sz w:val="20"/>
          <w:szCs w:val="20"/>
          <w:lang w:val="es-ES_tradnl"/>
        </w:rPr>
        <w:softHyphen/>
        <w:t>ce a toda la comunidad, siendo indivisible y no admitiendo ex</w:t>
      </w:r>
      <w:r w:rsidRPr="002A431D">
        <w:rPr>
          <w:sz w:val="20"/>
          <w:szCs w:val="20"/>
          <w:lang w:val="es-ES_tradnl"/>
        </w:rPr>
        <w:softHyphen/>
        <w:t>clusión alguna… Estos bienes no pertenecen a la esfera individual sino social y no son divi</w:t>
      </w:r>
      <w:r w:rsidRPr="002A431D">
        <w:rPr>
          <w:sz w:val="20"/>
          <w:szCs w:val="20"/>
          <w:lang w:val="es-ES_tradnl"/>
        </w:rPr>
        <w:softHyphen/>
        <w:t>sibles en modo alguno. …la Constitución Nacional admite en el segundo párrafo del art. 43 una tercera categoría conformada por dere</w:t>
      </w:r>
      <w:r w:rsidRPr="002A431D">
        <w:rPr>
          <w:sz w:val="20"/>
          <w:szCs w:val="20"/>
          <w:lang w:val="es-ES_tradnl"/>
        </w:rPr>
        <w:softHyphen/>
        <w:t>chos de incidencia colectiva referentes a intereses individua</w:t>
      </w:r>
      <w:r w:rsidRPr="002A431D">
        <w:rPr>
          <w:sz w:val="20"/>
          <w:szCs w:val="20"/>
          <w:lang w:val="es-ES_tradnl"/>
        </w:rPr>
        <w:softHyphen/>
        <w:t>les homogéneos. Tal sería el caso de los derechos personales o patrimoniales derivados de afectaciones al ambiente y a la com</w:t>
      </w:r>
      <w:r w:rsidRPr="002A431D">
        <w:rPr>
          <w:sz w:val="20"/>
          <w:szCs w:val="20"/>
          <w:lang w:val="es-ES_tradnl"/>
        </w:rPr>
        <w:softHyphen/>
        <w:t>petencia, de los derechos de los usuarios y consumidores como de los derechos de sujetos discriminados. En estos casos no hay un bien colectivo, ya que se afectan derechos individuales enteramente divisibles. Sin em</w:t>
      </w:r>
      <w:r w:rsidRPr="002A431D">
        <w:rPr>
          <w:sz w:val="20"/>
          <w:szCs w:val="20"/>
          <w:lang w:val="es-ES_tradnl"/>
        </w:rPr>
        <w:softHyphen/>
        <w:t>bargo, hay un hecho, único o continuado, que provoca la lesión a todos ellos y por lo tanto es identificable una causa fáctica homogénea... Hay una homogeneidad fáctica y normativa que lleva a considerar razonable la realización de un solo juicio con efectos expansivos de la cosa juzgada que en él se dicte, salvo en lo que hace a la prueba del daño.”</w:t>
      </w:r>
    </w:p>
  </w:footnote>
  <w:footnote w:id="49">
    <w:p w14:paraId="14F58FDD" w14:textId="77777777" w:rsidR="006C06BC" w:rsidRPr="002A431D" w:rsidRDefault="006C06BC" w:rsidP="002A431D">
      <w:pPr>
        <w:pStyle w:val="Textonotapie"/>
        <w:spacing w:line="240" w:lineRule="auto"/>
      </w:pPr>
      <w:r w:rsidRPr="002A431D">
        <w:rPr>
          <w:rStyle w:val="Refdenotaalpie"/>
        </w:rPr>
        <w:footnoteRef/>
      </w:r>
      <w:r w:rsidRPr="002A431D">
        <w:t xml:space="preserve"> Sobre el particular, desde el año 1989, la Suprema Corte de Justicia de Mendoza, tiene resuelto que “Cuando están en juego intereses públicos, no se considera vulnerado el principio de la separación de poderes frente a un fallo con alcances generales.” Sala I, 04/05/1989, “Unión del Centro Democrático y </w:t>
      </w:r>
      <w:proofErr w:type="spellStart"/>
      <w:r w:rsidRPr="002A431D">
        <w:t>ot</w:t>
      </w:r>
      <w:proofErr w:type="spellEnd"/>
      <w:r w:rsidRPr="002A431D">
        <w:t xml:space="preserve">. c/ Gobierno de la Provincia de Mendoza s/ </w:t>
      </w:r>
      <w:proofErr w:type="spellStart"/>
      <w:r w:rsidRPr="002A431D">
        <w:t>Acc</w:t>
      </w:r>
      <w:proofErr w:type="spellEnd"/>
      <w:r w:rsidRPr="002A431D">
        <w:t xml:space="preserve">. Inconstitucionalidad” </w:t>
      </w:r>
    </w:p>
  </w:footnote>
  <w:footnote w:id="50">
    <w:p w14:paraId="04FB262D" w14:textId="6FB1F19E" w:rsidR="006C06BC" w:rsidRPr="002A431D" w:rsidRDefault="006C06BC" w:rsidP="002A431D">
      <w:pPr>
        <w:spacing w:line="240" w:lineRule="auto"/>
        <w:jc w:val="both"/>
        <w:rPr>
          <w:sz w:val="20"/>
          <w:szCs w:val="20"/>
        </w:rPr>
      </w:pPr>
      <w:r w:rsidRPr="002A431D">
        <w:rPr>
          <w:rStyle w:val="Refdenotaalpie"/>
          <w:sz w:val="20"/>
          <w:szCs w:val="20"/>
        </w:rPr>
        <w:footnoteRef/>
      </w:r>
      <w:r w:rsidRPr="002A431D">
        <w:rPr>
          <w:sz w:val="20"/>
          <w:szCs w:val="20"/>
        </w:rPr>
        <w:t xml:space="preserve"> </w:t>
      </w:r>
      <w:bookmarkStart w:id="20" w:name="_Hlk93321550"/>
      <w:proofErr w:type="spellStart"/>
      <w:r w:rsidR="00EE33EF" w:rsidRPr="002A431D">
        <w:rPr>
          <w:sz w:val="20"/>
          <w:szCs w:val="20"/>
        </w:rPr>
        <w:t>Sagüés</w:t>
      </w:r>
      <w:proofErr w:type="spellEnd"/>
      <w:r w:rsidR="00EE33EF" w:rsidRPr="002A431D">
        <w:rPr>
          <w:sz w:val="20"/>
          <w:szCs w:val="20"/>
        </w:rPr>
        <w:t xml:space="preserve">, </w:t>
      </w:r>
      <w:r w:rsidRPr="002A431D">
        <w:rPr>
          <w:sz w:val="20"/>
          <w:szCs w:val="20"/>
        </w:rPr>
        <w:t xml:space="preserve">Néstor Pedro, “La </w:t>
      </w:r>
      <w:proofErr w:type="spellStart"/>
      <w:r w:rsidRPr="002A431D">
        <w:rPr>
          <w:sz w:val="20"/>
          <w:szCs w:val="20"/>
        </w:rPr>
        <w:t>autorrevisión</w:t>
      </w:r>
      <w:proofErr w:type="spellEnd"/>
      <w:r w:rsidRPr="002A431D">
        <w:rPr>
          <w:sz w:val="20"/>
          <w:szCs w:val="20"/>
        </w:rPr>
        <w:t xml:space="preserve"> de las sentencias definitivas de los Tribunales Constitucionales”, comunicación presentada en el “XII Congreso Iberoamericano de Derecho Constitucional”.</w:t>
      </w:r>
    </w:p>
    <w:bookmarkStart w:id="21" w:name="_Hlk93509454"/>
    <w:bookmarkEnd w:id="20"/>
  </w:footnote>
  <w:footnote w:id="51">
    <w:p w14:paraId="31F44E49" w14:textId="5B345203" w:rsidR="006C06BC" w:rsidRPr="002A431D" w:rsidRDefault="006C06BC" w:rsidP="002A431D">
      <w:pPr>
        <w:pStyle w:val="Textonotapie"/>
        <w:spacing w:line="240" w:lineRule="auto"/>
        <w:rPr>
          <w:iCs/>
        </w:rPr>
      </w:pPr>
      <w:bookmarkStart w:id="22" w:name="_Hlk93509454"/>
      <w:r w:rsidRPr="002A431D">
        <w:rPr>
          <w:rStyle w:val="Refdenotaalpie"/>
        </w:rPr>
        <w:footnoteRef/>
      </w:r>
      <w:r w:rsidRPr="002A431D">
        <w:t xml:space="preserve"> </w:t>
      </w:r>
      <w:bookmarkStart w:id="23" w:name="_Hlk93486763"/>
      <w:proofErr w:type="spellStart"/>
      <w:r w:rsidR="00EE33EF" w:rsidRPr="002A431D">
        <w:t>Zagrebelski</w:t>
      </w:r>
      <w:proofErr w:type="spellEnd"/>
      <w:r w:rsidR="00EE33EF" w:rsidRPr="002A431D">
        <w:t xml:space="preserve"> </w:t>
      </w:r>
      <w:r w:rsidRPr="002A431D">
        <w:t xml:space="preserve">Gustavo, </w:t>
      </w:r>
      <w:r w:rsidRPr="002A431D">
        <w:rPr>
          <w:i/>
        </w:rPr>
        <w:t>El derecho dúctil</w:t>
      </w:r>
      <w:r w:rsidR="000C5646" w:rsidRPr="002A431D">
        <w:rPr>
          <w:i/>
        </w:rPr>
        <w:t>. Ley, derechos, justicia,</w:t>
      </w:r>
      <w:r w:rsidR="000C5646" w:rsidRPr="002A431D">
        <w:rPr>
          <w:iCs/>
        </w:rPr>
        <w:t xml:space="preserve"> Madrid, Trotta, 1995.</w:t>
      </w:r>
      <w:r w:rsidRPr="002A431D">
        <w:rPr>
          <w:i/>
        </w:rPr>
        <w:t xml:space="preserve"> </w:t>
      </w:r>
      <w:bookmarkEnd w:id="23"/>
      <w:r w:rsidR="000C5646" w:rsidRPr="002A431D">
        <w:rPr>
          <w:iCs/>
        </w:rPr>
        <w:t>Señala Alfonso Santiago</w:t>
      </w:r>
      <w:r w:rsidR="00401F3F" w:rsidRPr="002A431D">
        <w:rPr>
          <w:iCs/>
        </w:rPr>
        <w:t>, identificando est</w:t>
      </w:r>
      <w:r w:rsidR="000C5646" w:rsidRPr="002A431D">
        <w:rPr>
          <w:iCs/>
        </w:rPr>
        <w:t xml:space="preserve">e fenómeno </w:t>
      </w:r>
      <w:r w:rsidR="00401F3F" w:rsidRPr="002A431D">
        <w:rPr>
          <w:iCs/>
        </w:rPr>
        <w:t xml:space="preserve">con el neoconstitucionalismo: </w:t>
      </w:r>
      <w:r w:rsidR="000C5646" w:rsidRPr="002A431D">
        <w:rPr>
          <w:iCs/>
        </w:rPr>
        <w:t xml:space="preserve">“Siguiendo a </w:t>
      </w:r>
      <w:proofErr w:type="spellStart"/>
      <w:r w:rsidR="000C5646" w:rsidRPr="002A431D">
        <w:rPr>
          <w:iCs/>
        </w:rPr>
        <w:t>Villey</w:t>
      </w:r>
      <w:proofErr w:type="spellEnd"/>
      <w:r w:rsidR="000C5646" w:rsidRPr="002A431D">
        <w:rPr>
          <w:iCs/>
        </w:rPr>
        <w:t>, afirmábamos… que el Derecho es una obra colectiva que inicia el constituyente, desarrolla el legislador y culmina el juez. El neoconstitucionalismo</w:t>
      </w:r>
      <w:r w:rsidR="00401F3F" w:rsidRPr="002A431D">
        <w:rPr>
          <w:iCs/>
        </w:rPr>
        <w:t xml:space="preserve"> supone una modificación importante de este esquema básico del sistema de fuentes del Derecho, ya que, por un lado, se incorporan los tratados internacionales con numerosas disposiciones llamadas a regir en las relaciones intersubjetivas internas, y, por el otro, el juez puede aplicar directamente la Constitución sin que sea indispensable la mediación legislativa. Al decir de </w:t>
      </w:r>
      <w:proofErr w:type="spellStart"/>
      <w:r w:rsidR="00401F3F" w:rsidRPr="002A431D">
        <w:rPr>
          <w:iCs/>
        </w:rPr>
        <w:t>Zagrebelsky</w:t>
      </w:r>
      <w:proofErr w:type="spellEnd"/>
      <w:r w:rsidR="00401F3F" w:rsidRPr="002A431D">
        <w:rPr>
          <w:iCs/>
        </w:rPr>
        <w:t xml:space="preserve">, el Derecho se transforma en una realidad dúctil en manos de los jueces, abandonando las rigideces legalistas. Se adopta por parte de los jueces una actitud antiformalista, que orientan en su actuación de acuerdo con los nuevos principios jurídicos pro homine y favor libertatis.” Santiago, Alfonso, </w:t>
      </w:r>
      <w:proofErr w:type="spellStart"/>
      <w:r w:rsidR="00913E2E">
        <w:rPr>
          <w:i/>
        </w:rPr>
        <w:t>o</w:t>
      </w:r>
      <w:r w:rsidR="00401F3F" w:rsidRPr="002A431D">
        <w:rPr>
          <w:i/>
        </w:rPr>
        <w:t>p</w:t>
      </w:r>
      <w:proofErr w:type="spellEnd"/>
      <w:r w:rsidR="00401F3F" w:rsidRPr="002A431D">
        <w:rPr>
          <w:i/>
        </w:rPr>
        <w:t xml:space="preserve">. </w:t>
      </w:r>
      <w:r w:rsidR="00913E2E">
        <w:rPr>
          <w:i/>
        </w:rPr>
        <w:t>c</w:t>
      </w:r>
      <w:r w:rsidR="00401F3F" w:rsidRPr="002A431D">
        <w:rPr>
          <w:i/>
        </w:rPr>
        <w:t xml:space="preserve">it., </w:t>
      </w:r>
      <w:r w:rsidR="00401F3F" w:rsidRPr="002A431D">
        <w:rPr>
          <w:iCs/>
        </w:rPr>
        <w:t>p. 170.</w:t>
      </w:r>
    </w:p>
    <w:bookmarkEnd w:id="22"/>
  </w:footnote>
  <w:footnote w:id="52">
    <w:p w14:paraId="423C4571" w14:textId="1C2CADC2" w:rsidR="006C06BC" w:rsidRPr="002A431D" w:rsidRDefault="006C06BC" w:rsidP="002A431D">
      <w:pPr>
        <w:spacing w:line="240" w:lineRule="auto"/>
        <w:jc w:val="both"/>
        <w:rPr>
          <w:sz w:val="20"/>
          <w:szCs w:val="20"/>
        </w:rPr>
      </w:pPr>
      <w:r w:rsidRPr="002A431D">
        <w:rPr>
          <w:rStyle w:val="Refdenotaalpie"/>
          <w:sz w:val="20"/>
          <w:szCs w:val="20"/>
        </w:rPr>
        <w:footnoteRef/>
      </w:r>
      <w:r w:rsidRPr="002A431D">
        <w:rPr>
          <w:sz w:val="20"/>
          <w:szCs w:val="20"/>
        </w:rPr>
        <w:t xml:space="preserve"> </w:t>
      </w:r>
      <w:bookmarkStart w:id="24" w:name="_Hlk93321591"/>
      <w:proofErr w:type="spellStart"/>
      <w:r w:rsidR="00EE33EF" w:rsidRPr="002A431D">
        <w:rPr>
          <w:sz w:val="20"/>
          <w:szCs w:val="20"/>
        </w:rPr>
        <w:t>Pegoraro</w:t>
      </w:r>
      <w:proofErr w:type="spellEnd"/>
      <w:r w:rsidR="00EE33EF" w:rsidRPr="002A431D">
        <w:rPr>
          <w:sz w:val="20"/>
          <w:szCs w:val="20"/>
        </w:rPr>
        <w:t xml:space="preserve">, </w:t>
      </w:r>
      <w:r w:rsidRPr="002A431D">
        <w:rPr>
          <w:sz w:val="20"/>
          <w:szCs w:val="20"/>
        </w:rPr>
        <w:t>Lucio, “Hacia una nueva sistemática de los modelos de control de constitucionalidad”, comunicación presentada en el “XII Congreso Iberoamericano de Derecho Constitucional”.</w:t>
      </w:r>
      <w:bookmarkEnd w:id="24"/>
    </w:p>
  </w:footnote>
  <w:footnote w:id="53">
    <w:p w14:paraId="76BAD85F" w14:textId="407CAA78" w:rsidR="00C37AD1" w:rsidRPr="002A431D" w:rsidRDefault="00C37AD1" w:rsidP="002A431D">
      <w:pPr>
        <w:pStyle w:val="Textonotapie"/>
        <w:spacing w:line="240" w:lineRule="auto"/>
      </w:pPr>
      <w:r w:rsidRPr="002A431D">
        <w:rPr>
          <w:rStyle w:val="Refdenotaalpie"/>
        </w:rPr>
        <w:footnoteRef/>
      </w:r>
      <w:r w:rsidRPr="002A431D">
        <w:t xml:space="preserve"> Dice </w:t>
      </w:r>
      <w:proofErr w:type="spellStart"/>
      <w:r w:rsidRPr="002A431D">
        <w:t>Bachof</w:t>
      </w:r>
      <w:proofErr w:type="spellEnd"/>
      <w:r w:rsidRPr="002A431D">
        <w:t>, destacando la nueva configuración del rol judicial en la Ley Fundamental de Bonn, que “esta concepción señala el abandono consumado del positivismo legalista en el pensamiento político y jurídico alemán, la pér</w:t>
      </w:r>
      <w:r w:rsidR="00913E2E">
        <w:t>d</w:t>
      </w:r>
      <w:r w:rsidRPr="002A431D">
        <w:t xml:space="preserve">ida de la creencia en la omnipotencia del legislador estatal.” </w:t>
      </w:r>
      <w:proofErr w:type="spellStart"/>
      <w:r w:rsidRPr="002A431D">
        <w:t>Bachof</w:t>
      </w:r>
      <w:proofErr w:type="spellEnd"/>
      <w:r w:rsidRPr="002A431D">
        <w:t xml:space="preserve">, Otto, </w:t>
      </w:r>
      <w:proofErr w:type="spellStart"/>
      <w:r w:rsidR="00913E2E">
        <w:rPr>
          <w:i/>
          <w:iCs/>
        </w:rPr>
        <w:t>o</w:t>
      </w:r>
      <w:r w:rsidRPr="002A431D">
        <w:rPr>
          <w:i/>
          <w:iCs/>
        </w:rPr>
        <w:t>p</w:t>
      </w:r>
      <w:proofErr w:type="spellEnd"/>
      <w:r w:rsidRPr="002A431D">
        <w:rPr>
          <w:i/>
          <w:iCs/>
        </w:rPr>
        <w:t xml:space="preserve">. </w:t>
      </w:r>
      <w:r w:rsidR="00913E2E">
        <w:rPr>
          <w:i/>
          <w:iCs/>
        </w:rPr>
        <w:t>c</w:t>
      </w:r>
      <w:r w:rsidRPr="002A431D">
        <w:rPr>
          <w:i/>
          <w:iCs/>
        </w:rPr>
        <w:t>it.,</w:t>
      </w:r>
      <w:r w:rsidRPr="002A431D">
        <w:t xml:space="preserve"> p. </w:t>
      </w:r>
      <w:r w:rsidR="00596799" w:rsidRPr="002A431D">
        <w:t>36.</w:t>
      </w:r>
    </w:p>
  </w:footnote>
  <w:footnote w:id="54">
    <w:p w14:paraId="2DE0595A" w14:textId="15DF4FAF" w:rsidR="006673DE" w:rsidRPr="002A431D" w:rsidRDefault="006673DE" w:rsidP="002A431D">
      <w:pPr>
        <w:pStyle w:val="Textonotapie"/>
        <w:spacing w:line="240" w:lineRule="auto"/>
      </w:pPr>
      <w:r w:rsidRPr="002A431D">
        <w:rPr>
          <w:rStyle w:val="Refdenotaalpie"/>
        </w:rPr>
        <w:footnoteRef/>
      </w:r>
      <w:r w:rsidRPr="002A431D">
        <w:t xml:space="preserve"> Ferrajoli,</w:t>
      </w:r>
      <w:r w:rsidR="00596799" w:rsidRPr="002A431D">
        <w:t xml:space="preserve"> Luigi,</w:t>
      </w:r>
      <w:r w:rsidRPr="002A431D">
        <w:t xml:space="preserve"> “Constitucionalismo </w:t>
      </w:r>
      <w:proofErr w:type="spellStart"/>
      <w:r w:rsidRPr="002A431D">
        <w:t>principialista</w:t>
      </w:r>
      <w:proofErr w:type="spellEnd"/>
      <w:r w:rsidRPr="002A431D">
        <w:t xml:space="preserve"> y constitucionalismo garantista” en Ferrajoli,</w:t>
      </w:r>
      <w:r w:rsidR="00596799" w:rsidRPr="002A431D">
        <w:t xml:space="preserve"> Luigi,</w:t>
      </w:r>
      <w:r w:rsidRPr="002A431D">
        <w:t xml:space="preserve"> </w:t>
      </w:r>
      <w:proofErr w:type="spellStart"/>
      <w:r w:rsidR="00913E2E">
        <w:rPr>
          <w:i/>
        </w:rPr>
        <w:t>o</w:t>
      </w:r>
      <w:r w:rsidRPr="002A431D">
        <w:rPr>
          <w:i/>
        </w:rPr>
        <w:t>p</w:t>
      </w:r>
      <w:proofErr w:type="spellEnd"/>
      <w:r w:rsidRPr="002A431D">
        <w:rPr>
          <w:i/>
        </w:rPr>
        <w:t xml:space="preserve">. </w:t>
      </w:r>
      <w:r w:rsidR="00913E2E">
        <w:rPr>
          <w:i/>
        </w:rPr>
        <w:t>c</w:t>
      </w:r>
      <w:r w:rsidRPr="002A431D">
        <w:rPr>
          <w:i/>
        </w:rPr>
        <w:t>it</w:t>
      </w:r>
      <w:r w:rsidRPr="002A431D">
        <w:t>.,</w:t>
      </w:r>
      <w:r w:rsidR="00596799" w:rsidRPr="002A431D">
        <w:t xml:space="preserve"> p</w:t>
      </w:r>
      <w:r w:rsidRPr="002A431D">
        <w:t>. 41.</w:t>
      </w:r>
    </w:p>
  </w:footnote>
  <w:footnote w:id="55">
    <w:p w14:paraId="636FD3E1" w14:textId="40DA7BFA" w:rsidR="00596799" w:rsidRPr="002A431D" w:rsidRDefault="00596799" w:rsidP="002A431D">
      <w:pPr>
        <w:pStyle w:val="Textonotapie"/>
        <w:spacing w:line="240" w:lineRule="auto"/>
        <w:rPr>
          <w:lang w:val="es-ES"/>
        </w:rPr>
      </w:pPr>
      <w:r w:rsidRPr="002A431D">
        <w:rPr>
          <w:rStyle w:val="Refdenotaalpie"/>
        </w:rPr>
        <w:footnoteRef/>
      </w:r>
      <w:r w:rsidRPr="002A431D">
        <w:t xml:space="preserve"> </w:t>
      </w:r>
      <w:r w:rsidRPr="002A431D">
        <w:rPr>
          <w:lang w:val="es-ES"/>
        </w:rPr>
        <w:t xml:space="preserve">Waldron, Jeremy, </w:t>
      </w:r>
      <w:r w:rsidRPr="002A431D">
        <w:rPr>
          <w:i/>
          <w:iCs/>
          <w:lang w:val="es-ES"/>
        </w:rPr>
        <w:t xml:space="preserve">Contra el gobierno de los jueces, </w:t>
      </w:r>
      <w:r w:rsidRPr="002A431D">
        <w:rPr>
          <w:lang w:val="es-ES"/>
        </w:rPr>
        <w:t xml:space="preserve">Buenos Aires, Siglo Veintiuno Editores, </w:t>
      </w:r>
      <w:r w:rsidR="009F0503" w:rsidRPr="002A431D">
        <w:rPr>
          <w:lang w:val="es-ES"/>
        </w:rPr>
        <w:t>2018.</w:t>
      </w:r>
    </w:p>
  </w:footnote>
  <w:footnote w:id="56">
    <w:p w14:paraId="4046E890" w14:textId="1A4242A5" w:rsidR="009F0503" w:rsidRPr="002A431D" w:rsidRDefault="009F0503" w:rsidP="002A431D">
      <w:pPr>
        <w:pStyle w:val="Textonotapie"/>
        <w:spacing w:line="240" w:lineRule="auto"/>
        <w:rPr>
          <w:lang w:val="en-US"/>
        </w:rPr>
      </w:pPr>
      <w:r w:rsidRPr="002A431D">
        <w:rPr>
          <w:rStyle w:val="Refdenotaalpie"/>
        </w:rPr>
        <w:footnoteRef/>
      </w:r>
      <w:r w:rsidRPr="002A431D">
        <w:rPr>
          <w:lang w:val="en-US"/>
        </w:rPr>
        <w:t xml:space="preserve"> Ibidem, p. </w:t>
      </w:r>
      <w:r w:rsidR="00263021" w:rsidRPr="002A431D">
        <w:rPr>
          <w:lang w:val="en-US"/>
        </w:rPr>
        <w:t>56</w:t>
      </w:r>
      <w:r w:rsidRPr="002A431D">
        <w:rPr>
          <w:lang w:val="en-US"/>
        </w:rPr>
        <w:t>.</w:t>
      </w:r>
    </w:p>
  </w:footnote>
  <w:footnote w:id="57">
    <w:p w14:paraId="08233E43" w14:textId="0F972ED3" w:rsidR="00263021" w:rsidRPr="002A431D" w:rsidRDefault="00263021" w:rsidP="002A431D">
      <w:pPr>
        <w:pStyle w:val="Textonotapie"/>
        <w:spacing w:line="240" w:lineRule="auto"/>
        <w:rPr>
          <w:lang w:val="en-US"/>
        </w:rPr>
      </w:pPr>
      <w:r w:rsidRPr="002A431D">
        <w:rPr>
          <w:rStyle w:val="Refdenotaalpie"/>
        </w:rPr>
        <w:footnoteRef/>
      </w:r>
      <w:r w:rsidRPr="002A431D">
        <w:rPr>
          <w:lang w:val="en-US"/>
        </w:rPr>
        <w:t xml:space="preserve"> Bickel, A. M., </w:t>
      </w:r>
      <w:r w:rsidRPr="002A431D">
        <w:rPr>
          <w:i/>
          <w:iCs/>
          <w:lang w:val="en-US"/>
        </w:rPr>
        <w:t xml:space="preserve">The least dangerous Branch, </w:t>
      </w:r>
      <w:r w:rsidRPr="002A431D">
        <w:rPr>
          <w:lang w:val="en-US"/>
        </w:rPr>
        <w:t xml:space="preserve">New Haven, Yale University Press, 2006, </w:t>
      </w:r>
      <w:proofErr w:type="spellStart"/>
      <w:r w:rsidRPr="002A431D">
        <w:rPr>
          <w:lang w:val="en-US"/>
        </w:rPr>
        <w:t>citado</w:t>
      </w:r>
      <w:proofErr w:type="spellEnd"/>
      <w:r w:rsidRPr="002A431D">
        <w:rPr>
          <w:lang w:val="en-US"/>
        </w:rPr>
        <w:t xml:space="preserve"> por Waldron, Jeremy, </w:t>
      </w:r>
      <w:r w:rsidR="00913E2E">
        <w:rPr>
          <w:i/>
          <w:iCs/>
          <w:lang w:val="en-US"/>
        </w:rPr>
        <w:t>o</w:t>
      </w:r>
      <w:r w:rsidRPr="002A431D">
        <w:rPr>
          <w:i/>
          <w:iCs/>
          <w:lang w:val="en-US"/>
        </w:rPr>
        <w:t xml:space="preserve">p. </w:t>
      </w:r>
      <w:r w:rsidR="00913E2E">
        <w:rPr>
          <w:i/>
          <w:iCs/>
          <w:lang w:val="en-US"/>
        </w:rPr>
        <w:t>c</w:t>
      </w:r>
      <w:r w:rsidRPr="002A431D">
        <w:rPr>
          <w:i/>
          <w:iCs/>
          <w:lang w:val="en-US"/>
        </w:rPr>
        <w:t xml:space="preserve">it., </w:t>
      </w:r>
      <w:r w:rsidRPr="002A431D">
        <w:rPr>
          <w:lang w:val="en-US"/>
        </w:rPr>
        <w:t>p. 56.</w:t>
      </w:r>
    </w:p>
  </w:footnote>
  <w:footnote w:id="58">
    <w:p w14:paraId="73FBAF27" w14:textId="67C95382" w:rsidR="00263021" w:rsidRPr="002A431D" w:rsidRDefault="00263021" w:rsidP="002A431D">
      <w:pPr>
        <w:pStyle w:val="Textonotapie"/>
        <w:spacing w:line="240" w:lineRule="auto"/>
        <w:rPr>
          <w:lang w:val="es-ES"/>
        </w:rPr>
      </w:pPr>
      <w:r w:rsidRPr="002A431D">
        <w:rPr>
          <w:rStyle w:val="Refdenotaalpie"/>
        </w:rPr>
        <w:footnoteRef/>
      </w:r>
      <w:r w:rsidRPr="002A431D">
        <w:t xml:space="preserve"> </w:t>
      </w:r>
      <w:r w:rsidRPr="002A431D">
        <w:rPr>
          <w:lang w:val="es-ES"/>
        </w:rPr>
        <w:t xml:space="preserve">Linares, Sebastián, </w:t>
      </w:r>
      <w:r w:rsidRPr="002A431D">
        <w:rPr>
          <w:i/>
          <w:iCs/>
        </w:rPr>
        <w:t xml:space="preserve">La ilegitimidad democrática del control judicial de las Leyes, </w:t>
      </w:r>
      <w:r w:rsidRPr="002A431D">
        <w:t xml:space="preserve">Buenos Aires, </w:t>
      </w:r>
      <w:r w:rsidR="000C5646" w:rsidRPr="002A431D">
        <w:t xml:space="preserve">Marcial Pons, 2008, </w:t>
      </w:r>
      <w:r w:rsidRPr="002A431D">
        <w:t>p. 20.</w:t>
      </w:r>
    </w:p>
  </w:footnote>
  <w:footnote w:id="59">
    <w:p w14:paraId="5159CFFD" w14:textId="7FB9505C" w:rsidR="00AC53BF" w:rsidRPr="002A431D" w:rsidRDefault="00AC53BF" w:rsidP="002A431D">
      <w:pPr>
        <w:pStyle w:val="Textonotapie"/>
        <w:spacing w:line="240" w:lineRule="auto"/>
        <w:rPr>
          <w:lang w:val="en-US"/>
        </w:rPr>
      </w:pPr>
      <w:r w:rsidRPr="002A431D">
        <w:rPr>
          <w:rStyle w:val="Refdenotaalpie"/>
        </w:rPr>
        <w:footnoteRef/>
      </w:r>
      <w:r w:rsidRPr="002A431D">
        <w:rPr>
          <w:lang w:val="en-US"/>
        </w:rPr>
        <w:t xml:space="preserve"> Waldron, Jeremy, </w:t>
      </w:r>
      <w:r w:rsidRPr="002A431D">
        <w:rPr>
          <w:i/>
          <w:iCs/>
          <w:lang w:val="en-US"/>
        </w:rPr>
        <w:t xml:space="preserve">op. cit., </w:t>
      </w:r>
      <w:r w:rsidRPr="002A431D">
        <w:rPr>
          <w:lang w:val="en-US"/>
        </w:rPr>
        <w:t>p. 140</w:t>
      </w:r>
    </w:p>
  </w:footnote>
  <w:footnote w:id="60">
    <w:p w14:paraId="5C12FC3C" w14:textId="5FAD1917" w:rsidR="005D2974" w:rsidRPr="002A431D" w:rsidRDefault="005D2974" w:rsidP="002A431D">
      <w:pPr>
        <w:pStyle w:val="Textonotapie"/>
        <w:spacing w:line="240" w:lineRule="auto"/>
        <w:rPr>
          <w:lang w:val="es-ES"/>
        </w:rPr>
      </w:pPr>
      <w:r w:rsidRPr="002A431D">
        <w:rPr>
          <w:rStyle w:val="Refdenotaalpie"/>
        </w:rPr>
        <w:footnoteRef/>
      </w:r>
      <w:r w:rsidRPr="002A431D">
        <w:t xml:space="preserve"> </w:t>
      </w:r>
      <w:proofErr w:type="spellStart"/>
      <w:r w:rsidRPr="002A431D">
        <w:rPr>
          <w:lang w:val="es-ES"/>
        </w:rPr>
        <w:t>Gargarella</w:t>
      </w:r>
      <w:proofErr w:type="spellEnd"/>
      <w:r w:rsidRPr="002A431D">
        <w:rPr>
          <w:lang w:val="es-ES"/>
        </w:rPr>
        <w:t xml:space="preserve">, Roberto, </w:t>
      </w:r>
      <w:r w:rsidRPr="002A431D">
        <w:rPr>
          <w:i/>
          <w:iCs/>
          <w:lang w:val="es-ES"/>
        </w:rPr>
        <w:t xml:space="preserve">El derecho… cit., </w:t>
      </w:r>
      <w:r w:rsidRPr="002A431D">
        <w:rPr>
          <w:lang w:val="es-ES"/>
        </w:rPr>
        <w:t>p. 201.</w:t>
      </w:r>
    </w:p>
  </w:footnote>
  <w:footnote w:id="61">
    <w:p w14:paraId="33603CC1" w14:textId="64836E0B" w:rsidR="00AC3B62" w:rsidRPr="002A431D" w:rsidRDefault="00AC3B62" w:rsidP="002A431D">
      <w:pPr>
        <w:pStyle w:val="Textonotapie"/>
        <w:tabs>
          <w:tab w:val="left" w:pos="2064"/>
        </w:tabs>
        <w:spacing w:line="240" w:lineRule="auto"/>
        <w:rPr>
          <w:lang w:val="es-ES"/>
        </w:rPr>
      </w:pPr>
      <w:r w:rsidRPr="002A431D">
        <w:rPr>
          <w:rStyle w:val="Refdenotaalpie"/>
        </w:rPr>
        <w:footnoteRef/>
      </w:r>
      <w:r w:rsidRPr="002A431D">
        <w:t xml:space="preserve"> </w:t>
      </w:r>
      <w:r w:rsidRPr="002A431D">
        <w:rPr>
          <w:lang w:val="es-ES"/>
        </w:rPr>
        <w:t>Ibidem, p. 205.</w:t>
      </w:r>
      <w:r w:rsidR="002A431D" w:rsidRPr="002A431D">
        <w:rPr>
          <w:lang w:val="es-ES"/>
        </w:rPr>
        <w:tab/>
      </w:r>
    </w:p>
  </w:footnote>
  <w:footnote w:id="62">
    <w:p w14:paraId="06EC5867" w14:textId="0447B505" w:rsidR="00AC3B62" w:rsidRPr="002A431D" w:rsidRDefault="00AC3B62" w:rsidP="002A431D">
      <w:pPr>
        <w:pStyle w:val="Textonotapie"/>
        <w:spacing w:line="240" w:lineRule="auto"/>
        <w:rPr>
          <w:lang w:val="es-ES"/>
        </w:rPr>
      </w:pPr>
      <w:r w:rsidRPr="002A431D">
        <w:rPr>
          <w:rStyle w:val="Refdenotaalpie"/>
        </w:rPr>
        <w:footnoteRef/>
      </w:r>
      <w:r w:rsidRPr="002A431D">
        <w:t xml:space="preserve"> </w:t>
      </w:r>
      <w:r w:rsidRPr="002A431D">
        <w:rPr>
          <w:lang w:val="es-ES"/>
        </w:rPr>
        <w:t>Ibidem, p. 205.</w:t>
      </w:r>
    </w:p>
  </w:footnote>
  <w:footnote w:id="63">
    <w:p w14:paraId="09C1E3A2" w14:textId="4946FD86" w:rsidR="001F16F8" w:rsidRPr="002A431D" w:rsidRDefault="001F16F8" w:rsidP="002A431D">
      <w:pPr>
        <w:pStyle w:val="Textonotapie"/>
        <w:spacing w:line="240" w:lineRule="auto"/>
        <w:rPr>
          <w:lang w:val="es-ES"/>
        </w:rPr>
      </w:pPr>
      <w:r w:rsidRPr="002A431D">
        <w:rPr>
          <w:rStyle w:val="Refdenotaalpie"/>
        </w:rPr>
        <w:footnoteRef/>
      </w:r>
      <w:r w:rsidRPr="002A431D">
        <w:t xml:space="preserve"> </w:t>
      </w:r>
      <w:r w:rsidRPr="002A431D">
        <w:rPr>
          <w:lang w:val="es-ES"/>
        </w:rPr>
        <w:t>Ibidem, p. 206.</w:t>
      </w:r>
    </w:p>
  </w:footnote>
  <w:footnote w:id="64">
    <w:p w14:paraId="129F70ED" w14:textId="0C80C8FA" w:rsidR="006213EB" w:rsidRPr="00AB2CEA" w:rsidRDefault="006213EB">
      <w:pPr>
        <w:pStyle w:val="Textonotapie"/>
      </w:pPr>
      <w:r>
        <w:rPr>
          <w:rStyle w:val="Refdenotaalpie"/>
        </w:rPr>
        <w:footnoteRef/>
      </w:r>
      <w:r w:rsidRPr="00AB2CEA">
        <w:t xml:space="preserve"> CSJN, </w:t>
      </w:r>
      <w:r w:rsidR="00497BE0" w:rsidRPr="00AB2CEA">
        <w:t>Fallos: 336-770.</w:t>
      </w:r>
    </w:p>
  </w:footnote>
  <w:footnote w:id="65">
    <w:p w14:paraId="36E9934F" w14:textId="7954DD76" w:rsidR="000B632D" w:rsidRPr="00AB2CEA" w:rsidRDefault="00AB2CEA">
      <w:pPr>
        <w:pStyle w:val="Textonotapie"/>
        <w:rPr>
          <w:lang w:val="es-ES"/>
        </w:rPr>
      </w:pPr>
      <w:r>
        <w:rPr>
          <w:rStyle w:val="Refdenotaalpie"/>
        </w:rPr>
        <w:footnoteRef/>
      </w:r>
      <w:r>
        <w:t xml:space="preserve"> </w:t>
      </w:r>
      <w:r>
        <w:rPr>
          <w:lang w:val="es-ES"/>
        </w:rPr>
        <w:t xml:space="preserve">Puede verse </w:t>
      </w:r>
      <w:bookmarkStart w:id="25" w:name="_Hlk93596118"/>
      <w:proofErr w:type="spellStart"/>
      <w:r>
        <w:rPr>
          <w:lang w:val="es-ES"/>
        </w:rPr>
        <w:t>Gargarella</w:t>
      </w:r>
      <w:proofErr w:type="spellEnd"/>
      <w:r>
        <w:rPr>
          <w:lang w:val="es-ES"/>
        </w:rPr>
        <w:t xml:space="preserve">, Roberto, “Reforma Judicial: diez primeras críticas al proyecto que presentó el gobierno” en diario Infobae del 1/08/2020, disponible en </w:t>
      </w:r>
      <w:hyperlink r:id="rId4" w:history="1">
        <w:r w:rsidRPr="001D3562">
          <w:rPr>
            <w:rStyle w:val="Hipervnculo"/>
            <w:lang w:val="es-ES"/>
          </w:rPr>
          <w:t>https://www.infobae.com/opinion/2020/08/01/reforma-judicial-diez-primeras-criticas-al-proyecto-que-presento-el-gobierno/</w:t>
        </w:r>
      </w:hyperlink>
      <w:bookmarkEnd w:id="25"/>
      <w:r>
        <w:rPr>
          <w:lang w:val="es-ES"/>
        </w:rPr>
        <w:t xml:space="preserve">,  Rizzo, Jorge, “Reforma judicial: algunas críticas y varias propuestas”, en diario Infobae del 7/08/2020 disponible en </w:t>
      </w:r>
      <w:hyperlink r:id="rId5" w:history="1">
        <w:r w:rsidRPr="001D3562">
          <w:rPr>
            <w:rStyle w:val="Hipervnculo"/>
            <w:lang w:val="es-ES"/>
          </w:rPr>
          <w:t>https://www.infobae.com/opinion/2020/08/07/reforma-judicial-algunas-criticas-y-varias-propuestas/</w:t>
        </w:r>
      </w:hyperlink>
      <w:r>
        <w:rPr>
          <w:lang w:val="es-ES"/>
        </w:rPr>
        <w:t xml:space="preserve">, </w:t>
      </w:r>
      <w:proofErr w:type="spellStart"/>
      <w:r w:rsidR="00470760">
        <w:t>Aldazabal</w:t>
      </w:r>
      <w:proofErr w:type="spellEnd"/>
      <w:r w:rsidR="00470760">
        <w:t xml:space="preserve">, </w:t>
      </w:r>
      <w:r w:rsidR="00470760">
        <w:t xml:space="preserve">Marcos y </w:t>
      </w:r>
      <w:proofErr w:type="spellStart"/>
      <w:r w:rsidR="00470760">
        <w:t>Haissi</w:t>
      </w:r>
      <w:r w:rsidR="00470760">
        <w:t>ner</w:t>
      </w:r>
      <w:proofErr w:type="spellEnd"/>
      <w:r w:rsidR="00470760">
        <w:t xml:space="preserve"> Martín D., “</w:t>
      </w:r>
      <w:r w:rsidR="00470760">
        <w:t>Comentario al Proyecto de Reforma Judicial: Su impacto en la Justicia Penal Federal con asiento en la Ciudad de Buenos Aires</w:t>
      </w:r>
      <w:r w:rsidR="00470760">
        <w:t xml:space="preserve">”, Diario DPI, Diario Penal </w:t>
      </w:r>
      <w:proofErr w:type="spellStart"/>
      <w:r w:rsidR="00470760">
        <w:t>nº</w:t>
      </w:r>
      <w:proofErr w:type="spellEnd"/>
      <w:r w:rsidR="00470760">
        <w:t xml:space="preserve"> 293 – 19/08/2020, disponible en </w:t>
      </w:r>
      <w:r w:rsidR="00470760">
        <w:t xml:space="preserve"> </w:t>
      </w:r>
      <w:hyperlink r:id="rId6" w:history="1">
        <w:r w:rsidR="000B632D" w:rsidRPr="001D3562">
          <w:rPr>
            <w:rStyle w:val="Hipervnculo"/>
          </w:rPr>
          <w:t>https://dpicuantico.com/sitio/wp-content/uploads/2020/08/Doctrina-penal.-19.07.2020-Aldazabal-y-Haissiner-1.pdf</w:t>
        </w:r>
      </w:hyperlink>
    </w:p>
  </w:footnote>
  <w:footnote w:id="66">
    <w:p w14:paraId="7607B22F" w14:textId="38E8C5F3" w:rsidR="000C4023" w:rsidRDefault="000C4023">
      <w:pPr>
        <w:pStyle w:val="Textonotapie"/>
      </w:pPr>
      <w:r>
        <w:rPr>
          <w:rStyle w:val="Refdenotaalpie"/>
        </w:rPr>
        <w:footnoteRef/>
      </w:r>
      <w:r w:rsidRPr="00160060">
        <w:t xml:space="preserve"> </w:t>
      </w:r>
      <w:bookmarkStart w:id="26" w:name="_Hlk93596094"/>
      <w:r w:rsidR="00160060" w:rsidRPr="00160060">
        <w:t>Carbonell, Miguel, “Algunas posibles r</w:t>
      </w:r>
      <w:r w:rsidR="00160060">
        <w:t xml:space="preserve">eformas al Poder Judicial en México”, disponible en </w:t>
      </w:r>
      <w:hyperlink r:id="rId7" w:history="1">
        <w:r w:rsidR="00160060" w:rsidRPr="001D3562">
          <w:rPr>
            <w:rStyle w:val="Hipervnculo"/>
          </w:rPr>
          <w:t>https://biblioteca.cejamericas.org/bitstream/handle/2015/4808/Algunasposiblesreformasalpoderjudicial.pdf?sequence=1&amp;isAllowed=</w:t>
        </w:r>
      </w:hyperlink>
      <w:bookmarkEnd w:id="26"/>
    </w:p>
    <w:p w14:paraId="5E1E6EFC" w14:textId="77777777" w:rsidR="00160060" w:rsidRPr="00160060" w:rsidRDefault="00160060">
      <w:pPr>
        <w:pStyle w:val="Textonotapie"/>
      </w:pPr>
    </w:p>
  </w:footnote>
  <w:footnote w:id="67">
    <w:p w14:paraId="48C227A0" w14:textId="790F4960" w:rsidR="0011047A" w:rsidRPr="0011047A" w:rsidRDefault="0011047A">
      <w:pPr>
        <w:pStyle w:val="Textonotapie"/>
      </w:pPr>
      <w:r>
        <w:rPr>
          <w:rStyle w:val="Refdenotaalpie"/>
        </w:rPr>
        <w:footnoteRef/>
      </w:r>
      <w:r w:rsidRPr="0011047A">
        <w:t xml:space="preserve"> </w:t>
      </w:r>
      <w:bookmarkStart w:id="27" w:name="_Hlk93596067"/>
      <w:r w:rsidRPr="0011047A">
        <w:t>Osuna, Néstor, “Las sentencia</w:t>
      </w:r>
      <w:r>
        <w:t xml:space="preserve">s estructurales. Tres ejemplos en Colombia”, en Bazán, Víctor (editor), </w:t>
      </w:r>
      <w:r w:rsidRPr="0011047A">
        <w:rPr>
          <w:i/>
          <w:iCs/>
        </w:rPr>
        <w:t>Justicia constitucional y derechos fundamentales. La protección de los derechos sociales. Las sentencias estructurales</w:t>
      </w:r>
      <w:r>
        <w:rPr>
          <w:i/>
          <w:iCs/>
        </w:rPr>
        <w:t xml:space="preserve">, </w:t>
      </w:r>
      <w:r>
        <w:t xml:space="preserve">Colombia, Unión Gráfica, 2015, p. </w:t>
      </w:r>
      <w:r w:rsidR="00DB28EF">
        <w:t>93.</w:t>
      </w:r>
      <w:bookmarkEnd w:id="27"/>
    </w:p>
  </w:footnote>
  <w:footnote w:id="68">
    <w:p w14:paraId="30686D2C" w14:textId="5FC0A209" w:rsidR="006213EB" w:rsidRPr="0011047A" w:rsidRDefault="006213EB">
      <w:pPr>
        <w:pStyle w:val="Textonotapie"/>
      </w:pPr>
      <w:r>
        <w:rPr>
          <w:rStyle w:val="Refdenotaalpie"/>
        </w:rPr>
        <w:footnoteRef/>
      </w:r>
      <w:r w:rsidRPr="0011047A">
        <w:t xml:space="preserve"> </w:t>
      </w:r>
      <w:proofErr w:type="spellStart"/>
      <w:r w:rsidRPr="0011047A">
        <w:t>Ost</w:t>
      </w:r>
      <w:proofErr w:type="spellEnd"/>
      <w:r w:rsidRPr="0011047A">
        <w:t xml:space="preserve">, </w:t>
      </w:r>
      <w:proofErr w:type="spellStart"/>
      <w:r w:rsidRPr="0011047A">
        <w:t>Francois</w:t>
      </w:r>
      <w:proofErr w:type="spellEnd"/>
      <w:r w:rsidRPr="0011047A">
        <w:t xml:space="preserve">, </w:t>
      </w:r>
      <w:proofErr w:type="spellStart"/>
      <w:r w:rsidRPr="0011047A">
        <w:rPr>
          <w:i/>
          <w:iCs/>
        </w:rPr>
        <w:t>op</w:t>
      </w:r>
      <w:proofErr w:type="spellEnd"/>
      <w:r w:rsidRPr="0011047A">
        <w:rPr>
          <w:i/>
          <w:iCs/>
        </w:rPr>
        <w:t xml:space="preserve">. cit., </w:t>
      </w:r>
      <w:r w:rsidRPr="0011047A">
        <w:t xml:space="preserve">p.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F93"/>
    <w:rsid w:val="00001923"/>
    <w:rsid w:val="00002468"/>
    <w:rsid w:val="0002226E"/>
    <w:rsid w:val="00023ED2"/>
    <w:rsid w:val="0003530B"/>
    <w:rsid w:val="00042FE6"/>
    <w:rsid w:val="00045182"/>
    <w:rsid w:val="00060E64"/>
    <w:rsid w:val="00073A1A"/>
    <w:rsid w:val="000749E6"/>
    <w:rsid w:val="000A3A95"/>
    <w:rsid w:val="000B632D"/>
    <w:rsid w:val="000C1884"/>
    <w:rsid w:val="000C4023"/>
    <w:rsid w:val="000C5646"/>
    <w:rsid w:val="000C75AE"/>
    <w:rsid w:val="000D3DBE"/>
    <w:rsid w:val="000D4042"/>
    <w:rsid w:val="000E3CEA"/>
    <w:rsid w:val="001042A8"/>
    <w:rsid w:val="001056B8"/>
    <w:rsid w:val="0011047A"/>
    <w:rsid w:val="00110F36"/>
    <w:rsid w:val="0011716C"/>
    <w:rsid w:val="001171B5"/>
    <w:rsid w:val="00122F17"/>
    <w:rsid w:val="00126E22"/>
    <w:rsid w:val="001344EE"/>
    <w:rsid w:val="00143B1B"/>
    <w:rsid w:val="00151C0F"/>
    <w:rsid w:val="00160060"/>
    <w:rsid w:val="00160C33"/>
    <w:rsid w:val="00163F77"/>
    <w:rsid w:val="00180D19"/>
    <w:rsid w:val="00184936"/>
    <w:rsid w:val="0018545F"/>
    <w:rsid w:val="0019159C"/>
    <w:rsid w:val="001A354A"/>
    <w:rsid w:val="001B32D2"/>
    <w:rsid w:val="001C3F9A"/>
    <w:rsid w:val="001C4233"/>
    <w:rsid w:val="001C49AA"/>
    <w:rsid w:val="001F16F8"/>
    <w:rsid w:val="001F2284"/>
    <w:rsid w:val="00221D12"/>
    <w:rsid w:val="00236D8F"/>
    <w:rsid w:val="002541F9"/>
    <w:rsid w:val="00257A08"/>
    <w:rsid w:val="00263021"/>
    <w:rsid w:val="00263107"/>
    <w:rsid w:val="00263223"/>
    <w:rsid w:val="00263E7E"/>
    <w:rsid w:val="00265D84"/>
    <w:rsid w:val="00271776"/>
    <w:rsid w:val="00273716"/>
    <w:rsid w:val="00287AD0"/>
    <w:rsid w:val="00292BFE"/>
    <w:rsid w:val="002A13D3"/>
    <w:rsid w:val="002A431D"/>
    <w:rsid w:val="002C320B"/>
    <w:rsid w:val="002D428A"/>
    <w:rsid w:val="002D6024"/>
    <w:rsid w:val="002D7C6E"/>
    <w:rsid w:val="002E6832"/>
    <w:rsid w:val="00312B1E"/>
    <w:rsid w:val="003157B5"/>
    <w:rsid w:val="003221A8"/>
    <w:rsid w:val="00332E84"/>
    <w:rsid w:val="00333050"/>
    <w:rsid w:val="00335C05"/>
    <w:rsid w:val="00340288"/>
    <w:rsid w:val="00365280"/>
    <w:rsid w:val="003918AE"/>
    <w:rsid w:val="00393B33"/>
    <w:rsid w:val="003C1902"/>
    <w:rsid w:val="003D0F92"/>
    <w:rsid w:val="003D7798"/>
    <w:rsid w:val="003F118D"/>
    <w:rsid w:val="00401F3F"/>
    <w:rsid w:val="00430908"/>
    <w:rsid w:val="00440F9E"/>
    <w:rsid w:val="00446294"/>
    <w:rsid w:val="00470760"/>
    <w:rsid w:val="004878C3"/>
    <w:rsid w:val="00497BE0"/>
    <w:rsid w:val="004B7328"/>
    <w:rsid w:val="004F248D"/>
    <w:rsid w:val="00506DB3"/>
    <w:rsid w:val="005162DC"/>
    <w:rsid w:val="005263AD"/>
    <w:rsid w:val="00535033"/>
    <w:rsid w:val="0054000C"/>
    <w:rsid w:val="00551E76"/>
    <w:rsid w:val="005558AA"/>
    <w:rsid w:val="00557FBF"/>
    <w:rsid w:val="00592708"/>
    <w:rsid w:val="00596799"/>
    <w:rsid w:val="005A06E9"/>
    <w:rsid w:val="005B380B"/>
    <w:rsid w:val="005B3BF0"/>
    <w:rsid w:val="005B549D"/>
    <w:rsid w:val="005D2974"/>
    <w:rsid w:val="005E5C38"/>
    <w:rsid w:val="005F54E8"/>
    <w:rsid w:val="006026E5"/>
    <w:rsid w:val="006213EB"/>
    <w:rsid w:val="0064755F"/>
    <w:rsid w:val="00660AF3"/>
    <w:rsid w:val="0066440E"/>
    <w:rsid w:val="00666E2A"/>
    <w:rsid w:val="006673DE"/>
    <w:rsid w:val="00694DA0"/>
    <w:rsid w:val="00695F30"/>
    <w:rsid w:val="006B5F80"/>
    <w:rsid w:val="006C06BC"/>
    <w:rsid w:val="006C7644"/>
    <w:rsid w:val="006D24CB"/>
    <w:rsid w:val="006D5BF1"/>
    <w:rsid w:val="006F48AC"/>
    <w:rsid w:val="00700135"/>
    <w:rsid w:val="00724A57"/>
    <w:rsid w:val="0074265A"/>
    <w:rsid w:val="00745E0D"/>
    <w:rsid w:val="00755CF3"/>
    <w:rsid w:val="00756914"/>
    <w:rsid w:val="00757108"/>
    <w:rsid w:val="00762D1B"/>
    <w:rsid w:val="0078087C"/>
    <w:rsid w:val="007812A5"/>
    <w:rsid w:val="00791781"/>
    <w:rsid w:val="00791F8F"/>
    <w:rsid w:val="007A757A"/>
    <w:rsid w:val="007B7535"/>
    <w:rsid w:val="007D6211"/>
    <w:rsid w:val="007E07ED"/>
    <w:rsid w:val="007F4F93"/>
    <w:rsid w:val="00800D59"/>
    <w:rsid w:val="00810BA8"/>
    <w:rsid w:val="00836921"/>
    <w:rsid w:val="00842ED1"/>
    <w:rsid w:val="008558D3"/>
    <w:rsid w:val="00861C17"/>
    <w:rsid w:val="00873B88"/>
    <w:rsid w:val="00880823"/>
    <w:rsid w:val="008D52E7"/>
    <w:rsid w:val="00907DF0"/>
    <w:rsid w:val="00913E2E"/>
    <w:rsid w:val="00942797"/>
    <w:rsid w:val="00974CE8"/>
    <w:rsid w:val="009843D5"/>
    <w:rsid w:val="009852C1"/>
    <w:rsid w:val="009A09A0"/>
    <w:rsid w:val="009A2134"/>
    <w:rsid w:val="009A3498"/>
    <w:rsid w:val="009D2F6E"/>
    <w:rsid w:val="009E4D09"/>
    <w:rsid w:val="009E79BF"/>
    <w:rsid w:val="009F0503"/>
    <w:rsid w:val="00A176DA"/>
    <w:rsid w:val="00A211F9"/>
    <w:rsid w:val="00A46C62"/>
    <w:rsid w:val="00A50B47"/>
    <w:rsid w:val="00A820C9"/>
    <w:rsid w:val="00AA3524"/>
    <w:rsid w:val="00AB0B6A"/>
    <w:rsid w:val="00AB2CEA"/>
    <w:rsid w:val="00AC1E71"/>
    <w:rsid w:val="00AC3B62"/>
    <w:rsid w:val="00AC53BF"/>
    <w:rsid w:val="00AD5C16"/>
    <w:rsid w:val="00AF5255"/>
    <w:rsid w:val="00B06CF5"/>
    <w:rsid w:val="00B17FED"/>
    <w:rsid w:val="00B204A9"/>
    <w:rsid w:val="00B30BAD"/>
    <w:rsid w:val="00B4368C"/>
    <w:rsid w:val="00B54255"/>
    <w:rsid w:val="00B6209F"/>
    <w:rsid w:val="00B646E1"/>
    <w:rsid w:val="00B70441"/>
    <w:rsid w:val="00B84033"/>
    <w:rsid w:val="00B97415"/>
    <w:rsid w:val="00BA1150"/>
    <w:rsid w:val="00BA7273"/>
    <w:rsid w:val="00BB53D7"/>
    <w:rsid w:val="00BB6D7D"/>
    <w:rsid w:val="00BC2045"/>
    <w:rsid w:val="00BC4367"/>
    <w:rsid w:val="00BC67A6"/>
    <w:rsid w:val="00BE4F79"/>
    <w:rsid w:val="00C0455A"/>
    <w:rsid w:val="00C116FF"/>
    <w:rsid w:val="00C12726"/>
    <w:rsid w:val="00C16B36"/>
    <w:rsid w:val="00C213EF"/>
    <w:rsid w:val="00C33C43"/>
    <w:rsid w:val="00C37AD1"/>
    <w:rsid w:val="00C44439"/>
    <w:rsid w:val="00C44EB8"/>
    <w:rsid w:val="00C75713"/>
    <w:rsid w:val="00C84014"/>
    <w:rsid w:val="00CA17D0"/>
    <w:rsid w:val="00CA61EA"/>
    <w:rsid w:val="00CB1FB3"/>
    <w:rsid w:val="00CC0050"/>
    <w:rsid w:val="00CE2105"/>
    <w:rsid w:val="00D14451"/>
    <w:rsid w:val="00D93991"/>
    <w:rsid w:val="00DA2FB1"/>
    <w:rsid w:val="00DA343A"/>
    <w:rsid w:val="00DB2222"/>
    <w:rsid w:val="00DB28EF"/>
    <w:rsid w:val="00DB7654"/>
    <w:rsid w:val="00DD733C"/>
    <w:rsid w:val="00DF71D3"/>
    <w:rsid w:val="00E07200"/>
    <w:rsid w:val="00E241F3"/>
    <w:rsid w:val="00E3064E"/>
    <w:rsid w:val="00E34A24"/>
    <w:rsid w:val="00E462CC"/>
    <w:rsid w:val="00E73E89"/>
    <w:rsid w:val="00E826E6"/>
    <w:rsid w:val="00E82EF6"/>
    <w:rsid w:val="00E966F9"/>
    <w:rsid w:val="00EA7D25"/>
    <w:rsid w:val="00EC00B8"/>
    <w:rsid w:val="00EC0DB8"/>
    <w:rsid w:val="00ED0DDA"/>
    <w:rsid w:val="00ED159A"/>
    <w:rsid w:val="00ED76AA"/>
    <w:rsid w:val="00EE33EF"/>
    <w:rsid w:val="00EE3EF2"/>
    <w:rsid w:val="00EF3B55"/>
    <w:rsid w:val="00F01F4E"/>
    <w:rsid w:val="00F11D0B"/>
    <w:rsid w:val="00F130B7"/>
    <w:rsid w:val="00F36139"/>
    <w:rsid w:val="00F41FE0"/>
    <w:rsid w:val="00F4586D"/>
    <w:rsid w:val="00F618A3"/>
    <w:rsid w:val="00F66679"/>
    <w:rsid w:val="00F72284"/>
    <w:rsid w:val="00F76061"/>
    <w:rsid w:val="00F81C44"/>
    <w:rsid w:val="00FA2D1B"/>
    <w:rsid w:val="00FA4D64"/>
    <w:rsid w:val="00FB4D7A"/>
    <w:rsid w:val="00FC2FD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BC719"/>
  <w15:chartTrackingRefBased/>
  <w15:docId w15:val="{E002EBD6-101D-492B-AE03-A6787FE28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6"/>
        <w:szCs w:val="22"/>
        <w:lang w:val="es-AR" w:eastAsia="en-US" w:bidi="ar-SA"/>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F93"/>
    <w:pPr>
      <w:spacing w:after="200" w:line="276" w:lineRule="auto"/>
      <w:jc w:val="left"/>
    </w:pPr>
    <w:rPr>
      <w:rFonts w:eastAsia="Calibri" w:cs="Times New Roman"/>
      <w:sz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7F4F93"/>
    <w:pPr>
      <w:spacing w:line="360" w:lineRule="auto"/>
      <w:jc w:val="both"/>
    </w:pPr>
    <w:rPr>
      <w:sz w:val="20"/>
      <w:szCs w:val="20"/>
    </w:rPr>
  </w:style>
  <w:style w:type="character" w:customStyle="1" w:styleId="TextonotapieCar">
    <w:name w:val="Texto nota pie Car"/>
    <w:basedOn w:val="Fuentedeprrafopredeter"/>
    <w:link w:val="Textonotapie"/>
    <w:uiPriority w:val="99"/>
    <w:semiHidden/>
    <w:rsid w:val="007F4F93"/>
    <w:rPr>
      <w:rFonts w:eastAsia="Calibri" w:cs="Times New Roman"/>
      <w:sz w:val="20"/>
      <w:szCs w:val="20"/>
    </w:rPr>
  </w:style>
  <w:style w:type="character" w:styleId="Refdenotaalpie">
    <w:name w:val="footnote reference"/>
    <w:uiPriority w:val="99"/>
    <w:semiHidden/>
    <w:unhideWhenUsed/>
    <w:rsid w:val="007F4F93"/>
    <w:rPr>
      <w:vertAlign w:val="superscript"/>
    </w:rPr>
  </w:style>
  <w:style w:type="character" w:styleId="Hipervnculo">
    <w:name w:val="Hyperlink"/>
    <w:basedOn w:val="Fuentedeprrafopredeter"/>
    <w:uiPriority w:val="99"/>
    <w:unhideWhenUsed/>
    <w:rsid w:val="002E6832"/>
    <w:rPr>
      <w:color w:val="0563C1" w:themeColor="hyperlink"/>
      <w:u w:val="single"/>
    </w:rPr>
  </w:style>
  <w:style w:type="character" w:styleId="Mencinsinresolver">
    <w:name w:val="Unresolved Mention"/>
    <w:basedOn w:val="Fuentedeprrafopredeter"/>
    <w:uiPriority w:val="99"/>
    <w:semiHidden/>
    <w:unhideWhenUsed/>
    <w:rsid w:val="002E68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3566857">
      <w:bodyDiv w:val="1"/>
      <w:marLeft w:val="0"/>
      <w:marRight w:val="0"/>
      <w:marTop w:val="0"/>
      <w:marBottom w:val="0"/>
      <w:divBdr>
        <w:top w:val="none" w:sz="0" w:space="0" w:color="auto"/>
        <w:left w:val="none" w:sz="0" w:space="0" w:color="auto"/>
        <w:bottom w:val="none" w:sz="0" w:space="0" w:color="auto"/>
        <w:right w:val="none" w:sz="0" w:space="0" w:color="auto"/>
      </w:divBdr>
      <w:divsChild>
        <w:div w:id="2126802055">
          <w:marLeft w:val="0"/>
          <w:marRight w:val="0"/>
          <w:marTop w:val="0"/>
          <w:marBottom w:val="0"/>
          <w:divBdr>
            <w:top w:val="none" w:sz="0" w:space="0" w:color="auto"/>
            <w:left w:val="none" w:sz="0" w:space="0" w:color="auto"/>
            <w:bottom w:val="none" w:sz="0" w:space="0" w:color="auto"/>
            <w:right w:val="none" w:sz="0" w:space="0" w:color="auto"/>
          </w:divBdr>
        </w:div>
        <w:div w:id="564334575">
          <w:marLeft w:val="0"/>
          <w:marRight w:val="0"/>
          <w:marTop w:val="0"/>
          <w:marBottom w:val="0"/>
          <w:divBdr>
            <w:top w:val="none" w:sz="0" w:space="0" w:color="auto"/>
            <w:left w:val="none" w:sz="0" w:space="0" w:color="auto"/>
            <w:bottom w:val="none" w:sz="0" w:space="0" w:color="auto"/>
            <w:right w:val="none" w:sz="0" w:space="0" w:color="auto"/>
          </w:divBdr>
        </w:div>
        <w:div w:id="1204177394">
          <w:marLeft w:val="0"/>
          <w:marRight w:val="0"/>
          <w:marTop w:val="0"/>
          <w:marBottom w:val="0"/>
          <w:divBdr>
            <w:top w:val="none" w:sz="0" w:space="0" w:color="auto"/>
            <w:left w:val="none" w:sz="0" w:space="0" w:color="auto"/>
            <w:bottom w:val="none" w:sz="0" w:space="0" w:color="auto"/>
            <w:right w:val="none" w:sz="0" w:space="0" w:color="auto"/>
          </w:divBdr>
        </w:div>
        <w:div w:id="1520269433">
          <w:marLeft w:val="0"/>
          <w:marRight w:val="0"/>
          <w:marTop w:val="0"/>
          <w:marBottom w:val="0"/>
          <w:divBdr>
            <w:top w:val="none" w:sz="0" w:space="0" w:color="auto"/>
            <w:left w:val="none" w:sz="0" w:space="0" w:color="auto"/>
            <w:bottom w:val="none" w:sz="0" w:space="0" w:color="auto"/>
            <w:right w:val="none" w:sz="0" w:space="0" w:color="auto"/>
          </w:divBdr>
        </w:div>
        <w:div w:id="1994719629">
          <w:marLeft w:val="0"/>
          <w:marRight w:val="0"/>
          <w:marTop w:val="0"/>
          <w:marBottom w:val="0"/>
          <w:divBdr>
            <w:top w:val="none" w:sz="0" w:space="0" w:color="auto"/>
            <w:left w:val="none" w:sz="0" w:space="0" w:color="auto"/>
            <w:bottom w:val="none" w:sz="0" w:space="0" w:color="auto"/>
            <w:right w:val="none" w:sz="0" w:space="0" w:color="auto"/>
          </w:divBdr>
        </w:div>
        <w:div w:id="257174520">
          <w:marLeft w:val="0"/>
          <w:marRight w:val="0"/>
          <w:marTop w:val="0"/>
          <w:marBottom w:val="0"/>
          <w:divBdr>
            <w:top w:val="none" w:sz="0" w:space="0" w:color="auto"/>
            <w:left w:val="none" w:sz="0" w:space="0" w:color="auto"/>
            <w:bottom w:val="none" w:sz="0" w:space="0" w:color="auto"/>
            <w:right w:val="none" w:sz="0" w:space="0" w:color="auto"/>
          </w:divBdr>
        </w:div>
        <w:div w:id="1463842704">
          <w:marLeft w:val="0"/>
          <w:marRight w:val="0"/>
          <w:marTop w:val="0"/>
          <w:marBottom w:val="0"/>
          <w:divBdr>
            <w:top w:val="none" w:sz="0" w:space="0" w:color="auto"/>
            <w:left w:val="none" w:sz="0" w:space="0" w:color="auto"/>
            <w:bottom w:val="none" w:sz="0" w:space="0" w:color="auto"/>
            <w:right w:val="none" w:sz="0" w:space="0" w:color="auto"/>
          </w:divBdr>
        </w:div>
        <w:div w:id="1967538292">
          <w:marLeft w:val="0"/>
          <w:marRight w:val="0"/>
          <w:marTop w:val="0"/>
          <w:marBottom w:val="0"/>
          <w:divBdr>
            <w:top w:val="none" w:sz="0" w:space="0" w:color="auto"/>
            <w:left w:val="none" w:sz="0" w:space="0" w:color="auto"/>
            <w:bottom w:val="none" w:sz="0" w:space="0" w:color="auto"/>
            <w:right w:val="none" w:sz="0" w:space="0" w:color="auto"/>
          </w:divBdr>
        </w:div>
        <w:div w:id="1045568762">
          <w:marLeft w:val="0"/>
          <w:marRight w:val="0"/>
          <w:marTop w:val="0"/>
          <w:marBottom w:val="0"/>
          <w:divBdr>
            <w:top w:val="none" w:sz="0" w:space="0" w:color="auto"/>
            <w:left w:val="none" w:sz="0" w:space="0" w:color="auto"/>
            <w:bottom w:val="none" w:sz="0" w:space="0" w:color="auto"/>
            <w:right w:val="none" w:sz="0" w:space="0" w:color="auto"/>
          </w:divBdr>
        </w:div>
        <w:div w:id="1066680173">
          <w:marLeft w:val="0"/>
          <w:marRight w:val="0"/>
          <w:marTop w:val="0"/>
          <w:marBottom w:val="0"/>
          <w:divBdr>
            <w:top w:val="none" w:sz="0" w:space="0" w:color="auto"/>
            <w:left w:val="none" w:sz="0" w:space="0" w:color="auto"/>
            <w:bottom w:val="none" w:sz="0" w:space="0" w:color="auto"/>
            <w:right w:val="none" w:sz="0" w:space="0" w:color="auto"/>
          </w:divBdr>
        </w:div>
      </w:divsChild>
    </w:div>
    <w:div w:id="1417705256">
      <w:bodyDiv w:val="1"/>
      <w:marLeft w:val="0"/>
      <w:marRight w:val="0"/>
      <w:marTop w:val="0"/>
      <w:marBottom w:val="0"/>
      <w:divBdr>
        <w:top w:val="none" w:sz="0" w:space="0" w:color="auto"/>
        <w:left w:val="none" w:sz="0" w:space="0" w:color="auto"/>
        <w:bottom w:val="none" w:sz="0" w:space="0" w:color="auto"/>
        <w:right w:val="none" w:sz="0" w:space="0" w:color="auto"/>
      </w:divBdr>
      <w:divsChild>
        <w:div w:id="782385475">
          <w:marLeft w:val="0"/>
          <w:marRight w:val="0"/>
          <w:marTop w:val="0"/>
          <w:marBottom w:val="0"/>
          <w:divBdr>
            <w:top w:val="none" w:sz="0" w:space="0" w:color="auto"/>
            <w:left w:val="none" w:sz="0" w:space="0" w:color="auto"/>
            <w:bottom w:val="none" w:sz="0" w:space="0" w:color="auto"/>
            <w:right w:val="none" w:sz="0" w:space="0" w:color="auto"/>
          </w:divBdr>
          <w:divsChild>
            <w:div w:id="20835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639379">
      <w:bodyDiv w:val="1"/>
      <w:marLeft w:val="0"/>
      <w:marRight w:val="0"/>
      <w:marTop w:val="0"/>
      <w:marBottom w:val="0"/>
      <w:divBdr>
        <w:top w:val="none" w:sz="0" w:space="0" w:color="auto"/>
        <w:left w:val="none" w:sz="0" w:space="0" w:color="auto"/>
        <w:bottom w:val="none" w:sz="0" w:space="0" w:color="auto"/>
        <w:right w:val="none" w:sz="0" w:space="0" w:color="auto"/>
      </w:divBdr>
      <w:divsChild>
        <w:div w:id="1525249079">
          <w:marLeft w:val="0"/>
          <w:marRight w:val="0"/>
          <w:marTop w:val="0"/>
          <w:marBottom w:val="0"/>
          <w:divBdr>
            <w:top w:val="none" w:sz="0" w:space="0" w:color="auto"/>
            <w:left w:val="none" w:sz="0" w:space="0" w:color="auto"/>
            <w:bottom w:val="none" w:sz="0" w:space="0" w:color="auto"/>
            <w:right w:val="none" w:sz="0" w:space="0" w:color="auto"/>
          </w:divBdr>
        </w:div>
        <w:div w:id="461121104">
          <w:marLeft w:val="0"/>
          <w:marRight w:val="0"/>
          <w:marTop w:val="0"/>
          <w:marBottom w:val="0"/>
          <w:divBdr>
            <w:top w:val="none" w:sz="0" w:space="0" w:color="auto"/>
            <w:left w:val="none" w:sz="0" w:space="0" w:color="auto"/>
            <w:bottom w:val="none" w:sz="0" w:space="0" w:color="auto"/>
            <w:right w:val="none" w:sz="0" w:space="0" w:color="auto"/>
          </w:divBdr>
        </w:div>
        <w:div w:id="1545406388">
          <w:marLeft w:val="0"/>
          <w:marRight w:val="0"/>
          <w:marTop w:val="0"/>
          <w:marBottom w:val="0"/>
          <w:divBdr>
            <w:top w:val="none" w:sz="0" w:space="0" w:color="auto"/>
            <w:left w:val="none" w:sz="0" w:space="0" w:color="auto"/>
            <w:bottom w:val="none" w:sz="0" w:space="0" w:color="auto"/>
            <w:right w:val="none" w:sz="0" w:space="0" w:color="auto"/>
          </w:divBdr>
        </w:div>
        <w:div w:id="32586429">
          <w:marLeft w:val="0"/>
          <w:marRight w:val="0"/>
          <w:marTop w:val="0"/>
          <w:marBottom w:val="0"/>
          <w:divBdr>
            <w:top w:val="none" w:sz="0" w:space="0" w:color="auto"/>
            <w:left w:val="none" w:sz="0" w:space="0" w:color="auto"/>
            <w:bottom w:val="none" w:sz="0" w:space="0" w:color="auto"/>
            <w:right w:val="none" w:sz="0" w:space="0" w:color="auto"/>
          </w:divBdr>
        </w:div>
        <w:div w:id="177700344">
          <w:marLeft w:val="0"/>
          <w:marRight w:val="0"/>
          <w:marTop w:val="0"/>
          <w:marBottom w:val="0"/>
          <w:divBdr>
            <w:top w:val="none" w:sz="0" w:space="0" w:color="auto"/>
            <w:left w:val="none" w:sz="0" w:space="0" w:color="auto"/>
            <w:bottom w:val="none" w:sz="0" w:space="0" w:color="auto"/>
            <w:right w:val="none" w:sz="0" w:space="0" w:color="auto"/>
          </w:divBdr>
        </w:div>
        <w:div w:id="1249197793">
          <w:marLeft w:val="0"/>
          <w:marRight w:val="0"/>
          <w:marTop w:val="0"/>
          <w:marBottom w:val="0"/>
          <w:divBdr>
            <w:top w:val="none" w:sz="0" w:space="0" w:color="auto"/>
            <w:left w:val="none" w:sz="0" w:space="0" w:color="auto"/>
            <w:bottom w:val="none" w:sz="0" w:space="0" w:color="auto"/>
            <w:right w:val="none" w:sz="0" w:space="0" w:color="auto"/>
          </w:divBdr>
        </w:div>
        <w:div w:id="1663385758">
          <w:marLeft w:val="0"/>
          <w:marRight w:val="0"/>
          <w:marTop w:val="0"/>
          <w:marBottom w:val="0"/>
          <w:divBdr>
            <w:top w:val="none" w:sz="0" w:space="0" w:color="auto"/>
            <w:left w:val="none" w:sz="0" w:space="0" w:color="auto"/>
            <w:bottom w:val="none" w:sz="0" w:space="0" w:color="auto"/>
            <w:right w:val="none" w:sz="0" w:space="0" w:color="auto"/>
          </w:divBdr>
        </w:div>
        <w:div w:id="9183777">
          <w:marLeft w:val="0"/>
          <w:marRight w:val="0"/>
          <w:marTop w:val="0"/>
          <w:marBottom w:val="0"/>
          <w:divBdr>
            <w:top w:val="none" w:sz="0" w:space="0" w:color="auto"/>
            <w:left w:val="none" w:sz="0" w:space="0" w:color="auto"/>
            <w:bottom w:val="none" w:sz="0" w:space="0" w:color="auto"/>
            <w:right w:val="none" w:sz="0" w:space="0" w:color="auto"/>
          </w:divBdr>
        </w:div>
        <w:div w:id="1649283579">
          <w:marLeft w:val="0"/>
          <w:marRight w:val="0"/>
          <w:marTop w:val="0"/>
          <w:marBottom w:val="0"/>
          <w:divBdr>
            <w:top w:val="none" w:sz="0" w:space="0" w:color="auto"/>
            <w:left w:val="none" w:sz="0" w:space="0" w:color="auto"/>
            <w:bottom w:val="none" w:sz="0" w:space="0" w:color="auto"/>
            <w:right w:val="none" w:sz="0" w:space="0" w:color="auto"/>
          </w:divBdr>
        </w:div>
        <w:div w:id="1333410432">
          <w:marLeft w:val="0"/>
          <w:marRight w:val="0"/>
          <w:marTop w:val="0"/>
          <w:marBottom w:val="0"/>
          <w:divBdr>
            <w:top w:val="none" w:sz="0" w:space="0" w:color="auto"/>
            <w:left w:val="none" w:sz="0" w:space="0" w:color="auto"/>
            <w:bottom w:val="none" w:sz="0" w:space="0" w:color="auto"/>
            <w:right w:val="none" w:sz="0" w:space="0" w:color="auto"/>
          </w:divBdr>
        </w:div>
      </w:divsChild>
    </w:div>
    <w:div w:id="1757240358">
      <w:bodyDiv w:val="1"/>
      <w:marLeft w:val="0"/>
      <w:marRight w:val="0"/>
      <w:marTop w:val="0"/>
      <w:marBottom w:val="0"/>
      <w:divBdr>
        <w:top w:val="none" w:sz="0" w:space="0" w:color="auto"/>
        <w:left w:val="none" w:sz="0" w:space="0" w:color="auto"/>
        <w:bottom w:val="none" w:sz="0" w:space="0" w:color="auto"/>
        <w:right w:val="none" w:sz="0" w:space="0" w:color="auto"/>
      </w:divBdr>
      <w:divsChild>
        <w:div w:id="1131703343">
          <w:marLeft w:val="0"/>
          <w:marRight w:val="0"/>
          <w:marTop w:val="0"/>
          <w:marBottom w:val="0"/>
          <w:divBdr>
            <w:top w:val="none" w:sz="0" w:space="0" w:color="auto"/>
            <w:left w:val="none" w:sz="0" w:space="0" w:color="auto"/>
            <w:bottom w:val="none" w:sz="0" w:space="0" w:color="auto"/>
            <w:right w:val="none" w:sz="0" w:space="0" w:color="auto"/>
          </w:divBdr>
          <w:divsChild>
            <w:div w:id="146207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oteca.cejamericas.org/bitstream/handle/2015/4808/Algunasposiblesreformasalpoderjudicial.pdf?sequence=1&amp;isAllowe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picuantico.com/sitio/wp-content/uploads/2020/08/Doctrina-penal.-19.07.2020-Aldazabal-y-Haissiner-1.pdf" TargetMode="External"/><Relationship Id="rId12" Type="http://schemas.openxmlformats.org/officeDocument/2006/relationships/hyperlink" Target="https://www.infobae.com/opinion/2020/08/07/reforma-judicial-algunas-criticas-y-varias-propuesta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fobae.com/opinion/2020/08/01/reforma-judicial-diez-primeras-criticas-al-proyecto-que-presento-el-gobierno/" TargetMode="External"/><Relationship Id="rId5" Type="http://schemas.openxmlformats.org/officeDocument/2006/relationships/footnotes" Target="footnotes.xml"/><Relationship Id="rId10" Type="http://schemas.openxmlformats.org/officeDocument/2006/relationships/hyperlink" Target="https://doi.org/10.26422/RJA.2020.0101.gar" TargetMode="External"/><Relationship Id="rId4" Type="http://schemas.openxmlformats.org/officeDocument/2006/relationships/webSettings" Target="webSettings.xml"/><Relationship Id="rId9" Type="http://schemas.openxmlformats.org/officeDocument/2006/relationships/hyperlink" Target="http://www.actualidadjuridica.com.ar"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sjservicios.csjn.gov.ar/sj/tomosFallos.do?method=iniciar" TargetMode="External"/><Relationship Id="rId7" Type="http://schemas.openxmlformats.org/officeDocument/2006/relationships/hyperlink" Target="https://biblioteca.cejamericas.org/bitstream/handle/2015/4808/Algunasposiblesreformasalpoderjudicial.pdf?sequence=1&amp;isAllowed=" TargetMode="External"/><Relationship Id="rId2" Type="http://schemas.openxmlformats.org/officeDocument/2006/relationships/hyperlink" Target="https://doi.org/10.26422/RJA.2020.0101.gar" TargetMode="External"/><Relationship Id="rId1" Type="http://schemas.openxmlformats.org/officeDocument/2006/relationships/hyperlink" Target="http://www.actualidadjuridica.com.ar" TargetMode="External"/><Relationship Id="rId6" Type="http://schemas.openxmlformats.org/officeDocument/2006/relationships/hyperlink" Target="https://dpicuantico.com/sitio/wp-content/uploads/2020/08/Doctrina-penal.-19.07.2020-Aldazabal-y-Haissiner-1.pdf" TargetMode="External"/><Relationship Id="rId5" Type="http://schemas.openxmlformats.org/officeDocument/2006/relationships/hyperlink" Target="https://www.infobae.com/opinion/2020/08/07/reforma-judicial-algunas-criticas-y-varias-propuestas/" TargetMode="External"/><Relationship Id="rId4" Type="http://schemas.openxmlformats.org/officeDocument/2006/relationships/hyperlink" Target="https://www.infobae.com/opinion/2020/08/01/reforma-judicial-diez-primeras-criticas-al-proyecto-que-presento-el-gobiern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B5CCA-92BF-4BC1-AD56-BC85500D0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5373</TotalTime>
  <Pages>25</Pages>
  <Words>6717</Words>
  <Characters>36945</Characters>
  <Application>Microsoft Office Word</Application>
  <DocSecurity>0</DocSecurity>
  <Lines>307</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Nicolás Egues</dc:creator>
  <cp:keywords/>
  <dc:description/>
  <cp:lastModifiedBy>Nicolas</cp:lastModifiedBy>
  <cp:revision>69</cp:revision>
  <dcterms:created xsi:type="dcterms:W3CDTF">2022-01-11T21:10:00Z</dcterms:created>
  <dcterms:modified xsi:type="dcterms:W3CDTF">2022-01-20T21:47:00Z</dcterms:modified>
</cp:coreProperties>
</file>