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D7BD3" w14:textId="7E49CFAC" w:rsidR="00D150AE" w:rsidRDefault="0057414A" w:rsidP="00975E47">
      <w:pPr>
        <w:spacing w:line="480" w:lineRule="auto"/>
        <w:jc w:val="center"/>
        <w:rPr>
          <w:rFonts w:ascii="Times New Roman" w:hAnsi="Times New Roman" w:cs="Times New Roman"/>
          <w:b/>
          <w:bCs/>
          <w:sz w:val="24"/>
          <w:szCs w:val="24"/>
        </w:rPr>
      </w:pPr>
      <w:bookmarkStart w:id="0" w:name="_GoBack"/>
      <w:bookmarkEnd w:id="0"/>
      <w:r w:rsidRPr="00975E47">
        <w:rPr>
          <w:rFonts w:ascii="Times New Roman" w:hAnsi="Times New Roman" w:cs="Times New Roman"/>
          <w:b/>
          <w:bCs/>
          <w:sz w:val="24"/>
          <w:szCs w:val="24"/>
        </w:rPr>
        <w:t xml:space="preserve">Novas perspetivas de consagração do direito à identidade genética em Portugal: </w:t>
      </w:r>
      <w:r w:rsidR="00682DAC">
        <w:rPr>
          <w:rFonts w:ascii="Times New Roman" w:hAnsi="Times New Roman" w:cs="Times New Roman"/>
          <w:b/>
          <w:bCs/>
          <w:sz w:val="24"/>
          <w:szCs w:val="24"/>
        </w:rPr>
        <w:t xml:space="preserve">prazo para propositura de ação de investigação de paternidade e a </w:t>
      </w:r>
      <w:r w:rsidR="00A20CF4" w:rsidRPr="00975E47">
        <w:rPr>
          <w:rFonts w:ascii="Times New Roman" w:hAnsi="Times New Roman" w:cs="Times New Roman"/>
          <w:b/>
          <w:bCs/>
          <w:sz w:val="24"/>
          <w:szCs w:val="24"/>
        </w:rPr>
        <w:t xml:space="preserve">recente </w:t>
      </w:r>
      <w:r w:rsidRPr="00975E47">
        <w:rPr>
          <w:rFonts w:ascii="Times New Roman" w:hAnsi="Times New Roman" w:cs="Times New Roman"/>
          <w:b/>
          <w:bCs/>
          <w:sz w:val="24"/>
          <w:szCs w:val="24"/>
        </w:rPr>
        <w:t>jurisprudência do Tribunal Constitucional Português</w:t>
      </w:r>
      <w:r w:rsidR="00682DAC">
        <w:rPr>
          <w:rStyle w:val="Refdenotaalpie"/>
          <w:rFonts w:ascii="Times New Roman" w:hAnsi="Times New Roman" w:cs="Times New Roman"/>
          <w:b/>
          <w:bCs/>
          <w:sz w:val="24"/>
          <w:szCs w:val="24"/>
        </w:rPr>
        <w:footnoteReference w:id="1"/>
      </w:r>
    </w:p>
    <w:p w14:paraId="533FC4D7" w14:textId="1E7E8CD1" w:rsidR="00067928" w:rsidRPr="00067928" w:rsidRDefault="00067928" w:rsidP="0006792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Introdução</w:t>
      </w:r>
    </w:p>
    <w:p w14:paraId="69A1F0C5" w14:textId="2F478DEC" w:rsidR="006902DA" w:rsidRPr="00C02148" w:rsidRDefault="008E21C1" w:rsidP="004E02F3">
      <w:pPr>
        <w:spacing w:line="360" w:lineRule="auto"/>
        <w:jc w:val="both"/>
        <w:rPr>
          <w:rFonts w:ascii="Times New Roman" w:eastAsiaTheme="majorEastAsia" w:hAnsi="Times New Roman" w:cs="Times New Roman"/>
          <w:kern w:val="24"/>
          <w:sz w:val="24"/>
          <w:szCs w:val="24"/>
        </w:rPr>
      </w:pPr>
      <w:r w:rsidRPr="00C02148">
        <w:rPr>
          <w:rFonts w:ascii="Times New Roman" w:hAnsi="Times New Roman" w:cs="Times New Roman"/>
          <w:sz w:val="24"/>
          <w:szCs w:val="24"/>
        </w:rPr>
        <w:t>O estabelecimento da paternidade é um</w:t>
      </w:r>
      <w:r w:rsidR="00C2636C" w:rsidRPr="00C02148">
        <w:rPr>
          <w:rFonts w:ascii="Times New Roman" w:hAnsi="Times New Roman" w:cs="Times New Roman"/>
          <w:sz w:val="24"/>
          <w:szCs w:val="24"/>
        </w:rPr>
        <w:t xml:space="preserve">a questão essencial </w:t>
      </w:r>
      <w:r w:rsidRPr="00C02148">
        <w:rPr>
          <w:rFonts w:ascii="Times New Roman" w:hAnsi="Times New Roman" w:cs="Times New Roman"/>
          <w:sz w:val="24"/>
          <w:szCs w:val="24"/>
        </w:rPr>
        <w:t xml:space="preserve">para as crianças, para os adultos e para toda a sociedade. O conhecimento da parentalidade é essencial para cada ser humano, como único meio de acesso ao conhecimento das suas origens genéticas, sociológicas, religiosas, culturais, etc. Esse conhecimento é suscetível de produzir diversos efeitos, </w:t>
      </w:r>
      <w:r w:rsidRPr="00682DAC">
        <w:rPr>
          <w:rFonts w:ascii="Times New Roman" w:hAnsi="Times New Roman" w:cs="Times New Roman"/>
          <w:sz w:val="24"/>
          <w:szCs w:val="24"/>
        </w:rPr>
        <w:t xml:space="preserve">tanto </w:t>
      </w:r>
      <w:r w:rsidR="00402CC6" w:rsidRPr="00682DAC">
        <w:rPr>
          <w:rFonts w:ascii="Times New Roman" w:hAnsi="Times New Roman" w:cs="Times New Roman"/>
          <w:sz w:val="24"/>
          <w:szCs w:val="24"/>
        </w:rPr>
        <w:t>jurídicos, como biológicos, económicos e outros.</w:t>
      </w:r>
      <w:r w:rsidRPr="00C02148">
        <w:rPr>
          <w:rFonts w:ascii="Times New Roman" w:eastAsiaTheme="majorEastAsia" w:hAnsi="Times New Roman" w:cs="Times New Roman"/>
          <w:kern w:val="24"/>
          <w:sz w:val="24"/>
          <w:szCs w:val="24"/>
          <w:lang w:eastAsia="pt-PT"/>
        </w:rPr>
        <w:t xml:space="preserve"> Nos primeiros anos de vida, os efeitos que se produzem</w:t>
      </w:r>
      <w:r w:rsidR="00402CC6">
        <w:rPr>
          <w:rFonts w:ascii="Times New Roman" w:eastAsiaTheme="majorEastAsia" w:hAnsi="Times New Roman" w:cs="Times New Roman"/>
          <w:kern w:val="24"/>
          <w:sz w:val="24"/>
          <w:szCs w:val="24"/>
          <w:lang w:eastAsia="pt-PT"/>
        </w:rPr>
        <w:t>,</w:t>
      </w:r>
      <w:r w:rsidRPr="00C02148">
        <w:rPr>
          <w:rFonts w:ascii="Times New Roman" w:eastAsiaTheme="majorEastAsia" w:hAnsi="Times New Roman" w:cs="Times New Roman"/>
          <w:kern w:val="24"/>
          <w:sz w:val="24"/>
          <w:szCs w:val="24"/>
          <w:lang w:eastAsia="pt-PT"/>
        </w:rPr>
        <w:t xml:space="preserve"> são fundamentais para o desenvolvimento saudável da criança em todos os aspetos da vida. </w:t>
      </w:r>
      <w:r w:rsidR="00032FF0" w:rsidRPr="00C02148">
        <w:rPr>
          <w:rFonts w:ascii="Times New Roman" w:eastAsiaTheme="majorEastAsia" w:hAnsi="Times New Roman" w:cs="Times New Roman"/>
          <w:kern w:val="24"/>
          <w:sz w:val="24"/>
          <w:szCs w:val="24"/>
          <w:lang w:eastAsia="pt-PT"/>
        </w:rPr>
        <w:t xml:space="preserve">Da </w:t>
      </w:r>
      <w:r w:rsidR="00C2636C" w:rsidRPr="00C02148">
        <w:rPr>
          <w:rFonts w:ascii="Times New Roman" w:eastAsiaTheme="majorEastAsia" w:hAnsi="Times New Roman" w:cs="Times New Roman"/>
          <w:kern w:val="24"/>
          <w:sz w:val="24"/>
          <w:szCs w:val="24"/>
          <w:lang w:eastAsia="pt-PT"/>
        </w:rPr>
        <w:t>sua subsistência</w:t>
      </w:r>
      <w:r w:rsidR="00402CC6">
        <w:rPr>
          <w:rFonts w:ascii="Times New Roman" w:eastAsiaTheme="majorEastAsia" w:hAnsi="Times New Roman" w:cs="Times New Roman"/>
          <w:kern w:val="24"/>
          <w:sz w:val="24"/>
          <w:szCs w:val="24"/>
          <w:lang w:eastAsia="pt-PT"/>
        </w:rPr>
        <w:t>,</w:t>
      </w:r>
      <w:r w:rsidR="00C2636C" w:rsidRPr="00C02148">
        <w:rPr>
          <w:rFonts w:ascii="Times New Roman" w:eastAsiaTheme="majorEastAsia" w:hAnsi="Times New Roman" w:cs="Times New Roman"/>
          <w:kern w:val="24"/>
          <w:sz w:val="24"/>
          <w:szCs w:val="24"/>
          <w:lang w:eastAsia="pt-PT"/>
        </w:rPr>
        <w:t xml:space="preserve"> ao adequado desenvolvimento da sua </w:t>
      </w:r>
      <w:r w:rsidR="00032FF0" w:rsidRPr="00C02148">
        <w:rPr>
          <w:rFonts w:ascii="Times New Roman" w:eastAsiaTheme="majorEastAsia" w:hAnsi="Times New Roman" w:cs="Times New Roman"/>
          <w:kern w:val="24"/>
          <w:sz w:val="24"/>
          <w:szCs w:val="24"/>
          <w:lang w:eastAsia="pt-PT"/>
        </w:rPr>
        <w:t xml:space="preserve">personalidade, passando pela </w:t>
      </w:r>
      <w:r w:rsidR="00C2636C" w:rsidRPr="00C02148">
        <w:rPr>
          <w:rFonts w:ascii="Times New Roman" w:eastAsiaTheme="majorEastAsia" w:hAnsi="Times New Roman" w:cs="Times New Roman"/>
          <w:kern w:val="24"/>
          <w:sz w:val="24"/>
          <w:szCs w:val="24"/>
          <w:lang w:eastAsia="pt-PT"/>
        </w:rPr>
        <w:t xml:space="preserve">sua </w:t>
      </w:r>
      <w:r w:rsidR="00032FF0" w:rsidRPr="00C02148">
        <w:rPr>
          <w:rFonts w:ascii="Times New Roman" w:eastAsiaTheme="majorEastAsia" w:hAnsi="Times New Roman" w:cs="Times New Roman"/>
          <w:kern w:val="24"/>
          <w:sz w:val="24"/>
          <w:szCs w:val="24"/>
          <w:lang w:eastAsia="pt-PT"/>
        </w:rPr>
        <w:t>proteção e educação, o conhecimento da parentalidade é essencial para garantir um mundo harmonioso</w:t>
      </w:r>
      <w:r w:rsidR="00C2636C" w:rsidRPr="00C02148">
        <w:rPr>
          <w:rFonts w:ascii="Times New Roman" w:eastAsiaTheme="majorEastAsia" w:hAnsi="Times New Roman" w:cs="Times New Roman"/>
          <w:kern w:val="24"/>
          <w:sz w:val="24"/>
          <w:szCs w:val="24"/>
          <w:lang w:eastAsia="pt-PT"/>
        </w:rPr>
        <w:t xml:space="preserve"> </w:t>
      </w:r>
      <w:r w:rsidR="00682DAC">
        <w:rPr>
          <w:rFonts w:ascii="Times New Roman" w:eastAsiaTheme="majorEastAsia" w:hAnsi="Times New Roman" w:cs="Times New Roman"/>
          <w:kern w:val="24"/>
          <w:sz w:val="24"/>
          <w:szCs w:val="24"/>
          <w:lang w:eastAsia="pt-PT"/>
        </w:rPr>
        <w:t xml:space="preserve">à criança, </w:t>
      </w:r>
      <w:r w:rsidR="00C2636C" w:rsidRPr="00C02148">
        <w:rPr>
          <w:rFonts w:ascii="Times New Roman" w:eastAsiaTheme="majorEastAsia" w:hAnsi="Times New Roman" w:cs="Times New Roman"/>
          <w:kern w:val="24"/>
          <w:sz w:val="24"/>
          <w:szCs w:val="24"/>
          <w:lang w:eastAsia="pt-PT"/>
        </w:rPr>
        <w:t>no quadro da sua vivência enquanto ser humano</w:t>
      </w:r>
      <w:r w:rsidR="00834A4F">
        <w:rPr>
          <w:rFonts w:ascii="Times New Roman" w:eastAsiaTheme="majorEastAsia" w:hAnsi="Times New Roman" w:cs="Times New Roman"/>
          <w:kern w:val="24"/>
          <w:sz w:val="24"/>
          <w:szCs w:val="24"/>
          <w:lang w:eastAsia="pt-PT"/>
        </w:rPr>
        <w:t>,</w:t>
      </w:r>
      <w:r w:rsidR="00032FF0" w:rsidRPr="00C02148">
        <w:rPr>
          <w:rFonts w:ascii="Times New Roman" w:eastAsiaTheme="majorEastAsia" w:hAnsi="Times New Roman" w:cs="Times New Roman"/>
          <w:kern w:val="24"/>
          <w:sz w:val="24"/>
          <w:szCs w:val="24"/>
          <w:lang w:eastAsia="pt-PT"/>
        </w:rPr>
        <w:t xml:space="preserve"> com os progenitores e outros familiares</w:t>
      </w:r>
      <w:r w:rsidR="00682DAC">
        <w:rPr>
          <w:rFonts w:ascii="Times New Roman" w:eastAsiaTheme="majorEastAsia" w:hAnsi="Times New Roman" w:cs="Times New Roman"/>
          <w:kern w:val="24"/>
          <w:sz w:val="24"/>
          <w:szCs w:val="24"/>
          <w:lang w:eastAsia="pt-PT"/>
        </w:rPr>
        <w:t xml:space="preserve">. A partilha de vida e de afetos com os progenitores, familiares e amigos, constituem parte importante de </w:t>
      </w:r>
      <w:r w:rsidR="00032FF0" w:rsidRPr="00C02148">
        <w:rPr>
          <w:rFonts w:ascii="Times New Roman" w:eastAsiaTheme="majorEastAsia" w:hAnsi="Times New Roman" w:cs="Times New Roman"/>
          <w:kern w:val="24"/>
          <w:sz w:val="24"/>
          <w:szCs w:val="24"/>
          <w:lang w:eastAsia="pt-PT"/>
        </w:rPr>
        <w:t>um ambiente protetor e gratificante para a criança.</w:t>
      </w:r>
      <w:r w:rsidR="004E02F3" w:rsidRPr="00C02148">
        <w:rPr>
          <w:rStyle w:val="Refdenotaalpie"/>
          <w:rFonts w:ascii="Times New Roman" w:eastAsiaTheme="majorEastAsia" w:hAnsi="Times New Roman" w:cs="Times New Roman"/>
          <w:kern w:val="24"/>
          <w:sz w:val="24"/>
          <w:szCs w:val="24"/>
          <w:lang w:eastAsia="pt-PT"/>
        </w:rPr>
        <w:footnoteReference w:id="2"/>
      </w:r>
      <w:r w:rsidR="00FE2EFE" w:rsidRPr="00C02148">
        <w:rPr>
          <w:rFonts w:ascii="Times New Roman" w:eastAsiaTheme="majorEastAsia" w:hAnsi="Times New Roman" w:cs="Times New Roman"/>
          <w:kern w:val="24"/>
          <w:sz w:val="24"/>
          <w:szCs w:val="24"/>
          <w:lang w:eastAsia="pt-PT"/>
        </w:rPr>
        <w:t xml:space="preserve"> </w:t>
      </w:r>
      <w:r w:rsidR="00032FF0" w:rsidRPr="00C02148">
        <w:rPr>
          <w:rFonts w:ascii="Times New Roman" w:eastAsiaTheme="majorEastAsia" w:hAnsi="Times New Roman" w:cs="Times New Roman"/>
          <w:kern w:val="24"/>
          <w:sz w:val="24"/>
          <w:szCs w:val="24"/>
        </w:rPr>
        <w:t xml:space="preserve">O </w:t>
      </w:r>
      <w:r w:rsidR="006565D5" w:rsidRPr="00C02148">
        <w:rPr>
          <w:rFonts w:ascii="Times New Roman" w:eastAsiaTheme="majorEastAsia" w:hAnsi="Times New Roman" w:cs="Times New Roman"/>
          <w:kern w:val="24"/>
          <w:sz w:val="24"/>
          <w:szCs w:val="24"/>
        </w:rPr>
        <w:t>conhecimento dos progenitores, não é, contudo, relevante</w:t>
      </w:r>
      <w:r w:rsidR="00C02148" w:rsidRPr="00C02148">
        <w:rPr>
          <w:rFonts w:ascii="Times New Roman" w:eastAsiaTheme="majorEastAsia" w:hAnsi="Times New Roman" w:cs="Times New Roman"/>
          <w:kern w:val="24"/>
          <w:sz w:val="24"/>
          <w:szCs w:val="24"/>
        </w:rPr>
        <w:t xml:space="preserve"> apenas </w:t>
      </w:r>
      <w:r w:rsidR="00682DAC">
        <w:rPr>
          <w:rFonts w:ascii="Times New Roman" w:eastAsiaTheme="majorEastAsia" w:hAnsi="Times New Roman" w:cs="Times New Roman"/>
          <w:kern w:val="24"/>
          <w:sz w:val="24"/>
          <w:szCs w:val="24"/>
        </w:rPr>
        <w:t>para as crianças</w:t>
      </w:r>
      <w:r w:rsidR="00C02148" w:rsidRPr="00C02148">
        <w:rPr>
          <w:rFonts w:ascii="Times New Roman" w:eastAsiaTheme="majorEastAsia" w:hAnsi="Times New Roman" w:cs="Times New Roman"/>
          <w:kern w:val="24"/>
          <w:sz w:val="24"/>
          <w:szCs w:val="24"/>
        </w:rPr>
        <w:t xml:space="preserve">, interessando também a adultos, </w:t>
      </w:r>
      <w:r w:rsidR="00682DAC">
        <w:rPr>
          <w:rFonts w:ascii="Times New Roman" w:eastAsiaTheme="majorEastAsia" w:hAnsi="Times New Roman" w:cs="Times New Roman"/>
          <w:kern w:val="24"/>
          <w:sz w:val="24"/>
          <w:szCs w:val="24"/>
        </w:rPr>
        <w:t xml:space="preserve">mantendo-se a tutela do direito ao conhecimento da identidade pessoal pelo prazo de dez anos, após o alcance da maioridade. </w:t>
      </w:r>
    </w:p>
    <w:p w14:paraId="5F01C1C2" w14:textId="39C03FA6" w:rsidR="00067928" w:rsidRDefault="00753DE8"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Constitui objeto do presente artigo</w:t>
      </w:r>
      <w:r w:rsidR="00C02148">
        <w:rPr>
          <w:rFonts w:ascii="Times New Roman" w:hAnsi="Times New Roman" w:cs="Times New Roman"/>
          <w:sz w:val="24"/>
          <w:szCs w:val="24"/>
        </w:rPr>
        <w:t>,</w:t>
      </w:r>
      <w:r>
        <w:rPr>
          <w:rFonts w:ascii="Times New Roman" w:hAnsi="Times New Roman" w:cs="Times New Roman"/>
          <w:sz w:val="24"/>
          <w:szCs w:val="24"/>
        </w:rPr>
        <w:t xml:space="preserve"> a análise</w:t>
      </w:r>
      <w:r w:rsidR="0057414A" w:rsidRPr="00A20CF4">
        <w:rPr>
          <w:rFonts w:ascii="Times New Roman" w:hAnsi="Times New Roman" w:cs="Times New Roman"/>
          <w:sz w:val="24"/>
          <w:szCs w:val="24"/>
        </w:rPr>
        <w:t xml:space="preserve"> </w:t>
      </w:r>
      <w:r w:rsidR="00014F01" w:rsidRPr="00A20CF4">
        <w:rPr>
          <w:rFonts w:ascii="Times New Roman" w:hAnsi="Times New Roman" w:cs="Times New Roman"/>
          <w:sz w:val="24"/>
          <w:szCs w:val="24"/>
        </w:rPr>
        <w:t>d</w:t>
      </w:r>
      <w:r w:rsidR="0057414A" w:rsidRPr="00A20CF4">
        <w:rPr>
          <w:rFonts w:ascii="Times New Roman" w:hAnsi="Times New Roman" w:cs="Times New Roman"/>
          <w:sz w:val="24"/>
          <w:szCs w:val="24"/>
        </w:rPr>
        <w:t>os recentes desenvolvimentos no ordenamento jurídico português</w:t>
      </w:r>
      <w:r>
        <w:rPr>
          <w:rFonts w:ascii="Times New Roman" w:hAnsi="Times New Roman" w:cs="Times New Roman"/>
          <w:sz w:val="24"/>
          <w:szCs w:val="24"/>
        </w:rPr>
        <w:t>,</w:t>
      </w:r>
      <w:r w:rsidR="0057414A" w:rsidRPr="00A20CF4">
        <w:rPr>
          <w:rFonts w:ascii="Times New Roman" w:hAnsi="Times New Roman" w:cs="Times New Roman"/>
          <w:sz w:val="24"/>
          <w:szCs w:val="24"/>
        </w:rPr>
        <w:t xml:space="preserve"> respeitantes à </w:t>
      </w:r>
      <w:r w:rsidR="00E96B6C">
        <w:rPr>
          <w:rFonts w:ascii="Times New Roman" w:hAnsi="Times New Roman" w:cs="Times New Roman"/>
          <w:sz w:val="24"/>
          <w:szCs w:val="24"/>
        </w:rPr>
        <w:t xml:space="preserve">ponderação relativa ao </w:t>
      </w:r>
      <w:r w:rsidR="0057414A" w:rsidRPr="00A20CF4">
        <w:rPr>
          <w:rFonts w:ascii="Times New Roman" w:hAnsi="Times New Roman" w:cs="Times New Roman"/>
          <w:sz w:val="24"/>
          <w:szCs w:val="24"/>
        </w:rPr>
        <w:t xml:space="preserve">direito à identidade </w:t>
      </w:r>
      <w:r w:rsidR="00682DAC">
        <w:rPr>
          <w:rFonts w:ascii="Times New Roman" w:hAnsi="Times New Roman" w:cs="Times New Roman"/>
          <w:sz w:val="24"/>
          <w:szCs w:val="24"/>
        </w:rPr>
        <w:t>pessoal/</w:t>
      </w:r>
      <w:r w:rsidR="0057414A" w:rsidRPr="00A20CF4">
        <w:rPr>
          <w:rFonts w:ascii="Times New Roman" w:hAnsi="Times New Roman" w:cs="Times New Roman"/>
          <w:sz w:val="24"/>
          <w:szCs w:val="24"/>
        </w:rPr>
        <w:t>genética</w:t>
      </w:r>
      <w:r w:rsidR="00F82737">
        <w:rPr>
          <w:rFonts w:ascii="Times New Roman" w:hAnsi="Times New Roman" w:cs="Times New Roman"/>
          <w:sz w:val="24"/>
          <w:szCs w:val="24"/>
        </w:rPr>
        <w:t xml:space="preserve"> </w:t>
      </w:r>
      <w:r w:rsidR="00E96B6C" w:rsidRPr="00682DAC">
        <w:rPr>
          <w:rFonts w:ascii="Times New Roman" w:hAnsi="Times New Roman" w:cs="Times New Roman"/>
          <w:i/>
          <w:iCs/>
          <w:sz w:val="24"/>
          <w:szCs w:val="24"/>
        </w:rPr>
        <w:t>versus</w:t>
      </w:r>
      <w:r w:rsidR="00E96B6C">
        <w:rPr>
          <w:rFonts w:ascii="Times New Roman" w:hAnsi="Times New Roman" w:cs="Times New Roman"/>
          <w:sz w:val="24"/>
          <w:szCs w:val="24"/>
        </w:rPr>
        <w:t xml:space="preserve"> ponderação da proteção ao direito à reserva da vida privada, no âmbito do prazo de caducidade do direito à instauração da ação de investigação de maternidade e de paternidade.</w:t>
      </w:r>
      <w:r w:rsidR="00682DAC">
        <w:rPr>
          <w:rFonts w:ascii="Times New Roman" w:hAnsi="Times New Roman" w:cs="Times New Roman"/>
          <w:sz w:val="24"/>
          <w:szCs w:val="24"/>
        </w:rPr>
        <w:t xml:space="preserve"> Nesta ótica, reveste particular interesse a recente </w:t>
      </w:r>
      <w:r w:rsidR="00834A4F">
        <w:rPr>
          <w:rFonts w:ascii="Times New Roman" w:hAnsi="Times New Roman" w:cs="Times New Roman"/>
          <w:sz w:val="24"/>
          <w:szCs w:val="24"/>
        </w:rPr>
        <w:t>jurisprudência do tribunal constitucional português, especialmente os</w:t>
      </w:r>
      <w:r w:rsidR="00F82737">
        <w:rPr>
          <w:rFonts w:ascii="Times New Roman" w:hAnsi="Times New Roman" w:cs="Times New Roman"/>
          <w:sz w:val="24"/>
          <w:szCs w:val="24"/>
        </w:rPr>
        <w:t xml:space="preserve"> acórdão</w:t>
      </w:r>
      <w:r w:rsidR="00F50B3B">
        <w:rPr>
          <w:rFonts w:ascii="Times New Roman" w:hAnsi="Times New Roman" w:cs="Times New Roman"/>
          <w:sz w:val="24"/>
          <w:szCs w:val="24"/>
        </w:rPr>
        <w:t>s</w:t>
      </w:r>
      <w:r w:rsidR="00F82737">
        <w:rPr>
          <w:rFonts w:ascii="Times New Roman" w:hAnsi="Times New Roman" w:cs="Times New Roman"/>
          <w:sz w:val="24"/>
          <w:szCs w:val="24"/>
        </w:rPr>
        <w:t xml:space="preserve"> n.º</w:t>
      </w:r>
      <w:r w:rsidR="00F50B3B">
        <w:rPr>
          <w:rFonts w:ascii="Times New Roman" w:hAnsi="Times New Roman" w:cs="Times New Roman"/>
          <w:sz w:val="24"/>
          <w:szCs w:val="24"/>
        </w:rPr>
        <w:t>s</w:t>
      </w:r>
      <w:r w:rsidR="00F82737">
        <w:rPr>
          <w:rFonts w:ascii="Times New Roman" w:hAnsi="Times New Roman" w:cs="Times New Roman"/>
          <w:sz w:val="24"/>
          <w:szCs w:val="24"/>
        </w:rPr>
        <w:t xml:space="preserve"> </w:t>
      </w:r>
      <w:r w:rsidR="00F82737">
        <w:rPr>
          <w:rFonts w:ascii="Times New Roman" w:hAnsi="Times New Roman" w:cs="Times New Roman"/>
          <w:sz w:val="24"/>
          <w:szCs w:val="24"/>
        </w:rPr>
        <w:lastRenderedPageBreak/>
        <w:t>488/18, de 4 de outubro de 2018</w:t>
      </w:r>
      <w:r w:rsidR="003B2A26">
        <w:rPr>
          <w:rStyle w:val="Refdenotaalpie"/>
          <w:rFonts w:ascii="Times New Roman" w:hAnsi="Times New Roman" w:cs="Times New Roman"/>
          <w:sz w:val="24"/>
          <w:szCs w:val="24"/>
        </w:rPr>
        <w:footnoteReference w:id="3"/>
      </w:r>
      <w:r w:rsidR="00F50B3B">
        <w:rPr>
          <w:rFonts w:ascii="Times New Roman" w:hAnsi="Times New Roman" w:cs="Times New Roman"/>
          <w:sz w:val="24"/>
          <w:szCs w:val="24"/>
        </w:rPr>
        <w:t xml:space="preserve"> e 394/2019, de 3 de julho de 2019</w:t>
      </w:r>
      <w:r w:rsidR="00067928">
        <w:rPr>
          <w:rFonts w:ascii="Times New Roman" w:hAnsi="Times New Roman" w:cs="Times New Roman"/>
          <w:sz w:val="24"/>
          <w:szCs w:val="24"/>
        </w:rPr>
        <w:t>,</w:t>
      </w:r>
      <w:r w:rsidR="00F50B3B">
        <w:rPr>
          <w:rStyle w:val="Refdenotaalpie"/>
          <w:rFonts w:ascii="Times New Roman" w:hAnsi="Times New Roman" w:cs="Times New Roman"/>
          <w:sz w:val="24"/>
          <w:szCs w:val="24"/>
        </w:rPr>
        <w:footnoteReference w:id="4"/>
      </w:r>
      <w:r w:rsidR="00067928">
        <w:rPr>
          <w:rFonts w:ascii="Times New Roman" w:hAnsi="Times New Roman" w:cs="Times New Roman"/>
          <w:sz w:val="24"/>
          <w:szCs w:val="24"/>
        </w:rPr>
        <w:t xml:space="preserve"> </w:t>
      </w:r>
      <w:r w:rsidR="00E96B6C">
        <w:rPr>
          <w:rFonts w:ascii="Times New Roman" w:hAnsi="Times New Roman" w:cs="Times New Roman"/>
          <w:sz w:val="24"/>
          <w:szCs w:val="24"/>
        </w:rPr>
        <w:t xml:space="preserve">este último proferido em sede de recurso instaurado do acórdão anterior e pelo pleno daquele tribunal. </w:t>
      </w:r>
    </w:p>
    <w:p w14:paraId="5600190C" w14:textId="77777777" w:rsidR="00067928" w:rsidRDefault="00067928" w:rsidP="00866D55">
      <w:pPr>
        <w:spacing w:line="360" w:lineRule="auto"/>
        <w:jc w:val="both"/>
        <w:rPr>
          <w:rFonts w:ascii="Times New Roman" w:hAnsi="Times New Roman" w:cs="Times New Roman"/>
          <w:sz w:val="24"/>
          <w:szCs w:val="24"/>
        </w:rPr>
      </w:pPr>
    </w:p>
    <w:p w14:paraId="61491D61" w14:textId="50B32BCA" w:rsidR="00F50B3B" w:rsidRPr="00067928" w:rsidRDefault="00682DAC" w:rsidP="00067928">
      <w:pPr>
        <w:pStyle w:val="Prrafodelista"/>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Identidade pessoal. Aspetos gerais</w:t>
      </w:r>
    </w:p>
    <w:p w14:paraId="59BB64F8" w14:textId="7322AC54" w:rsidR="00A947C3" w:rsidRPr="00A20CF4" w:rsidRDefault="00014F01" w:rsidP="00866D55">
      <w:pPr>
        <w:spacing w:line="360" w:lineRule="auto"/>
        <w:jc w:val="both"/>
        <w:rPr>
          <w:rFonts w:ascii="Times New Roman" w:hAnsi="Times New Roman" w:cs="Times New Roman"/>
          <w:sz w:val="24"/>
          <w:szCs w:val="24"/>
        </w:rPr>
      </w:pPr>
      <w:r w:rsidRPr="00A20CF4">
        <w:rPr>
          <w:rFonts w:ascii="Times New Roman" w:hAnsi="Times New Roman" w:cs="Times New Roman"/>
          <w:sz w:val="24"/>
          <w:szCs w:val="24"/>
        </w:rPr>
        <w:t xml:space="preserve">Entende-se, em geral, por direito à identidade </w:t>
      </w:r>
      <w:r w:rsidR="00682DAC">
        <w:rPr>
          <w:rFonts w:ascii="Times New Roman" w:hAnsi="Times New Roman" w:cs="Times New Roman"/>
          <w:sz w:val="24"/>
          <w:szCs w:val="24"/>
        </w:rPr>
        <w:t>pessoal</w:t>
      </w:r>
      <w:r w:rsidRPr="00A20CF4">
        <w:rPr>
          <w:rFonts w:ascii="Times New Roman" w:hAnsi="Times New Roman" w:cs="Times New Roman"/>
          <w:sz w:val="24"/>
          <w:szCs w:val="24"/>
        </w:rPr>
        <w:t xml:space="preserve">, </w:t>
      </w:r>
      <w:r w:rsidR="00753DE8">
        <w:rPr>
          <w:rFonts w:ascii="Times New Roman" w:hAnsi="Times New Roman" w:cs="Times New Roman"/>
          <w:sz w:val="24"/>
          <w:szCs w:val="24"/>
        </w:rPr>
        <w:t xml:space="preserve">o </w:t>
      </w:r>
      <w:r w:rsidR="00F34081">
        <w:rPr>
          <w:rFonts w:ascii="Times New Roman" w:hAnsi="Times New Roman" w:cs="Times New Roman"/>
          <w:sz w:val="24"/>
          <w:szCs w:val="24"/>
        </w:rPr>
        <w:t>“</w:t>
      </w:r>
      <w:r w:rsidR="00753DE8">
        <w:rPr>
          <w:rFonts w:ascii="Times New Roman" w:hAnsi="Times New Roman" w:cs="Times New Roman"/>
          <w:sz w:val="24"/>
          <w:szCs w:val="24"/>
        </w:rPr>
        <w:t>direito fundamental ao conhecimento e reconhecimento da paternidade e da maternidade</w:t>
      </w:r>
      <w:r w:rsidR="00F34081">
        <w:rPr>
          <w:rFonts w:ascii="Times New Roman" w:hAnsi="Times New Roman" w:cs="Times New Roman"/>
          <w:sz w:val="24"/>
          <w:szCs w:val="24"/>
        </w:rPr>
        <w:t>”,</w:t>
      </w:r>
      <w:r w:rsidR="00F34081">
        <w:rPr>
          <w:rStyle w:val="Refdenotaalpie"/>
          <w:rFonts w:ascii="Times New Roman" w:hAnsi="Times New Roman" w:cs="Times New Roman"/>
          <w:sz w:val="24"/>
          <w:szCs w:val="24"/>
        </w:rPr>
        <w:footnoteReference w:id="5"/>
      </w:r>
      <w:r w:rsidR="00F34081">
        <w:rPr>
          <w:rFonts w:ascii="Times New Roman" w:hAnsi="Times New Roman" w:cs="Times New Roman"/>
          <w:sz w:val="24"/>
          <w:szCs w:val="24"/>
        </w:rPr>
        <w:t xml:space="preserve"> o qual</w:t>
      </w:r>
      <w:r w:rsidR="00F82737">
        <w:rPr>
          <w:rFonts w:ascii="Times New Roman" w:hAnsi="Times New Roman" w:cs="Times New Roman"/>
          <w:sz w:val="24"/>
          <w:szCs w:val="24"/>
        </w:rPr>
        <w:t xml:space="preserve"> é consagrado como um direito fundamental no ordenamento jurídico português, no artigo </w:t>
      </w:r>
      <w:r w:rsidR="00682DAC">
        <w:rPr>
          <w:rFonts w:ascii="Times New Roman" w:hAnsi="Times New Roman" w:cs="Times New Roman"/>
          <w:sz w:val="24"/>
          <w:szCs w:val="24"/>
        </w:rPr>
        <w:t>2</w:t>
      </w:r>
      <w:r w:rsidR="00F82737">
        <w:rPr>
          <w:rFonts w:ascii="Times New Roman" w:hAnsi="Times New Roman" w:cs="Times New Roman"/>
          <w:sz w:val="24"/>
          <w:szCs w:val="24"/>
        </w:rPr>
        <w:t>6.º, n.º 1 da Constituição da República</w:t>
      </w:r>
      <w:r w:rsidR="00C02148">
        <w:rPr>
          <w:rFonts w:ascii="Times New Roman" w:hAnsi="Times New Roman" w:cs="Times New Roman"/>
          <w:sz w:val="24"/>
          <w:szCs w:val="24"/>
        </w:rPr>
        <w:t xml:space="preserve"> Portuguesa (CRP)</w:t>
      </w:r>
      <w:r w:rsidR="00F82737">
        <w:rPr>
          <w:rFonts w:ascii="Times New Roman" w:hAnsi="Times New Roman" w:cs="Times New Roman"/>
          <w:sz w:val="24"/>
          <w:szCs w:val="24"/>
        </w:rPr>
        <w:t>.</w:t>
      </w:r>
      <w:r w:rsidR="00682DAC">
        <w:rPr>
          <w:rStyle w:val="Refdenotaalpie"/>
          <w:rFonts w:ascii="Times New Roman" w:hAnsi="Times New Roman" w:cs="Times New Roman"/>
          <w:sz w:val="24"/>
          <w:szCs w:val="24"/>
        </w:rPr>
        <w:footnoteReference w:id="6"/>
      </w:r>
      <w:r w:rsidR="00F82737">
        <w:rPr>
          <w:rFonts w:ascii="Times New Roman" w:hAnsi="Times New Roman" w:cs="Times New Roman"/>
          <w:sz w:val="24"/>
          <w:szCs w:val="24"/>
        </w:rPr>
        <w:t xml:space="preserve"> Para além </w:t>
      </w:r>
      <w:r w:rsidR="002F07B2">
        <w:rPr>
          <w:rFonts w:ascii="Times New Roman" w:hAnsi="Times New Roman" w:cs="Times New Roman"/>
          <w:sz w:val="24"/>
          <w:szCs w:val="24"/>
        </w:rPr>
        <w:t>do direito à</w:t>
      </w:r>
      <w:r w:rsidR="00B07BD3">
        <w:rPr>
          <w:rFonts w:ascii="Times New Roman" w:hAnsi="Times New Roman" w:cs="Times New Roman"/>
          <w:sz w:val="24"/>
          <w:szCs w:val="24"/>
        </w:rPr>
        <w:t xml:space="preserve"> procriação,</w:t>
      </w:r>
      <w:r w:rsidR="004C34BD">
        <w:rPr>
          <w:rFonts w:ascii="Times New Roman" w:hAnsi="Times New Roman" w:cs="Times New Roman"/>
          <w:sz w:val="24"/>
          <w:szCs w:val="24"/>
        </w:rPr>
        <w:t xml:space="preserve"> e porque a maternidade e a paternidade são factos biológicos com relevância jurídica,</w:t>
      </w:r>
      <w:r w:rsidR="003B2A26">
        <w:rPr>
          <w:rStyle w:val="Refdenotaalpie"/>
          <w:rFonts w:ascii="Times New Roman" w:hAnsi="Times New Roman" w:cs="Times New Roman"/>
          <w:sz w:val="24"/>
          <w:szCs w:val="24"/>
        </w:rPr>
        <w:footnoteReference w:id="7"/>
      </w:r>
      <w:r w:rsidR="004C34BD">
        <w:rPr>
          <w:rFonts w:ascii="Times New Roman" w:hAnsi="Times New Roman" w:cs="Times New Roman"/>
          <w:sz w:val="24"/>
          <w:szCs w:val="24"/>
        </w:rPr>
        <w:t xml:space="preserve"> </w:t>
      </w:r>
      <w:r w:rsidR="00B07BD3">
        <w:rPr>
          <w:rFonts w:ascii="Times New Roman" w:hAnsi="Times New Roman" w:cs="Times New Roman"/>
          <w:sz w:val="24"/>
          <w:szCs w:val="24"/>
        </w:rPr>
        <w:t>a lei fundamental reconhece</w:t>
      </w:r>
      <w:r w:rsidR="00C02148">
        <w:rPr>
          <w:rFonts w:ascii="Times New Roman" w:hAnsi="Times New Roman" w:cs="Times New Roman"/>
          <w:sz w:val="24"/>
          <w:szCs w:val="24"/>
        </w:rPr>
        <w:t>,</w:t>
      </w:r>
      <w:r w:rsidR="0019604B">
        <w:rPr>
          <w:rFonts w:ascii="Times New Roman" w:hAnsi="Times New Roman" w:cs="Times New Roman"/>
          <w:sz w:val="24"/>
          <w:szCs w:val="24"/>
        </w:rPr>
        <w:t xml:space="preserve"> no mesmo preceito,</w:t>
      </w:r>
      <w:r w:rsidR="00B07BD3">
        <w:rPr>
          <w:rFonts w:ascii="Times New Roman" w:hAnsi="Times New Roman" w:cs="Times New Roman"/>
          <w:sz w:val="24"/>
          <w:szCs w:val="24"/>
        </w:rPr>
        <w:t xml:space="preserve"> como direito fundamental, o direito </w:t>
      </w:r>
      <w:r w:rsidR="002F07B2">
        <w:rPr>
          <w:rFonts w:ascii="Times New Roman" w:hAnsi="Times New Roman" w:cs="Times New Roman"/>
          <w:sz w:val="24"/>
          <w:szCs w:val="24"/>
        </w:rPr>
        <w:t>ao</w:t>
      </w:r>
      <w:r w:rsidR="00B07BD3">
        <w:rPr>
          <w:rFonts w:ascii="Times New Roman" w:hAnsi="Times New Roman" w:cs="Times New Roman"/>
          <w:sz w:val="24"/>
          <w:szCs w:val="24"/>
        </w:rPr>
        <w:t xml:space="preserve"> enquadramento jurídico das relações de filiação natural, </w:t>
      </w:r>
      <w:r w:rsidR="00F34081">
        <w:rPr>
          <w:rFonts w:ascii="Times New Roman" w:hAnsi="Times New Roman" w:cs="Times New Roman"/>
          <w:sz w:val="24"/>
          <w:szCs w:val="24"/>
        </w:rPr>
        <w:t xml:space="preserve">com a correspondente produção de efeitos, </w:t>
      </w:r>
      <w:r w:rsidR="00B07BD3">
        <w:rPr>
          <w:rFonts w:ascii="Times New Roman" w:hAnsi="Times New Roman" w:cs="Times New Roman"/>
          <w:sz w:val="24"/>
          <w:szCs w:val="24"/>
        </w:rPr>
        <w:t>através do estabelecimento das relações de maternidade e de paternidade.</w:t>
      </w:r>
      <w:r w:rsidR="002F07B2">
        <w:rPr>
          <w:rStyle w:val="Refdenotaalpie"/>
          <w:rFonts w:ascii="Times New Roman" w:hAnsi="Times New Roman" w:cs="Times New Roman"/>
          <w:sz w:val="24"/>
          <w:szCs w:val="24"/>
        </w:rPr>
        <w:footnoteReference w:id="8"/>
      </w:r>
      <w:r w:rsidR="00B07BD3">
        <w:rPr>
          <w:rFonts w:ascii="Times New Roman" w:hAnsi="Times New Roman" w:cs="Times New Roman"/>
          <w:sz w:val="24"/>
          <w:szCs w:val="24"/>
        </w:rPr>
        <w:t xml:space="preserve"> </w:t>
      </w:r>
      <w:r w:rsidRPr="00A20CF4">
        <w:rPr>
          <w:rFonts w:ascii="Times New Roman" w:hAnsi="Times New Roman" w:cs="Times New Roman"/>
          <w:sz w:val="24"/>
          <w:szCs w:val="24"/>
        </w:rPr>
        <w:t>Tal direito</w:t>
      </w:r>
      <w:r w:rsidR="005E2CD3">
        <w:rPr>
          <w:rFonts w:ascii="Times New Roman" w:hAnsi="Times New Roman" w:cs="Times New Roman"/>
          <w:sz w:val="24"/>
          <w:szCs w:val="24"/>
        </w:rPr>
        <w:t xml:space="preserve"> tem na sua base </w:t>
      </w:r>
      <w:r w:rsidRPr="00A20CF4">
        <w:rPr>
          <w:rFonts w:ascii="Times New Roman" w:hAnsi="Times New Roman" w:cs="Times New Roman"/>
          <w:sz w:val="24"/>
          <w:szCs w:val="24"/>
        </w:rPr>
        <w:t xml:space="preserve">o </w:t>
      </w:r>
      <w:r w:rsidR="0020312C" w:rsidRPr="00A20CF4">
        <w:rPr>
          <w:rFonts w:ascii="Times New Roman" w:hAnsi="Times New Roman" w:cs="Times New Roman"/>
          <w:sz w:val="24"/>
          <w:szCs w:val="24"/>
        </w:rPr>
        <w:t>princípio</w:t>
      </w:r>
      <w:r w:rsidRPr="00A20CF4">
        <w:rPr>
          <w:rFonts w:ascii="Times New Roman" w:hAnsi="Times New Roman" w:cs="Times New Roman"/>
          <w:sz w:val="24"/>
          <w:szCs w:val="24"/>
        </w:rPr>
        <w:t xml:space="preserve"> da verdade biológica, </w:t>
      </w:r>
      <w:r w:rsidR="00CA607B">
        <w:rPr>
          <w:rFonts w:ascii="Times New Roman" w:hAnsi="Times New Roman" w:cs="Times New Roman"/>
          <w:sz w:val="24"/>
          <w:szCs w:val="24"/>
        </w:rPr>
        <w:t xml:space="preserve">também </w:t>
      </w:r>
      <w:r w:rsidRPr="00A20CF4">
        <w:rPr>
          <w:rFonts w:ascii="Times New Roman" w:hAnsi="Times New Roman" w:cs="Times New Roman"/>
          <w:sz w:val="24"/>
          <w:szCs w:val="24"/>
        </w:rPr>
        <w:t>consagrado na generalidade das legislações mundiais e</w:t>
      </w:r>
      <w:r w:rsidR="0020312C" w:rsidRPr="00A20CF4">
        <w:rPr>
          <w:rFonts w:ascii="Times New Roman" w:hAnsi="Times New Roman" w:cs="Times New Roman"/>
          <w:sz w:val="24"/>
          <w:szCs w:val="24"/>
        </w:rPr>
        <w:t>,</w:t>
      </w:r>
      <w:r w:rsidRPr="00A20CF4">
        <w:rPr>
          <w:rFonts w:ascii="Times New Roman" w:hAnsi="Times New Roman" w:cs="Times New Roman"/>
          <w:sz w:val="24"/>
          <w:szCs w:val="24"/>
        </w:rPr>
        <w:t xml:space="preserve"> em especial</w:t>
      </w:r>
      <w:r w:rsidR="0020312C" w:rsidRPr="00A20CF4">
        <w:rPr>
          <w:rFonts w:ascii="Times New Roman" w:hAnsi="Times New Roman" w:cs="Times New Roman"/>
          <w:sz w:val="24"/>
          <w:szCs w:val="24"/>
        </w:rPr>
        <w:t>,</w:t>
      </w:r>
      <w:r w:rsidRPr="00A20CF4">
        <w:rPr>
          <w:rFonts w:ascii="Times New Roman" w:hAnsi="Times New Roman" w:cs="Times New Roman"/>
          <w:sz w:val="24"/>
          <w:szCs w:val="24"/>
        </w:rPr>
        <w:t xml:space="preserve"> na legislação portuguesa, </w:t>
      </w:r>
      <w:r w:rsidR="0020312C" w:rsidRPr="00A20CF4">
        <w:rPr>
          <w:rFonts w:ascii="Times New Roman" w:hAnsi="Times New Roman" w:cs="Times New Roman"/>
          <w:sz w:val="24"/>
          <w:szCs w:val="24"/>
        </w:rPr>
        <w:t>em matéria de estabelecimento da filiação</w:t>
      </w:r>
      <w:r w:rsidR="008358FB">
        <w:rPr>
          <w:rFonts w:ascii="Times New Roman" w:hAnsi="Times New Roman" w:cs="Times New Roman"/>
          <w:sz w:val="24"/>
          <w:szCs w:val="24"/>
        </w:rPr>
        <w:t xml:space="preserve"> (artigo 1796.º </w:t>
      </w:r>
      <w:r w:rsidR="003E44FD">
        <w:rPr>
          <w:rFonts w:ascii="Times New Roman" w:hAnsi="Times New Roman" w:cs="Times New Roman"/>
          <w:sz w:val="24"/>
          <w:szCs w:val="24"/>
        </w:rPr>
        <w:t>do Código Civil (</w:t>
      </w:r>
      <w:r w:rsidR="008358FB">
        <w:rPr>
          <w:rFonts w:ascii="Times New Roman" w:hAnsi="Times New Roman" w:cs="Times New Roman"/>
          <w:sz w:val="24"/>
          <w:szCs w:val="24"/>
        </w:rPr>
        <w:t>CC</w:t>
      </w:r>
      <w:r w:rsidR="003E44FD">
        <w:rPr>
          <w:rFonts w:ascii="Times New Roman" w:hAnsi="Times New Roman" w:cs="Times New Roman"/>
          <w:sz w:val="24"/>
          <w:szCs w:val="24"/>
        </w:rPr>
        <w:t>)</w:t>
      </w:r>
      <w:r w:rsidR="008358FB">
        <w:rPr>
          <w:rFonts w:ascii="Times New Roman" w:hAnsi="Times New Roman" w:cs="Times New Roman"/>
          <w:sz w:val="24"/>
          <w:szCs w:val="24"/>
        </w:rPr>
        <w:t>)</w:t>
      </w:r>
      <w:r w:rsidR="0020312C" w:rsidRPr="00A20CF4">
        <w:rPr>
          <w:rFonts w:ascii="Times New Roman" w:hAnsi="Times New Roman" w:cs="Times New Roman"/>
          <w:sz w:val="24"/>
          <w:szCs w:val="24"/>
        </w:rPr>
        <w:t>.</w:t>
      </w:r>
      <w:r w:rsidR="00935A2E">
        <w:rPr>
          <w:rStyle w:val="Refdenotaalpie"/>
          <w:rFonts w:ascii="Times New Roman" w:hAnsi="Times New Roman" w:cs="Times New Roman"/>
          <w:sz w:val="24"/>
          <w:szCs w:val="24"/>
        </w:rPr>
        <w:footnoteReference w:id="9"/>
      </w:r>
      <w:r w:rsidR="0020312C" w:rsidRPr="00A20CF4">
        <w:rPr>
          <w:rFonts w:ascii="Times New Roman" w:hAnsi="Times New Roman" w:cs="Times New Roman"/>
          <w:sz w:val="24"/>
          <w:szCs w:val="24"/>
        </w:rPr>
        <w:t xml:space="preserve"> De acordo com o identificado princípio, a filiação estabelecida, ou a estabelecer, deve corresponder àquela que resulta de uma conceção com recurso ao património genético dos </w:t>
      </w:r>
      <w:r w:rsidR="0020312C" w:rsidRPr="00A20CF4">
        <w:rPr>
          <w:rFonts w:ascii="Times New Roman" w:hAnsi="Times New Roman" w:cs="Times New Roman"/>
          <w:sz w:val="24"/>
          <w:szCs w:val="24"/>
        </w:rPr>
        <w:lastRenderedPageBreak/>
        <w:t>progenitores,</w:t>
      </w:r>
      <w:r w:rsidR="008012EA">
        <w:rPr>
          <w:rStyle w:val="Refdenotaalpie"/>
          <w:rFonts w:ascii="Times New Roman" w:hAnsi="Times New Roman" w:cs="Times New Roman"/>
          <w:sz w:val="24"/>
          <w:szCs w:val="24"/>
        </w:rPr>
        <w:footnoteReference w:id="10"/>
      </w:r>
      <w:r w:rsidR="00682DAC">
        <w:rPr>
          <w:rFonts w:ascii="Times New Roman" w:hAnsi="Times New Roman" w:cs="Times New Roman"/>
          <w:sz w:val="24"/>
          <w:szCs w:val="24"/>
        </w:rPr>
        <w:t xml:space="preserve"> </w:t>
      </w:r>
      <w:r w:rsidR="0020312C" w:rsidRPr="00A20CF4">
        <w:rPr>
          <w:rFonts w:ascii="Times New Roman" w:hAnsi="Times New Roman" w:cs="Times New Roman"/>
          <w:sz w:val="24"/>
          <w:szCs w:val="24"/>
        </w:rPr>
        <w:t>à sua filiação real</w:t>
      </w:r>
      <w:r w:rsidR="00E203CF">
        <w:rPr>
          <w:rFonts w:ascii="Times New Roman" w:hAnsi="Times New Roman" w:cs="Times New Roman"/>
          <w:sz w:val="24"/>
          <w:szCs w:val="24"/>
        </w:rPr>
        <w:t>, fazendo coincidir a realidade biológica com a produção dos correspondentes efeitos jurídicos aplicáveis</w:t>
      </w:r>
      <w:r w:rsidR="0020312C" w:rsidRPr="00A20CF4">
        <w:rPr>
          <w:rFonts w:ascii="Times New Roman" w:hAnsi="Times New Roman" w:cs="Times New Roman"/>
          <w:sz w:val="24"/>
          <w:szCs w:val="24"/>
        </w:rPr>
        <w:t>.</w:t>
      </w:r>
      <w:r w:rsidR="00CA25A1">
        <w:rPr>
          <w:rStyle w:val="Refdenotaalpie"/>
          <w:rFonts w:ascii="Times New Roman" w:hAnsi="Times New Roman" w:cs="Times New Roman"/>
          <w:sz w:val="24"/>
          <w:szCs w:val="24"/>
        </w:rPr>
        <w:footnoteReference w:id="11"/>
      </w:r>
      <w:r w:rsidR="0020312C" w:rsidRPr="00A20CF4">
        <w:rPr>
          <w:rFonts w:ascii="Times New Roman" w:hAnsi="Times New Roman" w:cs="Times New Roman"/>
          <w:sz w:val="24"/>
          <w:szCs w:val="24"/>
        </w:rPr>
        <w:t xml:space="preserve"> No direito português, a maternidade resulta do nascimento,</w:t>
      </w:r>
      <w:r w:rsidR="008358FB">
        <w:rPr>
          <w:rStyle w:val="Refdenotaalpie"/>
          <w:rFonts w:ascii="Times New Roman" w:hAnsi="Times New Roman" w:cs="Times New Roman"/>
          <w:sz w:val="24"/>
          <w:szCs w:val="24"/>
        </w:rPr>
        <w:footnoteReference w:id="12"/>
      </w:r>
      <w:r w:rsidR="008358FB">
        <w:rPr>
          <w:rFonts w:ascii="Times New Roman" w:hAnsi="Times New Roman" w:cs="Times New Roman"/>
          <w:sz w:val="24"/>
          <w:szCs w:val="24"/>
        </w:rPr>
        <w:t xml:space="preserve"> </w:t>
      </w:r>
      <w:r w:rsidR="0020312C" w:rsidRPr="00A20CF4">
        <w:rPr>
          <w:rFonts w:ascii="Times New Roman" w:hAnsi="Times New Roman" w:cs="Times New Roman"/>
          <w:sz w:val="24"/>
          <w:szCs w:val="24"/>
        </w:rPr>
        <w:t xml:space="preserve"> </w:t>
      </w:r>
      <w:r w:rsidR="00522ECC" w:rsidRPr="00A20CF4">
        <w:rPr>
          <w:rFonts w:ascii="Times New Roman" w:hAnsi="Times New Roman" w:cs="Times New Roman"/>
          <w:sz w:val="24"/>
          <w:szCs w:val="24"/>
        </w:rPr>
        <w:t>enquanto</w:t>
      </w:r>
      <w:r w:rsidR="0020312C" w:rsidRPr="00A20CF4">
        <w:rPr>
          <w:rFonts w:ascii="Times New Roman" w:hAnsi="Times New Roman" w:cs="Times New Roman"/>
          <w:sz w:val="24"/>
          <w:szCs w:val="24"/>
        </w:rPr>
        <w:t xml:space="preserve"> a paternidade é estabelecida</w:t>
      </w:r>
      <w:r w:rsidR="00CA607B">
        <w:rPr>
          <w:rFonts w:ascii="Times New Roman" w:hAnsi="Times New Roman" w:cs="Times New Roman"/>
          <w:sz w:val="24"/>
          <w:szCs w:val="24"/>
        </w:rPr>
        <w:t xml:space="preserve"> p</w:t>
      </w:r>
      <w:r w:rsidR="008358FB">
        <w:rPr>
          <w:rFonts w:ascii="Times New Roman" w:hAnsi="Times New Roman" w:cs="Times New Roman"/>
          <w:sz w:val="24"/>
          <w:szCs w:val="24"/>
        </w:rPr>
        <w:t>or</w:t>
      </w:r>
      <w:r w:rsidR="00522ECC" w:rsidRPr="00A20CF4">
        <w:rPr>
          <w:rFonts w:ascii="Times New Roman" w:hAnsi="Times New Roman" w:cs="Times New Roman"/>
          <w:sz w:val="24"/>
          <w:szCs w:val="24"/>
        </w:rPr>
        <w:t xml:space="preserve"> presunção de paternidade a favor do marido da mãe, sempre que o nascimento ocorra na constância do casamento</w:t>
      </w:r>
      <w:r w:rsidR="00CA607B">
        <w:rPr>
          <w:rFonts w:ascii="Times New Roman" w:hAnsi="Times New Roman" w:cs="Times New Roman"/>
          <w:sz w:val="24"/>
          <w:szCs w:val="24"/>
        </w:rPr>
        <w:t>,</w:t>
      </w:r>
      <w:r w:rsidR="003B2A26">
        <w:rPr>
          <w:rFonts w:ascii="Times New Roman" w:hAnsi="Times New Roman" w:cs="Times New Roman"/>
          <w:sz w:val="24"/>
          <w:szCs w:val="24"/>
        </w:rPr>
        <w:t xml:space="preserve"> e, nos demais casos, por reconhecimento (artigo 1796.º CC)</w:t>
      </w:r>
      <w:r w:rsidR="00522ECC" w:rsidRPr="00A20CF4">
        <w:rPr>
          <w:rFonts w:ascii="Times New Roman" w:hAnsi="Times New Roman" w:cs="Times New Roman"/>
          <w:sz w:val="24"/>
          <w:szCs w:val="24"/>
        </w:rPr>
        <w:t>. Tal presunção, consagrada no artigo 1826.º do código civil, tem, assim, um âmbito de aplicação material limitado. Relativamente aos demais casos de na</w:t>
      </w:r>
      <w:r w:rsidR="00CE585D">
        <w:rPr>
          <w:rFonts w:ascii="Times New Roman" w:hAnsi="Times New Roman" w:cs="Times New Roman"/>
          <w:sz w:val="24"/>
          <w:szCs w:val="24"/>
        </w:rPr>
        <w:t>s</w:t>
      </w:r>
      <w:r w:rsidR="00522ECC" w:rsidRPr="00A20CF4">
        <w:rPr>
          <w:rFonts w:ascii="Times New Roman" w:hAnsi="Times New Roman" w:cs="Times New Roman"/>
          <w:sz w:val="24"/>
          <w:szCs w:val="24"/>
        </w:rPr>
        <w:t xml:space="preserve">cimento fora do âmbito material de aplicação da </w:t>
      </w:r>
      <w:r w:rsidR="004E770B">
        <w:rPr>
          <w:rFonts w:ascii="Times New Roman" w:hAnsi="Times New Roman" w:cs="Times New Roman"/>
          <w:sz w:val="24"/>
          <w:szCs w:val="24"/>
        </w:rPr>
        <w:t xml:space="preserve">mencionada </w:t>
      </w:r>
      <w:r w:rsidR="00522ECC" w:rsidRPr="00A20CF4">
        <w:rPr>
          <w:rFonts w:ascii="Times New Roman" w:hAnsi="Times New Roman" w:cs="Times New Roman"/>
          <w:sz w:val="24"/>
          <w:szCs w:val="24"/>
        </w:rPr>
        <w:t>norma, a paternidade pode ser estabelecida</w:t>
      </w:r>
      <w:r w:rsidR="00A5395D" w:rsidRPr="00A20CF4">
        <w:rPr>
          <w:rFonts w:ascii="Times New Roman" w:hAnsi="Times New Roman" w:cs="Times New Roman"/>
          <w:sz w:val="24"/>
          <w:szCs w:val="24"/>
        </w:rPr>
        <w:t xml:space="preserve"> por perfilhação,</w:t>
      </w:r>
      <w:r w:rsidR="003F2805">
        <w:rPr>
          <w:rFonts w:ascii="Times New Roman" w:hAnsi="Times New Roman" w:cs="Times New Roman"/>
          <w:sz w:val="24"/>
          <w:szCs w:val="24"/>
        </w:rPr>
        <w:t xml:space="preserve"> ou decisão judicial </w:t>
      </w:r>
      <w:r w:rsidR="00CA25A1">
        <w:rPr>
          <w:rFonts w:ascii="Times New Roman" w:hAnsi="Times New Roman" w:cs="Times New Roman"/>
          <w:sz w:val="24"/>
          <w:szCs w:val="24"/>
        </w:rPr>
        <w:t>em ação de investigação (artigo 1847.º CC). A perfilhação, enquanto declaração de ciência, é efetuada</w:t>
      </w:r>
      <w:r w:rsidR="00A5395D" w:rsidRPr="00A20CF4">
        <w:rPr>
          <w:rFonts w:ascii="Times New Roman" w:hAnsi="Times New Roman" w:cs="Times New Roman"/>
          <w:sz w:val="24"/>
          <w:szCs w:val="24"/>
        </w:rPr>
        <w:t xml:space="preserve"> mediante declaração prestada perante funcionário do registo civil, por escritura pública, por testamento -sendo a mesma irrevogável, ainda que o testamento venha a ser objeto de revogação</w:t>
      </w:r>
      <w:r w:rsidR="007D5A83">
        <w:rPr>
          <w:rStyle w:val="Refdenotaalpie"/>
          <w:rFonts w:ascii="Times New Roman" w:hAnsi="Times New Roman" w:cs="Times New Roman"/>
          <w:sz w:val="24"/>
          <w:szCs w:val="24"/>
        </w:rPr>
        <w:footnoteReference w:id="13"/>
      </w:r>
      <w:r w:rsidR="00A5395D" w:rsidRPr="00A20CF4">
        <w:rPr>
          <w:rFonts w:ascii="Times New Roman" w:hAnsi="Times New Roman" w:cs="Times New Roman"/>
          <w:sz w:val="24"/>
          <w:szCs w:val="24"/>
        </w:rPr>
        <w:t>- e por termo lavrado em juízo</w:t>
      </w:r>
      <w:r w:rsidR="003B2A26">
        <w:rPr>
          <w:rFonts w:ascii="Times New Roman" w:hAnsi="Times New Roman" w:cs="Times New Roman"/>
          <w:sz w:val="24"/>
          <w:szCs w:val="24"/>
        </w:rPr>
        <w:t xml:space="preserve"> (artigo</w:t>
      </w:r>
      <w:r w:rsidR="00CA25A1">
        <w:rPr>
          <w:rFonts w:ascii="Times New Roman" w:hAnsi="Times New Roman" w:cs="Times New Roman"/>
          <w:sz w:val="24"/>
          <w:szCs w:val="24"/>
        </w:rPr>
        <w:t xml:space="preserve"> 1853.º CC)</w:t>
      </w:r>
      <w:r w:rsidR="00A5395D" w:rsidRPr="00A20CF4">
        <w:rPr>
          <w:rFonts w:ascii="Times New Roman" w:hAnsi="Times New Roman" w:cs="Times New Roman"/>
          <w:sz w:val="24"/>
          <w:szCs w:val="24"/>
        </w:rPr>
        <w:t>. Caso uma conservatória do registo civil, entidade administrativa competente p</w:t>
      </w:r>
      <w:r w:rsidR="00CA25A1">
        <w:rPr>
          <w:rFonts w:ascii="Times New Roman" w:hAnsi="Times New Roman" w:cs="Times New Roman"/>
          <w:sz w:val="24"/>
          <w:szCs w:val="24"/>
        </w:rPr>
        <w:t>ar</w:t>
      </w:r>
      <w:r w:rsidR="00A5395D" w:rsidRPr="00A20CF4">
        <w:rPr>
          <w:rFonts w:ascii="Times New Roman" w:hAnsi="Times New Roman" w:cs="Times New Roman"/>
          <w:sz w:val="24"/>
          <w:szCs w:val="24"/>
        </w:rPr>
        <w:t xml:space="preserve">a </w:t>
      </w:r>
      <w:r w:rsidR="009E55E7">
        <w:rPr>
          <w:rFonts w:ascii="Times New Roman" w:hAnsi="Times New Roman" w:cs="Times New Roman"/>
          <w:sz w:val="24"/>
          <w:szCs w:val="24"/>
        </w:rPr>
        <w:t>lavrar</w:t>
      </w:r>
      <w:r w:rsidR="00A5395D" w:rsidRPr="00A20CF4">
        <w:rPr>
          <w:rFonts w:ascii="Times New Roman" w:hAnsi="Times New Roman" w:cs="Times New Roman"/>
          <w:sz w:val="24"/>
          <w:szCs w:val="24"/>
        </w:rPr>
        <w:t xml:space="preserve"> registos de nascimento, verifique a existência de um registo de nascimento sem menção de maternidade ou de paternidade, </w:t>
      </w:r>
      <w:r w:rsidR="009E55E7">
        <w:rPr>
          <w:rFonts w:ascii="Times New Roman" w:hAnsi="Times New Roman" w:cs="Times New Roman"/>
          <w:sz w:val="24"/>
          <w:szCs w:val="24"/>
        </w:rPr>
        <w:t>extrai</w:t>
      </w:r>
      <w:r w:rsidR="00A5395D" w:rsidRPr="00A20CF4">
        <w:rPr>
          <w:rFonts w:ascii="Times New Roman" w:hAnsi="Times New Roman" w:cs="Times New Roman"/>
          <w:sz w:val="24"/>
          <w:szCs w:val="24"/>
        </w:rPr>
        <w:t xml:space="preserve"> oficiosamente certidão que expedirá aos serviços do Ministério Público para efeitos de averiguação oficiosa da filiação da criança. Quanto aos </w:t>
      </w:r>
      <w:r w:rsidR="00A947C3" w:rsidRPr="00A20CF4">
        <w:rPr>
          <w:rFonts w:ascii="Times New Roman" w:hAnsi="Times New Roman" w:cs="Times New Roman"/>
          <w:sz w:val="24"/>
          <w:szCs w:val="24"/>
        </w:rPr>
        <w:t>registos promovidos, consagra-se a possibilidade de impugnação da filiação estabelecida em desconformidade com o princípio da verdade biológica. Caso a ação respetiva seja objeto de sentença que reconheça a mencionada desconformidade, é ordenado o cancelamento do registo em crise nos respetivos autos.</w:t>
      </w:r>
    </w:p>
    <w:p w14:paraId="08B8578C" w14:textId="2F271C4B" w:rsidR="00CA25A1" w:rsidRPr="00682DAC" w:rsidRDefault="00A947C3" w:rsidP="00866D55">
      <w:pPr>
        <w:spacing w:line="360" w:lineRule="auto"/>
        <w:jc w:val="both"/>
        <w:rPr>
          <w:rFonts w:ascii="Times New Roman" w:hAnsi="Times New Roman" w:cs="Times New Roman"/>
          <w:sz w:val="24"/>
          <w:szCs w:val="24"/>
        </w:rPr>
      </w:pPr>
      <w:r w:rsidRPr="00A20CF4">
        <w:rPr>
          <w:rFonts w:ascii="Times New Roman" w:hAnsi="Times New Roman" w:cs="Times New Roman"/>
          <w:sz w:val="24"/>
          <w:szCs w:val="24"/>
        </w:rPr>
        <w:t>No entanto, a instauração</w:t>
      </w:r>
      <w:r w:rsidR="002A3144">
        <w:rPr>
          <w:rFonts w:ascii="Times New Roman" w:hAnsi="Times New Roman" w:cs="Times New Roman"/>
          <w:sz w:val="24"/>
          <w:szCs w:val="24"/>
        </w:rPr>
        <w:t xml:space="preserve"> </w:t>
      </w:r>
      <w:r w:rsidRPr="00A20CF4">
        <w:rPr>
          <w:rFonts w:ascii="Times New Roman" w:hAnsi="Times New Roman" w:cs="Times New Roman"/>
          <w:sz w:val="24"/>
          <w:szCs w:val="24"/>
        </w:rPr>
        <w:t>de ações de investigação d</w:t>
      </w:r>
      <w:r w:rsidR="002A3144">
        <w:rPr>
          <w:rFonts w:ascii="Times New Roman" w:hAnsi="Times New Roman" w:cs="Times New Roman"/>
          <w:sz w:val="24"/>
          <w:szCs w:val="24"/>
        </w:rPr>
        <w:t>a</w:t>
      </w:r>
      <w:r w:rsidRPr="00A20CF4">
        <w:rPr>
          <w:rFonts w:ascii="Times New Roman" w:hAnsi="Times New Roman" w:cs="Times New Roman"/>
          <w:sz w:val="24"/>
          <w:szCs w:val="24"/>
        </w:rPr>
        <w:t xml:space="preserve"> maternidade ou d</w:t>
      </w:r>
      <w:r w:rsidR="002A3144">
        <w:rPr>
          <w:rFonts w:ascii="Times New Roman" w:hAnsi="Times New Roman" w:cs="Times New Roman"/>
          <w:sz w:val="24"/>
          <w:szCs w:val="24"/>
        </w:rPr>
        <w:t>a</w:t>
      </w:r>
      <w:r w:rsidRPr="00A20CF4">
        <w:rPr>
          <w:rFonts w:ascii="Times New Roman" w:hAnsi="Times New Roman" w:cs="Times New Roman"/>
          <w:sz w:val="24"/>
          <w:szCs w:val="24"/>
        </w:rPr>
        <w:t xml:space="preserve"> paternidade, </w:t>
      </w:r>
      <w:r w:rsidR="00A50611" w:rsidRPr="00A20CF4">
        <w:rPr>
          <w:rFonts w:ascii="Times New Roman" w:hAnsi="Times New Roman" w:cs="Times New Roman"/>
          <w:sz w:val="24"/>
          <w:szCs w:val="24"/>
        </w:rPr>
        <w:t>seja</w:t>
      </w:r>
      <w:r w:rsidRPr="00A20CF4">
        <w:rPr>
          <w:rFonts w:ascii="Times New Roman" w:hAnsi="Times New Roman" w:cs="Times New Roman"/>
          <w:sz w:val="24"/>
          <w:szCs w:val="24"/>
        </w:rPr>
        <w:t xml:space="preserve"> na sequência da procedência de uma ação de impugnação da filiação estabelecida, </w:t>
      </w:r>
      <w:r w:rsidR="00A50611" w:rsidRPr="00A20CF4">
        <w:rPr>
          <w:rFonts w:ascii="Times New Roman" w:hAnsi="Times New Roman" w:cs="Times New Roman"/>
          <w:sz w:val="24"/>
          <w:szCs w:val="24"/>
        </w:rPr>
        <w:t>seja</w:t>
      </w:r>
      <w:r w:rsidRPr="00A20CF4">
        <w:rPr>
          <w:rFonts w:ascii="Times New Roman" w:hAnsi="Times New Roman" w:cs="Times New Roman"/>
          <w:sz w:val="24"/>
          <w:szCs w:val="24"/>
        </w:rPr>
        <w:t xml:space="preserve"> como via legal de determinação da filiação</w:t>
      </w:r>
      <w:r w:rsidR="003E44FD">
        <w:rPr>
          <w:rFonts w:ascii="Times New Roman" w:hAnsi="Times New Roman" w:cs="Times New Roman"/>
          <w:sz w:val="24"/>
          <w:szCs w:val="24"/>
        </w:rPr>
        <w:t>,</w:t>
      </w:r>
      <w:r w:rsidR="00DD1B5E">
        <w:rPr>
          <w:rStyle w:val="Refdenotaalpie"/>
          <w:rFonts w:ascii="Times New Roman" w:hAnsi="Times New Roman" w:cs="Times New Roman"/>
          <w:sz w:val="24"/>
          <w:szCs w:val="24"/>
        </w:rPr>
        <w:footnoteReference w:id="14"/>
      </w:r>
      <w:r w:rsidRPr="00A20CF4">
        <w:rPr>
          <w:rFonts w:ascii="Times New Roman" w:hAnsi="Times New Roman" w:cs="Times New Roman"/>
          <w:sz w:val="24"/>
          <w:szCs w:val="24"/>
        </w:rPr>
        <w:t xml:space="preserve"> nos casos em que a mesma não foi objeto de qualquer registo</w:t>
      </w:r>
      <w:r w:rsidR="00A50611" w:rsidRPr="00A20CF4">
        <w:rPr>
          <w:rFonts w:ascii="Times New Roman" w:hAnsi="Times New Roman" w:cs="Times New Roman"/>
          <w:sz w:val="24"/>
          <w:szCs w:val="24"/>
        </w:rPr>
        <w:t>, est</w:t>
      </w:r>
      <w:r w:rsidR="003E44FD">
        <w:rPr>
          <w:rFonts w:ascii="Times New Roman" w:hAnsi="Times New Roman" w:cs="Times New Roman"/>
          <w:sz w:val="24"/>
          <w:szCs w:val="24"/>
        </w:rPr>
        <w:t>á</w:t>
      </w:r>
      <w:r w:rsidR="00A50611" w:rsidRPr="00A20CF4">
        <w:rPr>
          <w:rFonts w:ascii="Times New Roman" w:hAnsi="Times New Roman" w:cs="Times New Roman"/>
          <w:sz w:val="24"/>
          <w:szCs w:val="24"/>
        </w:rPr>
        <w:t xml:space="preserve"> dependente</w:t>
      </w:r>
      <w:r w:rsidR="004E770B">
        <w:rPr>
          <w:rFonts w:ascii="Times New Roman" w:hAnsi="Times New Roman" w:cs="Times New Roman"/>
          <w:sz w:val="24"/>
          <w:szCs w:val="24"/>
        </w:rPr>
        <w:t>, n</w:t>
      </w:r>
      <w:r w:rsidR="00CB087B">
        <w:rPr>
          <w:rFonts w:ascii="Times New Roman" w:hAnsi="Times New Roman" w:cs="Times New Roman"/>
          <w:sz w:val="24"/>
          <w:szCs w:val="24"/>
        </w:rPr>
        <w:t>o ordenamento jurídico portugu</w:t>
      </w:r>
      <w:r w:rsidR="00CA25A1">
        <w:rPr>
          <w:rFonts w:ascii="Times New Roman" w:hAnsi="Times New Roman" w:cs="Times New Roman"/>
          <w:sz w:val="24"/>
          <w:szCs w:val="24"/>
        </w:rPr>
        <w:t>ês,</w:t>
      </w:r>
      <w:r w:rsidR="00A50611" w:rsidRPr="00A20CF4">
        <w:rPr>
          <w:rFonts w:ascii="Times New Roman" w:hAnsi="Times New Roman" w:cs="Times New Roman"/>
          <w:sz w:val="24"/>
          <w:szCs w:val="24"/>
        </w:rPr>
        <w:t xml:space="preserve"> de </w:t>
      </w:r>
      <w:r w:rsidR="00304259">
        <w:rPr>
          <w:rFonts w:ascii="Times New Roman" w:hAnsi="Times New Roman" w:cs="Times New Roman"/>
          <w:sz w:val="24"/>
          <w:szCs w:val="24"/>
        </w:rPr>
        <w:t xml:space="preserve">um </w:t>
      </w:r>
      <w:r w:rsidR="00A50611" w:rsidRPr="00682DAC">
        <w:rPr>
          <w:rFonts w:ascii="Times New Roman" w:hAnsi="Times New Roman" w:cs="Times New Roman"/>
          <w:sz w:val="24"/>
          <w:szCs w:val="24"/>
        </w:rPr>
        <w:t>prazo</w:t>
      </w:r>
      <w:r w:rsidR="00CA25A1" w:rsidRPr="00682DAC">
        <w:rPr>
          <w:rFonts w:ascii="Times New Roman" w:hAnsi="Times New Roman" w:cs="Times New Roman"/>
          <w:sz w:val="24"/>
          <w:szCs w:val="24"/>
        </w:rPr>
        <w:t xml:space="preserve"> de caducidade</w:t>
      </w:r>
      <w:r w:rsidR="00304259" w:rsidRPr="00682DAC">
        <w:rPr>
          <w:rFonts w:ascii="Times New Roman" w:hAnsi="Times New Roman" w:cs="Times New Roman"/>
          <w:sz w:val="24"/>
          <w:szCs w:val="24"/>
        </w:rPr>
        <w:t xml:space="preserve"> de dez anos</w:t>
      </w:r>
      <w:r w:rsidR="00A50611" w:rsidRPr="00682DAC">
        <w:rPr>
          <w:rFonts w:ascii="Times New Roman" w:hAnsi="Times New Roman" w:cs="Times New Roman"/>
          <w:sz w:val="24"/>
          <w:szCs w:val="24"/>
        </w:rPr>
        <w:t xml:space="preserve">. </w:t>
      </w:r>
    </w:p>
    <w:p w14:paraId="59930374" w14:textId="11AEA280" w:rsidR="00CA25A1" w:rsidRDefault="00CA25A1"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Analisamos no presente trabalho, apenas o prazo para propositura de ação de investigação de maternidade ou de paternidade</w:t>
      </w:r>
      <w:r w:rsidR="00304259">
        <w:rPr>
          <w:rFonts w:ascii="Times New Roman" w:hAnsi="Times New Roman" w:cs="Times New Roman"/>
          <w:sz w:val="24"/>
          <w:szCs w:val="24"/>
        </w:rPr>
        <w:t xml:space="preserve"> pelo filho</w:t>
      </w:r>
      <w:r>
        <w:rPr>
          <w:rFonts w:ascii="Times New Roman" w:hAnsi="Times New Roman" w:cs="Times New Roman"/>
          <w:sz w:val="24"/>
          <w:szCs w:val="24"/>
        </w:rPr>
        <w:t xml:space="preserve">. </w:t>
      </w:r>
    </w:p>
    <w:p w14:paraId="4035FFFC" w14:textId="6A8604CE" w:rsidR="00CF7A75" w:rsidRDefault="00A50611" w:rsidP="00866D55">
      <w:pPr>
        <w:spacing w:line="360" w:lineRule="auto"/>
        <w:jc w:val="both"/>
        <w:rPr>
          <w:rFonts w:ascii="Times New Roman" w:hAnsi="Times New Roman" w:cs="Times New Roman"/>
          <w:sz w:val="24"/>
          <w:szCs w:val="24"/>
        </w:rPr>
      </w:pPr>
      <w:r w:rsidRPr="00A20CF4">
        <w:rPr>
          <w:rFonts w:ascii="Times New Roman" w:hAnsi="Times New Roman" w:cs="Times New Roman"/>
          <w:sz w:val="24"/>
          <w:szCs w:val="24"/>
        </w:rPr>
        <w:t xml:space="preserve">A recente jurisprudência do Tribunal Constitucional português, no processo n.º </w:t>
      </w:r>
      <w:r w:rsidR="00176F72">
        <w:rPr>
          <w:rFonts w:ascii="Times New Roman" w:hAnsi="Times New Roman" w:cs="Times New Roman"/>
          <w:sz w:val="24"/>
          <w:szCs w:val="24"/>
        </w:rPr>
        <w:t xml:space="preserve">471/17, Acórdão n.º </w:t>
      </w:r>
      <w:r w:rsidRPr="00A20CF4">
        <w:rPr>
          <w:rFonts w:ascii="Times New Roman" w:hAnsi="Times New Roman" w:cs="Times New Roman"/>
          <w:sz w:val="24"/>
          <w:szCs w:val="24"/>
        </w:rPr>
        <w:t>488/201</w:t>
      </w:r>
      <w:r w:rsidR="00176F72">
        <w:rPr>
          <w:rFonts w:ascii="Times New Roman" w:hAnsi="Times New Roman" w:cs="Times New Roman"/>
          <w:sz w:val="24"/>
          <w:szCs w:val="24"/>
        </w:rPr>
        <w:t>8</w:t>
      </w:r>
      <w:r w:rsidRPr="00A20CF4">
        <w:rPr>
          <w:rFonts w:ascii="Times New Roman" w:hAnsi="Times New Roman" w:cs="Times New Roman"/>
          <w:sz w:val="24"/>
          <w:szCs w:val="24"/>
        </w:rPr>
        <w:t>,</w:t>
      </w:r>
      <w:r w:rsidR="00682DAC">
        <w:rPr>
          <w:rStyle w:val="Refdenotaalpie"/>
          <w:rFonts w:ascii="Times New Roman" w:hAnsi="Times New Roman" w:cs="Times New Roman"/>
          <w:sz w:val="24"/>
          <w:szCs w:val="24"/>
        </w:rPr>
        <w:footnoteReference w:id="15"/>
      </w:r>
      <w:r w:rsidRPr="00A20CF4">
        <w:rPr>
          <w:rFonts w:ascii="Times New Roman" w:hAnsi="Times New Roman" w:cs="Times New Roman"/>
          <w:sz w:val="24"/>
          <w:szCs w:val="24"/>
        </w:rPr>
        <w:t xml:space="preserve"> considerou o prazo para a instauração d</w:t>
      </w:r>
      <w:r w:rsidR="005E2CD3">
        <w:rPr>
          <w:rFonts w:ascii="Times New Roman" w:hAnsi="Times New Roman" w:cs="Times New Roman"/>
          <w:sz w:val="24"/>
          <w:szCs w:val="24"/>
        </w:rPr>
        <w:t>a</w:t>
      </w:r>
      <w:r w:rsidRPr="00A20CF4">
        <w:rPr>
          <w:rFonts w:ascii="Times New Roman" w:hAnsi="Times New Roman" w:cs="Times New Roman"/>
          <w:sz w:val="24"/>
          <w:szCs w:val="24"/>
        </w:rPr>
        <w:t>s providências judicia</w:t>
      </w:r>
      <w:r w:rsidR="00D55DE1">
        <w:rPr>
          <w:rFonts w:ascii="Times New Roman" w:hAnsi="Times New Roman" w:cs="Times New Roman"/>
          <w:sz w:val="24"/>
          <w:szCs w:val="24"/>
        </w:rPr>
        <w:t>i</w:t>
      </w:r>
      <w:r w:rsidRPr="00A20CF4">
        <w:rPr>
          <w:rFonts w:ascii="Times New Roman" w:hAnsi="Times New Roman" w:cs="Times New Roman"/>
          <w:sz w:val="24"/>
          <w:szCs w:val="24"/>
        </w:rPr>
        <w:t>s identificadas</w:t>
      </w:r>
      <w:r w:rsidR="00176F72">
        <w:rPr>
          <w:rFonts w:ascii="Times New Roman" w:hAnsi="Times New Roman" w:cs="Times New Roman"/>
          <w:sz w:val="24"/>
          <w:szCs w:val="24"/>
        </w:rPr>
        <w:t>,</w:t>
      </w:r>
      <w:r w:rsidRPr="00A20CF4">
        <w:rPr>
          <w:rFonts w:ascii="Times New Roman" w:hAnsi="Times New Roman" w:cs="Times New Roman"/>
          <w:sz w:val="24"/>
          <w:szCs w:val="24"/>
        </w:rPr>
        <w:t xml:space="preserve"> inconstitucional</w:t>
      </w:r>
      <w:r w:rsidR="00097D1E">
        <w:rPr>
          <w:rFonts w:ascii="Times New Roman" w:hAnsi="Times New Roman" w:cs="Times New Roman"/>
          <w:sz w:val="24"/>
          <w:szCs w:val="24"/>
        </w:rPr>
        <w:t>,</w:t>
      </w:r>
      <w:r w:rsidRPr="00A20CF4">
        <w:rPr>
          <w:rFonts w:ascii="Times New Roman" w:hAnsi="Times New Roman" w:cs="Times New Roman"/>
          <w:sz w:val="24"/>
          <w:szCs w:val="24"/>
        </w:rPr>
        <w:t xml:space="preserve"> por viola</w:t>
      </w:r>
      <w:r w:rsidR="00681F2E">
        <w:rPr>
          <w:rFonts w:ascii="Times New Roman" w:hAnsi="Times New Roman" w:cs="Times New Roman"/>
          <w:sz w:val="24"/>
          <w:szCs w:val="24"/>
        </w:rPr>
        <w:t>ção</w:t>
      </w:r>
      <w:r w:rsidRPr="00A20CF4">
        <w:rPr>
          <w:rFonts w:ascii="Times New Roman" w:hAnsi="Times New Roman" w:cs="Times New Roman"/>
          <w:sz w:val="24"/>
          <w:szCs w:val="24"/>
        </w:rPr>
        <w:t xml:space="preserve"> o direito à identidade </w:t>
      </w:r>
      <w:r w:rsidR="00682DAC">
        <w:rPr>
          <w:rFonts w:ascii="Times New Roman" w:hAnsi="Times New Roman" w:cs="Times New Roman"/>
          <w:sz w:val="24"/>
          <w:szCs w:val="24"/>
        </w:rPr>
        <w:t>pessoal</w:t>
      </w:r>
      <w:r w:rsidRPr="00A20CF4">
        <w:rPr>
          <w:rFonts w:ascii="Times New Roman" w:hAnsi="Times New Roman" w:cs="Times New Roman"/>
          <w:sz w:val="24"/>
          <w:szCs w:val="24"/>
        </w:rPr>
        <w:t xml:space="preserve">, na medida em que limita a possibilidade </w:t>
      </w:r>
      <w:r w:rsidR="00682DAC">
        <w:rPr>
          <w:rFonts w:ascii="Times New Roman" w:hAnsi="Times New Roman" w:cs="Times New Roman"/>
          <w:sz w:val="24"/>
          <w:szCs w:val="24"/>
        </w:rPr>
        <w:t xml:space="preserve">de </w:t>
      </w:r>
      <w:r w:rsidRPr="00A20CF4">
        <w:rPr>
          <w:rFonts w:ascii="Times New Roman" w:hAnsi="Times New Roman" w:cs="Times New Roman"/>
          <w:sz w:val="24"/>
          <w:szCs w:val="24"/>
        </w:rPr>
        <w:t>instauração de ação de investigação de maternidade ou paternidade</w:t>
      </w:r>
      <w:r w:rsidR="00682DAC">
        <w:rPr>
          <w:rFonts w:ascii="Times New Roman" w:hAnsi="Times New Roman" w:cs="Times New Roman"/>
          <w:sz w:val="24"/>
          <w:szCs w:val="24"/>
        </w:rPr>
        <w:t xml:space="preserve">. </w:t>
      </w:r>
      <w:r w:rsidR="00FB6A42" w:rsidRPr="00A20CF4">
        <w:rPr>
          <w:rFonts w:ascii="Times New Roman" w:hAnsi="Times New Roman" w:cs="Times New Roman"/>
          <w:sz w:val="24"/>
          <w:szCs w:val="24"/>
        </w:rPr>
        <w:t xml:space="preserve">Cumpre referir que o direito à identidade </w:t>
      </w:r>
      <w:r w:rsidR="00682DAC">
        <w:rPr>
          <w:rFonts w:ascii="Times New Roman" w:hAnsi="Times New Roman" w:cs="Times New Roman"/>
          <w:sz w:val="24"/>
          <w:szCs w:val="24"/>
        </w:rPr>
        <w:t>pessoal</w:t>
      </w:r>
      <w:r w:rsidR="00FB6A42" w:rsidRPr="00A20CF4">
        <w:rPr>
          <w:rFonts w:ascii="Times New Roman" w:hAnsi="Times New Roman" w:cs="Times New Roman"/>
          <w:sz w:val="24"/>
          <w:szCs w:val="24"/>
        </w:rPr>
        <w:t xml:space="preserve">, consagrado no artigo 8.º da </w:t>
      </w:r>
      <w:r w:rsidR="00F41763">
        <w:rPr>
          <w:rFonts w:ascii="Times New Roman" w:hAnsi="Times New Roman" w:cs="Times New Roman"/>
          <w:sz w:val="24"/>
          <w:szCs w:val="24"/>
        </w:rPr>
        <w:t>CEDH</w:t>
      </w:r>
      <w:r w:rsidR="00FB6A42" w:rsidRPr="00A20CF4">
        <w:rPr>
          <w:rFonts w:ascii="Times New Roman" w:hAnsi="Times New Roman" w:cs="Times New Roman"/>
          <w:sz w:val="24"/>
          <w:szCs w:val="24"/>
        </w:rPr>
        <w:t>, tem sid</w:t>
      </w:r>
      <w:r w:rsidR="00682DAC">
        <w:rPr>
          <w:rFonts w:ascii="Times New Roman" w:hAnsi="Times New Roman" w:cs="Times New Roman"/>
          <w:sz w:val="24"/>
          <w:szCs w:val="24"/>
        </w:rPr>
        <w:t>o entend</w:t>
      </w:r>
      <w:r w:rsidR="00FB6A42" w:rsidRPr="00A20CF4">
        <w:rPr>
          <w:rFonts w:ascii="Times New Roman" w:hAnsi="Times New Roman" w:cs="Times New Roman"/>
          <w:sz w:val="24"/>
          <w:szCs w:val="24"/>
        </w:rPr>
        <w:t>ido</w:t>
      </w:r>
      <w:r w:rsidR="003E44FD">
        <w:rPr>
          <w:rFonts w:ascii="Times New Roman" w:hAnsi="Times New Roman" w:cs="Times New Roman"/>
          <w:sz w:val="24"/>
          <w:szCs w:val="24"/>
        </w:rPr>
        <w:t>,</w:t>
      </w:r>
      <w:r w:rsidR="00FB6A42" w:rsidRPr="00A20CF4">
        <w:rPr>
          <w:rFonts w:ascii="Times New Roman" w:hAnsi="Times New Roman" w:cs="Times New Roman"/>
          <w:sz w:val="24"/>
          <w:szCs w:val="24"/>
        </w:rPr>
        <w:t xml:space="preserve"> com amplitude e </w:t>
      </w:r>
      <w:r w:rsidR="00682DAC">
        <w:rPr>
          <w:rFonts w:ascii="Times New Roman" w:hAnsi="Times New Roman" w:cs="Times New Roman"/>
          <w:sz w:val="24"/>
          <w:szCs w:val="24"/>
        </w:rPr>
        <w:t xml:space="preserve">respeito pelos direitos materiais internos dos Estados parte, </w:t>
      </w:r>
      <w:r w:rsidR="00FB6A42" w:rsidRPr="00A20CF4">
        <w:rPr>
          <w:rFonts w:ascii="Times New Roman" w:hAnsi="Times New Roman" w:cs="Times New Roman"/>
          <w:sz w:val="24"/>
          <w:szCs w:val="24"/>
        </w:rPr>
        <w:t>pelo Tribunal Europeu dos Direitos Humanos</w:t>
      </w:r>
      <w:r w:rsidR="00F41763">
        <w:rPr>
          <w:rFonts w:ascii="Times New Roman" w:hAnsi="Times New Roman" w:cs="Times New Roman"/>
          <w:sz w:val="24"/>
          <w:szCs w:val="24"/>
        </w:rPr>
        <w:t xml:space="preserve"> (TEDH)</w:t>
      </w:r>
      <w:r w:rsidR="00737A0E">
        <w:rPr>
          <w:rFonts w:ascii="Times New Roman" w:hAnsi="Times New Roman" w:cs="Times New Roman"/>
          <w:sz w:val="24"/>
          <w:szCs w:val="24"/>
        </w:rPr>
        <w:t xml:space="preserve">, </w:t>
      </w:r>
      <w:r w:rsidR="00FB6A42" w:rsidRPr="00A20CF4">
        <w:rPr>
          <w:rFonts w:ascii="Times New Roman" w:hAnsi="Times New Roman" w:cs="Times New Roman"/>
          <w:sz w:val="24"/>
          <w:szCs w:val="24"/>
        </w:rPr>
        <w:t xml:space="preserve">neste sentido e a título exemplificativo, </w:t>
      </w:r>
      <w:r w:rsidR="005E2CD3">
        <w:rPr>
          <w:rFonts w:ascii="Times New Roman" w:hAnsi="Times New Roman" w:cs="Times New Roman"/>
          <w:sz w:val="24"/>
          <w:szCs w:val="24"/>
        </w:rPr>
        <w:t>o</w:t>
      </w:r>
      <w:r w:rsidR="00FB6A42" w:rsidRPr="00A20CF4">
        <w:rPr>
          <w:rFonts w:ascii="Times New Roman" w:hAnsi="Times New Roman" w:cs="Times New Roman"/>
          <w:sz w:val="24"/>
          <w:szCs w:val="24"/>
        </w:rPr>
        <w:t xml:space="preserve"> Ac. Mifsud </w:t>
      </w:r>
      <w:r w:rsidR="00975E47">
        <w:rPr>
          <w:rFonts w:ascii="Times New Roman" w:hAnsi="Times New Roman" w:cs="Times New Roman"/>
          <w:sz w:val="24"/>
          <w:szCs w:val="24"/>
        </w:rPr>
        <w:t>c</w:t>
      </w:r>
      <w:r w:rsidR="00FB6A42" w:rsidRPr="00A20CF4">
        <w:rPr>
          <w:rFonts w:ascii="Times New Roman" w:hAnsi="Times New Roman" w:cs="Times New Roman"/>
          <w:sz w:val="24"/>
          <w:szCs w:val="24"/>
        </w:rPr>
        <w:t>. Malta</w:t>
      </w:r>
      <w:r w:rsidR="00737A0E">
        <w:rPr>
          <w:rFonts w:ascii="Times New Roman" w:hAnsi="Times New Roman" w:cs="Times New Roman"/>
          <w:sz w:val="24"/>
          <w:szCs w:val="24"/>
        </w:rPr>
        <w:t>,</w:t>
      </w:r>
      <w:r w:rsidR="00FB6A42" w:rsidRPr="00A20CF4">
        <w:rPr>
          <w:rFonts w:ascii="Times New Roman" w:hAnsi="Times New Roman" w:cs="Times New Roman"/>
          <w:sz w:val="24"/>
          <w:szCs w:val="24"/>
        </w:rPr>
        <w:t xml:space="preserve"> de </w:t>
      </w:r>
      <w:r w:rsidR="00682DAC">
        <w:rPr>
          <w:rFonts w:ascii="Times New Roman" w:hAnsi="Times New Roman" w:cs="Times New Roman"/>
          <w:sz w:val="24"/>
          <w:szCs w:val="24"/>
        </w:rPr>
        <w:t>janeiro</w:t>
      </w:r>
      <w:r w:rsidR="00F41763">
        <w:rPr>
          <w:rFonts w:ascii="Times New Roman" w:hAnsi="Times New Roman" w:cs="Times New Roman"/>
          <w:sz w:val="24"/>
          <w:szCs w:val="24"/>
        </w:rPr>
        <w:t xml:space="preserve"> de </w:t>
      </w:r>
      <w:r w:rsidR="00FB6A42" w:rsidRPr="00A20CF4">
        <w:rPr>
          <w:rFonts w:ascii="Times New Roman" w:hAnsi="Times New Roman" w:cs="Times New Roman"/>
          <w:sz w:val="24"/>
          <w:szCs w:val="24"/>
        </w:rPr>
        <w:t>2019.</w:t>
      </w:r>
      <w:r w:rsidR="00737A0E">
        <w:rPr>
          <w:rStyle w:val="Refdenotaalpie"/>
          <w:rFonts w:ascii="Times New Roman" w:hAnsi="Times New Roman" w:cs="Times New Roman"/>
          <w:sz w:val="24"/>
          <w:szCs w:val="24"/>
        </w:rPr>
        <w:footnoteReference w:id="16"/>
      </w:r>
      <w:r w:rsidR="00097D1E">
        <w:rPr>
          <w:rFonts w:ascii="Times New Roman" w:hAnsi="Times New Roman" w:cs="Times New Roman"/>
          <w:sz w:val="24"/>
          <w:szCs w:val="24"/>
        </w:rPr>
        <w:t xml:space="preserve"> </w:t>
      </w:r>
      <w:r w:rsidR="005E2156">
        <w:rPr>
          <w:rFonts w:ascii="Times New Roman" w:hAnsi="Times New Roman" w:cs="Times New Roman"/>
          <w:sz w:val="24"/>
          <w:szCs w:val="24"/>
        </w:rPr>
        <w:t>Os ordenamentos jurídicos dos Estados</w:t>
      </w:r>
      <w:r w:rsidR="00097D1E">
        <w:rPr>
          <w:rFonts w:ascii="Times New Roman" w:hAnsi="Times New Roman" w:cs="Times New Roman"/>
          <w:sz w:val="24"/>
          <w:szCs w:val="24"/>
        </w:rPr>
        <w:t xml:space="preserve"> vinculados </w:t>
      </w:r>
      <w:r w:rsidR="00DB4EA6">
        <w:rPr>
          <w:rFonts w:ascii="Times New Roman" w:hAnsi="Times New Roman" w:cs="Times New Roman"/>
          <w:sz w:val="24"/>
          <w:szCs w:val="24"/>
        </w:rPr>
        <w:t xml:space="preserve">a essa </w:t>
      </w:r>
      <w:r w:rsidR="003E44FD">
        <w:rPr>
          <w:rFonts w:ascii="Times New Roman" w:hAnsi="Times New Roman" w:cs="Times New Roman"/>
          <w:sz w:val="24"/>
          <w:szCs w:val="24"/>
        </w:rPr>
        <w:t>c</w:t>
      </w:r>
      <w:r w:rsidR="00DB4EA6">
        <w:rPr>
          <w:rFonts w:ascii="Times New Roman" w:hAnsi="Times New Roman" w:cs="Times New Roman"/>
          <w:sz w:val="24"/>
          <w:szCs w:val="24"/>
        </w:rPr>
        <w:t>onvenção</w:t>
      </w:r>
      <w:r w:rsidR="00CE585D">
        <w:rPr>
          <w:rFonts w:ascii="Times New Roman" w:hAnsi="Times New Roman" w:cs="Times New Roman"/>
          <w:sz w:val="24"/>
          <w:szCs w:val="24"/>
        </w:rPr>
        <w:t>,</w:t>
      </w:r>
      <w:r w:rsidR="005E2156">
        <w:rPr>
          <w:rFonts w:ascii="Times New Roman" w:hAnsi="Times New Roman" w:cs="Times New Roman"/>
          <w:sz w:val="24"/>
          <w:szCs w:val="24"/>
        </w:rPr>
        <w:t xml:space="preserve"> gozam de uma ampla margem de apreciação quanto à investigação da filiação, nestes casos concretos, da paternidade, o que determina que o sentido dessa jurisprudência não seja acolhid</w:t>
      </w:r>
      <w:r w:rsidR="00F11DCE">
        <w:rPr>
          <w:rFonts w:ascii="Times New Roman" w:hAnsi="Times New Roman" w:cs="Times New Roman"/>
          <w:sz w:val="24"/>
          <w:szCs w:val="24"/>
        </w:rPr>
        <w:t>o</w:t>
      </w:r>
      <w:r w:rsidR="005E2156">
        <w:rPr>
          <w:rFonts w:ascii="Times New Roman" w:hAnsi="Times New Roman" w:cs="Times New Roman"/>
          <w:sz w:val="24"/>
          <w:szCs w:val="24"/>
        </w:rPr>
        <w:t xml:space="preserve"> em sobreposição à legislação soberana. Desta feita, </w:t>
      </w:r>
      <w:r w:rsidR="00097D1E">
        <w:rPr>
          <w:rFonts w:ascii="Times New Roman" w:hAnsi="Times New Roman" w:cs="Times New Roman"/>
          <w:sz w:val="24"/>
          <w:szCs w:val="24"/>
        </w:rPr>
        <w:t xml:space="preserve">em recurso apresentando </w:t>
      </w:r>
      <w:r w:rsidR="008068EB">
        <w:rPr>
          <w:rFonts w:ascii="Times New Roman" w:hAnsi="Times New Roman" w:cs="Times New Roman"/>
          <w:sz w:val="24"/>
          <w:szCs w:val="24"/>
        </w:rPr>
        <w:t>por interessado</w:t>
      </w:r>
      <w:r w:rsidR="00BB1B65">
        <w:rPr>
          <w:rFonts w:ascii="Times New Roman" w:hAnsi="Times New Roman" w:cs="Times New Roman"/>
          <w:sz w:val="24"/>
          <w:szCs w:val="24"/>
        </w:rPr>
        <w:t>s</w:t>
      </w:r>
      <w:r w:rsidR="008068EB">
        <w:rPr>
          <w:rFonts w:ascii="Times New Roman" w:hAnsi="Times New Roman" w:cs="Times New Roman"/>
          <w:sz w:val="24"/>
          <w:szCs w:val="24"/>
        </w:rPr>
        <w:t xml:space="preserve"> de nacionalidade portuguesa, </w:t>
      </w:r>
      <w:r w:rsidR="005E2156">
        <w:rPr>
          <w:rFonts w:ascii="Times New Roman" w:hAnsi="Times New Roman" w:cs="Times New Roman"/>
          <w:sz w:val="24"/>
          <w:szCs w:val="24"/>
        </w:rPr>
        <w:t xml:space="preserve">no Acórdão proferido </w:t>
      </w:r>
      <w:r w:rsidR="00737A0E">
        <w:rPr>
          <w:rFonts w:ascii="Times New Roman" w:hAnsi="Times New Roman" w:cs="Times New Roman"/>
          <w:sz w:val="24"/>
          <w:szCs w:val="24"/>
        </w:rPr>
        <w:t xml:space="preserve">nos casos Silva e Mondim Correia c. Portugal, </w:t>
      </w:r>
      <w:r w:rsidR="00CF7A75">
        <w:rPr>
          <w:rFonts w:ascii="Times New Roman" w:hAnsi="Times New Roman" w:cs="Times New Roman"/>
          <w:sz w:val="24"/>
          <w:szCs w:val="24"/>
        </w:rPr>
        <w:t>de 3 de outubro de 2017,</w:t>
      </w:r>
      <w:r w:rsidR="00CF7A75">
        <w:rPr>
          <w:rStyle w:val="Refdenotaalpie"/>
          <w:rFonts w:ascii="Times New Roman" w:hAnsi="Times New Roman" w:cs="Times New Roman"/>
          <w:sz w:val="24"/>
          <w:szCs w:val="24"/>
        </w:rPr>
        <w:footnoteReference w:id="17"/>
      </w:r>
      <w:r w:rsidR="005E2156">
        <w:rPr>
          <w:rFonts w:ascii="Times New Roman" w:hAnsi="Times New Roman" w:cs="Times New Roman"/>
          <w:sz w:val="24"/>
          <w:szCs w:val="24"/>
        </w:rPr>
        <w:t xml:space="preserve"> entendeu</w:t>
      </w:r>
      <w:r w:rsidR="00CF7A75">
        <w:rPr>
          <w:rFonts w:ascii="Times New Roman" w:hAnsi="Times New Roman" w:cs="Times New Roman"/>
          <w:sz w:val="24"/>
          <w:szCs w:val="24"/>
        </w:rPr>
        <w:t xml:space="preserve"> </w:t>
      </w:r>
      <w:r w:rsidR="003E44FD">
        <w:rPr>
          <w:rFonts w:ascii="Times New Roman" w:hAnsi="Times New Roman" w:cs="Times New Roman"/>
          <w:sz w:val="24"/>
          <w:szCs w:val="24"/>
        </w:rPr>
        <w:t>o Tribunal Europeu dos Direitos Humanos</w:t>
      </w:r>
      <w:r w:rsidR="00A80F53">
        <w:rPr>
          <w:rFonts w:ascii="Times New Roman" w:hAnsi="Times New Roman" w:cs="Times New Roman"/>
          <w:sz w:val="24"/>
          <w:szCs w:val="24"/>
        </w:rPr>
        <w:t xml:space="preserve"> (TEDH)</w:t>
      </w:r>
      <w:r w:rsidR="003E44FD">
        <w:rPr>
          <w:rFonts w:ascii="Times New Roman" w:hAnsi="Times New Roman" w:cs="Times New Roman"/>
          <w:sz w:val="24"/>
          <w:szCs w:val="24"/>
        </w:rPr>
        <w:t xml:space="preserve"> </w:t>
      </w:r>
      <w:r w:rsidR="00CF7A75">
        <w:rPr>
          <w:rFonts w:ascii="Times New Roman" w:hAnsi="Times New Roman" w:cs="Times New Roman"/>
          <w:sz w:val="24"/>
          <w:szCs w:val="24"/>
        </w:rPr>
        <w:t xml:space="preserve">que a existência de </w:t>
      </w:r>
      <w:r w:rsidR="007B0E46">
        <w:rPr>
          <w:rFonts w:ascii="Times New Roman" w:hAnsi="Times New Roman" w:cs="Times New Roman"/>
          <w:sz w:val="24"/>
          <w:szCs w:val="24"/>
        </w:rPr>
        <w:t xml:space="preserve">um </w:t>
      </w:r>
      <w:r w:rsidR="00CF7A75">
        <w:rPr>
          <w:rFonts w:ascii="Times New Roman" w:hAnsi="Times New Roman" w:cs="Times New Roman"/>
          <w:sz w:val="24"/>
          <w:szCs w:val="24"/>
        </w:rPr>
        <w:t xml:space="preserve">prazo, </w:t>
      </w:r>
      <w:r w:rsidR="00BB1B65">
        <w:rPr>
          <w:rFonts w:ascii="Times New Roman" w:hAnsi="Times New Roman" w:cs="Times New Roman"/>
          <w:sz w:val="24"/>
          <w:szCs w:val="24"/>
        </w:rPr>
        <w:t>não afeta a substância do direito</w:t>
      </w:r>
      <w:r w:rsidR="00F11DCE">
        <w:rPr>
          <w:rFonts w:ascii="Times New Roman" w:hAnsi="Times New Roman" w:cs="Times New Roman"/>
          <w:sz w:val="24"/>
          <w:szCs w:val="24"/>
        </w:rPr>
        <w:t xml:space="preserve"> -</w:t>
      </w:r>
      <w:r w:rsidR="00CF7A75">
        <w:rPr>
          <w:rFonts w:ascii="Times New Roman" w:hAnsi="Times New Roman" w:cs="Times New Roman"/>
          <w:sz w:val="24"/>
          <w:szCs w:val="24"/>
        </w:rPr>
        <w:t>que os recorrentes invocavam</w:t>
      </w:r>
      <w:r w:rsidR="00F11DCE">
        <w:rPr>
          <w:rFonts w:ascii="Times New Roman" w:hAnsi="Times New Roman" w:cs="Times New Roman"/>
          <w:sz w:val="24"/>
          <w:szCs w:val="24"/>
        </w:rPr>
        <w:t>-</w:t>
      </w:r>
      <w:r w:rsidR="00CF7A75">
        <w:rPr>
          <w:rFonts w:ascii="Times New Roman" w:hAnsi="Times New Roman" w:cs="Times New Roman"/>
          <w:sz w:val="24"/>
          <w:szCs w:val="24"/>
        </w:rPr>
        <w:t xml:space="preserve">, </w:t>
      </w:r>
      <w:r w:rsidR="00BB1B65">
        <w:rPr>
          <w:rFonts w:ascii="Times New Roman" w:hAnsi="Times New Roman" w:cs="Times New Roman"/>
          <w:sz w:val="24"/>
          <w:szCs w:val="24"/>
        </w:rPr>
        <w:t>ao respeito pela vida privada e familiar, nos termos do disposto no artigo 8.º da CEDH. Para formular este juízo, o TEDH</w:t>
      </w:r>
      <w:r w:rsidR="00737A0E">
        <w:rPr>
          <w:rFonts w:ascii="Times New Roman" w:hAnsi="Times New Roman" w:cs="Times New Roman"/>
          <w:sz w:val="24"/>
          <w:szCs w:val="24"/>
        </w:rPr>
        <w:t xml:space="preserve"> te</w:t>
      </w:r>
      <w:r w:rsidR="00BB1B65">
        <w:rPr>
          <w:rFonts w:ascii="Times New Roman" w:hAnsi="Times New Roman" w:cs="Times New Roman"/>
          <w:sz w:val="24"/>
          <w:szCs w:val="24"/>
        </w:rPr>
        <w:t>ve</w:t>
      </w:r>
      <w:r w:rsidR="00737A0E">
        <w:rPr>
          <w:rFonts w:ascii="Times New Roman" w:hAnsi="Times New Roman" w:cs="Times New Roman"/>
          <w:sz w:val="24"/>
          <w:szCs w:val="24"/>
        </w:rPr>
        <w:t xml:space="preserve"> em conta a natureza não absoluta do artigo 1817.º, n.º 1 do CC</w:t>
      </w:r>
      <w:r w:rsidR="00BB1B65">
        <w:rPr>
          <w:rFonts w:ascii="Times New Roman" w:hAnsi="Times New Roman" w:cs="Times New Roman"/>
          <w:sz w:val="24"/>
          <w:szCs w:val="24"/>
        </w:rPr>
        <w:t xml:space="preserve"> e a jurisprudência do Tribunal Constitucional Português, concluindo que o lapso temporal previsto na legislação portuguesa para a propositura da ação de investigação de paternidade não viola o preceito mencionado.</w:t>
      </w:r>
      <w:r w:rsidR="00F11DCE">
        <w:rPr>
          <w:rStyle w:val="Refdenotaalpie"/>
          <w:rFonts w:ascii="Times New Roman" w:hAnsi="Times New Roman" w:cs="Times New Roman"/>
          <w:sz w:val="24"/>
          <w:szCs w:val="24"/>
        </w:rPr>
        <w:footnoteReference w:id="18"/>
      </w:r>
      <w:r w:rsidR="00BB1B65">
        <w:rPr>
          <w:rFonts w:ascii="Times New Roman" w:hAnsi="Times New Roman" w:cs="Times New Roman"/>
          <w:sz w:val="24"/>
          <w:szCs w:val="24"/>
        </w:rPr>
        <w:t xml:space="preserve"> </w:t>
      </w:r>
    </w:p>
    <w:p w14:paraId="7D49D49E" w14:textId="48C932F1" w:rsidR="0057414A" w:rsidRDefault="00BB1B65"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Em</w:t>
      </w:r>
      <w:r w:rsidR="00FB6A42" w:rsidRPr="00A20CF4">
        <w:rPr>
          <w:rFonts w:ascii="Times New Roman" w:hAnsi="Times New Roman" w:cs="Times New Roman"/>
          <w:sz w:val="24"/>
          <w:szCs w:val="24"/>
        </w:rPr>
        <w:t xml:space="preserve"> termos legislativos, a matéria foi já objeto de apresentação de</w:t>
      </w:r>
      <w:r w:rsidR="00E86936">
        <w:rPr>
          <w:rFonts w:ascii="Times New Roman" w:hAnsi="Times New Roman" w:cs="Times New Roman"/>
          <w:sz w:val="24"/>
          <w:szCs w:val="24"/>
        </w:rPr>
        <w:t xml:space="preserve"> uma iniciativa legislativa</w:t>
      </w:r>
      <w:r w:rsidR="00FB6A42" w:rsidRPr="00A20CF4">
        <w:rPr>
          <w:rFonts w:ascii="Times New Roman" w:hAnsi="Times New Roman" w:cs="Times New Roman"/>
          <w:sz w:val="24"/>
          <w:szCs w:val="24"/>
        </w:rPr>
        <w:t>,</w:t>
      </w:r>
      <w:r w:rsidR="00F175AC">
        <w:rPr>
          <w:rStyle w:val="Refdenotaalpie"/>
          <w:rFonts w:ascii="Times New Roman" w:hAnsi="Times New Roman" w:cs="Times New Roman"/>
          <w:sz w:val="24"/>
          <w:szCs w:val="24"/>
        </w:rPr>
        <w:footnoteReference w:id="19"/>
      </w:r>
      <w:r w:rsidR="00FB6A42" w:rsidRPr="00A20CF4">
        <w:rPr>
          <w:rFonts w:ascii="Times New Roman" w:hAnsi="Times New Roman" w:cs="Times New Roman"/>
          <w:sz w:val="24"/>
          <w:szCs w:val="24"/>
        </w:rPr>
        <w:t xml:space="preserve"> </w:t>
      </w:r>
      <w:r w:rsidR="008A28C4">
        <w:rPr>
          <w:rFonts w:ascii="Times New Roman" w:hAnsi="Times New Roman" w:cs="Times New Roman"/>
          <w:sz w:val="24"/>
          <w:szCs w:val="24"/>
        </w:rPr>
        <w:t>que visava alterar o teor do artigo 1817.º</w:t>
      </w:r>
      <w:r w:rsidR="007B0E46">
        <w:rPr>
          <w:rFonts w:ascii="Times New Roman" w:hAnsi="Times New Roman" w:cs="Times New Roman"/>
          <w:sz w:val="24"/>
          <w:szCs w:val="24"/>
        </w:rPr>
        <w:t>, n.º 1</w:t>
      </w:r>
      <w:r w:rsidR="008A28C4">
        <w:rPr>
          <w:rFonts w:ascii="Times New Roman" w:hAnsi="Times New Roman" w:cs="Times New Roman"/>
          <w:sz w:val="24"/>
          <w:szCs w:val="24"/>
        </w:rPr>
        <w:t xml:space="preserve"> do CC, no sentido de as ações respetivas poderem ser instauradas a todo o tempo.</w:t>
      </w:r>
      <w:r w:rsidR="00FB6A42" w:rsidRPr="00A20CF4">
        <w:rPr>
          <w:rFonts w:ascii="Times New Roman" w:hAnsi="Times New Roman" w:cs="Times New Roman"/>
          <w:sz w:val="24"/>
          <w:szCs w:val="24"/>
        </w:rPr>
        <w:t xml:space="preserve"> Com o acórdão do Tribunal Constitucional anteriormente mencionado, </w:t>
      </w:r>
      <w:r w:rsidR="007B0E46">
        <w:rPr>
          <w:rFonts w:ascii="Times New Roman" w:hAnsi="Times New Roman" w:cs="Times New Roman"/>
          <w:sz w:val="24"/>
          <w:szCs w:val="24"/>
        </w:rPr>
        <w:t>e sem prejuízo do acórdão com força obrigatória geral proferido nos mesmos autos</w:t>
      </w:r>
      <w:r w:rsidR="00682DAC">
        <w:rPr>
          <w:rFonts w:ascii="Times New Roman" w:hAnsi="Times New Roman" w:cs="Times New Roman"/>
          <w:sz w:val="24"/>
          <w:szCs w:val="24"/>
        </w:rPr>
        <w:t>,</w:t>
      </w:r>
      <w:r w:rsidR="007B0E46">
        <w:rPr>
          <w:rFonts w:ascii="Times New Roman" w:hAnsi="Times New Roman" w:cs="Times New Roman"/>
          <w:sz w:val="24"/>
          <w:szCs w:val="24"/>
        </w:rPr>
        <w:t xml:space="preserve"> em sede de recurso para o pleno, foi aberto o caminho para uma futura </w:t>
      </w:r>
      <w:r w:rsidR="00FB6A42" w:rsidRPr="00A20CF4">
        <w:rPr>
          <w:rFonts w:ascii="Times New Roman" w:hAnsi="Times New Roman" w:cs="Times New Roman"/>
          <w:sz w:val="24"/>
          <w:szCs w:val="24"/>
        </w:rPr>
        <w:t xml:space="preserve">ampliação do reconhecimento do direito à identidade </w:t>
      </w:r>
      <w:r w:rsidR="00682DAC">
        <w:rPr>
          <w:rFonts w:ascii="Times New Roman" w:hAnsi="Times New Roman" w:cs="Times New Roman"/>
          <w:sz w:val="24"/>
          <w:szCs w:val="24"/>
        </w:rPr>
        <w:t>pessoal</w:t>
      </w:r>
      <w:r w:rsidR="00A20CF4" w:rsidRPr="00A20CF4">
        <w:rPr>
          <w:rFonts w:ascii="Times New Roman" w:hAnsi="Times New Roman" w:cs="Times New Roman"/>
          <w:sz w:val="24"/>
          <w:szCs w:val="24"/>
        </w:rPr>
        <w:t xml:space="preserve">, </w:t>
      </w:r>
      <w:r w:rsidR="00485131">
        <w:rPr>
          <w:rFonts w:ascii="Times New Roman" w:hAnsi="Times New Roman" w:cs="Times New Roman"/>
          <w:sz w:val="24"/>
          <w:szCs w:val="24"/>
        </w:rPr>
        <w:t>sem dependência de prazo</w:t>
      </w:r>
      <w:r w:rsidR="007B0E46">
        <w:rPr>
          <w:rFonts w:ascii="Times New Roman" w:hAnsi="Times New Roman" w:cs="Times New Roman"/>
          <w:sz w:val="24"/>
          <w:szCs w:val="24"/>
        </w:rPr>
        <w:t>. Essa via de alteração do paradigma em análise, fica, assim,</w:t>
      </w:r>
      <w:r w:rsidR="00A20CF4" w:rsidRPr="00A20CF4">
        <w:rPr>
          <w:rFonts w:ascii="Times New Roman" w:hAnsi="Times New Roman" w:cs="Times New Roman"/>
          <w:sz w:val="24"/>
          <w:szCs w:val="24"/>
        </w:rPr>
        <w:t xml:space="preserve"> dependente de jurisprudência vinculativa futura; ou</w:t>
      </w:r>
      <w:r w:rsidR="00682DAC">
        <w:rPr>
          <w:rFonts w:ascii="Times New Roman" w:hAnsi="Times New Roman" w:cs="Times New Roman"/>
          <w:sz w:val="24"/>
          <w:szCs w:val="24"/>
        </w:rPr>
        <w:t>,</w:t>
      </w:r>
      <w:r w:rsidR="00A20CF4" w:rsidRPr="00A20CF4">
        <w:rPr>
          <w:rFonts w:ascii="Times New Roman" w:hAnsi="Times New Roman" w:cs="Times New Roman"/>
          <w:sz w:val="24"/>
          <w:szCs w:val="24"/>
        </w:rPr>
        <w:t xml:space="preserve"> em alternativa, da adoção de lei que altere as competentes disposições no código civil português.</w:t>
      </w:r>
      <w:r w:rsidR="00A50611" w:rsidRPr="00A20CF4">
        <w:rPr>
          <w:rFonts w:ascii="Times New Roman" w:hAnsi="Times New Roman" w:cs="Times New Roman"/>
          <w:sz w:val="24"/>
          <w:szCs w:val="24"/>
        </w:rPr>
        <w:t xml:space="preserve"> </w:t>
      </w:r>
    </w:p>
    <w:p w14:paraId="5AAC6240" w14:textId="726D1BD9" w:rsidR="00013B30" w:rsidRDefault="00013B30" w:rsidP="00866D55">
      <w:pPr>
        <w:spacing w:line="360" w:lineRule="auto"/>
        <w:jc w:val="both"/>
        <w:rPr>
          <w:rFonts w:ascii="Times New Roman" w:hAnsi="Times New Roman" w:cs="Times New Roman"/>
          <w:sz w:val="24"/>
          <w:szCs w:val="24"/>
        </w:rPr>
      </w:pPr>
    </w:p>
    <w:p w14:paraId="5ED24B91" w14:textId="7CCBF10D" w:rsidR="00A32916" w:rsidRPr="00682DAC" w:rsidRDefault="00A32916" w:rsidP="00682DAC">
      <w:pPr>
        <w:pStyle w:val="Prrafodelista"/>
        <w:numPr>
          <w:ilvl w:val="0"/>
          <w:numId w:val="3"/>
        </w:numPr>
        <w:spacing w:line="360" w:lineRule="auto"/>
        <w:jc w:val="both"/>
        <w:rPr>
          <w:rFonts w:ascii="Times New Roman" w:hAnsi="Times New Roman" w:cs="Times New Roman"/>
          <w:sz w:val="24"/>
          <w:szCs w:val="24"/>
        </w:rPr>
      </w:pPr>
      <w:r w:rsidRPr="00682DAC">
        <w:rPr>
          <w:rFonts w:ascii="Times New Roman" w:hAnsi="Times New Roman" w:cs="Times New Roman"/>
          <w:sz w:val="24"/>
          <w:szCs w:val="24"/>
        </w:rPr>
        <w:t>Análise do Acórdão do Tribunal Constitucional n.º 488/2018</w:t>
      </w:r>
    </w:p>
    <w:p w14:paraId="2E45D39F" w14:textId="47D43E92" w:rsidR="00A32916" w:rsidRDefault="00A32916" w:rsidP="00866D55">
      <w:pPr>
        <w:spacing w:line="360" w:lineRule="auto"/>
        <w:jc w:val="both"/>
        <w:rPr>
          <w:rFonts w:ascii="Times New Roman" w:hAnsi="Times New Roman" w:cs="Times New Roman"/>
          <w:sz w:val="24"/>
          <w:szCs w:val="24"/>
        </w:rPr>
      </w:pPr>
    </w:p>
    <w:p w14:paraId="69E7D149" w14:textId="4B463D4F" w:rsidR="001A0AC9" w:rsidRDefault="00CA12E1"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O ordenamento jurídico português garante o direito a uma justiça constitucional,</w:t>
      </w:r>
      <w:r w:rsidR="006C39A9">
        <w:rPr>
          <w:rFonts w:ascii="Times New Roman" w:hAnsi="Times New Roman" w:cs="Times New Roman"/>
          <w:sz w:val="24"/>
          <w:szCs w:val="24"/>
        </w:rPr>
        <w:t xml:space="preserve"> </w:t>
      </w:r>
      <w:r w:rsidR="001A0AC9">
        <w:rPr>
          <w:rFonts w:ascii="Times New Roman" w:hAnsi="Times New Roman" w:cs="Times New Roman"/>
          <w:sz w:val="24"/>
          <w:szCs w:val="24"/>
        </w:rPr>
        <w:t>mediante a consagração do direito à invocação da inconstitucionalidade de qualquer norma ou ilegalidade de atos normativos, nos pleitos submetidos à apreciação de um tribunal e em que sejam partes</w:t>
      </w:r>
      <w:r w:rsidR="00682DAC">
        <w:rPr>
          <w:rFonts w:ascii="Times New Roman" w:hAnsi="Times New Roman" w:cs="Times New Roman"/>
          <w:sz w:val="24"/>
          <w:szCs w:val="24"/>
        </w:rPr>
        <w:t xml:space="preserve"> os interessados</w:t>
      </w:r>
      <w:r w:rsidR="001A0AC9">
        <w:rPr>
          <w:rFonts w:ascii="Times New Roman" w:hAnsi="Times New Roman" w:cs="Times New Roman"/>
          <w:sz w:val="24"/>
          <w:szCs w:val="24"/>
        </w:rPr>
        <w:t>.</w:t>
      </w:r>
      <w:r w:rsidR="004B6646">
        <w:rPr>
          <w:rStyle w:val="Refdenotaalpie"/>
          <w:rFonts w:ascii="Times New Roman" w:hAnsi="Times New Roman" w:cs="Times New Roman"/>
          <w:sz w:val="24"/>
          <w:szCs w:val="24"/>
        </w:rPr>
        <w:footnoteReference w:id="20"/>
      </w:r>
      <w:r w:rsidR="001A0AC9">
        <w:rPr>
          <w:rFonts w:ascii="Times New Roman" w:hAnsi="Times New Roman" w:cs="Times New Roman"/>
          <w:sz w:val="24"/>
          <w:szCs w:val="24"/>
        </w:rPr>
        <w:t xml:space="preserve"> </w:t>
      </w:r>
      <w:r w:rsidR="00D33E44">
        <w:rPr>
          <w:rFonts w:ascii="Times New Roman" w:hAnsi="Times New Roman" w:cs="Times New Roman"/>
          <w:sz w:val="24"/>
          <w:szCs w:val="24"/>
        </w:rPr>
        <w:t>Trata-se de uma garantia de funcionamento do sistema de controlo da constitucionalidade e ilegalidade, numa perspetiva de controlo subjetivo.</w:t>
      </w:r>
      <w:r w:rsidR="00D33E44">
        <w:rPr>
          <w:rStyle w:val="Refdenotaalpie"/>
          <w:rFonts w:ascii="Times New Roman" w:hAnsi="Times New Roman" w:cs="Times New Roman"/>
          <w:sz w:val="24"/>
          <w:szCs w:val="24"/>
        </w:rPr>
        <w:footnoteReference w:id="21"/>
      </w:r>
      <w:r w:rsidR="00D33E44">
        <w:rPr>
          <w:rFonts w:ascii="Times New Roman" w:hAnsi="Times New Roman" w:cs="Times New Roman"/>
          <w:sz w:val="24"/>
          <w:szCs w:val="24"/>
        </w:rPr>
        <w:t xml:space="preserve"> </w:t>
      </w:r>
      <w:r w:rsidR="00682DAC">
        <w:rPr>
          <w:rFonts w:ascii="Times New Roman" w:hAnsi="Times New Roman" w:cs="Times New Roman"/>
          <w:sz w:val="24"/>
          <w:szCs w:val="24"/>
        </w:rPr>
        <w:t>O</w:t>
      </w:r>
      <w:r w:rsidR="00545D0D">
        <w:rPr>
          <w:rFonts w:ascii="Times New Roman" w:hAnsi="Times New Roman" w:cs="Times New Roman"/>
          <w:sz w:val="24"/>
          <w:szCs w:val="24"/>
        </w:rPr>
        <w:t xml:space="preserve"> direito de recurso para o tribunal constitucional</w:t>
      </w:r>
      <w:r w:rsidR="00682DAC">
        <w:rPr>
          <w:rFonts w:ascii="Times New Roman" w:hAnsi="Times New Roman" w:cs="Times New Roman"/>
          <w:sz w:val="24"/>
          <w:szCs w:val="24"/>
        </w:rPr>
        <w:t xml:space="preserve"> é facultativo</w:t>
      </w:r>
      <w:r w:rsidR="002F3785">
        <w:rPr>
          <w:rFonts w:ascii="Times New Roman" w:hAnsi="Times New Roman" w:cs="Times New Roman"/>
          <w:sz w:val="24"/>
          <w:szCs w:val="24"/>
        </w:rPr>
        <w:t>,</w:t>
      </w:r>
      <w:r w:rsidR="00D8484B">
        <w:rPr>
          <w:rStyle w:val="Refdenotaalpie"/>
          <w:rFonts w:ascii="Times New Roman" w:hAnsi="Times New Roman" w:cs="Times New Roman"/>
          <w:sz w:val="24"/>
          <w:szCs w:val="24"/>
        </w:rPr>
        <w:footnoteReference w:id="22"/>
      </w:r>
      <w:r w:rsidR="002F3785">
        <w:rPr>
          <w:rFonts w:ascii="Times New Roman" w:hAnsi="Times New Roman" w:cs="Times New Roman"/>
          <w:sz w:val="24"/>
          <w:szCs w:val="24"/>
        </w:rPr>
        <w:t xml:space="preserve"> </w:t>
      </w:r>
      <w:r w:rsidR="00682DAC">
        <w:rPr>
          <w:rFonts w:ascii="Times New Roman" w:hAnsi="Times New Roman" w:cs="Times New Roman"/>
          <w:sz w:val="24"/>
          <w:szCs w:val="24"/>
        </w:rPr>
        <w:t xml:space="preserve">ou </w:t>
      </w:r>
      <w:r w:rsidR="002F3785">
        <w:rPr>
          <w:rFonts w:ascii="Times New Roman" w:hAnsi="Times New Roman" w:cs="Times New Roman"/>
          <w:sz w:val="24"/>
          <w:szCs w:val="24"/>
        </w:rPr>
        <w:t>obrigat</w:t>
      </w:r>
      <w:r w:rsidR="00682DAC">
        <w:rPr>
          <w:rFonts w:ascii="Times New Roman" w:hAnsi="Times New Roman" w:cs="Times New Roman"/>
          <w:sz w:val="24"/>
          <w:szCs w:val="24"/>
        </w:rPr>
        <w:t>ório</w:t>
      </w:r>
      <w:r w:rsidR="00545D0D">
        <w:rPr>
          <w:rFonts w:ascii="Times New Roman" w:hAnsi="Times New Roman" w:cs="Times New Roman"/>
          <w:sz w:val="24"/>
          <w:szCs w:val="24"/>
        </w:rPr>
        <w:t>.</w:t>
      </w:r>
      <w:r w:rsidR="00682DAC">
        <w:rPr>
          <w:rStyle w:val="Refdenotaalpie"/>
          <w:rFonts w:ascii="Times New Roman" w:hAnsi="Times New Roman" w:cs="Times New Roman"/>
          <w:sz w:val="24"/>
          <w:szCs w:val="24"/>
        </w:rPr>
        <w:footnoteReference w:id="23"/>
      </w:r>
      <w:r w:rsidR="002F3785">
        <w:rPr>
          <w:rFonts w:ascii="Times New Roman" w:hAnsi="Times New Roman" w:cs="Times New Roman"/>
          <w:sz w:val="24"/>
          <w:szCs w:val="24"/>
        </w:rPr>
        <w:t xml:space="preserve"> O </w:t>
      </w:r>
      <w:r w:rsidR="00682DAC">
        <w:rPr>
          <w:rFonts w:ascii="Times New Roman" w:hAnsi="Times New Roman" w:cs="Times New Roman"/>
          <w:sz w:val="24"/>
          <w:szCs w:val="24"/>
        </w:rPr>
        <w:t>a</w:t>
      </w:r>
      <w:r w:rsidR="002F3785">
        <w:rPr>
          <w:rFonts w:ascii="Times New Roman" w:hAnsi="Times New Roman" w:cs="Times New Roman"/>
          <w:sz w:val="24"/>
          <w:szCs w:val="24"/>
        </w:rPr>
        <w:t>córdão objeto da nossa análise, resulta da interposição obrigatória pelo Ministério Público de recurso de um anterior acórdão do Tribunal da Relação de Guimarães</w:t>
      </w:r>
      <w:r w:rsidR="00D81E99">
        <w:rPr>
          <w:rStyle w:val="Refdenotaalpie"/>
          <w:rFonts w:ascii="Times New Roman" w:hAnsi="Times New Roman" w:cs="Times New Roman"/>
          <w:sz w:val="24"/>
          <w:szCs w:val="24"/>
        </w:rPr>
        <w:footnoteReference w:id="24"/>
      </w:r>
      <w:r w:rsidR="002F3785">
        <w:rPr>
          <w:rFonts w:ascii="Times New Roman" w:hAnsi="Times New Roman" w:cs="Times New Roman"/>
          <w:sz w:val="24"/>
          <w:szCs w:val="24"/>
        </w:rPr>
        <w:t xml:space="preserve"> que julgou </w:t>
      </w:r>
      <w:r w:rsidR="00682DAC">
        <w:rPr>
          <w:rFonts w:ascii="Times New Roman" w:hAnsi="Times New Roman" w:cs="Times New Roman"/>
          <w:sz w:val="24"/>
          <w:szCs w:val="24"/>
        </w:rPr>
        <w:t>a norma d</w:t>
      </w:r>
      <w:r w:rsidR="002F3785">
        <w:rPr>
          <w:rFonts w:ascii="Times New Roman" w:hAnsi="Times New Roman" w:cs="Times New Roman"/>
          <w:sz w:val="24"/>
          <w:szCs w:val="24"/>
        </w:rPr>
        <w:t>o artigo 1817.º, n.º 1 do Código Civil</w:t>
      </w:r>
      <w:r w:rsidR="009F59D8">
        <w:rPr>
          <w:rStyle w:val="Refdenotaalpie"/>
          <w:rFonts w:ascii="Times New Roman" w:hAnsi="Times New Roman" w:cs="Times New Roman"/>
          <w:sz w:val="24"/>
          <w:szCs w:val="24"/>
        </w:rPr>
        <w:footnoteReference w:id="25"/>
      </w:r>
      <w:r w:rsidR="009F59D8">
        <w:rPr>
          <w:rFonts w:ascii="Times New Roman" w:hAnsi="Times New Roman" w:cs="Times New Roman"/>
          <w:sz w:val="24"/>
          <w:szCs w:val="24"/>
        </w:rPr>
        <w:t xml:space="preserve">, aplicável aos autos respetivos </w:t>
      </w:r>
      <w:r w:rsidR="009F59D8" w:rsidRPr="009F59D8">
        <w:rPr>
          <w:rFonts w:ascii="Times New Roman" w:hAnsi="Times New Roman" w:cs="Times New Roman"/>
          <w:i/>
          <w:iCs/>
          <w:sz w:val="24"/>
          <w:szCs w:val="24"/>
        </w:rPr>
        <w:t>ex vi</w:t>
      </w:r>
      <w:r w:rsidR="009F59D8">
        <w:rPr>
          <w:rFonts w:ascii="Times New Roman" w:hAnsi="Times New Roman" w:cs="Times New Roman"/>
          <w:sz w:val="24"/>
          <w:szCs w:val="24"/>
        </w:rPr>
        <w:t xml:space="preserve"> do artigo 1973.º do mesmo normativo,</w:t>
      </w:r>
      <w:r w:rsidR="009F59D8">
        <w:rPr>
          <w:rStyle w:val="Refdenotaalpie"/>
          <w:rFonts w:ascii="Times New Roman" w:hAnsi="Times New Roman" w:cs="Times New Roman"/>
          <w:sz w:val="24"/>
          <w:szCs w:val="24"/>
        </w:rPr>
        <w:footnoteReference w:id="26"/>
      </w:r>
      <w:r w:rsidR="002F3785">
        <w:rPr>
          <w:rFonts w:ascii="Times New Roman" w:hAnsi="Times New Roman" w:cs="Times New Roman"/>
          <w:sz w:val="24"/>
          <w:szCs w:val="24"/>
        </w:rPr>
        <w:t xml:space="preserve"> inconstitucional por violar o disposto nos artigos </w:t>
      </w:r>
      <w:r w:rsidR="00700DBD">
        <w:rPr>
          <w:rFonts w:ascii="Times New Roman" w:hAnsi="Times New Roman" w:cs="Times New Roman"/>
          <w:sz w:val="24"/>
          <w:szCs w:val="24"/>
        </w:rPr>
        <w:t>18.º, n.º 2,</w:t>
      </w:r>
      <w:r w:rsidR="00E30DD4">
        <w:rPr>
          <w:rStyle w:val="Refdenotaalpie"/>
          <w:rFonts w:ascii="Times New Roman" w:hAnsi="Times New Roman" w:cs="Times New Roman"/>
          <w:sz w:val="24"/>
          <w:szCs w:val="24"/>
        </w:rPr>
        <w:footnoteReference w:id="27"/>
      </w:r>
      <w:r w:rsidR="00700DBD">
        <w:rPr>
          <w:rFonts w:ascii="Times New Roman" w:hAnsi="Times New Roman" w:cs="Times New Roman"/>
          <w:sz w:val="24"/>
          <w:szCs w:val="24"/>
        </w:rPr>
        <w:t xml:space="preserve"> </w:t>
      </w:r>
      <w:r w:rsidR="002F3785">
        <w:rPr>
          <w:rFonts w:ascii="Times New Roman" w:hAnsi="Times New Roman" w:cs="Times New Roman"/>
          <w:sz w:val="24"/>
          <w:szCs w:val="24"/>
        </w:rPr>
        <w:t>26.º, n.º</w:t>
      </w:r>
      <w:r w:rsidR="00700DBD">
        <w:rPr>
          <w:rFonts w:ascii="Times New Roman" w:hAnsi="Times New Roman" w:cs="Times New Roman"/>
          <w:sz w:val="24"/>
          <w:szCs w:val="24"/>
        </w:rPr>
        <w:t xml:space="preserve"> </w:t>
      </w:r>
      <w:r w:rsidR="002F3785">
        <w:rPr>
          <w:rFonts w:ascii="Times New Roman" w:hAnsi="Times New Roman" w:cs="Times New Roman"/>
          <w:sz w:val="24"/>
          <w:szCs w:val="24"/>
        </w:rPr>
        <w:t>1</w:t>
      </w:r>
      <w:r w:rsidR="0003035B">
        <w:rPr>
          <w:rStyle w:val="Refdenotaalpie"/>
          <w:rFonts w:ascii="Times New Roman" w:hAnsi="Times New Roman" w:cs="Times New Roman"/>
          <w:sz w:val="24"/>
          <w:szCs w:val="24"/>
        </w:rPr>
        <w:footnoteReference w:id="28"/>
      </w:r>
      <w:r w:rsidR="002F3785">
        <w:rPr>
          <w:rFonts w:ascii="Times New Roman" w:hAnsi="Times New Roman" w:cs="Times New Roman"/>
          <w:sz w:val="24"/>
          <w:szCs w:val="24"/>
        </w:rPr>
        <w:t xml:space="preserve"> e 36</w:t>
      </w:r>
      <w:r w:rsidR="00700DBD">
        <w:rPr>
          <w:rFonts w:ascii="Times New Roman" w:hAnsi="Times New Roman" w:cs="Times New Roman"/>
          <w:sz w:val="24"/>
          <w:szCs w:val="24"/>
        </w:rPr>
        <w:t>.º, n.º 1</w:t>
      </w:r>
      <w:r w:rsidR="0003035B">
        <w:rPr>
          <w:rStyle w:val="Refdenotaalpie"/>
          <w:rFonts w:ascii="Times New Roman" w:hAnsi="Times New Roman" w:cs="Times New Roman"/>
          <w:sz w:val="24"/>
          <w:szCs w:val="24"/>
        </w:rPr>
        <w:footnoteReference w:id="29"/>
      </w:r>
      <w:r w:rsidR="0003035B">
        <w:rPr>
          <w:rFonts w:ascii="Times New Roman" w:hAnsi="Times New Roman" w:cs="Times New Roman"/>
          <w:sz w:val="24"/>
          <w:szCs w:val="24"/>
        </w:rPr>
        <w:t xml:space="preserve">, todos </w:t>
      </w:r>
      <w:r w:rsidR="00700DBD">
        <w:rPr>
          <w:rFonts w:ascii="Times New Roman" w:hAnsi="Times New Roman" w:cs="Times New Roman"/>
          <w:sz w:val="24"/>
          <w:szCs w:val="24"/>
        </w:rPr>
        <w:t>do texto fundamental.</w:t>
      </w:r>
    </w:p>
    <w:p w14:paraId="34714FA4" w14:textId="4D3A98F7" w:rsidR="00A32916" w:rsidRPr="00682DAC" w:rsidRDefault="00A32916" w:rsidP="00682DAC">
      <w:pPr>
        <w:pStyle w:val="Prrafodelista"/>
        <w:numPr>
          <w:ilvl w:val="0"/>
          <w:numId w:val="4"/>
        </w:numPr>
        <w:spacing w:line="360" w:lineRule="auto"/>
        <w:jc w:val="both"/>
        <w:rPr>
          <w:rFonts w:ascii="Times New Roman" w:hAnsi="Times New Roman" w:cs="Times New Roman"/>
          <w:sz w:val="24"/>
          <w:szCs w:val="24"/>
        </w:rPr>
      </w:pPr>
      <w:r w:rsidRPr="00682DAC">
        <w:rPr>
          <w:rFonts w:ascii="Times New Roman" w:hAnsi="Times New Roman" w:cs="Times New Roman"/>
          <w:sz w:val="24"/>
          <w:szCs w:val="24"/>
        </w:rPr>
        <w:t>Antecedentes</w:t>
      </w:r>
    </w:p>
    <w:p w14:paraId="57B961AB" w14:textId="5D616688" w:rsidR="003A309C" w:rsidRDefault="00A32916"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 Acórdão </w:t>
      </w:r>
      <w:r w:rsidRPr="00A32916">
        <w:rPr>
          <w:rFonts w:ascii="Times New Roman" w:hAnsi="Times New Roman" w:cs="Times New Roman"/>
          <w:i/>
          <w:iCs/>
          <w:sz w:val="24"/>
          <w:szCs w:val="24"/>
        </w:rPr>
        <w:t>sub iudice</w:t>
      </w:r>
      <w:r>
        <w:rPr>
          <w:rFonts w:ascii="Times New Roman" w:hAnsi="Times New Roman" w:cs="Times New Roman"/>
          <w:sz w:val="24"/>
          <w:szCs w:val="24"/>
        </w:rPr>
        <w:t xml:space="preserve"> é proferido na sequência da instauração de uma ação de investigação de paternidade por A, em 6 de maio de 2016 </w:t>
      </w:r>
      <w:r w:rsidR="008F5F63">
        <w:rPr>
          <w:rFonts w:ascii="Times New Roman" w:hAnsi="Times New Roman" w:cs="Times New Roman"/>
          <w:sz w:val="24"/>
          <w:szCs w:val="24"/>
        </w:rPr>
        <w:t>-</w:t>
      </w:r>
      <w:r>
        <w:rPr>
          <w:rFonts w:ascii="Times New Roman" w:hAnsi="Times New Roman" w:cs="Times New Roman"/>
          <w:sz w:val="24"/>
          <w:szCs w:val="24"/>
        </w:rPr>
        <w:t>que à data do seu nascimento, 1 de dezembro de 1968, havia sido registada como filha de pai incógnito</w:t>
      </w:r>
      <w:r w:rsidR="008F5F63">
        <w:rPr>
          <w:rFonts w:ascii="Times New Roman" w:hAnsi="Times New Roman" w:cs="Times New Roman"/>
          <w:sz w:val="24"/>
          <w:szCs w:val="24"/>
        </w:rPr>
        <w:t>- contra o investigado ou pretenso pai</w:t>
      </w:r>
      <w:r w:rsidR="00682DAC">
        <w:rPr>
          <w:rFonts w:ascii="Times New Roman" w:hAnsi="Times New Roman" w:cs="Times New Roman"/>
          <w:sz w:val="24"/>
          <w:szCs w:val="24"/>
        </w:rPr>
        <w:t>,</w:t>
      </w:r>
      <w:r w:rsidR="008F5F63">
        <w:rPr>
          <w:rFonts w:ascii="Times New Roman" w:hAnsi="Times New Roman" w:cs="Times New Roman"/>
          <w:sz w:val="24"/>
          <w:szCs w:val="24"/>
        </w:rPr>
        <w:t xml:space="preserve"> ainda vivo à data da instauração da ação. </w:t>
      </w:r>
    </w:p>
    <w:p w14:paraId="4CAA51C0" w14:textId="0DB11438" w:rsidR="003A309C" w:rsidRDefault="00485131"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Reveste especial importância ter em consideração a concreta factualidade dos autos, não contestados pelo suposto progenitor, que revelam um reconhecimento pessoal e social </w:t>
      </w:r>
      <w:r w:rsidR="00682DAC">
        <w:rPr>
          <w:rFonts w:ascii="Times New Roman" w:hAnsi="Times New Roman" w:cs="Times New Roman"/>
          <w:sz w:val="24"/>
          <w:szCs w:val="24"/>
        </w:rPr>
        <w:t>d</w:t>
      </w:r>
      <w:r w:rsidR="003A309C">
        <w:rPr>
          <w:rFonts w:ascii="Times New Roman" w:hAnsi="Times New Roman" w:cs="Times New Roman"/>
          <w:sz w:val="24"/>
          <w:szCs w:val="24"/>
        </w:rPr>
        <w:t>o</w:t>
      </w:r>
      <w:r>
        <w:rPr>
          <w:rFonts w:ascii="Times New Roman" w:hAnsi="Times New Roman" w:cs="Times New Roman"/>
          <w:sz w:val="24"/>
          <w:szCs w:val="24"/>
        </w:rPr>
        <w:t xml:space="preserve"> réu</w:t>
      </w:r>
      <w:r w:rsidR="003A309C">
        <w:rPr>
          <w:rFonts w:ascii="Times New Roman" w:hAnsi="Times New Roman" w:cs="Times New Roman"/>
          <w:sz w:val="24"/>
          <w:szCs w:val="24"/>
        </w:rPr>
        <w:t xml:space="preserve"> </w:t>
      </w:r>
      <w:r w:rsidR="00682DAC">
        <w:rPr>
          <w:rFonts w:ascii="Times New Roman" w:hAnsi="Times New Roman" w:cs="Times New Roman"/>
          <w:sz w:val="24"/>
          <w:szCs w:val="24"/>
        </w:rPr>
        <w:t>relativamente à</w:t>
      </w:r>
      <w:r w:rsidR="003A309C">
        <w:rPr>
          <w:rFonts w:ascii="Times New Roman" w:hAnsi="Times New Roman" w:cs="Times New Roman"/>
          <w:sz w:val="24"/>
          <w:szCs w:val="24"/>
        </w:rPr>
        <w:t xml:space="preserve"> paternidade da autora</w:t>
      </w:r>
      <w:r w:rsidR="002606BB">
        <w:rPr>
          <w:rFonts w:ascii="Times New Roman" w:hAnsi="Times New Roman" w:cs="Times New Roman"/>
          <w:sz w:val="24"/>
          <w:szCs w:val="24"/>
        </w:rPr>
        <w:t>.</w:t>
      </w:r>
      <w:r w:rsidR="00A046F5">
        <w:rPr>
          <w:rStyle w:val="Refdenotaalpie"/>
          <w:rFonts w:ascii="Times New Roman" w:hAnsi="Times New Roman" w:cs="Times New Roman"/>
          <w:sz w:val="24"/>
          <w:szCs w:val="24"/>
        </w:rPr>
        <w:footnoteReference w:id="30"/>
      </w:r>
      <w:r>
        <w:rPr>
          <w:rFonts w:ascii="Times New Roman" w:hAnsi="Times New Roman" w:cs="Times New Roman"/>
          <w:sz w:val="24"/>
          <w:szCs w:val="24"/>
        </w:rPr>
        <w:t xml:space="preserve"> </w:t>
      </w:r>
      <w:r w:rsidR="002606BB">
        <w:rPr>
          <w:rFonts w:ascii="Times New Roman" w:hAnsi="Times New Roman" w:cs="Times New Roman"/>
          <w:sz w:val="24"/>
          <w:szCs w:val="24"/>
        </w:rPr>
        <w:t xml:space="preserve">Acresce </w:t>
      </w:r>
      <w:r w:rsidR="005010DE">
        <w:rPr>
          <w:rFonts w:ascii="Times New Roman" w:hAnsi="Times New Roman" w:cs="Times New Roman"/>
          <w:sz w:val="24"/>
          <w:szCs w:val="24"/>
        </w:rPr>
        <w:t xml:space="preserve">a </w:t>
      </w:r>
      <w:r w:rsidR="002606BB">
        <w:rPr>
          <w:rFonts w:ascii="Times New Roman" w:hAnsi="Times New Roman" w:cs="Times New Roman"/>
          <w:sz w:val="24"/>
          <w:szCs w:val="24"/>
        </w:rPr>
        <w:t xml:space="preserve">sua </w:t>
      </w:r>
      <w:r w:rsidR="005010DE">
        <w:rPr>
          <w:rFonts w:ascii="Times New Roman" w:hAnsi="Times New Roman" w:cs="Times New Roman"/>
          <w:sz w:val="24"/>
          <w:szCs w:val="24"/>
        </w:rPr>
        <w:t xml:space="preserve">invocação de que o direito à identidade pessoal é inalienável, um direito pessoalíssimo e, como tal, imprescritível </w:t>
      </w:r>
      <w:r w:rsidR="003A6153">
        <w:rPr>
          <w:rFonts w:ascii="Times New Roman" w:hAnsi="Times New Roman" w:cs="Times New Roman"/>
          <w:sz w:val="24"/>
          <w:szCs w:val="24"/>
        </w:rPr>
        <w:t xml:space="preserve">e, </w:t>
      </w:r>
      <w:r w:rsidR="005010DE">
        <w:rPr>
          <w:rFonts w:ascii="Times New Roman" w:hAnsi="Times New Roman" w:cs="Times New Roman"/>
          <w:sz w:val="24"/>
          <w:szCs w:val="24"/>
        </w:rPr>
        <w:t>de cuja natureza resulta que o prazo legal para propositura da ação de investigação de paternidade é inconstitucional</w:t>
      </w:r>
      <w:r w:rsidR="00E84B24">
        <w:rPr>
          <w:rFonts w:ascii="Times New Roman" w:hAnsi="Times New Roman" w:cs="Times New Roman"/>
          <w:sz w:val="24"/>
          <w:szCs w:val="24"/>
        </w:rPr>
        <w:t>,</w:t>
      </w:r>
      <w:r w:rsidR="003A6153">
        <w:rPr>
          <w:rStyle w:val="Refdenotaalpie"/>
          <w:rFonts w:ascii="Times New Roman" w:hAnsi="Times New Roman" w:cs="Times New Roman"/>
          <w:sz w:val="24"/>
          <w:szCs w:val="24"/>
        </w:rPr>
        <w:footnoteReference w:id="31"/>
      </w:r>
      <w:r w:rsidR="00E84B24" w:rsidRPr="00E84B24">
        <w:rPr>
          <w:rFonts w:ascii="Garamond" w:hAnsi="Garamond"/>
          <w:color w:val="000000"/>
          <w:sz w:val="21"/>
          <w:szCs w:val="21"/>
        </w:rPr>
        <w:t xml:space="preserve"> </w:t>
      </w:r>
      <w:r w:rsidR="00E84B24" w:rsidRPr="00E84B24">
        <w:rPr>
          <w:rFonts w:ascii="Times New Roman" w:hAnsi="Times New Roman" w:cs="Times New Roman"/>
          <w:color w:val="000000"/>
          <w:sz w:val="24"/>
          <w:szCs w:val="24"/>
        </w:rPr>
        <w:t>por se traduzir numa restrição desproporcionada ao direito à identidade pessoal, ao direito à integridade moral e ao direito a constituir família.</w:t>
      </w:r>
    </w:p>
    <w:p w14:paraId="7A35CA5A" w14:textId="745B4728" w:rsidR="00A32916" w:rsidRDefault="008F5F63"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 primeira instância, foi proferido despacho saneador sentença, que julgou procedente a exceção de caducidade do direito a instaurar a ação pela </w:t>
      </w:r>
      <w:r w:rsidR="000D52A0">
        <w:rPr>
          <w:rFonts w:ascii="Times New Roman" w:hAnsi="Times New Roman" w:cs="Times New Roman"/>
          <w:sz w:val="24"/>
          <w:szCs w:val="24"/>
        </w:rPr>
        <w:t>a</w:t>
      </w:r>
      <w:r>
        <w:rPr>
          <w:rFonts w:ascii="Times New Roman" w:hAnsi="Times New Roman" w:cs="Times New Roman"/>
          <w:sz w:val="24"/>
          <w:szCs w:val="24"/>
        </w:rPr>
        <w:t>utora</w:t>
      </w:r>
      <w:r w:rsidR="000D52A0">
        <w:rPr>
          <w:rFonts w:ascii="Times New Roman" w:hAnsi="Times New Roman" w:cs="Times New Roman"/>
          <w:sz w:val="24"/>
          <w:szCs w:val="24"/>
        </w:rPr>
        <w:t>/</w:t>
      </w:r>
      <w:r>
        <w:rPr>
          <w:rFonts w:ascii="Times New Roman" w:hAnsi="Times New Roman" w:cs="Times New Roman"/>
          <w:sz w:val="24"/>
          <w:szCs w:val="24"/>
        </w:rPr>
        <w:t xml:space="preserve">investigante e absolveu o Réu do pedido. Não se conformando com essa decisão, a </w:t>
      </w:r>
      <w:r w:rsidR="000D52A0">
        <w:rPr>
          <w:rFonts w:ascii="Times New Roman" w:hAnsi="Times New Roman" w:cs="Times New Roman"/>
          <w:sz w:val="24"/>
          <w:szCs w:val="24"/>
        </w:rPr>
        <w:t>a</w:t>
      </w:r>
      <w:r>
        <w:rPr>
          <w:rFonts w:ascii="Times New Roman" w:hAnsi="Times New Roman" w:cs="Times New Roman"/>
          <w:sz w:val="24"/>
          <w:szCs w:val="24"/>
        </w:rPr>
        <w:t xml:space="preserve">utora recorreu da mesma para o Tribunal da Relação de Guimarães, </w:t>
      </w:r>
      <w:r w:rsidR="00871CFC">
        <w:rPr>
          <w:rFonts w:ascii="Times New Roman" w:hAnsi="Times New Roman" w:cs="Times New Roman"/>
          <w:sz w:val="24"/>
          <w:szCs w:val="24"/>
        </w:rPr>
        <w:t xml:space="preserve">invocando a inconstitucionalidade da norma constante do artigo 1817.º, n.º 1 do Código Civil Português </w:t>
      </w:r>
      <w:r w:rsidR="00871CFC" w:rsidRPr="00871CFC">
        <w:rPr>
          <w:rFonts w:ascii="Times New Roman" w:hAnsi="Times New Roman" w:cs="Times New Roman"/>
          <w:i/>
          <w:iCs/>
          <w:sz w:val="24"/>
          <w:szCs w:val="24"/>
        </w:rPr>
        <w:t>ex vi</w:t>
      </w:r>
      <w:r w:rsidR="00871CFC">
        <w:rPr>
          <w:rFonts w:ascii="Times New Roman" w:hAnsi="Times New Roman" w:cs="Times New Roman"/>
          <w:sz w:val="24"/>
          <w:szCs w:val="24"/>
        </w:rPr>
        <w:t xml:space="preserve"> do artigo 1973.º do mesmo normativo</w:t>
      </w:r>
      <w:r w:rsidR="003C6362">
        <w:rPr>
          <w:rFonts w:ascii="Times New Roman" w:hAnsi="Times New Roman" w:cs="Times New Roman"/>
          <w:sz w:val="24"/>
          <w:szCs w:val="24"/>
        </w:rPr>
        <w:t>, ao estabelecer que “[a] ação de investigação da [paternidade] só pode ser proposta durante a menoridade do investigante ou nos dez anos posteriores à sua maioridade ou emancipação.”</w:t>
      </w:r>
    </w:p>
    <w:p w14:paraId="2C7B162F" w14:textId="4648A85B" w:rsidR="003C6362" w:rsidRDefault="003B6665"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O Tribunal da</w:t>
      </w:r>
      <w:r w:rsidR="003C6362">
        <w:rPr>
          <w:rFonts w:ascii="Times New Roman" w:hAnsi="Times New Roman" w:cs="Times New Roman"/>
          <w:sz w:val="24"/>
          <w:szCs w:val="24"/>
        </w:rPr>
        <w:t xml:space="preserve"> Relação de Guimarães,</w:t>
      </w:r>
      <w:r w:rsidR="00945EE4">
        <w:rPr>
          <w:rStyle w:val="Refdenotaalpie"/>
          <w:rFonts w:ascii="Times New Roman" w:hAnsi="Times New Roman" w:cs="Times New Roman"/>
          <w:sz w:val="24"/>
          <w:szCs w:val="24"/>
        </w:rPr>
        <w:footnoteReference w:id="32"/>
      </w:r>
      <w:r w:rsidR="003C6362">
        <w:rPr>
          <w:rFonts w:ascii="Times New Roman" w:hAnsi="Times New Roman" w:cs="Times New Roman"/>
          <w:sz w:val="24"/>
          <w:szCs w:val="24"/>
        </w:rPr>
        <w:t xml:space="preserve"> por acórdão de 2 de fevereiro de 2017</w:t>
      </w:r>
      <w:r w:rsidR="004D1CCD">
        <w:rPr>
          <w:rFonts w:ascii="Times New Roman" w:hAnsi="Times New Roman" w:cs="Times New Roman"/>
          <w:sz w:val="24"/>
          <w:szCs w:val="24"/>
        </w:rPr>
        <w:t>,</w:t>
      </w:r>
      <w:r w:rsidR="003C6362" w:rsidRPr="003B6665">
        <w:rPr>
          <w:rFonts w:ascii="Times New Roman" w:hAnsi="Times New Roman" w:cs="Times New Roman"/>
          <w:sz w:val="24"/>
          <w:szCs w:val="24"/>
        </w:rPr>
        <w:t xml:space="preserve"> </w:t>
      </w:r>
      <w:r w:rsidR="003C6362">
        <w:rPr>
          <w:rFonts w:ascii="Times New Roman" w:hAnsi="Times New Roman" w:cs="Times New Roman"/>
          <w:sz w:val="24"/>
          <w:szCs w:val="24"/>
        </w:rPr>
        <w:t>consider</w:t>
      </w:r>
      <w:r w:rsidR="00F003DF">
        <w:rPr>
          <w:rFonts w:ascii="Times New Roman" w:hAnsi="Times New Roman" w:cs="Times New Roman"/>
          <w:sz w:val="24"/>
          <w:szCs w:val="24"/>
        </w:rPr>
        <w:t>ou</w:t>
      </w:r>
      <w:r w:rsidR="003C6362">
        <w:rPr>
          <w:rFonts w:ascii="Times New Roman" w:hAnsi="Times New Roman" w:cs="Times New Roman"/>
          <w:sz w:val="24"/>
          <w:szCs w:val="24"/>
        </w:rPr>
        <w:t xml:space="preserve"> aquela norma inconstitucional</w:t>
      </w:r>
      <w:r w:rsidR="000D52A0">
        <w:rPr>
          <w:rFonts w:ascii="Times New Roman" w:hAnsi="Times New Roman" w:cs="Times New Roman"/>
          <w:sz w:val="24"/>
          <w:szCs w:val="24"/>
        </w:rPr>
        <w:t xml:space="preserve"> </w:t>
      </w:r>
      <w:r w:rsidR="0061659D">
        <w:rPr>
          <w:rFonts w:ascii="Times New Roman" w:hAnsi="Times New Roman" w:cs="Times New Roman"/>
          <w:sz w:val="24"/>
          <w:szCs w:val="24"/>
        </w:rPr>
        <w:t xml:space="preserve">por constituir uma restrição injustificada do direito ao conhecimento das origens genéticas, violando </w:t>
      </w:r>
      <w:r w:rsidR="003C6362">
        <w:rPr>
          <w:rFonts w:ascii="Times New Roman" w:hAnsi="Times New Roman" w:cs="Times New Roman"/>
          <w:sz w:val="24"/>
          <w:szCs w:val="24"/>
        </w:rPr>
        <w:t>os artigos 18.º n.º 2,</w:t>
      </w:r>
      <w:r w:rsidR="004D1CCD">
        <w:rPr>
          <w:rStyle w:val="Refdenotaalpie"/>
          <w:rFonts w:ascii="Times New Roman" w:hAnsi="Times New Roman" w:cs="Times New Roman"/>
          <w:sz w:val="24"/>
          <w:szCs w:val="24"/>
        </w:rPr>
        <w:footnoteReference w:id="33"/>
      </w:r>
      <w:r w:rsidR="003C6362">
        <w:rPr>
          <w:rFonts w:ascii="Times New Roman" w:hAnsi="Times New Roman" w:cs="Times New Roman"/>
          <w:sz w:val="24"/>
          <w:szCs w:val="24"/>
        </w:rPr>
        <w:t xml:space="preserve"> 26.º, n.º</w:t>
      </w:r>
      <w:r w:rsidR="00F003DF">
        <w:rPr>
          <w:rFonts w:ascii="Times New Roman" w:hAnsi="Times New Roman" w:cs="Times New Roman"/>
          <w:sz w:val="24"/>
          <w:szCs w:val="24"/>
        </w:rPr>
        <w:t xml:space="preserve"> </w:t>
      </w:r>
      <w:r w:rsidR="003C6362">
        <w:rPr>
          <w:rFonts w:ascii="Times New Roman" w:hAnsi="Times New Roman" w:cs="Times New Roman"/>
          <w:sz w:val="24"/>
          <w:szCs w:val="24"/>
        </w:rPr>
        <w:t>1</w:t>
      </w:r>
      <w:r w:rsidR="004D1CCD">
        <w:rPr>
          <w:rStyle w:val="Refdenotaalpie"/>
          <w:rFonts w:ascii="Times New Roman" w:hAnsi="Times New Roman" w:cs="Times New Roman"/>
          <w:sz w:val="24"/>
          <w:szCs w:val="24"/>
        </w:rPr>
        <w:footnoteReference w:id="34"/>
      </w:r>
      <w:r w:rsidR="003C6362">
        <w:rPr>
          <w:rFonts w:ascii="Times New Roman" w:hAnsi="Times New Roman" w:cs="Times New Roman"/>
          <w:sz w:val="24"/>
          <w:szCs w:val="24"/>
        </w:rPr>
        <w:t xml:space="preserve"> e 36.º n.º</w:t>
      </w:r>
      <w:r w:rsidR="00F003DF">
        <w:rPr>
          <w:rFonts w:ascii="Times New Roman" w:hAnsi="Times New Roman" w:cs="Times New Roman"/>
          <w:sz w:val="24"/>
          <w:szCs w:val="24"/>
        </w:rPr>
        <w:t xml:space="preserve"> </w:t>
      </w:r>
      <w:r w:rsidR="003C6362">
        <w:rPr>
          <w:rFonts w:ascii="Times New Roman" w:hAnsi="Times New Roman" w:cs="Times New Roman"/>
          <w:sz w:val="24"/>
          <w:szCs w:val="24"/>
        </w:rPr>
        <w:t>1</w:t>
      </w:r>
      <w:r w:rsidR="004D1CCD">
        <w:rPr>
          <w:rStyle w:val="Refdenotaalpie"/>
          <w:rFonts w:ascii="Times New Roman" w:hAnsi="Times New Roman" w:cs="Times New Roman"/>
          <w:sz w:val="24"/>
          <w:szCs w:val="24"/>
        </w:rPr>
        <w:footnoteReference w:id="35"/>
      </w:r>
      <w:r w:rsidR="003C6362">
        <w:rPr>
          <w:rFonts w:ascii="Times New Roman" w:hAnsi="Times New Roman" w:cs="Times New Roman"/>
          <w:sz w:val="24"/>
          <w:szCs w:val="24"/>
        </w:rPr>
        <w:t xml:space="preserve"> da Constituição da República Portuguesa</w:t>
      </w:r>
      <w:r w:rsidR="00682DAC">
        <w:rPr>
          <w:rFonts w:ascii="Times New Roman" w:hAnsi="Times New Roman" w:cs="Times New Roman"/>
          <w:sz w:val="24"/>
          <w:szCs w:val="24"/>
        </w:rPr>
        <w:t>. Consequentemente,</w:t>
      </w:r>
      <w:r w:rsidR="003C6362">
        <w:rPr>
          <w:rFonts w:ascii="Times New Roman" w:hAnsi="Times New Roman" w:cs="Times New Roman"/>
          <w:sz w:val="24"/>
          <w:szCs w:val="24"/>
        </w:rPr>
        <w:t xml:space="preserve"> a sua aplicação</w:t>
      </w:r>
      <w:r w:rsidR="00F003DF">
        <w:rPr>
          <w:rFonts w:ascii="Times New Roman" w:hAnsi="Times New Roman" w:cs="Times New Roman"/>
          <w:sz w:val="24"/>
          <w:szCs w:val="24"/>
        </w:rPr>
        <w:t xml:space="preserve"> </w:t>
      </w:r>
      <w:r w:rsidR="00F003DF" w:rsidRPr="00F003DF">
        <w:rPr>
          <w:rFonts w:ascii="Times New Roman" w:hAnsi="Times New Roman" w:cs="Times New Roman"/>
          <w:i/>
          <w:iCs/>
          <w:sz w:val="24"/>
          <w:szCs w:val="24"/>
        </w:rPr>
        <w:t>in casu</w:t>
      </w:r>
      <w:r w:rsidR="00F003DF">
        <w:rPr>
          <w:rFonts w:ascii="Times New Roman" w:hAnsi="Times New Roman" w:cs="Times New Roman"/>
          <w:sz w:val="24"/>
          <w:szCs w:val="24"/>
        </w:rPr>
        <w:t>, e,</w:t>
      </w:r>
      <w:r w:rsidR="00F003DF" w:rsidRPr="00F003DF">
        <w:rPr>
          <w:rFonts w:ascii="Times New Roman" w:hAnsi="Times New Roman" w:cs="Times New Roman"/>
          <w:sz w:val="24"/>
          <w:szCs w:val="24"/>
        </w:rPr>
        <w:t xml:space="preserve"> </w:t>
      </w:r>
      <w:r w:rsidR="00F003DF">
        <w:rPr>
          <w:rFonts w:ascii="Times New Roman" w:hAnsi="Times New Roman" w:cs="Times New Roman"/>
          <w:sz w:val="24"/>
          <w:szCs w:val="24"/>
        </w:rPr>
        <w:t xml:space="preserve">deu provimento ao recurso, considerando improcedente a exceção da caducidade e </w:t>
      </w:r>
      <w:r w:rsidR="00341432">
        <w:rPr>
          <w:rFonts w:ascii="Times New Roman" w:hAnsi="Times New Roman" w:cs="Times New Roman"/>
          <w:sz w:val="24"/>
          <w:szCs w:val="24"/>
        </w:rPr>
        <w:t>revogando a decisão recorrida.</w:t>
      </w:r>
    </w:p>
    <w:p w14:paraId="2CE09CB0" w14:textId="141DDF57" w:rsidR="00892A79" w:rsidRDefault="00892A79"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Deste acórdão, foi interposto recurso obrigatório pelo Ministério Público para o Tribunal Constitucional, nos termos do disposto nos artigos 70.º, n.º 1, alínea a) e 72.º, n.º 1, alínea e) e n.º 3 da Lei do Tribunal Constitucional</w:t>
      </w:r>
      <w:r w:rsidR="004037C3">
        <w:rPr>
          <w:rFonts w:ascii="Times New Roman" w:hAnsi="Times New Roman" w:cs="Times New Roman"/>
          <w:sz w:val="24"/>
          <w:szCs w:val="24"/>
        </w:rPr>
        <w:t>,</w:t>
      </w:r>
      <w:r>
        <w:rPr>
          <w:rStyle w:val="Refdenotaalpie"/>
          <w:rFonts w:ascii="Times New Roman" w:hAnsi="Times New Roman" w:cs="Times New Roman"/>
          <w:sz w:val="24"/>
          <w:szCs w:val="24"/>
        </w:rPr>
        <w:footnoteReference w:id="36"/>
      </w:r>
      <w:r w:rsidR="004037C3">
        <w:rPr>
          <w:rFonts w:ascii="Times New Roman" w:hAnsi="Times New Roman" w:cs="Times New Roman"/>
          <w:sz w:val="24"/>
          <w:szCs w:val="24"/>
        </w:rPr>
        <w:t xml:space="preserve"> na medida em que a decisão recorrenda julgou </w:t>
      </w:r>
      <w:r w:rsidR="00682DAC">
        <w:rPr>
          <w:rFonts w:ascii="Times New Roman" w:hAnsi="Times New Roman" w:cs="Times New Roman"/>
          <w:sz w:val="24"/>
          <w:szCs w:val="24"/>
        </w:rPr>
        <w:t xml:space="preserve">que </w:t>
      </w:r>
      <w:r w:rsidR="004037C3">
        <w:rPr>
          <w:rFonts w:ascii="Times New Roman" w:hAnsi="Times New Roman" w:cs="Times New Roman"/>
          <w:sz w:val="24"/>
          <w:szCs w:val="24"/>
        </w:rPr>
        <w:t>“«o prazo de 10 anos previsto no n.º 1 do artigo 1817.º do C. Civil é inconstitucional por constituir uma restrição injustificada do direito ao conhecimento das origens genéticas</w:t>
      </w:r>
      <w:r w:rsidR="003D7D38">
        <w:rPr>
          <w:rFonts w:ascii="Times New Roman" w:hAnsi="Times New Roman" w:cs="Times New Roman"/>
          <w:sz w:val="24"/>
          <w:szCs w:val="24"/>
        </w:rPr>
        <w:t xml:space="preserve"> […]».”</w:t>
      </w:r>
      <w:r w:rsidR="004037C3">
        <w:rPr>
          <w:rFonts w:ascii="Times New Roman" w:hAnsi="Times New Roman" w:cs="Times New Roman"/>
          <w:sz w:val="24"/>
          <w:szCs w:val="24"/>
        </w:rPr>
        <w:t xml:space="preserve"> </w:t>
      </w:r>
    </w:p>
    <w:p w14:paraId="5FFF440E" w14:textId="58AE38F8" w:rsidR="003D7D38" w:rsidRDefault="00682DAC"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Foram, ainda, r</w:t>
      </w:r>
      <w:r w:rsidR="003D7D38">
        <w:rPr>
          <w:rFonts w:ascii="Times New Roman" w:hAnsi="Times New Roman" w:cs="Times New Roman"/>
          <w:sz w:val="24"/>
          <w:szCs w:val="24"/>
        </w:rPr>
        <w:t>eferenci</w:t>
      </w:r>
      <w:r>
        <w:rPr>
          <w:rFonts w:ascii="Times New Roman" w:hAnsi="Times New Roman" w:cs="Times New Roman"/>
          <w:sz w:val="24"/>
          <w:szCs w:val="24"/>
        </w:rPr>
        <w:t>ados</w:t>
      </w:r>
      <w:r w:rsidR="003D7D38">
        <w:rPr>
          <w:rFonts w:ascii="Times New Roman" w:hAnsi="Times New Roman" w:cs="Times New Roman"/>
          <w:sz w:val="24"/>
          <w:szCs w:val="24"/>
        </w:rPr>
        <w:t xml:space="preserve">, </w:t>
      </w:r>
      <w:r w:rsidR="00462F53">
        <w:rPr>
          <w:rFonts w:ascii="Times New Roman" w:hAnsi="Times New Roman" w:cs="Times New Roman"/>
          <w:sz w:val="24"/>
          <w:szCs w:val="24"/>
        </w:rPr>
        <w:t>n</w:t>
      </w:r>
      <w:r w:rsidR="003D7D38">
        <w:rPr>
          <w:rFonts w:ascii="Times New Roman" w:hAnsi="Times New Roman" w:cs="Times New Roman"/>
          <w:sz w:val="24"/>
          <w:szCs w:val="24"/>
        </w:rPr>
        <w:t>o requerimento</w:t>
      </w:r>
      <w:r>
        <w:rPr>
          <w:rFonts w:ascii="Times New Roman" w:hAnsi="Times New Roman" w:cs="Times New Roman"/>
          <w:sz w:val="24"/>
          <w:szCs w:val="24"/>
        </w:rPr>
        <w:t xml:space="preserve"> identificado</w:t>
      </w:r>
      <w:r w:rsidR="003D7D38">
        <w:rPr>
          <w:rFonts w:ascii="Times New Roman" w:hAnsi="Times New Roman" w:cs="Times New Roman"/>
          <w:sz w:val="24"/>
          <w:szCs w:val="24"/>
        </w:rPr>
        <w:t>, alguns acórdãos que decidiram pela não inconstitucionalidade</w:t>
      </w:r>
      <w:r w:rsidR="007755FA">
        <w:rPr>
          <w:rFonts w:ascii="Times New Roman" w:hAnsi="Times New Roman" w:cs="Times New Roman"/>
          <w:sz w:val="24"/>
          <w:szCs w:val="24"/>
        </w:rPr>
        <w:t>.</w:t>
      </w:r>
      <w:r w:rsidR="007755FA">
        <w:rPr>
          <w:rStyle w:val="Refdenotaalpie"/>
          <w:rFonts w:ascii="Times New Roman" w:hAnsi="Times New Roman" w:cs="Times New Roman"/>
          <w:sz w:val="24"/>
          <w:szCs w:val="24"/>
        </w:rPr>
        <w:footnoteReference w:id="37"/>
      </w:r>
      <w:r w:rsidR="003D7D38">
        <w:rPr>
          <w:rFonts w:ascii="Times New Roman" w:hAnsi="Times New Roman" w:cs="Times New Roman"/>
          <w:sz w:val="24"/>
          <w:szCs w:val="24"/>
        </w:rPr>
        <w:t xml:space="preserve"> </w:t>
      </w:r>
    </w:p>
    <w:p w14:paraId="37260577" w14:textId="4AA9E746" w:rsidR="00C9730E" w:rsidRDefault="00C9730E" w:rsidP="00866D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Notificado o Ministério Público junto do tribunal </w:t>
      </w:r>
      <w:r w:rsidRPr="00C9730E">
        <w:rPr>
          <w:rFonts w:ascii="Times New Roman" w:hAnsi="Times New Roman" w:cs="Times New Roman"/>
          <w:i/>
          <w:iCs/>
          <w:sz w:val="24"/>
          <w:szCs w:val="24"/>
        </w:rPr>
        <w:t>ad quem</w:t>
      </w:r>
      <w:r>
        <w:rPr>
          <w:rFonts w:ascii="Times New Roman" w:hAnsi="Times New Roman" w:cs="Times New Roman"/>
          <w:sz w:val="24"/>
          <w:szCs w:val="24"/>
        </w:rPr>
        <w:t>, veio o mesmo pugnar pela não inconstitucionalidade do preceito, invocando a abundante, uniforme</w:t>
      </w:r>
      <w:r w:rsidR="000B171D">
        <w:rPr>
          <w:rFonts w:ascii="Times New Roman" w:hAnsi="Times New Roman" w:cs="Times New Roman"/>
          <w:sz w:val="24"/>
          <w:szCs w:val="24"/>
        </w:rPr>
        <w:t>,</w:t>
      </w:r>
      <w:r>
        <w:rPr>
          <w:rFonts w:ascii="Times New Roman" w:hAnsi="Times New Roman" w:cs="Times New Roman"/>
          <w:sz w:val="24"/>
          <w:szCs w:val="24"/>
        </w:rPr>
        <w:t xml:space="preserve"> mas não unânime jurisprudência,</w:t>
      </w:r>
      <w:r>
        <w:rPr>
          <w:rStyle w:val="Refdenotaalpie"/>
          <w:rFonts w:ascii="Times New Roman" w:hAnsi="Times New Roman" w:cs="Times New Roman"/>
          <w:sz w:val="24"/>
          <w:szCs w:val="24"/>
        </w:rPr>
        <w:footnoteReference w:id="38"/>
      </w:r>
      <w:r>
        <w:rPr>
          <w:rFonts w:ascii="Times New Roman" w:hAnsi="Times New Roman" w:cs="Times New Roman"/>
          <w:sz w:val="24"/>
          <w:szCs w:val="24"/>
        </w:rPr>
        <w:t xml:space="preserve"> </w:t>
      </w:r>
      <w:r w:rsidR="00682DAC">
        <w:rPr>
          <w:rFonts w:ascii="Times New Roman" w:hAnsi="Times New Roman" w:cs="Times New Roman"/>
          <w:sz w:val="24"/>
          <w:szCs w:val="24"/>
        </w:rPr>
        <w:t>concluindo que</w:t>
      </w:r>
      <w:r w:rsidR="000D52A0">
        <w:rPr>
          <w:rFonts w:ascii="Times New Roman" w:hAnsi="Times New Roman" w:cs="Times New Roman"/>
          <w:sz w:val="24"/>
          <w:szCs w:val="24"/>
        </w:rPr>
        <w:t xml:space="preserve"> </w:t>
      </w:r>
      <w:r>
        <w:rPr>
          <w:rFonts w:ascii="Times New Roman" w:hAnsi="Times New Roman" w:cs="Times New Roman"/>
          <w:sz w:val="24"/>
          <w:szCs w:val="24"/>
        </w:rPr>
        <w:t>devia ser proferido um juízo negativo de inconstitucionalidade</w:t>
      </w:r>
      <w:r w:rsidR="0098595C">
        <w:rPr>
          <w:rFonts w:ascii="Times New Roman" w:hAnsi="Times New Roman" w:cs="Times New Roman"/>
          <w:sz w:val="24"/>
          <w:szCs w:val="24"/>
        </w:rPr>
        <w:t>.</w:t>
      </w:r>
    </w:p>
    <w:p w14:paraId="4D820FC5" w14:textId="731A336E" w:rsidR="0098595C" w:rsidRDefault="000B171D" w:rsidP="00693B63">
      <w:pPr>
        <w:spacing w:line="360" w:lineRule="auto"/>
        <w:jc w:val="both"/>
        <w:rPr>
          <w:rFonts w:ascii="Times New Roman" w:hAnsi="Times New Roman" w:cs="Times New Roman"/>
          <w:sz w:val="24"/>
          <w:szCs w:val="24"/>
        </w:rPr>
      </w:pPr>
      <w:r>
        <w:rPr>
          <w:rFonts w:ascii="Times New Roman" w:hAnsi="Times New Roman" w:cs="Times New Roman"/>
          <w:sz w:val="24"/>
          <w:szCs w:val="24"/>
        </w:rPr>
        <w:t>A investigante veio alegar</w:t>
      </w:r>
      <w:r w:rsidR="002606BB">
        <w:rPr>
          <w:rFonts w:ascii="Times New Roman" w:hAnsi="Times New Roman" w:cs="Times New Roman"/>
          <w:sz w:val="24"/>
          <w:szCs w:val="24"/>
        </w:rPr>
        <w:t>,</w:t>
      </w:r>
      <w:r>
        <w:rPr>
          <w:rFonts w:ascii="Times New Roman" w:hAnsi="Times New Roman" w:cs="Times New Roman"/>
          <w:sz w:val="24"/>
          <w:szCs w:val="24"/>
        </w:rPr>
        <w:t xml:space="preserve"> em síntese</w:t>
      </w:r>
      <w:r w:rsidR="002606BB">
        <w:rPr>
          <w:rFonts w:ascii="Times New Roman" w:hAnsi="Times New Roman" w:cs="Times New Roman"/>
          <w:sz w:val="24"/>
          <w:szCs w:val="24"/>
        </w:rPr>
        <w:t>,</w:t>
      </w:r>
      <w:r w:rsidR="0061659D">
        <w:rPr>
          <w:rFonts w:ascii="Times New Roman" w:hAnsi="Times New Roman" w:cs="Times New Roman"/>
          <w:sz w:val="24"/>
          <w:szCs w:val="24"/>
        </w:rPr>
        <w:t xml:space="preserve"> que o direito à identidade pessoal é um interesse inalienável da pessoa, nele se incluindo o direito a conhecer e a ver reconhecida a sua ascendência biológica</w:t>
      </w:r>
      <w:r w:rsidR="00693B63">
        <w:rPr>
          <w:rFonts w:ascii="Times New Roman" w:hAnsi="Times New Roman" w:cs="Times New Roman"/>
          <w:sz w:val="24"/>
          <w:szCs w:val="24"/>
        </w:rPr>
        <w:t xml:space="preserve">, que tal direito é essencial para a identidade própria e é constitutivo da personalidade singular de cada individuo. Que a natureza pessoalíssima destes direitos </w:t>
      </w:r>
      <w:r w:rsidR="000D52A0">
        <w:rPr>
          <w:rFonts w:ascii="Times New Roman" w:hAnsi="Times New Roman" w:cs="Times New Roman"/>
          <w:sz w:val="24"/>
          <w:szCs w:val="24"/>
        </w:rPr>
        <w:t>os torna</w:t>
      </w:r>
      <w:r w:rsidR="00693B63">
        <w:rPr>
          <w:rFonts w:ascii="Times New Roman" w:hAnsi="Times New Roman" w:cs="Times New Roman"/>
          <w:sz w:val="24"/>
          <w:szCs w:val="24"/>
        </w:rPr>
        <w:t xml:space="preserve"> indisponíveis e imprescritíveis.</w:t>
      </w:r>
    </w:p>
    <w:p w14:paraId="4F33FC58" w14:textId="2A11695C" w:rsidR="00682DAC" w:rsidRDefault="00682DAC" w:rsidP="00682DAC">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B – A norma questionada e o parâmetro de apreciação de constitucionalidade</w:t>
      </w:r>
    </w:p>
    <w:p w14:paraId="196B3C69" w14:textId="7078E94D" w:rsidR="0006572E" w:rsidRDefault="0006572E" w:rsidP="00693B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Relativamente à norma questionada e ao parâmetro de apreciação de constitucionalidade, o acórdão </w:t>
      </w:r>
      <w:r w:rsidRPr="000A549B">
        <w:rPr>
          <w:rFonts w:ascii="Times New Roman" w:hAnsi="Times New Roman" w:cs="Times New Roman"/>
          <w:i/>
          <w:iCs/>
          <w:sz w:val="24"/>
          <w:szCs w:val="24"/>
        </w:rPr>
        <w:t>sub iudice</w:t>
      </w:r>
      <w:r>
        <w:rPr>
          <w:rFonts w:ascii="Times New Roman" w:hAnsi="Times New Roman" w:cs="Times New Roman"/>
          <w:sz w:val="24"/>
          <w:szCs w:val="24"/>
        </w:rPr>
        <w:t>, seguiu a metodologia adotada no acórdão</w:t>
      </w:r>
      <w:r w:rsidR="004761E3">
        <w:rPr>
          <w:rFonts w:ascii="Times New Roman" w:hAnsi="Times New Roman" w:cs="Times New Roman"/>
          <w:sz w:val="24"/>
          <w:szCs w:val="24"/>
        </w:rPr>
        <w:t xml:space="preserve"> n.º 401/2011</w:t>
      </w:r>
      <w:r w:rsidR="00466DB5">
        <w:rPr>
          <w:rFonts w:ascii="Times New Roman" w:hAnsi="Times New Roman" w:cs="Times New Roman"/>
          <w:sz w:val="24"/>
          <w:szCs w:val="24"/>
        </w:rPr>
        <w:t>,</w:t>
      </w:r>
      <w:r w:rsidR="0004504F">
        <w:rPr>
          <w:rStyle w:val="Refdenotaalpie"/>
          <w:rFonts w:ascii="Times New Roman" w:hAnsi="Times New Roman" w:cs="Times New Roman"/>
          <w:sz w:val="24"/>
          <w:szCs w:val="24"/>
        </w:rPr>
        <w:footnoteReference w:id="39"/>
      </w:r>
      <w:r w:rsidR="00466DB5">
        <w:rPr>
          <w:rFonts w:ascii="Times New Roman" w:hAnsi="Times New Roman" w:cs="Times New Roman"/>
          <w:sz w:val="24"/>
          <w:szCs w:val="24"/>
        </w:rPr>
        <w:t>de 22 de setembro,</w:t>
      </w:r>
      <w:r w:rsidR="004761E3">
        <w:rPr>
          <w:rFonts w:ascii="Times New Roman" w:hAnsi="Times New Roman" w:cs="Times New Roman"/>
          <w:sz w:val="24"/>
          <w:szCs w:val="24"/>
        </w:rPr>
        <w:t xml:space="preserve"> proferido em Plenário, desdobrando a sua análise em dois momentos. Num primeiro, versa </w:t>
      </w:r>
      <w:r w:rsidR="002606BB">
        <w:rPr>
          <w:rFonts w:ascii="Times New Roman" w:hAnsi="Times New Roman" w:cs="Times New Roman"/>
          <w:sz w:val="24"/>
          <w:szCs w:val="24"/>
        </w:rPr>
        <w:t>o</w:t>
      </w:r>
      <w:r w:rsidR="004761E3">
        <w:rPr>
          <w:rFonts w:ascii="Times New Roman" w:hAnsi="Times New Roman" w:cs="Times New Roman"/>
          <w:sz w:val="24"/>
          <w:szCs w:val="24"/>
        </w:rPr>
        <w:t xml:space="preserve"> mesm</w:t>
      </w:r>
      <w:r w:rsidR="002606BB">
        <w:rPr>
          <w:rFonts w:ascii="Times New Roman" w:hAnsi="Times New Roman" w:cs="Times New Roman"/>
          <w:sz w:val="24"/>
          <w:szCs w:val="24"/>
        </w:rPr>
        <w:t>o</w:t>
      </w:r>
      <w:r w:rsidR="004761E3">
        <w:rPr>
          <w:rFonts w:ascii="Times New Roman" w:hAnsi="Times New Roman" w:cs="Times New Roman"/>
          <w:sz w:val="24"/>
          <w:szCs w:val="24"/>
        </w:rPr>
        <w:t>, sobre a decisão quanto à compatibilidade com a lei fundamental</w:t>
      </w:r>
      <w:r w:rsidR="002606BB">
        <w:rPr>
          <w:rFonts w:ascii="Times New Roman" w:hAnsi="Times New Roman" w:cs="Times New Roman"/>
          <w:sz w:val="24"/>
          <w:szCs w:val="24"/>
        </w:rPr>
        <w:t>,</w:t>
      </w:r>
      <w:r w:rsidR="004761E3">
        <w:rPr>
          <w:rFonts w:ascii="Times New Roman" w:hAnsi="Times New Roman" w:cs="Times New Roman"/>
          <w:sz w:val="24"/>
          <w:szCs w:val="24"/>
        </w:rPr>
        <w:t xml:space="preserve"> da previsão de um prazo de caducidade, independentemente da sua amplitude</w:t>
      </w:r>
      <w:r w:rsidR="000A549B">
        <w:rPr>
          <w:rFonts w:ascii="Times New Roman" w:hAnsi="Times New Roman" w:cs="Times New Roman"/>
          <w:sz w:val="24"/>
          <w:szCs w:val="24"/>
        </w:rPr>
        <w:t>. Num segundo, sobre a decisão quanto à questão de saber se, com a fixação de um prazo de dez anos, com o alcance da maioridade ou da emancipação do investigante, o legislador “respeitou o limite da suficiência em face ao peso do direito à identidade pessoal perante outros valores tuteláveis”.</w:t>
      </w:r>
    </w:p>
    <w:p w14:paraId="3DBEA46A" w14:textId="03F16D58" w:rsidR="000A1D06" w:rsidRDefault="0027303C" w:rsidP="000A1D06">
      <w:pPr>
        <w:shd w:val="clear" w:color="auto" w:fill="FFFFFF"/>
        <w:spacing w:line="375" w:lineRule="atLeast"/>
        <w:jc w:val="both"/>
        <w:rPr>
          <w:rFonts w:ascii="Times New Roman" w:hAnsi="Times New Roman" w:cs="Times New Roman"/>
          <w:sz w:val="24"/>
          <w:szCs w:val="24"/>
        </w:rPr>
      </w:pPr>
      <w:r>
        <w:rPr>
          <w:rFonts w:ascii="Times New Roman" w:hAnsi="Times New Roman" w:cs="Times New Roman"/>
          <w:sz w:val="24"/>
          <w:szCs w:val="24"/>
        </w:rPr>
        <w:t xml:space="preserve">No que respeita à necessidade de reapreciação da constitucionalidade da norma contida no artigo 1817.º, n.º 1 e 2 do Código Civil, é de salientar que a </w:t>
      </w:r>
      <w:r w:rsidR="0004099B">
        <w:rPr>
          <w:rFonts w:ascii="Times New Roman" w:hAnsi="Times New Roman" w:cs="Times New Roman"/>
          <w:sz w:val="24"/>
          <w:szCs w:val="24"/>
        </w:rPr>
        <w:t xml:space="preserve">previsão de prazos de caducidade quanto à investigação de maternidade e </w:t>
      </w:r>
      <w:r w:rsidR="00466DB5">
        <w:rPr>
          <w:rFonts w:ascii="Times New Roman" w:hAnsi="Times New Roman" w:cs="Times New Roman"/>
          <w:sz w:val="24"/>
          <w:szCs w:val="24"/>
        </w:rPr>
        <w:t xml:space="preserve">de </w:t>
      </w:r>
      <w:r w:rsidR="0004099B">
        <w:rPr>
          <w:rFonts w:ascii="Times New Roman" w:hAnsi="Times New Roman" w:cs="Times New Roman"/>
          <w:sz w:val="24"/>
          <w:szCs w:val="24"/>
        </w:rPr>
        <w:t>paternidade no ordenamento jurídico português, para além de uma evolução legislativa tendencialmente liberalizante,</w:t>
      </w:r>
      <w:r w:rsidR="002A3144">
        <w:rPr>
          <w:rStyle w:val="Refdenotaalpie"/>
          <w:rFonts w:ascii="Times New Roman" w:hAnsi="Times New Roman" w:cs="Times New Roman"/>
          <w:sz w:val="24"/>
          <w:szCs w:val="24"/>
        </w:rPr>
        <w:footnoteReference w:id="40"/>
      </w:r>
      <w:r w:rsidR="0004099B">
        <w:rPr>
          <w:rFonts w:ascii="Times New Roman" w:hAnsi="Times New Roman" w:cs="Times New Roman"/>
          <w:sz w:val="24"/>
          <w:szCs w:val="24"/>
        </w:rPr>
        <w:t xml:space="preserve"> </w:t>
      </w:r>
      <w:r w:rsidR="00155471">
        <w:rPr>
          <w:rFonts w:ascii="Times New Roman" w:hAnsi="Times New Roman" w:cs="Times New Roman"/>
          <w:sz w:val="24"/>
          <w:szCs w:val="24"/>
        </w:rPr>
        <w:t xml:space="preserve">e </w:t>
      </w:r>
      <w:r w:rsidR="00953FC7">
        <w:rPr>
          <w:rFonts w:ascii="Times New Roman" w:hAnsi="Times New Roman" w:cs="Times New Roman"/>
          <w:sz w:val="24"/>
          <w:szCs w:val="24"/>
        </w:rPr>
        <w:t xml:space="preserve">enquadrada por </w:t>
      </w:r>
      <w:r w:rsidR="00155471">
        <w:rPr>
          <w:rFonts w:ascii="Times New Roman" w:hAnsi="Times New Roman" w:cs="Times New Roman"/>
          <w:sz w:val="24"/>
          <w:szCs w:val="24"/>
        </w:rPr>
        <w:t>uma doutrina unânime no sentido da sua incompatibilidade com os preceitos constitucionais referenciados</w:t>
      </w:r>
      <w:r w:rsidR="00283B38">
        <w:rPr>
          <w:rFonts w:ascii="Times New Roman" w:hAnsi="Times New Roman" w:cs="Times New Roman"/>
          <w:sz w:val="24"/>
          <w:szCs w:val="24"/>
        </w:rPr>
        <w:t>, por violação ao direito à identidade pessoal</w:t>
      </w:r>
      <w:r w:rsidR="00155471">
        <w:rPr>
          <w:rFonts w:ascii="Times New Roman" w:hAnsi="Times New Roman" w:cs="Times New Roman"/>
          <w:sz w:val="24"/>
          <w:szCs w:val="24"/>
        </w:rPr>
        <w:t>.</w:t>
      </w:r>
      <w:r w:rsidR="00283B38">
        <w:rPr>
          <w:rStyle w:val="Refdenotaalpie"/>
          <w:rFonts w:ascii="Times New Roman" w:hAnsi="Times New Roman" w:cs="Times New Roman"/>
          <w:sz w:val="24"/>
          <w:szCs w:val="24"/>
        </w:rPr>
        <w:footnoteReference w:id="41"/>
      </w:r>
      <w:r w:rsidR="00155471">
        <w:rPr>
          <w:rFonts w:ascii="Times New Roman" w:hAnsi="Times New Roman" w:cs="Times New Roman"/>
          <w:sz w:val="24"/>
          <w:szCs w:val="24"/>
        </w:rPr>
        <w:t xml:space="preserve"> </w:t>
      </w:r>
      <w:r w:rsidR="00F128B4">
        <w:rPr>
          <w:rStyle w:val="Refdenotaalpie"/>
          <w:rFonts w:ascii="Times New Roman" w:hAnsi="Times New Roman" w:cs="Times New Roman"/>
          <w:sz w:val="24"/>
          <w:szCs w:val="24"/>
        </w:rPr>
        <w:footnoteReference w:id="42"/>
      </w:r>
    </w:p>
    <w:p w14:paraId="7804BD02" w14:textId="6B62670E" w:rsidR="000A1D06" w:rsidRPr="000A1D06" w:rsidRDefault="00953FC7" w:rsidP="00D4682F">
      <w:pPr>
        <w:shd w:val="clear" w:color="auto" w:fill="FFFFFF"/>
        <w:spacing w:line="375" w:lineRule="atLeast"/>
        <w:jc w:val="both"/>
        <w:rPr>
          <w:rFonts w:ascii="Times New Roman" w:eastAsia="Times New Roman" w:hAnsi="Times New Roman" w:cs="Times New Roman"/>
          <w:color w:val="000000"/>
          <w:sz w:val="24"/>
          <w:szCs w:val="24"/>
          <w:lang w:eastAsia="pt-PT"/>
        </w:rPr>
      </w:pPr>
      <w:r>
        <w:rPr>
          <w:rFonts w:ascii="Times New Roman" w:hAnsi="Times New Roman" w:cs="Times New Roman"/>
          <w:sz w:val="24"/>
          <w:szCs w:val="24"/>
        </w:rPr>
        <w:t>Do ponto de vista jurisdicional, a invocação da desconformidade constitucional do prazo legal, inicialmente de dois anos e atualmente de dez, em virtude da</w:t>
      </w:r>
      <w:r w:rsidRPr="00953FC7">
        <w:rPr>
          <w:rFonts w:ascii="Times New Roman" w:hAnsi="Times New Roman" w:cs="Times New Roman"/>
          <w:sz w:val="24"/>
          <w:szCs w:val="24"/>
        </w:rPr>
        <w:t xml:space="preserve"> </w:t>
      </w:r>
      <w:r>
        <w:rPr>
          <w:rFonts w:ascii="Times New Roman" w:hAnsi="Times New Roman" w:cs="Times New Roman"/>
          <w:sz w:val="24"/>
          <w:szCs w:val="24"/>
        </w:rPr>
        <w:t xml:space="preserve">alteração ao código civil </w:t>
      </w:r>
      <w:r w:rsidR="00014592">
        <w:rPr>
          <w:rFonts w:ascii="Times New Roman" w:hAnsi="Times New Roman" w:cs="Times New Roman"/>
          <w:sz w:val="24"/>
          <w:szCs w:val="24"/>
        </w:rPr>
        <w:t>promovi</w:t>
      </w:r>
      <w:r>
        <w:rPr>
          <w:rFonts w:ascii="Times New Roman" w:hAnsi="Times New Roman" w:cs="Times New Roman"/>
          <w:sz w:val="24"/>
          <w:szCs w:val="24"/>
        </w:rPr>
        <w:t>da pela Lei n.º 14/2009, de 1 de abril, continua a ser fonte de dissonância na matéria</w:t>
      </w:r>
      <w:r w:rsidR="00014592">
        <w:rPr>
          <w:rFonts w:ascii="Times New Roman" w:hAnsi="Times New Roman" w:cs="Times New Roman"/>
          <w:sz w:val="24"/>
          <w:szCs w:val="24"/>
        </w:rPr>
        <w:t xml:space="preserve">, quer nos tribunais civis, quer no tribunal constitucional. Se a prolação </w:t>
      </w:r>
      <w:r w:rsidR="00AB2723">
        <w:rPr>
          <w:rFonts w:ascii="Times New Roman" w:hAnsi="Times New Roman" w:cs="Times New Roman"/>
          <w:sz w:val="24"/>
          <w:szCs w:val="24"/>
        </w:rPr>
        <w:t xml:space="preserve">pelo Tribunal Constitucional </w:t>
      </w:r>
      <w:r w:rsidR="00014592">
        <w:rPr>
          <w:rFonts w:ascii="Times New Roman" w:hAnsi="Times New Roman" w:cs="Times New Roman"/>
          <w:sz w:val="24"/>
          <w:szCs w:val="24"/>
        </w:rPr>
        <w:t>do acórdão n.º 486/2004, de 7 de julho,</w:t>
      </w:r>
      <w:r w:rsidR="00100481">
        <w:rPr>
          <w:rStyle w:val="Refdenotaalpie"/>
          <w:rFonts w:ascii="Times New Roman" w:hAnsi="Times New Roman" w:cs="Times New Roman"/>
          <w:sz w:val="24"/>
          <w:szCs w:val="24"/>
        </w:rPr>
        <w:footnoteReference w:id="43"/>
      </w:r>
      <w:r w:rsidR="00C404C9">
        <w:rPr>
          <w:rFonts w:ascii="Times New Roman" w:hAnsi="Times New Roman" w:cs="Times New Roman"/>
          <w:sz w:val="24"/>
          <w:szCs w:val="24"/>
        </w:rPr>
        <w:t xml:space="preserve"> constituiu um sinal, um prenúncio de novas possibilidades de ponderação desta questão, um </w:t>
      </w:r>
      <w:r w:rsidR="00C404C9" w:rsidRPr="0019610C">
        <w:rPr>
          <w:rFonts w:ascii="Times New Roman" w:hAnsi="Times New Roman" w:cs="Times New Roman"/>
          <w:i/>
          <w:iCs/>
          <w:sz w:val="24"/>
          <w:szCs w:val="24"/>
        </w:rPr>
        <w:t>leitmotiv</w:t>
      </w:r>
      <w:r w:rsidR="00C404C9">
        <w:rPr>
          <w:rFonts w:ascii="Times New Roman" w:hAnsi="Times New Roman" w:cs="Times New Roman"/>
          <w:sz w:val="24"/>
          <w:szCs w:val="24"/>
        </w:rPr>
        <w:t xml:space="preserve"> para a alteração da ponderação do prazo em análise pelo mesmo órgão jurisdic</w:t>
      </w:r>
      <w:r w:rsidR="00100481">
        <w:rPr>
          <w:rFonts w:ascii="Times New Roman" w:hAnsi="Times New Roman" w:cs="Times New Roman"/>
          <w:sz w:val="24"/>
          <w:szCs w:val="24"/>
        </w:rPr>
        <w:t>i</w:t>
      </w:r>
      <w:r w:rsidR="00C404C9">
        <w:rPr>
          <w:rFonts w:ascii="Times New Roman" w:hAnsi="Times New Roman" w:cs="Times New Roman"/>
          <w:sz w:val="24"/>
          <w:szCs w:val="24"/>
        </w:rPr>
        <w:t>onal</w:t>
      </w:r>
      <w:r w:rsidR="00100481">
        <w:rPr>
          <w:rFonts w:ascii="Times New Roman" w:hAnsi="Times New Roman" w:cs="Times New Roman"/>
          <w:sz w:val="24"/>
          <w:szCs w:val="24"/>
        </w:rPr>
        <w:t>, o acórdão n.º 23/2006,</w:t>
      </w:r>
      <w:r w:rsidR="00100481">
        <w:rPr>
          <w:rStyle w:val="Refdenotaalpie"/>
          <w:rFonts w:ascii="Times New Roman" w:hAnsi="Times New Roman" w:cs="Times New Roman"/>
          <w:sz w:val="24"/>
          <w:szCs w:val="24"/>
        </w:rPr>
        <w:footnoteReference w:id="44"/>
      </w:r>
      <w:r w:rsidR="00E36883">
        <w:rPr>
          <w:rFonts w:ascii="Times New Roman" w:hAnsi="Times New Roman" w:cs="Times New Roman"/>
          <w:sz w:val="24"/>
          <w:szCs w:val="24"/>
        </w:rPr>
        <w:t>alterou,</w:t>
      </w:r>
      <w:r w:rsidR="00214266">
        <w:rPr>
          <w:rFonts w:ascii="Times New Roman" w:hAnsi="Times New Roman" w:cs="Times New Roman"/>
          <w:sz w:val="24"/>
          <w:szCs w:val="24"/>
        </w:rPr>
        <w:t xml:space="preserve"> decisivamente</w:t>
      </w:r>
      <w:r w:rsidR="00E36883">
        <w:rPr>
          <w:rFonts w:ascii="Times New Roman" w:hAnsi="Times New Roman" w:cs="Times New Roman"/>
          <w:sz w:val="24"/>
          <w:szCs w:val="24"/>
        </w:rPr>
        <w:t>,</w:t>
      </w:r>
      <w:r w:rsidR="00214266">
        <w:rPr>
          <w:rFonts w:ascii="Times New Roman" w:hAnsi="Times New Roman" w:cs="Times New Roman"/>
          <w:sz w:val="24"/>
          <w:szCs w:val="24"/>
        </w:rPr>
        <w:t xml:space="preserve"> o paradigma do direito à identidade genética no nosso país</w:t>
      </w:r>
      <w:r w:rsidR="00214266" w:rsidRPr="00505344">
        <w:rPr>
          <w:rFonts w:ascii="Times New Roman" w:hAnsi="Times New Roman" w:cs="Times New Roman"/>
          <w:sz w:val="24"/>
          <w:szCs w:val="24"/>
        </w:rPr>
        <w:t xml:space="preserve">. </w:t>
      </w:r>
      <w:r w:rsidR="00214266" w:rsidRPr="00505344">
        <w:rPr>
          <w:rFonts w:ascii="Times New Roman" w:hAnsi="Times New Roman" w:cs="Times New Roman"/>
          <w:color w:val="000000"/>
          <w:sz w:val="24"/>
          <w:szCs w:val="24"/>
          <w:shd w:val="clear" w:color="auto" w:fill="FFFFFF"/>
        </w:rPr>
        <w:t> </w:t>
      </w:r>
      <w:r w:rsidR="00D4682F">
        <w:rPr>
          <w:rFonts w:ascii="Times New Roman" w:hAnsi="Times New Roman" w:cs="Times New Roman"/>
          <w:color w:val="000000"/>
          <w:sz w:val="24"/>
          <w:szCs w:val="24"/>
          <w:shd w:val="clear" w:color="auto" w:fill="FFFFFF"/>
        </w:rPr>
        <w:t xml:space="preserve">Ao sublinhar que </w:t>
      </w:r>
      <w:r w:rsidR="00D4682F" w:rsidRPr="0000589F">
        <w:rPr>
          <w:rFonts w:ascii="Times New Roman" w:hAnsi="Times New Roman" w:cs="Times New Roman"/>
          <w:color w:val="000000"/>
          <w:sz w:val="24"/>
          <w:szCs w:val="24"/>
          <w:shd w:val="clear" w:color="auto" w:fill="FFFFFF"/>
        </w:rPr>
        <w:t>“[o]</w:t>
      </w:r>
      <w:r w:rsidR="000A1D06" w:rsidRPr="0000589F">
        <w:rPr>
          <w:rFonts w:ascii="Times New Roman" w:eastAsia="Times New Roman" w:hAnsi="Times New Roman" w:cs="Times New Roman"/>
          <w:color w:val="000000"/>
          <w:sz w:val="24"/>
          <w:szCs w:val="24"/>
          <w:lang w:eastAsia="pt-PT"/>
        </w:rPr>
        <w:t xml:space="preserve"> parâmetro constitucional mais significativo para aferição da legitimidade das limitações ao direito de investigar a paternidade, encontra-se, porém, no “direito à identidade pessoal”, com que abre logo o n.º 1 do artigo 26.º da Constituição</w:t>
      </w:r>
      <w:r w:rsidR="00D4682F" w:rsidRPr="0000589F">
        <w:rPr>
          <w:rFonts w:ascii="Times New Roman" w:eastAsia="Times New Roman" w:hAnsi="Times New Roman" w:cs="Times New Roman"/>
          <w:color w:val="000000"/>
          <w:sz w:val="24"/>
          <w:szCs w:val="24"/>
          <w:lang w:eastAsia="pt-PT"/>
        </w:rPr>
        <w:t xml:space="preserve">.”, o acórdão </w:t>
      </w:r>
      <w:r w:rsidR="0000589F" w:rsidRPr="0000589F">
        <w:rPr>
          <w:rFonts w:ascii="Times New Roman" w:eastAsia="Times New Roman" w:hAnsi="Times New Roman" w:cs="Times New Roman"/>
          <w:color w:val="000000"/>
          <w:sz w:val="24"/>
          <w:szCs w:val="24"/>
          <w:lang w:eastAsia="pt-PT"/>
        </w:rPr>
        <w:t xml:space="preserve">afirma a existência de um direito fundamental ao conhecimento da paternidade biológica, </w:t>
      </w:r>
      <w:r w:rsidR="0000589F">
        <w:rPr>
          <w:rFonts w:ascii="Times New Roman" w:eastAsia="Times New Roman" w:hAnsi="Times New Roman" w:cs="Times New Roman"/>
          <w:color w:val="000000"/>
          <w:sz w:val="24"/>
          <w:szCs w:val="24"/>
          <w:lang w:eastAsia="pt-PT"/>
        </w:rPr>
        <w:t>identificando-o como</w:t>
      </w:r>
      <w:r w:rsidR="0000589F" w:rsidRPr="0000589F">
        <w:rPr>
          <w:rFonts w:ascii="Times New Roman" w:eastAsia="Times New Roman" w:hAnsi="Times New Roman" w:cs="Times New Roman"/>
          <w:color w:val="000000"/>
          <w:sz w:val="24"/>
          <w:szCs w:val="24"/>
          <w:lang w:eastAsia="pt-PT"/>
        </w:rPr>
        <w:t xml:space="preserve"> uma dimensão d</w:t>
      </w:r>
      <w:r w:rsidR="0000589F">
        <w:rPr>
          <w:rFonts w:ascii="Times New Roman" w:eastAsia="Times New Roman" w:hAnsi="Times New Roman" w:cs="Times New Roman"/>
          <w:color w:val="000000"/>
          <w:sz w:val="24"/>
          <w:szCs w:val="24"/>
          <w:lang w:eastAsia="pt-PT"/>
        </w:rPr>
        <w:t>aquele</w:t>
      </w:r>
      <w:r w:rsidR="0000589F" w:rsidRPr="0000589F">
        <w:rPr>
          <w:rFonts w:ascii="Times New Roman" w:eastAsia="Times New Roman" w:hAnsi="Times New Roman" w:cs="Times New Roman"/>
          <w:color w:val="000000"/>
          <w:sz w:val="24"/>
          <w:szCs w:val="24"/>
          <w:lang w:eastAsia="pt-PT"/>
        </w:rPr>
        <w:t xml:space="preserve"> direito fundamental.</w:t>
      </w:r>
      <w:r w:rsidR="0000589F" w:rsidRPr="0000589F">
        <w:rPr>
          <w:rStyle w:val="Refdenotaalpie"/>
          <w:rFonts w:ascii="Times New Roman" w:eastAsia="Times New Roman" w:hAnsi="Times New Roman" w:cs="Times New Roman"/>
          <w:color w:val="000000"/>
          <w:sz w:val="24"/>
          <w:szCs w:val="24"/>
          <w:lang w:eastAsia="pt-PT"/>
        </w:rPr>
        <w:footnoteReference w:id="45"/>
      </w:r>
      <w:r w:rsidR="0000589F" w:rsidRPr="0000589F">
        <w:rPr>
          <w:rFonts w:ascii="Times New Roman" w:eastAsia="Times New Roman" w:hAnsi="Times New Roman" w:cs="Times New Roman"/>
          <w:color w:val="000000"/>
          <w:sz w:val="24"/>
          <w:szCs w:val="24"/>
          <w:lang w:eastAsia="pt-PT"/>
        </w:rPr>
        <w:t xml:space="preserve"> </w:t>
      </w:r>
    </w:p>
    <w:p w14:paraId="74E6C4D1" w14:textId="77777777" w:rsidR="00466DB5" w:rsidRDefault="00214266" w:rsidP="00693B63">
      <w:pPr>
        <w:spacing w:line="360" w:lineRule="auto"/>
        <w:jc w:val="both"/>
        <w:rPr>
          <w:rFonts w:ascii="Times New Roman" w:hAnsi="Times New Roman" w:cs="Times New Roman"/>
          <w:color w:val="000000"/>
          <w:sz w:val="24"/>
          <w:szCs w:val="24"/>
          <w:shd w:val="clear" w:color="auto" w:fill="FFFFFF"/>
        </w:rPr>
      </w:pPr>
      <w:r w:rsidRPr="00505344">
        <w:rPr>
          <w:rFonts w:ascii="Times New Roman" w:hAnsi="Times New Roman" w:cs="Times New Roman"/>
          <w:color w:val="000000"/>
          <w:sz w:val="24"/>
          <w:szCs w:val="24"/>
          <w:shd w:val="clear" w:color="auto" w:fill="FFFFFF"/>
        </w:rPr>
        <w:t xml:space="preserve">Ao declarar a inconstitucionalidade, com força obrigatória geral, da norma constante do n.º 1 do artigo 1817.º do Código Civil, aplicável por força do artigo 1873.º do mesmo Código, </w:t>
      </w:r>
      <w:r w:rsidR="00E36883" w:rsidRPr="00505344">
        <w:rPr>
          <w:rFonts w:ascii="Times New Roman" w:hAnsi="Times New Roman" w:cs="Times New Roman"/>
          <w:color w:val="000000"/>
          <w:sz w:val="24"/>
          <w:szCs w:val="24"/>
          <w:shd w:val="clear" w:color="auto" w:fill="FFFFFF"/>
        </w:rPr>
        <w:t>enquanto previa o prazo de dois anos, após o alcance da maioridade, para o investigante instaurar a ação de investigação de paternidade, o decisor lançou as bases de um</w:t>
      </w:r>
      <w:r w:rsidR="00505344" w:rsidRPr="00505344">
        <w:rPr>
          <w:rFonts w:ascii="Times New Roman" w:hAnsi="Times New Roman" w:cs="Times New Roman"/>
          <w:color w:val="000000"/>
          <w:sz w:val="24"/>
          <w:szCs w:val="24"/>
          <w:shd w:val="clear" w:color="auto" w:fill="FFFFFF"/>
        </w:rPr>
        <w:t xml:space="preserve"> enquadramento legal mais amplo, não se pronunciando no sentido da imprescritibilidade.</w:t>
      </w:r>
      <w:r w:rsidR="00E36883" w:rsidRPr="00505344">
        <w:rPr>
          <w:rFonts w:ascii="Times New Roman" w:hAnsi="Times New Roman" w:cs="Times New Roman"/>
          <w:color w:val="000000"/>
          <w:sz w:val="24"/>
          <w:szCs w:val="24"/>
          <w:shd w:val="clear" w:color="auto" w:fill="FFFFFF"/>
        </w:rPr>
        <w:t xml:space="preserve"> A opção legislativa</w:t>
      </w:r>
      <w:r w:rsidR="00505344">
        <w:rPr>
          <w:rFonts w:ascii="Times New Roman" w:hAnsi="Times New Roman" w:cs="Times New Roman"/>
          <w:color w:val="000000"/>
          <w:sz w:val="24"/>
          <w:szCs w:val="24"/>
          <w:shd w:val="clear" w:color="auto" w:fill="FFFFFF"/>
        </w:rPr>
        <w:t>,</w:t>
      </w:r>
      <w:r w:rsidR="00E36883" w:rsidRPr="00505344">
        <w:rPr>
          <w:rFonts w:ascii="Times New Roman" w:hAnsi="Times New Roman" w:cs="Times New Roman"/>
          <w:color w:val="000000"/>
          <w:sz w:val="24"/>
          <w:szCs w:val="24"/>
          <w:shd w:val="clear" w:color="auto" w:fill="FFFFFF"/>
        </w:rPr>
        <w:t xml:space="preserve"> subsequente e consequente, foi no sentido da consagração de um prazo de dez anos.</w:t>
      </w:r>
      <w:r w:rsidR="00505344">
        <w:rPr>
          <w:rFonts w:ascii="Times New Roman" w:hAnsi="Times New Roman" w:cs="Times New Roman"/>
          <w:color w:val="000000"/>
          <w:sz w:val="24"/>
          <w:szCs w:val="24"/>
          <w:shd w:val="clear" w:color="auto" w:fill="FFFFFF"/>
        </w:rPr>
        <w:t xml:space="preserve"> </w:t>
      </w:r>
    </w:p>
    <w:p w14:paraId="49179F3E" w14:textId="7047483C" w:rsidR="00C404C9" w:rsidRDefault="00505344"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Continuando a questão</w:t>
      </w:r>
      <w:r w:rsidR="00466DB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00E03D6C">
        <w:rPr>
          <w:rFonts w:ascii="Times New Roman" w:hAnsi="Times New Roman" w:cs="Times New Roman"/>
          <w:sz w:val="24"/>
          <w:szCs w:val="24"/>
        </w:rPr>
        <w:t>em continua revisitação nos tribunais comuns, e</w:t>
      </w:r>
      <w:r w:rsidR="00E03D6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 ser objeto de divergência jurisprudencial,</w:t>
      </w:r>
      <w:r w:rsidR="00263015">
        <w:rPr>
          <w:rStyle w:val="Refdenotaalpie"/>
          <w:rFonts w:ascii="Times New Roman" w:hAnsi="Times New Roman" w:cs="Times New Roman"/>
          <w:color w:val="000000"/>
          <w:sz w:val="24"/>
          <w:szCs w:val="24"/>
          <w:shd w:val="clear" w:color="auto" w:fill="FFFFFF"/>
        </w:rPr>
        <w:footnoteReference w:id="46"/>
      </w:r>
      <w:r>
        <w:rPr>
          <w:rFonts w:ascii="Times New Roman" w:hAnsi="Times New Roman" w:cs="Times New Roman"/>
          <w:color w:val="000000"/>
          <w:sz w:val="24"/>
          <w:szCs w:val="24"/>
          <w:shd w:val="clear" w:color="auto" w:fill="FFFFFF"/>
        </w:rPr>
        <w:t xml:space="preserve"> impõe-se a conclusão do </w:t>
      </w:r>
      <w:r w:rsidR="00E03D6C">
        <w:rPr>
          <w:rFonts w:ascii="Times New Roman" w:hAnsi="Times New Roman" w:cs="Times New Roman"/>
          <w:color w:val="000000"/>
          <w:sz w:val="24"/>
          <w:szCs w:val="24"/>
          <w:shd w:val="clear" w:color="auto" w:fill="FFFFFF"/>
        </w:rPr>
        <w:t xml:space="preserve">seu </w:t>
      </w:r>
      <w:r>
        <w:rPr>
          <w:rFonts w:ascii="Times New Roman" w:hAnsi="Times New Roman" w:cs="Times New Roman"/>
          <w:color w:val="000000"/>
          <w:sz w:val="24"/>
          <w:szCs w:val="24"/>
          <w:shd w:val="clear" w:color="auto" w:fill="FFFFFF"/>
        </w:rPr>
        <w:t xml:space="preserve">não esgotamento, o que justifica o seu tratamento no aresto </w:t>
      </w:r>
      <w:r w:rsidRPr="00505344">
        <w:rPr>
          <w:rFonts w:ascii="Times New Roman" w:hAnsi="Times New Roman" w:cs="Times New Roman"/>
          <w:i/>
          <w:iCs/>
          <w:color w:val="000000"/>
          <w:sz w:val="24"/>
          <w:szCs w:val="24"/>
          <w:shd w:val="clear" w:color="auto" w:fill="FFFFFF"/>
        </w:rPr>
        <w:t>sub iudice</w:t>
      </w:r>
      <w:r>
        <w:rPr>
          <w:rFonts w:ascii="Times New Roman" w:hAnsi="Times New Roman" w:cs="Times New Roman"/>
          <w:color w:val="000000"/>
          <w:sz w:val="24"/>
          <w:szCs w:val="24"/>
          <w:shd w:val="clear" w:color="auto" w:fill="FFFFFF"/>
        </w:rPr>
        <w:t>.</w:t>
      </w:r>
      <w:r w:rsidR="00E03D6C">
        <w:rPr>
          <w:rStyle w:val="Refdenotaalpie"/>
          <w:rFonts w:ascii="Times New Roman" w:hAnsi="Times New Roman" w:cs="Times New Roman"/>
          <w:color w:val="000000"/>
          <w:sz w:val="24"/>
          <w:szCs w:val="24"/>
          <w:shd w:val="clear" w:color="auto" w:fill="FFFFFF"/>
        </w:rPr>
        <w:footnoteReference w:id="47"/>
      </w:r>
      <w:r w:rsidR="002D0796">
        <w:rPr>
          <w:rFonts w:ascii="Times New Roman" w:hAnsi="Times New Roman" w:cs="Times New Roman"/>
          <w:color w:val="000000"/>
          <w:sz w:val="24"/>
          <w:szCs w:val="24"/>
          <w:shd w:val="clear" w:color="auto" w:fill="FFFFFF"/>
        </w:rPr>
        <w:t xml:space="preserve"> </w:t>
      </w:r>
      <w:r w:rsidR="00263015">
        <w:rPr>
          <w:rFonts w:ascii="Times New Roman" w:hAnsi="Times New Roman" w:cs="Times New Roman"/>
          <w:color w:val="000000"/>
          <w:sz w:val="24"/>
          <w:szCs w:val="24"/>
          <w:shd w:val="clear" w:color="auto" w:fill="FFFFFF"/>
        </w:rPr>
        <w:t xml:space="preserve">Bem entendeu o aresto em análise, pelos motivos expostos, a necessidade de reapreciação da constitucionalidade da norma contida no artigo 1817.º, n.ºs 1 e 2. do </w:t>
      </w:r>
      <w:r w:rsidR="002D0796">
        <w:rPr>
          <w:rFonts w:ascii="Times New Roman" w:hAnsi="Times New Roman" w:cs="Times New Roman"/>
          <w:color w:val="000000"/>
          <w:sz w:val="24"/>
          <w:szCs w:val="24"/>
          <w:shd w:val="clear" w:color="auto" w:fill="FFFFFF"/>
        </w:rPr>
        <w:t>CC</w:t>
      </w:r>
      <w:r w:rsidR="00263015">
        <w:rPr>
          <w:rFonts w:ascii="Times New Roman" w:hAnsi="Times New Roman" w:cs="Times New Roman"/>
          <w:color w:val="000000"/>
          <w:sz w:val="24"/>
          <w:szCs w:val="24"/>
          <w:shd w:val="clear" w:color="auto" w:fill="FFFFFF"/>
        </w:rPr>
        <w:t>.</w:t>
      </w:r>
    </w:p>
    <w:p w14:paraId="79AB20AD" w14:textId="182B4761" w:rsidR="00466DB5" w:rsidRDefault="00466DB5"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C </w:t>
      </w:r>
      <w:r w:rsidR="009B481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009B4819">
        <w:rPr>
          <w:rFonts w:ascii="Times New Roman" w:hAnsi="Times New Roman" w:cs="Times New Roman"/>
          <w:color w:val="000000"/>
          <w:sz w:val="24"/>
          <w:szCs w:val="24"/>
          <w:shd w:val="clear" w:color="auto" w:fill="FFFFFF"/>
        </w:rPr>
        <w:t>Direito Comparado</w:t>
      </w:r>
    </w:p>
    <w:p w14:paraId="1BA9DDB3" w14:textId="6DAE198D" w:rsidR="00193660" w:rsidRDefault="00F128B4" w:rsidP="00693B63">
      <w:pPr>
        <w:spacing w:line="360" w:lineRule="auto"/>
        <w:jc w:val="both"/>
        <w:rPr>
          <w:rFonts w:ascii="Times New Roman" w:hAnsi="Times New Roman" w:cs="Times New Roman"/>
          <w:color w:val="000000"/>
          <w:sz w:val="24"/>
          <w:szCs w:val="24"/>
          <w:shd w:val="clear" w:color="auto" w:fill="FFFFFF"/>
        </w:rPr>
      </w:pPr>
      <w:r w:rsidRPr="00641648">
        <w:rPr>
          <w:rFonts w:ascii="Times New Roman" w:hAnsi="Times New Roman" w:cs="Times New Roman"/>
          <w:color w:val="000000"/>
          <w:sz w:val="24"/>
          <w:szCs w:val="24"/>
          <w:shd w:val="clear" w:color="auto" w:fill="FFFFFF"/>
        </w:rPr>
        <w:t xml:space="preserve">No que respeita ao direito comparado, assiste-se a uma proximidade de solução legislativa </w:t>
      </w:r>
      <w:r w:rsidR="00233C52" w:rsidRPr="00641648">
        <w:rPr>
          <w:rFonts w:ascii="Times New Roman" w:hAnsi="Times New Roman" w:cs="Times New Roman"/>
          <w:color w:val="000000"/>
          <w:sz w:val="24"/>
          <w:szCs w:val="24"/>
          <w:shd w:val="clear" w:color="auto" w:fill="FFFFFF"/>
        </w:rPr>
        <w:t>entre os</w:t>
      </w:r>
      <w:r w:rsidRPr="00641648">
        <w:rPr>
          <w:rFonts w:ascii="Times New Roman" w:hAnsi="Times New Roman" w:cs="Times New Roman"/>
          <w:color w:val="000000"/>
          <w:sz w:val="24"/>
          <w:szCs w:val="24"/>
          <w:shd w:val="clear" w:color="auto" w:fill="FFFFFF"/>
        </w:rPr>
        <w:t xml:space="preserve"> países europeus</w:t>
      </w:r>
      <w:r w:rsidR="00233C52" w:rsidRPr="00641648">
        <w:rPr>
          <w:rFonts w:ascii="Times New Roman" w:hAnsi="Times New Roman" w:cs="Times New Roman"/>
          <w:color w:val="000000"/>
          <w:sz w:val="24"/>
          <w:szCs w:val="24"/>
          <w:shd w:val="clear" w:color="auto" w:fill="FFFFFF"/>
        </w:rPr>
        <w:t xml:space="preserve"> que o aresto designa de congéneres com o nosso, </w:t>
      </w:r>
      <w:r w:rsidR="009B4819">
        <w:rPr>
          <w:rFonts w:ascii="Times New Roman" w:hAnsi="Times New Roman" w:cs="Times New Roman"/>
          <w:color w:val="000000"/>
          <w:sz w:val="24"/>
          <w:szCs w:val="24"/>
          <w:shd w:val="clear" w:color="auto" w:fill="FFFFFF"/>
        </w:rPr>
        <w:t xml:space="preserve">Espanha, </w:t>
      </w:r>
      <w:r w:rsidR="00233C52" w:rsidRPr="00641648">
        <w:rPr>
          <w:rFonts w:ascii="Times New Roman" w:hAnsi="Times New Roman" w:cs="Times New Roman"/>
          <w:color w:val="000000"/>
          <w:sz w:val="24"/>
          <w:szCs w:val="24"/>
          <w:shd w:val="clear" w:color="auto" w:fill="FFFFFF"/>
        </w:rPr>
        <w:t>França, Itália e Alemanha e ainda nos países de língua portuguesa, como o Brasil, Cabo Verde e Angola. Nestes, não existe prazo de caducidade para a instauração da ação, salvo no caso da Alemanha e no decurso de uma ação de impugnação da paternidade, cujo prazo de dois anos, bloqueia a possibilidade de investigação da paternidade. No Código Civil de Macau</w:t>
      </w:r>
      <w:r w:rsidR="00504234" w:rsidRPr="00641648">
        <w:rPr>
          <w:rFonts w:ascii="Times New Roman" w:hAnsi="Times New Roman" w:cs="Times New Roman"/>
          <w:color w:val="000000"/>
          <w:sz w:val="24"/>
          <w:szCs w:val="24"/>
          <w:shd w:val="clear" w:color="auto" w:fill="FFFFFF"/>
        </w:rPr>
        <w:t xml:space="preserve">, apesar da possibilidade de investigação de paternidade a todo o tempo, o legislador limitou a produção de efeitos patrimoniais resultantes da propositura da ação, </w:t>
      </w:r>
      <w:r w:rsidR="00641648" w:rsidRPr="00641648">
        <w:rPr>
          <w:rFonts w:ascii="Times New Roman" w:hAnsi="Times New Roman" w:cs="Times New Roman"/>
          <w:color w:val="000000"/>
          <w:sz w:val="24"/>
          <w:szCs w:val="24"/>
          <w:shd w:val="clear" w:color="auto" w:fill="FFFFFF"/>
        </w:rPr>
        <w:t xml:space="preserve">mitigando a solução da inexistência de prazo, </w:t>
      </w:r>
      <w:r w:rsidR="00CB0BAF">
        <w:rPr>
          <w:rFonts w:ascii="Times New Roman" w:hAnsi="Times New Roman" w:cs="Times New Roman"/>
          <w:color w:val="000000"/>
          <w:sz w:val="24"/>
          <w:szCs w:val="24"/>
          <w:shd w:val="clear" w:color="auto" w:fill="FFFFFF"/>
        </w:rPr>
        <w:t xml:space="preserve">neste caso, sendo a ação instaurada após quinze anos sobre o conhecimento da paternidade, </w:t>
      </w:r>
      <w:r w:rsidR="00641648" w:rsidRPr="00641648">
        <w:rPr>
          <w:rFonts w:ascii="Times New Roman" w:hAnsi="Times New Roman" w:cs="Times New Roman"/>
          <w:color w:val="000000"/>
          <w:sz w:val="24"/>
          <w:szCs w:val="24"/>
          <w:shd w:val="clear" w:color="auto" w:fill="FFFFFF"/>
        </w:rPr>
        <w:t xml:space="preserve">com </w:t>
      </w:r>
      <w:r w:rsidR="00CB0BAF">
        <w:rPr>
          <w:rFonts w:ascii="Times New Roman" w:hAnsi="Times New Roman" w:cs="Times New Roman"/>
          <w:color w:val="000000"/>
          <w:sz w:val="24"/>
          <w:szCs w:val="24"/>
          <w:shd w:val="clear" w:color="auto" w:fill="FFFFFF"/>
        </w:rPr>
        <w:t>um aspeto d</w:t>
      </w:r>
      <w:r w:rsidR="00641648" w:rsidRPr="00641648">
        <w:rPr>
          <w:rFonts w:ascii="Times New Roman" w:hAnsi="Times New Roman" w:cs="Times New Roman"/>
          <w:color w:val="000000"/>
          <w:sz w:val="24"/>
          <w:szCs w:val="24"/>
          <w:shd w:val="clear" w:color="auto" w:fill="FFFFFF"/>
        </w:rPr>
        <w:t>a fundamentação tradicional para a sua consagração</w:t>
      </w:r>
      <w:r w:rsidR="00CB0BAF">
        <w:rPr>
          <w:rFonts w:ascii="Times New Roman" w:hAnsi="Times New Roman" w:cs="Times New Roman"/>
          <w:color w:val="000000"/>
          <w:sz w:val="24"/>
          <w:szCs w:val="24"/>
          <w:shd w:val="clear" w:color="auto" w:fill="FFFFFF"/>
        </w:rPr>
        <w:t>, o argumento do aproveitamento patrimonial ou caça</w:t>
      </w:r>
      <w:r w:rsidR="002606BB">
        <w:rPr>
          <w:rFonts w:ascii="Times New Roman" w:hAnsi="Times New Roman" w:cs="Times New Roman"/>
          <w:color w:val="000000"/>
          <w:sz w:val="24"/>
          <w:szCs w:val="24"/>
          <w:shd w:val="clear" w:color="auto" w:fill="FFFFFF"/>
        </w:rPr>
        <w:t>-</w:t>
      </w:r>
      <w:r w:rsidR="00CB0BAF">
        <w:rPr>
          <w:rFonts w:ascii="Times New Roman" w:hAnsi="Times New Roman" w:cs="Times New Roman"/>
          <w:color w:val="000000"/>
          <w:sz w:val="24"/>
          <w:szCs w:val="24"/>
          <w:shd w:val="clear" w:color="auto" w:fill="FFFFFF"/>
        </w:rPr>
        <w:t>fortuna</w:t>
      </w:r>
      <w:r w:rsidR="00641648" w:rsidRPr="00641648">
        <w:rPr>
          <w:rFonts w:ascii="Times New Roman" w:hAnsi="Times New Roman" w:cs="Times New Roman"/>
          <w:color w:val="000000"/>
          <w:sz w:val="24"/>
          <w:szCs w:val="24"/>
          <w:shd w:val="clear" w:color="auto" w:fill="FFFFFF"/>
        </w:rPr>
        <w:t>.</w:t>
      </w:r>
      <w:r w:rsidR="00CB0BAF">
        <w:rPr>
          <w:rStyle w:val="Refdenotaalpie"/>
          <w:rFonts w:ascii="Times New Roman" w:hAnsi="Times New Roman" w:cs="Times New Roman"/>
          <w:color w:val="000000"/>
          <w:sz w:val="24"/>
          <w:szCs w:val="24"/>
          <w:shd w:val="clear" w:color="auto" w:fill="FFFFFF"/>
        </w:rPr>
        <w:footnoteReference w:id="48"/>
      </w:r>
      <w:r w:rsidR="00193660">
        <w:rPr>
          <w:rFonts w:ascii="Times New Roman" w:hAnsi="Times New Roman" w:cs="Times New Roman"/>
          <w:color w:val="000000"/>
          <w:sz w:val="24"/>
          <w:szCs w:val="24"/>
          <w:shd w:val="clear" w:color="auto" w:fill="FFFFFF"/>
        </w:rPr>
        <w:t xml:space="preserve"> Ao nível do direito comparado, assiste-se a uma consagração da solução da imprescritibilidade do direito à propositura da ação, o que pode constituir precedente legislativo numa futura alteração legislativa.</w:t>
      </w:r>
    </w:p>
    <w:p w14:paraId="1826D4EA" w14:textId="6771C700" w:rsidR="00F128B4" w:rsidRPr="00193660" w:rsidRDefault="00CB0BAF" w:rsidP="00693B63">
      <w:pPr>
        <w:spacing w:line="360" w:lineRule="auto"/>
        <w:jc w:val="both"/>
        <w:rPr>
          <w:rFonts w:ascii="Times New Roman" w:hAnsi="Times New Roman" w:cs="Times New Roman"/>
          <w:b/>
          <w:bCs/>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9B4819">
        <w:rPr>
          <w:rFonts w:ascii="Times New Roman" w:hAnsi="Times New Roman" w:cs="Times New Roman"/>
          <w:color w:val="000000"/>
          <w:sz w:val="24"/>
          <w:szCs w:val="24"/>
          <w:shd w:val="clear" w:color="auto" w:fill="FFFFFF"/>
        </w:rPr>
        <w:tab/>
        <w:t xml:space="preserve">D - </w:t>
      </w:r>
      <w:r w:rsidR="00193660" w:rsidRPr="009B4819">
        <w:rPr>
          <w:rFonts w:ascii="Times New Roman" w:hAnsi="Times New Roman" w:cs="Times New Roman"/>
          <w:color w:val="000000"/>
          <w:sz w:val="24"/>
          <w:szCs w:val="24"/>
          <w:shd w:val="clear" w:color="auto" w:fill="FFFFFF"/>
        </w:rPr>
        <w:t>A CEDH e a Jurisprudência do TEDH</w:t>
      </w:r>
    </w:p>
    <w:p w14:paraId="6469B01A" w14:textId="480AB7B6" w:rsidR="00581720" w:rsidRDefault="00CB0BAF" w:rsidP="00097301">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Tais considerandos, são, contudo, obnubilados</w:t>
      </w:r>
      <w:r w:rsidR="00821164">
        <w:rPr>
          <w:rFonts w:ascii="Times New Roman" w:hAnsi="Times New Roman" w:cs="Times New Roman"/>
          <w:color w:val="000000"/>
          <w:sz w:val="24"/>
          <w:szCs w:val="24"/>
          <w:shd w:val="clear" w:color="auto" w:fill="FFFFFF"/>
        </w:rPr>
        <w:t>,</w:t>
      </w:r>
      <w:r w:rsidR="00683A95">
        <w:rPr>
          <w:rFonts w:ascii="Times New Roman" w:hAnsi="Times New Roman" w:cs="Times New Roman"/>
          <w:color w:val="000000"/>
          <w:sz w:val="24"/>
          <w:szCs w:val="24"/>
          <w:shd w:val="clear" w:color="auto" w:fill="FFFFFF"/>
        </w:rPr>
        <w:t xml:space="preserve"> do ponto de vista da consagração do direito à identidade </w:t>
      </w:r>
      <w:r w:rsidR="009B4819">
        <w:rPr>
          <w:rFonts w:ascii="Times New Roman" w:hAnsi="Times New Roman" w:cs="Times New Roman"/>
          <w:color w:val="000000"/>
          <w:sz w:val="24"/>
          <w:szCs w:val="24"/>
          <w:shd w:val="clear" w:color="auto" w:fill="FFFFFF"/>
        </w:rPr>
        <w:t>pessoal</w:t>
      </w:r>
      <w:r w:rsidR="00683A95">
        <w:rPr>
          <w:rFonts w:ascii="Times New Roman" w:hAnsi="Times New Roman" w:cs="Times New Roman"/>
          <w:color w:val="000000"/>
          <w:sz w:val="24"/>
          <w:szCs w:val="24"/>
          <w:shd w:val="clear" w:color="auto" w:fill="FFFFFF"/>
        </w:rPr>
        <w:t xml:space="preserve"> na CEDH. A jurisprudência do TEDH reconhece o direito de conhecer a ascendência biológica através de um processo de investigação judicial da paternidade, como uma das dimensões do direito à vida privada, consagrado no artigo 8.º da CEDH. Fá-lo com recurso a um método de ponderação de interesses em conflito e aceitando uma certa margem de apreciação dos Estados, com reflexos na legislação que os mesmos adotam</w:t>
      </w:r>
      <w:r w:rsidR="00193660">
        <w:rPr>
          <w:rFonts w:ascii="Times New Roman" w:hAnsi="Times New Roman" w:cs="Times New Roman"/>
          <w:color w:val="000000"/>
          <w:sz w:val="24"/>
          <w:szCs w:val="24"/>
          <w:shd w:val="clear" w:color="auto" w:fill="FFFFFF"/>
        </w:rPr>
        <w:t>. Essa margem de apreciação,</w:t>
      </w:r>
      <w:r w:rsidR="009E053C">
        <w:rPr>
          <w:rFonts w:ascii="Times New Roman" w:hAnsi="Times New Roman" w:cs="Times New Roman"/>
          <w:color w:val="000000"/>
          <w:sz w:val="24"/>
          <w:szCs w:val="24"/>
          <w:shd w:val="clear" w:color="auto" w:fill="FFFFFF"/>
        </w:rPr>
        <w:t xml:space="preserve"> significa a impossibilidade de decalque dos direitos reconhecidos pela CEDH, na medida em que a sua jurisprudência os reconhece, para os casos individuais e sem atender às concretas disposições jurídicas em crise do ordenamento respetivo.</w:t>
      </w:r>
      <w:r w:rsidR="001F6266">
        <w:rPr>
          <w:rFonts w:ascii="Times New Roman" w:hAnsi="Times New Roman" w:cs="Times New Roman"/>
          <w:color w:val="000000"/>
          <w:sz w:val="24"/>
          <w:szCs w:val="24"/>
          <w:shd w:val="clear" w:color="auto" w:fill="FFFFFF"/>
        </w:rPr>
        <w:t xml:space="preserve"> Efetivamente</w:t>
      </w:r>
      <w:r w:rsidR="00193660">
        <w:rPr>
          <w:rFonts w:ascii="Times New Roman" w:hAnsi="Times New Roman" w:cs="Times New Roman"/>
          <w:color w:val="000000"/>
          <w:sz w:val="24"/>
          <w:szCs w:val="24"/>
          <w:shd w:val="clear" w:color="auto" w:fill="FFFFFF"/>
        </w:rPr>
        <w:t>,</w:t>
      </w:r>
      <w:r w:rsidR="001F6266">
        <w:rPr>
          <w:rFonts w:ascii="Times New Roman" w:hAnsi="Times New Roman" w:cs="Times New Roman"/>
          <w:color w:val="000000"/>
          <w:sz w:val="24"/>
          <w:szCs w:val="24"/>
          <w:shd w:val="clear" w:color="auto" w:fill="FFFFFF"/>
        </w:rPr>
        <w:t xml:space="preserve"> e apesar da expressa consagração do direito à vida privada no artigo 8.º da CEDH e do direito à identidade biológica como uma das suas dimensões, não causa estranheza a afirmação produzida no aresto no sentido de ser “[…] o índice de proteção do direito a conhecer as origens, na sua dimensão pessoal, potencialmente mais elevado na ordem-jurídico constitucional nacional do que na Convenção Europeia dos Direitos Humanos.” No entanto, há que atender ao facto de inexistir, por via convencional, uma uniformização dos direitos humanos consagrados, em todas as suas dimensões,</w:t>
      </w:r>
      <w:r w:rsidR="00095243">
        <w:rPr>
          <w:rFonts w:ascii="Times New Roman" w:hAnsi="Times New Roman" w:cs="Times New Roman"/>
          <w:color w:val="000000"/>
          <w:sz w:val="24"/>
          <w:szCs w:val="24"/>
          <w:shd w:val="clear" w:color="auto" w:fill="FFFFFF"/>
        </w:rPr>
        <w:t xml:space="preserve"> nem mesmo uma unificação, nos Estados-Membros</w:t>
      </w:r>
      <w:r w:rsidR="00C12330">
        <w:rPr>
          <w:rFonts w:ascii="Times New Roman" w:hAnsi="Times New Roman" w:cs="Times New Roman"/>
          <w:color w:val="000000"/>
          <w:sz w:val="24"/>
          <w:szCs w:val="24"/>
          <w:shd w:val="clear" w:color="auto" w:fill="FFFFFF"/>
        </w:rPr>
        <w:t>. Tal unificação,</w:t>
      </w:r>
      <w:r w:rsidR="001F6266">
        <w:rPr>
          <w:rFonts w:ascii="Times New Roman" w:hAnsi="Times New Roman" w:cs="Times New Roman"/>
          <w:color w:val="000000"/>
          <w:sz w:val="24"/>
          <w:szCs w:val="24"/>
          <w:shd w:val="clear" w:color="auto" w:fill="FFFFFF"/>
        </w:rPr>
        <w:t xml:space="preserve"> que </w:t>
      </w:r>
      <w:r w:rsidR="00E00B8F">
        <w:rPr>
          <w:rFonts w:ascii="Times New Roman" w:hAnsi="Times New Roman" w:cs="Times New Roman"/>
          <w:color w:val="000000"/>
          <w:sz w:val="24"/>
          <w:szCs w:val="24"/>
          <w:shd w:val="clear" w:color="auto" w:fill="FFFFFF"/>
        </w:rPr>
        <w:t>não poderia constituir</w:t>
      </w:r>
      <w:r w:rsidR="001F6266">
        <w:rPr>
          <w:rFonts w:ascii="Times New Roman" w:hAnsi="Times New Roman" w:cs="Times New Roman"/>
          <w:color w:val="000000"/>
          <w:sz w:val="24"/>
          <w:szCs w:val="24"/>
          <w:shd w:val="clear" w:color="auto" w:fill="FFFFFF"/>
        </w:rPr>
        <w:t xml:space="preserve"> pressuposto</w:t>
      </w:r>
      <w:r w:rsidR="00E00B8F">
        <w:rPr>
          <w:rFonts w:ascii="Times New Roman" w:hAnsi="Times New Roman" w:cs="Times New Roman"/>
          <w:color w:val="000000"/>
          <w:sz w:val="24"/>
          <w:szCs w:val="24"/>
          <w:shd w:val="clear" w:color="auto" w:fill="FFFFFF"/>
        </w:rPr>
        <w:t xml:space="preserve"> de vinculação </w:t>
      </w:r>
      <w:r w:rsidR="00193660">
        <w:rPr>
          <w:rFonts w:ascii="Times New Roman" w:hAnsi="Times New Roman" w:cs="Times New Roman"/>
          <w:color w:val="000000"/>
          <w:sz w:val="24"/>
          <w:szCs w:val="24"/>
          <w:shd w:val="clear" w:color="auto" w:fill="FFFFFF"/>
        </w:rPr>
        <w:t>ao instrumento internacional supra mencionado,</w:t>
      </w:r>
      <w:r w:rsidR="00E00B8F">
        <w:rPr>
          <w:rFonts w:ascii="Times New Roman" w:hAnsi="Times New Roman" w:cs="Times New Roman"/>
          <w:color w:val="000000"/>
          <w:sz w:val="24"/>
          <w:szCs w:val="24"/>
          <w:shd w:val="clear" w:color="auto" w:fill="FFFFFF"/>
        </w:rPr>
        <w:t xml:space="preserve"> sobretudo em matérias de direito da família, que se revestem de particular sensibilidade</w:t>
      </w:r>
      <w:r w:rsidR="00C943F2">
        <w:rPr>
          <w:rFonts w:ascii="Times New Roman" w:hAnsi="Times New Roman" w:cs="Times New Roman"/>
          <w:color w:val="000000"/>
          <w:sz w:val="24"/>
          <w:szCs w:val="24"/>
          <w:shd w:val="clear" w:color="auto" w:fill="FFFFFF"/>
        </w:rPr>
        <w:t>,</w:t>
      </w:r>
      <w:r w:rsidR="00E00B8F">
        <w:rPr>
          <w:rFonts w:ascii="Times New Roman" w:hAnsi="Times New Roman" w:cs="Times New Roman"/>
          <w:color w:val="000000"/>
          <w:sz w:val="24"/>
          <w:szCs w:val="24"/>
          <w:shd w:val="clear" w:color="auto" w:fill="FFFFFF"/>
        </w:rPr>
        <w:t xml:space="preserve"> </w:t>
      </w:r>
      <w:r w:rsidR="009B4819">
        <w:rPr>
          <w:rFonts w:ascii="Times New Roman" w:hAnsi="Times New Roman" w:cs="Times New Roman"/>
          <w:color w:val="000000"/>
          <w:sz w:val="24"/>
          <w:szCs w:val="24"/>
          <w:shd w:val="clear" w:color="auto" w:fill="FFFFFF"/>
        </w:rPr>
        <w:t>no que respeita à ordem</w:t>
      </w:r>
      <w:r w:rsidR="00E00B8F">
        <w:rPr>
          <w:rFonts w:ascii="Times New Roman" w:hAnsi="Times New Roman" w:cs="Times New Roman"/>
          <w:color w:val="000000"/>
          <w:sz w:val="24"/>
          <w:szCs w:val="24"/>
          <w:shd w:val="clear" w:color="auto" w:fill="FFFFFF"/>
        </w:rPr>
        <w:t xml:space="preserve"> pública dos Estados.</w:t>
      </w:r>
      <w:r w:rsidR="00C943F2">
        <w:rPr>
          <w:rStyle w:val="Refdenotaalpie"/>
          <w:rFonts w:ascii="Times New Roman" w:hAnsi="Times New Roman" w:cs="Times New Roman"/>
          <w:color w:val="000000"/>
          <w:sz w:val="24"/>
          <w:szCs w:val="24"/>
          <w:shd w:val="clear" w:color="auto" w:fill="FFFFFF"/>
        </w:rPr>
        <w:footnoteReference w:id="49"/>
      </w:r>
      <w:r w:rsidR="00303CD5">
        <w:rPr>
          <w:rFonts w:ascii="Times New Roman" w:hAnsi="Times New Roman" w:cs="Times New Roman"/>
          <w:color w:val="000000"/>
          <w:sz w:val="24"/>
          <w:szCs w:val="24"/>
          <w:shd w:val="clear" w:color="auto" w:fill="FFFFFF"/>
        </w:rPr>
        <w:t xml:space="preserve"> Por esses motivos, apesar de o TEDH reconhecer com amplitude o direito à identidade gen</w:t>
      </w:r>
      <w:r w:rsidR="009B4819">
        <w:rPr>
          <w:rFonts w:ascii="Times New Roman" w:hAnsi="Times New Roman" w:cs="Times New Roman"/>
          <w:color w:val="000000"/>
          <w:sz w:val="24"/>
          <w:szCs w:val="24"/>
          <w:shd w:val="clear" w:color="auto" w:fill="FFFFFF"/>
        </w:rPr>
        <w:t>ética</w:t>
      </w:r>
      <w:r w:rsidR="00303CD5">
        <w:rPr>
          <w:rFonts w:ascii="Times New Roman" w:hAnsi="Times New Roman" w:cs="Times New Roman"/>
          <w:color w:val="000000"/>
          <w:sz w:val="24"/>
          <w:szCs w:val="24"/>
          <w:shd w:val="clear" w:color="auto" w:fill="FFFFFF"/>
        </w:rPr>
        <w:t xml:space="preserve">, </w:t>
      </w:r>
      <w:r w:rsidR="00B95607">
        <w:rPr>
          <w:rFonts w:ascii="Times New Roman" w:hAnsi="Times New Roman" w:cs="Times New Roman"/>
          <w:color w:val="000000"/>
          <w:sz w:val="24"/>
          <w:szCs w:val="24"/>
          <w:shd w:val="clear" w:color="auto" w:fill="FFFFFF"/>
        </w:rPr>
        <w:t>na ponderação de interesses contrapostos</w:t>
      </w:r>
      <w:r w:rsidR="00341DD5">
        <w:rPr>
          <w:rFonts w:ascii="Times New Roman" w:hAnsi="Times New Roman" w:cs="Times New Roman"/>
          <w:color w:val="000000"/>
          <w:sz w:val="24"/>
          <w:szCs w:val="24"/>
          <w:shd w:val="clear" w:color="auto" w:fill="FFFFFF"/>
        </w:rPr>
        <w:t>,</w:t>
      </w:r>
      <w:r w:rsidR="00B95607">
        <w:rPr>
          <w:rFonts w:ascii="Times New Roman" w:hAnsi="Times New Roman" w:cs="Times New Roman"/>
          <w:color w:val="000000"/>
          <w:sz w:val="24"/>
          <w:szCs w:val="24"/>
          <w:shd w:val="clear" w:color="auto" w:fill="FFFFFF"/>
        </w:rPr>
        <w:t xml:space="preserve"> nos casos que lhe são submetidos, em que considera, em geral, dever prevalecer esse direito, sobre o direito à reserva da vida privada do investigado, tal resultado não se afigura possível em certos casos. Desde logo, nas situações em que, por previsão de </w:t>
      </w:r>
      <w:r w:rsidR="007F2569">
        <w:rPr>
          <w:rFonts w:ascii="Times New Roman" w:hAnsi="Times New Roman" w:cs="Times New Roman"/>
          <w:color w:val="000000"/>
          <w:sz w:val="24"/>
          <w:szCs w:val="24"/>
          <w:shd w:val="clear" w:color="auto" w:fill="FFFFFF"/>
        </w:rPr>
        <w:t xml:space="preserve">um </w:t>
      </w:r>
      <w:r w:rsidR="00B95607">
        <w:rPr>
          <w:rFonts w:ascii="Times New Roman" w:hAnsi="Times New Roman" w:cs="Times New Roman"/>
          <w:color w:val="000000"/>
          <w:sz w:val="24"/>
          <w:szCs w:val="24"/>
          <w:shd w:val="clear" w:color="auto" w:fill="FFFFFF"/>
        </w:rPr>
        <w:t>prazo de caducidade ou outra limitação legal</w:t>
      </w:r>
      <w:r w:rsidR="007F2569">
        <w:rPr>
          <w:rFonts w:ascii="Times New Roman" w:hAnsi="Times New Roman" w:cs="Times New Roman"/>
          <w:color w:val="000000"/>
          <w:sz w:val="24"/>
          <w:szCs w:val="24"/>
          <w:shd w:val="clear" w:color="auto" w:fill="FFFFFF"/>
        </w:rPr>
        <w:t xml:space="preserve">, como a que pode decorrer de limitações da legislação interna de um Estado-Membro à realização de testes de </w:t>
      </w:r>
      <w:r w:rsidR="00387EDA">
        <w:rPr>
          <w:rFonts w:ascii="Times New Roman" w:hAnsi="Times New Roman" w:cs="Times New Roman"/>
          <w:color w:val="000000"/>
          <w:sz w:val="24"/>
          <w:szCs w:val="24"/>
          <w:shd w:val="clear" w:color="auto" w:fill="FFFFFF"/>
        </w:rPr>
        <w:t>ADN</w:t>
      </w:r>
      <w:r w:rsidR="007F2569">
        <w:rPr>
          <w:rFonts w:ascii="Times New Roman" w:hAnsi="Times New Roman" w:cs="Times New Roman"/>
          <w:color w:val="000000"/>
          <w:sz w:val="24"/>
          <w:szCs w:val="24"/>
          <w:shd w:val="clear" w:color="auto" w:fill="FFFFFF"/>
        </w:rPr>
        <w:t>, se entenda serem previsões conformes à margem de apreciação dos Estados</w:t>
      </w:r>
      <w:r w:rsidR="00387EDA">
        <w:rPr>
          <w:rStyle w:val="Refdenotaalpie"/>
          <w:rFonts w:ascii="Times New Roman" w:hAnsi="Times New Roman" w:cs="Times New Roman"/>
          <w:color w:val="000000"/>
          <w:sz w:val="24"/>
          <w:szCs w:val="24"/>
          <w:shd w:val="clear" w:color="auto" w:fill="FFFFFF"/>
        </w:rPr>
        <w:footnoteReference w:id="50"/>
      </w:r>
      <w:r w:rsidR="007F2569">
        <w:rPr>
          <w:rFonts w:ascii="Times New Roman" w:hAnsi="Times New Roman" w:cs="Times New Roman"/>
          <w:color w:val="000000"/>
          <w:sz w:val="24"/>
          <w:szCs w:val="24"/>
          <w:shd w:val="clear" w:color="auto" w:fill="FFFFFF"/>
        </w:rPr>
        <w:t xml:space="preserve"> e, como tal, não sindicáveis por essa instância. </w:t>
      </w:r>
    </w:p>
    <w:p w14:paraId="6C9C820E" w14:textId="042BA6A4" w:rsidR="00581720" w:rsidRPr="009B4819" w:rsidRDefault="009B4819" w:rsidP="009B4819">
      <w:pPr>
        <w:spacing w:line="360" w:lineRule="auto"/>
        <w:ind w:firstLine="708"/>
        <w:jc w:val="both"/>
        <w:rPr>
          <w:rFonts w:ascii="Times New Roman" w:hAnsi="Times New Roman" w:cs="Times New Roman"/>
          <w:color w:val="000000"/>
          <w:sz w:val="24"/>
          <w:szCs w:val="24"/>
          <w:shd w:val="clear" w:color="auto" w:fill="FFFFFF"/>
        </w:rPr>
      </w:pPr>
      <w:r w:rsidRPr="009B4819">
        <w:rPr>
          <w:rFonts w:ascii="Times New Roman" w:hAnsi="Times New Roman" w:cs="Times New Roman"/>
          <w:color w:val="000000"/>
          <w:sz w:val="24"/>
          <w:szCs w:val="24"/>
          <w:shd w:val="clear" w:color="auto" w:fill="FFFFFF"/>
        </w:rPr>
        <w:t xml:space="preserve">D.A - </w:t>
      </w:r>
      <w:r w:rsidR="00581720" w:rsidRPr="009B4819">
        <w:rPr>
          <w:rFonts w:ascii="Times New Roman" w:hAnsi="Times New Roman" w:cs="Times New Roman"/>
          <w:color w:val="000000"/>
          <w:sz w:val="24"/>
          <w:szCs w:val="24"/>
          <w:shd w:val="clear" w:color="auto" w:fill="FFFFFF"/>
        </w:rPr>
        <w:t>O Caso Mifsud c. Malta</w:t>
      </w:r>
    </w:p>
    <w:p w14:paraId="1E1731EC" w14:textId="61C2166A" w:rsidR="00097301" w:rsidRPr="00821164" w:rsidRDefault="00637900" w:rsidP="00097301">
      <w:pPr>
        <w:spacing w:line="360" w:lineRule="auto"/>
        <w:jc w:val="both"/>
        <w:rPr>
          <w:rStyle w:val="sb8d990e2"/>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No âmbito do presente trabalho, afigura-se importante </w:t>
      </w:r>
      <w:r w:rsidR="00581720">
        <w:rPr>
          <w:rFonts w:ascii="Times New Roman" w:hAnsi="Times New Roman" w:cs="Times New Roman"/>
          <w:color w:val="000000"/>
          <w:sz w:val="24"/>
          <w:szCs w:val="24"/>
          <w:shd w:val="clear" w:color="auto" w:fill="FFFFFF"/>
        </w:rPr>
        <w:t xml:space="preserve">a </w:t>
      </w:r>
      <w:r w:rsidR="00053F92">
        <w:rPr>
          <w:rFonts w:ascii="Times New Roman" w:hAnsi="Times New Roman" w:cs="Times New Roman"/>
          <w:color w:val="000000"/>
          <w:sz w:val="24"/>
          <w:szCs w:val="24"/>
          <w:shd w:val="clear" w:color="auto" w:fill="FFFFFF"/>
        </w:rPr>
        <w:t>refer</w:t>
      </w:r>
      <w:r w:rsidR="00581720">
        <w:rPr>
          <w:rFonts w:ascii="Times New Roman" w:hAnsi="Times New Roman" w:cs="Times New Roman"/>
          <w:color w:val="000000"/>
          <w:sz w:val="24"/>
          <w:szCs w:val="24"/>
          <w:shd w:val="clear" w:color="auto" w:fill="FFFFFF"/>
        </w:rPr>
        <w:t xml:space="preserve">ência ao Acórdão </w:t>
      </w:r>
      <w:r w:rsidR="00110D25">
        <w:rPr>
          <w:rFonts w:ascii="Times New Roman" w:hAnsi="Times New Roman" w:cs="Times New Roman"/>
          <w:color w:val="000000"/>
          <w:sz w:val="24"/>
          <w:szCs w:val="24"/>
          <w:shd w:val="clear" w:color="auto" w:fill="FFFFFF"/>
        </w:rPr>
        <w:t xml:space="preserve">do TEDH, no caso </w:t>
      </w:r>
      <w:r w:rsidR="00581720">
        <w:rPr>
          <w:rFonts w:ascii="Times New Roman" w:hAnsi="Times New Roman" w:cs="Times New Roman"/>
          <w:color w:val="000000"/>
          <w:sz w:val="24"/>
          <w:szCs w:val="24"/>
          <w:shd w:val="clear" w:color="auto" w:fill="FFFFFF"/>
        </w:rPr>
        <w:t>Mifsud c. Malta,</w:t>
      </w:r>
      <w:r w:rsidR="00581720">
        <w:rPr>
          <w:rStyle w:val="Refdenotaalpie"/>
          <w:rFonts w:ascii="Times New Roman" w:hAnsi="Times New Roman" w:cs="Times New Roman"/>
          <w:color w:val="000000"/>
          <w:sz w:val="24"/>
          <w:szCs w:val="24"/>
          <w:shd w:val="clear" w:color="auto" w:fill="FFFFFF"/>
        </w:rPr>
        <w:footnoteReference w:id="51"/>
      </w:r>
      <w:r w:rsidR="00110D25">
        <w:rPr>
          <w:rFonts w:ascii="Times New Roman" w:hAnsi="Times New Roman" w:cs="Times New Roman"/>
          <w:color w:val="000000"/>
          <w:sz w:val="24"/>
          <w:szCs w:val="24"/>
          <w:shd w:val="clear" w:color="auto" w:fill="FFFFFF"/>
        </w:rPr>
        <w:t xml:space="preserve"> de 29 de janeiro de 2019. Trata-se de</w:t>
      </w:r>
      <w:r w:rsidR="00053F9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um caso em que a </w:t>
      </w:r>
      <w:r w:rsidR="007F2569">
        <w:rPr>
          <w:rFonts w:ascii="Times New Roman" w:hAnsi="Times New Roman" w:cs="Times New Roman"/>
          <w:color w:val="000000"/>
          <w:sz w:val="24"/>
          <w:szCs w:val="24"/>
          <w:shd w:val="clear" w:color="auto" w:fill="FFFFFF"/>
        </w:rPr>
        <w:t>investigante</w:t>
      </w:r>
      <w:r>
        <w:rPr>
          <w:rFonts w:ascii="Times New Roman" w:hAnsi="Times New Roman" w:cs="Times New Roman"/>
          <w:color w:val="000000"/>
          <w:sz w:val="24"/>
          <w:szCs w:val="24"/>
          <w:shd w:val="clear" w:color="auto" w:fill="FFFFFF"/>
        </w:rPr>
        <w:t>, cidadã maltesa, com cerca de 55 anos à data da apresentação da ação na secção de família do Tribunal Civil,</w:t>
      </w:r>
      <w:r w:rsidR="00B950C4">
        <w:rPr>
          <w:rFonts w:ascii="Times New Roman" w:hAnsi="Times New Roman" w:cs="Times New Roman"/>
          <w:color w:val="000000"/>
          <w:sz w:val="24"/>
          <w:szCs w:val="24"/>
          <w:shd w:val="clear" w:color="auto" w:fill="FFFFFF"/>
        </w:rPr>
        <w:t xml:space="preserve"> em Malta,</w:t>
      </w:r>
      <w:r>
        <w:rPr>
          <w:rFonts w:ascii="Times New Roman" w:hAnsi="Times New Roman" w:cs="Times New Roman"/>
          <w:color w:val="000000"/>
          <w:sz w:val="24"/>
          <w:szCs w:val="24"/>
          <w:shd w:val="clear" w:color="auto" w:fill="FFFFFF"/>
        </w:rPr>
        <w:t xml:space="preserve"> solicit</w:t>
      </w:r>
      <w:r w:rsidR="00821164">
        <w:rPr>
          <w:rFonts w:ascii="Times New Roman" w:hAnsi="Times New Roman" w:cs="Times New Roman"/>
          <w:color w:val="000000"/>
          <w:sz w:val="24"/>
          <w:szCs w:val="24"/>
          <w:shd w:val="clear" w:color="auto" w:fill="FFFFFF"/>
        </w:rPr>
        <w:t>ou</w:t>
      </w:r>
      <w:r>
        <w:rPr>
          <w:rFonts w:ascii="Times New Roman" w:hAnsi="Times New Roman" w:cs="Times New Roman"/>
          <w:color w:val="000000"/>
          <w:sz w:val="24"/>
          <w:szCs w:val="24"/>
          <w:shd w:val="clear" w:color="auto" w:fill="FFFFFF"/>
        </w:rPr>
        <w:t xml:space="preserve"> ao tribunal que declarasse o requerido como seu pai biológico e que ordenasse </w:t>
      </w:r>
      <w:r w:rsidR="00053F92">
        <w:rPr>
          <w:rFonts w:ascii="Times New Roman" w:hAnsi="Times New Roman" w:cs="Times New Roman"/>
          <w:color w:val="000000"/>
          <w:sz w:val="24"/>
          <w:szCs w:val="24"/>
          <w:shd w:val="clear" w:color="auto" w:fill="FFFFFF"/>
        </w:rPr>
        <w:t>a inscrição da paternidade n</w:t>
      </w:r>
      <w:r>
        <w:rPr>
          <w:rFonts w:ascii="Times New Roman" w:hAnsi="Times New Roman" w:cs="Times New Roman"/>
          <w:color w:val="000000"/>
          <w:sz w:val="24"/>
          <w:szCs w:val="24"/>
          <w:shd w:val="clear" w:color="auto" w:fill="FFFFFF"/>
        </w:rPr>
        <w:t xml:space="preserve">o </w:t>
      </w:r>
      <w:r w:rsidR="00053F92">
        <w:rPr>
          <w:rFonts w:ascii="Times New Roman" w:hAnsi="Times New Roman" w:cs="Times New Roman"/>
          <w:color w:val="000000"/>
          <w:sz w:val="24"/>
          <w:szCs w:val="24"/>
          <w:shd w:val="clear" w:color="auto" w:fill="FFFFFF"/>
        </w:rPr>
        <w:t xml:space="preserve">seu </w:t>
      </w:r>
      <w:r>
        <w:rPr>
          <w:rFonts w:ascii="Times New Roman" w:hAnsi="Times New Roman" w:cs="Times New Roman"/>
          <w:color w:val="000000"/>
          <w:sz w:val="24"/>
          <w:szCs w:val="24"/>
          <w:shd w:val="clear" w:color="auto" w:fill="FFFFFF"/>
        </w:rPr>
        <w:t>registo de nascimento</w:t>
      </w:r>
      <w:r w:rsidRPr="00637900">
        <w:rPr>
          <w:rStyle w:val="sb8d990e2"/>
          <w:rFonts w:ascii="Arial" w:hAnsi="Arial" w:cs="Arial"/>
          <w:color w:val="000000"/>
        </w:rPr>
        <w:t>.</w:t>
      </w:r>
      <w:r w:rsidR="00345BF6">
        <w:rPr>
          <w:rStyle w:val="Refdenotaalpie"/>
          <w:rFonts w:ascii="Arial" w:hAnsi="Arial" w:cs="Arial"/>
          <w:color w:val="000000"/>
        </w:rPr>
        <w:footnoteReference w:id="52"/>
      </w:r>
      <w:r>
        <w:rPr>
          <w:rStyle w:val="sb8d990e2"/>
          <w:rFonts w:ascii="Arial" w:hAnsi="Arial" w:cs="Arial"/>
          <w:color w:val="000000"/>
        </w:rPr>
        <w:t xml:space="preserve"> </w:t>
      </w:r>
      <w:r w:rsidR="00B950C4" w:rsidRPr="002879B8">
        <w:rPr>
          <w:rStyle w:val="sb8d990e2"/>
          <w:rFonts w:ascii="Times New Roman" w:hAnsi="Times New Roman" w:cs="Times New Roman"/>
          <w:color w:val="000000"/>
          <w:sz w:val="24"/>
          <w:szCs w:val="24"/>
        </w:rPr>
        <w:t xml:space="preserve">O Requerido negou qualquer intervenção na conceção da Requerente, invocando que a sua mãe teria tido vários companheiros. </w:t>
      </w:r>
      <w:r w:rsidR="002879B8" w:rsidRPr="002879B8">
        <w:rPr>
          <w:rStyle w:val="sb8d990e2"/>
          <w:rFonts w:ascii="Times New Roman" w:hAnsi="Times New Roman" w:cs="Times New Roman"/>
          <w:color w:val="000000"/>
          <w:sz w:val="24"/>
          <w:szCs w:val="24"/>
        </w:rPr>
        <w:t xml:space="preserve">A Requerente apresentou declarações </w:t>
      </w:r>
      <w:r w:rsidR="002879B8" w:rsidRPr="00821164">
        <w:rPr>
          <w:rStyle w:val="sb8d990e2"/>
          <w:rFonts w:ascii="Times New Roman" w:hAnsi="Times New Roman" w:cs="Times New Roman"/>
          <w:color w:val="000000"/>
          <w:sz w:val="24"/>
          <w:szCs w:val="24"/>
        </w:rPr>
        <w:t>escritas, assim como a sua mãe.</w:t>
      </w:r>
      <w:r w:rsidR="002879B8" w:rsidRPr="00821164">
        <w:rPr>
          <w:rStyle w:val="Refdenotaalpie"/>
          <w:rFonts w:ascii="Times New Roman" w:hAnsi="Times New Roman" w:cs="Times New Roman"/>
          <w:color w:val="000000"/>
          <w:sz w:val="24"/>
          <w:szCs w:val="24"/>
        </w:rPr>
        <w:footnoteReference w:id="53"/>
      </w:r>
      <w:r w:rsidR="002879B8" w:rsidRPr="00821164">
        <w:rPr>
          <w:rStyle w:val="sb8d990e2"/>
          <w:rFonts w:ascii="Times New Roman" w:hAnsi="Times New Roman" w:cs="Times New Roman"/>
          <w:color w:val="000000"/>
          <w:sz w:val="24"/>
          <w:szCs w:val="24"/>
        </w:rPr>
        <w:t xml:space="preserve"> Em 13 de maio de 2013, a Requerente solicitou ao tribunal que ordenasse a realização de testes genéticos à sua pessoa e ao Requerido. </w:t>
      </w:r>
      <w:r w:rsidR="00B950C4" w:rsidRPr="00821164">
        <w:rPr>
          <w:rStyle w:val="sb8d990e2"/>
          <w:rFonts w:ascii="Times New Roman" w:hAnsi="Times New Roman" w:cs="Times New Roman"/>
          <w:color w:val="000000"/>
          <w:sz w:val="24"/>
          <w:szCs w:val="24"/>
        </w:rPr>
        <w:t>O mesmo apresentou recurso para as instâncias constitucionais, invocando violação dos seus direito</w:t>
      </w:r>
      <w:r w:rsidR="002879B8" w:rsidRPr="00821164">
        <w:rPr>
          <w:rStyle w:val="sb8d990e2"/>
          <w:rFonts w:ascii="Times New Roman" w:hAnsi="Times New Roman" w:cs="Times New Roman"/>
          <w:color w:val="000000"/>
          <w:sz w:val="24"/>
          <w:szCs w:val="24"/>
        </w:rPr>
        <w:t>s</w:t>
      </w:r>
      <w:r w:rsidR="00B950C4" w:rsidRPr="00821164">
        <w:rPr>
          <w:rStyle w:val="sb8d990e2"/>
          <w:rFonts w:ascii="Times New Roman" w:hAnsi="Times New Roman" w:cs="Times New Roman"/>
          <w:color w:val="000000"/>
          <w:sz w:val="24"/>
          <w:szCs w:val="24"/>
        </w:rPr>
        <w:t xml:space="preserve"> humanos nos termos do artigo 8.º da CEDH</w:t>
      </w:r>
      <w:r w:rsidR="002879B8" w:rsidRPr="00821164">
        <w:rPr>
          <w:rStyle w:val="sb8d990e2"/>
          <w:rFonts w:ascii="Times New Roman" w:hAnsi="Times New Roman" w:cs="Times New Roman"/>
          <w:color w:val="000000"/>
          <w:sz w:val="24"/>
          <w:szCs w:val="24"/>
        </w:rPr>
        <w:t>, questionando a apresentação do pedido cinquenta anos depois do nascimento e que tinha idade avançada, concluindo que qualquer intervenção podia ter efeitos negativos na sua saúde.</w:t>
      </w:r>
      <w:r w:rsidR="00A75331" w:rsidRPr="00821164">
        <w:rPr>
          <w:rStyle w:val="Refdenotaalpie"/>
          <w:rFonts w:ascii="Times New Roman" w:hAnsi="Times New Roman" w:cs="Times New Roman"/>
          <w:color w:val="000000"/>
          <w:sz w:val="24"/>
          <w:szCs w:val="24"/>
        </w:rPr>
        <w:footnoteReference w:id="54"/>
      </w:r>
      <w:r w:rsidR="002879B8" w:rsidRPr="00821164">
        <w:rPr>
          <w:rStyle w:val="sb8d990e2"/>
          <w:rFonts w:ascii="Times New Roman" w:hAnsi="Times New Roman" w:cs="Times New Roman"/>
          <w:color w:val="000000"/>
          <w:sz w:val="24"/>
          <w:szCs w:val="24"/>
        </w:rPr>
        <w:t xml:space="preserve"> A decisão foi confirmada pela mencionada instância</w:t>
      </w:r>
      <w:r w:rsidR="00A75331" w:rsidRPr="00821164">
        <w:rPr>
          <w:rStyle w:val="Refdenotaalpie"/>
          <w:rFonts w:ascii="Times New Roman" w:hAnsi="Times New Roman" w:cs="Times New Roman"/>
          <w:color w:val="000000"/>
          <w:sz w:val="24"/>
          <w:szCs w:val="24"/>
        </w:rPr>
        <w:footnoteReference w:id="55"/>
      </w:r>
      <w:r w:rsidR="002879B8" w:rsidRPr="00821164">
        <w:rPr>
          <w:rStyle w:val="sb8d990e2"/>
          <w:rFonts w:ascii="Times New Roman" w:hAnsi="Times New Roman" w:cs="Times New Roman"/>
          <w:color w:val="000000"/>
          <w:sz w:val="24"/>
          <w:szCs w:val="24"/>
        </w:rPr>
        <w:t xml:space="preserve"> e o Requerido recorreu para o Tribunal Constitucional</w:t>
      </w:r>
      <w:r w:rsidR="00A75331" w:rsidRPr="00821164">
        <w:rPr>
          <w:rStyle w:val="sb8d990e2"/>
          <w:rFonts w:ascii="Times New Roman" w:hAnsi="Times New Roman" w:cs="Times New Roman"/>
          <w:color w:val="000000"/>
          <w:sz w:val="24"/>
          <w:szCs w:val="24"/>
        </w:rPr>
        <w:t>,</w:t>
      </w:r>
      <w:r w:rsidR="00A75331" w:rsidRPr="00821164">
        <w:rPr>
          <w:rStyle w:val="Refdenotaalpie"/>
          <w:rFonts w:ascii="Times New Roman" w:hAnsi="Times New Roman" w:cs="Times New Roman"/>
          <w:color w:val="000000"/>
          <w:sz w:val="24"/>
          <w:szCs w:val="24"/>
        </w:rPr>
        <w:footnoteReference w:id="56"/>
      </w:r>
      <w:r w:rsidR="00A75331" w:rsidRPr="00821164">
        <w:rPr>
          <w:rStyle w:val="sb8d990e2"/>
          <w:rFonts w:ascii="Times New Roman" w:hAnsi="Times New Roman" w:cs="Times New Roman"/>
          <w:color w:val="000000"/>
          <w:sz w:val="24"/>
          <w:szCs w:val="24"/>
        </w:rPr>
        <w:t xml:space="preserve"> que confirmou a decisão corrida.</w:t>
      </w:r>
      <w:r w:rsidR="00A75331" w:rsidRPr="00821164">
        <w:rPr>
          <w:rStyle w:val="Refdenotaalpie"/>
          <w:rFonts w:ascii="Times New Roman" w:hAnsi="Times New Roman" w:cs="Times New Roman"/>
          <w:color w:val="000000"/>
          <w:sz w:val="24"/>
          <w:szCs w:val="24"/>
        </w:rPr>
        <w:footnoteReference w:id="57"/>
      </w:r>
      <w:r w:rsidR="00A75331" w:rsidRPr="00821164">
        <w:rPr>
          <w:rStyle w:val="sb8d990e2"/>
          <w:rFonts w:ascii="Times New Roman" w:hAnsi="Times New Roman" w:cs="Times New Roman"/>
          <w:color w:val="000000"/>
          <w:sz w:val="24"/>
          <w:szCs w:val="24"/>
        </w:rPr>
        <w:t xml:space="preserve"> Em 18 de outubro de 2015, o Tribunal Civil ordenou ao Requerente que fizesse o teste, o qual acabou por ser realizado em 21 de fevereiro de 2017, com um resultado que apontou a probabilidade de o Requerido ser pai da Requerente em 99,99%</w:t>
      </w:r>
      <w:r w:rsidR="00CB3A79" w:rsidRPr="00821164">
        <w:rPr>
          <w:rStyle w:val="sb8d990e2"/>
          <w:rFonts w:ascii="Times New Roman" w:hAnsi="Times New Roman" w:cs="Times New Roman"/>
          <w:color w:val="000000"/>
          <w:sz w:val="24"/>
          <w:szCs w:val="24"/>
        </w:rPr>
        <w:t>.</w:t>
      </w:r>
    </w:p>
    <w:p w14:paraId="56FB7792" w14:textId="3DC10279" w:rsidR="006B5D62" w:rsidRPr="00581720" w:rsidRDefault="006B5D62" w:rsidP="00097301">
      <w:pPr>
        <w:spacing w:line="360" w:lineRule="auto"/>
        <w:jc w:val="both"/>
        <w:rPr>
          <w:rStyle w:val="sb8d990e2"/>
          <w:rFonts w:ascii="Times New Roman" w:hAnsi="Times New Roman" w:cs="Times New Roman"/>
          <w:color w:val="000000"/>
          <w:sz w:val="24"/>
          <w:szCs w:val="24"/>
        </w:rPr>
      </w:pPr>
      <w:r w:rsidRPr="00821164">
        <w:rPr>
          <w:rStyle w:val="sb8d990e2"/>
          <w:rFonts w:ascii="Times New Roman" w:hAnsi="Times New Roman" w:cs="Times New Roman"/>
          <w:color w:val="000000"/>
          <w:sz w:val="24"/>
          <w:szCs w:val="24"/>
        </w:rPr>
        <w:t xml:space="preserve">O Requerido </w:t>
      </w:r>
      <w:r w:rsidR="00512A62" w:rsidRPr="00821164">
        <w:rPr>
          <w:rStyle w:val="sb8d990e2"/>
          <w:rFonts w:ascii="Times New Roman" w:hAnsi="Times New Roman" w:cs="Times New Roman"/>
          <w:color w:val="000000"/>
          <w:sz w:val="24"/>
          <w:szCs w:val="24"/>
        </w:rPr>
        <w:t>invocou</w:t>
      </w:r>
      <w:r w:rsidR="00020753">
        <w:rPr>
          <w:rStyle w:val="sb8d990e2"/>
          <w:rFonts w:ascii="Times New Roman" w:hAnsi="Times New Roman" w:cs="Times New Roman"/>
          <w:color w:val="000000"/>
          <w:sz w:val="24"/>
          <w:szCs w:val="24"/>
        </w:rPr>
        <w:t>,</w:t>
      </w:r>
      <w:r w:rsidR="00512A62" w:rsidRPr="00821164">
        <w:rPr>
          <w:rStyle w:val="sb8d990e2"/>
          <w:rFonts w:ascii="Times New Roman" w:hAnsi="Times New Roman" w:cs="Times New Roman"/>
          <w:color w:val="000000"/>
          <w:sz w:val="24"/>
          <w:szCs w:val="24"/>
        </w:rPr>
        <w:t xml:space="preserve"> então</w:t>
      </w:r>
      <w:r w:rsidR="00020753">
        <w:rPr>
          <w:rStyle w:val="sb8d990e2"/>
          <w:rFonts w:ascii="Times New Roman" w:hAnsi="Times New Roman" w:cs="Times New Roman"/>
          <w:color w:val="000000"/>
          <w:sz w:val="24"/>
          <w:szCs w:val="24"/>
        </w:rPr>
        <w:t>,</w:t>
      </w:r>
      <w:r w:rsidR="00512A62" w:rsidRPr="00821164">
        <w:rPr>
          <w:rStyle w:val="sb8d990e2"/>
          <w:rFonts w:ascii="Times New Roman" w:hAnsi="Times New Roman" w:cs="Times New Roman"/>
          <w:color w:val="000000"/>
          <w:sz w:val="24"/>
          <w:szCs w:val="24"/>
        </w:rPr>
        <w:t xml:space="preserve"> perante o TEDH que a lei maltesa impõe a colheita de uma amostra genética no procedimento de estabelecimento de paternidade</w:t>
      </w:r>
      <w:r w:rsidR="00512A62" w:rsidRPr="00581720">
        <w:rPr>
          <w:rStyle w:val="sb8d990e2"/>
          <w:rFonts w:ascii="Times New Roman" w:hAnsi="Times New Roman" w:cs="Times New Roman"/>
          <w:color w:val="000000"/>
          <w:sz w:val="24"/>
          <w:szCs w:val="24"/>
        </w:rPr>
        <w:t xml:space="preserve"> e que a ordem que lhe foi dada, contrária à sua vontade, constitui uma violação do artigo 8.º da CEDH. </w:t>
      </w:r>
    </w:p>
    <w:p w14:paraId="5FB2A573" w14:textId="5A53D3EF" w:rsidR="007F2569" w:rsidRDefault="00F76015" w:rsidP="00693B63">
      <w:pPr>
        <w:spacing w:line="360" w:lineRule="auto"/>
        <w:jc w:val="both"/>
        <w:rPr>
          <w:rFonts w:ascii="Times New Roman" w:hAnsi="Times New Roman" w:cs="Times New Roman"/>
          <w:color w:val="000000"/>
          <w:sz w:val="24"/>
          <w:szCs w:val="24"/>
          <w:shd w:val="clear" w:color="auto" w:fill="FFFFFF"/>
        </w:rPr>
      </w:pPr>
      <w:r w:rsidRPr="00581720">
        <w:rPr>
          <w:rFonts w:ascii="Times New Roman" w:hAnsi="Times New Roman" w:cs="Times New Roman"/>
          <w:color w:val="000000"/>
          <w:sz w:val="24"/>
          <w:szCs w:val="24"/>
          <w:shd w:val="clear" w:color="auto" w:fill="FFFFFF"/>
        </w:rPr>
        <w:t>O Tribunal considerou que a ordem emitida no sentido de fazer o teste de paternidade, tendo em consideração os interesses em presença no processo judicial no qual o Requerido participou, com defesa por si escolhida, sendo os seus direitos de defesa respeitados, tal como os da parte adversária</w:t>
      </w:r>
      <w:r w:rsidR="009B4819">
        <w:rPr>
          <w:rFonts w:ascii="Times New Roman" w:hAnsi="Times New Roman" w:cs="Times New Roman"/>
          <w:color w:val="000000"/>
          <w:sz w:val="24"/>
          <w:szCs w:val="24"/>
          <w:shd w:val="clear" w:color="auto" w:fill="FFFFFF"/>
        </w:rPr>
        <w:t>. Aquele órgã</w:t>
      </w:r>
      <w:r w:rsidRPr="00581720">
        <w:rPr>
          <w:rFonts w:ascii="Times New Roman" w:hAnsi="Times New Roman" w:cs="Times New Roman"/>
          <w:color w:val="000000"/>
          <w:sz w:val="24"/>
          <w:szCs w:val="24"/>
          <w:shd w:val="clear" w:color="auto" w:fill="FFFFFF"/>
        </w:rPr>
        <w:t>o</w:t>
      </w:r>
      <w:r w:rsidR="002506A9">
        <w:rPr>
          <w:rFonts w:ascii="Times New Roman" w:hAnsi="Times New Roman" w:cs="Times New Roman"/>
          <w:color w:val="000000"/>
          <w:sz w:val="24"/>
          <w:szCs w:val="24"/>
          <w:shd w:val="clear" w:color="auto" w:fill="FFFFFF"/>
        </w:rPr>
        <w:t xml:space="preserve"> jurisdicional considerou que os </w:t>
      </w:r>
      <w:r w:rsidRPr="00581720">
        <w:rPr>
          <w:rFonts w:ascii="Times New Roman" w:hAnsi="Times New Roman" w:cs="Times New Roman"/>
          <w:color w:val="000000"/>
          <w:sz w:val="24"/>
          <w:szCs w:val="24"/>
          <w:shd w:val="clear" w:color="auto" w:fill="FFFFFF"/>
        </w:rPr>
        <w:t xml:space="preserve"> tribunais nacionais encontraram um equilíbrio justo entre os interesses de X em ter a sua paternidade estabelecida e os do Requerid</w:t>
      </w:r>
      <w:r w:rsidR="00821164">
        <w:rPr>
          <w:rFonts w:ascii="Times New Roman" w:hAnsi="Times New Roman" w:cs="Times New Roman"/>
          <w:color w:val="000000"/>
          <w:sz w:val="24"/>
          <w:szCs w:val="24"/>
          <w:shd w:val="clear" w:color="auto" w:fill="FFFFFF"/>
        </w:rPr>
        <w:t>o</w:t>
      </w:r>
      <w:r w:rsidRPr="00581720">
        <w:rPr>
          <w:rFonts w:ascii="Times New Roman" w:hAnsi="Times New Roman" w:cs="Times New Roman"/>
          <w:color w:val="000000"/>
          <w:sz w:val="24"/>
          <w:szCs w:val="24"/>
          <w:shd w:val="clear" w:color="auto" w:fill="FFFFFF"/>
        </w:rPr>
        <w:t xml:space="preserve"> em não ser su</w:t>
      </w:r>
      <w:r w:rsidR="00581720" w:rsidRPr="00581720">
        <w:rPr>
          <w:rFonts w:ascii="Times New Roman" w:hAnsi="Times New Roman" w:cs="Times New Roman"/>
          <w:color w:val="000000"/>
          <w:sz w:val="24"/>
          <w:szCs w:val="24"/>
          <w:shd w:val="clear" w:color="auto" w:fill="FFFFFF"/>
        </w:rPr>
        <w:t>j</w:t>
      </w:r>
      <w:r w:rsidRPr="00581720">
        <w:rPr>
          <w:rFonts w:ascii="Times New Roman" w:hAnsi="Times New Roman" w:cs="Times New Roman"/>
          <w:color w:val="000000"/>
          <w:sz w:val="24"/>
          <w:szCs w:val="24"/>
          <w:shd w:val="clear" w:color="auto" w:fill="FFFFFF"/>
        </w:rPr>
        <w:t>eito a um teste de ADN</w:t>
      </w:r>
      <w:r w:rsidR="002506A9">
        <w:rPr>
          <w:rFonts w:ascii="Times New Roman" w:hAnsi="Times New Roman" w:cs="Times New Roman"/>
          <w:color w:val="000000"/>
          <w:sz w:val="24"/>
          <w:szCs w:val="24"/>
          <w:shd w:val="clear" w:color="auto" w:fill="FFFFFF"/>
        </w:rPr>
        <w:t xml:space="preserve"> e julgou não ter existido violação do artigo 8.º da CEDH.</w:t>
      </w:r>
    </w:p>
    <w:p w14:paraId="4C8700A4" w14:textId="77777777" w:rsidR="009B4819" w:rsidRDefault="009B4819" w:rsidP="00693B63">
      <w:pPr>
        <w:spacing w:line="360" w:lineRule="auto"/>
        <w:jc w:val="both"/>
        <w:rPr>
          <w:rFonts w:ascii="Times New Roman" w:hAnsi="Times New Roman" w:cs="Times New Roman"/>
          <w:color w:val="000000"/>
          <w:sz w:val="24"/>
          <w:szCs w:val="24"/>
          <w:shd w:val="clear" w:color="auto" w:fill="FFFFFF"/>
        </w:rPr>
      </w:pPr>
    </w:p>
    <w:p w14:paraId="363D9C1D" w14:textId="5BEA4247" w:rsidR="00821164" w:rsidRPr="009B4819" w:rsidRDefault="009B4819" w:rsidP="009B4819">
      <w:pPr>
        <w:spacing w:line="360" w:lineRule="auto"/>
        <w:ind w:firstLine="708"/>
        <w:jc w:val="both"/>
        <w:rPr>
          <w:rFonts w:ascii="Times New Roman" w:hAnsi="Times New Roman" w:cs="Times New Roman"/>
          <w:color w:val="000000"/>
          <w:sz w:val="24"/>
          <w:szCs w:val="24"/>
          <w:shd w:val="clear" w:color="auto" w:fill="FFFFFF"/>
        </w:rPr>
      </w:pPr>
      <w:r w:rsidRPr="009B4819">
        <w:rPr>
          <w:rFonts w:ascii="Times New Roman" w:hAnsi="Times New Roman" w:cs="Times New Roman"/>
          <w:color w:val="000000"/>
          <w:sz w:val="24"/>
          <w:szCs w:val="24"/>
          <w:shd w:val="clear" w:color="auto" w:fill="FFFFFF"/>
        </w:rPr>
        <w:t xml:space="preserve">D.B - </w:t>
      </w:r>
      <w:r w:rsidR="00C12330" w:rsidRPr="009B4819">
        <w:rPr>
          <w:rFonts w:ascii="Times New Roman" w:hAnsi="Times New Roman" w:cs="Times New Roman"/>
          <w:color w:val="000000"/>
          <w:sz w:val="24"/>
          <w:szCs w:val="24"/>
          <w:shd w:val="clear" w:color="auto" w:fill="FFFFFF"/>
        </w:rPr>
        <w:t>Ac. Silva e Mondim</w:t>
      </w:r>
      <w:r w:rsidR="00F856EF" w:rsidRPr="009B4819">
        <w:rPr>
          <w:rFonts w:ascii="Times New Roman" w:hAnsi="Times New Roman" w:cs="Times New Roman"/>
          <w:color w:val="000000"/>
          <w:sz w:val="24"/>
          <w:szCs w:val="24"/>
          <w:shd w:val="clear" w:color="auto" w:fill="FFFFFF"/>
        </w:rPr>
        <w:t xml:space="preserve"> Correia c. Portugal</w:t>
      </w:r>
    </w:p>
    <w:p w14:paraId="0808F8D4" w14:textId="77777777" w:rsidR="00821164" w:rsidRDefault="00821164" w:rsidP="00693B63">
      <w:pPr>
        <w:spacing w:line="360" w:lineRule="auto"/>
        <w:jc w:val="both"/>
        <w:rPr>
          <w:rFonts w:ascii="Times New Roman" w:hAnsi="Times New Roman" w:cs="Times New Roman"/>
          <w:color w:val="000000"/>
          <w:sz w:val="24"/>
          <w:szCs w:val="24"/>
          <w:shd w:val="clear" w:color="auto" w:fill="FFFFFF"/>
        </w:rPr>
      </w:pPr>
    </w:p>
    <w:p w14:paraId="1B980B1E" w14:textId="77777777" w:rsidR="00356EE8" w:rsidRDefault="00821164"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 acórdão Silva e Mondim Correia c. Portugal,</w:t>
      </w:r>
      <w:r w:rsidR="00110D25">
        <w:rPr>
          <w:rStyle w:val="Refdenotaalpie"/>
          <w:rFonts w:ascii="Times New Roman" w:hAnsi="Times New Roman" w:cs="Times New Roman"/>
          <w:color w:val="000000"/>
          <w:sz w:val="24"/>
          <w:szCs w:val="24"/>
          <w:shd w:val="clear" w:color="auto" w:fill="FFFFFF"/>
        </w:rPr>
        <w:footnoteReference w:id="58"/>
      </w:r>
      <w:r>
        <w:rPr>
          <w:rFonts w:ascii="Times New Roman" w:hAnsi="Times New Roman" w:cs="Times New Roman"/>
          <w:color w:val="000000"/>
          <w:sz w:val="24"/>
          <w:szCs w:val="24"/>
          <w:shd w:val="clear" w:color="auto" w:fill="FFFFFF"/>
        </w:rPr>
        <w:t xml:space="preserve"> de 3 de outubro de 2017, assenta </w:t>
      </w:r>
      <w:r w:rsidR="00237BDD">
        <w:rPr>
          <w:rFonts w:ascii="Times New Roman" w:hAnsi="Times New Roman" w:cs="Times New Roman"/>
          <w:color w:val="000000"/>
          <w:sz w:val="24"/>
          <w:szCs w:val="24"/>
          <w:shd w:val="clear" w:color="auto" w:fill="FFFFFF"/>
        </w:rPr>
        <w:t>na</w:t>
      </w:r>
      <w:r>
        <w:rPr>
          <w:rFonts w:ascii="Times New Roman" w:hAnsi="Times New Roman" w:cs="Times New Roman"/>
          <w:color w:val="000000"/>
          <w:sz w:val="24"/>
          <w:szCs w:val="24"/>
          <w:shd w:val="clear" w:color="auto" w:fill="FFFFFF"/>
        </w:rPr>
        <w:t xml:space="preserve"> </w:t>
      </w:r>
      <w:r w:rsidR="00237BDD">
        <w:rPr>
          <w:rFonts w:ascii="Times New Roman" w:hAnsi="Times New Roman" w:cs="Times New Roman"/>
          <w:color w:val="000000"/>
          <w:sz w:val="24"/>
          <w:szCs w:val="24"/>
          <w:shd w:val="clear" w:color="auto" w:fill="FFFFFF"/>
        </w:rPr>
        <w:t xml:space="preserve">invocação factos </w:t>
      </w:r>
      <w:r>
        <w:rPr>
          <w:rFonts w:ascii="Times New Roman" w:hAnsi="Times New Roman" w:cs="Times New Roman"/>
          <w:color w:val="000000"/>
          <w:sz w:val="24"/>
          <w:szCs w:val="24"/>
          <w:shd w:val="clear" w:color="auto" w:fill="FFFFFF"/>
        </w:rPr>
        <w:t xml:space="preserve">similares </w:t>
      </w:r>
      <w:r w:rsidR="00237BDD">
        <w:rPr>
          <w:rFonts w:ascii="Times New Roman" w:hAnsi="Times New Roman" w:cs="Times New Roman"/>
          <w:color w:val="000000"/>
          <w:sz w:val="24"/>
          <w:szCs w:val="24"/>
          <w:shd w:val="clear" w:color="auto" w:fill="FFFFFF"/>
        </w:rPr>
        <w:t xml:space="preserve">aos invocados no acórdão anteriormente mencionado, </w:t>
      </w:r>
      <w:r>
        <w:rPr>
          <w:rFonts w:ascii="Times New Roman" w:hAnsi="Times New Roman" w:cs="Times New Roman"/>
          <w:color w:val="000000"/>
          <w:sz w:val="24"/>
          <w:szCs w:val="24"/>
          <w:shd w:val="clear" w:color="auto" w:fill="FFFFFF"/>
        </w:rPr>
        <w:t xml:space="preserve">mas </w:t>
      </w:r>
      <w:r w:rsidR="00237BDD">
        <w:rPr>
          <w:rFonts w:ascii="Times New Roman" w:hAnsi="Times New Roman" w:cs="Times New Roman"/>
          <w:color w:val="000000"/>
          <w:sz w:val="24"/>
          <w:szCs w:val="24"/>
          <w:shd w:val="clear" w:color="auto" w:fill="FFFFFF"/>
        </w:rPr>
        <w:t>a decisão é</w:t>
      </w:r>
      <w:r>
        <w:rPr>
          <w:rFonts w:ascii="Times New Roman" w:hAnsi="Times New Roman" w:cs="Times New Roman"/>
          <w:color w:val="000000"/>
          <w:sz w:val="24"/>
          <w:szCs w:val="24"/>
          <w:shd w:val="clear" w:color="auto" w:fill="FFFFFF"/>
        </w:rPr>
        <w:t xml:space="preserve"> em sentido diverso</w:t>
      </w:r>
      <w:r w:rsidR="00110D25">
        <w:rPr>
          <w:rFonts w:ascii="Times New Roman" w:hAnsi="Times New Roman" w:cs="Times New Roman"/>
          <w:color w:val="000000"/>
          <w:sz w:val="24"/>
          <w:szCs w:val="24"/>
          <w:shd w:val="clear" w:color="auto" w:fill="FFFFFF"/>
        </w:rPr>
        <w:t>.</w:t>
      </w:r>
      <w:r w:rsidR="00E0002B">
        <w:rPr>
          <w:rFonts w:ascii="Times New Roman" w:hAnsi="Times New Roman" w:cs="Times New Roman"/>
          <w:color w:val="000000"/>
          <w:sz w:val="24"/>
          <w:szCs w:val="24"/>
          <w:shd w:val="clear" w:color="auto" w:fill="FFFFFF"/>
        </w:rPr>
        <w:t xml:space="preserve"> Trata-se de um acórdão proferido quanto a duas queixas apresentadas por cidadãos portugueses, com os números 72105/14 e 20415/15</w:t>
      </w:r>
      <w:r w:rsidR="00C5194C">
        <w:rPr>
          <w:rFonts w:ascii="Times New Roman" w:hAnsi="Times New Roman" w:cs="Times New Roman"/>
          <w:color w:val="000000"/>
          <w:sz w:val="24"/>
          <w:szCs w:val="24"/>
          <w:shd w:val="clear" w:color="auto" w:fill="FFFFFF"/>
        </w:rPr>
        <w:t>, apreciadas em conjunto, atenta a convergência da matéria das mesmas e nos termos do disposto no artigo 42.º, n.º 1 do Regulamento do Tribunal.</w:t>
      </w:r>
      <w:r w:rsidR="00E0002B">
        <w:rPr>
          <w:rFonts w:ascii="Times New Roman" w:hAnsi="Times New Roman" w:cs="Times New Roman"/>
          <w:color w:val="000000"/>
          <w:sz w:val="24"/>
          <w:szCs w:val="24"/>
          <w:shd w:val="clear" w:color="auto" w:fill="FFFFFF"/>
        </w:rPr>
        <w:t xml:space="preserve"> </w:t>
      </w:r>
    </w:p>
    <w:p w14:paraId="0F77551D" w14:textId="77777777" w:rsidR="00F63946" w:rsidRDefault="00C5194C"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Em ambas é invocado </w:t>
      </w:r>
      <w:r w:rsidR="00861536">
        <w:rPr>
          <w:rFonts w:ascii="Times New Roman" w:hAnsi="Times New Roman" w:cs="Times New Roman"/>
          <w:color w:val="000000"/>
          <w:sz w:val="24"/>
          <w:szCs w:val="24"/>
          <w:shd w:val="clear" w:color="auto" w:fill="FFFFFF"/>
        </w:rPr>
        <w:t>pelo</w:t>
      </w:r>
      <w:r>
        <w:rPr>
          <w:rFonts w:ascii="Times New Roman" w:hAnsi="Times New Roman" w:cs="Times New Roman"/>
          <w:color w:val="000000"/>
          <w:sz w:val="24"/>
          <w:szCs w:val="24"/>
          <w:shd w:val="clear" w:color="auto" w:fill="FFFFFF"/>
        </w:rPr>
        <w:t>s</w:t>
      </w:r>
      <w:r w:rsidR="00861536">
        <w:rPr>
          <w:rFonts w:ascii="Times New Roman" w:hAnsi="Times New Roman" w:cs="Times New Roman"/>
          <w:color w:val="000000"/>
          <w:sz w:val="24"/>
          <w:szCs w:val="24"/>
          <w:shd w:val="clear" w:color="auto" w:fill="FFFFFF"/>
        </w:rPr>
        <w:t xml:space="preserve"> queixoso</w:t>
      </w:r>
      <w:r>
        <w:rPr>
          <w:rFonts w:ascii="Times New Roman" w:hAnsi="Times New Roman" w:cs="Times New Roman"/>
          <w:color w:val="000000"/>
          <w:sz w:val="24"/>
          <w:szCs w:val="24"/>
          <w:shd w:val="clear" w:color="auto" w:fill="FFFFFF"/>
        </w:rPr>
        <w:t>s</w:t>
      </w:r>
      <w:r w:rsidR="00861536">
        <w:rPr>
          <w:rFonts w:ascii="Times New Roman" w:hAnsi="Times New Roman" w:cs="Times New Roman"/>
          <w:color w:val="000000"/>
          <w:sz w:val="24"/>
          <w:szCs w:val="24"/>
          <w:shd w:val="clear" w:color="auto" w:fill="FFFFFF"/>
        </w:rPr>
        <w:t xml:space="preserve"> que nasce</w:t>
      </w:r>
      <w:r>
        <w:rPr>
          <w:rFonts w:ascii="Times New Roman" w:hAnsi="Times New Roman" w:cs="Times New Roman"/>
          <w:color w:val="000000"/>
          <w:sz w:val="24"/>
          <w:szCs w:val="24"/>
          <w:shd w:val="clear" w:color="auto" w:fill="FFFFFF"/>
        </w:rPr>
        <w:t>ram fruto de relações extramatrimoniais, um</w:t>
      </w:r>
      <w:r w:rsidR="00861536">
        <w:rPr>
          <w:rFonts w:ascii="Times New Roman" w:hAnsi="Times New Roman" w:cs="Times New Roman"/>
          <w:color w:val="000000"/>
          <w:sz w:val="24"/>
          <w:szCs w:val="24"/>
          <w:shd w:val="clear" w:color="auto" w:fill="FFFFFF"/>
        </w:rPr>
        <w:t xml:space="preserve"> em 1944,</w:t>
      </w:r>
      <w:r>
        <w:rPr>
          <w:rFonts w:ascii="Times New Roman" w:hAnsi="Times New Roman" w:cs="Times New Roman"/>
          <w:color w:val="000000"/>
          <w:sz w:val="24"/>
          <w:szCs w:val="24"/>
          <w:shd w:val="clear" w:color="auto" w:fill="FFFFFF"/>
        </w:rPr>
        <w:t xml:space="preserve"> outro sem data identificada no acórdão. </w:t>
      </w:r>
    </w:p>
    <w:p w14:paraId="37990693" w14:textId="27735B03" w:rsidR="00701104" w:rsidRDefault="00C5194C"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No primeiro caso, invoca o queixoso que </w:t>
      </w:r>
      <w:r w:rsidR="0011732A">
        <w:rPr>
          <w:rFonts w:ascii="Times New Roman" w:hAnsi="Times New Roman" w:cs="Times New Roman"/>
          <w:color w:val="000000"/>
          <w:sz w:val="24"/>
          <w:szCs w:val="24"/>
          <w:shd w:val="clear" w:color="auto" w:fill="FFFFFF"/>
        </w:rPr>
        <w:t xml:space="preserve">desde sempre T.S. foi considerado como pai do requerente, quer pela mãe deste, quer pela família do pai. </w:t>
      </w:r>
      <w:r w:rsidR="00016FAF">
        <w:rPr>
          <w:rFonts w:ascii="Times New Roman" w:hAnsi="Times New Roman" w:cs="Times New Roman"/>
          <w:color w:val="000000"/>
          <w:sz w:val="24"/>
          <w:szCs w:val="24"/>
          <w:shd w:val="clear" w:color="auto" w:fill="FFFFFF"/>
        </w:rPr>
        <w:t>O mesmo instaurou ação de reconhecimento judicial da paternidade contra T.S., o qual apresentou contestação fundada na caducidade do prazo de dez anos para a instauração da ação, nos termos do disposto no n.º 1 do artigo 1817.º do Código Civil português. O Requerente respondeu à contestação, invocando que a norma antes mencionada padece de inconstitucionalidade por violar o disposto nos artigos 18.º, n.º 1</w:t>
      </w:r>
      <w:r w:rsidR="009F05F7">
        <w:rPr>
          <w:rFonts w:ascii="Times New Roman" w:hAnsi="Times New Roman" w:cs="Times New Roman"/>
          <w:color w:val="000000"/>
          <w:sz w:val="24"/>
          <w:szCs w:val="24"/>
          <w:shd w:val="clear" w:color="auto" w:fill="FFFFFF"/>
        </w:rPr>
        <w:t xml:space="preserve"> e 26.º, n.º 1 da Constituição da República portuguesa. No despacho saneador, o Tribunal de primeira instância, pronunciou-se sobre a inconstitucionalidade da norma </w:t>
      </w:r>
      <w:r w:rsidR="009F05F7" w:rsidRPr="009F05F7">
        <w:rPr>
          <w:rFonts w:ascii="Times New Roman" w:hAnsi="Times New Roman" w:cs="Times New Roman"/>
          <w:i/>
          <w:iCs/>
          <w:color w:val="000000"/>
          <w:sz w:val="24"/>
          <w:szCs w:val="24"/>
          <w:shd w:val="clear" w:color="auto" w:fill="FFFFFF"/>
        </w:rPr>
        <w:t>sub iudice</w:t>
      </w:r>
      <w:r w:rsidR="009F05F7">
        <w:rPr>
          <w:rFonts w:ascii="Times New Roman" w:hAnsi="Times New Roman" w:cs="Times New Roman"/>
          <w:color w:val="000000"/>
          <w:sz w:val="24"/>
          <w:szCs w:val="24"/>
          <w:shd w:val="clear" w:color="auto" w:fill="FFFFFF"/>
        </w:rPr>
        <w:t>, por considerar que a consagração de um prazo consiste numa restrição injustificada e desproporcional do direito à identidade pessoal e, por essa razão, julgou improcedente a exceção invocada pelo réu, ordenando o prosseguimento dos autos para os seus ulteriores trâmites.</w:t>
      </w:r>
      <w:r w:rsidR="00016FAF">
        <w:rPr>
          <w:rFonts w:ascii="Times New Roman" w:hAnsi="Times New Roman" w:cs="Times New Roman"/>
          <w:color w:val="000000"/>
          <w:sz w:val="24"/>
          <w:szCs w:val="24"/>
          <w:shd w:val="clear" w:color="auto" w:fill="FFFFFF"/>
        </w:rPr>
        <w:t xml:space="preserve"> </w:t>
      </w:r>
      <w:r w:rsidR="009F05F7">
        <w:rPr>
          <w:rFonts w:ascii="Times New Roman" w:hAnsi="Times New Roman" w:cs="Times New Roman"/>
          <w:color w:val="000000"/>
          <w:sz w:val="24"/>
          <w:szCs w:val="24"/>
          <w:shd w:val="clear" w:color="auto" w:fill="FFFFFF"/>
        </w:rPr>
        <w:t>O réu T.S.</w:t>
      </w:r>
      <w:r w:rsidR="00585954">
        <w:rPr>
          <w:rFonts w:ascii="Times New Roman" w:hAnsi="Times New Roman" w:cs="Times New Roman"/>
          <w:color w:val="000000"/>
          <w:sz w:val="24"/>
          <w:szCs w:val="24"/>
          <w:shd w:val="clear" w:color="auto" w:fill="FFFFFF"/>
        </w:rPr>
        <w:t>,</w:t>
      </w:r>
      <w:r w:rsidR="009F05F7">
        <w:rPr>
          <w:rFonts w:ascii="Times New Roman" w:hAnsi="Times New Roman" w:cs="Times New Roman"/>
          <w:color w:val="000000"/>
          <w:sz w:val="24"/>
          <w:szCs w:val="24"/>
          <w:shd w:val="clear" w:color="auto" w:fill="FFFFFF"/>
        </w:rPr>
        <w:t xml:space="preserve"> interpôs recurso dessa decisão para o Tribunal da Relação do Porto</w:t>
      </w:r>
      <w:r w:rsidR="00585954">
        <w:rPr>
          <w:rFonts w:ascii="Times New Roman" w:hAnsi="Times New Roman" w:cs="Times New Roman"/>
          <w:color w:val="000000"/>
          <w:sz w:val="24"/>
          <w:szCs w:val="24"/>
          <w:shd w:val="clear" w:color="auto" w:fill="FFFFFF"/>
        </w:rPr>
        <w:t>, sem prejuízo de ter efetuado teste de ADN, que confirmou a paternidade do mesmo relativamente ao Requerente. O Tribunal da Relação do Porto, confirmou a decisão da primeira instância, vindo o apelado a recorrer, novamente, para o Supremo Tribunal de Justiça, vindo a jurisdição suprema a confirmar</w:t>
      </w:r>
      <w:r w:rsidR="00701104">
        <w:rPr>
          <w:rFonts w:ascii="Times New Roman" w:hAnsi="Times New Roman" w:cs="Times New Roman"/>
          <w:color w:val="000000"/>
          <w:sz w:val="24"/>
          <w:szCs w:val="24"/>
          <w:shd w:val="clear" w:color="auto" w:fill="FFFFFF"/>
        </w:rPr>
        <w:t>,</w:t>
      </w:r>
      <w:r w:rsidR="00585954">
        <w:rPr>
          <w:rFonts w:ascii="Times New Roman" w:hAnsi="Times New Roman" w:cs="Times New Roman"/>
          <w:color w:val="000000"/>
          <w:sz w:val="24"/>
          <w:szCs w:val="24"/>
          <w:shd w:val="clear" w:color="auto" w:fill="FFFFFF"/>
        </w:rPr>
        <w:t xml:space="preserve"> também</w:t>
      </w:r>
      <w:r w:rsidR="00701104">
        <w:rPr>
          <w:rFonts w:ascii="Times New Roman" w:hAnsi="Times New Roman" w:cs="Times New Roman"/>
          <w:color w:val="000000"/>
          <w:sz w:val="24"/>
          <w:szCs w:val="24"/>
          <w:shd w:val="clear" w:color="auto" w:fill="FFFFFF"/>
        </w:rPr>
        <w:t>,</w:t>
      </w:r>
      <w:r w:rsidR="00016FAF">
        <w:rPr>
          <w:rFonts w:ascii="Times New Roman" w:hAnsi="Times New Roman" w:cs="Times New Roman"/>
          <w:color w:val="000000"/>
          <w:sz w:val="24"/>
          <w:szCs w:val="24"/>
          <w:shd w:val="clear" w:color="auto" w:fill="FFFFFF"/>
        </w:rPr>
        <w:t xml:space="preserve"> </w:t>
      </w:r>
      <w:r w:rsidR="00701104">
        <w:rPr>
          <w:rFonts w:ascii="Times New Roman" w:hAnsi="Times New Roman" w:cs="Times New Roman"/>
          <w:color w:val="000000"/>
          <w:sz w:val="24"/>
          <w:szCs w:val="24"/>
          <w:shd w:val="clear" w:color="auto" w:fill="FFFFFF"/>
        </w:rPr>
        <w:t>a decisão da primeira instância.</w:t>
      </w:r>
    </w:p>
    <w:p w14:paraId="6235B9B9" w14:textId="245D74F3" w:rsidR="00701104" w:rsidRDefault="00701104"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Deste acórdão proferido pelo Supremo Tribunal de Justiça, T.S. recorreu, ainda, para o Tribunal Constitucional, o qual decidiu </w:t>
      </w:r>
      <w:r w:rsidR="00F63946">
        <w:rPr>
          <w:rFonts w:ascii="Times New Roman" w:hAnsi="Times New Roman" w:cs="Times New Roman"/>
          <w:color w:val="000000"/>
          <w:sz w:val="24"/>
          <w:szCs w:val="24"/>
          <w:shd w:val="clear" w:color="auto" w:fill="FFFFFF"/>
        </w:rPr>
        <w:t>q</w:t>
      </w:r>
      <w:r>
        <w:rPr>
          <w:rFonts w:ascii="Times New Roman" w:hAnsi="Times New Roman" w:cs="Times New Roman"/>
          <w:color w:val="000000"/>
          <w:sz w:val="24"/>
          <w:szCs w:val="24"/>
          <w:shd w:val="clear" w:color="auto" w:fill="FFFFFF"/>
        </w:rPr>
        <w:t>u</w:t>
      </w:r>
      <w:r w:rsidR="00F63946">
        <w:rPr>
          <w:rFonts w:ascii="Times New Roman" w:hAnsi="Times New Roman" w:cs="Times New Roman"/>
          <w:color w:val="000000"/>
          <w:sz w:val="24"/>
          <w:szCs w:val="24"/>
          <w:shd w:val="clear" w:color="auto" w:fill="FFFFFF"/>
        </w:rPr>
        <w:t>e</w:t>
      </w:r>
      <w:r>
        <w:rPr>
          <w:rFonts w:ascii="Times New Roman" w:hAnsi="Times New Roman" w:cs="Times New Roman"/>
          <w:color w:val="000000"/>
          <w:sz w:val="24"/>
          <w:szCs w:val="24"/>
          <w:shd w:val="clear" w:color="auto" w:fill="FFFFFF"/>
        </w:rPr>
        <w:t xml:space="preserve"> a norma do artigo 1817.º do Código Civil português padece de inconstitucionalidade. Em resultado, o Supremo Tribunal de Justiça alterou o acórdão antes proferido.</w:t>
      </w:r>
    </w:p>
    <w:p w14:paraId="08AB00FD" w14:textId="278908A0" w:rsidR="00A40B63" w:rsidRDefault="00BC5F08"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Relativamente à</w:t>
      </w:r>
      <w:r w:rsidR="00701104">
        <w:rPr>
          <w:rFonts w:ascii="Times New Roman" w:hAnsi="Times New Roman" w:cs="Times New Roman"/>
          <w:color w:val="000000"/>
          <w:sz w:val="24"/>
          <w:szCs w:val="24"/>
          <w:shd w:val="clear" w:color="auto" w:fill="FFFFFF"/>
        </w:rPr>
        <w:t xml:space="preserve"> segunda queixa, foi apresentada ao Tribunal Europeu dos Direitos Humanos</w:t>
      </w:r>
      <w:r>
        <w:rPr>
          <w:rFonts w:ascii="Times New Roman" w:hAnsi="Times New Roman" w:cs="Times New Roman"/>
          <w:color w:val="000000"/>
          <w:sz w:val="24"/>
          <w:szCs w:val="24"/>
          <w:shd w:val="clear" w:color="auto" w:fill="FFFFFF"/>
        </w:rPr>
        <w:t xml:space="preserve">, </w:t>
      </w:r>
      <w:r w:rsidR="00020753">
        <w:rPr>
          <w:rFonts w:ascii="Times New Roman" w:hAnsi="Times New Roman" w:cs="Times New Roman"/>
          <w:color w:val="000000"/>
          <w:sz w:val="24"/>
          <w:szCs w:val="24"/>
          <w:shd w:val="clear" w:color="auto" w:fill="FFFFFF"/>
        </w:rPr>
        <w:t xml:space="preserve">após esgotada a tramitação interna em todas as instâncias, </w:t>
      </w:r>
      <w:r>
        <w:rPr>
          <w:rFonts w:ascii="Times New Roman" w:hAnsi="Times New Roman" w:cs="Times New Roman"/>
          <w:color w:val="000000"/>
          <w:sz w:val="24"/>
          <w:szCs w:val="24"/>
          <w:shd w:val="clear" w:color="auto" w:fill="FFFFFF"/>
        </w:rPr>
        <w:t xml:space="preserve">na sequência de </w:t>
      </w:r>
      <w:r w:rsidR="004A6017">
        <w:rPr>
          <w:rFonts w:ascii="Times New Roman" w:hAnsi="Times New Roman" w:cs="Times New Roman"/>
          <w:color w:val="000000"/>
          <w:sz w:val="24"/>
          <w:szCs w:val="24"/>
          <w:shd w:val="clear" w:color="auto" w:fill="FFFFFF"/>
        </w:rPr>
        <w:t>instauração de ação judicial</w:t>
      </w:r>
      <w:r w:rsidR="00FF68B9">
        <w:rPr>
          <w:rFonts w:ascii="Times New Roman" w:hAnsi="Times New Roman" w:cs="Times New Roman"/>
          <w:color w:val="000000"/>
          <w:sz w:val="24"/>
          <w:szCs w:val="24"/>
          <w:shd w:val="clear" w:color="auto" w:fill="FFFFFF"/>
        </w:rPr>
        <w:t xml:space="preserve"> </w:t>
      </w:r>
      <w:r w:rsidR="004A6017">
        <w:rPr>
          <w:rFonts w:ascii="Times New Roman" w:hAnsi="Times New Roman" w:cs="Times New Roman"/>
          <w:color w:val="000000"/>
          <w:sz w:val="24"/>
          <w:szCs w:val="24"/>
          <w:shd w:val="clear" w:color="auto" w:fill="FFFFFF"/>
        </w:rPr>
        <w:t xml:space="preserve">de reconhecimento da paternidade contra A.M, </w:t>
      </w:r>
      <w:r w:rsidR="00FF68B9">
        <w:rPr>
          <w:rFonts w:ascii="Times New Roman" w:hAnsi="Times New Roman" w:cs="Times New Roman"/>
          <w:color w:val="000000"/>
          <w:sz w:val="24"/>
          <w:szCs w:val="24"/>
          <w:shd w:val="clear" w:color="auto" w:fill="FFFFFF"/>
        </w:rPr>
        <w:t>em 31 de março de 2014,</w:t>
      </w:r>
      <w:r w:rsidR="00A40B63">
        <w:rPr>
          <w:rFonts w:ascii="Times New Roman" w:hAnsi="Times New Roman" w:cs="Times New Roman"/>
          <w:color w:val="000000"/>
          <w:sz w:val="24"/>
          <w:szCs w:val="24"/>
          <w:shd w:val="clear" w:color="auto" w:fill="FFFFFF"/>
        </w:rPr>
        <w:t xml:space="preserve"> invocando o queixoso que a sua mãe sempre assumiu que A.M. era </w:t>
      </w:r>
      <w:r w:rsidR="00020753">
        <w:rPr>
          <w:rFonts w:ascii="Times New Roman" w:hAnsi="Times New Roman" w:cs="Times New Roman"/>
          <w:color w:val="000000"/>
          <w:sz w:val="24"/>
          <w:szCs w:val="24"/>
          <w:shd w:val="clear" w:color="auto" w:fill="FFFFFF"/>
        </w:rPr>
        <w:t xml:space="preserve">o seu </w:t>
      </w:r>
      <w:r w:rsidR="00A40B63">
        <w:rPr>
          <w:rFonts w:ascii="Times New Roman" w:hAnsi="Times New Roman" w:cs="Times New Roman"/>
          <w:color w:val="000000"/>
          <w:sz w:val="24"/>
          <w:szCs w:val="24"/>
          <w:shd w:val="clear" w:color="auto" w:fill="FFFFFF"/>
        </w:rPr>
        <w:t>pai.</w:t>
      </w:r>
    </w:p>
    <w:p w14:paraId="37683694" w14:textId="594B45E0" w:rsidR="00A40B63" w:rsidRDefault="00A40B63"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O Requerido contestou </w:t>
      </w:r>
      <w:r w:rsidR="004A6017">
        <w:rPr>
          <w:rFonts w:ascii="Times New Roman" w:hAnsi="Times New Roman" w:cs="Times New Roman"/>
          <w:color w:val="000000"/>
          <w:sz w:val="24"/>
          <w:szCs w:val="24"/>
          <w:shd w:val="clear" w:color="auto" w:fill="FFFFFF"/>
        </w:rPr>
        <w:t xml:space="preserve">a ação, </w:t>
      </w:r>
      <w:r>
        <w:rPr>
          <w:rFonts w:ascii="Times New Roman" w:hAnsi="Times New Roman" w:cs="Times New Roman"/>
          <w:color w:val="000000"/>
          <w:sz w:val="24"/>
          <w:szCs w:val="24"/>
          <w:shd w:val="clear" w:color="auto" w:fill="FFFFFF"/>
        </w:rPr>
        <w:t>invocando a exceção da caducidade do direito a instaurar a ação por ter decorrido o prazo de dez anos, previsto na lei substantiva.</w:t>
      </w:r>
    </w:p>
    <w:p w14:paraId="41E34CE1" w14:textId="7BF64737" w:rsidR="004D5510" w:rsidRDefault="00A40B63"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 Tribunal de primeira instância julgou procedente a exceção invocada</w:t>
      </w:r>
      <w:r w:rsidR="004D5510">
        <w:rPr>
          <w:rFonts w:ascii="Times New Roman" w:hAnsi="Times New Roman" w:cs="Times New Roman"/>
          <w:color w:val="000000"/>
          <w:sz w:val="24"/>
          <w:szCs w:val="24"/>
          <w:shd w:val="clear" w:color="auto" w:fill="FFFFFF"/>
        </w:rPr>
        <w:t>, uma vez que se encontrava ultrapassado o prazo previsto no n.º 1 do artigo 1817.º do Código Civil português, sem que tivessem sido alegados factos, pelo requerente, que</w:t>
      </w:r>
      <w:r>
        <w:rPr>
          <w:rFonts w:ascii="Times New Roman" w:hAnsi="Times New Roman" w:cs="Times New Roman"/>
          <w:color w:val="000000"/>
          <w:sz w:val="24"/>
          <w:szCs w:val="24"/>
          <w:shd w:val="clear" w:color="auto" w:fill="FFFFFF"/>
        </w:rPr>
        <w:t xml:space="preserve"> </w:t>
      </w:r>
      <w:r w:rsidR="004D5510">
        <w:rPr>
          <w:rFonts w:ascii="Times New Roman" w:hAnsi="Times New Roman" w:cs="Times New Roman"/>
          <w:color w:val="000000"/>
          <w:sz w:val="24"/>
          <w:szCs w:val="24"/>
          <w:shd w:val="clear" w:color="auto" w:fill="FFFFFF"/>
        </w:rPr>
        <w:t>permitissem a extensão do prazo nos termos dos números 2 e 3 do citado preceito.</w:t>
      </w:r>
    </w:p>
    <w:p w14:paraId="7DC65D6D" w14:textId="77777777" w:rsidR="005615BE" w:rsidRDefault="004D5510"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Inconformado com a sentença, o Requerente recorreu da mesma para o Tribunal da Relação do Porto, alegando inconstitucionalidade da norma constante do artigo 1817.º, n.º 1 do Código Civil português, ao estabelecer um prazo para a instauração da ação, o qual viola o direito à identidade pessoal.</w:t>
      </w:r>
    </w:p>
    <w:p w14:paraId="7D143360" w14:textId="06518EC3" w:rsidR="008B5B26" w:rsidRDefault="005615BE"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O Tribunal da Relação do Porto, desta feita, manteve a decisão proferida pelo Tribunal da primeira instância, </w:t>
      </w:r>
      <w:r w:rsidR="002506A9">
        <w:rPr>
          <w:rFonts w:ascii="Times New Roman" w:hAnsi="Times New Roman" w:cs="Times New Roman"/>
          <w:color w:val="000000"/>
          <w:sz w:val="24"/>
          <w:szCs w:val="24"/>
          <w:shd w:val="clear" w:color="auto" w:fill="FFFFFF"/>
        </w:rPr>
        <w:t xml:space="preserve">e, </w:t>
      </w:r>
      <w:r>
        <w:rPr>
          <w:rFonts w:ascii="Times New Roman" w:hAnsi="Times New Roman" w:cs="Times New Roman"/>
          <w:color w:val="000000"/>
          <w:sz w:val="24"/>
          <w:szCs w:val="24"/>
          <w:shd w:val="clear" w:color="auto" w:fill="FFFFFF"/>
        </w:rPr>
        <w:t>consequentemente</w:t>
      </w:r>
      <w:r w:rsidR="002506A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não consider</w:t>
      </w:r>
      <w:r w:rsidR="002506A9">
        <w:rPr>
          <w:rFonts w:ascii="Times New Roman" w:hAnsi="Times New Roman" w:cs="Times New Roman"/>
          <w:color w:val="000000"/>
          <w:sz w:val="24"/>
          <w:szCs w:val="24"/>
          <w:shd w:val="clear" w:color="auto" w:fill="FFFFFF"/>
        </w:rPr>
        <w:t>ou</w:t>
      </w:r>
      <w:r>
        <w:rPr>
          <w:rFonts w:ascii="Times New Roman" w:hAnsi="Times New Roman" w:cs="Times New Roman"/>
          <w:color w:val="000000"/>
          <w:sz w:val="24"/>
          <w:szCs w:val="24"/>
          <w:shd w:val="clear" w:color="auto" w:fill="FFFFFF"/>
        </w:rPr>
        <w:t xml:space="preserve"> que o preceito em crise viola</w:t>
      </w:r>
      <w:r w:rsidR="002506A9">
        <w:rPr>
          <w:rFonts w:ascii="Times New Roman" w:hAnsi="Times New Roman" w:cs="Times New Roman"/>
          <w:color w:val="000000"/>
          <w:sz w:val="24"/>
          <w:szCs w:val="24"/>
          <w:shd w:val="clear" w:color="auto" w:fill="FFFFFF"/>
        </w:rPr>
        <w:t>sse</w:t>
      </w:r>
      <w:r>
        <w:rPr>
          <w:rFonts w:ascii="Times New Roman" w:hAnsi="Times New Roman" w:cs="Times New Roman"/>
          <w:color w:val="000000"/>
          <w:sz w:val="24"/>
          <w:szCs w:val="24"/>
          <w:shd w:val="clear" w:color="auto" w:fill="FFFFFF"/>
        </w:rPr>
        <w:t xml:space="preserve"> direitos constitucionalmente protegidos. Este acórdão teve um voto de vencido, do qual resultou a defesa de que os direitos do putativo pai não podem sobrepor-se ao direito à</w:t>
      </w:r>
      <w:r w:rsidR="004D551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identidade pessoal, pelo que o reconhecimento de um prazo</w:t>
      </w:r>
      <w:r w:rsidR="008B5B26">
        <w:rPr>
          <w:rFonts w:ascii="Times New Roman" w:hAnsi="Times New Roman" w:cs="Times New Roman"/>
          <w:color w:val="000000"/>
          <w:sz w:val="24"/>
          <w:szCs w:val="24"/>
          <w:shd w:val="clear" w:color="auto" w:fill="FFFFFF"/>
        </w:rPr>
        <w:t xml:space="preserve"> para a instauração da ação de reconhecimento judicial da paternidade é inconstitucional.</w:t>
      </w:r>
    </w:p>
    <w:p w14:paraId="76EF0A13" w14:textId="77777777" w:rsidR="008B5B26" w:rsidRDefault="008B5B26"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 Requerente recorreu deste acórdão para a Supremo Tribunal de Justiça, com os  mesmos fundamentos, obtendo ganho de causa. O Supremo Tribunal de Justiça revogou as decisões anteriores, considerando</w:t>
      </w:r>
      <w:r w:rsidR="00A40B6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que o estabelecimento de um prazo limite para a instauração da ação de reconhecimento judicial é inconstitucional.</w:t>
      </w:r>
    </w:p>
    <w:p w14:paraId="40BAE448" w14:textId="37E95322" w:rsidR="00DF371E" w:rsidRDefault="008B5B26"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Entretanto, o réu A.M., apresentou recurso desse acórdão para o Tribunal </w:t>
      </w:r>
      <w:r w:rsidR="00020753">
        <w:rPr>
          <w:rFonts w:ascii="Times New Roman" w:hAnsi="Times New Roman" w:cs="Times New Roman"/>
          <w:color w:val="000000"/>
          <w:sz w:val="24"/>
          <w:szCs w:val="24"/>
          <w:shd w:val="clear" w:color="auto" w:fill="FFFFFF"/>
        </w:rPr>
        <w:t>Constitucional</w:t>
      </w:r>
      <w:r>
        <w:rPr>
          <w:rFonts w:ascii="Times New Roman" w:hAnsi="Times New Roman" w:cs="Times New Roman"/>
          <w:color w:val="000000"/>
          <w:sz w:val="24"/>
          <w:szCs w:val="24"/>
          <w:shd w:val="clear" w:color="auto" w:fill="FFFFFF"/>
        </w:rPr>
        <w:t>, tendo es</w:t>
      </w:r>
      <w:r w:rsidR="008B0A1A">
        <w:rPr>
          <w:rFonts w:ascii="Times New Roman" w:hAnsi="Times New Roman" w:cs="Times New Roman"/>
          <w:color w:val="000000"/>
          <w:sz w:val="24"/>
          <w:szCs w:val="24"/>
          <w:shd w:val="clear" w:color="auto" w:fill="FFFFFF"/>
        </w:rPr>
        <w:t>te órgão jurisdicional</w:t>
      </w:r>
      <w:r>
        <w:rPr>
          <w:rFonts w:ascii="Times New Roman" w:hAnsi="Times New Roman" w:cs="Times New Roman"/>
          <w:color w:val="000000"/>
          <w:sz w:val="24"/>
          <w:szCs w:val="24"/>
          <w:shd w:val="clear" w:color="auto" w:fill="FFFFFF"/>
        </w:rPr>
        <w:t xml:space="preserve"> decidido que a norma em crise não viola a Constituição da República Portuguesa, de acordo com a decisão já proferida no processo n.º 401/2011</w:t>
      </w:r>
      <w:r w:rsidR="002506A9">
        <w:rPr>
          <w:rFonts w:ascii="Times New Roman" w:hAnsi="Times New Roman" w:cs="Times New Roman"/>
          <w:color w:val="000000"/>
          <w:sz w:val="24"/>
          <w:szCs w:val="24"/>
          <w:shd w:val="clear" w:color="auto" w:fill="FFFFFF"/>
        </w:rPr>
        <w:t>. Nessa senda,</w:t>
      </w:r>
      <w:r w:rsidR="00691A49">
        <w:rPr>
          <w:rFonts w:ascii="Times New Roman" w:hAnsi="Times New Roman" w:cs="Times New Roman"/>
          <w:color w:val="000000"/>
          <w:sz w:val="24"/>
          <w:szCs w:val="24"/>
          <w:shd w:val="clear" w:color="auto" w:fill="FFFFFF"/>
        </w:rPr>
        <w:t xml:space="preserve"> orden</w:t>
      </w:r>
      <w:r w:rsidR="002506A9">
        <w:rPr>
          <w:rFonts w:ascii="Times New Roman" w:hAnsi="Times New Roman" w:cs="Times New Roman"/>
          <w:color w:val="000000"/>
          <w:sz w:val="24"/>
          <w:szCs w:val="24"/>
          <w:shd w:val="clear" w:color="auto" w:fill="FFFFFF"/>
        </w:rPr>
        <w:t>ou</w:t>
      </w:r>
      <w:r w:rsidR="00691A49">
        <w:rPr>
          <w:rFonts w:ascii="Times New Roman" w:hAnsi="Times New Roman" w:cs="Times New Roman"/>
          <w:color w:val="000000"/>
          <w:sz w:val="24"/>
          <w:szCs w:val="24"/>
          <w:shd w:val="clear" w:color="auto" w:fill="FFFFFF"/>
        </w:rPr>
        <w:t xml:space="preserve"> a remessa do processo para o Supremo Tribunal de Justiça para a alteração da sua decisão em conformidade. Nessa sequência, este último órgão jurisdicional alterou o seu acórdão, passando do mesmo a constar que a ação instaurada era improcedente, pelo decurso do prazo previsto na norma constante do artigo 1817.º, n.º 1 do Código Civil português. </w:t>
      </w:r>
      <w:r w:rsidR="006257EA">
        <w:rPr>
          <w:rFonts w:ascii="Times New Roman" w:hAnsi="Times New Roman" w:cs="Times New Roman"/>
          <w:color w:val="000000"/>
          <w:sz w:val="24"/>
          <w:szCs w:val="24"/>
          <w:shd w:val="clear" w:color="auto" w:fill="FFFFFF"/>
        </w:rPr>
        <w:t xml:space="preserve">Desta decisão final (acórdão), o Requerente apresentou </w:t>
      </w:r>
      <w:r w:rsidR="008B0A1A">
        <w:rPr>
          <w:rFonts w:ascii="Times New Roman" w:hAnsi="Times New Roman" w:cs="Times New Roman"/>
          <w:color w:val="000000"/>
          <w:sz w:val="24"/>
          <w:szCs w:val="24"/>
          <w:shd w:val="clear" w:color="auto" w:fill="FFFFFF"/>
        </w:rPr>
        <w:t xml:space="preserve">uma </w:t>
      </w:r>
      <w:r w:rsidR="006257EA">
        <w:rPr>
          <w:rFonts w:ascii="Times New Roman" w:hAnsi="Times New Roman" w:cs="Times New Roman"/>
          <w:color w:val="000000"/>
          <w:sz w:val="24"/>
          <w:szCs w:val="24"/>
          <w:shd w:val="clear" w:color="auto" w:fill="FFFFFF"/>
        </w:rPr>
        <w:t>queixa no Tribunal Europeu dos Direitos Humanos, que atenta a factualidade supra, relembrou que o objeto essencial do artigo 8.º é a proteção do individuo contra ações arbitrárias das autoridades públicas.</w:t>
      </w:r>
      <w:r w:rsidR="00D93D56">
        <w:rPr>
          <w:rStyle w:val="Refdenotaalpie"/>
          <w:rFonts w:ascii="Times New Roman" w:hAnsi="Times New Roman" w:cs="Times New Roman"/>
          <w:color w:val="000000"/>
          <w:sz w:val="24"/>
          <w:szCs w:val="24"/>
          <w:shd w:val="clear" w:color="auto" w:fill="FFFFFF"/>
        </w:rPr>
        <w:footnoteReference w:id="59"/>
      </w:r>
      <w:r w:rsidR="006257EA">
        <w:rPr>
          <w:rFonts w:ascii="Times New Roman" w:hAnsi="Times New Roman" w:cs="Times New Roman"/>
          <w:color w:val="000000"/>
          <w:sz w:val="24"/>
          <w:szCs w:val="24"/>
          <w:shd w:val="clear" w:color="auto" w:fill="FFFFFF"/>
        </w:rPr>
        <w:t xml:space="preserve"> Para além do que, é necessário atingir um justo equilíbrio entre os interesses conflituantes do individuo e da comunidade, se</w:t>
      </w:r>
      <w:r w:rsidR="008B0A1A">
        <w:rPr>
          <w:rFonts w:ascii="Times New Roman" w:hAnsi="Times New Roman" w:cs="Times New Roman"/>
          <w:color w:val="000000"/>
          <w:sz w:val="24"/>
          <w:szCs w:val="24"/>
          <w:shd w:val="clear" w:color="auto" w:fill="FFFFFF"/>
        </w:rPr>
        <w:t>ndo</w:t>
      </w:r>
      <w:r w:rsidR="006257EA">
        <w:rPr>
          <w:rFonts w:ascii="Times New Roman" w:hAnsi="Times New Roman" w:cs="Times New Roman"/>
          <w:color w:val="000000"/>
          <w:sz w:val="24"/>
          <w:szCs w:val="24"/>
          <w:shd w:val="clear" w:color="auto" w:fill="FFFFFF"/>
        </w:rPr>
        <w:t xml:space="preserve"> necessário realizar um exercício de equilíbrio entre os interesses privados em causa. O Tribunal esclarece que a expressão «todos» contida no artigo 8.º da Convenção se aplica tanto à criança quanto ao suposto pai.</w:t>
      </w:r>
      <w:r w:rsidR="00B31F90">
        <w:rPr>
          <w:rStyle w:val="Refdenotaalpie"/>
          <w:rFonts w:ascii="Times New Roman" w:hAnsi="Times New Roman" w:cs="Times New Roman"/>
          <w:color w:val="000000"/>
          <w:sz w:val="24"/>
          <w:szCs w:val="24"/>
          <w:shd w:val="clear" w:color="auto" w:fill="FFFFFF"/>
        </w:rPr>
        <w:footnoteReference w:id="60"/>
      </w:r>
      <w:r w:rsidR="000123E8">
        <w:rPr>
          <w:rFonts w:ascii="Times New Roman" w:hAnsi="Times New Roman" w:cs="Times New Roman"/>
          <w:color w:val="000000"/>
          <w:sz w:val="24"/>
          <w:szCs w:val="24"/>
          <w:shd w:val="clear" w:color="auto" w:fill="FFFFFF"/>
        </w:rPr>
        <w:t xml:space="preserve"> </w:t>
      </w:r>
      <w:r w:rsidR="00612F07">
        <w:rPr>
          <w:rFonts w:ascii="Times New Roman" w:hAnsi="Times New Roman" w:cs="Times New Roman"/>
          <w:color w:val="000000"/>
          <w:sz w:val="24"/>
          <w:szCs w:val="24"/>
          <w:shd w:val="clear" w:color="auto" w:fill="FFFFFF"/>
        </w:rPr>
        <w:t>O Tribunal salienta que nos processos judiciais que antecederam as respetivas queixas, ora em apreciação, os requerentes invocavam que a existência de uma previsão de prazo previsto no artigo 1817.º</w:t>
      </w:r>
      <w:r w:rsidR="002506A9">
        <w:rPr>
          <w:rFonts w:ascii="Times New Roman" w:hAnsi="Times New Roman" w:cs="Times New Roman"/>
          <w:color w:val="000000"/>
          <w:sz w:val="24"/>
          <w:szCs w:val="24"/>
          <w:shd w:val="clear" w:color="auto" w:fill="FFFFFF"/>
        </w:rPr>
        <w:t>, n.º 1</w:t>
      </w:r>
      <w:r w:rsidR="00612F07">
        <w:rPr>
          <w:rFonts w:ascii="Times New Roman" w:hAnsi="Times New Roman" w:cs="Times New Roman"/>
          <w:color w:val="000000"/>
          <w:sz w:val="24"/>
          <w:szCs w:val="24"/>
          <w:shd w:val="clear" w:color="auto" w:fill="FFFFFF"/>
        </w:rPr>
        <w:t xml:space="preserve"> do Código Civil Português os impediu de obter o reconhecimento judicial da paternidade, perante os tribunais portugueses. Mais manifestaram os mesmos </w:t>
      </w:r>
      <w:r w:rsidR="00BC5E49">
        <w:rPr>
          <w:rFonts w:ascii="Times New Roman" w:hAnsi="Times New Roman" w:cs="Times New Roman"/>
          <w:color w:val="000000"/>
          <w:sz w:val="24"/>
          <w:szCs w:val="24"/>
          <w:shd w:val="clear" w:color="auto" w:fill="FFFFFF"/>
        </w:rPr>
        <w:t xml:space="preserve">queixosos, então Requerentes, </w:t>
      </w:r>
      <w:r w:rsidR="00612F07">
        <w:rPr>
          <w:rFonts w:ascii="Times New Roman" w:hAnsi="Times New Roman" w:cs="Times New Roman"/>
          <w:color w:val="000000"/>
          <w:sz w:val="24"/>
          <w:szCs w:val="24"/>
          <w:shd w:val="clear" w:color="auto" w:fill="FFFFFF"/>
        </w:rPr>
        <w:t>que essa disposição viola o disposto no artigo 8.º da CEDH</w:t>
      </w:r>
      <w:r w:rsidR="00BC5E49">
        <w:rPr>
          <w:rFonts w:ascii="Times New Roman" w:hAnsi="Times New Roman" w:cs="Times New Roman"/>
          <w:color w:val="000000"/>
          <w:sz w:val="24"/>
          <w:szCs w:val="24"/>
          <w:shd w:val="clear" w:color="auto" w:fill="FFFFFF"/>
        </w:rPr>
        <w:t>, “</w:t>
      </w:r>
      <w:r w:rsidR="00A03AC6">
        <w:rPr>
          <w:rFonts w:ascii="Times New Roman" w:hAnsi="Times New Roman" w:cs="Times New Roman"/>
          <w:color w:val="000000"/>
          <w:sz w:val="24"/>
          <w:szCs w:val="24"/>
          <w:shd w:val="clear" w:color="auto" w:fill="FFFFFF"/>
        </w:rPr>
        <w:t xml:space="preserve">[…] </w:t>
      </w:r>
      <w:r w:rsidR="00BC5E49">
        <w:rPr>
          <w:rFonts w:ascii="Times New Roman" w:hAnsi="Times New Roman" w:cs="Times New Roman"/>
          <w:color w:val="000000"/>
          <w:sz w:val="24"/>
          <w:szCs w:val="24"/>
          <w:shd w:val="clear" w:color="auto" w:fill="FFFFFF"/>
        </w:rPr>
        <w:t>não questionando que a impossibilidade de propositura de uma ação de reconhecimento judicial da paternidade tenha decorrido de uma previsão legal.”</w:t>
      </w:r>
      <w:r w:rsidR="000B488C">
        <w:rPr>
          <w:rStyle w:val="Refdenotaalpie"/>
          <w:rFonts w:ascii="Times New Roman" w:hAnsi="Times New Roman" w:cs="Times New Roman"/>
          <w:color w:val="000000"/>
          <w:sz w:val="24"/>
          <w:szCs w:val="24"/>
          <w:shd w:val="clear" w:color="auto" w:fill="FFFFFF"/>
        </w:rPr>
        <w:footnoteReference w:id="61"/>
      </w:r>
      <w:r w:rsidR="00612F07">
        <w:rPr>
          <w:rFonts w:ascii="Times New Roman" w:hAnsi="Times New Roman" w:cs="Times New Roman"/>
          <w:color w:val="000000"/>
          <w:sz w:val="24"/>
          <w:szCs w:val="24"/>
          <w:shd w:val="clear" w:color="auto" w:fill="FFFFFF"/>
        </w:rPr>
        <w:t xml:space="preserve"> </w:t>
      </w:r>
      <w:r w:rsidR="00DF371E">
        <w:rPr>
          <w:rFonts w:ascii="Times New Roman" w:hAnsi="Times New Roman" w:cs="Times New Roman"/>
          <w:color w:val="000000"/>
          <w:sz w:val="24"/>
          <w:szCs w:val="24"/>
          <w:shd w:val="clear" w:color="auto" w:fill="FFFFFF"/>
        </w:rPr>
        <w:t xml:space="preserve">O Tribunal recorda que a existência de um prazo para iniciar processos que tenham por finalidade o estabelecimento da paternidade, </w:t>
      </w:r>
      <w:r w:rsidR="00DF371E" w:rsidRPr="00A03AC6">
        <w:rPr>
          <w:rFonts w:ascii="Times New Roman" w:hAnsi="Times New Roman" w:cs="Times New Roman"/>
          <w:i/>
          <w:iCs/>
          <w:color w:val="000000"/>
          <w:sz w:val="24"/>
          <w:szCs w:val="24"/>
          <w:shd w:val="clear" w:color="auto" w:fill="FFFFFF"/>
        </w:rPr>
        <w:t>per se</w:t>
      </w:r>
      <w:r w:rsidR="00DF371E">
        <w:rPr>
          <w:rFonts w:ascii="Times New Roman" w:hAnsi="Times New Roman" w:cs="Times New Roman"/>
          <w:color w:val="000000"/>
          <w:sz w:val="24"/>
          <w:szCs w:val="24"/>
          <w:shd w:val="clear" w:color="auto" w:fill="FFFFFF"/>
        </w:rPr>
        <w:t>, não viola a Convenção.</w:t>
      </w:r>
      <w:r w:rsidR="00DF371E">
        <w:rPr>
          <w:rStyle w:val="Refdenotaalpie"/>
          <w:rFonts w:ascii="Times New Roman" w:hAnsi="Times New Roman" w:cs="Times New Roman"/>
          <w:color w:val="000000"/>
          <w:sz w:val="24"/>
          <w:szCs w:val="24"/>
          <w:shd w:val="clear" w:color="auto" w:fill="FFFFFF"/>
        </w:rPr>
        <w:footnoteReference w:id="62"/>
      </w:r>
    </w:p>
    <w:p w14:paraId="729BB420" w14:textId="1A40FD05" w:rsidR="00A40B63" w:rsidRDefault="000123E8"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Neste acórdão, o Tribunal deixa</w:t>
      </w:r>
      <w:r w:rsidR="00BC5E49">
        <w:rPr>
          <w:rFonts w:ascii="Times New Roman" w:hAnsi="Times New Roman" w:cs="Times New Roman"/>
          <w:color w:val="000000"/>
          <w:sz w:val="24"/>
          <w:szCs w:val="24"/>
          <w:shd w:val="clear" w:color="auto" w:fill="FFFFFF"/>
        </w:rPr>
        <w:t xml:space="preserve">, assim, </w:t>
      </w:r>
      <w:r>
        <w:rPr>
          <w:rFonts w:ascii="Times New Roman" w:hAnsi="Times New Roman" w:cs="Times New Roman"/>
          <w:color w:val="000000"/>
          <w:sz w:val="24"/>
          <w:szCs w:val="24"/>
          <w:shd w:val="clear" w:color="auto" w:fill="FFFFFF"/>
        </w:rPr>
        <w:t>bem clara a ideia de que a previsão concreta de direitos pela Convenção Europeia dos Direitos Humanos, não implica a sua prevalência em face das disposições de direito interno dos Estados-Membros. Não existe uma hierarquia</w:t>
      </w:r>
      <w:r w:rsidR="00612F07">
        <w:rPr>
          <w:rFonts w:ascii="Times New Roman" w:hAnsi="Times New Roman" w:cs="Times New Roman"/>
          <w:color w:val="000000"/>
          <w:sz w:val="24"/>
          <w:szCs w:val="24"/>
          <w:shd w:val="clear" w:color="auto" w:fill="FFFFFF"/>
        </w:rPr>
        <w:t xml:space="preserve"> entre instrumentos jurídicos</w:t>
      </w:r>
      <w:r>
        <w:rPr>
          <w:rFonts w:ascii="Times New Roman" w:hAnsi="Times New Roman" w:cs="Times New Roman"/>
          <w:color w:val="000000"/>
          <w:sz w:val="24"/>
          <w:szCs w:val="24"/>
          <w:shd w:val="clear" w:color="auto" w:fill="FFFFFF"/>
        </w:rPr>
        <w:t xml:space="preserve">, antes o respeito pelas disposições do direito material interno </w:t>
      </w:r>
      <w:r w:rsidR="003C50D3">
        <w:rPr>
          <w:rFonts w:ascii="Times New Roman" w:hAnsi="Times New Roman" w:cs="Times New Roman"/>
          <w:color w:val="000000"/>
          <w:sz w:val="24"/>
          <w:szCs w:val="24"/>
          <w:shd w:val="clear" w:color="auto" w:fill="FFFFFF"/>
        </w:rPr>
        <w:t xml:space="preserve">dos Estados-Membros, </w:t>
      </w:r>
      <w:r>
        <w:rPr>
          <w:rFonts w:ascii="Times New Roman" w:hAnsi="Times New Roman" w:cs="Times New Roman"/>
          <w:color w:val="000000"/>
          <w:sz w:val="24"/>
          <w:szCs w:val="24"/>
          <w:shd w:val="clear" w:color="auto" w:fill="FFFFFF"/>
        </w:rPr>
        <w:t xml:space="preserve">destinando-se as previsões da Convenção, </w:t>
      </w:r>
      <w:r w:rsidRPr="0055277D">
        <w:rPr>
          <w:rFonts w:ascii="Times New Roman" w:hAnsi="Times New Roman" w:cs="Times New Roman"/>
          <w:i/>
          <w:iCs/>
          <w:color w:val="000000"/>
          <w:sz w:val="24"/>
          <w:szCs w:val="24"/>
          <w:shd w:val="clear" w:color="auto" w:fill="FFFFFF"/>
        </w:rPr>
        <w:t>maxime</w:t>
      </w:r>
      <w:r>
        <w:rPr>
          <w:rFonts w:ascii="Times New Roman" w:hAnsi="Times New Roman" w:cs="Times New Roman"/>
          <w:color w:val="000000"/>
          <w:sz w:val="24"/>
          <w:szCs w:val="24"/>
          <w:shd w:val="clear" w:color="auto" w:fill="FFFFFF"/>
        </w:rPr>
        <w:t xml:space="preserve"> o seu artigo 8.º</w:t>
      </w:r>
      <w:r w:rsidR="0055277D">
        <w:rPr>
          <w:rFonts w:ascii="Times New Roman" w:hAnsi="Times New Roman" w:cs="Times New Roman"/>
          <w:color w:val="000000"/>
          <w:sz w:val="24"/>
          <w:szCs w:val="24"/>
          <w:shd w:val="clear" w:color="auto" w:fill="FFFFFF"/>
        </w:rPr>
        <w:t xml:space="preserve">, </w:t>
      </w:r>
      <w:r w:rsidR="008F2159">
        <w:rPr>
          <w:rFonts w:ascii="Times New Roman" w:hAnsi="Times New Roman" w:cs="Times New Roman"/>
          <w:color w:val="000000"/>
          <w:sz w:val="24"/>
          <w:szCs w:val="24"/>
          <w:shd w:val="clear" w:color="auto" w:fill="FFFFFF"/>
        </w:rPr>
        <w:t>“</w:t>
      </w:r>
      <w:r w:rsidR="0055277D">
        <w:rPr>
          <w:rFonts w:ascii="Times New Roman" w:hAnsi="Times New Roman" w:cs="Times New Roman"/>
          <w:color w:val="000000"/>
          <w:sz w:val="24"/>
          <w:szCs w:val="24"/>
          <w:shd w:val="clear" w:color="auto" w:fill="FFFFFF"/>
        </w:rPr>
        <w:t>apenas a proteger os indivíduos contra ações arbitrárias das autoridades públicas.</w:t>
      </w:r>
      <w:r w:rsidR="008F2159">
        <w:rPr>
          <w:rFonts w:ascii="Times New Roman" w:hAnsi="Times New Roman" w:cs="Times New Roman"/>
          <w:color w:val="000000"/>
          <w:sz w:val="24"/>
          <w:szCs w:val="24"/>
          <w:shd w:val="clear" w:color="auto" w:fill="FFFFFF"/>
        </w:rPr>
        <w:t>”</w:t>
      </w:r>
      <w:r w:rsidR="008F2159">
        <w:rPr>
          <w:rStyle w:val="Refdenotaalpie"/>
          <w:rFonts w:ascii="Times New Roman" w:hAnsi="Times New Roman" w:cs="Times New Roman"/>
          <w:color w:val="000000"/>
          <w:sz w:val="24"/>
          <w:szCs w:val="24"/>
          <w:shd w:val="clear" w:color="auto" w:fill="FFFFFF"/>
        </w:rPr>
        <w:footnoteReference w:id="63"/>
      </w:r>
      <w:r w:rsidR="008F2159">
        <w:rPr>
          <w:rFonts w:ascii="Times New Roman" w:hAnsi="Times New Roman" w:cs="Times New Roman"/>
          <w:color w:val="000000"/>
          <w:sz w:val="24"/>
          <w:szCs w:val="24"/>
          <w:shd w:val="clear" w:color="auto" w:fill="FFFFFF"/>
        </w:rPr>
        <w:t xml:space="preserve"> </w:t>
      </w:r>
    </w:p>
    <w:p w14:paraId="217157A6" w14:textId="1AE129C7" w:rsidR="008B658F" w:rsidRDefault="00A03AC6"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 Tribunal considerou que a interferência das autoridades portuguesas no que respeita à pretensão dos requerentes, ocorreu de acordo com a lei</w:t>
      </w:r>
      <w:r w:rsidR="008B658F">
        <w:rPr>
          <w:rFonts w:ascii="Times New Roman" w:hAnsi="Times New Roman" w:cs="Times New Roman"/>
          <w:color w:val="000000"/>
          <w:sz w:val="24"/>
          <w:szCs w:val="24"/>
          <w:shd w:val="clear" w:color="auto" w:fill="FFFFFF"/>
        </w:rPr>
        <w:t xml:space="preserve"> e que prosseguiu um objetivo legitimo, na medida em que visa salvaguardar a segurança e a certeza jurídicas, evitando o prolongamento injustificado de situações de incerteza quanto ao filho e quanto ao pretenso pai e sua família, considerando as consequências patrimoniais e pessoais do reconhecimento da paternidade.</w:t>
      </w:r>
      <w:r w:rsidR="008B0A1A">
        <w:rPr>
          <w:rFonts w:ascii="Times New Roman" w:hAnsi="Times New Roman" w:cs="Times New Roman"/>
          <w:color w:val="000000"/>
          <w:sz w:val="24"/>
          <w:szCs w:val="24"/>
          <w:shd w:val="clear" w:color="auto" w:fill="FFFFFF"/>
        </w:rPr>
        <w:t xml:space="preserve"> </w:t>
      </w:r>
      <w:r w:rsidR="008B658F">
        <w:rPr>
          <w:rFonts w:ascii="Times New Roman" w:hAnsi="Times New Roman" w:cs="Times New Roman"/>
          <w:color w:val="000000"/>
          <w:sz w:val="24"/>
          <w:szCs w:val="24"/>
          <w:shd w:val="clear" w:color="auto" w:fill="FFFFFF"/>
        </w:rPr>
        <w:t>Para além de que, os requerentes instauraram as respetivas ações de investigação de paternidade fora do prazo, apesar de estarem cientes da identidade da pessoa do progenitor desde sempre</w:t>
      </w:r>
      <w:r w:rsidR="001F5866">
        <w:rPr>
          <w:rFonts w:ascii="Times New Roman" w:hAnsi="Times New Roman" w:cs="Times New Roman"/>
          <w:color w:val="000000"/>
          <w:sz w:val="24"/>
          <w:szCs w:val="24"/>
          <w:shd w:val="clear" w:color="auto" w:fill="FFFFFF"/>
        </w:rPr>
        <w:t xml:space="preserve"> e não apresentaram quaisquer argumentos que pudessem levar à concessão de um prazo suplementar de três anos previsto no número 3 do artigo 1817.º do Código Civil, nem justificado porque não atuaram mais cedo, demonstrando uma injustificada falta de diligência. No caso do primeiro Requerente, esperou cinquenta e seis anos após alcançar a maioridade, tendo o segundo requerente esperado vinte e seis anos.</w:t>
      </w:r>
    </w:p>
    <w:p w14:paraId="5E1333D6" w14:textId="3B0C03D4" w:rsidR="001F5866" w:rsidRDefault="001F5866" w:rsidP="00693B63">
      <w:pPr>
        <w:spacing w:line="360" w:lineRule="auto"/>
        <w:jc w:val="both"/>
        <w:rPr>
          <w:rFonts w:ascii="Times New Roman" w:hAnsi="Times New Roman" w:cs="Times New Roman"/>
          <w:color w:val="000000"/>
          <w:sz w:val="24"/>
          <w:szCs w:val="24"/>
          <w:shd w:val="clear" w:color="auto" w:fill="FFFFFF"/>
        </w:rPr>
      </w:pPr>
      <w:r w:rsidRPr="001F5866">
        <w:rPr>
          <w:rFonts w:ascii="Times New Roman" w:hAnsi="Times New Roman" w:cs="Times New Roman"/>
          <w:color w:val="000000"/>
          <w:sz w:val="24"/>
          <w:szCs w:val="24"/>
          <w:shd w:val="clear" w:color="auto" w:fill="FFFFFF"/>
        </w:rPr>
        <w:t>O Tribunal conclui</w:t>
      </w:r>
      <w:r w:rsidR="008B0A1A">
        <w:rPr>
          <w:rFonts w:ascii="Times New Roman" w:hAnsi="Times New Roman" w:cs="Times New Roman"/>
          <w:color w:val="000000"/>
          <w:sz w:val="24"/>
          <w:szCs w:val="24"/>
          <w:shd w:val="clear" w:color="auto" w:fill="FFFFFF"/>
        </w:rPr>
        <w:t>,</w:t>
      </w:r>
      <w:r w:rsidRPr="001F5866">
        <w:rPr>
          <w:rFonts w:ascii="Times New Roman" w:hAnsi="Times New Roman" w:cs="Times New Roman"/>
          <w:color w:val="000000"/>
          <w:sz w:val="24"/>
          <w:szCs w:val="24"/>
          <w:shd w:val="clear" w:color="auto" w:fill="FFFFFF"/>
        </w:rPr>
        <w:t xml:space="preserve"> ainda</w:t>
      </w:r>
      <w:r w:rsidR="008B0A1A">
        <w:rPr>
          <w:rFonts w:ascii="Times New Roman" w:hAnsi="Times New Roman" w:cs="Times New Roman"/>
          <w:color w:val="000000"/>
          <w:sz w:val="24"/>
          <w:szCs w:val="24"/>
          <w:shd w:val="clear" w:color="auto" w:fill="FFFFFF"/>
        </w:rPr>
        <w:t>,</w:t>
      </w:r>
      <w:r w:rsidRPr="001F5866">
        <w:rPr>
          <w:rFonts w:ascii="Times New Roman" w:hAnsi="Times New Roman" w:cs="Times New Roman"/>
          <w:color w:val="000000"/>
          <w:sz w:val="24"/>
          <w:szCs w:val="24"/>
          <w:shd w:val="clear" w:color="auto" w:fill="FFFFFF"/>
        </w:rPr>
        <w:t xml:space="preserve"> q</w:t>
      </w:r>
      <w:r>
        <w:rPr>
          <w:rFonts w:ascii="Times New Roman" w:hAnsi="Times New Roman" w:cs="Times New Roman"/>
          <w:color w:val="000000"/>
          <w:sz w:val="24"/>
          <w:szCs w:val="24"/>
          <w:shd w:val="clear" w:color="auto" w:fill="FFFFFF"/>
        </w:rPr>
        <w:t>ue o interesse vital dos interessados em verem reconhecida a sua paternidade, não afasta a obrigação de cumprir a legislação interna.</w:t>
      </w:r>
    </w:p>
    <w:p w14:paraId="2A265692" w14:textId="0D2703EA" w:rsidR="001F5866" w:rsidRDefault="001F5866" w:rsidP="00693B63">
      <w:pPr>
        <w:spacing w:line="360" w:lineRule="auto"/>
        <w:jc w:val="both"/>
        <w:rPr>
          <w:rFonts w:ascii="Times New Roman" w:hAnsi="Times New Roman" w:cs="Times New Roman"/>
          <w:color w:val="000000"/>
          <w:sz w:val="24"/>
          <w:szCs w:val="24"/>
          <w:shd w:val="clear" w:color="auto" w:fill="FFFFFF"/>
        </w:rPr>
      </w:pPr>
      <w:r w:rsidRPr="001F5866">
        <w:rPr>
          <w:rFonts w:ascii="Times New Roman" w:hAnsi="Times New Roman" w:cs="Times New Roman"/>
          <w:color w:val="000000"/>
          <w:sz w:val="24"/>
          <w:szCs w:val="24"/>
          <w:shd w:val="clear" w:color="auto" w:fill="FFFFFF"/>
        </w:rPr>
        <w:t>E</w:t>
      </w:r>
      <w:r w:rsidR="008B0A1A">
        <w:rPr>
          <w:rFonts w:ascii="Times New Roman" w:hAnsi="Times New Roman" w:cs="Times New Roman"/>
          <w:color w:val="000000"/>
          <w:sz w:val="24"/>
          <w:szCs w:val="24"/>
          <w:shd w:val="clear" w:color="auto" w:fill="FFFFFF"/>
        </w:rPr>
        <w:t>,</w:t>
      </w:r>
      <w:r w:rsidRPr="001F5866">
        <w:rPr>
          <w:rFonts w:ascii="Times New Roman" w:hAnsi="Times New Roman" w:cs="Times New Roman"/>
          <w:color w:val="000000"/>
          <w:sz w:val="24"/>
          <w:szCs w:val="24"/>
          <w:shd w:val="clear" w:color="auto" w:fill="FFFFFF"/>
        </w:rPr>
        <w:t xml:space="preserve"> por todos estes a</w:t>
      </w:r>
      <w:r>
        <w:rPr>
          <w:rFonts w:ascii="Times New Roman" w:hAnsi="Times New Roman" w:cs="Times New Roman"/>
          <w:color w:val="000000"/>
          <w:sz w:val="24"/>
          <w:szCs w:val="24"/>
          <w:shd w:val="clear" w:color="auto" w:fill="FFFFFF"/>
        </w:rPr>
        <w:t>rgumentos,</w:t>
      </w:r>
      <w:r w:rsidR="006A4E01">
        <w:rPr>
          <w:rFonts w:ascii="Times New Roman" w:hAnsi="Times New Roman" w:cs="Times New Roman"/>
          <w:color w:val="000000"/>
          <w:sz w:val="24"/>
          <w:szCs w:val="24"/>
          <w:shd w:val="clear" w:color="auto" w:fill="FFFFFF"/>
        </w:rPr>
        <w:t xml:space="preserve"> considerando a margem de apreciação de que beneficiam os Estados no que respeita ao</w:t>
      </w:r>
      <w:r w:rsidR="008B0A1A">
        <w:rPr>
          <w:rFonts w:ascii="Times New Roman" w:hAnsi="Times New Roman" w:cs="Times New Roman"/>
          <w:color w:val="000000"/>
          <w:sz w:val="24"/>
          <w:szCs w:val="24"/>
          <w:shd w:val="clear" w:color="auto" w:fill="FFFFFF"/>
        </w:rPr>
        <w:t>s</w:t>
      </w:r>
      <w:r w:rsidR="006A4E01">
        <w:rPr>
          <w:rFonts w:ascii="Times New Roman" w:hAnsi="Times New Roman" w:cs="Times New Roman"/>
          <w:color w:val="000000"/>
          <w:sz w:val="24"/>
          <w:szCs w:val="24"/>
          <w:shd w:val="clear" w:color="auto" w:fill="FFFFFF"/>
        </w:rPr>
        <w:t xml:space="preserve"> procedimento</w:t>
      </w:r>
      <w:r w:rsidR="008B0A1A">
        <w:rPr>
          <w:rFonts w:ascii="Times New Roman" w:hAnsi="Times New Roman" w:cs="Times New Roman"/>
          <w:color w:val="000000"/>
          <w:sz w:val="24"/>
          <w:szCs w:val="24"/>
          <w:shd w:val="clear" w:color="auto" w:fill="FFFFFF"/>
        </w:rPr>
        <w:t>s</w:t>
      </w:r>
      <w:r w:rsidR="006A4E01">
        <w:rPr>
          <w:rFonts w:ascii="Times New Roman" w:hAnsi="Times New Roman" w:cs="Times New Roman"/>
          <w:color w:val="000000"/>
          <w:sz w:val="24"/>
          <w:szCs w:val="24"/>
          <w:shd w:val="clear" w:color="auto" w:fill="FFFFFF"/>
        </w:rPr>
        <w:t xml:space="preserve"> de estabelecimento da paternidade, considerando a natureza não absoluta do artigo 1817.º, n.º 1 do Código Civil português e considerando a jurisprudência do Tribunal Constitucional Português, o Tribunal concluiu que a aplicação de um período temporal para a instauração da ação de reconhecimento judicial da paternidade no caso dos requerentes, não afetou a substância do seu direito ao respeito pela sua vida privada e familiar nos termos do artigo 8.º da Convenção, não tendo, assim, existido violação deste artigo.</w:t>
      </w:r>
      <w:r w:rsidR="006A4E01">
        <w:rPr>
          <w:rStyle w:val="Refdenotaalpie"/>
          <w:rFonts w:ascii="Times New Roman" w:hAnsi="Times New Roman" w:cs="Times New Roman"/>
          <w:color w:val="000000"/>
          <w:sz w:val="24"/>
          <w:szCs w:val="24"/>
          <w:shd w:val="clear" w:color="auto" w:fill="FFFFFF"/>
        </w:rPr>
        <w:footnoteReference w:id="64"/>
      </w:r>
    </w:p>
    <w:p w14:paraId="2CCDE334" w14:textId="7EFFE2ED" w:rsidR="002506A9" w:rsidRPr="001F5866" w:rsidRDefault="002506A9"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De uma análise contrastada da jurisprudência mencionada, resulta</w:t>
      </w:r>
      <w:r w:rsidR="003176A3">
        <w:rPr>
          <w:rFonts w:ascii="Times New Roman" w:hAnsi="Times New Roman" w:cs="Times New Roman"/>
          <w:color w:val="000000"/>
          <w:sz w:val="24"/>
          <w:szCs w:val="24"/>
          <w:shd w:val="clear" w:color="auto" w:fill="FFFFFF"/>
        </w:rPr>
        <w:t xml:space="preserve"> que o TEDH aprecia as situações submetidas à sua apreciação, com respeito pela margem de apreciação quanto aos procedimentos tendentes ao reconhecimento judicial da paternidade, verificando se a interferência dos Estados, através das suas administrações se enquadra em parâmetros de legalidade. </w:t>
      </w:r>
    </w:p>
    <w:p w14:paraId="70190B2C" w14:textId="7997C174" w:rsidR="00821164" w:rsidRPr="003176A3" w:rsidRDefault="003176A3" w:rsidP="003176A3">
      <w:pPr>
        <w:spacing w:line="360" w:lineRule="auto"/>
        <w:ind w:firstLine="708"/>
        <w:jc w:val="both"/>
        <w:rPr>
          <w:rFonts w:ascii="Times New Roman" w:hAnsi="Times New Roman" w:cs="Times New Roman"/>
          <w:color w:val="000000"/>
          <w:sz w:val="24"/>
          <w:szCs w:val="24"/>
          <w:shd w:val="clear" w:color="auto" w:fill="FFFFFF"/>
        </w:rPr>
      </w:pPr>
      <w:r w:rsidRPr="003176A3">
        <w:rPr>
          <w:rFonts w:ascii="Times New Roman" w:hAnsi="Times New Roman" w:cs="Times New Roman"/>
          <w:color w:val="000000"/>
          <w:sz w:val="24"/>
          <w:szCs w:val="24"/>
          <w:shd w:val="clear" w:color="auto" w:fill="FFFFFF"/>
        </w:rPr>
        <w:t xml:space="preserve">E - </w:t>
      </w:r>
      <w:r w:rsidR="008B0A1A" w:rsidRPr="003176A3">
        <w:rPr>
          <w:rFonts w:ascii="Times New Roman" w:hAnsi="Times New Roman" w:cs="Times New Roman"/>
          <w:color w:val="000000"/>
          <w:sz w:val="24"/>
          <w:szCs w:val="24"/>
          <w:shd w:val="clear" w:color="auto" w:fill="FFFFFF"/>
        </w:rPr>
        <w:t>Princípio da proporcionalidade e os conflitos de direitos fundamentais nas relações interprivadas</w:t>
      </w:r>
    </w:p>
    <w:p w14:paraId="6205B0F1" w14:textId="09747BA7" w:rsidR="00D020B4" w:rsidRDefault="00BD23BC" w:rsidP="00693B63">
      <w:pPr>
        <w:spacing w:line="360" w:lineRule="auto"/>
        <w:jc w:val="both"/>
        <w:rPr>
          <w:rFonts w:ascii="Times New Roman" w:hAnsi="Times New Roman" w:cs="Times New Roman"/>
          <w:i/>
          <w:iCs/>
          <w:color w:val="000000"/>
          <w:sz w:val="24"/>
          <w:szCs w:val="24"/>
          <w:shd w:val="clear" w:color="auto" w:fill="FFFFFF"/>
        </w:rPr>
      </w:pPr>
      <w:r>
        <w:rPr>
          <w:rFonts w:ascii="Times New Roman" w:hAnsi="Times New Roman" w:cs="Times New Roman"/>
          <w:color w:val="000000"/>
          <w:sz w:val="24"/>
          <w:szCs w:val="24"/>
          <w:shd w:val="clear" w:color="auto" w:fill="FFFFFF"/>
        </w:rPr>
        <w:t xml:space="preserve">No que respeita ao princípio da proporcionalidade e aos conflitos de direitos fundamentais nas relações interprivadas, considerou o acórdão em análise que </w:t>
      </w:r>
      <w:r w:rsidRPr="00D020B4">
        <w:rPr>
          <w:rFonts w:ascii="Times New Roman" w:hAnsi="Times New Roman" w:cs="Times New Roman"/>
          <w:i/>
          <w:iCs/>
          <w:color w:val="000000"/>
          <w:sz w:val="24"/>
          <w:szCs w:val="24"/>
          <w:shd w:val="clear" w:color="auto" w:fill="FFFFFF"/>
        </w:rPr>
        <w:t>este princ</w:t>
      </w:r>
      <w:r w:rsidR="00F40395" w:rsidRPr="00D020B4">
        <w:rPr>
          <w:rFonts w:ascii="Times New Roman" w:hAnsi="Times New Roman" w:cs="Times New Roman"/>
          <w:i/>
          <w:iCs/>
          <w:color w:val="000000"/>
          <w:sz w:val="24"/>
          <w:szCs w:val="24"/>
          <w:shd w:val="clear" w:color="auto" w:fill="FFFFFF"/>
        </w:rPr>
        <w:t>í</w:t>
      </w:r>
      <w:r w:rsidRPr="00D020B4">
        <w:rPr>
          <w:rFonts w:ascii="Times New Roman" w:hAnsi="Times New Roman" w:cs="Times New Roman"/>
          <w:i/>
          <w:iCs/>
          <w:color w:val="000000"/>
          <w:sz w:val="24"/>
          <w:szCs w:val="24"/>
          <w:shd w:val="clear" w:color="auto" w:fill="FFFFFF"/>
        </w:rPr>
        <w:t>pio, na sua aplicação aos juízos de ponderação dirigidos à resolução do co</w:t>
      </w:r>
      <w:r w:rsidR="00F40395" w:rsidRPr="00D020B4">
        <w:rPr>
          <w:rFonts w:ascii="Times New Roman" w:hAnsi="Times New Roman" w:cs="Times New Roman"/>
          <w:i/>
          <w:iCs/>
          <w:color w:val="000000"/>
          <w:sz w:val="24"/>
          <w:szCs w:val="24"/>
          <w:shd w:val="clear" w:color="auto" w:fill="FFFFFF"/>
        </w:rPr>
        <w:t>n</w:t>
      </w:r>
      <w:r w:rsidRPr="00D020B4">
        <w:rPr>
          <w:rFonts w:ascii="Times New Roman" w:hAnsi="Times New Roman" w:cs="Times New Roman"/>
          <w:i/>
          <w:iCs/>
          <w:color w:val="000000"/>
          <w:sz w:val="24"/>
          <w:szCs w:val="24"/>
          <w:shd w:val="clear" w:color="auto" w:fill="FFFFFF"/>
        </w:rPr>
        <w:t>flito entre direitos fundamentais ou valores tutelados constitucionalmente, tem em conta dados empíricos, a realidade social e especificidades do caso concreto, conforme tem entendido a jurisprudência do tribunal constitucional</w:t>
      </w:r>
      <w:r w:rsidR="005E6A63" w:rsidRPr="00D020B4">
        <w:rPr>
          <w:rFonts w:ascii="Times New Roman" w:hAnsi="Times New Roman" w:cs="Times New Roman"/>
          <w:i/>
          <w:iCs/>
          <w:color w:val="000000"/>
          <w:sz w:val="24"/>
          <w:szCs w:val="24"/>
          <w:shd w:val="clear" w:color="auto" w:fill="FFFFFF"/>
        </w:rPr>
        <w:t>. Neste ponto, considera a jurisprudência em apreço</w:t>
      </w:r>
      <w:r w:rsidR="003176A3">
        <w:rPr>
          <w:rFonts w:ascii="Times New Roman" w:hAnsi="Times New Roman" w:cs="Times New Roman"/>
          <w:i/>
          <w:iCs/>
          <w:color w:val="000000"/>
          <w:sz w:val="24"/>
          <w:szCs w:val="24"/>
          <w:shd w:val="clear" w:color="auto" w:fill="FFFFFF"/>
        </w:rPr>
        <w:t>,</w:t>
      </w:r>
      <w:r w:rsidR="005E6A63" w:rsidRPr="00D020B4">
        <w:rPr>
          <w:rFonts w:ascii="Times New Roman" w:hAnsi="Times New Roman" w:cs="Times New Roman"/>
          <w:i/>
          <w:iCs/>
          <w:color w:val="000000"/>
          <w:sz w:val="24"/>
          <w:szCs w:val="24"/>
          <w:shd w:val="clear" w:color="auto" w:fill="FFFFFF"/>
        </w:rPr>
        <w:t xml:space="preserve"> que não relevam considerações de experiência de vida ou de maturidade de uma pessoa de vinte e oito anos, para tomar a decisão de instaurar uma ação de investigação de paternidade, concluindo que o Acórdão 401/2011 assenta numa ponderação desajustada, na medida em que sobrevaloriza excessivamente as razões de natureza jurídica, atribuindo-lhes um peso constitucional que elas não têm.</w:t>
      </w:r>
      <w:r w:rsidR="003176A3">
        <w:rPr>
          <w:rFonts w:ascii="Times New Roman" w:hAnsi="Times New Roman" w:cs="Times New Roman"/>
          <w:i/>
          <w:iCs/>
          <w:color w:val="000000"/>
          <w:sz w:val="24"/>
          <w:szCs w:val="24"/>
          <w:shd w:val="clear" w:color="auto" w:fill="FFFFFF"/>
        </w:rPr>
        <w:t>”</w:t>
      </w:r>
      <w:r w:rsidR="005E6A63" w:rsidRPr="00D020B4">
        <w:rPr>
          <w:rFonts w:ascii="Times New Roman" w:hAnsi="Times New Roman" w:cs="Times New Roman"/>
          <w:i/>
          <w:iCs/>
          <w:color w:val="000000"/>
          <w:sz w:val="24"/>
          <w:szCs w:val="24"/>
          <w:shd w:val="clear" w:color="auto" w:fill="FFFFFF"/>
        </w:rPr>
        <w:t xml:space="preserve"> </w:t>
      </w:r>
    </w:p>
    <w:p w14:paraId="72CDCBBC" w14:textId="2ECB8A56" w:rsidR="00BA6AB7" w:rsidRDefault="005E6A63"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Afigura-se que o devir dos tempos, o</w:t>
      </w:r>
      <w:r w:rsidR="005D64A1">
        <w:rPr>
          <w:rFonts w:ascii="Times New Roman" w:hAnsi="Times New Roman" w:cs="Times New Roman"/>
          <w:color w:val="000000"/>
          <w:sz w:val="24"/>
          <w:szCs w:val="24"/>
          <w:shd w:val="clear" w:color="auto" w:fill="FFFFFF"/>
        </w:rPr>
        <w:t xml:space="preserve"> conteúdo dos</w:t>
      </w:r>
      <w:r>
        <w:rPr>
          <w:rFonts w:ascii="Times New Roman" w:hAnsi="Times New Roman" w:cs="Times New Roman"/>
          <w:color w:val="000000"/>
          <w:sz w:val="24"/>
          <w:szCs w:val="24"/>
          <w:shd w:val="clear" w:color="auto" w:fill="FFFFFF"/>
        </w:rPr>
        <w:t xml:space="preserve"> valores e a sua adequação aos novos paradigmas da vida, permite concluir que a </w:t>
      </w:r>
      <w:r w:rsidR="005D64A1">
        <w:rPr>
          <w:rFonts w:ascii="Times New Roman" w:hAnsi="Times New Roman" w:cs="Times New Roman"/>
          <w:color w:val="000000"/>
          <w:sz w:val="24"/>
          <w:szCs w:val="24"/>
          <w:shd w:val="clear" w:color="auto" w:fill="FFFFFF"/>
        </w:rPr>
        <w:t xml:space="preserve">parametrização concreta dos mesmos, </w:t>
      </w:r>
      <w:r>
        <w:rPr>
          <w:rFonts w:ascii="Times New Roman" w:hAnsi="Times New Roman" w:cs="Times New Roman"/>
          <w:color w:val="000000"/>
          <w:sz w:val="24"/>
          <w:szCs w:val="24"/>
          <w:shd w:val="clear" w:color="auto" w:fill="FFFFFF"/>
        </w:rPr>
        <w:t xml:space="preserve">deve </w:t>
      </w:r>
      <w:r w:rsidR="005D64A1">
        <w:rPr>
          <w:rFonts w:ascii="Times New Roman" w:hAnsi="Times New Roman" w:cs="Times New Roman"/>
          <w:color w:val="000000"/>
          <w:sz w:val="24"/>
          <w:szCs w:val="24"/>
          <w:shd w:val="clear" w:color="auto" w:fill="FFFFFF"/>
        </w:rPr>
        <w:t>relevar d</w:t>
      </w:r>
      <w:r>
        <w:rPr>
          <w:rFonts w:ascii="Times New Roman" w:hAnsi="Times New Roman" w:cs="Times New Roman"/>
          <w:color w:val="000000"/>
          <w:sz w:val="24"/>
          <w:szCs w:val="24"/>
          <w:shd w:val="clear" w:color="auto" w:fill="FFFFFF"/>
        </w:rPr>
        <w:t>a sua adequada ponderação, num dado momento, em face do sentimento de justiça prevalecent</w:t>
      </w:r>
      <w:r w:rsidR="00F40395">
        <w:rPr>
          <w:rFonts w:ascii="Times New Roman" w:hAnsi="Times New Roman" w:cs="Times New Roman"/>
          <w:color w:val="000000"/>
          <w:sz w:val="24"/>
          <w:szCs w:val="24"/>
          <w:shd w:val="clear" w:color="auto" w:fill="FFFFFF"/>
        </w:rPr>
        <w:t>e</w:t>
      </w:r>
      <w:r w:rsidR="002C0DE1">
        <w:rPr>
          <w:rFonts w:ascii="Times New Roman" w:hAnsi="Times New Roman" w:cs="Times New Roman"/>
          <w:color w:val="000000"/>
          <w:sz w:val="24"/>
          <w:szCs w:val="24"/>
          <w:shd w:val="clear" w:color="auto" w:fill="FFFFFF"/>
        </w:rPr>
        <w:t>. Os argumentos tradicionais</w:t>
      </w:r>
      <w:r w:rsidR="005D64A1">
        <w:rPr>
          <w:rFonts w:ascii="Times New Roman" w:hAnsi="Times New Roman" w:cs="Times New Roman"/>
          <w:color w:val="000000"/>
          <w:sz w:val="24"/>
          <w:szCs w:val="24"/>
          <w:shd w:val="clear" w:color="auto" w:fill="FFFFFF"/>
        </w:rPr>
        <w:t>, no sentido</w:t>
      </w:r>
      <w:r w:rsidR="002C0DE1">
        <w:rPr>
          <w:rFonts w:ascii="Times New Roman" w:hAnsi="Times New Roman" w:cs="Times New Roman"/>
          <w:color w:val="000000"/>
          <w:sz w:val="24"/>
          <w:szCs w:val="24"/>
          <w:shd w:val="clear" w:color="auto" w:fill="FFFFFF"/>
        </w:rPr>
        <w:t xml:space="preserve"> de impedir uma ação destinada a legitimar pretensões que podiam ser consideradas ilegítimas outrora, podem não relevar no momento presente. Tal parece ser o caso no que respeita ao argumento caça-fortunas que não se esgota na justificação de uma dependência de prazos, </w:t>
      </w:r>
      <w:r w:rsidR="004F239F">
        <w:rPr>
          <w:rFonts w:ascii="Times New Roman" w:hAnsi="Times New Roman" w:cs="Times New Roman"/>
          <w:color w:val="000000"/>
          <w:sz w:val="24"/>
          <w:szCs w:val="24"/>
          <w:shd w:val="clear" w:color="auto" w:fill="FFFFFF"/>
        </w:rPr>
        <w:t>que suscita a possibilidade, na perspetiva de alguma doutrina, de invocação do abuso de direito, na medida em que</w:t>
      </w:r>
      <w:r w:rsidR="007E3E0A">
        <w:rPr>
          <w:rFonts w:ascii="Times New Roman" w:hAnsi="Times New Roman" w:cs="Times New Roman"/>
          <w:color w:val="000000"/>
          <w:sz w:val="24"/>
          <w:szCs w:val="24"/>
          <w:shd w:val="clear" w:color="auto" w:fill="FFFFFF"/>
        </w:rPr>
        <w:t xml:space="preserve"> o direito à identidade pessoal seja exercida com o intuito de obtenção de benefícios económicos injustificados.</w:t>
      </w:r>
      <w:r w:rsidR="00BA6AB7">
        <w:rPr>
          <w:rStyle w:val="Refdenotaalpie"/>
          <w:rFonts w:ascii="Times New Roman" w:hAnsi="Times New Roman" w:cs="Times New Roman"/>
          <w:color w:val="000000"/>
          <w:sz w:val="24"/>
          <w:szCs w:val="24"/>
          <w:shd w:val="clear" w:color="auto" w:fill="FFFFFF"/>
        </w:rPr>
        <w:footnoteReference w:id="65"/>
      </w:r>
      <w:r w:rsidR="00102BB9">
        <w:rPr>
          <w:rFonts w:ascii="Times New Roman" w:hAnsi="Times New Roman" w:cs="Times New Roman"/>
          <w:color w:val="000000"/>
          <w:sz w:val="24"/>
          <w:szCs w:val="24"/>
          <w:shd w:val="clear" w:color="auto" w:fill="FFFFFF"/>
        </w:rPr>
        <w:t xml:space="preserve"> Assistiu-se à defesa de que, em face da total limitação resultante do instituto do abuso de direito</w:t>
      </w:r>
      <w:r w:rsidR="00BA6AB7">
        <w:rPr>
          <w:rFonts w:ascii="Times New Roman" w:hAnsi="Times New Roman" w:cs="Times New Roman"/>
          <w:color w:val="000000"/>
          <w:sz w:val="24"/>
          <w:szCs w:val="24"/>
          <w:shd w:val="clear" w:color="auto" w:fill="FFFFFF"/>
        </w:rPr>
        <w:t>, em tais casos, se deveriam produzir efeitos exclusivamente pessoais.</w:t>
      </w:r>
      <w:r w:rsidR="007E3E0A">
        <w:rPr>
          <w:rStyle w:val="Refdenotaalpie"/>
          <w:rFonts w:ascii="Times New Roman" w:hAnsi="Times New Roman" w:cs="Times New Roman"/>
          <w:color w:val="000000"/>
          <w:sz w:val="24"/>
          <w:szCs w:val="24"/>
          <w:shd w:val="clear" w:color="auto" w:fill="FFFFFF"/>
        </w:rPr>
        <w:footnoteReference w:id="66"/>
      </w:r>
      <w:r w:rsidR="004F239F">
        <w:rPr>
          <w:rFonts w:ascii="Times New Roman" w:hAnsi="Times New Roman" w:cs="Times New Roman"/>
          <w:color w:val="000000"/>
          <w:sz w:val="24"/>
          <w:szCs w:val="24"/>
          <w:shd w:val="clear" w:color="auto" w:fill="FFFFFF"/>
        </w:rPr>
        <w:t xml:space="preserve"> </w:t>
      </w:r>
      <w:r w:rsidR="00BA6AB7">
        <w:rPr>
          <w:rFonts w:ascii="Times New Roman" w:hAnsi="Times New Roman" w:cs="Times New Roman"/>
          <w:color w:val="000000"/>
          <w:sz w:val="24"/>
          <w:szCs w:val="24"/>
          <w:shd w:val="clear" w:color="auto" w:fill="FFFFFF"/>
        </w:rPr>
        <w:t>No entanto, a defesa desta possibilidade, contende com o principio da indivisibilidade do estado. Melhor se afigura a solução que encontra precedente legislativo no direito comparado próximo do nosso ordenamento jurídico, que não atribui relevo ao argumento em apreço, com exceção da solução consagrada</w:t>
      </w:r>
      <w:r w:rsidR="00C82970">
        <w:rPr>
          <w:rFonts w:ascii="Times New Roman" w:hAnsi="Times New Roman" w:cs="Times New Roman"/>
          <w:color w:val="000000"/>
          <w:sz w:val="24"/>
          <w:szCs w:val="24"/>
          <w:shd w:val="clear" w:color="auto" w:fill="FFFFFF"/>
        </w:rPr>
        <w:t xml:space="preserve"> n</w:t>
      </w:r>
      <w:r w:rsidR="00BA6AB7">
        <w:rPr>
          <w:rFonts w:ascii="Times New Roman" w:hAnsi="Times New Roman" w:cs="Times New Roman"/>
          <w:color w:val="000000"/>
          <w:sz w:val="24"/>
          <w:szCs w:val="24"/>
          <w:shd w:val="clear" w:color="auto" w:fill="FFFFFF"/>
        </w:rPr>
        <w:t>o Código Civil de Macau.</w:t>
      </w:r>
    </w:p>
    <w:p w14:paraId="23767028" w14:textId="162ED82C" w:rsidR="004F33E8" w:rsidRPr="00D020B4" w:rsidRDefault="002C0DE1"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Também a </w:t>
      </w:r>
      <w:r w:rsidR="00F40395">
        <w:rPr>
          <w:rFonts w:ascii="Times New Roman" w:hAnsi="Times New Roman" w:cs="Times New Roman"/>
          <w:color w:val="000000"/>
          <w:sz w:val="24"/>
          <w:szCs w:val="24"/>
          <w:shd w:val="clear" w:color="auto" w:fill="FFFFFF"/>
        </w:rPr>
        <w:t xml:space="preserve">respeito da </w:t>
      </w:r>
      <w:r>
        <w:rPr>
          <w:rFonts w:ascii="Times New Roman" w:hAnsi="Times New Roman" w:cs="Times New Roman"/>
          <w:color w:val="000000"/>
          <w:sz w:val="24"/>
          <w:szCs w:val="24"/>
          <w:shd w:val="clear" w:color="auto" w:fill="FFFFFF"/>
        </w:rPr>
        <w:t xml:space="preserve">ponderação relativa à segurança jurídica do investigado e dos seus herdeiros, se dirá que, aparentemente, </w:t>
      </w:r>
      <w:r w:rsidR="00AA254B">
        <w:rPr>
          <w:rFonts w:ascii="Times New Roman" w:hAnsi="Times New Roman" w:cs="Times New Roman"/>
          <w:color w:val="000000"/>
          <w:sz w:val="24"/>
          <w:szCs w:val="24"/>
          <w:shd w:val="clear" w:color="auto" w:fill="FFFFFF"/>
        </w:rPr>
        <w:t xml:space="preserve">este argumento é dúbio, na medida em que, sabendo o progenitor da existência de mais prole, pode e deve proteger tanto os seus filhos conhecidos, como aqueles que apenas ele conhece. Em alguns processos de investigação de paternidade, conclui-se que o progenitor, conhecendo a existência de outros filhos, se escuda na caducidade do prazo para a propositura da ação, </w:t>
      </w:r>
      <w:r w:rsidR="00C82970">
        <w:rPr>
          <w:rFonts w:ascii="Times New Roman" w:hAnsi="Times New Roman" w:cs="Times New Roman"/>
          <w:color w:val="000000"/>
          <w:sz w:val="24"/>
          <w:szCs w:val="24"/>
          <w:shd w:val="clear" w:color="auto" w:fill="FFFFFF"/>
        </w:rPr>
        <w:t>como forma de salvaguarda patrimonial</w:t>
      </w:r>
      <w:r w:rsidR="00AA254B">
        <w:rPr>
          <w:rFonts w:ascii="Times New Roman" w:hAnsi="Times New Roman" w:cs="Times New Roman"/>
          <w:color w:val="000000"/>
          <w:sz w:val="24"/>
          <w:szCs w:val="24"/>
          <w:shd w:val="clear" w:color="auto" w:fill="FFFFFF"/>
        </w:rPr>
        <w:t>.</w:t>
      </w:r>
      <w:r w:rsidR="00C82970">
        <w:rPr>
          <w:rStyle w:val="Refdenotaalpie"/>
          <w:rFonts w:ascii="Times New Roman" w:hAnsi="Times New Roman" w:cs="Times New Roman"/>
          <w:color w:val="000000"/>
          <w:sz w:val="24"/>
          <w:szCs w:val="24"/>
          <w:shd w:val="clear" w:color="auto" w:fill="FFFFFF"/>
        </w:rPr>
        <w:footnoteReference w:id="67"/>
      </w:r>
      <w:r w:rsidR="00AA254B">
        <w:rPr>
          <w:rFonts w:ascii="Times New Roman" w:hAnsi="Times New Roman" w:cs="Times New Roman"/>
          <w:color w:val="000000"/>
          <w:sz w:val="24"/>
          <w:szCs w:val="24"/>
          <w:shd w:val="clear" w:color="auto" w:fill="FFFFFF"/>
        </w:rPr>
        <w:t xml:space="preserve"> Sendo que</w:t>
      </w:r>
      <w:r w:rsidR="00F40395">
        <w:rPr>
          <w:rFonts w:ascii="Times New Roman" w:hAnsi="Times New Roman" w:cs="Times New Roman"/>
          <w:color w:val="000000"/>
          <w:sz w:val="24"/>
          <w:szCs w:val="24"/>
          <w:shd w:val="clear" w:color="auto" w:fill="FFFFFF"/>
        </w:rPr>
        <w:t>,</w:t>
      </w:r>
      <w:r w:rsidR="00AA254B">
        <w:rPr>
          <w:rFonts w:ascii="Times New Roman" w:hAnsi="Times New Roman" w:cs="Times New Roman"/>
          <w:color w:val="000000"/>
          <w:sz w:val="24"/>
          <w:szCs w:val="24"/>
          <w:shd w:val="clear" w:color="auto" w:fill="FFFFFF"/>
        </w:rPr>
        <w:t xml:space="preserve"> de acordo com um juízo de justiça</w:t>
      </w:r>
      <w:r w:rsidR="00F40395">
        <w:rPr>
          <w:rFonts w:ascii="Times New Roman" w:hAnsi="Times New Roman" w:cs="Times New Roman"/>
          <w:color w:val="000000"/>
          <w:sz w:val="24"/>
          <w:szCs w:val="24"/>
          <w:shd w:val="clear" w:color="auto" w:fill="FFFFFF"/>
        </w:rPr>
        <w:t>,</w:t>
      </w:r>
      <w:r w:rsidR="00AA254B">
        <w:rPr>
          <w:rFonts w:ascii="Times New Roman" w:hAnsi="Times New Roman" w:cs="Times New Roman"/>
          <w:color w:val="000000"/>
          <w:sz w:val="24"/>
          <w:szCs w:val="24"/>
          <w:shd w:val="clear" w:color="auto" w:fill="FFFFFF"/>
        </w:rPr>
        <w:t xml:space="preserve"> se afigura que tendo o mesmo conhecimento da paternidade de um filho ou mesmo a comprovação </w:t>
      </w:r>
      <w:r w:rsidR="004D040B">
        <w:rPr>
          <w:rFonts w:ascii="Times New Roman" w:hAnsi="Times New Roman" w:cs="Times New Roman"/>
          <w:color w:val="000000"/>
          <w:sz w:val="24"/>
          <w:szCs w:val="24"/>
          <w:shd w:val="clear" w:color="auto" w:fill="FFFFFF"/>
        </w:rPr>
        <w:t>científica</w:t>
      </w:r>
      <w:r w:rsidR="00AA254B">
        <w:rPr>
          <w:rFonts w:ascii="Times New Roman" w:hAnsi="Times New Roman" w:cs="Times New Roman"/>
          <w:color w:val="000000"/>
          <w:sz w:val="24"/>
          <w:szCs w:val="24"/>
          <w:shd w:val="clear" w:color="auto" w:fill="FFFFFF"/>
        </w:rPr>
        <w:t xml:space="preserve"> da paternidade, através de um teste de ADN,</w:t>
      </w:r>
      <w:r w:rsidR="004D040B">
        <w:rPr>
          <w:rStyle w:val="Refdenotaalpie"/>
          <w:rFonts w:ascii="Times New Roman" w:hAnsi="Times New Roman" w:cs="Times New Roman"/>
          <w:color w:val="000000"/>
          <w:sz w:val="24"/>
          <w:szCs w:val="24"/>
          <w:shd w:val="clear" w:color="auto" w:fill="FFFFFF"/>
        </w:rPr>
        <w:footnoteReference w:id="68"/>
      </w:r>
      <w:r w:rsidR="00AA254B">
        <w:rPr>
          <w:rFonts w:ascii="Times New Roman" w:hAnsi="Times New Roman" w:cs="Times New Roman"/>
          <w:color w:val="000000"/>
          <w:sz w:val="24"/>
          <w:szCs w:val="24"/>
          <w:shd w:val="clear" w:color="auto" w:fill="FFFFFF"/>
        </w:rPr>
        <w:t xml:space="preserve"> </w:t>
      </w:r>
      <w:r w:rsidR="00883BE0">
        <w:rPr>
          <w:rFonts w:ascii="Times New Roman" w:hAnsi="Times New Roman" w:cs="Times New Roman"/>
          <w:color w:val="000000"/>
          <w:sz w:val="24"/>
          <w:szCs w:val="24"/>
          <w:shd w:val="clear" w:color="auto" w:fill="FFFFFF"/>
        </w:rPr>
        <w:t>mal se compreenderá a solução proporcionada pelo ordenamento jurídico</w:t>
      </w:r>
      <w:r w:rsidR="004D040B">
        <w:rPr>
          <w:rFonts w:ascii="Times New Roman" w:hAnsi="Times New Roman" w:cs="Times New Roman"/>
          <w:color w:val="000000"/>
          <w:sz w:val="24"/>
          <w:szCs w:val="24"/>
          <w:shd w:val="clear" w:color="auto" w:fill="FFFFFF"/>
        </w:rPr>
        <w:t>. O facto de s</w:t>
      </w:r>
      <w:r w:rsidR="00AA254B">
        <w:rPr>
          <w:rFonts w:ascii="Times New Roman" w:hAnsi="Times New Roman" w:cs="Times New Roman"/>
          <w:color w:val="000000"/>
          <w:sz w:val="24"/>
          <w:szCs w:val="24"/>
          <w:shd w:val="clear" w:color="auto" w:fill="FFFFFF"/>
        </w:rPr>
        <w:t>e furtar ao tratamento paritário de todos os seus descendentes</w:t>
      </w:r>
      <w:r w:rsidR="00E85DD3">
        <w:rPr>
          <w:rFonts w:ascii="Times New Roman" w:hAnsi="Times New Roman" w:cs="Times New Roman"/>
          <w:color w:val="000000"/>
          <w:sz w:val="24"/>
          <w:szCs w:val="24"/>
          <w:shd w:val="clear" w:color="auto" w:fill="FFFFFF"/>
        </w:rPr>
        <w:t xml:space="preserve">, </w:t>
      </w:r>
      <w:r w:rsidR="00883BE0">
        <w:rPr>
          <w:rFonts w:ascii="Times New Roman" w:hAnsi="Times New Roman" w:cs="Times New Roman"/>
          <w:color w:val="000000"/>
          <w:sz w:val="24"/>
          <w:szCs w:val="24"/>
          <w:shd w:val="clear" w:color="auto" w:fill="FFFFFF"/>
        </w:rPr>
        <w:t xml:space="preserve">ou de apenas algum deles, </w:t>
      </w:r>
      <w:r w:rsidR="00E85DD3">
        <w:rPr>
          <w:rFonts w:ascii="Times New Roman" w:hAnsi="Times New Roman" w:cs="Times New Roman"/>
          <w:color w:val="000000"/>
          <w:sz w:val="24"/>
          <w:szCs w:val="24"/>
          <w:shd w:val="clear" w:color="auto" w:fill="FFFFFF"/>
        </w:rPr>
        <w:t>constitui, em si, uma omissão censurável. Não devendo a parte</w:t>
      </w:r>
      <w:r w:rsidR="00883BE0">
        <w:rPr>
          <w:rFonts w:ascii="Times New Roman" w:hAnsi="Times New Roman" w:cs="Times New Roman"/>
          <w:color w:val="000000"/>
          <w:sz w:val="24"/>
          <w:szCs w:val="24"/>
          <w:shd w:val="clear" w:color="auto" w:fill="FFFFFF"/>
        </w:rPr>
        <w:t xml:space="preserve"> </w:t>
      </w:r>
      <w:r w:rsidR="00E85DD3">
        <w:rPr>
          <w:rFonts w:ascii="Times New Roman" w:hAnsi="Times New Roman" w:cs="Times New Roman"/>
          <w:color w:val="000000"/>
          <w:sz w:val="24"/>
          <w:szCs w:val="24"/>
          <w:shd w:val="clear" w:color="auto" w:fill="FFFFFF"/>
        </w:rPr>
        <w:t>considerada mais fraca, deixar de merecer uma total tutela de um direito inalienável ao conhecimento das suas origens genéticas.</w:t>
      </w:r>
      <w:r w:rsidR="00AA254B">
        <w:rPr>
          <w:rFonts w:ascii="Times New Roman" w:hAnsi="Times New Roman" w:cs="Times New Roman"/>
          <w:color w:val="000000"/>
          <w:sz w:val="24"/>
          <w:szCs w:val="24"/>
          <w:shd w:val="clear" w:color="auto" w:fill="FFFFFF"/>
        </w:rPr>
        <w:t xml:space="preserve"> </w:t>
      </w:r>
      <w:r w:rsidR="001F3D86">
        <w:rPr>
          <w:rFonts w:ascii="Times New Roman" w:hAnsi="Times New Roman" w:cs="Times New Roman"/>
          <w:color w:val="000000"/>
          <w:sz w:val="24"/>
          <w:szCs w:val="24"/>
          <w:shd w:val="clear" w:color="auto" w:fill="FFFFFF"/>
        </w:rPr>
        <w:t>P</w:t>
      </w:r>
      <w:r w:rsidR="004D040B">
        <w:rPr>
          <w:rFonts w:ascii="Times New Roman" w:hAnsi="Times New Roman" w:cs="Times New Roman"/>
          <w:color w:val="000000"/>
          <w:sz w:val="24"/>
          <w:szCs w:val="24"/>
          <w:shd w:val="clear" w:color="auto" w:fill="FFFFFF"/>
        </w:rPr>
        <w:t>arec</w:t>
      </w:r>
      <w:r w:rsidR="00AA254B">
        <w:rPr>
          <w:rFonts w:ascii="Times New Roman" w:hAnsi="Times New Roman" w:cs="Times New Roman"/>
          <w:color w:val="000000"/>
          <w:sz w:val="24"/>
          <w:szCs w:val="24"/>
          <w:shd w:val="clear" w:color="auto" w:fill="FFFFFF"/>
        </w:rPr>
        <w:t>endo</w:t>
      </w:r>
      <w:r w:rsidR="00422E47">
        <w:rPr>
          <w:rFonts w:ascii="Times New Roman" w:hAnsi="Times New Roman" w:cs="Times New Roman"/>
          <w:color w:val="000000"/>
          <w:sz w:val="24"/>
          <w:szCs w:val="24"/>
          <w:shd w:val="clear" w:color="auto" w:fill="FFFFFF"/>
        </w:rPr>
        <w:t>, por outro lado,</w:t>
      </w:r>
      <w:r w:rsidR="00AA254B">
        <w:rPr>
          <w:rFonts w:ascii="Times New Roman" w:hAnsi="Times New Roman" w:cs="Times New Roman"/>
          <w:color w:val="000000"/>
          <w:sz w:val="24"/>
          <w:szCs w:val="24"/>
          <w:shd w:val="clear" w:color="auto" w:fill="FFFFFF"/>
        </w:rPr>
        <w:t xml:space="preserve"> </w:t>
      </w:r>
      <w:r w:rsidR="001F3D86">
        <w:rPr>
          <w:rFonts w:ascii="Times New Roman" w:hAnsi="Times New Roman" w:cs="Times New Roman"/>
          <w:color w:val="000000"/>
          <w:sz w:val="24"/>
          <w:szCs w:val="24"/>
          <w:shd w:val="clear" w:color="auto" w:fill="FFFFFF"/>
        </w:rPr>
        <w:t>adequado</w:t>
      </w:r>
      <w:r w:rsidR="00AA254B">
        <w:rPr>
          <w:rFonts w:ascii="Times New Roman" w:hAnsi="Times New Roman" w:cs="Times New Roman"/>
          <w:color w:val="000000"/>
          <w:sz w:val="24"/>
          <w:szCs w:val="24"/>
          <w:shd w:val="clear" w:color="auto" w:fill="FFFFFF"/>
        </w:rPr>
        <w:t xml:space="preserve"> que não </w:t>
      </w:r>
      <w:r w:rsidR="004D040B">
        <w:rPr>
          <w:rFonts w:ascii="Times New Roman" w:hAnsi="Times New Roman" w:cs="Times New Roman"/>
          <w:color w:val="000000"/>
          <w:sz w:val="24"/>
          <w:szCs w:val="24"/>
          <w:shd w:val="clear" w:color="auto" w:fill="FFFFFF"/>
        </w:rPr>
        <w:t>se</w:t>
      </w:r>
      <w:r w:rsidR="001F3D86">
        <w:rPr>
          <w:rFonts w:ascii="Times New Roman" w:hAnsi="Times New Roman" w:cs="Times New Roman"/>
          <w:color w:val="000000"/>
          <w:sz w:val="24"/>
          <w:szCs w:val="24"/>
          <w:shd w:val="clear" w:color="auto" w:fill="FFFFFF"/>
        </w:rPr>
        <w:t>ja</w:t>
      </w:r>
      <w:r w:rsidR="004D040B">
        <w:rPr>
          <w:rFonts w:ascii="Times New Roman" w:hAnsi="Times New Roman" w:cs="Times New Roman"/>
          <w:color w:val="000000"/>
          <w:sz w:val="24"/>
          <w:szCs w:val="24"/>
          <w:shd w:val="clear" w:color="auto" w:fill="FFFFFF"/>
        </w:rPr>
        <w:t xml:space="preserve"> imposto o ónus de decisão, em tempo oportuno</w:t>
      </w:r>
      <w:r w:rsidR="00955CC5">
        <w:rPr>
          <w:rFonts w:ascii="Times New Roman" w:hAnsi="Times New Roman" w:cs="Times New Roman"/>
          <w:color w:val="000000"/>
          <w:sz w:val="24"/>
          <w:szCs w:val="24"/>
          <w:shd w:val="clear" w:color="auto" w:fill="FFFFFF"/>
        </w:rPr>
        <w:t>,</w:t>
      </w:r>
      <w:r w:rsidR="00883BE0">
        <w:rPr>
          <w:rFonts w:ascii="Times New Roman" w:hAnsi="Times New Roman" w:cs="Times New Roman"/>
          <w:color w:val="000000"/>
          <w:sz w:val="24"/>
          <w:szCs w:val="24"/>
          <w:shd w:val="clear" w:color="auto" w:fill="FFFFFF"/>
        </w:rPr>
        <w:t xml:space="preserve"> na ótica</w:t>
      </w:r>
      <w:r w:rsidR="004F239F">
        <w:rPr>
          <w:rFonts w:ascii="Times New Roman" w:hAnsi="Times New Roman" w:cs="Times New Roman"/>
          <w:color w:val="000000"/>
          <w:sz w:val="24"/>
          <w:szCs w:val="24"/>
          <w:shd w:val="clear" w:color="auto" w:fill="FFFFFF"/>
        </w:rPr>
        <w:t xml:space="preserve"> d</w:t>
      </w:r>
      <w:r w:rsidR="004D040B">
        <w:rPr>
          <w:rFonts w:ascii="Times New Roman" w:hAnsi="Times New Roman" w:cs="Times New Roman"/>
          <w:color w:val="000000"/>
          <w:sz w:val="24"/>
          <w:szCs w:val="24"/>
          <w:shd w:val="clear" w:color="auto" w:fill="FFFFFF"/>
        </w:rPr>
        <w:t>o legislador</w:t>
      </w:r>
      <w:r w:rsidR="00E85DD3">
        <w:rPr>
          <w:rFonts w:ascii="Times New Roman" w:hAnsi="Times New Roman" w:cs="Times New Roman"/>
          <w:color w:val="000000"/>
          <w:sz w:val="24"/>
          <w:szCs w:val="24"/>
          <w:shd w:val="clear" w:color="auto" w:fill="FFFFFF"/>
        </w:rPr>
        <w:t xml:space="preserve"> -</w:t>
      </w:r>
      <w:r w:rsidR="004D040B">
        <w:rPr>
          <w:rFonts w:ascii="Times New Roman" w:hAnsi="Times New Roman" w:cs="Times New Roman"/>
          <w:color w:val="000000"/>
          <w:sz w:val="24"/>
          <w:szCs w:val="24"/>
          <w:shd w:val="clear" w:color="auto" w:fill="FFFFFF"/>
        </w:rPr>
        <w:t>que pode não coincidir com o momento da vida do interessado em que o mesmo reúne condições psicológicas para ponderar sobre o assunto</w:t>
      </w:r>
      <w:r w:rsidR="00E85DD3">
        <w:rPr>
          <w:rFonts w:ascii="Times New Roman" w:hAnsi="Times New Roman" w:cs="Times New Roman"/>
          <w:color w:val="000000"/>
          <w:sz w:val="24"/>
          <w:szCs w:val="24"/>
          <w:shd w:val="clear" w:color="auto" w:fill="FFFFFF"/>
        </w:rPr>
        <w:t>-</w:t>
      </w:r>
      <w:r w:rsidR="004D040B">
        <w:rPr>
          <w:rFonts w:ascii="Times New Roman" w:hAnsi="Times New Roman" w:cs="Times New Roman"/>
          <w:color w:val="000000"/>
          <w:sz w:val="24"/>
          <w:szCs w:val="24"/>
          <w:shd w:val="clear" w:color="auto" w:fill="FFFFFF"/>
        </w:rPr>
        <w:t xml:space="preserve">, </w:t>
      </w:r>
      <w:r w:rsidR="00C1745D">
        <w:rPr>
          <w:rFonts w:ascii="Times New Roman" w:hAnsi="Times New Roman" w:cs="Times New Roman"/>
          <w:color w:val="000000"/>
          <w:sz w:val="24"/>
          <w:szCs w:val="24"/>
          <w:shd w:val="clear" w:color="auto" w:fill="FFFFFF"/>
        </w:rPr>
        <w:t>mas antes que lhe seja reconhecida, em termos amplos, a tutela do seu direito</w:t>
      </w:r>
      <w:r w:rsidR="00AA254B">
        <w:rPr>
          <w:rFonts w:ascii="Times New Roman" w:hAnsi="Times New Roman" w:cs="Times New Roman"/>
          <w:color w:val="000000"/>
          <w:sz w:val="24"/>
          <w:szCs w:val="24"/>
          <w:shd w:val="clear" w:color="auto" w:fill="FFFFFF"/>
        </w:rPr>
        <w:t xml:space="preserve">. </w:t>
      </w:r>
      <w:r w:rsidR="004F33E8">
        <w:rPr>
          <w:rFonts w:ascii="Times New Roman" w:hAnsi="Times New Roman" w:cs="Times New Roman"/>
          <w:color w:val="000000"/>
          <w:sz w:val="24"/>
          <w:szCs w:val="24"/>
          <w:shd w:val="clear" w:color="auto" w:fill="FFFFFF"/>
        </w:rPr>
        <w:t xml:space="preserve">A </w:t>
      </w:r>
      <w:r w:rsidR="00C1745D">
        <w:rPr>
          <w:rFonts w:ascii="Times New Roman" w:hAnsi="Times New Roman" w:cs="Times New Roman"/>
          <w:color w:val="000000"/>
          <w:sz w:val="24"/>
          <w:szCs w:val="24"/>
          <w:shd w:val="clear" w:color="auto" w:fill="FFFFFF"/>
        </w:rPr>
        <w:t xml:space="preserve">possível </w:t>
      </w:r>
      <w:r w:rsidR="004F33E8">
        <w:rPr>
          <w:rFonts w:ascii="Times New Roman" w:hAnsi="Times New Roman" w:cs="Times New Roman"/>
          <w:color w:val="000000"/>
          <w:sz w:val="24"/>
          <w:szCs w:val="24"/>
          <w:shd w:val="clear" w:color="auto" w:fill="FFFFFF"/>
        </w:rPr>
        <w:t>desresponsabilização do progenitor</w:t>
      </w:r>
      <w:r w:rsidR="00C1745D">
        <w:rPr>
          <w:rFonts w:ascii="Times New Roman" w:hAnsi="Times New Roman" w:cs="Times New Roman"/>
          <w:color w:val="000000"/>
          <w:sz w:val="24"/>
          <w:szCs w:val="24"/>
          <w:shd w:val="clear" w:color="auto" w:fill="FFFFFF"/>
        </w:rPr>
        <w:t xml:space="preserve"> que </w:t>
      </w:r>
      <w:r w:rsidR="00260C8D">
        <w:rPr>
          <w:rFonts w:ascii="Times New Roman" w:hAnsi="Times New Roman" w:cs="Times New Roman"/>
          <w:color w:val="000000"/>
          <w:sz w:val="24"/>
          <w:szCs w:val="24"/>
          <w:shd w:val="clear" w:color="auto" w:fill="FFFFFF"/>
        </w:rPr>
        <w:t xml:space="preserve">pode </w:t>
      </w:r>
      <w:r w:rsidR="00C1745D">
        <w:rPr>
          <w:rFonts w:ascii="Times New Roman" w:hAnsi="Times New Roman" w:cs="Times New Roman"/>
          <w:color w:val="000000"/>
          <w:sz w:val="24"/>
          <w:szCs w:val="24"/>
          <w:shd w:val="clear" w:color="auto" w:fill="FFFFFF"/>
        </w:rPr>
        <w:t>resulta</w:t>
      </w:r>
      <w:r w:rsidR="00260C8D">
        <w:rPr>
          <w:rFonts w:ascii="Times New Roman" w:hAnsi="Times New Roman" w:cs="Times New Roman"/>
          <w:color w:val="000000"/>
          <w:sz w:val="24"/>
          <w:szCs w:val="24"/>
          <w:shd w:val="clear" w:color="auto" w:fill="FFFFFF"/>
        </w:rPr>
        <w:t>r</w:t>
      </w:r>
      <w:r w:rsidR="00C1745D">
        <w:rPr>
          <w:rFonts w:ascii="Times New Roman" w:hAnsi="Times New Roman" w:cs="Times New Roman"/>
          <w:color w:val="000000"/>
          <w:sz w:val="24"/>
          <w:szCs w:val="24"/>
          <w:shd w:val="clear" w:color="auto" w:fill="FFFFFF"/>
        </w:rPr>
        <w:t xml:space="preserve"> do efeito da caducidade do direito a instaurar a ação judicial de reconhecimento da paternidade</w:t>
      </w:r>
      <w:r w:rsidR="004F33E8">
        <w:rPr>
          <w:rFonts w:ascii="Times New Roman" w:hAnsi="Times New Roman" w:cs="Times New Roman"/>
          <w:color w:val="000000"/>
          <w:sz w:val="24"/>
          <w:szCs w:val="24"/>
          <w:shd w:val="clear" w:color="auto" w:fill="FFFFFF"/>
        </w:rPr>
        <w:t xml:space="preserve">, </w:t>
      </w:r>
      <w:r w:rsidR="00C1745D">
        <w:rPr>
          <w:rFonts w:ascii="Times New Roman" w:hAnsi="Times New Roman" w:cs="Times New Roman"/>
          <w:color w:val="000000"/>
          <w:sz w:val="24"/>
          <w:szCs w:val="24"/>
          <w:shd w:val="clear" w:color="auto" w:fill="FFFFFF"/>
        </w:rPr>
        <w:t xml:space="preserve">ainda que </w:t>
      </w:r>
      <w:r w:rsidR="004F33E8">
        <w:rPr>
          <w:rFonts w:ascii="Times New Roman" w:hAnsi="Times New Roman" w:cs="Times New Roman"/>
          <w:color w:val="000000"/>
          <w:sz w:val="24"/>
          <w:szCs w:val="24"/>
          <w:shd w:val="clear" w:color="auto" w:fill="FFFFFF"/>
        </w:rPr>
        <w:t xml:space="preserve">fundada em razões legitimas, parece conflituar com a </w:t>
      </w:r>
      <w:r w:rsidR="00C1745D">
        <w:rPr>
          <w:rFonts w:ascii="Times New Roman" w:hAnsi="Times New Roman" w:cs="Times New Roman"/>
          <w:color w:val="000000"/>
          <w:sz w:val="24"/>
          <w:szCs w:val="24"/>
          <w:shd w:val="clear" w:color="auto" w:fill="FFFFFF"/>
        </w:rPr>
        <w:t xml:space="preserve">responsabilidade que o progenitor devia espontaneamente assumir. A imposição de um prazo, é apta a provocar um tratamento desigual </w:t>
      </w:r>
      <w:r w:rsidR="00260C8D">
        <w:rPr>
          <w:rFonts w:ascii="Times New Roman" w:hAnsi="Times New Roman" w:cs="Times New Roman"/>
          <w:color w:val="000000"/>
          <w:sz w:val="24"/>
          <w:szCs w:val="24"/>
          <w:shd w:val="clear" w:color="auto" w:fill="FFFFFF"/>
        </w:rPr>
        <w:t>relativo a situações idênticas,</w:t>
      </w:r>
      <w:r w:rsidR="007A5E59">
        <w:rPr>
          <w:rStyle w:val="Refdenotaalpie"/>
          <w:rFonts w:ascii="Times New Roman" w:hAnsi="Times New Roman" w:cs="Times New Roman"/>
          <w:color w:val="000000"/>
          <w:sz w:val="24"/>
          <w:szCs w:val="24"/>
          <w:shd w:val="clear" w:color="auto" w:fill="FFFFFF"/>
        </w:rPr>
        <w:footnoteReference w:id="69"/>
      </w:r>
      <w:r w:rsidR="00C1745D">
        <w:rPr>
          <w:rFonts w:ascii="Times New Roman" w:hAnsi="Times New Roman" w:cs="Times New Roman"/>
          <w:color w:val="000000"/>
          <w:sz w:val="24"/>
          <w:szCs w:val="24"/>
          <w:shd w:val="clear" w:color="auto" w:fill="FFFFFF"/>
        </w:rPr>
        <w:t xml:space="preserve"> </w:t>
      </w:r>
      <w:r w:rsidR="00C1745D" w:rsidRPr="00D020B4">
        <w:rPr>
          <w:rFonts w:ascii="Times New Roman" w:hAnsi="Times New Roman" w:cs="Times New Roman"/>
          <w:color w:val="000000"/>
          <w:sz w:val="24"/>
          <w:szCs w:val="24"/>
          <w:shd w:val="clear" w:color="auto" w:fill="FFFFFF"/>
        </w:rPr>
        <w:t xml:space="preserve">fundadas </w:t>
      </w:r>
      <w:r w:rsidR="00260C8D">
        <w:rPr>
          <w:rFonts w:ascii="Times New Roman" w:hAnsi="Times New Roman" w:cs="Times New Roman"/>
          <w:color w:val="000000"/>
          <w:sz w:val="24"/>
          <w:szCs w:val="24"/>
          <w:shd w:val="clear" w:color="auto" w:fill="FFFFFF"/>
        </w:rPr>
        <w:t>na</w:t>
      </w:r>
      <w:r w:rsidR="00C1745D" w:rsidRPr="00D020B4">
        <w:rPr>
          <w:rFonts w:ascii="Times New Roman" w:hAnsi="Times New Roman" w:cs="Times New Roman"/>
          <w:color w:val="000000"/>
          <w:sz w:val="24"/>
          <w:szCs w:val="24"/>
          <w:shd w:val="clear" w:color="auto" w:fill="FFFFFF"/>
        </w:rPr>
        <w:t xml:space="preserve"> </w:t>
      </w:r>
      <w:r w:rsidR="00182129" w:rsidRPr="00D020B4">
        <w:rPr>
          <w:rFonts w:ascii="Times New Roman" w:hAnsi="Times New Roman" w:cs="Times New Roman"/>
          <w:color w:val="000000"/>
          <w:sz w:val="24"/>
          <w:szCs w:val="24"/>
          <w:shd w:val="clear" w:color="auto" w:fill="FFFFFF"/>
        </w:rPr>
        <w:t xml:space="preserve">verdade biológica, sem correspondência jurídica, que pode conduzir a </w:t>
      </w:r>
      <w:r w:rsidR="001F3D86" w:rsidRPr="00D020B4">
        <w:rPr>
          <w:rFonts w:ascii="Times New Roman" w:hAnsi="Times New Roman" w:cs="Times New Roman"/>
          <w:color w:val="000000"/>
          <w:sz w:val="24"/>
          <w:szCs w:val="24"/>
          <w:shd w:val="clear" w:color="auto" w:fill="FFFFFF"/>
        </w:rPr>
        <w:t>d</w:t>
      </w:r>
      <w:r w:rsidR="00C1745D" w:rsidRPr="00D020B4">
        <w:rPr>
          <w:rFonts w:ascii="Times New Roman" w:hAnsi="Times New Roman" w:cs="Times New Roman"/>
          <w:color w:val="000000"/>
          <w:sz w:val="24"/>
          <w:szCs w:val="24"/>
          <w:shd w:val="clear" w:color="auto" w:fill="FFFFFF"/>
        </w:rPr>
        <w:t>e</w:t>
      </w:r>
      <w:r w:rsidR="001F3D86" w:rsidRPr="00D020B4">
        <w:rPr>
          <w:rFonts w:ascii="Times New Roman" w:hAnsi="Times New Roman" w:cs="Times New Roman"/>
          <w:color w:val="000000"/>
          <w:sz w:val="24"/>
          <w:szCs w:val="24"/>
          <w:shd w:val="clear" w:color="auto" w:fill="FFFFFF"/>
        </w:rPr>
        <w:t>s</w:t>
      </w:r>
      <w:r w:rsidR="004F33E8" w:rsidRPr="00D020B4">
        <w:rPr>
          <w:rFonts w:ascii="Times New Roman" w:hAnsi="Times New Roman" w:cs="Times New Roman"/>
          <w:color w:val="000000"/>
          <w:sz w:val="24"/>
          <w:szCs w:val="24"/>
          <w:shd w:val="clear" w:color="auto" w:fill="FFFFFF"/>
        </w:rPr>
        <w:t>igualdade de tratamento entre filhos, que a atual lei fundamental quis arredar</w:t>
      </w:r>
      <w:r w:rsidR="00182129" w:rsidRPr="00D020B4">
        <w:rPr>
          <w:rFonts w:ascii="Times New Roman" w:hAnsi="Times New Roman" w:cs="Times New Roman"/>
          <w:color w:val="000000"/>
          <w:sz w:val="24"/>
          <w:szCs w:val="24"/>
          <w:shd w:val="clear" w:color="auto" w:fill="FFFFFF"/>
        </w:rPr>
        <w:t>.</w:t>
      </w:r>
      <w:r w:rsidR="00AF003D" w:rsidRPr="00D020B4">
        <w:rPr>
          <w:rFonts w:ascii="Times New Roman" w:hAnsi="Times New Roman" w:cs="Times New Roman"/>
          <w:color w:val="000000"/>
          <w:sz w:val="24"/>
          <w:szCs w:val="24"/>
          <w:shd w:val="clear" w:color="auto" w:fill="FFFFFF"/>
        </w:rPr>
        <w:t xml:space="preserve"> Uma reponderação</w:t>
      </w:r>
      <w:r w:rsidR="004F33E8" w:rsidRPr="00D020B4">
        <w:rPr>
          <w:rFonts w:ascii="Times New Roman" w:hAnsi="Times New Roman" w:cs="Times New Roman"/>
          <w:color w:val="000000"/>
          <w:sz w:val="24"/>
          <w:szCs w:val="24"/>
          <w:shd w:val="clear" w:color="auto" w:fill="FFFFFF"/>
        </w:rPr>
        <w:t xml:space="preserve"> em matéria</w:t>
      </w:r>
      <w:r w:rsidR="00AF003D" w:rsidRPr="00D020B4">
        <w:rPr>
          <w:rFonts w:ascii="Times New Roman" w:hAnsi="Times New Roman" w:cs="Times New Roman"/>
          <w:color w:val="000000"/>
          <w:sz w:val="24"/>
          <w:szCs w:val="24"/>
          <w:shd w:val="clear" w:color="auto" w:fill="FFFFFF"/>
        </w:rPr>
        <w:t xml:space="preserve"> de</w:t>
      </w:r>
      <w:r w:rsidR="004F33E8" w:rsidRPr="00D020B4">
        <w:rPr>
          <w:rFonts w:ascii="Times New Roman" w:hAnsi="Times New Roman" w:cs="Times New Roman"/>
          <w:color w:val="000000"/>
          <w:sz w:val="24"/>
          <w:szCs w:val="24"/>
          <w:shd w:val="clear" w:color="auto" w:fill="FFFFFF"/>
        </w:rPr>
        <w:t xml:space="preserve"> responsabilização </w:t>
      </w:r>
      <w:r w:rsidR="00AF003D" w:rsidRPr="00D020B4">
        <w:rPr>
          <w:rFonts w:ascii="Times New Roman" w:hAnsi="Times New Roman" w:cs="Times New Roman"/>
          <w:color w:val="000000"/>
          <w:sz w:val="24"/>
          <w:szCs w:val="24"/>
          <w:shd w:val="clear" w:color="auto" w:fill="FFFFFF"/>
        </w:rPr>
        <w:t xml:space="preserve">unilateral do investigante, poderia levar ao estabelecimento de um critério de </w:t>
      </w:r>
      <w:r w:rsidR="00D020B4" w:rsidRPr="00D020B4">
        <w:rPr>
          <w:rFonts w:ascii="Times New Roman" w:hAnsi="Times New Roman" w:cs="Times New Roman"/>
          <w:color w:val="000000"/>
          <w:sz w:val="24"/>
          <w:szCs w:val="24"/>
          <w:shd w:val="clear" w:color="auto" w:fill="FFFFFF"/>
        </w:rPr>
        <w:t>repartição d</w:t>
      </w:r>
      <w:r w:rsidR="004F33E8" w:rsidRPr="00D020B4">
        <w:rPr>
          <w:rFonts w:ascii="Times New Roman" w:hAnsi="Times New Roman" w:cs="Times New Roman"/>
          <w:color w:val="000000"/>
          <w:sz w:val="24"/>
          <w:szCs w:val="24"/>
          <w:shd w:val="clear" w:color="auto" w:fill="FFFFFF"/>
        </w:rPr>
        <w:t xml:space="preserve">o ónus da </w:t>
      </w:r>
      <w:r w:rsidR="00D020B4" w:rsidRPr="00D020B4">
        <w:rPr>
          <w:rFonts w:ascii="Times New Roman" w:hAnsi="Times New Roman" w:cs="Times New Roman"/>
          <w:color w:val="000000"/>
          <w:sz w:val="24"/>
          <w:szCs w:val="24"/>
          <w:shd w:val="clear" w:color="auto" w:fill="FFFFFF"/>
        </w:rPr>
        <w:t xml:space="preserve">adoção de </w:t>
      </w:r>
      <w:r w:rsidR="004F33E8" w:rsidRPr="00D020B4">
        <w:rPr>
          <w:rFonts w:ascii="Times New Roman" w:hAnsi="Times New Roman" w:cs="Times New Roman"/>
          <w:color w:val="000000"/>
          <w:sz w:val="24"/>
          <w:szCs w:val="24"/>
          <w:shd w:val="clear" w:color="auto" w:fill="FFFFFF"/>
        </w:rPr>
        <w:t>diligência</w:t>
      </w:r>
      <w:r w:rsidR="00D020B4" w:rsidRPr="00D020B4">
        <w:rPr>
          <w:rFonts w:ascii="Times New Roman" w:hAnsi="Times New Roman" w:cs="Times New Roman"/>
          <w:color w:val="000000"/>
          <w:sz w:val="24"/>
          <w:szCs w:val="24"/>
          <w:shd w:val="clear" w:color="auto" w:fill="FFFFFF"/>
        </w:rPr>
        <w:t>s adequadas à finalidade de interesse público prosseguida.</w:t>
      </w:r>
    </w:p>
    <w:p w14:paraId="37E588F7" w14:textId="77777777" w:rsidR="00260C8D" w:rsidRDefault="00422E47"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No que respeita ao</w:t>
      </w:r>
      <w:r w:rsidR="004F33E8">
        <w:rPr>
          <w:rFonts w:ascii="Times New Roman" w:hAnsi="Times New Roman" w:cs="Times New Roman"/>
          <w:color w:val="000000"/>
          <w:sz w:val="24"/>
          <w:szCs w:val="24"/>
          <w:shd w:val="clear" w:color="auto" w:fill="FFFFFF"/>
        </w:rPr>
        <w:t xml:space="preserve"> </w:t>
      </w:r>
      <w:r w:rsidR="00D153E1">
        <w:rPr>
          <w:rFonts w:ascii="Times New Roman" w:hAnsi="Times New Roman" w:cs="Times New Roman"/>
          <w:color w:val="000000"/>
          <w:sz w:val="24"/>
          <w:szCs w:val="24"/>
          <w:shd w:val="clear" w:color="auto" w:fill="FFFFFF"/>
        </w:rPr>
        <w:t xml:space="preserve">direito à privacidade e à paz familiar, reconhecido ao pretenso pai e à sua família, </w:t>
      </w:r>
      <w:r>
        <w:rPr>
          <w:rFonts w:ascii="Times New Roman" w:hAnsi="Times New Roman" w:cs="Times New Roman"/>
          <w:color w:val="000000"/>
          <w:sz w:val="24"/>
          <w:szCs w:val="24"/>
          <w:shd w:val="clear" w:color="auto" w:fill="FFFFFF"/>
        </w:rPr>
        <w:t xml:space="preserve">entendemos que </w:t>
      </w:r>
      <w:r w:rsidR="00D153E1">
        <w:rPr>
          <w:rFonts w:ascii="Times New Roman" w:hAnsi="Times New Roman" w:cs="Times New Roman"/>
          <w:color w:val="000000"/>
          <w:sz w:val="24"/>
          <w:szCs w:val="24"/>
          <w:shd w:val="clear" w:color="auto" w:fill="FFFFFF"/>
        </w:rPr>
        <w:t xml:space="preserve">não deve continuar a ser equacionado com maior enfase </w:t>
      </w:r>
      <w:r>
        <w:rPr>
          <w:rFonts w:ascii="Times New Roman" w:hAnsi="Times New Roman" w:cs="Times New Roman"/>
          <w:color w:val="000000"/>
          <w:sz w:val="24"/>
          <w:szCs w:val="24"/>
          <w:shd w:val="clear" w:color="auto" w:fill="FFFFFF"/>
        </w:rPr>
        <w:t>do que a</w:t>
      </w:r>
      <w:r w:rsidR="00260C8D">
        <w:rPr>
          <w:rFonts w:ascii="Times New Roman" w:hAnsi="Times New Roman" w:cs="Times New Roman"/>
          <w:color w:val="000000"/>
          <w:sz w:val="24"/>
          <w:szCs w:val="24"/>
          <w:shd w:val="clear" w:color="auto" w:fill="FFFFFF"/>
        </w:rPr>
        <w:t>quela que</w:t>
      </w:r>
      <w:r>
        <w:rPr>
          <w:rFonts w:ascii="Times New Roman" w:hAnsi="Times New Roman" w:cs="Times New Roman"/>
          <w:color w:val="000000"/>
          <w:sz w:val="24"/>
          <w:szCs w:val="24"/>
          <w:shd w:val="clear" w:color="auto" w:fill="FFFFFF"/>
        </w:rPr>
        <w:t xml:space="preserve"> deve ser reconhecida</w:t>
      </w:r>
      <w:r w:rsidR="00D153E1">
        <w:rPr>
          <w:rFonts w:ascii="Times New Roman" w:hAnsi="Times New Roman" w:cs="Times New Roman"/>
          <w:color w:val="000000"/>
          <w:sz w:val="24"/>
          <w:szCs w:val="24"/>
          <w:shd w:val="clear" w:color="auto" w:fill="FFFFFF"/>
        </w:rPr>
        <w:t xml:space="preserve"> ao direito à identidade pessoal</w:t>
      </w:r>
      <w:r>
        <w:rPr>
          <w:rFonts w:ascii="Times New Roman" w:hAnsi="Times New Roman" w:cs="Times New Roman"/>
          <w:color w:val="000000"/>
          <w:sz w:val="24"/>
          <w:szCs w:val="24"/>
          <w:shd w:val="clear" w:color="auto" w:fill="FFFFFF"/>
        </w:rPr>
        <w:t>,</w:t>
      </w:r>
      <w:r w:rsidR="00D153E1">
        <w:rPr>
          <w:rFonts w:ascii="Times New Roman" w:hAnsi="Times New Roman" w:cs="Times New Roman"/>
          <w:color w:val="000000"/>
          <w:sz w:val="24"/>
          <w:szCs w:val="24"/>
          <w:shd w:val="clear" w:color="auto" w:fill="FFFFFF"/>
        </w:rPr>
        <w:t xml:space="preserve"> no sentido de permitir secundarizar esse direito face ao direito à vida privada e familiar. Se tal ponderação resulta</w:t>
      </w:r>
      <w:r w:rsidR="00031003">
        <w:rPr>
          <w:rFonts w:ascii="Times New Roman" w:hAnsi="Times New Roman" w:cs="Times New Roman"/>
          <w:color w:val="000000"/>
          <w:sz w:val="24"/>
          <w:szCs w:val="24"/>
          <w:shd w:val="clear" w:color="auto" w:fill="FFFFFF"/>
        </w:rPr>
        <w:t>,</w:t>
      </w:r>
      <w:r w:rsidR="00D153E1">
        <w:rPr>
          <w:rFonts w:ascii="Times New Roman" w:hAnsi="Times New Roman" w:cs="Times New Roman"/>
          <w:color w:val="000000"/>
          <w:sz w:val="24"/>
          <w:szCs w:val="24"/>
          <w:shd w:val="clear" w:color="auto" w:fill="FFFFFF"/>
        </w:rPr>
        <w:t xml:space="preserve"> </w:t>
      </w:r>
      <w:r w:rsidR="00260C8D">
        <w:rPr>
          <w:rFonts w:ascii="Times New Roman" w:hAnsi="Times New Roman" w:cs="Times New Roman"/>
          <w:color w:val="000000"/>
          <w:sz w:val="24"/>
          <w:szCs w:val="24"/>
          <w:shd w:val="clear" w:color="auto" w:fill="FFFFFF"/>
        </w:rPr>
        <w:t xml:space="preserve">ainda, </w:t>
      </w:r>
      <w:r w:rsidR="00D153E1">
        <w:rPr>
          <w:rFonts w:ascii="Times New Roman" w:hAnsi="Times New Roman" w:cs="Times New Roman"/>
          <w:color w:val="000000"/>
          <w:sz w:val="24"/>
          <w:szCs w:val="24"/>
          <w:shd w:val="clear" w:color="auto" w:fill="FFFFFF"/>
        </w:rPr>
        <w:t xml:space="preserve">de uma concessão de supremacia </w:t>
      </w:r>
      <w:r w:rsidR="00260C8D">
        <w:rPr>
          <w:rFonts w:ascii="Times New Roman" w:hAnsi="Times New Roman" w:cs="Times New Roman"/>
          <w:color w:val="000000"/>
          <w:sz w:val="24"/>
          <w:szCs w:val="24"/>
          <w:shd w:val="clear" w:color="auto" w:fill="FFFFFF"/>
        </w:rPr>
        <w:t xml:space="preserve">a </w:t>
      </w:r>
      <w:r w:rsidR="00031003">
        <w:rPr>
          <w:rFonts w:ascii="Times New Roman" w:hAnsi="Times New Roman" w:cs="Times New Roman"/>
          <w:color w:val="000000"/>
          <w:sz w:val="24"/>
          <w:szCs w:val="24"/>
          <w:shd w:val="clear" w:color="auto" w:fill="FFFFFF"/>
        </w:rPr>
        <w:t>este último</w:t>
      </w:r>
      <w:r w:rsidR="00D153E1">
        <w:rPr>
          <w:rFonts w:ascii="Times New Roman" w:hAnsi="Times New Roman" w:cs="Times New Roman"/>
          <w:color w:val="000000"/>
          <w:sz w:val="24"/>
          <w:szCs w:val="24"/>
          <w:shd w:val="clear" w:color="auto" w:fill="FFFFFF"/>
        </w:rPr>
        <w:t xml:space="preserve"> </w:t>
      </w:r>
      <w:r w:rsidR="00031003">
        <w:rPr>
          <w:rFonts w:ascii="Times New Roman" w:hAnsi="Times New Roman" w:cs="Times New Roman"/>
          <w:color w:val="000000"/>
          <w:sz w:val="24"/>
          <w:szCs w:val="24"/>
          <w:shd w:val="clear" w:color="auto" w:fill="FFFFFF"/>
        </w:rPr>
        <w:t xml:space="preserve">direito, em face de um ordenamento jurídico que tratou desigualmente os filhos nascidos na constância do matrimónio e fora dela, entende-se que a cultura social, que determinou a consagração de um regime igualitário, vem valorizando, nessas situações, a igualdade de tratamento. </w:t>
      </w:r>
    </w:p>
    <w:p w14:paraId="0BFE870E" w14:textId="24E8E891" w:rsidR="00821164" w:rsidRDefault="00031003"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Não é de somenos importância considerar que</w:t>
      </w:r>
      <w:r w:rsidR="00C855EC">
        <w:rPr>
          <w:rFonts w:ascii="Times New Roman" w:hAnsi="Times New Roman" w:cs="Times New Roman"/>
          <w:color w:val="000000"/>
          <w:sz w:val="24"/>
          <w:szCs w:val="24"/>
          <w:shd w:val="clear" w:color="auto" w:fill="FFFFFF"/>
        </w:rPr>
        <w:t xml:space="preserve">, independentemente das motivações, se afigura que, um sistema que limite a possibilidade de restabelecimento da verdade, neste caso biológica, pode encerrar em si a aplicação de uma consequência negativa à parte mais fraca, </w:t>
      </w:r>
      <w:r w:rsidR="00260C8D">
        <w:rPr>
          <w:rFonts w:ascii="Times New Roman" w:hAnsi="Times New Roman" w:cs="Times New Roman"/>
          <w:color w:val="000000"/>
          <w:sz w:val="24"/>
          <w:szCs w:val="24"/>
          <w:shd w:val="clear" w:color="auto" w:fill="FFFFFF"/>
        </w:rPr>
        <w:t xml:space="preserve">neste caso, </w:t>
      </w:r>
      <w:r w:rsidR="00C855EC">
        <w:rPr>
          <w:rFonts w:ascii="Times New Roman" w:hAnsi="Times New Roman" w:cs="Times New Roman"/>
          <w:color w:val="000000"/>
          <w:sz w:val="24"/>
          <w:szCs w:val="24"/>
          <w:shd w:val="clear" w:color="auto" w:fill="FFFFFF"/>
        </w:rPr>
        <w:t>o filho não reconhecido pelo seu progenitor, que é completamente alheio às circunstâncias de facto, ou de direito, que estiveram na origem do seu nascimento. Sendo os direitos d</w:t>
      </w:r>
      <w:r w:rsidR="00543D24">
        <w:rPr>
          <w:rFonts w:ascii="Times New Roman" w:hAnsi="Times New Roman" w:cs="Times New Roman"/>
          <w:color w:val="000000"/>
          <w:sz w:val="24"/>
          <w:szCs w:val="24"/>
          <w:shd w:val="clear" w:color="auto" w:fill="FFFFFF"/>
        </w:rPr>
        <w:t>os filhos de</w:t>
      </w:r>
      <w:r w:rsidR="00C855EC">
        <w:rPr>
          <w:rFonts w:ascii="Times New Roman" w:hAnsi="Times New Roman" w:cs="Times New Roman"/>
          <w:color w:val="000000"/>
          <w:sz w:val="24"/>
          <w:szCs w:val="24"/>
          <w:shd w:val="clear" w:color="auto" w:fill="FFFFFF"/>
        </w:rPr>
        <w:t xml:space="preserve"> natureza </w:t>
      </w:r>
      <w:r w:rsidR="00543D24">
        <w:rPr>
          <w:rFonts w:ascii="Times New Roman" w:hAnsi="Times New Roman" w:cs="Times New Roman"/>
          <w:color w:val="000000"/>
          <w:sz w:val="24"/>
          <w:szCs w:val="24"/>
          <w:shd w:val="clear" w:color="auto" w:fill="FFFFFF"/>
        </w:rPr>
        <w:t xml:space="preserve">pessoalíssima, </w:t>
      </w:r>
      <w:r w:rsidR="00260C8D">
        <w:rPr>
          <w:rFonts w:ascii="Times New Roman" w:hAnsi="Times New Roman" w:cs="Times New Roman"/>
          <w:color w:val="000000"/>
          <w:sz w:val="24"/>
          <w:szCs w:val="24"/>
          <w:shd w:val="clear" w:color="auto" w:fill="FFFFFF"/>
        </w:rPr>
        <w:t xml:space="preserve">o </w:t>
      </w:r>
      <w:r w:rsidR="00543D24">
        <w:rPr>
          <w:rFonts w:ascii="Times New Roman" w:hAnsi="Times New Roman" w:cs="Times New Roman"/>
          <w:color w:val="000000"/>
          <w:sz w:val="24"/>
          <w:szCs w:val="24"/>
          <w:shd w:val="clear" w:color="auto" w:fill="FFFFFF"/>
        </w:rPr>
        <w:t>que decorre da sua origem profunda, da própria dignidade da pessoa humana, valor primordial consagrado no artigo 1.º d</w:t>
      </w:r>
      <w:r w:rsidR="009F4553">
        <w:rPr>
          <w:rFonts w:ascii="Times New Roman" w:hAnsi="Times New Roman" w:cs="Times New Roman"/>
          <w:color w:val="000000"/>
          <w:sz w:val="24"/>
          <w:szCs w:val="24"/>
          <w:shd w:val="clear" w:color="auto" w:fill="FFFFFF"/>
        </w:rPr>
        <w:t>a</w:t>
      </w:r>
      <w:r w:rsidR="00543D24">
        <w:rPr>
          <w:rFonts w:ascii="Times New Roman" w:hAnsi="Times New Roman" w:cs="Times New Roman"/>
          <w:color w:val="000000"/>
          <w:sz w:val="24"/>
          <w:szCs w:val="24"/>
          <w:shd w:val="clear" w:color="auto" w:fill="FFFFFF"/>
        </w:rPr>
        <w:t xml:space="preserve"> noss</w:t>
      </w:r>
      <w:r w:rsidR="009F4553">
        <w:rPr>
          <w:rFonts w:ascii="Times New Roman" w:hAnsi="Times New Roman" w:cs="Times New Roman"/>
          <w:color w:val="000000"/>
          <w:sz w:val="24"/>
          <w:szCs w:val="24"/>
          <w:shd w:val="clear" w:color="auto" w:fill="FFFFFF"/>
        </w:rPr>
        <w:t>a lei fundamental</w:t>
      </w:r>
      <w:r w:rsidR="00543D24">
        <w:rPr>
          <w:rFonts w:ascii="Times New Roman" w:hAnsi="Times New Roman" w:cs="Times New Roman"/>
          <w:color w:val="000000"/>
          <w:sz w:val="24"/>
          <w:szCs w:val="24"/>
          <w:shd w:val="clear" w:color="auto" w:fill="FFFFFF"/>
        </w:rPr>
        <w:t>, não deve</w:t>
      </w:r>
      <w:r w:rsidR="00E96726">
        <w:rPr>
          <w:rFonts w:ascii="Times New Roman" w:hAnsi="Times New Roman" w:cs="Times New Roman"/>
          <w:color w:val="000000"/>
          <w:sz w:val="24"/>
          <w:szCs w:val="24"/>
          <w:shd w:val="clear" w:color="auto" w:fill="FFFFFF"/>
        </w:rPr>
        <w:t>m</w:t>
      </w:r>
      <w:r w:rsidR="00543D24">
        <w:rPr>
          <w:rFonts w:ascii="Times New Roman" w:hAnsi="Times New Roman" w:cs="Times New Roman"/>
          <w:color w:val="000000"/>
          <w:sz w:val="24"/>
          <w:szCs w:val="24"/>
          <w:shd w:val="clear" w:color="auto" w:fill="FFFFFF"/>
        </w:rPr>
        <w:t xml:space="preserve"> ser hierarquizado</w:t>
      </w:r>
      <w:r w:rsidR="00E96726">
        <w:rPr>
          <w:rFonts w:ascii="Times New Roman" w:hAnsi="Times New Roman" w:cs="Times New Roman"/>
          <w:color w:val="000000"/>
          <w:sz w:val="24"/>
          <w:szCs w:val="24"/>
          <w:shd w:val="clear" w:color="auto" w:fill="FFFFFF"/>
        </w:rPr>
        <w:t>s</w:t>
      </w:r>
      <w:r w:rsidR="00543D24">
        <w:rPr>
          <w:rFonts w:ascii="Times New Roman" w:hAnsi="Times New Roman" w:cs="Times New Roman"/>
          <w:color w:val="000000"/>
          <w:sz w:val="24"/>
          <w:szCs w:val="24"/>
          <w:shd w:val="clear" w:color="auto" w:fill="FFFFFF"/>
        </w:rPr>
        <w:t xml:space="preserve"> em desfavor dessa dignidade, permitindo a sua subalternização em face do direito do progenitor a deixar de ser responsabilizado</w:t>
      </w:r>
      <w:r w:rsidR="00844277">
        <w:rPr>
          <w:rFonts w:ascii="Times New Roman" w:hAnsi="Times New Roman" w:cs="Times New Roman"/>
          <w:color w:val="000000"/>
          <w:sz w:val="24"/>
          <w:szCs w:val="24"/>
          <w:shd w:val="clear" w:color="auto" w:fill="FFFFFF"/>
        </w:rPr>
        <w:t xml:space="preserve"> pela sua passagem biológica pela vida</w:t>
      </w:r>
      <w:r w:rsidR="00E96726">
        <w:rPr>
          <w:rFonts w:ascii="Times New Roman" w:hAnsi="Times New Roman" w:cs="Times New Roman"/>
          <w:color w:val="000000"/>
          <w:sz w:val="24"/>
          <w:szCs w:val="24"/>
          <w:shd w:val="clear" w:color="auto" w:fill="FFFFFF"/>
        </w:rPr>
        <w:t xml:space="preserve">, </w:t>
      </w:r>
      <w:r w:rsidR="00260C8D">
        <w:rPr>
          <w:rFonts w:ascii="Times New Roman" w:hAnsi="Times New Roman" w:cs="Times New Roman"/>
          <w:color w:val="000000"/>
          <w:sz w:val="24"/>
          <w:szCs w:val="24"/>
          <w:shd w:val="clear" w:color="auto" w:fill="FFFFFF"/>
        </w:rPr>
        <w:t>repudiando</w:t>
      </w:r>
      <w:r w:rsidR="00E96726">
        <w:rPr>
          <w:rFonts w:ascii="Times New Roman" w:hAnsi="Times New Roman" w:cs="Times New Roman"/>
          <w:color w:val="000000"/>
          <w:sz w:val="24"/>
          <w:szCs w:val="24"/>
          <w:shd w:val="clear" w:color="auto" w:fill="FFFFFF"/>
        </w:rPr>
        <w:t xml:space="preserve"> as suas responsabilidades</w:t>
      </w:r>
      <w:r w:rsidR="00844277">
        <w:rPr>
          <w:rFonts w:ascii="Times New Roman" w:hAnsi="Times New Roman" w:cs="Times New Roman"/>
          <w:color w:val="000000"/>
          <w:sz w:val="24"/>
          <w:szCs w:val="24"/>
          <w:shd w:val="clear" w:color="auto" w:fill="FFFFFF"/>
        </w:rPr>
        <w:t>.</w:t>
      </w:r>
      <w:r w:rsidR="00543D24">
        <w:rPr>
          <w:rFonts w:ascii="Times New Roman" w:hAnsi="Times New Roman" w:cs="Times New Roman"/>
          <w:color w:val="000000"/>
          <w:sz w:val="24"/>
          <w:szCs w:val="24"/>
          <w:shd w:val="clear" w:color="auto" w:fill="FFFFFF"/>
        </w:rPr>
        <w:t xml:space="preserve"> </w:t>
      </w:r>
      <w:r w:rsidR="009F4553">
        <w:rPr>
          <w:rFonts w:ascii="Times New Roman" w:hAnsi="Times New Roman" w:cs="Times New Roman"/>
          <w:color w:val="000000"/>
          <w:sz w:val="24"/>
          <w:szCs w:val="24"/>
          <w:shd w:val="clear" w:color="auto" w:fill="FFFFFF"/>
        </w:rPr>
        <w:t xml:space="preserve">A consagração de um prazo para a interposição da ação de reconhecimento judicial, restringe </w:t>
      </w:r>
      <w:r w:rsidR="007A5E59">
        <w:rPr>
          <w:rFonts w:ascii="Times New Roman" w:hAnsi="Times New Roman" w:cs="Times New Roman"/>
          <w:color w:val="000000"/>
          <w:sz w:val="24"/>
          <w:szCs w:val="24"/>
          <w:shd w:val="clear" w:color="auto" w:fill="FFFFFF"/>
        </w:rPr>
        <w:t>o</w:t>
      </w:r>
      <w:r w:rsidR="009F4553">
        <w:rPr>
          <w:rFonts w:ascii="Times New Roman" w:hAnsi="Times New Roman" w:cs="Times New Roman"/>
          <w:color w:val="000000"/>
          <w:sz w:val="24"/>
          <w:szCs w:val="24"/>
          <w:shd w:val="clear" w:color="auto" w:fill="FFFFFF"/>
        </w:rPr>
        <w:t xml:space="preserve"> direito fundamental à identidade pessoal, </w:t>
      </w:r>
      <w:r w:rsidR="00AF003D">
        <w:rPr>
          <w:rFonts w:ascii="Times New Roman" w:hAnsi="Times New Roman" w:cs="Times New Roman"/>
          <w:color w:val="000000"/>
          <w:sz w:val="24"/>
          <w:szCs w:val="24"/>
          <w:shd w:val="clear" w:color="auto" w:fill="FFFFFF"/>
        </w:rPr>
        <w:t xml:space="preserve">que na ponderação de interesses em presença, deve prevalecer sobre o direito à vida privada do pretenso pai e </w:t>
      </w:r>
      <w:r w:rsidR="002C2CE0">
        <w:rPr>
          <w:rFonts w:ascii="Times New Roman" w:hAnsi="Times New Roman" w:cs="Times New Roman"/>
          <w:color w:val="000000"/>
          <w:sz w:val="24"/>
          <w:szCs w:val="24"/>
          <w:shd w:val="clear" w:color="auto" w:fill="FFFFFF"/>
        </w:rPr>
        <w:t xml:space="preserve">da </w:t>
      </w:r>
      <w:r w:rsidR="00AF003D">
        <w:rPr>
          <w:rFonts w:ascii="Times New Roman" w:hAnsi="Times New Roman" w:cs="Times New Roman"/>
          <w:color w:val="000000"/>
          <w:sz w:val="24"/>
          <w:szCs w:val="24"/>
          <w:shd w:val="clear" w:color="auto" w:fill="FFFFFF"/>
        </w:rPr>
        <w:t>sua família.</w:t>
      </w:r>
    </w:p>
    <w:p w14:paraId="4B63E68E" w14:textId="2D7B029C" w:rsidR="00422E47" w:rsidRDefault="00422E47"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Considerando </w:t>
      </w:r>
      <w:r w:rsidR="00D00812">
        <w:rPr>
          <w:rFonts w:ascii="Times New Roman" w:hAnsi="Times New Roman" w:cs="Times New Roman"/>
          <w:color w:val="000000"/>
          <w:sz w:val="24"/>
          <w:szCs w:val="24"/>
          <w:shd w:val="clear" w:color="auto" w:fill="FFFFFF"/>
        </w:rPr>
        <w:t>que os argumentos tradicionais que sugerem a manutenção do prazo de caducidade, devem merecer uma ponderação consentânea com a atualidade, e que no âmbito do enquadramento que os mesmos devem ter não cabe a limitação temporal do exercício do direito à identidade pessoal, o tribunal julgou inconstitucional a norma do artigo 1817.º, n.º 1 do código civil</w:t>
      </w:r>
      <w:r w:rsidR="002C2CE0">
        <w:rPr>
          <w:rFonts w:ascii="Times New Roman" w:hAnsi="Times New Roman" w:cs="Times New Roman"/>
          <w:color w:val="000000"/>
          <w:sz w:val="24"/>
          <w:szCs w:val="24"/>
          <w:shd w:val="clear" w:color="auto" w:fill="FFFFFF"/>
        </w:rPr>
        <w:t>, por constituir uma restrição ao direito à identidade pessoal.</w:t>
      </w:r>
    </w:p>
    <w:p w14:paraId="00A84240" w14:textId="116DC1B3" w:rsidR="00D00812" w:rsidRDefault="002C2CE0" w:rsidP="00693B63">
      <w:pPr>
        <w:spacing w:line="360" w:lineRule="auto"/>
        <w:jc w:val="both"/>
        <w:rPr>
          <w:rFonts w:ascii="Times New Roman" w:hAnsi="Times New Roman" w:cs="Times New Roman"/>
          <w:color w:val="000000"/>
          <w:sz w:val="24"/>
          <w:szCs w:val="24"/>
          <w:shd w:val="clear" w:color="auto" w:fill="FFFFFF"/>
        </w:rPr>
      </w:pPr>
      <w:r w:rsidRPr="002C2CE0">
        <w:rPr>
          <w:rFonts w:ascii="Times New Roman" w:hAnsi="Times New Roman" w:cs="Times New Roman"/>
          <w:color w:val="000000"/>
          <w:sz w:val="24"/>
          <w:szCs w:val="24"/>
          <w:shd w:val="clear" w:color="auto" w:fill="FFFFFF"/>
        </w:rPr>
        <w:t>Em sede de recurso interposto do acórdão em análise, para o pleno do Tribunal Constitucional, ficou este acórdão vencido e mantido o juízo de não incon</w:t>
      </w:r>
      <w:r>
        <w:rPr>
          <w:rFonts w:ascii="Times New Roman" w:hAnsi="Times New Roman" w:cs="Times New Roman"/>
          <w:color w:val="000000"/>
          <w:sz w:val="24"/>
          <w:szCs w:val="24"/>
          <w:shd w:val="clear" w:color="auto" w:fill="FFFFFF"/>
        </w:rPr>
        <w:t>s</w:t>
      </w:r>
      <w:r w:rsidRPr="002C2CE0">
        <w:rPr>
          <w:rFonts w:ascii="Times New Roman" w:hAnsi="Times New Roman" w:cs="Times New Roman"/>
          <w:color w:val="000000"/>
          <w:sz w:val="24"/>
          <w:szCs w:val="24"/>
          <w:shd w:val="clear" w:color="auto" w:fill="FFFFFF"/>
        </w:rPr>
        <w:t xml:space="preserve">titucionalidade, com força obrigatória geral da norma constante do artigo 1817.º, n.º 1 do Código Civil, pelo acórdão n.º </w:t>
      </w:r>
      <w:r w:rsidR="00D00812" w:rsidRPr="002C2CE0">
        <w:rPr>
          <w:rFonts w:ascii="Times New Roman" w:hAnsi="Times New Roman" w:cs="Times New Roman"/>
          <w:color w:val="000000"/>
          <w:sz w:val="24"/>
          <w:szCs w:val="24"/>
          <w:shd w:val="clear" w:color="auto" w:fill="FFFFFF"/>
        </w:rPr>
        <w:t>394/2019</w:t>
      </w:r>
      <w:r w:rsidRPr="002C2CE0">
        <w:rPr>
          <w:rFonts w:ascii="Times New Roman" w:hAnsi="Times New Roman" w:cs="Times New Roman"/>
          <w:color w:val="000000"/>
          <w:sz w:val="24"/>
          <w:szCs w:val="24"/>
          <w:shd w:val="clear" w:color="auto" w:fill="FFFFFF"/>
        </w:rPr>
        <w:t>.</w:t>
      </w:r>
    </w:p>
    <w:p w14:paraId="3AACA60D" w14:textId="69DEC34C" w:rsidR="002C2CE0" w:rsidRPr="002C2CE0" w:rsidRDefault="002C2CE0" w:rsidP="00693B63">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Apesar da reafirmação</w:t>
      </w:r>
      <w:r w:rsidR="00C96B40">
        <w:rPr>
          <w:rFonts w:ascii="Times New Roman" w:hAnsi="Times New Roman" w:cs="Times New Roman"/>
          <w:color w:val="000000"/>
          <w:sz w:val="24"/>
          <w:szCs w:val="24"/>
          <w:shd w:val="clear" w:color="auto" w:fill="FFFFFF"/>
        </w:rPr>
        <w:t xml:space="preserve"> do juízo de não inconstitucionalidade, avançou-se um pouco mais no sentido </w:t>
      </w:r>
      <w:r w:rsidR="00142B25">
        <w:rPr>
          <w:rFonts w:ascii="Times New Roman" w:hAnsi="Times New Roman" w:cs="Times New Roman"/>
          <w:color w:val="000000"/>
          <w:sz w:val="24"/>
          <w:szCs w:val="24"/>
          <w:shd w:val="clear" w:color="auto" w:fill="FFFFFF"/>
        </w:rPr>
        <w:t>da consagração do direito à identidade pessoal em matéria de reconhecimento pessoal da paternidade, no ordenamento jurídico português.</w:t>
      </w:r>
    </w:p>
    <w:p w14:paraId="402BA61F" w14:textId="77777777" w:rsidR="00CB0BAF" w:rsidRPr="00641648" w:rsidRDefault="00CB0BAF" w:rsidP="00693B63">
      <w:pPr>
        <w:spacing w:line="360" w:lineRule="auto"/>
        <w:jc w:val="both"/>
        <w:rPr>
          <w:rFonts w:ascii="Times New Roman" w:hAnsi="Times New Roman" w:cs="Times New Roman"/>
          <w:sz w:val="24"/>
          <w:szCs w:val="24"/>
        </w:rPr>
      </w:pPr>
    </w:p>
    <w:p w14:paraId="7A220BCD" w14:textId="2C1AAF8B" w:rsidR="0004099B" w:rsidRDefault="00AB2723" w:rsidP="00693B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4592">
        <w:rPr>
          <w:rFonts w:ascii="Times New Roman" w:hAnsi="Times New Roman" w:cs="Times New Roman"/>
          <w:sz w:val="24"/>
          <w:szCs w:val="24"/>
        </w:rPr>
        <w:t xml:space="preserve"> </w:t>
      </w:r>
    </w:p>
    <w:p w14:paraId="37BB21CC" w14:textId="06722F3D" w:rsidR="0098595C" w:rsidRDefault="0098595C" w:rsidP="00A32916">
      <w:pPr>
        <w:spacing w:line="276" w:lineRule="auto"/>
        <w:jc w:val="both"/>
        <w:rPr>
          <w:rFonts w:ascii="Times New Roman" w:hAnsi="Times New Roman" w:cs="Times New Roman"/>
          <w:sz w:val="24"/>
          <w:szCs w:val="24"/>
        </w:rPr>
      </w:pPr>
    </w:p>
    <w:p w14:paraId="658ADB5A" w14:textId="1B0DF244" w:rsidR="00A31CD4" w:rsidRDefault="00A31CD4" w:rsidP="00A32916">
      <w:pPr>
        <w:spacing w:line="276" w:lineRule="auto"/>
        <w:jc w:val="both"/>
        <w:rPr>
          <w:rFonts w:ascii="Times New Roman" w:hAnsi="Times New Roman" w:cs="Times New Roman"/>
          <w:sz w:val="24"/>
          <w:szCs w:val="24"/>
        </w:rPr>
      </w:pPr>
    </w:p>
    <w:p w14:paraId="0113D873" w14:textId="71635AAA" w:rsidR="00A31CD4" w:rsidRDefault="00A31CD4" w:rsidP="00A32916">
      <w:pPr>
        <w:spacing w:line="276" w:lineRule="auto"/>
        <w:jc w:val="both"/>
        <w:rPr>
          <w:rFonts w:ascii="Times New Roman" w:hAnsi="Times New Roman" w:cs="Times New Roman"/>
          <w:sz w:val="24"/>
          <w:szCs w:val="24"/>
        </w:rPr>
      </w:pPr>
    </w:p>
    <w:p w14:paraId="0B9A1004" w14:textId="306529D1" w:rsidR="00A31CD4" w:rsidRDefault="00A31CD4" w:rsidP="00A32916">
      <w:pPr>
        <w:spacing w:line="276" w:lineRule="auto"/>
        <w:jc w:val="both"/>
        <w:rPr>
          <w:rFonts w:ascii="Times New Roman" w:hAnsi="Times New Roman" w:cs="Times New Roman"/>
          <w:sz w:val="24"/>
          <w:szCs w:val="24"/>
        </w:rPr>
      </w:pPr>
    </w:p>
    <w:p w14:paraId="340211E4" w14:textId="4E751EEF" w:rsidR="00A31CD4" w:rsidRDefault="00A31CD4" w:rsidP="00A32916">
      <w:pPr>
        <w:spacing w:line="276" w:lineRule="auto"/>
        <w:jc w:val="both"/>
        <w:rPr>
          <w:rFonts w:ascii="Times New Roman" w:hAnsi="Times New Roman" w:cs="Times New Roman"/>
          <w:sz w:val="24"/>
          <w:szCs w:val="24"/>
        </w:rPr>
      </w:pPr>
    </w:p>
    <w:p w14:paraId="7E309F1F" w14:textId="2A556279" w:rsidR="00A31CD4" w:rsidRDefault="00A31CD4" w:rsidP="00A32916">
      <w:pPr>
        <w:spacing w:line="276" w:lineRule="auto"/>
        <w:jc w:val="both"/>
        <w:rPr>
          <w:rFonts w:ascii="Times New Roman" w:hAnsi="Times New Roman" w:cs="Times New Roman"/>
          <w:sz w:val="24"/>
          <w:szCs w:val="24"/>
        </w:rPr>
      </w:pPr>
    </w:p>
    <w:p w14:paraId="28AF7953" w14:textId="6ECE35EC" w:rsidR="00A31CD4" w:rsidRDefault="00A31CD4" w:rsidP="00A32916">
      <w:pPr>
        <w:spacing w:line="276" w:lineRule="auto"/>
        <w:jc w:val="both"/>
        <w:rPr>
          <w:rFonts w:ascii="Times New Roman" w:hAnsi="Times New Roman" w:cs="Times New Roman"/>
          <w:sz w:val="24"/>
          <w:szCs w:val="24"/>
        </w:rPr>
      </w:pPr>
    </w:p>
    <w:p w14:paraId="18285ACC" w14:textId="21F7351F" w:rsidR="00A31CD4" w:rsidRDefault="00A31CD4" w:rsidP="00A32916">
      <w:pPr>
        <w:spacing w:line="276" w:lineRule="auto"/>
        <w:jc w:val="both"/>
        <w:rPr>
          <w:rFonts w:ascii="Times New Roman" w:hAnsi="Times New Roman" w:cs="Times New Roman"/>
          <w:sz w:val="24"/>
          <w:szCs w:val="24"/>
        </w:rPr>
      </w:pPr>
    </w:p>
    <w:p w14:paraId="23BD9911" w14:textId="3BA5DA7F" w:rsidR="00142B25" w:rsidRDefault="00142B25" w:rsidP="00A32916">
      <w:pPr>
        <w:spacing w:line="276" w:lineRule="auto"/>
        <w:jc w:val="both"/>
        <w:rPr>
          <w:rFonts w:ascii="Times New Roman" w:hAnsi="Times New Roman" w:cs="Times New Roman"/>
          <w:sz w:val="24"/>
          <w:szCs w:val="24"/>
        </w:rPr>
      </w:pPr>
    </w:p>
    <w:p w14:paraId="64BC1240" w14:textId="1E151278" w:rsidR="00142B25" w:rsidRDefault="00142B25" w:rsidP="00A32916">
      <w:pPr>
        <w:spacing w:line="276" w:lineRule="auto"/>
        <w:jc w:val="both"/>
        <w:rPr>
          <w:rFonts w:ascii="Times New Roman" w:hAnsi="Times New Roman" w:cs="Times New Roman"/>
          <w:sz w:val="24"/>
          <w:szCs w:val="24"/>
        </w:rPr>
      </w:pPr>
    </w:p>
    <w:p w14:paraId="29724AAE" w14:textId="20A7BAD2" w:rsidR="00142B25" w:rsidRDefault="00142B25" w:rsidP="00A32916">
      <w:pPr>
        <w:spacing w:line="276" w:lineRule="auto"/>
        <w:jc w:val="both"/>
        <w:rPr>
          <w:rFonts w:ascii="Times New Roman" w:hAnsi="Times New Roman" w:cs="Times New Roman"/>
          <w:sz w:val="24"/>
          <w:szCs w:val="24"/>
        </w:rPr>
      </w:pPr>
    </w:p>
    <w:p w14:paraId="5DB6DA50" w14:textId="4AE2089A" w:rsidR="00142B25" w:rsidRDefault="00142B25" w:rsidP="00A32916">
      <w:pPr>
        <w:spacing w:line="276" w:lineRule="auto"/>
        <w:jc w:val="both"/>
        <w:rPr>
          <w:rFonts w:ascii="Times New Roman" w:hAnsi="Times New Roman" w:cs="Times New Roman"/>
          <w:sz w:val="24"/>
          <w:szCs w:val="24"/>
        </w:rPr>
      </w:pPr>
    </w:p>
    <w:p w14:paraId="5C70D81B" w14:textId="701F6DAE" w:rsidR="00142B25" w:rsidRDefault="00142B25" w:rsidP="00A32916">
      <w:pPr>
        <w:spacing w:line="276" w:lineRule="auto"/>
        <w:jc w:val="both"/>
        <w:rPr>
          <w:rFonts w:ascii="Times New Roman" w:hAnsi="Times New Roman" w:cs="Times New Roman"/>
          <w:sz w:val="24"/>
          <w:szCs w:val="24"/>
        </w:rPr>
      </w:pPr>
    </w:p>
    <w:p w14:paraId="00BF9F4E" w14:textId="524F26D0" w:rsidR="00142B25" w:rsidRDefault="00142B25" w:rsidP="00A32916">
      <w:pPr>
        <w:spacing w:line="276" w:lineRule="auto"/>
        <w:jc w:val="both"/>
        <w:rPr>
          <w:rFonts w:ascii="Times New Roman" w:hAnsi="Times New Roman" w:cs="Times New Roman"/>
          <w:sz w:val="24"/>
          <w:szCs w:val="24"/>
        </w:rPr>
      </w:pPr>
    </w:p>
    <w:p w14:paraId="4190CB3C" w14:textId="6AD1A1A6" w:rsidR="00142B25" w:rsidRDefault="00142B25" w:rsidP="00A32916">
      <w:pPr>
        <w:spacing w:line="276" w:lineRule="auto"/>
        <w:jc w:val="both"/>
        <w:rPr>
          <w:rFonts w:ascii="Times New Roman" w:hAnsi="Times New Roman" w:cs="Times New Roman"/>
          <w:sz w:val="24"/>
          <w:szCs w:val="24"/>
        </w:rPr>
      </w:pPr>
    </w:p>
    <w:p w14:paraId="073349E1" w14:textId="55A5F7DB" w:rsidR="00142B25" w:rsidRDefault="00142B25" w:rsidP="00A32916">
      <w:pPr>
        <w:spacing w:line="276" w:lineRule="auto"/>
        <w:jc w:val="both"/>
        <w:rPr>
          <w:rFonts w:ascii="Times New Roman" w:hAnsi="Times New Roman" w:cs="Times New Roman"/>
          <w:sz w:val="24"/>
          <w:szCs w:val="24"/>
        </w:rPr>
      </w:pPr>
    </w:p>
    <w:p w14:paraId="5B227276" w14:textId="538DF3E7" w:rsidR="00142B25" w:rsidRDefault="00142B25" w:rsidP="00A32916">
      <w:pPr>
        <w:spacing w:line="276" w:lineRule="auto"/>
        <w:jc w:val="both"/>
        <w:rPr>
          <w:rFonts w:ascii="Times New Roman" w:hAnsi="Times New Roman" w:cs="Times New Roman"/>
          <w:sz w:val="24"/>
          <w:szCs w:val="24"/>
        </w:rPr>
      </w:pPr>
    </w:p>
    <w:p w14:paraId="07D2D95C" w14:textId="3EE95C3D" w:rsidR="00142B25" w:rsidRDefault="00142B25" w:rsidP="00A32916">
      <w:pPr>
        <w:spacing w:line="276" w:lineRule="auto"/>
        <w:jc w:val="both"/>
        <w:rPr>
          <w:rFonts w:ascii="Times New Roman" w:hAnsi="Times New Roman" w:cs="Times New Roman"/>
          <w:sz w:val="24"/>
          <w:szCs w:val="24"/>
        </w:rPr>
      </w:pPr>
    </w:p>
    <w:p w14:paraId="19846462" w14:textId="070BBD60" w:rsidR="00142B25" w:rsidRDefault="00142B25" w:rsidP="00A32916">
      <w:pPr>
        <w:spacing w:line="276" w:lineRule="auto"/>
        <w:jc w:val="both"/>
        <w:rPr>
          <w:rFonts w:ascii="Times New Roman" w:hAnsi="Times New Roman" w:cs="Times New Roman"/>
          <w:sz w:val="24"/>
          <w:szCs w:val="24"/>
        </w:rPr>
      </w:pPr>
    </w:p>
    <w:p w14:paraId="686CC112" w14:textId="2F37CE65" w:rsidR="00142B25" w:rsidRDefault="00142B25" w:rsidP="00A32916">
      <w:pPr>
        <w:spacing w:line="276" w:lineRule="auto"/>
        <w:jc w:val="both"/>
        <w:rPr>
          <w:rFonts w:ascii="Times New Roman" w:hAnsi="Times New Roman" w:cs="Times New Roman"/>
          <w:sz w:val="24"/>
          <w:szCs w:val="24"/>
        </w:rPr>
      </w:pPr>
    </w:p>
    <w:p w14:paraId="0AF5C007" w14:textId="10D47D06" w:rsidR="00142B25" w:rsidRDefault="00142B25" w:rsidP="00A32916">
      <w:pPr>
        <w:spacing w:line="276" w:lineRule="auto"/>
        <w:jc w:val="both"/>
        <w:rPr>
          <w:rFonts w:ascii="Times New Roman" w:hAnsi="Times New Roman" w:cs="Times New Roman"/>
          <w:sz w:val="24"/>
          <w:szCs w:val="24"/>
        </w:rPr>
      </w:pPr>
    </w:p>
    <w:p w14:paraId="42CD16A9" w14:textId="77777777" w:rsidR="00142B25" w:rsidRDefault="00142B25" w:rsidP="00A32916">
      <w:pPr>
        <w:spacing w:line="276" w:lineRule="auto"/>
        <w:jc w:val="both"/>
        <w:rPr>
          <w:rFonts w:ascii="Times New Roman" w:hAnsi="Times New Roman" w:cs="Times New Roman"/>
          <w:sz w:val="24"/>
          <w:szCs w:val="24"/>
        </w:rPr>
      </w:pPr>
    </w:p>
    <w:p w14:paraId="527E5605" w14:textId="77777777" w:rsidR="00A31CD4" w:rsidRPr="00A32916" w:rsidRDefault="00A31CD4" w:rsidP="00A32916">
      <w:pPr>
        <w:spacing w:line="276" w:lineRule="auto"/>
        <w:jc w:val="both"/>
        <w:rPr>
          <w:rFonts w:ascii="Times New Roman" w:hAnsi="Times New Roman" w:cs="Times New Roman"/>
          <w:sz w:val="24"/>
          <w:szCs w:val="24"/>
        </w:rPr>
      </w:pPr>
    </w:p>
    <w:p w14:paraId="5F8FE18E" w14:textId="2DCCE099" w:rsidR="002E3ADB" w:rsidRDefault="002E3ADB" w:rsidP="00A20CF4">
      <w:pPr>
        <w:spacing w:line="276" w:lineRule="auto"/>
        <w:jc w:val="both"/>
        <w:rPr>
          <w:rFonts w:ascii="Times New Roman" w:hAnsi="Times New Roman" w:cs="Times New Roman"/>
          <w:sz w:val="24"/>
          <w:szCs w:val="24"/>
        </w:rPr>
      </w:pPr>
    </w:p>
    <w:p w14:paraId="27D12985" w14:textId="5543B65A" w:rsidR="002E3ADB" w:rsidRPr="003129B5" w:rsidRDefault="002E3ADB" w:rsidP="00176F72">
      <w:pPr>
        <w:spacing w:line="360" w:lineRule="auto"/>
        <w:rPr>
          <w:rFonts w:ascii="Times New Roman" w:hAnsi="Times New Roman" w:cs="Times New Roman"/>
          <w:b/>
          <w:bCs/>
          <w:sz w:val="24"/>
          <w:szCs w:val="24"/>
        </w:rPr>
      </w:pPr>
      <w:r w:rsidRPr="003129B5">
        <w:rPr>
          <w:rFonts w:ascii="Times New Roman" w:hAnsi="Times New Roman" w:cs="Times New Roman"/>
          <w:b/>
          <w:bCs/>
          <w:sz w:val="24"/>
          <w:szCs w:val="24"/>
        </w:rPr>
        <w:t>Bibliografia:</w:t>
      </w:r>
    </w:p>
    <w:p w14:paraId="1F140BA1" w14:textId="77777777" w:rsidR="00BD4A3B" w:rsidRPr="00176F72" w:rsidRDefault="00BD4A3B" w:rsidP="00176F72">
      <w:pPr>
        <w:spacing w:line="360" w:lineRule="auto"/>
        <w:rPr>
          <w:rFonts w:ascii="Times New Roman" w:hAnsi="Times New Roman" w:cs="Times New Roman"/>
          <w:color w:val="000000"/>
          <w:sz w:val="24"/>
          <w:szCs w:val="24"/>
        </w:rPr>
      </w:pPr>
      <w:r w:rsidRPr="00176F72">
        <w:rPr>
          <w:rFonts w:ascii="Times New Roman" w:hAnsi="Times New Roman" w:cs="Times New Roman"/>
          <w:sz w:val="24"/>
          <w:szCs w:val="24"/>
        </w:rPr>
        <w:t>ACÓRDÃO N.º 401/2011. Tribunal Constitucional. Diário da República, n.º 211/2011, Série II de 2011-11-03</w:t>
      </w:r>
    </w:p>
    <w:p w14:paraId="5E41A886" w14:textId="1C43909B" w:rsidR="00F44941" w:rsidRPr="00412114" w:rsidRDefault="00F44941" w:rsidP="00412114">
      <w:pPr>
        <w:pStyle w:val="Textonotapie"/>
        <w:spacing w:line="360" w:lineRule="auto"/>
        <w:jc w:val="both"/>
        <w:rPr>
          <w:sz w:val="24"/>
          <w:szCs w:val="24"/>
        </w:rPr>
      </w:pPr>
      <w:r w:rsidRPr="00412114">
        <w:rPr>
          <w:rFonts w:ascii="Times New Roman" w:hAnsi="Times New Roman" w:cs="Times New Roman"/>
          <w:sz w:val="24"/>
          <w:szCs w:val="24"/>
        </w:rPr>
        <w:t xml:space="preserve">AMARAL, Graça, O Direito (Fundamental?) ao (Re)conhecimento da paternidade: o tempo na ação de investigação da paternidade”, In revista do Cej, 1.º semestre 2016, número 1, 133-175, 173. </w:t>
      </w:r>
    </w:p>
    <w:p w14:paraId="21B78924" w14:textId="623FEE56" w:rsidR="000D19EA" w:rsidRPr="0082480C" w:rsidRDefault="0082480C" w:rsidP="0082480C">
      <w:pPr>
        <w:pStyle w:val="Textonotapie"/>
        <w:spacing w:line="360" w:lineRule="auto"/>
        <w:jc w:val="both"/>
        <w:rPr>
          <w:rFonts w:ascii="Times New Roman" w:hAnsi="Times New Roman" w:cs="Times New Roman"/>
          <w:b/>
          <w:bCs/>
          <w:color w:val="000000"/>
          <w:sz w:val="24"/>
          <w:szCs w:val="24"/>
        </w:rPr>
      </w:pPr>
      <w:r w:rsidRPr="0082480C">
        <w:rPr>
          <w:rFonts w:ascii="Times New Roman" w:hAnsi="Times New Roman" w:cs="Times New Roman"/>
          <w:sz w:val="24"/>
          <w:szCs w:val="24"/>
        </w:rPr>
        <w:t xml:space="preserve">CANOTILHO, J. J. Gomes, </w:t>
      </w:r>
      <w:r w:rsidRPr="0082480C">
        <w:rPr>
          <w:rFonts w:ascii="Times New Roman" w:hAnsi="Times New Roman" w:cs="Times New Roman"/>
          <w:i/>
          <w:iCs/>
          <w:sz w:val="24"/>
          <w:szCs w:val="24"/>
        </w:rPr>
        <w:t>in</w:t>
      </w:r>
      <w:r w:rsidRPr="0082480C">
        <w:rPr>
          <w:rFonts w:ascii="Times New Roman" w:hAnsi="Times New Roman" w:cs="Times New Roman"/>
          <w:sz w:val="24"/>
          <w:szCs w:val="24"/>
        </w:rPr>
        <w:t xml:space="preserve"> Direito Constitucional e Teoria da Constituição, 7.ª Ed., 3.ª Reimp., Almedina: Coimbra, 2003</w:t>
      </w:r>
    </w:p>
    <w:p w14:paraId="64BACF09" w14:textId="3F22FD4F" w:rsidR="008E6958" w:rsidRPr="0082480C" w:rsidRDefault="008E6958" w:rsidP="0082480C">
      <w:pPr>
        <w:pStyle w:val="Textonotapie"/>
        <w:spacing w:line="360" w:lineRule="auto"/>
        <w:jc w:val="both"/>
        <w:rPr>
          <w:sz w:val="24"/>
          <w:szCs w:val="24"/>
        </w:rPr>
      </w:pPr>
      <w:r w:rsidRPr="0082480C">
        <w:rPr>
          <w:rFonts w:ascii="Times New Roman" w:hAnsi="Times New Roman" w:cs="Times New Roman"/>
          <w:sz w:val="24"/>
          <w:szCs w:val="24"/>
        </w:rPr>
        <w:t>COELHO, Francisco Pereira/OLIVEIRA, Guilherme, Curso de Direito da Família – Volume II – Direito da Filiação – Tomo I, Coimbra Editora: Coimbra, 2006.</w:t>
      </w:r>
    </w:p>
    <w:p w14:paraId="0DF7566A" w14:textId="49DB3872" w:rsidR="008E6958" w:rsidRPr="0082480C" w:rsidRDefault="008E6958"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CORTE-REAL, Carlos Pamplona/ PEREIRA, José da Silva, Direito da Família, Tópicos para uma reflexão crítica, aafdl: Lisboa, 2008</w:t>
      </w:r>
    </w:p>
    <w:p w14:paraId="412F8B0A" w14:textId="2B8A2FA4" w:rsidR="008E19F7" w:rsidRDefault="008E19F7" w:rsidP="0082480C">
      <w:pPr>
        <w:pStyle w:val="Textonotapie"/>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DIAS, Cristina, “O prazo de dois anos para a acção intentada pelo Ministério Público de investigação de paternidade do art. 1886.º, n.º 2, do CC: acórdão do Tribunal Constitucional n.º 604/2015 (3.ª Secção) de 26.11.2015, P. 631/15”, Cadernos de direito privado, N.º 52 (Out.-Dez. 2015), 1645-7242 – p. 48-60.</w:t>
      </w:r>
    </w:p>
    <w:p w14:paraId="6F526909" w14:textId="77777777" w:rsidR="00412114" w:rsidRPr="0082480C" w:rsidRDefault="00412114" w:rsidP="0082480C">
      <w:pPr>
        <w:pStyle w:val="Textonotapie"/>
        <w:spacing w:line="360" w:lineRule="auto"/>
        <w:jc w:val="both"/>
        <w:rPr>
          <w:rFonts w:ascii="Times New Roman" w:hAnsi="Times New Roman" w:cs="Times New Roman"/>
          <w:sz w:val="24"/>
          <w:szCs w:val="24"/>
        </w:rPr>
      </w:pPr>
    </w:p>
    <w:p w14:paraId="5582BA15" w14:textId="578964DD" w:rsidR="002E3ADB" w:rsidRPr="0082480C" w:rsidRDefault="002E3ADB" w:rsidP="0082480C">
      <w:pPr>
        <w:spacing w:line="360" w:lineRule="auto"/>
        <w:jc w:val="both"/>
        <w:rPr>
          <w:rFonts w:ascii="Times New Roman" w:hAnsi="Times New Roman" w:cs="Times New Roman"/>
          <w:b/>
          <w:bCs/>
          <w:sz w:val="24"/>
          <w:szCs w:val="24"/>
        </w:rPr>
      </w:pPr>
      <w:r w:rsidRPr="0082480C">
        <w:rPr>
          <w:rFonts w:ascii="Times New Roman" w:hAnsi="Times New Roman" w:cs="Times New Roman"/>
          <w:sz w:val="24"/>
          <w:szCs w:val="24"/>
        </w:rPr>
        <w:t>G</w:t>
      </w:r>
      <w:r w:rsidR="003129B5" w:rsidRPr="0082480C">
        <w:rPr>
          <w:rFonts w:ascii="Times New Roman" w:hAnsi="Times New Roman" w:cs="Times New Roman"/>
          <w:sz w:val="24"/>
          <w:szCs w:val="24"/>
        </w:rPr>
        <w:t>ONZÁLEZ</w:t>
      </w:r>
      <w:r w:rsidRPr="0082480C">
        <w:rPr>
          <w:rFonts w:ascii="Times New Roman" w:hAnsi="Times New Roman" w:cs="Times New Roman"/>
          <w:sz w:val="24"/>
          <w:szCs w:val="24"/>
        </w:rPr>
        <w:t xml:space="preserve">, José </w:t>
      </w:r>
      <w:r w:rsidR="00DD4851" w:rsidRPr="0082480C">
        <w:rPr>
          <w:rFonts w:ascii="Times New Roman" w:hAnsi="Times New Roman" w:cs="Times New Roman"/>
          <w:sz w:val="24"/>
          <w:szCs w:val="24"/>
        </w:rPr>
        <w:t>Alberto, Código Civil Anotado, Vol. V, Quid Iuris: 2014</w:t>
      </w:r>
    </w:p>
    <w:p w14:paraId="2A39D5D9" w14:textId="14422A6F" w:rsidR="00B9590E" w:rsidRPr="0082480C" w:rsidRDefault="00B9590E"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L</w:t>
      </w:r>
      <w:r w:rsidR="003129B5" w:rsidRPr="0082480C">
        <w:rPr>
          <w:rFonts w:ascii="Times New Roman" w:hAnsi="Times New Roman" w:cs="Times New Roman"/>
          <w:sz w:val="24"/>
          <w:szCs w:val="24"/>
        </w:rPr>
        <w:t>EITÃO</w:t>
      </w:r>
      <w:r w:rsidRPr="0082480C">
        <w:rPr>
          <w:rFonts w:ascii="Times New Roman" w:hAnsi="Times New Roman" w:cs="Times New Roman"/>
          <w:sz w:val="24"/>
          <w:szCs w:val="24"/>
        </w:rPr>
        <w:t>, Menezes, “Anotação ao Acórdão do STJ de 19/04/2013”, Revista da Ordem dos Advogados, ano 73, Vol. I, Janeiro/Março, págs. 396 a 399</w:t>
      </w:r>
    </w:p>
    <w:p w14:paraId="496291F5" w14:textId="0468EACB" w:rsidR="008E6958" w:rsidRPr="0082480C" w:rsidRDefault="008E6958"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LENTI, Leonardo, La procreazione artificiali. Genoma della persona e atribuizione della paternità, Cedam: Padova, 1993</w:t>
      </w:r>
    </w:p>
    <w:p w14:paraId="5AEE919F" w14:textId="1FA137A5" w:rsidR="00BD4A3B" w:rsidRPr="0082480C" w:rsidRDefault="00BD4A3B"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LÚCIO, Álvaro Laborinho – A genética e a pessoa: O direito à identidade. Revista do Ministério Público, ano 22, n.º 88 (out/dez 2001)</w:t>
      </w:r>
    </w:p>
    <w:p w14:paraId="133F7E94" w14:textId="53A97971" w:rsidR="00027DF6" w:rsidRPr="0082480C" w:rsidRDefault="00027DF6"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MELO; Helena Gomes, O direito ao conhecimento da origem genética, in Revista do Ministério Público 142 : Abril : junho 2015, pp. 35-57</w:t>
      </w:r>
    </w:p>
    <w:p w14:paraId="713A383D" w14:textId="592B6F07" w:rsidR="00C0046F" w:rsidRDefault="00C0046F" w:rsidP="0082480C">
      <w:pPr>
        <w:pStyle w:val="Textonotapie"/>
        <w:spacing w:line="360" w:lineRule="auto"/>
        <w:jc w:val="both"/>
        <w:rPr>
          <w:rFonts w:ascii="Times New Roman" w:hAnsi="Times New Roman" w:cs="Times New Roman"/>
          <w:color w:val="000000"/>
          <w:sz w:val="24"/>
          <w:szCs w:val="24"/>
        </w:rPr>
      </w:pPr>
      <w:r w:rsidRPr="0082480C">
        <w:rPr>
          <w:rFonts w:ascii="Times New Roman" w:hAnsi="Times New Roman" w:cs="Times New Roman"/>
          <w:color w:val="000000"/>
          <w:sz w:val="24"/>
          <w:szCs w:val="24"/>
        </w:rPr>
        <w:t>M</w:t>
      </w:r>
      <w:r w:rsidR="003129B5" w:rsidRPr="0082480C">
        <w:rPr>
          <w:rFonts w:ascii="Times New Roman" w:hAnsi="Times New Roman" w:cs="Times New Roman"/>
          <w:color w:val="000000"/>
          <w:sz w:val="24"/>
          <w:szCs w:val="24"/>
        </w:rPr>
        <w:t>IRANDA</w:t>
      </w:r>
      <w:r w:rsidRPr="0082480C">
        <w:rPr>
          <w:rFonts w:ascii="Times New Roman" w:hAnsi="Times New Roman" w:cs="Times New Roman"/>
          <w:color w:val="000000"/>
          <w:sz w:val="24"/>
          <w:szCs w:val="24"/>
        </w:rPr>
        <w:t>, Jorge</w:t>
      </w:r>
      <w:r w:rsidR="002B2ACD" w:rsidRPr="0082480C">
        <w:rPr>
          <w:rFonts w:ascii="Times New Roman" w:hAnsi="Times New Roman" w:cs="Times New Roman"/>
          <w:color w:val="000000"/>
          <w:sz w:val="24"/>
          <w:szCs w:val="24"/>
        </w:rPr>
        <w:t>/</w:t>
      </w:r>
      <w:r w:rsidR="002B2ACD" w:rsidRPr="0082480C">
        <w:rPr>
          <w:rFonts w:ascii="Times New Roman" w:hAnsi="Times New Roman" w:cs="Times New Roman"/>
          <w:sz w:val="24"/>
          <w:szCs w:val="24"/>
        </w:rPr>
        <w:t xml:space="preserve">MEDEIROS, Rui, Constituição Portuguesa Anotada, Tomo I, </w:t>
      </w:r>
      <w:r w:rsidR="002B2ACD" w:rsidRPr="0038740A">
        <w:rPr>
          <w:rFonts w:ascii="Times New Roman" w:hAnsi="Times New Roman" w:cs="Times New Roman"/>
          <w:sz w:val="24"/>
          <w:szCs w:val="24"/>
        </w:rPr>
        <w:t>Coimbra Editora: Coimbra, 2005</w:t>
      </w:r>
      <w:r w:rsidRPr="0038740A">
        <w:rPr>
          <w:rFonts w:ascii="Times New Roman" w:hAnsi="Times New Roman" w:cs="Times New Roman"/>
          <w:color w:val="000000"/>
          <w:sz w:val="24"/>
          <w:szCs w:val="24"/>
        </w:rPr>
        <w:t xml:space="preserve"> </w:t>
      </w:r>
    </w:p>
    <w:p w14:paraId="724F3568" w14:textId="77777777" w:rsidR="00412114" w:rsidRPr="0038740A" w:rsidRDefault="00412114" w:rsidP="0082480C">
      <w:pPr>
        <w:pStyle w:val="Textonotapie"/>
        <w:spacing w:line="360" w:lineRule="auto"/>
        <w:jc w:val="both"/>
        <w:rPr>
          <w:rFonts w:ascii="Times New Roman" w:hAnsi="Times New Roman" w:cs="Times New Roman"/>
          <w:color w:val="000000"/>
          <w:sz w:val="24"/>
          <w:szCs w:val="24"/>
        </w:rPr>
      </w:pPr>
    </w:p>
    <w:p w14:paraId="35350BAD" w14:textId="63C0DD20" w:rsidR="0038740A" w:rsidRDefault="0038740A" w:rsidP="0082480C">
      <w:pPr>
        <w:pStyle w:val="Textonotapie"/>
        <w:spacing w:line="360" w:lineRule="auto"/>
        <w:jc w:val="both"/>
        <w:rPr>
          <w:rFonts w:ascii="Times New Roman" w:hAnsi="Times New Roman" w:cs="Times New Roman"/>
        </w:rPr>
      </w:pPr>
      <w:r w:rsidRPr="0038740A">
        <w:rPr>
          <w:rFonts w:ascii="Times New Roman" w:hAnsi="Times New Roman" w:cs="Times New Roman"/>
          <w:sz w:val="24"/>
          <w:szCs w:val="24"/>
        </w:rPr>
        <w:t>MOREIRA, Sónia, Direito à Identidade Genética versus Direito à Reserva Sobre a Vida Privada no Direito Português, Revista do CEJ, 1.º Semestre 2018 – Num. 1, pp. 197-213, 206</w:t>
      </w:r>
      <w:r w:rsidRPr="00C82970">
        <w:rPr>
          <w:rFonts w:ascii="Times New Roman" w:hAnsi="Times New Roman" w:cs="Times New Roman"/>
        </w:rPr>
        <w:t>.</w:t>
      </w:r>
    </w:p>
    <w:p w14:paraId="78F008B0" w14:textId="77777777" w:rsidR="00412114" w:rsidRPr="0082480C" w:rsidRDefault="00412114" w:rsidP="0082480C">
      <w:pPr>
        <w:pStyle w:val="Textonotapie"/>
        <w:spacing w:line="360" w:lineRule="auto"/>
        <w:jc w:val="both"/>
        <w:rPr>
          <w:rFonts w:ascii="Times New Roman" w:hAnsi="Times New Roman" w:cs="Times New Roman"/>
          <w:sz w:val="24"/>
          <w:szCs w:val="24"/>
        </w:rPr>
      </w:pPr>
    </w:p>
    <w:p w14:paraId="6037B253" w14:textId="3A6BEB37" w:rsidR="002E3ADB" w:rsidRPr="0082480C" w:rsidRDefault="002E3ADB" w:rsidP="0082480C">
      <w:pPr>
        <w:spacing w:line="360" w:lineRule="auto"/>
        <w:jc w:val="both"/>
        <w:rPr>
          <w:rFonts w:ascii="Times New Roman" w:hAnsi="Times New Roman" w:cs="Times New Roman"/>
          <w:sz w:val="24"/>
          <w:szCs w:val="24"/>
        </w:rPr>
      </w:pPr>
      <w:bookmarkStart w:id="7" w:name="_Hlk95198895"/>
      <w:r w:rsidRPr="0082480C">
        <w:rPr>
          <w:rFonts w:ascii="Times New Roman" w:hAnsi="Times New Roman" w:cs="Times New Roman"/>
          <w:sz w:val="24"/>
          <w:szCs w:val="24"/>
        </w:rPr>
        <w:t>O</w:t>
      </w:r>
      <w:r w:rsidR="003129B5" w:rsidRPr="0082480C">
        <w:rPr>
          <w:rFonts w:ascii="Times New Roman" w:hAnsi="Times New Roman" w:cs="Times New Roman"/>
          <w:sz w:val="24"/>
          <w:szCs w:val="24"/>
        </w:rPr>
        <w:t>LIVEIRA</w:t>
      </w:r>
      <w:r w:rsidRPr="0082480C">
        <w:rPr>
          <w:rFonts w:ascii="Times New Roman" w:hAnsi="Times New Roman" w:cs="Times New Roman"/>
          <w:sz w:val="24"/>
          <w:szCs w:val="24"/>
        </w:rPr>
        <w:t>, Guilherme, Caducidade das Ações de Investigação, revista LexFamiliae, n.º 1, 2004</w:t>
      </w:r>
    </w:p>
    <w:bookmarkEnd w:id="7"/>
    <w:p w14:paraId="2E73E99A" w14:textId="282EF9AD" w:rsidR="008E6958" w:rsidRPr="0082480C" w:rsidRDefault="008E6958" w:rsidP="0082480C">
      <w:pPr>
        <w:pStyle w:val="Textonotapie"/>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 xml:space="preserve">OLIVEIRA, Guilherme, Critério Jurídico de Paternidade, Almedina: Coimbra, 1998 </w:t>
      </w:r>
    </w:p>
    <w:p w14:paraId="02B3E798" w14:textId="2D2D358B" w:rsidR="008E6958" w:rsidRPr="0082480C" w:rsidRDefault="008E6958"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OLIVEIRA, Guilherme, Estabelecimento da Filiação, Livraria Almedina: Coimbra, 1995</w:t>
      </w:r>
    </w:p>
    <w:p w14:paraId="473E0670" w14:textId="43A8BD86" w:rsidR="008E6958" w:rsidRPr="0082480C" w:rsidRDefault="008E6958"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PINHEIRO, Jorge Duarte, Direito da Família Contemporâneo, Reimpress. 3.ª Edição, aafdl: Lisboa, 2011</w:t>
      </w:r>
    </w:p>
    <w:p w14:paraId="3B7BA29C" w14:textId="111A07DA" w:rsidR="008E6958" w:rsidRPr="00176F72" w:rsidRDefault="008E6958" w:rsidP="0082480C">
      <w:pPr>
        <w:spacing w:line="360" w:lineRule="auto"/>
        <w:jc w:val="both"/>
        <w:rPr>
          <w:rFonts w:ascii="Times New Roman" w:hAnsi="Times New Roman" w:cs="Times New Roman"/>
          <w:sz w:val="24"/>
          <w:szCs w:val="24"/>
        </w:rPr>
      </w:pPr>
      <w:r w:rsidRPr="00FF3A1A">
        <w:rPr>
          <w:rFonts w:ascii="Times New Roman" w:hAnsi="Times New Roman" w:cs="Times New Roman"/>
        </w:rPr>
        <w:t xml:space="preserve">PINHEIRO, Jorge Duarte; “Mãe portadora – A problemática da maternidade de substituição”, </w:t>
      </w:r>
      <w:r w:rsidRPr="00097D1E">
        <w:rPr>
          <w:rFonts w:ascii="Times New Roman" w:hAnsi="Times New Roman" w:cs="Times New Roman"/>
          <w:i/>
          <w:iCs/>
        </w:rPr>
        <w:t>in</w:t>
      </w:r>
      <w:r w:rsidRPr="00FF3A1A">
        <w:rPr>
          <w:rFonts w:ascii="Times New Roman" w:hAnsi="Times New Roman" w:cs="Times New Roman"/>
        </w:rPr>
        <w:t xml:space="preserve"> José de Oliveira Ascensão (Coord.), Estudos de Direito da Bioética, Vol. II, Almedina</w:t>
      </w:r>
      <w:r>
        <w:rPr>
          <w:rFonts w:ascii="Times New Roman" w:hAnsi="Times New Roman" w:cs="Times New Roman"/>
        </w:rPr>
        <w:t>: Coimbra</w:t>
      </w:r>
      <w:r w:rsidRPr="00FF3A1A">
        <w:rPr>
          <w:rFonts w:ascii="Times New Roman" w:hAnsi="Times New Roman" w:cs="Times New Roman"/>
        </w:rPr>
        <w:t>, 2008, pp. 323-344</w:t>
      </w:r>
    </w:p>
    <w:p w14:paraId="4A69DD74" w14:textId="5B7F040C" w:rsidR="002E3ADB" w:rsidRDefault="002E3ADB" w:rsidP="0082480C">
      <w:pPr>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P</w:t>
      </w:r>
      <w:r w:rsidR="003129B5" w:rsidRPr="0082480C">
        <w:rPr>
          <w:rFonts w:ascii="Times New Roman" w:hAnsi="Times New Roman" w:cs="Times New Roman"/>
          <w:sz w:val="24"/>
          <w:szCs w:val="24"/>
        </w:rPr>
        <w:t>INHEIRO</w:t>
      </w:r>
      <w:r w:rsidRPr="0082480C">
        <w:rPr>
          <w:rFonts w:ascii="Times New Roman" w:hAnsi="Times New Roman" w:cs="Times New Roman"/>
          <w:sz w:val="24"/>
          <w:szCs w:val="24"/>
        </w:rPr>
        <w:t>, Jorge Duarte, “Inconstitucionalidade do artigo 1817.º do Código Civil”, in Cadernos de Direito privado, n.º 15, Julho/Setembro 2006, págs. 32 a 52</w:t>
      </w:r>
      <w:r w:rsidR="0038740A">
        <w:rPr>
          <w:rFonts w:ascii="Times New Roman" w:hAnsi="Times New Roman" w:cs="Times New Roman"/>
          <w:sz w:val="24"/>
          <w:szCs w:val="24"/>
        </w:rPr>
        <w:t>.</w:t>
      </w:r>
    </w:p>
    <w:p w14:paraId="32CB365F" w14:textId="54BB62D6" w:rsidR="0038740A" w:rsidRPr="0082480C" w:rsidRDefault="0038740A" w:rsidP="0082480C">
      <w:pPr>
        <w:spacing w:line="360" w:lineRule="auto"/>
        <w:jc w:val="both"/>
        <w:rPr>
          <w:rFonts w:ascii="Times New Roman" w:hAnsi="Times New Roman" w:cs="Times New Roman"/>
          <w:sz w:val="24"/>
          <w:szCs w:val="24"/>
        </w:rPr>
      </w:pPr>
      <w:r w:rsidRPr="00955CC5">
        <w:rPr>
          <w:rFonts w:ascii="Times New Roman" w:hAnsi="Times New Roman" w:cs="Times New Roman"/>
        </w:rPr>
        <w:t>RIBEIRO, Joaquim de Sousa, “A Inconstitucionalidade da limitação temporal ao exercício do direito de investigação da paternidade de paternidade”, in RLJ; ANO 147, Março-Abril de 2018, pp. 214-238</w:t>
      </w:r>
    </w:p>
    <w:p w14:paraId="6159175A" w14:textId="77777777" w:rsidR="002B2ACD" w:rsidRPr="0082480C" w:rsidRDefault="002B2ACD" w:rsidP="0082480C">
      <w:pPr>
        <w:pStyle w:val="Textonotapie"/>
        <w:spacing w:line="360" w:lineRule="auto"/>
        <w:jc w:val="both"/>
        <w:rPr>
          <w:rFonts w:ascii="Times New Roman" w:hAnsi="Times New Roman" w:cs="Times New Roman"/>
          <w:sz w:val="24"/>
          <w:szCs w:val="24"/>
        </w:rPr>
      </w:pPr>
      <w:r w:rsidRPr="0082480C">
        <w:rPr>
          <w:rFonts w:ascii="Times New Roman" w:hAnsi="Times New Roman" w:cs="Times New Roman"/>
          <w:sz w:val="24"/>
          <w:szCs w:val="24"/>
        </w:rPr>
        <w:t>SOTTOMAYOR, Maria Clara, “Qual é o interesse da criança? Identidade biológica versus relação afetiva”, in AA.VV., Volume comemorativo dos 10 anos do curso de pós-graduação “Proteção de menores – Prof. Doutor F. M. Pereira Coelho”, Coimbra, Centro de Direito da Família/Coimbra Editora, 2008, pp. 23-60.</w:t>
      </w:r>
    </w:p>
    <w:p w14:paraId="53A44E35" w14:textId="77777777" w:rsidR="002B2ACD" w:rsidRPr="00176F72" w:rsidRDefault="002B2ACD" w:rsidP="0082480C">
      <w:pPr>
        <w:spacing w:line="360" w:lineRule="auto"/>
        <w:jc w:val="both"/>
        <w:rPr>
          <w:rFonts w:ascii="Times New Roman" w:hAnsi="Times New Roman" w:cs="Times New Roman"/>
          <w:sz w:val="24"/>
          <w:szCs w:val="24"/>
        </w:rPr>
      </w:pPr>
    </w:p>
    <w:p w14:paraId="62D8AB30" w14:textId="77777777" w:rsidR="004137F1" w:rsidRPr="0019604B" w:rsidRDefault="004137F1" w:rsidP="004137F1">
      <w:pPr>
        <w:pStyle w:val="Textonotapie"/>
        <w:jc w:val="both"/>
        <w:rPr>
          <w:rFonts w:ascii="Times New Roman" w:hAnsi="Times New Roman" w:cs="Times New Roman"/>
        </w:rPr>
      </w:pPr>
      <w:r w:rsidRPr="0019604B">
        <w:rPr>
          <w:rFonts w:ascii="Times New Roman" w:hAnsi="Times New Roman" w:cs="Times New Roman"/>
        </w:rPr>
        <w:t>TRIBUNAL CONSTITUCIONAL, Acórdão do Tribunal Constitucional de 4-10-2018, processo n.º 471/17, 2.ª Secção. Acórdãos TC [Em linha]. Relator Maria Clara Sottomayor. Lisboa : TC. [consult. 27 dez. 2021] Disponível em WWW:URL: https://www.tribunalconstitucional.pt/tc/acordaos/20180488.html.</w:t>
      </w:r>
    </w:p>
    <w:p w14:paraId="638FEC33" w14:textId="77777777" w:rsidR="00412114" w:rsidRDefault="00412114" w:rsidP="004137F1">
      <w:pPr>
        <w:pStyle w:val="Textonotapie"/>
        <w:rPr>
          <w:rStyle w:val="Refdenotaalpie"/>
        </w:rPr>
      </w:pPr>
    </w:p>
    <w:p w14:paraId="2D2C33CB" w14:textId="6C8C75CB" w:rsidR="004137F1" w:rsidRDefault="004137F1" w:rsidP="004137F1">
      <w:pPr>
        <w:pStyle w:val="Textonotapie"/>
      </w:pPr>
      <w:r w:rsidRPr="0019604B">
        <w:rPr>
          <w:rFonts w:ascii="Times New Roman" w:hAnsi="Times New Roman" w:cs="Times New Roman"/>
        </w:rPr>
        <w:t xml:space="preserve">TRIBUNAL CONSTITUCIONAL, Acórdão do Tribunal Constitucional de 4-10-2018, processo n.º 471/17, </w:t>
      </w:r>
      <w:r>
        <w:rPr>
          <w:rFonts w:ascii="Times New Roman" w:hAnsi="Times New Roman" w:cs="Times New Roman"/>
        </w:rPr>
        <w:t>Pleno</w:t>
      </w:r>
      <w:r w:rsidRPr="0019604B">
        <w:rPr>
          <w:rFonts w:ascii="Times New Roman" w:hAnsi="Times New Roman" w:cs="Times New Roman"/>
        </w:rPr>
        <w:t xml:space="preserve">. Acórdãos TC [Em linha]. Relator </w:t>
      </w:r>
      <w:r>
        <w:rPr>
          <w:rFonts w:ascii="Times New Roman" w:hAnsi="Times New Roman" w:cs="Times New Roman"/>
        </w:rPr>
        <w:t>João Pedro Caupers (</w:t>
      </w:r>
      <w:r w:rsidRPr="0019604B">
        <w:rPr>
          <w:rFonts w:ascii="Times New Roman" w:hAnsi="Times New Roman" w:cs="Times New Roman"/>
        </w:rPr>
        <w:t>Maria Clara Sottomayor</w:t>
      </w:r>
      <w:r>
        <w:rPr>
          <w:rFonts w:ascii="Times New Roman" w:hAnsi="Times New Roman" w:cs="Times New Roman"/>
        </w:rPr>
        <w:t>)</w:t>
      </w:r>
      <w:r w:rsidRPr="0019604B">
        <w:rPr>
          <w:rFonts w:ascii="Times New Roman" w:hAnsi="Times New Roman" w:cs="Times New Roman"/>
        </w:rPr>
        <w:t xml:space="preserve">. Lisboa : TC. [consult. 27 dez. 2021] Disponível em WWW:URL: </w:t>
      </w:r>
      <w:hyperlink r:id="rId8" w:history="1">
        <w:r w:rsidRPr="00F733FC">
          <w:rPr>
            <w:rStyle w:val="Hipervnculo"/>
            <w:rFonts w:ascii="Times New Roman" w:hAnsi="Times New Roman" w:cs="Times New Roman"/>
            <w:color w:val="auto"/>
            <w:u w:val="none"/>
          </w:rPr>
          <w:t>https://www.tribunalconstitucional.pt/tc/acordaos/20190394.html</w:t>
        </w:r>
      </w:hyperlink>
      <w:r w:rsidRPr="00F733FC">
        <w:rPr>
          <w:rFonts w:ascii="Times New Roman" w:hAnsi="Times New Roman" w:cs="Times New Roman"/>
        </w:rPr>
        <w:t>.</w:t>
      </w:r>
    </w:p>
    <w:p w14:paraId="2DB4AC98" w14:textId="77777777" w:rsidR="00412114" w:rsidRDefault="00412114" w:rsidP="00412114">
      <w:pPr>
        <w:pStyle w:val="Textonotapie"/>
        <w:jc w:val="both"/>
        <w:rPr>
          <w:rFonts w:ascii="Times New Roman" w:hAnsi="Times New Roman" w:cs="Times New Roman"/>
        </w:rPr>
      </w:pPr>
    </w:p>
    <w:p w14:paraId="074E04A3" w14:textId="77777777" w:rsidR="00412114" w:rsidRPr="00485131" w:rsidRDefault="00412114" w:rsidP="00412114">
      <w:pPr>
        <w:pStyle w:val="Textonotapie"/>
        <w:jc w:val="both"/>
        <w:rPr>
          <w:rFonts w:ascii="Times New Roman" w:hAnsi="Times New Roman" w:cs="Times New Roman"/>
        </w:rPr>
      </w:pPr>
      <w:r w:rsidRPr="00485131">
        <w:rPr>
          <w:rFonts w:ascii="Times New Roman" w:hAnsi="Times New Roman" w:cs="Times New Roman"/>
        </w:rPr>
        <w:t xml:space="preserve">TRIBUNAL EUROPEU DOS DIREITOS HUMANOS, Acórdão do Tribunal Europeu dos Direitos Humanos de 16-09-2020, processo n.º 47443/14, 4.ª Secção, Acórdãos TEDH [Em linha]. Relator </w:t>
      </w:r>
      <w:r w:rsidRPr="00485131">
        <w:rPr>
          <w:rFonts w:ascii="Times New Roman" w:hAnsi="Times New Roman" w:cs="Times New Roman"/>
          <w:color w:val="000000"/>
          <w:shd w:val="clear" w:color="auto" w:fill="FFFFFF"/>
        </w:rPr>
        <w:t xml:space="preserve">Jon Fridrik Kjølbro. </w:t>
      </w:r>
      <w:r w:rsidRPr="00485131">
        <w:rPr>
          <w:rFonts w:ascii="Times New Roman" w:hAnsi="Times New Roman" w:cs="Times New Roman"/>
        </w:rPr>
        <w:t>Estrasburgo : TEDH. [consult. 20 set. 2021] Disponível em WWW:URL: https://hudoc.echr.coe.int/fre#{"itemid":["001-203052"]}.</w:t>
      </w:r>
    </w:p>
    <w:p w14:paraId="720E6CAB" w14:textId="77777777" w:rsidR="00412114" w:rsidRDefault="00412114" w:rsidP="000C11AC">
      <w:pPr>
        <w:pStyle w:val="Textonotapie"/>
        <w:jc w:val="both"/>
      </w:pPr>
    </w:p>
    <w:p w14:paraId="463F539A" w14:textId="36AEFC36" w:rsidR="000C11AC" w:rsidRPr="00461CE1" w:rsidRDefault="000C11AC" w:rsidP="000C11AC">
      <w:pPr>
        <w:pStyle w:val="Textonotapie"/>
        <w:jc w:val="both"/>
        <w:rPr>
          <w:rFonts w:ascii="Times New Roman" w:hAnsi="Times New Roman" w:cs="Times New Roman"/>
        </w:rPr>
      </w:pPr>
      <w:r w:rsidRPr="00900001">
        <w:rPr>
          <w:rFonts w:ascii="Times New Roman" w:hAnsi="Times New Roman" w:cs="Times New Roman"/>
        </w:rPr>
        <w:t xml:space="preserve">TRIBUNAL EUROPEU DOS DIREITOS HUMANOS, Acórdão do Tribunal Europeu dos Direitos Humanos de 29-01-2019, processo n.º 62257/15, 3.ª Secção. Acórdãos TEDH [Em linha]. Relator Branko </w:t>
      </w:r>
      <w:r w:rsidRPr="00461CE1">
        <w:rPr>
          <w:rFonts w:ascii="Times New Roman" w:hAnsi="Times New Roman" w:cs="Times New Roman"/>
        </w:rPr>
        <w:t xml:space="preserve">Lubarda. Estrasburgo : TEDH. [consult. 20 jul. 2021] Disponível em WWW:URL: </w:t>
      </w:r>
      <w:hyperlink r:id="rId9" w:anchor="{&quot;itemid&quot;:[&quot;001-" w:history="1">
        <w:r w:rsidRPr="00461CE1">
          <w:rPr>
            <w:rStyle w:val="Hipervnculo"/>
            <w:rFonts w:ascii="Times New Roman" w:hAnsi="Times New Roman" w:cs="Times New Roman"/>
          </w:rPr>
          <w:t>https://hudoc.echr.coe.int/spa#{"itemid":["001-</w:t>
        </w:r>
      </w:hyperlink>
      <w:r w:rsidRPr="00461CE1">
        <w:rPr>
          <w:rFonts w:ascii="Times New Roman" w:hAnsi="Times New Roman" w:cs="Times New Roman"/>
        </w:rPr>
        <w:t>.</w:t>
      </w:r>
    </w:p>
    <w:p w14:paraId="03932F7F" w14:textId="77777777" w:rsidR="00412114" w:rsidRDefault="00412114" w:rsidP="000C11AC">
      <w:pPr>
        <w:pStyle w:val="Textonotapie"/>
        <w:jc w:val="both"/>
        <w:rPr>
          <w:rFonts w:ascii="Times New Roman" w:hAnsi="Times New Roman" w:cs="Times New Roman"/>
        </w:rPr>
      </w:pPr>
    </w:p>
    <w:p w14:paraId="72A661CF" w14:textId="6327A935" w:rsidR="000C11AC" w:rsidRPr="00485131" w:rsidRDefault="000C11AC" w:rsidP="000C11AC">
      <w:pPr>
        <w:pStyle w:val="Textonotapie"/>
        <w:jc w:val="both"/>
        <w:rPr>
          <w:rFonts w:ascii="Times New Roman" w:hAnsi="Times New Roman" w:cs="Times New Roman"/>
          <w:b/>
          <w:bCs/>
          <w:color w:val="002060"/>
        </w:rPr>
      </w:pPr>
      <w:r w:rsidRPr="00461CE1">
        <w:rPr>
          <w:rFonts w:ascii="Times New Roman" w:hAnsi="Times New Roman" w:cs="Times New Roman"/>
        </w:rPr>
        <w:t xml:space="preserve">TRIBUNAL EUROPEU DOS DIREITOS HUMANOS, Acórdão do Tribunal Europeu dos Direitos Humanos de 3-10-2017, processo n.º 72105/14 e 20415/15, 4.ª Secção, Acórdãos TEDH [Em linha]. Relator </w:t>
      </w:r>
      <w:r w:rsidRPr="00461CE1">
        <w:rPr>
          <w:rFonts w:ascii="Times New Roman" w:hAnsi="Times New Roman" w:cs="Times New Roman"/>
          <w:color w:val="000000"/>
          <w:shd w:val="clear" w:color="auto" w:fill="FFFFFF"/>
        </w:rPr>
        <w:t>Ganna Yudkivska</w:t>
      </w:r>
      <w:r w:rsidRPr="00461CE1">
        <w:rPr>
          <w:rFonts w:ascii="Times New Roman" w:hAnsi="Times New Roman" w:cs="Times New Roman"/>
          <w:color w:val="555555"/>
          <w:shd w:val="clear" w:color="auto" w:fill="FFFFFF"/>
        </w:rPr>
        <w:t xml:space="preserve"> </w:t>
      </w:r>
      <w:r w:rsidRPr="00461CE1">
        <w:rPr>
          <w:rFonts w:ascii="Times New Roman" w:hAnsi="Times New Roman" w:cs="Times New Roman"/>
        </w:rPr>
        <w:t xml:space="preserve">Estrasburgo : TEDH. [consult. 20 jul. 2021] Disponível em </w:t>
      </w:r>
      <w:r w:rsidRPr="00485131">
        <w:rPr>
          <w:rFonts w:ascii="Times New Roman" w:hAnsi="Times New Roman" w:cs="Times New Roman"/>
        </w:rPr>
        <w:t>WWW:URL:</w:t>
      </w:r>
      <w:r w:rsidRPr="00485131">
        <w:rPr>
          <w:rFonts w:ascii="Times New Roman" w:hAnsi="Times New Roman" w:cs="Times New Roman"/>
          <w:color w:val="555555"/>
          <w:shd w:val="clear" w:color="auto" w:fill="FFFFFF"/>
        </w:rPr>
        <w:t>: </w:t>
      </w:r>
      <w:hyperlink r:id="rId10" w:history="1">
        <w:r w:rsidRPr="00485131">
          <w:rPr>
            <w:rFonts w:ascii="Times New Roman" w:hAnsi="Times New Roman" w:cs="Times New Roman"/>
            <w:color w:val="002060"/>
            <w:u w:val="single"/>
            <w:shd w:val="clear" w:color="auto" w:fill="FFFFFF"/>
          </w:rPr>
          <w:t>http://hudoc.echr.coe.int/eng?i=001-177229</w:t>
        </w:r>
      </w:hyperlink>
      <w:r w:rsidRPr="00485131">
        <w:rPr>
          <w:rFonts w:ascii="Times New Roman" w:hAnsi="Times New Roman" w:cs="Times New Roman"/>
          <w:b/>
          <w:bCs/>
          <w:color w:val="002060"/>
        </w:rPr>
        <w:t>.</w:t>
      </w:r>
    </w:p>
    <w:p w14:paraId="5DD17F57" w14:textId="77777777" w:rsidR="00412114" w:rsidRDefault="00412114" w:rsidP="000C11AC">
      <w:pPr>
        <w:pStyle w:val="Textonotapie"/>
        <w:jc w:val="both"/>
        <w:rPr>
          <w:rFonts w:ascii="Times New Roman" w:hAnsi="Times New Roman" w:cs="Times New Roman"/>
        </w:rPr>
      </w:pPr>
      <w:bookmarkStart w:id="8" w:name="_Hlk95204053"/>
    </w:p>
    <w:bookmarkEnd w:id="8"/>
    <w:p w14:paraId="286877E3" w14:textId="57148448" w:rsidR="000C11AC" w:rsidRDefault="000C11AC" w:rsidP="000C11AC">
      <w:pPr>
        <w:pStyle w:val="Textonotapie"/>
        <w:jc w:val="both"/>
        <w:rPr>
          <w:rFonts w:ascii="Times New Roman" w:hAnsi="Times New Roman" w:cs="Times New Roman"/>
        </w:rPr>
      </w:pPr>
      <w:r w:rsidRPr="00485131">
        <w:rPr>
          <w:rFonts w:ascii="Times New Roman" w:hAnsi="Times New Roman" w:cs="Times New Roman"/>
        </w:rPr>
        <w:t xml:space="preserve">RELAÇÃO DE GUIMARÃES – Acórdão do Tribunal da Relação de Guimarães de 202-2017, processo n.º </w:t>
      </w:r>
      <w:r w:rsidRPr="00485131">
        <w:rPr>
          <w:rFonts w:ascii="Times New Roman" w:hAnsi="Times New Roman" w:cs="Times New Roman"/>
          <w:shd w:val="clear" w:color="auto" w:fill="E0F1FF"/>
        </w:rPr>
        <w:t>1660/16.6T8VCT.G1. Acórdãos RG [Em linha] Relator Helena Gomes de Melo, Guimarães : DGSI. [Consult. 29 jan. 2022]. Disponível em WWW:URL: http.dgsi.pt/jtrg.nsf/-/8FD7704BC55CA3D8802580DF005910A7</w:t>
      </w:r>
      <w:r w:rsidRPr="00485131">
        <w:rPr>
          <w:rFonts w:ascii="Times New Roman" w:hAnsi="Times New Roman" w:cs="Times New Roman"/>
        </w:rPr>
        <w:t>?OpenDocument.</w:t>
      </w:r>
    </w:p>
    <w:p w14:paraId="5F22E162" w14:textId="77777777" w:rsidR="00412114" w:rsidRDefault="00412114" w:rsidP="002D0796">
      <w:pPr>
        <w:pStyle w:val="Textonotapie"/>
        <w:jc w:val="both"/>
        <w:rPr>
          <w:rFonts w:ascii="Times New Roman" w:hAnsi="Times New Roman" w:cs="Times New Roman"/>
        </w:rPr>
      </w:pPr>
    </w:p>
    <w:p w14:paraId="2558CEA7" w14:textId="56E660F8" w:rsidR="00412114" w:rsidRDefault="002D0796" w:rsidP="002D0796">
      <w:pPr>
        <w:pStyle w:val="Textonotapie"/>
        <w:jc w:val="both"/>
        <w:rPr>
          <w:rFonts w:ascii="Times New Roman" w:hAnsi="Times New Roman" w:cs="Times New Roman"/>
        </w:rPr>
      </w:pPr>
      <w:r w:rsidRPr="002476B2">
        <w:rPr>
          <w:rFonts w:ascii="Times New Roman" w:hAnsi="Times New Roman" w:cs="Times New Roman"/>
        </w:rPr>
        <w:t>REGULAMENTO (UE) N.o 1259/2010 DO CONSELHO de 20 de Dezembro de 2010 que cria uma cooperação reforçada no domínio da lei aplicável em matéria de divórcio e separação judicial</w:t>
      </w:r>
    </w:p>
    <w:p w14:paraId="2A713C3B" w14:textId="77777777" w:rsidR="00412114" w:rsidRDefault="00412114" w:rsidP="002D0796">
      <w:pPr>
        <w:pStyle w:val="Textonotapie"/>
        <w:jc w:val="both"/>
        <w:rPr>
          <w:rFonts w:ascii="Times New Roman" w:hAnsi="Times New Roman" w:cs="Times New Roman"/>
        </w:rPr>
      </w:pPr>
    </w:p>
    <w:p w14:paraId="6D5901E9" w14:textId="55206598" w:rsidR="002D0796" w:rsidRDefault="002D0796" w:rsidP="002D0796">
      <w:pPr>
        <w:pStyle w:val="Textonotapie"/>
        <w:jc w:val="both"/>
        <w:rPr>
          <w:rFonts w:ascii="Times New Roman" w:hAnsi="Times New Roman" w:cs="Times New Roman"/>
        </w:rPr>
      </w:pPr>
      <w:r w:rsidRPr="002476B2">
        <w:rPr>
          <w:rFonts w:ascii="Times New Roman" w:hAnsi="Times New Roman" w:cs="Times New Roman"/>
        </w:rPr>
        <w:t>REGULAMENTO (UE) 2016/1103 DO CONSELHO de 24 de junho de 2016 que implementa a cooperação reforçada no domínio da competência, da lei aplicável, do reconhecimento e da execução de decisões em matéria de regimes matrimoniais e o REGULAMENTO (UE) 2016/1104 DO CONSELHO de 24 de junho de 2016 que implementa a cooperação reforçada no domínio da competência, da lei aplicável, do reconhecimento e da execução de decisões em matéria de efeitos patrimoniais das parcerias registadas.</w:t>
      </w:r>
    </w:p>
    <w:p w14:paraId="328EA9A0" w14:textId="77777777" w:rsidR="00412114" w:rsidRDefault="002D0796" w:rsidP="002D0796">
      <w:pPr>
        <w:pStyle w:val="Textonotapie"/>
        <w:jc w:val="both"/>
        <w:rPr>
          <w:rFonts w:ascii="Times New Roman" w:hAnsi="Times New Roman" w:cs="Times New Roman"/>
        </w:rPr>
      </w:pPr>
      <w:r>
        <w:rPr>
          <w:rStyle w:val="Textoennegrita"/>
          <w:rFonts w:ascii="Times New Roman" w:hAnsi="Times New Roman" w:cs="Times New Roman"/>
          <w:b w:val="0"/>
          <w:bCs w:val="0"/>
          <w:color w:val="333333"/>
          <w:bdr w:val="none" w:sz="0" w:space="0" w:color="auto" w:frame="1"/>
          <w:shd w:val="clear" w:color="auto" w:fill="FFFFFF"/>
        </w:rPr>
        <w:t xml:space="preserve">Uma iniciativa legislativa sobre </w:t>
      </w:r>
      <w:r>
        <w:t>Reconhecimento da parentalidade entre Estados-Membros (iniciativa legislativa, incluindo a avaliação de impacto, artigo 81.º, n.º 3, do TFUE, T3 2022)</w:t>
      </w:r>
      <w:r w:rsidRPr="00303CD5">
        <w:rPr>
          <w:rFonts w:ascii="Times New Roman" w:hAnsi="Times New Roman" w:cs="Times New Roman"/>
          <w:b/>
          <w:bCs/>
        </w:rPr>
        <w:t>,</w:t>
      </w:r>
      <w:r w:rsidRPr="00303CD5">
        <w:rPr>
          <w:rFonts w:ascii="Times New Roman" w:hAnsi="Times New Roman" w:cs="Times New Roman"/>
        </w:rPr>
        <w:t xml:space="preserve"> foi anunciada como prioridade da Comissão </w:t>
      </w:r>
      <w:r>
        <w:rPr>
          <w:rFonts w:ascii="Times New Roman" w:hAnsi="Times New Roman" w:cs="Times New Roman"/>
        </w:rPr>
        <w:t xml:space="preserve">Europeia </w:t>
      </w:r>
      <w:r w:rsidRPr="00303CD5">
        <w:rPr>
          <w:rFonts w:ascii="Times New Roman" w:hAnsi="Times New Roman" w:cs="Times New Roman"/>
        </w:rPr>
        <w:t>para o presente ano</w:t>
      </w:r>
      <w:r>
        <w:rPr>
          <w:rFonts w:ascii="Times New Roman" w:hAnsi="Times New Roman" w:cs="Times New Roman"/>
        </w:rPr>
        <w:t xml:space="preserve">, e encontra-se prevista no programa de trabalho da Comissão para 2022. </w:t>
      </w:r>
    </w:p>
    <w:p w14:paraId="0BD16037" w14:textId="77777777" w:rsidR="00412114" w:rsidRDefault="00412114" w:rsidP="002D0796">
      <w:pPr>
        <w:pStyle w:val="Textonotapie"/>
        <w:jc w:val="both"/>
        <w:rPr>
          <w:rFonts w:ascii="Times New Roman" w:hAnsi="Times New Roman" w:cs="Times New Roman"/>
        </w:rPr>
      </w:pPr>
    </w:p>
    <w:p w14:paraId="0AAB4441" w14:textId="260E409C" w:rsidR="002D0796" w:rsidRPr="00303CD5" w:rsidRDefault="002D0796" w:rsidP="002D0796">
      <w:pPr>
        <w:pStyle w:val="Textonotapie"/>
        <w:jc w:val="both"/>
        <w:rPr>
          <w:rFonts w:ascii="Times New Roman" w:hAnsi="Times New Roman" w:cs="Times New Roman"/>
          <w:b/>
          <w:bCs/>
        </w:rPr>
      </w:pPr>
      <w:r>
        <w:t>ANEXOS da COMUNICAÇÃO DA COMISSÃO AO PARLAMENTO EUROPEU, AO CONSELHO, AO COMITÉ ECONÓMICO E SOCIAL EUROPEU E AO COMITÉ DAS REGIÕES Programa de trabalho da Comissão para 2022 Juntos por uma Europa mais forte. Disponível em www.https</w:t>
      </w:r>
      <w:r w:rsidRPr="00095243">
        <w:t>://eur-lex.europa.eu/resource.html?uri=cellar:9fb5131e-30e9-11ec-bd8e-01aa75ed71a1.0009.02/DOC_2&amp;format=PDF</w:t>
      </w:r>
      <w:r>
        <w:t>.</w:t>
      </w:r>
    </w:p>
    <w:p w14:paraId="442C2A21" w14:textId="77777777" w:rsidR="002D0796" w:rsidRPr="00485131" w:rsidRDefault="002D0796" w:rsidP="000C11AC">
      <w:pPr>
        <w:pStyle w:val="Textonotapie"/>
        <w:jc w:val="both"/>
        <w:rPr>
          <w:rFonts w:ascii="Times New Roman" w:hAnsi="Times New Roman" w:cs="Times New Roman"/>
        </w:rPr>
      </w:pPr>
    </w:p>
    <w:p w14:paraId="645C7BEF" w14:textId="77777777" w:rsidR="004137F1" w:rsidRPr="00176F72" w:rsidRDefault="004137F1" w:rsidP="004137F1">
      <w:pPr>
        <w:spacing w:line="360" w:lineRule="auto"/>
        <w:rPr>
          <w:rFonts w:ascii="Times New Roman" w:hAnsi="Times New Roman" w:cs="Times New Roman"/>
          <w:sz w:val="24"/>
          <w:szCs w:val="24"/>
        </w:rPr>
      </w:pPr>
    </w:p>
    <w:sectPr w:rsidR="004137F1" w:rsidRPr="00176F72">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049D10" w14:textId="77777777" w:rsidR="00A518A8" w:rsidRDefault="00A518A8" w:rsidP="003B6665">
      <w:pPr>
        <w:spacing w:after="0" w:line="240" w:lineRule="auto"/>
      </w:pPr>
      <w:r>
        <w:separator/>
      </w:r>
    </w:p>
  </w:endnote>
  <w:endnote w:type="continuationSeparator" w:id="0">
    <w:p w14:paraId="5E173F73" w14:textId="77777777" w:rsidR="00A518A8" w:rsidRDefault="00A518A8" w:rsidP="003B6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1240346"/>
      <w:docPartObj>
        <w:docPartGallery w:val="Page Numbers (Bottom of Page)"/>
        <w:docPartUnique/>
      </w:docPartObj>
    </w:sdtPr>
    <w:sdtEndPr/>
    <w:sdtContent>
      <w:p w14:paraId="1C46DD66" w14:textId="2C9F1203" w:rsidR="00BD2CA0" w:rsidRDefault="00BD2CA0">
        <w:pPr>
          <w:pStyle w:val="Piedepgina"/>
          <w:jc w:val="right"/>
        </w:pPr>
        <w:r>
          <w:fldChar w:fldCharType="begin"/>
        </w:r>
        <w:r>
          <w:instrText>PAGE   \* MERGEFORMAT</w:instrText>
        </w:r>
        <w:r>
          <w:fldChar w:fldCharType="separate"/>
        </w:r>
        <w:r w:rsidR="007C642C">
          <w:rPr>
            <w:noProof/>
          </w:rPr>
          <w:t>1</w:t>
        </w:r>
        <w:r>
          <w:fldChar w:fldCharType="end"/>
        </w:r>
      </w:p>
    </w:sdtContent>
  </w:sdt>
  <w:p w14:paraId="055A8E2D" w14:textId="77777777" w:rsidR="00BD2CA0" w:rsidRDefault="00BD2CA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6F2F0" w14:textId="77777777" w:rsidR="00A518A8" w:rsidRDefault="00A518A8" w:rsidP="003B6665">
      <w:pPr>
        <w:spacing w:after="0" w:line="240" w:lineRule="auto"/>
      </w:pPr>
      <w:r>
        <w:separator/>
      </w:r>
    </w:p>
  </w:footnote>
  <w:footnote w:type="continuationSeparator" w:id="0">
    <w:p w14:paraId="4C3DC8F7" w14:textId="77777777" w:rsidR="00A518A8" w:rsidRDefault="00A518A8" w:rsidP="003B6665">
      <w:pPr>
        <w:spacing w:after="0" w:line="240" w:lineRule="auto"/>
      </w:pPr>
      <w:r>
        <w:continuationSeparator/>
      </w:r>
    </w:p>
  </w:footnote>
  <w:footnote w:id="1">
    <w:p w14:paraId="70B0F51D" w14:textId="1BE5C78A" w:rsidR="00682DAC" w:rsidRPr="00682DAC" w:rsidRDefault="00682DAC" w:rsidP="00682DAC">
      <w:pPr>
        <w:spacing w:line="240" w:lineRule="auto"/>
        <w:jc w:val="both"/>
        <w:rPr>
          <w:rFonts w:ascii="Times New Roman" w:hAnsi="Times New Roman" w:cs="Times New Roman"/>
          <w:sz w:val="20"/>
          <w:szCs w:val="20"/>
        </w:rPr>
      </w:pPr>
      <w:r>
        <w:rPr>
          <w:rStyle w:val="Refdenotaalpie"/>
        </w:rPr>
        <w:footnoteRef/>
      </w:r>
      <w:r>
        <w:t xml:space="preserve"> </w:t>
      </w:r>
      <w:r w:rsidRPr="00682DAC">
        <w:rPr>
          <w:rFonts w:ascii="Times New Roman" w:hAnsi="Times New Roman" w:cs="Times New Roman"/>
          <w:sz w:val="20"/>
          <w:szCs w:val="20"/>
        </w:rPr>
        <w:t>Ana Sofia da Silva Gomes</w:t>
      </w:r>
      <w:r>
        <w:rPr>
          <w:rFonts w:ascii="Times New Roman" w:hAnsi="Times New Roman" w:cs="Times New Roman"/>
          <w:sz w:val="20"/>
          <w:szCs w:val="20"/>
        </w:rPr>
        <w:t xml:space="preserve">, </w:t>
      </w:r>
      <w:r w:rsidRPr="00682DAC">
        <w:rPr>
          <w:rFonts w:ascii="Times New Roman" w:hAnsi="Times New Roman" w:cs="Times New Roman"/>
          <w:sz w:val="20"/>
          <w:szCs w:val="20"/>
        </w:rPr>
        <w:t>Professora Auxiliar na Universidade Lusíada, Portugal</w:t>
      </w:r>
      <w:r>
        <w:rPr>
          <w:rFonts w:ascii="Times New Roman" w:hAnsi="Times New Roman" w:cs="Times New Roman"/>
          <w:sz w:val="20"/>
          <w:szCs w:val="20"/>
        </w:rPr>
        <w:t xml:space="preserve">, e-mail: </w:t>
      </w:r>
      <w:r w:rsidRPr="00682DAC">
        <w:rPr>
          <w:rFonts w:ascii="Times New Roman" w:hAnsi="Times New Roman" w:cs="Times New Roman"/>
          <w:sz w:val="20"/>
          <w:szCs w:val="20"/>
        </w:rPr>
        <w:t>anasofiagomes.asg@gmail.com</w:t>
      </w:r>
      <w:r>
        <w:rPr>
          <w:rFonts w:ascii="Times New Roman" w:hAnsi="Times New Roman" w:cs="Times New Roman"/>
          <w:sz w:val="20"/>
          <w:szCs w:val="20"/>
        </w:rPr>
        <w:t>.</w:t>
      </w:r>
    </w:p>
  </w:footnote>
  <w:footnote w:id="2">
    <w:p w14:paraId="42E35D0E" w14:textId="56C06190" w:rsidR="004E02F3" w:rsidRPr="00C02148" w:rsidRDefault="004E02F3" w:rsidP="00682DAC">
      <w:pPr>
        <w:pStyle w:val="Textonotapie"/>
        <w:jc w:val="both"/>
        <w:rPr>
          <w:rFonts w:ascii="Times New Roman" w:hAnsi="Times New Roman" w:cs="Times New Roman"/>
        </w:rPr>
      </w:pPr>
      <w:r>
        <w:rPr>
          <w:rStyle w:val="Refdenotaalpie"/>
        </w:rPr>
        <w:footnoteRef/>
      </w:r>
      <w:r>
        <w:t xml:space="preserve"> </w:t>
      </w:r>
      <w:r w:rsidRPr="00C02148">
        <w:rPr>
          <w:rFonts w:ascii="Times New Roman" w:hAnsi="Times New Roman" w:cs="Times New Roman"/>
        </w:rPr>
        <w:t xml:space="preserve">Neste sentido, </w:t>
      </w:r>
      <w:r w:rsidR="006565D5" w:rsidRPr="00C02148">
        <w:rPr>
          <w:rFonts w:ascii="Times New Roman" w:hAnsi="Times New Roman" w:cs="Times New Roman"/>
        </w:rPr>
        <w:t>reconhece-lhe</w:t>
      </w:r>
      <w:r w:rsidRPr="00C02148">
        <w:rPr>
          <w:rFonts w:ascii="Times New Roman" w:hAnsi="Times New Roman" w:cs="Times New Roman"/>
        </w:rPr>
        <w:t xml:space="preserve"> a Convenção sobre os </w:t>
      </w:r>
      <w:r w:rsidR="006565D5" w:rsidRPr="00C02148">
        <w:rPr>
          <w:rFonts w:ascii="Times New Roman" w:hAnsi="Times New Roman" w:cs="Times New Roman"/>
        </w:rPr>
        <w:t>D</w:t>
      </w:r>
      <w:r w:rsidRPr="00C02148">
        <w:rPr>
          <w:rFonts w:ascii="Times New Roman" w:hAnsi="Times New Roman" w:cs="Times New Roman"/>
        </w:rPr>
        <w:t xml:space="preserve">ireitos da </w:t>
      </w:r>
      <w:r w:rsidR="006565D5" w:rsidRPr="00C02148">
        <w:rPr>
          <w:rFonts w:ascii="Times New Roman" w:hAnsi="Times New Roman" w:cs="Times New Roman"/>
        </w:rPr>
        <w:t>C</w:t>
      </w:r>
      <w:r w:rsidRPr="00C02148">
        <w:rPr>
          <w:rFonts w:ascii="Times New Roman" w:hAnsi="Times New Roman" w:cs="Times New Roman"/>
        </w:rPr>
        <w:t>riança,</w:t>
      </w:r>
      <w:r w:rsidR="00067928">
        <w:rPr>
          <w:rFonts w:ascii="Times New Roman" w:hAnsi="Times New Roman" w:cs="Times New Roman"/>
        </w:rPr>
        <w:t xml:space="preserve"> </w:t>
      </w:r>
      <w:r w:rsidR="006565D5" w:rsidRPr="00C02148">
        <w:rPr>
          <w:rFonts w:ascii="Times New Roman" w:hAnsi="Times New Roman" w:cs="Times New Roman"/>
        </w:rPr>
        <w:t xml:space="preserve">“[…] </w:t>
      </w:r>
      <w:r w:rsidRPr="00C02148">
        <w:rPr>
          <w:rFonts w:ascii="Times New Roman" w:hAnsi="Times New Roman" w:cs="Times New Roman"/>
        </w:rPr>
        <w:t>sempre que possível, o direito de conhecer os seus pais e de ser educada por eles</w:t>
      </w:r>
      <w:r w:rsidR="006565D5" w:rsidRPr="00C02148">
        <w:rPr>
          <w:rFonts w:ascii="Times New Roman" w:hAnsi="Times New Roman" w:cs="Times New Roman"/>
        </w:rPr>
        <w:t>” (artigo 7.º, n.º</w:t>
      </w:r>
      <w:r w:rsidR="00834A4F">
        <w:rPr>
          <w:rFonts w:ascii="Times New Roman" w:hAnsi="Times New Roman" w:cs="Times New Roman"/>
        </w:rPr>
        <w:t xml:space="preserve"> </w:t>
      </w:r>
      <w:r w:rsidR="006565D5" w:rsidRPr="00C02148">
        <w:rPr>
          <w:rFonts w:ascii="Times New Roman" w:hAnsi="Times New Roman" w:cs="Times New Roman"/>
        </w:rPr>
        <w:t>1) e, ainda, que “[o]s Estados Partes comprometem-se a respeitar o direito da criança a preservar a sua identidade, incluindo a nacionalidade, o nome e relações familiares, nos termos da lei, sem ingerência ilegal (artigo 8.º, n.º 2)</w:t>
      </w:r>
      <w:r w:rsidRPr="00C02148">
        <w:rPr>
          <w:rFonts w:ascii="Times New Roman" w:hAnsi="Times New Roman" w:cs="Times New Roman"/>
        </w:rPr>
        <w:t>.</w:t>
      </w:r>
    </w:p>
  </w:footnote>
  <w:footnote w:id="3">
    <w:p w14:paraId="1D282518" w14:textId="705AAD64" w:rsidR="003B2A26" w:rsidRPr="0019604B" w:rsidRDefault="003B2A26" w:rsidP="0019604B">
      <w:pPr>
        <w:pStyle w:val="Textonotapie"/>
        <w:jc w:val="both"/>
        <w:rPr>
          <w:rFonts w:ascii="Times New Roman" w:hAnsi="Times New Roman" w:cs="Times New Roman"/>
        </w:rPr>
      </w:pPr>
      <w:r>
        <w:rPr>
          <w:rStyle w:val="Refdenotaalpie"/>
        </w:rPr>
        <w:footnoteRef/>
      </w:r>
      <w:r>
        <w:t xml:space="preserve"> </w:t>
      </w:r>
      <w:r w:rsidR="007A797C" w:rsidRPr="0019604B">
        <w:rPr>
          <w:rFonts w:ascii="Times New Roman" w:hAnsi="Times New Roman" w:cs="Times New Roman"/>
        </w:rPr>
        <w:t xml:space="preserve">TRIBUNAL CONSTITUCIONAL, Acórdão do Tribunal Constitucional de 4-10-2018, processo n.º 471/17, 2.ª Secção. Acórdãos TC [Em linha]. Relator Maria Clara Sottomayor. Lisboa : </w:t>
      </w:r>
      <w:r w:rsidR="0019604B" w:rsidRPr="0019604B">
        <w:rPr>
          <w:rFonts w:ascii="Times New Roman" w:hAnsi="Times New Roman" w:cs="Times New Roman"/>
        </w:rPr>
        <w:t>TC</w:t>
      </w:r>
      <w:r w:rsidR="007A797C" w:rsidRPr="0019604B">
        <w:rPr>
          <w:rFonts w:ascii="Times New Roman" w:hAnsi="Times New Roman" w:cs="Times New Roman"/>
        </w:rPr>
        <w:t>. [consult. 27 dez. 2021]</w:t>
      </w:r>
      <w:r w:rsidR="0019604B" w:rsidRPr="0019604B">
        <w:rPr>
          <w:rFonts w:ascii="Times New Roman" w:hAnsi="Times New Roman" w:cs="Times New Roman"/>
        </w:rPr>
        <w:t xml:space="preserve"> Disponível em WWW:URL:</w:t>
      </w:r>
      <w:r w:rsidR="007A797C" w:rsidRPr="0019604B">
        <w:rPr>
          <w:rFonts w:ascii="Times New Roman" w:hAnsi="Times New Roman" w:cs="Times New Roman"/>
        </w:rPr>
        <w:t xml:space="preserve"> https://www.tribunalconstitucional.pt/tc/acordaos/20180488.html</w:t>
      </w:r>
      <w:r w:rsidR="0019604B" w:rsidRPr="0019604B">
        <w:rPr>
          <w:rFonts w:ascii="Times New Roman" w:hAnsi="Times New Roman" w:cs="Times New Roman"/>
        </w:rPr>
        <w:t>.</w:t>
      </w:r>
    </w:p>
  </w:footnote>
  <w:footnote w:id="4">
    <w:p w14:paraId="09AA11B6" w14:textId="4192787F" w:rsidR="00F50B3B" w:rsidRDefault="00F50B3B">
      <w:pPr>
        <w:pStyle w:val="Textonotapie"/>
      </w:pPr>
      <w:r>
        <w:rPr>
          <w:rStyle w:val="Refdenotaalpie"/>
        </w:rPr>
        <w:footnoteRef/>
      </w:r>
      <w:r>
        <w:t xml:space="preserve"> </w:t>
      </w:r>
      <w:r w:rsidRPr="0019604B">
        <w:rPr>
          <w:rFonts w:ascii="Times New Roman" w:hAnsi="Times New Roman" w:cs="Times New Roman"/>
        </w:rPr>
        <w:t xml:space="preserve">TRIBUNAL CONSTITUCIONAL, Acórdão do Tribunal Constitucional de 4-10-2018, processo n.º 471/17, </w:t>
      </w:r>
      <w:r w:rsidR="00F733FC">
        <w:rPr>
          <w:rFonts w:ascii="Times New Roman" w:hAnsi="Times New Roman" w:cs="Times New Roman"/>
        </w:rPr>
        <w:t>Pleno</w:t>
      </w:r>
      <w:r w:rsidRPr="0019604B">
        <w:rPr>
          <w:rFonts w:ascii="Times New Roman" w:hAnsi="Times New Roman" w:cs="Times New Roman"/>
        </w:rPr>
        <w:t xml:space="preserve">. Acórdãos TC [Em linha]. Relator </w:t>
      </w:r>
      <w:r w:rsidR="00F733FC">
        <w:rPr>
          <w:rFonts w:ascii="Times New Roman" w:hAnsi="Times New Roman" w:cs="Times New Roman"/>
        </w:rPr>
        <w:t>João Pedro Caupers (</w:t>
      </w:r>
      <w:r w:rsidRPr="0019604B">
        <w:rPr>
          <w:rFonts w:ascii="Times New Roman" w:hAnsi="Times New Roman" w:cs="Times New Roman"/>
        </w:rPr>
        <w:t>Maria Clara Sottomayor</w:t>
      </w:r>
      <w:r w:rsidR="00F733FC">
        <w:rPr>
          <w:rFonts w:ascii="Times New Roman" w:hAnsi="Times New Roman" w:cs="Times New Roman"/>
        </w:rPr>
        <w:t>)</w:t>
      </w:r>
      <w:r w:rsidRPr="0019604B">
        <w:rPr>
          <w:rFonts w:ascii="Times New Roman" w:hAnsi="Times New Roman" w:cs="Times New Roman"/>
        </w:rPr>
        <w:t xml:space="preserve">. Lisboa : TC. [consult. 27 dez. 2021] Disponível em WWW:URL: </w:t>
      </w:r>
      <w:hyperlink r:id="rId1" w:history="1">
        <w:r w:rsidR="00F733FC" w:rsidRPr="00F733FC">
          <w:rPr>
            <w:rStyle w:val="Hipervnculo"/>
            <w:rFonts w:ascii="Times New Roman" w:hAnsi="Times New Roman" w:cs="Times New Roman"/>
            <w:color w:val="auto"/>
            <w:u w:val="none"/>
          </w:rPr>
          <w:t>https://www.tribunalconstitucional.pt/tc/acordaos/20190394.html</w:t>
        </w:r>
      </w:hyperlink>
      <w:r w:rsidRPr="00F733FC">
        <w:rPr>
          <w:rFonts w:ascii="Times New Roman" w:hAnsi="Times New Roman" w:cs="Times New Roman"/>
        </w:rPr>
        <w:t>.</w:t>
      </w:r>
    </w:p>
  </w:footnote>
  <w:footnote w:id="5">
    <w:p w14:paraId="7BC59257" w14:textId="77777777" w:rsidR="00C54D96" w:rsidRDefault="00F34081" w:rsidP="0019604B">
      <w:pPr>
        <w:pStyle w:val="Textonotapie"/>
        <w:jc w:val="both"/>
        <w:rPr>
          <w:rFonts w:ascii="Times New Roman" w:hAnsi="Times New Roman" w:cs="Times New Roman"/>
        </w:rPr>
      </w:pPr>
      <w:r w:rsidRPr="0019604B">
        <w:rPr>
          <w:rStyle w:val="Refdenotaalpie"/>
          <w:rFonts w:ascii="Times New Roman" w:hAnsi="Times New Roman" w:cs="Times New Roman"/>
        </w:rPr>
        <w:footnoteRef/>
      </w:r>
      <w:r w:rsidR="00FF3A1A">
        <w:rPr>
          <w:rFonts w:ascii="Times New Roman" w:hAnsi="Times New Roman" w:cs="Times New Roman"/>
        </w:rPr>
        <w:t>Assim,</w:t>
      </w:r>
      <w:r w:rsidRPr="0019604B">
        <w:rPr>
          <w:rFonts w:ascii="Times New Roman" w:hAnsi="Times New Roman" w:cs="Times New Roman"/>
        </w:rPr>
        <w:t xml:space="preserve"> </w:t>
      </w:r>
      <w:r w:rsidR="002F07B2" w:rsidRPr="0019604B">
        <w:rPr>
          <w:rFonts w:ascii="Times New Roman" w:hAnsi="Times New Roman" w:cs="Times New Roman"/>
        </w:rPr>
        <w:t xml:space="preserve">MIRANDA, Jorge/MEDEIROS, Rui, Constituição Portuguesa Anotada, Tomo I, Coimbra Editora: </w:t>
      </w:r>
    </w:p>
    <w:p w14:paraId="5131F20D" w14:textId="3C7BFDD4" w:rsidR="00F34081" w:rsidRPr="00682DAC" w:rsidRDefault="002F07B2" w:rsidP="00682DAC">
      <w:pPr>
        <w:pStyle w:val="Textonotapie"/>
        <w:jc w:val="both"/>
        <w:rPr>
          <w:rFonts w:ascii="Times New Roman" w:hAnsi="Times New Roman" w:cs="Times New Roman"/>
        </w:rPr>
      </w:pPr>
      <w:r w:rsidRPr="0019604B">
        <w:rPr>
          <w:rFonts w:ascii="Times New Roman" w:hAnsi="Times New Roman" w:cs="Times New Roman"/>
        </w:rPr>
        <w:t>Coimbra, 2005, p. 285.</w:t>
      </w:r>
      <w:r w:rsidR="00FF3A1A">
        <w:rPr>
          <w:rFonts w:ascii="Times New Roman" w:hAnsi="Times New Roman" w:cs="Times New Roman"/>
        </w:rPr>
        <w:t xml:space="preserve"> Sobre a </w:t>
      </w:r>
      <w:r w:rsidR="00681F2E">
        <w:rPr>
          <w:rFonts w:ascii="Times New Roman" w:hAnsi="Times New Roman" w:cs="Times New Roman"/>
        </w:rPr>
        <w:t xml:space="preserve">relação entre a </w:t>
      </w:r>
      <w:r w:rsidR="00FF3A1A">
        <w:rPr>
          <w:rFonts w:ascii="Times New Roman" w:hAnsi="Times New Roman" w:cs="Times New Roman"/>
        </w:rPr>
        <w:t xml:space="preserve">identidade </w:t>
      </w:r>
      <w:r w:rsidR="00681F2E">
        <w:rPr>
          <w:rFonts w:ascii="Times New Roman" w:hAnsi="Times New Roman" w:cs="Times New Roman"/>
        </w:rPr>
        <w:t xml:space="preserve">genética e a relação afetiva, SOTTOMAYOR, Maria Clara, “Qual é o interesse da criança? Identidade biológica versus relação afetiva”, in AA.VV., Volume </w:t>
      </w:r>
      <w:r w:rsidR="00681F2E" w:rsidRPr="00682DAC">
        <w:rPr>
          <w:rFonts w:ascii="Times New Roman" w:hAnsi="Times New Roman" w:cs="Times New Roman"/>
        </w:rPr>
        <w:t>comemorativo dos 10 anos do curso de pós-graduação “Proteção de menores – Prof. Doutor F. M. Pereira Coelho”, Coimbra, Centro de Direito da Família/Coimbra Editora, 2008, pp. 23-60.</w:t>
      </w:r>
    </w:p>
  </w:footnote>
  <w:footnote w:id="6">
    <w:p w14:paraId="143A0EF9" w14:textId="2791FFCD" w:rsidR="00682DAC" w:rsidRDefault="00682DAC" w:rsidP="00682DAC">
      <w:pPr>
        <w:pStyle w:val="Textonotapie"/>
        <w:jc w:val="both"/>
      </w:pPr>
      <w:r w:rsidRPr="00682DAC">
        <w:rPr>
          <w:rStyle w:val="Refdenotaalpie"/>
          <w:rFonts w:ascii="Times New Roman" w:hAnsi="Times New Roman" w:cs="Times New Roman"/>
        </w:rPr>
        <w:footnoteRef/>
      </w:r>
      <w:r w:rsidRPr="00682DAC">
        <w:rPr>
          <w:rFonts w:ascii="Times New Roman" w:hAnsi="Times New Roman" w:cs="Times New Roman"/>
        </w:rPr>
        <w:t xml:space="preserve"> O direito à identidade pessoal encontra-se, também, consagrado enquanto</w:t>
      </w:r>
      <w:r>
        <w:rPr>
          <w:rFonts w:ascii="Times New Roman" w:hAnsi="Times New Roman" w:cs="Times New Roman"/>
        </w:rPr>
        <w:t xml:space="preserve"> _________</w:t>
      </w:r>
      <w:r w:rsidRPr="00682DAC">
        <w:rPr>
          <w:rFonts w:ascii="Times New Roman" w:hAnsi="Times New Roman" w:cs="Times New Roman"/>
        </w:rPr>
        <w:t xml:space="preserve"> de vida privada. O direito à vida privada é um direito garantido nos ordenamentos jurídicos dos Estados-membros da União Europeia, encontrando-se consagrado, enquanto direito humano, no artigo 8.º da Convenção Europeia dos Direitos Humanos (CEDH).</w:t>
      </w:r>
    </w:p>
  </w:footnote>
  <w:footnote w:id="7">
    <w:p w14:paraId="046DE56D" w14:textId="24BFF2BA" w:rsidR="003B2A26" w:rsidRPr="0019604B" w:rsidRDefault="003B2A26" w:rsidP="0019604B">
      <w:pPr>
        <w:pStyle w:val="Textonotapie"/>
        <w:jc w:val="both"/>
        <w:rPr>
          <w:rFonts w:ascii="Times New Roman" w:hAnsi="Times New Roman" w:cs="Times New Roman"/>
        </w:rPr>
      </w:pPr>
      <w:r w:rsidRPr="0019604B">
        <w:rPr>
          <w:rStyle w:val="Refdenotaalpie"/>
          <w:rFonts w:ascii="Times New Roman" w:hAnsi="Times New Roman" w:cs="Times New Roman"/>
        </w:rPr>
        <w:footnoteRef/>
      </w:r>
      <w:r w:rsidRPr="0019604B">
        <w:rPr>
          <w:rFonts w:ascii="Times New Roman" w:hAnsi="Times New Roman" w:cs="Times New Roman"/>
        </w:rPr>
        <w:t xml:space="preserve"> OLIVEIRA, Guilherme, Estabelecimento da Filiação, Livraria Almedina: Coimbra, 1995, p. 7.</w:t>
      </w:r>
    </w:p>
  </w:footnote>
  <w:footnote w:id="8">
    <w:p w14:paraId="711F0CAB" w14:textId="618742B5" w:rsidR="002F07B2" w:rsidRDefault="002F07B2" w:rsidP="0019604B">
      <w:pPr>
        <w:pStyle w:val="Textonotapie"/>
        <w:jc w:val="both"/>
      </w:pPr>
      <w:r w:rsidRPr="0019604B">
        <w:rPr>
          <w:rStyle w:val="Refdenotaalpie"/>
          <w:rFonts w:ascii="Times New Roman" w:hAnsi="Times New Roman" w:cs="Times New Roman"/>
        </w:rPr>
        <w:footnoteRef/>
      </w:r>
      <w:r w:rsidRPr="0019604B">
        <w:rPr>
          <w:rFonts w:ascii="Times New Roman" w:hAnsi="Times New Roman" w:cs="Times New Roman"/>
        </w:rPr>
        <w:t xml:space="preserve"> COELHO, Francisco Pereira</w:t>
      </w:r>
      <w:r w:rsidR="00CA607B" w:rsidRPr="0019604B">
        <w:rPr>
          <w:rFonts w:ascii="Times New Roman" w:hAnsi="Times New Roman" w:cs="Times New Roman"/>
        </w:rPr>
        <w:t>/</w:t>
      </w:r>
      <w:r w:rsidRPr="0019604B">
        <w:rPr>
          <w:rFonts w:ascii="Times New Roman" w:hAnsi="Times New Roman" w:cs="Times New Roman"/>
        </w:rPr>
        <w:t xml:space="preserve">OLIVEIRA, Guilherme, Curso de </w:t>
      </w:r>
      <w:r w:rsidR="00CA607B" w:rsidRPr="0019604B">
        <w:rPr>
          <w:rFonts w:ascii="Times New Roman" w:hAnsi="Times New Roman" w:cs="Times New Roman"/>
        </w:rPr>
        <w:t>Direito da Família – Volume II – Direito da Filiação – Tomo I, Coimbra Editora: Coimbra, 2006, p. 86-87.</w:t>
      </w:r>
    </w:p>
  </w:footnote>
  <w:footnote w:id="9">
    <w:p w14:paraId="395348F2" w14:textId="55B62772" w:rsidR="00935A2E" w:rsidRPr="001E3598" w:rsidRDefault="00935A2E" w:rsidP="001E3598">
      <w:pPr>
        <w:pStyle w:val="Textonotapie"/>
        <w:jc w:val="both"/>
        <w:rPr>
          <w:rFonts w:ascii="Times New Roman" w:hAnsi="Times New Roman" w:cs="Times New Roman"/>
        </w:rPr>
      </w:pPr>
      <w:r w:rsidRPr="00963500">
        <w:rPr>
          <w:rStyle w:val="Refdenotaalpie"/>
          <w:rFonts w:ascii="Times New Roman" w:hAnsi="Times New Roman" w:cs="Times New Roman"/>
        </w:rPr>
        <w:footnoteRef/>
      </w:r>
      <w:r w:rsidRPr="00963500">
        <w:rPr>
          <w:rFonts w:ascii="Times New Roman" w:hAnsi="Times New Roman" w:cs="Times New Roman"/>
        </w:rPr>
        <w:t xml:space="preserve"> </w:t>
      </w:r>
      <w:r w:rsidR="00485C3B" w:rsidRPr="00963500">
        <w:rPr>
          <w:rFonts w:ascii="Times New Roman" w:hAnsi="Times New Roman" w:cs="Times New Roman"/>
        </w:rPr>
        <w:t>Introduzido na ordem jurídica portuguesa</w:t>
      </w:r>
      <w:r w:rsidR="001E3598">
        <w:rPr>
          <w:rFonts w:ascii="Times New Roman" w:hAnsi="Times New Roman" w:cs="Times New Roman"/>
        </w:rPr>
        <w:t>.</w:t>
      </w:r>
      <w:r w:rsidR="00E203CF" w:rsidRPr="00963500">
        <w:rPr>
          <w:rFonts w:ascii="Times New Roman" w:hAnsi="Times New Roman" w:cs="Times New Roman"/>
        </w:rPr>
        <w:t xml:space="preserve"> </w:t>
      </w:r>
      <w:r w:rsidR="008D7228">
        <w:rPr>
          <w:rFonts w:ascii="Times New Roman" w:hAnsi="Times New Roman" w:cs="Times New Roman"/>
        </w:rPr>
        <w:t>através da</w:t>
      </w:r>
      <w:r w:rsidR="00E203CF" w:rsidRPr="00963500">
        <w:rPr>
          <w:rFonts w:ascii="Times New Roman" w:hAnsi="Times New Roman" w:cs="Times New Roman"/>
        </w:rPr>
        <w:t xml:space="preserve"> reforma operada pelo Decreto-Lei </w:t>
      </w:r>
      <w:r w:rsidR="008D7228">
        <w:rPr>
          <w:rFonts w:ascii="Times New Roman" w:hAnsi="Times New Roman" w:cs="Times New Roman"/>
        </w:rPr>
        <w:t xml:space="preserve">n.º </w:t>
      </w:r>
      <w:r w:rsidR="00E203CF" w:rsidRPr="00963500">
        <w:rPr>
          <w:rFonts w:ascii="Times New Roman" w:hAnsi="Times New Roman" w:cs="Times New Roman"/>
        </w:rPr>
        <w:t xml:space="preserve">486/77, de 25-11. </w:t>
      </w:r>
      <w:r w:rsidR="00963500" w:rsidRPr="00963500">
        <w:rPr>
          <w:rFonts w:ascii="Times New Roman" w:hAnsi="Times New Roman" w:cs="Times New Roman"/>
        </w:rPr>
        <w:t xml:space="preserve">A consagração deste princípio, determinou </w:t>
      </w:r>
      <w:r w:rsidR="00CE585D">
        <w:rPr>
          <w:rFonts w:ascii="Times New Roman" w:hAnsi="Times New Roman" w:cs="Times New Roman"/>
        </w:rPr>
        <w:t xml:space="preserve">a </w:t>
      </w:r>
      <w:r w:rsidR="00F733FC">
        <w:rPr>
          <w:rFonts w:ascii="Times New Roman" w:hAnsi="Times New Roman" w:cs="Times New Roman"/>
        </w:rPr>
        <w:t>previs</w:t>
      </w:r>
      <w:r w:rsidR="00CE585D">
        <w:rPr>
          <w:rFonts w:ascii="Times New Roman" w:hAnsi="Times New Roman" w:cs="Times New Roman"/>
        </w:rPr>
        <w:t>ão de</w:t>
      </w:r>
      <w:r w:rsidR="00CE585D" w:rsidRPr="00963500">
        <w:rPr>
          <w:rFonts w:ascii="Times New Roman" w:hAnsi="Times New Roman" w:cs="Times New Roman"/>
        </w:rPr>
        <w:t xml:space="preserve"> meios científicos de prova (artigo 1801.º CC)</w:t>
      </w:r>
      <w:r w:rsidR="00CE585D">
        <w:rPr>
          <w:rFonts w:ascii="Times New Roman" w:hAnsi="Times New Roman" w:cs="Times New Roman"/>
        </w:rPr>
        <w:t xml:space="preserve"> e, ainda,</w:t>
      </w:r>
      <w:r w:rsidR="00CE585D" w:rsidRPr="00963500">
        <w:rPr>
          <w:rFonts w:ascii="Times New Roman" w:hAnsi="Times New Roman" w:cs="Times New Roman"/>
        </w:rPr>
        <w:t xml:space="preserve"> </w:t>
      </w:r>
      <w:r w:rsidR="00963500" w:rsidRPr="00963500">
        <w:rPr>
          <w:rFonts w:ascii="Times New Roman" w:hAnsi="Times New Roman" w:cs="Times New Roman"/>
        </w:rPr>
        <w:t>que as condições de admissibilidade d</w:t>
      </w:r>
      <w:r w:rsidR="00CE585D">
        <w:rPr>
          <w:rFonts w:ascii="Times New Roman" w:hAnsi="Times New Roman" w:cs="Times New Roman"/>
        </w:rPr>
        <w:t>a</w:t>
      </w:r>
      <w:r w:rsidR="00963500" w:rsidRPr="00963500">
        <w:rPr>
          <w:rFonts w:ascii="Times New Roman" w:hAnsi="Times New Roman" w:cs="Times New Roman"/>
        </w:rPr>
        <w:t xml:space="preserve"> ação de investigação de paternidade, antes previstas, passassem, então, a constituir presunções de paternidade, </w:t>
      </w:r>
      <w:r w:rsidR="008D7228">
        <w:rPr>
          <w:rFonts w:ascii="Times New Roman" w:hAnsi="Times New Roman" w:cs="Times New Roman"/>
        </w:rPr>
        <w:t>ou na expressão de Guilherme de Oliveira, índices de verdade biológica. Assim, O</w:t>
      </w:r>
      <w:r w:rsidR="00CE585D">
        <w:rPr>
          <w:rFonts w:ascii="Times New Roman" w:hAnsi="Times New Roman" w:cs="Times New Roman"/>
        </w:rPr>
        <w:t>LIVEIRA</w:t>
      </w:r>
      <w:r w:rsidR="008D7228">
        <w:rPr>
          <w:rFonts w:ascii="Times New Roman" w:hAnsi="Times New Roman" w:cs="Times New Roman"/>
        </w:rPr>
        <w:t xml:space="preserve">, Guilherme, Critério Jurídico de Paternidade, Almedina: </w:t>
      </w:r>
      <w:r w:rsidR="008D7228" w:rsidRPr="001E3598">
        <w:rPr>
          <w:rFonts w:ascii="Times New Roman" w:hAnsi="Times New Roman" w:cs="Times New Roman"/>
        </w:rPr>
        <w:t xml:space="preserve">Coimbra, 1998, </w:t>
      </w:r>
      <w:r w:rsidR="00CE585D" w:rsidRPr="001E3598">
        <w:rPr>
          <w:rFonts w:ascii="Times New Roman" w:hAnsi="Times New Roman" w:cs="Times New Roman"/>
        </w:rPr>
        <w:t>nota 20, p. 296</w:t>
      </w:r>
      <w:bookmarkStart w:id="1" w:name="_Hlk94899251"/>
      <w:r w:rsidR="00F733FC" w:rsidRPr="001E3598">
        <w:rPr>
          <w:rFonts w:ascii="Times New Roman" w:hAnsi="Times New Roman" w:cs="Times New Roman"/>
        </w:rPr>
        <w:t>.</w:t>
      </w:r>
      <w:r w:rsidR="00963500" w:rsidRPr="001E3598">
        <w:rPr>
          <w:rFonts w:ascii="Times New Roman" w:hAnsi="Times New Roman" w:cs="Times New Roman"/>
        </w:rPr>
        <w:t xml:space="preserve"> </w:t>
      </w:r>
      <w:bookmarkEnd w:id="1"/>
    </w:p>
  </w:footnote>
  <w:footnote w:id="10">
    <w:p w14:paraId="38A2206A" w14:textId="2806BCD1" w:rsidR="008012EA" w:rsidRDefault="008012EA" w:rsidP="001E3598">
      <w:pPr>
        <w:pStyle w:val="Textonotapie"/>
        <w:jc w:val="both"/>
      </w:pPr>
      <w:r w:rsidRPr="001E3598">
        <w:rPr>
          <w:rStyle w:val="Refdenotaalpie"/>
          <w:rFonts w:ascii="Times New Roman" w:hAnsi="Times New Roman" w:cs="Times New Roman"/>
        </w:rPr>
        <w:footnoteRef/>
      </w:r>
      <w:r w:rsidRPr="001E3598">
        <w:rPr>
          <w:rFonts w:ascii="Times New Roman" w:hAnsi="Times New Roman" w:cs="Times New Roman"/>
        </w:rPr>
        <w:t xml:space="preserve"> Assim LENTI, Leonardo, La procreazione artificiali. Genoma della persona e atribuizione della paternità, Cedam: Padova, 1993.</w:t>
      </w:r>
    </w:p>
  </w:footnote>
  <w:footnote w:id="11">
    <w:p w14:paraId="0DDEC9FD" w14:textId="29665D76" w:rsidR="00CA25A1" w:rsidRPr="00FF3A1A" w:rsidRDefault="00CA25A1" w:rsidP="00FF3A1A">
      <w:pPr>
        <w:pStyle w:val="Textonotapie"/>
        <w:jc w:val="both"/>
        <w:rPr>
          <w:rFonts w:ascii="Times New Roman" w:hAnsi="Times New Roman" w:cs="Times New Roman"/>
        </w:rPr>
      </w:pPr>
      <w:r>
        <w:rPr>
          <w:rStyle w:val="Refdenotaalpie"/>
        </w:rPr>
        <w:footnoteRef/>
      </w:r>
      <w:r>
        <w:t xml:space="preserve"> </w:t>
      </w:r>
      <w:r w:rsidR="001A7F52" w:rsidRPr="00FF3A1A">
        <w:rPr>
          <w:rFonts w:ascii="Times New Roman" w:hAnsi="Times New Roman" w:cs="Times New Roman"/>
        </w:rPr>
        <w:t xml:space="preserve">Ainda que no momento em que o registo de nascimento é lavrado, se desconheça a identidade da mãe ou do pai, as respetivas comprovações poderão ser objeto quer de menção ou </w:t>
      </w:r>
      <w:r w:rsidR="00935A2E">
        <w:rPr>
          <w:rFonts w:ascii="Times New Roman" w:hAnsi="Times New Roman" w:cs="Times New Roman"/>
        </w:rPr>
        <w:t xml:space="preserve">de </w:t>
      </w:r>
      <w:r w:rsidR="001A7F52" w:rsidRPr="00FF3A1A">
        <w:rPr>
          <w:rFonts w:ascii="Times New Roman" w:hAnsi="Times New Roman" w:cs="Times New Roman"/>
        </w:rPr>
        <w:t xml:space="preserve">investigação de maternidade, quer de presunção, perfilhação ou investigação de paternidade. Sobre a vulnerabilidade da determinação da pessoa da mãe, em face das novas técnicas de fertilização e de </w:t>
      </w:r>
      <w:r w:rsidR="004B79FD" w:rsidRPr="00FF3A1A">
        <w:rPr>
          <w:rFonts w:ascii="Times New Roman" w:hAnsi="Times New Roman" w:cs="Times New Roman"/>
        </w:rPr>
        <w:t xml:space="preserve">possibilidade de recurso à maternidade de substituição, GONZÁLEZ, José Alberto, Código Civil Anotado, Vol. V, 2.ª Edição, </w:t>
      </w:r>
      <w:r w:rsidR="00681F2E">
        <w:rPr>
          <w:rFonts w:ascii="Times New Roman" w:hAnsi="Times New Roman" w:cs="Times New Roman"/>
        </w:rPr>
        <w:t>Q</w:t>
      </w:r>
      <w:r w:rsidR="004B79FD" w:rsidRPr="00FF3A1A">
        <w:rPr>
          <w:rFonts w:ascii="Times New Roman" w:hAnsi="Times New Roman" w:cs="Times New Roman"/>
        </w:rPr>
        <w:t xml:space="preserve">uid Iuris: Lisboa, 2021, p. 266 e ss; PINHEIRO, Jorge Duarte, Direito da Família Contemporâneo, Reimpress. 3.ª Edição, aafdl: Lisboa, 2011, p. 233 e ss, </w:t>
      </w:r>
      <w:r w:rsidR="00097D1E">
        <w:rPr>
          <w:rFonts w:ascii="Times New Roman" w:hAnsi="Times New Roman" w:cs="Times New Roman"/>
        </w:rPr>
        <w:t xml:space="preserve">CORTE-REAL, Carlos Pamplona/ PEREIRA, José da Silva, Direito da Família, Tópicos para uma reflexão crítica, aafdl: Lisboa, 2008, p. 133 e ss, </w:t>
      </w:r>
      <w:r w:rsidR="004B79FD" w:rsidRPr="00FF3A1A">
        <w:rPr>
          <w:rFonts w:ascii="Times New Roman" w:hAnsi="Times New Roman" w:cs="Times New Roman"/>
        </w:rPr>
        <w:t>PINHEIRO, Jorge Duarte</w:t>
      </w:r>
      <w:r w:rsidR="00FF3A1A" w:rsidRPr="00FF3A1A">
        <w:rPr>
          <w:rFonts w:ascii="Times New Roman" w:hAnsi="Times New Roman" w:cs="Times New Roman"/>
        </w:rPr>
        <w:t xml:space="preserve">; “Mãe portadora – A problemática da maternidade de substituição”, </w:t>
      </w:r>
      <w:r w:rsidR="00FF3A1A" w:rsidRPr="00097D1E">
        <w:rPr>
          <w:rFonts w:ascii="Times New Roman" w:hAnsi="Times New Roman" w:cs="Times New Roman"/>
          <w:i/>
          <w:iCs/>
        </w:rPr>
        <w:t>in</w:t>
      </w:r>
      <w:r w:rsidR="00FF3A1A" w:rsidRPr="00FF3A1A">
        <w:rPr>
          <w:rFonts w:ascii="Times New Roman" w:hAnsi="Times New Roman" w:cs="Times New Roman"/>
        </w:rPr>
        <w:t xml:space="preserve"> José de Oliveira Ascensão (Coord.), Estudos de Direito da Bioética, Vol. II, Almedina</w:t>
      </w:r>
      <w:r w:rsidR="00097D1E">
        <w:rPr>
          <w:rFonts w:ascii="Times New Roman" w:hAnsi="Times New Roman" w:cs="Times New Roman"/>
        </w:rPr>
        <w:t>: Coimbra</w:t>
      </w:r>
      <w:r w:rsidR="00FF3A1A" w:rsidRPr="00FF3A1A">
        <w:rPr>
          <w:rFonts w:ascii="Times New Roman" w:hAnsi="Times New Roman" w:cs="Times New Roman"/>
        </w:rPr>
        <w:t>, 2008, pp. 323-344.</w:t>
      </w:r>
    </w:p>
  </w:footnote>
  <w:footnote w:id="12">
    <w:p w14:paraId="71EC1521" w14:textId="401E64CA" w:rsidR="008358FB" w:rsidRDefault="008358FB" w:rsidP="00FF3A1A">
      <w:pPr>
        <w:pStyle w:val="Textonotapie"/>
        <w:jc w:val="both"/>
      </w:pPr>
      <w:r w:rsidRPr="00FF3A1A">
        <w:rPr>
          <w:rStyle w:val="Refdenotaalpie"/>
          <w:rFonts w:ascii="Times New Roman" w:hAnsi="Times New Roman" w:cs="Times New Roman"/>
        </w:rPr>
        <w:footnoteRef/>
      </w:r>
      <w:r w:rsidRPr="00FF3A1A">
        <w:rPr>
          <w:rFonts w:ascii="Times New Roman" w:hAnsi="Times New Roman" w:cs="Times New Roman"/>
        </w:rPr>
        <w:t xml:space="preserve"> </w:t>
      </w:r>
      <w:r w:rsidRPr="00FF3A1A">
        <w:rPr>
          <w:rFonts w:ascii="Times New Roman" w:hAnsi="Times New Roman" w:cs="Times New Roman"/>
          <w:i/>
          <w:iCs/>
        </w:rPr>
        <w:t>Mater sempre certa est, pater nunquam.</w:t>
      </w:r>
      <w:r w:rsidR="003F2805" w:rsidRPr="00FF3A1A">
        <w:rPr>
          <w:rFonts w:ascii="Times New Roman" w:hAnsi="Times New Roman" w:cs="Times New Roman"/>
          <w:i/>
          <w:iCs/>
        </w:rPr>
        <w:t xml:space="preserve"> Pater is est quem nupciae demonstrat.</w:t>
      </w:r>
    </w:p>
  </w:footnote>
  <w:footnote w:id="13">
    <w:p w14:paraId="41238D04" w14:textId="261C9455" w:rsidR="007D5A83" w:rsidRDefault="007D5A83" w:rsidP="009E55E7">
      <w:pPr>
        <w:pStyle w:val="Textonotapie"/>
        <w:jc w:val="both"/>
      </w:pPr>
      <w:r>
        <w:rPr>
          <w:rStyle w:val="Refdenotaalpie"/>
        </w:rPr>
        <w:footnoteRef/>
      </w:r>
      <w:r>
        <w:t xml:space="preserve"> </w:t>
      </w:r>
      <w:r w:rsidRPr="009E55E7">
        <w:rPr>
          <w:rFonts w:ascii="Times New Roman" w:hAnsi="Times New Roman" w:cs="Times New Roman"/>
        </w:rPr>
        <w:t xml:space="preserve">Sendo uma forma </w:t>
      </w:r>
      <w:r w:rsidR="00C82FA4" w:rsidRPr="009E55E7">
        <w:rPr>
          <w:rFonts w:ascii="Times New Roman" w:hAnsi="Times New Roman" w:cs="Times New Roman"/>
        </w:rPr>
        <w:t xml:space="preserve">de perfilhação </w:t>
      </w:r>
      <w:r w:rsidRPr="009E55E7">
        <w:rPr>
          <w:rFonts w:ascii="Times New Roman" w:hAnsi="Times New Roman" w:cs="Times New Roman"/>
        </w:rPr>
        <w:t>que</w:t>
      </w:r>
      <w:r w:rsidR="00C82FA4" w:rsidRPr="009E55E7">
        <w:rPr>
          <w:rFonts w:ascii="Times New Roman" w:hAnsi="Times New Roman" w:cs="Times New Roman"/>
        </w:rPr>
        <w:t>,</w:t>
      </w:r>
      <w:r w:rsidRPr="009E55E7">
        <w:rPr>
          <w:rFonts w:ascii="Times New Roman" w:hAnsi="Times New Roman" w:cs="Times New Roman"/>
        </w:rPr>
        <w:t xml:space="preserve"> ao mesmo tempo</w:t>
      </w:r>
      <w:r w:rsidR="00C82FA4" w:rsidRPr="009E55E7">
        <w:rPr>
          <w:rFonts w:ascii="Times New Roman" w:hAnsi="Times New Roman" w:cs="Times New Roman"/>
        </w:rPr>
        <w:t>,</w:t>
      </w:r>
      <w:r w:rsidRPr="009E55E7">
        <w:rPr>
          <w:rFonts w:ascii="Times New Roman" w:hAnsi="Times New Roman" w:cs="Times New Roman"/>
        </w:rPr>
        <w:t xml:space="preserve"> garante o anonimato </w:t>
      </w:r>
      <w:r w:rsidR="00C82FA4" w:rsidRPr="009E55E7">
        <w:rPr>
          <w:rFonts w:ascii="Times New Roman" w:hAnsi="Times New Roman" w:cs="Times New Roman"/>
        </w:rPr>
        <w:t>do progenitor até à sua morte e a reposição da situação do ponto de vista jurídico, será</w:t>
      </w:r>
      <w:r w:rsidRPr="009E55E7">
        <w:rPr>
          <w:rFonts w:ascii="Times New Roman" w:hAnsi="Times New Roman" w:cs="Times New Roman"/>
        </w:rPr>
        <w:t xml:space="preserve"> na atualidade uma forma de perfilhação pouco utilizada, </w:t>
      </w:r>
      <w:r w:rsidR="00C82FA4" w:rsidRPr="009E55E7">
        <w:rPr>
          <w:rFonts w:ascii="Times New Roman" w:hAnsi="Times New Roman" w:cs="Times New Roman"/>
        </w:rPr>
        <w:t xml:space="preserve">devido sobretudo à abertura das sociedades a novas dimensões de fenómenos anteriormente ocultados e que conduziam a </w:t>
      </w:r>
      <w:r w:rsidR="009E55E7" w:rsidRPr="009E55E7">
        <w:rPr>
          <w:rFonts w:ascii="Times New Roman" w:hAnsi="Times New Roman" w:cs="Times New Roman"/>
        </w:rPr>
        <w:t>uma necessidade de resguardo dos progenitores envolvidos, imposto por condicionantes sociais</w:t>
      </w:r>
      <w:r w:rsidR="00C82FA4" w:rsidRPr="009E55E7">
        <w:rPr>
          <w:rFonts w:ascii="Times New Roman" w:hAnsi="Times New Roman" w:cs="Times New Roman"/>
        </w:rPr>
        <w:t xml:space="preserve">. </w:t>
      </w:r>
      <w:r w:rsidR="009E55E7" w:rsidRPr="009E55E7">
        <w:rPr>
          <w:rFonts w:ascii="Times New Roman" w:hAnsi="Times New Roman" w:cs="Times New Roman"/>
        </w:rPr>
        <w:t>Nessa medida, a doutrina referenciava esta forma de perfilhação como vulgar. Neste sentido</w:t>
      </w:r>
      <w:r w:rsidR="00C82FA4" w:rsidRPr="009E55E7">
        <w:rPr>
          <w:rFonts w:ascii="Times New Roman" w:hAnsi="Times New Roman" w:cs="Times New Roman"/>
        </w:rPr>
        <w:t>, OLIVEIRA, Guilherme, Estabel</w:t>
      </w:r>
      <w:r w:rsidR="009E55E7" w:rsidRPr="009E55E7">
        <w:rPr>
          <w:rFonts w:ascii="Times New Roman" w:hAnsi="Times New Roman" w:cs="Times New Roman"/>
        </w:rPr>
        <w:t>e</w:t>
      </w:r>
      <w:r w:rsidR="00C82FA4" w:rsidRPr="009E55E7">
        <w:rPr>
          <w:rFonts w:ascii="Times New Roman" w:hAnsi="Times New Roman" w:cs="Times New Roman"/>
        </w:rPr>
        <w:t xml:space="preserve">cimento da </w:t>
      </w:r>
      <w:r w:rsidR="009E55E7" w:rsidRPr="009E55E7">
        <w:rPr>
          <w:rFonts w:ascii="Times New Roman" w:hAnsi="Times New Roman" w:cs="Times New Roman"/>
        </w:rPr>
        <w:t>F</w:t>
      </w:r>
      <w:r w:rsidR="00C82FA4" w:rsidRPr="009E55E7">
        <w:rPr>
          <w:rFonts w:ascii="Times New Roman" w:hAnsi="Times New Roman" w:cs="Times New Roman"/>
        </w:rPr>
        <w:t>iliação</w:t>
      </w:r>
      <w:r w:rsidR="009E55E7" w:rsidRPr="009E55E7">
        <w:rPr>
          <w:rFonts w:ascii="Times New Roman" w:hAnsi="Times New Roman" w:cs="Times New Roman"/>
        </w:rPr>
        <w:t>, Livraria Almedina: Coimbra, 1995, p. 118</w:t>
      </w:r>
      <w:r w:rsidR="00C82FA4" w:rsidRPr="009E55E7">
        <w:rPr>
          <w:rFonts w:ascii="Times New Roman" w:hAnsi="Times New Roman" w:cs="Times New Roman"/>
        </w:rPr>
        <w:t>.</w:t>
      </w:r>
    </w:p>
  </w:footnote>
  <w:footnote w:id="14">
    <w:p w14:paraId="7AD09BA4" w14:textId="4EA550C2" w:rsidR="00DD1B5E" w:rsidRPr="00017DFF" w:rsidRDefault="00DD1B5E" w:rsidP="00017DFF">
      <w:pPr>
        <w:pStyle w:val="Textonotapie"/>
        <w:jc w:val="both"/>
        <w:rPr>
          <w:rFonts w:ascii="Times New Roman" w:hAnsi="Times New Roman" w:cs="Times New Roman"/>
        </w:rPr>
      </w:pPr>
      <w:r>
        <w:rPr>
          <w:rStyle w:val="Refdenotaalpie"/>
        </w:rPr>
        <w:footnoteRef/>
      </w:r>
      <w:r>
        <w:t xml:space="preserve"> </w:t>
      </w:r>
      <w:r w:rsidRPr="00017DFF">
        <w:rPr>
          <w:rFonts w:ascii="Times New Roman" w:hAnsi="Times New Roman" w:cs="Times New Roman"/>
        </w:rPr>
        <w:t xml:space="preserve">Não só no caso em apreço, mas também no âmbito da ação intentada pelo Ministério Público nos termos do disposto no artigo 1866.º, n.º 2 do CC, previsão que também tem suscitado a pronúncia do tribunal constitucional. Sobre a matéria ver DIAS, Cristina, </w:t>
      </w:r>
      <w:r w:rsidR="00304259" w:rsidRPr="00017DFF">
        <w:rPr>
          <w:rFonts w:ascii="Times New Roman" w:hAnsi="Times New Roman" w:cs="Times New Roman"/>
        </w:rPr>
        <w:t>“</w:t>
      </w:r>
      <w:r w:rsidRPr="00017DFF">
        <w:rPr>
          <w:rFonts w:ascii="Times New Roman" w:hAnsi="Times New Roman" w:cs="Times New Roman"/>
        </w:rPr>
        <w:t>O prazo de dois anos para a acção intentada pelo Ministério Público de investigação de paternidade do art. 1886.º, n.º 2, do CC: acórdão do Tribunal Constitucional n.º 604/2015 (3.ª Secção) de 26.11.2015,</w:t>
      </w:r>
      <w:r w:rsidR="00304259" w:rsidRPr="00017DFF">
        <w:rPr>
          <w:rFonts w:ascii="Times New Roman" w:hAnsi="Times New Roman" w:cs="Times New Roman"/>
        </w:rPr>
        <w:t xml:space="preserve"> P. 631/15”, Cadernos de direito privado, N.º 52 (Out.-Dez. 2015), 1645-7242 – p. 48-60.</w:t>
      </w:r>
    </w:p>
  </w:footnote>
  <w:footnote w:id="15">
    <w:p w14:paraId="7604ED6C" w14:textId="7B8E7332" w:rsidR="00682DAC" w:rsidRDefault="00682DAC" w:rsidP="0004504F">
      <w:pPr>
        <w:pStyle w:val="Textonotapie"/>
        <w:jc w:val="both"/>
      </w:pPr>
      <w:r>
        <w:rPr>
          <w:rStyle w:val="Refdenotaalpie"/>
        </w:rPr>
        <w:footnoteRef/>
      </w:r>
      <w:r>
        <w:t xml:space="preserve"> </w:t>
      </w:r>
      <w:r w:rsidRPr="0019604B">
        <w:rPr>
          <w:rFonts w:ascii="Times New Roman" w:hAnsi="Times New Roman" w:cs="Times New Roman"/>
        </w:rPr>
        <w:t>TRIBUNAL CONSTITUCIONAL, Acórdão do Tribunal Constitucional de 4-10-2018, processo n.º 471/17, 2.ª Secção. Acórdãos TC [Em linha]. Relator Maria Clara Sottomayor. Lisboa : TC. [consult. 27 dez. 2021] Disponível em WWW:URL: https://www.tribunalconstitucional.pt/tc/acordaos/20180488.html.</w:t>
      </w:r>
    </w:p>
  </w:footnote>
  <w:footnote w:id="16">
    <w:p w14:paraId="19DBD5AF" w14:textId="0AD9AB67" w:rsidR="00737A0E" w:rsidRPr="00461CE1" w:rsidRDefault="00737A0E" w:rsidP="00461CE1">
      <w:pPr>
        <w:pStyle w:val="Textonotapie"/>
        <w:jc w:val="both"/>
        <w:rPr>
          <w:rFonts w:ascii="Times New Roman" w:hAnsi="Times New Roman" w:cs="Times New Roman"/>
        </w:rPr>
      </w:pPr>
      <w:r>
        <w:rPr>
          <w:rStyle w:val="Refdenotaalpie"/>
        </w:rPr>
        <w:footnoteRef/>
      </w:r>
      <w:r w:rsidRPr="00F41763">
        <w:t xml:space="preserve"> </w:t>
      </w:r>
      <w:r w:rsidR="00F41763" w:rsidRPr="00900001">
        <w:rPr>
          <w:rFonts w:ascii="Times New Roman" w:hAnsi="Times New Roman" w:cs="Times New Roman"/>
        </w:rPr>
        <w:t>TRIBUNAL EUROPEU DOS DIREITOS HUMANOS, Acórdão do Tribunal Europeu dos Direitos Humanos de 29-0</w:t>
      </w:r>
      <w:r w:rsidR="00DB4EA6" w:rsidRPr="00900001">
        <w:rPr>
          <w:rFonts w:ascii="Times New Roman" w:hAnsi="Times New Roman" w:cs="Times New Roman"/>
        </w:rPr>
        <w:t>1</w:t>
      </w:r>
      <w:r w:rsidR="00F41763" w:rsidRPr="00900001">
        <w:rPr>
          <w:rFonts w:ascii="Times New Roman" w:hAnsi="Times New Roman" w:cs="Times New Roman"/>
        </w:rPr>
        <w:t xml:space="preserve">-2019, processo n.º </w:t>
      </w:r>
      <w:r w:rsidR="00DB4EA6" w:rsidRPr="00900001">
        <w:rPr>
          <w:rFonts w:ascii="Times New Roman" w:hAnsi="Times New Roman" w:cs="Times New Roman"/>
        </w:rPr>
        <w:t>62257/15</w:t>
      </w:r>
      <w:r w:rsidR="00F41763" w:rsidRPr="00900001">
        <w:rPr>
          <w:rFonts w:ascii="Times New Roman" w:hAnsi="Times New Roman" w:cs="Times New Roman"/>
        </w:rPr>
        <w:t xml:space="preserve">, </w:t>
      </w:r>
      <w:r w:rsidR="00DB4EA6" w:rsidRPr="00900001">
        <w:rPr>
          <w:rFonts w:ascii="Times New Roman" w:hAnsi="Times New Roman" w:cs="Times New Roman"/>
        </w:rPr>
        <w:t xml:space="preserve">3.ª </w:t>
      </w:r>
      <w:r w:rsidR="00F41763" w:rsidRPr="00900001">
        <w:rPr>
          <w:rFonts w:ascii="Times New Roman" w:hAnsi="Times New Roman" w:cs="Times New Roman"/>
        </w:rPr>
        <w:t>Sec</w:t>
      </w:r>
      <w:r w:rsidR="00DB4EA6" w:rsidRPr="00900001">
        <w:rPr>
          <w:rFonts w:ascii="Times New Roman" w:hAnsi="Times New Roman" w:cs="Times New Roman"/>
        </w:rPr>
        <w:t>ção</w:t>
      </w:r>
      <w:r w:rsidR="00F41763" w:rsidRPr="00900001">
        <w:rPr>
          <w:rFonts w:ascii="Times New Roman" w:hAnsi="Times New Roman" w:cs="Times New Roman"/>
        </w:rPr>
        <w:t>. Acórdãos T</w:t>
      </w:r>
      <w:r w:rsidR="00DB4EA6" w:rsidRPr="00900001">
        <w:rPr>
          <w:rFonts w:ascii="Times New Roman" w:hAnsi="Times New Roman" w:cs="Times New Roman"/>
        </w:rPr>
        <w:t>EDH</w:t>
      </w:r>
      <w:r w:rsidR="00F41763" w:rsidRPr="00900001">
        <w:rPr>
          <w:rFonts w:ascii="Times New Roman" w:hAnsi="Times New Roman" w:cs="Times New Roman"/>
        </w:rPr>
        <w:t xml:space="preserve"> [Em linha]. Relator </w:t>
      </w:r>
      <w:r w:rsidR="00DB4EA6" w:rsidRPr="00900001">
        <w:rPr>
          <w:rFonts w:ascii="Times New Roman" w:hAnsi="Times New Roman" w:cs="Times New Roman"/>
        </w:rPr>
        <w:t xml:space="preserve">Branko </w:t>
      </w:r>
      <w:r w:rsidR="00DB4EA6" w:rsidRPr="00461CE1">
        <w:rPr>
          <w:rFonts w:ascii="Times New Roman" w:hAnsi="Times New Roman" w:cs="Times New Roman"/>
        </w:rPr>
        <w:t>Lubarda</w:t>
      </w:r>
      <w:r w:rsidR="00F41763" w:rsidRPr="00461CE1">
        <w:rPr>
          <w:rFonts w:ascii="Times New Roman" w:hAnsi="Times New Roman" w:cs="Times New Roman"/>
        </w:rPr>
        <w:t xml:space="preserve">. </w:t>
      </w:r>
      <w:r w:rsidR="00DB4EA6" w:rsidRPr="00461CE1">
        <w:rPr>
          <w:rFonts w:ascii="Times New Roman" w:hAnsi="Times New Roman" w:cs="Times New Roman"/>
        </w:rPr>
        <w:t>Estrasburgo</w:t>
      </w:r>
      <w:r w:rsidR="00F41763" w:rsidRPr="00461CE1">
        <w:rPr>
          <w:rFonts w:ascii="Times New Roman" w:hAnsi="Times New Roman" w:cs="Times New Roman"/>
        </w:rPr>
        <w:t xml:space="preserve"> : T</w:t>
      </w:r>
      <w:r w:rsidR="00DB4EA6" w:rsidRPr="00461CE1">
        <w:rPr>
          <w:rFonts w:ascii="Times New Roman" w:hAnsi="Times New Roman" w:cs="Times New Roman"/>
        </w:rPr>
        <w:t>EDH</w:t>
      </w:r>
      <w:r w:rsidR="00F41763" w:rsidRPr="00461CE1">
        <w:rPr>
          <w:rFonts w:ascii="Times New Roman" w:hAnsi="Times New Roman" w:cs="Times New Roman"/>
        </w:rPr>
        <w:t>. [consult. 2</w:t>
      </w:r>
      <w:r w:rsidR="00DB4EA6" w:rsidRPr="00461CE1">
        <w:rPr>
          <w:rFonts w:ascii="Times New Roman" w:hAnsi="Times New Roman" w:cs="Times New Roman"/>
        </w:rPr>
        <w:t>0</w:t>
      </w:r>
      <w:r w:rsidR="00F41763" w:rsidRPr="00461CE1">
        <w:rPr>
          <w:rFonts w:ascii="Times New Roman" w:hAnsi="Times New Roman" w:cs="Times New Roman"/>
        </w:rPr>
        <w:t xml:space="preserve"> </w:t>
      </w:r>
      <w:r w:rsidR="00DB4EA6" w:rsidRPr="00461CE1">
        <w:rPr>
          <w:rFonts w:ascii="Times New Roman" w:hAnsi="Times New Roman" w:cs="Times New Roman"/>
        </w:rPr>
        <w:t>jul</w:t>
      </w:r>
      <w:r w:rsidR="00F41763" w:rsidRPr="00461CE1">
        <w:rPr>
          <w:rFonts w:ascii="Times New Roman" w:hAnsi="Times New Roman" w:cs="Times New Roman"/>
        </w:rPr>
        <w:t xml:space="preserve">. 2021] Disponível em WWW:URL: </w:t>
      </w:r>
      <w:hyperlink r:id="rId2" w:anchor="{&quot;itemid&quot;:[&quot;001-" w:history="1">
        <w:r w:rsidR="00DB4EA6" w:rsidRPr="00461CE1">
          <w:rPr>
            <w:rStyle w:val="Hipervnculo"/>
            <w:rFonts w:ascii="Times New Roman" w:hAnsi="Times New Roman" w:cs="Times New Roman"/>
          </w:rPr>
          <w:t>https://hudoc.echr.coe.int/spa#{"itemid":["001-</w:t>
        </w:r>
      </w:hyperlink>
      <w:r w:rsidR="00DB4EA6" w:rsidRPr="00461CE1">
        <w:rPr>
          <w:rFonts w:ascii="Times New Roman" w:hAnsi="Times New Roman" w:cs="Times New Roman"/>
        </w:rPr>
        <w:t>.</w:t>
      </w:r>
    </w:p>
  </w:footnote>
  <w:footnote w:id="17">
    <w:p w14:paraId="064180FD" w14:textId="31E3D704" w:rsidR="00CF7A75" w:rsidRPr="00485131" w:rsidRDefault="00CF7A75" w:rsidP="00461CE1">
      <w:pPr>
        <w:pStyle w:val="Textonotapie"/>
        <w:jc w:val="both"/>
        <w:rPr>
          <w:rFonts w:ascii="Times New Roman" w:hAnsi="Times New Roman" w:cs="Times New Roman"/>
          <w:b/>
          <w:bCs/>
          <w:color w:val="002060"/>
        </w:rPr>
      </w:pPr>
      <w:r w:rsidRPr="00461CE1">
        <w:rPr>
          <w:rStyle w:val="Refdenotaalpie"/>
          <w:rFonts w:ascii="Times New Roman" w:hAnsi="Times New Roman" w:cs="Times New Roman"/>
        </w:rPr>
        <w:footnoteRef/>
      </w:r>
      <w:r w:rsidRPr="00461CE1">
        <w:rPr>
          <w:rFonts w:ascii="Times New Roman" w:hAnsi="Times New Roman" w:cs="Times New Roman"/>
        </w:rPr>
        <w:t xml:space="preserve"> TRIBUNAL EUROPEU DOS DIREITOS HUMANOS, Acórdão do Tribunal Europeu dos Direitos Humanos de 3-10-2017, processo n.º 72105/14</w:t>
      </w:r>
      <w:r w:rsidR="00900001" w:rsidRPr="00461CE1">
        <w:rPr>
          <w:rFonts w:ascii="Times New Roman" w:hAnsi="Times New Roman" w:cs="Times New Roman"/>
        </w:rPr>
        <w:t xml:space="preserve"> e 20415/15</w:t>
      </w:r>
      <w:r w:rsidRPr="00461CE1">
        <w:rPr>
          <w:rFonts w:ascii="Times New Roman" w:hAnsi="Times New Roman" w:cs="Times New Roman"/>
        </w:rPr>
        <w:t xml:space="preserve">, </w:t>
      </w:r>
      <w:r w:rsidR="00900001" w:rsidRPr="00461CE1">
        <w:rPr>
          <w:rFonts w:ascii="Times New Roman" w:hAnsi="Times New Roman" w:cs="Times New Roman"/>
        </w:rPr>
        <w:t xml:space="preserve">4.ª Secção, Acórdãos TEDH [Em linha]. Relator </w:t>
      </w:r>
      <w:r w:rsidR="00900001" w:rsidRPr="00461CE1">
        <w:rPr>
          <w:rFonts w:ascii="Times New Roman" w:hAnsi="Times New Roman" w:cs="Times New Roman"/>
          <w:color w:val="000000"/>
          <w:shd w:val="clear" w:color="auto" w:fill="FFFFFF"/>
        </w:rPr>
        <w:t>Ganna Yudkivska</w:t>
      </w:r>
      <w:r w:rsidR="00900001" w:rsidRPr="00461CE1">
        <w:rPr>
          <w:rFonts w:ascii="Times New Roman" w:hAnsi="Times New Roman" w:cs="Times New Roman"/>
          <w:color w:val="555555"/>
          <w:shd w:val="clear" w:color="auto" w:fill="FFFFFF"/>
        </w:rPr>
        <w:t xml:space="preserve"> </w:t>
      </w:r>
      <w:r w:rsidR="00900001" w:rsidRPr="00461CE1">
        <w:rPr>
          <w:rFonts w:ascii="Times New Roman" w:hAnsi="Times New Roman" w:cs="Times New Roman"/>
        </w:rPr>
        <w:t xml:space="preserve">Estrasburgo : TEDH. [consult. 20 jul. 2021] Disponível em </w:t>
      </w:r>
      <w:r w:rsidR="00900001" w:rsidRPr="00485131">
        <w:rPr>
          <w:rFonts w:ascii="Times New Roman" w:hAnsi="Times New Roman" w:cs="Times New Roman"/>
        </w:rPr>
        <w:t>WWW:URL:</w:t>
      </w:r>
      <w:r w:rsidR="00900001" w:rsidRPr="00485131">
        <w:rPr>
          <w:rFonts w:ascii="Times New Roman" w:hAnsi="Times New Roman" w:cs="Times New Roman"/>
          <w:color w:val="555555"/>
          <w:shd w:val="clear" w:color="auto" w:fill="FFFFFF"/>
        </w:rPr>
        <w:t>: </w:t>
      </w:r>
      <w:hyperlink r:id="rId3" w:history="1">
        <w:r w:rsidR="00900001" w:rsidRPr="00485131">
          <w:rPr>
            <w:rFonts w:ascii="Times New Roman" w:hAnsi="Times New Roman" w:cs="Times New Roman"/>
            <w:color w:val="002060"/>
            <w:u w:val="single"/>
            <w:shd w:val="clear" w:color="auto" w:fill="FFFFFF"/>
          </w:rPr>
          <w:t>http://hudoc.echr.coe.int/eng?i=001-177229</w:t>
        </w:r>
      </w:hyperlink>
      <w:r w:rsidRPr="00485131">
        <w:rPr>
          <w:rFonts w:ascii="Times New Roman" w:hAnsi="Times New Roman" w:cs="Times New Roman"/>
          <w:b/>
          <w:bCs/>
          <w:color w:val="002060"/>
        </w:rPr>
        <w:t>.</w:t>
      </w:r>
    </w:p>
  </w:footnote>
  <w:footnote w:id="18">
    <w:p w14:paraId="3FD9771D" w14:textId="11C273A6" w:rsidR="00F11DCE" w:rsidRPr="00485131" w:rsidRDefault="00F11DCE" w:rsidP="00461CE1">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Já em junho de 2020, no caso BOLJEVIC c. Serbia, que repousa sobre a</w:t>
      </w:r>
      <w:r w:rsidR="00A1521E" w:rsidRPr="00485131">
        <w:rPr>
          <w:rFonts w:ascii="Times New Roman" w:hAnsi="Times New Roman" w:cs="Times New Roman"/>
        </w:rPr>
        <w:t xml:space="preserve"> recusa</w:t>
      </w:r>
      <w:r w:rsidRPr="00485131">
        <w:rPr>
          <w:rFonts w:ascii="Times New Roman" w:hAnsi="Times New Roman" w:cs="Times New Roman"/>
        </w:rPr>
        <w:t xml:space="preserve"> de </w:t>
      </w:r>
      <w:r w:rsidR="00A1521E" w:rsidRPr="00485131">
        <w:rPr>
          <w:rFonts w:ascii="Times New Roman" w:hAnsi="Times New Roman" w:cs="Times New Roman"/>
        </w:rPr>
        <w:t>aceitação de procedimentos t</w:t>
      </w:r>
      <w:r w:rsidRPr="00485131">
        <w:rPr>
          <w:rFonts w:ascii="Times New Roman" w:hAnsi="Times New Roman" w:cs="Times New Roman"/>
        </w:rPr>
        <w:t>endentes à investigação de paternidade</w:t>
      </w:r>
      <w:r w:rsidR="00A1521E" w:rsidRPr="00485131">
        <w:rPr>
          <w:rFonts w:ascii="Times New Roman" w:hAnsi="Times New Roman" w:cs="Times New Roman"/>
        </w:rPr>
        <w:t>, o TEDH considerou existir uma violação ao artigo 8.º da convenção.</w:t>
      </w:r>
      <w:r w:rsidR="001F1F89" w:rsidRPr="00485131">
        <w:rPr>
          <w:rFonts w:ascii="Times New Roman" w:hAnsi="Times New Roman" w:cs="Times New Roman"/>
        </w:rPr>
        <w:t xml:space="preserve"> TRIBUNAL EUROPEU DOS DIREITOS HUMANOS, Acórdão do Tribunal Europeu dos Direitos Humanos de 16-09-2020, processo n.º 47443/14, 4.ª Secção, Acórdãos TEDH [Em linha]. Relator </w:t>
      </w:r>
      <w:r w:rsidR="000D77D6" w:rsidRPr="00485131">
        <w:rPr>
          <w:rFonts w:ascii="Times New Roman" w:hAnsi="Times New Roman" w:cs="Times New Roman"/>
          <w:color w:val="000000"/>
          <w:shd w:val="clear" w:color="auto" w:fill="FFFFFF"/>
        </w:rPr>
        <w:t xml:space="preserve">Jon Fridrik Kjølbro. </w:t>
      </w:r>
      <w:r w:rsidR="001F1F89" w:rsidRPr="00485131">
        <w:rPr>
          <w:rFonts w:ascii="Times New Roman" w:hAnsi="Times New Roman" w:cs="Times New Roman"/>
        </w:rPr>
        <w:t xml:space="preserve">Estrasburgo : TEDH. [consult. 20 </w:t>
      </w:r>
      <w:r w:rsidR="000D77D6" w:rsidRPr="00485131">
        <w:rPr>
          <w:rFonts w:ascii="Times New Roman" w:hAnsi="Times New Roman" w:cs="Times New Roman"/>
        </w:rPr>
        <w:t>set</w:t>
      </w:r>
      <w:r w:rsidR="001F1F89" w:rsidRPr="00485131">
        <w:rPr>
          <w:rFonts w:ascii="Times New Roman" w:hAnsi="Times New Roman" w:cs="Times New Roman"/>
        </w:rPr>
        <w:t>. 2021] Disponível em WWW:URL:</w:t>
      </w:r>
      <w:r w:rsidR="000D77D6" w:rsidRPr="00485131">
        <w:rPr>
          <w:rFonts w:ascii="Times New Roman" w:hAnsi="Times New Roman" w:cs="Times New Roman"/>
        </w:rPr>
        <w:t xml:space="preserve"> https://hudoc.echr.coe.int/fre#{"itemid":["001-203052"]}.</w:t>
      </w:r>
    </w:p>
  </w:footnote>
  <w:footnote w:id="19">
    <w:p w14:paraId="37640DF6" w14:textId="5A418448" w:rsidR="00F175AC" w:rsidRPr="00485131" w:rsidRDefault="00F175AC" w:rsidP="00461CE1">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w:t>
      </w:r>
      <w:r w:rsidRPr="00485131">
        <w:rPr>
          <w:rFonts w:ascii="Times New Roman" w:hAnsi="Times New Roman" w:cs="Times New Roman"/>
          <w:shd w:val="clear" w:color="auto" w:fill="FFFFFF"/>
        </w:rPr>
        <w:t xml:space="preserve">Projeto de Lei 125/XIV/1.ª, apresentado em 26.11.2019, pelo BE, publicado no </w:t>
      </w:r>
      <w:r w:rsidR="008A28C4" w:rsidRPr="00485131">
        <w:rPr>
          <w:rFonts w:ascii="Times New Roman" w:hAnsi="Times New Roman" w:cs="Times New Roman"/>
          <w:shd w:val="clear" w:color="auto" w:fill="FFFFFF"/>
        </w:rPr>
        <w:t xml:space="preserve">Diário da Assembleia da República II </w:t>
      </w:r>
      <w:hyperlink r:id="rId4" w:tgtFrame="_new637795878878578947" w:tooltip="Link" w:history="1">
        <w:r w:rsidR="008A28C4" w:rsidRPr="00485131">
          <w:rPr>
            <w:rFonts w:ascii="Times New Roman" w:hAnsi="Times New Roman" w:cs="Times New Roman"/>
            <w:shd w:val="clear" w:color="auto" w:fill="FFFFFF"/>
          </w:rPr>
          <w:t>série A n.º 20, 2019.11.27, da 1.ª SL da XIV Leg (pág. 14-16)]</w:t>
        </w:r>
      </w:hyperlink>
      <w:r w:rsidR="008A28C4" w:rsidRPr="00485131">
        <w:rPr>
          <w:rFonts w:ascii="Times New Roman" w:hAnsi="Times New Roman" w:cs="Times New Roman"/>
        </w:rPr>
        <w:t xml:space="preserve">, [consult. 13 dez. 2021] Disponível em </w:t>
      </w:r>
      <w:r w:rsidR="008A28C4" w:rsidRPr="00485131">
        <w:rPr>
          <w:rFonts w:ascii="Times New Roman" w:hAnsi="Times New Roman" w:cs="Times New Roman"/>
          <w:shd w:val="clear" w:color="auto" w:fill="FFFFFF"/>
        </w:rPr>
        <w:t>https://debates.parlamento.pt/catalogo/r3/dar/s2a/14/01/020/2019-11-27/14?pgs=14-16&amp;org=PLC</w:t>
      </w:r>
      <w:r w:rsidRPr="00485131">
        <w:rPr>
          <w:rFonts w:ascii="Times New Roman" w:hAnsi="Times New Roman" w:cs="Times New Roman"/>
          <w:shd w:val="clear" w:color="auto" w:fill="FFFFFF"/>
        </w:rPr>
        <w:t>D</w:t>
      </w:r>
      <w:r w:rsidR="008A28C4" w:rsidRPr="00485131">
        <w:rPr>
          <w:rFonts w:ascii="Times New Roman" w:hAnsi="Times New Roman" w:cs="Times New Roman"/>
          <w:shd w:val="clear" w:color="auto" w:fill="FFFFFF"/>
        </w:rPr>
        <w:t>.</w:t>
      </w:r>
      <w:r w:rsidRPr="00485131">
        <w:rPr>
          <w:rFonts w:ascii="Times New Roman" w:hAnsi="Times New Roman" w:cs="Times New Roman"/>
          <w:shd w:val="clear" w:color="auto" w:fill="FFFFFF"/>
        </w:rPr>
        <w:t xml:space="preserve"> </w:t>
      </w:r>
    </w:p>
  </w:footnote>
  <w:footnote w:id="20">
    <w:p w14:paraId="5610E75D" w14:textId="1438D470" w:rsidR="004B6646" w:rsidRPr="005132A1" w:rsidRDefault="004B6646" w:rsidP="005132A1">
      <w:pPr>
        <w:spacing w:line="240" w:lineRule="auto"/>
        <w:jc w:val="both"/>
        <w:rPr>
          <w:rFonts w:ascii="Times New Roman" w:hAnsi="Times New Roman" w:cs="Times New Roman"/>
          <w:sz w:val="20"/>
          <w:szCs w:val="20"/>
        </w:rPr>
      </w:pPr>
      <w:r>
        <w:rPr>
          <w:rStyle w:val="Refdenotaalpie"/>
        </w:rPr>
        <w:footnoteRef/>
      </w:r>
      <w:r>
        <w:t xml:space="preserve"> </w:t>
      </w:r>
      <w:r w:rsidRPr="005132A1">
        <w:rPr>
          <w:rFonts w:ascii="Times New Roman" w:hAnsi="Times New Roman" w:cs="Times New Roman"/>
          <w:sz w:val="20"/>
          <w:szCs w:val="20"/>
        </w:rPr>
        <w:t>Outra via possível seria a da apresentação de uma queixa constitucional</w:t>
      </w:r>
      <w:r w:rsidR="005132A1" w:rsidRPr="005132A1">
        <w:rPr>
          <w:rFonts w:ascii="Times New Roman" w:hAnsi="Times New Roman" w:cs="Times New Roman"/>
          <w:sz w:val="20"/>
          <w:szCs w:val="20"/>
        </w:rPr>
        <w:t>, cuja finalidade precípua é dotar o sistema, e, consequentemente, garantir aos cidadãos, um meio de fazer valer os seus direitos, liberdades e garantias fundamentais, através do recurso direto ao tribunal constitucional, para efeitos de invocação de violação dos seus direitos constitucionalmente consagrados. Uma</w:t>
      </w:r>
      <w:r w:rsidRPr="005132A1">
        <w:rPr>
          <w:rFonts w:ascii="Times New Roman" w:hAnsi="Times New Roman" w:cs="Times New Roman"/>
          <w:sz w:val="20"/>
          <w:szCs w:val="20"/>
        </w:rPr>
        <w:t xml:space="preserve"> </w:t>
      </w:r>
      <w:r w:rsidR="005132A1" w:rsidRPr="005132A1">
        <w:rPr>
          <w:rFonts w:ascii="Times New Roman" w:hAnsi="Times New Roman" w:cs="Times New Roman"/>
          <w:sz w:val="20"/>
          <w:szCs w:val="20"/>
        </w:rPr>
        <w:t xml:space="preserve">Verfassungsbeschwerde, staatrechtliche Beschwerde, prevista, entre outros, no ordenamento jurídico alemão, que também pode ser identificada como um recurso de amparo. Neste sentido, CANOTILHO, J. J. Gomes, </w:t>
      </w:r>
      <w:r w:rsidR="005132A1" w:rsidRPr="005132A1">
        <w:rPr>
          <w:rFonts w:ascii="Times New Roman" w:hAnsi="Times New Roman" w:cs="Times New Roman"/>
          <w:i/>
          <w:iCs/>
          <w:sz w:val="20"/>
          <w:szCs w:val="20"/>
        </w:rPr>
        <w:t>in</w:t>
      </w:r>
      <w:r w:rsidR="005132A1" w:rsidRPr="005132A1">
        <w:rPr>
          <w:rFonts w:ascii="Times New Roman" w:hAnsi="Times New Roman" w:cs="Times New Roman"/>
          <w:sz w:val="20"/>
          <w:szCs w:val="20"/>
        </w:rPr>
        <w:t xml:space="preserve"> Direito Constitucional e Teoria da Constituição, 7.ª Ed., 3.ª Reimp., Almedina: Coimbra, 2003, p. 507.</w:t>
      </w:r>
    </w:p>
  </w:footnote>
  <w:footnote w:id="21">
    <w:p w14:paraId="0F4B5D12" w14:textId="2E9C72AC" w:rsidR="00D33E44" w:rsidRPr="0004504F" w:rsidRDefault="00D33E44" w:rsidP="005132A1">
      <w:pPr>
        <w:pStyle w:val="Textonotapie"/>
        <w:jc w:val="both"/>
        <w:rPr>
          <w:rFonts w:ascii="Times New Roman" w:hAnsi="Times New Roman" w:cs="Times New Roman"/>
        </w:rPr>
      </w:pPr>
      <w:r w:rsidRPr="005132A1">
        <w:rPr>
          <w:rStyle w:val="Refdenotaalpie"/>
          <w:rFonts w:ascii="Times New Roman" w:hAnsi="Times New Roman" w:cs="Times New Roman"/>
        </w:rPr>
        <w:footnoteRef/>
      </w:r>
      <w:r w:rsidRPr="005132A1">
        <w:rPr>
          <w:rFonts w:ascii="Times New Roman" w:hAnsi="Times New Roman" w:cs="Times New Roman"/>
        </w:rPr>
        <w:t xml:space="preserve"> </w:t>
      </w:r>
      <w:r w:rsidRPr="0004504F">
        <w:rPr>
          <w:rFonts w:ascii="Times New Roman" w:hAnsi="Times New Roman" w:cs="Times New Roman"/>
        </w:rPr>
        <w:t xml:space="preserve">Assim, CANOTILHO, J. J. Gomes, </w:t>
      </w:r>
      <w:r w:rsidRPr="0004504F">
        <w:rPr>
          <w:rFonts w:ascii="Times New Roman" w:hAnsi="Times New Roman" w:cs="Times New Roman"/>
          <w:i/>
          <w:iCs/>
        </w:rPr>
        <w:t>in</w:t>
      </w:r>
      <w:r w:rsidRPr="0004504F">
        <w:rPr>
          <w:rFonts w:ascii="Times New Roman" w:hAnsi="Times New Roman" w:cs="Times New Roman"/>
        </w:rPr>
        <w:t xml:space="preserve"> Direito Constitucional e Teoria da Constituição, 7.ª Ed., 3.ª Reimp., Almedina: Coimbra, 2003, p. 507.</w:t>
      </w:r>
    </w:p>
  </w:footnote>
  <w:footnote w:id="22">
    <w:p w14:paraId="57AE5B1E" w14:textId="69F6AAF8" w:rsidR="00D8484B" w:rsidRPr="0004504F" w:rsidRDefault="00D8484B" w:rsidP="00155F8D">
      <w:pPr>
        <w:pStyle w:val="Textonotapie"/>
        <w:jc w:val="both"/>
        <w:rPr>
          <w:rFonts w:ascii="Times New Roman" w:hAnsi="Times New Roman" w:cs="Times New Roman"/>
        </w:rPr>
      </w:pPr>
      <w:r w:rsidRPr="0004504F">
        <w:rPr>
          <w:rStyle w:val="Refdenotaalpie"/>
          <w:rFonts w:ascii="Times New Roman" w:hAnsi="Times New Roman" w:cs="Times New Roman"/>
        </w:rPr>
        <w:footnoteRef/>
      </w:r>
      <w:r w:rsidRPr="0004504F">
        <w:rPr>
          <w:rFonts w:ascii="Times New Roman" w:hAnsi="Times New Roman" w:cs="Times New Roman"/>
        </w:rPr>
        <w:t xml:space="preserve"> O artigo 280.º da Constituição da República Portuguesa, consagra este direito em sede de fiscalização concreta da </w:t>
      </w:r>
      <w:r w:rsidR="006C39A9" w:rsidRPr="0004504F">
        <w:rPr>
          <w:rFonts w:ascii="Times New Roman" w:hAnsi="Times New Roman" w:cs="Times New Roman"/>
        </w:rPr>
        <w:t>constituciona</w:t>
      </w:r>
      <w:r w:rsidRPr="0004504F">
        <w:rPr>
          <w:rFonts w:ascii="Times New Roman" w:hAnsi="Times New Roman" w:cs="Times New Roman"/>
        </w:rPr>
        <w:t>lidade e da legalidade.</w:t>
      </w:r>
    </w:p>
  </w:footnote>
  <w:footnote w:id="23">
    <w:p w14:paraId="733770E5" w14:textId="7CA76677" w:rsidR="00682DAC" w:rsidRPr="00682DAC" w:rsidRDefault="00682DAC" w:rsidP="00682DAC">
      <w:pPr>
        <w:pStyle w:val="Textonotapie"/>
        <w:jc w:val="both"/>
        <w:rPr>
          <w:rFonts w:ascii="Times New Roman" w:hAnsi="Times New Roman" w:cs="Times New Roman"/>
        </w:rPr>
      </w:pPr>
      <w:r w:rsidRPr="0004504F">
        <w:rPr>
          <w:rStyle w:val="Refdenotaalpie"/>
          <w:rFonts w:ascii="Times New Roman" w:hAnsi="Times New Roman" w:cs="Times New Roman"/>
        </w:rPr>
        <w:footnoteRef/>
      </w:r>
      <w:r w:rsidRPr="0004504F">
        <w:rPr>
          <w:rFonts w:ascii="Times New Roman" w:hAnsi="Times New Roman" w:cs="Times New Roman"/>
        </w:rPr>
        <w:t xml:space="preserve"> O prazo de recurso é de dez dias, interrompendo outros prazos que possam estar a correr para a prática de outros atos, nos termos do disposto no artigo 75.º, da Lei orgânica do Tribunal Constitucional, aprovada pela </w:t>
      </w:r>
      <w:r w:rsidRPr="0004504F">
        <w:rPr>
          <w:rFonts w:ascii="Times New Roman" w:hAnsi="Times New Roman" w:cs="Times New Roman"/>
          <w:color w:val="000000"/>
          <w:shd w:val="clear" w:color="auto" w:fill="FFFFF2"/>
        </w:rPr>
        <w:t>Lei n.º 28/82, de 15/11, com as alterações que lhe foram introduzidas pelas leis n.ºs 143/85, de 26/11 e 85/89, de 07/09, declaração 3/11 de 1989, Leis n.ºs 88/95 de 01/09 e 13-A/98, de 23/06, Rect.</w:t>
      </w:r>
      <w:r w:rsidRPr="00485131">
        <w:rPr>
          <w:rFonts w:ascii="Times New Roman" w:hAnsi="Times New Roman" w:cs="Times New Roman"/>
          <w:color w:val="000000"/>
          <w:shd w:val="clear" w:color="auto" w:fill="FFFFF2"/>
        </w:rPr>
        <w:t xml:space="preserve"> N.º 10798 de 23/05, Leis Orgânicas n.ºs 1/2011, de 30/11, 5/2015, de 10/04, 11/2015, de 28/08, 1/2018, de 19/04, 4/2019, de 13/09 e 1/2002, de 04/01.</w:t>
      </w:r>
    </w:p>
  </w:footnote>
  <w:footnote w:id="24">
    <w:p w14:paraId="666EBCDA" w14:textId="0B0E810A" w:rsidR="00D81E99" w:rsidRPr="00485131" w:rsidRDefault="00D81E99" w:rsidP="00D81E99">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RELAÇÃO DE GUIMARÃES – Acórdão do Tribunal da Relação de Guimarães de 202-2017, processo n.º </w:t>
      </w:r>
      <w:r w:rsidRPr="00485131">
        <w:rPr>
          <w:rFonts w:ascii="Times New Roman" w:hAnsi="Times New Roman" w:cs="Times New Roman"/>
          <w:shd w:val="clear" w:color="auto" w:fill="E0F1FF"/>
        </w:rPr>
        <w:t>1660/16.6T8VCT.G1. Acórdãos RG [Em linha] Relator Helena Gomes de Melo, Guimarães : DGSI. [Consult. 29 jan. 2022]. Disponível em WWW:URL: http.dgsi.pt/jtrg.nsf/-/8FD7704BC55CA3D8802580DF005910A7</w:t>
      </w:r>
      <w:r w:rsidRPr="00485131">
        <w:rPr>
          <w:rFonts w:ascii="Times New Roman" w:hAnsi="Times New Roman" w:cs="Times New Roman"/>
        </w:rPr>
        <w:t>?OpenDocument.</w:t>
      </w:r>
    </w:p>
  </w:footnote>
  <w:footnote w:id="25">
    <w:p w14:paraId="0939029B" w14:textId="1474B7CE" w:rsidR="009F59D8" w:rsidRPr="00485131" w:rsidRDefault="009F59D8" w:rsidP="00017DFF">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Com o seguinte conteúdo: “</w:t>
      </w:r>
      <w:r w:rsidRPr="00485131">
        <w:rPr>
          <w:rFonts w:ascii="Times New Roman" w:hAnsi="Times New Roman" w:cs="Times New Roman"/>
          <w:color w:val="363636"/>
          <w:shd w:val="clear" w:color="auto" w:fill="FFFFFF"/>
        </w:rPr>
        <w:t>A acção de investigação de maternidade só pode ser proposta durante a menoridade do investigante ou nos dez anos posteriores à sua maioridade ou emancipação.”</w:t>
      </w:r>
    </w:p>
  </w:footnote>
  <w:footnote w:id="26">
    <w:p w14:paraId="3D31F8DA" w14:textId="2CE111F5" w:rsidR="009F59D8" w:rsidRPr="00485131" w:rsidRDefault="009F59D8" w:rsidP="00017DFF">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Que dispõe: “</w:t>
      </w:r>
      <w:r w:rsidRPr="00485131">
        <w:rPr>
          <w:rFonts w:ascii="Times New Roman" w:hAnsi="Times New Roman" w:cs="Times New Roman"/>
          <w:color w:val="363636"/>
          <w:shd w:val="clear" w:color="auto" w:fill="FFFFFF"/>
        </w:rPr>
        <w:t>É aplicável à acção de investigação de paternidade, com as necessárias adaptações, o disposto nos artigos 1817.º a 1819.º e 1821.º.”</w:t>
      </w:r>
    </w:p>
  </w:footnote>
  <w:footnote w:id="27">
    <w:p w14:paraId="35BDBEAE" w14:textId="3736176E" w:rsidR="00E30DD4" w:rsidRPr="00485131" w:rsidRDefault="00E30DD4" w:rsidP="00017DFF">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w:t>
      </w:r>
      <w:r w:rsidR="0003035B" w:rsidRPr="00485131">
        <w:rPr>
          <w:rFonts w:ascii="Times New Roman" w:hAnsi="Times New Roman" w:cs="Times New Roman"/>
        </w:rPr>
        <w:t xml:space="preserve">O qual sob a epígrafe força jurídica, prevê: </w:t>
      </w:r>
      <w:r w:rsidR="0003035B" w:rsidRPr="00485131">
        <w:rPr>
          <w:rFonts w:ascii="Times New Roman" w:hAnsi="Times New Roman" w:cs="Times New Roman"/>
          <w:shd w:val="clear" w:color="auto" w:fill="FFFFFF"/>
        </w:rPr>
        <w:t>“A lei só pode restringir os direitos, liberdades e garantias nos casos expressamente previstos na Constituição, devendo as restrições limitar-se ao necessário para salvaguardar outros direitos ou interesses constitucionalmente protegidos.”</w:t>
      </w:r>
    </w:p>
  </w:footnote>
  <w:footnote w:id="28">
    <w:p w14:paraId="4BC64996" w14:textId="4289E07D" w:rsidR="0003035B" w:rsidRPr="00485131" w:rsidRDefault="0003035B" w:rsidP="00017DFF">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Com o seguinte teor: “</w:t>
      </w:r>
      <w:r w:rsidRPr="00485131">
        <w:rPr>
          <w:rFonts w:ascii="Times New Roman" w:hAnsi="Times New Roman" w:cs="Times New Roman"/>
          <w:shd w:val="clear" w:color="auto" w:fill="FFFFFF"/>
        </w:rPr>
        <w:t>A todos são reconhecidos os direitos à identidade pessoal, ao desenvolvimento da personalidade, à capacidade civil, à cidadania, ao bom nome e reputação, à imagem, à palavra, à reserva da intimidade da vida privada e familiar e à protecção legal contra quaisquer formas de discriminação.”</w:t>
      </w:r>
    </w:p>
  </w:footnote>
  <w:footnote w:id="29">
    <w:p w14:paraId="3DC27E3A" w14:textId="45D2C985" w:rsidR="0003035B" w:rsidRPr="00485131" w:rsidRDefault="0003035B" w:rsidP="00017DFF">
      <w:pPr>
        <w:pStyle w:val="Textonotapie"/>
        <w:jc w:val="both"/>
        <w:rPr>
          <w:rFonts w:ascii="Times New Roman" w:hAnsi="Times New Roman" w:cs="Times New Roman"/>
        </w:rPr>
      </w:pPr>
      <w:r w:rsidRPr="00485131">
        <w:rPr>
          <w:rStyle w:val="Refdenotaalpie"/>
          <w:rFonts w:ascii="Times New Roman" w:hAnsi="Times New Roman" w:cs="Times New Roman"/>
        </w:rPr>
        <w:footnoteRef/>
      </w:r>
      <w:r w:rsidRPr="00485131">
        <w:rPr>
          <w:rFonts w:ascii="Times New Roman" w:hAnsi="Times New Roman" w:cs="Times New Roman"/>
        </w:rPr>
        <w:t xml:space="preserve"> Que garante que “[t]</w:t>
      </w:r>
      <w:r w:rsidRPr="00485131">
        <w:rPr>
          <w:rFonts w:ascii="Times New Roman" w:hAnsi="Times New Roman" w:cs="Times New Roman"/>
          <w:shd w:val="clear" w:color="auto" w:fill="FFFFFF"/>
        </w:rPr>
        <w:t>odos têm o direito de constituir família e de contrair casamento em condições de plena igualdade.”</w:t>
      </w:r>
    </w:p>
  </w:footnote>
  <w:footnote w:id="30">
    <w:p w14:paraId="4C463F1D" w14:textId="55E06913" w:rsidR="00A046F5" w:rsidRPr="00462F53" w:rsidRDefault="00A046F5" w:rsidP="00A046F5">
      <w:pPr>
        <w:spacing w:line="240" w:lineRule="auto"/>
        <w:jc w:val="both"/>
        <w:rPr>
          <w:rFonts w:ascii="Times New Roman" w:hAnsi="Times New Roman" w:cs="Times New Roman"/>
          <w:sz w:val="20"/>
          <w:szCs w:val="20"/>
        </w:rPr>
      </w:pPr>
      <w:r w:rsidRPr="00E84B24">
        <w:rPr>
          <w:rStyle w:val="Refdenotaalpie"/>
          <w:rFonts w:ascii="Times New Roman" w:hAnsi="Times New Roman" w:cs="Times New Roman"/>
          <w:sz w:val="20"/>
          <w:szCs w:val="20"/>
        </w:rPr>
        <w:footnoteRef/>
      </w:r>
      <w:r w:rsidRPr="00E84B24">
        <w:rPr>
          <w:rFonts w:ascii="Times New Roman" w:hAnsi="Times New Roman" w:cs="Times New Roman"/>
          <w:sz w:val="20"/>
          <w:szCs w:val="20"/>
        </w:rPr>
        <w:t xml:space="preserve"> Invoca, assim, a autora que a sua mãe trabalhava como criada na casa da mãe do réu nos anos de 1967 e 1968. Que nessas concretas circunstâncias, o réu, que residia com a mãe, seduziu e cortejou a mãe da autora, mantendo cópula exclusiva da qual veio a nascer a autora. A paternidade da autora foi reconhecida e </w:t>
      </w:r>
      <w:r w:rsidRPr="00462F53">
        <w:rPr>
          <w:rFonts w:ascii="Times New Roman" w:hAnsi="Times New Roman" w:cs="Times New Roman"/>
          <w:sz w:val="20"/>
          <w:szCs w:val="20"/>
        </w:rPr>
        <w:t>continua a sê-lo pelos familiares, amigos e conhecidos do réu. Em 1995 a autora foi trabalhar para casa da mãe do réu e esta apresentou-a ao réu, transmitindo-lhe que era o seu pai. A mãe do réu passou a chamá-la como neta, sendo convidada pelo réu para almoçar e jantar com a família. Após um desentendimento com a mãe do réu, este não voltou a convidá-la para sua casa e só lhe fala quando a sua mãe não está presente.</w:t>
      </w:r>
    </w:p>
  </w:footnote>
  <w:footnote w:id="31">
    <w:p w14:paraId="25E7F8E2" w14:textId="6269DDD2" w:rsidR="000D52A0" w:rsidRPr="00462F53" w:rsidRDefault="003A6153" w:rsidP="000D52A0">
      <w:pPr>
        <w:pStyle w:val="atranscrio"/>
        <w:shd w:val="clear" w:color="auto" w:fill="FFFFFF"/>
        <w:spacing w:before="60" w:beforeAutospacing="0" w:after="0" w:afterAutospacing="0"/>
        <w:jc w:val="both"/>
        <w:rPr>
          <w:color w:val="000000"/>
          <w:sz w:val="20"/>
          <w:szCs w:val="20"/>
        </w:rPr>
      </w:pPr>
      <w:r w:rsidRPr="00462F53">
        <w:rPr>
          <w:rStyle w:val="Refdenotaalpie"/>
          <w:sz w:val="20"/>
          <w:szCs w:val="20"/>
        </w:rPr>
        <w:footnoteRef/>
      </w:r>
      <w:r w:rsidRPr="00462F53">
        <w:rPr>
          <w:sz w:val="20"/>
          <w:szCs w:val="20"/>
        </w:rPr>
        <w:t xml:space="preserve"> </w:t>
      </w:r>
      <w:r w:rsidR="000D52A0" w:rsidRPr="00462F53">
        <w:rPr>
          <w:sz w:val="20"/>
          <w:szCs w:val="20"/>
        </w:rPr>
        <w:t xml:space="preserve">Fundamentando a sua pretensão na </w:t>
      </w:r>
      <w:r w:rsidR="00462F53" w:rsidRPr="00462F53">
        <w:rPr>
          <w:sz w:val="20"/>
          <w:szCs w:val="20"/>
        </w:rPr>
        <w:t>posição da seguinte doutrina:</w:t>
      </w:r>
      <w:r w:rsidR="000D52A0" w:rsidRPr="00462F53">
        <w:rPr>
          <w:color w:val="000000"/>
          <w:sz w:val="20"/>
          <w:szCs w:val="20"/>
        </w:rPr>
        <w:t> </w:t>
      </w:r>
      <w:r w:rsidR="000D52A0" w:rsidRPr="002606BB">
        <w:rPr>
          <w:color w:val="000000"/>
          <w:sz w:val="20"/>
          <w:szCs w:val="20"/>
        </w:rPr>
        <w:t>Jo</w:t>
      </w:r>
      <w:r w:rsidR="002606BB">
        <w:rPr>
          <w:color w:val="000000"/>
          <w:sz w:val="20"/>
          <w:szCs w:val="20"/>
        </w:rPr>
        <w:t>rge</w:t>
      </w:r>
      <w:r w:rsidR="000D52A0" w:rsidRPr="002606BB">
        <w:rPr>
          <w:color w:val="000000"/>
          <w:sz w:val="20"/>
          <w:szCs w:val="20"/>
        </w:rPr>
        <w:t xml:space="preserve"> Duarte Pinheiro</w:t>
      </w:r>
      <w:r w:rsidR="000D52A0" w:rsidRPr="00462F53">
        <w:rPr>
          <w:color w:val="000000"/>
          <w:sz w:val="20"/>
          <w:szCs w:val="20"/>
        </w:rPr>
        <w:t>, in "Inconstitucionalidade do artigo 1817.º, n.º 1, do Código Civil", Cadernos de Direito Privado, n.º 15 Julho/Setembro 2006, págs. 32 a 52, </w:t>
      </w:r>
      <w:r w:rsidR="000D52A0" w:rsidRPr="000C11AC">
        <w:rPr>
          <w:i/>
          <w:iCs/>
          <w:color w:val="000000"/>
          <w:sz w:val="20"/>
          <w:szCs w:val="20"/>
        </w:rPr>
        <w:t>Guilherme Oliveira</w:t>
      </w:r>
      <w:r w:rsidR="000D52A0" w:rsidRPr="00462F53">
        <w:rPr>
          <w:color w:val="000000"/>
          <w:sz w:val="20"/>
          <w:szCs w:val="20"/>
        </w:rPr>
        <w:t>, in "Caducidade das Ações de Investigação", revista Lex Familiae, n.º 1, 2004, pp. 7 a 13 e </w:t>
      </w:r>
      <w:r w:rsidR="000D52A0" w:rsidRPr="002606BB">
        <w:rPr>
          <w:color w:val="000000"/>
          <w:sz w:val="20"/>
          <w:szCs w:val="20"/>
        </w:rPr>
        <w:t>Menezes Leitão,</w:t>
      </w:r>
      <w:r w:rsidR="000D52A0" w:rsidRPr="00462F53">
        <w:rPr>
          <w:color w:val="000000"/>
          <w:sz w:val="20"/>
          <w:szCs w:val="20"/>
        </w:rPr>
        <w:t xml:space="preserve"> in "Anotação ao Acórdão do STJ de 19/04/2013", Revista da Ordem dos Advogados, ano 73, Vol. I, Janeiro/Março, págs. 396 a 399).</w:t>
      </w:r>
    </w:p>
    <w:p w14:paraId="588EB307" w14:textId="44DCD3E7" w:rsidR="003A6153" w:rsidRPr="00E84B24" w:rsidRDefault="00E84B24" w:rsidP="00E84B24">
      <w:pPr>
        <w:pStyle w:val="atranscrio"/>
        <w:shd w:val="clear" w:color="auto" w:fill="FFFFFF"/>
        <w:spacing w:before="60" w:beforeAutospacing="0" w:after="0" w:afterAutospacing="0"/>
        <w:jc w:val="both"/>
        <w:rPr>
          <w:color w:val="000000"/>
          <w:sz w:val="20"/>
          <w:szCs w:val="20"/>
        </w:rPr>
      </w:pPr>
      <w:r w:rsidRPr="00462F53">
        <w:rPr>
          <w:sz w:val="20"/>
          <w:szCs w:val="20"/>
        </w:rPr>
        <w:t>Mais expendeu</w:t>
      </w:r>
      <w:r w:rsidR="00462F53">
        <w:rPr>
          <w:sz w:val="20"/>
          <w:szCs w:val="20"/>
        </w:rPr>
        <w:t>,</w:t>
      </w:r>
      <w:r w:rsidRPr="00462F53">
        <w:rPr>
          <w:sz w:val="20"/>
          <w:szCs w:val="20"/>
        </w:rPr>
        <w:t xml:space="preserve"> ainda</w:t>
      </w:r>
      <w:r w:rsidR="00462F53">
        <w:rPr>
          <w:sz w:val="20"/>
          <w:szCs w:val="20"/>
        </w:rPr>
        <w:t>,</w:t>
      </w:r>
      <w:r w:rsidRPr="00462F53">
        <w:rPr>
          <w:sz w:val="20"/>
          <w:szCs w:val="20"/>
        </w:rPr>
        <w:t xml:space="preserve"> a recorrente o argumento de que na ponderação de direitos conflituantes em presença, o direito à identidade genética versus direito à reserva da vida privada e à segurança jurídica, prevalece </w:t>
      </w:r>
      <w:r w:rsidRPr="00462F53">
        <w:rPr>
          <w:color w:val="000000"/>
          <w:sz w:val="20"/>
          <w:szCs w:val="20"/>
        </w:rPr>
        <w:t>o primeiro pois</w:t>
      </w:r>
      <w:r w:rsidRPr="00E84B24">
        <w:rPr>
          <w:color w:val="000000"/>
          <w:sz w:val="20"/>
          <w:szCs w:val="20"/>
        </w:rPr>
        <w:t xml:space="preserve"> inscreve-se num direito de personalidade, socialmente tido como mais relevante</w:t>
      </w:r>
      <w:r w:rsidR="00462F53">
        <w:rPr>
          <w:color w:val="000000"/>
          <w:sz w:val="20"/>
          <w:szCs w:val="20"/>
        </w:rPr>
        <w:t xml:space="preserve"> e que </w:t>
      </w:r>
      <w:r w:rsidR="00462F53" w:rsidRPr="00462F53">
        <w:rPr>
          <w:color w:val="000000"/>
          <w:sz w:val="20"/>
          <w:szCs w:val="20"/>
        </w:rPr>
        <w:t>o estabelecimento de um prazo de caducidade não deve servir para sancionar a inércia do investigante.</w:t>
      </w:r>
    </w:p>
  </w:footnote>
  <w:footnote w:id="32">
    <w:p w14:paraId="050CC12B" w14:textId="73317439" w:rsidR="00945EE4" w:rsidRPr="00E84B24" w:rsidRDefault="00945EE4" w:rsidP="00F82737">
      <w:pPr>
        <w:pStyle w:val="Textonotapie"/>
        <w:jc w:val="both"/>
        <w:rPr>
          <w:rFonts w:ascii="Times New Roman" w:hAnsi="Times New Roman" w:cs="Times New Roman"/>
        </w:rPr>
      </w:pPr>
      <w:r w:rsidRPr="00E84B24">
        <w:rPr>
          <w:rStyle w:val="Refdenotaalpie"/>
          <w:rFonts w:ascii="Times New Roman" w:hAnsi="Times New Roman" w:cs="Times New Roman"/>
        </w:rPr>
        <w:footnoteRef/>
      </w:r>
      <w:r w:rsidRPr="00E84B24">
        <w:rPr>
          <w:rFonts w:ascii="Times New Roman" w:hAnsi="Times New Roman" w:cs="Times New Roman"/>
        </w:rPr>
        <w:t xml:space="preserve"> RELAÇÃO DE GUIMARÃES – Acórdão do Tribunal da Relação de Guimarães de 202-2017, processo n.º </w:t>
      </w:r>
      <w:r w:rsidRPr="00E84B24">
        <w:rPr>
          <w:rFonts w:ascii="Times New Roman" w:hAnsi="Times New Roman" w:cs="Times New Roman"/>
          <w:shd w:val="clear" w:color="auto" w:fill="E0F1FF"/>
        </w:rPr>
        <w:t>1660/16.6T8VCT.G1. Acórdãos RG [Em linha</w:t>
      </w:r>
      <w:r w:rsidR="00B47C69" w:rsidRPr="00E84B24">
        <w:rPr>
          <w:rFonts w:ascii="Times New Roman" w:hAnsi="Times New Roman" w:cs="Times New Roman"/>
          <w:shd w:val="clear" w:color="auto" w:fill="E0F1FF"/>
        </w:rPr>
        <w:t xml:space="preserve">] Relator Helena Gomes de Melo, Guimarães : DGSI. </w:t>
      </w:r>
      <w:r w:rsidR="00B47C69" w:rsidRPr="002606BB">
        <w:rPr>
          <w:rFonts w:ascii="Times New Roman" w:hAnsi="Times New Roman" w:cs="Times New Roman"/>
          <w:shd w:val="clear" w:color="auto" w:fill="E0F1FF"/>
        </w:rPr>
        <w:t xml:space="preserve">[Consult. 29 </w:t>
      </w:r>
      <w:r w:rsidR="000C11AC">
        <w:rPr>
          <w:rFonts w:ascii="Times New Roman" w:hAnsi="Times New Roman" w:cs="Times New Roman"/>
          <w:shd w:val="clear" w:color="auto" w:fill="E0F1FF"/>
        </w:rPr>
        <w:t>dez</w:t>
      </w:r>
      <w:r w:rsidR="00B47C69" w:rsidRPr="002606BB">
        <w:rPr>
          <w:rFonts w:ascii="Times New Roman" w:hAnsi="Times New Roman" w:cs="Times New Roman"/>
          <w:shd w:val="clear" w:color="auto" w:fill="E0F1FF"/>
        </w:rPr>
        <w:t>. 202</w:t>
      </w:r>
      <w:r w:rsidR="000C11AC">
        <w:rPr>
          <w:rFonts w:ascii="Times New Roman" w:hAnsi="Times New Roman" w:cs="Times New Roman"/>
          <w:shd w:val="clear" w:color="auto" w:fill="E0F1FF"/>
        </w:rPr>
        <w:t>1</w:t>
      </w:r>
      <w:r w:rsidR="00B47C69" w:rsidRPr="002606BB">
        <w:rPr>
          <w:rFonts w:ascii="Times New Roman" w:hAnsi="Times New Roman" w:cs="Times New Roman"/>
          <w:shd w:val="clear" w:color="auto" w:fill="E0F1FF"/>
        </w:rPr>
        <w:t>]. Disponível em WWW:URL: http.dgsi.pt/jtrg.nsf/-/8FD7704BC55CA3D8802580DF005910A7</w:t>
      </w:r>
      <w:r w:rsidR="00B47C69" w:rsidRPr="002606BB">
        <w:rPr>
          <w:rFonts w:ascii="Times New Roman" w:hAnsi="Times New Roman" w:cs="Times New Roman"/>
        </w:rPr>
        <w:t>?</w:t>
      </w:r>
      <w:r w:rsidR="00B47C69" w:rsidRPr="00E84B24">
        <w:rPr>
          <w:rFonts w:ascii="Times New Roman" w:hAnsi="Times New Roman" w:cs="Times New Roman"/>
        </w:rPr>
        <w:t>OpenDocument.</w:t>
      </w:r>
    </w:p>
  </w:footnote>
  <w:footnote w:id="33">
    <w:p w14:paraId="553B164B" w14:textId="30E7FFC4" w:rsidR="004D1CCD" w:rsidRPr="00F82737" w:rsidRDefault="004D1CCD" w:rsidP="00F82737">
      <w:pPr>
        <w:pStyle w:val="Textonotapie"/>
        <w:jc w:val="both"/>
        <w:rPr>
          <w:rFonts w:ascii="Times New Roman" w:hAnsi="Times New Roman" w:cs="Times New Roman"/>
        </w:rPr>
      </w:pPr>
      <w:r w:rsidRPr="00F82737">
        <w:rPr>
          <w:rStyle w:val="Refdenotaalpie"/>
          <w:rFonts w:ascii="Times New Roman" w:hAnsi="Times New Roman" w:cs="Times New Roman"/>
        </w:rPr>
        <w:footnoteRef/>
      </w:r>
      <w:r w:rsidRPr="00F82737">
        <w:rPr>
          <w:rFonts w:ascii="Times New Roman" w:hAnsi="Times New Roman" w:cs="Times New Roman"/>
        </w:rPr>
        <w:t xml:space="preserve"> O qual sob a epígrafe força jurídica, prevê: </w:t>
      </w:r>
      <w:r w:rsidRPr="00F82737">
        <w:rPr>
          <w:rFonts w:ascii="Times New Roman" w:hAnsi="Times New Roman" w:cs="Times New Roman"/>
          <w:shd w:val="clear" w:color="auto" w:fill="FFFFFF"/>
        </w:rPr>
        <w:t>“A lei só pode restringir os direitos, liberdades e garantias nos casos expressamente previstos na Constituição, devendo as restrições limitar-se ao necessário para salvaguardar outros direitos ou interesses constitucionalmente protegidos.”</w:t>
      </w:r>
    </w:p>
  </w:footnote>
  <w:footnote w:id="34">
    <w:p w14:paraId="5915CDA2" w14:textId="157E9663" w:rsidR="004D1CCD" w:rsidRPr="00F82737" w:rsidRDefault="004D1CCD" w:rsidP="00F82737">
      <w:pPr>
        <w:pStyle w:val="Textonotapie"/>
        <w:jc w:val="both"/>
        <w:rPr>
          <w:rFonts w:ascii="Times New Roman" w:hAnsi="Times New Roman" w:cs="Times New Roman"/>
        </w:rPr>
      </w:pPr>
      <w:r w:rsidRPr="00F82737">
        <w:rPr>
          <w:rStyle w:val="Refdenotaalpie"/>
          <w:rFonts w:ascii="Times New Roman" w:hAnsi="Times New Roman" w:cs="Times New Roman"/>
        </w:rPr>
        <w:footnoteRef/>
      </w:r>
      <w:r w:rsidRPr="00F82737">
        <w:rPr>
          <w:rFonts w:ascii="Times New Roman" w:hAnsi="Times New Roman" w:cs="Times New Roman"/>
        </w:rPr>
        <w:t xml:space="preserve"> Com o seguinte teor: “</w:t>
      </w:r>
      <w:r w:rsidRPr="00F82737">
        <w:rPr>
          <w:rFonts w:ascii="Times New Roman" w:hAnsi="Times New Roman" w:cs="Times New Roman"/>
          <w:shd w:val="clear" w:color="auto" w:fill="FFFFFF"/>
        </w:rPr>
        <w:t>A todos são reconhecidos os direitos à identidade pessoal, ao desenvolvimento da personalidade, à capacidade civil, à cidadania, ao bom nome e reputação, à imagem, à palavra, à reserva da intimidade da vida privada e familiar e à protecção legal contra quaisquer formas de discriminação.”</w:t>
      </w:r>
    </w:p>
  </w:footnote>
  <w:footnote w:id="35">
    <w:p w14:paraId="4831DBC2" w14:textId="1CA9E61B" w:rsidR="004D1CCD" w:rsidRPr="00F82737" w:rsidRDefault="004D1CCD" w:rsidP="00F82737">
      <w:pPr>
        <w:pStyle w:val="Textonotapie"/>
        <w:jc w:val="both"/>
        <w:rPr>
          <w:rFonts w:ascii="Times New Roman" w:hAnsi="Times New Roman" w:cs="Times New Roman"/>
        </w:rPr>
      </w:pPr>
      <w:r w:rsidRPr="00F82737">
        <w:rPr>
          <w:rStyle w:val="Refdenotaalpie"/>
          <w:rFonts w:ascii="Times New Roman" w:hAnsi="Times New Roman" w:cs="Times New Roman"/>
        </w:rPr>
        <w:footnoteRef/>
      </w:r>
      <w:r w:rsidRPr="00F82737">
        <w:rPr>
          <w:rFonts w:ascii="Times New Roman" w:hAnsi="Times New Roman" w:cs="Times New Roman"/>
        </w:rPr>
        <w:t xml:space="preserve"> </w:t>
      </w:r>
      <w:bookmarkStart w:id="2" w:name="_Hlk94438476"/>
      <w:r w:rsidRPr="00F82737">
        <w:rPr>
          <w:rFonts w:ascii="Times New Roman" w:hAnsi="Times New Roman" w:cs="Times New Roman"/>
        </w:rPr>
        <w:t>Que garante que “[t]</w:t>
      </w:r>
      <w:r w:rsidRPr="00F82737">
        <w:rPr>
          <w:rFonts w:ascii="Times New Roman" w:hAnsi="Times New Roman" w:cs="Times New Roman"/>
          <w:shd w:val="clear" w:color="auto" w:fill="FFFFFF"/>
        </w:rPr>
        <w:t>odos têm o direito de constituir família e de contrair casamento em condições de plena igualdade.”</w:t>
      </w:r>
    </w:p>
    <w:bookmarkEnd w:id="2"/>
  </w:footnote>
  <w:footnote w:id="36">
    <w:p w14:paraId="6B9234C2" w14:textId="39F1CA57" w:rsidR="00892A79" w:rsidRPr="003A6153" w:rsidRDefault="00892A79" w:rsidP="0034167F">
      <w:pPr>
        <w:pStyle w:val="Textonotapie"/>
        <w:jc w:val="both"/>
        <w:rPr>
          <w:rFonts w:ascii="Times New Roman" w:hAnsi="Times New Roman" w:cs="Times New Roman"/>
        </w:rPr>
      </w:pPr>
      <w:r w:rsidRPr="003A6153">
        <w:rPr>
          <w:rStyle w:val="Refdenotaalpie"/>
          <w:rFonts w:ascii="Times New Roman" w:hAnsi="Times New Roman" w:cs="Times New Roman"/>
        </w:rPr>
        <w:footnoteRef/>
      </w:r>
      <w:r w:rsidRPr="003A6153">
        <w:rPr>
          <w:rFonts w:ascii="Times New Roman" w:hAnsi="Times New Roman" w:cs="Times New Roman"/>
        </w:rPr>
        <w:t xml:space="preserve"> </w:t>
      </w:r>
      <w:r w:rsidR="00335579" w:rsidRPr="003A6153">
        <w:rPr>
          <w:rFonts w:ascii="Times New Roman" w:hAnsi="Times New Roman" w:cs="Times New Roman"/>
          <w:color w:val="000000"/>
          <w:shd w:val="clear" w:color="auto" w:fill="FFFFF2"/>
        </w:rPr>
        <w:t>Lei n.º 28/82, de 15/11, com as alterações que lhe foram introduzidas pelas leis n.ºs 143/85, de 26/11 e 85/89, de 07/09, declaração 3/11 de 1989, Leis n.ºs 88/95 de 01/09 e 13-A/98, de 23/06, Rect. N.º 10798 de 23/05, Leis Orgânicas n.ºs 1/2011, de 30/11, 5/2015, de 10/04, 11/2015, de 28/08, 1/2018, de 19/04, 4/2019, de 13/09 e 1/2002, de 04/01.</w:t>
      </w:r>
    </w:p>
  </w:footnote>
  <w:footnote w:id="37">
    <w:p w14:paraId="211EB549" w14:textId="2ECC5BEF" w:rsidR="007755FA" w:rsidRPr="002606BB" w:rsidRDefault="007755FA" w:rsidP="0034167F">
      <w:pPr>
        <w:spacing w:line="240" w:lineRule="auto"/>
        <w:jc w:val="both"/>
        <w:rPr>
          <w:rFonts w:ascii="Times New Roman" w:hAnsi="Times New Roman" w:cs="Times New Roman"/>
          <w:sz w:val="20"/>
          <w:szCs w:val="20"/>
        </w:rPr>
      </w:pPr>
      <w:r w:rsidRPr="003A6153">
        <w:rPr>
          <w:rStyle w:val="Refdenotaalpie"/>
          <w:rFonts w:ascii="Times New Roman" w:hAnsi="Times New Roman" w:cs="Times New Roman"/>
          <w:sz w:val="20"/>
          <w:szCs w:val="20"/>
        </w:rPr>
        <w:footnoteRef/>
      </w:r>
      <w:r w:rsidRPr="003A6153">
        <w:rPr>
          <w:rFonts w:ascii="Times New Roman" w:hAnsi="Times New Roman" w:cs="Times New Roman"/>
          <w:sz w:val="20"/>
          <w:szCs w:val="20"/>
        </w:rPr>
        <w:t xml:space="preserve"> Além do </w:t>
      </w:r>
      <w:r w:rsidRPr="002606BB">
        <w:rPr>
          <w:rFonts w:ascii="Times New Roman" w:hAnsi="Times New Roman" w:cs="Times New Roman"/>
          <w:sz w:val="20"/>
          <w:szCs w:val="20"/>
        </w:rPr>
        <w:t xml:space="preserve">Ac. STJ 401/2011, DR II S. de 3/11/2011, o </w:t>
      </w:r>
      <w:r w:rsidRPr="002606BB">
        <w:rPr>
          <w:rFonts w:ascii="Times New Roman" w:hAnsi="Times New Roman" w:cs="Times New Roman"/>
          <w:color w:val="000000"/>
          <w:sz w:val="20"/>
          <w:szCs w:val="20"/>
          <w:shd w:val="clear" w:color="auto" w:fill="FFFFFF"/>
        </w:rPr>
        <w:t xml:space="preserve">Ac. STJ de 9-4-2013, Proc. 187/09.7TBPFR.P1.S1, </w:t>
      </w:r>
      <w:r w:rsidR="00682DAC">
        <w:rPr>
          <w:rFonts w:ascii="Times New Roman" w:hAnsi="Times New Roman" w:cs="Times New Roman"/>
          <w:color w:val="000000"/>
          <w:sz w:val="20"/>
          <w:szCs w:val="20"/>
          <w:shd w:val="clear" w:color="auto" w:fill="FFFFFF"/>
        </w:rPr>
        <w:t>(</w:t>
      </w:r>
      <w:r w:rsidRPr="002606BB">
        <w:rPr>
          <w:rFonts w:ascii="Times New Roman" w:hAnsi="Times New Roman" w:cs="Times New Roman"/>
          <w:color w:val="000000"/>
          <w:sz w:val="20"/>
          <w:szCs w:val="20"/>
          <w:shd w:val="clear" w:color="auto" w:fill="FFFFFF"/>
        </w:rPr>
        <w:t>Rel. Fonseca Ramos), cfr. Acs. TC 247/2012, DR II S. de 25/6/2012 e 302/2015</w:t>
      </w:r>
      <w:r w:rsidR="00C9730E" w:rsidRPr="002606BB">
        <w:rPr>
          <w:rFonts w:ascii="Times New Roman" w:hAnsi="Times New Roman" w:cs="Times New Roman"/>
          <w:color w:val="000000"/>
          <w:sz w:val="20"/>
          <w:szCs w:val="20"/>
          <w:shd w:val="clear" w:color="auto" w:fill="FFFFFF"/>
        </w:rPr>
        <w:t xml:space="preserve"> de 2/06/2015</w:t>
      </w:r>
      <w:r w:rsidRPr="002606BB">
        <w:rPr>
          <w:rFonts w:ascii="Times New Roman" w:hAnsi="Times New Roman" w:cs="Times New Roman"/>
          <w:color w:val="000000"/>
          <w:sz w:val="20"/>
          <w:szCs w:val="20"/>
          <w:shd w:val="clear" w:color="auto" w:fill="FFFFFF"/>
        </w:rPr>
        <w:t>), disponíve</w:t>
      </w:r>
      <w:r w:rsidR="002606BB">
        <w:rPr>
          <w:rFonts w:ascii="Times New Roman" w:hAnsi="Times New Roman" w:cs="Times New Roman"/>
          <w:color w:val="000000"/>
          <w:sz w:val="20"/>
          <w:szCs w:val="20"/>
          <w:shd w:val="clear" w:color="auto" w:fill="FFFFFF"/>
        </w:rPr>
        <w:t>is</w:t>
      </w:r>
      <w:r w:rsidRPr="002606BB">
        <w:rPr>
          <w:rFonts w:ascii="Times New Roman" w:hAnsi="Times New Roman" w:cs="Times New Roman"/>
          <w:color w:val="000000"/>
          <w:sz w:val="20"/>
          <w:szCs w:val="20"/>
          <w:shd w:val="clear" w:color="auto" w:fill="FFFFFF"/>
        </w:rPr>
        <w:t xml:space="preserve"> em www.tribunalconstitucional.pt/tc/acordaos/20150302.html.</w:t>
      </w:r>
    </w:p>
  </w:footnote>
  <w:footnote w:id="38">
    <w:p w14:paraId="0D4B3AB8" w14:textId="00D8B35B" w:rsidR="00C9730E" w:rsidRPr="0034167F" w:rsidRDefault="00C9730E" w:rsidP="0034167F">
      <w:pPr>
        <w:pStyle w:val="Textonotapie"/>
        <w:jc w:val="both"/>
        <w:rPr>
          <w:rFonts w:ascii="Times New Roman" w:hAnsi="Times New Roman" w:cs="Times New Roman"/>
        </w:rPr>
      </w:pPr>
      <w:r w:rsidRPr="0034167F">
        <w:rPr>
          <w:rStyle w:val="Refdenotaalpie"/>
          <w:rFonts w:ascii="Times New Roman" w:hAnsi="Times New Roman" w:cs="Times New Roman"/>
        </w:rPr>
        <w:footnoteRef/>
      </w:r>
      <w:r w:rsidRPr="0034167F">
        <w:rPr>
          <w:rFonts w:ascii="Times New Roman" w:hAnsi="Times New Roman" w:cs="Times New Roman"/>
        </w:rPr>
        <w:t xml:space="preserve"> Menciona</w:t>
      </w:r>
      <w:r w:rsidR="008C1415">
        <w:rPr>
          <w:rFonts w:ascii="Times New Roman" w:hAnsi="Times New Roman" w:cs="Times New Roman"/>
        </w:rPr>
        <w:t>n</w:t>
      </w:r>
      <w:r w:rsidRPr="0034167F">
        <w:rPr>
          <w:rFonts w:ascii="Times New Roman" w:hAnsi="Times New Roman" w:cs="Times New Roman"/>
        </w:rPr>
        <w:t xml:space="preserve">do, para além do acórdão </w:t>
      </w:r>
      <w:r w:rsidR="000C11AC">
        <w:rPr>
          <w:rFonts w:ascii="Times New Roman" w:hAnsi="Times New Roman" w:cs="Times New Roman"/>
        </w:rPr>
        <w:t xml:space="preserve">n.º </w:t>
      </w:r>
      <w:r w:rsidRPr="0034167F">
        <w:rPr>
          <w:rFonts w:ascii="Times New Roman" w:hAnsi="Times New Roman" w:cs="Times New Roman"/>
        </w:rPr>
        <w:t xml:space="preserve">401/2011, proferido </w:t>
      </w:r>
      <w:r w:rsidR="0034167F" w:rsidRPr="0034167F">
        <w:rPr>
          <w:rFonts w:ascii="Times New Roman" w:hAnsi="Times New Roman" w:cs="Times New Roman"/>
        </w:rPr>
        <w:t>pelo</w:t>
      </w:r>
      <w:r w:rsidRPr="0034167F">
        <w:rPr>
          <w:rFonts w:ascii="Times New Roman" w:hAnsi="Times New Roman" w:cs="Times New Roman"/>
        </w:rPr>
        <w:t xml:space="preserve"> plenário do Tribunal Constit</w:t>
      </w:r>
      <w:r w:rsidR="0034167F" w:rsidRPr="0034167F">
        <w:rPr>
          <w:rFonts w:ascii="Times New Roman" w:hAnsi="Times New Roman" w:cs="Times New Roman"/>
        </w:rPr>
        <w:t>ucional, também</w:t>
      </w:r>
      <w:r w:rsidR="0034167F">
        <w:rPr>
          <w:rFonts w:ascii="Times New Roman" w:hAnsi="Times New Roman" w:cs="Times New Roman"/>
        </w:rPr>
        <w:t xml:space="preserve">, </w:t>
      </w:r>
      <w:r w:rsidR="0034167F" w:rsidRPr="0034167F">
        <w:rPr>
          <w:rFonts w:ascii="Times New Roman" w:hAnsi="Times New Roman" w:cs="Times New Roman"/>
        </w:rPr>
        <w:t>os acórdãos n.ºs 704/2014, 302/2015, 549/2015, 626/2016, 424/2016 e 151/2017.</w:t>
      </w:r>
    </w:p>
  </w:footnote>
  <w:footnote w:id="39">
    <w:p w14:paraId="7354031B" w14:textId="4431DF2F" w:rsidR="0004504F" w:rsidRDefault="0004504F">
      <w:pPr>
        <w:pStyle w:val="Textonotapie"/>
      </w:pPr>
      <w:r>
        <w:rPr>
          <w:rStyle w:val="Refdenotaalpie"/>
        </w:rPr>
        <w:footnoteRef/>
      </w:r>
      <w:r>
        <w:t xml:space="preserve"> </w:t>
      </w:r>
      <w:r w:rsidRPr="0019604B">
        <w:rPr>
          <w:rFonts w:ascii="Times New Roman" w:hAnsi="Times New Roman" w:cs="Times New Roman"/>
        </w:rPr>
        <w:t>TRIBUNAL CONSTITUCIONAL, Acórdão do Tribunal Constitucional de</w:t>
      </w:r>
      <w:r w:rsidR="00466DB5">
        <w:rPr>
          <w:rFonts w:ascii="Times New Roman" w:hAnsi="Times New Roman" w:cs="Times New Roman"/>
        </w:rPr>
        <w:t xml:space="preserve"> 22</w:t>
      </w:r>
      <w:r w:rsidRPr="0019604B">
        <w:rPr>
          <w:rFonts w:ascii="Times New Roman" w:hAnsi="Times New Roman" w:cs="Times New Roman"/>
        </w:rPr>
        <w:t>-0</w:t>
      </w:r>
      <w:r w:rsidR="00466DB5">
        <w:rPr>
          <w:rFonts w:ascii="Times New Roman" w:hAnsi="Times New Roman" w:cs="Times New Roman"/>
        </w:rPr>
        <w:t>9</w:t>
      </w:r>
      <w:r w:rsidRPr="0019604B">
        <w:rPr>
          <w:rFonts w:ascii="Times New Roman" w:hAnsi="Times New Roman" w:cs="Times New Roman"/>
        </w:rPr>
        <w:t>-201</w:t>
      </w:r>
      <w:r w:rsidR="00466DB5">
        <w:rPr>
          <w:rFonts w:ascii="Times New Roman" w:hAnsi="Times New Roman" w:cs="Times New Roman"/>
        </w:rPr>
        <w:t>1</w:t>
      </w:r>
      <w:r w:rsidRPr="0019604B">
        <w:rPr>
          <w:rFonts w:ascii="Times New Roman" w:hAnsi="Times New Roman" w:cs="Times New Roman"/>
        </w:rPr>
        <w:t>, processo n.º 4</w:t>
      </w:r>
      <w:r w:rsidR="00466DB5">
        <w:rPr>
          <w:rFonts w:ascii="Times New Roman" w:hAnsi="Times New Roman" w:cs="Times New Roman"/>
        </w:rPr>
        <w:t>97/10</w:t>
      </w:r>
      <w:r w:rsidRPr="0019604B">
        <w:rPr>
          <w:rFonts w:ascii="Times New Roman" w:hAnsi="Times New Roman" w:cs="Times New Roman"/>
        </w:rPr>
        <w:t xml:space="preserve">, </w:t>
      </w:r>
      <w:r>
        <w:rPr>
          <w:rFonts w:ascii="Times New Roman" w:hAnsi="Times New Roman" w:cs="Times New Roman"/>
        </w:rPr>
        <w:t>Pleno</w:t>
      </w:r>
      <w:r w:rsidRPr="0019604B">
        <w:rPr>
          <w:rFonts w:ascii="Times New Roman" w:hAnsi="Times New Roman" w:cs="Times New Roman"/>
        </w:rPr>
        <w:t xml:space="preserve">. Acórdãos TC [Em linha]. Relator </w:t>
      </w:r>
      <w:r>
        <w:rPr>
          <w:rFonts w:ascii="Times New Roman" w:hAnsi="Times New Roman" w:cs="Times New Roman"/>
        </w:rPr>
        <w:t xml:space="preserve">João </w:t>
      </w:r>
      <w:r w:rsidR="00466DB5">
        <w:rPr>
          <w:rFonts w:ascii="Times New Roman" w:hAnsi="Times New Roman" w:cs="Times New Roman"/>
        </w:rPr>
        <w:t>Cura Mariano</w:t>
      </w:r>
      <w:r w:rsidRPr="0019604B">
        <w:rPr>
          <w:rFonts w:ascii="Times New Roman" w:hAnsi="Times New Roman" w:cs="Times New Roman"/>
        </w:rPr>
        <w:t xml:space="preserve">. Lisboa : TC. [consult. 27 dez. 2021] Disponível em WWW:URL: </w:t>
      </w:r>
      <w:r w:rsidR="00466DB5">
        <w:rPr>
          <w:rFonts w:ascii="Times New Roman" w:hAnsi="Times New Roman" w:cs="Times New Roman"/>
        </w:rPr>
        <w:t>h</w:t>
      </w:r>
      <w:r w:rsidR="00466DB5" w:rsidRPr="00466DB5">
        <w:rPr>
          <w:rFonts w:ascii="Times New Roman" w:hAnsi="Times New Roman" w:cs="Times New Roman"/>
        </w:rPr>
        <w:t>ttps://www.tribunalconstitucional.pt/tc/acordaos/20110401.html</w:t>
      </w:r>
    </w:p>
  </w:footnote>
  <w:footnote w:id="40">
    <w:p w14:paraId="503AA5EE" w14:textId="77777777" w:rsidR="0052460E" w:rsidRPr="00261436" w:rsidRDefault="002A3144" w:rsidP="00304259">
      <w:pPr>
        <w:pStyle w:val="Textonotapie"/>
        <w:jc w:val="both"/>
        <w:rPr>
          <w:rFonts w:ascii="Times New Roman" w:hAnsi="Times New Roman" w:cs="Times New Roman"/>
        </w:rPr>
      </w:pPr>
      <w:r>
        <w:rPr>
          <w:rStyle w:val="Refdenotaalpie"/>
        </w:rPr>
        <w:footnoteRef/>
      </w:r>
      <w:r>
        <w:t xml:space="preserve"> </w:t>
      </w:r>
      <w:r w:rsidR="00361132" w:rsidRPr="00261436">
        <w:rPr>
          <w:rFonts w:ascii="Times New Roman" w:hAnsi="Times New Roman" w:cs="Times New Roman"/>
        </w:rPr>
        <w:t>A matéria foi objeto de incerteza desde o início da sua consagração no ordenamento jurídico português. A previsão do reconhecimento da filiação, matéria objeto das ordenações, não tinha prazo definido, suscitando dúvida quanto ao exercício desse direito sem dependência de prazo</w:t>
      </w:r>
      <w:r w:rsidR="00F76060" w:rsidRPr="00261436">
        <w:rPr>
          <w:rFonts w:ascii="Times New Roman" w:hAnsi="Times New Roman" w:cs="Times New Roman"/>
        </w:rPr>
        <w:t xml:space="preserve"> ou afastando-se a sua imprescritibilidade mediante a aplicação do prazo geral de caducidade previsto para os direitos de crédito, que era de trinta anos.</w:t>
      </w:r>
      <w:r w:rsidR="00304259" w:rsidRPr="00261436">
        <w:rPr>
          <w:rFonts w:ascii="Times New Roman" w:hAnsi="Times New Roman" w:cs="Times New Roman"/>
        </w:rPr>
        <w:t xml:space="preserve"> </w:t>
      </w:r>
      <w:r w:rsidR="00F76060" w:rsidRPr="00261436">
        <w:rPr>
          <w:rFonts w:ascii="Times New Roman" w:hAnsi="Times New Roman" w:cs="Times New Roman"/>
        </w:rPr>
        <w:t xml:space="preserve">O </w:t>
      </w:r>
      <w:r w:rsidR="00304259" w:rsidRPr="00261436">
        <w:rPr>
          <w:rFonts w:ascii="Times New Roman" w:hAnsi="Times New Roman" w:cs="Times New Roman"/>
        </w:rPr>
        <w:t xml:space="preserve">Código de Seabra, </w:t>
      </w:r>
      <w:r w:rsidR="00F76060" w:rsidRPr="00261436">
        <w:rPr>
          <w:rFonts w:ascii="Times New Roman" w:hAnsi="Times New Roman" w:cs="Times New Roman"/>
        </w:rPr>
        <w:t xml:space="preserve">proibia a investigação da paternidade ilegítima (artigo 130.º), limitando a possibilidade de investigação da paternidade </w:t>
      </w:r>
      <w:r w:rsidR="00304259" w:rsidRPr="00261436">
        <w:rPr>
          <w:rFonts w:ascii="Times New Roman" w:hAnsi="Times New Roman" w:cs="Times New Roman"/>
        </w:rPr>
        <w:t>legitima</w:t>
      </w:r>
      <w:r w:rsidR="00F76060" w:rsidRPr="00261436">
        <w:rPr>
          <w:rFonts w:ascii="Times New Roman" w:hAnsi="Times New Roman" w:cs="Times New Roman"/>
        </w:rPr>
        <w:t xml:space="preserve"> apenas às</w:t>
      </w:r>
      <w:r w:rsidR="00304259" w:rsidRPr="00261436">
        <w:rPr>
          <w:rFonts w:ascii="Times New Roman" w:hAnsi="Times New Roman" w:cs="Times New Roman"/>
        </w:rPr>
        <w:t xml:space="preserve"> situações de existência de escrito do pai, posse de estado, estupro violento e rapto (artigo 130.º, n.º 2 e 3). </w:t>
      </w:r>
      <w:r w:rsidR="00F76060" w:rsidRPr="00261436">
        <w:rPr>
          <w:rFonts w:ascii="Times New Roman" w:hAnsi="Times New Roman" w:cs="Times New Roman"/>
        </w:rPr>
        <w:t xml:space="preserve">No entanto, </w:t>
      </w:r>
      <w:r w:rsidR="00AD1D64" w:rsidRPr="00261436">
        <w:rPr>
          <w:rFonts w:ascii="Times New Roman" w:hAnsi="Times New Roman" w:cs="Times New Roman"/>
        </w:rPr>
        <w:t>o direito à</w:t>
      </w:r>
      <w:r w:rsidR="00F76060" w:rsidRPr="00261436">
        <w:rPr>
          <w:rFonts w:ascii="Times New Roman" w:hAnsi="Times New Roman" w:cs="Times New Roman"/>
        </w:rPr>
        <w:t xml:space="preserve"> instauração da competente ação</w:t>
      </w:r>
      <w:r w:rsidR="00AD1D64" w:rsidRPr="00261436">
        <w:rPr>
          <w:rFonts w:ascii="Times New Roman" w:hAnsi="Times New Roman" w:cs="Times New Roman"/>
        </w:rPr>
        <w:t>, caducava com o óbito do pretenso progenitor, exceto se sobrevivessem filhos menores de idade, ou existisse escrito do progenitor, casos em que a ação poderia ser instaurada</w:t>
      </w:r>
      <w:r w:rsidR="00304259" w:rsidRPr="00261436">
        <w:rPr>
          <w:rFonts w:ascii="Times New Roman" w:hAnsi="Times New Roman" w:cs="Times New Roman"/>
        </w:rPr>
        <w:t xml:space="preserve">, </w:t>
      </w:r>
      <w:r w:rsidR="00304259" w:rsidRPr="00261436">
        <w:rPr>
          <w:rFonts w:ascii="Times New Roman" w:hAnsi="Times New Roman" w:cs="Times New Roman"/>
          <w:i/>
          <w:iCs/>
        </w:rPr>
        <w:t>post mortem</w:t>
      </w:r>
      <w:r w:rsidR="00AD1D64" w:rsidRPr="00261436">
        <w:rPr>
          <w:rFonts w:ascii="Times New Roman" w:hAnsi="Times New Roman" w:cs="Times New Roman"/>
        </w:rPr>
        <w:t>. No primeiro caso, no prazo de quatro anos, no segundo, sem dependência de prazo</w:t>
      </w:r>
      <w:r w:rsidR="00A213B0" w:rsidRPr="00261436">
        <w:rPr>
          <w:rFonts w:ascii="Times New Roman" w:hAnsi="Times New Roman" w:cs="Times New Roman"/>
        </w:rPr>
        <w:t xml:space="preserve"> (artigo 133.º, n.º 2)</w:t>
      </w:r>
      <w:r w:rsidR="00AD1D64" w:rsidRPr="00261436">
        <w:rPr>
          <w:rFonts w:ascii="Times New Roman" w:hAnsi="Times New Roman" w:cs="Times New Roman"/>
        </w:rPr>
        <w:t>.</w:t>
      </w:r>
      <w:r w:rsidR="00A213B0" w:rsidRPr="00261436">
        <w:rPr>
          <w:rFonts w:ascii="Times New Roman" w:hAnsi="Times New Roman" w:cs="Times New Roman"/>
        </w:rPr>
        <w:t xml:space="preserve"> O Decreto n.º 2 de 25.12.1910, introduziu alterações ao regime da investigação da paternidade. O prazo para a instauração da ação passou agora a ser de um ano após o óbito do pretenso pai, mas, no caso de existência de escrito por parte deste, o prazo foi restringido para seis meses após o seu decesso.</w:t>
      </w:r>
      <w:r w:rsidR="0052460E" w:rsidRPr="00261436">
        <w:rPr>
          <w:rFonts w:ascii="Times New Roman" w:hAnsi="Times New Roman" w:cs="Times New Roman"/>
        </w:rPr>
        <w:t xml:space="preserve"> </w:t>
      </w:r>
    </w:p>
    <w:p w14:paraId="48A06A3C" w14:textId="5505FE5D" w:rsidR="002A3144" w:rsidRPr="00283B38" w:rsidRDefault="0052460E" w:rsidP="00967C4B">
      <w:pPr>
        <w:pStyle w:val="Textonotapie"/>
        <w:jc w:val="both"/>
        <w:rPr>
          <w:rFonts w:ascii="Times New Roman" w:hAnsi="Times New Roman" w:cs="Times New Roman"/>
        </w:rPr>
      </w:pPr>
      <w:r w:rsidRPr="00261436">
        <w:rPr>
          <w:rFonts w:ascii="Times New Roman" w:hAnsi="Times New Roman" w:cs="Times New Roman"/>
        </w:rPr>
        <w:t xml:space="preserve">O código de 1966, </w:t>
      </w:r>
      <w:r w:rsidR="00F076C8" w:rsidRPr="00261436">
        <w:rPr>
          <w:rFonts w:ascii="Times New Roman" w:hAnsi="Times New Roman" w:cs="Times New Roman"/>
        </w:rPr>
        <w:t xml:space="preserve">para além de uma </w:t>
      </w:r>
      <w:r w:rsidR="00B63E9F" w:rsidRPr="00261436">
        <w:rPr>
          <w:rFonts w:ascii="Times New Roman" w:hAnsi="Times New Roman" w:cs="Times New Roman"/>
        </w:rPr>
        <w:t xml:space="preserve">importante </w:t>
      </w:r>
      <w:r w:rsidR="00F076C8" w:rsidRPr="00261436">
        <w:rPr>
          <w:rFonts w:ascii="Times New Roman" w:hAnsi="Times New Roman" w:cs="Times New Roman"/>
        </w:rPr>
        <w:t xml:space="preserve">inovação de fundo, que consistiu na </w:t>
      </w:r>
      <w:r w:rsidR="00B63E9F" w:rsidRPr="00261436">
        <w:rPr>
          <w:rFonts w:ascii="Times New Roman" w:hAnsi="Times New Roman" w:cs="Times New Roman"/>
        </w:rPr>
        <w:t xml:space="preserve">consagração da ação de investigação oficiosa da paternidade (art. 1820.º), a instaurar pelo Ministério Público relativamente aos casos de registos de nascimento omissos quanto à paternidade, alterou o regime anteriormente vigente, passando a prever </w:t>
      </w:r>
      <w:r w:rsidRPr="00261436">
        <w:rPr>
          <w:rFonts w:ascii="Times New Roman" w:hAnsi="Times New Roman" w:cs="Times New Roman"/>
        </w:rPr>
        <w:t>condições de admissibilidade e altera</w:t>
      </w:r>
      <w:r w:rsidR="00B63E9F" w:rsidRPr="00261436">
        <w:rPr>
          <w:rFonts w:ascii="Times New Roman" w:hAnsi="Times New Roman" w:cs="Times New Roman"/>
        </w:rPr>
        <w:t xml:space="preserve">ndo os </w:t>
      </w:r>
      <w:r w:rsidRPr="00261436">
        <w:rPr>
          <w:rFonts w:ascii="Times New Roman" w:hAnsi="Times New Roman" w:cs="Times New Roman"/>
        </w:rPr>
        <w:t xml:space="preserve">prazos </w:t>
      </w:r>
      <w:r w:rsidR="00B63E9F" w:rsidRPr="00261436">
        <w:rPr>
          <w:rFonts w:ascii="Times New Roman" w:hAnsi="Times New Roman" w:cs="Times New Roman"/>
        </w:rPr>
        <w:t>de propositura da ação.</w:t>
      </w:r>
      <w:r w:rsidRPr="00261436">
        <w:rPr>
          <w:rFonts w:ascii="Times New Roman" w:hAnsi="Times New Roman" w:cs="Times New Roman"/>
        </w:rPr>
        <w:t xml:space="preserve"> No que respeita às primeiras, estabeleceu duas condições; convivência notória da mãe com o pretenso pai no período legal de conceção e sedução da mãe no período legal de conceção (art.º 1860.º). Quanto aos segundos, estabeleceu</w:t>
      </w:r>
      <w:r w:rsidR="00926F02" w:rsidRPr="00261436">
        <w:rPr>
          <w:rFonts w:ascii="Times New Roman" w:hAnsi="Times New Roman" w:cs="Times New Roman"/>
        </w:rPr>
        <w:t>,</w:t>
      </w:r>
      <w:r w:rsidRPr="00261436">
        <w:rPr>
          <w:rFonts w:ascii="Times New Roman" w:hAnsi="Times New Roman" w:cs="Times New Roman"/>
        </w:rPr>
        <w:t xml:space="preserve"> </w:t>
      </w:r>
      <w:r w:rsidR="00926F02" w:rsidRPr="00261436">
        <w:rPr>
          <w:rFonts w:ascii="Times New Roman" w:hAnsi="Times New Roman" w:cs="Times New Roman"/>
        </w:rPr>
        <w:t xml:space="preserve">como regra, </w:t>
      </w:r>
      <w:r w:rsidRPr="00261436">
        <w:rPr>
          <w:rFonts w:ascii="Times New Roman" w:hAnsi="Times New Roman" w:cs="Times New Roman"/>
        </w:rPr>
        <w:t>um prazo de dois anos</w:t>
      </w:r>
      <w:r w:rsidR="00926F02" w:rsidRPr="00261436">
        <w:rPr>
          <w:rFonts w:ascii="Times New Roman" w:hAnsi="Times New Roman" w:cs="Times New Roman"/>
        </w:rPr>
        <w:t xml:space="preserve">, após o alcance da maioridade (art.º 1854.º, n.º 1), prevendo prazos diferentes para </w:t>
      </w:r>
      <w:r w:rsidR="00F076C8" w:rsidRPr="00261436">
        <w:rPr>
          <w:rFonts w:ascii="Times New Roman" w:hAnsi="Times New Roman" w:cs="Times New Roman"/>
        </w:rPr>
        <w:t xml:space="preserve">as </w:t>
      </w:r>
      <w:r w:rsidR="00926F02" w:rsidRPr="00261436">
        <w:rPr>
          <w:rFonts w:ascii="Times New Roman" w:hAnsi="Times New Roman" w:cs="Times New Roman"/>
        </w:rPr>
        <w:t xml:space="preserve">situações </w:t>
      </w:r>
      <w:r w:rsidR="00F076C8" w:rsidRPr="00261436">
        <w:rPr>
          <w:rFonts w:ascii="Times New Roman" w:hAnsi="Times New Roman" w:cs="Times New Roman"/>
        </w:rPr>
        <w:t>de existência de um escrito do pretenso progenitor e de ocorrer tratamento como filho. No primeiro caso, o prazo passou a ser de seis meses a contar do momento do conhecimento ou do momento em que o interessado devia ter tido conhecimento do escrito, no segundo, de um ano a contar da data cessação da posse de estado.</w:t>
      </w:r>
      <w:r w:rsidR="00B63E9F" w:rsidRPr="00261436">
        <w:rPr>
          <w:rFonts w:ascii="Times New Roman" w:hAnsi="Times New Roman" w:cs="Times New Roman"/>
        </w:rPr>
        <w:t xml:space="preserve"> A reforma </w:t>
      </w:r>
      <w:r w:rsidR="00967C4B" w:rsidRPr="00261436">
        <w:rPr>
          <w:rFonts w:ascii="Times New Roman" w:hAnsi="Times New Roman" w:cs="Times New Roman"/>
        </w:rPr>
        <w:t xml:space="preserve">do Código Civil em 1977, introduziu um </w:t>
      </w:r>
      <w:r w:rsidR="000172CC" w:rsidRPr="00261436">
        <w:rPr>
          <w:rFonts w:ascii="Times New Roman" w:hAnsi="Times New Roman" w:cs="Times New Roman"/>
        </w:rPr>
        <w:t>princípio</w:t>
      </w:r>
      <w:r w:rsidR="00967C4B" w:rsidRPr="00261436">
        <w:rPr>
          <w:rFonts w:ascii="Times New Roman" w:hAnsi="Times New Roman" w:cs="Times New Roman"/>
        </w:rPr>
        <w:t xml:space="preserve"> estruturante do direito da filiação, o princípio da verdade biológica,</w:t>
      </w:r>
      <w:r w:rsidR="00963875" w:rsidRPr="00261436">
        <w:rPr>
          <w:rFonts w:ascii="Times New Roman" w:hAnsi="Times New Roman" w:cs="Times New Roman"/>
        </w:rPr>
        <w:t xml:space="preserve"> excecionado apenas em</w:t>
      </w:r>
      <w:r w:rsidR="00963875">
        <w:rPr>
          <w:rFonts w:ascii="Times New Roman" w:hAnsi="Times New Roman" w:cs="Times New Roman"/>
        </w:rPr>
        <w:t xml:space="preserve"> caso de </w:t>
      </w:r>
      <w:r w:rsidR="00486CA8">
        <w:rPr>
          <w:rFonts w:ascii="Times New Roman" w:hAnsi="Times New Roman" w:cs="Times New Roman"/>
        </w:rPr>
        <w:t xml:space="preserve">procriação medicamente assistida, em face de doação de material genético, </w:t>
      </w:r>
      <w:r w:rsidR="000172CC">
        <w:rPr>
          <w:rFonts w:ascii="Times New Roman" w:hAnsi="Times New Roman" w:cs="Times New Roman"/>
        </w:rPr>
        <w:t xml:space="preserve">posto que, </w:t>
      </w:r>
      <w:r w:rsidR="00486CA8">
        <w:rPr>
          <w:rFonts w:ascii="Times New Roman" w:hAnsi="Times New Roman" w:cs="Times New Roman"/>
        </w:rPr>
        <w:t>nos termos do artigo 10.º da Lei n.º 32/2006, de 26 de julho,</w:t>
      </w:r>
      <w:r w:rsidR="000172CC">
        <w:rPr>
          <w:rFonts w:ascii="Times New Roman" w:hAnsi="Times New Roman" w:cs="Times New Roman"/>
        </w:rPr>
        <w:t xml:space="preserve"> </w:t>
      </w:r>
      <w:r w:rsidR="00486CA8">
        <w:rPr>
          <w:rFonts w:ascii="Times New Roman" w:hAnsi="Times New Roman" w:cs="Times New Roman"/>
        </w:rPr>
        <w:t>“[o]s dadores não podem ser havidos como progenitores da criança que vai nascer.”</w:t>
      </w:r>
      <w:r w:rsidR="000172CC">
        <w:rPr>
          <w:rFonts w:ascii="Times New Roman" w:hAnsi="Times New Roman" w:cs="Times New Roman"/>
        </w:rPr>
        <w:t xml:space="preserve"> Acresceu a supressão das condições de admissibilidade de instauração, c</w:t>
      </w:r>
      <w:r w:rsidR="000172CC" w:rsidRPr="00283B38">
        <w:rPr>
          <w:rFonts w:ascii="Times New Roman" w:hAnsi="Times New Roman" w:cs="Times New Roman"/>
        </w:rPr>
        <w:t xml:space="preserve">onvertidas, então, a presunções de paternidade e o aditamento de meios de prova de âmbito </w:t>
      </w:r>
      <w:r w:rsidR="00261436" w:rsidRPr="00283B38">
        <w:rPr>
          <w:rFonts w:ascii="Times New Roman" w:hAnsi="Times New Roman" w:cs="Times New Roman"/>
        </w:rPr>
        <w:t>científico</w:t>
      </w:r>
      <w:r w:rsidR="000172CC" w:rsidRPr="00283B38">
        <w:rPr>
          <w:rFonts w:ascii="Times New Roman" w:hAnsi="Times New Roman" w:cs="Times New Roman"/>
        </w:rPr>
        <w:t xml:space="preserve"> (art.º 1801.º CC).  </w:t>
      </w:r>
    </w:p>
  </w:footnote>
  <w:footnote w:id="41">
    <w:p w14:paraId="702E695A" w14:textId="5CA6957F" w:rsidR="00283B38" w:rsidRDefault="00283B38" w:rsidP="00283B38">
      <w:pPr>
        <w:pStyle w:val="Textonotapie"/>
        <w:jc w:val="both"/>
      </w:pPr>
      <w:r w:rsidRPr="00283B38">
        <w:rPr>
          <w:rStyle w:val="Refdenotaalpie"/>
          <w:rFonts w:ascii="Times New Roman" w:hAnsi="Times New Roman" w:cs="Times New Roman"/>
        </w:rPr>
        <w:footnoteRef/>
      </w:r>
      <w:r w:rsidRPr="00283B38">
        <w:rPr>
          <w:rFonts w:ascii="Times New Roman" w:hAnsi="Times New Roman" w:cs="Times New Roman"/>
        </w:rPr>
        <w:t xml:space="preserve"> </w:t>
      </w:r>
      <w:r w:rsidR="00F128B4">
        <w:rPr>
          <w:rFonts w:ascii="Times New Roman" w:hAnsi="Times New Roman" w:cs="Times New Roman"/>
        </w:rPr>
        <w:t>Apesar da existência de “divergências doutrinárias no que respeita à aplicabilidade do abuso de direito e da possibilidade de cisão do estado das pessoas.</w:t>
      </w:r>
      <w:r w:rsidRPr="00283B38">
        <w:rPr>
          <w:rFonts w:ascii="Times New Roman" w:hAnsi="Times New Roman" w:cs="Times New Roman"/>
          <w:color w:val="000000"/>
          <w:shd w:val="clear" w:color="auto" w:fill="FFFFFF"/>
        </w:rPr>
        <w:t>”</w:t>
      </w:r>
    </w:p>
  </w:footnote>
  <w:footnote w:id="42">
    <w:p w14:paraId="0EE25B31" w14:textId="5FFC7C25" w:rsidR="00F128B4" w:rsidRDefault="00F128B4" w:rsidP="00466DB5">
      <w:pPr>
        <w:pStyle w:val="Textonotapie"/>
        <w:jc w:val="both"/>
      </w:pPr>
      <w:r>
        <w:rPr>
          <w:rStyle w:val="Refdenotaalpie"/>
        </w:rPr>
        <w:footnoteRef/>
      </w:r>
      <w:r>
        <w:t xml:space="preserve"> </w:t>
      </w:r>
      <w:r>
        <w:rPr>
          <w:rFonts w:ascii="Times New Roman" w:hAnsi="Times New Roman" w:cs="Times New Roman"/>
        </w:rPr>
        <w:t>A</w:t>
      </w:r>
      <w:r w:rsidRPr="00283B38">
        <w:rPr>
          <w:rFonts w:ascii="Times New Roman" w:hAnsi="Times New Roman" w:cs="Times New Roman"/>
        </w:rPr>
        <w:t>o constatar que “[a]</w:t>
      </w:r>
      <w:r w:rsidRPr="00283B38">
        <w:rPr>
          <w:rFonts w:ascii="Times New Roman" w:hAnsi="Times New Roman" w:cs="Times New Roman"/>
          <w:color w:val="000000"/>
          <w:shd w:val="clear" w:color="auto" w:fill="FFFFFF"/>
        </w:rPr>
        <w:t xml:space="preserve"> doutrina tem adotado o entendimento, segundo o qual o prazo de dez anos após a maioridade ou emancipação, consagrado pela Lei n.º 14/2009, continua a ser inconstitucional, por violação dos direitos a conhecer a identidade genética e a estabelecer os correspondentes vínculos jurídicos de filiação, defendendo também que a tutela adequada destes direitos exige a abolição absoluta dos prazos de caducidade para o filho investigar esses vínculos (vide Joaquim de Sousa Ribeiro, «A inconstitucionalidade da limitação temporal ao exercício do direito à investigação da paternidade», ob. cit., 2018; Guilherme de Oliveira, Estabelecimento da Filiação, Coimbra, Imprensa Nacional Casa da Moeda, 2017, pp. 152-156; Jorge Duarte Pinheiro, O Direito da Família Contemporâneo, 5.ª edição, Almedina, Coimbra, 2016, pp. 134 e ss; Rafael Vale e Reis, O direito ao conhecimento das origens genéticas, Coimbra, pp. 206-216, Idem, «Filho depois dos 20…! Notas ao acórdão do Tribunal Constitucional n.º 486/2004, de 7 de Julho», Lex Familiae, n.º 3, 2005, pp.127-134); Paula Távora Vítor, «A propósito da Lei n.º 14/2009, de 1 de Abril: Breves considerações», Lex Familiae, n.º 11, 2009, pp. 87-91). É de assinalar, contudo, que alguma doutrina admite, em sede de direito infraconstitucional, a aplicabilidade do instituto do abuso do direito (artigo 334.º do Código Civil), para paralisar o exercício do direito à investigação da paternidade ou para determinar a ineficácia patrimonial do estabelecimento do vínculo, para efeitos sucessórios  e de alimentos, vedando, assim, que o investigante beneficie das consequências jurídicas patrimoniais do reconhecimento da paternidade, nomeadamente, quando apenas procura com a ação de investigação obter o estatuto de herdeiro para aceder à partilha (cf. Cristina Dias, «Investigação da paternidade e abuso do direito. Das consequências jurídicas do reconhecimento da paternidade – Ac. do STJ de 9.4.2013, proc. 187/09», CDP, n.º 45, 2014, pp. 58-59; João Paulo Remédio Marques, «O prazo de caducidade do artigo 1817.º do Código Civil e a cindibilidade do estado civil: o acórdão do Plenário do Tribunal Constitucional n.º 24/2012», in Textos de Direito da Família para Francisco Pereira Coelho, Coimbra, 2016, pp. 211-214). No plano do direito vigente, Jorge Duarte Pinheiro defende que uma interpretação conforme à Constituição exige que a ação de investigação da paternidade possa ser intentada a todo o tempo para definir o estatuto pessoal do filho, vigorando o prazo de dez anos apenas para uma ação de investigação da paternidade com efeitos sucessórios (cf. Jorge Duarte Pinheiro, ob. cit., pp. 140-141). Para a generalidade dos autores, a solução do abuso do direito, já discutida na jurisprudência dos tribunais comuns, é apenas defensável num quadro de imprescritibilidade da ação e em casos extremos, que não se identificam com o mero decurso do tempo, pois corre-se o risco de continuar a penalizar os filhos nascidos fora do casamento, violando o princípio consagrado no artigo 36.º, n.º 4, da CRP e criando uma causa de indignidade sucessória não prevista na lei. Pronuncia-se contra a aplicação do abuso do direito e contra a divisibilidade do estatuto da filiação, a propósito da ação de investigação da paternidade, Luís Menezes Leitão («Anotação ao Acórdão do STJ de 19/04/2013», Revista da Ordem dos Advogados, ano 73, Vol. I, Janeiro/Março, pp. 396 a 399, disponível para consulta in www.oa.pt), que entende ser constitucionalmente imposta a sua imprescritibilidade para todos os efeitos, pois, a não ser assim  «Voltaríamos a ter duas classes de filhos: os nascidos dentro do casamento que nunca teriam qualquer problema em herdar a herança do seu progenitor a menos que fossem por estes deserdados e os nascidos fora do casamento, cuja pretensão à sucessão legal teria que passar pelo crivo do abuso de direito. (…) A isto acresce que o direito de suceder é um mero efeito legal inerente à qualidade de filho, cuja aquisição não depende de qualquer comportamento do próprio pelo que não se vê como poderia ser objeto de abuso. É possível retirar a capacidade sucessória nos casos de indignidade (art. 2034.º CC) ou deserdação (art. 2166.º), mas tal apenas ocorre como sanção para gravíssimos comportamentos praticados pelo herdeiro».”</w:t>
      </w:r>
    </w:p>
  </w:footnote>
  <w:footnote w:id="43">
    <w:p w14:paraId="401F6C3B" w14:textId="77777777" w:rsidR="002D0796" w:rsidRDefault="00100481" w:rsidP="00100481">
      <w:pPr>
        <w:pStyle w:val="Textonotapie"/>
        <w:jc w:val="both"/>
        <w:rPr>
          <w:rFonts w:ascii="Times New Roman" w:hAnsi="Times New Roman" w:cs="Times New Roman"/>
        </w:rPr>
      </w:pPr>
      <w:r>
        <w:rPr>
          <w:rStyle w:val="Refdenotaalpie"/>
        </w:rPr>
        <w:footnoteRef/>
      </w:r>
      <w:r>
        <w:t xml:space="preserve"> </w:t>
      </w:r>
      <w:r w:rsidRPr="0019610C">
        <w:rPr>
          <w:rFonts w:ascii="Times New Roman" w:hAnsi="Times New Roman" w:cs="Times New Roman"/>
        </w:rPr>
        <w:t xml:space="preserve">TRIBUNAL CONSTITUCIONAL, Acórdão do Tribunal Constitucional de 7-07-2004, </w:t>
      </w:r>
      <w:r w:rsidR="002D0796" w:rsidRPr="0019610C">
        <w:rPr>
          <w:rFonts w:ascii="Times New Roman" w:hAnsi="Times New Roman" w:cs="Times New Roman"/>
        </w:rPr>
        <w:t xml:space="preserve">processo n.º </w:t>
      </w:r>
      <w:r w:rsidR="002D0796">
        <w:rPr>
          <w:rFonts w:ascii="Times New Roman" w:hAnsi="Times New Roman" w:cs="Times New Roman"/>
        </w:rPr>
        <w:t>885/05</w:t>
      </w:r>
      <w:r w:rsidR="002D0796" w:rsidRPr="0019610C">
        <w:rPr>
          <w:rFonts w:ascii="Times New Roman" w:hAnsi="Times New Roman" w:cs="Times New Roman"/>
        </w:rPr>
        <w:t xml:space="preserve">, </w:t>
      </w:r>
      <w:r w:rsidR="002D0796">
        <w:rPr>
          <w:rFonts w:ascii="Times New Roman" w:hAnsi="Times New Roman" w:cs="Times New Roman"/>
        </w:rPr>
        <w:t>Plenário</w:t>
      </w:r>
      <w:r w:rsidR="002D0796" w:rsidRPr="0019610C">
        <w:rPr>
          <w:rFonts w:ascii="Times New Roman" w:hAnsi="Times New Roman" w:cs="Times New Roman"/>
        </w:rPr>
        <w:t xml:space="preserve">. Acórdãos TC [Em linha]. Relator </w:t>
      </w:r>
      <w:r w:rsidR="002D0796">
        <w:rPr>
          <w:rFonts w:ascii="Times New Roman" w:hAnsi="Times New Roman" w:cs="Times New Roman"/>
        </w:rPr>
        <w:t>Carlos</w:t>
      </w:r>
      <w:r w:rsidR="002D0796" w:rsidRPr="0019610C">
        <w:rPr>
          <w:rFonts w:ascii="Times New Roman" w:hAnsi="Times New Roman" w:cs="Times New Roman"/>
        </w:rPr>
        <w:t xml:space="preserve"> Mota Pinto. Lisboa : TC. [consult. 2</w:t>
      </w:r>
      <w:r w:rsidR="002D0796">
        <w:rPr>
          <w:rFonts w:ascii="Times New Roman" w:hAnsi="Times New Roman" w:cs="Times New Roman"/>
        </w:rPr>
        <w:t>6 nov</w:t>
      </w:r>
      <w:r w:rsidR="002D0796" w:rsidRPr="0019610C">
        <w:rPr>
          <w:rFonts w:ascii="Times New Roman" w:hAnsi="Times New Roman" w:cs="Times New Roman"/>
        </w:rPr>
        <w:t>. 2021] Disponível em WWW:URL:</w:t>
      </w:r>
    </w:p>
    <w:p w14:paraId="3B0968C1" w14:textId="1087DE84" w:rsidR="00100481" w:rsidRPr="00100481" w:rsidRDefault="002D0796" w:rsidP="00100481">
      <w:pPr>
        <w:pStyle w:val="Textonotapie"/>
        <w:jc w:val="both"/>
        <w:rPr>
          <w:rFonts w:ascii="Times New Roman" w:hAnsi="Times New Roman" w:cs="Times New Roman"/>
        </w:rPr>
      </w:pPr>
      <w:r w:rsidRPr="0019610C">
        <w:rPr>
          <w:rFonts w:ascii="Times New Roman" w:hAnsi="Times New Roman" w:cs="Times New Roman"/>
        </w:rPr>
        <w:t xml:space="preserve"> https://www.tribunalconstitucional.pt/tc/acordaos/</w:t>
      </w:r>
      <w:r w:rsidRPr="00214266">
        <w:rPr>
          <w:rFonts w:ascii="Times New Roman" w:hAnsi="Times New Roman" w:cs="Times New Roman"/>
        </w:rPr>
        <w:t>20060023.html#_ftn1</w:t>
      </w:r>
      <w:r w:rsidRPr="0019610C">
        <w:rPr>
          <w:rFonts w:ascii="Times New Roman" w:hAnsi="Times New Roman" w:cs="Times New Roman"/>
        </w:rPr>
        <w:t>.</w:t>
      </w:r>
    </w:p>
  </w:footnote>
  <w:footnote w:id="44">
    <w:p w14:paraId="121C8B76" w14:textId="4874CDB4" w:rsidR="00100481" w:rsidRPr="002D0796" w:rsidRDefault="00100481" w:rsidP="00E03D6C">
      <w:pPr>
        <w:pStyle w:val="Textonotapie"/>
        <w:jc w:val="both"/>
        <w:rPr>
          <w:rFonts w:ascii="Times New Roman" w:hAnsi="Times New Roman" w:cs="Times New Roman"/>
        </w:rPr>
      </w:pPr>
      <w:r w:rsidRPr="002D0796">
        <w:rPr>
          <w:rStyle w:val="Refdenotaalpie"/>
          <w:rFonts w:ascii="Times New Roman" w:hAnsi="Times New Roman" w:cs="Times New Roman"/>
        </w:rPr>
        <w:footnoteRef/>
      </w:r>
      <w:r w:rsidRPr="002D0796">
        <w:rPr>
          <w:rFonts w:ascii="Times New Roman" w:hAnsi="Times New Roman" w:cs="Times New Roman"/>
        </w:rPr>
        <w:t xml:space="preserve"> Publicado no </w:t>
      </w:r>
      <w:r w:rsidR="00214266" w:rsidRPr="002D0796">
        <w:rPr>
          <w:rStyle w:val="nfasis"/>
          <w:rFonts w:ascii="Times New Roman" w:hAnsi="Times New Roman" w:cs="Times New Roman"/>
          <w:color w:val="000000"/>
          <w:shd w:val="clear" w:color="auto" w:fill="FFFFFF"/>
        </w:rPr>
        <w:t>Diário da República</w:t>
      </w:r>
      <w:r w:rsidR="00214266" w:rsidRPr="002D0796">
        <w:rPr>
          <w:rStyle w:val="links1"/>
          <w:rFonts w:ascii="Times New Roman" w:hAnsi="Times New Roman" w:cs="Times New Roman"/>
          <w:color w:val="000000"/>
          <w:shd w:val="clear" w:color="auto" w:fill="FFFFFF"/>
        </w:rPr>
        <w:t xml:space="preserve"> nº 28/06, Série I-A de 8 de </w:t>
      </w:r>
      <w:bookmarkStart w:id="3" w:name="_Hlk95176281"/>
      <w:r w:rsidR="002D0796" w:rsidRPr="002D0796">
        <w:rPr>
          <w:rStyle w:val="links1"/>
          <w:rFonts w:ascii="Times New Roman" w:hAnsi="Times New Roman" w:cs="Times New Roman"/>
          <w:color w:val="000000"/>
          <w:shd w:val="clear" w:color="auto" w:fill="FFFFFF"/>
        </w:rPr>
        <w:t>fevereiro</w:t>
      </w:r>
      <w:r w:rsidR="00214266" w:rsidRPr="002D0796">
        <w:rPr>
          <w:rFonts w:ascii="Times New Roman" w:hAnsi="Times New Roman" w:cs="Times New Roman"/>
        </w:rPr>
        <w:t>.</w:t>
      </w:r>
      <w:bookmarkEnd w:id="3"/>
    </w:p>
  </w:footnote>
  <w:footnote w:id="45">
    <w:p w14:paraId="67700D02" w14:textId="41D110A7" w:rsidR="0000589F" w:rsidRPr="00283B38" w:rsidRDefault="0000589F" w:rsidP="0000589F">
      <w:pPr>
        <w:pStyle w:val="Textonotapie"/>
        <w:jc w:val="both"/>
        <w:rPr>
          <w:rFonts w:ascii="Times New Roman" w:hAnsi="Times New Roman" w:cs="Times New Roman"/>
        </w:rPr>
      </w:pPr>
      <w:r w:rsidRPr="00283B38">
        <w:rPr>
          <w:rStyle w:val="Refdenotaalpie"/>
          <w:rFonts w:ascii="Times New Roman" w:hAnsi="Times New Roman" w:cs="Times New Roman"/>
        </w:rPr>
        <w:footnoteRef/>
      </w:r>
      <w:r w:rsidRPr="00283B38">
        <w:rPr>
          <w:rFonts w:ascii="Times New Roman" w:hAnsi="Times New Roman" w:cs="Times New Roman"/>
        </w:rPr>
        <w:t xml:space="preserve"> Cf. Ac. mencionado: “</w:t>
      </w:r>
      <w:r w:rsidRPr="000A1D06">
        <w:rPr>
          <w:rFonts w:ascii="Times New Roman" w:eastAsia="Times New Roman" w:hAnsi="Times New Roman" w:cs="Times New Roman"/>
          <w:color w:val="000000"/>
          <w:lang w:eastAsia="pt-PT"/>
        </w:rPr>
        <w:t>Importa notar, efectivamente, que a tese segundo a qual a norma em questão não é inconstitucional não se baseia na inexistência de um </w:t>
      </w:r>
      <w:r w:rsidRPr="000A1D06">
        <w:rPr>
          <w:rFonts w:ascii="Times New Roman" w:eastAsia="Times New Roman" w:hAnsi="Times New Roman" w:cs="Times New Roman"/>
          <w:i/>
          <w:iCs/>
          <w:color w:val="000000"/>
          <w:lang w:eastAsia="pt-PT"/>
        </w:rPr>
        <w:t>direito fundamental ao conhecimento da paternidade biológica</w:t>
      </w:r>
      <w:r w:rsidRPr="000A1D06">
        <w:rPr>
          <w:rFonts w:ascii="Times New Roman" w:eastAsia="Times New Roman" w:hAnsi="Times New Roman" w:cs="Times New Roman"/>
          <w:color w:val="000000"/>
          <w:lang w:eastAsia="pt-PT"/>
        </w:rPr>
        <w:t>, ou na exclusão deste direito do “</w:t>
      </w:r>
      <w:r w:rsidRPr="000A1D06">
        <w:rPr>
          <w:rFonts w:ascii="Times New Roman" w:eastAsia="Times New Roman" w:hAnsi="Times New Roman" w:cs="Times New Roman"/>
          <w:i/>
          <w:iCs/>
          <w:color w:val="000000"/>
          <w:lang w:eastAsia="pt-PT"/>
        </w:rPr>
        <w:t>âmbito de protecção</w:t>
      </w:r>
      <w:r w:rsidRPr="000A1D06">
        <w:rPr>
          <w:rFonts w:ascii="Times New Roman" w:eastAsia="Times New Roman" w:hAnsi="Times New Roman" w:cs="Times New Roman"/>
          <w:color w:val="000000"/>
          <w:lang w:eastAsia="pt-PT"/>
        </w:rPr>
        <w:t>” do direito fundamental à identidade pessoal, reconhecendo-se, antes, que o direito do filho ao apuramento da paternidade biológica é uma dimensão deste direito fundamental. Assim, na jurisprudência deste Tribunal não tem sido posta em questão a existência de um interesse do filho, constitucionalmente protegido, a conhecer a identidade dos seus progenitores, como decorrência dos direitos fundamentais à identidade pessoal (e, também, do direito à integridade pessoal – artigos 25.º, e 26.º, n.º 1, da Constituição).</w:t>
      </w:r>
      <w:r w:rsidRPr="00283B38">
        <w:rPr>
          <w:rFonts w:ascii="Times New Roman" w:eastAsia="Times New Roman" w:hAnsi="Times New Roman" w:cs="Times New Roman"/>
          <w:color w:val="000000"/>
          <w:lang w:eastAsia="pt-PT"/>
        </w:rPr>
        <w:t>”</w:t>
      </w:r>
    </w:p>
  </w:footnote>
  <w:footnote w:id="46">
    <w:p w14:paraId="0CDA3A18" w14:textId="497CC3EA" w:rsidR="00263015" w:rsidRPr="00CB0BAF" w:rsidRDefault="00263015" w:rsidP="00641648">
      <w:pPr>
        <w:pStyle w:val="Textonotapie"/>
        <w:jc w:val="both"/>
        <w:rPr>
          <w:rFonts w:ascii="Times New Roman" w:hAnsi="Times New Roman" w:cs="Times New Roman"/>
        </w:rPr>
      </w:pPr>
      <w:r w:rsidRPr="00283B38">
        <w:rPr>
          <w:rStyle w:val="Refdenotaalpie"/>
          <w:rFonts w:ascii="Times New Roman" w:hAnsi="Times New Roman" w:cs="Times New Roman"/>
        </w:rPr>
        <w:footnoteRef/>
      </w:r>
      <w:r w:rsidRPr="00283B38">
        <w:rPr>
          <w:rFonts w:ascii="Times New Roman" w:hAnsi="Times New Roman" w:cs="Times New Roman"/>
        </w:rPr>
        <w:t xml:space="preserve"> Questão identificada no aresto em análise</w:t>
      </w:r>
      <w:r w:rsidRPr="00283B38">
        <w:rPr>
          <w:rFonts w:ascii="Times New Roman" w:hAnsi="Times New Roman" w:cs="Times New Roman"/>
          <w:color w:val="000000"/>
          <w:shd w:val="clear" w:color="auto" w:fill="FFFFFF"/>
        </w:rPr>
        <w:t xml:space="preserve"> ao constatar que “[…] este regime de prazos já foi, por diversas vezes, julgado inconstitucional pelos Tribunais da Relação e pelo Supremo Tribunal de Justiça (cf., entre outros, os acórdãos, de 08-06-2010 (proc. n.º 1847/08.5TVLSB-A.L.S1), de 06-09-2011 (proc. n.º 1167</w:t>
      </w:r>
      <w:r w:rsidRPr="00CB0BAF">
        <w:rPr>
          <w:rFonts w:ascii="Times New Roman" w:hAnsi="Times New Roman" w:cs="Times New Roman"/>
          <w:color w:val="000000"/>
          <w:shd w:val="clear" w:color="auto" w:fill="FFFFFF"/>
        </w:rPr>
        <w:t>/10.5TBPTL.S1), e 14-01-2014 (proc. 155/12.1TBVLC-A.P1.S1), de 16-01-2014 (proc. n.º 905/08.0TBALB.P1.S1), de 31-01-2017 (proc. n.º 440/12.2TBBCL.G1.S1), de 15-02-2018 (proc. n.º 2344/15.8T8BCL.G1.S2), por se entender a fixação de prazos de caducidade para a propositura da ação de investigação da paternidade como uma restrição desproporcionada e excessiva de direitos fundamentais, defendendo-se que a Constituição impõe a “imprescritibilidade” das ações de investigação da paternidade quando propostas pelo filho ou por quem o represente.”</w:t>
      </w:r>
    </w:p>
  </w:footnote>
  <w:footnote w:id="47">
    <w:p w14:paraId="015752AD" w14:textId="74C1E98B" w:rsidR="00E03D6C" w:rsidRPr="00CB0BAF" w:rsidRDefault="00E03D6C" w:rsidP="00641648">
      <w:pPr>
        <w:spacing w:line="240" w:lineRule="auto"/>
        <w:jc w:val="both"/>
        <w:rPr>
          <w:rFonts w:ascii="Times New Roman" w:hAnsi="Times New Roman" w:cs="Times New Roman"/>
          <w:sz w:val="20"/>
          <w:szCs w:val="20"/>
        </w:rPr>
      </w:pPr>
      <w:r w:rsidRPr="00CB0BAF">
        <w:rPr>
          <w:rStyle w:val="Refdenotaalpie"/>
          <w:rFonts w:ascii="Times New Roman" w:hAnsi="Times New Roman" w:cs="Times New Roman"/>
          <w:sz w:val="20"/>
          <w:szCs w:val="20"/>
        </w:rPr>
        <w:footnoteRef/>
      </w:r>
      <w:r w:rsidRPr="00CB0BAF">
        <w:rPr>
          <w:rFonts w:ascii="Times New Roman" w:hAnsi="Times New Roman" w:cs="Times New Roman"/>
          <w:sz w:val="20"/>
          <w:szCs w:val="20"/>
        </w:rPr>
        <w:t xml:space="preserve"> Antevendo-se que, novamente, este órgão jurisdicional possa voltar a assumir o comando da ponderação da matéria.</w:t>
      </w:r>
    </w:p>
  </w:footnote>
  <w:footnote w:id="48">
    <w:p w14:paraId="79AE6366" w14:textId="1F287AFB" w:rsidR="00CB0BAF" w:rsidRPr="00CB0BAF" w:rsidRDefault="00CB0BAF" w:rsidP="00CB0BAF">
      <w:pPr>
        <w:pStyle w:val="Textonotapie"/>
        <w:jc w:val="both"/>
        <w:rPr>
          <w:rFonts w:ascii="Times New Roman" w:hAnsi="Times New Roman" w:cs="Times New Roman"/>
        </w:rPr>
      </w:pPr>
      <w:r w:rsidRPr="00CB0BAF">
        <w:rPr>
          <w:rStyle w:val="Refdenotaalpie"/>
          <w:rFonts w:ascii="Times New Roman" w:hAnsi="Times New Roman" w:cs="Times New Roman"/>
        </w:rPr>
        <w:footnoteRef/>
      </w:r>
      <w:r w:rsidRPr="00CB0BAF">
        <w:rPr>
          <w:rFonts w:ascii="Times New Roman" w:hAnsi="Times New Roman" w:cs="Times New Roman"/>
        </w:rPr>
        <w:t xml:space="preserve"> </w:t>
      </w:r>
      <w:r w:rsidRPr="00CB0BAF">
        <w:rPr>
          <w:rFonts w:ascii="Times New Roman" w:hAnsi="Times New Roman" w:cs="Times New Roman"/>
          <w:color w:val="000000"/>
          <w:shd w:val="clear" w:color="auto" w:fill="FFFFFF"/>
        </w:rPr>
        <w:t>Neste ordenamento jurídico</w:t>
      </w:r>
      <w:r w:rsidR="009B4819">
        <w:rPr>
          <w:rFonts w:ascii="Times New Roman" w:hAnsi="Times New Roman" w:cs="Times New Roman"/>
          <w:color w:val="000000"/>
          <w:shd w:val="clear" w:color="auto" w:fill="FFFFFF"/>
        </w:rPr>
        <w:t>,</w:t>
      </w:r>
      <w:r w:rsidRPr="00CB0BAF">
        <w:rPr>
          <w:rFonts w:ascii="Times New Roman" w:hAnsi="Times New Roman" w:cs="Times New Roman"/>
          <w:color w:val="000000"/>
          <w:shd w:val="clear" w:color="auto" w:fill="FFFFFF"/>
        </w:rPr>
        <w:t xml:space="preserve"> e nos termos do disposto no artigo 1656.º “[…]se a ação for intentada decorridos mais de 15 anos após o conhecimento dos factos dos quais se poderia concluir a relação de filiação; e […] se as circunstâncias tornarem patente que o propósito principal que moveu a declaração ou proposição da ação foi o da obtenção de benefícios patrimoniais.” </w:t>
      </w:r>
    </w:p>
    <w:p w14:paraId="376C972B" w14:textId="32284833" w:rsidR="00CB0BAF" w:rsidRDefault="00CB0BAF">
      <w:pPr>
        <w:pStyle w:val="Textonotapie"/>
      </w:pPr>
    </w:p>
  </w:footnote>
  <w:footnote w:id="49">
    <w:p w14:paraId="332C2ACF" w14:textId="77777777" w:rsidR="00303CD5" w:rsidRPr="008E19F7" w:rsidRDefault="00C943F2" w:rsidP="002476B2">
      <w:pPr>
        <w:pStyle w:val="Textonotapie"/>
        <w:jc w:val="both"/>
        <w:rPr>
          <w:rFonts w:ascii="Times New Roman" w:hAnsi="Times New Roman" w:cs="Times New Roman"/>
        </w:rPr>
      </w:pPr>
      <w:r w:rsidRPr="00A668BB">
        <w:rPr>
          <w:rStyle w:val="Refdenotaalpie"/>
          <w:rFonts w:ascii="Times New Roman" w:hAnsi="Times New Roman" w:cs="Times New Roman"/>
        </w:rPr>
        <w:footnoteRef/>
      </w:r>
      <w:r w:rsidRPr="00A668BB">
        <w:rPr>
          <w:rFonts w:ascii="Times New Roman" w:hAnsi="Times New Roman" w:cs="Times New Roman"/>
        </w:rPr>
        <w:t xml:space="preserve"> </w:t>
      </w:r>
      <w:r w:rsidRPr="008E19F7">
        <w:rPr>
          <w:rFonts w:ascii="Times New Roman" w:hAnsi="Times New Roman" w:cs="Times New Roman"/>
        </w:rPr>
        <w:t>Por esse motivo, se exige a unanimidade para a aprovação de regulamentos da União Europeia em matéria de direito internacional privado da família. O que não exclui, obviamente</w:t>
      </w:r>
      <w:r w:rsidR="00A668BB" w:rsidRPr="008E19F7">
        <w:rPr>
          <w:rFonts w:ascii="Times New Roman" w:hAnsi="Times New Roman" w:cs="Times New Roman"/>
        </w:rPr>
        <w:t>, a adoção de iniciativas legislativas na matéria, aprovadas com recurso ao mecanismo da cooperação reforçada, previsto no artigo 20.º do Tratado sobre o Funcionamento da União Europeia e que permite a um grupo composto no mínimo por nove Estados-Membros da União Europeia, caso não seja possível alcançar consenso em relação a certa iniciativa</w:t>
      </w:r>
      <w:r w:rsidR="002476B2" w:rsidRPr="008E19F7">
        <w:rPr>
          <w:rFonts w:ascii="Times New Roman" w:hAnsi="Times New Roman" w:cs="Times New Roman"/>
        </w:rPr>
        <w:t xml:space="preserve">, </w:t>
      </w:r>
      <w:r w:rsidR="00A668BB" w:rsidRPr="008E19F7">
        <w:rPr>
          <w:rFonts w:ascii="Times New Roman" w:hAnsi="Times New Roman" w:cs="Times New Roman"/>
        </w:rPr>
        <w:t>solicitar a preparação de uma iniciativa legislativa à Comissão Europeia</w:t>
      </w:r>
      <w:r w:rsidR="00A668BB" w:rsidRPr="008E19F7">
        <w:rPr>
          <w:rFonts w:ascii="Times New Roman" w:hAnsi="Times New Roman" w:cs="Times New Roman"/>
          <w:color w:val="444444"/>
          <w:shd w:val="clear" w:color="auto" w:fill="FFFFFF"/>
        </w:rPr>
        <w:t>.</w:t>
      </w:r>
      <w:r w:rsidR="002476B2" w:rsidRPr="008E19F7">
        <w:rPr>
          <w:rFonts w:ascii="Times New Roman" w:hAnsi="Times New Roman" w:cs="Times New Roman"/>
          <w:color w:val="444444"/>
          <w:shd w:val="clear" w:color="auto" w:fill="FFFFFF"/>
        </w:rPr>
        <w:t xml:space="preserve"> </w:t>
      </w:r>
      <w:r w:rsidRPr="008E19F7">
        <w:rPr>
          <w:rFonts w:ascii="Times New Roman" w:hAnsi="Times New Roman" w:cs="Times New Roman"/>
        </w:rPr>
        <w:t>A demonstrar na prática a sensibilidade da questão, o</w:t>
      </w:r>
      <w:r w:rsidR="002476B2" w:rsidRPr="008E19F7">
        <w:rPr>
          <w:rFonts w:ascii="Times New Roman" w:hAnsi="Times New Roman" w:cs="Times New Roman"/>
        </w:rPr>
        <w:t xml:space="preserve"> REGULAMENTO (UE) N.o 1259/2010 DO CONSELHO de 20 de Dezembro de 2010 que cria uma cooperação reforçada no domínio da lei aplicável em matéria de divórcio e separação judicial; o REGULAMENTO (UE) 2016/1103 DO CONSELHO de 24 de junho de 2016 que implementa a cooperação reforçada no domínio da competência, da lei aplicável, do reconhecimento e da execução de decisões em matéria de regimes matrimoniais e o REGULAMENTO (UE) 2016/1104 DO CONSELHO de 24 de junho de 2016 que implementa a cooperação reforçada no domínio da competência, da lei aplicável, do reconhecimento e da execução de decisões em matéria de efeitos patrimoniais das parcerias registadas.</w:t>
      </w:r>
    </w:p>
    <w:p w14:paraId="4CB15416" w14:textId="36A02888" w:rsidR="00C943F2" w:rsidRPr="008E19F7" w:rsidRDefault="00303CD5" w:rsidP="002476B2">
      <w:pPr>
        <w:pStyle w:val="Textonotapie"/>
        <w:jc w:val="both"/>
        <w:rPr>
          <w:rFonts w:ascii="Times New Roman" w:hAnsi="Times New Roman" w:cs="Times New Roman"/>
          <w:b/>
          <w:bCs/>
        </w:rPr>
      </w:pPr>
      <w:r w:rsidRPr="008E19F7">
        <w:rPr>
          <w:rStyle w:val="Textoennegrita"/>
          <w:rFonts w:ascii="Times New Roman" w:hAnsi="Times New Roman" w:cs="Times New Roman"/>
          <w:b w:val="0"/>
          <w:bCs w:val="0"/>
          <w:color w:val="333333"/>
          <w:bdr w:val="none" w:sz="0" w:space="0" w:color="auto" w:frame="1"/>
          <w:shd w:val="clear" w:color="auto" w:fill="FFFFFF"/>
        </w:rPr>
        <w:t xml:space="preserve">Uma iniciativa legislativa sobre </w:t>
      </w:r>
      <w:r w:rsidR="00095243" w:rsidRPr="008E19F7">
        <w:rPr>
          <w:rFonts w:ascii="Times New Roman" w:hAnsi="Times New Roman" w:cs="Times New Roman"/>
        </w:rPr>
        <w:t>Reconhecimento da parentalidade entre Estados-Membros (iniciativa legislativa, incluindo a avaliação de impacto, artigo 81.º, n.º 3, do TFUE, T3 2022)</w:t>
      </w:r>
      <w:r w:rsidRPr="008E19F7">
        <w:rPr>
          <w:rFonts w:ascii="Times New Roman" w:hAnsi="Times New Roman" w:cs="Times New Roman"/>
          <w:b/>
          <w:bCs/>
        </w:rPr>
        <w:t>,</w:t>
      </w:r>
      <w:r w:rsidRPr="008E19F7">
        <w:rPr>
          <w:rFonts w:ascii="Times New Roman" w:hAnsi="Times New Roman" w:cs="Times New Roman"/>
        </w:rPr>
        <w:t xml:space="preserve"> foi anunciada como prioridade da Comissão Europeia para o presente ano, </w:t>
      </w:r>
      <w:r w:rsidR="00095243" w:rsidRPr="008E19F7">
        <w:rPr>
          <w:rFonts w:ascii="Times New Roman" w:hAnsi="Times New Roman" w:cs="Times New Roman"/>
        </w:rPr>
        <w:t>e encontra-se prevista no programa de trabalho da Comissão para 2022. Cfr. ANEXOS da COMUNICAÇÃO DA COMISSÃO AO PARLAMENTO EUROPEU, AO CONSELHO, AO COMITÉ ECONÓMICO E SOCIAL EUROPEU E AO COMITÉ DAS REGIÕES Programa de trabalho da Comissão para 2022 Juntos por uma Europa mais forte. Disponível em www.https://eur-lex.europa.eu/resource.html?uri=cellar:9fb5131e-30e9-11ec-bd8e-01aa75ed71a1.0009.02/DOC_2&amp;format=PDF.</w:t>
      </w:r>
    </w:p>
  </w:footnote>
  <w:footnote w:id="50">
    <w:p w14:paraId="26D20396" w14:textId="33AE347A" w:rsidR="00387EDA" w:rsidRPr="002D0796" w:rsidRDefault="00387EDA" w:rsidP="0025661F">
      <w:pPr>
        <w:pStyle w:val="Textonotapie"/>
        <w:jc w:val="both"/>
        <w:rPr>
          <w:rFonts w:ascii="Times New Roman" w:hAnsi="Times New Roman" w:cs="Times New Roman"/>
          <w:b/>
          <w:bCs/>
        </w:rPr>
      </w:pPr>
      <w:r w:rsidRPr="008E19F7">
        <w:rPr>
          <w:rStyle w:val="Refdenotaalpie"/>
          <w:rFonts w:ascii="Times New Roman" w:hAnsi="Times New Roman" w:cs="Times New Roman"/>
        </w:rPr>
        <w:footnoteRef/>
      </w:r>
      <w:r w:rsidRPr="008E19F7">
        <w:rPr>
          <w:rFonts w:ascii="Times New Roman" w:hAnsi="Times New Roman" w:cs="Times New Roman"/>
        </w:rPr>
        <w:t xml:space="preserve"> O que não aconteceu no Acórdão proferido no caso CASE OF BOLJEVIĆ v. SERBIA</w:t>
      </w:r>
      <w:r w:rsidR="0025661F" w:rsidRPr="008E19F7">
        <w:rPr>
          <w:rFonts w:ascii="Times New Roman" w:hAnsi="Times New Roman" w:cs="Times New Roman"/>
        </w:rPr>
        <w:t xml:space="preserve"> TRIBUNAL EUROPEU DOS DIREITOS HUMANOS, Acórdão do Tribunal Europeu dos Direitos Humanos de 16-06-2020, processo n.º 47443/14, 4.ª Secção. Acórdãos TEDH [Em linha]. </w:t>
      </w:r>
      <w:r w:rsidR="008E19F7" w:rsidRPr="008E19F7">
        <w:rPr>
          <w:rFonts w:ascii="Times New Roman" w:hAnsi="Times New Roman" w:cs="Times New Roman"/>
        </w:rPr>
        <w:t xml:space="preserve">Relator </w:t>
      </w:r>
      <w:r w:rsidR="008E19F7" w:rsidRPr="008E19F7">
        <w:rPr>
          <w:rFonts w:ascii="Times New Roman" w:hAnsi="Times New Roman" w:cs="Times New Roman"/>
          <w:color w:val="000000"/>
          <w:shd w:val="clear" w:color="auto" w:fill="FFFFFF"/>
        </w:rPr>
        <w:t xml:space="preserve">Jon Fridrik Kjølbro. </w:t>
      </w:r>
      <w:r w:rsidR="008E19F7" w:rsidRPr="008E19F7">
        <w:rPr>
          <w:rFonts w:ascii="Times New Roman" w:hAnsi="Times New Roman" w:cs="Times New Roman"/>
        </w:rPr>
        <w:t xml:space="preserve">Estrasburgo : TEDH. [consult. 20 set. 2021] Disponível em WWW:URL: </w:t>
      </w:r>
      <w:hyperlink r:id="rId5" w:anchor="{&quot;itemid&quot;:[&quot;001-203052&quot;]}" w:history="1">
        <w:r w:rsidR="008E19F7" w:rsidRPr="008E19F7">
          <w:rPr>
            <w:rStyle w:val="Hipervnculo"/>
            <w:rFonts w:ascii="Times New Roman" w:hAnsi="Times New Roman" w:cs="Times New Roman"/>
          </w:rPr>
          <w:t>https://hudoc.echr.coe.int/fre#{"itemid":["001-203052"]}</w:t>
        </w:r>
      </w:hyperlink>
      <w:r w:rsidR="008E19F7" w:rsidRPr="008E19F7">
        <w:rPr>
          <w:rFonts w:ascii="Times New Roman" w:hAnsi="Times New Roman" w:cs="Times New Roman"/>
        </w:rPr>
        <w:t xml:space="preserve">.  </w:t>
      </w:r>
    </w:p>
  </w:footnote>
  <w:footnote w:id="51">
    <w:p w14:paraId="4448B6EA" w14:textId="2BC32585" w:rsidR="00581720" w:rsidRPr="00581720" w:rsidRDefault="00581720" w:rsidP="00581720">
      <w:pPr>
        <w:pStyle w:val="Textonotapie"/>
        <w:jc w:val="both"/>
        <w:rPr>
          <w:rFonts w:ascii="Times New Roman" w:hAnsi="Times New Roman" w:cs="Times New Roman"/>
        </w:rPr>
      </w:pPr>
      <w:r>
        <w:rPr>
          <w:rStyle w:val="Refdenotaalpie"/>
        </w:rPr>
        <w:footnoteRef/>
      </w:r>
      <w:r>
        <w:t xml:space="preserve"> </w:t>
      </w:r>
      <w:bookmarkStart w:id="4" w:name="_Hlk95176546"/>
      <w:r w:rsidRPr="00900001">
        <w:rPr>
          <w:rFonts w:ascii="Times New Roman" w:hAnsi="Times New Roman" w:cs="Times New Roman"/>
        </w:rPr>
        <w:t xml:space="preserve">TRIBUNAL EUROPEU DOS DIREITOS HUMANOS, Acórdão do Tribunal Europeu dos Direitos Humanos de 29-01-2019, processo n.º 62257/15, 3.ª Secção. Acórdãos TEDH [Em linha]. Relator Branko </w:t>
      </w:r>
      <w:r w:rsidRPr="00461CE1">
        <w:rPr>
          <w:rFonts w:ascii="Times New Roman" w:hAnsi="Times New Roman" w:cs="Times New Roman"/>
        </w:rPr>
        <w:t xml:space="preserve">Lubarda. Estrasburgo : TEDH. [consult. 20 jul. 2021] Disponível em WWW:URL: </w:t>
      </w:r>
      <w:hyperlink r:id="rId6" w:anchor="{&quot;itemid&quot;:[&quot;001-" w:history="1">
        <w:r w:rsidRPr="00461CE1">
          <w:rPr>
            <w:rStyle w:val="Hipervnculo"/>
            <w:rFonts w:ascii="Times New Roman" w:hAnsi="Times New Roman" w:cs="Times New Roman"/>
          </w:rPr>
          <w:t>https://hudoc.echr.coe.int/spa#{"itemid":["001-</w:t>
        </w:r>
      </w:hyperlink>
      <w:r w:rsidRPr="00461CE1">
        <w:rPr>
          <w:rFonts w:ascii="Times New Roman" w:hAnsi="Times New Roman" w:cs="Times New Roman"/>
        </w:rPr>
        <w:t>.</w:t>
      </w:r>
    </w:p>
    <w:bookmarkEnd w:id="4"/>
  </w:footnote>
  <w:footnote w:id="52">
    <w:p w14:paraId="325C3349" w14:textId="415995A3" w:rsidR="00345BF6" w:rsidRPr="00D6505B" w:rsidRDefault="00345BF6" w:rsidP="00CB3A79">
      <w:pPr>
        <w:spacing w:line="240" w:lineRule="auto"/>
        <w:jc w:val="both"/>
        <w:rPr>
          <w:rFonts w:ascii="Times New Roman" w:hAnsi="Times New Roman" w:cs="Times New Roman"/>
          <w:color w:val="000000"/>
          <w:sz w:val="20"/>
          <w:szCs w:val="20"/>
        </w:rPr>
      </w:pPr>
      <w:r>
        <w:rPr>
          <w:rStyle w:val="Refdenotaalpie"/>
        </w:rPr>
        <w:footnoteRef/>
      </w:r>
      <w:r>
        <w:t xml:space="preserve"> </w:t>
      </w:r>
      <w:r w:rsidRPr="002D6337">
        <w:rPr>
          <w:rFonts w:ascii="Times New Roman" w:hAnsi="Times New Roman" w:cs="Times New Roman"/>
          <w:sz w:val="20"/>
          <w:szCs w:val="20"/>
        </w:rPr>
        <w:t>Os factos do</w:t>
      </w:r>
      <w:r w:rsidR="002D6337" w:rsidRPr="002D6337">
        <w:rPr>
          <w:rFonts w:ascii="Times New Roman" w:hAnsi="Times New Roman" w:cs="Times New Roman"/>
          <w:sz w:val="20"/>
          <w:szCs w:val="20"/>
        </w:rPr>
        <w:t xml:space="preserve"> processo</w:t>
      </w:r>
      <w:r w:rsidR="002D6337" w:rsidRPr="002D6337">
        <w:rPr>
          <w:rStyle w:val="sb8d990e2"/>
          <w:rFonts w:ascii="Times New Roman" w:hAnsi="Times New Roman" w:cs="Times New Roman"/>
          <w:color w:val="000000"/>
          <w:sz w:val="20"/>
          <w:szCs w:val="20"/>
        </w:rPr>
        <w:t xml:space="preserve"> são os seguintes: Em 11 de fevereiro de 2013, o Diretor dos Registos Públicos, requereu ao tribunal que ordenasse às partes a realização de testes genéticos e para o requerido participar os seus dados pessoais, que seriam necessários à realização da inscrição de paternidade na certidão de nascimento da Requerente. O Requerido veio negar o seu envolvimento na conceção da Requerente, invocando a </w:t>
      </w:r>
      <w:r w:rsidR="002D6337" w:rsidRPr="002D6337">
        <w:rPr>
          <w:rStyle w:val="s6b621b36"/>
          <w:rFonts w:ascii="Times New Roman" w:hAnsi="Times New Roman" w:cs="Times New Roman"/>
          <w:i/>
          <w:iCs/>
          <w:color w:val="000000"/>
          <w:sz w:val="20"/>
          <w:szCs w:val="20"/>
        </w:rPr>
        <w:t>exceptio plurium concubentium</w:t>
      </w:r>
      <w:r w:rsidR="002D6337" w:rsidRPr="002D6337">
        <w:rPr>
          <w:rStyle w:val="sb8d990e2"/>
          <w:rFonts w:ascii="Times New Roman" w:hAnsi="Times New Roman" w:cs="Times New Roman"/>
          <w:color w:val="000000"/>
          <w:sz w:val="20"/>
          <w:szCs w:val="20"/>
        </w:rPr>
        <w:t xml:space="preserve">. </w:t>
      </w:r>
      <w:bookmarkStart w:id="5" w:name="_Hlk95064156"/>
    </w:p>
    <w:bookmarkEnd w:id="5"/>
  </w:footnote>
  <w:footnote w:id="53">
    <w:p w14:paraId="443C2DAC" w14:textId="3EC2C8AF" w:rsidR="002879B8" w:rsidRDefault="002879B8" w:rsidP="00CB3A79">
      <w:pPr>
        <w:pStyle w:val="Textonotapie"/>
        <w:jc w:val="both"/>
      </w:pPr>
      <w:r>
        <w:rPr>
          <w:rStyle w:val="Refdenotaalpie"/>
        </w:rPr>
        <w:footnoteRef/>
      </w:r>
      <w:r>
        <w:t xml:space="preserve"> </w:t>
      </w:r>
      <w:r w:rsidRPr="002D6337">
        <w:rPr>
          <w:rStyle w:val="sb8d990e2"/>
          <w:rFonts w:ascii="Times New Roman" w:hAnsi="Times New Roman" w:cs="Times New Roman"/>
          <w:color w:val="000000"/>
        </w:rPr>
        <w:t>Em 7 de maio de 2013</w:t>
      </w:r>
      <w:r w:rsidR="009B4819">
        <w:rPr>
          <w:rStyle w:val="sb8d990e2"/>
          <w:rFonts w:ascii="Times New Roman" w:hAnsi="Times New Roman" w:cs="Times New Roman"/>
          <w:color w:val="000000"/>
        </w:rPr>
        <w:t>,</w:t>
      </w:r>
      <w:r w:rsidRPr="002D6337">
        <w:rPr>
          <w:rStyle w:val="sb8d990e2"/>
          <w:rFonts w:ascii="Times New Roman" w:hAnsi="Times New Roman" w:cs="Times New Roman"/>
          <w:color w:val="000000"/>
        </w:rPr>
        <w:t xml:space="preserve"> a Requerente efetuou depoimento escrito, tal como a sua mãe. No mesmo invoca que nasceu em Londres de uma relação entre a sua mãe (Y) e o Requerido. E que desde cedo sempre lhe disseram que o requerido era o seu pai. Após o seu décimo sexto aniversário, enviou-lhe uma carta, a qual nunca foi respondida. Informou que em 1978, tendo tido conhecimento que o requerido ia estar em Malta, foi ao aeroporto para conhecê-lo – nesse dia vi</w:t>
      </w:r>
      <w:r w:rsidR="00581720">
        <w:rPr>
          <w:rStyle w:val="sb8d990e2"/>
          <w:rFonts w:ascii="Times New Roman" w:hAnsi="Times New Roman" w:cs="Times New Roman"/>
          <w:color w:val="000000"/>
        </w:rPr>
        <w:t>u</w:t>
      </w:r>
      <w:r w:rsidRPr="002D6337">
        <w:rPr>
          <w:rStyle w:val="sb8d990e2"/>
          <w:rFonts w:ascii="Times New Roman" w:hAnsi="Times New Roman" w:cs="Times New Roman"/>
          <w:color w:val="000000"/>
        </w:rPr>
        <w:t xml:space="preserve">-o chegar com a sua família e identificou </w:t>
      </w:r>
      <w:r w:rsidRPr="002D6337">
        <w:rPr>
          <w:rStyle w:val="sb8d990e2"/>
          <w:rFonts w:ascii="Times New Roman" w:eastAsia="Times New Roman" w:hAnsi="Times New Roman" w:cs="Times New Roman"/>
          <w:color w:val="000000"/>
          <w:lang w:eastAsia="pt-PT"/>
        </w:rPr>
        <w:t>semelhanças com uma das filhas do requerido. Apenas o conheceu mais tarde, na presença de um advogado</w:t>
      </w:r>
      <w:r>
        <w:rPr>
          <w:rStyle w:val="sb8d990e2"/>
          <w:rFonts w:ascii="Times New Roman" w:eastAsia="Times New Roman" w:hAnsi="Times New Roman" w:cs="Times New Roman"/>
          <w:color w:val="000000"/>
          <w:lang w:eastAsia="pt-PT"/>
        </w:rPr>
        <w:t>,</w:t>
      </w:r>
      <w:r w:rsidRPr="009B0AE4">
        <w:rPr>
          <w:rStyle w:val="sb8d990e2"/>
          <w:rFonts w:ascii="Arial" w:eastAsia="Times New Roman" w:hAnsi="Arial" w:cs="Arial"/>
          <w:color w:val="000000"/>
          <w:sz w:val="24"/>
          <w:szCs w:val="24"/>
          <w:lang w:eastAsia="pt-PT"/>
        </w:rPr>
        <w:t xml:space="preserve"> </w:t>
      </w:r>
      <w:r w:rsidRPr="009B0AE4">
        <w:rPr>
          <w:rStyle w:val="sb8d990e2"/>
          <w:rFonts w:ascii="Times New Roman" w:eastAsia="Times New Roman" w:hAnsi="Times New Roman" w:cs="Times New Roman"/>
          <w:color w:val="000000"/>
          <w:lang w:eastAsia="pt-PT"/>
        </w:rPr>
        <w:t>passando, a partir de então, a encontrarem-se várias vezes. De acordo com X, o Requerido informou-a de que não iria dar conhecimento aos seus filhos, para não prejudicar os estudos deles e a mesma aceitou. A mesma declarou que o requerido começou a visitar Malta regularmente por sua iniciativa e que quando a mesma ficou grávida o mesmo disponibilizou-lhe uma das suas propriedades para viver, vivendo juntos o tempo que o mesmo passava na ilha. Invocou que aquando do nascimento da sua filha, e por sugestão do Requerido, se mudaram para Londres, tendo regresso a Malta dezasseis meses depois, por preferir viver em Malta. Nessa altura o Requerido entregou-lhe as chaves de uma outra propriedade para viver. Permaneceu em contacto com o meso até 1985. Em 1998</w:t>
      </w:r>
      <w:r w:rsidR="009B4819">
        <w:rPr>
          <w:rStyle w:val="sb8d990e2"/>
          <w:rFonts w:ascii="Times New Roman" w:eastAsia="Times New Roman" w:hAnsi="Times New Roman" w:cs="Times New Roman"/>
          <w:color w:val="000000"/>
          <w:lang w:eastAsia="pt-PT"/>
        </w:rPr>
        <w:t>,</w:t>
      </w:r>
      <w:r w:rsidRPr="009B0AE4">
        <w:rPr>
          <w:rStyle w:val="sb8d990e2"/>
          <w:rFonts w:ascii="Times New Roman" w:eastAsia="Times New Roman" w:hAnsi="Times New Roman" w:cs="Times New Roman"/>
          <w:color w:val="000000"/>
          <w:lang w:eastAsia="pt-PT"/>
        </w:rPr>
        <w:t xml:space="preserve"> foi expulsa da propriedade e a relação entre ambos se deteriorou. Explicou que durante a expulsão, o Requerido prometeu-lhe u</w:t>
      </w:r>
      <w:r>
        <w:rPr>
          <w:rStyle w:val="sb8d990e2"/>
          <w:rFonts w:ascii="Times New Roman" w:eastAsia="Times New Roman" w:hAnsi="Times New Roman" w:cs="Times New Roman"/>
          <w:color w:val="000000"/>
          <w:lang w:eastAsia="pt-PT"/>
        </w:rPr>
        <w:t>ma quantia em dinheiro para sair da propriedade pacificamente, que aceitou o acordo e que o mesmo não lhe pagou, obrigando-a a instaurar um procedimento judicial. No depoimento de Y, a mesma declara que teve uma relação com o Requerido, para quem trabalhava e ficou grávida dele. Que o Requerido quis que a mesma abortasse e que lhe trouxe à sua presença, uma pessoa para lhe dar uma injeção.</w:t>
      </w:r>
      <w:r>
        <w:rPr>
          <w:rStyle w:val="sb8d990e2"/>
          <w:rFonts w:ascii="Times New Roman" w:hAnsi="Times New Roman" w:cs="Times New Roman"/>
          <w:color w:val="000000"/>
        </w:rPr>
        <w:t xml:space="preserve"> Que o mesmo lhe comprou um sítio para ficarem e que costumavam encontrar-se lá, uma vez que ele era casado. Declarou que sempre lhe foi fiel e que tinha medo dele porque era um homem poderoso e estava envolvido em atividades criminosas. Que deu à luz uma filha que teve com ele e que desde então a relação deteriorou-se. Finalmente a mesma ganhou coragem, deixou-o e voltou a Malta com a sua filha.</w:t>
      </w:r>
    </w:p>
  </w:footnote>
  <w:footnote w:id="54">
    <w:p w14:paraId="3E021720" w14:textId="1D49D4F5" w:rsidR="00A75331" w:rsidRDefault="00A75331" w:rsidP="00CB3A79">
      <w:pPr>
        <w:spacing w:line="240" w:lineRule="auto"/>
        <w:jc w:val="both"/>
      </w:pPr>
      <w:r>
        <w:rPr>
          <w:rStyle w:val="Refdenotaalpie"/>
        </w:rPr>
        <w:footnoteRef/>
      </w:r>
      <w:r>
        <w:t xml:space="preserve"> </w:t>
      </w:r>
      <w:r>
        <w:rPr>
          <w:rStyle w:val="sb8d990e2"/>
          <w:rFonts w:ascii="Times New Roman" w:hAnsi="Times New Roman" w:cs="Times New Roman"/>
          <w:color w:val="000000"/>
          <w:sz w:val="20"/>
          <w:szCs w:val="20"/>
        </w:rPr>
        <w:t xml:space="preserve">O Requerido recusou a realização dos testes, invocando a violação os seus direitos humanos, nos termos do artigo 8.º da CEDH e solicitou ao tribunal para submeter a questão à jurisdição constitucional. Mais questionou a razão da apresentação do requerimento cinquenta anos o nascimento da Requerente, mencionando a sua idade avançada, concluindo que qualquer intervenção podia ter efeitos negativos na sua saúde. </w:t>
      </w:r>
    </w:p>
  </w:footnote>
  <w:footnote w:id="55">
    <w:p w14:paraId="4030572C" w14:textId="0D834490" w:rsidR="00A75331" w:rsidRDefault="00A75331" w:rsidP="00CB3A79">
      <w:pPr>
        <w:pStyle w:val="Textonotapie"/>
        <w:jc w:val="both"/>
      </w:pPr>
      <w:r>
        <w:rPr>
          <w:rStyle w:val="Refdenotaalpie"/>
        </w:rPr>
        <w:footnoteRef/>
      </w:r>
      <w:r>
        <w:t xml:space="preserve"> </w:t>
      </w:r>
      <w:r>
        <w:rPr>
          <w:rStyle w:val="sb8d990e2"/>
          <w:rFonts w:ascii="Times New Roman" w:hAnsi="Times New Roman" w:cs="Times New Roman"/>
          <w:color w:val="000000"/>
        </w:rPr>
        <w:t>Em 23 de outubro o processo foi enviado à jurisdição constitucional, que em 30 de outubro de 2014, decidiu no sentido de não existir violação de direitos humanos.</w:t>
      </w:r>
    </w:p>
  </w:footnote>
  <w:footnote w:id="56">
    <w:p w14:paraId="367BFB54" w14:textId="75EFFB02" w:rsidR="00A75331" w:rsidRDefault="00A75331" w:rsidP="00CB3A79">
      <w:pPr>
        <w:pStyle w:val="Textonotapie"/>
        <w:jc w:val="both"/>
      </w:pPr>
      <w:r>
        <w:rPr>
          <w:rStyle w:val="Refdenotaalpie"/>
        </w:rPr>
        <w:footnoteRef/>
      </w:r>
      <w:r>
        <w:t xml:space="preserve"> </w:t>
      </w:r>
      <w:r>
        <w:rPr>
          <w:rStyle w:val="sb8d990e2"/>
          <w:rFonts w:ascii="Times New Roman" w:hAnsi="Times New Roman" w:cs="Times New Roman"/>
          <w:color w:val="000000"/>
        </w:rPr>
        <w:t>O Requerido recorreu invocando que a primeira instância não tinha tido em consideração o princípio da proporcionalidade e que a decisão violava o princípio da paridade de armas.</w:t>
      </w:r>
    </w:p>
  </w:footnote>
  <w:footnote w:id="57">
    <w:p w14:paraId="63C1B27A" w14:textId="32FED9A2" w:rsidR="00A75331" w:rsidRDefault="00A75331" w:rsidP="00CB3A79">
      <w:pPr>
        <w:pStyle w:val="Textonotapie"/>
        <w:jc w:val="both"/>
      </w:pPr>
      <w:r>
        <w:rPr>
          <w:rStyle w:val="Refdenotaalpie"/>
        </w:rPr>
        <w:footnoteRef/>
      </w:r>
      <w:r>
        <w:t xml:space="preserve"> </w:t>
      </w:r>
      <w:r>
        <w:rPr>
          <w:rStyle w:val="sb8d990e2"/>
          <w:rFonts w:ascii="Times New Roman" w:hAnsi="Times New Roman" w:cs="Times New Roman"/>
          <w:color w:val="000000"/>
        </w:rPr>
        <w:t>O Tribunal considerou que a Requerente tinha o direito de requerer o estabelecimento da paternidade pelos motivos invocados e que o Requerido não tinha deduzido nenhuma razão suficientemente imperativa para se concluir que a aplicação do procedimento previsto no artigo 100-A do código civil ao seu caso, violava os seus direitos nos termos do artigo 8.º da CEDH.</w:t>
      </w:r>
    </w:p>
  </w:footnote>
  <w:footnote w:id="58">
    <w:p w14:paraId="2EA93348" w14:textId="09BF0A9B" w:rsidR="00110D25" w:rsidRPr="00110D25" w:rsidRDefault="00110D25" w:rsidP="00110D25">
      <w:pPr>
        <w:pStyle w:val="Textonotapie"/>
        <w:jc w:val="both"/>
        <w:rPr>
          <w:rFonts w:ascii="Times New Roman" w:hAnsi="Times New Roman" w:cs="Times New Roman"/>
        </w:rPr>
      </w:pPr>
      <w:r>
        <w:rPr>
          <w:rStyle w:val="Refdenotaalpie"/>
        </w:rPr>
        <w:footnoteRef/>
      </w:r>
      <w:r>
        <w:t xml:space="preserve"> </w:t>
      </w:r>
      <w:r w:rsidRPr="00861536">
        <w:rPr>
          <w:rFonts w:ascii="Times New Roman" w:hAnsi="Times New Roman" w:cs="Times New Roman"/>
        </w:rPr>
        <w:t xml:space="preserve">TRIBUNAL EUROPEU DOS DIREITOS HUMANOS, Acórdão do Tribunal Europeu dos Direitos Humanos de 3-10-2017, processos n.ºs 72105/14 e 20415/15, 4.ª Secção. Acórdãos TEDH [Em linha]. Relator </w:t>
      </w:r>
      <w:r w:rsidRPr="00861536">
        <w:rPr>
          <w:rFonts w:ascii="Times New Roman" w:hAnsi="Times New Roman" w:cs="Times New Roman"/>
          <w:color w:val="000000"/>
          <w:shd w:val="clear" w:color="auto" w:fill="FFFFFF"/>
        </w:rPr>
        <w:t>Ganna Yudkivska</w:t>
      </w:r>
      <w:r w:rsidRPr="00861536">
        <w:rPr>
          <w:rFonts w:ascii="Times New Roman" w:hAnsi="Times New Roman" w:cs="Times New Roman"/>
        </w:rPr>
        <w:t xml:space="preserve">. Estrasburgo : TEDH. [consult. 20 jul. 2021] Disponível em WWW:URL: </w:t>
      </w:r>
      <w:hyperlink r:id="rId7" w:anchor="{&quot;itemid&quot;:[&quot;001-177229&quot;]}" w:history="1">
        <w:r w:rsidRPr="00861536">
          <w:rPr>
            <w:rStyle w:val="Hipervnculo"/>
            <w:rFonts w:ascii="Times New Roman" w:hAnsi="Times New Roman" w:cs="Times New Roman"/>
          </w:rPr>
          <w:t>https://hudoc.echr.coe.int/eng/#{"itemid":["001-177229"]}</w:t>
        </w:r>
      </w:hyperlink>
      <w:r w:rsidRPr="00461CE1">
        <w:rPr>
          <w:rFonts w:ascii="Times New Roman" w:hAnsi="Times New Roman" w:cs="Times New Roman"/>
        </w:rPr>
        <w:t>.</w:t>
      </w:r>
    </w:p>
  </w:footnote>
  <w:footnote w:id="59">
    <w:p w14:paraId="522C612A" w14:textId="33F60604" w:rsidR="00D93D56" w:rsidRPr="00F63946" w:rsidRDefault="00D93D56" w:rsidP="000B488C">
      <w:pPr>
        <w:pStyle w:val="Textonotapie"/>
        <w:jc w:val="both"/>
        <w:rPr>
          <w:rFonts w:ascii="Times New Roman" w:hAnsi="Times New Roman" w:cs="Times New Roman"/>
          <w:b/>
          <w:bCs/>
          <w:lang w:val="en-GB"/>
        </w:rPr>
      </w:pPr>
      <w:r>
        <w:rPr>
          <w:rStyle w:val="Refdenotaalpie"/>
        </w:rPr>
        <w:footnoteRef/>
      </w:r>
      <w:r w:rsidRPr="00D93D56">
        <w:rPr>
          <w:lang w:val="en-GB"/>
        </w:rPr>
        <w:t xml:space="preserve"> </w:t>
      </w:r>
      <w:r w:rsidRPr="00F63946">
        <w:rPr>
          <w:rFonts w:ascii="Times New Roman" w:hAnsi="Times New Roman" w:cs="Times New Roman"/>
          <w:lang w:val="en-GB"/>
        </w:rPr>
        <w:t>Cfr. Ac.</w:t>
      </w:r>
      <w:r w:rsidR="00B31F90" w:rsidRPr="00F63946">
        <w:rPr>
          <w:rFonts w:ascii="Times New Roman" w:hAnsi="Times New Roman" w:cs="Times New Roman"/>
          <w:color w:val="000000"/>
          <w:shd w:val="clear" w:color="auto" w:fill="FFFFFF"/>
          <w:lang w:val="en-GB"/>
        </w:rPr>
        <w:t xml:space="preserve"> “53.  The Court reiterates that the essential object of Article 8 is to protect the individual against arbitrary action by public authorities.</w:t>
      </w:r>
      <w:r w:rsidR="007B553D" w:rsidRPr="00F63946">
        <w:rPr>
          <w:rFonts w:ascii="Times New Roman" w:hAnsi="Times New Roman" w:cs="Times New Roman"/>
          <w:color w:val="000000"/>
          <w:shd w:val="clear" w:color="auto" w:fill="FFFFFF"/>
          <w:lang w:val="en-GB"/>
        </w:rPr>
        <w:t xml:space="preserve"> […]</w:t>
      </w:r>
      <w:r w:rsidR="00B31F90" w:rsidRPr="00F63946">
        <w:rPr>
          <w:rFonts w:ascii="Times New Roman" w:hAnsi="Times New Roman" w:cs="Times New Roman"/>
          <w:color w:val="000000"/>
          <w:shd w:val="clear" w:color="auto" w:fill="FFFFFF"/>
          <w:lang w:val="en-GB"/>
        </w:rPr>
        <w:t>”</w:t>
      </w:r>
      <w:r w:rsidRPr="00F63946">
        <w:rPr>
          <w:rFonts w:ascii="Times New Roman" w:hAnsi="Times New Roman" w:cs="Times New Roman"/>
          <w:b/>
          <w:bCs/>
          <w:color w:val="000000"/>
          <w:shd w:val="clear" w:color="auto" w:fill="FFFFFF"/>
          <w:lang w:val="en-GB"/>
        </w:rPr>
        <w:t>”</w:t>
      </w:r>
      <w:r w:rsidR="007B553D" w:rsidRPr="00F63946">
        <w:rPr>
          <w:rFonts w:ascii="Times New Roman" w:hAnsi="Times New Roman" w:cs="Times New Roman"/>
          <w:b/>
          <w:bCs/>
          <w:color w:val="000000"/>
          <w:shd w:val="clear" w:color="auto" w:fill="FFFFFF"/>
          <w:lang w:val="en-GB"/>
        </w:rPr>
        <w:t>.</w:t>
      </w:r>
    </w:p>
  </w:footnote>
  <w:footnote w:id="60">
    <w:p w14:paraId="63602C4B" w14:textId="486E5E8B" w:rsidR="00B31F90" w:rsidRPr="007B553D" w:rsidRDefault="00B31F90" w:rsidP="007B553D">
      <w:pPr>
        <w:pStyle w:val="Textonotapie"/>
        <w:jc w:val="both"/>
        <w:rPr>
          <w:rFonts w:ascii="Times New Roman" w:hAnsi="Times New Roman" w:cs="Times New Roman"/>
          <w:lang w:val="en-GB"/>
        </w:rPr>
      </w:pPr>
      <w:r>
        <w:rPr>
          <w:rStyle w:val="Refdenotaalpie"/>
        </w:rPr>
        <w:footnoteRef/>
      </w:r>
      <w:r w:rsidR="007B553D">
        <w:rPr>
          <w:lang w:val="en-GB"/>
        </w:rPr>
        <w:t xml:space="preserve"> Cf. Ac. “N.º 53. […]</w:t>
      </w:r>
      <w:r w:rsidRPr="007B553D">
        <w:rPr>
          <w:lang w:val="en-GB"/>
        </w:rPr>
        <w:t xml:space="preserve"> </w:t>
      </w:r>
      <w:r w:rsidR="007B553D" w:rsidRPr="007B553D">
        <w:rPr>
          <w:rFonts w:ascii="Times New Roman" w:hAnsi="Times New Roman" w:cs="Times New Roman"/>
          <w:color w:val="000000"/>
          <w:shd w:val="clear" w:color="auto" w:fill="FFFFFF"/>
          <w:lang w:val="en-GB"/>
        </w:rPr>
        <w:t>There may additionally be positive obligations inherent in ensuring effective “respect” for private or family life. These obligations may involve the adoption of measures designed to secure respect for private life even in the sphere of the relations of individuals between themselves (see </w:t>
      </w:r>
      <w:r w:rsidR="007B553D" w:rsidRPr="007B553D">
        <w:rPr>
          <w:rFonts w:ascii="Times New Roman" w:hAnsi="Times New Roman" w:cs="Times New Roman"/>
          <w:i/>
          <w:iCs/>
          <w:color w:val="000000"/>
          <w:shd w:val="clear" w:color="auto" w:fill="FFFFFF"/>
          <w:lang w:val="en-GB"/>
        </w:rPr>
        <w:t>Mikulić, </w:t>
      </w:r>
      <w:r w:rsidR="007B553D" w:rsidRPr="007B553D">
        <w:rPr>
          <w:rFonts w:ascii="Times New Roman" w:hAnsi="Times New Roman" w:cs="Times New Roman"/>
          <w:color w:val="000000"/>
          <w:shd w:val="clear" w:color="auto" w:fill="FFFFFF"/>
          <w:lang w:val="en-GB"/>
        </w:rPr>
        <w:t>cited above</w:t>
      </w:r>
      <w:r w:rsidR="007B553D" w:rsidRPr="007B553D">
        <w:rPr>
          <w:rFonts w:ascii="Times New Roman" w:hAnsi="Times New Roman" w:cs="Times New Roman"/>
          <w:i/>
          <w:iCs/>
          <w:color w:val="000000"/>
          <w:shd w:val="clear" w:color="auto" w:fill="FFFFFF"/>
          <w:lang w:val="en-GB"/>
        </w:rPr>
        <w:t>,</w:t>
      </w:r>
      <w:r w:rsidR="007B553D" w:rsidRPr="007B553D">
        <w:rPr>
          <w:rFonts w:ascii="Times New Roman" w:hAnsi="Times New Roman" w:cs="Times New Roman"/>
          <w:color w:val="000000"/>
          <w:shd w:val="clear" w:color="auto" w:fill="FFFFFF"/>
          <w:lang w:val="en-GB"/>
        </w:rPr>
        <w:t> § 57, and </w:t>
      </w:r>
      <w:r w:rsidR="007B553D" w:rsidRPr="007B553D">
        <w:rPr>
          <w:rFonts w:ascii="Times New Roman" w:hAnsi="Times New Roman" w:cs="Times New Roman"/>
          <w:i/>
          <w:iCs/>
          <w:color w:val="000000"/>
          <w:shd w:val="clear" w:color="auto" w:fill="FFFFFF"/>
          <w:lang w:val="en-GB"/>
        </w:rPr>
        <w:t>S.H. and Others v. Austria </w:t>
      </w:r>
      <w:r w:rsidR="007B553D" w:rsidRPr="007B553D">
        <w:rPr>
          <w:rFonts w:ascii="Times New Roman" w:hAnsi="Times New Roman" w:cs="Times New Roman"/>
          <w:color w:val="000000"/>
          <w:shd w:val="clear" w:color="auto" w:fill="FFFFFF"/>
          <w:lang w:val="en-GB"/>
        </w:rPr>
        <w:t>[GC], no. </w:t>
      </w:r>
      <w:hyperlink r:id="rId8" w:anchor="{%22appno%22:[%2257813/00%22]}" w:tgtFrame="_blank" w:history="1">
        <w:r w:rsidR="007B553D" w:rsidRPr="007B553D">
          <w:rPr>
            <w:rFonts w:ascii="Times New Roman" w:hAnsi="Times New Roman" w:cs="Times New Roman"/>
            <w:color w:val="0069D6"/>
            <w:u w:val="single"/>
            <w:lang w:val="en-GB"/>
          </w:rPr>
          <w:t>57813/00</w:t>
        </w:r>
      </w:hyperlink>
      <w:r w:rsidR="007B553D" w:rsidRPr="007B553D">
        <w:rPr>
          <w:rFonts w:ascii="Times New Roman" w:hAnsi="Times New Roman" w:cs="Times New Roman"/>
          <w:color w:val="000000"/>
          <w:shd w:val="clear" w:color="auto" w:fill="FFFFFF"/>
          <w:lang w:val="en-GB"/>
        </w:rPr>
        <w:t>, § 87, ECHR 2011). However, the boundaries between the State’s positive and negative obligations under this provision do not lend themselves to precise definition. The applicable principles are nonetheless similar. In both cases consideration must be given to the fair balance that has to be struck between the competing interests of the individual and of the community as a whole. A balancing exercise is also required with regard to competing private interests. In this connection, it should be observed that the expression “everyone” in Article 8 of the Convention applies to both the child and the putative father. If, as stated earlier, on the one hand, people have a right to know their identity, on the other hand, a putative father’s interest in being protected from allegations concerning circumstances that date back many years cannot be denied. Finally, in addition to that conflict of interest, other interests may come into play, such as those of third parties ‒ principally those of the putative father’s family ‒ and the general interests of legal certainty (</w:t>
      </w:r>
      <w:r w:rsidR="007B553D" w:rsidRPr="007B553D">
        <w:rPr>
          <w:rFonts w:ascii="Times New Roman" w:hAnsi="Times New Roman" w:cs="Times New Roman"/>
          <w:i/>
          <w:iCs/>
          <w:color w:val="000000"/>
          <w:shd w:val="clear" w:color="auto" w:fill="FFFFFF"/>
          <w:lang w:val="en-GB"/>
        </w:rPr>
        <w:t>Backlund</w:t>
      </w:r>
      <w:r w:rsidR="007B553D" w:rsidRPr="007B553D">
        <w:rPr>
          <w:rFonts w:ascii="Times New Roman" w:hAnsi="Times New Roman" w:cs="Times New Roman"/>
          <w:color w:val="000000"/>
          <w:shd w:val="clear" w:color="auto" w:fill="FFFFFF"/>
          <w:lang w:val="en-GB"/>
        </w:rPr>
        <w:t>, cited above, § 46).</w:t>
      </w:r>
      <w:r w:rsidR="007B553D">
        <w:rPr>
          <w:rFonts w:ascii="Times New Roman" w:hAnsi="Times New Roman" w:cs="Times New Roman"/>
          <w:color w:val="000000"/>
          <w:shd w:val="clear" w:color="auto" w:fill="FFFFFF"/>
          <w:lang w:val="en-GB"/>
        </w:rPr>
        <w:t>”</w:t>
      </w:r>
    </w:p>
  </w:footnote>
  <w:footnote w:id="61">
    <w:p w14:paraId="2A814EC9" w14:textId="5F0907B1" w:rsidR="000B488C" w:rsidRPr="000B488C" w:rsidRDefault="000B488C" w:rsidP="007B553D">
      <w:pPr>
        <w:pStyle w:val="Textonotapie"/>
        <w:jc w:val="both"/>
        <w:rPr>
          <w:rFonts w:ascii="Times New Roman" w:hAnsi="Times New Roman" w:cs="Times New Roman"/>
          <w:lang w:val="en-GB"/>
        </w:rPr>
      </w:pPr>
      <w:r w:rsidRPr="007B553D">
        <w:rPr>
          <w:rStyle w:val="Refdenotaalpie"/>
          <w:rFonts w:ascii="Times New Roman" w:hAnsi="Times New Roman" w:cs="Times New Roman"/>
        </w:rPr>
        <w:footnoteRef/>
      </w:r>
      <w:r w:rsidRPr="007B553D">
        <w:rPr>
          <w:rFonts w:ascii="Times New Roman" w:hAnsi="Times New Roman" w:cs="Times New Roman"/>
          <w:lang w:val="en-GB"/>
        </w:rPr>
        <w:t xml:space="preserve"> Cf. Ac. “N.º 60</w:t>
      </w:r>
      <w:r w:rsidRPr="007B553D">
        <w:rPr>
          <w:rStyle w:val="sb8d990e2"/>
          <w:rFonts w:ascii="Times New Roman" w:hAnsi="Times New Roman" w:cs="Times New Roman"/>
          <w:color w:val="000000"/>
          <w:shd w:val="clear" w:color="auto" w:fill="FFFFFF"/>
          <w:lang w:val="en-GB"/>
        </w:rPr>
        <w:t xml:space="preserve">.  The Court notes that the applicants did not dispute that the impossibility of bringing an action for judicial recognition of paternity was “in accordance with the law”. What they complained of was that the impugned time-limit prevented them from having the possibility of obtaining judicial recognition </w:t>
      </w:r>
      <w:r w:rsidRPr="000B488C">
        <w:rPr>
          <w:rStyle w:val="sb8d990e2"/>
          <w:rFonts w:ascii="Times New Roman" w:hAnsi="Times New Roman" w:cs="Times New Roman"/>
          <w:color w:val="000000"/>
          <w:shd w:val="clear" w:color="auto" w:fill="FFFFFF"/>
          <w:lang w:val="en-GB"/>
        </w:rPr>
        <w:t>of paternity before the domestic courts, in violation of Article 8 of the Convention.”</w:t>
      </w:r>
    </w:p>
  </w:footnote>
  <w:footnote w:id="62">
    <w:p w14:paraId="15FAEE9D" w14:textId="0314DD84" w:rsidR="00DF371E" w:rsidRPr="00DF371E" w:rsidRDefault="00DF371E" w:rsidP="000B488C">
      <w:pPr>
        <w:pStyle w:val="Textonotapie"/>
        <w:jc w:val="both"/>
        <w:rPr>
          <w:lang w:val="en-GB"/>
        </w:rPr>
      </w:pPr>
      <w:r w:rsidRPr="000B488C">
        <w:rPr>
          <w:rStyle w:val="Refdenotaalpie"/>
          <w:rFonts w:ascii="Times New Roman" w:hAnsi="Times New Roman" w:cs="Times New Roman"/>
        </w:rPr>
        <w:footnoteRef/>
      </w:r>
      <w:r w:rsidRPr="000B488C">
        <w:rPr>
          <w:rFonts w:ascii="Times New Roman" w:hAnsi="Times New Roman" w:cs="Times New Roman"/>
          <w:lang w:val="en-GB"/>
        </w:rPr>
        <w:t xml:space="preserve"> </w:t>
      </w:r>
      <w:r w:rsidR="000B488C" w:rsidRPr="000B488C">
        <w:rPr>
          <w:rFonts w:ascii="Times New Roman" w:hAnsi="Times New Roman" w:cs="Times New Roman"/>
          <w:lang w:val="en-GB"/>
        </w:rPr>
        <w:t xml:space="preserve">Cf. Ac. “N.º 57. </w:t>
      </w:r>
      <w:r w:rsidRPr="000B488C">
        <w:rPr>
          <w:rStyle w:val="sb8d990e2"/>
          <w:rFonts w:ascii="Times New Roman" w:hAnsi="Times New Roman" w:cs="Times New Roman"/>
          <w:color w:val="000000"/>
          <w:shd w:val="clear" w:color="auto" w:fill="FFFFFF"/>
          <w:lang w:val="en-GB"/>
        </w:rPr>
        <w:t>The Court reiterates that it has previously accepted that the introduction of a time-limit for instituting paternity proceedings was justified by the desire to ensure legal certainty and finality in family relations (</w:t>
      </w:r>
      <w:r w:rsidRPr="000B488C">
        <w:rPr>
          <w:rStyle w:val="s6b621b36"/>
          <w:rFonts w:ascii="Times New Roman" w:hAnsi="Times New Roman" w:cs="Times New Roman"/>
          <w:i/>
          <w:iCs/>
          <w:color w:val="000000"/>
          <w:shd w:val="clear" w:color="auto" w:fill="FFFFFF"/>
          <w:lang w:val="en-GB"/>
        </w:rPr>
        <w:t>Konstantinidis, </w:t>
      </w:r>
      <w:r w:rsidRPr="000B488C">
        <w:rPr>
          <w:rStyle w:val="sb8d990e2"/>
          <w:rFonts w:ascii="Times New Roman" w:hAnsi="Times New Roman" w:cs="Times New Roman"/>
          <w:color w:val="000000"/>
          <w:shd w:val="clear" w:color="auto" w:fill="FFFFFF"/>
          <w:lang w:val="en-GB"/>
        </w:rPr>
        <w:t>cited above, § 46, with further references). Accordingly, the existence of a limitation period </w:t>
      </w:r>
      <w:r w:rsidRPr="000B488C">
        <w:rPr>
          <w:rStyle w:val="s6b621b36"/>
          <w:rFonts w:ascii="Times New Roman" w:hAnsi="Times New Roman" w:cs="Times New Roman"/>
          <w:i/>
          <w:iCs/>
          <w:color w:val="000000"/>
          <w:shd w:val="clear" w:color="auto" w:fill="FFFFFF"/>
          <w:lang w:val="en-GB"/>
        </w:rPr>
        <w:t>per se</w:t>
      </w:r>
      <w:r w:rsidRPr="000B488C">
        <w:rPr>
          <w:rStyle w:val="sb8d990e2"/>
          <w:rFonts w:ascii="Times New Roman" w:hAnsi="Times New Roman" w:cs="Times New Roman"/>
          <w:color w:val="000000"/>
          <w:shd w:val="clear" w:color="auto" w:fill="FFFFFF"/>
          <w:lang w:val="en-GB"/>
        </w:rPr>
        <w:t> is not incompatible with the Convention. What the Court needs to ascertain in a given case is whether the nature of the time-limit in question and/or the manner in which it is applied is compatible with the Convention (</w:t>
      </w:r>
      <w:r w:rsidRPr="000B488C">
        <w:rPr>
          <w:rStyle w:val="s6b621b36"/>
          <w:rFonts w:ascii="Times New Roman" w:hAnsi="Times New Roman" w:cs="Times New Roman"/>
          <w:i/>
          <w:iCs/>
          <w:color w:val="000000"/>
          <w:shd w:val="clear" w:color="auto" w:fill="FFFFFF"/>
          <w:lang w:val="en-GB"/>
        </w:rPr>
        <w:t>Backlund,</w:t>
      </w:r>
      <w:r w:rsidRPr="000B488C">
        <w:rPr>
          <w:rStyle w:val="sb8d990e2"/>
          <w:rFonts w:ascii="Times New Roman" w:hAnsi="Times New Roman" w:cs="Times New Roman"/>
          <w:color w:val="000000"/>
          <w:shd w:val="clear" w:color="auto" w:fill="FFFFFF"/>
          <w:lang w:val="en-GB"/>
        </w:rPr>
        <w:t> cited above, § 45, and </w:t>
      </w:r>
      <w:r w:rsidRPr="000B488C">
        <w:rPr>
          <w:rStyle w:val="s6b621b36"/>
          <w:rFonts w:ascii="Times New Roman" w:hAnsi="Times New Roman" w:cs="Times New Roman"/>
          <w:i/>
          <w:iCs/>
          <w:color w:val="000000"/>
          <w:shd w:val="clear" w:color="auto" w:fill="FFFFFF"/>
          <w:lang w:val="en-GB"/>
        </w:rPr>
        <w:t>Phinikaridou</w:t>
      </w:r>
      <w:r w:rsidRPr="000B488C">
        <w:rPr>
          <w:rStyle w:val="sb8d990e2"/>
          <w:rFonts w:ascii="Times New Roman" w:hAnsi="Times New Roman" w:cs="Times New Roman"/>
          <w:color w:val="000000"/>
          <w:shd w:val="clear" w:color="auto" w:fill="FFFFFF"/>
          <w:lang w:val="en-GB"/>
        </w:rPr>
        <w:t>, cited above, § 52).</w:t>
      </w:r>
      <w:r w:rsidR="000B488C" w:rsidRPr="000B488C">
        <w:rPr>
          <w:rStyle w:val="sb8d990e2"/>
          <w:rFonts w:ascii="Times New Roman" w:hAnsi="Times New Roman" w:cs="Times New Roman"/>
          <w:color w:val="000000"/>
          <w:shd w:val="clear" w:color="auto" w:fill="FFFFFF"/>
          <w:lang w:val="en-GB"/>
        </w:rPr>
        <w:t>”</w:t>
      </w:r>
    </w:p>
  </w:footnote>
  <w:footnote w:id="63">
    <w:p w14:paraId="262828D7" w14:textId="6D7258A3" w:rsidR="008F2159" w:rsidRPr="006A4E01" w:rsidRDefault="008F2159" w:rsidP="006A4E01">
      <w:pPr>
        <w:pStyle w:val="Textonotapie"/>
        <w:jc w:val="both"/>
        <w:rPr>
          <w:rFonts w:ascii="Times New Roman" w:hAnsi="Times New Roman" w:cs="Times New Roman"/>
          <w:lang w:val="en-GB"/>
        </w:rPr>
      </w:pPr>
      <w:r>
        <w:rPr>
          <w:rStyle w:val="Refdenotaalpie"/>
        </w:rPr>
        <w:footnoteRef/>
      </w:r>
      <w:r w:rsidRPr="00D93D56">
        <w:rPr>
          <w:lang w:val="en-GB"/>
        </w:rPr>
        <w:t xml:space="preserve"> </w:t>
      </w:r>
      <w:r w:rsidR="00B31F90">
        <w:rPr>
          <w:lang w:val="en-GB"/>
        </w:rPr>
        <w:t>Cf. Ac. “</w:t>
      </w:r>
      <w:r w:rsidR="00B31F90" w:rsidRPr="00D93D56">
        <w:rPr>
          <w:rFonts w:ascii="Times New Roman" w:hAnsi="Times New Roman" w:cs="Times New Roman"/>
          <w:lang w:val="en-GB"/>
        </w:rPr>
        <w:t>N.º 54</w:t>
      </w:r>
      <w:r w:rsidR="00B31F90" w:rsidRPr="00D93D56">
        <w:rPr>
          <w:rFonts w:ascii="Times New Roman" w:hAnsi="Times New Roman" w:cs="Times New Roman"/>
          <w:color w:val="000000"/>
          <w:shd w:val="clear" w:color="auto" w:fill="FFFFFF"/>
          <w:lang w:val="en-GB"/>
        </w:rPr>
        <w:t>.  Whether in the context of positive or negative obligations the State enjoys a certain margin of appreciation (see </w:t>
      </w:r>
      <w:r w:rsidR="00B31F90" w:rsidRPr="00D93D56">
        <w:rPr>
          <w:rFonts w:ascii="Times New Roman" w:hAnsi="Times New Roman" w:cs="Times New Roman"/>
          <w:i/>
          <w:iCs/>
          <w:color w:val="000000"/>
          <w:shd w:val="clear" w:color="auto" w:fill="FFFFFF"/>
          <w:lang w:val="en-GB"/>
        </w:rPr>
        <w:t>Odièvre¸</w:t>
      </w:r>
      <w:r w:rsidR="00B31F90" w:rsidRPr="00D93D56">
        <w:rPr>
          <w:rFonts w:ascii="Times New Roman" w:hAnsi="Times New Roman" w:cs="Times New Roman"/>
          <w:color w:val="000000"/>
          <w:shd w:val="clear" w:color="auto" w:fill="FFFFFF"/>
          <w:lang w:val="en-GB"/>
        </w:rPr>
        <w:t>cited above</w:t>
      </w:r>
      <w:r w:rsidR="00B31F90" w:rsidRPr="00D93D56">
        <w:rPr>
          <w:rFonts w:ascii="Times New Roman" w:hAnsi="Times New Roman" w:cs="Times New Roman"/>
          <w:i/>
          <w:iCs/>
          <w:color w:val="000000"/>
          <w:shd w:val="clear" w:color="auto" w:fill="FFFFFF"/>
          <w:lang w:val="en-GB"/>
        </w:rPr>
        <w:t>, </w:t>
      </w:r>
      <w:r w:rsidR="00B31F90" w:rsidRPr="00D93D56">
        <w:rPr>
          <w:rFonts w:ascii="Times New Roman" w:hAnsi="Times New Roman" w:cs="Times New Roman"/>
          <w:color w:val="000000"/>
          <w:shd w:val="clear" w:color="auto" w:fill="FFFFFF"/>
          <w:lang w:val="en-GB"/>
        </w:rPr>
        <w:t>§ 40, and </w:t>
      </w:r>
      <w:r w:rsidR="00B31F90" w:rsidRPr="00D93D56">
        <w:rPr>
          <w:rFonts w:ascii="Times New Roman" w:hAnsi="Times New Roman" w:cs="Times New Roman"/>
          <w:i/>
          <w:iCs/>
          <w:color w:val="000000"/>
          <w:shd w:val="clear" w:color="auto" w:fill="FFFFFF"/>
          <w:lang w:val="en-GB"/>
        </w:rPr>
        <w:t>Mikulić, </w:t>
      </w:r>
      <w:r w:rsidR="00B31F90" w:rsidRPr="00D93D56">
        <w:rPr>
          <w:rFonts w:ascii="Times New Roman" w:hAnsi="Times New Roman" w:cs="Times New Roman"/>
          <w:color w:val="000000"/>
          <w:shd w:val="clear" w:color="auto" w:fill="FFFFFF"/>
          <w:lang w:val="en-GB"/>
        </w:rPr>
        <w:t>cited above, § 58). The Court’s task is not to substitute itself for the competent domestic authorities in regulating paternity disputes at the national level, but rather to review under the Convention the decisions that those authorities have taken in the exercise of their power of appreciation (see </w:t>
      </w:r>
      <w:r w:rsidR="00B31F90" w:rsidRPr="00D93D56">
        <w:rPr>
          <w:rFonts w:ascii="Times New Roman" w:hAnsi="Times New Roman" w:cs="Times New Roman"/>
          <w:i/>
          <w:iCs/>
          <w:color w:val="000000"/>
          <w:shd w:val="clear" w:color="auto" w:fill="FFFFFF"/>
          <w:lang w:val="en-GB"/>
        </w:rPr>
        <w:t>Călin and Others</w:t>
      </w:r>
      <w:r w:rsidR="00B31F90" w:rsidRPr="00D93D56">
        <w:rPr>
          <w:rFonts w:ascii="Times New Roman" w:hAnsi="Times New Roman" w:cs="Times New Roman"/>
          <w:color w:val="000000"/>
          <w:shd w:val="clear" w:color="auto" w:fill="FFFFFF"/>
          <w:lang w:val="en-GB"/>
        </w:rPr>
        <w:t>, cited above, § 86, and </w:t>
      </w:r>
      <w:r w:rsidR="00B31F90" w:rsidRPr="00D93D56">
        <w:rPr>
          <w:rFonts w:ascii="Times New Roman" w:hAnsi="Times New Roman" w:cs="Times New Roman"/>
          <w:i/>
          <w:iCs/>
          <w:color w:val="000000"/>
          <w:shd w:val="clear" w:color="auto" w:fill="FFFFFF"/>
          <w:lang w:val="en-GB"/>
        </w:rPr>
        <w:t xml:space="preserve">Konstantinidis </w:t>
      </w:r>
      <w:r w:rsidR="00B31F90" w:rsidRPr="000B488C">
        <w:rPr>
          <w:rFonts w:ascii="Times New Roman" w:hAnsi="Times New Roman" w:cs="Times New Roman"/>
          <w:i/>
          <w:iCs/>
          <w:color w:val="000000"/>
          <w:shd w:val="clear" w:color="auto" w:fill="FFFFFF"/>
          <w:lang w:val="en-GB"/>
        </w:rPr>
        <w:t>v. Greece</w:t>
      </w:r>
      <w:r w:rsidR="00B31F90" w:rsidRPr="000B488C">
        <w:rPr>
          <w:rFonts w:ascii="Times New Roman" w:hAnsi="Times New Roman" w:cs="Times New Roman"/>
          <w:color w:val="000000"/>
          <w:shd w:val="clear" w:color="auto" w:fill="FFFFFF"/>
          <w:lang w:val="en-GB"/>
        </w:rPr>
        <w:t>, no. </w:t>
      </w:r>
      <w:hyperlink r:id="rId9" w:anchor="{%22appno%22:[%2258809/09%22]}" w:tgtFrame="_blank" w:history="1">
        <w:r w:rsidR="00B31F90" w:rsidRPr="000B488C">
          <w:rPr>
            <w:rFonts w:ascii="Times New Roman" w:hAnsi="Times New Roman" w:cs="Times New Roman"/>
            <w:color w:val="0069D6"/>
            <w:u w:val="single"/>
            <w:lang w:val="en-GB"/>
          </w:rPr>
          <w:t>58809/09</w:t>
        </w:r>
      </w:hyperlink>
      <w:r w:rsidR="00B31F90" w:rsidRPr="000B488C">
        <w:rPr>
          <w:rFonts w:ascii="Times New Roman" w:hAnsi="Times New Roman" w:cs="Times New Roman"/>
          <w:color w:val="000000"/>
          <w:shd w:val="clear" w:color="auto" w:fill="FFFFFF"/>
          <w:lang w:val="en-GB"/>
        </w:rPr>
        <w:t>, § 43, 3 April 2014). The Court must therefore examine whether the respondent State, in handling the applicants’ actions for judicial recognition of paternity, has complied with its positive obligations under Article 8 of the Convention.”</w:t>
      </w:r>
    </w:p>
  </w:footnote>
  <w:footnote w:id="64">
    <w:p w14:paraId="41330A45" w14:textId="1A417DF2" w:rsidR="006A4E01" w:rsidRDefault="006A4E01">
      <w:pPr>
        <w:pStyle w:val="Textonotapie"/>
      </w:pPr>
      <w:r>
        <w:rPr>
          <w:rStyle w:val="Refdenotaalpie"/>
        </w:rPr>
        <w:footnoteRef/>
      </w:r>
      <w:r>
        <w:t xml:space="preserve"> Cf. Ac. N.ºs 69 e 70.</w:t>
      </w:r>
    </w:p>
  </w:footnote>
  <w:footnote w:id="65">
    <w:p w14:paraId="0DEDD370" w14:textId="4A3FE0DF" w:rsidR="00BA6AB7" w:rsidRPr="00C82970" w:rsidRDefault="00BA6AB7" w:rsidP="00AD3151">
      <w:pPr>
        <w:tabs>
          <w:tab w:val="left" w:pos="5245"/>
        </w:tabs>
        <w:spacing w:line="240" w:lineRule="auto"/>
        <w:jc w:val="both"/>
        <w:rPr>
          <w:rFonts w:ascii="Times New Roman" w:hAnsi="Times New Roman" w:cs="Times New Roman"/>
          <w:sz w:val="20"/>
          <w:szCs w:val="20"/>
        </w:rPr>
      </w:pPr>
      <w:r>
        <w:rPr>
          <w:rStyle w:val="Refdenotaalpie"/>
        </w:rPr>
        <w:footnoteRef/>
      </w:r>
      <w:r>
        <w:t xml:space="preserve"> </w:t>
      </w:r>
      <w:r w:rsidRPr="00C82970">
        <w:rPr>
          <w:rFonts w:ascii="Times New Roman" w:hAnsi="Times New Roman" w:cs="Times New Roman"/>
          <w:sz w:val="20"/>
          <w:szCs w:val="20"/>
        </w:rPr>
        <w:t>Assim, OLIVEIRA, Guilherme, Caducidade das Ações de Investigação, revista LexFamiliae, n.º 1, 2004, pp. 57; MOREIRA, Sónia, Direito à Identidade Genética versus Direito à Reserva Sobre a Vida Privada no Direito Português, Revista do CEJ, 1.º Semestre 2018 – Num. 1, pp. 197-213, 206.</w:t>
      </w:r>
    </w:p>
  </w:footnote>
  <w:footnote w:id="66">
    <w:p w14:paraId="14256410" w14:textId="076F0C84" w:rsidR="007E3E0A" w:rsidRPr="00C82970" w:rsidRDefault="007E3E0A" w:rsidP="00AD3151">
      <w:pPr>
        <w:spacing w:line="240" w:lineRule="auto"/>
        <w:jc w:val="both"/>
        <w:rPr>
          <w:rFonts w:ascii="Times New Roman" w:hAnsi="Times New Roman" w:cs="Times New Roman"/>
          <w:sz w:val="20"/>
          <w:szCs w:val="20"/>
        </w:rPr>
      </w:pPr>
      <w:r w:rsidRPr="00C82970">
        <w:rPr>
          <w:rStyle w:val="Refdenotaalpie"/>
          <w:rFonts w:ascii="Times New Roman" w:hAnsi="Times New Roman" w:cs="Times New Roman"/>
          <w:sz w:val="20"/>
          <w:szCs w:val="20"/>
        </w:rPr>
        <w:footnoteRef/>
      </w:r>
      <w:r w:rsidRPr="00C82970">
        <w:rPr>
          <w:rFonts w:ascii="Times New Roman" w:hAnsi="Times New Roman" w:cs="Times New Roman"/>
          <w:sz w:val="20"/>
          <w:szCs w:val="20"/>
        </w:rPr>
        <w:t xml:space="preserve"> </w:t>
      </w:r>
      <w:r w:rsidR="00BA6AB7" w:rsidRPr="00C82970">
        <w:rPr>
          <w:rFonts w:ascii="Times New Roman" w:hAnsi="Times New Roman" w:cs="Times New Roman"/>
          <w:sz w:val="20"/>
          <w:szCs w:val="20"/>
        </w:rPr>
        <w:t>PINHEIRO, Jorge Duarte, “Inconstitucionalidade do artigo 1817.º, n.º 1 do Código Civil – Ac. do TC n.º 23/2006, de 10.01.2006, Proc. 885/05”, in Cadernos de Direito Privado, n.º 15, p. 48.</w:t>
      </w:r>
    </w:p>
  </w:footnote>
  <w:footnote w:id="67">
    <w:p w14:paraId="4109318E" w14:textId="0E3659ED" w:rsidR="00C82970" w:rsidRPr="00A60454" w:rsidRDefault="00C82970" w:rsidP="00A60454">
      <w:pPr>
        <w:pStyle w:val="Textonotapie"/>
        <w:jc w:val="both"/>
        <w:rPr>
          <w:rFonts w:ascii="Times New Roman" w:hAnsi="Times New Roman" w:cs="Times New Roman"/>
        </w:rPr>
      </w:pPr>
      <w:r w:rsidRPr="00A60454">
        <w:rPr>
          <w:rStyle w:val="Refdenotaalpie"/>
          <w:rFonts w:ascii="Times New Roman" w:hAnsi="Times New Roman" w:cs="Times New Roman"/>
        </w:rPr>
        <w:footnoteRef/>
      </w:r>
      <w:r w:rsidRPr="00A60454">
        <w:rPr>
          <w:rFonts w:ascii="Times New Roman" w:hAnsi="Times New Roman" w:cs="Times New Roman"/>
        </w:rPr>
        <w:t xml:space="preserve"> Aparentemente, em sentido convergente, entendendo que “[…] mesmo no puro plano patrimonial […] não se vê porque é que merecem melhor tutela os interesses “defensivos”, de proteção de </w:t>
      </w:r>
      <w:r w:rsidR="00CF3F3C" w:rsidRPr="00A60454">
        <w:rPr>
          <w:rFonts w:ascii="Times New Roman" w:hAnsi="Times New Roman" w:cs="Times New Roman"/>
        </w:rPr>
        <w:t xml:space="preserve">uma </w:t>
      </w:r>
      <w:r w:rsidRPr="00A60454">
        <w:rPr>
          <w:rFonts w:ascii="Times New Roman" w:hAnsi="Times New Roman" w:cs="Times New Roman"/>
        </w:rPr>
        <w:t>herança</w:t>
      </w:r>
      <w:r w:rsidR="00CF3F3C" w:rsidRPr="00A60454">
        <w:rPr>
          <w:rFonts w:ascii="Times New Roman" w:hAnsi="Times New Roman" w:cs="Times New Roman"/>
        </w:rPr>
        <w:t xml:space="preserve"> expectável ou, mesmo já adquirida, por parte dos herdeiros já estabelecidos, do que uma fundada pretensão aquisitiva de um título de chamamento que conferirá idêntico direito.”, </w:t>
      </w:r>
      <w:bookmarkStart w:id="6" w:name="_Hlk95201295"/>
      <w:r w:rsidR="00CF3F3C" w:rsidRPr="00A60454">
        <w:rPr>
          <w:rFonts w:ascii="Times New Roman" w:hAnsi="Times New Roman" w:cs="Times New Roman"/>
        </w:rPr>
        <w:t>RIBEIRO, Joaquim de Sousa, “A Inconstitucionalidade da limitação temporal ao exercício do direito de investigação da paternidade de paternidade”, in RLJ; ANO 147, Março-Abril de 2018, pp. 214-238</w:t>
      </w:r>
      <w:bookmarkEnd w:id="6"/>
      <w:r w:rsidR="00CF3F3C" w:rsidRPr="00A60454">
        <w:rPr>
          <w:rFonts w:ascii="Times New Roman" w:hAnsi="Times New Roman" w:cs="Times New Roman"/>
        </w:rPr>
        <w:t>, 222.</w:t>
      </w:r>
      <w:r w:rsidRPr="00A60454">
        <w:rPr>
          <w:rFonts w:ascii="Times New Roman" w:hAnsi="Times New Roman" w:cs="Times New Roman"/>
        </w:rPr>
        <w:t xml:space="preserve"> </w:t>
      </w:r>
    </w:p>
  </w:footnote>
  <w:footnote w:id="68">
    <w:p w14:paraId="4253BDC1" w14:textId="4FE75C15" w:rsidR="004D040B" w:rsidRPr="00A60454" w:rsidRDefault="004D040B" w:rsidP="00A60454">
      <w:pPr>
        <w:pStyle w:val="Textonotapie"/>
        <w:jc w:val="both"/>
        <w:rPr>
          <w:rFonts w:ascii="Times New Roman" w:hAnsi="Times New Roman" w:cs="Times New Roman"/>
        </w:rPr>
      </w:pPr>
      <w:r w:rsidRPr="00A60454">
        <w:rPr>
          <w:rStyle w:val="Refdenotaalpie"/>
          <w:rFonts w:ascii="Times New Roman" w:hAnsi="Times New Roman" w:cs="Times New Roman"/>
        </w:rPr>
        <w:footnoteRef/>
      </w:r>
      <w:r w:rsidRPr="00A60454">
        <w:rPr>
          <w:rFonts w:ascii="Times New Roman" w:hAnsi="Times New Roman" w:cs="Times New Roman"/>
        </w:rPr>
        <w:t xml:space="preserve"> Como sucedeu no caso relativo à queixa n.º </w:t>
      </w:r>
      <w:r w:rsidR="00E96726" w:rsidRPr="00A60454">
        <w:rPr>
          <w:rFonts w:ascii="Times New Roman" w:hAnsi="Times New Roman" w:cs="Times New Roman"/>
        </w:rPr>
        <w:t>72105/14, objeto do Acórdão Silva e Mondim Correia c. Portugal, supra citado.</w:t>
      </w:r>
    </w:p>
  </w:footnote>
  <w:footnote w:id="69">
    <w:p w14:paraId="1E27CD21" w14:textId="3E7D6F81" w:rsidR="007A5E59" w:rsidRDefault="007A5E59" w:rsidP="00A60454">
      <w:pPr>
        <w:pStyle w:val="Textonotapie"/>
        <w:jc w:val="both"/>
      </w:pPr>
      <w:r w:rsidRPr="00A60454">
        <w:rPr>
          <w:rStyle w:val="Refdenotaalpie"/>
          <w:rFonts w:ascii="Times New Roman" w:hAnsi="Times New Roman" w:cs="Times New Roman"/>
        </w:rPr>
        <w:footnoteRef/>
      </w:r>
      <w:r w:rsidRPr="00A60454">
        <w:rPr>
          <w:rFonts w:ascii="Times New Roman" w:hAnsi="Times New Roman" w:cs="Times New Roman"/>
        </w:rPr>
        <w:t xml:space="preserve"> </w:t>
      </w:r>
      <w:r w:rsidR="00A60454" w:rsidRPr="00A60454">
        <w:rPr>
          <w:rFonts w:ascii="Times New Roman" w:hAnsi="Times New Roman" w:cs="Times New Roman"/>
        </w:rPr>
        <w:t>Por isso, entende AMARAL, Graça, que “[a] razoabilidade da limitação temporal, assentando num princípio de proporcionalidade de direitos e interesses conflituantes, encarada sobre o prisma do investigante, faz desmerecer a natureza do seu direito e põe em causa o equilíbrio que pretende instituir, pois coloca em patamar equivalente interesses/valores que, sem poderem ser desprezados, não poderão ser equacionados e tutelados de igual forma. Conscientes de que qualquer limitação temporal neste âmbito, ainda que se considere de prazo razoável, constitui uma compressão da revelação da verdade biológica.”</w:t>
      </w:r>
      <w:r w:rsidR="00A60454">
        <w:rPr>
          <w:rFonts w:ascii="Times New Roman" w:hAnsi="Times New Roman" w:cs="Times New Roman"/>
        </w:rPr>
        <w:t>, O Direito (Fundamental</w:t>
      </w:r>
      <w:r w:rsidR="00EA3F03">
        <w:rPr>
          <w:rFonts w:ascii="Times New Roman" w:hAnsi="Times New Roman" w:cs="Times New Roman"/>
        </w:rPr>
        <w:t>?) ao (Re)conhecimento da paternidade: o tempo na ação de investigação da paternidade”,</w:t>
      </w:r>
      <w:r w:rsidR="00A60454">
        <w:rPr>
          <w:rFonts w:ascii="Times New Roman" w:hAnsi="Times New Roman" w:cs="Times New Roman"/>
        </w:rPr>
        <w:t xml:space="preserve"> In revista</w:t>
      </w:r>
      <w:r w:rsidR="00EA3F03">
        <w:rPr>
          <w:rFonts w:ascii="Times New Roman" w:hAnsi="Times New Roman" w:cs="Times New Roman"/>
        </w:rPr>
        <w:t xml:space="preserve"> do Cej, 1.º semestre 2016, número 1, 133-175, 173.</w:t>
      </w:r>
      <w:r w:rsidR="00A60454">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B0E71"/>
    <w:multiLevelType w:val="hybridMultilevel"/>
    <w:tmpl w:val="E57EBCE6"/>
    <w:lvl w:ilvl="0" w:tplc="0032DEB8">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6EB055A"/>
    <w:multiLevelType w:val="hybridMultilevel"/>
    <w:tmpl w:val="5D3AF7B4"/>
    <w:lvl w:ilvl="0" w:tplc="E7A65C40">
      <w:start w:val="2"/>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5C0A30A5"/>
    <w:multiLevelType w:val="hybridMultilevel"/>
    <w:tmpl w:val="82128FC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63050E0E"/>
    <w:multiLevelType w:val="hybridMultilevel"/>
    <w:tmpl w:val="A28EC7C2"/>
    <w:lvl w:ilvl="0" w:tplc="4352F9CC">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14A"/>
    <w:rsid w:val="0000589F"/>
    <w:rsid w:val="000123E8"/>
    <w:rsid w:val="00013B30"/>
    <w:rsid w:val="00014592"/>
    <w:rsid w:val="00014F01"/>
    <w:rsid w:val="00016FAF"/>
    <w:rsid w:val="000172CC"/>
    <w:rsid w:val="00017DFF"/>
    <w:rsid w:val="00020753"/>
    <w:rsid w:val="00027DF6"/>
    <w:rsid w:val="0003035B"/>
    <w:rsid w:val="000305BB"/>
    <w:rsid w:val="00031003"/>
    <w:rsid w:val="00032FF0"/>
    <w:rsid w:val="0004099B"/>
    <w:rsid w:val="0004504F"/>
    <w:rsid w:val="00053F92"/>
    <w:rsid w:val="0006572E"/>
    <w:rsid w:val="00067928"/>
    <w:rsid w:val="00094D76"/>
    <w:rsid w:val="00095191"/>
    <w:rsid w:val="00095243"/>
    <w:rsid w:val="00097301"/>
    <w:rsid w:val="00097D1E"/>
    <w:rsid w:val="000A1D06"/>
    <w:rsid w:val="000A549B"/>
    <w:rsid w:val="000B171D"/>
    <w:rsid w:val="000B488C"/>
    <w:rsid w:val="000C11AC"/>
    <w:rsid w:val="000D19EA"/>
    <w:rsid w:val="000D52A0"/>
    <w:rsid w:val="000D77D6"/>
    <w:rsid w:val="000E41B7"/>
    <w:rsid w:val="00100481"/>
    <w:rsid w:val="00102BB9"/>
    <w:rsid w:val="00110D25"/>
    <w:rsid w:val="0011732A"/>
    <w:rsid w:val="0013212C"/>
    <w:rsid w:val="00142B25"/>
    <w:rsid w:val="00155471"/>
    <w:rsid w:val="00155F8D"/>
    <w:rsid w:val="00176F72"/>
    <w:rsid w:val="00182129"/>
    <w:rsid w:val="00193660"/>
    <w:rsid w:val="0019604B"/>
    <w:rsid w:val="0019610C"/>
    <w:rsid w:val="001A0AC9"/>
    <w:rsid w:val="001A7F52"/>
    <w:rsid w:val="001B6DAA"/>
    <w:rsid w:val="001E3598"/>
    <w:rsid w:val="001F1F89"/>
    <w:rsid w:val="001F2141"/>
    <w:rsid w:val="001F33F4"/>
    <w:rsid w:val="001F3D86"/>
    <w:rsid w:val="001F4BFF"/>
    <w:rsid w:val="001F5866"/>
    <w:rsid w:val="001F6266"/>
    <w:rsid w:val="0020312C"/>
    <w:rsid w:val="00204BD5"/>
    <w:rsid w:val="00214266"/>
    <w:rsid w:val="00233C52"/>
    <w:rsid w:val="00237BDD"/>
    <w:rsid w:val="002476B2"/>
    <w:rsid w:val="002506A9"/>
    <w:rsid w:val="0025661F"/>
    <w:rsid w:val="00257BF0"/>
    <w:rsid w:val="002606BB"/>
    <w:rsid w:val="00260C8D"/>
    <w:rsid w:val="00261436"/>
    <w:rsid w:val="00263015"/>
    <w:rsid w:val="0027303C"/>
    <w:rsid w:val="00283B38"/>
    <w:rsid w:val="002879B8"/>
    <w:rsid w:val="002A3144"/>
    <w:rsid w:val="002B2ACD"/>
    <w:rsid w:val="002C0DE1"/>
    <w:rsid w:val="002C2CE0"/>
    <w:rsid w:val="002C4D9B"/>
    <w:rsid w:val="002D0796"/>
    <w:rsid w:val="002D6337"/>
    <w:rsid w:val="002E3ADB"/>
    <w:rsid w:val="002F07B2"/>
    <w:rsid w:val="002F3785"/>
    <w:rsid w:val="0030198B"/>
    <w:rsid w:val="00303CD5"/>
    <w:rsid w:val="00304259"/>
    <w:rsid w:val="00305E53"/>
    <w:rsid w:val="003129B5"/>
    <w:rsid w:val="003176A3"/>
    <w:rsid w:val="00333FCC"/>
    <w:rsid w:val="00335579"/>
    <w:rsid w:val="00341432"/>
    <w:rsid w:val="0034167F"/>
    <w:rsid w:val="00341DD5"/>
    <w:rsid w:val="00345BF6"/>
    <w:rsid w:val="0035158A"/>
    <w:rsid w:val="0035242D"/>
    <w:rsid w:val="00356EE8"/>
    <w:rsid w:val="00361132"/>
    <w:rsid w:val="0038740A"/>
    <w:rsid w:val="00387EDA"/>
    <w:rsid w:val="003A309C"/>
    <w:rsid w:val="003A6153"/>
    <w:rsid w:val="003B2A26"/>
    <w:rsid w:val="003B6665"/>
    <w:rsid w:val="003C4C62"/>
    <w:rsid w:val="003C50D3"/>
    <w:rsid w:val="003C6362"/>
    <w:rsid w:val="003D7D38"/>
    <w:rsid w:val="003E44FD"/>
    <w:rsid w:val="003F2805"/>
    <w:rsid w:val="00402CC6"/>
    <w:rsid w:val="004037C3"/>
    <w:rsid w:val="00404603"/>
    <w:rsid w:val="00412114"/>
    <w:rsid w:val="004137F1"/>
    <w:rsid w:val="00422E47"/>
    <w:rsid w:val="00431543"/>
    <w:rsid w:val="00461CE1"/>
    <w:rsid w:val="00462F53"/>
    <w:rsid w:val="00463C9F"/>
    <w:rsid w:val="00466DB5"/>
    <w:rsid w:val="004761E3"/>
    <w:rsid w:val="00485131"/>
    <w:rsid w:val="00485C3B"/>
    <w:rsid w:val="00486CA8"/>
    <w:rsid w:val="004A6017"/>
    <w:rsid w:val="004B6646"/>
    <w:rsid w:val="004B79FD"/>
    <w:rsid w:val="004C26FD"/>
    <w:rsid w:val="004C34BD"/>
    <w:rsid w:val="004D040B"/>
    <w:rsid w:val="004D1CCD"/>
    <w:rsid w:val="004D5510"/>
    <w:rsid w:val="004E02F3"/>
    <w:rsid w:val="004E770B"/>
    <w:rsid w:val="004F239F"/>
    <w:rsid w:val="004F33E8"/>
    <w:rsid w:val="005010DE"/>
    <w:rsid w:val="00504234"/>
    <w:rsid w:val="00505344"/>
    <w:rsid w:val="00512A62"/>
    <w:rsid w:val="005132A1"/>
    <w:rsid w:val="00522ECC"/>
    <w:rsid w:val="0052460E"/>
    <w:rsid w:val="00543D24"/>
    <w:rsid w:val="00545D0D"/>
    <w:rsid w:val="0055277D"/>
    <w:rsid w:val="00557EE0"/>
    <w:rsid w:val="005615BE"/>
    <w:rsid w:val="0057414A"/>
    <w:rsid w:val="00581720"/>
    <w:rsid w:val="00585954"/>
    <w:rsid w:val="00586441"/>
    <w:rsid w:val="005C4D14"/>
    <w:rsid w:val="005D64A1"/>
    <w:rsid w:val="005E2156"/>
    <w:rsid w:val="005E2CD3"/>
    <w:rsid w:val="005E6A63"/>
    <w:rsid w:val="00601A72"/>
    <w:rsid w:val="00612F07"/>
    <w:rsid w:val="0061659D"/>
    <w:rsid w:val="0062519C"/>
    <w:rsid w:val="006257EA"/>
    <w:rsid w:val="00637900"/>
    <w:rsid w:val="00641648"/>
    <w:rsid w:val="006565D5"/>
    <w:rsid w:val="00681F2E"/>
    <w:rsid w:val="00682DAC"/>
    <w:rsid w:val="00683A95"/>
    <w:rsid w:val="006902DA"/>
    <w:rsid w:val="00691A49"/>
    <w:rsid w:val="00693B63"/>
    <w:rsid w:val="006A4E01"/>
    <w:rsid w:val="006A5D76"/>
    <w:rsid w:val="006B5D62"/>
    <w:rsid w:val="006C39A9"/>
    <w:rsid w:val="006E222C"/>
    <w:rsid w:val="00700DBD"/>
    <w:rsid w:val="00701104"/>
    <w:rsid w:val="00737A0E"/>
    <w:rsid w:val="00753DE8"/>
    <w:rsid w:val="007755FA"/>
    <w:rsid w:val="00786E2B"/>
    <w:rsid w:val="007A0FAF"/>
    <w:rsid w:val="007A5E59"/>
    <w:rsid w:val="007A797C"/>
    <w:rsid w:val="007B0E46"/>
    <w:rsid w:val="007B553D"/>
    <w:rsid w:val="007C642C"/>
    <w:rsid w:val="007D54F1"/>
    <w:rsid w:val="007D5A83"/>
    <w:rsid w:val="007E3E0A"/>
    <w:rsid w:val="007F2569"/>
    <w:rsid w:val="007F730E"/>
    <w:rsid w:val="008012EA"/>
    <w:rsid w:val="008068EB"/>
    <w:rsid w:val="0081055A"/>
    <w:rsid w:val="00821164"/>
    <w:rsid w:val="0082480C"/>
    <w:rsid w:val="00834A4F"/>
    <w:rsid w:val="008358FB"/>
    <w:rsid w:val="00844277"/>
    <w:rsid w:val="00844F15"/>
    <w:rsid w:val="00861536"/>
    <w:rsid w:val="00866D55"/>
    <w:rsid w:val="00871CFC"/>
    <w:rsid w:val="00883BE0"/>
    <w:rsid w:val="00892A79"/>
    <w:rsid w:val="008A28C4"/>
    <w:rsid w:val="008B0A1A"/>
    <w:rsid w:val="008B5B26"/>
    <w:rsid w:val="008B658F"/>
    <w:rsid w:val="008C1415"/>
    <w:rsid w:val="008D1729"/>
    <w:rsid w:val="008D7228"/>
    <w:rsid w:val="008E19F7"/>
    <w:rsid w:val="008E21C1"/>
    <w:rsid w:val="008E6958"/>
    <w:rsid w:val="008F0D68"/>
    <w:rsid w:val="008F2159"/>
    <w:rsid w:val="008F5F63"/>
    <w:rsid w:val="00900001"/>
    <w:rsid w:val="00926F02"/>
    <w:rsid w:val="00935A2E"/>
    <w:rsid w:val="009368F5"/>
    <w:rsid w:val="00945EE4"/>
    <w:rsid w:val="00947AA5"/>
    <w:rsid w:val="00953FC7"/>
    <w:rsid w:val="00955CC5"/>
    <w:rsid w:val="00963500"/>
    <w:rsid w:val="00963875"/>
    <w:rsid w:val="00967C4B"/>
    <w:rsid w:val="00974D11"/>
    <w:rsid w:val="00975E47"/>
    <w:rsid w:val="00982C0A"/>
    <w:rsid w:val="0098595C"/>
    <w:rsid w:val="009B0AE4"/>
    <w:rsid w:val="009B4819"/>
    <w:rsid w:val="009E053C"/>
    <w:rsid w:val="009E55E7"/>
    <w:rsid w:val="009F05F7"/>
    <w:rsid w:val="009F4553"/>
    <w:rsid w:val="009F59D8"/>
    <w:rsid w:val="00A03AC6"/>
    <w:rsid w:val="00A046F5"/>
    <w:rsid w:val="00A1521E"/>
    <w:rsid w:val="00A20CF4"/>
    <w:rsid w:val="00A213B0"/>
    <w:rsid w:val="00A31CD4"/>
    <w:rsid w:val="00A32916"/>
    <w:rsid w:val="00A40B63"/>
    <w:rsid w:val="00A50611"/>
    <w:rsid w:val="00A518A8"/>
    <w:rsid w:val="00A5395D"/>
    <w:rsid w:val="00A60454"/>
    <w:rsid w:val="00A668BB"/>
    <w:rsid w:val="00A75331"/>
    <w:rsid w:val="00A77D4D"/>
    <w:rsid w:val="00A80F53"/>
    <w:rsid w:val="00A947C3"/>
    <w:rsid w:val="00AA254B"/>
    <w:rsid w:val="00AB210B"/>
    <w:rsid w:val="00AB2723"/>
    <w:rsid w:val="00AB3DFC"/>
    <w:rsid w:val="00AD1D64"/>
    <w:rsid w:val="00AD3151"/>
    <w:rsid w:val="00AF003D"/>
    <w:rsid w:val="00B07BD3"/>
    <w:rsid w:val="00B15FF2"/>
    <w:rsid w:val="00B31F90"/>
    <w:rsid w:val="00B352F2"/>
    <w:rsid w:val="00B47C69"/>
    <w:rsid w:val="00B62DC4"/>
    <w:rsid w:val="00B63E9F"/>
    <w:rsid w:val="00B65E8D"/>
    <w:rsid w:val="00B71672"/>
    <w:rsid w:val="00B950C4"/>
    <w:rsid w:val="00B95607"/>
    <w:rsid w:val="00B9590E"/>
    <w:rsid w:val="00BA6AB7"/>
    <w:rsid w:val="00BB1B65"/>
    <w:rsid w:val="00BC5E49"/>
    <w:rsid w:val="00BC5F08"/>
    <w:rsid w:val="00BD23BC"/>
    <w:rsid w:val="00BD2CA0"/>
    <w:rsid w:val="00BD4A3B"/>
    <w:rsid w:val="00BF6820"/>
    <w:rsid w:val="00C0046F"/>
    <w:rsid w:val="00C02148"/>
    <w:rsid w:val="00C07D7E"/>
    <w:rsid w:val="00C11FFE"/>
    <w:rsid w:val="00C12330"/>
    <w:rsid w:val="00C1745D"/>
    <w:rsid w:val="00C2636C"/>
    <w:rsid w:val="00C404C9"/>
    <w:rsid w:val="00C5194C"/>
    <w:rsid w:val="00C54D96"/>
    <w:rsid w:val="00C76708"/>
    <w:rsid w:val="00C82970"/>
    <w:rsid w:val="00C82FA4"/>
    <w:rsid w:val="00C855EC"/>
    <w:rsid w:val="00C943F2"/>
    <w:rsid w:val="00C95872"/>
    <w:rsid w:val="00C96B40"/>
    <w:rsid w:val="00C9730E"/>
    <w:rsid w:val="00CA12E1"/>
    <w:rsid w:val="00CA25A1"/>
    <w:rsid w:val="00CA607B"/>
    <w:rsid w:val="00CB087B"/>
    <w:rsid w:val="00CB0A5B"/>
    <w:rsid w:val="00CB0BAF"/>
    <w:rsid w:val="00CB3A79"/>
    <w:rsid w:val="00CB6AE6"/>
    <w:rsid w:val="00CE585D"/>
    <w:rsid w:val="00CE5AFA"/>
    <w:rsid w:val="00CF3F3C"/>
    <w:rsid w:val="00CF7A75"/>
    <w:rsid w:val="00D00812"/>
    <w:rsid w:val="00D018C7"/>
    <w:rsid w:val="00D020B4"/>
    <w:rsid w:val="00D150AE"/>
    <w:rsid w:val="00D153E1"/>
    <w:rsid w:val="00D33E44"/>
    <w:rsid w:val="00D37675"/>
    <w:rsid w:val="00D4682F"/>
    <w:rsid w:val="00D55DE1"/>
    <w:rsid w:val="00D6505B"/>
    <w:rsid w:val="00D81E99"/>
    <w:rsid w:val="00D8484B"/>
    <w:rsid w:val="00D93D56"/>
    <w:rsid w:val="00D94AD6"/>
    <w:rsid w:val="00DB4EA6"/>
    <w:rsid w:val="00DD1B5E"/>
    <w:rsid w:val="00DD4851"/>
    <w:rsid w:val="00DE2417"/>
    <w:rsid w:val="00DF371E"/>
    <w:rsid w:val="00E0002B"/>
    <w:rsid w:val="00E00B8F"/>
    <w:rsid w:val="00E03D6C"/>
    <w:rsid w:val="00E07B01"/>
    <w:rsid w:val="00E203CF"/>
    <w:rsid w:val="00E30DD4"/>
    <w:rsid w:val="00E31C69"/>
    <w:rsid w:val="00E36883"/>
    <w:rsid w:val="00E36934"/>
    <w:rsid w:val="00E37A1B"/>
    <w:rsid w:val="00E84B24"/>
    <w:rsid w:val="00E85DD3"/>
    <w:rsid w:val="00E86936"/>
    <w:rsid w:val="00E96726"/>
    <w:rsid w:val="00E96B6C"/>
    <w:rsid w:val="00EA3F03"/>
    <w:rsid w:val="00EB1926"/>
    <w:rsid w:val="00EF7755"/>
    <w:rsid w:val="00F003DF"/>
    <w:rsid w:val="00F076C8"/>
    <w:rsid w:val="00F111A2"/>
    <w:rsid w:val="00F11DCE"/>
    <w:rsid w:val="00F128B4"/>
    <w:rsid w:val="00F175AC"/>
    <w:rsid w:val="00F34081"/>
    <w:rsid w:val="00F37490"/>
    <w:rsid w:val="00F40395"/>
    <w:rsid w:val="00F41763"/>
    <w:rsid w:val="00F44941"/>
    <w:rsid w:val="00F50B3B"/>
    <w:rsid w:val="00F63946"/>
    <w:rsid w:val="00F67C4A"/>
    <w:rsid w:val="00F71916"/>
    <w:rsid w:val="00F733FC"/>
    <w:rsid w:val="00F76015"/>
    <w:rsid w:val="00F76060"/>
    <w:rsid w:val="00F82737"/>
    <w:rsid w:val="00F856EF"/>
    <w:rsid w:val="00F87BC2"/>
    <w:rsid w:val="00FB6A42"/>
    <w:rsid w:val="00FE2EFE"/>
    <w:rsid w:val="00FF3A1A"/>
    <w:rsid w:val="00FF68B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04BA"/>
  <w15:chartTrackingRefBased/>
  <w15:docId w15:val="{8B735BF9-293F-4517-A448-EF448CE4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1543"/>
    <w:rPr>
      <w:color w:val="0000FF"/>
      <w:u w:val="single"/>
    </w:rPr>
  </w:style>
  <w:style w:type="paragraph" w:styleId="Prrafodelista">
    <w:name w:val="List Paragraph"/>
    <w:basedOn w:val="Normal"/>
    <w:uiPriority w:val="34"/>
    <w:qFormat/>
    <w:rsid w:val="00A32916"/>
    <w:pPr>
      <w:ind w:left="720"/>
      <w:contextualSpacing/>
    </w:pPr>
  </w:style>
  <w:style w:type="paragraph" w:styleId="Textonotapie">
    <w:name w:val="footnote text"/>
    <w:basedOn w:val="Normal"/>
    <w:link w:val="TextonotapieCar"/>
    <w:uiPriority w:val="99"/>
    <w:unhideWhenUsed/>
    <w:rsid w:val="003B6665"/>
    <w:pPr>
      <w:spacing w:after="0" w:line="240" w:lineRule="auto"/>
    </w:pPr>
    <w:rPr>
      <w:sz w:val="20"/>
      <w:szCs w:val="20"/>
    </w:rPr>
  </w:style>
  <w:style w:type="character" w:customStyle="1" w:styleId="TextonotapieCar">
    <w:name w:val="Texto nota pie Car"/>
    <w:basedOn w:val="Fuentedeprrafopredeter"/>
    <w:link w:val="Textonotapie"/>
    <w:uiPriority w:val="99"/>
    <w:rsid w:val="003B6665"/>
    <w:rPr>
      <w:sz w:val="20"/>
      <w:szCs w:val="20"/>
    </w:rPr>
  </w:style>
  <w:style w:type="character" w:styleId="Refdenotaalpie">
    <w:name w:val="footnote reference"/>
    <w:basedOn w:val="Fuentedeprrafopredeter"/>
    <w:uiPriority w:val="99"/>
    <w:semiHidden/>
    <w:unhideWhenUsed/>
    <w:rsid w:val="003B6665"/>
    <w:rPr>
      <w:vertAlign w:val="superscript"/>
    </w:rPr>
  </w:style>
  <w:style w:type="paragraph" w:customStyle="1" w:styleId="atranscrio">
    <w:name w:val="atranscrio"/>
    <w:basedOn w:val="Normal"/>
    <w:rsid w:val="0098595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UnresolvedMention">
    <w:name w:val="Unresolved Mention"/>
    <w:basedOn w:val="Fuentedeprrafopredeter"/>
    <w:uiPriority w:val="99"/>
    <w:semiHidden/>
    <w:unhideWhenUsed/>
    <w:rsid w:val="00DB4EA6"/>
    <w:rPr>
      <w:color w:val="605E5C"/>
      <w:shd w:val="clear" w:color="auto" w:fill="E1DFDD"/>
    </w:rPr>
  </w:style>
  <w:style w:type="paragraph" w:styleId="NormalWeb">
    <w:name w:val="Normal (Web)"/>
    <w:basedOn w:val="Normal"/>
    <w:uiPriority w:val="99"/>
    <w:unhideWhenUsed/>
    <w:rsid w:val="006902DA"/>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Encabezado">
    <w:name w:val="header"/>
    <w:basedOn w:val="Normal"/>
    <w:link w:val="EncabezadoCar"/>
    <w:uiPriority w:val="99"/>
    <w:unhideWhenUsed/>
    <w:rsid w:val="00BD2CA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2CA0"/>
  </w:style>
  <w:style w:type="paragraph" w:styleId="Piedepgina">
    <w:name w:val="footer"/>
    <w:basedOn w:val="Normal"/>
    <w:link w:val="PiedepginaCar"/>
    <w:uiPriority w:val="99"/>
    <w:unhideWhenUsed/>
    <w:rsid w:val="00BD2C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2CA0"/>
  </w:style>
  <w:style w:type="character" w:styleId="nfasis">
    <w:name w:val="Emphasis"/>
    <w:basedOn w:val="Fuentedeprrafopredeter"/>
    <w:uiPriority w:val="20"/>
    <w:qFormat/>
    <w:rsid w:val="00214266"/>
    <w:rPr>
      <w:i/>
      <w:iCs/>
    </w:rPr>
  </w:style>
  <w:style w:type="character" w:customStyle="1" w:styleId="links1">
    <w:name w:val="links1"/>
    <w:basedOn w:val="Fuentedeprrafopredeter"/>
    <w:rsid w:val="00214266"/>
  </w:style>
  <w:style w:type="character" w:styleId="Textoennegrita">
    <w:name w:val="Strong"/>
    <w:basedOn w:val="Fuentedeprrafopredeter"/>
    <w:uiPriority w:val="22"/>
    <w:qFormat/>
    <w:rsid w:val="00303CD5"/>
    <w:rPr>
      <w:b/>
      <w:bCs/>
    </w:rPr>
  </w:style>
  <w:style w:type="paragraph" w:customStyle="1" w:styleId="s30eec3f8">
    <w:name w:val="s30eec3f8"/>
    <w:basedOn w:val="Normal"/>
    <w:rsid w:val="0063790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sb8d990e2">
    <w:name w:val="sb8d990e2"/>
    <w:basedOn w:val="Fuentedeprrafopredeter"/>
    <w:rsid w:val="00637900"/>
  </w:style>
  <w:style w:type="character" w:customStyle="1" w:styleId="s6b621b36">
    <w:name w:val="s6b621b36"/>
    <w:basedOn w:val="Fuentedeprrafopredeter"/>
    <w:rsid w:val="00637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42781">
      <w:bodyDiv w:val="1"/>
      <w:marLeft w:val="0"/>
      <w:marRight w:val="0"/>
      <w:marTop w:val="0"/>
      <w:marBottom w:val="0"/>
      <w:divBdr>
        <w:top w:val="none" w:sz="0" w:space="0" w:color="auto"/>
        <w:left w:val="none" w:sz="0" w:space="0" w:color="auto"/>
        <w:bottom w:val="none" w:sz="0" w:space="0" w:color="auto"/>
        <w:right w:val="none" w:sz="0" w:space="0" w:color="auto"/>
      </w:divBdr>
    </w:div>
    <w:div w:id="714164595">
      <w:bodyDiv w:val="1"/>
      <w:marLeft w:val="0"/>
      <w:marRight w:val="0"/>
      <w:marTop w:val="0"/>
      <w:marBottom w:val="0"/>
      <w:divBdr>
        <w:top w:val="none" w:sz="0" w:space="0" w:color="auto"/>
        <w:left w:val="none" w:sz="0" w:space="0" w:color="auto"/>
        <w:bottom w:val="none" w:sz="0" w:space="0" w:color="auto"/>
        <w:right w:val="none" w:sz="0" w:space="0" w:color="auto"/>
      </w:divBdr>
    </w:div>
    <w:div w:id="1104155626">
      <w:bodyDiv w:val="1"/>
      <w:marLeft w:val="0"/>
      <w:marRight w:val="0"/>
      <w:marTop w:val="0"/>
      <w:marBottom w:val="0"/>
      <w:divBdr>
        <w:top w:val="none" w:sz="0" w:space="0" w:color="auto"/>
        <w:left w:val="none" w:sz="0" w:space="0" w:color="auto"/>
        <w:bottom w:val="none" w:sz="0" w:space="0" w:color="auto"/>
        <w:right w:val="none" w:sz="0" w:space="0" w:color="auto"/>
      </w:divBdr>
    </w:div>
    <w:div w:id="1139147455">
      <w:bodyDiv w:val="1"/>
      <w:marLeft w:val="0"/>
      <w:marRight w:val="0"/>
      <w:marTop w:val="0"/>
      <w:marBottom w:val="0"/>
      <w:divBdr>
        <w:top w:val="none" w:sz="0" w:space="0" w:color="auto"/>
        <w:left w:val="none" w:sz="0" w:space="0" w:color="auto"/>
        <w:bottom w:val="none" w:sz="0" w:space="0" w:color="auto"/>
        <w:right w:val="none" w:sz="0" w:space="0" w:color="auto"/>
      </w:divBdr>
    </w:div>
    <w:div w:id="1155343838">
      <w:bodyDiv w:val="1"/>
      <w:marLeft w:val="0"/>
      <w:marRight w:val="0"/>
      <w:marTop w:val="0"/>
      <w:marBottom w:val="0"/>
      <w:divBdr>
        <w:top w:val="none" w:sz="0" w:space="0" w:color="auto"/>
        <w:left w:val="none" w:sz="0" w:space="0" w:color="auto"/>
        <w:bottom w:val="none" w:sz="0" w:space="0" w:color="auto"/>
        <w:right w:val="none" w:sz="0" w:space="0" w:color="auto"/>
      </w:divBdr>
    </w:div>
    <w:div w:id="144391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bunalconstitucional.pt/tc/acordaos/20190394.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hudoc.echr.coe.int/eng?i=001-177229" TargetMode="External"/><Relationship Id="rId4" Type="http://schemas.openxmlformats.org/officeDocument/2006/relationships/settings" Target="settings.xml"/><Relationship Id="rId9" Type="http://schemas.openxmlformats.org/officeDocument/2006/relationships/hyperlink" Target="https://hudoc.echr.coe.int/sp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hudoc.echr.coe.int/eng" TargetMode="External"/><Relationship Id="rId3" Type="http://schemas.openxmlformats.org/officeDocument/2006/relationships/hyperlink" Target="http://hudoc.echr.coe.int/eng?i=001-177229" TargetMode="External"/><Relationship Id="rId7" Type="http://schemas.openxmlformats.org/officeDocument/2006/relationships/hyperlink" Target="https://hudoc.echr.coe.int/eng/" TargetMode="External"/><Relationship Id="rId2" Type="http://schemas.openxmlformats.org/officeDocument/2006/relationships/hyperlink" Target="https://hudoc.echr.coe.int/spa" TargetMode="External"/><Relationship Id="rId1" Type="http://schemas.openxmlformats.org/officeDocument/2006/relationships/hyperlink" Target="https://www.tribunalconstitucional.pt/tc/acordaos/20190394.html" TargetMode="External"/><Relationship Id="rId6" Type="http://schemas.openxmlformats.org/officeDocument/2006/relationships/hyperlink" Target="https://hudoc.echr.coe.int/spa" TargetMode="External"/><Relationship Id="rId5" Type="http://schemas.openxmlformats.org/officeDocument/2006/relationships/hyperlink" Target="https://hudoc.echr.coe.int/fre" TargetMode="External"/><Relationship Id="rId4" Type="http://schemas.openxmlformats.org/officeDocument/2006/relationships/hyperlink" Target="https://debates.parlamento.pt/catalogo/r3/dar/s2a/14/01/020/2019-11-27/14?pgs=14-16&amp;org=PLC" TargetMode="External"/><Relationship Id="rId9" Type="http://schemas.openxmlformats.org/officeDocument/2006/relationships/hyperlink" Target="https://hudoc.echr.coe.int/en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CA51A-DC4F-4C3A-A6BD-7E4036DC0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6833</Words>
  <Characters>37583</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sofia gomes</dc:creator>
  <cp:keywords/>
  <dc:description/>
  <cp:lastModifiedBy>Usuario de Windows</cp:lastModifiedBy>
  <cp:revision>2</cp:revision>
  <cp:lastPrinted>2022-01-22T17:50:00Z</cp:lastPrinted>
  <dcterms:created xsi:type="dcterms:W3CDTF">2022-02-08T09:49:00Z</dcterms:created>
  <dcterms:modified xsi:type="dcterms:W3CDTF">2022-02-08T09:49:00Z</dcterms:modified>
</cp:coreProperties>
</file>