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61663" w:rsidRPr="002F3DEE" w:rsidRDefault="00A14843">
      <w:pPr>
        <w:jc w:val="center"/>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w:t>
      </w:r>
      <w:r w:rsidRPr="002F3DEE">
        <w:rPr>
          <w:rFonts w:ascii="Times New Roman" w:eastAsia="Times New Roman" w:hAnsi="Times New Roman" w:cs="Times New Roman"/>
          <w:b/>
          <w:sz w:val="24"/>
          <w:szCs w:val="24"/>
        </w:rPr>
        <w:t>Un nuevo concepto básico en la regulación del derecho a la protección de datos personales: la responsabilidad proactiva y su tratamiento jurisprudencial”</w:t>
      </w:r>
    </w:p>
    <w:p w14:paraId="6C0736FD" w14:textId="6EC92909" w:rsidR="00F12581" w:rsidRPr="002F3DEE" w:rsidRDefault="00F12581" w:rsidP="00F12581">
      <w:pPr>
        <w:ind w:left="2160"/>
        <w:jc w:val="right"/>
        <w:rPr>
          <w:rFonts w:ascii="Times New Roman" w:eastAsia="Times New Roman" w:hAnsi="Times New Roman" w:cs="Times New Roman"/>
          <w:sz w:val="24"/>
          <w:szCs w:val="24"/>
        </w:rPr>
      </w:pPr>
    </w:p>
    <w:p w14:paraId="2548EA93" w14:textId="04D63253" w:rsidR="00F12581" w:rsidRDefault="00F12581" w:rsidP="00F12581">
      <w:pPr>
        <w:ind w:left="2160"/>
        <w:jc w:val="right"/>
        <w:rPr>
          <w:rFonts w:ascii="Times New Roman" w:eastAsia="Times New Roman" w:hAnsi="Times New Roman" w:cs="Times New Roman"/>
          <w:sz w:val="20"/>
          <w:szCs w:val="24"/>
        </w:rPr>
      </w:pPr>
      <w:r>
        <w:rPr>
          <w:rFonts w:ascii="Times New Roman" w:eastAsia="Times New Roman" w:hAnsi="Times New Roman" w:cs="Times New Roman"/>
          <w:sz w:val="20"/>
          <w:szCs w:val="24"/>
        </w:rPr>
        <w:t>María José Carazo Liébana</w:t>
      </w:r>
    </w:p>
    <w:p w14:paraId="6D4233C4" w14:textId="35C1360D" w:rsidR="00F12581" w:rsidRDefault="00F12581" w:rsidP="00F12581">
      <w:pPr>
        <w:ind w:left="2160"/>
        <w:jc w:val="right"/>
        <w:rPr>
          <w:rFonts w:ascii="Times New Roman" w:eastAsia="Times New Roman" w:hAnsi="Times New Roman" w:cs="Times New Roman"/>
          <w:sz w:val="20"/>
          <w:szCs w:val="24"/>
        </w:rPr>
      </w:pPr>
      <w:r>
        <w:rPr>
          <w:rFonts w:ascii="Times New Roman" w:eastAsia="Times New Roman" w:hAnsi="Times New Roman" w:cs="Times New Roman"/>
          <w:sz w:val="20"/>
          <w:szCs w:val="24"/>
        </w:rPr>
        <w:t>Profesora Titular de Derecho Constitucional</w:t>
      </w:r>
    </w:p>
    <w:p w14:paraId="50435F06" w14:textId="456FA928" w:rsidR="00F12581" w:rsidRPr="00F12581" w:rsidRDefault="00F12581" w:rsidP="00F12581">
      <w:pPr>
        <w:ind w:left="2160"/>
        <w:jc w:val="right"/>
        <w:rPr>
          <w:rFonts w:ascii="Times New Roman" w:eastAsia="Times New Roman" w:hAnsi="Times New Roman" w:cs="Times New Roman"/>
          <w:sz w:val="20"/>
          <w:szCs w:val="24"/>
        </w:rPr>
      </w:pPr>
      <w:r>
        <w:rPr>
          <w:rFonts w:ascii="Times New Roman" w:eastAsia="Times New Roman" w:hAnsi="Times New Roman" w:cs="Times New Roman"/>
          <w:sz w:val="20"/>
          <w:szCs w:val="24"/>
        </w:rPr>
        <w:t>Universidad de Jaén</w:t>
      </w:r>
    </w:p>
    <w:p w14:paraId="4FC2F166" w14:textId="77777777" w:rsidR="00F12581" w:rsidRDefault="00F12581">
      <w:pPr>
        <w:rPr>
          <w:rFonts w:ascii="Times New Roman" w:eastAsia="Times New Roman" w:hAnsi="Times New Roman" w:cs="Times New Roman"/>
          <w:sz w:val="20"/>
          <w:szCs w:val="24"/>
          <w:u w:val="single"/>
        </w:rPr>
      </w:pPr>
    </w:p>
    <w:p w14:paraId="00000003" w14:textId="1EA71B43" w:rsidR="00E61663" w:rsidRPr="00335297" w:rsidRDefault="00A14843" w:rsidP="00630913">
      <w:pPr>
        <w:jc w:val="both"/>
        <w:rPr>
          <w:rFonts w:ascii="Times New Roman" w:eastAsia="Times New Roman" w:hAnsi="Times New Roman" w:cs="Times New Roman"/>
          <w:sz w:val="20"/>
          <w:szCs w:val="24"/>
        </w:rPr>
      </w:pPr>
      <w:r w:rsidRPr="00335297">
        <w:rPr>
          <w:rFonts w:ascii="Times New Roman" w:eastAsia="Times New Roman" w:hAnsi="Times New Roman" w:cs="Times New Roman"/>
          <w:sz w:val="20"/>
          <w:szCs w:val="24"/>
          <w:u w:val="single"/>
        </w:rPr>
        <w:t>Sumario</w:t>
      </w:r>
      <w:r w:rsidR="00335297">
        <w:rPr>
          <w:rFonts w:ascii="Times New Roman" w:eastAsia="Times New Roman" w:hAnsi="Times New Roman" w:cs="Times New Roman"/>
          <w:sz w:val="20"/>
          <w:szCs w:val="24"/>
        </w:rPr>
        <w:t>: I.- Cuestiones p</w:t>
      </w:r>
      <w:r w:rsidRPr="00335297">
        <w:rPr>
          <w:rFonts w:ascii="Times New Roman" w:eastAsia="Times New Roman" w:hAnsi="Times New Roman" w:cs="Times New Roman"/>
          <w:sz w:val="20"/>
          <w:szCs w:val="24"/>
        </w:rPr>
        <w:t>revias; II.- La Responsabilidad pro</w:t>
      </w:r>
      <w:r w:rsidR="00335297">
        <w:rPr>
          <w:rFonts w:ascii="Times New Roman" w:eastAsia="Times New Roman" w:hAnsi="Times New Roman" w:cs="Times New Roman"/>
          <w:sz w:val="20"/>
          <w:szCs w:val="24"/>
        </w:rPr>
        <w:t xml:space="preserve">activa y su configuración; III. </w:t>
      </w:r>
      <w:r w:rsidRPr="00335297">
        <w:rPr>
          <w:rFonts w:ascii="Times New Roman" w:eastAsia="Times New Roman" w:hAnsi="Times New Roman" w:cs="Times New Roman"/>
          <w:sz w:val="20"/>
          <w:szCs w:val="24"/>
        </w:rPr>
        <w:t>Plasmación de la exigencia de la responsabilidad proactiva en</w:t>
      </w:r>
      <w:r w:rsidR="00351D1A">
        <w:rPr>
          <w:rFonts w:ascii="Times New Roman" w:eastAsia="Times New Roman" w:hAnsi="Times New Roman" w:cs="Times New Roman"/>
          <w:sz w:val="20"/>
          <w:szCs w:val="24"/>
        </w:rPr>
        <w:t xml:space="preserve"> algunos casos jurisprudenciales; </w:t>
      </w:r>
      <w:r w:rsidR="00351D1A" w:rsidRPr="00351D1A">
        <w:rPr>
          <w:rFonts w:ascii="Times New Roman" w:eastAsia="Times New Roman" w:hAnsi="Times New Roman" w:cs="Times New Roman"/>
          <w:sz w:val="20"/>
          <w:szCs w:val="24"/>
        </w:rPr>
        <w:t>III.1.- Características propias de la responsabilidad en materia de protección de datos personales por parte de las Administraciones Públicas</w:t>
      </w:r>
      <w:r w:rsidR="00F12581">
        <w:rPr>
          <w:rFonts w:ascii="Times New Roman" w:eastAsia="Times New Roman" w:hAnsi="Times New Roman" w:cs="Times New Roman"/>
          <w:sz w:val="20"/>
          <w:szCs w:val="24"/>
        </w:rPr>
        <w:t xml:space="preserve">; </w:t>
      </w:r>
      <w:r w:rsidR="00F12581" w:rsidRPr="00F12581">
        <w:rPr>
          <w:rFonts w:ascii="Times New Roman" w:eastAsia="Times New Roman" w:hAnsi="Times New Roman" w:cs="Times New Roman"/>
          <w:sz w:val="20"/>
          <w:szCs w:val="24"/>
        </w:rPr>
        <w:t>III.2.- La Responsabilidad Proactiva y el principio de m</w:t>
      </w:r>
      <w:r w:rsidR="00630913">
        <w:rPr>
          <w:rFonts w:ascii="Times New Roman" w:eastAsia="Times New Roman" w:hAnsi="Times New Roman" w:cs="Times New Roman"/>
          <w:sz w:val="20"/>
          <w:szCs w:val="24"/>
        </w:rPr>
        <w:t xml:space="preserve">inimización de datos personales; </w:t>
      </w:r>
      <w:r w:rsidR="00630913" w:rsidRPr="00630913">
        <w:rPr>
          <w:rFonts w:ascii="Times New Roman" w:eastAsia="Times New Roman" w:hAnsi="Times New Roman" w:cs="Times New Roman"/>
          <w:sz w:val="20"/>
          <w:szCs w:val="24"/>
        </w:rPr>
        <w:t>III.3.- Derecho de Supresión o derecho al olvido</w:t>
      </w:r>
      <w:r w:rsidR="00331E26">
        <w:rPr>
          <w:rFonts w:ascii="Times New Roman" w:eastAsia="Times New Roman" w:hAnsi="Times New Roman" w:cs="Times New Roman"/>
          <w:sz w:val="20"/>
          <w:szCs w:val="24"/>
        </w:rPr>
        <w:t>.</w:t>
      </w:r>
    </w:p>
    <w:p w14:paraId="55B2B113" w14:textId="77777777" w:rsidR="00A14843" w:rsidRPr="00A14843" w:rsidRDefault="00A14843" w:rsidP="00B035F6">
      <w:pPr>
        <w:spacing w:line="360" w:lineRule="auto"/>
        <w:rPr>
          <w:rFonts w:ascii="Times New Roman" w:eastAsia="Times New Roman" w:hAnsi="Times New Roman" w:cs="Times New Roman"/>
          <w:color w:val="C00000"/>
          <w:sz w:val="24"/>
          <w:szCs w:val="24"/>
        </w:rPr>
      </w:pPr>
      <w:bookmarkStart w:id="0" w:name="_GoBack"/>
      <w:bookmarkEnd w:id="0"/>
    </w:p>
    <w:p w14:paraId="00000005" w14:textId="77777777" w:rsidR="00E61663" w:rsidRPr="002F3DEE" w:rsidRDefault="00A14843" w:rsidP="00B035F6">
      <w:pPr>
        <w:numPr>
          <w:ilvl w:val="0"/>
          <w:numId w:val="2"/>
        </w:numPr>
        <w:pBdr>
          <w:top w:val="nil"/>
          <w:left w:val="nil"/>
          <w:bottom w:val="nil"/>
          <w:right w:val="nil"/>
          <w:between w:val="nil"/>
        </w:pBdr>
        <w:spacing w:before="120" w:after="120" w:line="360" w:lineRule="auto"/>
        <w:rPr>
          <w:rFonts w:ascii="Times New Roman" w:eastAsia="Times New Roman" w:hAnsi="Times New Roman" w:cs="Times New Roman"/>
          <w:sz w:val="24"/>
          <w:szCs w:val="24"/>
        </w:rPr>
      </w:pPr>
      <w:r w:rsidRPr="002F3DEE">
        <w:rPr>
          <w:rFonts w:ascii="Times New Roman" w:eastAsia="Times New Roman" w:hAnsi="Times New Roman" w:cs="Times New Roman"/>
          <w:b/>
          <w:color w:val="000000"/>
          <w:sz w:val="24"/>
          <w:szCs w:val="24"/>
        </w:rPr>
        <w:t>Cuestiones previas</w:t>
      </w:r>
    </w:p>
    <w:p w14:paraId="00000006" w14:textId="77777777" w:rsidR="00E61663" w:rsidRPr="002F3DEE" w:rsidRDefault="00E61663" w:rsidP="00B035F6">
      <w:pPr>
        <w:spacing w:before="120" w:after="120" w:line="360" w:lineRule="auto"/>
        <w:ind w:left="360"/>
        <w:rPr>
          <w:rFonts w:ascii="Times New Roman" w:eastAsia="Times New Roman" w:hAnsi="Times New Roman" w:cs="Times New Roman"/>
          <w:sz w:val="24"/>
          <w:szCs w:val="24"/>
        </w:rPr>
      </w:pPr>
    </w:p>
    <w:p w14:paraId="00000007" w14:textId="45ADCBA4" w:rsidR="00E61663" w:rsidRPr="002F3DEE" w:rsidRDefault="00104D31" w:rsidP="00B035F6">
      <w:pPr>
        <w:spacing w:before="120" w:after="120"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España, e</w:t>
      </w:r>
      <w:r w:rsidR="00A14843" w:rsidRPr="002F3DEE">
        <w:rPr>
          <w:rFonts w:ascii="Times New Roman" w:eastAsia="Times New Roman" w:hAnsi="Times New Roman" w:cs="Times New Roman"/>
          <w:sz w:val="24"/>
          <w:szCs w:val="24"/>
        </w:rPr>
        <w:t xml:space="preserve">l reconocimiento al derecho a la protección de datos </w:t>
      </w:r>
      <w:r>
        <w:rPr>
          <w:rFonts w:ascii="Times New Roman" w:eastAsia="Times New Roman" w:hAnsi="Times New Roman" w:cs="Times New Roman"/>
          <w:sz w:val="24"/>
          <w:szCs w:val="24"/>
        </w:rPr>
        <w:t xml:space="preserve">como derecho fundamental </w:t>
      </w:r>
      <w:r w:rsidR="00A14843" w:rsidRPr="002F3DEE">
        <w:rPr>
          <w:rFonts w:ascii="Times New Roman" w:eastAsia="Times New Roman" w:hAnsi="Times New Roman" w:cs="Times New Roman"/>
          <w:sz w:val="24"/>
          <w:szCs w:val="24"/>
        </w:rPr>
        <w:t>se produce</w:t>
      </w:r>
      <w:r w:rsidR="00335297">
        <w:rPr>
          <w:rFonts w:ascii="Times New Roman" w:eastAsia="Times New Roman" w:hAnsi="Times New Roman" w:cs="Times New Roman"/>
          <w:sz w:val="24"/>
          <w:szCs w:val="24"/>
        </w:rPr>
        <w:t xml:space="preserve"> formalmente en el año dos mil</w:t>
      </w:r>
      <w:r>
        <w:rPr>
          <w:rFonts w:ascii="Times New Roman" w:eastAsia="Times New Roman" w:hAnsi="Times New Roman" w:cs="Times New Roman"/>
          <w:sz w:val="24"/>
          <w:szCs w:val="24"/>
        </w:rPr>
        <w:t xml:space="preserve"> con</w:t>
      </w:r>
      <w:r w:rsidR="00A14843" w:rsidRPr="002F3DEE">
        <w:rPr>
          <w:rFonts w:ascii="Times New Roman" w:eastAsia="Times New Roman" w:hAnsi="Times New Roman" w:cs="Times New Roman"/>
          <w:sz w:val="24"/>
          <w:szCs w:val="24"/>
        </w:rPr>
        <w:t xml:space="preserve"> la sentencia del Tribunal Constitucional (en adelante TC) número </w:t>
      </w:r>
      <w:r w:rsidR="00A14843" w:rsidRPr="00335297">
        <w:rPr>
          <w:rFonts w:ascii="Times New Roman" w:eastAsia="Times New Roman" w:hAnsi="Times New Roman" w:cs="Times New Roman"/>
          <w:sz w:val="24"/>
          <w:szCs w:val="24"/>
        </w:rPr>
        <w:t>290/2000, de 30 de noviembre</w:t>
      </w:r>
      <w:r w:rsidR="00335297">
        <w:rPr>
          <w:rStyle w:val="Refdenotaalpie"/>
          <w:rFonts w:ascii="Times New Roman" w:eastAsia="Times New Roman" w:hAnsi="Times New Roman" w:cs="Times New Roman"/>
          <w:sz w:val="24"/>
          <w:szCs w:val="24"/>
        </w:rPr>
        <w:footnoteReference w:id="1"/>
      </w:r>
      <w:r>
        <w:rPr>
          <w:rFonts w:ascii="Times New Roman" w:eastAsia="Times New Roman" w:hAnsi="Times New Roman" w:cs="Times New Roman"/>
          <w:sz w:val="24"/>
          <w:szCs w:val="24"/>
        </w:rPr>
        <w:t>. L</w:t>
      </w:r>
      <w:r w:rsidR="00A14843" w:rsidRPr="002F3DEE">
        <w:rPr>
          <w:rFonts w:ascii="Times New Roman" w:eastAsia="Times New Roman" w:hAnsi="Times New Roman" w:cs="Times New Roman"/>
          <w:sz w:val="24"/>
          <w:szCs w:val="24"/>
        </w:rPr>
        <w:t>a</w:t>
      </w:r>
      <w:r w:rsidR="00A14843" w:rsidRPr="00335297">
        <w:rPr>
          <w:rFonts w:ascii="Times New Roman" w:eastAsia="Times New Roman" w:hAnsi="Times New Roman" w:cs="Times New Roman"/>
          <w:sz w:val="24"/>
          <w:szCs w:val="24"/>
        </w:rPr>
        <w:t xml:space="preserve"> STC 292/2000, de 30 de noviembre</w:t>
      </w:r>
      <w:r w:rsidR="00335297">
        <w:rPr>
          <w:rStyle w:val="Refdenotaalpie"/>
          <w:rFonts w:ascii="Times New Roman" w:eastAsia="Times New Roman" w:hAnsi="Times New Roman" w:cs="Times New Roman"/>
          <w:sz w:val="24"/>
          <w:szCs w:val="24"/>
        </w:rPr>
        <w:footnoteReference w:id="2"/>
      </w:r>
      <w:r w:rsidR="00A14843" w:rsidRPr="00335297">
        <w:rPr>
          <w:rFonts w:ascii="Times New Roman" w:eastAsia="Times New Roman" w:hAnsi="Times New Roman" w:cs="Times New Roman"/>
          <w:sz w:val="24"/>
          <w:szCs w:val="24"/>
        </w:rPr>
        <w:t>,</w:t>
      </w:r>
      <w:r w:rsidR="00A14843" w:rsidRPr="002F3DEE">
        <w:rPr>
          <w:rFonts w:ascii="Times New Roman" w:eastAsia="Times New Roman" w:hAnsi="Times New Roman" w:cs="Times New Roman"/>
          <w:sz w:val="24"/>
          <w:szCs w:val="24"/>
        </w:rPr>
        <w:t xml:space="preserve"> aclara la diferencia entre el derecho a la protección de datos y el derecho a la intimidad,  basándose en que el </w:t>
      </w:r>
      <w:r w:rsidR="00335297">
        <w:rPr>
          <w:rFonts w:ascii="Times New Roman" w:eastAsia="Times New Roman" w:hAnsi="Times New Roman" w:cs="Times New Roman"/>
          <w:sz w:val="24"/>
          <w:szCs w:val="24"/>
        </w:rPr>
        <w:t xml:space="preserve">primero </w:t>
      </w:r>
      <w:r>
        <w:rPr>
          <w:rFonts w:ascii="Times New Roman" w:eastAsia="Times New Roman" w:hAnsi="Times New Roman" w:cs="Times New Roman"/>
          <w:sz w:val="24"/>
          <w:szCs w:val="24"/>
        </w:rPr>
        <w:t xml:space="preserve">pretende tutelar </w:t>
      </w:r>
      <w:r w:rsidR="00A14843" w:rsidRPr="002F3DEE">
        <w:rPr>
          <w:rFonts w:ascii="Times New Roman" w:eastAsia="Times New Roman" w:hAnsi="Times New Roman" w:cs="Times New Roman"/>
          <w:sz w:val="24"/>
          <w:szCs w:val="24"/>
        </w:rPr>
        <w:t xml:space="preserve">el control que todas las personas tienen de sus datos personales, sobre su uso y destino </w:t>
      </w:r>
      <w:r w:rsidR="00A14843" w:rsidRPr="002F3DEE">
        <w:rPr>
          <w:rFonts w:ascii="Times New Roman" w:eastAsia="Times New Roman" w:hAnsi="Times New Roman" w:cs="Times New Roman"/>
          <w:i/>
          <w:sz w:val="24"/>
          <w:szCs w:val="24"/>
        </w:rPr>
        <w:t>con el propósito de impedir su tráfico ilícito y lesivo para la dignidad y derecho del afectado</w:t>
      </w:r>
      <w:r w:rsidR="00A14843" w:rsidRPr="002F3DEE">
        <w:rPr>
          <w:rFonts w:ascii="Times New Roman" w:eastAsia="Times New Roman" w:hAnsi="Times New Roman" w:cs="Times New Roman"/>
          <w:i/>
          <w:sz w:val="24"/>
          <w:szCs w:val="24"/>
          <w:vertAlign w:val="superscript"/>
        </w:rPr>
        <w:footnoteReference w:id="3"/>
      </w:r>
      <w:r w:rsidR="00A14843" w:rsidRPr="002F3DEE">
        <w:rPr>
          <w:rFonts w:ascii="Times New Roman" w:eastAsia="Times New Roman" w:hAnsi="Times New Roman" w:cs="Times New Roman"/>
          <w:i/>
          <w:sz w:val="24"/>
          <w:szCs w:val="24"/>
        </w:rPr>
        <w:t xml:space="preserve">. </w:t>
      </w:r>
      <w:r w:rsidR="00A14843" w:rsidRPr="002F3DEE">
        <w:rPr>
          <w:rFonts w:ascii="Times New Roman" w:eastAsia="Times New Roman" w:hAnsi="Times New Roman" w:cs="Times New Roman"/>
          <w:sz w:val="24"/>
          <w:szCs w:val="24"/>
        </w:rPr>
        <w:t xml:space="preserve"> Es cierto que previamente se había avanzado</w:t>
      </w:r>
      <w:r w:rsidR="005D4CB3">
        <w:rPr>
          <w:rFonts w:ascii="Times New Roman" w:eastAsia="Times New Roman" w:hAnsi="Times New Roman" w:cs="Times New Roman"/>
          <w:sz w:val="24"/>
          <w:szCs w:val="24"/>
        </w:rPr>
        <w:t xml:space="preserve"> hacia su consolidación</w:t>
      </w:r>
      <w:r w:rsidR="00A14843" w:rsidRPr="002F3DEE">
        <w:rPr>
          <w:rFonts w:ascii="Times New Roman" w:eastAsia="Times New Roman" w:hAnsi="Times New Roman" w:cs="Times New Roman"/>
          <w:sz w:val="24"/>
          <w:szCs w:val="24"/>
        </w:rPr>
        <w:t>, pero no es hasta ese momento, cuando se da el reconocimiento formal al derecho a la protección de datos como derecho fundamental autónomo.</w:t>
      </w:r>
      <w:r w:rsidR="005D4CB3">
        <w:rPr>
          <w:rFonts w:ascii="Times New Roman" w:eastAsia="Times New Roman" w:hAnsi="Times New Roman" w:cs="Times New Roman"/>
          <w:sz w:val="24"/>
          <w:szCs w:val="24"/>
        </w:rPr>
        <w:t xml:space="preserve"> E</w:t>
      </w:r>
      <w:r w:rsidR="00A14843" w:rsidRPr="002F3DEE">
        <w:rPr>
          <w:rFonts w:ascii="Times New Roman" w:eastAsia="Times New Roman" w:hAnsi="Times New Roman" w:cs="Times New Roman"/>
          <w:sz w:val="24"/>
          <w:szCs w:val="24"/>
        </w:rPr>
        <w:t>l artículo 18 de la Constitución Española (en adelante CE) no consagra el derecho fundamental a la protección de datos personales, sino que establece que “</w:t>
      </w:r>
      <w:r w:rsidR="00A14843" w:rsidRPr="002F3DEE">
        <w:rPr>
          <w:rFonts w:ascii="Times New Roman" w:eastAsia="Times New Roman" w:hAnsi="Times New Roman" w:cs="Times New Roman"/>
          <w:i/>
          <w:sz w:val="24"/>
          <w:szCs w:val="24"/>
        </w:rPr>
        <w:t>la ley limitará el uso de la informática para garantizar el honor y la intimidad personal y familiar de los ciudadanos y el pleno ejercicio de sus derechos</w:t>
      </w:r>
      <w:r w:rsidR="00335297">
        <w:rPr>
          <w:rFonts w:ascii="Times New Roman" w:eastAsia="Times New Roman" w:hAnsi="Times New Roman" w:cs="Times New Roman"/>
          <w:sz w:val="24"/>
          <w:szCs w:val="24"/>
        </w:rPr>
        <w:t xml:space="preserve">”. </w:t>
      </w:r>
      <w:r w:rsidR="00335297">
        <w:rPr>
          <w:rFonts w:ascii="Times New Roman" w:eastAsia="Times New Roman" w:hAnsi="Times New Roman" w:cs="Times New Roman"/>
          <w:sz w:val="24"/>
          <w:szCs w:val="24"/>
        </w:rPr>
        <w:lastRenderedPageBreak/>
        <w:t>Antes del año dos mil</w:t>
      </w:r>
      <w:r w:rsidR="00A14843" w:rsidRPr="002F3DEE">
        <w:rPr>
          <w:rFonts w:ascii="Times New Roman" w:eastAsia="Times New Roman" w:hAnsi="Times New Roman" w:cs="Times New Roman"/>
          <w:sz w:val="24"/>
          <w:szCs w:val="24"/>
        </w:rPr>
        <w:t>,  la</w:t>
      </w:r>
      <w:r w:rsidR="00A14843" w:rsidRPr="00335297">
        <w:rPr>
          <w:rFonts w:ascii="Times New Roman" w:eastAsia="Times New Roman" w:hAnsi="Times New Roman" w:cs="Times New Roman"/>
          <w:sz w:val="24"/>
          <w:szCs w:val="24"/>
        </w:rPr>
        <w:t xml:space="preserve"> STC 254/1993 de 20 de julio</w:t>
      </w:r>
      <w:r w:rsidR="00A14843" w:rsidRPr="00335297">
        <w:rPr>
          <w:rFonts w:ascii="Times New Roman" w:eastAsia="Times New Roman" w:hAnsi="Times New Roman" w:cs="Times New Roman"/>
          <w:sz w:val="24"/>
          <w:szCs w:val="24"/>
          <w:vertAlign w:val="superscript"/>
        </w:rPr>
        <w:footnoteReference w:id="4"/>
      </w:r>
      <w:r w:rsidR="00335297">
        <w:rPr>
          <w:rFonts w:ascii="Times New Roman" w:eastAsia="Times New Roman" w:hAnsi="Times New Roman" w:cs="Times New Roman"/>
          <w:sz w:val="24"/>
          <w:szCs w:val="24"/>
        </w:rPr>
        <w:t xml:space="preserve"> </w:t>
      </w:r>
      <w:r w:rsidR="00A14843" w:rsidRPr="002F3DEE">
        <w:rPr>
          <w:rFonts w:ascii="Times New Roman" w:eastAsia="Times New Roman" w:hAnsi="Times New Roman" w:cs="Times New Roman"/>
          <w:sz w:val="24"/>
          <w:szCs w:val="24"/>
        </w:rPr>
        <w:t xml:space="preserve">marcó las bases de lo que posteriormente constituirá el reconocimiento de la protección de datos personales como derecho fundamental de los ciudadanos. Como puede observarse, nos encontramos ante un derecho marcado por varias etapas hasta su </w:t>
      </w:r>
      <w:r w:rsidR="005D4CB3">
        <w:rPr>
          <w:rFonts w:ascii="Times New Roman" w:eastAsia="Times New Roman" w:hAnsi="Times New Roman" w:cs="Times New Roman"/>
          <w:sz w:val="24"/>
          <w:szCs w:val="24"/>
        </w:rPr>
        <w:t xml:space="preserve">afirmación </w:t>
      </w:r>
      <w:r w:rsidR="00A14843" w:rsidRPr="002F3DEE">
        <w:rPr>
          <w:rFonts w:ascii="Times New Roman" w:eastAsia="Times New Roman" w:hAnsi="Times New Roman" w:cs="Times New Roman"/>
          <w:sz w:val="24"/>
          <w:szCs w:val="24"/>
        </w:rPr>
        <w:t>como</w:t>
      </w:r>
      <w:r w:rsidR="00335297">
        <w:rPr>
          <w:rFonts w:ascii="Times New Roman" w:eastAsia="Times New Roman" w:hAnsi="Times New Roman" w:cs="Times New Roman"/>
          <w:sz w:val="24"/>
          <w:szCs w:val="24"/>
        </w:rPr>
        <w:t xml:space="preserve"> tal</w:t>
      </w:r>
      <w:r w:rsidR="00A14843" w:rsidRPr="002F3DEE">
        <w:rPr>
          <w:rFonts w:ascii="Times New Roman" w:eastAsia="Times New Roman" w:hAnsi="Times New Roman" w:cs="Times New Roman"/>
          <w:sz w:val="24"/>
          <w:szCs w:val="24"/>
        </w:rPr>
        <w:t>.  Aparte de ello</w:t>
      </w:r>
      <w:r w:rsidR="005D4CB3">
        <w:rPr>
          <w:rFonts w:ascii="Times New Roman" w:eastAsia="Times New Roman" w:hAnsi="Times New Roman" w:cs="Times New Roman"/>
          <w:sz w:val="24"/>
          <w:szCs w:val="24"/>
        </w:rPr>
        <w:t>,</w:t>
      </w:r>
      <w:r w:rsidR="00A14843" w:rsidRPr="002F3DEE">
        <w:rPr>
          <w:rFonts w:ascii="Times New Roman" w:eastAsia="Times New Roman" w:hAnsi="Times New Roman" w:cs="Times New Roman"/>
          <w:sz w:val="24"/>
          <w:szCs w:val="24"/>
        </w:rPr>
        <w:t xml:space="preserve"> es conveniente hacer una diferenciación entre la regulación del derecho a la protección de datos antes y después de 2016, fecha de la aprobación del Reglamento General de Protección de Datos</w:t>
      </w:r>
      <w:r w:rsidR="00A14843" w:rsidRPr="002F3DEE">
        <w:rPr>
          <w:rFonts w:ascii="Times New Roman" w:eastAsia="Times New Roman" w:hAnsi="Times New Roman" w:cs="Times New Roman"/>
          <w:sz w:val="24"/>
          <w:szCs w:val="24"/>
          <w:vertAlign w:val="superscript"/>
        </w:rPr>
        <w:footnoteReference w:id="5"/>
      </w:r>
      <w:r w:rsidR="00A14843" w:rsidRPr="002F3DEE">
        <w:rPr>
          <w:rFonts w:ascii="Times New Roman" w:eastAsia="Times New Roman" w:hAnsi="Times New Roman" w:cs="Times New Roman"/>
          <w:sz w:val="24"/>
          <w:szCs w:val="24"/>
        </w:rPr>
        <w:t>, aunque es a partir de mayo de 2018 cuando entra en vigor. La adaptación del RGPD se realiza a través de la Ley Orgánica 3/2018 de 5 de diciembre de Protección de datos Personales y Garantías de los Derechos Digitales (en adelante, LOPDGDD)</w:t>
      </w:r>
      <w:r w:rsidR="00A14843" w:rsidRPr="002F3DEE">
        <w:rPr>
          <w:rFonts w:ascii="Times New Roman" w:eastAsia="Times New Roman" w:hAnsi="Times New Roman" w:cs="Times New Roman"/>
          <w:sz w:val="24"/>
          <w:szCs w:val="24"/>
          <w:vertAlign w:val="superscript"/>
        </w:rPr>
        <w:footnoteReference w:id="6"/>
      </w:r>
      <w:r w:rsidR="00A14843" w:rsidRPr="002F3DEE">
        <w:rPr>
          <w:rFonts w:ascii="Times New Roman" w:eastAsia="Times New Roman" w:hAnsi="Times New Roman" w:cs="Times New Roman"/>
          <w:sz w:val="24"/>
          <w:szCs w:val="24"/>
        </w:rPr>
        <w:t>.</w:t>
      </w:r>
    </w:p>
    <w:p w14:paraId="00000008" w14:textId="71CF49E6" w:rsidR="00E61663" w:rsidRPr="002F3DEE" w:rsidRDefault="00A14843" w:rsidP="00B035F6">
      <w:pPr>
        <w:spacing w:before="120" w:after="120" w:line="360" w:lineRule="auto"/>
        <w:ind w:firstLine="36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 Otro </w:t>
      </w:r>
      <w:r w:rsidR="00335297">
        <w:rPr>
          <w:rFonts w:ascii="Times New Roman" w:eastAsia="Times New Roman" w:hAnsi="Times New Roman" w:cs="Times New Roman"/>
          <w:sz w:val="24"/>
          <w:szCs w:val="24"/>
        </w:rPr>
        <w:t xml:space="preserve">cuerpo </w:t>
      </w:r>
      <w:r w:rsidRPr="002F3DEE">
        <w:rPr>
          <w:rFonts w:ascii="Times New Roman" w:eastAsia="Times New Roman" w:hAnsi="Times New Roman" w:cs="Times New Roman"/>
          <w:sz w:val="24"/>
          <w:szCs w:val="24"/>
        </w:rPr>
        <w:t>normativo a subrayar es el Convenio de 28 de enero de 1981 del Consejo de Europa (Convenio 108 CdE)</w:t>
      </w:r>
      <w:r w:rsidRPr="002F3DEE">
        <w:rPr>
          <w:rFonts w:ascii="Times New Roman" w:eastAsia="Times New Roman" w:hAnsi="Times New Roman" w:cs="Times New Roman"/>
          <w:sz w:val="24"/>
          <w:szCs w:val="24"/>
          <w:vertAlign w:val="superscript"/>
        </w:rPr>
        <w:footnoteReference w:id="7"/>
      </w:r>
      <w:r w:rsidRPr="002F3DEE">
        <w:rPr>
          <w:rFonts w:ascii="Times New Roman" w:eastAsia="Times New Roman" w:hAnsi="Times New Roman" w:cs="Times New Roman"/>
          <w:sz w:val="24"/>
          <w:szCs w:val="24"/>
        </w:rPr>
        <w:t xml:space="preserve"> </w:t>
      </w:r>
      <w:r w:rsidR="00335297">
        <w:rPr>
          <w:rFonts w:ascii="Times New Roman" w:eastAsia="Times New Roman" w:hAnsi="Times New Roman" w:cs="Times New Roman"/>
          <w:sz w:val="24"/>
          <w:szCs w:val="24"/>
        </w:rPr>
        <w:t xml:space="preserve">que constituye el </w:t>
      </w:r>
      <w:r w:rsidRPr="002F3DEE">
        <w:rPr>
          <w:rFonts w:ascii="Times New Roman" w:eastAsia="Times New Roman" w:hAnsi="Times New Roman" w:cs="Times New Roman"/>
          <w:sz w:val="24"/>
          <w:szCs w:val="24"/>
        </w:rPr>
        <w:t xml:space="preserve">primer instrumento internacional jurídicamente vinculante </w:t>
      </w:r>
      <w:r w:rsidR="00335297">
        <w:rPr>
          <w:rFonts w:ascii="Times New Roman" w:eastAsia="Times New Roman" w:hAnsi="Times New Roman" w:cs="Times New Roman"/>
          <w:sz w:val="24"/>
          <w:szCs w:val="24"/>
        </w:rPr>
        <w:t xml:space="preserve">sobre el derecho a la </w:t>
      </w:r>
      <w:r w:rsidRPr="002F3DEE">
        <w:rPr>
          <w:rFonts w:ascii="Times New Roman" w:eastAsia="Times New Roman" w:hAnsi="Times New Roman" w:cs="Times New Roman"/>
          <w:sz w:val="24"/>
          <w:szCs w:val="24"/>
        </w:rPr>
        <w:t>protección de datos. Por su parte, en el Derecho de la U</w:t>
      </w:r>
      <w:r w:rsidR="00335297">
        <w:rPr>
          <w:rFonts w:ascii="Times New Roman" w:eastAsia="Times New Roman" w:hAnsi="Times New Roman" w:cs="Times New Roman"/>
          <w:sz w:val="24"/>
          <w:szCs w:val="24"/>
        </w:rPr>
        <w:t xml:space="preserve">nión </w:t>
      </w:r>
      <w:r w:rsidRPr="002F3DEE">
        <w:rPr>
          <w:rFonts w:ascii="Times New Roman" w:eastAsia="Times New Roman" w:hAnsi="Times New Roman" w:cs="Times New Roman"/>
          <w:sz w:val="24"/>
          <w:szCs w:val="24"/>
        </w:rPr>
        <w:t>E</w:t>
      </w:r>
      <w:r w:rsidR="00335297">
        <w:rPr>
          <w:rFonts w:ascii="Times New Roman" w:eastAsia="Times New Roman" w:hAnsi="Times New Roman" w:cs="Times New Roman"/>
          <w:sz w:val="24"/>
          <w:szCs w:val="24"/>
        </w:rPr>
        <w:t>uropea (en adelante UE)</w:t>
      </w:r>
      <w:r w:rsidRPr="002F3DEE">
        <w:rPr>
          <w:rFonts w:ascii="Times New Roman" w:eastAsia="Times New Roman" w:hAnsi="Times New Roman" w:cs="Times New Roman"/>
          <w:sz w:val="24"/>
          <w:szCs w:val="24"/>
        </w:rPr>
        <w:t>, la protección de datos ha sido</w:t>
      </w:r>
      <w:r w:rsidR="00335297">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reconocida como un derecho fundamental específico. Está recogido en el artículo 16 del Tratado de Funcionamiento de la UE</w:t>
      </w:r>
      <w:r w:rsidRPr="002F3DEE">
        <w:rPr>
          <w:rFonts w:ascii="Times New Roman" w:eastAsia="Times New Roman" w:hAnsi="Times New Roman" w:cs="Times New Roman"/>
          <w:sz w:val="24"/>
          <w:szCs w:val="24"/>
          <w:vertAlign w:val="superscript"/>
        </w:rPr>
        <w:footnoteReference w:id="8"/>
      </w:r>
      <w:r w:rsidRPr="002F3DEE">
        <w:rPr>
          <w:rFonts w:ascii="Times New Roman" w:eastAsia="Times New Roman" w:hAnsi="Times New Roman" w:cs="Times New Roman"/>
          <w:sz w:val="24"/>
          <w:szCs w:val="24"/>
        </w:rPr>
        <w:t xml:space="preserve"> que  crea una nueva base jurídi</w:t>
      </w:r>
      <w:r w:rsidR="00335297">
        <w:rPr>
          <w:rFonts w:ascii="Times New Roman" w:eastAsia="Times New Roman" w:hAnsi="Times New Roman" w:cs="Times New Roman"/>
          <w:sz w:val="24"/>
          <w:szCs w:val="24"/>
        </w:rPr>
        <w:t xml:space="preserve">ca, por la que se otorga a la </w:t>
      </w:r>
      <w:r w:rsidR="00335297">
        <w:rPr>
          <w:rFonts w:ascii="Times New Roman" w:eastAsia="Times New Roman" w:hAnsi="Times New Roman" w:cs="Times New Roman"/>
          <w:sz w:val="24"/>
          <w:szCs w:val="24"/>
        </w:rPr>
        <w:lastRenderedPageBreak/>
        <w:t>Unión</w:t>
      </w:r>
      <w:r w:rsidRPr="002F3DEE">
        <w:rPr>
          <w:rFonts w:ascii="Times New Roman" w:eastAsia="Times New Roman" w:hAnsi="Times New Roman" w:cs="Times New Roman"/>
          <w:sz w:val="24"/>
          <w:szCs w:val="24"/>
        </w:rPr>
        <w:t xml:space="preserve"> la facultad de legislar en materia de protección de datos, así como en el artículo 8 de la Carta de los Derechos Fundamentales de la Unión Europea</w:t>
      </w:r>
      <w:r w:rsidRPr="002F3DEE">
        <w:rPr>
          <w:rFonts w:ascii="Times New Roman" w:eastAsia="Times New Roman" w:hAnsi="Times New Roman" w:cs="Times New Roman"/>
          <w:sz w:val="24"/>
          <w:szCs w:val="24"/>
          <w:vertAlign w:val="superscript"/>
        </w:rPr>
        <w:footnoteReference w:id="9"/>
      </w:r>
      <w:r w:rsidRPr="002F3DEE">
        <w:rPr>
          <w:rFonts w:ascii="Times New Roman" w:eastAsia="Times New Roman" w:hAnsi="Times New Roman" w:cs="Times New Roman"/>
          <w:sz w:val="24"/>
          <w:szCs w:val="24"/>
        </w:rPr>
        <w:t>.</w:t>
      </w:r>
    </w:p>
    <w:p w14:paraId="00000009" w14:textId="7DEC0C5D" w:rsidR="00E61663" w:rsidRPr="002F3DEE" w:rsidRDefault="00A14843" w:rsidP="00B035F6">
      <w:pPr>
        <w:spacing w:line="360" w:lineRule="auto"/>
        <w:ind w:firstLine="36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Nos encontramos ante un derecho en continua transformación. La complejidad de su contenido, su regulación e interpretación a nivel europeo y su necesaria consolidación en el entorno digital, hace del mismo un derecho complejo y al mismo tiempo vivo. No será objeto de estas páginas el realizar un análisis </w:t>
      </w:r>
      <w:r w:rsidR="00335297">
        <w:rPr>
          <w:rFonts w:ascii="Times New Roman" w:eastAsia="Times New Roman" w:hAnsi="Times New Roman" w:cs="Times New Roman"/>
          <w:sz w:val="24"/>
          <w:szCs w:val="24"/>
        </w:rPr>
        <w:t xml:space="preserve">pormenorizado </w:t>
      </w:r>
      <w:r w:rsidRPr="002F3DEE">
        <w:rPr>
          <w:rFonts w:ascii="Times New Roman" w:eastAsia="Times New Roman" w:hAnsi="Times New Roman" w:cs="Times New Roman"/>
          <w:sz w:val="24"/>
          <w:szCs w:val="24"/>
        </w:rPr>
        <w:t>de su regulación, pero sí, a modo de introducción, de los grandes retos que este derecho plantea a los operadores jurídicos.  Es imposible analizar el derecho sin tener en cuenta la tecnología en la que se asienta. Pero al mismo tiempo, los avances tecnológicos no pueden dar la espalda al derecho, habida cuenta de que el derecho a la protección de datos y, de forma más amplia, el derecho a la privacidad, está detrás de los avances tecnológicos. De esta forma, juristas, ingenieros informáticos, especialistas en estadística, médicos y, en general, todas las profesiones quedan compelidas por el derecho a la protección de datos en la medida en que usen macrodatos o instrumentos d</w:t>
      </w:r>
      <w:r w:rsidR="002F3DEE">
        <w:rPr>
          <w:rFonts w:ascii="Times New Roman" w:eastAsia="Times New Roman" w:hAnsi="Times New Roman" w:cs="Times New Roman"/>
          <w:sz w:val="24"/>
          <w:szCs w:val="24"/>
        </w:rPr>
        <w:t xml:space="preserve">e Inteligencia Artificial (IA) </w:t>
      </w:r>
      <w:r w:rsidRPr="002F3DEE">
        <w:rPr>
          <w:rFonts w:ascii="Times New Roman" w:eastAsia="Times New Roman" w:hAnsi="Times New Roman" w:cs="Times New Roman"/>
          <w:sz w:val="24"/>
          <w:szCs w:val="24"/>
        </w:rPr>
        <w:t>en sus respectivas disciplinas. Pero vamos más allá, este derecho es el paradigma del mundo globalizado en el que viv</w:t>
      </w:r>
      <w:r w:rsidR="00335297">
        <w:rPr>
          <w:rFonts w:ascii="Times New Roman" w:eastAsia="Times New Roman" w:hAnsi="Times New Roman" w:cs="Times New Roman"/>
          <w:sz w:val="24"/>
          <w:szCs w:val="24"/>
        </w:rPr>
        <w:t>imos. La IA</w:t>
      </w:r>
      <w:r w:rsidRPr="002F3DEE">
        <w:rPr>
          <w:rFonts w:ascii="Times New Roman" w:eastAsia="Times New Roman" w:hAnsi="Times New Roman" w:cs="Times New Roman"/>
          <w:sz w:val="24"/>
          <w:szCs w:val="24"/>
        </w:rPr>
        <w:t xml:space="preserve"> </w:t>
      </w:r>
      <w:r w:rsidR="00335297">
        <w:rPr>
          <w:rFonts w:ascii="Times New Roman" w:eastAsia="Times New Roman" w:hAnsi="Times New Roman" w:cs="Times New Roman"/>
          <w:sz w:val="24"/>
          <w:szCs w:val="24"/>
        </w:rPr>
        <w:t xml:space="preserve">que </w:t>
      </w:r>
      <w:r w:rsidRPr="002F3DEE">
        <w:rPr>
          <w:rFonts w:ascii="Times New Roman" w:eastAsia="Times New Roman" w:hAnsi="Times New Roman" w:cs="Times New Roman"/>
          <w:sz w:val="24"/>
          <w:szCs w:val="24"/>
        </w:rPr>
        <w:t>no conoce de coordenadas espaciales, ni siqu</w:t>
      </w:r>
      <w:r w:rsidR="00335297">
        <w:rPr>
          <w:rFonts w:ascii="Times New Roman" w:eastAsia="Times New Roman" w:hAnsi="Times New Roman" w:cs="Times New Roman"/>
          <w:sz w:val="24"/>
          <w:szCs w:val="24"/>
        </w:rPr>
        <w:t>iera temporales, h</w:t>
      </w:r>
      <w:r w:rsidRPr="002F3DEE">
        <w:rPr>
          <w:rFonts w:ascii="Times New Roman" w:eastAsia="Times New Roman" w:hAnsi="Times New Roman" w:cs="Times New Roman"/>
          <w:sz w:val="24"/>
          <w:szCs w:val="24"/>
        </w:rPr>
        <w:t xml:space="preserve">a </w:t>
      </w:r>
      <w:r w:rsidR="00335297">
        <w:rPr>
          <w:rFonts w:ascii="Times New Roman" w:eastAsia="Times New Roman" w:hAnsi="Times New Roman" w:cs="Times New Roman"/>
          <w:sz w:val="24"/>
          <w:szCs w:val="24"/>
        </w:rPr>
        <w:t xml:space="preserve">dado lugar a </w:t>
      </w:r>
      <w:r w:rsidRPr="002F3DEE">
        <w:rPr>
          <w:rFonts w:ascii="Times New Roman" w:eastAsia="Times New Roman" w:hAnsi="Times New Roman" w:cs="Times New Roman"/>
          <w:sz w:val="24"/>
          <w:szCs w:val="24"/>
        </w:rPr>
        <w:t>un crecimiento exponencial de la capacidad de almacenar y procesar datos. Hoy hablamos de la cuarta revolución industrial. Se han generado una serie de productos, de servicios y de recursos disponibles para los consumidores que no tiene parangón en la historia de la humanidad. En esta situación los juristas debemos dar respuesta ante los múltiples desafíos que se presentan.</w:t>
      </w:r>
    </w:p>
    <w:p w14:paraId="0000000D" w14:textId="2D5336E3" w:rsidR="00E61663" w:rsidRPr="002F3DEE" w:rsidRDefault="00A14843" w:rsidP="00B035F6">
      <w:pPr>
        <w:spacing w:line="360" w:lineRule="auto"/>
        <w:ind w:firstLine="36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El derecho, como instrumento para la ordenación de la convivencia humana, queda remodelado en la era digital</w:t>
      </w:r>
      <w:r w:rsidRPr="002F3DEE">
        <w:rPr>
          <w:rFonts w:ascii="Times New Roman" w:eastAsia="Times New Roman" w:hAnsi="Times New Roman" w:cs="Times New Roman"/>
          <w:b/>
          <w:sz w:val="24"/>
          <w:szCs w:val="24"/>
        </w:rPr>
        <w:t xml:space="preserve">. </w:t>
      </w:r>
      <w:r w:rsidRPr="002F3DEE">
        <w:rPr>
          <w:rFonts w:ascii="Times New Roman" w:eastAsia="Times New Roman" w:hAnsi="Times New Roman" w:cs="Times New Roman"/>
          <w:sz w:val="24"/>
          <w:szCs w:val="24"/>
        </w:rPr>
        <w:t xml:space="preserve">El legislador es lento y no suele estar actualizado a las nuevas tecnologías. ¿Nos sirven las categorías tradicionales? Por un lado, el derecho no puede ser un corsé que asfixie la innovación pero, por otro, deben existir reglas de convivencia para la protección de los derechos fundamentales y libertades públicas. El RGPD es un acierto. Una legislación aplicable al contexto de la UE resuelve problemas domésticos de elección de la norma aplicable e incluso de conflicto de legislación. La </w:t>
      </w:r>
      <w:r w:rsidRPr="00335297">
        <w:rPr>
          <w:rFonts w:ascii="Times New Roman" w:eastAsia="Times New Roman" w:hAnsi="Times New Roman" w:cs="Times New Roman"/>
          <w:sz w:val="24"/>
          <w:szCs w:val="24"/>
        </w:rPr>
        <w:t xml:space="preserve">STS 489/2018, de </w:t>
      </w:r>
      <w:r w:rsidRPr="00335297">
        <w:rPr>
          <w:rFonts w:ascii="Times New Roman" w:eastAsia="Times New Roman" w:hAnsi="Times New Roman" w:cs="Times New Roman"/>
          <w:sz w:val="24"/>
          <w:szCs w:val="24"/>
        </w:rPr>
        <w:lastRenderedPageBreak/>
        <w:t>23 de octubre</w:t>
      </w:r>
      <w:r w:rsidR="00335297">
        <w:rPr>
          <w:rStyle w:val="Refdenotaalpie"/>
          <w:rFonts w:ascii="Times New Roman" w:eastAsia="Times New Roman" w:hAnsi="Times New Roman" w:cs="Times New Roman"/>
          <w:sz w:val="24"/>
          <w:szCs w:val="24"/>
        </w:rPr>
        <w:footnoteReference w:id="10"/>
      </w:r>
      <w:r w:rsidRPr="00335297">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(en su Fundamento Jurídico quinto) habla de un nuevo derecho constitucional de nueva generación “el derecho al entorno digital”</w:t>
      </w:r>
      <w:r w:rsidRPr="002F3DEE">
        <w:rPr>
          <w:rFonts w:ascii="Times New Roman" w:eastAsia="Times New Roman" w:hAnsi="Times New Roman" w:cs="Times New Roman"/>
          <w:sz w:val="24"/>
          <w:szCs w:val="24"/>
          <w:vertAlign w:val="superscript"/>
        </w:rPr>
        <w:footnoteReference w:id="11"/>
      </w:r>
      <w:r w:rsidR="0072208A">
        <w:rPr>
          <w:rFonts w:ascii="Times New Roman" w:eastAsia="Times New Roman" w:hAnsi="Times New Roman" w:cs="Times New Roman"/>
          <w:sz w:val="24"/>
          <w:szCs w:val="24"/>
        </w:rPr>
        <w:t>.</w:t>
      </w:r>
    </w:p>
    <w:p w14:paraId="0000000E" w14:textId="447B60F5" w:rsidR="00E61663" w:rsidRPr="002F3DEE" w:rsidRDefault="00104D31" w:rsidP="00B035F6">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Asimismo</w:t>
      </w:r>
      <w:r w:rsidR="00A14843" w:rsidRPr="002F3DEE">
        <w:rPr>
          <w:rFonts w:ascii="Times New Roman" w:eastAsia="Times New Roman" w:hAnsi="Times New Roman" w:cs="Times New Roman"/>
          <w:sz w:val="24"/>
          <w:szCs w:val="24"/>
        </w:rPr>
        <w:t>, la fijación de la responsabilidad proactiva es otro aspecto muy beneficioso de cara a es</w:t>
      </w:r>
      <w:r>
        <w:rPr>
          <w:rFonts w:ascii="Times New Roman" w:eastAsia="Times New Roman" w:hAnsi="Times New Roman" w:cs="Times New Roman"/>
          <w:sz w:val="24"/>
          <w:szCs w:val="24"/>
        </w:rPr>
        <w:t>tablecer un marco seguro para la sociedad</w:t>
      </w:r>
      <w:r w:rsidR="00A14843" w:rsidRPr="002F3DEE">
        <w:rPr>
          <w:rFonts w:ascii="Times New Roman" w:eastAsia="Times New Roman" w:hAnsi="Times New Roman" w:cs="Times New Roman"/>
          <w:sz w:val="24"/>
          <w:szCs w:val="24"/>
        </w:rPr>
        <w:t xml:space="preserve"> digital. A la responsabilidad proactiva dedicaremos las siguientes páginas.</w:t>
      </w:r>
    </w:p>
    <w:p w14:paraId="0000000F" w14:textId="77777777" w:rsidR="00E61663" w:rsidRPr="002F3DEE" w:rsidRDefault="00E61663" w:rsidP="00B035F6">
      <w:pPr>
        <w:spacing w:line="360" w:lineRule="auto"/>
        <w:ind w:left="360"/>
        <w:rPr>
          <w:rFonts w:ascii="Times New Roman" w:eastAsia="Times New Roman" w:hAnsi="Times New Roman" w:cs="Times New Roman"/>
          <w:sz w:val="24"/>
          <w:szCs w:val="24"/>
        </w:rPr>
      </w:pPr>
    </w:p>
    <w:p w14:paraId="00000010" w14:textId="27C467A9" w:rsidR="00E61663" w:rsidRPr="002F3DEE" w:rsidRDefault="00A14843" w:rsidP="00B035F6">
      <w:pPr>
        <w:numPr>
          <w:ilvl w:val="0"/>
          <w:numId w:val="2"/>
        </w:num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sidRPr="002F3DEE">
        <w:rPr>
          <w:rFonts w:ascii="Times New Roman" w:eastAsia="Times New Roman" w:hAnsi="Times New Roman" w:cs="Times New Roman"/>
          <w:b/>
          <w:color w:val="000000"/>
          <w:sz w:val="24"/>
          <w:szCs w:val="24"/>
        </w:rPr>
        <w:t xml:space="preserve">La Responsabilidad proactiva y su configuración </w:t>
      </w:r>
    </w:p>
    <w:p w14:paraId="1DAF4DB4" w14:textId="17582965" w:rsidR="00A9315B" w:rsidRPr="00A9315B" w:rsidRDefault="00351D1A" w:rsidP="00351D1A">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9315B" w:rsidRPr="00A9315B">
        <w:rPr>
          <w:rFonts w:ascii="Times New Roman" w:eastAsia="Times New Roman" w:hAnsi="Times New Roman" w:cs="Times New Roman"/>
          <w:sz w:val="24"/>
          <w:szCs w:val="24"/>
        </w:rPr>
        <w:t>El principio de “</w:t>
      </w:r>
      <w:r w:rsidR="00A9315B" w:rsidRPr="00351D1A">
        <w:rPr>
          <w:rFonts w:ascii="Times New Roman" w:eastAsia="Times New Roman" w:hAnsi="Times New Roman" w:cs="Times New Roman"/>
          <w:i/>
          <w:sz w:val="24"/>
          <w:szCs w:val="24"/>
        </w:rPr>
        <w:t>Accountability</w:t>
      </w:r>
      <w:r w:rsidR="00A9315B" w:rsidRPr="00A9315B">
        <w:rPr>
          <w:rFonts w:ascii="Times New Roman" w:eastAsia="Times New Roman" w:hAnsi="Times New Roman" w:cs="Times New Roman"/>
          <w:sz w:val="24"/>
          <w:szCs w:val="24"/>
        </w:rPr>
        <w:t>” o “Responsabilidad Proactiva” v</w:t>
      </w:r>
      <w:r>
        <w:rPr>
          <w:rFonts w:ascii="Times New Roman" w:eastAsia="Times New Roman" w:hAnsi="Times New Roman" w:cs="Times New Roman"/>
          <w:sz w:val="24"/>
          <w:szCs w:val="24"/>
        </w:rPr>
        <w:t xml:space="preserve">iene regulado en los arts. 5.2 </w:t>
      </w:r>
      <w:r w:rsidR="00A9315B" w:rsidRPr="00A9315B">
        <w:rPr>
          <w:rFonts w:ascii="Times New Roman" w:eastAsia="Times New Roman" w:hAnsi="Times New Roman" w:cs="Times New Roman"/>
          <w:sz w:val="24"/>
          <w:szCs w:val="24"/>
        </w:rPr>
        <w:t>y 24</w:t>
      </w:r>
      <w:r>
        <w:rPr>
          <w:rFonts w:ascii="Times New Roman" w:eastAsia="Times New Roman" w:hAnsi="Times New Roman" w:cs="Times New Roman"/>
          <w:sz w:val="24"/>
          <w:szCs w:val="24"/>
        </w:rPr>
        <w:t xml:space="preserve">, </w:t>
      </w:r>
      <w:r w:rsidR="00A9315B" w:rsidRPr="00A9315B">
        <w:rPr>
          <w:rFonts w:ascii="Times New Roman" w:eastAsia="Times New Roman" w:hAnsi="Times New Roman" w:cs="Times New Roman"/>
          <w:sz w:val="24"/>
          <w:szCs w:val="24"/>
        </w:rPr>
        <w:t>así como en</w:t>
      </w:r>
      <w:r>
        <w:rPr>
          <w:rFonts w:ascii="Times New Roman" w:eastAsia="Times New Roman" w:hAnsi="Times New Roman" w:cs="Times New Roman"/>
          <w:sz w:val="24"/>
          <w:szCs w:val="24"/>
        </w:rPr>
        <w:t xml:space="preserve"> el Considerando 74 del RGPD. </w:t>
      </w:r>
      <w:r w:rsidR="00A9315B" w:rsidRPr="00A9315B">
        <w:rPr>
          <w:rFonts w:ascii="Times New Roman" w:eastAsia="Times New Roman" w:hAnsi="Times New Roman" w:cs="Times New Roman"/>
          <w:sz w:val="24"/>
          <w:szCs w:val="24"/>
        </w:rPr>
        <w:t xml:space="preserve">A través de este principio, el responsable y encargado estarán obligados a demostrar que sus actividades de tratamiento de datos cumplen con la normativa vigente. Para ello, deberán implementar una serie de medidas técnicas y organizativas apropiadas, a fin de verificar que los tratamientos que realizan son conformes con el RGPD, con la LOPDGDD y otras normas aplicables. Como sinónimo a este tipo de responsabilidad podría hablarse de “obligación de rendir cuenta”. El término </w:t>
      </w:r>
      <w:r w:rsidR="00A9315B" w:rsidRPr="00351D1A">
        <w:rPr>
          <w:rFonts w:ascii="Times New Roman" w:eastAsia="Times New Roman" w:hAnsi="Times New Roman" w:cs="Times New Roman"/>
          <w:i/>
          <w:sz w:val="24"/>
          <w:szCs w:val="24"/>
        </w:rPr>
        <w:t>accountability</w:t>
      </w:r>
      <w:r w:rsidR="00A9315B" w:rsidRPr="00A9315B">
        <w:rPr>
          <w:rFonts w:ascii="Times New Roman" w:eastAsia="Times New Roman" w:hAnsi="Times New Roman" w:cs="Times New Roman"/>
          <w:sz w:val="24"/>
          <w:szCs w:val="24"/>
        </w:rPr>
        <w:t xml:space="preserve"> se integra en el principio de equidad que exige establecer mecanismos que garanticen la responsabilidad y la rendición de cuentas, antes y después del </w:t>
      </w:r>
      <w:r>
        <w:rPr>
          <w:rFonts w:ascii="Times New Roman" w:eastAsia="Times New Roman" w:hAnsi="Times New Roman" w:cs="Times New Roman"/>
          <w:sz w:val="24"/>
          <w:szCs w:val="24"/>
        </w:rPr>
        <w:t>tratamiento de datos personales</w:t>
      </w:r>
      <w:r w:rsidR="00A9315B" w:rsidRPr="00A9315B">
        <w:rPr>
          <w:rFonts w:ascii="Times New Roman" w:eastAsia="Times New Roman" w:hAnsi="Times New Roman" w:cs="Times New Roman"/>
          <w:sz w:val="24"/>
          <w:szCs w:val="24"/>
        </w:rPr>
        <w:t>.</w:t>
      </w:r>
    </w:p>
    <w:p w14:paraId="6944C303" w14:textId="730A7A2F" w:rsidR="00A9315B" w:rsidRPr="00A9315B" w:rsidRDefault="00351D1A" w:rsidP="00A9315B">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principio </w:t>
      </w:r>
      <w:r w:rsidR="00A9315B" w:rsidRPr="00A9315B">
        <w:rPr>
          <w:rFonts w:ascii="Times New Roman" w:eastAsia="Times New Roman" w:hAnsi="Times New Roman" w:cs="Times New Roman"/>
          <w:sz w:val="24"/>
          <w:szCs w:val="24"/>
        </w:rPr>
        <w:t>se ha venido aplicando en el derecho, especialmente en el ámbito penal, a través del conocido</w:t>
      </w:r>
      <w:r w:rsidR="00A9315B" w:rsidRPr="00351D1A">
        <w:rPr>
          <w:rFonts w:ascii="Times New Roman" w:eastAsia="Times New Roman" w:hAnsi="Times New Roman" w:cs="Times New Roman"/>
          <w:i/>
          <w:sz w:val="24"/>
          <w:szCs w:val="24"/>
        </w:rPr>
        <w:t xml:space="preserve"> compliance</w:t>
      </w:r>
      <w:r w:rsidR="00A9315B" w:rsidRPr="00A9315B">
        <w:rPr>
          <w:rFonts w:ascii="Times New Roman" w:eastAsia="Times New Roman" w:hAnsi="Times New Roman" w:cs="Times New Roman"/>
          <w:sz w:val="24"/>
          <w:szCs w:val="24"/>
        </w:rPr>
        <w:t xml:space="preserve"> o prevención. Igual que la medicina preventiva se abre camino, en el derecho está siendo una constante. Supone, en definitiva, un cambio de cultura jurídica. Las normas pasan a ser parte del protocolo de funcionamiento de la organización. Esto es, están adheridas al día a día de la empresa. El art. 5 del RGPD dice que el responsable de tratamiento </w:t>
      </w:r>
      <w:r>
        <w:rPr>
          <w:rFonts w:ascii="Times New Roman" w:eastAsia="Times New Roman" w:hAnsi="Times New Roman" w:cs="Times New Roman"/>
          <w:sz w:val="24"/>
          <w:szCs w:val="24"/>
        </w:rPr>
        <w:t xml:space="preserve">responde </w:t>
      </w:r>
      <w:r w:rsidR="00A9315B" w:rsidRPr="00A9315B">
        <w:rPr>
          <w:rFonts w:ascii="Times New Roman" w:eastAsia="Times New Roman" w:hAnsi="Times New Roman" w:cs="Times New Roman"/>
          <w:sz w:val="24"/>
          <w:szCs w:val="24"/>
        </w:rPr>
        <w:t>de que:</w:t>
      </w:r>
    </w:p>
    <w:p w14:paraId="0DFA3504" w14:textId="77777777" w:rsidR="00A9315B" w:rsidRPr="00A9315B" w:rsidRDefault="00A9315B" w:rsidP="00A9315B">
      <w:pPr>
        <w:spacing w:line="360" w:lineRule="auto"/>
        <w:ind w:firstLine="360"/>
        <w:jc w:val="both"/>
        <w:rPr>
          <w:rFonts w:ascii="Times New Roman" w:eastAsia="Times New Roman" w:hAnsi="Times New Roman" w:cs="Times New Roman"/>
          <w:sz w:val="24"/>
          <w:szCs w:val="24"/>
        </w:rPr>
      </w:pPr>
      <w:r w:rsidRPr="00A9315B">
        <w:rPr>
          <w:rFonts w:ascii="Times New Roman" w:eastAsia="Times New Roman" w:hAnsi="Times New Roman" w:cs="Times New Roman"/>
          <w:sz w:val="24"/>
          <w:szCs w:val="24"/>
        </w:rPr>
        <w:t>-</w:t>
      </w:r>
      <w:r w:rsidRPr="00A9315B">
        <w:rPr>
          <w:rFonts w:ascii="Times New Roman" w:eastAsia="Times New Roman" w:hAnsi="Times New Roman" w:cs="Times New Roman"/>
          <w:sz w:val="24"/>
          <w:szCs w:val="24"/>
        </w:rPr>
        <w:tab/>
        <w:t xml:space="preserve">Los datos deben ser tratados de manera lícita, leal y transparente en relación con el interesado (“licitud, lealtad y transparencia”). </w:t>
      </w:r>
    </w:p>
    <w:p w14:paraId="52D095A5" w14:textId="77777777" w:rsidR="00A9315B" w:rsidRPr="00A9315B" w:rsidRDefault="00A9315B" w:rsidP="00A9315B">
      <w:pPr>
        <w:spacing w:line="360" w:lineRule="auto"/>
        <w:ind w:firstLine="360"/>
        <w:jc w:val="both"/>
        <w:rPr>
          <w:rFonts w:ascii="Times New Roman" w:eastAsia="Times New Roman" w:hAnsi="Times New Roman" w:cs="Times New Roman"/>
          <w:sz w:val="24"/>
          <w:szCs w:val="24"/>
        </w:rPr>
      </w:pPr>
      <w:r w:rsidRPr="00A9315B">
        <w:rPr>
          <w:rFonts w:ascii="Times New Roman" w:eastAsia="Times New Roman" w:hAnsi="Times New Roman" w:cs="Times New Roman"/>
          <w:sz w:val="24"/>
          <w:szCs w:val="24"/>
        </w:rPr>
        <w:lastRenderedPageBreak/>
        <w:t>-</w:t>
      </w:r>
      <w:r w:rsidRPr="00A9315B">
        <w:rPr>
          <w:rFonts w:ascii="Times New Roman" w:eastAsia="Times New Roman" w:hAnsi="Times New Roman" w:cs="Times New Roman"/>
          <w:sz w:val="24"/>
          <w:szCs w:val="24"/>
        </w:rPr>
        <w:tab/>
        <w:t>Deben estar recogidos con fines determinados, explícitos y legítimos (“limitación de la finalidad”).</w:t>
      </w:r>
    </w:p>
    <w:p w14:paraId="2709C7D0" w14:textId="77777777" w:rsidR="00A9315B" w:rsidRPr="00A9315B" w:rsidRDefault="00A9315B" w:rsidP="00A9315B">
      <w:pPr>
        <w:spacing w:line="360" w:lineRule="auto"/>
        <w:ind w:firstLine="360"/>
        <w:jc w:val="both"/>
        <w:rPr>
          <w:rFonts w:ascii="Times New Roman" w:eastAsia="Times New Roman" w:hAnsi="Times New Roman" w:cs="Times New Roman"/>
          <w:sz w:val="24"/>
          <w:szCs w:val="24"/>
        </w:rPr>
      </w:pPr>
      <w:r w:rsidRPr="00A9315B">
        <w:rPr>
          <w:rFonts w:ascii="Times New Roman" w:eastAsia="Times New Roman" w:hAnsi="Times New Roman" w:cs="Times New Roman"/>
          <w:sz w:val="24"/>
          <w:szCs w:val="24"/>
        </w:rPr>
        <w:t>-</w:t>
      </w:r>
      <w:r w:rsidRPr="00A9315B">
        <w:rPr>
          <w:rFonts w:ascii="Times New Roman" w:eastAsia="Times New Roman" w:hAnsi="Times New Roman" w:cs="Times New Roman"/>
          <w:sz w:val="24"/>
          <w:szCs w:val="24"/>
        </w:rPr>
        <w:tab/>
        <w:t>Ser adecuados, pertinentes y limitados a lo necesario en relación con los fines para los que son tratados (“minimización de datos”).</w:t>
      </w:r>
    </w:p>
    <w:p w14:paraId="3D434D7B" w14:textId="77777777" w:rsidR="00A9315B" w:rsidRPr="00A9315B" w:rsidRDefault="00A9315B" w:rsidP="00A9315B">
      <w:pPr>
        <w:spacing w:line="360" w:lineRule="auto"/>
        <w:ind w:firstLine="360"/>
        <w:jc w:val="both"/>
        <w:rPr>
          <w:rFonts w:ascii="Times New Roman" w:eastAsia="Times New Roman" w:hAnsi="Times New Roman" w:cs="Times New Roman"/>
          <w:sz w:val="24"/>
          <w:szCs w:val="24"/>
        </w:rPr>
      </w:pPr>
      <w:r w:rsidRPr="00A9315B">
        <w:rPr>
          <w:rFonts w:ascii="Times New Roman" w:eastAsia="Times New Roman" w:hAnsi="Times New Roman" w:cs="Times New Roman"/>
          <w:sz w:val="24"/>
          <w:szCs w:val="24"/>
        </w:rPr>
        <w:t>-</w:t>
      </w:r>
      <w:r w:rsidRPr="00A9315B">
        <w:rPr>
          <w:rFonts w:ascii="Times New Roman" w:eastAsia="Times New Roman" w:hAnsi="Times New Roman" w:cs="Times New Roman"/>
          <w:sz w:val="24"/>
          <w:szCs w:val="24"/>
        </w:rPr>
        <w:tab/>
        <w:t>Exactos y, si fuera necesario, actualizados; mantenidos de forma que se permita la identificación de los interesados durante no más tiempo del necesario para los fines del tratamiento de los datos personales (“limitación del plazo de conservación”).</w:t>
      </w:r>
    </w:p>
    <w:p w14:paraId="46DA3F5E" w14:textId="70A608C2" w:rsidR="00A9315B" w:rsidRDefault="00A9315B" w:rsidP="00351D1A">
      <w:pPr>
        <w:spacing w:line="360" w:lineRule="auto"/>
        <w:ind w:firstLine="360"/>
        <w:jc w:val="both"/>
        <w:rPr>
          <w:rFonts w:ascii="Times New Roman" w:eastAsia="Times New Roman" w:hAnsi="Times New Roman" w:cs="Times New Roman"/>
          <w:sz w:val="24"/>
          <w:szCs w:val="24"/>
        </w:rPr>
      </w:pPr>
      <w:r w:rsidRPr="00A9315B">
        <w:rPr>
          <w:rFonts w:ascii="Times New Roman" w:eastAsia="Times New Roman" w:hAnsi="Times New Roman" w:cs="Times New Roman"/>
          <w:sz w:val="24"/>
          <w:szCs w:val="24"/>
        </w:rPr>
        <w:t>-</w:t>
      </w:r>
      <w:r w:rsidRPr="00A9315B">
        <w:rPr>
          <w:rFonts w:ascii="Times New Roman" w:eastAsia="Times New Roman" w:hAnsi="Times New Roman" w:cs="Times New Roman"/>
          <w:sz w:val="24"/>
          <w:szCs w:val="24"/>
        </w:rPr>
        <w:tab/>
        <w:t>Tratados de tal manera que se garantice una seguridad adecuada de los datos personales (“integridad y confidencialidad”).</w:t>
      </w:r>
    </w:p>
    <w:p w14:paraId="00000011" w14:textId="6620CB2E" w:rsidR="00E61663" w:rsidRPr="002F3DEE" w:rsidRDefault="00351D1A" w:rsidP="00351D1A">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l</w:t>
      </w:r>
      <w:r w:rsidR="00A14843" w:rsidRPr="002F3DEE">
        <w:rPr>
          <w:rFonts w:ascii="Times New Roman" w:eastAsia="Times New Roman" w:hAnsi="Times New Roman" w:cs="Times New Roman"/>
          <w:sz w:val="24"/>
          <w:szCs w:val="24"/>
        </w:rPr>
        <w:t xml:space="preserve">os múltiples riesgos que conlleva el uso del </w:t>
      </w:r>
      <w:r w:rsidR="00A14843" w:rsidRPr="002F3DEE">
        <w:rPr>
          <w:rFonts w:ascii="Times New Roman" w:eastAsia="Times New Roman" w:hAnsi="Times New Roman" w:cs="Times New Roman"/>
          <w:i/>
          <w:sz w:val="24"/>
          <w:szCs w:val="24"/>
        </w:rPr>
        <w:t>Big data</w:t>
      </w:r>
      <w:r w:rsidR="00A14843" w:rsidRPr="002F3DEE">
        <w:rPr>
          <w:rFonts w:ascii="Times New Roman" w:eastAsia="Times New Roman" w:hAnsi="Times New Roman" w:cs="Times New Roman"/>
          <w:sz w:val="24"/>
          <w:szCs w:val="24"/>
        </w:rPr>
        <w:t xml:space="preserve">, debe adoptarse una idea más amplia y más compleja del concepto de control y de responsabilidad. Se trata de evitar el posible impacto negativo del uso del </w:t>
      </w:r>
      <w:r w:rsidR="00A14843" w:rsidRPr="002F3DEE">
        <w:rPr>
          <w:rFonts w:ascii="Times New Roman" w:eastAsia="Times New Roman" w:hAnsi="Times New Roman" w:cs="Times New Roman"/>
          <w:i/>
          <w:sz w:val="24"/>
          <w:szCs w:val="24"/>
        </w:rPr>
        <w:t>Big Data</w:t>
      </w:r>
      <w:r w:rsidR="00A14843" w:rsidRPr="002F3DEE">
        <w:rPr>
          <w:rFonts w:ascii="Times New Roman" w:eastAsia="Times New Roman" w:hAnsi="Times New Roman" w:cs="Times New Roman"/>
          <w:sz w:val="24"/>
          <w:szCs w:val="24"/>
        </w:rPr>
        <w:t xml:space="preserve"> en la dignidad humana, los derechos humanos y los derechos fundamentales libertades individuales y colectivas, en particular con respecto a la protección de datos personales. La aplicación de algunos de los principios de procesamiento (por ejemplo, el principio de minimización de datos, limitación del propósito, equidad y transparencia, consentimiento específico e informado) puede ser un desafío en este escenario tecnológico. Se deben limitar los riesgos para los derechos de los interesados. Estos riesgos se refieren principalmente al sesgo potencial del análisis de datos, la subestimación de las implicaciones legales, sociales y éticas del uso de </w:t>
      </w:r>
      <w:r w:rsidR="00A14843" w:rsidRPr="002F3DEE">
        <w:rPr>
          <w:rFonts w:ascii="Times New Roman" w:eastAsia="Times New Roman" w:hAnsi="Times New Roman" w:cs="Times New Roman"/>
          <w:i/>
          <w:sz w:val="24"/>
          <w:szCs w:val="24"/>
        </w:rPr>
        <w:t>Big Data</w:t>
      </w:r>
      <w:r w:rsidR="00A14843" w:rsidRPr="002F3DEE">
        <w:rPr>
          <w:rFonts w:ascii="Times New Roman" w:eastAsia="Times New Roman" w:hAnsi="Times New Roman" w:cs="Times New Roman"/>
          <w:sz w:val="24"/>
          <w:szCs w:val="24"/>
        </w:rPr>
        <w:t xml:space="preserve"> para la toma de decisiones. </w:t>
      </w:r>
    </w:p>
    <w:p w14:paraId="00000012" w14:textId="1653359C" w:rsidR="00E61663" w:rsidRPr="002F3DEE" w:rsidRDefault="00351D1A" w:rsidP="00B035F6">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Así pues, e</w:t>
      </w:r>
      <w:r w:rsidR="00A14843" w:rsidRPr="002F3DEE">
        <w:rPr>
          <w:rFonts w:ascii="Times New Roman" w:eastAsia="Times New Roman" w:hAnsi="Times New Roman" w:cs="Times New Roman"/>
          <w:sz w:val="24"/>
          <w:szCs w:val="24"/>
        </w:rPr>
        <w:t>l término</w:t>
      </w:r>
      <w:r w:rsidR="00A14843" w:rsidRPr="002F3DEE">
        <w:rPr>
          <w:rFonts w:ascii="Times New Roman" w:eastAsia="Times New Roman" w:hAnsi="Times New Roman" w:cs="Times New Roman"/>
          <w:i/>
          <w:sz w:val="24"/>
          <w:szCs w:val="24"/>
        </w:rPr>
        <w:t xml:space="preserve"> accountability </w:t>
      </w:r>
      <w:r w:rsidR="00A14843" w:rsidRPr="002F3DEE">
        <w:rPr>
          <w:rFonts w:ascii="Times New Roman" w:eastAsia="Times New Roman" w:hAnsi="Times New Roman" w:cs="Times New Roman"/>
          <w:sz w:val="24"/>
          <w:szCs w:val="24"/>
        </w:rPr>
        <w:t>hace referencia a la responsabilidad en la implantación de los mecanismos adecuados para el cumplimiento del régimen jurídico del derecho a la protección de datos y a la utilización de métodos de validación que aseguren la fiabilidad del sistema establecido en la defensa de este derecho. Se trata de un sistema basado en la evaluación de los riesgos y en la demostración de la efectividad del mecanismo utilizado en la protección del derecho, cuando así lo soliciten las diferentes autoridades de control.</w:t>
      </w:r>
    </w:p>
    <w:p w14:paraId="00000014" w14:textId="1BC9E78D" w:rsidR="00E61663" w:rsidRPr="002F3DEE" w:rsidRDefault="00A14843" w:rsidP="00B035F6">
      <w:pPr>
        <w:spacing w:line="360" w:lineRule="auto"/>
        <w:ind w:firstLine="36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Por todo lo anterior, </w:t>
      </w:r>
      <w:r w:rsidR="00351D1A">
        <w:rPr>
          <w:rFonts w:ascii="Times New Roman" w:eastAsia="Times New Roman" w:hAnsi="Times New Roman" w:cs="Times New Roman"/>
          <w:sz w:val="24"/>
          <w:szCs w:val="24"/>
        </w:rPr>
        <w:t xml:space="preserve">entendemos que </w:t>
      </w:r>
      <w:r w:rsidRPr="002F3DEE">
        <w:rPr>
          <w:rFonts w:ascii="Times New Roman" w:eastAsia="Times New Roman" w:hAnsi="Times New Roman" w:cs="Times New Roman"/>
          <w:sz w:val="24"/>
          <w:szCs w:val="24"/>
        </w:rPr>
        <w:t xml:space="preserve">la gran novedad que introduce el RGPD es la responsabilidad proactiva. Esta responsabilidad, siendo muy necesaria en el tratamiento de datos personales, presenta dos inconvenientes. Por un lado, la seguridad jurídica. Esto es, si el responsable puede ser sancionado aun cumpliendo la norma siempre que no pueda </w:t>
      </w:r>
      <w:r w:rsidRPr="002F3DEE">
        <w:rPr>
          <w:rFonts w:ascii="Times New Roman" w:eastAsia="Times New Roman" w:hAnsi="Times New Roman" w:cs="Times New Roman"/>
          <w:sz w:val="24"/>
          <w:szCs w:val="24"/>
        </w:rPr>
        <w:lastRenderedPageBreak/>
        <w:t>demostrar a las autoridades de control que ha adoptado todas las medidas oportunas para minimizar los riesgos, será necesario una formación específica para asumir esa responsabilidad (en el siguiente apartado indicaremos algunas de las doctrinas jurisprudenciales más interesantes para resolver est</w:t>
      </w:r>
      <w:r w:rsidR="00845A4C">
        <w:rPr>
          <w:rFonts w:ascii="Times New Roman" w:eastAsia="Times New Roman" w:hAnsi="Times New Roman" w:cs="Times New Roman"/>
          <w:sz w:val="24"/>
          <w:szCs w:val="24"/>
        </w:rPr>
        <w:t>os interrogantes). Por otro</w:t>
      </w:r>
      <w:r w:rsidRPr="002F3DEE">
        <w:rPr>
          <w:rFonts w:ascii="Times New Roman" w:eastAsia="Times New Roman" w:hAnsi="Times New Roman" w:cs="Times New Roman"/>
          <w:sz w:val="24"/>
          <w:szCs w:val="24"/>
        </w:rPr>
        <w:t xml:space="preserve">, supone una modificación del régimen de responsabilidad tradicional. A la responsabilidad por dolo o culpa en sus diferentes modalidades, añadiremos otra, la responsabilidad por riesgo derivada de la responsabilidad proactiva. </w:t>
      </w:r>
    </w:p>
    <w:p w14:paraId="00000016" w14:textId="3F6F11BF" w:rsidR="00E61663" w:rsidRPr="002F3DEE" w:rsidRDefault="00A14843" w:rsidP="00B035F6">
      <w:pPr>
        <w:spacing w:line="360" w:lineRule="auto"/>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ab/>
        <w:t>Tanto en el RGPD (</w:t>
      </w:r>
      <w:r w:rsidR="00351D1A">
        <w:rPr>
          <w:rFonts w:ascii="Times New Roman" w:eastAsia="Times New Roman" w:hAnsi="Times New Roman" w:cs="Times New Roman"/>
          <w:sz w:val="24"/>
          <w:szCs w:val="24"/>
        </w:rPr>
        <w:t xml:space="preserve">art. 24 a 27) </w:t>
      </w:r>
      <w:r w:rsidRPr="002F3DEE">
        <w:rPr>
          <w:rFonts w:ascii="Times New Roman" w:eastAsia="Times New Roman" w:hAnsi="Times New Roman" w:cs="Times New Roman"/>
          <w:sz w:val="24"/>
          <w:szCs w:val="24"/>
        </w:rPr>
        <w:t xml:space="preserve">como en la LOPDGDD (arts. 28 </w:t>
      </w:r>
      <w:r w:rsidR="0072208A">
        <w:rPr>
          <w:rFonts w:ascii="Times New Roman" w:eastAsia="Times New Roman" w:hAnsi="Times New Roman" w:cs="Times New Roman"/>
          <w:sz w:val="24"/>
          <w:szCs w:val="24"/>
        </w:rPr>
        <w:t>a 32) se definen claramente quié</w:t>
      </w:r>
      <w:r w:rsidRPr="002F3DEE">
        <w:rPr>
          <w:rFonts w:ascii="Times New Roman" w:eastAsia="Times New Roman" w:hAnsi="Times New Roman" w:cs="Times New Roman"/>
          <w:sz w:val="24"/>
          <w:szCs w:val="24"/>
        </w:rPr>
        <w:t xml:space="preserve">nes son los responsables </w:t>
      </w:r>
      <w:r w:rsidR="0072208A">
        <w:rPr>
          <w:rFonts w:ascii="Times New Roman" w:eastAsia="Times New Roman" w:hAnsi="Times New Roman" w:cs="Times New Roman"/>
          <w:sz w:val="24"/>
          <w:szCs w:val="24"/>
        </w:rPr>
        <w:t>y, en su caso, los encargados (art. 28 RGPD y art. 33 LOPDGDD</w:t>
      </w:r>
      <w:r w:rsidRPr="002F3DEE">
        <w:rPr>
          <w:rFonts w:ascii="Times New Roman" w:eastAsia="Times New Roman" w:hAnsi="Times New Roman" w:cs="Times New Roman"/>
          <w:sz w:val="24"/>
          <w:szCs w:val="24"/>
        </w:rPr>
        <w:t>)</w:t>
      </w:r>
      <w:r w:rsidR="0072208A">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De acuerdo con el Dictamen 1/2010 sobre los conceptos de </w:t>
      </w:r>
      <w:r w:rsidRPr="002F3DEE">
        <w:rPr>
          <w:rFonts w:ascii="Times New Roman" w:eastAsia="Times New Roman" w:hAnsi="Times New Roman" w:cs="Times New Roman"/>
          <w:i/>
          <w:sz w:val="24"/>
          <w:szCs w:val="24"/>
        </w:rPr>
        <w:t>“responsable de tratamiento</w:t>
      </w:r>
      <w:r w:rsidRPr="002F3DEE">
        <w:rPr>
          <w:rFonts w:ascii="Times New Roman" w:eastAsia="Times New Roman" w:hAnsi="Times New Roman" w:cs="Times New Roman"/>
          <w:sz w:val="24"/>
          <w:szCs w:val="24"/>
        </w:rPr>
        <w:t>” y “</w:t>
      </w:r>
      <w:r w:rsidRPr="002F3DEE">
        <w:rPr>
          <w:rFonts w:ascii="Times New Roman" w:eastAsia="Times New Roman" w:hAnsi="Times New Roman" w:cs="Times New Roman"/>
          <w:i/>
          <w:sz w:val="24"/>
          <w:szCs w:val="24"/>
        </w:rPr>
        <w:t>encargado de tratamient</w:t>
      </w:r>
      <w:r w:rsidRPr="002F3DEE">
        <w:rPr>
          <w:rFonts w:ascii="Times New Roman" w:eastAsia="Times New Roman" w:hAnsi="Times New Roman" w:cs="Times New Roman"/>
          <w:sz w:val="24"/>
          <w:szCs w:val="24"/>
        </w:rPr>
        <w:t>o” adoptado el 16 de febrero de 2010 por el GT 29</w:t>
      </w:r>
      <w:r w:rsidRPr="002F3DEE">
        <w:rPr>
          <w:rFonts w:ascii="Times New Roman" w:eastAsia="Times New Roman" w:hAnsi="Times New Roman" w:cs="Times New Roman"/>
          <w:sz w:val="24"/>
          <w:szCs w:val="24"/>
          <w:vertAlign w:val="superscript"/>
        </w:rPr>
        <w:footnoteReference w:id="12"/>
      </w:r>
      <w:r w:rsidRPr="002F3DEE">
        <w:rPr>
          <w:rFonts w:ascii="Times New Roman" w:eastAsia="Times New Roman" w:hAnsi="Times New Roman" w:cs="Times New Roman"/>
          <w:sz w:val="24"/>
          <w:szCs w:val="24"/>
        </w:rPr>
        <w:t xml:space="preserve"> , en el tratamiento de datos personales es primordial determinar </w:t>
      </w:r>
      <w:r w:rsidRPr="002F3DEE">
        <w:rPr>
          <w:rFonts w:ascii="Times New Roman" w:eastAsia="Times New Roman" w:hAnsi="Times New Roman" w:cs="Times New Roman"/>
          <w:i/>
          <w:sz w:val="24"/>
          <w:szCs w:val="24"/>
        </w:rPr>
        <w:t xml:space="preserve">quién </w:t>
      </w:r>
      <w:r w:rsidRPr="002F3DEE">
        <w:rPr>
          <w:rFonts w:ascii="Times New Roman" w:eastAsia="Times New Roman" w:hAnsi="Times New Roman" w:cs="Times New Roman"/>
          <w:sz w:val="24"/>
          <w:szCs w:val="24"/>
        </w:rPr>
        <w:t xml:space="preserve">debe asumir la responsabilidad del cumplimiento de las normas sobre protección de datos y </w:t>
      </w:r>
      <w:r w:rsidRPr="002F3DEE">
        <w:rPr>
          <w:rFonts w:ascii="Times New Roman" w:eastAsia="Times New Roman" w:hAnsi="Times New Roman" w:cs="Times New Roman"/>
          <w:i/>
          <w:sz w:val="24"/>
          <w:szCs w:val="24"/>
        </w:rPr>
        <w:t>de qué manera</w:t>
      </w:r>
      <w:r w:rsidRPr="002F3DEE">
        <w:rPr>
          <w:rFonts w:ascii="Times New Roman" w:eastAsia="Times New Roman" w:hAnsi="Times New Roman" w:cs="Times New Roman"/>
          <w:sz w:val="24"/>
          <w:szCs w:val="24"/>
        </w:rPr>
        <w:t xml:space="preserve"> los interesados pueden ejercer sus derechos en la práctica. Conviene subrayar que cuando hablamos de responsable de tratamiento lo estamos haciendo desde una perspectiva funcional. Es decir, lo relevante para determinar la responsabilidad en protección de datos es la realidad fáctica que se produce en el tratamiento sobre la finalidad del registro de los datos personales. En definitiva</w:t>
      </w:r>
      <w:r w:rsidR="002F3DEE">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lo importante es determinar quién fija los fines y los medios de tratamiento y la persona que lo haga será la responsable del mismo. De esta forma el responsable es el que responde a tres preguntas</w:t>
      </w:r>
      <w:r w:rsidRPr="002F3DEE">
        <w:rPr>
          <w:rFonts w:ascii="Times New Roman" w:eastAsia="Times New Roman" w:hAnsi="Times New Roman" w:cs="Times New Roman"/>
          <w:i/>
          <w:sz w:val="24"/>
          <w:szCs w:val="24"/>
        </w:rPr>
        <w:t xml:space="preserve"> para qué</w:t>
      </w:r>
      <w:r w:rsidRPr="002F3DEE">
        <w:rPr>
          <w:rFonts w:ascii="Times New Roman" w:eastAsia="Times New Roman" w:hAnsi="Times New Roman" w:cs="Times New Roman"/>
          <w:sz w:val="24"/>
          <w:szCs w:val="24"/>
        </w:rPr>
        <w:t xml:space="preserve"> se hace el tratamiento; </w:t>
      </w:r>
      <w:r w:rsidRPr="002F3DEE">
        <w:rPr>
          <w:rFonts w:ascii="Times New Roman" w:eastAsia="Times New Roman" w:hAnsi="Times New Roman" w:cs="Times New Roman"/>
          <w:i/>
          <w:sz w:val="24"/>
          <w:szCs w:val="24"/>
        </w:rPr>
        <w:t xml:space="preserve">con qué </w:t>
      </w:r>
      <w:r w:rsidRPr="002F3DEE">
        <w:rPr>
          <w:rFonts w:ascii="Times New Roman" w:eastAsia="Times New Roman" w:hAnsi="Times New Roman" w:cs="Times New Roman"/>
          <w:sz w:val="24"/>
          <w:szCs w:val="24"/>
        </w:rPr>
        <w:t xml:space="preserve">medios se realiza el tratamiento y </w:t>
      </w:r>
      <w:r w:rsidRPr="002F3DEE">
        <w:rPr>
          <w:rFonts w:ascii="Times New Roman" w:eastAsia="Times New Roman" w:hAnsi="Times New Roman" w:cs="Times New Roman"/>
          <w:i/>
          <w:sz w:val="24"/>
          <w:szCs w:val="24"/>
        </w:rPr>
        <w:t xml:space="preserve">quiénes </w:t>
      </w:r>
      <w:r w:rsidRPr="002F3DEE">
        <w:rPr>
          <w:rFonts w:ascii="Times New Roman" w:eastAsia="Times New Roman" w:hAnsi="Times New Roman" w:cs="Times New Roman"/>
          <w:sz w:val="24"/>
          <w:szCs w:val="24"/>
        </w:rPr>
        <w:t xml:space="preserve">pueden acceder al tratamiento </w:t>
      </w:r>
      <w:r w:rsidRPr="002F3DEE">
        <w:rPr>
          <w:rFonts w:ascii="Times New Roman" w:eastAsia="Times New Roman" w:hAnsi="Times New Roman" w:cs="Times New Roman"/>
          <w:sz w:val="24"/>
          <w:szCs w:val="24"/>
          <w:vertAlign w:val="superscript"/>
        </w:rPr>
        <w:footnoteReference w:id="13"/>
      </w:r>
      <w:r w:rsidRPr="002F3DEE">
        <w:rPr>
          <w:rFonts w:ascii="Times New Roman" w:eastAsia="Times New Roman" w:hAnsi="Times New Roman" w:cs="Times New Roman"/>
          <w:sz w:val="24"/>
          <w:szCs w:val="24"/>
        </w:rPr>
        <w:t>.</w:t>
      </w:r>
    </w:p>
    <w:p w14:paraId="00000017" w14:textId="24384D12" w:rsidR="00E61663" w:rsidRPr="002F3DEE" w:rsidRDefault="00A14843" w:rsidP="00B035F6">
      <w:pPr>
        <w:spacing w:line="360" w:lineRule="auto"/>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ab/>
        <w:t>Los responsables y encargados de tratamiento deben tener un Registro de Actividades de Tratamiento por escrito preferentemente en formato electrónico que</w:t>
      </w:r>
      <w:r w:rsidR="002F3DEE">
        <w:rPr>
          <w:rFonts w:ascii="Times New Roman" w:eastAsia="Times New Roman" w:hAnsi="Times New Roman" w:cs="Times New Roman"/>
          <w:sz w:val="24"/>
          <w:szCs w:val="24"/>
        </w:rPr>
        <w:t xml:space="preserve"> deberá estar a disposición de </w:t>
      </w:r>
      <w:r w:rsidRPr="002F3DEE">
        <w:rPr>
          <w:rFonts w:ascii="Times New Roman" w:eastAsia="Times New Roman" w:hAnsi="Times New Roman" w:cs="Times New Roman"/>
          <w:sz w:val="24"/>
          <w:szCs w:val="24"/>
        </w:rPr>
        <w:t>la Autoridad de Control en la que se incluya una descripción de los tratamiento</w:t>
      </w:r>
      <w:r w:rsidR="002F3DEE">
        <w:rPr>
          <w:rFonts w:ascii="Times New Roman" w:eastAsia="Times New Roman" w:hAnsi="Times New Roman" w:cs="Times New Roman"/>
          <w:sz w:val="24"/>
          <w:szCs w:val="24"/>
        </w:rPr>
        <w:t>s</w:t>
      </w:r>
      <w:r w:rsidRPr="002F3DEE">
        <w:rPr>
          <w:rFonts w:ascii="Times New Roman" w:eastAsia="Times New Roman" w:hAnsi="Times New Roman" w:cs="Times New Roman"/>
          <w:sz w:val="24"/>
          <w:szCs w:val="24"/>
        </w:rPr>
        <w:t>, nombre del responsable, fines del tratamiento, cate</w:t>
      </w:r>
      <w:r w:rsidR="002F3DEE">
        <w:rPr>
          <w:rFonts w:ascii="Times New Roman" w:eastAsia="Times New Roman" w:hAnsi="Times New Roman" w:cs="Times New Roman"/>
          <w:sz w:val="24"/>
          <w:szCs w:val="24"/>
        </w:rPr>
        <w:t>gorí</w:t>
      </w:r>
      <w:r w:rsidRPr="002F3DEE">
        <w:rPr>
          <w:rFonts w:ascii="Times New Roman" w:eastAsia="Times New Roman" w:hAnsi="Times New Roman" w:cs="Times New Roman"/>
          <w:sz w:val="24"/>
          <w:szCs w:val="24"/>
        </w:rPr>
        <w:t xml:space="preserve">a de datos personales, descripción de medidas técnicas y organizativas de seguridad, si hay o no transferencia de datos a terceros, etc. </w:t>
      </w:r>
    </w:p>
    <w:p w14:paraId="0000001F" w14:textId="49313A5E" w:rsidR="00E61663" w:rsidRPr="002F3DEE" w:rsidRDefault="00A14843" w:rsidP="00A9315B">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lastRenderedPageBreak/>
        <w:t>De esta forma, no solamente debe de evitarse accesos no autorizados a los datos personales, sino también otras amenazas tales como causas naturales, accidentes, errores humanos, posibles errores en el funcionamiento de los tratamientos automatizados (en particular, aquellos que derivan de sistemas y toma de decisiones automatizad</w:t>
      </w:r>
      <w:r w:rsidR="002F3DEE">
        <w:rPr>
          <w:rFonts w:ascii="Times New Roman" w:eastAsia="Times New Roman" w:hAnsi="Times New Roman" w:cs="Times New Roman"/>
          <w:sz w:val="24"/>
          <w:szCs w:val="24"/>
        </w:rPr>
        <w:t xml:space="preserve">as sobre individuos). Esto es, </w:t>
      </w:r>
      <w:r w:rsidRPr="002F3DEE">
        <w:rPr>
          <w:rFonts w:ascii="Times New Roman" w:eastAsia="Times New Roman" w:hAnsi="Times New Roman" w:cs="Times New Roman"/>
          <w:sz w:val="24"/>
          <w:szCs w:val="24"/>
        </w:rPr>
        <w:t xml:space="preserve">no solo hay que ser diligente y cumplir la normativa, sino que, además, el responsable del tratamiento debe ser capaz de demostrarlo. A ello </w:t>
      </w:r>
      <w:r w:rsidR="00845A4C">
        <w:rPr>
          <w:rFonts w:ascii="Times New Roman" w:eastAsia="Times New Roman" w:hAnsi="Times New Roman" w:cs="Times New Roman"/>
          <w:sz w:val="24"/>
          <w:szCs w:val="24"/>
        </w:rPr>
        <w:t xml:space="preserve">se denomina </w:t>
      </w:r>
      <w:r w:rsidRPr="002F3DEE">
        <w:rPr>
          <w:rFonts w:ascii="Times New Roman" w:eastAsia="Times New Roman" w:hAnsi="Times New Roman" w:cs="Times New Roman"/>
          <w:sz w:val="24"/>
          <w:szCs w:val="24"/>
        </w:rPr>
        <w:t xml:space="preserve">responsabilidad proactiva. Básicamente consiste en que para el responsable no basta con cumplir con los preceptos vigentes para no ser sancionado. Hace falta algo más, demostrar que se ha puesto todo el interés y atención en que el tratamiento de datos personales se ha realizado correctamente, que se han adoptado todas las medidas para asegurar con pulcritud el cumplimiento de la normativa vigente y, además, se puede demostrar. Insistimos, quienes tratan datos personales, no solo deben cumplir las normas, sino que deben, cuando sean requeridos, demostrarlo a las autoridades de control. </w:t>
      </w:r>
    </w:p>
    <w:p w14:paraId="00000020" w14:textId="5D9347D9"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De un modo general, el riesgo es la probabilidad de que se materialice una amenaza unido al impacto que tendría en caso de que se produjera. A estos efectos puede entenderse por amenaza aquella circunstancia susceptible de provocar un daño o perjuicio a los interesados cuyos datos personales son objeto de tratamiento. Hay que partir de que los s</w:t>
      </w:r>
      <w:r w:rsidR="00104D31">
        <w:rPr>
          <w:rFonts w:ascii="Times New Roman" w:eastAsia="Times New Roman" w:hAnsi="Times New Roman" w:cs="Times New Roman"/>
          <w:sz w:val="24"/>
          <w:szCs w:val="24"/>
        </w:rPr>
        <w:t xml:space="preserve">istemas fallan y que ninguno es totalmente </w:t>
      </w:r>
      <w:r w:rsidRPr="002F3DEE">
        <w:rPr>
          <w:rFonts w:ascii="Times New Roman" w:eastAsia="Times New Roman" w:hAnsi="Times New Roman" w:cs="Times New Roman"/>
          <w:sz w:val="24"/>
          <w:szCs w:val="24"/>
        </w:rPr>
        <w:t>seguro, por lo que no se puede plantear un tratamiento bajo el supuesto de que la seguridad nunca puede ser violada. Tal como establece la Agencia Española de Protección de Datos (en adelante AEPD), durante el ciclo de vida del tratamiento, el que se produzca una brecha de seguridad es cuestión de tiempo. El RGPD hace referencia al término “riesgo” en setenta y tres ocasiones a lo largo del texto y lo hace de manera específica en los arts. 4.24, 23.2g, 24.1, 25.1, 27.2a, 30.5, 32, 33, 34, 35, 36, 39, 49.1</w:t>
      </w:r>
    </w:p>
    <w:p w14:paraId="00000022" w14:textId="78EA8C4F"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Para la correcta implementación de la responsabilidad proactiva</w:t>
      </w:r>
      <w:r w:rsidR="00845A4C">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el RGPD establece dos mecanis</w:t>
      </w:r>
      <w:r w:rsidR="00104D31">
        <w:rPr>
          <w:rFonts w:ascii="Times New Roman" w:eastAsia="Times New Roman" w:hAnsi="Times New Roman" w:cs="Times New Roman"/>
          <w:sz w:val="24"/>
          <w:szCs w:val="24"/>
        </w:rPr>
        <w:t>mos consistentes en la protecció</w:t>
      </w:r>
      <w:r w:rsidRPr="002F3DEE">
        <w:rPr>
          <w:rFonts w:ascii="Times New Roman" w:eastAsia="Times New Roman" w:hAnsi="Times New Roman" w:cs="Times New Roman"/>
          <w:sz w:val="24"/>
          <w:szCs w:val="24"/>
        </w:rPr>
        <w:t>n de datos desde el diseño y la protección de datos por defecto. Cuando hablamos de protección de datos desde el diseño nos estamos refiriendo a que la protección de datos debe de estar presente desde el principio de la concepción del proyecto y debe formar parte de todos los elementos y de toda</w:t>
      </w:r>
      <w:r w:rsidR="002F3DEE">
        <w:rPr>
          <w:rFonts w:ascii="Times New Roman" w:eastAsia="Times New Roman" w:hAnsi="Times New Roman" w:cs="Times New Roman"/>
          <w:sz w:val="24"/>
          <w:szCs w:val="24"/>
        </w:rPr>
        <w:t>s</w:t>
      </w:r>
      <w:r w:rsidRPr="002F3DEE">
        <w:rPr>
          <w:rFonts w:ascii="Times New Roman" w:eastAsia="Times New Roman" w:hAnsi="Times New Roman" w:cs="Times New Roman"/>
          <w:sz w:val="24"/>
          <w:szCs w:val="24"/>
        </w:rPr>
        <w:t xml:space="preserve"> la</w:t>
      </w:r>
      <w:r w:rsidR="00351D1A">
        <w:rPr>
          <w:rFonts w:ascii="Times New Roman" w:eastAsia="Times New Roman" w:hAnsi="Times New Roman" w:cs="Times New Roman"/>
          <w:sz w:val="24"/>
          <w:szCs w:val="24"/>
        </w:rPr>
        <w:t>s</w:t>
      </w:r>
      <w:r w:rsidRPr="002F3DEE">
        <w:rPr>
          <w:rFonts w:ascii="Times New Roman" w:eastAsia="Times New Roman" w:hAnsi="Times New Roman" w:cs="Times New Roman"/>
          <w:sz w:val="24"/>
          <w:szCs w:val="24"/>
        </w:rPr>
        <w:t xml:space="preserve"> fases del desarrollo de la actividad. En otras palabras, la normativa de protección de datos debe formar parte del protocolo de la actividad de tratamiento. Cuando hablamos de protección de datos por defecto nos estamos refiriendo al principio de minimización </w:t>
      </w:r>
      <w:r w:rsidRPr="002F3DEE">
        <w:rPr>
          <w:rFonts w:ascii="Times New Roman" w:eastAsia="Times New Roman" w:hAnsi="Times New Roman" w:cs="Times New Roman"/>
          <w:sz w:val="24"/>
          <w:szCs w:val="24"/>
        </w:rPr>
        <w:lastRenderedPageBreak/>
        <w:t>de datos. Es decir, en la actividad de tratamiento sólo se pueden recabar los datos estrictamente necesarios para los fines del tratamiento.</w:t>
      </w:r>
    </w:p>
    <w:p w14:paraId="00000023" w14:textId="6BBED140"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Muy ligada al principio de responsabilidad proactiva está la evaluación de impacto en protección de datos (EIPD) como herramienta preventiva que debe realizar el responsable del tratamiento al objeto de identificar, evaluar y gestionar los riesgos a los que están expuestos los tratamiento</w:t>
      </w:r>
      <w:r w:rsidR="00351D1A">
        <w:rPr>
          <w:rFonts w:ascii="Times New Roman" w:eastAsia="Times New Roman" w:hAnsi="Times New Roman" w:cs="Times New Roman"/>
          <w:sz w:val="24"/>
          <w:szCs w:val="24"/>
        </w:rPr>
        <w:t>s</w:t>
      </w:r>
      <w:r w:rsidRPr="002F3DEE">
        <w:rPr>
          <w:rFonts w:ascii="Times New Roman" w:eastAsia="Times New Roman" w:hAnsi="Times New Roman" w:cs="Times New Roman"/>
          <w:sz w:val="24"/>
          <w:szCs w:val="24"/>
        </w:rPr>
        <w:t xml:space="preserve"> con la finalidad de que los derechos y libertades de las personas físicas no queden vulnerados. Esta evaluación de impacto, tal como señala tanto el RGPD</w:t>
      </w:r>
      <w:r w:rsidRPr="002F3DEE">
        <w:rPr>
          <w:rFonts w:ascii="Times New Roman" w:eastAsia="Times New Roman" w:hAnsi="Times New Roman" w:cs="Times New Roman"/>
          <w:sz w:val="24"/>
          <w:szCs w:val="24"/>
          <w:vertAlign w:val="superscript"/>
        </w:rPr>
        <w:footnoteReference w:id="14"/>
      </w:r>
      <w:r w:rsidR="00845A4C">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en algunas ocasiones es obligatoria con carácter previo a las operaciones de tratamiento. Ello tiene lugar cuando el tratamiento de datos ocasiona riesgos de seguridad. A estos efectos las Autoridades de Control publican una lista de aquellos tratamientos que requieren una previa evaluación de impacto.</w:t>
      </w:r>
    </w:p>
    <w:p w14:paraId="00000025" w14:textId="55D195E2"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La evaluación</w:t>
      </w:r>
      <w:r w:rsidRPr="002F3DEE">
        <w:rPr>
          <w:rFonts w:ascii="Times New Roman" w:eastAsia="Times New Roman" w:hAnsi="Times New Roman" w:cs="Times New Roman"/>
          <w:sz w:val="24"/>
          <w:szCs w:val="24"/>
          <w:vertAlign w:val="superscript"/>
        </w:rPr>
        <w:footnoteReference w:id="15"/>
      </w:r>
      <w:r w:rsidRPr="002F3DEE">
        <w:rPr>
          <w:rFonts w:ascii="Times New Roman" w:eastAsia="Times New Roman" w:hAnsi="Times New Roman" w:cs="Times New Roman"/>
          <w:sz w:val="24"/>
          <w:szCs w:val="24"/>
        </w:rPr>
        <w:t xml:space="preserve"> deberá incluir necesariamente: a) una descripción sistemática de las operaciones de tratamiento previstas, de los fines del tratamiento y cuando proceda, el interés legítimo perseguido por el responsable del tratamiento; b) una evaluación de la necesidad y la proporcionalidad de las operaciones de tratamiento con respecto a su finalidad; c) una evaluación de los riesgos para los derechos y libertades de los interesados; d) las medidas previstas para afrontar los riesgos incluidas garantías, medidas de seguridad y mecanismos que garanticen la protección de datos personales.</w:t>
      </w:r>
    </w:p>
    <w:p w14:paraId="00000028" w14:textId="3C003DE1" w:rsidR="00E61663" w:rsidRPr="002F3DEE" w:rsidRDefault="00E61663" w:rsidP="00351D1A">
      <w:pPr>
        <w:spacing w:line="360" w:lineRule="auto"/>
        <w:jc w:val="both"/>
        <w:rPr>
          <w:rFonts w:ascii="Times New Roman" w:eastAsia="Times New Roman" w:hAnsi="Times New Roman" w:cs="Times New Roman"/>
          <w:sz w:val="24"/>
          <w:szCs w:val="24"/>
        </w:rPr>
      </w:pPr>
    </w:p>
    <w:p w14:paraId="00000029" w14:textId="138AF103" w:rsidR="00E61663" w:rsidRPr="002F3DEE" w:rsidRDefault="00A14843" w:rsidP="00B035F6">
      <w:pPr>
        <w:numPr>
          <w:ilvl w:val="0"/>
          <w:numId w:val="2"/>
        </w:num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sidRPr="002F3DEE">
        <w:rPr>
          <w:rFonts w:ascii="Times New Roman" w:eastAsia="Times New Roman" w:hAnsi="Times New Roman" w:cs="Times New Roman"/>
          <w:b/>
          <w:color w:val="000000"/>
          <w:sz w:val="24"/>
          <w:szCs w:val="24"/>
        </w:rPr>
        <w:t>Plasmación de la exigencia de la</w:t>
      </w:r>
      <w:r w:rsidR="002F3DEE">
        <w:rPr>
          <w:rFonts w:ascii="Times New Roman" w:eastAsia="Times New Roman" w:hAnsi="Times New Roman" w:cs="Times New Roman"/>
          <w:b/>
          <w:color w:val="000000"/>
          <w:sz w:val="24"/>
          <w:szCs w:val="24"/>
        </w:rPr>
        <w:t xml:space="preserve"> responsabilidad proactiva </w:t>
      </w:r>
      <w:r w:rsidRPr="002F3DEE">
        <w:rPr>
          <w:rFonts w:ascii="Times New Roman" w:eastAsia="Times New Roman" w:hAnsi="Times New Roman" w:cs="Times New Roman"/>
          <w:b/>
          <w:color w:val="000000"/>
          <w:sz w:val="24"/>
          <w:szCs w:val="24"/>
        </w:rPr>
        <w:t xml:space="preserve">en </w:t>
      </w:r>
      <w:r w:rsidR="00351D1A">
        <w:rPr>
          <w:rFonts w:ascii="Times New Roman" w:eastAsia="Times New Roman" w:hAnsi="Times New Roman" w:cs="Times New Roman"/>
          <w:b/>
          <w:color w:val="000000"/>
          <w:sz w:val="24"/>
          <w:szCs w:val="24"/>
        </w:rPr>
        <w:t>algunos casos jurisprudenciales</w:t>
      </w:r>
    </w:p>
    <w:p w14:paraId="0000002A" w14:textId="77777777" w:rsidR="00E61663" w:rsidRPr="002F3DEE" w:rsidRDefault="00E61663" w:rsidP="00B035F6">
      <w:pPr>
        <w:spacing w:line="360" w:lineRule="auto"/>
        <w:ind w:firstLine="720"/>
        <w:jc w:val="both"/>
        <w:rPr>
          <w:rFonts w:ascii="Times New Roman" w:eastAsia="Times New Roman" w:hAnsi="Times New Roman" w:cs="Times New Roman"/>
          <w:sz w:val="24"/>
          <w:szCs w:val="24"/>
        </w:rPr>
      </w:pPr>
      <w:bookmarkStart w:id="1" w:name="_heading=h.ordwyo3vfm98" w:colFirst="0" w:colLast="0"/>
      <w:bookmarkEnd w:id="1"/>
    </w:p>
    <w:p w14:paraId="0000002B" w14:textId="46F33856" w:rsidR="00E61663" w:rsidRPr="002F3DEE" w:rsidRDefault="00A14843" w:rsidP="00B035F6">
      <w:pPr>
        <w:spacing w:line="360" w:lineRule="auto"/>
        <w:ind w:firstLine="720"/>
        <w:jc w:val="both"/>
        <w:rPr>
          <w:rFonts w:ascii="Times New Roman" w:eastAsia="Times New Roman" w:hAnsi="Times New Roman" w:cs="Times New Roman"/>
          <w:b/>
          <w:sz w:val="24"/>
          <w:szCs w:val="24"/>
        </w:rPr>
      </w:pPr>
      <w:bookmarkStart w:id="2" w:name="_heading=h.52lyt0874sna" w:colFirst="0" w:colLast="0"/>
      <w:bookmarkEnd w:id="2"/>
      <w:r w:rsidRPr="002F3DEE">
        <w:rPr>
          <w:rFonts w:ascii="Times New Roman" w:eastAsia="Times New Roman" w:hAnsi="Times New Roman" w:cs="Times New Roman"/>
          <w:b/>
          <w:sz w:val="24"/>
          <w:szCs w:val="24"/>
        </w:rPr>
        <w:t>III.1.- Características propias de la responsabilidad en materia de protección de datos personales por parte de las Administraciones Públicas</w:t>
      </w:r>
      <w:r w:rsidR="00845A4C">
        <w:rPr>
          <w:rFonts w:ascii="Times New Roman" w:eastAsia="Times New Roman" w:hAnsi="Times New Roman" w:cs="Times New Roman"/>
          <w:b/>
          <w:sz w:val="24"/>
          <w:szCs w:val="24"/>
        </w:rPr>
        <w:t>.</w:t>
      </w:r>
    </w:p>
    <w:p w14:paraId="0000002C" w14:textId="77777777" w:rsidR="00E61663" w:rsidRPr="002F3DEE" w:rsidRDefault="00E61663" w:rsidP="00B035F6">
      <w:pPr>
        <w:spacing w:line="360" w:lineRule="auto"/>
        <w:ind w:firstLine="720"/>
        <w:jc w:val="both"/>
        <w:rPr>
          <w:rFonts w:ascii="Times New Roman" w:eastAsia="Times New Roman" w:hAnsi="Times New Roman" w:cs="Times New Roman"/>
          <w:sz w:val="24"/>
          <w:szCs w:val="24"/>
        </w:rPr>
      </w:pPr>
      <w:bookmarkStart w:id="3" w:name="_heading=h.doyo9pdstlj0" w:colFirst="0" w:colLast="0"/>
      <w:bookmarkEnd w:id="3"/>
    </w:p>
    <w:p w14:paraId="0000002D" w14:textId="4D46E470" w:rsidR="00E61663" w:rsidRPr="002F3DEE" w:rsidRDefault="00A14843" w:rsidP="00B035F6">
      <w:pPr>
        <w:spacing w:line="360" w:lineRule="auto"/>
        <w:ind w:firstLine="720"/>
        <w:jc w:val="both"/>
        <w:rPr>
          <w:rFonts w:ascii="Times New Roman" w:eastAsia="Times New Roman" w:hAnsi="Times New Roman" w:cs="Times New Roman"/>
          <w:sz w:val="24"/>
          <w:szCs w:val="24"/>
        </w:rPr>
      </w:pPr>
      <w:bookmarkStart w:id="4" w:name="_heading=h.fwr5q1dn1hpo" w:colFirst="0" w:colLast="0"/>
      <w:bookmarkEnd w:id="4"/>
      <w:r w:rsidRPr="002F3DEE">
        <w:rPr>
          <w:rFonts w:ascii="Times New Roman" w:eastAsia="Times New Roman" w:hAnsi="Times New Roman" w:cs="Times New Roman"/>
          <w:sz w:val="24"/>
          <w:szCs w:val="24"/>
        </w:rPr>
        <w:lastRenderedPageBreak/>
        <w:t xml:space="preserve">Cuando el responsable de tratamiento es una entidad del sector público </w:t>
      </w:r>
      <w:r w:rsidR="00351D1A">
        <w:rPr>
          <w:rFonts w:ascii="Times New Roman" w:eastAsia="Times New Roman" w:hAnsi="Times New Roman" w:cs="Times New Roman"/>
          <w:sz w:val="24"/>
          <w:szCs w:val="24"/>
        </w:rPr>
        <w:t xml:space="preserve">que, </w:t>
      </w:r>
      <w:r w:rsidRPr="002F3DEE">
        <w:rPr>
          <w:rFonts w:ascii="Times New Roman" w:eastAsia="Times New Roman" w:hAnsi="Times New Roman" w:cs="Times New Roman"/>
          <w:sz w:val="24"/>
          <w:szCs w:val="24"/>
        </w:rPr>
        <w:t>para el cumplimiento de una misión de interés público o en el ejercicio de poderes públicos o en el cumpli</w:t>
      </w:r>
      <w:r w:rsidR="00351D1A">
        <w:rPr>
          <w:rFonts w:ascii="Times New Roman" w:eastAsia="Times New Roman" w:hAnsi="Times New Roman" w:cs="Times New Roman"/>
          <w:sz w:val="24"/>
          <w:szCs w:val="24"/>
        </w:rPr>
        <w:t xml:space="preserve">miento de una obligación legal, utiliza datos personales, </w:t>
      </w:r>
      <w:r w:rsidRPr="002F3DEE">
        <w:rPr>
          <w:rFonts w:ascii="Times New Roman" w:eastAsia="Times New Roman" w:hAnsi="Times New Roman" w:cs="Times New Roman"/>
          <w:sz w:val="24"/>
          <w:szCs w:val="24"/>
        </w:rPr>
        <w:t>la posibilidad de que se produzca una brecha de seguridad es muy alto.</w:t>
      </w:r>
      <w:r w:rsidR="002F3DEE">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 xml:space="preserve">Concretamente la interconexión de infraestructuras para el acceso y el intercambio de datos multiplica la probabilidad de que </w:t>
      </w:r>
      <w:r w:rsidR="00351D1A" w:rsidRPr="002F3DEE">
        <w:rPr>
          <w:rFonts w:ascii="Times New Roman" w:eastAsia="Times New Roman" w:hAnsi="Times New Roman" w:cs="Times New Roman"/>
          <w:sz w:val="24"/>
          <w:szCs w:val="24"/>
        </w:rPr>
        <w:t xml:space="preserve">se produzca </w:t>
      </w:r>
      <w:r w:rsidRPr="002F3DEE">
        <w:rPr>
          <w:rFonts w:ascii="Times New Roman" w:eastAsia="Times New Roman" w:hAnsi="Times New Roman" w:cs="Times New Roman"/>
          <w:sz w:val="24"/>
          <w:szCs w:val="24"/>
        </w:rPr>
        <w:t>una amenaza a la seguridad de datos personales</w:t>
      </w:r>
      <w:r w:rsidRPr="002F3DEE">
        <w:rPr>
          <w:rFonts w:ascii="Times New Roman" w:eastAsia="Times New Roman" w:hAnsi="Times New Roman" w:cs="Times New Roman"/>
          <w:sz w:val="24"/>
          <w:szCs w:val="24"/>
          <w:vertAlign w:val="superscript"/>
        </w:rPr>
        <w:footnoteReference w:id="16"/>
      </w:r>
      <w:r w:rsidRPr="002F3DEE">
        <w:rPr>
          <w:rFonts w:ascii="Times New Roman" w:eastAsia="Times New Roman" w:hAnsi="Times New Roman" w:cs="Times New Roman"/>
          <w:sz w:val="24"/>
          <w:szCs w:val="24"/>
        </w:rPr>
        <w:t xml:space="preserve">.  La doctrina asentada por el TS (algunas sentencias se resumen en los párrafos siguientes) es que las medidas de seguridad son una obligación de medios y no de resultados. De ello se infiere que los responsables (las Administraciones Públicas) deben asumir </w:t>
      </w:r>
      <w:r w:rsidR="00351D1A">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por</w:t>
      </w:r>
      <w:r w:rsidR="00351D1A">
        <w:rPr>
          <w:rFonts w:ascii="Times New Roman" w:eastAsia="Times New Roman" w:hAnsi="Times New Roman" w:cs="Times New Roman"/>
          <w:sz w:val="24"/>
          <w:szCs w:val="24"/>
        </w:rPr>
        <w:t xml:space="preserve">que realizan el </w:t>
      </w:r>
      <w:r w:rsidRPr="002F3DEE">
        <w:rPr>
          <w:rFonts w:ascii="Times New Roman" w:eastAsia="Times New Roman" w:hAnsi="Times New Roman" w:cs="Times New Roman"/>
          <w:sz w:val="24"/>
          <w:szCs w:val="24"/>
        </w:rPr>
        <w:t>diseño de la actividad</w:t>
      </w:r>
      <w:r w:rsidR="00351D1A">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que las brechas de seguridad pueden producirse, estimar el riesgo y gestionar las respuestas a las mismas. </w:t>
      </w:r>
    </w:p>
    <w:p w14:paraId="0000002E" w14:textId="6F5138AE" w:rsidR="00E61663" w:rsidRPr="002F3DEE" w:rsidRDefault="00A14843" w:rsidP="00B035F6">
      <w:pPr>
        <w:spacing w:line="360" w:lineRule="auto"/>
        <w:ind w:firstLine="720"/>
        <w:jc w:val="both"/>
        <w:rPr>
          <w:rFonts w:ascii="Times New Roman" w:eastAsia="Times New Roman" w:hAnsi="Times New Roman" w:cs="Times New Roman"/>
          <w:sz w:val="24"/>
          <w:szCs w:val="24"/>
        </w:rPr>
      </w:pPr>
      <w:bookmarkStart w:id="5" w:name="_heading=h.ctjrnlj2bsvx" w:colFirst="0" w:colLast="0"/>
      <w:bookmarkEnd w:id="5"/>
      <w:r w:rsidRPr="002F3DEE">
        <w:rPr>
          <w:rFonts w:ascii="Times New Roman" w:eastAsia="Times New Roman" w:hAnsi="Times New Roman" w:cs="Times New Roman"/>
          <w:sz w:val="24"/>
          <w:szCs w:val="24"/>
        </w:rPr>
        <w:t>Una cuestión de interés cuando hablamos del tratamiento de datos personales por p</w:t>
      </w:r>
      <w:r w:rsidR="006A1819">
        <w:rPr>
          <w:rFonts w:ascii="Times New Roman" w:eastAsia="Times New Roman" w:hAnsi="Times New Roman" w:cs="Times New Roman"/>
          <w:sz w:val="24"/>
          <w:szCs w:val="24"/>
        </w:rPr>
        <w:t>arte de la Administración P</w:t>
      </w:r>
      <w:r w:rsidRPr="002F3DEE">
        <w:rPr>
          <w:rFonts w:ascii="Times New Roman" w:eastAsia="Times New Roman" w:hAnsi="Times New Roman" w:cs="Times New Roman"/>
          <w:sz w:val="24"/>
          <w:szCs w:val="24"/>
        </w:rPr>
        <w:t>úblicas es que</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tal como señala la guía</w:t>
      </w:r>
      <w:r w:rsidR="0072208A">
        <w:rPr>
          <w:rFonts w:ascii="Times New Roman" w:eastAsia="Times New Roman" w:hAnsi="Times New Roman" w:cs="Times New Roman"/>
          <w:sz w:val="24"/>
          <w:szCs w:val="24"/>
        </w:rPr>
        <w:t xml:space="preserve"> AEPD</w:t>
      </w:r>
      <w:r w:rsidR="002F3DEE">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 xml:space="preserve">nos encontramos ante un entorno muy complejo donde es imprescindible una colaboración entre las distintas administraciones que pueden intervenir en el tratamiento de los datos personales </w:t>
      </w:r>
      <w:r w:rsidR="006A1819">
        <w:rPr>
          <w:rFonts w:ascii="Times New Roman" w:eastAsia="Times New Roman" w:hAnsi="Times New Roman" w:cs="Times New Roman"/>
          <w:sz w:val="24"/>
          <w:szCs w:val="24"/>
        </w:rPr>
        <w:t xml:space="preserve">a fin de gestionar los riesgos </w:t>
      </w:r>
      <w:r w:rsidRPr="002F3DEE">
        <w:rPr>
          <w:rFonts w:ascii="Times New Roman" w:eastAsia="Times New Roman" w:hAnsi="Times New Roman" w:cs="Times New Roman"/>
          <w:sz w:val="24"/>
          <w:szCs w:val="24"/>
        </w:rPr>
        <w:t>con</w:t>
      </w:r>
      <w:r w:rsidR="00104D31">
        <w:rPr>
          <w:rFonts w:ascii="Times New Roman" w:eastAsia="Times New Roman" w:hAnsi="Times New Roman" w:cs="Times New Roman"/>
          <w:sz w:val="24"/>
          <w:szCs w:val="24"/>
        </w:rPr>
        <w:t xml:space="preserve"> independencia del rol de cada A</w:t>
      </w:r>
      <w:r w:rsidRPr="002F3DEE">
        <w:rPr>
          <w:rFonts w:ascii="Times New Roman" w:eastAsia="Times New Roman" w:hAnsi="Times New Roman" w:cs="Times New Roman"/>
          <w:sz w:val="24"/>
          <w:szCs w:val="24"/>
        </w:rPr>
        <w:t>dministración. Esto es, las medidas de protección de datos deben de ser implementadas de forma transversal para que se produzca una efectiva c</w:t>
      </w:r>
      <w:r w:rsidR="006A1819">
        <w:rPr>
          <w:rFonts w:ascii="Times New Roman" w:eastAsia="Times New Roman" w:hAnsi="Times New Roman" w:cs="Times New Roman"/>
          <w:sz w:val="24"/>
          <w:szCs w:val="24"/>
        </w:rPr>
        <w:t>ooperación entre las distintas Administraciones P</w:t>
      </w:r>
      <w:r w:rsidRPr="002F3DEE">
        <w:rPr>
          <w:rFonts w:ascii="Times New Roman" w:eastAsia="Times New Roman" w:hAnsi="Times New Roman" w:cs="Times New Roman"/>
          <w:sz w:val="24"/>
          <w:szCs w:val="24"/>
        </w:rPr>
        <w:t>úblicas. Volvemos a hablar del tratamiento de datos por diseño en el que la política de protección de datos implique</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tanto a las entidades que acceden o que permiten el acceso de los datos</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como a aquellas entidades que consultan esos datos. En definitiva, todas las Administraciones deben ser corresponsables en la correcta aplicación de la normativa de protección de datos.</w:t>
      </w:r>
    </w:p>
    <w:p w14:paraId="0000002F" w14:textId="0499067D" w:rsidR="00E61663" w:rsidRPr="002F3DEE" w:rsidRDefault="00A14843" w:rsidP="00B035F6">
      <w:pPr>
        <w:spacing w:line="360" w:lineRule="auto"/>
        <w:ind w:firstLine="720"/>
        <w:jc w:val="both"/>
        <w:rPr>
          <w:rFonts w:ascii="Times New Roman" w:eastAsia="Times New Roman" w:hAnsi="Times New Roman" w:cs="Times New Roman"/>
          <w:sz w:val="24"/>
          <w:szCs w:val="24"/>
        </w:rPr>
      </w:pPr>
      <w:bookmarkStart w:id="6" w:name="_heading=h.gjdgxs" w:colFirst="0" w:colLast="0"/>
      <w:bookmarkEnd w:id="6"/>
      <w:r w:rsidRPr="002F3DEE">
        <w:rPr>
          <w:rFonts w:ascii="Times New Roman" w:eastAsia="Times New Roman" w:hAnsi="Times New Roman" w:cs="Times New Roman"/>
          <w:sz w:val="24"/>
          <w:szCs w:val="24"/>
        </w:rPr>
        <w:t>Destacamos la STS 188/2022, de 15 de febrero</w:t>
      </w:r>
      <w:r w:rsidRPr="002F3DEE">
        <w:rPr>
          <w:rFonts w:ascii="Times New Roman" w:eastAsia="Times New Roman" w:hAnsi="Times New Roman" w:cs="Times New Roman"/>
          <w:sz w:val="24"/>
          <w:szCs w:val="24"/>
          <w:vertAlign w:val="superscript"/>
        </w:rPr>
        <w:footnoteReference w:id="17"/>
      </w:r>
      <w:r w:rsidRPr="002F3DEE">
        <w:rPr>
          <w:rFonts w:ascii="Times New Roman" w:eastAsia="Times New Roman" w:hAnsi="Times New Roman" w:cs="Times New Roman"/>
          <w:sz w:val="24"/>
          <w:szCs w:val="24"/>
        </w:rPr>
        <w:t xml:space="preserve"> referida al incumplimiento de medidas de seguridad por el envío por error a un tercero</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ajeno a la relación contractual</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de un contrato de financiación</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sin comprobación de la veracidad de la dirección de correo empleada. Según el fallo del tribunal, faltó la adopción de las medidas técnicas necesarias para evitar la filtración de los datos del tercero o la brecha de seguridad producida. La sentencia tiene su causa en la Resolución de la AEPD por supuesta infracción del art. 9.1 </w:t>
      </w:r>
      <w:r w:rsidRPr="002F3DEE">
        <w:rPr>
          <w:rFonts w:ascii="Times New Roman" w:eastAsia="Times New Roman" w:hAnsi="Times New Roman" w:cs="Times New Roman"/>
          <w:sz w:val="24"/>
          <w:szCs w:val="24"/>
        </w:rPr>
        <w:lastRenderedPageBreak/>
        <w:t>de la LOPD</w:t>
      </w:r>
      <w:r w:rsidRPr="002F3DEE">
        <w:rPr>
          <w:rFonts w:ascii="Times New Roman" w:eastAsia="Times New Roman" w:hAnsi="Times New Roman" w:cs="Times New Roman"/>
          <w:sz w:val="24"/>
          <w:szCs w:val="24"/>
          <w:vertAlign w:val="superscript"/>
        </w:rPr>
        <w:footnoteReference w:id="18"/>
      </w:r>
      <w:r w:rsidRPr="002F3DEE">
        <w:rPr>
          <w:rFonts w:ascii="Times New Roman" w:eastAsia="Times New Roman" w:hAnsi="Times New Roman" w:cs="Times New Roman"/>
          <w:sz w:val="24"/>
          <w:szCs w:val="24"/>
        </w:rPr>
        <w:t xml:space="preserve"> tipificada como grave por el art. 44.3 h) de dicha norma. La razón era causada por la falta de mantenimiento de los ficheros de datos con las debidas condiciones de seguridad. En la resolución de la AEPD no se consideró</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para la graduación de la sanción</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la ausencia de dolo o culpa y el carácter restringido de la brecha de seguridad pro</w:t>
      </w:r>
      <w:r w:rsidR="002F3DEE">
        <w:rPr>
          <w:rFonts w:ascii="Times New Roman" w:eastAsia="Times New Roman" w:hAnsi="Times New Roman" w:cs="Times New Roman"/>
          <w:sz w:val="24"/>
          <w:szCs w:val="24"/>
        </w:rPr>
        <w:t>ducida</w:t>
      </w:r>
      <w:r w:rsidR="006A1819">
        <w:rPr>
          <w:rFonts w:ascii="Times New Roman" w:eastAsia="Times New Roman" w:hAnsi="Times New Roman" w:cs="Times New Roman"/>
          <w:sz w:val="24"/>
          <w:szCs w:val="24"/>
        </w:rPr>
        <w:t>.</w:t>
      </w:r>
      <w:r w:rsidR="002F3DEE">
        <w:rPr>
          <w:rFonts w:ascii="Times New Roman" w:eastAsia="Times New Roman" w:hAnsi="Times New Roman" w:cs="Times New Roman"/>
          <w:sz w:val="24"/>
          <w:szCs w:val="24"/>
        </w:rPr>
        <w:t xml:space="preserve"> No cabe aducir</w:t>
      </w:r>
      <w:r w:rsidR="00894E2E">
        <w:rPr>
          <w:rFonts w:ascii="Times New Roman" w:eastAsia="Times New Roman" w:hAnsi="Times New Roman" w:cs="Times New Roman"/>
          <w:sz w:val="24"/>
          <w:szCs w:val="24"/>
        </w:rPr>
        <w:t>,</w:t>
      </w:r>
      <w:r w:rsidR="002F3DEE">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por parte de la persona jurídica</w:t>
      </w:r>
      <w:r w:rsidR="00894E2E">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que no es responsable de la actuación de las personas físicas que actúan por su cuenta. Parece obvio que la actuación de éstas se transmite directamente a la persona jurídica en todos los ámbitos</w:t>
      </w:r>
      <w:r w:rsidR="00894E2E">
        <w:rPr>
          <w:rFonts w:ascii="Times New Roman" w:eastAsia="Times New Roman" w:hAnsi="Times New Roman" w:cs="Times New Roman"/>
          <w:sz w:val="24"/>
          <w:szCs w:val="24"/>
        </w:rPr>
        <w:t>, y no só</w:t>
      </w:r>
      <w:r w:rsidRPr="002F3DEE">
        <w:rPr>
          <w:rFonts w:ascii="Times New Roman" w:eastAsia="Times New Roman" w:hAnsi="Times New Roman" w:cs="Times New Roman"/>
          <w:sz w:val="24"/>
          <w:szCs w:val="24"/>
        </w:rPr>
        <w:t>lo en derecho de protección de datos.</w:t>
      </w:r>
    </w:p>
    <w:p w14:paraId="00000030" w14:textId="359A113D" w:rsidR="00E61663" w:rsidRPr="002F3DEE" w:rsidRDefault="00A14843" w:rsidP="00B035F6">
      <w:pPr>
        <w:spacing w:line="360" w:lineRule="auto"/>
        <w:ind w:firstLine="720"/>
        <w:jc w:val="both"/>
        <w:rPr>
          <w:rFonts w:ascii="Times New Roman" w:eastAsia="Times New Roman" w:hAnsi="Times New Roman" w:cs="Times New Roman"/>
          <w:sz w:val="24"/>
          <w:szCs w:val="24"/>
        </w:rPr>
      </w:pPr>
      <w:bookmarkStart w:id="7" w:name="_heading=h.eur3ejsmfuht" w:colFirst="0" w:colLast="0"/>
      <w:bookmarkEnd w:id="7"/>
      <w:r w:rsidRPr="002F3DEE">
        <w:rPr>
          <w:rFonts w:ascii="Times New Roman" w:eastAsia="Times New Roman" w:hAnsi="Times New Roman" w:cs="Times New Roman"/>
          <w:sz w:val="24"/>
          <w:szCs w:val="24"/>
        </w:rPr>
        <w:t xml:space="preserve">El auto de admisión considera que la cuestión que reviste interés casacional consiste en determinar </w:t>
      </w:r>
      <w:r w:rsidRPr="002F3DEE">
        <w:rPr>
          <w:rFonts w:ascii="Times New Roman" w:eastAsia="Times New Roman" w:hAnsi="Times New Roman" w:cs="Times New Roman"/>
          <w:i/>
          <w:sz w:val="24"/>
          <w:szCs w:val="24"/>
        </w:rPr>
        <w:t xml:space="preserve">si las infracciones de la Ley de Protección de Datos por fallos de las medidas de seguridad que puedan cometer los empleados de una persona jurídica deben examinarse en atención al resultado y, por lo tanto, imputarse a la persona jurídica de la que dependa el empleado, con independencia de los medios y medidas de prevención que hubiera podido adoptar. </w:t>
      </w:r>
      <w:r w:rsidRPr="002F3DEE">
        <w:rPr>
          <w:rFonts w:ascii="Times New Roman" w:eastAsia="Times New Roman" w:hAnsi="Times New Roman" w:cs="Times New Roman"/>
          <w:sz w:val="24"/>
          <w:szCs w:val="24"/>
        </w:rPr>
        <w:t>La respuesta exi</w:t>
      </w:r>
      <w:r w:rsidR="002F3DEE">
        <w:rPr>
          <w:rFonts w:ascii="Times New Roman" w:eastAsia="Times New Roman" w:hAnsi="Times New Roman" w:cs="Times New Roman"/>
          <w:sz w:val="24"/>
          <w:szCs w:val="24"/>
        </w:rPr>
        <w:t xml:space="preserve">ge </w:t>
      </w:r>
      <w:r w:rsidRPr="002F3DEE">
        <w:rPr>
          <w:rFonts w:ascii="Times New Roman" w:eastAsia="Times New Roman" w:hAnsi="Times New Roman" w:cs="Times New Roman"/>
          <w:sz w:val="24"/>
          <w:szCs w:val="24"/>
        </w:rPr>
        <w:t>dos consideraciones. A saber:</w:t>
      </w:r>
    </w:p>
    <w:p w14:paraId="00000031" w14:textId="254FB25C" w:rsidR="00E61663" w:rsidRPr="002F3DEE" w:rsidRDefault="00A14843" w:rsidP="00B035F6">
      <w:pPr>
        <w:spacing w:line="360" w:lineRule="auto"/>
        <w:jc w:val="both"/>
        <w:rPr>
          <w:rFonts w:ascii="Times New Roman" w:eastAsia="Times New Roman" w:hAnsi="Times New Roman" w:cs="Times New Roman"/>
          <w:sz w:val="24"/>
          <w:szCs w:val="24"/>
          <w:u w:val="single"/>
        </w:rPr>
      </w:pPr>
      <w:r w:rsidRPr="002F3DEE">
        <w:rPr>
          <w:rFonts w:ascii="Times New Roman" w:eastAsia="Times New Roman" w:hAnsi="Times New Roman" w:cs="Times New Roman"/>
          <w:sz w:val="24"/>
          <w:szCs w:val="24"/>
          <w:u w:val="single"/>
        </w:rPr>
        <w:t>1.- Qué tipo de obligación implica la adopción de medidas de seguridad de los datos personales: de medios o de resultado</w:t>
      </w:r>
      <w:r w:rsidR="006A1819">
        <w:rPr>
          <w:rFonts w:ascii="Times New Roman" w:eastAsia="Times New Roman" w:hAnsi="Times New Roman" w:cs="Times New Roman"/>
          <w:sz w:val="24"/>
          <w:szCs w:val="24"/>
          <w:u w:val="single"/>
        </w:rPr>
        <w:t>.</w:t>
      </w:r>
    </w:p>
    <w:p w14:paraId="00000032" w14:textId="1BB46D2E"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Respecto a esta cuestión hay que </w:t>
      </w:r>
      <w:r w:rsidR="005D4CB3">
        <w:rPr>
          <w:rFonts w:ascii="Times New Roman" w:eastAsia="Times New Roman" w:hAnsi="Times New Roman" w:cs="Times New Roman"/>
          <w:sz w:val="24"/>
          <w:szCs w:val="24"/>
        </w:rPr>
        <w:t xml:space="preserve">partir de </w:t>
      </w:r>
      <w:r w:rsidRPr="002F3DEE">
        <w:rPr>
          <w:rFonts w:ascii="Times New Roman" w:eastAsia="Times New Roman" w:hAnsi="Times New Roman" w:cs="Times New Roman"/>
          <w:sz w:val="24"/>
          <w:szCs w:val="24"/>
        </w:rPr>
        <w:t>la diferenciación entre obligación de medi</w:t>
      </w:r>
      <w:r w:rsidR="00104D31">
        <w:rPr>
          <w:rFonts w:ascii="Times New Roman" w:eastAsia="Times New Roman" w:hAnsi="Times New Roman" w:cs="Times New Roman"/>
          <w:sz w:val="24"/>
          <w:szCs w:val="24"/>
        </w:rPr>
        <w:t>o y de resultado. Respecto a la primera</w:t>
      </w:r>
      <w:r w:rsidRPr="002F3DEE">
        <w:rPr>
          <w:rFonts w:ascii="Times New Roman" w:eastAsia="Times New Roman" w:hAnsi="Times New Roman" w:cs="Times New Roman"/>
          <w:sz w:val="24"/>
          <w:szCs w:val="24"/>
        </w:rPr>
        <w:t>, el compromiso que se adquiere consiste adoptar los medios técnico y organizativos necesarios, así como despegar una actividad diligente que tienda a conseguir los resultados esperados. A ello se denomina “obligaciones de diligencia”, o bien “obligaciones d</w:t>
      </w:r>
      <w:r w:rsidR="00104D31">
        <w:rPr>
          <w:rFonts w:ascii="Times New Roman" w:eastAsia="Times New Roman" w:hAnsi="Times New Roman" w:cs="Times New Roman"/>
          <w:sz w:val="24"/>
          <w:szCs w:val="24"/>
        </w:rPr>
        <w:t>e compromiso”. En relación a la obligación</w:t>
      </w:r>
      <w:r w:rsidRPr="002F3DEE">
        <w:rPr>
          <w:rFonts w:ascii="Times New Roman" w:eastAsia="Times New Roman" w:hAnsi="Times New Roman" w:cs="Times New Roman"/>
          <w:sz w:val="24"/>
          <w:szCs w:val="24"/>
        </w:rPr>
        <w:t xml:space="preserve"> de resultado, el compromiso consiste en cumplir un determinado objetivo. En el caso que nos ocupa</w:t>
      </w:r>
      <w:r w:rsidR="00104D31">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la obligación de resultado consistirá en la inexistencia de brechas de seguridad.</w:t>
      </w:r>
    </w:p>
    <w:p w14:paraId="00000033" w14:textId="7D7A39C7"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Es importante tener en cuenta la diferencia entre un tipo de responsabilidad y otra debido a las consecuencias que una brecha de seguridad produce a efectos sancionadores. Si consideramos que las obligaciones derivadas de la normativa de protección de datos es obligación de medios, bastaría con establecer las medidas técnicamente adecuadas e </w:t>
      </w:r>
      <w:r w:rsidRPr="002F3DEE">
        <w:rPr>
          <w:rFonts w:ascii="Times New Roman" w:eastAsia="Times New Roman" w:hAnsi="Times New Roman" w:cs="Times New Roman"/>
          <w:sz w:val="24"/>
          <w:szCs w:val="24"/>
        </w:rPr>
        <w:lastRenderedPageBreak/>
        <w:t>implantarla, utilizándolas con una diligencia razonable. Si ello se prueba quedaría eximido de todo tipo de responsabilidad.  Por el contrario, si llegamos a la conclusión que las obligaciones diamante del derecho a la protección de datos son obligaciones de resultado</w:t>
      </w:r>
      <w:r w:rsidR="002F3DEE">
        <w:rPr>
          <w:rFonts w:ascii="Times New Roman" w:eastAsia="Times New Roman" w:hAnsi="Times New Roman" w:cs="Times New Roman"/>
          <w:sz w:val="24"/>
          <w:szCs w:val="24"/>
        </w:rPr>
        <w:t xml:space="preserve">, no bastaría con demostrar la </w:t>
      </w:r>
      <w:r w:rsidRPr="002F3DEE">
        <w:rPr>
          <w:rFonts w:ascii="Times New Roman" w:eastAsia="Times New Roman" w:hAnsi="Times New Roman" w:cs="Times New Roman"/>
          <w:sz w:val="24"/>
          <w:szCs w:val="24"/>
        </w:rPr>
        <w:t>diligencia en la implantación de medidas de seguridad</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sino que se respondería ante un resultado lesivo por fallo del sistema de seguridad, cualquiera que sea su causa y la diligencia utilizada. </w:t>
      </w:r>
    </w:p>
    <w:p w14:paraId="00000035" w14:textId="4B3974F7" w:rsidR="00E61663" w:rsidRDefault="00894E2E" w:rsidP="006A1819">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Para el TS</w:t>
      </w:r>
      <w:r w:rsidR="00A14843" w:rsidRPr="002F3DEE">
        <w:rPr>
          <w:rFonts w:ascii="Times New Roman" w:eastAsia="Times New Roman" w:hAnsi="Times New Roman" w:cs="Times New Roman"/>
          <w:sz w:val="24"/>
          <w:szCs w:val="24"/>
        </w:rPr>
        <w:t xml:space="preserve">, no </w:t>
      </w:r>
      <w:r w:rsidR="00845A4C">
        <w:rPr>
          <w:rFonts w:ascii="Times New Roman" w:eastAsia="Times New Roman" w:hAnsi="Times New Roman" w:cs="Times New Roman"/>
          <w:sz w:val="24"/>
          <w:szCs w:val="24"/>
        </w:rPr>
        <w:t xml:space="preserve">es suficiente </w:t>
      </w:r>
      <w:r w:rsidR="00A14843" w:rsidRPr="002F3DEE">
        <w:rPr>
          <w:rFonts w:ascii="Times New Roman" w:eastAsia="Times New Roman" w:hAnsi="Times New Roman" w:cs="Times New Roman"/>
          <w:sz w:val="24"/>
          <w:szCs w:val="24"/>
        </w:rPr>
        <w:t>diseñar los medios técnicos y organizativos necesarios, sino que</w:t>
      </w:r>
      <w:r>
        <w:rPr>
          <w:rFonts w:ascii="Times New Roman" w:eastAsia="Times New Roman" w:hAnsi="Times New Roman" w:cs="Times New Roman"/>
          <w:sz w:val="24"/>
          <w:szCs w:val="24"/>
        </w:rPr>
        <w:t>,</w:t>
      </w:r>
      <w:r w:rsidR="00A14843" w:rsidRPr="002F3DEE">
        <w:rPr>
          <w:rFonts w:ascii="Times New Roman" w:eastAsia="Times New Roman" w:hAnsi="Times New Roman" w:cs="Times New Roman"/>
          <w:sz w:val="24"/>
          <w:szCs w:val="24"/>
        </w:rPr>
        <w:t xml:space="preserve"> además</w:t>
      </w:r>
      <w:r>
        <w:rPr>
          <w:rFonts w:ascii="Times New Roman" w:eastAsia="Times New Roman" w:hAnsi="Times New Roman" w:cs="Times New Roman"/>
          <w:sz w:val="24"/>
          <w:szCs w:val="24"/>
        </w:rPr>
        <w:t>,</w:t>
      </w:r>
      <w:r w:rsidR="00A14843" w:rsidRPr="002F3DEE">
        <w:rPr>
          <w:rFonts w:ascii="Times New Roman" w:eastAsia="Times New Roman" w:hAnsi="Times New Roman" w:cs="Times New Roman"/>
          <w:sz w:val="24"/>
          <w:szCs w:val="24"/>
        </w:rPr>
        <w:t xml:space="preserve"> deben ser utilizados d</w:t>
      </w:r>
      <w:r w:rsidR="005D4CB3">
        <w:rPr>
          <w:rFonts w:ascii="Times New Roman" w:eastAsia="Times New Roman" w:hAnsi="Times New Roman" w:cs="Times New Roman"/>
          <w:sz w:val="24"/>
          <w:szCs w:val="24"/>
        </w:rPr>
        <w:t>e manera adecuada. Esta distinción está</w:t>
      </w:r>
      <w:r w:rsidR="00A14843" w:rsidRPr="002F3DEE">
        <w:rPr>
          <w:rFonts w:ascii="Times New Roman" w:eastAsia="Times New Roman" w:hAnsi="Times New Roman" w:cs="Times New Roman"/>
          <w:sz w:val="24"/>
          <w:szCs w:val="24"/>
        </w:rPr>
        <w:t xml:space="preserve"> claramente reflejadas tanto en el RGPD</w:t>
      </w:r>
      <w:r>
        <w:rPr>
          <w:rFonts w:ascii="Times New Roman" w:eastAsia="Times New Roman" w:hAnsi="Times New Roman" w:cs="Times New Roman"/>
          <w:sz w:val="24"/>
          <w:szCs w:val="24"/>
        </w:rPr>
        <w:t>,</w:t>
      </w:r>
      <w:r w:rsidR="00A14843" w:rsidRPr="002F3DEE">
        <w:rPr>
          <w:rFonts w:ascii="Times New Roman" w:eastAsia="Times New Roman" w:hAnsi="Times New Roman" w:cs="Times New Roman"/>
          <w:sz w:val="24"/>
          <w:szCs w:val="24"/>
        </w:rPr>
        <w:t xml:space="preserve"> en lo que respecta al tratamiento de datos personales y a la libre circulación de estos datos, como en la LOPDGDD</w:t>
      </w:r>
      <w:r>
        <w:rPr>
          <w:rFonts w:ascii="Times New Roman" w:eastAsia="Times New Roman" w:hAnsi="Times New Roman" w:cs="Times New Roman"/>
          <w:sz w:val="24"/>
          <w:szCs w:val="24"/>
        </w:rPr>
        <w:t xml:space="preserve">, al diferenciar </w:t>
      </w:r>
      <w:r w:rsidR="00A14843" w:rsidRPr="002F3DEE">
        <w:rPr>
          <w:rFonts w:ascii="Times New Roman" w:eastAsia="Times New Roman" w:hAnsi="Times New Roman" w:cs="Times New Roman"/>
          <w:sz w:val="24"/>
          <w:szCs w:val="24"/>
        </w:rPr>
        <w:t>entre la falta de adopción de aquellas medidas técnicas y organizativas que resulten apropiadas para garantizar un nivel de seguridad adecuado al riesgo del tratamiento (art. 73 apartados d, e y f) y la falta de la debida diligencia en la utilización de las medidas técnicas y organizativas implantadas (art. 73. g).</w:t>
      </w:r>
    </w:p>
    <w:p w14:paraId="79556F3C" w14:textId="77777777" w:rsidR="006A1819" w:rsidRPr="002F3DEE" w:rsidRDefault="006A1819" w:rsidP="006A1819">
      <w:pPr>
        <w:spacing w:line="360" w:lineRule="auto"/>
        <w:ind w:firstLine="720"/>
        <w:jc w:val="both"/>
        <w:rPr>
          <w:rFonts w:ascii="Times New Roman" w:eastAsia="Times New Roman" w:hAnsi="Times New Roman" w:cs="Times New Roman"/>
          <w:sz w:val="24"/>
          <w:szCs w:val="24"/>
        </w:rPr>
      </w:pPr>
    </w:p>
    <w:p w14:paraId="00000036" w14:textId="77777777" w:rsidR="00E61663" w:rsidRPr="002F3DEE" w:rsidRDefault="00A14843" w:rsidP="00B035F6">
      <w:pPr>
        <w:spacing w:line="360" w:lineRule="auto"/>
        <w:jc w:val="both"/>
        <w:rPr>
          <w:rFonts w:ascii="Times New Roman" w:eastAsia="Times New Roman" w:hAnsi="Times New Roman" w:cs="Times New Roman"/>
          <w:sz w:val="24"/>
          <w:szCs w:val="24"/>
          <w:u w:val="single"/>
        </w:rPr>
      </w:pPr>
      <w:r w:rsidRPr="002F3DEE">
        <w:rPr>
          <w:rFonts w:ascii="Times New Roman" w:eastAsia="Times New Roman" w:hAnsi="Times New Roman" w:cs="Times New Roman"/>
          <w:sz w:val="24"/>
          <w:szCs w:val="24"/>
          <w:u w:val="single"/>
        </w:rPr>
        <w:t>2.- Qué tipo de responsabilidad tienen las personas jurídicas en relación con las medidas de seguridad empleadas y por los incumplimientos de los empleados y cargos públicos</w:t>
      </w:r>
    </w:p>
    <w:p w14:paraId="00000038" w14:textId="028D5067" w:rsidR="00E61663" w:rsidRPr="002F3DEE" w:rsidRDefault="00A14843" w:rsidP="006A1819">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Otra cuestión importante cuando las Administraciones Públicas utilizan datos personales de los administrados</w:t>
      </w:r>
      <w:r w:rsidR="006A1819">
        <w:rPr>
          <w:rFonts w:ascii="Times New Roman" w:eastAsia="Times New Roman" w:hAnsi="Times New Roman" w:cs="Times New Roman"/>
          <w:sz w:val="24"/>
          <w:szCs w:val="24"/>
        </w:rPr>
        <w:t xml:space="preserve"> es la referida a si responden é</w:t>
      </w:r>
      <w:r w:rsidRPr="002F3DEE">
        <w:rPr>
          <w:rFonts w:ascii="Times New Roman" w:eastAsia="Times New Roman" w:hAnsi="Times New Roman" w:cs="Times New Roman"/>
          <w:sz w:val="24"/>
          <w:szCs w:val="24"/>
        </w:rPr>
        <w:t>stas por la actuación de sus empleados y cargos públicos. Es doctrina consolidada que la responsabilidad de los empleados y trabajadores es trasladable a la persona jurídica, pero no por una suerte de responsabilidad objetiva, sino por un principio asentado en la jurisprudencia en varias sentencias</w:t>
      </w:r>
      <w:r w:rsidR="00894E2E">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entre ellas </w:t>
      </w:r>
      <w:r w:rsidR="00894E2E">
        <w:rPr>
          <w:rFonts w:ascii="Times New Roman" w:eastAsia="Times New Roman" w:hAnsi="Times New Roman" w:cs="Times New Roman"/>
          <w:sz w:val="24"/>
          <w:szCs w:val="24"/>
        </w:rPr>
        <w:t xml:space="preserve">la </w:t>
      </w:r>
      <w:r w:rsidRPr="006A1819">
        <w:rPr>
          <w:rFonts w:ascii="Times New Roman" w:eastAsia="Times New Roman" w:hAnsi="Times New Roman" w:cs="Times New Roman"/>
          <w:sz w:val="24"/>
          <w:szCs w:val="24"/>
        </w:rPr>
        <w:t>STC 246/1991, de 19 de diciembre (FJ 2)</w:t>
      </w:r>
      <w:r w:rsidR="006A1819">
        <w:rPr>
          <w:rStyle w:val="Refdenotaalpie"/>
          <w:rFonts w:ascii="Times New Roman" w:eastAsia="Times New Roman" w:hAnsi="Times New Roman" w:cs="Times New Roman"/>
          <w:sz w:val="24"/>
          <w:szCs w:val="24"/>
        </w:rPr>
        <w:footnoteReference w:id="19"/>
      </w:r>
      <w:r w:rsidRPr="006A1819">
        <w:rPr>
          <w:rFonts w:ascii="Times New Roman" w:eastAsia="Times New Roman" w:hAnsi="Times New Roman" w:cs="Times New Roman"/>
          <w:sz w:val="24"/>
          <w:szCs w:val="24"/>
        </w:rPr>
        <w:t xml:space="preserve"> y la STS 196 /2020, de 15 de febrero</w:t>
      </w:r>
      <w:r w:rsidR="006A1819">
        <w:rPr>
          <w:rStyle w:val="Refdenotaalpie"/>
          <w:rFonts w:ascii="Times New Roman" w:eastAsia="Times New Roman" w:hAnsi="Times New Roman" w:cs="Times New Roman"/>
          <w:sz w:val="24"/>
          <w:szCs w:val="24"/>
        </w:rPr>
        <w:footnoteReference w:id="20"/>
      </w:r>
      <w:r w:rsidR="00894E2E">
        <w:rPr>
          <w:rFonts w:ascii="Times New Roman" w:eastAsia="Times New Roman" w:hAnsi="Times New Roman" w:cs="Times New Roman"/>
          <w:sz w:val="24"/>
          <w:szCs w:val="24"/>
        </w:rPr>
        <w:t>,</w:t>
      </w:r>
      <w:r w:rsidRPr="006A1819">
        <w:rPr>
          <w:rFonts w:ascii="Times New Roman" w:eastAsia="Times New Roman" w:hAnsi="Times New Roman" w:cs="Times New Roman"/>
          <w:sz w:val="24"/>
          <w:szCs w:val="24"/>
        </w:rPr>
        <w:t xml:space="preserve"> </w:t>
      </w:r>
      <w:r w:rsidR="00894E2E">
        <w:rPr>
          <w:rFonts w:ascii="Times New Roman" w:eastAsia="Times New Roman" w:hAnsi="Times New Roman" w:cs="Times New Roman"/>
          <w:sz w:val="24"/>
          <w:szCs w:val="24"/>
        </w:rPr>
        <w:t xml:space="preserve"> sobre </w:t>
      </w:r>
      <w:r w:rsidRPr="002F3DEE">
        <w:rPr>
          <w:rFonts w:ascii="Times New Roman" w:eastAsia="Times New Roman" w:hAnsi="Times New Roman" w:cs="Times New Roman"/>
          <w:sz w:val="24"/>
          <w:szCs w:val="24"/>
        </w:rPr>
        <w:t>la responsabilidad directa de las personas jurídicas como principio de derecho administrativo. Si las personas jurídicas tienen capacidad infractora, parece obvio que elemento subjetivo de la infracción sea a través de las personas físicas que actúan por cuenta de ésta. Así “</w:t>
      </w:r>
      <w:r w:rsidRPr="002F3DEE">
        <w:rPr>
          <w:rFonts w:ascii="Times New Roman" w:eastAsia="Times New Roman" w:hAnsi="Times New Roman" w:cs="Times New Roman"/>
          <w:i/>
          <w:sz w:val="24"/>
          <w:szCs w:val="24"/>
        </w:rPr>
        <w:t xml:space="preserve">la reprochabilidad directa deriva del bien jurídico protegido por la norma que se infringe y la necesidad de que dicha protección sea </w:t>
      </w:r>
      <w:r w:rsidRPr="002F3DEE">
        <w:rPr>
          <w:rFonts w:ascii="Times New Roman" w:eastAsia="Times New Roman" w:hAnsi="Times New Roman" w:cs="Times New Roman"/>
          <w:i/>
          <w:sz w:val="24"/>
          <w:szCs w:val="24"/>
        </w:rPr>
        <w:lastRenderedPageBreak/>
        <w:t>realmente eficaz y por el riesgo que, en consecuencia, debe asumir la persona jurídica que está sujeta al cumplimiento de dicha norma</w:t>
      </w:r>
      <w:r w:rsidRPr="002F3DEE">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vertAlign w:val="superscript"/>
        </w:rPr>
        <w:footnoteReference w:id="21"/>
      </w:r>
      <w:r w:rsidRPr="002F3DEE">
        <w:rPr>
          <w:rFonts w:ascii="Times New Roman" w:eastAsia="Times New Roman" w:hAnsi="Times New Roman" w:cs="Times New Roman"/>
          <w:sz w:val="24"/>
          <w:szCs w:val="24"/>
        </w:rPr>
        <w:t>.</w:t>
      </w:r>
    </w:p>
    <w:p w14:paraId="00000039" w14:textId="3D3E3943"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En la</w:t>
      </w:r>
      <w:r w:rsidRPr="006A1819">
        <w:rPr>
          <w:rFonts w:ascii="Times New Roman" w:eastAsia="Times New Roman" w:hAnsi="Times New Roman" w:cs="Times New Roman"/>
          <w:sz w:val="24"/>
          <w:szCs w:val="24"/>
        </w:rPr>
        <w:t xml:space="preserve"> STS 196/2021 de 15 de febrero</w:t>
      </w:r>
      <w:r w:rsidR="006A1819">
        <w:rPr>
          <w:rStyle w:val="Refdenotaalpie"/>
          <w:rFonts w:ascii="Times New Roman" w:eastAsia="Times New Roman" w:hAnsi="Times New Roman" w:cs="Times New Roman"/>
          <w:sz w:val="24"/>
          <w:szCs w:val="24"/>
        </w:rPr>
        <w:footnoteReference w:id="22"/>
      </w:r>
      <w:r w:rsidRPr="006A1819">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se trata c</w:t>
      </w:r>
      <w:r w:rsidR="006A1819">
        <w:rPr>
          <w:rFonts w:ascii="Times New Roman" w:eastAsia="Times New Roman" w:hAnsi="Times New Roman" w:cs="Times New Roman"/>
          <w:sz w:val="24"/>
          <w:szCs w:val="24"/>
        </w:rPr>
        <w:t>omo infracción grave la violació</w:t>
      </w:r>
      <w:r w:rsidRPr="002F3DEE">
        <w:rPr>
          <w:rFonts w:ascii="Times New Roman" w:eastAsia="Times New Roman" w:hAnsi="Times New Roman" w:cs="Times New Roman"/>
          <w:sz w:val="24"/>
          <w:szCs w:val="24"/>
        </w:rPr>
        <w:t>n del deber de secreto sobre los datos personales incorporados en un fichero de un Ayuntamiento relativo a los datos sobre la comisión de infracciones administrativas o disciplinarias. La denuncia trae su causa en la aparición en “El Diario Vasco” de datos relativos al procedimiento sancionador seguido contra un Agente de</w:t>
      </w:r>
      <w:r w:rsidR="00894E2E">
        <w:rPr>
          <w:rFonts w:ascii="Times New Roman" w:eastAsia="Times New Roman" w:hAnsi="Times New Roman" w:cs="Times New Roman"/>
          <w:sz w:val="24"/>
          <w:szCs w:val="24"/>
        </w:rPr>
        <w:t xml:space="preserve"> Movilidad del Ayuntamiento de S</w:t>
      </w:r>
      <w:r w:rsidRPr="002F3DEE">
        <w:rPr>
          <w:rFonts w:ascii="Times New Roman" w:eastAsia="Times New Roman" w:hAnsi="Times New Roman" w:cs="Times New Roman"/>
          <w:sz w:val="24"/>
          <w:szCs w:val="24"/>
        </w:rPr>
        <w:t>an Sebastián, en el que se especifica las iniciales del nombre y apellidos del agente sancionado, la zona donde prestaba el servicio, los hechos que motivaron la sanción y el expediente sancionador. El Tribunal Superior de Justicia del País Vasco señala la responsabilidad de la Administración encargada del fichero, de manera que la actuación negligente de sus empleados o cargos repercute en la propia Administra</w:t>
      </w:r>
      <w:r w:rsidR="006A1819">
        <w:rPr>
          <w:rFonts w:ascii="Times New Roman" w:eastAsia="Times New Roman" w:hAnsi="Times New Roman" w:cs="Times New Roman"/>
          <w:sz w:val="24"/>
          <w:szCs w:val="24"/>
        </w:rPr>
        <w:t>ción.</w:t>
      </w:r>
    </w:p>
    <w:p w14:paraId="0000003A" w14:textId="562A9FC3"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El interés casacional del asunto, tal como se indica en el auto de admisión de 28 de septiembre de 2020, radica en la formación de jurisprudencia consistente en precisar la responsabilidad de una Administración Pública en relación a la comisión de infracciones reguladas en la normativa de protección de datos y</w:t>
      </w:r>
      <w:r w:rsidR="006A181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si esa infracción que pudieran cometer cargos y empleados públicos pudiera o no ser atribuida a la Administración. Vuelve a insistir el Tribunal Supremo</w:t>
      </w:r>
      <w:r w:rsidR="006A1819">
        <w:rPr>
          <w:rStyle w:val="Refdenotaalpie"/>
          <w:rFonts w:ascii="Times New Roman" w:eastAsia="Times New Roman" w:hAnsi="Times New Roman" w:cs="Times New Roman"/>
          <w:sz w:val="24"/>
          <w:szCs w:val="24"/>
        </w:rPr>
        <w:footnoteReference w:id="23"/>
      </w:r>
      <w:r w:rsidRPr="002F3DEE">
        <w:rPr>
          <w:rFonts w:ascii="Times New Roman" w:eastAsia="Times New Roman" w:hAnsi="Times New Roman" w:cs="Times New Roman"/>
          <w:sz w:val="24"/>
          <w:szCs w:val="24"/>
        </w:rPr>
        <w:t xml:space="preserve"> que la CE consagra el principio de culpabilidad como principio estructural básico del Derecho Penal. Este principio rige también en materia de infracciones administrativas</w:t>
      </w:r>
      <w:r w:rsidR="00894E2E">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habida cuenta de que la sanción que lleva aparejada la infracción es una de las manifestaciones del </w:t>
      </w:r>
      <w:r w:rsidRPr="002F3DEE">
        <w:rPr>
          <w:rFonts w:ascii="Times New Roman" w:eastAsia="Times New Roman" w:hAnsi="Times New Roman" w:cs="Times New Roman"/>
          <w:i/>
          <w:sz w:val="24"/>
          <w:szCs w:val="24"/>
        </w:rPr>
        <w:t>ius puniendi</w:t>
      </w:r>
      <w:r w:rsidRPr="002F3DEE">
        <w:rPr>
          <w:rFonts w:ascii="Times New Roman" w:eastAsia="Times New Roman" w:hAnsi="Times New Roman" w:cs="Times New Roman"/>
          <w:sz w:val="24"/>
          <w:szCs w:val="24"/>
        </w:rPr>
        <w:t xml:space="preserve"> del Estado. Todo lo anterior no es óbice para que el Derecho Administrativo admita la responsabilidad directa de las personas jurídicas, reconociendo su capacidad infractora. Para las personas jurídicas no se suprime el elemento subjetivo de la culpa sino que se aplica de manera diferente a como se hace con las personas físicas</w:t>
      </w:r>
      <w:r w:rsidRPr="002F3DEE">
        <w:rPr>
          <w:rFonts w:ascii="Times New Roman" w:eastAsia="Times New Roman" w:hAnsi="Times New Roman" w:cs="Times New Roman"/>
          <w:sz w:val="24"/>
          <w:szCs w:val="24"/>
          <w:vertAlign w:val="superscript"/>
        </w:rPr>
        <w:footnoteReference w:id="24"/>
      </w:r>
      <w:r w:rsidRPr="002F3DEE">
        <w:rPr>
          <w:rFonts w:ascii="Times New Roman" w:eastAsia="Times New Roman" w:hAnsi="Times New Roman" w:cs="Times New Roman"/>
          <w:sz w:val="24"/>
          <w:szCs w:val="24"/>
        </w:rPr>
        <w:t>.</w:t>
      </w:r>
    </w:p>
    <w:p w14:paraId="0000003C" w14:textId="62AC7E53" w:rsidR="00E61663" w:rsidRPr="002F3DEE" w:rsidRDefault="00A14843" w:rsidP="00F12581">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lastRenderedPageBreak/>
        <w:t>Otra sentencia que puede ilustrar la responsabilidad proactiva de las Administraciones Públicas es la sentencia de la Audiencia Nacional de 12 de marzo de 2020</w:t>
      </w:r>
      <w:r w:rsidR="00F12581">
        <w:rPr>
          <w:rStyle w:val="Refdenotaalpie"/>
          <w:rFonts w:ascii="Times New Roman" w:eastAsia="Times New Roman" w:hAnsi="Times New Roman" w:cs="Times New Roman"/>
          <w:sz w:val="24"/>
          <w:szCs w:val="24"/>
        </w:rPr>
        <w:footnoteReference w:id="25"/>
      </w:r>
      <w:r w:rsidRPr="002F3DEE">
        <w:rPr>
          <w:rFonts w:ascii="Times New Roman" w:eastAsia="Times New Roman" w:hAnsi="Times New Roman" w:cs="Times New Roman"/>
          <w:sz w:val="24"/>
          <w:szCs w:val="24"/>
        </w:rPr>
        <w:t>.</w:t>
      </w:r>
      <w:r w:rsidR="00F12581">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Los hechos que dan lugar a la sentencia son los siguientes. El Ayuntamiento de Valencia aprobó la realización de un plan estratégico de las Fallas</w:t>
      </w:r>
      <w:r w:rsidR="00894E2E">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una vez que se declaran como Patrimonio Inmaterial de la Humanidad por la UNESCO. El objetivo era analizar el impacto que la fiesta de las Fallas tiene sobre los distintos vectores de la población. Formaba parte del plan</w:t>
      </w:r>
      <w:r w:rsidR="002F3DEE">
        <w:rPr>
          <w:rFonts w:ascii="Times New Roman" w:eastAsia="Times New Roman" w:hAnsi="Times New Roman" w:cs="Times New Roman"/>
          <w:sz w:val="24"/>
          <w:szCs w:val="24"/>
        </w:rPr>
        <w:t xml:space="preserve"> estratégico la realización de </w:t>
      </w:r>
      <w:r w:rsidRPr="002F3DEE">
        <w:rPr>
          <w:rFonts w:ascii="Times New Roman" w:eastAsia="Times New Roman" w:hAnsi="Times New Roman" w:cs="Times New Roman"/>
          <w:sz w:val="24"/>
          <w:szCs w:val="24"/>
        </w:rPr>
        <w:t>un estudio sociológico sobre el colectivo fallero mediante encuestas que el Ayuntamiento de Valencia contrató con una empresa. Se firma un contrato entre el Ayuntamiento y dicha empresa en el que se indica que la empresa actuará como encargada del tratamiento durante la prestación de los servicios necesarios par</w:t>
      </w:r>
      <w:r w:rsidR="002F3DEE">
        <w:rPr>
          <w:rFonts w:ascii="Times New Roman" w:eastAsia="Times New Roman" w:hAnsi="Times New Roman" w:cs="Times New Roman"/>
          <w:sz w:val="24"/>
          <w:szCs w:val="24"/>
        </w:rPr>
        <w:t>a la realización de la encuesta</w:t>
      </w:r>
      <w:r w:rsidRPr="002F3DEE">
        <w:rPr>
          <w:rFonts w:ascii="Times New Roman" w:eastAsia="Times New Roman" w:hAnsi="Times New Roman" w:cs="Times New Roman"/>
          <w:sz w:val="24"/>
          <w:szCs w:val="24"/>
        </w:rPr>
        <w:t>. Los encuestados</w:t>
      </w:r>
      <w:r w:rsidR="005D460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antes de iniciar la encuesta</w:t>
      </w:r>
      <w:r w:rsidR="005D460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eran informados sobre los fines de la investigación</w:t>
      </w:r>
      <w:r w:rsidR="00F12581">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así como la confidencialidad de los datos personales que se facilitaba.  Entre las preguntas que integraban la encuesta había una pregunta (6) en la que se solicitaba al encuestado su identidad territorial, otra (8) donde se le pedía su identidad religiosa. En la </w:t>
      </w:r>
      <w:r w:rsidR="00F12581">
        <w:rPr>
          <w:rFonts w:ascii="Times New Roman" w:eastAsia="Times New Roman" w:hAnsi="Times New Roman" w:cs="Times New Roman"/>
          <w:sz w:val="24"/>
          <w:szCs w:val="24"/>
        </w:rPr>
        <w:t xml:space="preserve">pregunta </w:t>
      </w:r>
      <w:r w:rsidRPr="002F3DEE">
        <w:rPr>
          <w:rFonts w:ascii="Times New Roman" w:eastAsia="Times New Roman" w:hAnsi="Times New Roman" w:cs="Times New Roman"/>
          <w:sz w:val="24"/>
          <w:szCs w:val="24"/>
        </w:rPr>
        <w:t>número 23 se le solicitaba al encuestado su identificación política.</w:t>
      </w:r>
    </w:p>
    <w:p w14:paraId="0000003D" w14:textId="645AF534"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La Audiencia Nacional concluye que el responsable del tratamiento es el </w:t>
      </w:r>
      <w:r w:rsidR="002F3DEE">
        <w:rPr>
          <w:rFonts w:ascii="Times New Roman" w:eastAsia="Times New Roman" w:hAnsi="Times New Roman" w:cs="Times New Roman"/>
          <w:sz w:val="24"/>
          <w:szCs w:val="24"/>
        </w:rPr>
        <w:t xml:space="preserve">Ayuntamiento de Valencia y a </w:t>
      </w:r>
      <w:r w:rsidR="00F12581">
        <w:rPr>
          <w:rFonts w:ascii="Times New Roman" w:eastAsia="Times New Roman" w:hAnsi="Times New Roman" w:cs="Times New Roman"/>
          <w:sz w:val="24"/>
          <w:szCs w:val="24"/>
        </w:rPr>
        <w:t xml:space="preserve">él </w:t>
      </w:r>
      <w:r w:rsidR="002F3DEE">
        <w:rPr>
          <w:rFonts w:ascii="Times New Roman" w:eastAsia="Times New Roman" w:hAnsi="Times New Roman" w:cs="Times New Roman"/>
          <w:sz w:val="24"/>
          <w:szCs w:val="24"/>
        </w:rPr>
        <w:t>le incumbí</w:t>
      </w:r>
      <w:r w:rsidRPr="002F3DEE">
        <w:rPr>
          <w:rFonts w:ascii="Times New Roman" w:eastAsia="Times New Roman" w:hAnsi="Times New Roman" w:cs="Times New Roman"/>
          <w:sz w:val="24"/>
          <w:szCs w:val="24"/>
        </w:rPr>
        <w:t>a asegurarse del cumplimiento de la normativa de protección de datos</w:t>
      </w:r>
      <w:r w:rsidR="00F12581">
        <w:rPr>
          <w:rFonts w:ascii="Times New Roman" w:eastAsia="Times New Roman" w:hAnsi="Times New Roman" w:cs="Times New Roman"/>
          <w:sz w:val="24"/>
          <w:szCs w:val="24"/>
        </w:rPr>
        <w:t>. Es decir</w:t>
      </w:r>
      <w:r w:rsidR="00104D31">
        <w:rPr>
          <w:rFonts w:ascii="Times New Roman" w:eastAsia="Times New Roman" w:hAnsi="Times New Roman" w:cs="Times New Roman"/>
          <w:sz w:val="24"/>
          <w:szCs w:val="24"/>
        </w:rPr>
        <w:t>,</w:t>
      </w:r>
      <w:r w:rsidR="00F12581">
        <w:rPr>
          <w:rFonts w:ascii="Times New Roman" w:eastAsia="Times New Roman" w:hAnsi="Times New Roman" w:cs="Times New Roman"/>
          <w:sz w:val="24"/>
          <w:szCs w:val="24"/>
        </w:rPr>
        <w:t xml:space="preserve"> que se había prestado el consentimiento de forma indubitada y que el tratamiento de los datos se había realizado con la diligencia necesaria</w:t>
      </w:r>
      <w:r w:rsidR="00104D31">
        <w:rPr>
          <w:rFonts w:ascii="Times New Roman" w:eastAsia="Times New Roman" w:hAnsi="Times New Roman" w:cs="Times New Roman"/>
          <w:sz w:val="24"/>
          <w:szCs w:val="24"/>
        </w:rPr>
        <w:t>.</w:t>
      </w:r>
    </w:p>
    <w:p w14:paraId="00000041" w14:textId="77777777" w:rsidR="00E61663" w:rsidRPr="002F3DEE" w:rsidRDefault="00E61663" w:rsidP="00B035F6">
      <w:pPr>
        <w:spacing w:line="360" w:lineRule="auto"/>
        <w:jc w:val="both"/>
        <w:rPr>
          <w:rFonts w:ascii="Times New Roman" w:eastAsia="Times New Roman" w:hAnsi="Times New Roman" w:cs="Times New Roman"/>
          <w:b/>
          <w:sz w:val="24"/>
          <w:szCs w:val="24"/>
        </w:rPr>
      </w:pPr>
    </w:p>
    <w:p w14:paraId="00000042" w14:textId="36007C24" w:rsidR="00E61663" w:rsidRPr="002F3DEE" w:rsidRDefault="00A14843" w:rsidP="00B035F6">
      <w:pPr>
        <w:spacing w:line="360" w:lineRule="auto"/>
        <w:jc w:val="both"/>
        <w:rPr>
          <w:rFonts w:ascii="Times New Roman" w:eastAsia="Times New Roman" w:hAnsi="Times New Roman" w:cs="Times New Roman"/>
          <w:b/>
          <w:sz w:val="24"/>
          <w:szCs w:val="24"/>
        </w:rPr>
      </w:pPr>
      <w:r w:rsidRPr="002F3DEE">
        <w:rPr>
          <w:rFonts w:ascii="Times New Roman" w:eastAsia="Times New Roman" w:hAnsi="Times New Roman" w:cs="Times New Roman"/>
          <w:b/>
          <w:sz w:val="24"/>
          <w:szCs w:val="24"/>
        </w:rPr>
        <w:t xml:space="preserve">III.2.- La Responsabilidad Proactiva y el principio de minimización de datos personales. </w:t>
      </w:r>
    </w:p>
    <w:p w14:paraId="00000043" w14:textId="54BF63E4"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El Comité Europeo de Protección de Datos</w:t>
      </w:r>
      <w:r w:rsidRPr="002F3DEE">
        <w:rPr>
          <w:rFonts w:ascii="Times New Roman" w:eastAsia="Times New Roman" w:hAnsi="Times New Roman" w:cs="Times New Roman"/>
          <w:sz w:val="24"/>
          <w:szCs w:val="24"/>
          <w:vertAlign w:val="superscript"/>
        </w:rPr>
        <w:footnoteReference w:id="26"/>
      </w:r>
      <w:r w:rsidR="00F12581">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 xml:space="preserve">ha manifestado que las medidas de seguridad siempre se han de incluir por defecto: </w:t>
      </w:r>
      <w:r w:rsidRPr="002F3DEE">
        <w:rPr>
          <w:rFonts w:ascii="Times New Roman" w:eastAsia="Times New Roman" w:hAnsi="Times New Roman" w:cs="Times New Roman"/>
          <w:i/>
          <w:sz w:val="24"/>
          <w:szCs w:val="24"/>
        </w:rPr>
        <w:t xml:space="preserve">“La seguridad de la información debe estar siempre por defecto en todos los sistemas, transferencias, soluciones y opciones cuando se tratan datos de carácter personal”. </w:t>
      </w:r>
      <w:r w:rsidRPr="002F3DEE">
        <w:rPr>
          <w:rFonts w:ascii="Times New Roman" w:eastAsia="Times New Roman" w:hAnsi="Times New Roman" w:cs="Times New Roman"/>
          <w:sz w:val="24"/>
          <w:szCs w:val="24"/>
        </w:rPr>
        <w:t xml:space="preserve">Ello implica que, dado que el riesgo de tratamiento de datos personales nunca será nulo, el responsable y el encargado no podrán </w:t>
      </w:r>
      <w:r w:rsidRPr="002F3DEE">
        <w:rPr>
          <w:rFonts w:ascii="Times New Roman" w:eastAsia="Times New Roman" w:hAnsi="Times New Roman" w:cs="Times New Roman"/>
          <w:sz w:val="24"/>
          <w:szCs w:val="24"/>
        </w:rPr>
        <w:lastRenderedPageBreak/>
        <w:t>ignorar el establecimiento de medidas de seguridad adecuadas. Por su parte, el art. 32.1 del RGPD</w:t>
      </w:r>
      <w:r w:rsidRPr="002F3DEE">
        <w:rPr>
          <w:rFonts w:ascii="Times New Roman" w:eastAsia="Times New Roman" w:hAnsi="Times New Roman" w:cs="Times New Roman"/>
          <w:sz w:val="24"/>
          <w:szCs w:val="24"/>
          <w:vertAlign w:val="superscript"/>
        </w:rPr>
        <w:footnoteReference w:id="27"/>
      </w:r>
      <w:r w:rsidR="005D4609">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 xml:space="preserve">indica cuales pueden ser estas medidas de seguridad que, en general, se basan en garantizar la confidencialidad, la resiliencia de los sistemas (capacidad para continuar dando un servicio ante un imprevisto), la seudonimización y el cifrado de datos, así como la evaluación constante de las medidas de seguridad adoptadas. El responsable del tratamiento deberá limitar estrictamente la recogida de datos, a aquella información que esté directamente relacionada con el fin específico que persigue el tratamiento. </w:t>
      </w:r>
    </w:p>
    <w:p w14:paraId="00000044" w14:textId="2263D905" w:rsidR="00E61663" w:rsidRPr="002F3DEE" w:rsidRDefault="00A14843" w:rsidP="00B035F6">
      <w:pPr>
        <w:spacing w:line="360" w:lineRule="auto"/>
        <w:ind w:firstLine="720"/>
        <w:jc w:val="both"/>
        <w:rPr>
          <w:rFonts w:ascii="Times New Roman" w:eastAsia="Times New Roman" w:hAnsi="Times New Roman" w:cs="Times New Roman"/>
          <w:i/>
          <w:sz w:val="24"/>
          <w:szCs w:val="24"/>
        </w:rPr>
      </w:pPr>
      <w:r w:rsidRPr="002F3DEE">
        <w:rPr>
          <w:rFonts w:ascii="Times New Roman" w:eastAsia="Times New Roman" w:hAnsi="Times New Roman" w:cs="Times New Roman"/>
          <w:sz w:val="24"/>
          <w:szCs w:val="24"/>
        </w:rPr>
        <w:t>En el caso de la STS 1039/2022 de 19 de julio</w:t>
      </w:r>
      <w:r w:rsidRPr="002F3DEE">
        <w:rPr>
          <w:rFonts w:ascii="Times New Roman" w:eastAsia="Times New Roman" w:hAnsi="Times New Roman" w:cs="Times New Roman"/>
          <w:sz w:val="24"/>
          <w:szCs w:val="24"/>
          <w:vertAlign w:val="superscript"/>
        </w:rPr>
        <w:footnoteReference w:id="28"/>
      </w:r>
      <w:r w:rsidR="005D4609">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lo</w:t>
      </w:r>
      <w:r w:rsidR="00F12581">
        <w:rPr>
          <w:rFonts w:ascii="Times New Roman" w:eastAsia="Times New Roman" w:hAnsi="Times New Roman" w:cs="Times New Roman"/>
          <w:sz w:val="24"/>
          <w:szCs w:val="24"/>
        </w:rPr>
        <w:t>s hechos que motivaron la sanció</w:t>
      </w:r>
      <w:r w:rsidRPr="002F3DEE">
        <w:rPr>
          <w:rFonts w:ascii="Times New Roman" w:eastAsia="Times New Roman" w:hAnsi="Times New Roman" w:cs="Times New Roman"/>
          <w:sz w:val="24"/>
          <w:szCs w:val="24"/>
        </w:rPr>
        <w:t xml:space="preserve">n al Osakidetxa-Servicio Vasco de Salud (por parte </w:t>
      </w:r>
      <w:r w:rsidR="002F3DEE">
        <w:rPr>
          <w:rFonts w:ascii="Times New Roman" w:eastAsia="Times New Roman" w:hAnsi="Times New Roman" w:cs="Times New Roman"/>
          <w:sz w:val="24"/>
          <w:szCs w:val="24"/>
        </w:rPr>
        <w:t>de la Agencia Vasca de Protecció</w:t>
      </w:r>
      <w:r w:rsidR="005D4609">
        <w:rPr>
          <w:rFonts w:ascii="Times New Roman" w:eastAsia="Times New Roman" w:hAnsi="Times New Roman" w:cs="Times New Roman"/>
          <w:sz w:val="24"/>
          <w:szCs w:val="24"/>
        </w:rPr>
        <w:t xml:space="preserve">n de Datos) tuvieron lugar cuando </w:t>
      </w:r>
      <w:r w:rsidRPr="002F3DEE">
        <w:rPr>
          <w:rFonts w:ascii="Times New Roman" w:eastAsia="Times New Roman" w:hAnsi="Times New Roman" w:cs="Times New Roman"/>
          <w:sz w:val="24"/>
          <w:szCs w:val="24"/>
        </w:rPr>
        <w:t>la denu</w:t>
      </w:r>
      <w:r w:rsidR="002F3DEE">
        <w:rPr>
          <w:rFonts w:ascii="Times New Roman" w:eastAsia="Times New Roman" w:hAnsi="Times New Roman" w:cs="Times New Roman"/>
          <w:sz w:val="24"/>
          <w:szCs w:val="24"/>
        </w:rPr>
        <w:t>nciante</w:t>
      </w:r>
      <w:r w:rsidR="005D4609">
        <w:rPr>
          <w:rFonts w:ascii="Times New Roman" w:eastAsia="Times New Roman" w:hAnsi="Times New Roman" w:cs="Times New Roman"/>
          <w:sz w:val="24"/>
          <w:szCs w:val="24"/>
        </w:rPr>
        <w:t>,</w:t>
      </w:r>
      <w:r w:rsidR="002F3DEE">
        <w:rPr>
          <w:rFonts w:ascii="Times New Roman" w:eastAsia="Times New Roman" w:hAnsi="Times New Roman" w:cs="Times New Roman"/>
          <w:sz w:val="24"/>
          <w:szCs w:val="24"/>
        </w:rPr>
        <w:t xml:space="preserve"> al recabar un informe mé</w:t>
      </w:r>
      <w:r w:rsidRPr="002F3DEE">
        <w:rPr>
          <w:rFonts w:ascii="Times New Roman" w:eastAsia="Times New Roman" w:hAnsi="Times New Roman" w:cs="Times New Roman"/>
          <w:sz w:val="24"/>
          <w:szCs w:val="24"/>
        </w:rPr>
        <w:t>dico relacionado con la asiste</w:t>
      </w:r>
      <w:r w:rsidR="002F3DEE">
        <w:rPr>
          <w:rFonts w:ascii="Times New Roman" w:eastAsia="Times New Roman" w:hAnsi="Times New Roman" w:cs="Times New Roman"/>
          <w:sz w:val="24"/>
          <w:szCs w:val="24"/>
        </w:rPr>
        <w:t>ncia presta</w:t>
      </w:r>
      <w:r w:rsidR="005D4609">
        <w:rPr>
          <w:rFonts w:ascii="Times New Roman" w:eastAsia="Times New Roman" w:hAnsi="Times New Roman" w:cs="Times New Roman"/>
          <w:sz w:val="24"/>
          <w:szCs w:val="24"/>
        </w:rPr>
        <w:t>da</w:t>
      </w:r>
      <w:r w:rsidR="002F3DEE">
        <w:rPr>
          <w:rFonts w:ascii="Times New Roman" w:eastAsia="Times New Roman" w:hAnsi="Times New Roman" w:cs="Times New Roman"/>
          <w:sz w:val="24"/>
          <w:szCs w:val="24"/>
        </w:rPr>
        <w:t xml:space="preserve"> a causa de una lesió</w:t>
      </w:r>
      <w:r w:rsidRPr="002F3DEE">
        <w:rPr>
          <w:rFonts w:ascii="Times New Roman" w:eastAsia="Times New Roman" w:hAnsi="Times New Roman" w:cs="Times New Roman"/>
          <w:sz w:val="24"/>
          <w:szCs w:val="24"/>
        </w:rPr>
        <w:t>n sufrida en un pie</w:t>
      </w:r>
      <w:r w:rsidR="005D4609">
        <w:rPr>
          <w:rFonts w:ascii="Times New Roman" w:eastAsia="Times New Roman" w:hAnsi="Times New Roman" w:cs="Times New Roman"/>
          <w:sz w:val="24"/>
          <w:szCs w:val="24"/>
        </w:rPr>
        <w:t>, observa que</w:t>
      </w:r>
      <w:r w:rsidRPr="002F3DEE">
        <w:rPr>
          <w:rFonts w:ascii="Times New Roman" w:eastAsia="Times New Roman" w:hAnsi="Times New Roman" w:cs="Times New Roman"/>
          <w:sz w:val="24"/>
          <w:szCs w:val="24"/>
        </w:rPr>
        <w:t xml:space="preserve"> hay una reseña de datos derivados de un cambio de sexo al que la act</w:t>
      </w:r>
      <w:r w:rsidR="005D4609">
        <w:rPr>
          <w:rFonts w:ascii="Times New Roman" w:eastAsia="Times New Roman" w:hAnsi="Times New Roman" w:cs="Times New Roman"/>
          <w:sz w:val="24"/>
          <w:szCs w:val="24"/>
        </w:rPr>
        <w:t>uante se sometió en el pasado. L</w:t>
      </w:r>
      <w:r w:rsidRPr="002F3DEE">
        <w:rPr>
          <w:rFonts w:ascii="Times New Roman" w:eastAsia="Times New Roman" w:hAnsi="Times New Roman" w:cs="Times New Roman"/>
          <w:sz w:val="24"/>
          <w:szCs w:val="24"/>
        </w:rPr>
        <w:t xml:space="preserve">a denunciante manifiesta en su escrito de denuncia que </w:t>
      </w:r>
      <w:r w:rsidRPr="002F3DEE">
        <w:rPr>
          <w:rFonts w:ascii="Times New Roman" w:eastAsia="Times New Roman" w:hAnsi="Times New Roman" w:cs="Times New Roman"/>
          <w:i/>
          <w:sz w:val="24"/>
          <w:szCs w:val="24"/>
        </w:rPr>
        <w:t xml:space="preserve">"el motivo de mi reclamación/denuncia es el contenido del informe realizado en el servicio de urgencias, ya que revela varios datos personales especialmente protegidos y que son totalmente irrelevantes desde el punto de vista clínico/médico respecto al motivo para acudir a urgencias y el tratamiento recibido (radiografía y vendaje en un dedo de un pie)"  </w:t>
      </w:r>
      <w:r w:rsidRPr="002F3DEE">
        <w:rPr>
          <w:rFonts w:ascii="Times New Roman" w:eastAsia="Times New Roman" w:hAnsi="Times New Roman" w:cs="Times New Roman"/>
          <w:sz w:val="24"/>
          <w:szCs w:val="24"/>
        </w:rPr>
        <w:t>Añadiendo en el escrito de denuncia que “</w:t>
      </w:r>
      <w:r w:rsidR="00F12581">
        <w:rPr>
          <w:rFonts w:ascii="Times New Roman" w:eastAsia="Times New Roman" w:hAnsi="Times New Roman" w:cs="Times New Roman"/>
          <w:i/>
          <w:sz w:val="24"/>
          <w:szCs w:val="24"/>
        </w:rPr>
        <w:t>c</w:t>
      </w:r>
      <w:r w:rsidRPr="002F3DEE">
        <w:rPr>
          <w:rFonts w:ascii="Times New Roman" w:eastAsia="Times New Roman" w:hAnsi="Times New Roman" w:cs="Times New Roman"/>
          <w:i/>
          <w:sz w:val="24"/>
          <w:szCs w:val="24"/>
        </w:rPr>
        <w:t>onsidero que el hecho de revelar y exponer esos datos personales de carácter especialmente protegido (hecho de ser mujer transexual) y la terminología utilizada, vulnera mi derecho a la protección de mis datos personales, mi derecho a la intimidad, [...] Exijo igualmente que se investigue esa vulneración de mis derechos, se determinen responsabilidades [...] y se apliquen las sanciones correspondientes".</w:t>
      </w:r>
    </w:p>
    <w:p w14:paraId="00000045" w14:textId="107DC1E8"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Partimos desde el principio de minimización de datos que recoge el artículo 5.1. C del RGPD que exige que cuando se hacen los tratamientos de datos personales se </w:t>
      </w:r>
      <w:r w:rsidRPr="002F3DEE">
        <w:rPr>
          <w:rFonts w:ascii="Times New Roman" w:eastAsia="Times New Roman" w:hAnsi="Times New Roman" w:cs="Times New Roman"/>
          <w:sz w:val="24"/>
          <w:szCs w:val="24"/>
        </w:rPr>
        <w:lastRenderedPageBreak/>
        <w:t>utilicen la menor cantidad posible para la finalidad del tratamiento. En virtud a ello y ante una asistencia sanitaria</w:t>
      </w:r>
      <w:r w:rsidR="00104D31">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la práctica debería ser la que sigue: 1)  solo se debe recoger y almacenar aquella información trascendental para un conocimiento veraz y actualizado del estado de salud de la persona de forma que ésta aparezca en el fichero de su historia clínica;  2) si se hace un informe en la unidad de urgencias debería existir un modelo previo en el que solamente se inserte la información que corresponda al evento producido y, dentro de ella, que el personal sanitario valore únicamente la información que sea de interés para el episodio asistencial producido.</w:t>
      </w:r>
    </w:p>
    <w:p w14:paraId="00000046" w14:textId="1BCD120A"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La duda </w:t>
      </w:r>
      <w:r w:rsidR="005D4609">
        <w:rPr>
          <w:rFonts w:ascii="Times New Roman" w:eastAsia="Times New Roman" w:hAnsi="Times New Roman" w:cs="Times New Roman"/>
          <w:sz w:val="24"/>
          <w:szCs w:val="24"/>
        </w:rPr>
        <w:t xml:space="preserve">que </w:t>
      </w:r>
      <w:r w:rsidRPr="002F3DEE">
        <w:rPr>
          <w:rFonts w:ascii="Times New Roman" w:eastAsia="Times New Roman" w:hAnsi="Times New Roman" w:cs="Times New Roman"/>
          <w:sz w:val="24"/>
          <w:szCs w:val="24"/>
        </w:rPr>
        <w:t xml:space="preserve">surge </w:t>
      </w:r>
      <w:r w:rsidR="005D4609">
        <w:rPr>
          <w:rFonts w:ascii="Times New Roman" w:eastAsia="Times New Roman" w:hAnsi="Times New Roman" w:cs="Times New Roman"/>
          <w:sz w:val="24"/>
          <w:szCs w:val="24"/>
        </w:rPr>
        <w:t xml:space="preserve">es </w:t>
      </w:r>
      <w:r w:rsidRPr="002F3DEE">
        <w:rPr>
          <w:rFonts w:ascii="Times New Roman" w:eastAsia="Times New Roman" w:hAnsi="Times New Roman" w:cs="Times New Roman"/>
          <w:sz w:val="24"/>
          <w:szCs w:val="24"/>
        </w:rPr>
        <w:t>si el principio de minimización de datos opera de forma automática. Esto es, las personas que recaben datos personales deben tener</w:t>
      </w:r>
      <w:r w:rsidR="00F12581">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por diseño y por defecto</w:t>
      </w:r>
      <w:r w:rsidR="00F12581">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un protocolo de registrar </w:t>
      </w:r>
      <w:r w:rsidR="00F12581" w:rsidRPr="002F3DEE">
        <w:rPr>
          <w:rFonts w:ascii="Times New Roman" w:eastAsia="Times New Roman" w:hAnsi="Times New Roman" w:cs="Times New Roman"/>
          <w:sz w:val="24"/>
          <w:szCs w:val="24"/>
        </w:rPr>
        <w:t xml:space="preserve">únicamente </w:t>
      </w:r>
      <w:r w:rsidRPr="002F3DEE">
        <w:rPr>
          <w:rFonts w:ascii="Times New Roman" w:eastAsia="Times New Roman" w:hAnsi="Times New Roman" w:cs="Times New Roman"/>
          <w:sz w:val="24"/>
          <w:szCs w:val="24"/>
        </w:rPr>
        <w:t>los datos imprescindibles o, por el contrario, el principio de minimización lleva aparejado el previo ejercicio del derecho de limitación de datos por parte del titular de los mismos</w:t>
      </w:r>
      <w:r w:rsidR="002F3DEE">
        <w:rPr>
          <w:rFonts w:ascii="Times New Roman" w:eastAsia="Times New Roman" w:hAnsi="Times New Roman" w:cs="Times New Roman"/>
          <w:sz w:val="24"/>
          <w:szCs w:val="24"/>
        </w:rPr>
        <w:t xml:space="preserve">. En el caso objeto de </w:t>
      </w:r>
      <w:r w:rsidRPr="002F3DEE">
        <w:rPr>
          <w:rFonts w:ascii="Times New Roman" w:eastAsia="Times New Roman" w:hAnsi="Times New Roman" w:cs="Times New Roman"/>
          <w:sz w:val="24"/>
          <w:szCs w:val="24"/>
        </w:rPr>
        <w:t>e</w:t>
      </w:r>
      <w:r w:rsidR="002F3DEE">
        <w:rPr>
          <w:rFonts w:ascii="Times New Roman" w:eastAsia="Times New Roman" w:hAnsi="Times New Roman" w:cs="Times New Roman"/>
          <w:sz w:val="24"/>
          <w:szCs w:val="24"/>
        </w:rPr>
        <w:t>sta sentencia</w:t>
      </w:r>
      <w:r w:rsidR="005D4609">
        <w:rPr>
          <w:rFonts w:ascii="Times New Roman" w:eastAsia="Times New Roman" w:hAnsi="Times New Roman" w:cs="Times New Roman"/>
          <w:sz w:val="24"/>
          <w:szCs w:val="24"/>
        </w:rPr>
        <w:t>,</w:t>
      </w:r>
      <w:r w:rsidR="002F3DEE">
        <w:rPr>
          <w:rFonts w:ascii="Times New Roman" w:eastAsia="Times New Roman" w:hAnsi="Times New Roman" w:cs="Times New Roman"/>
          <w:sz w:val="24"/>
          <w:szCs w:val="24"/>
        </w:rPr>
        <w:t xml:space="preserve"> </w:t>
      </w:r>
      <w:r w:rsidR="005D4609">
        <w:rPr>
          <w:rFonts w:ascii="Times New Roman" w:eastAsia="Times New Roman" w:hAnsi="Times New Roman" w:cs="Times New Roman"/>
          <w:sz w:val="24"/>
          <w:szCs w:val="24"/>
        </w:rPr>
        <w:t xml:space="preserve">la cuestión </w:t>
      </w:r>
      <w:r w:rsidR="002F3DEE">
        <w:rPr>
          <w:rFonts w:ascii="Times New Roman" w:eastAsia="Times New Roman" w:hAnsi="Times New Roman" w:cs="Times New Roman"/>
          <w:sz w:val="24"/>
          <w:szCs w:val="24"/>
        </w:rPr>
        <w:t>vendrí</w:t>
      </w:r>
      <w:r w:rsidRPr="002F3DEE">
        <w:rPr>
          <w:rFonts w:ascii="Times New Roman" w:eastAsia="Times New Roman" w:hAnsi="Times New Roman" w:cs="Times New Roman"/>
          <w:sz w:val="24"/>
          <w:szCs w:val="24"/>
        </w:rPr>
        <w:t>a determina</w:t>
      </w:r>
      <w:r w:rsidR="005D4609">
        <w:rPr>
          <w:rFonts w:ascii="Times New Roman" w:eastAsia="Times New Roman" w:hAnsi="Times New Roman" w:cs="Times New Roman"/>
          <w:sz w:val="24"/>
          <w:szCs w:val="24"/>
        </w:rPr>
        <w:t>da</w:t>
      </w:r>
      <w:r w:rsidR="002F3DEE">
        <w:rPr>
          <w:rFonts w:ascii="Times New Roman" w:eastAsia="Times New Roman" w:hAnsi="Times New Roman" w:cs="Times New Roman"/>
          <w:sz w:val="24"/>
          <w:szCs w:val="24"/>
        </w:rPr>
        <w:t xml:space="preserve"> en </w:t>
      </w:r>
      <w:r w:rsidR="005D4609">
        <w:rPr>
          <w:rFonts w:ascii="Times New Roman" w:eastAsia="Times New Roman" w:hAnsi="Times New Roman" w:cs="Times New Roman"/>
          <w:sz w:val="24"/>
          <w:szCs w:val="24"/>
        </w:rPr>
        <w:t xml:space="preserve">dilucidar </w:t>
      </w:r>
      <w:r w:rsidR="002F3DEE">
        <w:rPr>
          <w:rFonts w:ascii="Times New Roman" w:eastAsia="Times New Roman" w:hAnsi="Times New Roman" w:cs="Times New Roman"/>
          <w:sz w:val="24"/>
          <w:szCs w:val="24"/>
        </w:rPr>
        <w:t>si la informació</w:t>
      </w:r>
      <w:r w:rsidRPr="002F3DEE">
        <w:rPr>
          <w:rFonts w:ascii="Times New Roman" w:eastAsia="Times New Roman" w:hAnsi="Times New Roman" w:cs="Times New Roman"/>
          <w:sz w:val="24"/>
          <w:szCs w:val="24"/>
        </w:rPr>
        <w:t xml:space="preserve">n </w:t>
      </w:r>
      <w:r w:rsidR="00F12581">
        <w:rPr>
          <w:rFonts w:ascii="Times New Roman" w:eastAsia="Times New Roman" w:hAnsi="Times New Roman" w:cs="Times New Roman"/>
          <w:sz w:val="24"/>
          <w:szCs w:val="24"/>
        </w:rPr>
        <w:t>d</w:t>
      </w:r>
      <w:r w:rsidRPr="002F3DEE">
        <w:rPr>
          <w:rFonts w:ascii="Times New Roman" w:eastAsia="Times New Roman" w:hAnsi="Times New Roman" w:cs="Times New Roman"/>
          <w:sz w:val="24"/>
          <w:szCs w:val="24"/>
        </w:rPr>
        <w:t>e cambio de se</w:t>
      </w:r>
      <w:r w:rsidR="002F3DEE">
        <w:rPr>
          <w:rFonts w:ascii="Times New Roman" w:eastAsia="Times New Roman" w:hAnsi="Times New Roman" w:cs="Times New Roman"/>
          <w:sz w:val="24"/>
          <w:szCs w:val="24"/>
        </w:rPr>
        <w:t>xo que obraba en la historia clínica de la paciente deberí</w:t>
      </w:r>
      <w:r w:rsidR="005D4609">
        <w:rPr>
          <w:rFonts w:ascii="Times New Roman" w:eastAsia="Times New Roman" w:hAnsi="Times New Roman" w:cs="Times New Roman"/>
          <w:sz w:val="24"/>
          <w:szCs w:val="24"/>
        </w:rPr>
        <w:t xml:space="preserve">a haber sido objeto de oposición dirigida al </w:t>
      </w:r>
      <w:r w:rsidRPr="002F3DEE">
        <w:rPr>
          <w:rFonts w:ascii="Times New Roman" w:eastAsia="Times New Roman" w:hAnsi="Times New Roman" w:cs="Times New Roman"/>
          <w:sz w:val="24"/>
          <w:szCs w:val="24"/>
        </w:rPr>
        <w:t xml:space="preserve">responsable o encargado de tratamiento exponiendo su desacuerdo para que ese </w:t>
      </w:r>
      <w:r w:rsidR="002F3DEE">
        <w:rPr>
          <w:rFonts w:ascii="Times New Roman" w:eastAsia="Times New Roman" w:hAnsi="Times New Roman" w:cs="Times New Roman"/>
          <w:sz w:val="24"/>
          <w:szCs w:val="24"/>
        </w:rPr>
        <w:t>dato obrase en el informe del mé</w:t>
      </w:r>
      <w:r w:rsidRPr="002F3DEE">
        <w:rPr>
          <w:rFonts w:ascii="Times New Roman" w:eastAsia="Times New Roman" w:hAnsi="Times New Roman" w:cs="Times New Roman"/>
          <w:sz w:val="24"/>
          <w:szCs w:val="24"/>
        </w:rPr>
        <w:t xml:space="preserve">dico de urgencias. </w:t>
      </w:r>
    </w:p>
    <w:p w14:paraId="00000048" w14:textId="4E72DD92" w:rsidR="00E61663" w:rsidRPr="002F3DEE" w:rsidRDefault="00A14843" w:rsidP="00F12581">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A estos efectos</w:t>
      </w:r>
      <w:r w:rsidR="005D4CB3">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no existe</w:t>
      </w:r>
      <w:r w:rsidR="002F3DEE">
        <w:rPr>
          <w:rFonts w:ascii="Times New Roman" w:eastAsia="Times New Roman" w:hAnsi="Times New Roman" w:cs="Times New Roman"/>
          <w:sz w:val="24"/>
          <w:szCs w:val="24"/>
        </w:rPr>
        <w:t xml:space="preserve"> un requisito de procedibilidad </w:t>
      </w:r>
      <w:r w:rsidRPr="002F3DEE">
        <w:rPr>
          <w:rFonts w:ascii="Times New Roman" w:eastAsia="Times New Roman" w:hAnsi="Times New Roman" w:cs="Times New Roman"/>
          <w:sz w:val="24"/>
          <w:szCs w:val="24"/>
        </w:rPr>
        <w:t xml:space="preserve">para el inicio del procedimiento </w:t>
      </w:r>
      <w:r w:rsidR="00104D31">
        <w:rPr>
          <w:rFonts w:ascii="Times New Roman" w:eastAsia="Times New Roman" w:hAnsi="Times New Roman" w:cs="Times New Roman"/>
          <w:sz w:val="24"/>
          <w:szCs w:val="24"/>
        </w:rPr>
        <w:t xml:space="preserve">sancionador, </w:t>
      </w:r>
      <w:r w:rsidRPr="002F3DEE">
        <w:rPr>
          <w:rFonts w:ascii="Times New Roman" w:eastAsia="Times New Roman" w:hAnsi="Times New Roman" w:cs="Times New Roman"/>
          <w:sz w:val="24"/>
          <w:szCs w:val="24"/>
        </w:rPr>
        <w:t>al ejercicio</w:t>
      </w:r>
      <w:r w:rsidR="00D55C20">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por parte del interesado</w:t>
      </w:r>
      <w:r w:rsidR="00D55C20">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del derecho de limitación del tratamiento a que se refiere el art. 18.1.d del RGPD</w:t>
      </w:r>
      <w:r w:rsidRPr="002F3DEE">
        <w:rPr>
          <w:rFonts w:ascii="Times New Roman" w:eastAsia="Times New Roman" w:hAnsi="Times New Roman" w:cs="Times New Roman"/>
          <w:sz w:val="24"/>
          <w:szCs w:val="24"/>
          <w:vertAlign w:val="superscript"/>
        </w:rPr>
        <w:footnoteReference w:id="29"/>
      </w:r>
      <w:r w:rsidRPr="002F3DEE">
        <w:rPr>
          <w:rFonts w:ascii="Times New Roman" w:eastAsia="Times New Roman" w:hAnsi="Times New Roman" w:cs="Times New Roman"/>
          <w:sz w:val="24"/>
          <w:szCs w:val="24"/>
        </w:rPr>
        <w:t xml:space="preserve"> y el art. 16 de la LOPDGDD</w:t>
      </w:r>
      <w:r w:rsidR="00F12581">
        <w:rPr>
          <w:rFonts w:ascii="Times New Roman" w:eastAsia="Times New Roman" w:hAnsi="Times New Roman" w:cs="Times New Roman"/>
          <w:sz w:val="24"/>
          <w:szCs w:val="24"/>
        </w:rPr>
        <w:t>. E</w:t>
      </w:r>
      <w:r w:rsidRPr="002F3DEE">
        <w:rPr>
          <w:rFonts w:ascii="Times New Roman" w:eastAsia="Times New Roman" w:hAnsi="Times New Roman" w:cs="Times New Roman"/>
          <w:sz w:val="24"/>
          <w:szCs w:val="24"/>
        </w:rPr>
        <w:t>s más, el ejercicio de los derechos recogidos en los arts. 15 al 22 de</w:t>
      </w:r>
      <w:r w:rsidR="00F12581">
        <w:rPr>
          <w:rFonts w:ascii="Times New Roman" w:eastAsia="Times New Roman" w:hAnsi="Times New Roman" w:cs="Times New Roman"/>
          <w:sz w:val="24"/>
          <w:szCs w:val="24"/>
        </w:rPr>
        <w:t xml:space="preserve">l RGPD y 12 a 18 de la LOPDGDD </w:t>
      </w:r>
      <w:r w:rsidRPr="002F3DEE">
        <w:rPr>
          <w:rFonts w:ascii="Times New Roman" w:eastAsia="Times New Roman" w:hAnsi="Times New Roman" w:cs="Times New Roman"/>
          <w:sz w:val="24"/>
          <w:szCs w:val="24"/>
        </w:rPr>
        <w:t xml:space="preserve">(derechos de acceso, rectificación, supresión, limitación del tratamiento, portabilidad de los datos y oposición) </w:t>
      </w:r>
      <w:r w:rsidR="00D55C20">
        <w:rPr>
          <w:rFonts w:ascii="Times New Roman" w:eastAsia="Times New Roman" w:hAnsi="Times New Roman" w:cs="Times New Roman"/>
          <w:sz w:val="24"/>
          <w:szCs w:val="24"/>
        </w:rPr>
        <w:t xml:space="preserve">se realizan por </w:t>
      </w:r>
      <w:r w:rsidRPr="002F3DEE">
        <w:rPr>
          <w:rFonts w:ascii="Times New Roman" w:eastAsia="Times New Roman" w:hAnsi="Times New Roman" w:cs="Times New Roman"/>
          <w:sz w:val="24"/>
          <w:szCs w:val="24"/>
        </w:rPr>
        <w:t xml:space="preserve">una vía distinta e independiente a otro tipo de reclamaciones ante las Autoridades de Protección de Datos. </w:t>
      </w:r>
      <w:r w:rsidR="00F12581">
        <w:rPr>
          <w:rFonts w:ascii="Times New Roman" w:eastAsia="Times New Roman" w:hAnsi="Times New Roman" w:cs="Times New Roman"/>
          <w:sz w:val="24"/>
          <w:szCs w:val="24"/>
        </w:rPr>
        <w:t>En definitiva, que el principio de minimización en el tratamiento de datos personales opera de manera autónoma al ejercicio al derecho de limitación de tratamiento de las personas físicas.</w:t>
      </w:r>
    </w:p>
    <w:p w14:paraId="00000049" w14:textId="02D99742" w:rsidR="00E61663" w:rsidRPr="002F3DEE" w:rsidRDefault="00A14843" w:rsidP="00B035F6">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Otra duda </w:t>
      </w:r>
      <w:r w:rsidR="00F12581">
        <w:rPr>
          <w:rFonts w:ascii="Times New Roman" w:eastAsia="Times New Roman" w:hAnsi="Times New Roman" w:cs="Times New Roman"/>
          <w:sz w:val="24"/>
          <w:szCs w:val="24"/>
        </w:rPr>
        <w:t xml:space="preserve">que surge al hilo de este caso jurisprudencial </w:t>
      </w:r>
      <w:r w:rsidRPr="002F3DEE">
        <w:rPr>
          <w:rFonts w:ascii="Times New Roman" w:eastAsia="Times New Roman" w:hAnsi="Times New Roman" w:cs="Times New Roman"/>
          <w:sz w:val="24"/>
          <w:szCs w:val="24"/>
        </w:rPr>
        <w:t>es</w:t>
      </w:r>
      <w:r w:rsidR="00630913">
        <w:rPr>
          <w:rFonts w:ascii="Times New Roman" w:eastAsia="Times New Roman" w:hAnsi="Times New Roman" w:cs="Times New Roman"/>
          <w:sz w:val="24"/>
          <w:szCs w:val="24"/>
        </w:rPr>
        <w:t xml:space="preserve"> el siguiente. S</w:t>
      </w:r>
      <w:r w:rsidRPr="002F3DEE">
        <w:rPr>
          <w:rFonts w:ascii="Times New Roman" w:eastAsia="Times New Roman" w:hAnsi="Times New Roman" w:cs="Times New Roman"/>
          <w:sz w:val="24"/>
          <w:szCs w:val="24"/>
        </w:rPr>
        <w:t xml:space="preserve">i el documento contenido en la historia clínica no tuvo otro destinatario que la persona </w:t>
      </w:r>
      <w:r w:rsidRPr="002F3DEE">
        <w:rPr>
          <w:rFonts w:ascii="Times New Roman" w:eastAsia="Times New Roman" w:hAnsi="Times New Roman" w:cs="Times New Roman"/>
          <w:sz w:val="24"/>
          <w:szCs w:val="24"/>
        </w:rPr>
        <w:lastRenderedPageBreak/>
        <w:t>paciente, sin conocimiento para tercero</w:t>
      </w:r>
      <w:r w:rsidR="00630913">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w:t>
      </w:r>
      <w:r w:rsidR="00630913">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debería ser tenido en cuenta por la autoridad de protección de datos de cara a su relevancia para la tipific</w:t>
      </w:r>
      <w:r w:rsidR="00630913">
        <w:rPr>
          <w:rFonts w:ascii="Times New Roman" w:eastAsia="Times New Roman" w:hAnsi="Times New Roman" w:cs="Times New Roman"/>
          <w:sz w:val="24"/>
          <w:szCs w:val="24"/>
        </w:rPr>
        <w:t>ación de la infracción cometida?</w:t>
      </w:r>
      <w:r w:rsidRPr="002F3DEE">
        <w:rPr>
          <w:rFonts w:ascii="Times New Roman" w:eastAsia="Times New Roman" w:hAnsi="Times New Roman" w:cs="Times New Roman"/>
          <w:sz w:val="24"/>
          <w:szCs w:val="24"/>
        </w:rPr>
        <w:t xml:space="preserve"> Respecto a esta alegación la respuesta parece clara. La resolución sancionadora no aprecia infracción del deber de confidencialidad o vulneración del deber de guardar secreto de los datos de carácter personal, sino que el expediente sancionador se inicia para la investigación de una conducta que podía ser constitutiva de vulneración del principio de minimización de datos. De hecho</w:t>
      </w:r>
      <w:r w:rsidR="00630913">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se aprecia infracción muy grave por infracción del art. 5.1.c) del RGPD (principio de minimización) al indicarse </w:t>
      </w:r>
      <w:r w:rsidR="00D55C20">
        <w:rPr>
          <w:rFonts w:ascii="Times New Roman" w:eastAsia="Times New Roman" w:hAnsi="Times New Roman" w:cs="Times New Roman"/>
          <w:sz w:val="24"/>
          <w:szCs w:val="24"/>
        </w:rPr>
        <w:t xml:space="preserve">datos personales innecesarios </w:t>
      </w:r>
      <w:r w:rsidRPr="002F3DEE">
        <w:rPr>
          <w:rFonts w:ascii="Times New Roman" w:eastAsia="Times New Roman" w:hAnsi="Times New Roman" w:cs="Times New Roman"/>
          <w:sz w:val="24"/>
          <w:szCs w:val="24"/>
        </w:rPr>
        <w:t>en el informe</w:t>
      </w:r>
      <w:r w:rsidR="00D55C20">
        <w:rPr>
          <w:rFonts w:ascii="Times New Roman" w:eastAsia="Times New Roman" w:hAnsi="Times New Roman" w:cs="Times New Roman"/>
          <w:sz w:val="24"/>
          <w:szCs w:val="24"/>
        </w:rPr>
        <w:t xml:space="preserve"> de alta de la persona paciente.</w:t>
      </w:r>
    </w:p>
    <w:p w14:paraId="0000004D" w14:textId="77777777" w:rsidR="00E61663" w:rsidRPr="002F3DEE" w:rsidRDefault="00E61663" w:rsidP="00B035F6">
      <w:pPr>
        <w:spacing w:line="360" w:lineRule="auto"/>
        <w:ind w:firstLine="720"/>
        <w:jc w:val="both"/>
        <w:rPr>
          <w:rFonts w:ascii="Times New Roman" w:eastAsia="Times New Roman" w:hAnsi="Times New Roman" w:cs="Times New Roman"/>
          <w:b/>
          <w:sz w:val="24"/>
          <w:szCs w:val="24"/>
        </w:rPr>
      </w:pPr>
    </w:p>
    <w:p w14:paraId="0000004E" w14:textId="77777777" w:rsidR="00E61663" w:rsidRPr="002F3DEE" w:rsidRDefault="00A14843" w:rsidP="00B035F6">
      <w:pPr>
        <w:spacing w:line="360" w:lineRule="auto"/>
        <w:jc w:val="both"/>
        <w:rPr>
          <w:rFonts w:ascii="Times New Roman" w:eastAsia="Times New Roman" w:hAnsi="Times New Roman" w:cs="Times New Roman"/>
          <w:b/>
          <w:sz w:val="24"/>
          <w:szCs w:val="24"/>
        </w:rPr>
      </w:pPr>
      <w:r w:rsidRPr="002F3DEE">
        <w:rPr>
          <w:rFonts w:ascii="Times New Roman" w:eastAsia="Times New Roman" w:hAnsi="Times New Roman" w:cs="Times New Roman"/>
          <w:b/>
          <w:sz w:val="24"/>
          <w:szCs w:val="24"/>
        </w:rPr>
        <w:t>III.3.- Derecho de Supresión o derecho al olvido</w:t>
      </w:r>
    </w:p>
    <w:p w14:paraId="00000053" w14:textId="6F17BB75" w:rsidR="00E61663" w:rsidRPr="002F3DEE" w:rsidRDefault="00A14843" w:rsidP="00630913">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La regulación actual queda marcada por los artículos 17 y Considerandos 65</w:t>
      </w:r>
      <w:r w:rsidRPr="002F3DEE">
        <w:rPr>
          <w:rFonts w:ascii="Times New Roman" w:eastAsia="Times New Roman" w:hAnsi="Times New Roman" w:cs="Times New Roman"/>
          <w:sz w:val="24"/>
          <w:szCs w:val="24"/>
          <w:vertAlign w:val="superscript"/>
        </w:rPr>
        <w:footnoteReference w:id="30"/>
      </w:r>
      <w:r w:rsidRPr="002F3DEE">
        <w:rPr>
          <w:rFonts w:ascii="Times New Roman" w:eastAsia="Times New Roman" w:hAnsi="Times New Roman" w:cs="Times New Roman"/>
          <w:sz w:val="24"/>
          <w:szCs w:val="24"/>
        </w:rPr>
        <w:t xml:space="preserve"> y 66 RGPD; además, de en el artículo 15  de la LOPD GDD.</w:t>
      </w:r>
      <w:r w:rsidR="00630913">
        <w:rPr>
          <w:rFonts w:ascii="Times New Roman" w:eastAsia="Times New Roman" w:hAnsi="Times New Roman" w:cs="Times New Roman"/>
          <w:sz w:val="24"/>
          <w:szCs w:val="24"/>
        </w:rPr>
        <w:t xml:space="preserve"> E</w:t>
      </w:r>
      <w:r w:rsidRPr="002F3DEE">
        <w:rPr>
          <w:rFonts w:ascii="Times New Roman" w:eastAsia="Times New Roman" w:hAnsi="Times New Roman" w:cs="Times New Roman"/>
          <w:sz w:val="24"/>
          <w:szCs w:val="24"/>
        </w:rPr>
        <w:t xml:space="preserve">l ejercicio del derecho </w:t>
      </w:r>
      <w:r w:rsidR="00630913">
        <w:rPr>
          <w:rFonts w:ascii="Times New Roman" w:eastAsia="Times New Roman" w:hAnsi="Times New Roman" w:cs="Times New Roman"/>
          <w:sz w:val="24"/>
          <w:szCs w:val="24"/>
        </w:rPr>
        <w:t>de supresión tiene lugar cuando los datos f</w:t>
      </w:r>
      <w:r w:rsidRPr="002F3DEE">
        <w:rPr>
          <w:rFonts w:ascii="Times New Roman" w:eastAsia="Times New Roman" w:hAnsi="Times New Roman" w:cs="Times New Roman"/>
          <w:sz w:val="24"/>
          <w:szCs w:val="24"/>
        </w:rPr>
        <w:t>ueran innecesarios para los fines para los que se recabaron</w:t>
      </w:r>
      <w:r w:rsidR="00630913">
        <w:rPr>
          <w:rFonts w:ascii="Times New Roman" w:eastAsia="Times New Roman" w:hAnsi="Times New Roman" w:cs="Times New Roman"/>
          <w:sz w:val="24"/>
          <w:szCs w:val="24"/>
        </w:rPr>
        <w:t>; f</w:t>
      </w:r>
      <w:r w:rsidRPr="002F3DEE">
        <w:rPr>
          <w:rFonts w:ascii="Times New Roman" w:eastAsia="Times New Roman" w:hAnsi="Times New Roman" w:cs="Times New Roman"/>
          <w:sz w:val="24"/>
          <w:szCs w:val="24"/>
        </w:rPr>
        <w:t>uera revocado el consentimiento</w:t>
      </w:r>
      <w:r w:rsidR="00630913">
        <w:rPr>
          <w:rFonts w:ascii="Times New Roman" w:eastAsia="Times New Roman" w:hAnsi="Times New Roman" w:cs="Times New Roman"/>
          <w:sz w:val="24"/>
          <w:szCs w:val="24"/>
        </w:rPr>
        <w:t xml:space="preserve"> o se produjera o</w:t>
      </w:r>
      <w:r w:rsidRPr="002F3DEE">
        <w:rPr>
          <w:rFonts w:ascii="Times New Roman" w:eastAsia="Times New Roman" w:hAnsi="Times New Roman" w:cs="Times New Roman"/>
          <w:sz w:val="24"/>
          <w:szCs w:val="24"/>
        </w:rPr>
        <w:t>posición al tratamiento</w:t>
      </w:r>
      <w:r w:rsidR="00630913">
        <w:rPr>
          <w:rFonts w:ascii="Times New Roman" w:eastAsia="Times New Roman" w:hAnsi="Times New Roman" w:cs="Times New Roman"/>
          <w:sz w:val="24"/>
          <w:szCs w:val="24"/>
        </w:rPr>
        <w:t xml:space="preserve"> por parte de quien antes había prestado su consentimiento al mismo.</w:t>
      </w:r>
    </w:p>
    <w:p w14:paraId="00000055" w14:textId="7FD827C6" w:rsidR="00E61663" w:rsidRPr="002F3DEE" w:rsidRDefault="00A14843" w:rsidP="00630913">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Una de las cuestiones más controvertidas</w:t>
      </w:r>
      <w:r w:rsidR="00630913">
        <w:rPr>
          <w:rFonts w:ascii="Times New Roman" w:eastAsia="Times New Roman" w:hAnsi="Times New Roman" w:cs="Times New Roman"/>
          <w:sz w:val="24"/>
          <w:szCs w:val="24"/>
        </w:rPr>
        <w:t xml:space="preserve"> y que ha sido objeto de estudio por parte de la jurisprudencia, </w:t>
      </w:r>
      <w:r w:rsidRPr="002F3DEE">
        <w:rPr>
          <w:rFonts w:ascii="Times New Roman" w:eastAsia="Times New Roman" w:hAnsi="Times New Roman" w:cs="Times New Roman"/>
          <w:sz w:val="24"/>
          <w:szCs w:val="24"/>
        </w:rPr>
        <w:t xml:space="preserve">es si la información fiscal puede ser objeto de </w:t>
      </w:r>
      <w:r w:rsidR="00630913">
        <w:rPr>
          <w:rFonts w:ascii="Times New Roman" w:eastAsia="Times New Roman" w:hAnsi="Times New Roman" w:cs="Times New Roman"/>
          <w:sz w:val="24"/>
          <w:szCs w:val="24"/>
        </w:rPr>
        <w:t>publicidad. En España,</w:t>
      </w:r>
      <w:r w:rsidR="005D4CB3">
        <w:rPr>
          <w:rFonts w:ascii="Times New Roman" w:eastAsia="Times New Roman" w:hAnsi="Times New Roman" w:cs="Times New Roman"/>
          <w:sz w:val="24"/>
          <w:szCs w:val="24"/>
        </w:rPr>
        <w:t xml:space="preserve"> </w:t>
      </w:r>
      <w:r w:rsidRPr="002F3DEE">
        <w:rPr>
          <w:rFonts w:ascii="Times New Roman" w:eastAsia="Times New Roman" w:hAnsi="Times New Roman" w:cs="Times New Roman"/>
          <w:sz w:val="24"/>
          <w:szCs w:val="24"/>
        </w:rPr>
        <w:t xml:space="preserve">la ley 34/2015 de 29 de septiembre, de modificación parcial de la Ley 58/2003, de 17 de diciembre, General Tributaria, introdujo una un nuevo artículo 95 bis llamado </w:t>
      </w:r>
      <w:r w:rsidRPr="00630913">
        <w:rPr>
          <w:rFonts w:ascii="Times New Roman" w:eastAsia="Times New Roman" w:hAnsi="Times New Roman" w:cs="Times New Roman"/>
          <w:i/>
          <w:sz w:val="24"/>
          <w:szCs w:val="24"/>
        </w:rPr>
        <w:t>“publicidad de situaciones de incumplimiento relevante de las obligaciones tributarias</w:t>
      </w:r>
      <w:r w:rsidRPr="002F3DEE">
        <w:rPr>
          <w:rFonts w:ascii="Times New Roman" w:eastAsia="Times New Roman" w:hAnsi="Times New Roman" w:cs="Times New Roman"/>
          <w:sz w:val="24"/>
          <w:szCs w:val="24"/>
        </w:rPr>
        <w:t xml:space="preserve">”. Este precepto es una habilitación normativa que permite a la Administración Tributaria estatal publicar lista de deudores o sancionados tributarios en determinadas circunstancias ya sean personas físicas o personas jurídicas. Así pues, en esta materia prevalece el principio de publicidad frente al derecho a la protección de datos o la intimidad siempre teniendo en cuenta los principios de proporcionalidad y exactitud. </w:t>
      </w:r>
    </w:p>
    <w:p w14:paraId="6D4C5E4F" w14:textId="77777777" w:rsidR="00630913" w:rsidRDefault="00A14843" w:rsidP="00B035F6">
      <w:pPr>
        <w:spacing w:line="360" w:lineRule="auto"/>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lastRenderedPageBreak/>
        <w:tab/>
        <w:t>Destaca la STC 23/2022, de 21 de febrero</w:t>
      </w:r>
      <w:r w:rsidR="00630913">
        <w:rPr>
          <w:rStyle w:val="Refdenotaalpie"/>
          <w:rFonts w:ascii="Times New Roman" w:eastAsia="Times New Roman" w:hAnsi="Times New Roman" w:cs="Times New Roman"/>
          <w:sz w:val="24"/>
          <w:szCs w:val="24"/>
        </w:rPr>
        <w:footnoteReference w:id="31"/>
      </w:r>
      <w:r w:rsidRPr="002F3DEE">
        <w:rPr>
          <w:rFonts w:ascii="Times New Roman" w:eastAsia="Times New Roman" w:hAnsi="Times New Roman" w:cs="Times New Roman"/>
          <w:sz w:val="24"/>
          <w:szCs w:val="24"/>
        </w:rPr>
        <w:t>, que indica que la publicación en el BOE de una sanción impuesta (al consejero y secretario del consejo de administración de una SA por la comisión de una infracción muy grave prevista en la Le</w:t>
      </w:r>
      <w:r w:rsidR="002F3DEE">
        <w:rPr>
          <w:rFonts w:ascii="Times New Roman" w:eastAsia="Times New Roman" w:hAnsi="Times New Roman" w:cs="Times New Roman"/>
          <w:sz w:val="24"/>
          <w:szCs w:val="24"/>
        </w:rPr>
        <w:t>y de Mercado de Valores) es un</w:t>
      </w:r>
      <w:r w:rsidRPr="002F3DEE">
        <w:rPr>
          <w:rFonts w:ascii="Times New Roman" w:eastAsia="Times New Roman" w:hAnsi="Times New Roman" w:cs="Times New Roman"/>
          <w:sz w:val="24"/>
          <w:szCs w:val="24"/>
        </w:rPr>
        <w:t>a</w:t>
      </w:r>
      <w:r w:rsidR="002F3DEE">
        <w:rPr>
          <w:rFonts w:ascii="Times New Roman" w:eastAsia="Times New Roman" w:hAnsi="Times New Roman" w:cs="Times New Roman"/>
          <w:sz w:val="24"/>
          <w:szCs w:val="24"/>
        </w:rPr>
        <w:t xml:space="preserve"> consecuencia de</w:t>
      </w:r>
      <w:r w:rsidRPr="002F3DEE">
        <w:rPr>
          <w:rFonts w:ascii="Times New Roman" w:eastAsia="Times New Roman" w:hAnsi="Times New Roman" w:cs="Times New Roman"/>
          <w:sz w:val="24"/>
          <w:szCs w:val="24"/>
        </w:rPr>
        <w:t xml:space="preserve"> la imposición de sanciones graves cuya finalidad es advertir a operadores económicos de una mala actuación dentro del mercado financiero. Además, tal como indica el TC</w:t>
      </w:r>
      <w:r w:rsidR="00630913">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la publicidad oficial de la sanción impuesta c</w:t>
      </w:r>
      <w:r w:rsidR="002F3DEE">
        <w:rPr>
          <w:rFonts w:ascii="Times New Roman" w:eastAsia="Times New Roman" w:hAnsi="Times New Roman" w:cs="Times New Roman"/>
          <w:sz w:val="24"/>
          <w:szCs w:val="24"/>
        </w:rPr>
        <w:t xml:space="preserve">uenta con expresa habilitación </w:t>
      </w:r>
      <w:r w:rsidRPr="002F3DEE">
        <w:rPr>
          <w:rFonts w:ascii="Times New Roman" w:eastAsia="Times New Roman" w:hAnsi="Times New Roman" w:cs="Times New Roman"/>
          <w:sz w:val="24"/>
          <w:szCs w:val="24"/>
        </w:rPr>
        <w:t xml:space="preserve">legal por lo que es coherente con la normativa de protección de datos. </w:t>
      </w:r>
    </w:p>
    <w:p w14:paraId="00000056" w14:textId="7B553EE6" w:rsidR="00E61663" w:rsidRDefault="00A14843" w:rsidP="00630913">
      <w:pPr>
        <w:spacing w:line="360" w:lineRule="auto"/>
        <w:ind w:firstLine="720"/>
        <w:jc w:val="both"/>
        <w:rPr>
          <w:rFonts w:ascii="Times New Roman" w:eastAsia="Times New Roman" w:hAnsi="Times New Roman" w:cs="Times New Roman"/>
          <w:sz w:val="24"/>
          <w:szCs w:val="24"/>
        </w:rPr>
      </w:pPr>
      <w:r w:rsidRPr="002F3DEE">
        <w:rPr>
          <w:rFonts w:ascii="Times New Roman" w:eastAsia="Times New Roman" w:hAnsi="Times New Roman" w:cs="Times New Roman"/>
          <w:sz w:val="24"/>
          <w:szCs w:val="24"/>
        </w:rPr>
        <w:t xml:space="preserve">Otra cuestión es la réplica de contenidos que los boletines oficiales tienen en la web </w:t>
      </w:r>
      <w:r w:rsidR="00D55C20">
        <w:rPr>
          <w:rFonts w:ascii="Times New Roman" w:eastAsia="Times New Roman" w:hAnsi="Times New Roman" w:cs="Times New Roman"/>
          <w:sz w:val="24"/>
          <w:szCs w:val="24"/>
        </w:rPr>
        <w:t xml:space="preserve">y que podría obviarse publicándose </w:t>
      </w:r>
      <w:r w:rsidRPr="002F3DEE">
        <w:rPr>
          <w:rFonts w:ascii="Times New Roman" w:eastAsia="Times New Roman" w:hAnsi="Times New Roman" w:cs="Times New Roman"/>
          <w:sz w:val="24"/>
          <w:szCs w:val="24"/>
        </w:rPr>
        <w:t>en formato imagen</w:t>
      </w:r>
      <w:r w:rsidRPr="002F3DEE">
        <w:rPr>
          <w:rFonts w:ascii="Times New Roman" w:eastAsia="Times New Roman" w:hAnsi="Times New Roman" w:cs="Times New Roman"/>
          <w:sz w:val="24"/>
          <w:szCs w:val="24"/>
          <w:vertAlign w:val="superscript"/>
        </w:rPr>
        <w:footnoteReference w:id="32"/>
      </w:r>
      <w:r w:rsidRPr="002F3DEE">
        <w:rPr>
          <w:rFonts w:ascii="Times New Roman" w:eastAsia="Times New Roman" w:hAnsi="Times New Roman" w:cs="Times New Roman"/>
          <w:sz w:val="24"/>
          <w:szCs w:val="24"/>
        </w:rPr>
        <w:t>. Para la AEPD el responsable del tratamiento actúa correctamente cuando se utiliza la herramienta robots.txt para evitar la indexación de la información por parte de los buscadores evitando la difusión indiscriminada de ésta. Si bien</w:t>
      </w:r>
      <w:r w:rsidR="005D4CB3">
        <w:rPr>
          <w:rFonts w:ascii="Times New Roman" w:eastAsia="Times New Roman" w:hAnsi="Times New Roman" w:cs="Times New Roman"/>
          <w:sz w:val="24"/>
          <w:szCs w:val="24"/>
        </w:rPr>
        <w:t>,</w:t>
      </w:r>
      <w:r w:rsidRPr="002F3DEE">
        <w:rPr>
          <w:rFonts w:ascii="Times New Roman" w:eastAsia="Times New Roman" w:hAnsi="Times New Roman" w:cs="Times New Roman"/>
          <w:sz w:val="24"/>
          <w:szCs w:val="24"/>
        </w:rPr>
        <w:t xml:space="preserve"> la imposibilidad t</w:t>
      </w:r>
      <w:r w:rsidR="002F3DEE">
        <w:rPr>
          <w:rFonts w:ascii="Times New Roman" w:eastAsia="Times New Roman" w:hAnsi="Times New Roman" w:cs="Times New Roman"/>
          <w:sz w:val="24"/>
          <w:szCs w:val="24"/>
        </w:rPr>
        <w:t xml:space="preserve">écnica de evitar </w:t>
      </w:r>
      <w:r w:rsidRPr="002F3DEE">
        <w:rPr>
          <w:rFonts w:ascii="Times New Roman" w:eastAsia="Times New Roman" w:hAnsi="Times New Roman" w:cs="Times New Roman"/>
          <w:sz w:val="24"/>
          <w:szCs w:val="24"/>
        </w:rPr>
        <w:t>el acceso a futuro de los buscadores de datos es una realidad</w:t>
      </w:r>
      <w:r w:rsidR="00630913">
        <w:rPr>
          <w:rFonts w:ascii="Times New Roman" w:eastAsia="Times New Roman" w:hAnsi="Times New Roman" w:cs="Times New Roman"/>
          <w:sz w:val="24"/>
          <w:szCs w:val="24"/>
        </w:rPr>
        <w:t xml:space="preserve"> constatada. Por todo ello sería oportuno que la necesaria publicidad de la sanción no supusiera una merma de derechos al administrado, sobre todo en lo relativo a la protección de sus datos personales</w:t>
      </w:r>
    </w:p>
    <w:p w14:paraId="60A91E31" w14:textId="77777777" w:rsidR="00A14843" w:rsidRDefault="00A14843" w:rsidP="00A14843">
      <w:pPr>
        <w:spacing w:line="360" w:lineRule="auto"/>
        <w:ind w:firstLine="737"/>
        <w:jc w:val="both"/>
      </w:pPr>
    </w:p>
    <w:p w14:paraId="04F61EC3" w14:textId="0AC0033A" w:rsidR="00A14843" w:rsidRDefault="00A14843" w:rsidP="00A14843">
      <w:pPr>
        <w:spacing w:line="360" w:lineRule="auto"/>
        <w:ind w:firstLine="737"/>
        <w:jc w:val="center"/>
      </w:pPr>
      <w:r>
        <w:t>***</w:t>
      </w:r>
    </w:p>
    <w:p w14:paraId="536CC380" w14:textId="484013EC" w:rsidR="00B035F6" w:rsidRPr="00B035F6" w:rsidRDefault="00A14843" w:rsidP="00A14843">
      <w:pPr>
        <w:spacing w:line="360" w:lineRule="auto"/>
        <w:ind w:firstLine="720"/>
        <w:jc w:val="both"/>
        <w:rPr>
          <w:rFonts w:ascii="Times New Roman" w:eastAsia="Times New Roman" w:hAnsi="Times New Roman" w:cs="Times New Roman"/>
          <w:sz w:val="24"/>
          <w:szCs w:val="24"/>
        </w:rPr>
      </w:pPr>
      <w:r>
        <w:t xml:space="preserve"> </w:t>
      </w:r>
      <w:r>
        <w:tab/>
      </w:r>
    </w:p>
    <w:p w14:paraId="0000005A" w14:textId="138B12B0" w:rsidR="00E61663" w:rsidRPr="002F3DEE" w:rsidRDefault="00E61663" w:rsidP="00B035F6">
      <w:pPr>
        <w:jc w:val="both"/>
        <w:rPr>
          <w:rFonts w:ascii="Times New Roman" w:eastAsia="Times New Roman" w:hAnsi="Times New Roman" w:cs="Times New Roman"/>
          <w:sz w:val="24"/>
          <w:szCs w:val="24"/>
        </w:rPr>
      </w:pPr>
    </w:p>
    <w:sectPr w:rsidR="00E61663" w:rsidRPr="002F3DEE">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4269AE" w14:textId="77777777" w:rsidR="00B25C08" w:rsidRDefault="00B25C08">
      <w:pPr>
        <w:spacing w:after="0" w:line="240" w:lineRule="auto"/>
      </w:pPr>
      <w:r>
        <w:separator/>
      </w:r>
    </w:p>
  </w:endnote>
  <w:endnote w:type="continuationSeparator" w:id="0">
    <w:p w14:paraId="38F09B12" w14:textId="77777777" w:rsidR="00B25C08" w:rsidRDefault="00B25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8581644"/>
      <w:docPartObj>
        <w:docPartGallery w:val="Page Numbers (Bottom of Page)"/>
        <w:docPartUnique/>
      </w:docPartObj>
    </w:sdtPr>
    <w:sdtEndPr>
      <w:rPr>
        <w:rFonts w:ascii="Times New Roman" w:hAnsi="Times New Roman" w:cs="Times New Roman"/>
        <w:sz w:val="20"/>
        <w:szCs w:val="20"/>
      </w:rPr>
    </w:sdtEndPr>
    <w:sdtContent>
      <w:p w14:paraId="153A21B7" w14:textId="1577676F" w:rsidR="00D55C20" w:rsidRPr="00D55C20" w:rsidRDefault="00D55C20">
        <w:pPr>
          <w:pStyle w:val="Piedepgina"/>
          <w:jc w:val="center"/>
          <w:rPr>
            <w:rFonts w:ascii="Times New Roman" w:hAnsi="Times New Roman" w:cs="Times New Roman"/>
            <w:sz w:val="20"/>
            <w:szCs w:val="20"/>
          </w:rPr>
        </w:pPr>
        <w:r>
          <w:t>-</w:t>
        </w:r>
        <w:r w:rsidRPr="00D55C20">
          <w:rPr>
            <w:rFonts w:ascii="Times New Roman" w:hAnsi="Times New Roman" w:cs="Times New Roman"/>
            <w:sz w:val="20"/>
            <w:szCs w:val="20"/>
          </w:rPr>
          <w:fldChar w:fldCharType="begin"/>
        </w:r>
        <w:r w:rsidRPr="00D55C20">
          <w:rPr>
            <w:rFonts w:ascii="Times New Roman" w:hAnsi="Times New Roman" w:cs="Times New Roman"/>
            <w:sz w:val="20"/>
            <w:szCs w:val="20"/>
          </w:rPr>
          <w:instrText>PAGE   \* MERGEFORMAT</w:instrText>
        </w:r>
        <w:r w:rsidRPr="00D55C20">
          <w:rPr>
            <w:rFonts w:ascii="Times New Roman" w:hAnsi="Times New Roman" w:cs="Times New Roman"/>
            <w:sz w:val="20"/>
            <w:szCs w:val="20"/>
          </w:rPr>
          <w:fldChar w:fldCharType="separate"/>
        </w:r>
        <w:r w:rsidR="00EE0FB7">
          <w:rPr>
            <w:rFonts w:ascii="Times New Roman" w:hAnsi="Times New Roman" w:cs="Times New Roman"/>
            <w:noProof/>
            <w:sz w:val="20"/>
            <w:szCs w:val="20"/>
          </w:rPr>
          <w:t>1</w:t>
        </w:r>
        <w:r w:rsidRPr="00D55C20">
          <w:rPr>
            <w:rFonts w:ascii="Times New Roman" w:hAnsi="Times New Roman" w:cs="Times New Roman"/>
            <w:sz w:val="20"/>
            <w:szCs w:val="20"/>
          </w:rPr>
          <w:fldChar w:fldCharType="end"/>
        </w:r>
        <w:r>
          <w:rPr>
            <w:rFonts w:ascii="Times New Roman" w:hAnsi="Times New Roman" w:cs="Times New Roman"/>
            <w:sz w:val="20"/>
            <w:szCs w:val="20"/>
          </w:rPr>
          <w:t>-</w:t>
        </w:r>
      </w:p>
    </w:sdtContent>
  </w:sdt>
  <w:p w14:paraId="7DD224E4" w14:textId="77777777" w:rsidR="00D55C20" w:rsidRDefault="00D55C2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617E0" w14:textId="77777777" w:rsidR="00B25C08" w:rsidRDefault="00B25C08">
      <w:pPr>
        <w:spacing w:after="0" w:line="240" w:lineRule="auto"/>
      </w:pPr>
      <w:r>
        <w:separator/>
      </w:r>
    </w:p>
  </w:footnote>
  <w:footnote w:type="continuationSeparator" w:id="0">
    <w:p w14:paraId="3A91C4B1" w14:textId="77777777" w:rsidR="00B25C08" w:rsidRDefault="00B25C08">
      <w:pPr>
        <w:spacing w:after="0" w:line="240" w:lineRule="auto"/>
      </w:pPr>
      <w:r>
        <w:continuationSeparator/>
      </w:r>
    </w:p>
  </w:footnote>
  <w:footnote w:id="1">
    <w:p w14:paraId="42E62EB4" w14:textId="710DE051" w:rsidR="00335297" w:rsidRPr="00335297" w:rsidRDefault="00335297" w:rsidP="00335297">
      <w:pPr>
        <w:pStyle w:val="Textonotapie"/>
        <w:jc w:val="both"/>
        <w:rPr>
          <w:rFonts w:ascii="Times New Roman" w:hAnsi="Times New Roman" w:cs="Times New Roman"/>
        </w:rPr>
      </w:pPr>
      <w:r w:rsidRPr="00335297">
        <w:rPr>
          <w:rStyle w:val="Refdenotaalpie"/>
          <w:rFonts w:ascii="Times New Roman" w:hAnsi="Times New Roman" w:cs="Times New Roman"/>
        </w:rPr>
        <w:footnoteRef/>
      </w:r>
      <w:r w:rsidRPr="00335297">
        <w:rPr>
          <w:rFonts w:ascii="Times New Roman" w:hAnsi="Times New Roman" w:cs="Times New Roman"/>
        </w:rPr>
        <w:t xml:space="preserve"> (RTC 2000, 290)</w:t>
      </w:r>
    </w:p>
  </w:footnote>
  <w:footnote w:id="2">
    <w:p w14:paraId="165BFF91" w14:textId="3D6E8709" w:rsidR="00335297" w:rsidRPr="00335297" w:rsidRDefault="00335297">
      <w:pPr>
        <w:pStyle w:val="Textonotapie"/>
        <w:rPr>
          <w:rFonts w:ascii="Times New Roman" w:hAnsi="Times New Roman" w:cs="Times New Roman"/>
        </w:rPr>
      </w:pPr>
      <w:r w:rsidRPr="00335297">
        <w:rPr>
          <w:rStyle w:val="Refdenotaalpie"/>
          <w:rFonts w:ascii="Times New Roman" w:hAnsi="Times New Roman" w:cs="Times New Roman"/>
        </w:rPr>
        <w:footnoteRef/>
      </w:r>
      <w:r w:rsidRPr="00335297">
        <w:rPr>
          <w:rFonts w:ascii="Times New Roman" w:hAnsi="Times New Roman" w:cs="Times New Roman"/>
        </w:rPr>
        <w:t xml:space="preserve"> (RTC 2000, 292)</w:t>
      </w:r>
    </w:p>
  </w:footnote>
  <w:footnote w:id="3">
    <w:p w14:paraId="0000005D" w14:textId="77777777" w:rsidR="00E61663" w:rsidRPr="00335297" w:rsidRDefault="00A14843" w:rsidP="00335297">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color w:val="000000"/>
          <w:sz w:val="20"/>
          <w:szCs w:val="20"/>
        </w:rPr>
        <w:t xml:space="preserve"> “</w:t>
      </w:r>
      <w:r w:rsidRPr="00335297">
        <w:rPr>
          <w:rFonts w:ascii="Times New Roman" w:hAnsi="Times New Roman" w:cs="Times New Roman"/>
          <w:i/>
          <w:color w:val="000000"/>
          <w:sz w:val="20"/>
          <w:szCs w:val="20"/>
        </w:rPr>
        <w:t>El derecho fundamental a la protección de datos amplía la garantía constitucional a aquellos de esos datos que sean relevantes o tengan incidencia en el ejercicio de cualesquiera derechos de la persona, sean o no derechos constitucionales y sean o no relativos al honor, la ideología, la intimidad personal y familiar a cualquier otro bien constitucionalmente amparado” [por lo que el objeto de la protección de datos se extiende a] “cualquier tipo de dato personal, sea íntimo o cuyo conocimiento o empleo por terceros pueda afectar a sus derechos, sean o no fundamentales, porque su objeto no es sólo la intimidad individual”</w:t>
      </w:r>
    </w:p>
  </w:footnote>
  <w:footnote w:id="4">
    <w:p w14:paraId="0000005E" w14:textId="418D0102" w:rsidR="00E61663" w:rsidRPr="00335297" w:rsidRDefault="00A14843" w:rsidP="00335297">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color w:val="000000"/>
          <w:sz w:val="20"/>
          <w:szCs w:val="20"/>
        </w:rPr>
        <w:t xml:space="preserve"> </w:t>
      </w:r>
      <w:r w:rsidR="00335297">
        <w:rPr>
          <w:rFonts w:ascii="Times New Roman" w:hAnsi="Times New Roman" w:cs="Times New Roman"/>
          <w:color w:val="000000"/>
          <w:sz w:val="20"/>
          <w:szCs w:val="20"/>
        </w:rPr>
        <w:t xml:space="preserve">(RTC 1993, 254) </w:t>
      </w:r>
      <w:r w:rsidRPr="00335297">
        <w:rPr>
          <w:rFonts w:ascii="Times New Roman" w:hAnsi="Times New Roman" w:cs="Times New Roman"/>
          <w:color w:val="000000"/>
          <w:sz w:val="20"/>
          <w:szCs w:val="20"/>
        </w:rPr>
        <w:t>“D</w:t>
      </w:r>
      <w:r w:rsidRPr="00335297">
        <w:rPr>
          <w:rFonts w:ascii="Times New Roman" w:hAnsi="Times New Roman" w:cs="Times New Roman"/>
          <w:i/>
          <w:color w:val="000000"/>
          <w:sz w:val="20"/>
          <w:szCs w:val="20"/>
        </w:rPr>
        <w:t>e este modo, nuestra Constitución ha incorporado una nueva garantía constitucional, como forma de respuesta a una nueva forma de amenaza concreta a la dignidad y a los derechos de la persona, de forma en último término no muy diferente a como fueron originándose e incorporándose históricamente los distintos derechos fundamentales. En el presente caso estamos ante un instituto de garantía de otros derechos, fundamentalmente el honor y la intimidad, pero también de un instituto que es, en sí mismo, un derecho o libertad fundamental, el derecho a la libertad frente a las potenciales agresiones a la dignidad y a la libertad de la persona provenientes de un uso ilegítimo del tratamiento mecanizado de datos, lo que la Constitución llama "la informática".</w:t>
      </w:r>
    </w:p>
  </w:footnote>
  <w:footnote w:id="5">
    <w:p w14:paraId="0000005F" w14:textId="77777777" w:rsidR="00E61663" w:rsidRPr="00335297" w:rsidRDefault="00A14843" w:rsidP="00335297">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color w:val="000000"/>
          <w:sz w:val="20"/>
          <w:szCs w:val="20"/>
        </w:rPr>
        <w:t xml:space="preserve"> </w:t>
      </w:r>
      <w:r w:rsidRPr="00335297">
        <w:rPr>
          <w:rFonts w:ascii="Times New Roman" w:eastAsia="Times New Roman" w:hAnsi="Times New Roman" w:cs="Times New Roman"/>
          <w:color w:val="000000"/>
          <w:sz w:val="20"/>
          <w:szCs w:val="20"/>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w:t>
      </w:r>
    </w:p>
  </w:footnote>
  <w:footnote w:id="6">
    <w:p w14:paraId="00000060" w14:textId="77777777" w:rsidR="00E61663" w:rsidRPr="00335297" w:rsidRDefault="00A14843" w:rsidP="00335297">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color w:val="000000"/>
          <w:sz w:val="20"/>
          <w:szCs w:val="20"/>
        </w:rPr>
        <w:t xml:space="preserve"> A nivel legislativo, la concreción y desarrollo del derecho fundamental de protección de las personas físicas en relación con el tratamiento de datos personales tuvo lugar en sus orígenes mediante la aprobación de la Ley Orgánica 5/1992, de 29 de octubre reguladora del tratamiento automatizado de datos personales (LORTAD). La Ley Orgánica 5/1992 fue reemplazada por la Ley Orgánica 15/1999, de 13 de diciembre, de protección de datos personales, a fin de trasponer a nuestro derecho a la Directiva 95/46/CE del Parlamento Europeo y del Consejo, de 24 de octubre de 1995, relativa a la protección de las personas físicas en lo que respecta al tratamiento de datos personales y a la libre circulación de estos datos.</w:t>
      </w:r>
    </w:p>
  </w:footnote>
  <w:footnote w:id="7">
    <w:p w14:paraId="00000061" w14:textId="77777777" w:rsidR="00E61663" w:rsidRPr="00335297" w:rsidRDefault="00A14843" w:rsidP="00335297">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eastAsia="Times New Roman" w:hAnsi="Times New Roman" w:cs="Times New Roman"/>
          <w:color w:val="000000"/>
          <w:sz w:val="20"/>
          <w:szCs w:val="20"/>
        </w:rPr>
        <w:t xml:space="preserve"> Convenio para la protección de las personas con respecto al tratamiento automatizado de datos de carácter personal, realizado en Estrasburgo el 28 de enero de 1981. “BOE” núm. 274, de 15 de noviembre de 1985.</w:t>
      </w:r>
    </w:p>
  </w:footnote>
  <w:footnote w:id="8">
    <w:p w14:paraId="00000062" w14:textId="77777777" w:rsidR="00E61663" w:rsidRPr="00335297" w:rsidRDefault="00A14843" w:rsidP="00335297">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color w:val="000000"/>
          <w:sz w:val="20"/>
          <w:szCs w:val="20"/>
        </w:rPr>
        <w:t xml:space="preserve"> </w:t>
      </w:r>
      <w:r w:rsidRPr="00335297">
        <w:rPr>
          <w:rFonts w:ascii="Times New Roman" w:eastAsia="Times New Roman" w:hAnsi="Times New Roman" w:cs="Times New Roman"/>
          <w:i/>
          <w:color w:val="000000"/>
          <w:sz w:val="20"/>
          <w:szCs w:val="20"/>
        </w:rPr>
        <w:t>“1. Toda persona tiene derecho a la protección de los datos de carácter personal que le conciernan. 2. El Parlamento Europeo y el Consejo establecerán, con arreglo al procedimiento legislativo ordinario, las normas sobre protección de las personas físicas respecto del tratamiento de datos de carácter personal por las instituciones, órganos y organismos de la Unión, así como por los Estados miembros en el ejercicio de las actividades comprendidas en el ámbito de aplicación del Derecho de la Unión, y sobre la libre circulación de estos datos. El respeto de dichas normas estará sometido al control de autoridades independientes...”</w:t>
      </w:r>
    </w:p>
  </w:footnote>
  <w:footnote w:id="9">
    <w:p w14:paraId="00000063" w14:textId="77777777" w:rsidR="00E61663" w:rsidRPr="00335297" w:rsidRDefault="00A14843" w:rsidP="00335297">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eastAsia="Times New Roman" w:hAnsi="Times New Roman" w:cs="Times New Roman"/>
          <w:color w:val="000000"/>
          <w:sz w:val="20"/>
          <w:szCs w:val="20"/>
        </w:rPr>
        <w:t xml:space="preserve"> </w:t>
      </w:r>
      <w:r w:rsidRPr="00335297">
        <w:rPr>
          <w:rFonts w:ascii="Times New Roman" w:eastAsia="Times New Roman" w:hAnsi="Times New Roman" w:cs="Times New Roman"/>
          <w:i/>
          <w:color w:val="000000"/>
          <w:sz w:val="20"/>
          <w:szCs w:val="20"/>
        </w:rPr>
        <w:t>“1. Toda persona tiene derecho a la protección de los datos de carácter personal que la conciernan. 2. Estos datos se tratarán de modo leal, para fines concretos y sobre la base del consentimiento de la persona afectada o en virtud de otro fundamento legítimo previsto por la ley. Toda persona tiene derecho a acceder a los datos recogidos que la conciernan y a su rectificación.  3. El respeto de estas normas quedará sujeto al control de una autoridad independiente”</w:t>
      </w:r>
    </w:p>
  </w:footnote>
  <w:footnote w:id="10">
    <w:p w14:paraId="0A36DFA1" w14:textId="454A938B" w:rsidR="00335297" w:rsidRDefault="00335297">
      <w:pPr>
        <w:pStyle w:val="Textonotapie"/>
      </w:pPr>
      <w:r>
        <w:rPr>
          <w:rStyle w:val="Refdenotaalpie"/>
        </w:rPr>
        <w:footnoteRef/>
      </w:r>
      <w:r>
        <w:t xml:space="preserve"> </w:t>
      </w:r>
      <w:r w:rsidRPr="00A9315B">
        <w:rPr>
          <w:rFonts w:ascii="Times New Roman" w:hAnsi="Times New Roman" w:cs="Times New Roman"/>
        </w:rPr>
        <w:t xml:space="preserve">(RJ </w:t>
      </w:r>
      <w:r w:rsidR="00A9315B" w:rsidRPr="00A9315B">
        <w:rPr>
          <w:rFonts w:ascii="Times New Roman" w:hAnsi="Times New Roman" w:cs="Times New Roman"/>
        </w:rPr>
        <w:t>2018, 489)</w:t>
      </w:r>
    </w:p>
  </w:footnote>
  <w:footnote w:id="11">
    <w:p w14:paraId="00000076" w14:textId="77777777" w:rsidR="00E61663" w:rsidRPr="00335297" w:rsidRDefault="00A14843" w:rsidP="00335297">
      <w:pPr>
        <w:spacing w:after="0" w:line="240" w:lineRule="auto"/>
        <w:jc w:val="both"/>
        <w:rPr>
          <w:rFonts w:ascii="Times New Roman" w:eastAsia="Times New Roman" w:hAnsi="Times New Roman" w:cs="Times New Roman"/>
          <w:i/>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eastAsia="Times New Roman" w:hAnsi="Times New Roman" w:cs="Times New Roman"/>
          <w:i/>
          <w:sz w:val="20"/>
          <w:szCs w:val="20"/>
        </w:rPr>
        <w:t>…) algunos precedentes alientan la aparición de un derecho vinculado a los mencionados, pero con cierta vocación de emanciparse para cobrar autonomía e identidad propias. Partiendo de la plurifuncionalidad de los datos que se almacenan en cualquier ordenador y otros dispositivos asimilables por su capacidad de acumular información vinculada a una persona (smartphone) se conviene en la necesidad de un tratamiento unitario a partir de la proclamación de un derecho al entorno digital. Sería un derecho de nueva generación que serviría para alumbrar y justificar distintos escalones de protección jurisdiccional (…)”</w:t>
      </w:r>
    </w:p>
    <w:p w14:paraId="00000077" w14:textId="77777777" w:rsidR="00E61663" w:rsidRPr="00335297" w:rsidRDefault="00E61663" w:rsidP="00335297">
      <w:pPr>
        <w:spacing w:after="0" w:line="240" w:lineRule="auto"/>
        <w:jc w:val="both"/>
        <w:rPr>
          <w:rFonts w:ascii="Times New Roman" w:hAnsi="Times New Roman" w:cs="Times New Roman"/>
          <w:sz w:val="20"/>
          <w:szCs w:val="20"/>
        </w:rPr>
      </w:pPr>
    </w:p>
  </w:footnote>
  <w:footnote w:id="12">
    <w:p w14:paraId="0000006D" w14:textId="77777777"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eastAsia="Times New Roman" w:hAnsi="Times New Roman" w:cs="Times New Roman"/>
          <w:sz w:val="20"/>
          <w:szCs w:val="20"/>
        </w:rPr>
        <w:t>(00264/10/ES WP 169) Este grupo se creó en virtud del artículo 29 de la directiva 95/46 /CE. Se trata de un órgano consultivo europeo independiente en materia de protección de datos y derecho a la intimidad. Sus cometidos se describen en el artículo 30 de la Directiva 95/46/CE y en el artículo 15 de la Directiva 2002/58/CE</w:t>
      </w:r>
    </w:p>
  </w:footnote>
  <w:footnote w:id="13">
    <w:p w14:paraId="0000006E" w14:textId="5883A979" w:rsidR="00E61663" w:rsidRPr="00335297" w:rsidRDefault="00A14843" w:rsidP="00335297">
      <w:pPr>
        <w:jc w:val="both"/>
        <w:rPr>
          <w:rFonts w:ascii="Times New Roman" w:eastAsia="Times New Roman" w:hAnsi="Times New Roman" w:cs="Times New Roman"/>
          <w:sz w:val="20"/>
          <w:szCs w:val="20"/>
        </w:rPr>
      </w:pPr>
      <w:r w:rsidRPr="00335297">
        <w:rPr>
          <w:rFonts w:ascii="Times New Roman" w:hAnsi="Times New Roman" w:cs="Times New Roman"/>
          <w:sz w:val="20"/>
          <w:szCs w:val="20"/>
          <w:vertAlign w:val="superscript"/>
        </w:rPr>
        <w:footnoteRef/>
      </w:r>
      <w:r w:rsidR="00351D1A">
        <w:rPr>
          <w:rFonts w:ascii="Times New Roman" w:eastAsia="Times New Roman" w:hAnsi="Times New Roman" w:cs="Times New Roman"/>
          <w:sz w:val="20"/>
          <w:szCs w:val="20"/>
        </w:rPr>
        <w:t xml:space="preserve">  </w:t>
      </w:r>
      <w:r w:rsidR="00351D1A" w:rsidRPr="00D55C20">
        <w:rPr>
          <w:rFonts w:ascii="Times New Roman" w:eastAsia="Times New Roman" w:hAnsi="Times New Roman" w:cs="Times New Roman"/>
          <w:i/>
          <w:sz w:val="20"/>
          <w:szCs w:val="20"/>
        </w:rPr>
        <w:t>Vid.,</w:t>
      </w:r>
      <w:r w:rsidR="00351D1A">
        <w:rPr>
          <w:rFonts w:ascii="Times New Roman" w:eastAsia="Times New Roman" w:hAnsi="Times New Roman" w:cs="Times New Roman"/>
          <w:sz w:val="20"/>
          <w:szCs w:val="20"/>
        </w:rPr>
        <w:t xml:space="preserve"> Santos Morón, MJ. </w:t>
      </w:r>
      <w:r w:rsidRPr="00335297">
        <w:rPr>
          <w:rFonts w:ascii="Times New Roman" w:eastAsia="Times New Roman" w:hAnsi="Times New Roman" w:cs="Times New Roman"/>
          <w:sz w:val="20"/>
          <w:szCs w:val="20"/>
        </w:rPr>
        <w:t xml:space="preserve"> “Tratamiento de datos, sujetos implicados, responsabilidad proactiva” en AA.VV. (Coord. I. González Pacanowska), Protección de Datos Personales, Valencia, </w:t>
      </w:r>
      <w:r w:rsidR="00351D1A">
        <w:rPr>
          <w:rFonts w:ascii="Times New Roman" w:eastAsia="Times New Roman" w:hAnsi="Times New Roman" w:cs="Times New Roman"/>
          <w:sz w:val="20"/>
          <w:szCs w:val="20"/>
        </w:rPr>
        <w:t xml:space="preserve">2020, </w:t>
      </w:r>
      <w:r w:rsidRPr="00335297">
        <w:rPr>
          <w:rFonts w:ascii="Times New Roman" w:eastAsia="Times New Roman" w:hAnsi="Times New Roman" w:cs="Times New Roman"/>
          <w:sz w:val="20"/>
          <w:szCs w:val="20"/>
        </w:rPr>
        <w:t>págs. 23-77</w:t>
      </w:r>
    </w:p>
  </w:footnote>
  <w:footnote w:id="14">
    <w:p w14:paraId="0000006F" w14:textId="77777777" w:rsidR="00E61663" w:rsidRPr="00335297" w:rsidRDefault="00A14843" w:rsidP="00335297">
      <w:pPr>
        <w:spacing w:after="0" w:line="240" w:lineRule="auto"/>
        <w:jc w:val="both"/>
        <w:rPr>
          <w:rFonts w:ascii="Times New Roman" w:eastAsia="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eastAsia="Times New Roman" w:hAnsi="Times New Roman" w:cs="Times New Roman"/>
          <w:sz w:val="20"/>
          <w:szCs w:val="20"/>
        </w:rPr>
        <w:t xml:space="preserve"> El art 35 RGPD obliga al responsable a realizar una evaluación de impacto cuando sea probable que un tipo de tratamiento entrañe un alto riesgo para los derechos y libertades de las personas físicas. Este riesgo se produce si utiliza nuevas tecnologías, o si, por su naturaleza, alcance, contexto o fines puede producir brechas de seguridad. Si es así, el responsable del tratamiento antes del mismo, debe hacer una evaluación del impacto de las operaciones de tratamiento en la protección de datos personales. Es importante señalar que la evaluación de impacto debe realizarse antes de iniciar el tratamiento. </w:t>
      </w:r>
    </w:p>
  </w:footnote>
  <w:footnote w:id="15">
    <w:p w14:paraId="00000070" w14:textId="77777777"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eastAsia="Times New Roman" w:hAnsi="Times New Roman" w:cs="Times New Roman"/>
          <w:i/>
          <w:sz w:val="20"/>
          <w:szCs w:val="20"/>
        </w:rPr>
        <w:t>Vid.</w:t>
      </w:r>
      <w:r w:rsidRPr="00335297">
        <w:rPr>
          <w:rFonts w:ascii="Times New Roman" w:eastAsia="Times New Roman" w:hAnsi="Times New Roman" w:cs="Times New Roman"/>
          <w:sz w:val="20"/>
          <w:szCs w:val="20"/>
        </w:rPr>
        <w:t xml:space="preserve"> Art. 35.7 RGPD.</w:t>
      </w:r>
    </w:p>
  </w:footnote>
  <w:footnote w:id="16">
    <w:p w14:paraId="00000071" w14:textId="77777777"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hAnsi="Times New Roman" w:cs="Times New Roman"/>
          <w:i/>
          <w:sz w:val="20"/>
          <w:szCs w:val="20"/>
        </w:rPr>
        <w:t>Vid.</w:t>
      </w:r>
      <w:r w:rsidRPr="00335297">
        <w:rPr>
          <w:rFonts w:ascii="Times New Roman" w:hAnsi="Times New Roman" w:cs="Times New Roman"/>
          <w:sz w:val="20"/>
          <w:szCs w:val="20"/>
        </w:rPr>
        <w:t>, Guía “Orientaciones para tratamientos que implican comunicación de datos entre administraciones públicas ante el riesgo de brecha de datos personales” publicada en marzo de 2023</w:t>
      </w:r>
    </w:p>
  </w:footnote>
  <w:footnote w:id="17">
    <w:p w14:paraId="00000068" w14:textId="0DBE8937" w:rsidR="00E61663" w:rsidRPr="00335297" w:rsidRDefault="00A14843" w:rsidP="00335297">
      <w:pPr>
        <w:pBdr>
          <w:top w:val="nil"/>
          <w:left w:val="nil"/>
          <w:bottom w:val="nil"/>
          <w:right w:val="nil"/>
          <w:between w:val="nil"/>
        </w:pBdr>
        <w:spacing w:after="0" w:line="240" w:lineRule="auto"/>
        <w:jc w:val="both"/>
        <w:rPr>
          <w:rFonts w:ascii="Times New Roman" w:hAnsi="Times New Roman" w:cs="Times New Roman"/>
          <w:color w:val="000000"/>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Sala de lo Contencioso-administrativo, Sección 3ª </w:t>
      </w:r>
      <w:r w:rsidR="0072208A">
        <w:rPr>
          <w:rFonts w:ascii="Times New Roman" w:hAnsi="Times New Roman" w:cs="Times New Roman"/>
          <w:color w:val="000000"/>
          <w:sz w:val="20"/>
          <w:szCs w:val="20"/>
        </w:rPr>
        <w:t>(RJ 2022</w:t>
      </w:r>
      <w:r w:rsidR="00D55C20">
        <w:rPr>
          <w:rFonts w:ascii="Times New Roman" w:hAnsi="Times New Roman" w:cs="Times New Roman"/>
          <w:color w:val="000000"/>
          <w:sz w:val="20"/>
          <w:szCs w:val="20"/>
        </w:rPr>
        <w:t xml:space="preserve">, </w:t>
      </w:r>
      <w:r w:rsidR="0072208A">
        <w:rPr>
          <w:rFonts w:ascii="Times New Roman" w:hAnsi="Times New Roman" w:cs="Times New Roman"/>
          <w:color w:val="000000"/>
          <w:sz w:val="20"/>
          <w:szCs w:val="20"/>
        </w:rPr>
        <w:t>188</w:t>
      </w:r>
      <w:r w:rsidR="00D55C20">
        <w:rPr>
          <w:rFonts w:ascii="Times New Roman" w:hAnsi="Times New Roman" w:cs="Times New Roman"/>
          <w:color w:val="000000"/>
          <w:sz w:val="20"/>
          <w:szCs w:val="20"/>
        </w:rPr>
        <w:t>)</w:t>
      </w:r>
    </w:p>
  </w:footnote>
  <w:footnote w:id="18">
    <w:p w14:paraId="00000069" w14:textId="77777777" w:rsidR="00E61663" w:rsidRPr="00335297" w:rsidRDefault="00A14843" w:rsidP="00335297">
      <w:pPr>
        <w:spacing w:after="0" w:line="240" w:lineRule="auto"/>
        <w:jc w:val="both"/>
        <w:rPr>
          <w:rFonts w:ascii="Times New Roman" w:hAnsi="Times New Roman" w:cs="Times New Roman"/>
          <w:i/>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hAnsi="Times New Roman" w:cs="Times New Roman"/>
          <w:i/>
          <w:sz w:val="20"/>
          <w:szCs w:val="20"/>
        </w:rPr>
        <w:t>El responsable del fichero, y, en su caso, el encargado del tratamiento, deberán adoptar las medidas de índole técnica y organizativas necesarias que garanticen la seguridad de los datos de carácter personal y eviten su alteración, pérdida, tratamiento o acceso no autorizado, habida cuenta del estado de la tecnología, la naturaleza de los datos almacenados y los riesgos a que están expuestos, ya provengan de la acción humana o del medio físico o natural</w:t>
      </w:r>
    </w:p>
  </w:footnote>
  <w:footnote w:id="19">
    <w:p w14:paraId="6ABA84A1" w14:textId="794CD17D" w:rsidR="006A1819" w:rsidRPr="006A1819" w:rsidRDefault="006A1819">
      <w:pPr>
        <w:pStyle w:val="Textonotapie"/>
        <w:rPr>
          <w:rFonts w:ascii="Times New Roman" w:hAnsi="Times New Roman" w:cs="Times New Roman"/>
        </w:rPr>
      </w:pPr>
      <w:r>
        <w:rPr>
          <w:rStyle w:val="Refdenotaalpie"/>
        </w:rPr>
        <w:footnoteRef/>
      </w:r>
      <w:r>
        <w:t xml:space="preserve"> </w:t>
      </w:r>
      <w:r w:rsidRPr="006A1819">
        <w:rPr>
          <w:rFonts w:ascii="Times New Roman" w:hAnsi="Times New Roman" w:cs="Times New Roman"/>
        </w:rPr>
        <w:t>(RTC 1991, 246)</w:t>
      </w:r>
    </w:p>
  </w:footnote>
  <w:footnote w:id="20">
    <w:p w14:paraId="1E6555E2" w14:textId="68F7CD77" w:rsidR="006A1819" w:rsidRDefault="006A1819">
      <w:pPr>
        <w:pStyle w:val="Textonotapie"/>
      </w:pPr>
      <w:r w:rsidRPr="006A1819">
        <w:rPr>
          <w:rStyle w:val="Refdenotaalpie"/>
          <w:rFonts w:ascii="Times New Roman" w:hAnsi="Times New Roman" w:cs="Times New Roman"/>
        </w:rPr>
        <w:footnoteRef/>
      </w:r>
      <w:r w:rsidRPr="006A1819">
        <w:rPr>
          <w:rFonts w:ascii="Times New Roman" w:hAnsi="Times New Roman" w:cs="Times New Roman"/>
        </w:rPr>
        <w:t xml:space="preserve"> (RJ 2020,196)</w:t>
      </w:r>
    </w:p>
  </w:footnote>
  <w:footnote w:id="21">
    <w:p w14:paraId="0000006A" w14:textId="77777777" w:rsidR="00E61663" w:rsidRPr="006A1819" w:rsidRDefault="00A14843" w:rsidP="00335297">
      <w:pPr>
        <w:jc w:val="both"/>
        <w:rPr>
          <w:rFonts w:ascii="Times New Roman" w:eastAsia="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eastAsia="Times New Roman" w:hAnsi="Times New Roman" w:cs="Times New Roman"/>
          <w:sz w:val="20"/>
          <w:szCs w:val="20"/>
        </w:rPr>
        <w:t xml:space="preserve"> Se aplica así la doctrina sentada por el TC en la STC 246/1991, de 19 de diciembre (FJ 2) y 129/2003, de 30 de junio (FJ 8) basado en que es bien jurídico protegido por la norma y la necesidad de que ese bien sea protegido eficazmente hace que la persona jurídica deba asumir la responsabilidad derivada del in</w:t>
      </w:r>
      <w:r w:rsidRPr="006A1819">
        <w:rPr>
          <w:rFonts w:ascii="Times New Roman" w:eastAsia="Times New Roman" w:hAnsi="Times New Roman" w:cs="Times New Roman"/>
          <w:sz w:val="20"/>
          <w:szCs w:val="20"/>
        </w:rPr>
        <w:t>cumplimiento de la norma por parte de las personas que actúan por cuenta de ella</w:t>
      </w:r>
    </w:p>
  </w:footnote>
  <w:footnote w:id="22">
    <w:p w14:paraId="632D28BA" w14:textId="245253F2" w:rsidR="006A1819" w:rsidRDefault="006A1819">
      <w:pPr>
        <w:pStyle w:val="Textonotapie"/>
      </w:pPr>
      <w:r w:rsidRPr="006A1819">
        <w:rPr>
          <w:rStyle w:val="Refdenotaalpie"/>
          <w:rFonts w:ascii="Times New Roman" w:hAnsi="Times New Roman" w:cs="Times New Roman"/>
        </w:rPr>
        <w:footnoteRef/>
      </w:r>
      <w:r w:rsidRPr="006A1819">
        <w:rPr>
          <w:rFonts w:ascii="Times New Roman" w:hAnsi="Times New Roman" w:cs="Times New Roman"/>
        </w:rPr>
        <w:t xml:space="preserve"> (RJ 2021, 196)</w:t>
      </w:r>
    </w:p>
  </w:footnote>
  <w:footnote w:id="23">
    <w:p w14:paraId="651A64ED" w14:textId="093B53ED" w:rsidR="006A1819" w:rsidRDefault="006A1819">
      <w:pPr>
        <w:pStyle w:val="Textonotapie"/>
      </w:pPr>
      <w:r>
        <w:rPr>
          <w:rStyle w:val="Refdenotaalpie"/>
        </w:rPr>
        <w:footnoteRef/>
      </w:r>
      <w:r>
        <w:t xml:space="preserve"> </w:t>
      </w:r>
      <w:r w:rsidRPr="00894E2E">
        <w:rPr>
          <w:rFonts w:ascii="Times New Roman" w:hAnsi="Times New Roman" w:cs="Times New Roman"/>
        </w:rPr>
        <w:t>(en su FJ Cuarto)</w:t>
      </w:r>
    </w:p>
  </w:footnote>
  <w:footnote w:id="24">
    <w:p w14:paraId="0000006C" w14:textId="77777777"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Esta doctrina está plasmada en la STC 246/1991, de 19 de diciembre</w:t>
      </w:r>
    </w:p>
  </w:footnote>
  <w:footnote w:id="25">
    <w:p w14:paraId="2FE92DA3" w14:textId="0955652A" w:rsidR="00F12581" w:rsidRDefault="00F12581">
      <w:pPr>
        <w:pStyle w:val="Textonotapie"/>
      </w:pPr>
      <w:r>
        <w:rPr>
          <w:rStyle w:val="Refdenotaalpie"/>
        </w:rPr>
        <w:footnoteRef/>
      </w:r>
      <w:r>
        <w:t xml:space="preserve"> </w:t>
      </w:r>
      <w:r w:rsidRPr="002F3DEE">
        <w:rPr>
          <w:rFonts w:ascii="Times New Roman" w:eastAsia="Times New Roman" w:hAnsi="Times New Roman" w:cs="Times New Roman"/>
          <w:sz w:val="24"/>
          <w:szCs w:val="24"/>
        </w:rPr>
        <w:t>(</w:t>
      </w:r>
      <w:r w:rsidRPr="00F12581">
        <w:rPr>
          <w:rFonts w:ascii="Times New Roman" w:eastAsia="Times New Roman" w:hAnsi="Times New Roman" w:cs="Times New Roman"/>
        </w:rPr>
        <w:t>Sala de lo Contencioso-Administrativo, Sección 1)</w:t>
      </w:r>
    </w:p>
  </w:footnote>
  <w:footnote w:id="26">
    <w:p w14:paraId="00000072" w14:textId="77777777"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eastAsia="Times New Roman" w:hAnsi="Times New Roman" w:cs="Times New Roman"/>
          <w:sz w:val="20"/>
          <w:szCs w:val="20"/>
        </w:rPr>
        <w:t>En el documento “</w:t>
      </w:r>
      <w:r w:rsidRPr="00335297">
        <w:rPr>
          <w:rFonts w:ascii="Times New Roman" w:eastAsia="Times New Roman" w:hAnsi="Times New Roman" w:cs="Times New Roman"/>
          <w:i/>
          <w:sz w:val="20"/>
          <w:szCs w:val="20"/>
        </w:rPr>
        <w:t>Guidelines 4/2019 on Article 25 Data Protection by Design and by Default”</w:t>
      </w:r>
      <w:r w:rsidRPr="00335297">
        <w:rPr>
          <w:rFonts w:ascii="Times New Roman" w:eastAsia="Times New Roman" w:hAnsi="Times New Roman" w:cs="Times New Roman"/>
          <w:sz w:val="20"/>
          <w:szCs w:val="20"/>
        </w:rPr>
        <w:t>, en su párrafo 47.</w:t>
      </w:r>
    </w:p>
  </w:footnote>
  <w:footnote w:id="27">
    <w:p w14:paraId="00000073" w14:textId="121E3416"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00F12581">
        <w:rPr>
          <w:rFonts w:ascii="Times New Roman" w:hAnsi="Times New Roman" w:cs="Times New Roman"/>
          <w:sz w:val="20"/>
          <w:szCs w:val="20"/>
        </w:rPr>
        <w:t>“</w:t>
      </w:r>
      <w:r w:rsidRPr="00335297">
        <w:rPr>
          <w:rFonts w:ascii="Times New Roman" w:eastAsia="Times New Roman" w:hAnsi="Times New Roman" w:cs="Times New Roman"/>
          <w:i/>
          <w:sz w:val="20"/>
          <w:szCs w:val="20"/>
        </w:rPr>
        <w:t>Teniendo en cuenta el estado de la técnica, los costes de aplicación, y la naturaleza, el alcance, el contexto y los fines del tratamiento, así como riesgos de probabilidad y gravedad variables para los derechos y libertades de las personas físicas, el responsable y el encargado del tratamiento aplicarán medidas técnicas y organizativas apropiadas para garantizar un nivel de seguridad adecuado al riesgo, que en su caso incluya, entre otros: a) la seudonimización y el cifrado de datos personales; b) la capacidad de garantizar la confidencialidad, integridad, disponibilidad y resiliencia permanentes de los sistemas y servicios de tratamiento; c) la capacidad de restaurar la disponibilidad y el acceso a los datos personales de forma rápida en caso de incidente físico o técnico; d) un proceso de verificación, evaluación y valoración regulares de la eficacia de las medidas técnicas y organizativas para garantizar la seguridad del tratamiento”.</w:t>
      </w:r>
    </w:p>
  </w:footnote>
  <w:footnote w:id="28">
    <w:p w14:paraId="00000074" w14:textId="3843E529" w:rsidR="00E61663" w:rsidRPr="00335297" w:rsidRDefault="00A14843" w:rsidP="00335297">
      <w:pPr>
        <w:jc w:val="both"/>
        <w:rPr>
          <w:rFonts w:ascii="Times New Roman" w:eastAsia="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eastAsia="Times New Roman" w:hAnsi="Times New Roman" w:cs="Times New Roman"/>
          <w:sz w:val="20"/>
          <w:szCs w:val="20"/>
        </w:rPr>
        <w:t xml:space="preserve"> (</w:t>
      </w:r>
      <w:r w:rsidR="00F12581">
        <w:rPr>
          <w:rFonts w:ascii="Times New Roman" w:eastAsia="Times New Roman" w:hAnsi="Times New Roman" w:cs="Times New Roman"/>
          <w:sz w:val="20"/>
          <w:szCs w:val="20"/>
        </w:rPr>
        <w:t xml:space="preserve">RJ 2022, </w:t>
      </w:r>
      <w:r w:rsidRPr="00335297">
        <w:rPr>
          <w:rFonts w:ascii="Times New Roman" w:eastAsia="Times New Roman" w:hAnsi="Times New Roman" w:cs="Times New Roman"/>
          <w:sz w:val="20"/>
          <w:szCs w:val="20"/>
        </w:rPr>
        <w:t>4761</w:t>
      </w:r>
      <w:r w:rsidR="00F12581">
        <w:rPr>
          <w:rFonts w:ascii="Times New Roman" w:eastAsia="Times New Roman" w:hAnsi="Times New Roman" w:cs="Times New Roman"/>
          <w:sz w:val="20"/>
          <w:szCs w:val="20"/>
        </w:rPr>
        <w:t>)</w:t>
      </w:r>
    </w:p>
    <w:p w14:paraId="00000075" w14:textId="77777777" w:rsidR="00E61663" w:rsidRPr="00335297" w:rsidRDefault="00E61663" w:rsidP="00335297">
      <w:pPr>
        <w:spacing w:after="0" w:line="240" w:lineRule="auto"/>
        <w:jc w:val="both"/>
        <w:rPr>
          <w:rFonts w:ascii="Times New Roman" w:eastAsia="Arial" w:hAnsi="Times New Roman" w:cs="Times New Roman"/>
          <w:b/>
          <w:color w:val="666666"/>
          <w:sz w:val="20"/>
          <w:szCs w:val="20"/>
        </w:rPr>
      </w:pPr>
    </w:p>
  </w:footnote>
  <w:footnote w:id="29">
    <w:p w14:paraId="0000006B" w14:textId="77777777" w:rsidR="00E61663" w:rsidRPr="00335297" w:rsidRDefault="00A14843" w:rsidP="00335297">
      <w:pPr>
        <w:spacing w:after="0" w:line="240" w:lineRule="auto"/>
        <w:jc w:val="both"/>
        <w:rPr>
          <w:rFonts w:ascii="Times New Roman" w:hAnsi="Times New Roman" w:cs="Times New Roman"/>
          <w:i/>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w:t>
      </w:r>
      <w:r w:rsidRPr="00335297">
        <w:rPr>
          <w:rFonts w:ascii="Times New Roman" w:hAnsi="Times New Roman" w:cs="Times New Roman"/>
          <w:i/>
          <w:sz w:val="20"/>
          <w:szCs w:val="20"/>
        </w:rPr>
        <w:t>“El interesado tendrá derecho a obtener del responsable del tratamiento la limitación del tratamiento de los datos cuando se cumpla alguna de las condiciones siguientes: d) el interesado se haya opuesto al tratamiento/…) mientras se verifica si los motivos legítimos del responsable prevalecen sobre los del interesado”</w:t>
      </w:r>
    </w:p>
  </w:footnote>
  <w:footnote w:id="30">
    <w:p w14:paraId="00000078" w14:textId="77777777" w:rsidR="00E61663" w:rsidRPr="00335297" w:rsidRDefault="00A14843" w:rsidP="00335297">
      <w:pPr>
        <w:spacing w:after="0" w:line="240" w:lineRule="auto"/>
        <w:jc w:val="both"/>
        <w:rPr>
          <w:rFonts w:ascii="Times New Roman" w:hAnsi="Times New Roman" w:cs="Times New Roman"/>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 </w:t>
      </w:r>
      <w:r w:rsidRPr="00D55C20">
        <w:rPr>
          <w:rFonts w:ascii="Times New Roman" w:hAnsi="Times New Roman" w:cs="Times New Roman"/>
          <w:i/>
          <w:sz w:val="20"/>
          <w:szCs w:val="20"/>
        </w:rPr>
        <w:t>en particular, los interesados deben tener derecho a que sus datos personales se supriman y dejen de tratarse si ya no son necesarios para los fines para los que fueron recogidos o tratados de otro modo, si los interesados han retirado su consentimiento para el tratamiento o se oponen al tratamiento de datos personales que les conciernen, o si el tratamiento de sus datos personales incumple de otro modo el presente Reglamento ...».</w:t>
      </w:r>
    </w:p>
    <w:p w14:paraId="00000079" w14:textId="77777777" w:rsidR="00E61663" w:rsidRPr="00335297" w:rsidRDefault="00E61663" w:rsidP="00335297">
      <w:pPr>
        <w:spacing w:after="0" w:line="240" w:lineRule="auto"/>
        <w:jc w:val="both"/>
        <w:rPr>
          <w:rFonts w:ascii="Times New Roman" w:hAnsi="Times New Roman" w:cs="Times New Roman"/>
          <w:sz w:val="20"/>
          <w:szCs w:val="20"/>
        </w:rPr>
      </w:pPr>
    </w:p>
  </w:footnote>
  <w:footnote w:id="31">
    <w:p w14:paraId="3AEC7429" w14:textId="15A235A0" w:rsidR="00630913" w:rsidRDefault="00630913">
      <w:pPr>
        <w:pStyle w:val="Textonotapie"/>
      </w:pPr>
      <w:r>
        <w:rPr>
          <w:rStyle w:val="Refdenotaalpie"/>
        </w:rPr>
        <w:footnoteRef/>
      </w:r>
      <w:r>
        <w:t xml:space="preserve"> </w:t>
      </w:r>
      <w:r>
        <w:rPr>
          <w:rFonts w:ascii="Times New Roman" w:hAnsi="Times New Roman" w:cs="Times New Roman"/>
        </w:rPr>
        <w:t>(</w:t>
      </w:r>
      <w:r w:rsidRPr="00630913">
        <w:rPr>
          <w:rFonts w:ascii="Times New Roman" w:hAnsi="Times New Roman" w:cs="Times New Roman"/>
        </w:rPr>
        <w:t>RTC 2022,23)</w:t>
      </w:r>
    </w:p>
  </w:footnote>
  <w:footnote w:id="32">
    <w:p w14:paraId="0000007A" w14:textId="4246A3A0" w:rsidR="00E61663" w:rsidRDefault="00A14843" w:rsidP="00335297">
      <w:pPr>
        <w:spacing w:after="0" w:line="240" w:lineRule="auto"/>
        <w:jc w:val="both"/>
        <w:rPr>
          <w:sz w:val="20"/>
          <w:szCs w:val="20"/>
        </w:rPr>
      </w:pPr>
      <w:r w:rsidRPr="00335297">
        <w:rPr>
          <w:rFonts w:ascii="Times New Roman" w:hAnsi="Times New Roman" w:cs="Times New Roman"/>
          <w:sz w:val="20"/>
          <w:szCs w:val="20"/>
          <w:vertAlign w:val="superscript"/>
        </w:rPr>
        <w:footnoteRef/>
      </w:r>
      <w:r w:rsidRPr="00335297">
        <w:rPr>
          <w:rFonts w:ascii="Times New Roman" w:hAnsi="Times New Roman" w:cs="Times New Roman"/>
          <w:sz w:val="20"/>
          <w:szCs w:val="20"/>
        </w:rPr>
        <w:t xml:space="preserve"> Sobre estos aspectos, </w:t>
      </w:r>
      <w:r w:rsidRPr="00D55C20">
        <w:rPr>
          <w:rFonts w:ascii="Times New Roman" w:hAnsi="Times New Roman" w:cs="Times New Roman"/>
          <w:i/>
          <w:sz w:val="20"/>
          <w:szCs w:val="20"/>
        </w:rPr>
        <w:t>vid.</w:t>
      </w:r>
      <w:r w:rsidRPr="00335297">
        <w:rPr>
          <w:rFonts w:ascii="Times New Roman" w:hAnsi="Times New Roman" w:cs="Times New Roman"/>
          <w:sz w:val="20"/>
          <w:szCs w:val="20"/>
        </w:rPr>
        <w:t xml:space="preserve"> ALVAREZ HERNANDO F.J.,</w:t>
      </w:r>
      <w:r w:rsidRPr="00335297">
        <w:rPr>
          <w:rFonts w:ascii="Times New Roman" w:hAnsi="Times New Roman" w:cs="Times New Roman"/>
          <w:i/>
          <w:sz w:val="20"/>
          <w:szCs w:val="20"/>
        </w:rPr>
        <w:t xml:space="preserve"> El Derecho al olvido digital. Debilidades y fortalezas de un derecho fundamental más teórico que práctic</w:t>
      </w:r>
      <w:r w:rsidR="002F3DEE" w:rsidRPr="00335297">
        <w:rPr>
          <w:rFonts w:ascii="Times New Roman" w:hAnsi="Times New Roman" w:cs="Times New Roman"/>
          <w:sz w:val="20"/>
          <w:szCs w:val="20"/>
        </w:rPr>
        <w:t xml:space="preserve">o, </w:t>
      </w:r>
      <w:r w:rsidRPr="00335297">
        <w:rPr>
          <w:rFonts w:ascii="Times New Roman" w:hAnsi="Times New Roman" w:cs="Times New Roman"/>
          <w:sz w:val="20"/>
          <w:szCs w:val="20"/>
        </w:rPr>
        <w:t>tesis doctoral defendida en la Universidad de Valladolid (Director Juan F. Durán Alb</w:t>
      </w:r>
      <w:r w:rsidRPr="002F3DEE">
        <w:rPr>
          <w:rFonts w:ascii="Times New Roman" w:hAnsi="Times New Roman" w:cs="Times New Roman"/>
          <w:sz w:val="20"/>
          <w:szCs w:val="20"/>
        </w:rPr>
        <w:t>a)</w:t>
      </w:r>
      <w:r w:rsidR="00D55C20">
        <w:rPr>
          <w:rFonts w:ascii="Times New Roman" w:hAnsi="Times New Roman" w:cs="Times New Roman"/>
          <w:sz w:val="20"/>
          <w:szCs w:val="20"/>
        </w:rPr>
        <w:t>, 2023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714E7"/>
    <w:multiLevelType w:val="multilevel"/>
    <w:tmpl w:val="4164EB0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3BCB0CAF"/>
    <w:multiLevelType w:val="multilevel"/>
    <w:tmpl w:val="8C901BF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663"/>
    <w:rsid w:val="000A2994"/>
    <w:rsid w:val="00104D31"/>
    <w:rsid w:val="0029359C"/>
    <w:rsid w:val="002F3DEE"/>
    <w:rsid w:val="00331E26"/>
    <w:rsid w:val="00335297"/>
    <w:rsid w:val="00351D1A"/>
    <w:rsid w:val="005D4609"/>
    <w:rsid w:val="005D4CB3"/>
    <w:rsid w:val="00630913"/>
    <w:rsid w:val="006A1819"/>
    <w:rsid w:val="006F0D77"/>
    <w:rsid w:val="0072208A"/>
    <w:rsid w:val="00845A4C"/>
    <w:rsid w:val="00894E2E"/>
    <w:rsid w:val="00A14843"/>
    <w:rsid w:val="00A9315B"/>
    <w:rsid w:val="00AC0D8F"/>
    <w:rsid w:val="00B035F6"/>
    <w:rsid w:val="00B25C08"/>
    <w:rsid w:val="00BE7BBD"/>
    <w:rsid w:val="00C77908"/>
    <w:rsid w:val="00D55C20"/>
    <w:rsid w:val="00E61663"/>
    <w:rsid w:val="00EE0FB7"/>
    <w:rsid w:val="00F125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DA665"/>
  <w15:docId w15:val="{D54FB555-A708-4BAE-B2AB-F238482E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782D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rrafodelista">
    <w:name w:val="List Paragraph"/>
    <w:basedOn w:val="Normal"/>
    <w:uiPriority w:val="34"/>
    <w:qFormat/>
    <w:rsid w:val="001C56CE"/>
    <w:pPr>
      <w:ind w:left="720"/>
      <w:contextualSpacing/>
    </w:pPr>
  </w:style>
  <w:style w:type="paragraph" w:styleId="Textodeglobo">
    <w:name w:val="Balloon Text"/>
    <w:basedOn w:val="Normal"/>
    <w:link w:val="TextodegloboCar"/>
    <w:uiPriority w:val="99"/>
    <w:semiHidden/>
    <w:unhideWhenUsed/>
    <w:rsid w:val="009219A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9A5"/>
    <w:rPr>
      <w:rFonts w:ascii="Segoe UI" w:hAnsi="Segoe UI" w:cs="Segoe UI"/>
      <w:sz w:val="18"/>
      <w:szCs w:val="18"/>
    </w:rPr>
  </w:style>
  <w:style w:type="character" w:customStyle="1" w:styleId="Ttulo1Car">
    <w:name w:val="Título 1 Car"/>
    <w:basedOn w:val="Fuentedeprrafopredeter"/>
    <w:link w:val="Ttulo1"/>
    <w:uiPriority w:val="9"/>
    <w:rsid w:val="00782D18"/>
    <w:rPr>
      <w:rFonts w:asciiTheme="majorHAnsi" w:eastAsiaTheme="majorEastAsia" w:hAnsiTheme="majorHAnsi" w:cstheme="majorBidi"/>
      <w:color w:val="2F5496" w:themeColor="accent1" w:themeShade="BF"/>
      <w:sz w:val="32"/>
      <w:szCs w:val="32"/>
    </w:rPr>
  </w:style>
  <w:style w:type="paragraph" w:customStyle="1" w:styleId="CALIBRI">
    <w:name w:val="CALIBRI"/>
    <w:rsid w:val="00B467B6"/>
    <w:pPr>
      <w:spacing w:beforeLines="50" w:before="50" w:afterLines="50" w:after="50" w:line="276" w:lineRule="auto"/>
      <w:jc w:val="both"/>
    </w:pPr>
    <w:rPr>
      <w:rFonts w:eastAsia="SimSun"/>
      <w:sz w:val="24"/>
      <w:szCs w:val="24"/>
    </w:rPr>
  </w:style>
  <w:style w:type="paragraph" w:styleId="Textonotapie">
    <w:name w:val="footnote text"/>
    <w:basedOn w:val="Normal"/>
    <w:link w:val="TextonotapieCar"/>
    <w:uiPriority w:val="99"/>
    <w:unhideWhenUsed/>
    <w:rsid w:val="00B467B6"/>
    <w:pPr>
      <w:spacing w:after="0" w:line="240" w:lineRule="auto"/>
    </w:pPr>
    <w:rPr>
      <w:sz w:val="20"/>
      <w:szCs w:val="20"/>
    </w:rPr>
  </w:style>
  <w:style w:type="character" w:customStyle="1" w:styleId="TextonotapieCar">
    <w:name w:val="Texto nota pie Car"/>
    <w:basedOn w:val="Fuentedeprrafopredeter"/>
    <w:link w:val="Textonotapie"/>
    <w:uiPriority w:val="99"/>
    <w:rsid w:val="00B467B6"/>
    <w:rPr>
      <w:sz w:val="20"/>
      <w:szCs w:val="20"/>
    </w:rPr>
  </w:style>
  <w:style w:type="character" w:styleId="Refdenotaalpie">
    <w:name w:val="footnote reference"/>
    <w:basedOn w:val="Fuentedeprrafopredeter"/>
    <w:uiPriority w:val="99"/>
    <w:semiHidden/>
    <w:unhideWhenUsed/>
    <w:rsid w:val="00B467B6"/>
    <w:rPr>
      <w:vertAlign w:val="superscript"/>
    </w:rPr>
  </w:style>
  <w:style w:type="paragraph" w:styleId="Textonotaalfinal">
    <w:name w:val="endnote text"/>
    <w:basedOn w:val="Normal"/>
    <w:link w:val="TextonotaalfinalCar"/>
    <w:uiPriority w:val="99"/>
    <w:semiHidden/>
    <w:unhideWhenUsed/>
    <w:rsid w:val="00192A2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92A21"/>
    <w:rPr>
      <w:sz w:val="20"/>
      <w:szCs w:val="20"/>
    </w:rPr>
  </w:style>
  <w:style w:type="character" w:styleId="Refdenotaalfinal">
    <w:name w:val="endnote reference"/>
    <w:basedOn w:val="Fuentedeprrafopredeter"/>
    <w:uiPriority w:val="99"/>
    <w:semiHidden/>
    <w:unhideWhenUsed/>
    <w:rsid w:val="00192A21"/>
    <w:rPr>
      <w:vertAlign w:val="superscript"/>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55C2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5C20"/>
  </w:style>
  <w:style w:type="paragraph" w:styleId="Piedepgina">
    <w:name w:val="footer"/>
    <w:basedOn w:val="Normal"/>
    <w:link w:val="PiedepginaCar"/>
    <w:uiPriority w:val="99"/>
    <w:unhideWhenUsed/>
    <w:rsid w:val="00D55C2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5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DA6AYbi3c4+8l7bF2e9mTnVK+hQ==">AMUW2mUmkTMgdGExfy1A5cbx6xlcm34cIO0vli8Ewd+fw6YvCuIz1+RcZ5cNSP9IIvhKk7lKqBc/2pL0vCYPtiAT+Ekryf/YfyUVGekWb2UWXGJYtkpmzX6X8YdAjIh6lvfaxURaE3yzTKPYfzcejEHVisob+EJMexnHmlFENBPLevfrIjPiNB3dxylb3qIuBVa1mGb45QEktxk1SZ/ymm5Q9piTBH/4N6D2GsvT7M6UFZEUHuSOsu9KGBfruDB8fC5GFbZrXOiQ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04AE87C-67E8-4B93-9AF9-8F7514296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5455</Words>
  <Characters>30005</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35390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UJA</dc:creator>
  <cp:lastModifiedBy>Usuario de Windows</cp:lastModifiedBy>
  <cp:revision>2</cp:revision>
  <cp:lastPrinted>2023-04-21T11:19:00Z</cp:lastPrinted>
  <dcterms:created xsi:type="dcterms:W3CDTF">2023-04-24T08:09:00Z</dcterms:created>
  <dcterms:modified xsi:type="dcterms:W3CDTF">2023-04-24T08:09:00Z</dcterms:modified>
</cp:coreProperties>
</file>