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2AF3F5" w14:textId="240785CD" w:rsidR="006F1CA4" w:rsidRPr="008C2070" w:rsidRDefault="00E6439E" w:rsidP="008C2070">
      <w:pPr>
        <w:spacing w:beforeLines="120" w:before="288" w:afterLines="120" w:after="288" w:line="276" w:lineRule="auto"/>
        <w:jc w:val="center"/>
        <w:rPr>
          <w:rFonts w:ascii="Times New Roman" w:hAnsi="Times New Roman" w:cs="Times New Roman"/>
          <w:sz w:val="24"/>
          <w:szCs w:val="24"/>
        </w:rPr>
      </w:pPr>
      <w:r w:rsidRPr="00E6439E">
        <w:rPr>
          <w:rFonts w:ascii="Times New Roman" w:hAnsi="Times New Roman" w:cs="Times New Roman"/>
          <w:sz w:val="24"/>
          <w:szCs w:val="24"/>
        </w:rPr>
        <w:t>La Suprema Corte de Justicia de la Nación Mexicana</w:t>
      </w:r>
      <w:r>
        <w:rPr>
          <w:rFonts w:ascii="Times New Roman" w:hAnsi="Times New Roman" w:cs="Times New Roman"/>
          <w:sz w:val="24"/>
          <w:szCs w:val="24"/>
        </w:rPr>
        <w:t xml:space="preserve">, los tribunales </w:t>
      </w:r>
      <w:r w:rsidRPr="00E6439E">
        <w:rPr>
          <w:rFonts w:ascii="Times New Roman" w:hAnsi="Times New Roman" w:cs="Times New Roman"/>
          <w:sz w:val="24"/>
          <w:szCs w:val="24"/>
        </w:rPr>
        <w:t xml:space="preserve"> y el derecho a la protección de la salud</w:t>
      </w:r>
    </w:p>
    <w:p w14:paraId="52872434" w14:textId="47CC9468" w:rsidR="0095031F" w:rsidRPr="008C2070" w:rsidRDefault="0095031F" w:rsidP="008C2070">
      <w:pPr>
        <w:spacing w:beforeLines="120" w:before="288" w:afterLines="120" w:after="288" w:line="276" w:lineRule="auto"/>
        <w:jc w:val="right"/>
        <w:rPr>
          <w:rFonts w:ascii="Times New Roman" w:hAnsi="Times New Roman" w:cs="Times New Roman"/>
          <w:sz w:val="24"/>
          <w:szCs w:val="24"/>
        </w:rPr>
      </w:pPr>
      <w:r w:rsidRPr="008C2070">
        <w:rPr>
          <w:rFonts w:ascii="Times New Roman" w:hAnsi="Times New Roman" w:cs="Times New Roman"/>
          <w:sz w:val="24"/>
          <w:szCs w:val="24"/>
        </w:rPr>
        <w:t xml:space="preserve">Fernanda Cobo – Armijo </w:t>
      </w:r>
      <w:r w:rsidRPr="008C2070">
        <w:rPr>
          <w:rStyle w:val="Refdenotaalpie"/>
          <w:rFonts w:ascii="Times New Roman" w:hAnsi="Times New Roman" w:cs="Times New Roman"/>
          <w:sz w:val="24"/>
          <w:szCs w:val="24"/>
        </w:rPr>
        <w:footnoteReference w:id="1"/>
      </w:r>
    </w:p>
    <w:p w14:paraId="49A73C63" w14:textId="4EE0A638" w:rsidR="00785FFD" w:rsidRPr="00F60289" w:rsidRDefault="00F60289" w:rsidP="00F60289">
      <w:pPr>
        <w:spacing w:beforeLines="120" w:before="288" w:afterLines="120" w:after="288" w:line="276" w:lineRule="auto"/>
        <w:jc w:val="both"/>
        <w:rPr>
          <w:rFonts w:ascii="Times New Roman" w:hAnsi="Times New Roman" w:cs="Times New Roman"/>
          <w:b/>
          <w:bCs/>
          <w:sz w:val="24"/>
          <w:szCs w:val="24"/>
        </w:rPr>
      </w:pPr>
      <w:r w:rsidRPr="00F60289">
        <w:rPr>
          <w:rFonts w:ascii="Times New Roman" w:hAnsi="Times New Roman" w:cs="Times New Roman"/>
          <w:b/>
          <w:bCs/>
          <w:sz w:val="24"/>
          <w:szCs w:val="24"/>
        </w:rPr>
        <w:t xml:space="preserve">1. </w:t>
      </w:r>
      <w:r w:rsidR="00821276" w:rsidRPr="00F60289">
        <w:rPr>
          <w:rFonts w:ascii="Times New Roman" w:hAnsi="Times New Roman" w:cs="Times New Roman"/>
          <w:b/>
          <w:bCs/>
          <w:sz w:val="24"/>
          <w:szCs w:val="24"/>
        </w:rPr>
        <w:t>Introduc</w:t>
      </w:r>
      <w:r w:rsidR="0068128F" w:rsidRPr="00F60289">
        <w:rPr>
          <w:rFonts w:ascii="Times New Roman" w:hAnsi="Times New Roman" w:cs="Times New Roman"/>
          <w:b/>
          <w:bCs/>
          <w:sz w:val="24"/>
          <w:szCs w:val="24"/>
        </w:rPr>
        <w:t xml:space="preserve">ción </w:t>
      </w:r>
    </w:p>
    <w:p w14:paraId="40C99DD9" w14:textId="6F82DBDE" w:rsidR="00167835" w:rsidRPr="008C2070" w:rsidRDefault="00355BCE"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 xml:space="preserve">En México la </w:t>
      </w:r>
      <w:r w:rsidR="00FF68CC" w:rsidRPr="008C2070">
        <w:rPr>
          <w:rFonts w:ascii="Times New Roman" w:hAnsi="Times New Roman" w:cs="Times New Roman"/>
          <w:sz w:val="24"/>
          <w:szCs w:val="24"/>
        </w:rPr>
        <w:t>posibilida</w:t>
      </w:r>
      <w:bookmarkStart w:id="0" w:name="_GoBack"/>
      <w:bookmarkEnd w:id="0"/>
      <w:r w:rsidR="00FF68CC" w:rsidRPr="008C2070">
        <w:rPr>
          <w:rFonts w:ascii="Times New Roman" w:hAnsi="Times New Roman" w:cs="Times New Roman"/>
          <w:sz w:val="24"/>
          <w:szCs w:val="24"/>
        </w:rPr>
        <w:t xml:space="preserve">d </w:t>
      </w:r>
      <w:r w:rsidR="00970CEF" w:rsidRPr="008C2070">
        <w:rPr>
          <w:rFonts w:ascii="Times New Roman" w:hAnsi="Times New Roman" w:cs="Times New Roman"/>
          <w:sz w:val="24"/>
          <w:szCs w:val="24"/>
        </w:rPr>
        <w:t xml:space="preserve">de judicializar </w:t>
      </w:r>
      <w:r w:rsidRPr="008C2070">
        <w:rPr>
          <w:rFonts w:ascii="Times New Roman" w:hAnsi="Times New Roman" w:cs="Times New Roman"/>
          <w:sz w:val="24"/>
          <w:szCs w:val="24"/>
        </w:rPr>
        <w:t xml:space="preserve">los derechos económicos, sociales y </w:t>
      </w:r>
      <w:r w:rsidR="009C67C0" w:rsidRPr="008C2070">
        <w:rPr>
          <w:rFonts w:ascii="Times New Roman" w:hAnsi="Times New Roman" w:cs="Times New Roman"/>
          <w:sz w:val="24"/>
          <w:szCs w:val="24"/>
        </w:rPr>
        <w:t xml:space="preserve">culturales; </w:t>
      </w:r>
      <w:r w:rsidRPr="008C2070">
        <w:rPr>
          <w:rFonts w:ascii="Times New Roman" w:hAnsi="Times New Roman" w:cs="Times New Roman"/>
          <w:sz w:val="24"/>
          <w:szCs w:val="24"/>
        </w:rPr>
        <w:t>como lo es</w:t>
      </w:r>
      <w:r w:rsidR="009C67C0" w:rsidRPr="008C2070">
        <w:rPr>
          <w:rFonts w:ascii="Times New Roman" w:hAnsi="Times New Roman" w:cs="Times New Roman"/>
          <w:sz w:val="24"/>
          <w:szCs w:val="24"/>
        </w:rPr>
        <w:t>,</w:t>
      </w:r>
      <w:r w:rsidRPr="008C2070">
        <w:rPr>
          <w:rFonts w:ascii="Times New Roman" w:hAnsi="Times New Roman" w:cs="Times New Roman"/>
          <w:sz w:val="24"/>
          <w:szCs w:val="24"/>
        </w:rPr>
        <w:t xml:space="preserve"> el derecho a la protección de la </w:t>
      </w:r>
      <w:r w:rsidR="00C066BC" w:rsidRPr="008C2070">
        <w:rPr>
          <w:rFonts w:ascii="Times New Roman" w:hAnsi="Times New Roman" w:cs="Times New Roman"/>
          <w:sz w:val="24"/>
          <w:szCs w:val="24"/>
        </w:rPr>
        <w:t>salud</w:t>
      </w:r>
      <w:r w:rsidR="009C67C0" w:rsidRPr="008C2070">
        <w:rPr>
          <w:rFonts w:ascii="Times New Roman" w:hAnsi="Times New Roman" w:cs="Times New Roman"/>
          <w:sz w:val="24"/>
          <w:szCs w:val="24"/>
        </w:rPr>
        <w:t xml:space="preserve"> </w:t>
      </w:r>
      <w:r w:rsidR="001453EB" w:rsidRPr="008C2070">
        <w:rPr>
          <w:rFonts w:ascii="Times New Roman" w:hAnsi="Times New Roman" w:cs="Times New Roman"/>
          <w:sz w:val="24"/>
          <w:szCs w:val="24"/>
        </w:rPr>
        <w:t xml:space="preserve">ha dependido de una serie de factores </w:t>
      </w:r>
      <w:r w:rsidR="00EC3BA0" w:rsidRPr="008C2070">
        <w:rPr>
          <w:rFonts w:ascii="Times New Roman" w:hAnsi="Times New Roman" w:cs="Times New Roman"/>
          <w:sz w:val="24"/>
          <w:szCs w:val="24"/>
        </w:rPr>
        <w:t>jurídicos y extrajurídicos</w:t>
      </w:r>
      <w:r w:rsidR="006073B6" w:rsidRPr="008C2070">
        <w:rPr>
          <w:rFonts w:ascii="Times New Roman" w:hAnsi="Times New Roman" w:cs="Times New Roman"/>
          <w:sz w:val="24"/>
          <w:szCs w:val="24"/>
        </w:rPr>
        <w:t xml:space="preserve"> relacionados con la concepción propia de los derechos y</w:t>
      </w:r>
      <w:r w:rsidR="00CC22CB" w:rsidRPr="008C2070">
        <w:rPr>
          <w:rFonts w:ascii="Times New Roman" w:hAnsi="Times New Roman" w:cs="Times New Roman"/>
          <w:sz w:val="24"/>
          <w:szCs w:val="24"/>
        </w:rPr>
        <w:t xml:space="preserve"> las problemáticas sociales</w:t>
      </w:r>
      <w:r w:rsidR="00D147E0" w:rsidRPr="008C2070">
        <w:rPr>
          <w:rFonts w:ascii="Times New Roman" w:hAnsi="Times New Roman" w:cs="Times New Roman"/>
          <w:sz w:val="24"/>
          <w:szCs w:val="24"/>
        </w:rPr>
        <w:t xml:space="preserve"> que empujan a los </w:t>
      </w:r>
      <w:r w:rsidR="00C87FD0" w:rsidRPr="008C2070">
        <w:rPr>
          <w:rFonts w:ascii="Times New Roman" w:hAnsi="Times New Roman" w:cs="Times New Roman"/>
          <w:sz w:val="24"/>
          <w:szCs w:val="24"/>
        </w:rPr>
        <w:t xml:space="preserve">tribunales constitucionales </w:t>
      </w:r>
      <w:r w:rsidR="00D147E0" w:rsidRPr="008C2070">
        <w:rPr>
          <w:rFonts w:ascii="Times New Roman" w:hAnsi="Times New Roman" w:cs="Times New Roman"/>
          <w:sz w:val="24"/>
          <w:szCs w:val="24"/>
        </w:rPr>
        <w:t>a interpretar</w:t>
      </w:r>
      <w:r w:rsidR="008058D6" w:rsidRPr="008C2070">
        <w:rPr>
          <w:rFonts w:ascii="Times New Roman" w:hAnsi="Times New Roman" w:cs="Times New Roman"/>
          <w:sz w:val="24"/>
          <w:szCs w:val="24"/>
        </w:rPr>
        <w:t>los</w:t>
      </w:r>
      <w:r w:rsidR="00C066BC" w:rsidRPr="008C2070">
        <w:rPr>
          <w:rFonts w:ascii="Times New Roman" w:hAnsi="Times New Roman" w:cs="Times New Roman"/>
          <w:sz w:val="24"/>
          <w:szCs w:val="24"/>
        </w:rPr>
        <w:t>.</w:t>
      </w:r>
      <w:r w:rsidR="008058D6" w:rsidRPr="008C2070">
        <w:rPr>
          <w:rStyle w:val="Refdenotaalpie"/>
          <w:rFonts w:ascii="Times New Roman" w:hAnsi="Times New Roman" w:cs="Times New Roman"/>
          <w:sz w:val="24"/>
          <w:szCs w:val="24"/>
        </w:rPr>
        <w:footnoteReference w:id="2"/>
      </w:r>
      <w:r w:rsidR="00C066BC" w:rsidRPr="008C2070">
        <w:rPr>
          <w:rFonts w:ascii="Times New Roman" w:hAnsi="Times New Roman" w:cs="Times New Roman"/>
          <w:sz w:val="24"/>
          <w:szCs w:val="24"/>
        </w:rPr>
        <w:t xml:space="preserve"> </w:t>
      </w:r>
      <w:r w:rsidR="0062084D" w:rsidRPr="008C2070">
        <w:rPr>
          <w:rFonts w:ascii="Times New Roman" w:hAnsi="Times New Roman" w:cs="Times New Roman"/>
          <w:sz w:val="24"/>
          <w:szCs w:val="24"/>
        </w:rPr>
        <w:t>A</w:t>
      </w:r>
      <w:r w:rsidR="00546C2B" w:rsidRPr="008C2070">
        <w:rPr>
          <w:rFonts w:ascii="Times New Roman" w:hAnsi="Times New Roman" w:cs="Times New Roman"/>
          <w:sz w:val="24"/>
          <w:szCs w:val="24"/>
        </w:rPr>
        <w:t xml:space="preserve">lgunos </w:t>
      </w:r>
      <w:r w:rsidR="00C066BC" w:rsidRPr="008C2070">
        <w:rPr>
          <w:rFonts w:ascii="Times New Roman" w:hAnsi="Times New Roman" w:cs="Times New Roman"/>
          <w:sz w:val="24"/>
          <w:szCs w:val="24"/>
        </w:rPr>
        <w:t xml:space="preserve">de los elementos que han facilitado o dificultado la judicialización de </w:t>
      </w:r>
      <w:r w:rsidR="0062084D" w:rsidRPr="008C2070">
        <w:rPr>
          <w:rFonts w:ascii="Times New Roman" w:hAnsi="Times New Roman" w:cs="Times New Roman"/>
          <w:sz w:val="24"/>
          <w:szCs w:val="24"/>
        </w:rPr>
        <w:t>estos</w:t>
      </w:r>
      <w:r w:rsidR="00C066BC" w:rsidRPr="008C2070">
        <w:rPr>
          <w:rFonts w:ascii="Times New Roman" w:hAnsi="Times New Roman" w:cs="Times New Roman"/>
          <w:sz w:val="24"/>
          <w:szCs w:val="24"/>
        </w:rPr>
        <w:t xml:space="preserve"> derechos</w:t>
      </w:r>
      <w:r w:rsidR="0062084D" w:rsidRPr="008C2070">
        <w:rPr>
          <w:rFonts w:ascii="Times New Roman" w:hAnsi="Times New Roman" w:cs="Times New Roman"/>
          <w:sz w:val="24"/>
          <w:szCs w:val="24"/>
        </w:rPr>
        <w:t xml:space="preserve"> son</w:t>
      </w:r>
      <w:r w:rsidR="00546C2B" w:rsidRPr="008C2070">
        <w:rPr>
          <w:rFonts w:ascii="Times New Roman" w:hAnsi="Times New Roman" w:cs="Times New Roman"/>
          <w:sz w:val="24"/>
          <w:szCs w:val="24"/>
        </w:rPr>
        <w:t xml:space="preserve"> </w:t>
      </w:r>
      <w:r w:rsidR="003A71B4" w:rsidRPr="008C2070">
        <w:rPr>
          <w:rFonts w:ascii="Times New Roman" w:hAnsi="Times New Roman" w:cs="Times New Roman"/>
          <w:sz w:val="24"/>
          <w:szCs w:val="24"/>
        </w:rPr>
        <w:t>los desafíos</w:t>
      </w:r>
      <w:r w:rsidR="00EC3BA0" w:rsidRPr="008C2070">
        <w:rPr>
          <w:rFonts w:ascii="Times New Roman" w:hAnsi="Times New Roman" w:cs="Times New Roman"/>
          <w:sz w:val="24"/>
          <w:szCs w:val="24"/>
        </w:rPr>
        <w:t xml:space="preserve"> </w:t>
      </w:r>
      <w:r w:rsidR="00D42564" w:rsidRPr="008C2070">
        <w:rPr>
          <w:rFonts w:ascii="Times New Roman" w:hAnsi="Times New Roman" w:cs="Times New Roman"/>
          <w:sz w:val="24"/>
          <w:szCs w:val="24"/>
        </w:rPr>
        <w:t>propios de</w:t>
      </w:r>
      <w:r w:rsidR="00970CEF" w:rsidRPr="008C2070">
        <w:rPr>
          <w:rFonts w:ascii="Times New Roman" w:hAnsi="Times New Roman" w:cs="Times New Roman"/>
          <w:sz w:val="24"/>
          <w:szCs w:val="24"/>
        </w:rPr>
        <w:t>l texto constitucional</w:t>
      </w:r>
      <w:r w:rsidR="003A71B4" w:rsidRPr="008C2070">
        <w:rPr>
          <w:rFonts w:ascii="Times New Roman" w:hAnsi="Times New Roman" w:cs="Times New Roman"/>
          <w:sz w:val="24"/>
          <w:szCs w:val="24"/>
        </w:rPr>
        <w:t xml:space="preserve"> y</w:t>
      </w:r>
      <w:r w:rsidR="00970CEF" w:rsidRPr="008C2070">
        <w:rPr>
          <w:rFonts w:ascii="Times New Roman" w:hAnsi="Times New Roman" w:cs="Times New Roman"/>
          <w:sz w:val="24"/>
          <w:szCs w:val="24"/>
        </w:rPr>
        <w:t xml:space="preserve"> de la legislación procesal</w:t>
      </w:r>
      <w:r w:rsidR="00D42564" w:rsidRPr="008C2070">
        <w:rPr>
          <w:rFonts w:ascii="Times New Roman" w:hAnsi="Times New Roman" w:cs="Times New Roman"/>
          <w:sz w:val="24"/>
          <w:szCs w:val="24"/>
        </w:rPr>
        <w:t xml:space="preserve"> constitucional, </w:t>
      </w:r>
      <w:r w:rsidR="00636F1F" w:rsidRPr="008C2070">
        <w:rPr>
          <w:rFonts w:ascii="Times New Roman" w:hAnsi="Times New Roman" w:cs="Times New Roman"/>
          <w:sz w:val="24"/>
          <w:szCs w:val="24"/>
        </w:rPr>
        <w:t>la</w:t>
      </w:r>
      <w:r w:rsidR="004942D2" w:rsidRPr="008C2070">
        <w:rPr>
          <w:rFonts w:ascii="Times New Roman" w:hAnsi="Times New Roman" w:cs="Times New Roman"/>
          <w:sz w:val="24"/>
          <w:szCs w:val="24"/>
        </w:rPr>
        <w:t xml:space="preserve"> evolución e</w:t>
      </w:r>
      <w:r w:rsidR="00636F1F" w:rsidRPr="008C2070">
        <w:rPr>
          <w:rFonts w:ascii="Times New Roman" w:hAnsi="Times New Roman" w:cs="Times New Roman"/>
          <w:sz w:val="24"/>
          <w:szCs w:val="24"/>
        </w:rPr>
        <w:t xml:space="preserve"> influencia de los instrumentos internacionales</w:t>
      </w:r>
      <w:r w:rsidR="00546C2B" w:rsidRPr="008C2070">
        <w:rPr>
          <w:rFonts w:ascii="Times New Roman" w:hAnsi="Times New Roman" w:cs="Times New Roman"/>
          <w:sz w:val="24"/>
          <w:szCs w:val="24"/>
        </w:rPr>
        <w:t>, la</w:t>
      </w:r>
      <w:r w:rsidR="00D42564" w:rsidRPr="008C2070">
        <w:rPr>
          <w:rFonts w:ascii="Times New Roman" w:hAnsi="Times New Roman" w:cs="Times New Roman"/>
          <w:sz w:val="24"/>
          <w:szCs w:val="24"/>
        </w:rPr>
        <w:t xml:space="preserve"> concepción propia de la naturaleza de los derechos </w:t>
      </w:r>
      <w:r w:rsidR="00546C2B" w:rsidRPr="008C2070">
        <w:rPr>
          <w:rFonts w:ascii="Times New Roman" w:hAnsi="Times New Roman" w:cs="Times New Roman"/>
          <w:sz w:val="24"/>
          <w:szCs w:val="24"/>
        </w:rPr>
        <w:t>y la</w:t>
      </w:r>
      <w:r w:rsidR="00D42564" w:rsidRPr="008C2070">
        <w:rPr>
          <w:rFonts w:ascii="Times New Roman" w:hAnsi="Times New Roman" w:cs="Times New Roman"/>
          <w:sz w:val="24"/>
          <w:szCs w:val="24"/>
        </w:rPr>
        <w:t xml:space="preserve"> interpretación qu</w:t>
      </w:r>
      <w:r w:rsidR="00970CEF" w:rsidRPr="008C2070">
        <w:rPr>
          <w:rFonts w:ascii="Times New Roman" w:hAnsi="Times New Roman" w:cs="Times New Roman"/>
          <w:sz w:val="24"/>
          <w:szCs w:val="24"/>
        </w:rPr>
        <w:t>e, sobre la ley y</w:t>
      </w:r>
      <w:r w:rsidR="00546C2B" w:rsidRPr="008C2070">
        <w:rPr>
          <w:rFonts w:ascii="Times New Roman" w:hAnsi="Times New Roman" w:cs="Times New Roman"/>
          <w:sz w:val="24"/>
          <w:szCs w:val="24"/>
        </w:rPr>
        <w:t xml:space="preserve"> éstos</w:t>
      </w:r>
      <w:r w:rsidR="00970CEF" w:rsidRPr="008C2070">
        <w:rPr>
          <w:rFonts w:ascii="Times New Roman" w:hAnsi="Times New Roman" w:cs="Times New Roman"/>
          <w:sz w:val="24"/>
          <w:szCs w:val="24"/>
        </w:rPr>
        <w:t>, han realizado los órganos jurisdiccionales</w:t>
      </w:r>
      <w:r w:rsidR="008032A9" w:rsidRPr="008C2070">
        <w:rPr>
          <w:rFonts w:ascii="Times New Roman" w:hAnsi="Times New Roman" w:cs="Times New Roman"/>
          <w:sz w:val="24"/>
          <w:szCs w:val="24"/>
        </w:rPr>
        <w:t xml:space="preserve"> </w:t>
      </w:r>
      <w:r w:rsidR="00B7611E" w:rsidRPr="008C2070">
        <w:rPr>
          <w:rFonts w:ascii="Times New Roman" w:hAnsi="Times New Roman" w:cs="Times New Roman"/>
          <w:sz w:val="24"/>
          <w:szCs w:val="24"/>
        </w:rPr>
        <w:t xml:space="preserve">de </w:t>
      </w:r>
      <w:r w:rsidR="008032A9" w:rsidRPr="008C2070">
        <w:rPr>
          <w:rFonts w:ascii="Times New Roman" w:hAnsi="Times New Roman" w:cs="Times New Roman"/>
          <w:sz w:val="24"/>
          <w:szCs w:val="24"/>
        </w:rPr>
        <w:t>sede nacional e internacional</w:t>
      </w:r>
      <w:r w:rsidR="00E62E6B" w:rsidRPr="008C2070">
        <w:rPr>
          <w:rFonts w:ascii="Times New Roman" w:hAnsi="Times New Roman" w:cs="Times New Roman"/>
          <w:sz w:val="24"/>
          <w:szCs w:val="24"/>
        </w:rPr>
        <w:t>, entre otros</w:t>
      </w:r>
      <w:r w:rsidR="00970CEF" w:rsidRPr="008C2070">
        <w:rPr>
          <w:rFonts w:ascii="Times New Roman" w:hAnsi="Times New Roman" w:cs="Times New Roman"/>
          <w:sz w:val="24"/>
          <w:szCs w:val="24"/>
        </w:rPr>
        <w:t>.</w:t>
      </w:r>
      <w:r w:rsidR="00E62E6B" w:rsidRPr="008C2070">
        <w:rPr>
          <w:rFonts w:ascii="Times New Roman" w:hAnsi="Times New Roman" w:cs="Times New Roman"/>
          <w:sz w:val="24"/>
          <w:szCs w:val="24"/>
        </w:rPr>
        <w:t xml:space="preserve"> </w:t>
      </w:r>
      <w:r w:rsidR="00887E31" w:rsidRPr="008C2070">
        <w:rPr>
          <w:rFonts w:ascii="Times New Roman" w:hAnsi="Times New Roman" w:cs="Times New Roman"/>
          <w:sz w:val="24"/>
          <w:szCs w:val="24"/>
        </w:rPr>
        <w:t>Sobre este último factor, la Suprema Corte de Justicia de la Nación</w:t>
      </w:r>
      <w:r w:rsidR="001129CC" w:rsidRPr="008C2070">
        <w:rPr>
          <w:rFonts w:ascii="Times New Roman" w:hAnsi="Times New Roman" w:cs="Times New Roman"/>
          <w:sz w:val="24"/>
          <w:szCs w:val="24"/>
        </w:rPr>
        <w:t xml:space="preserve"> (SCJN)</w:t>
      </w:r>
      <w:r w:rsidR="008A27A6" w:rsidRPr="008C2070">
        <w:rPr>
          <w:rFonts w:ascii="Times New Roman" w:hAnsi="Times New Roman" w:cs="Times New Roman"/>
          <w:sz w:val="24"/>
          <w:szCs w:val="24"/>
        </w:rPr>
        <w:t>,</w:t>
      </w:r>
      <w:r w:rsidR="001129CC" w:rsidRPr="008C2070">
        <w:rPr>
          <w:rFonts w:ascii="Times New Roman" w:hAnsi="Times New Roman" w:cs="Times New Roman"/>
          <w:sz w:val="24"/>
          <w:szCs w:val="24"/>
        </w:rPr>
        <w:t xml:space="preserve"> en</w:t>
      </w:r>
      <w:r w:rsidR="00887E31" w:rsidRPr="008C2070">
        <w:rPr>
          <w:rFonts w:ascii="Times New Roman" w:hAnsi="Times New Roman" w:cs="Times New Roman"/>
          <w:sz w:val="24"/>
          <w:szCs w:val="24"/>
        </w:rPr>
        <w:t xml:space="preserve"> México, </w:t>
      </w:r>
      <w:r w:rsidR="002839F5" w:rsidRPr="008C2070">
        <w:rPr>
          <w:rFonts w:ascii="Times New Roman" w:hAnsi="Times New Roman" w:cs="Times New Roman"/>
          <w:sz w:val="24"/>
          <w:szCs w:val="24"/>
        </w:rPr>
        <w:t xml:space="preserve">se ha aproximado de manera distinta a </w:t>
      </w:r>
      <w:r w:rsidR="00ED57A4" w:rsidRPr="008C2070">
        <w:rPr>
          <w:rFonts w:ascii="Times New Roman" w:hAnsi="Times New Roman" w:cs="Times New Roman"/>
          <w:sz w:val="24"/>
          <w:szCs w:val="24"/>
        </w:rPr>
        <w:t xml:space="preserve">la interpretación </w:t>
      </w:r>
      <w:r w:rsidR="002839F5" w:rsidRPr="008C2070">
        <w:rPr>
          <w:rFonts w:ascii="Times New Roman" w:hAnsi="Times New Roman" w:cs="Times New Roman"/>
          <w:sz w:val="24"/>
          <w:szCs w:val="24"/>
        </w:rPr>
        <w:t xml:space="preserve">que ha realizado [o no] sobre </w:t>
      </w:r>
      <w:r w:rsidR="008419FD" w:rsidRPr="008C2070">
        <w:rPr>
          <w:rFonts w:ascii="Times New Roman" w:hAnsi="Times New Roman" w:cs="Times New Roman"/>
          <w:sz w:val="24"/>
          <w:szCs w:val="24"/>
        </w:rPr>
        <w:t>el contenido del derecho a la protección de la salud</w:t>
      </w:r>
      <w:r w:rsidR="001129CC" w:rsidRPr="008C2070">
        <w:rPr>
          <w:rFonts w:ascii="Times New Roman" w:hAnsi="Times New Roman" w:cs="Times New Roman"/>
          <w:sz w:val="24"/>
          <w:szCs w:val="24"/>
        </w:rPr>
        <w:t xml:space="preserve"> y</w:t>
      </w:r>
      <w:r w:rsidR="00C0397F" w:rsidRPr="008C2070">
        <w:rPr>
          <w:rFonts w:ascii="Times New Roman" w:hAnsi="Times New Roman" w:cs="Times New Roman"/>
          <w:sz w:val="24"/>
          <w:szCs w:val="24"/>
        </w:rPr>
        <w:t xml:space="preserve"> de</w:t>
      </w:r>
      <w:r w:rsidR="001129CC" w:rsidRPr="008C2070">
        <w:rPr>
          <w:rFonts w:ascii="Times New Roman" w:hAnsi="Times New Roman" w:cs="Times New Roman"/>
          <w:sz w:val="24"/>
          <w:szCs w:val="24"/>
        </w:rPr>
        <w:t xml:space="preserve"> las</w:t>
      </w:r>
      <w:r w:rsidR="00607ADE" w:rsidRPr="008C2070">
        <w:rPr>
          <w:rFonts w:ascii="Times New Roman" w:hAnsi="Times New Roman" w:cs="Times New Roman"/>
          <w:sz w:val="24"/>
          <w:szCs w:val="24"/>
        </w:rPr>
        <w:t xml:space="preserve"> leyes </w:t>
      </w:r>
      <w:r w:rsidR="002476ED" w:rsidRPr="008C2070">
        <w:rPr>
          <w:rFonts w:ascii="Times New Roman" w:hAnsi="Times New Roman" w:cs="Times New Roman"/>
          <w:sz w:val="24"/>
          <w:szCs w:val="24"/>
        </w:rPr>
        <w:t xml:space="preserve">que </w:t>
      </w:r>
      <w:r w:rsidR="008419FD" w:rsidRPr="008C2070">
        <w:rPr>
          <w:rFonts w:ascii="Times New Roman" w:hAnsi="Times New Roman" w:cs="Times New Roman"/>
          <w:sz w:val="24"/>
          <w:szCs w:val="24"/>
        </w:rPr>
        <w:t xml:space="preserve">regulan algún determinante social </w:t>
      </w:r>
      <w:r w:rsidR="001129CC" w:rsidRPr="008C2070">
        <w:rPr>
          <w:rFonts w:ascii="Times New Roman" w:hAnsi="Times New Roman" w:cs="Times New Roman"/>
          <w:sz w:val="24"/>
          <w:szCs w:val="24"/>
        </w:rPr>
        <w:t>de est</w:t>
      </w:r>
      <w:r w:rsidR="00ED57A4" w:rsidRPr="008C2070">
        <w:rPr>
          <w:rFonts w:ascii="Times New Roman" w:hAnsi="Times New Roman" w:cs="Times New Roman"/>
          <w:sz w:val="24"/>
          <w:szCs w:val="24"/>
        </w:rPr>
        <w:t>a</w:t>
      </w:r>
      <w:r w:rsidR="004547CF" w:rsidRPr="008C2070">
        <w:rPr>
          <w:rFonts w:ascii="Times New Roman" w:hAnsi="Times New Roman" w:cs="Times New Roman"/>
          <w:sz w:val="24"/>
          <w:szCs w:val="24"/>
        </w:rPr>
        <w:t xml:space="preserve">; </w:t>
      </w:r>
      <w:r w:rsidR="003213AB" w:rsidRPr="008C2070">
        <w:rPr>
          <w:rFonts w:ascii="Times New Roman" w:hAnsi="Times New Roman" w:cs="Times New Roman"/>
          <w:sz w:val="24"/>
          <w:szCs w:val="24"/>
        </w:rPr>
        <w:t>así como</w:t>
      </w:r>
      <w:r w:rsidR="004547CF" w:rsidRPr="008C2070">
        <w:rPr>
          <w:rFonts w:ascii="Times New Roman" w:hAnsi="Times New Roman" w:cs="Times New Roman"/>
          <w:sz w:val="24"/>
          <w:szCs w:val="24"/>
        </w:rPr>
        <w:t>,</w:t>
      </w:r>
      <w:r w:rsidR="00C92911" w:rsidRPr="008C2070">
        <w:rPr>
          <w:rFonts w:ascii="Times New Roman" w:hAnsi="Times New Roman" w:cs="Times New Roman"/>
          <w:sz w:val="24"/>
          <w:szCs w:val="24"/>
        </w:rPr>
        <w:t xml:space="preserve"> </w:t>
      </w:r>
      <w:r w:rsidR="0023176B" w:rsidRPr="008C2070">
        <w:rPr>
          <w:rFonts w:ascii="Times New Roman" w:hAnsi="Times New Roman" w:cs="Times New Roman"/>
          <w:sz w:val="24"/>
          <w:szCs w:val="24"/>
        </w:rPr>
        <w:t>al estudio</w:t>
      </w:r>
      <w:r w:rsidR="00C0397F" w:rsidRPr="008C2070">
        <w:rPr>
          <w:rFonts w:ascii="Times New Roman" w:hAnsi="Times New Roman" w:cs="Times New Roman"/>
          <w:sz w:val="24"/>
          <w:szCs w:val="24"/>
        </w:rPr>
        <w:t xml:space="preserve"> </w:t>
      </w:r>
      <w:r w:rsidR="00C92911" w:rsidRPr="008C2070">
        <w:rPr>
          <w:rFonts w:ascii="Times New Roman" w:hAnsi="Times New Roman" w:cs="Times New Roman"/>
          <w:sz w:val="24"/>
          <w:szCs w:val="24"/>
        </w:rPr>
        <w:t xml:space="preserve">que ha </w:t>
      </w:r>
      <w:r w:rsidR="00C0397F" w:rsidRPr="008C2070">
        <w:rPr>
          <w:rFonts w:ascii="Times New Roman" w:hAnsi="Times New Roman" w:cs="Times New Roman"/>
          <w:sz w:val="24"/>
          <w:szCs w:val="24"/>
        </w:rPr>
        <w:t xml:space="preserve">emprendido [o no] sobre </w:t>
      </w:r>
      <w:r w:rsidR="0035120D" w:rsidRPr="008C2070">
        <w:rPr>
          <w:rFonts w:ascii="Times New Roman" w:hAnsi="Times New Roman" w:cs="Times New Roman"/>
          <w:sz w:val="24"/>
          <w:szCs w:val="24"/>
        </w:rPr>
        <w:t>el fondo d</w:t>
      </w:r>
      <w:r w:rsidR="0023176B" w:rsidRPr="008C2070">
        <w:rPr>
          <w:rFonts w:ascii="Times New Roman" w:hAnsi="Times New Roman" w:cs="Times New Roman"/>
          <w:sz w:val="24"/>
          <w:szCs w:val="24"/>
        </w:rPr>
        <w:t xml:space="preserve">e </w:t>
      </w:r>
      <w:r w:rsidR="00C0397F" w:rsidRPr="008C2070">
        <w:rPr>
          <w:rFonts w:ascii="Times New Roman" w:hAnsi="Times New Roman" w:cs="Times New Roman"/>
          <w:sz w:val="24"/>
          <w:szCs w:val="24"/>
        </w:rPr>
        <w:t xml:space="preserve">los </w:t>
      </w:r>
      <w:r w:rsidR="0023176B" w:rsidRPr="008C2070">
        <w:rPr>
          <w:rFonts w:ascii="Times New Roman" w:hAnsi="Times New Roman" w:cs="Times New Roman"/>
          <w:sz w:val="24"/>
          <w:szCs w:val="24"/>
        </w:rPr>
        <w:t>casos que implican una v</w:t>
      </w:r>
      <w:r w:rsidR="003213AB" w:rsidRPr="008C2070">
        <w:rPr>
          <w:rFonts w:ascii="Times New Roman" w:hAnsi="Times New Roman" w:cs="Times New Roman"/>
          <w:sz w:val="24"/>
          <w:szCs w:val="24"/>
        </w:rPr>
        <w:t xml:space="preserve">ulneración </w:t>
      </w:r>
      <w:r w:rsidR="008029D8" w:rsidRPr="008C2070">
        <w:rPr>
          <w:rFonts w:ascii="Times New Roman" w:hAnsi="Times New Roman" w:cs="Times New Roman"/>
          <w:sz w:val="24"/>
          <w:szCs w:val="24"/>
        </w:rPr>
        <w:t xml:space="preserve">a </w:t>
      </w:r>
      <w:r w:rsidR="001129CC" w:rsidRPr="008C2070">
        <w:rPr>
          <w:rFonts w:ascii="Times New Roman" w:hAnsi="Times New Roman" w:cs="Times New Roman"/>
          <w:sz w:val="24"/>
          <w:szCs w:val="24"/>
        </w:rPr>
        <w:t>este derecho</w:t>
      </w:r>
      <w:r w:rsidR="008029D8" w:rsidRPr="008C2070">
        <w:rPr>
          <w:rFonts w:ascii="Times New Roman" w:hAnsi="Times New Roman" w:cs="Times New Roman"/>
          <w:sz w:val="24"/>
          <w:szCs w:val="24"/>
        </w:rPr>
        <w:t xml:space="preserve">. </w:t>
      </w:r>
    </w:p>
    <w:p w14:paraId="3A086947" w14:textId="601BE386" w:rsidR="008221FC" w:rsidRPr="008C2070" w:rsidRDefault="00F13E6C"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Las interpretaciones qu</w:t>
      </w:r>
      <w:r w:rsidR="00B24252" w:rsidRPr="008C2070">
        <w:rPr>
          <w:rFonts w:ascii="Times New Roman" w:hAnsi="Times New Roman" w:cs="Times New Roman"/>
          <w:sz w:val="24"/>
          <w:szCs w:val="24"/>
        </w:rPr>
        <w:t xml:space="preserve">e los tribunales mexicanos han realizado </w:t>
      </w:r>
      <w:r w:rsidRPr="008C2070">
        <w:rPr>
          <w:rFonts w:ascii="Times New Roman" w:hAnsi="Times New Roman" w:cs="Times New Roman"/>
          <w:sz w:val="24"/>
          <w:szCs w:val="24"/>
        </w:rPr>
        <w:t xml:space="preserve">sobre el contenido y alcance del derecho a la protección de la salud </w:t>
      </w:r>
      <w:r w:rsidR="00B24252" w:rsidRPr="008C2070">
        <w:rPr>
          <w:rFonts w:ascii="Times New Roman" w:hAnsi="Times New Roman" w:cs="Times New Roman"/>
          <w:sz w:val="24"/>
          <w:szCs w:val="24"/>
        </w:rPr>
        <w:t>han evolucionado a partir del momento his</w:t>
      </w:r>
      <w:r w:rsidR="00517258" w:rsidRPr="008C2070">
        <w:rPr>
          <w:rFonts w:ascii="Times New Roman" w:hAnsi="Times New Roman" w:cs="Times New Roman"/>
          <w:sz w:val="24"/>
          <w:szCs w:val="24"/>
        </w:rPr>
        <w:t xml:space="preserve">tórico en el que se realizaron. </w:t>
      </w:r>
      <w:r w:rsidR="00874EF6" w:rsidRPr="008C2070">
        <w:rPr>
          <w:rFonts w:ascii="Times New Roman" w:hAnsi="Times New Roman" w:cs="Times New Roman"/>
          <w:sz w:val="24"/>
          <w:szCs w:val="24"/>
        </w:rPr>
        <w:t xml:space="preserve">Es decir, las </w:t>
      </w:r>
      <w:r w:rsidR="00C31C02" w:rsidRPr="008C2070">
        <w:rPr>
          <w:rFonts w:ascii="Times New Roman" w:hAnsi="Times New Roman" w:cs="Times New Roman"/>
          <w:sz w:val="24"/>
          <w:szCs w:val="24"/>
        </w:rPr>
        <w:t>acepciones sobre el contenido del derecho han dependido de l</w:t>
      </w:r>
      <w:r w:rsidR="00874EF6" w:rsidRPr="008C2070">
        <w:rPr>
          <w:rFonts w:ascii="Times New Roman" w:hAnsi="Times New Roman" w:cs="Times New Roman"/>
          <w:sz w:val="24"/>
          <w:szCs w:val="24"/>
        </w:rPr>
        <w:t xml:space="preserve">as distintas épocas e integraciones de la </w:t>
      </w:r>
      <w:r w:rsidR="0007628C" w:rsidRPr="008C2070">
        <w:rPr>
          <w:rFonts w:ascii="Times New Roman" w:hAnsi="Times New Roman" w:cs="Times New Roman"/>
          <w:sz w:val="24"/>
          <w:szCs w:val="24"/>
        </w:rPr>
        <w:t>SCJN,</w:t>
      </w:r>
      <w:r w:rsidR="00C31C02" w:rsidRPr="008C2070">
        <w:rPr>
          <w:rFonts w:ascii="Times New Roman" w:hAnsi="Times New Roman" w:cs="Times New Roman"/>
          <w:sz w:val="24"/>
          <w:szCs w:val="24"/>
        </w:rPr>
        <w:t xml:space="preserve"> de </w:t>
      </w:r>
      <w:r w:rsidR="00874EF6" w:rsidRPr="008C2070">
        <w:rPr>
          <w:rFonts w:ascii="Times New Roman" w:hAnsi="Times New Roman" w:cs="Times New Roman"/>
          <w:sz w:val="24"/>
          <w:szCs w:val="24"/>
        </w:rPr>
        <w:t>los cambios normativos relevantes como la reforma constitucional de 2011 y la judicial de 2021,</w:t>
      </w:r>
      <w:r w:rsidR="00C31C02" w:rsidRPr="008C2070">
        <w:rPr>
          <w:rFonts w:ascii="Times New Roman" w:hAnsi="Times New Roman" w:cs="Times New Roman"/>
          <w:sz w:val="24"/>
          <w:szCs w:val="24"/>
        </w:rPr>
        <w:t xml:space="preserve"> </w:t>
      </w:r>
      <w:r w:rsidR="0007628C" w:rsidRPr="008C2070">
        <w:rPr>
          <w:rFonts w:ascii="Times New Roman" w:hAnsi="Times New Roman" w:cs="Times New Roman"/>
          <w:sz w:val="24"/>
          <w:szCs w:val="24"/>
        </w:rPr>
        <w:t>de las</w:t>
      </w:r>
      <w:r w:rsidR="00874EF6" w:rsidRPr="008C2070">
        <w:rPr>
          <w:rFonts w:ascii="Times New Roman" w:hAnsi="Times New Roman" w:cs="Times New Roman"/>
          <w:sz w:val="24"/>
          <w:szCs w:val="24"/>
        </w:rPr>
        <w:t xml:space="preserve"> realidades sociales que determinan los casos judicializados</w:t>
      </w:r>
      <w:r w:rsidR="00874EF6" w:rsidRPr="008C2070">
        <w:rPr>
          <w:rFonts w:ascii="Times New Roman" w:hAnsi="Times New Roman" w:cs="Times New Roman"/>
          <w:sz w:val="24"/>
          <w:szCs w:val="24"/>
        </w:rPr>
        <w:fldChar w:fldCharType="begin">
          <w:fldData xml:space="preserve">PEVuZE5vdGU+PENpdGU+PEF1dGhvcj5QYXogR29uesOhbGV6PC9BdXRob3I+PFllYXI+MjAxOTwv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</w:fldData>
        </w:fldChar>
      </w:r>
      <w:r w:rsidR="00874EF6" w:rsidRPr="008C2070">
        <w:rPr>
          <w:rFonts w:ascii="Times New Roman" w:hAnsi="Times New Roman" w:cs="Times New Roman"/>
          <w:sz w:val="24"/>
          <w:szCs w:val="24"/>
        </w:rPr>
        <w:instrText xml:space="preserve"> ADDIN EN.CITE </w:instrText>
      </w:r>
      <w:r w:rsidR="00874EF6" w:rsidRPr="008C2070">
        <w:rPr>
          <w:rFonts w:ascii="Times New Roman" w:hAnsi="Times New Roman" w:cs="Times New Roman"/>
          <w:sz w:val="24"/>
          <w:szCs w:val="24"/>
        </w:rPr>
        <w:fldChar w:fldCharType="begin">
          <w:fldData xml:space="preserve">PEVuZE5vdGU+PENpdGU+PEF1dGhvcj5QYXogR29uesOhbGV6PC9BdXRob3I+PFllYXI+MjAxOTwv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</w:fldData>
        </w:fldChar>
      </w:r>
      <w:r w:rsidR="00874EF6" w:rsidRPr="008C2070">
        <w:rPr>
          <w:rFonts w:ascii="Times New Roman" w:hAnsi="Times New Roman" w:cs="Times New Roman"/>
          <w:sz w:val="24"/>
          <w:szCs w:val="24"/>
        </w:rPr>
        <w:instrText xml:space="preserve"> ADDIN EN.CITE.DATA </w:instrText>
      </w:r>
      <w:r w:rsidR="00874EF6" w:rsidRPr="008C2070">
        <w:rPr>
          <w:rFonts w:ascii="Times New Roman" w:hAnsi="Times New Roman" w:cs="Times New Roman"/>
          <w:sz w:val="24"/>
          <w:szCs w:val="24"/>
        </w:rPr>
      </w:r>
      <w:r w:rsidR="00874EF6" w:rsidRPr="008C2070">
        <w:rPr>
          <w:rFonts w:ascii="Times New Roman" w:hAnsi="Times New Roman" w:cs="Times New Roman"/>
          <w:sz w:val="24"/>
          <w:szCs w:val="24"/>
        </w:rPr>
        <w:fldChar w:fldCharType="end"/>
      </w:r>
      <w:r w:rsidR="00874EF6" w:rsidRPr="008C2070">
        <w:rPr>
          <w:rFonts w:ascii="Times New Roman" w:hAnsi="Times New Roman" w:cs="Times New Roman"/>
          <w:sz w:val="24"/>
          <w:szCs w:val="24"/>
        </w:rPr>
      </w:r>
      <w:r w:rsidR="00874EF6" w:rsidRPr="008C2070">
        <w:rPr>
          <w:rFonts w:ascii="Times New Roman" w:hAnsi="Times New Roman" w:cs="Times New Roman"/>
          <w:sz w:val="24"/>
          <w:szCs w:val="24"/>
        </w:rPr>
        <w:fldChar w:fldCharType="end"/>
      </w:r>
      <w:r w:rsidR="00874EF6" w:rsidRPr="008C2070">
        <w:rPr>
          <w:rFonts w:ascii="Times New Roman" w:hAnsi="Times New Roman" w:cs="Times New Roman"/>
          <w:sz w:val="24"/>
          <w:szCs w:val="24"/>
        </w:rPr>
        <w:t>,</w:t>
      </w:r>
      <w:r w:rsidR="0007628C" w:rsidRPr="008C2070">
        <w:rPr>
          <w:rFonts w:ascii="Times New Roman" w:hAnsi="Times New Roman" w:cs="Times New Roman"/>
          <w:sz w:val="24"/>
          <w:szCs w:val="24"/>
        </w:rPr>
        <w:t xml:space="preserve"> de las interpretaciones esgrimidas a nivel internacional, en especial por el sistema </w:t>
      </w:r>
      <w:r w:rsidR="007643DB" w:rsidRPr="008C2070">
        <w:rPr>
          <w:rFonts w:ascii="Times New Roman" w:hAnsi="Times New Roman" w:cs="Times New Roman"/>
          <w:sz w:val="24"/>
          <w:szCs w:val="24"/>
        </w:rPr>
        <w:t>interamericano, entre</w:t>
      </w:r>
      <w:r w:rsidR="00C31C02" w:rsidRPr="008C2070">
        <w:rPr>
          <w:rFonts w:ascii="Times New Roman" w:hAnsi="Times New Roman" w:cs="Times New Roman"/>
          <w:sz w:val="24"/>
          <w:szCs w:val="24"/>
        </w:rPr>
        <w:t xml:space="preserve"> otros</w:t>
      </w:r>
      <w:r w:rsidR="00874EF6" w:rsidRPr="008C2070">
        <w:rPr>
          <w:rFonts w:ascii="Times New Roman" w:hAnsi="Times New Roman" w:cs="Times New Roman"/>
          <w:sz w:val="24"/>
          <w:szCs w:val="24"/>
        </w:rPr>
        <w:t xml:space="preserve">. </w:t>
      </w:r>
      <w:r w:rsidR="00517258" w:rsidRPr="008C2070">
        <w:rPr>
          <w:rFonts w:ascii="Times New Roman" w:hAnsi="Times New Roman" w:cs="Times New Roman"/>
          <w:sz w:val="24"/>
          <w:szCs w:val="24"/>
        </w:rPr>
        <w:t xml:space="preserve">Es por esto </w:t>
      </w:r>
      <w:r w:rsidR="00874EF6" w:rsidRPr="008C2070">
        <w:rPr>
          <w:rFonts w:ascii="Times New Roman" w:hAnsi="Times New Roman" w:cs="Times New Roman"/>
          <w:sz w:val="24"/>
          <w:szCs w:val="24"/>
        </w:rPr>
        <w:t>por lo que</w:t>
      </w:r>
      <w:r w:rsidR="00517258" w:rsidRPr="008C2070">
        <w:rPr>
          <w:rFonts w:ascii="Times New Roman" w:hAnsi="Times New Roman" w:cs="Times New Roman"/>
          <w:sz w:val="24"/>
          <w:szCs w:val="24"/>
        </w:rPr>
        <w:t xml:space="preserve"> algunas jurisprudencias y tesis</w:t>
      </w:r>
      <w:r w:rsidR="001C2348" w:rsidRPr="008C2070">
        <w:rPr>
          <w:rFonts w:ascii="Times New Roman" w:hAnsi="Times New Roman" w:cs="Times New Roman"/>
          <w:sz w:val="24"/>
          <w:szCs w:val="24"/>
        </w:rPr>
        <w:t xml:space="preserve"> a nivel nacional</w:t>
      </w:r>
      <w:r w:rsidR="00517258" w:rsidRPr="008C2070">
        <w:rPr>
          <w:rFonts w:ascii="Times New Roman" w:hAnsi="Times New Roman" w:cs="Times New Roman"/>
          <w:sz w:val="24"/>
          <w:szCs w:val="24"/>
        </w:rPr>
        <w:t xml:space="preserve"> </w:t>
      </w:r>
      <w:r w:rsidR="00874EF6" w:rsidRPr="008C2070">
        <w:rPr>
          <w:rFonts w:ascii="Times New Roman" w:hAnsi="Times New Roman" w:cs="Times New Roman"/>
          <w:sz w:val="24"/>
          <w:szCs w:val="24"/>
        </w:rPr>
        <w:t xml:space="preserve">reflejan un contenido </w:t>
      </w:r>
      <w:r w:rsidRPr="008C2070">
        <w:rPr>
          <w:rFonts w:ascii="Times New Roman" w:hAnsi="Times New Roman" w:cs="Times New Roman"/>
          <w:sz w:val="24"/>
          <w:szCs w:val="24"/>
        </w:rPr>
        <w:t>más o menos progresiv</w:t>
      </w:r>
      <w:r w:rsidR="00874EF6" w:rsidRPr="008C2070">
        <w:rPr>
          <w:rFonts w:ascii="Times New Roman" w:hAnsi="Times New Roman" w:cs="Times New Roman"/>
          <w:sz w:val="24"/>
          <w:szCs w:val="24"/>
        </w:rPr>
        <w:t>o</w:t>
      </w:r>
      <w:r w:rsidRPr="008C2070">
        <w:rPr>
          <w:rFonts w:ascii="Times New Roman" w:hAnsi="Times New Roman" w:cs="Times New Roman"/>
          <w:sz w:val="24"/>
          <w:szCs w:val="24"/>
        </w:rPr>
        <w:t>, formalista o acercad</w:t>
      </w:r>
      <w:r w:rsidR="00874EF6" w:rsidRPr="008C2070">
        <w:rPr>
          <w:rFonts w:ascii="Times New Roman" w:hAnsi="Times New Roman" w:cs="Times New Roman"/>
          <w:sz w:val="24"/>
          <w:szCs w:val="24"/>
        </w:rPr>
        <w:t>o</w:t>
      </w:r>
      <w:r w:rsidRPr="008C2070">
        <w:rPr>
          <w:rFonts w:ascii="Times New Roman" w:hAnsi="Times New Roman" w:cs="Times New Roman"/>
          <w:sz w:val="24"/>
          <w:szCs w:val="24"/>
        </w:rPr>
        <w:t xml:space="preserve"> a las realidades sociales </w:t>
      </w:r>
      <w:r w:rsidR="00874EF6" w:rsidRPr="008C2070">
        <w:rPr>
          <w:rFonts w:ascii="Times New Roman" w:hAnsi="Times New Roman" w:cs="Times New Roman"/>
          <w:sz w:val="24"/>
          <w:szCs w:val="24"/>
        </w:rPr>
        <w:t>y de los poderes ejecutivo y legislativo</w:t>
      </w:r>
      <w:r w:rsidR="00C31C02" w:rsidRPr="008C2070">
        <w:rPr>
          <w:rFonts w:ascii="Times New Roman" w:hAnsi="Times New Roman" w:cs="Times New Roman"/>
          <w:sz w:val="24"/>
          <w:szCs w:val="24"/>
        </w:rPr>
        <w:t xml:space="preserve"> dependiendo de la época en la que se </w:t>
      </w:r>
      <w:r w:rsidR="0007628C" w:rsidRPr="008C2070">
        <w:rPr>
          <w:rFonts w:ascii="Times New Roman" w:hAnsi="Times New Roman" w:cs="Times New Roman"/>
          <w:sz w:val="24"/>
          <w:szCs w:val="24"/>
        </w:rPr>
        <w:t>hayan creado y publicado</w:t>
      </w:r>
      <w:r w:rsidR="00874EF6" w:rsidRPr="008C2070">
        <w:rPr>
          <w:rFonts w:ascii="Times New Roman" w:hAnsi="Times New Roman" w:cs="Times New Roman"/>
          <w:sz w:val="24"/>
          <w:szCs w:val="24"/>
        </w:rPr>
        <w:t xml:space="preserve">. </w:t>
      </w:r>
      <w:r w:rsidR="001C2348" w:rsidRPr="008C2070">
        <w:rPr>
          <w:rFonts w:ascii="Times New Roman" w:hAnsi="Times New Roman" w:cs="Times New Roman"/>
          <w:sz w:val="24"/>
          <w:szCs w:val="24"/>
        </w:rPr>
        <w:t xml:space="preserve">Las interpretaciones </w:t>
      </w:r>
      <w:r w:rsidR="000E4407" w:rsidRPr="008C2070">
        <w:rPr>
          <w:rFonts w:ascii="Times New Roman" w:hAnsi="Times New Roman" w:cs="Times New Roman"/>
          <w:sz w:val="24"/>
          <w:szCs w:val="24"/>
        </w:rPr>
        <w:t xml:space="preserve">judiciales </w:t>
      </w:r>
      <w:r w:rsidR="001C2348" w:rsidRPr="008C2070">
        <w:rPr>
          <w:rFonts w:ascii="Times New Roman" w:hAnsi="Times New Roman" w:cs="Times New Roman"/>
          <w:sz w:val="24"/>
          <w:szCs w:val="24"/>
        </w:rPr>
        <w:t xml:space="preserve">de la </w:t>
      </w:r>
      <w:r w:rsidR="004464E5" w:rsidRPr="008C2070">
        <w:rPr>
          <w:rFonts w:ascii="Times New Roman" w:hAnsi="Times New Roman" w:cs="Times New Roman"/>
          <w:sz w:val="24"/>
          <w:szCs w:val="24"/>
        </w:rPr>
        <w:t xml:space="preserve">SCJN </w:t>
      </w:r>
      <w:r w:rsidR="001C2348" w:rsidRPr="008C2070">
        <w:rPr>
          <w:rFonts w:ascii="Times New Roman" w:hAnsi="Times New Roman" w:cs="Times New Roman"/>
          <w:sz w:val="24"/>
          <w:szCs w:val="24"/>
        </w:rPr>
        <w:t xml:space="preserve">y de los Tribunales Colegiados de Circuito </w:t>
      </w:r>
      <w:r w:rsidR="000E4407" w:rsidRPr="008C2070">
        <w:rPr>
          <w:rFonts w:ascii="Times New Roman" w:hAnsi="Times New Roman" w:cs="Times New Roman"/>
          <w:sz w:val="24"/>
          <w:szCs w:val="24"/>
        </w:rPr>
        <w:t>han permeado</w:t>
      </w:r>
      <w:r w:rsidR="00FE67F3" w:rsidRPr="008C2070">
        <w:rPr>
          <w:rFonts w:ascii="Times New Roman" w:hAnsi="Times New Roman" w:cs="Times New Roman"/>
          <w:sz w:val="24"/>
          <w:szCs w:val="24"/>
        </w:rPr>
        <w:t>,</w:t>
      </w:r>
      <w:r w:rsidR="000E4407" w:rsidRPr="008C2070">
        <w:rPr>
          <w:rFonts w:ascii="Times New Roman" w:hAnsi="Times New Roman" w:cs="Times New Roman"/>
          <w:sz w:val="24"/>
          <w:szCs w:val="24"/>
        </w:rPr>
        <w:t xml:space="preserve"> por obligación normativa</w:t>
      </w:r>
      <w:r w:rsidR="00FE67F3" w:rsidRPr="008C2070">
        <w:rPr>
          <w:rFonts w:ascii="Times New Roman" w:hAnsi="Times New Roman" w:cs="Times New Roman"/>
          <w:sz w:val="24"/>
          <w:szCs w:val="24"/>
        </w:rPr>
        <w:t>,</w:t>
      </w:r>
      <w:r w:rsidR="000E4407" w:rsidRPr="008C2070">
        <w:rPr>
          <w:rFonts w:ascii="Times New Roman" w:hAnsi="Times New Roman" w:cs="Times New Roman"/>
          <w:sz w:val="24"/>
          <w:szCs w:val="24"/>
        </w:rPr>
        <w:t xml:space="preserve"> las resoluciones de </w:t>
      </w:r>
      <w:r w:rsidR="0079436A" w:rsidRPr="008C2070">
        <w:rPr>
          <w:rFonts w:ascii="Times New Roman" w:hAnsi="Times New Roman" w:cs="Times New Roman"/>
          <w:sz w:val="24"/>
          <w:szCs w:val="24"/>
        </w:rPr>
        <w:t xml:space="preserve">órganos jurisdiccionales </w:t>
      </w:r>
      <w:r w:rsidR="00E1027B" w:rsidRPr="008C2070">
        <w:rPr>
          <w:rFonts w:ascii="Times New Roman" w:hAnsi="Times New Roman" w:cs="Times New Roman"/>
          <w:sz w:val="24"/>
          <w:szCs w:val="24"/>
        </w:rPr>
        <w:t>de distintos circuitos</w:t>
      </w:r>
      <w:r w:rsidR="001C2348" w:rsidRPr="008C2070">
        <w:rPr>
          <w:rFonts w:ascii="Times New Roman" w:hAnsi="Times New Roman" w:cs="Times New Roman"/>
          <w:sz w:val="24"/>
          <w:szCs w:val="24"/>
        </w:rPr>
        <w:t xml:space="preserve"> judiciales</w:t>
      </w:r>
      <w:r w:rsidR="00E1027B" w:rsidRPr="008C2070">
        <w:rPr>
          <w:rFonts w:ascii="Times New Roman" w:hAnsi="Times New Roman" w:cs="Times New Roman"/>
          <w:sz w:val="24"/>
          <w:szCs w:val="24"/>
        </w:rPr>
        <w:t xml:space="preserve">, lo que en algunas ocasiones </w:t>
      </w:r>
      <w:r w:rsidR="008E4F4F" w:rsidRPr="008C2070">
        <w:rPr>
          <w:rFonts w:ascii="Times New Roman" w:hAnsi="Times New Roman" w:cs="Times New Roman"/>
          <w:sz w:val="24"/>
          <w:szCs w:val="24"/>
        </w:rPr>
        <w:t>ha</w:t>
      </w:r>
      <w:r w:rsidR="00E1027B" w:rsidRPr="008C2070">
        <w:rPr>
          <w:rFonts w:ascii="Times New Roman" w:hAnsi="Times New Roman" w:cs="Times New Roman"/>
          <w:sz w:val="24"/>
          <w:szCs w:val="24"/>
        </w:rPr>
        <w:t xml:space="preserve"> </w:t>
      </w:r>
      <w:r w:rsidR="008E4F4F" w:rsidRPr="008C2070">
        <w:rPr>
          <w:rFonts w:ascii="Times New Roman" w:hAnsi="Times New Roman" w:cs="Times New Roman"/>
          <w:sz w:val="24"/>
          <w:szCs w:val="24"/>
        </w:rPr>
        <w:t>generado</w:t>
      </w:r>
      <w:r w:rsidR="00E1027B" w:rsidRPr="008C2070">
        <w:rPr>
          <w:rFonts w:ascii="Times New Roman" w:hAnsi="Times New Roman" w:cs="Times New Roman"/>
          <w:sz w:val="24"/>
          <w:szCs w:val="24"/>
        </w:rPr>
        <w:t xml:space="preserve"> efectos sociales y/o</w:t>
      </w:r>
      <w:r w:rsidR="008E4F4F" w:rsidRPr="008C2070">
        <w:rPr>
          <w:rFonts w:ascii="Times New Roman" w:hAnsi="Times New Roman" w:cs="Times New Roman"/>
          <w:sz w:val="24"/>
          <w:szCs w:val="24"/>
        </w:rPr>
        <w:t xml:space="preserve"> tensiones en</w:t>
      </w:r>
      <w:r w:rsidR="002845F3" w:rsidRPr="008C2070">
        <w:rPr>
          <w:rFonts w:ascii="Times New Roman" w:hAnsi="Times New Roman" w:cs="Times New Roman"/>
          <w:sz w:val="24"/>
          <w:szCs w:val="24"/>
        </w:rPr>
        <w:t>tre</w:t>
      </w:r>
      <w:r w:rsidR="008E4F4F" w:rsidRPr="008C2070">
        <w:rPr>
          <w:rFonts w:ascii="Times New Roman" w:hAnsi="Times New Roman" w:cs="Times New Roman"/>
          <w:sz w:val="24"/>
          <w:szCs w:val="24"/>
        </w:rPr>
        <w:t xml:space="preserve"> los distintos </w:t>
      </w:r>
      <w:r w:rsidR="002845F3" w:rsidRPr="008C2070">
        <w:rPr>
          <w:rFonts w:ascii="Times New Roman" w:hAnsi="Times New Roman" w:cs="Times New Roman"/>
          <w:sz w:val="24"/>
          <w:szCs w:val="24"/>
        </w:rPr>
        <w:t xml:space="preserve">poderes y </w:t>
      </w:r>
      <w:r w:rsidR="008E4F4F" w:rsidRPr="008C2070">
        <w:rPr>
          <w:rFonts w:ascii="Times New Roman" w:hAnsi="Times New Roman" w:cs="Times New Roman"/>
          <w:sz w:val="24"/>
          <w:szCs w:val="24"/>
        </w:rPr>
        <w:t>niveles de gobierno</w:t>
      </w:r>
      <w:r w:rsidR="003F023C" w:rsidRPr="008C2070">
        <w:rPr>
          <w:rFonts w:ascii="Times New Roman" w:hAnsi="Times New Roman" w:cs="Times New Roman"/>
          <w:sz w:val="24"/>
          <w:szCs w:val="24"/>
        </w:rPr>
        <w:t xml:space="preserve"> para garantizar </w:t>
      </w:r>
      <w:r w:rsidR="00CE3641" w:rsidRPr="008C2070">
        <w:rPr>
          <w:rFonts w:ascii="Times New Roman" w:hAnsi="Times New Roman" w:cs="Times New Roman"/>
          <w:sz w:val="24"/>
          <w:szCs w:val="24"/>
        </w:rPr>
        <w:t xml:space="preserve">el goce efectivo del derecho a la </w:t>
      </w:r>
      <w:r w:rsidR="00CE3641" w:rsidRPr="008C2070">
        <w:rPr>
          <w:rFonts w:ascii="Times New Roman" w:hAnsi="Times New Roman" w:cs="Times New Roman"/>
          <w:sz w:val="24"/>
          <w:szCs w:val="24"/>
        </w:rPr>
        <w:lastRenderedPageBreak/>
        <w:t>protección de la salud</w:t>
      </w:r>
      <w:r w:rsidR="007D58B0" w:rsidRPr="008C2070">
        <w:rPr>
          <w:rFonts w:ascii="Times New Roman" w:hAnsi="Times New Roman" w:cs="Times New Roman"/>
          <w:sz w:val="24"/>
          <w:szCs w:val="24"/>
        </w:rPr>
        <w:t>, ya que</w:t>
      </w:r>
      <w:r w:rsidR="001E04D0" w:rsidRPr="008C2070">
        <w:rPr>
          <w:rFonts w:ascii="Times New Roman" w:hAnsi="Times New Roman" w:cs="Times New Roman"/>
          <w:sz w:val="24"/>
          <w:szCs w:val="24"/>
        </w:rPr>
        <w:t>,</w:t>
      </w:r>
      <w:r w:rsidR="007D58B0" w:rsidRPr="008C2070">
        <w:rPr>
          <w:rFonts w:ascii="Times New Roman" w:hAnsi="Times New Roman" w:cs="Times New Roman"/>
          <w:sz w:val="24"/>
          <w:szCs w:val="24"/>
        </w:rPr>
        <w:t xml:space="preserve"> como indica Salazar </w:t>
      </w:r>
      <w:r w:rsidR="008F205F" w:rsidRPr="008C2070">
        <w:rPr>
          <w:rFonts w:ascii="Times New Roman" w:hAnsi="Times New Roman" w:cs="Times New Roman"/>
          <w:sz w:val="24"/>
          <w:szCs w:val="24"/>
        </w:rPr>
        <w:t>“</w:t>
      </w:r>
      <w:r w:rsidR="008F205F" w:rsidRPr="008C2070">
        <w:rPr>
          <w:rFonts w:ascii="Times New Roman" w:hAnsi="Times New Roman" w:cs="Times New Roman"/>
          <w:i/>
          <w:iCs/>
          <w:sz w:val="24"/>
          <w:szCs w:val="24"/>
        </w:rPr>
        <w:t>los</w:t>
      </w:r>
      <w:r w:rsidR="00661428" w:rsidRPr="008C2070">
        <w:rPr>
          <w:rFonts w:ascii="Times New Roman" w:hAnsi="Times New Roman" w:cs="Times New Roman"/>
          <w:i/>
          <w:iCs/>
          <w:sz w:val="24"/>
          <w:szCs w:val="24"/>
        </w:rPr>
        <w:t xml:space="preserve"> derechos como fenómenos complejos requieren de garantías políticas, económicas e </w:t>
      </w:r>
      <w:r w:rsidR="008C686C" w:rsidRPr="008C2070">
        <w:rPr>
          <w:rFonts w:ascii="Times New Roman" w:hAnsi="Times New Roman" w:cs="Times New Roman"/>
          <w:i/>
          <w:iCs/>
          <w:sz w:val="24"/>
          <w:szCs w:val="24"/>
        </w:rPr>
        <w:t>incluso</w:t>
      </w:r>
      <w:r w:rsidR="00661428" w:rsidRPr="008C2070">
        <w:rPr>
          <w:rFonts w:ascii="Times New Roman" w:hAnsi="Times New Roman" w:cs="Times New Roman"/>
          <w:i/>
          <w:iCs/>
          <w:sz w:val="24"/>
          <w:szCs w:val="24"/>
        </w:rPr>
        <w:t xml:space="preserve"> sociales</w:t>
      </w:r>
      <w:r w:rsidR="00661428" w:rsidRPr="008C2070">
        <w:rPr>
          <w:rFonts w:ascii="Times New Roman" w:hAnsi="Times New Roman" w:cs="Times New Roman"/>
          <w:sz w:val="24"/>
          <w:szCs w:val="24"/>
        </w:rPr>
        <w:t xml:space="preserve">”, al referirse a las </w:t>
      </w:r>
      <w:r w:rsidR="008C686C" w:rsidRPr="008C2070">
        <w:rPr>
          <w:rFonts w:ascii="Times New Roman" w:hAnsi="Times New Roman" w:cs="Times New Roman"/>
          <w:sz w:val="24"/>
          <w:szCs w:val="24"/>
        </w:rPr>
        <w:t>garantías</w:t>
      </w:r>
      <w:r w:rsidR="00661428" w:rsidRPr="008C2070">
        <w:rPr>
          <w:rFonts w:ascii="Times New Roman" w:hAnsi="Times New Roman" w:cs="Times New Roman"/>
          <w:sz w:val="24"/>
          <w:szCs w:val="24"/>
        </w:rPr>
        <w:t xml:space="preserve"> de los derechos más allá de la protección </w:t>
      </w:r>
      <w:r w:rsidR="008C686C" w:rsidRPr="008C2070">
        <w:rPr>
          <w:rFonts w:ascii="Times New Roman" w:hAnsi="Times New Roman" w:cs="Times New Roman"/>
          <w:sz w:val="24"/>
          <w:szCs w:val="24"/>
        </w:rPr>
        <w:t>jurisdiccional</w:t>
      </w:r>
      <w:r w:rsidR="00661428" w:rsidRPr="008C2070">
        <w:rPr>
          <w:rFonts w:ascii="Times New Roman" w:hAnsi="Times New Roman" w:cs="Times New Roman"/>
          <w:sz w:val="24"/>
          <w:szCs w:val="24"/>
        </w:rPr>
        <w:t xml:space="preserve">. </w:t>
      </w:r>
      <w:r w:rsidR="00B45C52" w:rsidRPr="008C2070">
        <w:rPr>
          <w:rStyle w:val="Refdenotaalpie"/>
          <w:rFonts w:ascii="Times New Roman" w:hAnsi="Times New Roman" w:cs="Times New Roman"/>
          <w:sz w:val="24"/>
          <w:szCs w:val="24"/>
        </w:rPr>
        <w:footnoteReference w:id="3"/>
      </w:r>
      <w:r w:rsidR="00CB6E6A" w:rsidRPr="008C2070">
        <w:rPr>
          <w:rFonts w:ascii="Times New Roman" w:hAnsi="Times New Roman" w:cs="Times New Roman"/>
          <w:sz w:val="24"/>
          <w:szCs w:val="24"/>
        </w:rPr>
        <w:t xml:space="preserve"> Por lo anterior, en el presente capítulo se analizará</w:t>
      </w:r>
      <w:r w:rsidR="00425C7A" w:rsidRPr="008C2070">
        <w:rPr>
          <w:rFonts w:ascii="Times New Roman" w:hAnsi="Times New Roman" w:cs="Times New Roman"/>
          <w:sz w:val="24"/>
          <w:szCs w:val="24"/>
        </w:rPr>
        <w:t xml:space="preserve"> la función de la ju</w:t>
      </w:r>
      <w:r w:rsidR="00A70997" w:rsidRPr="008C2070">
        <w:rPr>
          <w:rFonts w:ascii="Times New Roman" w:hAnsi="Times New Roman" w:cs="Times New Roman"/>
          <w:sz w:val="24"/>
          <w:szCs w:val="24"/>
        </w:rPr>
        <w:t xml:space="preserve">risprudencia </w:t>
      </w:r>
      <w:r w:rsidR="00425C7A" w:rsidRPr="008C2070">
        <w:rPr>
          <w:rFonts w:ascii="Times New Roman" w:hAnsi="Times New Roman" w:cs="Times New Roman"/>
          <w:sz w:val="24"/>
          <w:szCs w:val="24"/>
        </w:rPr>
        <w:t xml:space="preserve">y </w:t>
      </w:r>
      <w:r w:rsidR="00160554" w:rsidRPr="008C2070">
        <w:rPr>
          <w:rFonts w:ascii="Times New Roman" w:hAnsi="Times New Roman" w:cs="Times New Roman"/>
          <w:sz w:val="24"/>
          <w:szCs w:val="24"/>
        </w:rPr>
        <w:t xml:space="preserve">las </w:t>
      </w:r>
      <w:r w:rsidR="00425C7A" w:rsidRPr="008C2070">
        <w:rPr>
          <w:rFonts w:ascii="Times New Roman" w:hAnsi="Times New Roman" w:cs="Times New Roman"/>
          <w:sz w:val="24"/>
          <w:szCs w:val="24"/>
        </w:rPr>
        <w:t>tesis aisladas en salud</w:t>
      </w:r>
      <w:r w:rsidR="00A70997" w:rsidRPr="008C2070">
        <w:rPr>
          <w:rFonts w:ascii="Times New Roman" w:hAnsi="Times New Roman" w:cs="Times New Roman"/>
          <w:sz w:val="24"/>
          <w:szCs w:val="24"/>
        </w:rPr>
        <w:t xml:space="preserve">, así como </w:t>
      </w:r>
      <w:r w:rsidR="00D01529" w:rsidRPr="008C2070">
        <w:rPr>
          <w:rFonts w:ascii="Times New Roman" w:hAnsi="Times New Roman" w:cs="Times New Roman"/>
          <w:sz w:val="24"/>
          <w:szCs w:val="24"/>
        </w:rPr>
        <w:t xml:space="preserve">las </w:t>
      </w:r>
      <w:r w:rsidR="00BB6B20" w:rsidRPr="008C2070">
        <w:rPr>
          <w:rFonts w:ascii="Times New Roman" w:hAnsi="Times New Roman" w:cs="Times New Roman"/>
          <w:sz w:val="24"/>
          <w:szCs w:val="24"/>
        </w:rPr>
        <w:t>temáticas tratad</w:t>
      </w:r>
      <w:r w:rsidR="004F45B3" w:rsidRPr="008C2070">
        <w:rPr>
          <w:rFonts w:ascii="Times New Roman" w:hAnsi="Times New Roman" w:cs="Times New Roman"/>
          <w:sz w:val="24"/>
          <w:szCs w:val="24"/>
        </w:rPr>
        <w:t>a</w:t>
      </w:r>
      <w:r w:rsidR="00BB6B20" w:rsidRPr="008C2070">
        <w:rPr>
          <w:rFonts w:ascii="Times New Roman" w:hAnsi="Times New Roman" w:cs="Times New Roman"/>
          <w:sz w:val="24"/>
          <w:szCs w:val="24"/>
        </w:rPr>
        <w:t xml:space="preserve">s </w:t>
      </w:r>
      <w:r w:rsidR="00D01529" w:rsidRPr="008C2070">
        <w:rPr>
          <w:rFonts w:ascii="Times New Roman" w:hAnsi="Times New Roman" w:cs="Times New Roman"/>
          <w:sz w:val="24"/>
          <w:szCs w:val="24"/>
        </w:rPr>
        <w:t xml:space="preserve">y </w:t>
      </w:r>
      <w:r w:rsidR="004F45B3" w:rsidRPr="008C2070">
        <w:rPr>
          <w:rFonts w:ascii="Times New Roman" w:hAnsi="Times New Roman" w:cs="Times New Roman"/>
          <w:sz w:val="24"/>
          <w:szCs w:val="24"/>
        </w:rPr>
        <w:t xml:space="preserve">los </w:t>
      </w:r>
      <w:r w:rsidR="00D01529" w:rsidRPr="008C2070">
        <w:rPr>
          <w:rFonts w:ascii="Times New Roman" w:hAnsi="Times New Roman" w:cs="Times New Roman"/>
          <w:sz w:val="24"/>
          <w:szCs w:val="24"/>
        </w:rPr>
        <w:t xml:space="preserve">alcances de todas </w:t>
      </w:r>
      <w:r w:rsidR="00A70997" w:rsidRPr="008C2070">
        <w:rPr>
          <w:rFonts w:ascii="Times New Roman" w:hAnsi="Times New Roman" w:cs="Times New Roman"/>
          <w:sz w:val="24"/>
          <w:szCs w:val="24"/>
        </w:rPr>
        <w:t xml:space="preserve">aquellas integradas por </w:t>
      </w:r>
      <w:r w:rsidR="00CB6E6A" w:rsidRPr="008C2070">
        <w:rPr>
          <w:rFonts w:ascii="Times New Roman" w:hAnsi="Times New Roman" w:cs="Times New Roman"/>
          <w:sz w:val="24"/>
          <w:szCs w:val="24"/>
        </w:rPr>
        <w:t>la SCJN</w:t>
      </w:r>
      <w:r w:rsidR="00D825C1" w:rsidRPr="008C2070">
        <w:rPr>
          <w:rFonts w:ascii="Times New Roman" w:hAnsi="Times New Roman" w:cs="Times New Roman"/>
          <w:sz w:val="24"/>
          <w:szCs w:val="24"/>
        </w:rPr>
        <w:t xml:space="preserve"> y </w:t>
      </w:r>
      <w:r w:rsidR="00A70997" w:rsidRPr="008C2070">
        <w:rPr>
          <w:rFonts w:ascii="Times New Roman" w:hAnsi="Times New Roman" w:cs="Times New Roman"/>
          <w:sz w:val="24"/>
          <w:szCs w:val="24"/>
        </w:rPr>
        <w:t xml:space="preserve">los </w:t>
      </w:r>
      <w:r w:rsidR="009F52B9" w:rsidRPr="008C2070">
        <w:rPr>
          <w:rFonts w:ascii="Times New Roman" w:hAnsi="Times New Roman" w:cs="Times New Roman"/>
          <w:sz w:val="24"/>
          <w:szCs w:val="24"/>
        </w:rPr>
        <w:t>T</w:t>
      </w:r>
      <w:r w:rsidR="00D825C1" w:rsidRPr="008C2070">
        <w:rPr>
          <w:rFonts w:ascii="Times New Roman" w:hAnsi="Times New Roman" w:cs="Times New Roman"/>
          <w:sz w:val="24"/>
          <w:szCs w:val="24"/>
        </w:rPr>
        <w:t xml:space="preserve">ribunales </w:t>
      </w:r>
      <w:r w:rsidR="009F52B9" w:rsidRPr="008C2070">
        <w:rPr>
          <w:rFonts w:ascii="Times New Roman" w:hAnsi="Times New Roman" w:cs="Times New Roman"/>
          <w:sz w:val="24"/>
          <w:szCs w:val="24"/>
        </w:rPr>
        <w:t>C</w:t>
      </w:r>
      <w:r w:rsidR="00D825C1" w:rsidRPr="008C2070">
        <w:rPr>
          <w:rFonts w:ascii="Times New Roman" w:hAnsi="Times New Roman" w:cs="Times New Roman"/>
          <w:sz w:val="24"/>
          <w:szCs w:val="24"/>
        </w:rPr>
        <w:t xml:space="preserve">olegiados de </w:t>
      </w:r>
      <w:r w:rsidR="009F52B9" w:rsidRPr="008C2070">
        <w:rPr>
          <w:rFonts w:ascii="Times New Roman" w:hAnsi="Times New Roman" w:cs="Times New Roman"/>
          <w:sz w:val="24"/>
          <w:szCs w:val="24"/>
        </w:rPr>
        <w:t>C</w:t>
      </w:r>
      <w:r w:rsidR="00D825C1" w:rsidRPr="008C2070">
        <w:rPr>
          <w:rFonts w:ascii="Times New Roman" w:hAnsi="Times New Roman" w:cs="Times New Roman"/>
          <w:sz w:val="24"/>
          <w:szCs w:val="24"/>
        </w:rPr>
        <w:t>ircuito</w:t>
      </w:r>
      <w:r w:rsidR="009F52B9" w:rsidRPr="008C2070">
        <w:rPr>
          <w:rFonts w:ascii="Times New Roman" w:hAnsi="Times New Roman" w:cs="Times New Roman"/>
          <w:sz w:val="24"/>
          <w:szCs w:val="24"/>
        </w:rPr>
        <w:t xml:space="preserve"> (TCC)</w:t>
      </w:r>
      <w:r w:rsidR="00CB6E6A" w:rsidRPr="008C2070">
        <w:rPr>
          <w:rFonts w:ascii="Times New Roman" w:hAnsi="Times New Roman" w:cs="Times New Roman"/>
          <w:sz w:val="24"/>
          <w:szCs w:val="24"/>
        </w:rPr>
        <w:t xml:space="preserve"> a la luz </w:t>
      </w:r>
      <w:r w:rsidR="006F145C" w:rsidRPr="008C2070">
        <w:rPr>
          <w:rFonts w:ascii="Times New Roman" w:hAnsi="Times New Roman" w:cs="Times New Roman"/>
          <w:sz w:val="24"/>
          <w:szCs w:val="24"/>
        </w:rPr>
        <w:t>de las grandes reformas constitucionales</w:t>
      </w:r>
      <w:r w:rsidR="00D01529" w:rsidRPr="008C2070">
        <w:rPr>
          <w:rFonts w:ascii="Times New Roman" w:hAnsi="Times New Roman" w:cs="Times New Roman"/>
          <w:sz w:val="24"/>
          <w:szCs w:val="24"/>
        </w:rPr>
        <w:t xml:space="preserve">. Esto se realizará </w:t>
      </w:r>
      <w:r w:rsidR="000F18D2" w:rsidRPr="008C2070">
        <w:rPr>
          <w:rFonts w:ascii="Times New Roman" w:hAnsi="Times New Roman" w:cs="Times New Roman"/>
          <w:sz w:val="24"/>
          <w:szCs w:val="24"/>
        </w:rPr>
        <w:t xml:space="preserve">para mostrar </w:t>
      </w:r>
      <w:r w:rsidR="00652A94" w:rsidRPr="008C2070">
        <w:rPr>
          <w:rFonts w:ascii="Times New Roman" w:hAnsi="Times New Roman" w:cs="Times New Roman"/>
          <w:sz w:val="24"/>
          <w:szCs w:val="24"/>
        </w:rPr>
        <w:t>lo</w:t>
      </w:r>
      <w:r w:rsidR="00B749F4" w:rsidRPr="008C2070">
        <w:rPr>
          <w:rFonts w:ascii="Times New Roman" w:hAnsi="Times New Roman" w:cs="Times New Roman"/>
          <w:sz w:val="24"/>
          <w:szCs w:val="24"/>
        </w:rPr>
        <w:t>s alcances y</w:t>
      </w:r>
      <w:r w:rsidR="00A70997" w:rsidRPr="008C2070">
        <w:rPr>
          <w:rFonts w:ascii="Times New Roman" w:hAnsi="Times New Roman" w:cs="Times New Roman"/>
          <w:sz w:val="24"/>
          <w:szCs w:val="24"/>
        </w:rPr>
        <w:t xml:space="preserve"> </w:t>
      </w:r>
      <w:r w:rsidR="00D01529" w:rsidRPr="008C2070">
        <w:rPr>
          <w:rFonts w:ascii="Times New Roman" w:hAnsi="Times New Roman" w:cs="Times New Roman"/>
          <w:sz w:val="24"/>
          <w:szCs w:val="24"/>
        </w:rPr>
        <w:t>el papel que desempeñan las interpretaciones en el ordenamiento jurídico y para los jueces inferiores</w:t>
      </w:r>
      <w:r w:rsidR="00652A94" w:rsidRPr="008C2070">
        <w:rPr>
          <w:rFonts w:ascii="Times New Roman" w:hAnsi="Times New Roman" w:cs="Times New Roman"/>
          <w:sz w:val="24"/>
          <w:szCs w:val="24"/>
        </w:rPr>
        <w:t>. Finalmente, se i</w:t>
      </w:r>
      <w:r w:rsidR="000F18D2" w:rsidRPr="008C2070">
        <w:rPr>
          <w:rFonts w:ascii="Times New Roman" w:hAnsi="Times New Roman" w:cs="Times New Roman"/>
          <w:sz w:val="24"/>
          <w:szCs w:val="24"/>
        </w:rPr>
        <w:t>dentificar</w:t>
      </w:r>
      <w:r w:rsidR="00652A94" w:rsidRPr="008C2070">
        <w:rPr>
          <w:rFonts w:ascii="Times New Roman" w:hAnsi="Times New Roman" w:cs="Times New Roman"/>
          <w:sz w:val="24"/>
          <w:szCs w:val="24"/>
        </w:rPr>
        <w:t>án</w:t>
      </w:r>
      <w:r w:rsidR="000F18D2" w:rsidRPr="008C2070">
        <w:rPr>
          <w:rFonts w:ascii="Times New Roman" w:hAnsi="Times New Roman" w:cs="Times New Roman"/>
          <w:sz w:val="24"/>
          <w:szCs w:val="24"/>
        </w:rPr>
        <w:t xml:space="preserve"> los </w:t>
      </w:r>
      <w:r w:rsidR="000A3156" w:rsidRPr="008C2070">
        <w:rPr>
          <w:rFonts w:ascii="Times New Roman" w:hAnsi="Times New Roman" w:cs="Times New Roman"/>
          <w:sz w:val="24"/>
          <w:szCs w:val="24"/>
        </w:rPr>
        <w:t>desafíos</w:t>
      </w:r>
      <w:r w:rsidR="000F18D2" w:rsidRPr="008C2070">
        <w:rPr>
          <w:rFonts w:ascii="Times New Roman" w:hAnsi="Times New Roman" w:cs="Times New Roman"/>
          <w:sz w:val="24"/>
          <w:szCs w:val="24"/>
        </w:rPr>
        <w:t xml:space="preserve"> </w:t>
      </w:r>
      <w:r w:rsidR="000A3156" w:rsidRPr="008C2070">
        <w:rPr>
          <w:rFonts w:ascii="Times New Roman" w:hAnsi="Times New Roman" w:cs="Times New Roman"/>
          <w:sz w:val="24"/>
          <w:szCs w:val="24"/>
        </w:rPr>
        <w:t xml:space="preserve">a los </w:t>
      </w:r>
      <w:r w:rsidR="000F18D2" w:rsidRPr="008C2070">
        <w:rPr>
          <w:rFonts w:ascii="Times New Roman" w:hAnsi="Times New Roman" w:cs="Times New Roman"/>
          <w:sz w:val="24"/>
          <w:szCs w:val="24"/>
        </w:rPr>
        <w:t xml:space="preserve">que los órganos jurisdiccionales </w:t>
      </w:r>
      <w:r w:rsidR="000A3156" w:rsidRPr="008C2070">
        <w:rPr>
          <w:rFonts w:ascii="Times New Roman" w:hAnsi="Times New Roman" w:cs="Times New Roman"/>
          <w:sz w:val="24"/>
          <w:szCs w:val="24"/>
        </w:rPr>
        <w:t>y el</w:t>
      </w:r>
      <w:r w:rsidR="000F18D2" w:rsidRPr="008C2070">
        <w:rPr>
          <w:rFonts w:ascii="Times New Roman" w:hAnsi="Times New Roman" w:cs="Times New Roman"/>
          <w:sz w:val="24"/>
          <w:szCs w:val="24"/>
        </w:rPr>
        <w:t xml:space="preserve"> tribunal constitucional </w:t>
      </w:r>
      <w:r w:rsidR="000A3156" w:rsidRPr="008C2070">
        <w:rPr>
          <w:rFonts w:ascii="Times New Roman" w:hAnsi="Times New Roman" w:cs="Times New Roman"/>
          <w:sz w:val="24"/>
          <w:szCs w:val="24"/>
        </w:rPr>
        <w:t xml:space="preserve">se </w:t>
      </w:r>
      <w:r w:rsidR="000F18D2" w:rsidRPr="008C2070">
        <w:rPr>
          <w:rFonts w:ascii="Times New Roman" w:hAnsi="Times New Roman" w:cs="Times New Roman"/>
          <w:sz w:val="24"/>
          <w:szCs w:val="24"/>
        </w:rPr>
        <w:t xml:space="preserve">enfrentan </w:t>
      </w:r>
      <w:r w:rsidR="00652A94" w:rsidRPr="008C2070">
        <w:rPr>
          <w:rFonts w:ascii="Times New Roman" w:hAnsi="Times New Roman" w:cs="Times New Roman"/>
          <w:sz w:val="24"/>
          <w:szCs w:val="24"/>
        </w:rPr>
        <w:t xml:space="preserve">en materia interpretativa de este derecho </w:t>
      </w:r>
      <w:r w:rsidR="000F18D2" w:rsidRPr="008C2070">
        <w:rPr>
          <w:rFonts w:ascii="Times New Roman" w:hAnsi="Times New Roman" w:cs="Times New Roman"/>
          <w:sz w:val="24"/>
          <w:szCs w:val="24"/>
        </w:rPr>
        <w:t xml:space="preserve">en un entorno en el que la prestación de servicios de salud y los retos sanitarios hacen de difícil cumplimiento sus </w:t>
      </w:r>
      <w:r w:rsidR="00425C7A" w:rsidRPr="008C2070">
        <w:rPr>
          <w:rFonts w:ascii="Times New Roman" w:hAnsi="Times New Roman" w:cs="Times New Roman"/>
          <w:sz w:val="24"/>
          <w:szCs w:val="24"/>
        </w:rPr>
        <w:t xml:space="preserve">sentencias </w:t>
      </w:r>
      <w:r w:rsidR="000F18D2" w:rsidRPr="008C2070">
        <w:rPr>
          <w:rFonts w:ascii="Times New Roman" w:hAnsi="Times New Roman" w:cs="Times New Roman"/>
          <w:sz w:val="24"/>
          <w:szCs w:val="24"/>
        </w:rPr>
        <w:t xml:space="preserve">por parte de los integrantes del Sistema Nacional de Salud. </w:t>
      </w:r>
    </w:p>
    <w:p w14:paraId="6ADD9D3B" w14:textId="053DDF41" w:rsidR="008221FC" w:rsidRPr="00F60289" w:rsidRDefault="00F60289" w:rsidP="00F60289">
      <w:pPr>
        <w:spacing w:beforeLines="120" w:before="288" w:afterLines="120" w:after="288" w:line="276" w:lineRule="auto"/>
        <w:jc w:val="both"/>
        <w:rPr>
          <w:rFonts w:ascii="Times New Roman" w:hAnsi="Times New Roman" w:cs="Times New Roman"/>
          <w:b/>
          <w:bCs/>
          <w:sz w:val="24"/>
          <w:szCs w:val="24"/>
        </w:rPr>
      </w:pPr>
      <w:r w:rsidRPr="00F60289">
        <w:rPr>
          <w:rFonts w:ascii="Times New Roman" w:hAnsi="Times New Roman" w:cs="Times New Roman"/>
          <w:b/>
          <w:bCs/>
          <w:sz w:val="24"/>
          <w:szCs w:val="24"/>
        </w:rPr>
        <w:t xml:space="preserve">2. </w:t>
      </w:r>
      <w:r w:rsidR="0020197E" w:rsidRPr="00F60289">
        <w:rPr>
          <w:rFonts w:ascii="Times New Roman" w:hAnsi="Times New Roman" w:cs="Times New Roman"/>
          <w:b/>
          <w:bCs/>
          <w:sz w:val="24"/>
          <w:szCs w:val="24"/>
        </w:rPr>
        <w:t>L</w:t>
      </w:r>
      <w:r w:rsidR="003573C5" w:rsidRPr="00F60289">
        <w:rPr>
          <w:rFonts w:ascii="Times New Roman" w:hAnsi="Times New Roman" w:cs="Times New Roman"/>
          <w:b/>
          <w:bCs/>
          <w:sz w:val="24"/>
          <w:szCs w:val="24"/>
        </w:rPr>
        <w:t>a</w:t>
      </w:r>
      <w:r w:rsidR="00961378" w:rsidRPr="00F60289">
        <w:rPr>
          <w:rFonts w:ascii="Times New Roman" w:hAnsi="Times New Roman" w:cs="Times New Roman"/>
          <w:b/>
          <w:bCs/>
          <w:sz w:val="24"/>
          <w:szCs w:val="24"/>
        </w:rPr>
        <w:t xml:space="preserve"> función de la</w:t>
      </w:r>
      <w:r w:rsidR="003573C5" w:rsidRPr="00F60289">
        <w:rPr>
          <w:rFonts w:ascii="Times New Roman" w:hAnsi="Times New Roman" w:cs="Times New Roman"/>
          <w:b/>
          <w:bCs/>
          <w:sz w:val="24"/>
          <w:szCs w:val="24"/>
        </w:rPr>
        <w:t xml:space="preserve"> jurisprudencia</w:t>
      </w:r>
      <w:r w:rsidR="0020197E" w:rsidRPr="00F60289">
        <w:rPr>
          <w:rFonts w:ascii="Times New Roman" w:hAnsi="Times New Roman" w:cs="Times New Roman"/>
          <w:b/>
          <w:bCs/>
          <w:sz w:val="24"/>
          <w:szCs w:val="24"/>
        </w:rPr>
        <w:t xml:space="preserve"> </w:t>
      </w:r>
      <w:r w:rsidR="00961378" w:rsidRPr="00F60289">
        <w:rPr>
          <w:rFonts w:ascii="Times New Roman" w:hAnsi="Times New Roman" w:cs="Times New Roman"/>
          <w:b/>
          <w:bCs/>
          <w:sz w:val="24"/>
          <w:szCs w:val="24"/>
        </w:rPr>
        <w:t xml:space="preserve">mexicana </w:t>
      </w:r>
      <w:r w:rsidR="0020197E" w:rsidRPr="00F60289">
        <w:rPr>
          <w:rFonts w:ascii="Times New Roman" w:hAnsi="Times New Roman" w:cs="Times New Roman"/>
          <w:b/>
          <w:bCs/>
          <w:sz w:val="24"/>
          <w:szCs w:val="24"/>
        </w:rPr>
        <w:t>en casos de salud</w:t>
      </w:r>
    </w:p>
    <w:p w14:paraId="06361868" w14:textId="60A9E4AD" w:rsidR="00FF0FF1" w:rsidRPr="008C2070" w:rsidRDefault="00050E39"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La jurisprudencia, p</w:t>
      </w:r>
      <w:r w:rsidR="00F46E08" w:rsidRPr="008C2070">
        <w:rPr>
          <w:rFonts w:ascii="Times New Roman" w:hAnsi="Times New Roman" w:cs="Times New Roman"/>
          <w:sz w:val="24"/>
          <w:szCs w:val="24"/>
        </w:rPr>
        <w:t xml:space="preserve">or </w:t>
      </w:r>
      <w:r w:rsidR="00ED2BAE" w:rsidRPr="008C2070">
        <w:rPr>
          <w:rFonts w:ascii="Times New Roman" w:hAnsi="Times New Roman" w:cs="Times New Roman"/>
          <w:sz w:val="24"/>
          <w:szCs w:val="24"/>
        </w:rPr>
        <w:t xml:space="preserve">ser una interpretación </w:t>
      </w:r>
      <w:r w:rsidR="00F46E08" w:rsidRPr="008C2070">
        <w:rPr>
          <w:rFonts w:ascii="Times New Roman" w:hAnsi="Times New Roman" w:cs="Times New Roman"/>
          <w:sz w:val="24"/>
          <w:szCs w:val="24"/>
        </w:rPr>
        <w:t>del contenido de la Constitución y de las normas generales</w:t>
      </w:r>
      <w:r w:rsidRPr="008C2070">
        <w:rPr>
          <w:rFonts w:ascii="Times New Roman" w:hAnsi="Times New Roman" w:cs="Times New Roman"/>
          <w:sz w:val="24"/>
          <w:szCs w:val="24"/>
        </w:rPr>
        <w:t>,</w:t>
      </w:r>
      <w:r w:rsidR="002127FD" w:rsidRPr="008C2070">
        <w:rPr>
          <w:rFonts w:ascii="Times New Roman" w:hAnsi="Times New Roman" w:cs="Times New Roman"/>
          <w:sz w:val="24"/>
          <w:szCs w:val="24"/>
        </w:rPr>
        <w:t xml:space="preserve"> </w:t>
      </w:r>
      <w:r w:rsidR="00F46E08" w:rsidRPr="008C2070">
        <w:rPr>
          <w:rFonts w:ascii="Times New Roman" w:hAnsi="Times New Roman" w:cs="Times New Roman"/>
          <w:sz w:val="24"/>
          <w:szCs w:val="24"/>
        </w:rPr>
        <w:t xml:space="preserve">es uno de los métodos idóneos para estudiar la evolución interpretativa de los derechos realizada por </w:t>
      </w:r>
      <w:r w:rsidR="002127FD" w:rsidRPr="008C2070">
        <w:rPr>
          <w:rFonts w:ascii="Times New Roman" w:hAnsi="Times New Roman" w:cs="Times New Roman"/>
          <w:sz w:val="24"/>
          <w:szCs w:val="24"/>
        </w:rPr>
        <w:t>el máximo tribunal y por aquellos</w:t>
      </w:r>
      <w:r w:rsidR="00326F26" w:rsidRPr="008C2070">
        <w:rPr>
          <w:rFonts w:ascii="Times New Roman" w:hAnsi="Times New Roman" w:cs="Times New Roman"/>
          <w:sz w:val="24"/>
          <w:szCs w:val="24"/>
        </w:rPr>
        <w:t xml:space="preserve"> otros órganos jurisdiccionales</w:t>
      </w:r>
      <w:r w:rsidR="002127FD" w:rsidRPr="008C2070">
        <w:rPr>
          <w:rFonts w:ascii="Times New Roman" w:hAnsi="Times New Roman" w:cs="Times New Roman"/>
          <w:sz w:val="24"/>
          <w:szCs w:val="24"/>
        </w:rPr>
        <w:t xml:space="preserve"> facultados</w:t>
      </w:r>
      <w:r w:rsidRPr="008C2070">
        <w:rPr>
          <w:rFonts w:ascii="Times New Roman" w:hAnsi="Times New Roman" w:cs="Times New Roman"/>
          <w:sz w:val="24"/>
          <w:szCs w:val="24"/>
        </w:rPr>
        <w:t xml:space="preserve"> para ello</w:t>
      </w:r>
      <w:r w:rsidR="002127FD" w:rsidRPr="008C2070">
        <w:rPr>
          <w:rFonts w:ascii="Times New Roman" w:hAnsi="Times New Roman" w:cs="Times New Roman"/>
          <w:sz w:val="24"/>
          <w:szCs w:val="24"/>
        </w:rPr>
        <w:t>.</w:t>
      </w:r>
      <w:r w:rsidRPr="008C2070">
        <w:rPr>
          <w:rFonts w:ascii="Times New Roman" w:hAnsi="Times New Roman" w:cs="Times New Roman"/>
          <w:sz w:val="24"/>
          <w:szCs w:val="24"/>
        </w:rPr>
        <w:t xml:space="preserve"> Asimismo, al ser esta una fuente del derecho derivada del </w:t>
      </w:r>
      <w:r w:rsidR="00747F8F" w:rsidRPr="008C2070">
        <w:rPr>
          <w:rFonts w:ascii="Times New Roman" w:hAnsi="Times New Roman" w:cs="Times New Roman"/>
          <w:sz w:val="24"/>
          <w:szCs w:val="24"/>
        </w:rPr>
        <w:t xml:space="preserve">análisis y decisión de casos de conocimiento por los órganos </w:t>
      </w:r>
      <w:r w:rsidR="00FF0FF1" w:rsidRPr="008C2070">
        <w:rPr>
          <w:rFonts w:ascii="Times New Roman" w:hAnsi="Times New Roman" w:cs="Times New Roman"/>
          <w:sz w:val="24"/>
          <w:szCs w:val="24"/>
        </w:rPr>
        <w:t>jurisdiccionales</w:t>
      </w:r>
      <w:r w:rsidR="00747F8F" w:rsidRPr="008C2070">
        <w:rPr>
          <w:rFonts w:ascii="Times New Roman" w:hAnsi="Times New Roman" w:cs="Times New Roman"/>
          <w:sz w:val="24"/>
          <w:szCs w:val="24"/>
        </w:rPr>
        <w:t xml:space="preserve"> refleja la racionalidad judicial de la persona juzgadora</w:t>
      </w:r>
      <w:r w:rsidR="00BE28F1" w:rsidRPr="008C2070">
        <w:rPr>
          <w:rFonts w:ascii="Times New Roman" w:hAnsi="Times New Roman" w:cs="Times New Roman"/>
          <w:sz w:val="24"/>
          <w:szCs w:val="24"/>
        </w:rPr>
        <w:t xml:space="preserve"> y de las razones jurídicas [o no] que le llevan a tomar una cierta postura frente a un</w:t>
      </w:r>
      <w:r w:rsidR="00FF0FF1" w:rsidRPr="008C2070">
        <w:rPr>
          <w:rFonts w:ascii="Times New Roman" w:hAnsi="Times New Roman" w:cs="Times New Roman"/>
          <w:sz w:val="24"/>
          <w:szCs w:val="24"/>
        </w:rPr>
        <w:t xml:space="preserve"> ordenamiento que requiere ser interpretado en función de las características del caso.</w:t>
      </w:r>
    </w:p>
    <w:p w14:paraId="1DDB7991" w14:textId="2C91B09A" w:rsidR="000D16FE" w:rsidRPr="008C2070" w:rsidRDefault="001C1950"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En M</w:t>
      </w:r>
      <w:r w:rsidR="00BC131B" w:rsidRPr="008C2070">
        <w:rPr>
          <w:rFonts w:ascii="Times New Roman" w:hAnsi="Times New Roman" w:cs="Times New Roman"/>
          <w:sz w:val="24"/>
          <w:szCs w:val="24"/>
        </w:rPr>
        <w:t>éxico</w:t>
      </w:r>
      <w:r w:rsidR="002127FD" w:rsidRPr="008C2070">
        <w:rPr>
          <w:rFonts w:ascii="Times New Roman" w:hAnsi="Times New Roman" w:cs="Times New Roman"/>
          <w:sz w:val="24"/>
          <w:szCs w:val="24"/>
        </w:rPr>
        <w:t>,</w:t>
      </w:r>
      <w:r w:rsidR="00BC131B" w:rsidRPr="008C2070">
        <w:rPr>
          <w:rFonts w:ascii="Times New Roman" w:hAnsi="Times New Roman" w:cs="Times New Roman"/>
          <w:sz w:val="24"/>
          <w:szCs w:val="24"/>
        </w:rPr>
        <w:t xml:space="preserve"> la jurisprudencia puede definirse como l</w:t>
      </w:r>
      <w:r w:rsidR="00645034" w:rsidRPr="008C2070">
        <w:rPr>
          <w:rFonts w:ascii="Times New Roman" w:hAnsi="Times New Roman" w:cs="Times New Roman"/>
          <w:sz w:val="24"/>
          <w:szCs w:val="24"/>
        </w:rPr>
        <w:t xml:space="preserve">as interpretaciones obligatorias de la </w:t>
      </w:r>
      <w:r w:rsidR="008A5869" w:rsidRPr="008C2070">
        <w:rPr>
          <w:rFonts w:ascii="Times New Roman" w:hAnsi="Times New Roman" w:cs="Times New Roman"/>
          <w:sz w:val="24"/>
          <w:szCs w:val="24"/>
        </w:rPr>
        <w:t xml:space="preserve">Constitución y las normas generales </w:t>
      </w:r>
      <w:r w:rsidR="00645034" w:rsidRPr="008C2070">
        <w:rPr>
          <w:rFonts w:ascii="Times New Roman" w:hAnsi="Times New Roman" w:cs="Times New Roman"/>
          <w:sz w:val="24"/>
          <w:szCs w:val="24"/>
        </w:rPr>
        <w:t xml:space="preserve">realizadas </w:t>
      </w:r>
      <w:r w:rsidRPr="008C2070">
        <w:rPr>
          <w:rFonts w:ascii="Times New Roman" w:hAnsi="Times New Roman" w:cs="Times New Roman"/>
          <w:sz w:val="24"/>
          <w:szCs w:val="24"/>
        </w:rPr>
        <w:t xml:space="preserve">en virtud del análisis y resolución de un caso </w:t>
      </w:r>
      <w:r w:rsidR="00AA4DDA" w:rsidRPr="008C2070">
        <w:rPr>
          <w:rFonts w:ascii="Times New Roman" w:hAnsi="Times New Roman" w:cs="Times New Roman"/>
          <w:sz w:val="24"/>
          <w:szCs w:val="24"/>
        </w:rPr>
        <w:t xml:space="preserve">o casos </w:t>
      </w:r>
      <w:r w:rsidR="00645034" w:rsidRPr="008C2070">
        <w:rPr>
          <w:rFonts w:ascii="Times New Roman" w:hAnsi="Times New Roman" w:cs="Times New Roman"/>
          <w:sz w:val="24"/>
          <w:szCs w:val="24"/>
        </w:rPr>
        <w:t>por</w:t>
      </w:r>
      <w:r w:rsidRPr="008C2070">
        <w:rPr>
          <w:rFonts w:ascii="Times New Roman" w:hAnsi="Times New Roman" w:cs="Times New Roman"/>
          <w:sz w:val="24"/>
          <w:szCs w:val="24"/>
        </w:rPr>
        <w:t xml:space="preserve"> determinados</w:t>
      </w:r>
      <w:r w:rsidR="00645034" w:rsidRPr="008C2070">
        <w:rPr>
          <w:rFonts w:ascii="Times New Roman" w:hAnsi="Times New Roman" w:cs="Times New Roman"/>
          <w:sz w:val="24"/>
          <w:szCs w:val="24"/>
        </w:rPr>
        <w:t xml:space="preserve"> tribunales</w:t>
      </w:r>
      <w:r w:rsidR="00AA4DDA" w:rsidRPr="008C2070">
        <w:rPr>
          <w:rFonts w:ascii="Times New Roman" w:hAnsi="Times New Roman" w:cs="Times New Roman"/>
          <w:sz w:val="24"/>
          <w:szCs w:val="24"/>
        </w:rPr>
        <w:t xml:space="preserve"> del Poder Judicial de la Federación</w:t>
      </w:r>
      <w:r w:rsidR="00BC131B" w:rsidRPr="008C2070">
        <w:rPr>
          <w:rFonts w:ascii="Times New Roman" w:hAnsi="Times New Roman" w:cs="Times New Roman"/>
          <w:sz w:val="24"/>
          <w:szCs w:val="24"/>
        </w:rPr>
        <w:t>.</w:t>
      </w:r>
      <w:r w:rsidR="006529F8" w:rsidRPr="008C2070">
        <w:rPr>
          <w:rStyle w:val="Refdenotaalpie"/>
          <w:rFonts w:ascii="Times New Roman" w:hAnsi="Times New Roman" w:cs="Times New Roman"/>
          <w:sz w:val="24"/>
          <w:szCs w:val="24"/>
        </w:rPr>
        <w:footnoteReference w:id="4"/>
      </w:r>
      <w:r w:rsidR="00B10104" w:rsidRPr="008C2070">
        <w:rPr>
          <w:rFonts w:ascii="Times New Roman" w:hAnsi="Times New Roman" w:cs="Times New Roman"/>
          <w:sz w:val="24"/>
          <w:szCs w:val="24"/>
        </w:rPr>
        <w:t xml:space="preserve"> </w:t>
      </w:r>
      <w:r w:rsidR="00046EBB" w:rsidRPr="008C2070">
        <w:rPr>
          <w:rFonts w:ascii="Times New Roman" w:hAnsi="Times New Roman" w:cs="Times New Roman"/>
          <w:sz w:val="24"/>
          <w:szCs w:val="24"/>
        </w:rPr>
        <w:t xml:space="preserve">Actualmente </w:t>
      </w:r>
      <w:r w:rsidR="006711D3" w:rsidRPr="008C2070">
        <w:rPr>
          <w:rFonts w:ascii="Times New Roman" w:hAnsi="Times New Roman" w:cs="Times New Roman"/>
          <w:sz w:val="24"/>
          <w:szCs w:val="24"/>
        </w:rPr>
        <w:t xml:space="preserve">la jurisprudencia </w:t>
      </w:r>
      <w:r w:rsidR="002127FD" w:rsidRPr="008C2070">
        <w:rPr>
          <w:rFonts w:ascii="Times New Roman" w:hAnsi="Times New Roman" w:cs="Times New Roman"/>
          <w:sz w:val="24"/>
          <w:szCs w:val="24"/>
        </w:rPr>
        <w:t xml:space="preserve">de observancia imperativa </w:t>
      </w:r>
      <w:r w:rsidR="001A4C2C" w:rsidRPr="008C2070">
        <w:rPr>
          <w:rFonts w:ascii="Times New Roman" w:hAnsi="Times New Roman" w:cs="Times New Roman"/>
          <w:sz w:val="24"/>
          <w:szCs w:val="24"/>
        </w:rPr>
        <w:t xml:space="preserve">puede establecerse por </w:t>
      </w:r>
      <w:r w:rsidR="00E44D7F" w:rsidRPr="008C2070">
        <w:rPr>
          <w:rFonts w:ascii="Times New Roman" w:hAnsi="Times New Roman" w:cs="Times New Roman"/>
          <w:sz w:val="24"/>
          <w:szCs w:val="24"/>
        </w:rPr>
        <w:t>precedentes obligatorios</w:t>
      </w:r>
      <w:r w:rsidR="001A4C2C" w:rsidRPr="008C2070">
        <w:rPr>
          <w:rFonts w:ascii="Times New Roman" w:hAnsi="Times New Roman" w:cs="Times New Roman"/>
          <w:sz w:val="24"/>
          <w:szCs w:val="24"/>
        </w:rPr>
        <w:t xml:space="preserve">, </w:t>
      </w:r>
      <w:r w:rsidR="00E44D7F" w:rsidRPr="008C2070">
        <w:rPr>
          <w:rFonts w:ascii="Times New Roman" w:hAnsi="Times New Roman" w:cs="Times New Roman"/>
          <w:sz w:val="24"/>
          <w:szCs w:val="24"/>
        </w:rPr>
        <w:t xml:space="preserve">reiteración y contradicción </w:t>
      </w:r>
      <w:r w:rsidR="001A4C2C" w:rsidRPr="008C2070">
        <w:rPr>
          <w:rFonts w:ascii="Times New Roman" w:hAnsi="Times New Roman" w:cs="Times New Roman"/>
          <w:sz w:val="24"/>
          <w:szCs w:val="24"/>
        </w:rPr>
        <w:t>de criterios</w:t>
      </w:r>
      <w:r w:rsidR="0094760A" w:rsidRPr="008C2070">
        <w:rPr>
          <w:rFonts w:ascii="Times New Roman" w:hAnsi="Times New Roman" w:cs="Times New Roman"/>
          <w:sz w:val="24"/>
          <w:szCs w:val="24"/>
        </w:rPr>
        <w:t>. La jurisprudencia por precedentes obligatorios</w:t>
      </w:r>
      <w:r w:rsidR="0020364B" w:rsidRPr="008C2070">
        <w:rPr>
          <w:rFonts w:ascii="Times New Roman" w:hAnsi="Times New Roman" w:cs="Times New Roman"/>
          <w:sz w:val="24"/>
          <w:szCs w:val="24"/>
        </w:rPr>
        <w:t xml:space="preserve"> la </w:t>
      </w:r>
      <w:r w:rsidR="001A4C2C" w:rsidRPr="008C2070">
        <w:rPr>
          <w:rFonts w:ascii="Times New Roman" w:hAnsi="Times New Roman" w:cs="Times New Roman"/>
          <w:sz w:val="24"/>
          <w:szCs w:val="24"/>
        </w:rPr>
        <w:t xml:space="preserve">puede </w:t>
      </w:r>
      <w:r w:rsidR="0094760A" w:rsidRPr="008C2070">
        <w:rPr>
          <w:rFonts w:ascii="Times New Roman" w:hAnsi="Times New Roman" w:cs="Times New Roman"/>
          <w:sz w:val="24"/>
          <w:szCs w:val="24"/>
        </w:rPr>
        <w:t>crear la</w:t>
      </w:r>
      <w:r w:rsidR="00F017EE" w:rsidRPr="008C2070">
        <w:rPr>
          <w:rFonts w:ascii="Times New Roman" w:hAnsi="Times New Roman" w:cs="Times New Roman"/>
          <w:sz w:val="24"/>
          <w:szCs w:val="24"/>
        </w:rPr>
        <w:t xml:space="preserve"> </w:t>
      </w:r>
      <w:r w:rsidR="00821276" w:rsidRPr="008C2070">
        <w:rPr>
          <w:rFonts w:ascii="Times New Roman" w:hAnsi="Times New Roman" w:cs="Times New Roman"/>
          <w:sz w:val="24"/>
          <w:szCs w:val="24"/>
        </w:rPr>
        <w:t xml:space="preserve">SCJN </w:t>
      </w:r>
      <w:r w:rsidR="005535BD" w:rsidRPr="008C2070">
        <w:rPr>
          <w:rFonts w:ascii="Times New Roman" w:hAnsi="Times New Roman" w:cs="Times New Roman"/>
          <w:sz w:val="24"/>
          <w:szCs w:val="24"/>
        </w:rPr>
        <w:t>en pleno y salas</w:t>
      </w:r>
      <w:r w:rsidR="0094760A" w:rsidRPr="008C2070">
        <w:rPr>
          <w:rFonts w:ascii="Times New Roman" w:hAnsi="Times New Roman" w:cs="Times New Roman"/>
          <w:sz w:val="24"/>
          <w:szCs w:val="24"/>
        </w:rPr>
        <w:t xml:space="preserve">. La jurisprudencia por reiteración la establecen </w:t>
      </w:r>
      <w:r w:rsidR="0020364B" w:rsidRPr="008C2070">
        <w:rPr>
          <w:rFonts w:ascii="Times New Roman" w:hAnsi="Times New Roman" w:cs="Times New Roman"/>
          <w:sz w:val="24"/>
          <w:szCs w:val="24"/>
        </w:rPr>
        <w:t>los tribunales colegiados de circuito</w:t>
      </w:r>
      <w:r w:rsidR="0002557F" w:rsidRPr="008C2070">
        <w:rPr>
          <w:rFonts w:ascii="Times New Roman" w:hAnsi="Times New Roman" w:cs="Times New Roman"/>
          <w:sz w:val="24"/>
          <w:szCs w:val="24"/>
        </w:rPr>
        <w:t>;</w:t>
      </w:r>
      <w:r w:rsidR="0020364B" w:rsidRPr="008C2070">
        <w:rPr>
          <w:rFonts w:ascii="Times New Roman" w:hAnsi="Times New Roman" w:cs="Times New Roman"/>
          <w:sz w:val="24"/>
          <w:szCs w:val="24"/>
        </w:rPr>
        <w:t xml:space="preserve"> y</w:t>
      </w:r>
      <w:r w:rsidR="0002557F" w:rsidRPr="008C2070">
        <w:rPr>
          <w:rFonts w:ascii="Times New Roman" w:hAnsi="Times New Roman" w:cs="Times New Roman"/>
          <w:sz w:val="24"/>
          <w:szCs w:val="24"/>
        </w:rPr>
        <w:t>,</w:t>
      </w:r>
      <w:r w:rsidR="004127EE" w:rsidRPr="008C2070">
        <w:rPr>
          <w:rFonts w:ascii="Times New Roman" w:hAnsi="Times New Roman" w:cs="Times New Roman"/>
          <w:sz w:val="24"/>
          <w:szCs w:val="24"/>
        </w:rPr>
        <w:t xml:space="preserve"> </w:t>
      </w:r>
      <w:r w:rsidR="0094760A" w:rsidRPr="008C2070">
        <w:rPr>
          <w:rFonts w:ascii="Times New Roman" w:hAnsi="Times New Roman" w:cs="Times New Roman"/>
          <w:sz w:val="24"/>
          <w:szCs w:val="24"/>
        </w:rPr>
        <w:t xml:space="preserve">la jurisprudencia por contradicción de criterios </w:t>
      </w:r>
      <w:r w:rsidR="004127EE" w:rsidRPr="008C2070">
        <w:rPr>
          <w:rFonts w:ascii="Times New Roman" w:hAnsi="Times New Roman" w:cs="Times New Roman"/>
          <w:sz w:val="24"/>
          <w:szCs w:val="24"/>
        </w:rPr>
        <w:t xml:space="preserve">la SCJN en pleno y salas; </w:t>
      </w:r>
      <w:r w:rsidR="0094760A" w:rsidRPr="008C2070">
        <w:rPr>
          <w:rFonts w:ascii="Times New Roman" w:hAnsi="Times New Roman" w:cs="Times New Roman"/>
          <w:sz w:val="24"/>
          <w:szCs w:val="24"/>
        </w:rPr>
        <w:t xml:space="preserve">y, </w:t>
      </w:r>
      <w:r w:rsidR="0020364B" w:rsidRPr="008C2070">
        <w:rPr>
          <w:rFonts w:ascii="Times New Roman" w:hAnsi="Times New Roman" w:cs="Times New Roman"/>
          <w:sz w:val="24"/>
          <w:szCs w:val="24"/>
        </w:rPr>
        <w:t>los plenos regionales</w:t>
      </w:r>
      <w:r w:rsidR="001A4C2C" w:rsidRPr="008C2070">
        <w:rPr>
          <w:rFonts w:ascii="Times New Roman" w:hAnsi="Times New Roman" w:cs="Times New Roman"/>
          <w:sz w:val="24"/>
          <w:szCs w:val="24"/>
        </w:rPr>
        <w:t>.</w:t>
      </w:r>
      <w:r w:rsidR="004127EE" w:rsidRPr="008C2070">
        <w:rPr>
          <w:rStyle w:val="Refdenotaalpie"/>
          <w:rFonts w:ascii="Times New Roman" w:hAnsi="Times New Roman" w:cs="Times New Roman"/>
          <w:sz w:val="24"/>
          <w:szCs w:val="24"/>
        </w:rPr>
        <w:footnoteReference w:id="5"/>
      </w:r>
      <w:r w:rsidR="001A4C2C" w:rsidRPr="008C2070">
        <w:rPr>
          <w:rFonts w:ascii="Times New Roman" w:hAnsi="Times New Roman" w:cs="Times New Roman"/>
          <w:sz w:val="24"/>
          <w:szCs w:val="24"/>
        </w:rPr>
        <w:t xml:space="preserve"> De manera adicional a la jurisprudencia obligatoria</w:t>
      </w:r>
      <w:r w:rsidR="001E04D0" w:rsidRPr="008C2070">
        <w:rPr>
          <w:rFonts w:ascii="Times New Roman" w:hAnsi="Times New Roman" w:cs="Times New Roman"/>
          <w:sz w:val="24"/>
          <w:szCs w:val="24"/>
        </w:rPr>
        <w:t>,</w:t>
      </w:r>
      <w:r w:rsidR="001A4C2C" w:rsidRPr="008C2070">
        <w:rPr>
          <w:rFonts w:ascii="Times New Roman" w:hAnsi="Times New Roman" w:cs="Times New Roman"/>
          <w:sz w:val="24"/>
          <w:szCs w:val="24"/>
        </w:rPr>
        <w:t xml:space="preserve"> </w:t>
      </w:r>
      <w:r w:rsidR="0020364B" w:rsidRPr="008C2070">
        <w:rPr>
          <w:rFonts w:ascii="Times New Roman" w:hAnsi="Times New Roman" w:cs="Times New Roman"/>
          <w:sz w:val="24"/>
          <w:szCs w:val="24"/>
        </w:rPr>
        <w:t xml:space="preserve">existen otro tipo de interpretaciones que solamente tienen un carácter orientador </w:t>
      </w:r>
      <w:r w:rsidR="0020364B" w:rsidRPr="008C2070">
        <w:rPr>
          <w:rFonts w:ascii="Times New Roman" w:hAnsi="Times New Roman" w:cs="Times New Roman"/>
          <w:sz w:val="24"/>
          <w:szCs w:val="24"/>
        </w:rPr>
        <w:lastRenderedPageBreak/>
        <w:t>llamadas tesis aisladas.</w:t>
      </w:r>
      <w:r w:rsidR="001A4C2C" w:rsidRPr="008C2070">
        <w:rPr>
          <w:rStyle w:val="Refdenotaalpie"/>
          <w:rFonts w:ascii="Times New Roman" w:hAnsi="Times New Roman" w:cs="Times New Roman"/>
          <w:sz w:val="24"/>
          <w:szCs w:val="24"/>
        </w:rPr>
        <w:footnoteReference w:id="6"/>
      </w:r>
      <w:r w:rsidR="0020364B" w:rsidRPr="008C2070">
        <w:rPr>
          <w:rFonts w:ascii="Times New Roman" w:hAnsi="Times New Roman" w:cs="Times New Roman"/>
          <w:sz w:val="24"/>
          <w:szCs w:val="24"/>
        </w:rPr>
        <w:t xml:space="preserve"> </w:t>
      </w:r>
      <w:r w:rsidR="00943116" w:rsidRPr="008C2070">
        <w:rPr>
          <w:rFonts w:ascii="Times New Roman" w:hAnsi="Times New Roman" w:cs="Times New Roman"/>
          <w:sz w:val="24"/>
          <w:szCs w:val="24"/>
        </w:rPr>
        <w:t>Las tesis aisladas</w:t>
      </w:r>
      <w:r w:rsidR="001E04D0" w:rsidRPr="008C2070">
        <w:rPr>
          <w:rFonts w:ascii="Times New Roman" w:hAnsi="Times New Roman" w:cs="Times New Roman"/>
          <w:sz w:val="24"/>
          <w:szCs w:val="24"/>
        </w:rPr>
        <w:t>,</w:t>
      </w:r>
      <w:r w:rsidR="00943116" w:rsidRPr="008C2070">
        <w:rPr>
          <w:rFonts w:ascii="Times New Roman" w:hAnsi="Times New Roman" w:cs="Times New Roman"/>
          <w:sz w:val="24"/>
          <w:szCs w:val="24"/>
        </w:rPr>
        <w:t xml:space="preserve"> si bien no son obligatori</w:t>
      </w:r>
      <w:r w:rsidR="00A35D14" w:rsidRPr="008C2070">
        <w:rPr>
          <w:rFonts w:ascii="Times New Roman" w:hAnsi="Times New Roman" w:cs="Times New Roman"/>
          <w:sz w:val="24"/>
          <w:szCs w:val="24"/>
        </w:rPr>
        <w:t>a</w:t>
      </w:r>
      <w:r w:rsidR="00943116" w:rsidRPr="008C2070">
        <w:rPr>
          <w:rFonts w:ascii="Times New Roman" w:hAnsi="Times New Roman" w:cs="Times New Roman"/>
          <w:sz w:val="24"/>
          <w:szCs w:val="24"/>
        </w:rPr>
        <w:t>s</w:t>
      </w:r>
      <w:r w:rsidR="001E04D0" w:rsidRPr="008C2070">
        <w:rPr>
          <w:rFonts w:ascii="Times New Roman" w:hAnsi="Times New Roman" w:cs="Times New Roman"/>
          <w:sz w:val="24"/>
          <w:szCs w:val="24"/>
        </w:rPr>
        <w:t>,</w:t>
      </w:r>
      <w:r w:rsidR="00943116" w:rsidRPr="008C2070">
        <w:rPr>
          <w:rFonts w:ascii="Times New Roman" w:hAnsi="Times New Roman" w:cs="Times New Roman"/>
          <w:sz w:val="24"/>
          <w:szCs w:val="24"/>
        </w:rPr>
        <w:t xml:space="preserve"> pueden utilizarse por los tribunales para justificar sus criterios. </w:t>
      </w:r>
      <w:r w:rsidR="00943116" w:rsidRPr="008C2070">
        <w:rPr>
          <w:rStyle w:val="Refdenotaalpie"/>
          <w:rFonts w:ascii="Times New Roman" w:hAnsi="Times New Roman" w:cs="Times New Roman"/>
          <w:sz w:val="24"/>
          <w:szCs w:val="24"/>
        </w:rPr>
        <w:footnoteReference w:id="7"/>
      </w:r>
      <w:r w:rsidR="00164B9C" w:rsidRPr="008C2070">
        <w:rPr>
          <w:rFonts w:ascii="Times New Roman" w:hAnsi="Times New Roman" w:cs="Times New Roman"/>
          <w:sz w:val="24"/>
          <w:szCs w:val="24"/>
        </w:rPr>
        <w:t xml:space="preserve"> </w:t>
      </w:r>
      <w:r w:rsidR="00B10104" w:rsidRPr="008C2070">
        <w:rPr>
          <w:rFonts w:ascii="Times New Roman" w:hAnsi="Times New Roman" w:cs="Times New Roman"/>
          <w:sz w:val="24"/>
          <w:szCs w:val="24"/>
        </w:rPr>
        <w:t xml:space="preserve">Previo a la reforma constitucional de </w:t>
      </w:r>
      <w:r w:rsidR="000F508E" w:rsidRPr="008C2070">
        <w:rPr>
          <w:rFonts w:ascii="Times New Roman" w:hAnsi="Times New Roman" w:cs="Times New Roman"/>
          <w:sz w:val="24"/>
          <w:szCs w:val="24"/>
        </w:rPr>
        <w:t xml:space="preserve">junio de 2021, en la </w:t>
      </w:r>
      <w:r w:rsidR="00E97B14" w:rsidRPr="008C2070">
        <w:rPr>
          <w:rFonts w:ascii="Times New Roman" w:hAnsi="Times New Roman" w:cs="Times New Roman"/>
          <w:sz w:val="24"/>
          <w:szCs w:val="24"/>
        </w:rPr>
        <w:t>que,</w:t>
      </w:r>
      <w:r w:rsidR="000F508E" w:rsidRPr="008C2070">
        <w:rPr>
          <w:rFonts w:ascii="Times New Roman" w:hAnsi="Times New Roman" w:cs="Times New Roman"/>
          <w:sz w:val="24"/>
          <w:szCs w:val="24"/>
        </w:rPr>
        <w:t xml:space="preserve"> entre otras cosas, se </w:t>
      </w:r>
      <w:r w:rsidR="0081558B" w:rsidRPr="008C2070">
        <w:rPr>
          <w:rFonts w:ascii="Times New Roman" w:hAnsi="Times New Roman" w:cs="Times New Roman"/>
          <w:sz w:val="24"/>
          <w:szCs w:val="24"/>
        </w:rPr>
        <w:t xml:space="preserve">creó el nuevo sistema de precedentes y se modificaron los medios de integración de la jurisprudencia, </w:t>
      </w:r>
      <w:r w:rsidR="00552B43" w:rsidRPr="008C2070">
        <w:rPr>
          <w:rFonts w:ascii="Times New Roman" w:hAnsi="Times New Roman" w:cs="Times New Roman"/>
          <w:sz w:val="24"/>
          <w:szCs w:val="24"/>
        </w:rPr>
        <w:t xml:space="preserve">los medios para </w:t>
      </w:r>
      <w:r w:rsidR="00164B9C" w:rsidRPr="008C2070">
        <w:rPr>
          <w:rFonts w:ascii="Times New Roman" w:hAnsi="Times New Roman" w:cs="Times New Roman"/>
          <w:sz w:val="24"/>
          <w:szCs w:val="24"/>
        </w:rPr>
        <w:t xml:space="preserve">establecerla </w:t>
      </w:r>
      <w:r w:rsidR="00552B43" w:rsidRPr="008C2070">
        <w:rPr>
          <w:rFonts w:ascii="Times New Roman" w:hAnsi="Times New Roman" w:cs="Times New Roman"/>
          <w:sz w:val="24"/>
          <w:szCs w:val="24"/>
        </w:rPr>
        <w:t>no permit</w:t>
      </w:r>
      <w:r w:rsidR="00B54B95" w:rsidRPr="008C2070">
        <w:rPr>
          <w:rFonts w:ascii="Times New Roman" w:hAnsi="Times New Roman" w:cs="Times New Roman"/>
          <w:sz w:val="24"/>
          <w:szCs w:val="24"/>
        </w:rPr>
        <w:t>í</w:t>
      </w:r>
      <w:r w:rsidR="00552B43" w:rsidRPr="008C2070">
        <w:rPr>
          <w:rFonts w:ascii="Times New Roman" w:hAnsi="Times New Roman" w:cs="Times New Roman"/>
          <w:sz w:val="24"/>
          <w:szCs w:val="24"/>
        </w:rPr>
        <w:t>an que</w:t>
      </w:r>
      <w:r w:rsidR="00835D85" w:rsidRPr="008C2070">
        <w:rPr>
          <w:rFonts w:ascii="Times New Roman" w:hAnsi="Times New Roman" w:cs="Times New Roman"/>
          <w:sz w:val="24"/>
          <w:szCs w:val="24"/>
        </w:rPr>
        <w:t xml:space="preserve"> las razones contenidas en</w:t>
      </w:r>
      <w:r w:rsidR="00552B43" w:rsidRPr="008C2070">
        <w:rPr>
          <w:rFonts w:ascii="Times New Roman" w:hAnsi="Times New Roman" w:cs="Times New Roman"/>
          <w:sz w:val="24"/>
          <w:szCs w:val="24"/>
        </w:rPr>
        <w:t xml:space="preserve"> decisiones paradigmáticas fueran obligatorias para </w:t>
      </w:r>
      <w:r w:rsidR="00E5772F" w:rsidRPr="008C2070">
        <w:rPr>
          <w:rFonts w:ascii="Times New Roman" w:hAnsi="Times New Roman" w:cs="Times New Roman"/>
          <w:sz w:val="24"/>
          <w:szCs w:val="24"/>
        </w:rPr>
        <w:t xml:space="preserve">los órganos jurisdiccionales inferiores, so pena, </w:t>
      </w:r>
      <w:r w:rsidR="00A60F9D" w:rsidRPr="008C2070">
        <w:rPr>
          <w:rFonts w:ascii="Times New Roman" w:hAnsi="Times New Roman" w:cs="Times New Roman"/>
          <w:sz w:val="24"/>
          <w:szCs w:val="24"/>
        </w:rPr>
        <w:t xml:space="preserve">de </w:t>
      </w:r>
      <w:r w:rsidR="00E5772F" w:rsidRPr="008C2070">
        <w:rPr>
          <w:rFonts w:ascii="Times New Roman" w:hAnsi="Times New Roman" w:cs="Times New Roman"/>
          <w:sz w:val="24"/>
          <w:szCs w:val="24"/>
        </w:rPr>
        <w:t xml:space="preserve">que cumplieran con los requisitos </w:t>
      </w:r>
      <w:r w:rsidR="00164B9C" w:rsidRPr="008C2070">
        <w:rPr>
          <w:rFonts w:ascii="Times New Roman" w:hAnsi="Times New Roman" w:cs="Times New Roman"/>
          <w:sz w:val="24"/>
          <w:szCs w:val="24"/>
        </w:rPr>
        <w:t xml:space="preserve">para ser integrados como </w:t>
      </w:r>
      <w:r w:rsidR="00E5772F" w:rsidRPr="008C2070">
        <w:rPr>
          <w:rFonts w:ascii="Times New Roman" w:hAnsi="Times New Roman" w:cs="Times New Roman"/>
          <w:sz w:val="24"/>
          <w:szCs w:val="24"/>
        </w:rPr>
        <w:t>jurisprudencia.</w:t>
      </w:r>
      <w:r w:rsidR="009F0C8F" w:rsidRPr="008C2070">
        <w:rPr>
          <w:rStyle w:val="Refdenotaalpie"/>
          <w:rFonts w:ascii="Times New Roman" w:hAnsi="Times New Roman" w:cs="Times New Roman"/>
          <w:sz w:val="24"/>
          <w:szCs w:val="24"/>
        </w:rPr>
        <w:footnoteReference w:id="8"/>
      </w:r>
      <w:r w:rsidR="00E5772F" w:rsidRPr="008C2070">
        <w:rPr>
          <w:rFonts w:ascii="Times New Roman" w:hAnsi="Times New Roman" w:cs="Times New Roman"/>
          <w:sz w:val="24"/>
          <w:szCs w:val="24"/>
        </w:rPr>
        <w:t xml:space="preserve"> Por esta razón</w:t>
      </w:r>
      <w:r w:rsidR="00D82308" w:rsidRPr="008C2070">
        <w:rPr>
          <w:rFonts w:ascii="Times New Roman" w:hAnsi="Times New Roman" w:cs="Times New Roman"/>
          <w:sz w:val="24"/>
          <w:szCs w:val="24"/>
        </w:rPr>
        <w:t>,</w:t>
      </w:r>
      <w:r w:rsidR="00E5772F" w:rsidRPr="008C2070">
        <w:rPr>
          <w:rFonts w:ascii="Times New Roman" w:hAnsi="Times New Roman" w:cs="Times New Roman"/>
          <w:sz w:val="24"/>
          <w:szCs w:val="24"/>
        </w:rPr>
        <w:t xml:space="preserve"> y </w:t>
      </w:r>
      <w:r w:rsidR="005C6BBE" w:rsidRPr="008C2070">
        <w:rPr>
          <w:rFonts w:ascii="Times New Roman" w:hAnsi="Times New Roman" w:cs="Times New Roman"/>
          <w:sz w:val="24"/>
          <w:szCs w:val="24"/>
        </w:rPr>
        <w:t>derivado de la relativa imposibilidad</w:t>
      </w:r>
      <w:r w:rsidR="008937C9" w:rsidRPr="008C2070">
        <w:rPr>
          <w:rFonts w:ascii="Times New Roman" w:hAnsi="Times New Roman" w:cs="Times New Roman"/>
          <w:sz w:val="24"/>
          <w:szCs w:val="24"/>
        </w:rPr>
        <w:t xml:space="preserve"> que existe en ciertos temas de que distintos casos con identidad de hechos y resoluciones sean conocidos por la SCJN y los tribunales colegiados, se decidió </w:t>
      </w:r>
      <w:r w:rsidR="0081683D" w:rsidRPr="008C2070">
        <w:rPr>
          <w:rFonts w:ascii="Times New Roman" w:hAnsi="Times New Roman" w:cs="Times New Roman"/>
          <w:sz w:val="24"/>
          <w:szCs w:val="24"/>
        </w:rPr>
        <w:t>modificar la</w:t>
      </w:r>
      <w:r w:rsidR="00835D85" w:rsidRPr="008C2070">
        <w:rPr>
          <w:rFonts w:ascii="Times New Roman" w:hAnsi="Times New Roman" w:cs="Times New Roman"/>
          <w:sz w:val="24"/>
          <w:szCs w:val="24"/>
        </w:rPr>
        <w:t xml:space="preserve"> Constitución y la</w:t>
      </w:r>
      <w:r w:rsidR="0081683D" w:rsidRPr="008C2070">
        <w:rPr>
          <w:rFonts w:ascii="Times New Roman" w:hAnsi="Times New Roman" w:cs="Times New Roman"/>
          <w:sz w:val="24"/>
          <w:szCs w:val="24"/>
        </w:rPr>
        <w:t xml:space="preserve"> Ley de Amparo con la finalidad de que las razones que </w:t>
      </w:r>
      <w:r w:rsidR="00B83AC8" w:rsidRPr="008C2070">
        <w:rPr>
          <w:rFonts w:ascii="Times New Roman" w:hAnsi="Times New Roman" w:cs="Times New Roman"/>
          <w:sz w:val="24"/>
          <w:szCs w:val="24"/>
        </w:rPr>
        <w:t>justifi</w:t>
      </w:r>
      <w:r w:rsidR="00BC2B63" w:rsidRPr="008C2070">
        <w:rPr>
          <w:rFonts w:ascii="Times New Roman" w:hAnsi="Times New Roman" w:cs="Times New Roman"/>
          <w:sz w:val="24"/>
          <w:szCs w:val="24"/>
        </w:rPr>
        <w:t>ca</w:t>
      </w:r>
      <w:r w:rsidR="00B83AC8" w:rsidRPr="008C2070">
        <w:rPr>
          <w:rFonts w:ascii="Times New Roman" w:hAnsi="Times New Roman" w:cs="Times New Roman"/>
          <w:sz w:val="24"/>
          <w:szCs w:val="24"/>
        </w:rPr>
        <w:t>n</w:t>
      </w:r>
      <w:r w:rsidR="0081683D" w:rsidRPr="008C2070">
        <w:rPr>
          <w:rFonts w:ascii="Times New Roman" w:hAnsi="Times New Roman" w:cs="Times New Roman"/>
          <w:sz w:val="24"/>
          <w:szCs w:val="24"/>
        </w:rPr>
        <w:t xml:space="preserve"> las decisiones de las sentencias resueltas por el Pleno o Salas de la </w:t>
      </w:r>
      <w:r w:rsidR="00821276" w:rsidRPr="008C2070">
        <w:rPr>
          <w:rFonts w:ascii="Times New Roman" w:hAnsi="Times New Roman" w:cs="Times New Roman"/>
          <w:sz w:val="24"/>
          <w:szCs w:val="24"/>
        </w:rPr>
        <w:t xml:space="preserve">SCJN </w:t>
      </w:r>
      <w:r w:rsidR="00B83AC8" w:rsidRPr="008C2070">
        <w:rPr>
          <w:rFonts w:ascii="Times New Roman" w:hAnsi="Times New Roman" w:cs="Times New Roman"/>
          <w:sz w:val="24"/>
          <w:szCs w:val="24"/>
        </w:rPr>
        <w:t>constituyan</w:t>
      </w:r>
      <w:r w:rsidR="0081683D" w:rsidRPr="008C2070">
        <w:rPr>
          <w:rFonts w:ascii="Times New Roman" w:hAnsi="Times New Roman" w:cs="Times New Roman"/>
          <w:sz w:val="24"/>
          <w:szCs w:val="24"/>
        </w:rPr>
        <w:t xml:space="preserve"> </w:t>
      </w:r>
      <w:r w:rsidR="006B2164" w:rsidRPr="008C2070">
        <w:rPr>
          <w:rFonts w:ascii="Times New Roman" w:hAnsi="Times New Roman" w:cs="Times New Roman"/>
          <w:sz w:val="24"/>
          <w:szCs w:val="24"/>
        </w:rPr>
        <w:t>precedentes obligatorios</w:t>
      </w:r>
      <w:r w:rsidR="00612CD6" w:rsidRPr="008C2070">
        <w:rPr>
          <w:rFonts w:ascii="Times New Roman" w:hAnsi="Times New Roman" w:cs="Times New Roman"/>
          <w:sz w:val="24"/>
          <w:szCs w:val="24"/>
        </w:rPr>
        <w:t xml:space="preserve"> cuando sean votadas por mayoría de ocho votos</w:t>
      </w:r>
      <w:r w:rsidR="000617C8" w:rsidRPr="008C2070">
        <w:rPr>
          <w:rFonts w:ascii="Times New Roman" w:hAnsi="Times New Roman" w:cs="Times New Roman"/>
          <w:sz w:val="24"/>
          <w:szCs w:val="24"/>
        </w:rPr>
        <w:t xml:space="preserve"> en pleno y de cuatro en sala</w:t>
      </w:r>
      <w:r w:rsidR="006B2164" w:rsidRPr="008C2070">
        <w:rPr>
          <w:rFonts w:ascii="Times New Roman" w:hAnsi="Times New Roman" w:cs="Times New Roman"/>
          <w:sz w:val="24"/>
          <w:szCs w:val="24"/>
        </w:rPr>
        <w:t>.</w:t>
      </w:r>
      <w:r w:rsidR="006B2164" w:rsidRPr="008C2070">
        <w:rPr>
          <w:rStyle w:val="Refdenotaalpie"/>
          <w:rFonts w:ascii="Times New Roman" w:hAnsi="Times New Roman" w:cs="Times New Roman"/>
          <w:sz w:val="24"/>
          <w:szCs w:val="24"/>
        </w:rPr>
        <w:footnoteReference w:id="9"/>
      </w:r>
      <w:r w:rsidR="00144BD3" w:rsidRPr="008C2070">
        <w:rPr>
          <w:rFonts w:ascii="Times New Roman" w:hAnsi="Times New Roman" w:cs="Times New Roman"/>
          <w:sz w:val="24"/>
          <w:szCs w:val="24"/>
        </w:rPr>
        <w:t xml:space="preserve"> </w:t>
      </w:r>
      <w:r w:rsidR="00A94E75" w:rsidRPr="008C2070">
        <w:rPr>
          <w:rFonts w:ascii="Times New Roman" w:hAnsi="Times New Roman" w:cs="Times New Roman"/>
          <w:sz w:val="24"/>
          <w:szCs w:val="24"/>
        </w:rPr>
        <w:t xml:space="preserve">Asimismo, </w:t>
      </w:r>
      <w:r w:rsidR="000B5041" w:rsidRPr="008C2070">
        <w:rPr>
          <w:rFonts w:ascii="Times New Roman" w:hAnsi="Times New Roman" w:cs="Times New Roman"/>
          <w:sz w:val="24"/>
          <w:szCs w:val="24"/>
        </w:rPr>
        <w:t xml:space="preserve">y para poder identificar de una manera más clara los casos de </w:t>
      </w:r>
      <w:r w:rsidR="000B17EA" w:rsidRPr="008C2070">
        <w:rPr>
          <w:rFonts w:ascii="Times New Roman" w:hAnsi="Times New Roman" w:cs="Times New Roman"/>
          <w:sz w:val="24"/>
          <w:szCs w:val="24"/>
        </w:rPr>
        <w:t>aplicación</w:t>
      </w:r>
      <w:r w:rsidR="000B5041" w:rsidRPr="008C2070">
        <w:rPr>
          <w:rFonts w:ascii="Times New Roman" w:hAnsi="Times New Roman" w:cs="Times New Roman"/>
          <w:sz w:val="24"/>
          <w:szCs w:val="24"/>
        </w:rPr>
        <w:t xml:space="preserve"> de la jurisprudencia, se indicó que las tesis que la contengan deberán</w:t>
      </w:r>
      <w:r w:rsidR="0082792A" w:rsidRPr="008C2070">
        <w:rPr>
          <w:rFonts w:ascii="Times New Roman" w:hAnsi="Times New Roman" w:cs="Times New Roman"/>
          <w:sz w:val="24"/>
          <w:szCs w:val="24"/>
        </w:rPr>
        <w:t xml:space="preserve"> incluir</w:t>
      </w:r>
      <w:r w:rsidR="000B5041" w:rsidRPr="008C2070">
        <w:rPr>
          <w:rFonts w:ascii="Times New Roman" w:hAnsi="Times New Roman" w:cs="Times New Roman"/>
          <w:sz w:val="24"/>
          <w:szCs w:val="24"/>
        </w:rPr>
        <w:t>, entre otras cosas, una narración de los hechos, criterio jurídico, sostenido y justificación del criterio.</w:t>
      </w:r>
      <w:r w:rsidR="000B5041" w:rsidRPr="008C2070">
        <w:rPr>
          <w:rStyle w:val="Refdenotaalpie"/>
          <w:rFonts w:ascii="Times New Roman" w:hAnsi="Times New Roman" w:cs="Times New Roman"/>
          <w:sz w:val="24"/>
          <w:szCs w:val="24"/>
        </w:rPr>
        <w:footnoteReference w:id="10"/>
      </w:r>
      <w:r w:rsidR="00612E9F" w:rsidRPr="008C2070">
        <w:rPr>
          <w:rFonts w:ascii="Times New Roman" w:hAnsi="Times New Roman" w:cs="Times New Roman"/>
          <w:sz w:val="24"/>
          <w:szCs w:val="24"/>
        </w:rPr>
        <w:t xml:space="preserve"> </w:t>
      </w:r>
      <w:r w:rsidR="00826FA8" w:rsidRPr="008C2070">
        <w:rPr>
          <w:rFonts w:ascii="Times New Roman" w:hAnsi="Times New Roman" w:cs="Times New Roman"/>
          <w:sz w:val="24"/>
          <w:szCs w:val="24"/>
        </w:rPr>
        <w:t xml:space="preserve">Como es posible observar las últimas modificaciones realizadas al sistema judicial mexicano lo acercan aún </w:t>
      </w:r>
      <w:r w:rsidR="0082792A" w:rsidRPr="008C2070">
        <w:rPr>
          <w:rFonts w:ascii="Times New Roman" w:hAnsi="Times New Roman" w:cs="Times New Roman"/>
          <w:sz w:val="24"/>
          <w:szCs w:val="24"/>
        </w:rPr>
        <w:t xml:space="preserve">más </w:t>
      </w:r>
      <w:r w:rsidR="00826FA8" w:rsidRPr="008C2070">
        <w:rPr>
          <w:rFonts w:ascii="Times New Roman" w:hAnsi="Times New Roman" w:cs="Times New Roman"/>
          <w:sz w:val="24"/>
          <w:szCs w:val="24"/>
        </w:rPr>
        <w:t xml:space="preserve">a la doctrina del </w:t>
      </w:r>
      <w:r w:rsidR="00826FA8" w:rsidRPr="008C2070">
        <w:rPr>
          <w:rFonts w:ascii="Times New Roman" w:hAnsi="Times New Roman" w:cs="Times New Roman"/>
          <w:i/>
          <w:iCs/>
          <w:sz w:val="24"/>
          <w:szCs w:val="24"/>
        </w:rPr>
        <w:t>stare decisis</w:t>
      </w:r>
      <w:r w:rsidR="008727D2" w:rsidRPr="008C2070">
        <w:rPr>
          <w:rFonts w:ascii="Times New Roman" w:hAnsi="Times New Roman" w:cs="Times New Roman"/>
          <w:i/>
          <w:iCs/>
          <w:sz w:val="24"/>
          <w:szCs w:val="24"/>
        </w:rPr>
        <w:t xml:space="preserve"> </w:t>
      </w:r>
      <w:r w:rsidR="008727D2" w:rsidRPr="008C2070">
        <w:rPr>
          <w:rFonts w:ascii="Times New Roman" w:hAnsi="Times New Roman" w:cs="Times New Roman"/>
          <w:sz w:val="24"/>
          <w:szCs w:val="24"/>
        </w:rPr>
        <w:t>y permitirán que en casos futuros se analicen no solo las tesis jurisprudenciales integradas por reiteración y contradicción, sino las sentencias relevante</w:t>
      </w:r>
      <w:r w:rsidR="00906CA2" w:rsidRPr="008C2070">
        <w:rPr>
          <w:rFonts w:ascii="Times New Roman" w:hAnsi="Times New Roman" w:cs="Times New Roman"/>
          <w:sz w:val="24"/>
          <w:szCs w:val="24"/>
        </w:rPr>
        <w:t xml:space="preserve">s que constituyan precedentes obligatorios. </w:t>
      </w:r>
    </w:p>
    <w:p w14:paraId="73F8775F" w14:textId="45B5E859" w:rsidR="00317CC4" w:rsidRPr="008C2070" w:rsidRDefault="00F52B2B"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Detrás de</w:t>
      </w:r>
      <w:r w:rsidR="0099364A" w:rsidRPr="008C2070">
        <w:rPr>
          <w:rFonts w:ascii="Times New Roman" w:hAnsi="Times New Roman" w:cs="Times New Roman"/>
          <w:sz w:val="24"/>
          <w:szCs w:val="24"/>
        </w:rPr>
        <w:t xml:space="preserve"> toda interpretación jurisprudencial</w:t>
      </w:r>
      <w:r w:rsidR="0022209B" w:rsidRPr="008C2070">
        <w:rPr>
          <w:rFonts w:ascii="Times New Roman" w:hAnsi="Times New Roman" w:cs="Times New Roman"/>
          <w:sz w:val="24"/>
          <w:szCs w:val="24"/>
        </w:rPr>
        <w:t>,</w:t>
      </w:r>
      <w:r w:rsidR="0099364A" w:rsidRPr="008C2070">
        <w:rPr>
          <w:rFonts w:ascii="Times New Roman" w:hAnsi="Times New Roman" w:cs="Times New Roman"/>
          <w:sz w:val="24"/>
          <w:szCs w:val="24"/>
        </w:rPr>
        <w:t xml:space="preserve"> se encuentra un caso o serie de casos que </w:t>
      </w:r>
      <w:r w:rsidR="00312BC2" w:rsidRPr="008C2070">
        <w:rPr>
          <w:rFonts w:ascii="Times New Roman" w:hAnsi="Times New Roman" w:cs="Times New Roman"/>
          <w:sz w:val="24"/>
          <w:szCs w:val="24"/>
        </w:rPr>
        <w:t>implicaron un ejercicio de racionalidad</w:t>
      </w:r>
      <w:r w:rsidR="00CA7D66" w:rsidRPr="008C2070">
        <w:rPr>
          <w:rStyle w:val="Refdenotaalpie"/>
          <w:rFonts w:ascii="Times New Roman" w:hAnsi="Times New Roman" w:cs="Times New Roman"/>
          <w:sz w:val="24"/>
          <w:szCs w:val="24"/>
        </w:rPr>
        <w:footnoteReference w:id="11"/>
      </w:r>
      <w:r w:rsidR="00312BC2" w:rsidRPr="008C2070">
        <w:rPr>
          <w:rFonts w:ascii="Times New Roman" w:hAnsi="Times New Roman" w:cs="Times New Roman"/>
          <w:sz w:val="24"/>
          <w:szCs w:val="24"/>
        </w:rPr>
        <w:t xml:space="preserve"> </w:t>
      </w:r>
      <w:r w:rsidR="00B92235" w:rsidRPr="008C2070">
        <w:rPr>
          <w:rFonts w:ascii="Times New Roman" w:hAnsi="Times New Roman" w:cs="Times New Roman"/>
          <w:sz w:val="24"/>
          <w:szCs w:val="24"/>
        </w:rPr>
        <w:t>de la persona juzgadora</w:t>
      </w:r>
      <w:r w:rsidR="00B02DE2" w:rsidRPr="008C2070">
        <w:rPr>
          <w:rFonts w:ascii="Times New Roman" w:hAnsi="Times New Roman" w:cs="Times New Roman"/>
          <w:sz w:val="24"/>
          <w:szCs w:val="24"/>
        </w:rPr>
        <w:t xml:space="preserve"> que la llevaron a justificar una decisión </w:t>
      </w:r>
      <w:r w:rsidR="00CF735D" w:rsidRPr="008C2070">
        <w:rPr>
          <w:rFonts w:ascii="Times New Roman" w:hAnsi="Times New Roman" w:cs="Times New Roman"/>
          <w:sz w:val="24"/>
          <w:szCs w:val="24"/>
        </w:rPr>
        <w:t xml:space="preserve">judicial </w:t>
      </w:r>
      <w:r w:rsidR="00CB6DB2" w:rsidRPr="008C2070">
        <w:rPr>
          <w:rFonts w:ascii="Times New Roman" w:hAnsi="Times New Roman" w:cs="Times New Roman"/>
          <w:sz w:val="24"/>
          <w:szCs w:val="24"/>
        </w:rPr>
        <w:t>en</w:t>
      </w:r>
      <w:r w:rsidR="00C43DFF" w:rsidRPr="008C2070">
        <w:rPr>
          <w:rFonts w:ascii="Times New Roman" w:hAnsi="Times New Roman" w:cs="Times New Roman"/>
          <w:sz w:val="24"/>
          <w:szCs w:val="24"/>
        </w:rPr>
        <w:t xml:space="preserve">tendida como </w:t>
      </w:r>
      <w:r w:rsidR="00A75107" w:rsidRPr="008C2070">
        <w:rPr>
          <w:rFonts w:ascii="Times New Roman" w:hAnsi="Times New Roman" w:cs="Times New Roman"/>
          <w:sz w:val="24"/>
          <w:szCs w:val="24"/>
        </w:rPr>
        <w:t>sentencia</w:t>
      </w:r>
      <w:r w:rsidR="0022209B" w:rsidRPr="008C2070">
        <w:rPr>
          <w:rFonts w:ascii="Times New Roman" w:hAnsi="Times New Roman" w:cs="Times New Roman"/>
          <w:sz w:val="24"/>
          <w:szCs w:val="24"/>
        </w:rPr>
        <w:t>.</w:t>
      </w:r>
      <w:r w:rsidR="00A75107" w:rsidRPr="008C2070">
        <w:rPr>
          <w:rFonts w:ascii="Times New Roman" w:hAnsi="Times New Roman" w:cs="Times New Roman"/>
          <w:sz w:val="24"/>
          <w:szCs w:val="24"/>
        </w:rPr>
        <w:t xml:space="preserve"> </w:t>
      </w:r>
      <w:r w:rsidR="00980F8C" w:rsidRPr="008C2070">
        <w:rPr>
          <w:rStyle w:val="Refdenotaalpie"/>
          <w:rFonts w:ascii="Times New Roman" w:hAnsi="Times New Roman" w:cs="Times New Roman"/>
          <w:sz w:val="24"/>
          <w:szCs w:val="24"/>
        </w:rPr>
        <w:footnoteReference w:id="12"/>
      </w:r>
      <w:r w:rsidR="00980F8C" w:rsidRPr="008C2070">
        <w:rPr>
          <w:rFonts w:ascii="Times New Roman" w:hAnsi="Times New Roman" w:cs="Times New Roman"/>
          <w:sz w:val="24"/>
          <w:szCs w:val="24"/>
        </w:rPr>
        <w:t xml:space="preserve"> </w:t>
      </w:r>
      <w:r w:rsidR="0022209B" w:rsidRPr="008C2070">
        <w:rPr>
          <w:rFonts w:ascii="Times New Roman" w:hAnsi="Times New Roman" w:cs="Times New Roman"/>
          <w:sz w:val="24"/>
          <w:szCs w:val="24"/>
        </w:rPr>
        <w:t xml:space="preserve">Esta </w:t>
      </w:r>
      <w:r w:rsidR="00B729F3" w:rsidRPr="008C2070">
        <w:rPr>
          <w:rFonts w:ascii="Times New Roman" w:hAnsi="Times New Roman" w:cs="Times New Roman"/>
          <w:sz w:val="24"/>
          <w:szCs w:val="24"/>
        </w:rPr>
        <w:t>puede resolver un caso concreto o</w:t>
      </w:r>
      <w:r w:rsidR="00980F8C" w:rsidRPr="008C2070">
        <w:rPr>
          <w:rFonts w:ascii="Times New Roman" w:hAnsi="Times New Roman" w:cs="Times New Roman"/>
          <w:sz w:val="24"/>
          <w:szCs w:val="24"/>
        </w:rPr>
        <w:t xml:space="preserve"> contener razones que tengan fuerza de jurisprudencia</w:t>
      </w:r>
      <w:r w:rsidR="00901968" w:rsidRPr="008C2070">
        <w:rPr>
          <w:rFonts w:ascii="Times New Roman" w:hAnsi="Times New Roman" w:cs="Times New Roman"/>
          <w:sz w:val="24"/>
          <w:szCs w:val="24"/>
        </w:rPr>
        <w:t xml:space="preserve"> y</w:t>
      </w:r>
      <w:r w:rsidR="0022209B" w:rsidRPr="008C2070">
        <w:rPr>
          <w:rFonts w:ascii="Times New Roman" w:hAnsi="Times New Roman" w:cs="Times New Roman"/>
          <w:sz w:val="24"/>
          <w:szCs w:val="24"/>
        </w:rPr>
        <w:t xml:space="preserve">, </w:t>
      </w:r>
      <w:r w:rsidR="00901968" w:rsidRPr="008C2070">
        <w:rPr>
          <w:rFonts w:ascii="Times New Roman" w:hAnsi="Times New Roman" w:cs="Times New Roman"/>
          <w:sz w:val="24"/>
          <w:szCs w:val="24"/>
        </w:rPr>
        <w:t>por lo tanto</w:t>
      </w:r>
      <w:r w:rsidR="0022209B" w:rsidRPr="008C2070">
        <w:rPr>
          <w:rFonts w:ascii="Times New Roman" w:hAnsi="Times New Roman" w:cs="Times New Roman"/>
          <w:sz w:val="24"/>
          <w:szCs w:val="24"/>
        </w:rPr>
        <w:t>,</w:t>
      </w:r>
      <w:r w:rsidR="00901968" w:rsidRPr="008C2070">
        <w:rPr>
          <w:rFonts w:ascii="Times New Roman" w:hAnsi="Times New Roman" w:cs="Times New Roman"/>
          <w:sz w:val="24"/>
          <w:szCs w:val="24"/>
        </w:rPr>
        <w:t xml:space="preserve"> puedan ser aplicadas a más casos similares bajo el criterio de universalidad</w:t>
      </w:r>
      <w:r w:rsidR="004D601F" w:rsidRPr="008C2070">
        <w:rPr>
          <w:rFonts w:ascii="Times New Roman" w:hAnsi="Times New Roman" w:cs="Times New Roman"/>
          <w:sz w:val="24"/>
          <w:szCs w:val="24"/>
        </w:rPr>
        <w:t xml:space="preserve"> y con base en lo mandatado por la Ley </w:t>
      </w:r>
      <w:r w:rsidR="004D601F" w:rsidRPr="008C2070">
        <w:rPr>
          <w:rFonts w:ascii="Times New Roman" w:hAnsi="Times New Roman" w:cs="Times New Roman"/>
          <w:sz w:val="24"/>
          <w:szCs w:val="24"/>
        </w:rPr>
        <w:lastRenderedPageBreak/>
        <w:t>de Amparo</w:t>
      </w:r>
      <w:r w:rsidR="00980F8C" w:rsidRPr="008C2070">
        <w:rPr>
          <w:rFonts w:ascii="Times New Roman" w:hAnsi="Times New Roman" w:cs="Times New Roman"/>
          <w:sz w:val="24"/>
          <w:szCs w:val="24"/>
        </w:rPr>
        <w:t>.</w:t>
      </w:r>
      <w:r w:rsidR="00A62C21" w:rsidRPr="008C2070">
        <w:rPr>
          <w:rStyle w:val="Refdenotaalpie"/>
          <w:rFonts w:ascii="Times New Roman" w:hAnsi="Times New Roman" w:cs="Times New Roman"/>
          <w:sz w:val="24"/>
          <w:szCs w:val="24"/>
        </w:rPr>
        <w:footnoteReference w:id="13"/>
      </w:r>
      <w:r w:rsidR="00B70F83" w:rsidRPr="008C2070">
        <w:rPr>
          <w:rFonts w:ascii="Times New Roman" w:hAnsi="Times New Roman" w:cs="Times New Roman"/>
          <w:sz w:val="24"/>
          <w:szCs w:val="24"/>
        </w:rPr>
        <w:t xml:space="preserve"> Es decir, en estos casos la jurisprudencia opera</w:t>
      </w:r>
      <w:r w:rsidR="002D6E78" w:rsidRPr="008C2070">
        <w:rPr>
          <w:rFonts w:ascii="Times New Roman" w:hAnsi="Times New Roman" w:cs="Times New Roman"/>
          <w:sz w:val="24"/>
          <w:szCs w:val="24"/>
        </w:rPr>
        <w:t xml:space="preserve"> como regla.</w:t>
      </w:r>
      <w:r w:rsidR="00FE129E" w:rsidRPr="008C2070">
        <w:rPr>
          <w:rStyle w:val="Refdenotaalpie"/>
          <w:rFonts w:ascii="Times New Roman" w:hAnsi="Times New Roman" w:cs="Times New Roman"/>
          <w:sz w:val="24"/>
          <w:szCs w:val="24"/>
        </w:rPr>
        <w:footnoteReference w:id="14"/>
      </w:r>
      <w:r w:rsidR="00D50633" w:rsidRPr="008C2070">
        <w:rPr>
          <w:rFonts w:ascii="Times New Roman" w:hAnsi="Times New Roman" w:cs="Times New Roman"/>
          <w:sz w:val="24"/>
          <w:szCs w:val="24"/>
        </w:rPr>
        <w:t xml:space="preserve"> Sin embargo, esta concepción de la jurisprudencia como regla </w:t>
      </w:r>
      <w:r w:rsidR="002E5D31" w:rsidRPr="008C2070">
        <w:rPr>
          <w:rFonts w:ascii="Times New Roman" w:hAnsi="Times New Roman" w:cs="Times New Roman"/>
          <w:sz w:val="24"/>
          <w:szCs w:val="24"/>
        </w:rPr>
        <w:t>obligatoria</w:t>
      </w:r>
      <w:r w:rsidR="002E5D31" w:rsidRPr="008C2070">
        <w:rPr>
          <w:rStyle w:val="Refdenotaalpie"/>
          <w:rFonts w:ascii="Times New Roman" w:hAnsi="Times New Roman" w:cs="Times New Roman"/>
          <w:sz w:val="24"/>
          <w:szCs w:val="24"/>
        </w:rPr>
        <w:footnoteReference w:id="15"/>
      </w:r>
      <w:r w:rsidR="00AA4B75" w:rsidRPr="008C2070">
        <w:rPr>
          <w:rFonts w:ascii="Times New Roman" w:hAnsi="Times New Roman" w:cs="Times New Roman"/>
          <w:sz w:val="24"/>
          <w:szCs w:val="24"/>
        </w:rPr>
        <w:t xml:space="preserve">, lleva a preguntarse sobre </w:t>
      </w:r>
      <w:r w:rsidR="002443FE" w:rsidRPr="008C2070">
        <w:rPr>
          <w:rFonts w:ascii="Times New Roman" w:hAnsi="Times New Roman" w:cs="Times New Roman"/>
          <w:sz w:val="24"/>
          <w:szCs w:val="24"/>
        </w:rPr>
        <w:t xml:space="preserve">si esta función es adecuada </w:t>
      </w:r>
      <w:r w:rsidR="0099415E" w:rsidRPr="008C2070">
        <w:rPr>
          <w:rFonts w:ascii="Times New Roman" w:hAnsi="Times New Roman" w:cs="Times New Roman"/>
          <w:sz w:val="24"/>
          <w:szCs w:val="24"/>
        </w:rPr>
        <w:t xml:space="preserve">cuando los jueces se enfrentan a un problema de </w:t>
      </w:r>
      <w:r w:rsidR="00D473F6" w:rsidRPr="008C2070">
        <w:rPr>
          <w:rFonts w:ascii="Times New Roman" w:hAnsi="Times New Roman" w:cs="Times New Roman"/>
          <w:sz w:val="24"/>
          <w:szCs w:val="24"/>
        </w:rPr>
        <w:t xml:space="preserve">su </w:t>
      </w:r>
      <w:r w:rsidR="0099415E" w:rsidRPr="008C2070">
        <w:rPr>
          <w:rFonts w:ascii="Times New Roman" w:hAnsi="Times New Roman" w:cs="Times New Roman"/>
          <w:sz w:val="24"/>
          <w:szCs w:val="24"/>
        </w:rPr>
        <w:t>aplicación a ciertos casos difíciles</w:t>
      </w:r>
      <w:r w:rsidR="00D473F6" w:rsidRPr="008C2070">
        <w:rPr>
          <w:rFonts w:ascii="Times New Roman" w:hAnsi="Times New Roman" w:cs="Times New Roman"/>
          <w:sz w:val="24"/>
          <w:szCs w:val="24"/>
        </w:rPr>
        <w:t>,</w:t>
      </w:r>
      <w:r w:rsidR="0099415E" w:rsidRPr="008C2070">
        <w:rPr>
          <w:rFonts w:ascii="Times New Roman" w:hAnsi="Times New Roman" w:cs="Times New Roman"/>
          <w:sz w:val="24"/>
          <w:szCs w:val="24"/>
        </w:rPr>
        <w:t xml:space="preserve"> dentro de los que se encuentran aquellos relacionados con el derecho a la salud. </w:t>
      </w:r>
      <w:r w:rsidR="00BE70FD" w:rsidRPr="008C2070">
        <w:rPr>
          <w:rFonts w:ascii="Times New Roman" w:hAnsi="Times New Roman" w:cs="Times New Roman"/>
          <w:sz w:val="24"/>
          <w:szCs w:val="24"/>
        </w:rPr>
        <w:t>Lo anterior, implicaría pensar que</w:t>
      </w:r>
      <w:r w:rsidR="00D473F6" w:rsidRPr="008C2070">
        <w:rPr>
          <w:rFonts w:ascii="Times New Roman" w:hAnsi="Times New Roman" w:cs="Times New Roman"/>
          <w:sz w:val="24"/>
          <w:szCs w:val="24"/>
        </w:rPr>
        <w:t>,</w:t>
      </w:r>
      <w:r w:rsidR="00BE70FD" w:rsidRPr="008C2070">
        <w:rPr>
          <w:rFonts w:ascii="Times New Roman" w:hAnsi="Times New Roman" w:cs="Times New Roman"/>
          <w:sz w:val="24"/>
          <w:szCs w:val="24"/>
        </w:rPr>
        <w:t xml:space="preserve"> para ciertos casos</w:t>
      </w:r>
      <w:r w:rsidR="00D473F6" w:rsidRPr="008C2070">
        <w:rPr>
          <w:rFonts w:ascii="Times New Roman" w:hAnsi="Times New Roman" w:cs="Times New Roman"/>
          <w:sz w:val="24"/>
          <w:szCs w:val="24"/>
        </w:rPr>
        <w:t>,</w:t>
      </w:r>
      <w:r w:rsidR="00BE70FD" w:rsidRPr="008C2070">
        <w:rPr>
          <w:rFonts w:ascii="Times New Roman" w:hAnsi="Times New Roman" w:cs="Times New Roman"/>
          <w:sz w:val="24"/>
          <w:szCs w:val="24"/>
        </w:rPr>
        <w:t xml:space="preserve"> sería mejor que la jurisprudencia </w:t>
      </w:r>
      <w:r w:rsidR="008A791D" w:rsidRPr="008C2070">
        <w:rPr>
          <w:rFonts w:ascii="Times New Roman" w:hAnsi="Times New Roman" w:cs="Times New Roman"/>
          <w:sz w:val="24"/>
          <w:szCs w:val="24"/>
        </w:rPr>
        <w:t>funcionará</w:t>
      </w:r>
      <w:r w:rsidR="005C52DE" w:rsidRPr="008C2070">
        <w:rPr>
          <w:rFonts w:ascii="Times New Roman" w:hAnsi="Times New Roman" w:cs="Times New Roman"/>
          <w:sz w:val="24"/>
          <w:szCs w:val="24"/>
        </w:rPr>
        <w:t xml:space="preserve"> </w:t>
      </w:r>
      <w:r w:rsidR="00AA4B75" w:rsidRPr="008C2070">
        <w:rPr>
          <w:rFonts w:ascii="Times New Roman" w:hAnsi="Times New Roman" w:cs="Times New Roman"/>
          <w:sz w:val="24"/>
          <w:szCs w:val="24"/>
        </w:rPr>
        <w:t xml:space="preserve">más como un principio </w:t>
      </w:r>
      <w:r w:rsidR="009D39F6" w:rsidRPr="008C2070">
        <w:rPr>
          <w:rFonts w:ascii="Times New Roman" w:hAnsi="Times New Roman" w:cs="Times New Roman"/>
          <w:sz w:val="24"/>
          <w:szCs w:val="24"/>
        </w:rPr>
        <w:t xml:space="preserve">que como una regla </w:t>
      </w:r>
      <w:r w:rsidR="00465203" w:rsidRPr="008C2070">
        <w:rPr>
          <w:rFonts w:ascii="Times New Roman" w:hAnsi="Times New Roman" w:cs="Times New Roman"/>
          <w:sz w:val="24"/>
          <w:szCs w:val="24"/>
        </w:rPr>
        <w:t xml:space="preserve">como se verá más adelante. </w:t>
      </w:r>
    </w:p>
    <w:p w14:paraId="68F616A2" w14:textId="5F234C45" w:rsidR="00557168" w:rsidRPr="008C2070" w:rsidRDefault="00465203"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Es importante mencionar</w:t>
      </w:r>
      <w:r w:rsidR="006624EF" w:rsidRPr="008C2070">
        <w:rPr>
          <w:rFonts w:ascii="Times New Roman" w:hAnsi="Times New Roman" w:cs="Times New Roman"/>
          <w:sz w:val="24"/>
          <w:szCs w:val="24"/>
        </w:rPr>
        <w:t xml:space="preserve"> que a partir del estudio de la jurisprudencia </w:t>
      </w:r>
      <w:r w:rsidR="00985AEC" w:rsidRPr="008C2070">
        <w:rPr>
          <w:rFonts w:ascii="Times New Roman" w:hAnsi="Times New Roman" w:cs="Times New Roman"/>
          <w:sz w:val="24"/>
          <w:szCs w:val="24"/>
        </w:rPr>
        <w:t>se</w:t>
      </w:r>
      <w:r w:rsidR="00C43DFF" w:rsidRPr="008C2070">
        <w:rPr>
          <w:rFonts w:ascii="Times New Roman" w:hAnsi="Times New Roman" w:cs="Times New Roman"/>
          <w:sz w:val="24"/>
          <w:szCs w:val="24"/>
        </w:rPr>
        <w:t xml:space="preserve"> </w:t>
      </w:r>
      <w:r w:rsidR="006624EF" w:rsidRPr="008C2070">
        <w:rPr>
          <w:rFonts w:ascii="Times New Roman" w:hAnsi="Times New Roman" w:cs="Times New Roman"/>
          <w:sz w:val="24"/>
          <w:szCs w:val="24"/>
        </w:rPr>
        <w:t xml:space="preserve">observan </w:t>
      </w:r>
      <w:r w:rsidR="00985AEC" w:rsidRPr="008C2070">
        <w:rPr>
          <w:rFonts w:ascii="Times New Roman" w:hAnsi="Times New Roman" w:cs="Times New Roman"/>
          <w:sz w:val="24"/>
          <w:szCs w:val="24"/>
        </w:rPr>
        <w:t>distintos tipos de ejercicios de</w:t>
      </w:r>
      <w:r w:rsidR="003D2A82" w:rsidRPr="008C2070">
        <w:rPr>
          <w:rFonts w:ascii="Times New Roman" w:hAnsi="Times New Roman" w:cs="Times New Roman"/>
          <w:sz w:val="24"/>
          <w:szCs w:val="24"/>
        </w:rPr>
        <w:t xml:space="preserve"> justificación desde la</w:t>
      </w:r>
      <w:r w:rsidR="00985AEC" w:rsidRPr="008C2070">
        <w:rPr>
          <w:rFonts w:ascii="Times New Roman" w:hAnsi="Times New Roman" w:cs="Times New Roman"/>
          <w:sz w:val="24"/>
          <w:szCs w:val="24"/>
        </w:rPr>
        <w:t xml:space="preserve"> racionalidad judicial los cuales se diferencian </w:t>
      </w:r>
      <w:r w:rsidR="006624EF" w:rsidRPr="008C2070">
        <w:rPr>
          <w:rFonts w:ascii="Times New Roman" w:hAnsi="Times New Roman" w:cs="Times New Roman"/>
          <w:sz w:val="24"/>
          <w:szCs w:val="24"/>
        </w:rPr>
        <w:t xml:space="preserve">entre </w:t>
      </w:r>
      <w:r w:rsidR="00985AEC" w:rsidRPr="008C2070">
        <w:rPr>
          <w:rFonts w:ascii="Times New Roman" w:hAnsi="Times New Roman" w:cs="Times New Roman"/>
          <w:sz w:val="24"/>
          <w:szCs w:val="24"/>
        </w:rPr>
        <w:t xml:space="preserve">si se crea o integra jurisprudencia, o si se aplica la jurisprudencia. En el primer caso, de creación de jurisprudencia en el sentido indicado por la Ley de Amparo, </w:t>
      </w:r>
      <w:r w:rsidR="0065529E" w:rsidRPr="008C2070">
        <w:rPr>
          <w:rFonts w:ascii="Times New Roman" w:hAnsi="Times New Roman" w:cs="Times New Roman"/>
          <w:sz w:val="24"/>
          <w:szCs w:val="24"/>
        </w:rPr>
        <w:t xml:space="preserve">las personas juzgadoras </w:t>
      </w:r>
      <w:r w:rsidR="008805FD" w:rsidRPr="008C2070">
        <w:rPr>
          <w:rFonts w:ascii="Times New Roman" w:hAnsi="Times New Roman" w:cs="Times New Roman"/>
          <w:sz w:val="24"/>
          <w:szCs w:val="24"/>
        </w:rPr>
        <w:t xml:space="preserve">se enfrentan a una </w:t>
      </w:r>
      <w:r w:rsidR="00EA4F46" w:rsidRPr="008C2070">
        <w:rPr>
          <w:rFonts w:ascii="Times New Roman" w:hAnsi="Times New Roman" w:cs="Times New Roman"/>
          <w:sz w:val="24"/>
          <w:szCs w:val="24"/>
        </w:rPr>
        <w:t>primera tarea</w:t>
      </w:r>
      <w:r w:rsidR="008805FD" w:rsidRPr="008C2070">
        <w:rPr>
          <w:rFonts w:ascii="Times New Roman" w:hAnsi="Times New Roman" w:cs="Times New Roman"/>
          <w:sz w:val="24"/>
          <w:szCs w:val="24"/>
        </w:rPr>
        <w:t xml:space="preserve"> de resolución de casos que</w:t>
      </w:r>
      <w:r w:rsidR="000126B5" w:rsidRPr="008C2070">
        <w:rPr>
          <w:rFonts w:ascii="Times New Roman" w:hAnsi="Times New Roman" w:cs="Times New Roman"/>
          <w:sz w:val="24"/>
          <w:szCs w:val="24"/>
        </w:rPr>
        <w:t>,</w:t>
      </w:r>
      <w:r w:rsidR="008805FD" w:rsidRPr="008C2070">
        <w:rPr>
          <w:rFonts w:ascii="Times New Roman" w:hAnsi="Times New Roman" w:cs="Times New Roman"/>
          <w:sz w:val="24"/>
          <w:szCs w:val="24"/>
        </w:rPr>
        <w:t xml:space="preserve"> por si solos</w:t>
      </w:r>
      <w:r w:rsidR="000126B5" w:rsidRPr="008C2070">
        <w:rPr>
          <w:rFonts w:ascii="Times New Roman" w:hAnsi="Times New Roman" w:cs="Times New Roman"/>
          <w:sz w:val="24"/>
          <w:szCs w:val="24"/>
        </w:rPr>
        <w:t>,</w:t>
      </w:r>
      <w:r w:rsidR="008805FD" w:rsidRPr="008C2070">
        <w:rPr>
          <w:rFonts w:ascii="Times New Roman" w:hAnsi="Times New Roman" w:cs="Times New Roman"/>
          <w:sz w:val="24"/>
          <w:szCs w:val="24"/>
        </w:rPr>
        <w:t xml:space="preserve"> pueden integrar jurisprudencia por precedentes</w:t>
      </w:r>
      <w:r w:rsidR="006339CC" w:rsidRPr="008C2070">
        <w:rPr>
          <w:rFonts w:ascii="Times New Roman" w:hAnsi="Times New Roman" w:cs="Times New Roman"/>
          <w:sz w:val="24"/>
          <w:szCs w:val="24"/>
        </w:rPr>
        <w:t xml:space="preserve">; </w:t>
      </w:r>
      <w:r w:rsidR="008805FD" w:rsidRPr="008C2070">
        <w:rPr>
          <w:rFonts w:ascii="Times New Roman" w:hAnsi="Times New Roman" w:cs="Times New Roman"/>
          <w:sz w:val="24"/>
          <w:szCs w:val="24"/>
        </w:rPr>
        <w:t>o</w:t>
      </w:r>
      <w:r w:rsidR="006339CC" w:rsidRPr="008C2070">
        <w:rPr>
          <w:rFonts w:ascii="Times New Roman" w:hAnsi="Times New Roman" w:cs="Times New Roman"/>
          <w:sz w:val="24"/>
          <w:szCs w:val="24"/>
        </w:rPr>
        <w:t>,</w:t>
      </w:r>
      <w:r w:rsidR="008805FD" w:rsidRPr="008C2070">
        <w:rPr>
          <w:rFonts w:ascii="Times New Roman" w:hAnsi="Times New Roman" w:cs="Times New Roman"/>
          <w:sz w:val="24"/>
          <w:szCs w:val="24"/>
        </w:rPr>
        <w:t xml:space="preserve"> </w:t>
      </w:r>
      <w:r w:rsidR="00B26B15" w:rsidRPr="008C2070">
        <w:rPr>
          <w:rFonts w:ascii="Times New Roman" w:hAnsi="Times New Roman" w:cs="Times New Roman"/>
          <w:sz w:val="24"/>
          <w:szCs w:val="24"/>
        </w:rPr>
        <w:t>con la conjunción de 5 casos en el mismo sentido</w:t>
      </w:r>
      <w:r w:rsidR="006339CC" w:rsidRPr="008C2070">
        <w:rPr>
          <w:rFonts w:ascii="Times New Roman" w:hAnsi="Times New Roman" w:cs="Times New Roman"/>
          <w:sz w:val="24"/>
          <w:szCs w:val="24"/>
        </w:rPr>
        <w:t xml:space="preserve">, </w:t>
      </w:r>
      <w:r w:rsidR="00B26B15" w:rsidRPr="008C2070">
        <w:rPr>
          <w:rFonts w:ascii="Times New Roman" w:hAnsi="Times New Roman" w:cs="Times New Roman"/>
          <w:sz w:val="24"/>
          <w:szCs w:val="24"/>
        </w:rPr>
        <w:t>pueden integrar jurisprudencia por reiteración.</w:t>
      </w:r>
      <w:r w:rsidR="00EA4BDF" w:rsidRPr="008C2070">
        <w:rPr>
          <w:rStyle w:val="Refdenotaalpie"/>
          <w:rFonts w:ascii="Times New Roman" w:hAnsi="Times New Roman" w:cs="Times New Roman"/>
          <w:sz w:val="24"/>
          <w:szCs w:val="24"/>
        </w:rPr>
        <w:footnoteReference w:id="16"/>
      </w:r>
      <w:r w:rsidR="00B26B15" w:rsidRPr="008C2070">
        <w:rPr>
          <w:rFonts w:ascii="Times New Roman" w:hAnsi="Times New Roman" w:cs="Times New Roman"/>
          <w:sz w:val="24"/>
          <w:szCs w:val="24"/>
        </w:rPr>
        <w:t xml:space="preserve"> </w:t>
      </w:r>
      <w:r w:rsidR="006339CC" w:rsidRPr="008C2070">
        <w:rPr>
          <w:rFonts w:ascii="Times New Roman" w:hAnsi="Times New Roman" w:cs="Times New Roman"/>
          <w:sz w:val="24"/>
          <w:szCs w:val="24"/>
        </w:rPr>
        <w:t xml:space="preserve">Es así como en </w:t>
      </w:r>
      <w:r w:rsidR="00AF0B81" w:rsidRPr="008C2070">
        <w:rPr>
          <w:rFonts w:ascii="Times New Roman" w:hAnsi="Times New Roman" w:cs="Times New Roman"/>
          <w:sz w:val="24"/>
          <w:szCs w:val="24"/>
        </w:rPr>
        <w:t xml:space="preserve">el proceso de establecer </w:t>
      </w:r>
      <w:r w:rsidR="006339CC" w:rsidRPr="008C2070">
        <w:rPr>
          <w:rFonts w:ascii="Times New Roman" w:hAnsi="Times New Roman" w:cs="Times New Roman"/>
          <w:sz w:val="24"/>
          <w:szCs w:val="24"/>
        </w:rPr>
        <w:t>jurisprudencia la</w:t>
      </w:r>
      <w:r w:rsidR="006E6F87" w:rsidRPr="008C2070">
        <w:rPr>
          <w:rFonts w:ascii="Times New Roman" w:hAnsi="Times New Roman" w:cs="Times New Roman"/>
          <w:sz w:val="24"/>
          <w:szCs w:val="24"/>
        </w:rPr>
        <w:t xml:space="preserve"> definición</w:t>
      </w:r>
      <w:r w:rsidR="00E42245" w:rsidRPr="008C2070">
        <w:rPr>
          <w:rFonts w:ascii="Times New Roman" w:hAnsi="Times New Roman" w:cs="Times New Roman"/>
          <w:sz w:val="24"/>
          <w:szCs w:val="24"/>
        </w:rPr>
        <w:t xml:space="preserve"> sobre </w:t>
      </w:r>
      <w:r w:rsidR="001B5904" w:rsidRPr="008C2070">
        <w:rPr>
          <w:rFonts w:ascii="Times New Roman" w:hAnsi="Times New Roman" w:cs="Times New Roman"/>
          <w:sz w:val="24"/>
          <w:szCs w:val="24"/>
        </w:rPr>
        <w:t xml:space="preserve">la </w:t>
      </w:r>
      <w:r w:rsidR="00E42245" w:rsidRPr="008C2070">
        <w:rPr>
          <w:rFonts w:ascii="Times New Roman" w:hAnsi="Times New Roman" w:cs="Times New Roman"/>
          <w:sz w:val="24"/>
          <w:szCs w:val="24"/>
        </w:rPr>
        <w:t>función</w:t>
      </w:r>
      <w:r w:rsidR="001B5904" w:rsidRPr="008C2070">
        <w:rPr>
          <w:rFonts w:ascii="Times New Roman" w:hAnsi="Times New Roman" w:cs="Times New Roman"/>
          <w:sz w:val="24"/>
          <w:szCs w:val="24"/>
        </w:rPr>
        <w:t xml:space="preserve"> que se busca</w:t>
      </w:r>
      <w:r w:rsidR="00AF0B81" w:rsidRPr="008C2070">
        <w:rPr>
          <w:rFonts w:ascii="Times New Roman" w:hAnsi="Times New Roman" w:cs="Times New Roman"/>
          <w:sz w:val="24"/>
          <w:szCs w:val="24"/>
        </w:rPr>
        <w:t xml:space="preserve"> </w:t>
      </w:r>
      <w:r w:rsidR="001B5904" w:rsidRPr="008C2070">
        <w:rPr>
          <w:rFonts w:ascii="Times New Roman" w:hAnsi="Times New Roman" w:cs="Times New Roman"/>
          <w:sz w:val="24"/>
          <w:szCs w:val="24"/>
        </w:rPr>
        <w:t xml:space="preserve">con su inclusión en </w:t>
      </w:r>
      <w:r w:rsidR="00E42245" w:rsidRPr="008C2070">
        <w:rPr>
          <w:rFonts w:ascii="Times New Roman" w:hAnsi="Times New Roman" w:cs="Times New Roman"/>
          <w:sz w:val="24"/>
          <w:szCs w:val="24"/>
        </w:rPr>
        <w:t xml:space="preserve">el sistema </w:t>
      </w:r>
      <w:r w:rsidR="001B5904" w:rsidRPr="008C2070">
        <w:rPr>
          <w:rFonts w:ascii="Times New Roman" w:hAnsi="Times New Roman" w:cs="Times New Roman"/>
          <w:sz w:val="24"/>
          <w:szCs w:val="24"/>
        </w:rPr>
        <w:t xml:space="preserve">normativo </w:t>
      </w:r>
      <w:r w:rsidR="00E42245" w:rsidRPr="008C2070">
        <w:rPr>
          <w:rFonts w:ascii="Times New Roman" w:hAnsi="Times New Roman" w:cs="Times New Roman"/>
          <w:sz w:val="24"/>
          <w:szCs w:val="24"/>
        </w:rPr>
        <w:t xml:space="preserve">forma parte de una de las razones que los operadores jurídicos deben considerar </w:t>
      </w:r>
      <w:r w:rsidR="001B5904" w:rsidRPr="008C2070">
        <w:rPr>
          <w:rFonts w:ascii="Times New Roman" w:hAnsi="Times New Roman" w:cs="Times New Roman"/>
          <w:sz w:val="24"/>
          <w:szCs w:val="24"/>
        </w:rPr>
        <w:t>a la hora de fallar y de crearla.</w:t>
      </w:r>
      <w:r w:rsidR="005C0A53" w:rsidRPr="008C2070">
        <w:rPr>
          <w:rFonts w:ascii="Times New Roman" w:hAnsi="Times New Roman" w:cs="Times New Roman"/>
          <w:sz w:val="24"/>
          <w:szCs w:val="24"/>
        </w:rPr>
        <w:t xml:space="preserve"> </w:t>
      </w:r>
      <w:r w:rsidR="00F01880" w:rsidRPr="008C2070">
        <w:rPr>
          <w:rFonts w:ascii="Times New Roman" w:hAnsi="Times New Roman" w:cs="Times New Roman"/>
          <w:sz w:val="24"/>
          <w:szCs w:val="24"/>
        </w:rPr>
        <w:t>Esto dependerá en muchas ocasiones del caso(s) y los hechos planteados, pero</w:t>
      </w:r>
      <w:r w:rsidR="00B82284" w:rsidRPr="008C2070">
        <w:rPr>
          <w:rFonts w:ascii="Times New Roman" w:hAnsi="Times New Roman" w:cs="Times New Roman"/>
          <w:sz w:val="24"/>
          <w:szCs w:val="24"/>
        </w:rPr>
        <w:t xml:space="preserve"> implicará que la persona juzgadora observe </w:t>
      </w:r>
      <w:r w:rsidR="00C76156" w:rsidRPr="008C2070">
        <w:rPr>
          <w:rFonts w:ascii="Times New Roman" w:hAnsi="Times New Roman" w:cs="Times New Roman"/>
          <w:sz w:val="24"/>
          <w:szCs w:val="24"/>
        </w:rPr>
        <w:t xml:space="preserve">si lo que se requiere es </w:t>
      </w:r>
      <w:r w:rsidR="00591D80" w:rsidRPr="008C2070">
        <w:rPr>
          <w:rFonts w:ascii="Times New Roman" w:hAnsi="Times New Roman" w:cs="Times New Roman"/>
          <w:sz w:val="24"/>
          <w:szCs w:val="24"/>
        </w:rPr>
        <w:t>tener una jur</w:t>
      </w:r>
      <w:r w:rsidR="00AC6864" w:rsidRPr="008C2070">
        <w:rPr>
          <w:rFonts w:ascii="Times New Roman" w:hAnsi="Times New Roman" w:cs="Times New Roman"/>
          <w:sz w:val="24"/>
          <w:szCs w:val="24"/>
        </w:rPr>
        <w:t xml:space="preserve">isprudencia </w:t>
      </w:r>
      <w:r w:rsidR="00591D80" w:rsidRPr="008C2070">
        <w:rPr>
          <w:rFonts w:ascii="Times New Roman" w:hAnsi="Times New Roman" w:cs="Times New Roman"/>
          <w:sz w:val="24"/>
          <w:szCs w:val="24"/>
        </w:rPr>
        <w:t>que funcione más como principio</w:t>
      </w:r>
      <w:r w:rsidR="00493F10" w:rsidRPr="008C2070">
        <w:rPr>
          <w:rFonts w:ascii="Times New Roman" w:hAnsi="Times New Roman" w:cs="Times New Roman"/>
          <w:sz w:val="24"/>
          <w:szCs w:val="24"/>
        </w:rPr>
        <w:t>. En el caso donde esto último sea lo adecuado</w:t>
      </w:r>
      <w:r w:rsidR="000126B5" w:rsidRPr="008C2070">
        <w:rPr>
          <w:rFonts w:ascii="Times New Roman" w:hAnsi="Times New Roman" w:cs="Times New Roman"/>
          <w:sz w:val="24"/>
          <w:szCs w:val="24"/>
        </w:rPr>
        <w:t>,</w:t>
      </w:r>
      <w:r w:rsidR="00493F10" w:rsidRPr="008C2070">
        <w:rPr>
          <w:rFonts w:ascii="Times New Roman" w:hAnsi="Times New Roman" w:cs="Times New Roman"/>
          <w:sz w:val="24"/>
          <w:szCs w:val="24"/>
        </w:rPr>
        <w:t xml:space="preserve"> la jurisprudencia tendrá la </w:t>
      </w:r>
      <w:r w:rsidR="00591D80" w:rsidRPr="008C2070">
        <w:rPr>
          <w:rFonts w:ascii="Times New Roman" w:hAnsi="Times New Roman" w:cs="Times New Roman"/>
          <w:sz w:val="24"/>
          <w:szCs w:val="24"/>
        </w:rPr>
        <w:t>f</w:t>
      </w:r>
      <w:r w:rsidR="00AC6864" w:rsidRPr="008C2070">
        <w:rPr>
          <w:rFonts w:ascii="Times New Roman" w:hAnsi="Times New Roman" w:cs="Times New Roman"/>
          <w:sz w:val="24"/>
          <w:szCs w:val="24"/>
        </w:rPr>
        <w:t>unción</w:t>
      </w:r>
      <w:r w:rsidR="00591D80" w:rsidRPr="008C2070">
        <w:rPr>
          <w:rFonts w:ascii="Times New Roman" w:hAnsi="Times New Roman" w:cs="Times New Roman"/>
          <w:sz w:val="24"/>
          <w:szCs w:val="24"/>
        </w:rPr>
        <w:t xml:space="preserve"> </w:t>
      </w:r>
      <w:r w:rsidR="00AC6864" w:rsidRPr="008C2070">
        <w:rPr>
          <w:rFonts w:ascii="Times New Roman" w:hAnsi="Times New Roman" w:cs="Times New Roman"/>
          <w:sz w:val="24"/>
          <w:szCs w:val="24"/>
        </w:rPr>
        <w:t>d</w:t>
      </w:r>
      <w:r w:rsidR="00591D80" w:rsidRPr="008C2070">
        <w:rPr>
          <w:rFonts w:ascii="Times New Roman" w:hAnsi="Times New Roman" w:cs="Times New Roman"/>
          <w:sz w:val="24"/>
          <w:szCs w:val="24"/>
        </w:rPr>
        <w:t xml:space="preserve">e </w:t>
      </w:r>
      <w:r w:rsidR="00C76156" w:rsidRPr="008C2070">
        <w:rPr>
          <w:rFonts w:ascii="Times New Roman" w:hAnsi="Times New Roman" w:cs="Times New Roman"/>
          <w:sz w:val="24"/>
          <w:szCs w:val="24"/>
        </w:rPr>
        <w:t>crear o enumerar conceptos jurídicos indeterminados</w:t>
      </w:r>
      <w:r w:rsidR="00317CC4" w:rsidRPr="008C2070">
        <w:rPr>
          <w:rFonts w:ascii="Times New Roman" w:hAnsi="Times New Roman" w:cs="Times New Roman"/>
          <w:sz w:val="24"/>
          <w:szCs w:val="24"/>
        </w:rPr>
        <w:t xml:space="preserve"> que guíen actividades</w:t>
      </w:r>
      <w:r w:rsidR="00493F10" w:rsidRPr="008C2070">
        <w:rPr>
          <w:rFonts w:ascii="Times New Roman" w:hAnsi="Times New Roman" w:cs="Times New Roman"/>
          <w:sz w:val="24"/>
          <w:szCs w:val="24"/>
        </w:rPr>
        <w:t xml:space="preserve"> o de</w:t>
      </w:r>
      <w:r w:rsidR="00317CC4" w:rsidRPr="008C2070">
        <w:rPr>
          <w:rFonts w:ascii="Times New Roman" w:hAnsi="Times New Roman" w:cs="Times New Roman"/>
          <w:sz w:val="24"/>
          <w:szCs w:val="24"/>
        </w:rPr>
        <w:t xml:space="preserve"> </w:t>
      </w:r>
      <w:r w:rsidR="00C46264" w:rsidRPr="008C2070">
        <w:rPr>
          <w:rFonts w:ascii="Times New Roman" w:hAnsi="Times New Roman" w:cs="Times New Roman"/>
          <w:sz w:val="24"/>
          <w:szCs w:val="24"/>
        </w:rPr>
        <w:t>definir fines o valores superiores del ordenamiento</w:t>
      </w:r>
      <w:r w:rsidR="00493F10" w:rsidRPr="008C2070">
        <w:rPr>
          <w:rFonts w:ascii="Times New Roman" w:hAnsi="Times New Roman" w:cs="Times New Roman"/>
          <w:sz w:val="24"/>
          <w:szCs w:val="24"/>
        </w:rPr>
        <w:t xml:space="preserve">. En el caso donde </w:t>
      </w:r>
      <w:r w:rsidR="0007103C" w:rsidRPr="008C2070">
        <w:rPr>
          <w:rFonts w:ascii="Times New Roman" w:hAnsi="Times New Roman" w:cs="Times New Roman"/>
          <w:sz w:val="24"/>
          <w:szCs w:val="24"/>
        </w:rPr>
        <w:t>se determine que</w:t>
      </w:r>
      <w:r w:rsidR="00BE611F" w:rsidRPr="008C2070">
        <w:rPr>
          <w:rFonts w:ascii="Times New Roman" w:hAnsi="Times New Roman" w:cs="Times New Roman"/>
          <w:sz w:val="24"/>
          <w:szCs w:val="24"/>
        </w:rPr>
        <w:t>,</w:t>
      </w:r>
      <w:r w:rsidR="0007103C" w:rsidRPr="008C2070">
        <w:rPr>
          <w:rFonts w:ascii="Times New Roman" w:hAnsi="Times New Roman" w:cs="Times New Roman"/>
          <w:sz w:val="24"/>
          <w:szCs w:val="24"/>
        </w:rPr>
        <w:t xml:space="preserve"> lo</w:t>
      </w:r>
      <w:r w:rsidR="00591D80" w:rsidRPr="008C2070">
        <w:rPr>
          <w:rFonts w:ascii="Times New Roman" w:hAnsi="Times New Roman" w:cs="Times New Roman"/>
          <w:sz w:val="24"/>
          <w:szCs w:val="24"/>
        </w:rPr>
        <w:t xml:space="preserve"> que se necesita es una jur</w:t>
      </w:r>
      <w:r w:rsidR="0007103C" w:rsidRPr="008C2070">
        <w:rPr>
          <w:rFonts w:ascii="Times New Roman" w:hAnsi="Times New Roman" w:cs="Times New Roman"/>
          <w:sz w:val="24"/>
          <w:szCs w:val="24"/>
        </w:rPr>
        <w:t>isprudencia</w:t>
      </w:r>
      <w:r w:rsidR="00591D80" w:rsidRPr="008C2070">
        <w:rPr>
          <w:rFonts w:ascii="Times New Roman" w:hAnsi="Times New Roman" w:cs="Times New Roman"/>
          <w:sz w:val="24"/>
          <w:szCs w:val="24"/>
        </w:rPr>
        <w:t>, que funcione más como regla</w:t>
      </w:r>
      <w:r w:rsidR="00BE611F" w:rsidRPr="008C2070">
        <w:rPr>
          <w:rFonts w:ascii="Times New Roman" w:hAnsi="Times New Roman" w:cs="Times New Roman"/>
          <w:sz w:val="24"/>
          <w:szCs w:val="24"/>
        </w:rPr>
        <w:t>,</w:t>
      </w:r>
      <w:r w:rsidR="00591D80" w:rsidRPr="008C2070">
        <w:rPr>
          <w:rFonts w:ascii="Times New Roman" w:hAnsi="Times New Roman" w:cs="Times New Roman"/>
          <w:sz w:val="24"/>
          <w:szCs w:val="24"/>
        </w:rPr>
        <w:t xml:space="preserve"> </w:t>
      </w:r>
      <w:r w:rsidR="00614563" w:rsidRPr="008C2070">
        <w:rPr>
          <w:rFonts w:ascii="Times New Roman" w:hAnsi="Times New Roman" w:cs="Times New Roman"/>
          <w:sz w:val="24"/>
          <w:szCs w:val="24"/>
        </w:rPr>
        <w:t xml:space="preserve">se </w:t>
      </w:r>
      <w:r w:rsidR="00591D80" w:rsidRPr="008C2070">
        <w:rPr>
          <w:rFonts w:ascii="Times New Roman" w:hAnsi="Times New Roman" w:cs="Times New Roman"/>
          <w:sz w:val="24"/>
          <w:szCs w:val="24"/>
        </w:rPr>
        <w:t>aclar</w:t>
      </w:r>
      <w:r w:rsidR="0007103C" w:rsidRPr="008C2070">
        <w:rPr>
          <w:rFonts w:ascii="Times New Roman" w:hAnsi="Times New Roman" w:cs="Times New Roman"/>
          <w:sz w:val="24"/>
          <w:szCs w:val="24"/>
        </w:rPr>
        <w:t>ará</w:t>
      </w:r>
      <w:r w:rsidR="00591D80" w:rsidRPr="008C2070">
        <w:rPr>
          <w:rFonts w:ascii="Times New Roman" w:hAnsi="Times New Roman" w:cs="Times New Roman"/>
          <w:sz w:val="24"/>
          <w:szCs w:val="24"/>
        </w:rPr>
        <w:t>n</w:t>
      </w:r>
      <w:r w:rsidR="00C46264" w:rsidRPr="008C2070">
        <w:rPr>
          <w:rFonts w:ascii="Times New Roman" w:hAnsi="Times New Roman" w:cs="Times New Roman"/>
          <w:sz w:val="24"/>
          <w:szCs w:val="24"/>
        </w:rPr>
        <w:t xml:space="preserve"> conceptos que deberán ser aplicados de manera inequívoca.</w:t>
      </w:r>
      <w:r w:rsidR="00F80DC8" w:rsidRPr="008C2070">
        <w:rPr>
          <w:rFonts w:ascii="Times New Roman" w:hAnsi="Times New Roman" w:cs="Times New Roman"/>
          <w:sz w:val="24"/>
          <w:szCs w:val="24"/>
        </w:rPr>
        <w:t xml:space="preserve"> </w:t>
      </w:r>
      <w:r w:rsidR="009A7756" w:rsidRPr="008C2070">
        <w:rPr>
          <w:rFonts w:ascii="Times New Roman" w:hAnsi="Times New Roman" w:cs="Times New Roman"/>
          <w:sz w:val="24"/>
          <w:szCs w:val="24"/>
        </w:rPr>
        <w:t>Para los casos de aplicación de la jurisprudencia</w:t>
      </w:r>
      <w:r w:rsidR="00BE611F" w:rsidRPr="008C2070">
        <w:rPr>
          <w:rFonts w:ascii="Times New Roman" w:hAnsi="Times New Roman" w:cs="Times New Roman"/>
          <w:sz w:val="24"/>
          <w:szCs w:val="24"/>
        </w:rPr>
        <w:t>,</w:t>
      </w:r>
      <w:r w:rsidR="009A7756" w:rsidRPr="008C2070">
        <w:rPr>
          <w:rFonts w:ascii="Times New Roman" w:hAnsi="Times New Roman" w:cs="Times New Roman"/>
          <w:sz w:val="24"/>
          <w:szCs w:val="24"/>
        </w:rPr>
        <w:t xml:space="preserve"> las personas juzgadoras la tomarán como otro elemento más a utilizar en sus tareas de justificación de las decisiones.</w:t>
      </w:r>
    </w:p>
    <w:p w14:paraId="14428017" w14:textId="4E6C2EFF" w:rsidR="0029151C" w:rsidRDefault="009A7756"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 xml:space="preserve">En </w:t>
      </w:r>
      <w:r w:rsidR="002C1189" w:rsidRPr="008C2070">
        <w:rPr>
          <w:rFonts w:ascii="Times New Roman" w:hAnsi="Times New Roman" w:cs="Times New Roman"/>
          <w:sz w:val="24"/>
          <w:szCs w:val="24"/>
        </w:rPr>
        <w:t xml:space="preserve">el presente trabajo </w:t>
      </w:r>
      <w:r w:rsidRPr="008C2070">
        <w:rPr>
          <w:rFonts w:ascii="Times New Roman" w:hAnsi="Times New Roman" w:cs="Times New Roman"/>
          <w:sz w:val="24"/>
          <w:szCs w:val="24"/>
        </w:rPr>
        <w:t xml:space="preserve">se acepta </w:t>
      </w:r>
      <w:r w:rsidR="002C1189" w:rsidRPr="008C2070">
        <w:rPr>
          <w:rFonts w:ascii="Times New Roman" w:hAnsi="Times New Roman" w:cs="Times New Roman"/>
          <w:sz w:val="24"/>
          <w:szCs w:val="24"/>
        </w:rPr>
        <w:t xml:space="preserve">que </w:t>
      </w:r>
      <w:r w:rsidR="00AC292F" w:rsidRPr="008C2070">
        <w:rPr>
          <w:rFonts w:ascii="Times New Roman" w:hAnsi="Times New Roman" w:cs="Times New Roman"/>
          <w:sz w:val="24"/>
          <w:szCs w:val="24"/>
        </w:rPr>
        <w:t xml:space="preserve">las personas juzgadoras utilizan </w:t>
      </w:r>
      <w:r w:rsidR="000C517F" w:rsidRPr="008C2070">
        <w:rPr>
          <w:rFonts w:ascii="Times New Roman" w:hAnsi="Times New Roman" w:cs="Times New Roman"/>
          <w:sz w:val="24"/>
          <w:szCs w:val="24"/>
        </w:rPr>
        <w:t xml:space="preserve">principios y valores </w:t>
      </w:r>
      <w:r w:rsidR="009D31AE" w:rsidRPr="008C2070">
        <w:rPr>
          <w:rFonts w:ascii="Times New Roman" w:hAnsi="Times New Roman" w:cs="Times New Roman"/>
          <w:sz w:val="24"/>
          <w:szCs w:val="24"/>
        </w:rPr>
        <w:t xml:space="preserve">como </w:t>
      </w:r>
      <w:r w:rsidR="00ED6683" w:rsidRPr="008C2070">
        <w:rPr>
          <w:rFonts w:ascii="Times New Roman" w:hAnsi="Times New Roman" w:cs="Times New Roman"/>
          <w:sz w:val="24"/>
          <w:szCs w:val="24"/>
        </w:rPr>
        <w:t>razones de segundo orden</w:t>
      </w:r>
      <w:r w:rsidR="009D14B0" w:rsidRPr="008C2070">
        <w:rPr>
          <w:rFonts w:ascii="Times New Roman" w:hAnsi="Times New Roman" w:cs="Times New Roman"/>
          <w:sz w:val="24"/>
          <w:szCs w:val="24"/>
        </w:rPr>
        <w:t>,</w:t>
      </w:r>
      <w:r w:rsidR="00ED6683" w:rsidRPr="008C2070">
        <w:rPr>
          <w:rFonts w:ascii="Times New Roman" w:hAnsi="Times New Roman" w:cs="Times New Roman"/>
          <w:sz w:val="24"/>
          <w:szCs w:val="24"/>
        </w:rPr>
        <w:t xml:space="preserve"> </w:t>
      </w:r>
      <w:r w:rsidR="000C517F" w:rsidRPr="008C2070">
        <w:rPr>
          <w:rFonts w:ascii="Times New Roman" w:hAnsi="Times New Roman" w:cs="Times New Roman"/>
          <w:sz w:val="24"/>
          <w:szCs w:val="24"/>
        </w:rPr>
        <w:t>más allá del mero ejercicio del silogismo judicial</w:t>
      </w:r>
      <w:r w:rsidR="009D14B0" w:rsidRPr="008C2070">
        <w:rPr>
          <w:rFonts w:ascii="Times New Roman" w:hAnsi="Times New Roman" w:cs="Times New Roman"/>
          <w:sz w:val="24"/>
          <w:szCs w:val="24"/>
        </w:rPr>
        <w:t>,</w:t>
      </w:r>
      <w:r w:rsidR="000C517F" w:rsidRPr="008C2070">
        <w:rPr>
          <w:rFonts w:ascii="Times New Roman" w:hAnsi="Times New Roman" w:cs="Times New Roman"/>
          <w:sz w:val="24"/>
          <w:szCs w:val="24"/>
        </w:rPr>
        <w:t xml:space="preserve"> para resolver los casos</w:t>
      </w:r>
      <w:r w:rsidR="00AE36D5" w:rsidRPr="008C2070">
        <w:rPr>
          <w:rFonts w:ascii="Times New Roman" w:hAnsi="Times New Roman" w:cs="Times New Roman"/>
          <w:sz w:val="24"/>
          <w:szCs w:val="24"/>
        </w:rPr>
        <w:t xml:space="preserve"> inevitablemente indeterminados</w:t>
      </w:r>
      <w:r w:rsidR="00591918" w:rsidRPr="008C2070">
        <w:rPr>
          <w:rFonts w:ascii="Times New Roman" w:hAnsi="Times New Roman" w:cs="Times New Roman"/>
          <w:sz w:val="24"/>
          <w:szCs w:val="24"/>
        </w:rPr>
        <w:t xml:space="preserve"> como lo son los que </w:t>
      </w:r>
      <w:r w:rsidR="00FC3861" w:rsidRPr="008C2070">
        <w:rPr>
          <w:rFonts w:ascii="Times New Roman" w:hAnsi="Times New Roman" w:cs="Times New Roman"/>
          <w:sz w:val="24"/>
          <w:szCs w:val="24"/>
        </w:rPr>
        <w:t>se relacionan con derechos económicos, sociales y culturales</w:t>
      </w:r>
      <w:r w:rsidR="000C517F" w:rsidRPr="008C2070">
        <w:rPr>
          <w:rFonts w:ascii="Times New Roman" w:hAnsi="Times New Roman" w:cs="Times New Roman"/>
          <w:sz w:val="24"/>
          <w:szCs w:val="24"/>
        </w:rPr>
        <w:t>.</w:t>
      </w:r>
      <w:r w:rsidR="00AE36D5" w:rsidRPr="008C2070">
        <w:rPr>
          <w:rStyle w:val="Refdenotaalpie"/>
          <w:rFonts w:ascii="Times New Roman" w:hAnsi="Times New Roman" w:cs="Times New Roman"/>
          <w:sz w:val="24"/>
          <w:szCs w:val="24"/>
        </w:rPr>
        <w:footnoteReference w:id="17"/>
      </w:r>
      <w:r w:rsidR="00FC3861" w:rsidRPr="008C2070">
        <w:rPr>
          <w:rFonts w:ascii="Times New Roman" w:hAnsi="Times New Roman" w:cs="Times New Roman"/>
          <w:sz w:val="24"/>
          <w:szCs w:val="24"/>
        </w:rPr>
        <w:t xml:space="preserve"> </w:t>
      </w:r>
      <w:r w:rsidR="00557168" w:rsidRPr="008C2070">
        <w:rPr>
          <w:rFonts w:ascii="Times New Roman" w:hAnsi="Times New Roman" w:cs="Times New Roman"/>
          <w:sz w:val="24"/>
          <w:szCs w:val="24"/>
        </w:rPr>
        <w:t>Adicionalmente, se</w:t>
      </w:r>
      <w:r w:rsidRPr="008C2070">
        <w:rPr>
          <w:rFonts w:ascii="Times New Roman" w:hAnsi="Times New Roman" w:cs="Times New Roman"/>
          <w:sz w:val="24"/>
          <w:szCs w:val="24"/>
        </w:rPr>
        <w:t xml:space="preserve"> considera</w:t>
      </w:r>
      <w:r w:rsidR="00557168" w:rsidRPr="008C2070">
        <w:rPr>
          <w:rFonts w:ascii="Times New Roman" w:hAnsi="Times New Roman" w:cs="Times New Roman"/>
          <w:sz w:val="24"/>
          <w:szCs w:val="24"/>
        </w:rPr>
        <w:t xml:space="preserve"> que para </w:t>
      </w:r>
      <w:r w:rsidRPr="008C2070">
        <w:rPr>
          <w:rFonts w:ascii="Times New Roman" w:hAnsi="Times New Roman" w:cs="Times New Roman"/>
          <w:sz w:val="24"/>
          <w:szCs w:val="24"/>
        </w:rPr>
        <w:t xml:space="preserve">los casos de salud en los que existen todavía áreas importantes de definición, </w:t>
      </w:r>
      <w:r w:rsidR="00CA32A3" w:rsidRPr="008C2070">
        <w:rPr>
          <w:rFonts w:ascii="Times New Roman" w:hAnsi="Times New Roman" w:cs="Times New Roman"/>
          <w:sz w:val="24"/>
          <w:szCs w:val="24"/>
        </w:rPr>
        <w:t xml:space="preserve">las personas juzgadoras </w:t>
      </w:r>
      <w:r w:rsidRPr="008C2070">
        <w:rPr>
          <w:rFonts w:ascii="Times New Roman" w:hAnsi="Times New Roman" w:cs="Times New Roman"/>
          <w:sz w:val="24"/>
          <w:szCs w:val="24"/>
        </w:rPr>
        <w:t xml:space="preserve">en el ejercicio de creación de jurisprudencia </w:t>
      </w:r>
      <w:r w:rsidR="00CA32A3" w:rsidRPr="008C2070">
        <w:rPr>
          <w:rFonts w:ascii="Times New Roman" w:hAnsi="Times New Roman" w:cs="Times New Roman"/>
          <w:sz w:val="24"/>
          <w:szCs w:val="24"/>
        </w:rPr>
        <w:t>deben</w:t>
      </w:r>
      <w:r w:rsidRPr="008C2070">
        <w:rPr>
          <w:rFonts w:ascii="Times New Roman" w:hAnsi="Times New Roman" w:cs="Times New Roman"/>
          <w:sz w:val="24"/>
          <w:szCs w:val="24"/>
        </w:rPr>
        <w:t xml:space="preserve"> buscar que esta funcione más </w:t>
      </w:r>
      <w:r w:rsidRPr="008C2070">
        <w:rPr>
          <w:rFonts w:ascii="Times New Roman" w:hAnsi="Times New Roman" w:cs="Times New Roman"/>
          <w:sz w:val="24"/>
          <w:szCs w:val="24"/>
        </w:rPr>
        <w:lastRenderedPageBreak/>
        <w:t>como principio que como regla</w:t>
      </w:r>
      <w:r w:rsidR="00CA32A3" w:rsidRPr="008C2070">
        <w:rPr>
          <w:rFonts w:ascii="Times New Roman" w:hAnsi="Times New Roman" w:cs="Times New Roman"/>
          <w:sz w:val="24"/>
          <w:szCs w:val="24"/>
        </w:rPr>
        <w:t>, salvo en aquellos casos inequívocos generalmente relacionados con la aplicación de normas de naturaleza procesal</w:t>
      </w:r>
      <w:r w:rsidRPr="008C2070">
        <w:rPr>
          <w:rFonts w:ascii="Times New Roman" w:hAnsi="Times New Roman" w:cs="Times New Roman"/>
          <w:sz w:val="24"/>
          <w:szCs w:val="24"/>
        </w:rPr>
        <w:t xml:space="preserve">. </w:t>
      </w:r>
    </w:p>
    <w:p w14:paraId="2753C67A" w14:textId="77777777" w:rsidR="008C2070" w:rsidRPr="008C2070" w:rsidRDefault="008C2070" w:rsidP="008C2070">
      <w:pPr>
        <w:spacing w:beforeLines="120" w:before="288" w:afterLines="120" w:after="288" w:line="276" w:lineRule="auto"/>
        <w:jc w:val="both"/>
        <w:rPr>
          <w:rFonts w:ascii="Times New Roman" w:hAnsi="Times New Roman" w:cs="Times New Roman"/>
          <w:sz w:val="24"/>
          <w:szCs w:val="24"/>
        </w:rPr>
      </w:pPr>
    </w:p>
    <w:p w14:paraId="52E21CB8" w14:textId="1B4B0D8B" w:rsidR="0041711D" w:rsidRPr="00F60289" w:rsidRDefault="00F60289" w:rsidP="00F60289">
      <w:pPr>
        <w:spacing w:beforeLines="120" w:before="288" w:afterLines="120" w:after="288" w:line="276" w:lineRule="auto"/>
        <w:jc w:val="both"/>
        <w:rPr>
          <w:rFonts w:ascii="Times New Roman" w:hAnsi="Times New Roman" w:cs="Times New Roman"/>
          <w:b/>
          <w:bCs/>
          <w:sz w:val="24"/>
          <w:szCs w:val="24"/>
        </w:rPr>
      </w:pPr>
      <w:r w:rsidRPr="00F60289">
        <w:rPr>
          <w:rFonts w:ascii="Times New Roman" w:hAnsi="Times New Roman" w:cs="Times New Roman"/>
          <w:b/>
          <w:bCs/>
          <w:sz w:val="24"/>
          <w:szCs w:val="24"/>
        </w:rPr>
        <w:t xml:space="preserve">3. </w:t>
      </w:r>
      <w:r w:rsidR="0041711D" w:rsidRPr="00F60289">
        <w:rPr>
          <w:rFonts w:ascii="Times New Roman" w:hAnsi="Times New Roman" w:cs="Times New Roman"/>
          <w:b/>
          <w:bCs/>
          <w:sz w:val="24"/>
          <w:szCs w:val="24"/>
        </w:rPr>
        <w:t xml:space="preserve">La evolución de la jurisprudencia </w:t>
      </w:r>
      <w:r w:rsidR="006357A5" w:rsidRPr="00F60289">
        <w:rPr>
          <w:rFonts w:ascii="Times New Roman" w:hAnsi="Times New Roman" w:cs="Times New Roman"/>
          <w:b/>
          <w:bCs/>
          <w:sz w:val="24"/>
          <w:szCs w:val="24"/>
        </w:rPr>
        <w:t xml:space="preserve">y tesis aisladas </w:t>
      </w:r>
      <w:r w:rsidR="009B3E08" w:rsidRPr="00F60289">
        <w:rPr>
          <w:rFonts w:ascii="Times New Roman" w:hAnsi="Times New Roman" w:cs="Times New Roman"/>
          <w:b/>
          <w:bCs/>
          <w:sz w:val="24"/>
          <w:szCs w:val="24"/>
        </w:rPr>
        <w:t xml:space="preserve">en </w:t>
      </w:r>
      <w:r w:rsidR="00B303BB" w:rsidRPr="00F60289">
        <w:rPr>
          <w:rFonts w:ascii="Times New Roman" w:hAnsi="Times New Roman" w:cs="Times New Roman"/>
          <w:b/>
          <w:bCs/>
          <w:sz w:val="24"/>
          <w:szCs w:val="24"/>
        </w:rPr>
        <w:t xml:space="preserve">materia de </w:t>
      </w:r>
      <w:r w:rsidR="009B3E08" w:rsidRPr="00F60289">
        <w:rPr>
          <w:rFonts w:ascii="Times New Roman" w:hAnsi="Times New Roman" w:cs="Times New Roman"/>
          <w:b/>
          <w:bCs/>
          <w:sz w:val="24"/>
          <w:szCs w:val="24"/>
        </w:rPr>
        <w:t xml:space="preserve">salud </w:t>
      </w:r>
      <w:r w:rsidR="0041711D" w:rsidRPr="00F60289">
        <w:rPr>
          <w:rFonts w:ascii="Times New Roman" w:hAnsi="Times New Roman" w:cs="Times New Roman"/>
          <w:b/>
          <w:bCs/>
          <w:sz w:val="24"/>
          <w:szCs w:val="24"/>
        </w:rPr>
        <w:t xml:space="preserve">de la Suprema Corte de Justicia de la Nación y los órganos jurisdiccionales </w:t>
      </w:r>
      <w:r w:rsidR="00B51DA9" w:rsidRPr="00F60289">
        <w:rPr>
          <w:rFonts w:ascii="Times New Roman" w:hAnsi="Times New Roman" w:cs="Times New Roman"/>
          <w:b/>
          <w:bCs/>
          <w:sz w:val="24"/>
          <w:szCs w:val="24"/>
        </w:rPr>
        <w:t>mexicanos</w:t>
      </w:r>
    </w:p>
    <w:p w14:paraId="057F8203" w14:textId="7955E4AF" w:rsidR="00073B2F" w:rsidRPr="008C2070" w:rsidRDefault="004F45B3"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 xml:space="preserve">Para </w:t>
      </w:r>
      <w:r w:rsidR="00090DDB" w:rsidRPr="008C2070">
        <w:rPr>
          <w:rFonts w:ascii="Times New Roman" w:hAnsi="Times New Roman" w:cs="Times New Roman"/>
          <w:sz w:val="24"/>
          <w:szCs w:val="24"/>
        </w:rPr>
        <w:t xml:space="preserve">el </w:t>
      </w:r>
      <w:r w:rsidR="006357A5" w:rsidRPr="008C2070">
        <w:rPr>
          <w:rFonts w:ascii="Times New Roman" w:hAnsi="Times New Roman" w:cs="Times New Roman"/>
          <w:sz w:val="24"/>
          <w:szCs w:val="24"/>
        </w:rPr>
        <w:t>derecho a la protección de la salud</w:t>
      </w:r>
      <w:r w:rsidR="007D4021" w:rsidRPr="008C2070">
        <w:rPr>
          <w:rFonts w:ascii="Times New Roman" w:hAnsi="Times New Roman" w:cs="Times New Roman"/>
          <w:sz w:val="24"/>
          <w:szCs w:val="24"/>
        </w:rPr>
        <w:t xml:space="preserve">, </w:t>
      </w:r>
      <w:r w:rsidR="00090DDB" w:rsidRPr="008C2070">
        <w:rPr>
          <w:rFonts w:ascii="Times New Roman" w:hAnsi="Times New Roman" w:cs="Times New Roman"/>
          <w:sz w:val="24"/>
          <w:szCs w:val="24"/>
        </w:rPr>
        <w:t xml:space="preserve">las interpretaciones contenidas tanto en la </w:t>
      </w:r>
      <w:r w:rsidR="006357A5" w:rsidRPr="008C2070">
        <w:rPr>
          <w:rFonts w:ascii="Times New Roman" w:hAnsi="Times New Roman" w:cs="Times New Roman"/>
          <w:sz w:val="24"/>
          <w:szCs w:val="24"/>
        </w:rPr>
        <w:t>jurisprudencia</w:t>
      </w:r>
      <w:r w:rsidR="007D4021" w:rsidRPr="008C2070">
        <w:rPr>
          <w:rFonts w:ascii="Times New Roman" w:hAnsi="Times New Roman" w:cs="Times New Roman"/>
          <w:sz w:val="24"/>
          <w:szCs w:val="24"/>
        </w:rPr>
        <w:t xml:space="preserve"> como</w:t>
      </w:r>
      <w:r w:rsidR="00090DDB" w:rsidRPr="008C2070">
        <w:rPr>
          <w:rFonts w:ascii="Times New Roman" w:hAnsi="Times New Roman" w:cs="Times New Roman"/>
          <w:sz w:val="24"/>
          <w:szCs w:val="24"/>
        </w:rPr>
        <w:t xml:space="preserve"> en</w:t>
      </w:r>
      <w:r w:rsidR="006357A5" w:rsidRPr="008C2070">
        <w:rPr>
          <w:rFonts w:ascii="Times New Roman" w:hAnsi="Times New Roman" w:cs="Times New Roman"/>
          <w:sz w:val="24"/>
          <w:szCs w:val="24"/>
        </w:rPr>
        <w:t xml:space="preserve"> las tesis aisladas </w:t>
      </w:r>
      <w:r w:rsidR="006E1DA1" w:rsidRPr="008C2070">
        <w:rPr>
          <w:rFonts w:ascii="Times New Roman" w:hAnsi="Times New Roman" w:cs="Times New Roman"/>
          <w:sz w:val="24"/>
          <w:szCs w:val="24"/>
        </w:rPr>
        <w:t xml:space="preserve">han marcado </w:t>
      </w:r>
      <w:r w:rsidR="00C2150C" w:rsidRPr="008C2070">
        <w:rPr>
          <w:rFonts w:ascii="Times New Roman" w:hAnsi="Times New Roman" w:cs="Times New Roman"/>
          <w:sz w:val="24"/>
          <w:szCs w:val="24"/>
        </w:rPr>
        <w:t>su</w:t>
      </w:r>
      <w:r w:rsidR="00090DDB" w:rsidRPr="008C2070">
        <w:rPr>
          <w:rFonts w:ascii="Times New Roman" w:hAnsi="Times New Roman" w:cs="Times New Roman"/>
          <w:sz w:val="24"/>
          <w:szCs w:val="24"/>
        </w:rPr>
        <w:t xml:space="preserve"> </w:t>
      </w:r>
      <w:r w:rsidRPr="008C2070">
        <w:rPr>
          <w:rFonts w:ascii="Times New Roman" w:hAnsi="Times New Roman" w:cs="Times New Roman"/>
          <w:sz w:val="24"/>
          <w:szCs w:val="24"/>
        </w:rPr>
        <w:t>contenido</w:t>
      </w:r>
      <w:r w:rsidR="00AE2BA7" w:rsidRPr="008C2070">
        <w:rPr>
          <w:rFonts w:ascii="Times New Roman" w:hAnsi="Times New Roman" w:cs="Times New Roman"/>
          <w:sz w:val="24"/>
          <w:szCs w:val="24"/>
        </w:rPr>
        <w:t>, alcance y</w:t>
      </w:r>
      <w:r w:rsidR="00C2150C" w:rsidRPr="008C2070">
        <w:rPr>
          <w:rFonts w:ascii="Times New Roman" w:hAnsi="Times New Roman" w:cs="Times New Roman"/>
          <w:sz w:val="24"/>
          <w:szCs w:val="24"/>
        </w:rPr>
        <w:t xml:space="preserve"> el tipo de </w:t>
      </w:r>
      <w:r w:rsidR="00033A52" w:rsidRPr="008C2070">
        <w:rPr>
          <w:rFonts w:ascii="Times New Roman" w:hAnsi="Times New Roman" w:cs="Times New Roman"/>
          <w:sz w:val="24"/>
          <w:szCs w:val="24"/>
        </w:rPr>
        <w:t>obligaciones estatales</w:t>
      </w:r>
      <w:r w:rsidR="00AE2BA7" w:rsidRPr="008C2070">
        <w:rPr>
          <w:rFonts w:ascii="Times New Roman" w:hAnsi="Times New Roman" w:cs="Times New Roman"/>
          <w:sz w:val="24"/>
          <w:szCs w:val="24"/>
        </w:rPr>
        <w:t xml:space="preserve"> que garanticen su tutela.</w:t>
      </w:r>
      <w:r w:rsidR="00F1497A" w:rsidRPr="008C2070">
        <w:rPr>
          <w:rFonts w:ascii="Times New Roman" w:hAnsi="Times New Roman" w:cs="Times New Roman"/>
          <w:sz w:val="24"/>
          <w:szCs w:val="24"/>
        </w:rPr>
        <w:t xml:space="preserve"> Sin estas </w:t>
      </w:r>
      <w:r w:rsidR="00073B2F" w:rsidRPr="008C2070">
        <w:rPr>
          <w:rFonts w:ascii="Times New Roman" w:hAnsi="Times New Roman" w:cs="Times New Roman"/>
          <w:sz w:val="24"/>
          <w:szCs w:val="24"/>
        </w:rPr>
        <w:t>interpretaciones</w:t>
      </w:r>
      <w:r w:rsidR="00F1497A" w:rsidRPr="008C2070">
        <w:rPr>
          <w:rFonts w:ascii="Times New Roman" w:hAnsi="Times New Roman" w:cs="Times New Roman"/>
          <w:sz w:val="24"/>
          <w:szCs w:val="24"/>
        </w:rPr>
        <w:t xml:space="preserve"> judiciales los límites de</w:t>
      </w:r>
      <w:r w:rsidR="00BA6A0D" w:rsidRPr="008C2070">
        <w:rPr>
          <w:rFonts w:ascii="Times New Roman" w:hAnsi="Times New Roman" w:cs="Times New Roman"/>
          <w:sz w:val="24"/>
          <w:szCs w:val="24"/>
        </w:rPr>
        <w:t xml:space="preserve"> dicho </w:t>
      </w:r>
      <w:r w:rsidR="00F1497A" w:rsidRPr="008C2070">
        <w:rPr>
          <w:rFonts w:ascii="Times New Roman" w:hAnsi="Times New Roman" w:cs="Times New Roman"/>
          <w:sz w:val="24"/>
          <w:szCs w:val="24"/>
        </w:rPr>
        <w:t xml:space="preserve">derecho </w:t>
      </w:r>
      <w:r w:rsidR="00073B2F" w:rsidRPr="008C2070">
        <w:rPr>
          <w:rFonts w:ascii="Times New Roman" w:hAnsi="Times New Roman" w:cs="Times New Roman"/>
          <w:sz w:val="24"/>
          <w:szCs w:val="24"/>
        </w:rPr>
        <w:t>se encontrarían aún más difusos si se atiende solamente a lo est</w:t>
      </w:r>
      <w:r w:rsidR="00251043" w:rsidRPr="008C2070">
        <w:rPr>
          <w:rFonts w:ascii="Times New Roman" w:hAnsi="Times New Roman" w:cs="Times New Roman"/>
          <w:sz w:val="24"/>
          <w:szCs w:val="24"/>
        </w:rPr>
        <w:t xml:space="preserve">ipulado </w:t>
      </w:r>
      <w:r w:rsidR="00073B2F" w:rsidRPr="008C2070">
        <w:rPr>
          <w:rFonts w:ascii="Times New Roman" w:hAnsi="Times New Roman" w:cs="Times New Roman"/>
          <w:sz w:val="24"/>
          <w:szCs w:val="24"/>
        </w:rPr>
        <w:t xml:space="preserve">por la Constitución Política de los Estados Unidos Mexicanos (CPEUM), los tratados, </w:t>
      </w:r>
      <w:r w:rsidR="00251043" w:rsidRPr="008C2070">
        <w:rPr>
          <w:rFonts w:ascii="Times New Roman" w:hAnsi="Times New Roman" w:cs="Times New Roman"/>
          <w:sz w:val="24"/>
          <w:szCs w:val="24"/>
        </w:rPr>
        <w:t xml:space="preserve">las </w:t>
      </w:r>
      <w:r w:rsidR="00073B2F" w:rsidRPr="008C2070">
        <w:rPr>
          <w:rFonts w:ascii="Times New Roman" w:hAnsi="Times New Roman" w:cs="Times New Roman"/>
          <w:sz w:val="24"/>
          <w:szCs w:val="24"/>
        </w:rPr>
        <w:t>observaciones y a</w:t>
      </w:r>
      <w:r w:rsidR="00251043" w:rsidRPr="008C2070">
        <w:rPr>
          <w:rFonts w:ascii="Times New Roman" w:hAnsi="Times New Roman" w:cs="Times New Roman"/>
          <w:sz w:val="24"/>
          <w:szCs w:val="24"/>
        </w:rPr>
        <w:t xml:space="preserve"> </w:t>
      </w:r>
      <w:r w:rsidR="00073B2F" w:rsidRPr="008C2070">
        <w:rPr>
          <w:rFonts w:ascii="Times New Roman" w:hAnsi="Times New Roman" w:cs="Times New Roman"/>
          <w:sz w:val="24"/>
          <w:szCs w:val="24"/>
        </w:rPr>
        <w:t xml:space="preserve">la Ley General de Salud. </w:t>
      </w:r>
      <w:r w:rsidR="00400EF9" w:rsidRPr="008C2070">
        <w:rPr>
          <w:rFonts w:ascii="Times New Roman" w:hAnsi="Times New Roman" w:cs="Times New Roman"/>
          <w:sz w:val="24"/>
          <w:szCs w:val="24"/>
        </w:rPr>
        <w:t xml:space="preserve">Es relevante mencionar que en México se reconoce el derecho de toda persona en territorio nacional a la protección de </w:t>
      </w:r>
      <w:r w:rsidR="005A1594" w:rsidRPr="008C2070">
        <w:rPr>
          <w:rFonts w:ascii="Times New Roman" w:hAnsi="Times New Roman" w:cs="Times New Roman"/>
          <w:sz w:val="24"/>
          <w:szCs w:val="24"/>
        </w:rPr>
        <w:t>su</w:t>
      </w:r>
      <w:r w:rsidR="00400EF9" w:rsidRPr="008C2070">
        <w:rPr>
          <w:rFonts w:ascii="Times New Roman" w:hAnsi="Times New Roman" w:cs="Times New Roman"/>
          <w:sz w:val="24"/>
          <w:szCs w:val="24"/>
        </w:rPr>
        <w:t xml:space="preserve"> salud</w:t>
      </w:r>
      <w:r w:rsidR="00BA6A0D" w:rsidRPr="008C2070">
        <w:rPr>
          <w:rStyle w:val="Refdenotaalpie"/>
          <w:rFonts w:ascii="Times New Roman" w:hAnsi="Times New Roman" w:cs="Times New Roman"/>
          <w:sz w:val="24"/>
          <w:szCs w:val="24"/>
        </w:rPr>
        <w:footnoteReference w:id="18"/>
      </w:r>
      <w:r w:rsidR="00403578" w:rsidRPr="008C2070">
        <w:rPr>
          <w:rFonts w:ascii="Times New Roman" w:hAnsi="Times New Roman" w:cs="Times New Roman"/>
          <w:sz w:val="24"/>
          <w:szCs w:val="24"/>
        </w:rPr>
        <w:t xml:space="preserve"> en los términos de lo mandatado por los tratados internacionales de los cuales el </w:t>
      </w:r>
      <w:r w:rsidR="009D14B0" w:rsidRPr="008C2070">
        <w:rPr>
          <w:rFonts w:ascii="Times New Roman" w:hAnsi="Times New Roman" w:cs="Times New Roman"/>
          <w:sz w:val="24"/>
          <w:szCs w:val="24"/>
        </w:rPr>
        <w:t>E</w:t>
      </w:r>
      <w:r w:rsidR="00403578" w:rsidRPr="008C2070">
        <w:rPr>
          <w:rFonts w:ascii="Times New Roman" w:hAnsi="Times New Roman" w:cs="Times New Roman"/>
          <w:sz w:val="24"/>
          <w:szCs w:val="24"/>
        </w:rPr>
        <w:t xml:space="preserve">stado mexicano es parte y con base en lo estipulado por la ley de la materia. </w:t>
      </w:r>
      <w:r w:rsidR="002C13A2" w:rsidRPr="008C2070">
        <w:rPr>
          <w:rFonts w:ascii="Times New Roman" w:hAnsi="Times New Roman" w:cs="Times New Roman"/>
          <w:sz w:val="24"/>
          <w:szCs w:val="24"/>
        </w:rPr>
        <w:t>En este sentido en la Ley General de Salud se adopta la definición de salud creada por la Organización Mundial de la Salud</w:t>
      </w:r>
      <w:r w:rsidR="009D14B0" w:rsidRPr="008C2070">
        <w:rPr>
          <w:rFonts w:ascii="Times New Roman" w:hAnsi="Times New Roman" w:cs="Times New Roman"/>
          <w:sz w:val="24"/>
          <w:szCs w:val="24"/>
        </w:rPr>
        <w:t xml:space="preserve"> (OMS)</w:t>
      </w:r>
      <w:r w:rsidR="002C13A2" w:rsidRPr="008C2070">
        <w:rPr>
          <w:rFonts w:ascii="Times New Roman" w:hAnsi="Times New Roman" w:cs="Times New Roman"/>
          <w:sz w:val="24"/>
          <w:szCs w:val="24"/>
        </w:rPr>
        <w:t xml:space="preserve"> </w:t>
      </w:r>
      <w:r w:rsidR="00CE6622" w:rsidRPr="008C2070">
        <w:rPr>
          <w:rFonts w:ascii="Times New Roman" w:hAnsi="Times New Roman" w:cs="Times New Roman"/>
          <w:sz w:val="24"/>
          <w:szCs w:val="24"/>
        </w:rPr>
        <w:t>en la que se entiende por salud al estado completo de bienestar, físico, mental y social y no solamente la ausencia de enfermedades.</w:t>
      </w:r>
      <w:r w:rsidR="00CE6622" w:rsidRPr="008C2070">
        <w:rPr>
          <w:rStyle w:val="Refdenotaalpie"/>
          <w:rFonts w:ascii="Times New Roman" w:hAnsi="Times New Roman" w:cs="Times New Roman"/>
          <w:sz w:val="24"/>
          <w:szCs w:val="24"/>
        </w:rPr>
        <w:footnoteReference w:id="19"/>
      </w:r>
      <w:r w:rsidR="005807A6" w:rsidRPr="008C2070">
        <w:rPr>
          <w:rFonts w:ascii="Times New Roman" w:hAnsi="Times New Roman" w:cs="Times New Roman"/>
          <w:sz w:val="24"/>
          <w:szCs w:val="24"/>
        </w:rPr>
        <w:t xml:space="preserve"> Con base en lo anterior, en México se garantiza entonces el derecho a la protección</w:t>
      </w:r>
      <w:r w:rsidR="0092112D" w:rsidRPr="008C2070">
        <w:rPr>
          <w:rFonts w:ascii="Times New Roman" w:hAnsi="Times New Roman" w:cs="Times New Roman"/>
          <w:sz w:val="24"/>
          <w:szCs w:val="24"/>
        </w:rPr>
        <w:t xml:space="preserve"> </w:t>
      </w:r>
      <w:r w:rsidR="005807A6" w:rsidRPr="008C2070">
        <w:rPr>
          <w:rFonts w:ascii="Times New Roman" w:hAnsi="Times New Roman" w:cs="Times New Roman"/>
          <w:sz w:val="24"/>
          <w:szCs w:val="24"/>
        </w:rPr>
        <w:t xml:space="preserve">de dicho estado completo </w:t>
      </w:r>
      <w:r w:rsidR="0092112D" w:rsidRPr="008C2070">
        <w:rPr>
          <w:rFonts w:ascii="Times New Roman" w:hAnsi="Times New Roman" w:cs="Times New Roman"/>
          <w:sz w:val="24"/>
          <w:szCs w:val="24"/>
        </w:rPr>
        <w:t xml:space="preserve">de bienestar físico, mental y social, </w:t>
      </w:r>
      <w:r w:rsidR="00397E35" w:rsidRPr="008C2070">
        <w:rPr>
          <w:rFonts w:ascii="Times New Roman" w:hAnsi="Times New Roman" w:cs="Times New Roman"/>
          <w:sz w:val="24"/>
          <w:szCs w:val="24"/>
        </w:rPr>
        <w:t xml:space="preserve">a través de </w:t>
      </w:r>
      <w:r w:rsidR="0092112D" w:rsidRPr="008C2070">
        <w:rPr>
          <w:rFonts w:ascii="Times New Roman" w:hAnsi="Times New Roman" w:cs="Times New Roman"/>
          <w:sz w:val="24"/>
          <w:szCs w:val="24"/>
        </w:rPr>
        <w:t xml:space="preserve">actividades que el </w:t>
      </w:r>
      <w:r w:rsidR="009D14B0" w:rsidRPr="008C2070">
        <w:rPr>
          <w:rFonts w:ascii="Times New Roman" w:hAnsi="Times New Roman" w:cs="Times New Roman"/>
          <w:sz w:val="24"/>
          <w:szCs w:val="24"/>
        </w:rPr>
        <w:t>E</w:t>
      </w:r>
      <w:r w:rsidR="0092112D" w:rsidRPr="008C2070">
        <w:rPr>
          <w:rFonts w:ascii="Times New Roman" w:hAnsi="Times New Roman" w:cs="Times New Roman"/>
          <w:sz w:val="24"/>
          <w:szCs w:val="24"/>
        </w:rPr>
        <w:t xml:space="preserve">stado deberá realizar con base en el máximo de los recursos disponibles, </w:t>
      </w:r>
      <w:r w:rsidR="00397E35" w:rsidRPr="008C2070">
        <w:rPr>
          <w:rFonts w:ascii="Times New Roman" w:hAnsi="Times New Roman" w:cs="Times New Roman"/>
          <w:sz w:val="24"/>
          <w:szCs w:val="24"/>
        </w:rPr>
        <w:t xml:space="preserve">que garanticen </w:t>
      </w:r>
      <w:r w:rsidR="0092112D" w:rsidRPr="008C2070">
        <w:rPr>
          <w:rFonts w:ascii="Times New Roman" w:hAnsi="Times New Roman" w:cs="Times New Roman"/>
          <w:sz w:val="24"/>
          <w:szCs w:val="24"/>
        </w:rPr>
        <w:t xml:space="preserve">un mínimo vital y </w:t>
      </w:r>
      <w:r w:rsidR="00397E35" w:rsidRPr="008C2070">
        <w:rPr>
          <w:rFonts w:ascii="Times New Roman" w:hAnsi="Times New Roman" w:cs="Times New Roman"/>
          <w:sz w:val="24"/>
          <w:szCs w:val="24"/>
        </w:rPr>
        <w:t xml:space="preserve">consideren </w:t>
      </w:r>
      <w:r w:rsidR="001B5711" w:rsidRPr="008C2070">
        <w:rPr>
          <w:rFonts w:ascii="Times New Roman" w:hAnsi="Times New Roman" w:cs="Times New Roman"/>
          <w:sz w:val="24"/>
          <w:szCs w:val="24"/>
        </w:rPr>
        <w:t>los elementos de disponibilidad, accesibilidad, aceptabilidad y calidad</w:t>
      </w:r>
      <w:r w:rsidR="001B5711" w:rsidRPr="008C2070">
        <w:rPr>
          <w:rStyle w:val="Refdenotaalpie"/>
          <w:rFonts w:ascii="Times New Roman" w:hAnsi="Times New Roman" w:cs="Times New Roman"/>
          <w:sz w:val="24"/>
          <w:szCs w:val="24"/>
        </w:rPr>
        <w:footnoteReference w:id="20"/>
      </w:r>
      <w:r w:rsidR="001B5711" w:rsidRPr="008C2070">
        <w:rPr>
          <w:rFonts w:ascii="Times New Roman" w:hAnsi="Times New Roman" w:cs="Times New Roman"/>
          <w:sz w:val="24"/>
          <w:szCs w:val="24"/>
        </w:rPr>
        <w:t>.</w:t>
      </w:r>
    </w:p>
    <w:p w14:paraId="21914D3F" w14:textId="0FC248B1" w:rsidR="00D71BE1" w:rsidRPr="008C2070" w:rsidRDefault="00654AE8"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Como se apuntaba anteriormente, el establecimiento o integración de jurisprudencia dependerá del tipo de casos que sean de conocimiento de los tribunales encargados de estudiarlos</w:t>
      </w:r>
      <w:r w:rsidR="0044413A" w:rsidRPr="008C2070">
        <w:rPr>
          <w:rFonts w:ascii="Times New Roman" w:hAnsi="Times New Roman" w:cs="Times New Roman"/>
          <w:sz w:val="24"/>
          <w:szCs w:val="24"/>
        </w:rPr>
        <w:t xml:space="preserve"> y de la forma en la que los tribunales decidan analizarlos, juzgarlos y sentar una interpretación</w:t>
      </w:r>
      <w:r w:rsidR="000D35C4" w:rsidRPr="008C2070">
        <w:rPr>
          <w:rFonts w:ascii="Times New Roman" w:hAnsi="Times New Roman" w:cs="Times New Roman"/>
          <w:sz w:val="24"/>
          <w:szCs w:val="24"/>
        </w:rPr>
        <w:t>.</w:t>
      </w:r>
      <w:r w:rsidR="00397E35" w:rsidRPr="008C2070">
        <w:rPr>
          <w:rFonts w:ascii="Times New Roman" w:hAnsi="Times New Roman" w:cs="Times New Roman"/>
          <w:sz w:val="24"/>
          <w:szCs w:val="24"/>
        </w:rPr>
        <w:t xml:space="preserve"> Asimismo, </w:t>
      </w:r>
      <w:r w:rsidR="00F8330B" w:rsidRPr="008C2070">
        <w:rPr>
          <w:rFonts w:ascii="Times New Roman" w:hAnsi="Times New Roman" w:cs="Times New Roman"/>
          <w:sz w:val="24"/>
          <w:szCs w:val="24"/>
        </w:rPr>
        <w:t xml:space="preserve">el contenido de esta se ligará a la posibilidad que se tenga de asentar o crear un criterio general y a la serie de </w:t>
      </w:r>
      <w:r w:rsidR="00065090" w:rsidRPr="008C2070">
        <w:rPr>
          <w:rFonts w:ascii="Times New Roman" w:hAnsi="Times New Roman" w:cs="Times New Roman"/>
          <w:sz w:val="24"/>
          <w:szCs w:val="24"/>
        </w:rPr>
        <w:t>consecuencias jurídicas</w:t>
      </w:r>
      <w:r w:rsidR="00F8330B" w:rsidRPr="008C2070">
        <w:rPr>
          <w:rFonts w:ascii="Times New Roman" w:hAnsi="Times New Roman" w:cs="Times New Roman"/>
          <w:sz w:val="24"/>
          <w:szCs w:val="24"/>
        </w:rPr>
        <w:t xml:space="preserve"> y </w:t>
      </w:r>
      <w:r w:rsidR="00065090" w:rsidRPr="008C2070">
        <w:rPr>
          <w:rFonts w:ascii="Times New Roman" w:hAnsi="Times New Roman" w:cs="Times New Roman"/>
          <w:sz w:val="24"/>
          <w:szCs w:val="24"/>
        </w:rPr>
        <w:t>extrajurídicas</w:t>
      </w:r>
      <w:r w:rsidR="00F8330B" w:rsidRPr="008C2070">
        <w:rPr>
          <w:rFonts w:ascii="Times New Roman" w:hAnsi="Times New Roman" w:cs="Times New Roman"/>
          <w:sz w:val="24"/>
          <w:szCs w:val="24"/>
        </w:rPr>
        <w:t xml:space="preserve"> que consideren los </w:t>
      </w:r>
      <w:r w:rsidR="008C2374" w:rsidRPr="008C2070">
        <w:rPr>
          <w:rFonts w:ascii="Times New Roman" w:hAnsi="Times New Roman" w:cs="Times New Roman"/>
          <w:sz w:val="24"/>
          <w:szCs w:val="24"/>
        </w:rPr>
        <w:t>jueces a la hora de fallar.</w:t>
      </w:r>
      <w:r w:rsidR="008C2374" w:rsidRPr="008C2070">
        <w:rPr>
          <w:rStyle w:val="Refdenotaalpie"/>
          <w:rFonts w:ascii="Times New Roman" w:hAnsi="Times New Roman" w:cs="Times New Roman"/>
          <w:sz w:val="24"/>
          <w:szCs w:val="24"/>
        </w:rPr>
        <w:footnoteReference w:id="21"/>
      </w:r>
      <w:r w:rsidR="000D35C4" w:rsidRPr="008C2070">
        <w:rPr>
          <w:rFonts w:ascii="Times New Roman" w:hAnsi="Times New Roman" w:cs="Times New Roman"/>
          <w:sz w:val="24"/>
          <w:szCs w:val="24"/>
        </w:rPr>
        <w:t xml:space="preserve"> </w:t>
      </w:r>
      <w:r w:rsidR="007E01A3" w:rsidRPr="008C2070">
        <w:rPr>
          <w:rFonts w:ascii="Times New Roman" w:hAnsi="Times New Roman" w:cs="Times New Roman"/>
          <w:sz w:val="24"/>
          <w:szCs w:val="24"/>
        </w:rPr>
        <w:t xml:space="preserve">El tipo de casos que son de conocimiento de la SCJN </w:t>
      </w:r>
      <w:r w:rsidR="00065090" w:rsidRPr="008C2070">
        <w:rPr>
          <w:rFonts w:ascii="Times New Roman" w:hAnsi="Times New Roman" w:cs="Times New Roman"/>
          <w:sz w:val="24"/>
          <w:szCs w:val="24"/>
        </w:rPr>
        <w:t xml:space="preserve">sienta las bases de la interpretación realizada. </w:t>
      </w:r>
      <w:r w:rsidR="000D35C4" w:rsidRPr="008C2070">
        <w:rPr>
          <w:rFonts w:ascii="Times New Roman" w:hAnsi="Times New Roman" w:cs="Times New Roman"/>
          <w:sz w:val="24"/>
          <w:szCs w:val="24"/>
        </w:rPr>
        <w:t>Un estudio realizado p</w:t>
      </w:r>
      <w:r w:rsidR="00B94567" w:rsidRPr="008C2070">
        <w:rPr>
          <w:rFonts w:ascii="Times New Roman" w:hAnsi="Times New Roman" w:cs="Times New Roman"/>
          <w:sz w:val="24"/>
          <w:szCs w:val="24"/>
        </w:rPr>
        <w:t xml:space="preserve">ara el periodo comprendido entre agosto de 2011 y junio de </w:t>
      </w:r>
      <w:r w:rsidR="00C554F4" w:rsidRPr="008C2070">
        <w:rPr>
          <w:rFonts w:ascii="Times New Roman" w:hAnsi="Times New Roman" w:cs="Times New Roman"/>
          <w:sz w:val="24"/>
          <w:szCs w:val="24"/>
        </w:rPr>
        <w:t>2017</w:t>
      </w:r>
      <w:r w:rsidR="00B94567" w:rsidRPr="008C2070">
        <w:rPr>
          <w:rFonts w:ascii="Times New Roman" w:hAnsi="Times New Roman" w:cs="Times New Roman"/>
          <w:sz w:val="24"/>
          <w:szCs w:val="24"/>
        </w:rPr>
        <w:t xml:space="preserve"> </w:t>
      </w:r>
      <w:r w:rsidR="0044413A" w:rsidRPr="008C2070">
        <w:rPr>
          <w:rFonts w:ascii="Times New Roman" w:hAnsi="Times New Roman" w:cs="Times New Roman"/>
          <w:sz w:val="24"/>
          <w:szCs w:val="24"/>
        </w:rPr>
        <w:t xml:space="preserve">sobre casos </w:t>
      </w:r>
      <w:r w:rsidR="0090500F" w:rsidRPr="008C2070">
        <w:rPr>
          <w:rFonts w:ascii="Times New Roman" w:hAnsi="Times New Roman" w:cs="Times New Roman"/>
          <w:sz w:val="24"/>
          <w:szCs w:val="24"/>
        </w:rPr>
        <w:t>relacionados con el derecho a salud en México, fallados por la SCJN</w:t>
      </w:r>
      <w:r w:rsidR="002929CB" w:rsidRPr="008C2070">
        <w:rPr>
          <w:rFonts w:ascii="Times New Roman" w:hAnsi="Times New Roman" w:cs="Times New Roman"/>
          <w:sz w:val="24"/>
          <w:szCs w:val="24"/>
        </w:rPr>
        <w:t>,</w:t>
      </w:r>
      <w:r w:rsidR="0090500F" w:rsidRPr="008C2070">
        <w:rPr>
          <w:rFonts w:ascii="Times New Roman" w:hAnsi="Times New Roman" w:cs="Times New Roman"/>
          <w:sz w:val="24"/>
          <w:szCs w:val="24"/>
        </w:rPr>
        <w:t xml:space="preserve"> </w:t>
      </w:r>
      <w:r w:rsidR="000D35C4" w:rsidRPr="008C2070">
        <w:rPr>
          <w:rFonts w:ascii="Times New Roman" w:hAnsi="Times New Roman" w:cs="Times New Roman"/>
          <w:sz w:val="24"/>
          <w:szCs w:val="24"/>
        </w:rPr>
        <w:t xml:space="preserve">mostró que </w:t>
      </w:r>
      <w:r w:rsidR="00B94567" w:rsidRPr="008C2070">
        <w:rPr>
          <w:rFonts w:ascii="Times New Roman" w:hAnsi="Times New Roman" w:cs="Times New Roman"/>
          <w:sz w:val="24"/>
          <w:szCs w:val="24"/>
        </w:rPr>
        <w:t>los</w:t>
      </w:r>
      <w:r w:rsidR="003C4B5B" w:rsidRPr="008C2070">
        <w:rPr>
          <w:rFonts w:ascii="Times New Roman" w:hAnsi="Times New Roman" w:cs="Times New Roman"/>
          <w:sz w:val="24"/>
          <w:szCs w:val="24"/>
        </w:rPr>
        <w:t xml:space="preserve"> casos de salud </w:t>
      </w:r>
      <w:r w:rsidR="0039150A" w:rsidRPr="008C2070">
        <w:rPr>
          <w:rFonts w:ascii="Times New Roman" w:hAnsi="Times New Roman" w:cs="Times New Roman"/>
          <w:sz w:val="24"/>
          <w:szCs w:val="24"/>
        </w:rPr>
        <w:t xml:space="preserve">que </w:t>
      </w:r>
      <w:r w:rsidR="00B94567" w:rsidRPr="008C2070">
        <w:rPr>
          <w:rFonts w:ascii="Times New Roman" w:hAnsi="Times New Roman" w:cs="Times New Roman"/>
          <w:sz w:val="24"/>
          <w:szCs w:val="24"/>
        </w:rPr>
        <w:t xml:space="preserve">eran de conocimiento de </w:t>
      </w:r>
      <w:r w:rsidR="0090500F" w:rsidRPr="008C2070">
        <w:rPr>
          <w:rFonts w:ascii="Times New Roman" w:hAnsi="Times New Roman" w:cs="Times New Roman"/>
          <w:sz w:val="24"/>
          <w:szCs w:val="24"/>
        </w:rPr>
        <w:t xml:space="preserve">este tribunal </w:t>
      </w:r>
      <w:r w:rsidR="00120136" w:rsidRPr="008C2070">
        <w:rPr>
          <w:rFonts w:ascii="Times New Roman" w:hAnsi="Times New Roman" w:cs="Times New Roman"/>
          <w:sz w:val="24"/>
          <w:szCs w:val="24"/>
        </w:rPr>
        <w:t>en su mayoría eran casos de personas</w:t>
      </w:r>
      <w:r w:rsidRPr="008C2070">
        <w:rPr>
          <w:rFonts w:ascii="Times New Roman" w:hAnsi="Times New Roman" w:cs="Times New Roman"/>
          <w:sz w:val="24"/>
          <w:szCs w:val="24"/>
        </w:rPr>
        <w:t xml:space="preserve"> físicas y morales. Las personas físicas</w:t>
      </w:r>
      <w:r w:rsidR="00120136" w:rsidRPr="008C2070">
        <w:rPr>
          <w:rFonts w:ascii="Times New Roman" w:hAnsi="Times New Roman" w:cs="Times New Roman"/>
          <w:sz w:val="24"/>
          <w:szCs w:val="24"/>
        </w:rPr>
        <w:t xml:space="preserve"> argumentaban </w:t>
      </w:r>
      <w:r w:rsidRPr="008C2070">
        <w:rPr>
          <w:rFonts w:ascii="Times New Roman" w:hAnsi="Times New Roman" w:cs="Times New Roman"/>
          <w:sz w:val="24"/>
          <w:szCs w:val="24"/>
        </w:rPr>
        <w:t xml:space="preserve">en su mayoría </w:t>
      </w:r>
      <w:r w:rsidR="00120136" w:rsidRPr="008C2070">
        <w:rPr>
          <w:rFonts w:ascii="Times New Roman" w:hAnsi="Times New Roman" w:cs="Times New Roman"/>
          <w:sz w:val="24"/>
          <w:szCs w:val="24"/>
        </w:rPr>
        <w:t xml:space="preserve">algún tipo de daño, </w:t>
      </w:r>
      <w:r w:rsidR="00C554F4" w:rsidRPr="008C2070">
        <w:rPr>
          <w:rFonts w:ascii="Times New Roman" w:hAnsi="Times New Roman" w:cs="Times New Roman"/>
          <w:sz w:val="24"/>
          <w:szCs w:val="24"/>
        </w:rPr>
        <w:t>cuestiones</w:t>
      </w:r>
      <w:r w:rsidR="00120136" w:rsidRPr="008C2070">
        <w:rPr>
          <w:rFonts w:ascii="Times New Roman" w:hAnsi="Times New Roman" w:cs="Times New Roman"/>
          <w:sz w:val="24"/>
          <w:szCs w:val="24"/>
        </w:rPr>
        <w:t xml:space="preserve"> relacionadas con </w:t>
      </w:r>
      <w:r w:rsidR="00120136" w:rsidRPr="008C2070">
        <w:rPr>
          <w:rFonts w:ascii="Times New Roman" w:hAnsi="Times New Roman" w:cs="Times New Roman"/>
          <w:sz w:val="24"/>
          <w:szCs w:val="24"/>
        </w:rPr>
        <w:lastRenderedPageBreak/>
        <w:t xml:space="preserve">las restricciones para el uso de cannabis y problemas </w:t>
      </w:r>
      <w:r w:rsidR="00C554F4" w:rsidRPr="008C2070">
        <w:rPr>
          <w:rFonts w:ascii="Times New Roman" w:hAnsi="Times New Roman" w:cs="Times New Roman"/>
          <w:sz w:val="24"/>
          <w:szCs w:val="24"/>
        </w:rPr>
        <w:t>estructurales</w:t>
      </w:r>
      <w:r w:rsidR="00120136" w:rsidRPr="008C2070">
        <w:rPr>
          <w:rFonts w:ascii="Times New Roman" w:hAnsi="Times New Roman" w:cs="Times New Roman"/>
          <w:sz w:val="24"/>
          <w:szCs w:val="24"/>
        </w:rPr>
        <w:t xml:space="preserve"> del sistema nacional de salud</w:t>
      </w:r>
      <w:r w:rsidR="006934FD" w:rsidRPr="008C2070">
        <w:rPr>
          <w:rFonts w:ascii="Times New Roman" w:hAnsi="Times New Roman" w:cs="Times New Roman"/>
          <w:sz w:val="24"/>
          <w:szCs w:val="24"/>
        </w:rPr>
        <w:t xml:space="preserve"> relacionad</w:t>
      </w:r>
      <w:r w:rsidR="0090500F" w:rsidRPr="008C2070">
        <w:rPr>
          <w:rFonts w:ascii="Times New Roman" w:hAnsi="Times New Roman" w:cs="Times New Roman"/>
          <w:sz w:val="24"/>
          <w:szCs w:val="24"/>
        </w:rPr>
        <w:t>o</w:t>
      </w:r>
      <w:r w:rsidR="006934FD" w:rsidRPr="008C2070">
        <w:rPr>
          <w:rFonts w:ascii="Times New Roman" w:hAnsi="Times New Roman" w:cs="Times New Roman"/>
          <w:sz w:val="24"/>
          <w:szCs w:val="24"/>
        </w:rPr>
        <w:t>s con el acceso a los servicios de salud, políticas de afiliación, de abasto de insumos</w:t>
      </w:r>
      <w:r w:rsidR="004E3F8F" w:rsidRPr="008C2070">
        <w:rPr>
          <w:rFonts w:ascii="Times New Roman" w:hAnsi="Times New Roman" w:cs="Times New Roman"/>
          <w:sz w:val="24"/>
          <w:szCs w:val="24"/>
        </w:rPr>
        <w:t>, de subrogación de servicios, de infraestructura de salud y relacionadas con el expediente clínico</w:t>
      </w:r>
      <w:r w:rsidR="00120136" w:rsidRPr="008C2070">
        <w:rPr>
          <w:rFonts w:ascii="Times New Roman" w:hAnsi="Times New Roman" w:cs="Times New Roman"/>
          <w:sz w:val="24"/>
          <w:szCs w:val="24"/>
        </w:rPr>
        <w:t xml:space="preserve">. </w:t>
      </w:r>
      <w:r w:rsidR="00C554F4" w:rsidRPr="008C2070">
        <w:rPr>
          <w:rFonts w:ascii="Times New Roman" w:hAnsi="Times New Roman" w:cs="Times New Roman"/>
          <w:sz w:val="24"/>
          <w:szCs w:val="24"/>
        </w:rPr>
        <w:t xml:space="preserve">Las personas morales </w:t>
      </w:r>
      <w:r w:rsidR="0096047E" w:rsidRPr="008C2070">
        <w:rPr>
          <w:rFonts w:ascii="Times New Roman" w:hAnsi="Times New Roman" w:cs="Times New Roman"/>
          <w:sz w:val="24"/>
          <w:szCs w:val="24"/>
        </w:rPr>
        <w:t xml:space="preserve">reclamaron en su mayoría cuestiones </w:t>
      </w:r>
      <w:r w:rsidR="008A0ED8" w:rsidRPr="008C2070">
        <w:rPr>
          <w:rFonts w:ascii="Times New Roman" w:hAnsi="Times New Roman" w:cs="Times New Roman"/>
          <w:sz w:val="24"/>
          <w:szCs w:val="24"/>
        </w:rPr>
        <w:t>concernientes</w:t>
      </w:r>
      <w:r w:rsidR="0096047E" w:rsidRPr="008C2070">
        <w:rPr>
          <w:rFonts w:ascii="Times New Roman" w:hAnsi="Times New Roman" w:cs="Times New Roman"/>
          <w:sz w:val="24"/>
          <w:szCs w:val="24"/>
        </w:rPr>
        <w:t xml:space="preserve"> con las normas sanitarias de control del tabaco, obesidad y de autorizaciones sanitarias.</w:t>
      </w:r>
      <w:r w:rsidR="0096047E" w:rsidRPr="008C2070">
        <w:rPr>
          <w:rStyle w:val="Refdenotaalpie"/>
          <w:rFonts w:ascii="Times New Roman" w:hAnsi="Times New Roman" w:cs="Times New Roman"/>
          <w:sz w:val="24"/>
          <w:szCs w:val="24"/>
        </w:rPr>
        <w:t xml:space="preserve"> </w:t>
      </w:r>
      <w:r w:rsidR="0096047E" w:rsidRPr="008C2070">
        <w:rPr>
          <w:rStyle w:val="Refdenotaalpie"/>
          <w:rFonts w:ascii="Times New Roman" w:hAnsi="Times New Roman" w:cs="Times New Roman"/>
          <w:sz w:val="24"/>
          <w:szCs w:val="24"/>
        </w:rPr>
        <w:footnoteReference w:id="22"/>
      </w:r>
      <w:r w:rsidR="0096047E" w:rsidRPr="008C2070">
        <w:rPr>
          <w:rFonts w:ascii="Times New Roman" w:hAnsi="Times New Roman" w:cs="Times New Roman"/>
          <w:sz w:val="24"/>
          <w:szCs w:val="24"/>
        </w:rPr>
        <w:t xml:space="preserve"> En este mismo estudio se mostró </w:t>
      </w:r>
      <w:r w:rsidR="00A217FA" w:rsidRPr="008C2070">
        <w:rPr>
          <w:rFonts w:ascii="Times New Roman" w:hAnsi="Times New Roman" w:cs="Times New Roman"/>
          <w:sz w:val="24"/>
          <w:szCs w:val="24"/>
        </w:rPr>
        <w:t xml:space="preserve">que la SCJN en sus resoluciones </w:t>
      </w:r>
      <w:r w:rsidR="00D05C3D" w:rsidRPr="008C2070">
        <w:rPr>
          <w:rFonts w:ascii="Times New Roman" w:hAnsi="Times New Roman" w:cs="Times New Roman"/>
          <w:sz w:val="24"/>
          <w:szCs w:val="24"/>
        </w:rPr>
        <w:t xml:space="preserve">aplicaba de manera consistente la jurisprudencia y los criterios de tratados internacionales; sin embargo, </w:t>
      </w:r>
      <w:r w:rsidR="00592FE3" w:rsidRPr="008C2070">
        <w:rPr>
          <w:rFonts w:ascii="Times New Roman" w:hAnsi="Times New Roman" w:cs="Times New Roman"/>
          <w:sz w:val="24"/>
          <w:szCs w:val="24"/>
        </w:rPr>
        <w:t xml:space="preserve">se concluyó que </w:t>
      </w:r>
      <w:r w:rsidR="00277090" w:rsidRPr="008C2070">
        <w:rPr>
          <w:rFonts w:ascii="Times New Roman" w:hAnsi="Times New Roman" w:cs="Times New Roman"/>
          <w:sz w:val="24"/>
          <w:szCs w:val="24"/>
        </w:rPr>
        <w:t>esto era cierto hasta el punto en el que no s</w:t>
      </w:r>
      <w:r w:rsidR="008D3512" w:rsidRPr="008C2070">
        <w:rPr>
          <w:rFonts w:ascii="Times New Roman" w:hAnsi="Times New Roman" w:cs="Times New Roman"/>
          <w:sz w:val="24"/>
          <w:szCs w:val="24"/>
        </w:rPr>
        <w:t>e contradijeran sus resoluciones con actividades relevantes de otros poderes, en especial del poder ejecutivo.</w:t>
      </w:r>
      <w:r w:rsidR="008D3512" w:rsidRPr="008C2070">
        <w:rPr>
          <w:rStyle w:val="Refdenotaalpie"/>
          <w:rFonts w:ascii="Times New Roman" w:hAnsi="Times New Roman" w:cs="Times New Roman"/>
          <w:sz w:val="24"/>
          <w:szCs w:val="24"/>
        </w:rPr>
        <w:t xml:space="preserve"> </w:t>
      </w:r>
      <w:r w:rsidR="008D3512" w:rsidRPr="008C2070">
        <w:rPr>
          <w:rStyle w:val="Refdenotaalpie"/>
          <w:rFonts w:ascii="Times New Roman" w:hAnsi="Times New Roman" w:cs="Times New Roman"/>
          <w:sz w:val="24"/>
          <w:szCs w:val="24"/>
        </w:rPr>
        <w:footnoteReference w:id="23"/>
      </w:r>
      <w:r w:rsidR="005A3BE9" w:rsidRPr="008C2070">
        <w:rPr>
          <w:rFonts w:ascii="Times New Roman" w:hAnsi="Times New Roman" w:cs="Times New Roman"/>
          <w:sz w:val="24"/>
          <w:szCs w:val="24"/>
        </w:rPr>
        <w:t xml:space="preserve"> Con base en estos resultados</w:t>
      </w:r>
      <w:r w:rsidR="002929CB" w:rsidRPr="008C2070">
        <w:rPr>
          <w:rFonts w:ascii="Times New Roman" w:hAnsi="Times New Roman" w:cs="Times New Roman"/>
          <w:sz w:val="24"/>
          <w:szCs w:val="24"/>
        </w:rPr>
        <w:t>,</w:t>
      </w:r>
      <w:r w:rsidR="005A3BE9" w:rsidRPr="008C2070">
        <w:rPr>
          <w:rFonts w:ascii="Times New Roman" w:hAnsi="Times New Roman" w:cs="Times New Roman"/>
          <w:sz w:val="24"/>
          <w:szCs w:val="24"/>
        </w:rPr>
        <w:t xml:space="preserve"> se demostró que las interpretaciones</w:t>
      </w:r>
      <w:r w:rsidR="00182929" w:rsidRPr="008C2070">
        <w:rPr>
          <w:rFonts w:ascii="Times New Roman" w:hAnsi="Times New Roman" w:cs="Times New Roman"/>
          <w:sz w:val="24"/>
          <w:szCs w:val="24"/>
        </w:rPr>
        <w:t xml:space="preserve"> asentadas en las sentencias de los casos estudiados y referentes a</w:t>
      </w:r>
      <w:r w:rsidR="005A3BE9" w:rsidRPr="008C2070">
        <w:rPr>
          <w:rFonts w:ascii="Times New Roman" w:hAnsi="Times New Roman" w:cs="Times New Roman"/>
          <w:sz w:val="24"/>
          <w:szCs w:val="24"/>
        </w:rPr>
        <w:t xml:space="preserve">l alcance y contenido del derecho eran más o menos consistentes en casos </w:t>
      </w:r>
      <w:r w:rsidR="009015BF" w:rsidRPr="008C2070">
        <w:rPr>
          <w:rFonts w:ascii="Times New Roman" w:hAnsi="Times New Roman" w:cs="Times New Roman"/>
          <w:sz w:val="24"/>
          <w:szCs w:val="24"/>
        </w:rPr>
        <w:t>en los que e</w:t>
      </w:r>
      <w:r w:rsidR="00272BED" w:rsidRPr="008C2070">
        <w:rPr>
          <w:rFonts w:ascii="Times New Roman" w:hAnsi="Times New Roman" w:cs="Times New Roman"/>
          <w:sz w:val="24"/>
          <w:szCs w:val="24"/>
        </w:rPr>
        <w:t xml:space="preserve">l goce del derecho a la salud </w:t>
      </w:r>
      <w:r w:rsidR="009015BF" w:rsidRPr="008C2070">
        <w:rPr>
          <w:rFonts w:ascii="Times New Roman" w:hAnsi="Times New Roman" w:cs="Times New Roman"/>
          <w:sz w:val="24"/>
          <w:szCs w:val="24"/>
        </w:rPr>
        <w:t xml:space="preserve">era </w:t>
      </w:r>
      <w:r w:rsidR="00272BED" w:rsidRPr="008C2070">
        <w:rPr>
          <w:rFonts w:ascii="Times New Roman" w:hAnsi="Times New Roman" w:cs="Times New Roman"/>
          <w:sz w:val="24"/>
          <w:szCs w:val="24"/>
        </w:rPr>
        <w:t>ente</w:t>
      </w:r>
      <w:r w:rsidR="00325166" w:rsidRPr="008C2070">
        <w:rPr>
          <w:rFonts w:ascii="Times New Roman" w:hAnsi="Times New Roman" w:cs="Times New Roman"/>
          <w:sz w:val="24"/>
          <w:szCs w:val="24"/>
        </w:rPr>
        <w:t>ndido</w:t>
      </w:r>
      <w:r w:rsidR="00272BED" w:rsidRPr="008C2070">
        <w:rPr>
          <w:rFonts w:ascii="Times New Roman" w:hAnsi="Times New Roman" w:cs="Times New Roman"/>
          <w:sz w:val="24"/>
          <w:szCs w:val="24"/>
        </w:rPr>
        <w:t xml:space="preserve"> como el derecho a ser saludable, prevenir la enfermedad y tener acceso a un sistema de salud</w:t>
      </w:r>
      <w:r w:rsidR="00325166" w:rsidRPr="008C2070">
        <w:rPr>
          <w:rFonts w:ascii="Times New Roman" w:hAnsi="Times New Roman" w:cs="Times New Roman"/>
          <w:sz w:val="24"/>
          <w:szCs w:val="24"/>
        </w:rPr>
        <w:t xml:space="preserve">. Sin embargo, se concluyó que para </w:t>
      </w:r>
      <w:r w:rsidR="009015BF" w:rsidRPr="008C2070">
        <w:rPr>
          <w:rFonts w:ascii="Times New Roman" w:hAnsi="Times New Roman" w:cs="Times New Roman"/>
          <w:sz w:val="24"/>
          <w:szCs w:val="24"/>
        </w:rPr>
        <w:t xml:space="preserve">los </w:t>
      </w:r>
      <w:r w:rsidR="00325166" w:rsidRPr="008C2070">
        <w:rPr>
          <w:rFonts w:ascii="Times New Roman" w:hAnsi="Times New Roman" w:cs="Times New Roman"/>
          <w:sz w:val="24"/>
          <w:szCs w:val="24"/>
        </w:rPr>
        <w:t xml:space="preserve">casos de enfermedades huérfanas que implican una erogación extraordinaria del sistema, </w:t>
      </w:r>
      <w:r w:rsidR="009015BF" w:rsidRPr="008C2070">
        <w:rPr>
          <w:rFonts w:ascii="Times New Roman" w:hAnsi="Times New Roman" w:cs="Times New Roman"/>
          <w:sz w:val="24"/>
          <w:szCs w:val="24"/>
        </w:rPr>
        <w:t xml:space="preserve">u otros en los que se estudiaba </w:t>
      </w:r>
      <w:r w:rsidR="00902B41" w:rsidRPr="008C2070">
        <w:rPr>
          <w:rFonts w:ascii="Times New Roman" w:hAnsi="Times New Roman" w:cs="Times New Roman"/>
          <w:sz w:val="24"/>
          <w:szCs w:val="24"/>
        </w:rPr>
        <w:t xml:space="preserve">algún proceso administrativo, la autoridad judicial realizaba una deferencia al poder ejecutivo. </w:t>
      </w:r>
      <w:r w:rsidR="007A68EE" w:rsidRPr="008C2070">
        <w:rPr>
          <w:rFonts w:ascii="Times New Roman" w:hAnsi="Times New Roman" w:cs="Times New Roman"/>
          <w:sz w:val="24"/>
          <w:szCs w:val="24"/>
        </w:rPr>
        <w:t>También se mencionó un</w:t>
      </w:r>
      <w:r w:rsidR="008D58CF" w:rsidRPr="008C2070">
        <w:rPr>
          <w:rFonts w:ascii="Times New Roman" w:hAnsi="Times New Roman" w:cs="Times New Roman"/>
          <w:sz w:val="24"/>
          <w:szCs w:val="24"/>
        </w:rPr>
        <w:t xml:space="preserve">a </w:t>
      </w:r>
      <w:r w:rsidR="007A68EE" w:rsidRPr="008C2070">
        <w:rPr>
          <w:rFonts w:ascii="Times New Roman" w:hAnsi="Times New Roman" w:cs="Times New Roman"/>
          <w:sz w:val="24"/>
          <w:szCs w:val="24"/>
        </w:rPr>
        <w:t xml:space="preserve">aplicación no consistente de los principios de equidad </w:t>
      </w:r>
      <w:r w:rsidR="00C2150C" w:rsidRPr="008C2070">
        <w:rPr>
          <w:rFonts w:ascii="Times New Roman" w:hAnsi="Times New Roman" w:cs="Times New Roman"/>
          <w:sz w:val="24"/>
          <w:szCs w:val="24"/>
        </w:rPr>
        <w:t xml:space="preserve">e igualdad, donde incluso fueron aplicados a un caso en los que se cuestionó la desproporcional regulación de </w:t>
      </w:r>
      <w:r w:rsidR="007A68EE" w:rsidRPr="008C2070">
        <w:rPr>
          <w:rFonts w:ascii="Times New Roman" w:hAnsi="Times New Roman" w:cs="Times New Roman"/>
          <w:sz w:val="24"/>
          <w:szCs w:val="24"/>
        </w:rPr>
        <w:t xml:space="preserve">a productos sujetos a regulación </w:t>
      </w:r>
      <w:r w:rsidR="008D58CF" w:rsidRPr="008C2070">
        <w:rPr>
          <w:rFonts w:ascii="Times New Roman" w:hAnsi="Times New Roman" w:cs="Times New Roman"/>
          <w:sz w:val="24"/>
          <w:szCs w:val="24"/>
        </w:rPr>
        <w:t>sanitaria.</w:t>
      </w:r>
      <w:r w:rsidR="008D58CF" w:rsidRPr="008C2070">
        <w:rPr>
          <w:rStyle w:val="Refdenotaalpie"/>
          <w:rFonts w:ascii="Times New Roman" w:hAnsi="Times New Roman" w:cs="Times New Roman"/>
          <w:sz w:val="24"/>
          <w:szCs w:val="24"/>
        </w:rPr>
        <w:t xml:space="preserve"> </w:t>
      </w:r>
      <w:r w:rsidR="008D58CF" w:rsidRPr="008C2070">
        <w:rPr>
          <w:rStyle w:val="Refdenotaalpie"/>
          <w:rFonts w:ascii="Times New Roman" w:hAnsi="Times New Roman" w:cs="Times New Roman"/>
          <w:sz w:val="24"/>
          <w:szCs w:val="24"/>
        </w:rPr>
        <w:footnoteReference w:id="24"/>
      </w:r>
      <w:r w:rsidR="00D71BE1" w:rsidRPr="008C2070">
        <w:rPr>
          <w:rFonts w:ascii="Times New Roman" w:hAnsi="Times New Roman" w:cs="Times New Roman"/>
          <w:sz w:val="24"/>
          <w:szCs w:val="24"/>
        </w:rPr>
        <w:t xml:space="preserve"> </w:t>
      </w:r>
    </w:p>
    <w:p w14:paraId="71CB0205" w14:textId="143CE1B3" w:rsidR="00065090" w:rsidRPr="008C2070" w:rsidRDefault="003B5A1A"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 xml:space="preserve">El estudio anteriormente citado muestra que </w:t>
      </w:r>
      <w:r w:rsidR="00705F63" w:rsidRPr="008C2070">
        <w:rPr>
          <w:rFonts w:ascii="Times New Roman" w:hAnsi="Times New Roman" w:cs="Times New Roman"/>
          <w:sz w:val="24"/>
          <w:szCs w:val="24"/>
        </w:rPr>
        <w:t>en lo referente a los casos que fueron de conocimiento de la SCJN</w:t>
      </w:r>
      <w:r w:rsidR="002929CB" w:rsidRPr="008C2070">
        <w:rPr>
          <w:rFonts w:ascii="Times New Roman" w:hAnsi="Times New Roman" w:cs="Times New Roman"/>
          <w:sz w:val="24"/>
          <w:szCs w:val="24"/>
        </w:rPr>
        <w:t xml:space="preserve">, </w:t>
      </w:r>
      <w:r w:rsidR="00705F63" w:rsidRPr="008C2070">
        <w:rPr>
          <w:rFonts w:ascii="Times New Roman" w:hAnsi="Times New Roman" w:cs="Times New Roman"/>
          <w:sz w:val="24"/>
          <w:szCs w:val="24"/>
        </w:rPr>
        <w:t>durante el periodo mencionado</w:t>
      </w:r>
      <w:r w:rsidR="002929CB" w:rsidRPr="008C2070">
        <w:rPr>
          <w:rFonts w:ascii="Times New Roman" w:hAnsi="Times New Roman" w:cs="Times New Roman"/>
          <w:sz w:val="24"/>
          <w:szCs w:val="24"/>
        </w:rPr>
        <w:t>,</w:t>
      </w:r>
      <w:r w:rsidR="00705F63" w:rsidRPr="008C2070">
        <w:rPr>
          <w:rFonts w:ascii="Times New Roman" w:hAnsi="Times New Roman" w:cs="Times New Roman"/>
          <w:sz w:val="24"/>
          <w:szCs w:val="24"/>
        </w:rPr>
        <w:t xml:space="preserve"> su gran mayoría fallaron cuestiones</w:t>
      </w:r>
      <w:r w:rsidR="00ED798B" w:rsidRPr="008C2070">
        <w:rPr>
          <w:rFonts w:ascii="Times New Roman" w:hAnsi="Times New Roman" w:cs="Times New Roman"/>
          <w:sz w:val="24"/>
          <w:szCs w:val="24"/>
        </w:rPr>
        <w:t xml:space="preserve"> particulares</w:t>
      </w:r>
      <w:r w:rsidR="00BE3998" w:rsidRPr="008C2070">
        <w:rPr>
          <w:rFonts w:ascii="Times New Roman" w:hAnsi="Times New Roman" w:cs="Times New Roman"/>
          <w:sz w:val="24"/>
          <w:szCs w:val="24"/>
        </w:rPr>
        <w:t xml:space="preserve"> y la actividad realizada por los jueces fue de aplicación de la jurisprudencia</w:t>
      </w:r>
      <w:r w:rsidR="00851A39" w:rsidRPr="008C2070">
        <w:rPr>
          <w:rFonts w:ascii="Times New Roman" w:hAnsi="Times New Roman" w:cs="Times New Roman"/>
          <w:sz w:val="24"/>
          <w:szCs w:val="24"/>
        </w:rPr>
        <w:t xml:space="preserve"> aplicable</w:t>
      </w:r>
      <w:r w:rsidR="00BE3998" w:rsidRPr="008C2070">
        <w:rPr>
          <w:rFonts w:ascii="Times New Roman" w:hAnsi="Times New Roman" w:cs="Times New Roman"/>
          <w:sz w:val="24"/>
          <w:szCs w:val="24"/>
        </w:rPr>
        <w:t>. En la siguiente sección se mostrará la evolución particular de la jurisprudencia y se verá que</w:t>
      </w:r>
      <w:r w:rsidR="002929CB" w:rsidRPr="008C2070">
        <w:rPr>
          <w:rFonts w:ascii="Times New Roman" w:hAnsi="Times New Roman" w:cs="Times New Roman"/>
          <w:sz w:val="24"/>
          <w:szCs w:val="24"/>
        </w:rPr>
        <w:t>,</w:t>
      </w:r>
      <w:r w:rsidR="00BE3998" w:rsidRPr="008C2070">
        <w:rPr>
          <w:rFonts w:ascii="Times New Roman" w:hAnsi="Times New Roman" w:cs="Times New Roman"/>
          <w:sz w:val="24"/>
          <w:szCs w:val="24"/>
        </w:rPr>
        <w:t xml:space="preserve"> </w:t>
      </w:r>
      <w:r w:rsidR="0088146A" w:rsidRPr="008C2070">
        <w:rPr>
          <w:rFonts w:ascii="Times New Roman" w:hAnsi="Times New Roman" w:cs="Times New Roman"/>
          <w:sz w:val="24"/>
          <w:szCs w:val="24"/>
        </w:rPr>
        <w:t xml:space="preserve">durante el periodo </w:t>
      </w:r>
      <w:r w:rsidR="006E6958" w:rsidRPr="008C2070">
        <w:rPr>
          <w:rFonts w:ascii="Times New Roman" w:hAnsi="Times New Roman" w:cs="Times New Roman"/>
          <w:sz w:val="24"/>
          <w:szCs w:val="24"/>
        </w:rPr>
        <w:t>posterior a 2011</w:t>
      </w:r>
      <w:r w:rsidR="002929CB" w:rsidRPr="008C2070">
        <w:rPr>
          <w:rFonts w:ascii="Times New Roman" w:hAnsi="Times New Roman" w:cs="Times New Roman"/>
          <w:sz w:val="24"/>
          <w:szCs w:val="24"/>
        </w:rPr>
        <w:t>,</w:t>
      </w:r>
      <w:r w:rsidR="006E6958" w:rsidRPr="008C2070">
        <w:rPr>
          <w:rFonts w:ascii="Times New Roman" w:hAnsi="Times New Roman" w:cs="Times New Roman"/>
          <w:sz w:val="24"/>
          <w:szCs w:val="24"/>
        </w:rPr>
        <w:t xml:space="preserve"> </w:t>
      </w:r>
      <w:r w:rsidR="00FC60AF" w:rsidRPr="008C2070">
        <w:rPr>
          <w:rFonts w:ascii="Times New Roman" w:hAnsi="Times New Roman" w:cs="Times New Roman"/>
          <w:sz w:val="24"/>
          <w:szCs w:val="24"/>
        </w:rPr>
        <w:t xml:space="preserve">esta fue escasa (2 tesis jurisprudenciales) y relacionada </w:t>
      </w:r>
      <w:r w:rsidR="00920DDB" w:rsidRPr="008C2070">
        <w:rPr>
          <w:rFonts w:ascii="Times New Roman" w:hAnsi="Times New Roman" w:cs="Times New Roman"/>
          <w:sz w:val="24"/>
          <w:szCs w:val="24"/>
        </w:rPr>
        <w:t xml:space="preserve">con elementos sobre la garantía, naturaleza y regulación del derecho. </w:t>
      </w:r>
      <w:r w:rsidR="00065090" w:rsidRPr="008C2070">
        <w:rPr>
          <w:rFonts w:ascii="Times New Roman" w:hAnsi="Times New Roman" w:cs="Times New Roman"/>
          <w:sz w:val="24"/>
          <w:szCs w:val="24"/>
        </w:rPr>
        <w:t>Sin embargo,</w:t>
      </w:r>
      <w:r w:rsidR="00920DDB" w:rsidRPr="008C2070">
        <w:rPr>
          <w:rFonts w:ascii="Times New Roman" w:hAnsi="Times New Roman" w:cs="Times New Roman"/>
          <w:sz w:val="24"/>
          <w:szCs w:val="24"/>
        </w:rPr>
        <w:t xml:space="preserve"> los resultados anteriormente relatados</w:t>
      </w:r>
      <w:r w:rsidR="00065090" w:rsidRPr="008C2070">
        <w:rPr>
          <w:rFonts w:ascii="Times New Roman" w:hAnsi="Times New Roman" w:cs="Times New Roman"/>
          <w:sz w:val="24"/>
          <w:szCs w:val="24"/>
        </w:rPr>
        <w:t xml:space="preserve"> </w:t>
      </w:r>
      <w:r w:rsidR="006E6958" w:rsidRPr="008C2070">
        <w:rPr>
          <w:rFonts w:ascii="Times New Roman" w:hAnsi="Times New Roman" w:cs="Times New Roman"/>
          <w:sz w:val="24"/>
          <w:szCs w:val="24"/>
        </w:rPr>
        <w:t xml:space="preserve">hacen </w:t>
      </w:r>
      <w:r w:rsidR="00065090" w:rsidRPr="008C2070">
        <w:rPr>
          <w:rFonts w:ascii="Times New Roman" w:hAnsi="Times New Roman" w:cs="Times New Roman"/>
          <w:sz w:val="24"/>
          <w:szCs w:val="24"/>
        </w:rPr>
        <w:t xml:space="preserve">pensar que la SCJN </w:t>
      </w:r>
      <w:r w:rsidR="00920DDB" w:rsidRPr="008C2070">
        <w:rPr>
          <w:rFonts w:ascii="Times New Roman" w:hAnsi="Times New Roman" w:cs="Times New Roman"/>
          <w:sz w:val="24"/>
          <w:szCs w:val="24"/>
        </w:rPr>
        <w:t>no es</w:t>
      </w:r>
      <w:r w:rsidR="00065090" w:rsidRPr="008C2070">
        <w:rPr>
          <w:rFonts w:ascii="Times New Roman" w:hAnsi="Times New Roman" w:cs="Times New Roman"/>
          <w:sz w:val="24"/>
          <w:szCs w:val="24"/>
        </w:rPr>
        <w:t xml:space="preserve"> ajena a la realidad y presiones</w:t>
      </w:r>
      <w:r w:rsidR="006E6958" w:rsidRPr="008C2070">
        <w:rPr>
          <w:rFonts w:ascii="Times New Roman" w:hAnsi="Times New Roman" w:cs="Times New Roman"/>
          <w:sz w:val="24"/>
          <w:szCs w:val="24"/>
        </w:rPr>
        <w:t xml:space="preserve"> de la sociedad</w:t>
      </w:r>
      <w:r w:rsidR="00BD6901" w:rsidRPr="008C2070">
        <w:rPr>
          <w:rFonts w:ascii="Times New Roman" w:hAnsi="Times New Roman" w:cs="Times New Roman"/>
          <w:sz w:val="24"/>
          <w:szCs w:val="24"/>
        </w:rPr>
        <w:t xml:space="preserve"> y</w:t>
      </w:r>
      <w:r w:rsidR="00065090" w:rsidRPr="008C2070">
        <w:rPr>
          <w:rFonts w:ascii="Times New Roman" w:hAnsi="Times New Roman" w:cs="Times New Roman"/>
          <w:sz w:val="24"/>
          <w:szCs w:val="24"/>
        </w:rPr>
        <w:t xml:space="preserve"> </w:t>
      </w:r>
      <w:r w:rsidR="00EF0238" w:rsidRPr="008C2070">
        <w:rPr>
          <w:rFonts w:ascii="Times New Roman" w:hAnsi="Times New Roman" w:cs="Times New Roman"/>
          <w:sz w:val="24"/>
          <w:szCs w:val="24"/>
        </w:rPr>
        <w:t xml:space="preserve">a las que se enfrenta </w:t>
      </w:r>
      <w:r w:rsidR="00065090" w:rsidRPr="008C2070">
        <w:rPr>
          <w:rFonts w:ascii="Times New Roman" w:hAnsi="Times New Roman" w:cs="Times New Roman"/>
          <w:sz w:val="24"/>
          <w:szCs w:val="24"/>
        </w:rPr>
        <w:t>como tribunal constitucional</w:t>
      </w:r>
      <w:r w:rsidR="00813875" w:rsidRPr="008C2070">
        <w:rPr>
          <w:rFonts w:ascii="Times New Roman" w:hAnsi="Times New Roman" w:cs="Times New Roman"/>
          <w:sz w:val="24"/>
          <w:szCs w:val="24"/>
        </w:rPr>
        <w:t xml:space="preserve">. </w:t>
      </w:r>
      <w:r w:rsidR="00BD6901" w:rsidRPr="008C2070">
        <w:rPr>
          <w:rFonts w:ascii="Times New Roman" w:hAnsi="Times New Roman" w:cs="Times New Roman"/>
          <w:sz w:val="24"/>
          <w:szCs w:val="24"/>
        </w:rPr>
        <w:t xml:space="preserve">Brinks y Forbath han manifestado que en los países de ingresos medios de América Latina </w:t>
      </w:r>
      <w:r w:rsidR="00ED5A27" w:rsidRPr="008C2070">
        <w:rPr>
          <w:rFonts w:ascii="Times New Roman" w:hAnsi="Times New Roman" w:cs="Times New Roman"/>
          <w:sz w:val="24"/>
          <w:szCs w:val="24"/>
        </w:rPr>
        <w:t xml:space="preserve">los derechos económicos, sociales y </w:t>
      </w:r>
      <w:r w:rsidR="00F27DAC" w:rsidRPr="008C2070">
        <w:rPr>
          <w:rFonts w:ascii="Times New Roman" w:hAnsi="Times New Roman" w:cs="Times New Roman"/>
          <w:sz w:val="24"/>
          <w:szCs w:val="24"/>
        </w:rPr>
        <w:t>cultura</w:t>
      </w:r>
      <w:r w:rsidR="00BC3B88" w:rsidRPr="008C2070">
        <w:rPr>
          <w:rFonts w:ascii="Times New Roman" w:hAnsi="Times New Roman" w:cs="Times New Roman"/>
          <w:sz w:val="24"/>
          <w:szCs w:val="24"/>
        </w:rPr>
        <w:t>le</w:t>
      </w:r>
      <w:r w:rsidR="00F27DAC" w:rsidRPr="008C2070">
        <w:rPr>
          <w:rFonts w:ascii="Times New Roman" w:hAnsi="Times New Roman" w:cs="Times New Roman"/>
          <w:sz w:val="24"/>
          <w:szCs w:val="24"/>
        </w:rPr>
        <w:t>s</w:t>
      </w:r>
      <w:r w:rsidR="00ED5A27" w:rsidRPr="008C2070">
        <w:rPr>
          <w:rFonts w:ascii="Times New Roman" w:hAnsi="Times New Roman" w:cs="Times New Roman"/>
          <w:sz w:val="24"/>
          <w:szCs w:val="24"/>
        </w:rPr>
        <w:t xml:space="preserve"> han encontrado </w:t>
      </w:r>
      <w:r w:rsidR="00BC3B88" w:rsidRPr="008C2070">
        <w:rPr>
          <w:rFonts w:ascii="Times New Roman" w:hAnsi="Times New Roman" w:cs="Times New Roman"/>
          <w:sz w:val="24"/>
          <w:szCs w:val="24"/>
        </w:rPr>
        <w:t xml:space="preserve">en una alianza con las cortes </w:t>
      </w:r>
      <w:r w:rsidR="00ED5A27" w:rsidRPr="008C2070">
        <w:rPr>
          <w:rFonts w:ascii="Times New Roman" w:hAnsi="Times New Roman" w:cs="Times New Roman"/>
          <w:sz w:val="24"/>
          <w:szCs w:val="24"/>
        </w:rPr>
        <w:t>una salida a las presiones del neoliberalismo</w:t>
      </w:r>
      <w:r w:rsidR="00587041" w:rsidRPr="008C2070">
        <w:rPr>
          <w:rFonts w:ascii="Times New Roman" w:hAnsi="Times New Roman" w:cs="Times New Roman"/>
          <w:sz w:val="24"/>
          <w:szCs w:val="24"/>
        </w:rPr>
        <w:t xml:space="preserve"> a través de la ampliación de la provisión de servicios públicos como lo es el derecho a la salud.</w:t>
      </w:r>
      <w:r w:rsidR="00587041" w:rsidRPr="008C2070">
        <w:rPr>
          <w:rStyle w:val="Refdenotaalpie"/>
          <w:rFonts w:ascii="Times New Roman" w:hAnsi="Times New Roman" w:cs="Times New Roman"/>
          <w:sz w:val="24"/>
          <w:szCs w:val="24"/>
        </w:rPr>
        <w:footnoteReference w:id="25"/>
      </w:r>
      <w:r w:rsidR="00BC3B88" w:rsidRPr="008C2070">
        <w:rPr>
          <w:rFonts w:ascii="Times New Roman" w:hAnsi="Times New Roman" w:cs="Times New Roman"/>
          <w:sz w:val="24"/>
          <w:szCs w:val="24"/>
        </w:rPr>
        <w:t xml:space="preserve"> </w:t>
      </w:r>
      <w:r w:rsidR="003E1F64" w:rsidRPr="008C2070">
        <w:rPr>
          <w:rFonts w:ascii="Times New Roman" w:hAnsi="Times New Roman" w:cs="Times New Roman"/>
          <w:sz w:val="24"/>
          <w:szCs w:val="24"/>
        </w:rPr>
        <w:t xml:space="preserve">Sobre este tema basta analizar el caso </w:t>
      </w:r>
      <w:r w:rsidR="00457109" w:rsidRPr="008C2070">
        <w:rPr>
          <w:rFonts w:ascii="Times New Roman" w:hAnsi="Times New Roman" w:cs="Times New Roman"/>
          <w:sz w:val="24"/>
          <w:szCs w:val="24"/>
        </w:rPr>
        <w:t>colombiano</w:t>
      </w:r>
      <w:r w:rsidR="003E1F64" w:rsidRPr="008C2070">
        <w:rPr>
          <w:rFonts w:ascii="Times New Roman" w:hAnsi="Times New Roman" w:cs="Times New Roman"/>
          <w:sz w:val="24"/>
          <w:szCs w:val="24"/>
        </w:rPr>
        <w:t xml:space="preserve"> o </w:t>
      </w:r>
      <w:r w:rsidR="00457109" w:rsidRPr="008C2070">
        <w:rPr>
          <w:rFonts w:ascii="Times New Roman" w:hAnsi="Times New Roman" w:cs="Times New Roman"/>
          <w:sz w:val="24"/>
          <w:szCs w:val="24"/>
        </w:rPr>
        <w:t>b</w:t>
      </w:r>
      <w:r w:rsidR="003E1F64" w:rsidRPr="008C2070">
        <w:rPr>
          <w:rFonts w:ascii="Times New Roman" w:hAnsi="Times New Roman" w:cs="Times New Roman"/>
          <w:sz w:val="24"/>
          <w:szCs w:val="24"/>
        </w:rPr>
        <w:t xml:space="preserve">rasileño en los que la población buscó </w:t>
      </w:r>
      <w:r w:rsidR="00652862" w:rsidRPr="008C2070">
        <w:rPr>
          <w:rFonts w:ascii="Times New Roman" w:hAnsi="Times New Roman" w:cs="Times New Roman"/>
          <w:sz w:val="24"/>
          <w:szCs w:val="24"/>
        </w:rPr>
        <w:t xml:space="preserve">tanto en las </w:t>
      </w:r>
      <w:r w:rsidR="0089078F" w:rsidRPr="008C2070">
        <w:rPr>
          <w:rFonts w:ascii="Times New Roman" w:hAnsi="Times New Roman" w:cs="Times New Roman"/>
          <w:sz w:val="24"/>
          <w:szCs w:val="24"/>
        </w:rPr>
        <w:t>tutelas</w:t>
      </w:r>
      <w:r w:rsidR="00652862" w:rsidRPr="008C2070">
        <w:rPr>
          <w:rFonts w:ascii="Times New Roman" w:hAnsi="Times New Roman" w:cs="Times New Roman"/>
          <w:sz w:val="24"/>
          <w:szCs w:val="24"/>
        </w:rPr>
        <w:t xml:space="preserve"> como en el </w:t>
      </w:r>
      <w:r w:rsidR="00652862" w:rsidRPr="008C2070">
        <w:rPr>
          <w:rFonts w:ascii="Times New Roman" w:hAnsi="Times New Roman" w:cs="Times New Roman"/>
          <w:i/>
          <w:iCs/>
          <w:sz w:val="24"/>
          <w:szCs w:val="24"/>
        </w:rPr>
        <w:t>mandado de segurança</w:t>
      </w:r>
      <w:r w:rsidR="00457109" w:rsidRPr="008C2070">
        <w:rPr>
          <w:rFonts w:ascii="Times New Roman" w:hAnsi="Times New Roman" w:cs="Times New Roman"/>
          <w:sz w:val="24"/>
          <w:szCs w:val="24"/>
        </w:rPr>
        <w:t xml:space="preserve">, una forma para tratar de paliar los problemas </w:t>
      </w:r>
      <w:r w:rsidR="00457109" w:rsidRPr="008C2070">
        <w:rPr>
          <w:rFonts w:ascii="Times New Roman" w:hAnsi="Times New Roman" w:cs="Times New Roman"/>
          <w:sz w:val="24"/>
          <w:szCs w:val="24"/>
        </w:rPr>
        <w:lastRenderedPageBreak/>
        <w:t xml:space="preserve">relacionados con la prestación pública de los servicios de salud. </w:t>
      </w:r>
      <w:r w:rsidR="001F161C" w:rsidRPr="008C2070">
        <w:rPr>
          <w:rStyle w:val="Refdenotaalpie"/>
          <w:rFonts w:ascii="Times New Roman" w:hAnsi="Times New Roman" w:cs="Times New Roman"/>
          <w:sz w:val="24"/>
          <w:szCs w:val="24"/>
        </w:rPr>
        <w:footnoteReference w:id="26"/>
      </w:r>
      <w:r w:rsidR="00BD07F3" w:rsidRPr="008C2070">
        <w:rPr>
          <w:rFonts w:ascii="Times New Roman" w:hAnsi="Times New Roman" w:cs="Times New Roman"/>
          <w:sz w:val="24"/>
          <w:szCs w:val="24"/>
        </w:rPr>
        <w:t xml:space="preserve"> Sin embargo, la judicialización resulta no ser la solución a todos los problemas relacionados con derechos económicos, sociales y culturales, ya que</w:t>
      </w:r>
      <w:r w:rsidR="007C7E58" w:rsidRPr="008C2070">
        <w:rPr>
          <w:rFonts w:ascii="Times New Roman" w:hAnsi="Times New Roman" w:cs="Times New Roman"/>
          <w:sz w:val="24"/>
          <w:szCs w:val="24"/>
        </w:rPr>
        <w:t>,</w:t>
      </w:r>
      <w:r w:rsidR="00BD07F3" w:rsidRPr="008C2070">
        <w:rPr>
          <w:rFonts w:ascii="Times New Roman" w:hAnsi="Times New Roman" w:cs="Times New Roman"/>
          <w:sz w:val="24"/>
          <w:szCs w:val="24"/>
        </w:rPr>
        <w:t xml:space="preserve"> como Motta Ferraz ha advertido</w:t>
      </w:r>
      <w:r w:rsidR="007C7E58" w:rsidRPr="008C2070">
        <w:rPr>
          <w:rFonts w:ascii="Times New Roman" w:hAnsi="Times New Roman" w:cs="Times New Roman"/>
          <w:sz w:val="24"/>
          <w:szCs w:val="24"/>
        </w:rPr>
        <w:t>,</w:t>
      </w:r>
      <w:r w:rsidR="00BD07F3" w:rsidRPr="008C2070">
        <w:rPr>
          <w:rFonts w:ascii="Times New Roman" w:hAnsi="Times New Roman" w:cs="Times New Roman"/>
          <w:sz w:val="24"/>
          <w:szCs w:val="24"/>
        </w:rPr>
        <w:t xml:space="preserve"> puede ser un mecanismo que </w:t>
      </w:r>
      <w:r w:rsidR="00CC6043" w:rsidRPr="008C2070">
        <w:rPr>
          <w:rFonts w:ascii="Times New Roman" w:hAnsi="Times New Roman" w:cs="Times New Roman"/>
          <w:sz w:val="24"/>
          <w:szCs w:val="24"/>
        </w:rPr>
        <w:t xml:space="preserve">incremente la </w:t>
      </w:r>
      <w:r w:rsidR="00CA3D5E" w:rsidRPr="008C2070">
        <w:rPr>
          <w:rFonts w:ascii="Times New Roman" w:hAnsi="Times New Roman" w:cs="Times New Roman"/>
          <w:sz w:val="24"/>
          <w:szCs w:val="24"/>
        </w:rPr>
        <w:t>inequidad en salud</w:t>
      </w:r>
      <w:r w:rsidR="00F301EC" w:rsidRPr="008C2070">
        <w:rPr>
          <w:rFonts w:ascii="Times New Roman" w:hAnsi="Times New Roman" w:cs="Times New Roman"/>
          <w:sz w:val="24"/>
          <w:szCs w:val="24"/>
        </w:rPr>
        <w:t xml:space="preserve"> por el acceso que solamente algunas personas tienen al </w:t>
      </w:r>
      <w:r w:rsidR="00F74787" w:rsidRPr="008C2070">
        <w:rPr>
          <w:rFonts w:ascii="Times New Roman" w:hAnsi="Times New Roman" w:cs="Times New Roman"/>
          <w:sz w:val="24"/>
          <w:szCs w:val="24"/>
        </w:rPr>
        <w:t>sistema judicial</w:t>
      </w:r>
      <w:r w:rsidR="00BD45F7" w:rsidRPr="008C2070">
        <w:rPr>
          <w:rFonts w:ascii="Times New Roman" w:hAnsi="Times New Roman" w:cs="Times New Roman"/>
          <w:sz w:val="24"/>
          <w:szCs w:val="24"/>
        </w:rPr>
        <w:t xml:space="preserve">. </w:t>
      </w:r>
      <w:r w:rsidR="00BD45F7" w:rsidRPr="008C2070">
        <w:rPr>
          <w:rStyle w:val="Refdenotaalpie"/>
          <w:rFonts w:ascii="Times New Roman" w:hAnsi="Times New Roman" w:cs="Times New Roman"/>
          <w:sz w:val="24"/>
          <w:szCs w:val="24"/>
        </w:rPr>
        <w:footnoteReference w:id="27"/>
      </w:r>
      <w:r w:rsidR="00A50E35" w:rsidRPr="008C2070">
        <w:rPr>
          <w:rFonts w:ascii="Times New Roman" w:hAnsi="Times New Roman" w:cs="Times New Roman"/>
          <w:sz w:val="24"/>
          <w:szCs w:val="24"/>
        </w:rPr>
        <w:t xml:space="preserve"> </w:t>
      </w:r>
      <w:r w:rsidR="00DB6CB7" w:rsidRPr="008C2070">
        <w:rPr>
          <w:rFonts w:ascii="Times New Roman" w:hAnsi="Times New Roman" w:cs="Times New Roman"/>
          <w:sz w:val="24"/>
          <w:szCs w:val="24"/>
        </w:rPr>
        <w:t>Asimismo, este autor ha realizado una crítica al modelo de interpretación que sobre el derecho a la salud</w:t>
      </w:r>
      <w:r w:rsidR="00CE390E" w:rsidRPr="008C2070">
        <w:rPr>
          <w:rFonts w:ascii="Times New Roman" w:hAnsi="Times New Roman" w:cs="Times New Roman"/>
          <w:sz w:val="24"/>
          <w:szCs w:val="24"/>
        </w:rPr>
        <w:t xml:space="preserve"> tienen las cortes brasileñas. Sobre el particular ha encontrado </w:t>
      </w:r>
      <w:r w:rsidR="003100DC" w:rsidRPr="008C2070">
        <w:rPr>
          <w:rFonts w:ascii="Times New Roman" w:hAnsi="Times New Roman" w:cs="Times New Roman"/>
          <w:sz w:val="24"/>
          <w:szCs w:val="24"/>
        </w:rPr>
        <w:t xml:space="preserve">que las cortes en Brasil lo interpretan como un </w:t>
      </w:r>
      <w:r w:rsidR="0077769E" w:rsidRPr="008C2070">
        <w:rPr>
          <w:rFonts w:ascii="Times New Roman" w:hAnsi="Times New Roman" w:cs="Times New Roman"/>
          <w:sz w:val="24"/>
          <w:szCs w:val="24"/>
        </w:rPr>
        <w:t>derecho</w:t>
      </w:r>
      <w:r w:rsidR="003100DC" w:rsidRPr="008C2070">
        <w:rPr>
          <w:rFonts w:ascii="Times New Roman" w:hAnsi="Times New Roman" w:cs="Times New Roman"/>
          <w:sz w:val="24"/>
          <w:szCs w:val="24"/>
        </w:rPr>
        <w:t xml:space="preserve"> subjetivo individual a la satisfacción de todas</w:t>
      </w:r>
      <w:r w:rsidR="0077769E" w:rsidRPr="008C2070">
        <w:rPr>
          <w:rFonts w:ascii="Times New Roman" w:hAnsi="Times New Roman" w:cs="Times New Roman"/>
          <w:sz w:val="24"/>
          <w:szCs w:val="24"/>
        </w:rPr>
        <w:t xml:space="preserve"> </w:t>
      </w:r>
      <w:r w:rsidR="003100DC" w:rsidRPr="008C2070">
        <w:rPr>
          <w:rFonts w:ascii="Times New Roman" w:hAnsi="Times New Roman" w:cs="Times New Roman"/>
          <w:sz w:val="24"/>
          <w:szCs w:val="24"/>
        </w:rPr>
        <w:t>las necesidades particulares en salud de una persona con el tratamiento más avanzado posible</w:t>
      </w:r>
      <w:r w:rsidR="007C7E58" w:rsidRPr="008C2070">
        <w:rPr>
          <w:rFonts w:ascii="Times New Roman" w:hAnsi="Times New Roman" w:cs="Times New Roman"/>
          <w:sz w:val="24"/>
          <w:szCs w:val="24"/>
        </w:rPr>
        <w:t>,</w:t>
      </w:r>
      <w:r w:rsidR="0072183A" w:rsidRPr="008C2070">
        <w:rPr>
          <w:rFonts w:ascii="Times New Roman" w:hAnsi="Times New Roman" w:cs="Times New Roman"/>
          <w:sz w:val="24"/>
          <w:szCs w:val="24"/>
        </w:rPr>
        <w:t xml:space="preserve"> lo cual es solo sostenible a costa de la universalidad.</w:t>
      </w:r>
      <w:r w:rsidR="0072183A" w:rsidRPr="008C2070">
        <w:rPr>
          <w:rStyle w:val="Refdenotaalpie"/>
          <w:rFonts w:ascii="Times New Roman" w:hAnsi="Times New Roman" w:cs="Times New Roman"/>
          <w:sz w:val="24"/>
          <w:szCs w:val="24"/>
        </w:rPr>
        <w:footnoteReference w:id="28"/>
      </w:r>
      <w:r w:rsidR="00935A96" w:rsidRPr="008C2070">
        <w:rPr>
          <w:rFonts w:ascii="Times New Roman" w:hAnsi="Times New Roman" w:cs="Times New Roman"/>
          <w:sz w:val="24"/>
          <w:szCs w:val="24"/>
        </w:rPr>
        <w:t xml:space="preserve"> Es importante mencionar que una </w:t>
      </w:r>
      <w:r w:rsidR="00FC779A" w:rsidRPr="008C2070">
        <w:rPr>
          <w:rFonts w:ascii="Times New Roman" w:hAnsi="Times New Roman" w:cs="Times New Roman"/>
          <w:sz w:val="24"/>
          <w:szCs w:val="24"/>
        </w:rPr>
        <w:t xml:space="preserve">resolución de la Corte Suprema Brasileña ha buscado limitar lo siguiente a través de requisitos con los que los medicamentos deben cumplir para otorgarse, por ejemplo, la existencia de un registro sanitario. </w:t>
      </w:r>
      <w:r w:rsidR="00A50E35" w:rsidRPr="008C2070">
        <w:rPr>
          <w:rFonts w:ascii="Times New Roman" w:hAnsi="Times New Roman" w:cs="Times New Roman"/>
          <w:sz w:val="24"/>
          <w:szCs w:val="24"/>
        </w:rPr>
        <w:t xml:space="preserve">Para el caso mexicano los juicios que </w:t>
      </w:r>
      <w:r w:rsidR="00007E0D" w:rsidRPr="008C2070">
        <w:rPr>
          <w:rFonts w:ascii="Times New Roman" w:hAnsi="Times New Roman" w:cs="Times New Roman"/>
          <w:sz w:val="24"/>
          <w:szCs w:val="24"/>
        </w:rPr>
        <w:t xml:space="preserve">son de conocimiento </w:t>
      </w:r>
      <w:r w:rsidR="00A50E35" w:rsidRPr="008C2070">
        <w:rPr>
          <w:rFonts w:ascii="Times New Roman" w:hAnsi="Times New Roman" w:cs="Times New Roman"/>
          <w:sz w:val="24"/>
          <w:szCs w:val="24"/>
        </w:rPr>
        <w:t xml:space="preserve">a la SCJN le han permitido sentar una interpretación jurisprudencial determinada que a continuación será estudiada. </w:t>
      </w:r>
      <w:r w:rsidR="00FC779A" w:rsidRPr="008C2070">
        <w:rPr>
          <w:rStyle w:val="Refdenotaalpie"/>
          <w:rFonts w:ascii="Times New Roman" w:hAnsi="Times New Roman" w:cs="Times New Roman"/>
          <w:sz w:val="24"/>
          <w:szCs w:val="24"/>
        </w:rPr>
        <w:footnoteReference w:id="29"/>
      </w:r>
    </w:p>
    <w:p w14:paraId="7FA7F4EC" w14:textId="0D9158EB" w:rsidR="00B10A38" w:rsidRPr="008C2070" w:rsidRDefault="004F45B3"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Con el objetivo de demostrar los avances</w:t>
      </w:r>
      <w:r w:rsidR="006A5155" w:rsidRPr="008C2070">
        <w:rPr>
          <w:rFonts w:ascii="Times New Roman" w:hAnsi="Times New Roman" w:cs="Times New Roman"/>
          <w:sz w:val="24"/>
          <w:szCs w:val="24"/>
        </w:rPr>
        <w:t xml:space="preserve"> para el entendimiento de</w:t>
      </w:r>
      <w:r w:rsidR="00A50E35" w:rsidRPr="008C2070">
        <w:rPr>
          <w:rFonts w:ascii="Times New Roman" w:hAnsi="Times New Roman" w:cs="Times New Roman"/>
          <w:sz w:val="24"/>
          <w:szCs w:val="24"/>
        </w:rPr>
        <w:t xml:space="preserve">l derecho a la protección de la salud en México </w:t>
      </w:r>
      <w:r w:rsidR="006A5155" w:rsidRPr="008C2070">
        <w:rPr>
          <w:rFonts w:ascii="Times New Roman" w:hAnsi="Times New Roman" w:cs="Times New Roman"/>
          <w:sz w:val="24"/>
          <w:szCs w:val="24"/>
        </w:rPr>
        <w:t xml:space="preserve">a partir de las interpretaciones judiciales, a </w:t>
      </w:r>
      <w:r w:rsidR="00384D7E" w:rsidRPr="008C2070">
        <w:rPr>
          <w:rFonts w:ascii="Times New Roman" w:hAnsi="Times New Roman" w:cs="Times New Roman"/>
          <w:sz w:val="24"/>
          <w:szCs w:val="24"/>
        </w:rPr>
        <w:t>continuación,</w:t>
      </w:r>
      <w:r w:rsidR="006A5155" w:rsidRPr="008C2070">
        <w:rPr>
          <w:rFonts w:ascii="Times New Roman" w:hAnsi="Times New Roman" w:cs="Times New Roman"/>
          <w:sz w:val="24"/>
          <w:szCs w:val="24"/>
        </w:rPr>
        <w:t xml:space="preserve"> se presenta un estudio de las</w:t>
      </w:r>
      <w:r w:rsidRPr="008C2070">
        <w:rPr>
          <w:rFonts w:ascii="Times New Roman" w:hAnsi="Times New Roman" w:cs="Times New Roman"/>
          <w:sz w:val="24"/>
          <w:szCs w:val="24"/>
        </w:rPr>
        <w:t xml:space="preserve"> temáticas tratadas y los alcances de todas aquellas </w:t>
      </w:r>
      <w:r w:rsidR="006A5155" w:rsidRPr="008C2070">
        <w:rPr>
          <w:rFonts w:ascii="Times New Roman" w:hAnsi="Times New Roman" w:cs="Times New Roman"/>
          <w:sz w:val="24"/>
          <w:szCs w:val="24"/>
        </w:rPr>
        <w:t xml:space="preserve">jurisprudencias y tesis </w:t>
      </w:r>
      <w:r w:rsidRPr="008C2070">
        <w:rPr>
          <w:rFonts w:ascii="Times New Roman" w:hAnsi="Times New Roman" w:cs="Times New Roman"/>
          <w:sz w:val="24"/>
          <w:szCs w:val="24"/>
        </w:rPr>
        <w:t>integradas por la SCJN y los tribunales colegiados de circuito</w:t>
      </w:r>
      <w:r w:rsidR="00CE798E" w:rsidRPr="008C2070">
        <w:rPr>
          <w:rFonts w:ascii="Times New Roman" w:hAnsi="Times New Roman" w:cs="Times New Roman"/>
          <w:sz w:val="24"/>
          <w:szCs w:val="24"/>
        </w:rPr>
        <w:t xml:space="preserve"> previos a la reforma constitucional de 2011 y posteriores a ella. </w:t>
      </w:r>
      <w:r w:rsidR="00D91C18" w:rsidRPr="008C2070">
        <w:rPr>
          <w:rFonts w:ascii="Times New Roman" w:hAnsi="Times New Roman" w:cs="Times New Roman"/>
          <w:sz w:val="24"/>
          <w:szCs w:val="24"/>
        </w:rPr>
        <w:t xml:space="preserve">Para identificar las jurisprudencias y tesis aisladas relevantes de cada periodo, se realizó una búsqueda sistematizada en el portal oficial del Semanario Judicial de la Federación. El estudio está diferenciado en </w:t>
      </w:r>
      <w:r w:rsidR="009D4F18" w:rsidRPr="008C2070">
        <w:rPr>
          <w:rFonts w:ascii="Times New Roman" w:hAnsi="Times New Roman" w:cs="Times New Roman"/>
          <w:sz w:val="24"/>
          <w:szCs w:val="24"/>
        </w:rPr>
        <w:t xml:space="preserve">los </w:t>
      </w:r>
      <w:r w:rsidR="00D91C18" w:rsidRPr="008C2070">
        <w:rPr>
          <w:rFonts w:ascii="Times New Roman" w:hAnsi="Times New Roman" w:cs="Times New Roman"/>
          <w:sz w:val="24"/>
          <w:szCs w:val="24"/>
        </w:rPr>
        <w:t xml:space="preserve">dos grandes periodos </w:t>
      </w:r>
      <w:r w:rsidR="009D4F18" w:rsidRPr="008C2070">
        <w:rPr>
          <w:rFonts w:ascii="Times New Roman" w:hAnsi="Times New Roman" w:cs="Times New Roman"/>
          <w:sz w:val="24"/>
          <w:szCs w:val="24"/>
        </w:rPr>
        <w:t xml:space="preserve">mencionados </w:t>
      </w:r>
      <w:r w:rsidR="00D91C18" w:rsidRPr="008C2070">
        <w:rPr>
          <w:rFonts w:ascii="Times New Roman" w:hAnsi="Times New Roman" w:cs="Times New Roman"/>
          <w:sz w:val="24"/>
          <w:szCs w:val="24"/>
        </w:rPr>
        <w:t xml:space="preserve">(antes y después de 2011). Para las tesis correspondientes al primer periodo (antes 2011), se seleccionaron las épocas octava y novena </w:t>
      </w:r>
      <w:commentRangeStart w:id="1"/>
      <w:r w:rsidR="00D91C18" w:rsidRPr="008C2070">
        <w:rPr>
          <w:rFonts w:ascii="Times New Roman" w:hAnsi="Times New Roman" w:cs="Times New Roman"/>
          <w:sz w:val="24"/>
          <w:szCs w:val="24"/>
        </w:rPr>
        <w:t>(</w:t>
      </w:r>
      <w:r w:rsidR="008A27A6" w:rsidRPr="008C2070">
        <w:rPr>
          <w:rFonts w:ascii="Times New Roman" w:hAnsi="Times New Roman" w:cs="Times New Roman"/>
          <w:sz w:val="24"/>
          <w:szCs w:val="24"/>
        </w:rPr>
        <w:t>enero 1988</w:t>
      </w:r>
      <w:r w:rsidR="00D91C18" w:rsidRPr="008C2070">
        <w:rPr>
          <w:rFonts w:ascii="Times New Roman" w:hAnsi="Times New Roman" w:cs="Times New Roman"/>
          <w:sz w:val="24"/>
          <w:szCs w:val="24"/>
        </w:rPr>
        <w:t xml:space="preserve"> -octubre </w:t>
      </w:r>
      <w:commentRangeEnd w:id="1"/>
      <w:r w:rsidR="005A47AA" w:rsidRPr="008C2070">
        <w:rPr>
          <w:rStyle w:val="Refdecomentario"/>
          <w:rFonts w:ascii="Times New Roman" w:hAnsi="Times New Roman" w:cs="Times New Roman"/>
          <w:sz w:val="24"/>
          <w:szCs w:val="24"/>
        </w:rPr>
        <w:commentReference w:id="1"/>
      </w:r>
      <w:r w:rsidR="00D91C18" w:rsidRPr="008C2070">
        <w:rPr>
          <w:rFonts w:ascii="Times New Roman" w:hAnsi="Times New Roman" w:cs="Times New Roman"/>
          <w:sz w:val="24"/>
          <w:szCs w:val="24"/>
        </w:rPr>
        <w:t>2011); sin embargo, la octava época no arrojó ningún resultado</w:t>
      </w:r>
      <w:r w:rsidR="009D4F18" w:rsidRPr="008C2070">
        <w:rPr>
          <w:rFonts w:ascii="Times New Roman" w:hAnsi="Times New Roman" w:cs="Times New Roman"/>
          <w:sz w:val="24"/>
          <w:szCs w:val="24"/>
        </w:rPr>
        <w:t xml:space="preserve"> </w:t>
      </w:r>
      <w:r w:rsidR="007C7E58" w:rsidRPr="008C2070">
        <w:rPr>
          <w:rFonts w:ascii="Times New Roman" w:hAnsi="Times New Roman" w:cs="Times New Roman"/>
          <w:sz w:val="24"/>
          <w:szCs w:val="24"/>
        </w:rPr>
        <w:t>sobre jurisprudencia desarrollada en torno al derecho en cuestión</w:t>
      </w:r>
      <w:r w:rsidR="00D91C18" w:rsidRPr="008C2070">
        <w:rPr>
          <w:rFonts w:ascii="Times New Roman" w:hAnsi="Times New Roman" w:cs="Times New Roman"/>
          <w:sz w:val="24"/>
          <w:szCs w:val="24"/>
        </w:rPr>
        <w:t>, por lo que, se redujo la muestra a sólo la novena época (</w:t>
      </w:r>
      <w:r w:rsidR="005A47AA" w:rsidRPr="008C2070">
        <w:rPr>
          <w:rFonts w:ascii="Times New Roman" w:hAnsi="Times New Roman" w:cs="Times New Roman"/>
          <w:sz w:val="24"/>
          <w:szCs w:val="24"/>
        </w:rPr>
        <w:t xml:space="preserve">febrero </w:t>
      </w:r>
      <w:r w:rsidR="00D91C18" w:rsidRPr="008C2070">
        <w:rPr>
          <w:rFonts w:ascii="Times New Roman" w:hAnsi="Times New Roman" w:cs="Times New Roman"/>
          <w:sz w:val="24"/>
          <w:szCs w:val="24"/>
        </w:rPr>
        <w:t>1995 – octubre 2011). Por su parte, el periodo posterior a 2011 corresponde a la décima y decimoprimera época (octubre 2011- actualidad)</w:t>
      </w:r>
      <w:r w:rsidR="00F56695" w:rsidRPr="008C2070">
        <w:rPr>
          <w:rFonts w:ascii="Times New Roman" w:hAnsi="Times New Roman" w:cs="Times New Roman"/>
          <w:sz w:val="24"/>
          <w:szCs w:val="24"/>
        </w:rPr>
        <w:t xml:space="preserve">. </w:t>
      </w:r>
      <w:r w:rsidR="009D4F18" w:rsidRPr="008C2070">
        <w:rPr>
          <w:rFonts w:ascii="Times New Roman" w:hAnsi="Times New Roman" w:cs="Times New Roman"/>
          <w:sz w:val="24"/>
          <w:szCs w:val="24"/>
        </w:rPr>
        <w:t>Se identificaron</w:t>
      </w:r>
      <w:r w:rsidR="00F56695" w:rsidRPr="008C2070">
        <w:rPr>
          <w:rFonts w:ascii="Times New Roman" w:hAnsi="Times New Roman" w:cs="Times New Roman"/>
          <w:sz w:val="24"/>
          <w:szCs w:val="24"/>
        </w:rPr>
        <w:t xml:space="preserve"> </w:t>
      </w:r>
      <w:r w:rsidR="000B40AC" w:rsidRPr="008C2070">
        <w:rPr>
          <w:rFonts w:ascii="Times New Roman" w:hAnsi="Times New Roman" w:cs="Times New Roman"/>
          <w:sz w:val="24"/>
          <w:szCs w:val="24"/>
        </w:rPr>
        <w:t xml:space="preserve">un total de </w:t>
      </w:r>
      <w:commentRangeStart w:id="2"/>
      <w:r w:rsidR="00F56695" w:rsidRPr="008C2070">
        <w:rPr>
          <w:rFonts w:ascii="Times New Roman" w:hAnsi="Times New Roman" w:cs="Times New Roman"/>
          <w:sz w:val="24"/>
          <w:szCs w:val="24"/>
        </w:rPr>
        <w:t xml:space="preserve">37 </w:t>
      </w:r>
      <w:r w:rsidR="000B40AC" w:rsidRPr="008C2070">
        <w:rPr>
          <w:rFonts w:ascii="Times New Roman" w:hAnsi="Times New Roman" w:cs="Times New Roman"/>
          <w:sz w:val="24"/>
          <w:szCs w:val="24"/>
        </w:rPr>
        <w:t xml:space="preserve">tesis aisladas y </w:t>
      </w:r>
      <w:r w:rsidR="00F56695" w:rsidRPr="008C2070">
        <w:rPr>
          <w:rFonts w:ascii="Times New Roman" w:hAnsi="Times New Roman" w:cs="Times New Roman"/>
          <w:sz w:val="24"/>
          <w:szCs w:val="24"/>
        </w:rPr>
        <w:t>11</w:t>
      </w:r>
      <w:r w:rsidR="000B40AC" w:rsidRPr="008C2070">
        <w:rPr>
          <w:rFonts w:ascii="Times New Roman" w:hAnsi="Times New Roman" w:cs="Times New Roman"/>
          <w:sz w:val="24"/>
          <w:szCs w:val="24"/>
        </w:rPr>
        <w:t xml:space="preserve"> </w:t>
      </w:r>
      <w:commentRangeEnd w:id="2"/>
      <w:r w:rsidR="0012259A" w:rsidRPr="008C2070">
        <w:rPr>
          <w:rStyle w:val="Refdecomentario"/>
          <w:rFonts w:ascii="Times New Roman" w:hAnsi="Times New Roman" w:cs="Times New Roman"/>
          <w:sz w:val="24"/>
          <w:szCs w:val="24"/>
        </w:rPr>
        <w:commentReference w:id="2"/>
      </w:r>
      <w:r w:rsidR="000B40AC" w:rsidRPr="008C2070">
        <w:rPr>
          <w:rFonts w:ascii="Times New Roman" w:hAnsi="Times New Roman" w:cs="Times New Roman"/>
          <w:sz w:val="24"/>
          <w:szCs w:val="24"/>
        </w:rPr>
        <w:t>jurisprudencias.</w:t>
      </w:r>
      <w:r w:rsidR="00F56695" w:rsidRPr="008C2070">
        <w:rPr>
          <w:rStyle w:val="Refdenotaalpie"/>
          <w:rFonts w:ascii="Times New Roman" w:hAnsi="Times New Roman" w:cs="Times New Roman"/>
          <w:sz w:val="24"/>
          <w:szCs w:val="24"/>
        </w:rPr>
        <w:footnoteReference w:id="30"/>
      </w:r>
      <w:r w:rsidR="000B40AC" w:rsidRPr="008C2070">
        <w:rPr>
          <w:rFonts w:ascii="Times New Roman" w:hAnsi="Times New Roman" w:cs="Times New Roman"/>
          <w:sz w:val="24"/>
          <w:szCs w:val="24"/>
        </w:rPr>
        <w:t xml:space="preserve"> No se encontró ninguna jurisprudencia por mayoría de razón hasta el 27 de enero de 2022. </w:t>
      </w:r>
      <w:r w:rsidR="00D91C18" w:rsidRPr="008C2070">
        <w:rPr>
          <w:rFonts w:ascii="Times New Roman" w:hAnsi="Times New Roman" w:cs="Times New Roman"/>
          <w:sz w:val="24"/>
          <w:szCs w:val="24"/>
        </w:rPr>
        <w:t xml:space="preserve">La búsqueda se realizó a partir de palabras claves referentes al contenido del derecho. </w:t>
      </w:r>
      <w:r w:rsidR="009D4F18" w:rsidRPr="008C2070">
        <w:rPr>
          <w:rFonts w:ascii="Times New Roman" w:hAnsi="Times New Roman" w:cs="Times New Roman"/>
          <w:sz w:val="24"/>
          <w:szCs w:val="24"/>
        </w:rPr>
        <w:t>En concreto</w:t>
      </w:r>
      <w:r w:rsidR="00D91C18" w:rsidRPr="008C2070">
        <w:rPr>
          <w:rFonts w:ascii="Times New Roman" w:hAnsi="Times New Roman" w:cs="Times New Roman"/>
          <w:sz w:val="24"/>
          <w:szCs w:val="24"/>
        </w:rPr>
        <w:t xml:space="preserve">, se buscó “derecho a la salud”, “derecho a la protección de la salud” y “salud”. Una vez que se obtuvieron los resultados con las palabras clave, se depuraron a </w:t>
      </w:r>
      <w:r w:rsidR="00D91C18" w:rsidRPr="008C2070">
        <w:rPr>
          <w:rFonts w:ascii="Times New Roman" w:hAnsi="Times New Roman" w:cs="Times New Roman"/>
          <w:sz w:val="24"/>
          <w:szCs w:val="24"/>
        </w:rPr>
        <w:lastRenderedPageBreak/>
        <w:t>partir de la lectura del rubro y contenido de la tesis o jurisprudencia para determinar su relevancia</w:t>
      </w:r>
      <w:r w:rsidR="009D4F18" w:rsidRPr="008C2070">
        <w:rPr>
          <w:rFonts w:ascii="Times New Roman" w:hAnsi="Times New Roman" w:cs="Times New Roman"/>
          <w:sz w:val="24"/>
          <w:szCs w:val="24"/>
        </w:rPr>
        <w:t>, así como la realización de una subdivisión de tesis dependiendo su contenido</w:t>
      </w:r>
      <w:r w:rsidR="00D91C18" w:rsidRPr="008C2070">
        <w:rPr>
          <w:rFonts w:ascii="Times New Roman" w:hAnsi="Times New Roman" w:cs="Times New Roman"/>
          <w:sz w:val="24"/>
          <w:szCs w:val="24"/>
        </w:rPr>
        <w:t xml:space="preserve">. La </w:t>
      </w:r>
      <w:commentRangeStart w:id="3"/>
      <w:commentRangeStart w:id="4"/>
      <w:r w:rsidR="00D91C18" w:rsidRPr="008C2070">
        <w:rPr>
          <w:rFonts w:ascii="Times New Roman" w:hAnsi="Times New Roman" w:cs="Times New Roman"/>
          <w:sz w:val="24"/>
          <w:szCs w:val="24"/>
        </w:rPr>
        <w:t>extracción de tesis del portal y su reporte se realizó el 15 de diciembre de 2021</w:t>
      </w:r>
      <w:r w:rsidR="000B40AC" w:rsidRPr="008C2070">
        <w:rPr>
          <w:rFonts w:ascii="Times New Roman" w:hAnsi="Times New Roman" w:cs="Times New Roman"/>
          <w:sz w:val="24"/>
          <w:szCs w:val="24"/>
        </w:rPr>
        <w:t xml:space="preserve"> y se actualizó el 27 de enero de 2022</w:t>
      </w:r>
      <w:r w:rsidR="00D91C18" w:rsidRPr="008C2070">
        <w:rPr>
          <w:rFonts w:ascii="Times New Roman" w:hAnsi="Times New Roman" w:cs="Times New Roman"/>
          <w:sz w:val="24"/>
          <w:szCs w:val="24"/>
        </w:rPr>
        <w:t>.</w:t>
      </w:r>
      <w:commentRangeEnd w:id="3"/>
      <w:r w:rsidR="0012259A" w:rsidRPr="008C2070">
        <w:rPr>
          <w:rStyle w:val="Refdecomentario"/>
          <w:rFonts w:ascii="Times New Roman" w:hAnsi="Times New Roman" w:cs="Times New Roman"/>
          <w:sz w:val="24"/>
          <w:szCs w:val="24"/>
        </w:rPr>
        <w:commentReference w:id="3"/>
      </w:r>
      <w:commentRangeEnd w:id="4"/>
      <w:r w:rsidR="009D4F18" w:rsidRPr="008C2070">
        <w:rPr>
          <w:rStyle w:val="Refdecomentario"/>
          <w:rFonts w:ascii="Times New Roman" w:hAnsi="Times New Roman" w:cs="Times New Roman"/>
          <w:sz w:val="24"/>
          <w:szCs w:val="24"/>
        </w:rPr>
        <w:commentReference w:id="4"/>
      </w:r>
    </w:p>
    <w:p w14:paraId="017D5A4A" w14:textId="66E409A7" w:rsidR="00B10A38" w:rsidRPr="008C2070" w:rsidRDefault="00164BAD"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De la búsqueda realizada se encontró que</w:t>
      </w:r>
      <w:r w:rsidR="007256C5" w:rsidRPr="008C2070">
        <w:rPr>
          <w:rFonts w:ascii="Times New Roman" w:hAnsi="Times New Roman" w:cs="Times New Roman"/>
          <w:sz w:val="24"/>
          <w:szCs w:val="24"/>
        </w:rPr>
        <w:t xml:space="preserve"> las jurisprudencias y las tesis para los dos periodos de estudio pueden ser analizadas en aquellas que determinan </w:t>
      </w:r>
      <w:r w:rsidR="00A55F34" w:rsidRPr="008C2070">
        <w:rPr>
          <w:rFonts w:ascii="Times New Roman" w:hAnsi="Times New Roman" w:cs="Times New Roman"/>
          <w:sz w:val="24"/>
          <w:szCs w:val="24"/>
        </w:rPr>
        <w:t xml:space="preserve">algún elemento relacionado </w:t>
      </w:r>
      <w:r w:rsidR="00FE5451" w:rsidRPr="008C2070">
        <w:rPr>
          <w:rFonts w:ascii="Times New Roman" w:hAnsi="Times New Roman" w:cs="Times New Roman"/>
          <w:sz w:val="24"/>
          <w:szCs w:val="24"/>
        </w:rPr>
        <w:t xml:space="preserve">directamente con el derecho a la protección de la salud; y, aquellas que fijan algún criterio implicado con su defensa a través del juicio de amparo o con la reparación del daño. </w:t>
      </w:r>
      <w:r w:rsidR="00B10A38" w:rsidRPr="008C2070">
        <w:rPr>
          <w:rFonts w:ascii="Times New Roman" w:hAnsi="Times New Roman" w:cs="Times New Roman"/>
          <w:sz w:val="24"/>
          <w:szCs w:val="24"/>
        </w:rPr>
        <w:t>Por lo anterior, los resultados se dividirán en estas dos categorías.</w:t>
      </w:r>
      <w:r w:rsidR="006F4E8D" w:rsidRPr="008C2070">
        <w:rPr>
          <w:rFonts w:ascii="Times New Roman" w:hAnsi="Times New Roman" w:cs="Times New Roman"/>
          <w:sz w:val="24"/>
          <w:szCs w:val="24"/>
        </w:rPr>
        <w:t xml:space="preserve"> En la sección de anexos se encuentra un resumen de las jurisprudencias y tesis asiladas utilizadas para este análisis. </w:t>
      </w:r>
    </w:p>
    <w:p w14:paraId="147D5502" w14:textId="0CCECAF1" w:rsidR="00B10A38" w:rsidRPr="008C2070" w:rsidRDefault="00B10A38" w:rsidP="008C2070">
      <w:pPr>
        <w:pStyle w:val="Descripcin"/>
        <w:keepNext/>
        <w:spacing w:beforeLines="120" w:before="288" w:afterLines="120" w:after="288" w:line="276" w:lineRule="auto"/>
        <w:ind w:left="1418"/>
        <w:jc w:val="both"/>
        <w:rPr>
          <w:rFonts w:ascii="Times New Roman" w:hAnsi="Times New Roman" w:cs="Times New Roman"/>
          <w:sz w:val="24"/>
          <w:szCs w:val="24"/>
        </w:rPr>
      </w:pPr>
      <w:r w:rsidRPr="008C2070">
        <w:rPr>
          <w:rFonts w:ascii="Times New Roman" w:hAnsi="Times New Roman" w:cs="Times New Roman"/>
          <w:sz w:val="24"/>
          <w:szCs w:val="24"/>
        </w:rPr>
        <w:t xml:space="preserve">Tabla </w:t>
      </w:r>
      <w:r w:rsidR="00B54B95" w:rsidRPr="008C2070">
        <w:rPr>
          <w:rFonts w:ascii="Times New Roman" w:hAnsi="Times New Roman" w:cs="Times New Roman"/>
          <w:sz w:val="24"/>
          <w:szCs w:val="24"/>
        </w:rPr>
        <w:fldChar w:fldCharType="begin"/>
      </w:r>
      <w:r w:rsidR="00B54B95" w:rsidRPr="008C2070">
        <w:rPr>
          <w:rFonts w:ascii="Times New Roman" w:hAnsi="Times New Roman" w:cs="Times New Roman"/>
          <w:sz w:val="24"/>
          <w:szCs w:val="24"/>
        </w:rPr>
        <w:instrText xml:space="preserve"> SEQ Tabla \* ARABIC </w:instrText>
      </w:r>
      <w:r w:rsidR="00B54B95" w:rsidRPr="008C2070">
        <w:rPr>
          <w:rFonts w:ascii="Times New Roman" w:hAnsi="Times New Roman" w:cs="Times New Roman"/>
          <w:sz w:val="24"/>
          <w:szCs w:val="24"/>
        </w:rPr>
        <w:fldChar w:fldCharType="separate"/>
      </w:r>
      <w:r w:rsidR="00871B8A" w:rsidRPr="008C2070">
        <w:rPr>
          <w:rFonts w:ascii="Times New Roman" w:hAnsi="Times New Roman" w:cs="Times New Roman"/>
          <w:noProof/>
          <w:sz w:val="24"/>
          <w:szCs w:val="24"/>
        </w:rPr>
        <w:t>1</w:t>
      </w:r>
      <w:r w:rsidR="00B54B95" w:rsidRPr="008C2070">
        <w:rPr>
          <w:rFonts w:ascii="Times New Roman" w:hAnsi="Times New Roman" w:cs="Times New Roman"/>
          <w:noProof/>
          <w:sz w:val="24"/>
          <w:szCs w:val="24"/>
        </w:rPr>
        <w:fldChar w:fldCharType="end"/>
      </w:r>
      <w:r w:rsidRPr="008C2070">
        <w:rPr>
          <w:rFonts w:ascii="Times New Roman" w:hAnsi="Times New Roman" w:cs="Times New Roman"/>
          <w:sz w:val="24"/>
          <w:szCs w:val="24"/>
        </w:rPr>
        <w:t>. Jurisprudencias y tesis aisladas por tribunal de origen</w:t>
      </w:r>
    </w:p>
    <w:tbl>
      <w:tblPr>
        <w:tblStyle w:val="Tablaconcuadrcula"/>
        <w:tblW w:w="0" w:type="auto"/>
        <w:tblInd w:w="1271" w:type="dxa"/>
        <w:tblLook w:val="04A0" w:firstRow="1" w:lastRow="0" w:firstColumn="1" w:lastColumn="0" w:noHBand="0" w:noVBand="1"/>
      </w:tblPr>
      <w:tblGrid>
        <w:gridCol w:w="1552"/>
        <w:gridCol w:w="2482"/>
        <w:gridCol w:w="2482"/>
      </w:tblGrid>
      <w:tr w:rsidR="009D4F18" w:rsidRPr="008C2070" w14:paraId="2B03BCD3" w14:textId="77777777" w:rsidTr="008C2070">
        <w:trPr>
          <w:trHeight w:val="238"/>
        </w:trPr>
        <w:tc>
          <w:tcPr>
            <w:tcW w:w="1552" w:type="dxa"/>
          </w:tcPr>
          <w:p w14:paraId="2732F715"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p>
        </w:tc>
        <w:tc>
          <w:tcPr>
            <w:tcW w:w="2482" w:type="dxa"/>
          </w:tcPr>
          <w:p w14:paraId="693DB3CC" w14:textId="77777777" w:rsidR="00B10A38" w:rsidRPr="008C2070" w:rsidRDefault="00B10A38" w:rsidP="008C2070">
            <w:pPr>
              <w:spacing w:before="60" w:after="60" w:line="276" w:lineRule="auto"/>
              <w:jc w:val="center"/>
              <w:rPr>
                <w:rFonts w:ascii="Times New Roman" w:hAnsi="Times New Roman" w:cs="Times New Roman"/>
                <w:b/>
                <w:bCs/>
                <w:sz w:val="20"/>
                <w:szCs w:val="20"/>
                <w:lang w:val="es-ES"/>
              </w:rPr>
            </w:pPr>
            <w:r w:rsidRPr="008C2070">
              <w:rPr>
                <w:rFonts w:ascii="Times New Roman" w:hAnsi="Times New Roman" w:cs="Times New Roman"/>
                <w:b/>
                <w:bCs/>
                <w:sz w:val="20"/>
                <w:szCs w:val="20"/>
                <w:lang w:val="es-ES"/>
              </w:rPr>
              <w:t>Jurisprudencias</w:t>
            </w:r>
          </w:p>
        </w:tc>
        <w:tc>
          <w:tcPr>
            <w:tcW w:w="2482" w:type="dxa"/>
          </w:tcPr>
          <w:p w14:paraId="7F278AC6" w14:textId="74E31E30" w:rsidR="00B10A38" w:rsidRPr="008C2070" w:rsidRDefault="00B10A38" w:rsidP="008C2070">
            <w:pPr>
              <w:spacing w:before="60" w:after="60" w:line="276" w:lineRule="auto"/>
              <w:jc w:val="center"/>
              <w:rPr>
                <w:rFonts w:ascii="Times New Roman" w:hAnsi="Times New Roman" w:cs="Times New Roman"/>
                <w:b/>
                <w:bCs/>
                <w:sz w:val="20"/>
                <w:szCs w:val="20"/>
                <w:lang w:val="es-ES"/>
              </w:rPr>
            </w:pPr>
            <w:r w:rsidRPr="008C2070">
              <w:rPr>
                <w:rFonts w:ascii="Times New Roman" w:hAnsi="Times New Roman" w:cs="Times New Roman"/>
                <w:b/>
                <w:bCs/>
                <w:sz w:val="20"/>
                <w:szCs w:val="20"/>
                <w:lang w:val="es-ES"/>
              </w:rPr>
              <w:t>Tesis</w:t>
            </w:r>
            <w:r w:rsidR="00F74821" w:rsidRPr="008C2070">
              <w:rPr>
                <w:rFonts w:ascii="Times New Roman" w:hAnsi="Times New Roman" w:cs="Times New Roman"/>
                <w:b/>
                <w:bCs/>
                <w:sz w:val="20"/>
                <w:szCs w:val="20"/>
                <w:lang w:val="es-ES"/>
              </w:rPr>
              <w:t xml:space="preserve"> aisladas</w:t>
            </w:r>
          </w:p>
        </w:tc>
      </w:tr>
      <w:tr w:rsidR="009D4F18" w:rsidRPr="008C2070" w14:paraId="5ED4F2D3" w14:textId="77777777" w:rsidTr="008C2070">
        <w:trPr>
          <w:trHeight w:val="238"/>
        </w:trPr>
        <w:tc>
          <w:tcPr>
            <w:tcW w:w="6516" w:type="dxa"/>
            <w:gridSpan w:val="3"/>
          </w:tcPr>
          <w:p w14:paraId="496FBDE6" w14:textId="77777777" w:rsidR="00B10A38" w:rsidRPr="008C2070" w:rsidRDefault="00B10A38" w:rsidP="008C2070">
            <w:pPr>
              <w:spacing w:before="60" w:after="60" w:line="276" w:lineRule="auto"/>
              <w:jc w:val="center"/>
              <w:rPr>
                <w:rFonts w:ascii="Times New Roman" w:hAnsi="Times New Roman" w:cs="Times New Roman"/>
                <w:b/>
                <w:bCs/>
                <w:sz w:val="20"/>
                <w:szCs w:val="20"/>
                <w:lang w:val="es-ES"/>
              </w:rPr>
            </w:pPr>
            <w:r w:rsidRPr="008C2070">
              <w:rPr>
                <w:rFonts w:ascii="Times New Roman" w:hAnsi="Times New Roman" w:cs="Times New Roman"/>
                <w:b/>
                <w:bCs/>
                <w:sz w:val="20"/>
                <w:szCs w:val="20"/>
                <w:lang w:val="es-ES"/>
              </w:rPr>
              <w:t>Relacionadas directamente con el derecho a la protección de la salud</w:t>
            </w:r>
          </w:p>
        </w:tc>
      </w:tr>
      <w:tr w:rsidR="009D4F18" w:rsidRPr="008C2070" w14:paraId="70B7CC6F" w14:textId="77777777" w:rsidTr="008C2070">
        <w:trPr>
          <w:trHeight w:val="238"/>
        </w:trPr>
        <w:tc>
          <w:tcPr>
            <w:tcW w:w="1552" w:type="dxa"/>
          </w:tcPr>
          <w:p w14:paraId="2A74736D"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 xml:space="preserve">Antes de 2011 (1995-octubre 2011) </w:t>
            </w:r>
          </w:p>
        </w:tc>
        <w:tc>
          <w:tcPr>
            <w:tcW w:w="2482" w:type="dxa"/>
          </w:tcPr>
          <w:p w14:paraId="507CF038"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2 Pleno SCJN</w:t>
            </w:r>
          </w:p>
          <w:p w14:paraId="64186317"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2 Primera Sala</w:t>
            </w:r>
          </w:p>
          <w:p w14:paraId="169E65E4"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 xml:space="preserve"> </w:t>
            </w:r>
          </w:p>
        </w:tc>
        <w:tc>
          <w:tcPr>
            <w:tcW w:w="2482" w:type="dxa"/>
          </w:tcPr>
          <w:p w14:paraId="55B78AF5"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 xml:space="preserve">6 Pleno SCJN </w:t>
            </w:r>
          </w:p>
          <w:p w14:paraId="1CFEA976"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1 TCC</w:t>
            </w:r>
          </w:p>
        </w:tc>
      </w:tr>
      <w:tr w:rsidR="009D4F18" w:rsidRPr="008C2070" w14:paraId="498C3D9B" w14:textId="77777777" w:rsidTr="008C2070">
        <w:trPr>
          <w:trHeight w:val="238"/>
        </w:trPr>
        <w:tc>
          <w:tcPr>
            <w:tcW w:w="1552" w:type="dxa"/>
          </w:tcPr>
          <w:p w14:paraId="562AC3D8"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 xml:space="preserve">De 2011 a la fecha </w:t>
            </w:r>
          </w:p>
        </w:tc>
        <w:tc>
          <w:tcPr>
            <w:tcW w:w="2482" w:type="dxa"/>
          </w:tcPr>
          <w:p w14:paraId="41A829AF"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1 Primera Sala</w:t>
            </w:r>
          </w:p>
          <w:p w14:paraId="6B53EDD9"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1 TCC</w:t>
            </w:r>
          </w:p>
        </w:tc>
        <w:tc>
          <w:tcPr>
            <w:tcW w:w="2482" w:type="dxa"/>
          </w:tcPr>
          <w:p w14:paraId="0DD87E6B"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 xml:space="preserve">1 Pleno SCJN </w:t>
            </w:r>
          </w:p>
          <w:p w14:paraId="45768798" w14:textId="1994E69B" w:rsidR="00B10A38" w:rsidRPr="008C2070" w:rsidRDefault="00C7599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 xml:space="preserve">6 </w:t>
            </w:r>
            <w:r w:rsidR="00B10A38" w:rsidRPr="008C2070">
              <w:rPr>
                <w:rFonts w:ascii="Times New Roman" w:hAnsi="Times New Roman" w:cs="Times New Roman"/>
                <w:sz w:val="20"/>
                <w:szCs w:val="20"/>
                <w:lang w:val="es-ES"/>
              </w:rPr>
              <w:t>Primera Sala</w:t>
            </w:r>
          </w:p>
          <w:p w14:paraId="6F3C98F3" w14:textId="73397848" w:rsidR="00B10A38" w:rsidRPr="008C2070" w:rsidRDefault="007A1C0F"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3</w:t>
            </w:r>
            <w:r w:rsidR="00B10A38" w:rsidRPr="008C2070">
              <w:rPr>
                <w:rFonts w:ascii="Times New Roman" w:hAnsi="Times New Roman" w:cs="Times New Roman"/>
                <w:sz w:val="20"/>
                <w:szCs w:val="20"/>
                <w:lang w:val="es-ES"/>
              </w:rPr>
              <w:t xml:space="preserve"> Segunda Sala</w:t>
            </w:r>
          </w:p>
          <w:p w14:paraId="02C48E1A" w14:textId="0179C747" w:rsidR="00B10A38" w:rsidRPr="008C2070" w:rsidRDefault="008B2C16"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10</w:t>
            </w:r>
            <w:r w:rsidR="00B10A38" w:rsidRPr="008C2070">
              <w:rPr>
                <w:rFonts w:ascii="Times New Roman" w:hAnsi="Times New Roman" w:cs="Times New Roman"/>
                <w:sz w:val="20"/>
                <w:szCs w:val="20"/>
                <w:lang w:val="es-ES"/>
              </w:rPr>
              <w:t xml:space="preserve"> TCC</w:t>
            </w:r>
          </w:p>
        </w:tc>
      </w:tr>
      <w:tr w:rsidR="009D4F18" w:rsidRPr="008C2070" w14:paraId="1F86C9BF" w14:textId="77777777" w:rsidTr="008C2070">
        <w:trPr>
          <w:trHeight w:val="238"/>
        </w:trPr>
        <w:tc>
          <w:tcPr>
            <w:tcW w:w="6516" w:type="dxa"/>
            <w:gridSpan w:val="3"/>
          </w:tcPr>
          <w:p w14:paraId="24244C10" w14:textId="77777777" w:rsidR="00B10A38" w:rsidRPr="008C2070" w:rsidRDefault="00B10A38" w:rsidP="008C2070">
            <w:pPr>
              <w:spacing w:before="60" w:after="60" w:line="276" w:lineRule="auto"/>
              <w:jc w:val="center"/>
              <w:rPr>
                <w:rFonts w:ascii="Times New Roman" w:hAnsi="Times New Roman" w:cs="Times New Roman"/>
                <w:b/>
                <w:bCs/>
                <w:sz w:val="20"/>
                <w:szCs w:val="20"/>
                <w:lang w:val="es-ES"/>
              </w:rPr>
            </w:pPr>
            <w:r w:rsidRPr="008C2070">
              <w:rPr>
                <w:rFonts w:ascii="Times New Roman" w:hAnsi="Times New Roman" w:cs="Times New Roman"/>
                <w:b/>
                <w:bCs/>
                <w:sz w:val="20"/>
                <w:szCs w:val="20"/>
                <w:lang w:val="es-ES"/>
              </w:rPr>
              <w:t>Relacionadas con cuestiones procesales del juicio de amparo y reparación del daño en casos de derecho a la protección de la salud</w:t>
            </w:r>
          </w:p>
        </w:tc>
      </w:tr>
      <w:tr w:rsidR="009D4F18" w:rsidRPr="008C2070" w14:paraId="1BD9C6A4" w14:textId="77777777" w:rsidTr="008C2070">
        <w:trPr>
          <w:trHeight w:val="238"/>
        </w:trPr>
        <w:tc>
          <w:tcPr>
            <w:tcW w:w="1552" w:type="dxa"/>
          </w:tcPr>
          <w:p w14:paraId="10F66640"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 xml:space="preserve">Antes de 2011 (1995-octubre 2011) </w:t>
            </w:r>
          </w:p>
        </w:tc>
        <w:tc>
          <w:tcPr>
            <w:tcW w:w="2482" w:type="dxa"/>
          </w:tcPr>
          <w:p w14:paraId="57BD7220"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 xml:space="preserve"> NA</w:t>
            </w:r>
          </w:p>
          <w:p w14:paraId="19D01D67"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 xml:space="preserve"> </w:t>
            </w:r>
          </w:p>
        </w:tc>
        <w:tc>
          <w:tcPr>
            <w:tcW w:w="2482" w:type="dxa"/>
          </w:tcPr>
          <w:p w14:paraId="6004C1D9"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 xml:space="preserve"> 1 Pleno SCJN </w:t>
            </w:r>
          </w:p>
          <w:p w14:paraId="318D7BF9"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p>
        </w:tc>
      </w:tr>
      <w:tr w:rsidR="009D4F18" w:rsidRPr="008C2070" w14:paraId="04B113A5" w14:textId="77777777" w:rsidTr="008C2070">
        <w:trPr>
          <w:trHeight w:val="238"/>
        </w:trPr>
        <w:tc>
          <w:tcPr>
            <w:tcW w:w="1552" w:type="dxa"/>
          </w:tcPr>
          <w:p w14:paraId="0CA64A7D"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 xml:space="preserve">De 2011 a la fecha </w:t>
            </w:r>
          </w:p>
        </w:tc>
        <w:tc>
          <w:tcPr>
            <w:tcW w:w="2482" w:type="dxa"/>
          </w:tcPr>
          <w:p w14:paraId="079BD799" w14:textId="77777777"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1 Segunda Sala</w:t>
            </w:r>
          </w:p>
          <w:p w14:paraId="00AACEDE" w14:textId="427F14DB" w:rsidR="00B10A38" w:rsidRPr="008C2070" w:rsidRDefault="00B10A38"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2 Pleno de circuito</w:t>
            </w:r>
            <w:r w:rsidR="00976321" w:rsidRPr="008C2070">
              <w:rPr>
                <w:rStyle w:val="Refdenotaalpie"/>
                <w:rFonts w:ascii="Times New Roman" w:hAnsi="Times New Roman" w:cs="Times New Roman"/>
                <w:sz w:val="20"/>
                <w:szCs w:val="20"/>
                <w:lang w:val="es-ES"/>
              </w:rPr>
              <w:footnoteReference w:id="31"/>
            </w:r>
          </w:p>
          <w:p w14:paraId="33CEDCA9" w14:textId="1EB99268" w:rsidR="00B10A38" w:rsidRPr="008C2070" w:rsidRDefault="00085A5F"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2</w:t>
            </w:r>
            <w:r w:rsidR="00B10A38" w:rsidRPr="008C2070">
              <w:rPr>
                <w:rFonts w:ascii="Times New Roman" w:hAnsi="Times New Roman" w:cs="Times New Roman"/>
                <w:sz w:val="20"/>
                <w:szCs w:val="20"/>
                <w:lang w:val="es-ES"/>
              </w:rPr>
              <w:t xml:space="preserve"> TCC</w:t>
            </w:r>
            <w:r w:rsidR="00A7628D" w:rsidRPr="008C2070">
              <w:rPr>
                <w:rFonts w:ascii="Times New Roman" w:hAnsi="Times New Roman" w:cs="Times New Roman"/>
                <w:sz w:val="20"/>
                <w:szCs w:val="20"/>
                <w:lang w:val="es-ES"/>
              </w:rPr>
              <w:t xml:space="preserve"> </w:t>
            </w:r>
          </w:p>
        </w:tc>
        <w:tc>
          <w:tcPr>
            <w:tcW w:w="2482" w:type="dxa"/>
          </w:tcPr>
          <w:p w14:paraId="2C9E4E4A" w14:textId="5DA8CD60" w:rsidR="00B10A38" w:rsidRPr="008C2070" w:rsidRDefault="00085A5F" w:rsidP="008C2070">
            <w:pPr>
              <w:spacing w:before="60" w:after="60" w:line="276" w:lineRule="auto"/>
              <w:jc w:val="both"/>
              <w:rPr>
                <w:rFonts w:ascii="Times New Roman" w:hAnsi="Times New Roman" w:cs="Times New Roman"/>
                <w:sz w:val="20"/>
                <w:szCs w:val="20"/>
                <w:lang w:val="es-ES"/>
              </w:rPr>
            </w:pPr>
            <w:r w:rsidRPr="008C2070">
              <w:rPr>
                <w:rFonts w:ascii="Times New Roman" w:hAnsi="Times New Roman" w:cs="Times New Roman"/>
                <w:sz w:val="20"/>
                <w:szCs w:val="20"/>
                <w:lang w:val="es-ES"/>
              </w:rPr>
              <w:t>2</w:t>
            </w:r>
            <w:r w:rsidR="00547F06" w:rsidRPr="008C2070">
              <w:rPr>
                <w:rFonts w:ascii="Times New Roman" w:hAnsi="Times New Roman" w:cs="Times New Roman"/>
                <w:sz w:val="20"/>
                <w:szCs w:val="20"/>
                <w:lang w:val="es-ES"/>
              </w:rPr>
              <w:t xml:space="preserve"> </w:t>
            </w:r>
            <w:r w:rsidR="00B10A38" w:rsidRPr="008C2070">
              <w:rPr>
                <w:rFonts w:ascii="Times New Roman" w:hAnsi="Times New Roman" w:cs="Times New Roman"/>
                <w:sz w:val="20"/>
                <w:szCs w:val="20"/>
                <w:lang w:val="es-ES"/>
              </w:rPr>
              <w:t>Primera Sala</w:t>
            </w:r>
          </w:p>
          <w:p w14:paraId="1A352AA1" w14:textId="3A571F26" w:rsidR="00B10A38" w:rsidRPr="00F60289" w:rsidRDefault="00B10A38" w:rsidP="00F60289">
            <w:pPr>
              <w:pStyle w:val="Prrafodelista"/>
              <w:numPr>
                <w:ilvl w:val="0"/>
                <w:numId w:val="7"/>
              </w:numPr>
              <w:spacing w:before="60" w:after="60" w:line="276" w:lineRule="auto"/>
              <w:jc w:val="both"/>
              <w:rPr>
                <w:rFonts w:ascii="Times New Roman" w:hAnsi="Times New Roman" w:cs="Times New Roman"/>
                <w:sz w:val="20"/>
                <w:szCs w:val="20"/>
                <w:lang w:val="es-ES"/>
              </w:rPr>
            </w:pPr>
            <w:r w:rsidRPr="00F60289">
              <w:rPr>
                <w:rFonts w:ascii="Times New Roman" w:hAnsi="Times New Roman" w:cs="Times New Roman"/>
                <w:sz w:val="20"/>
                <w:szCs w:val="20"/>
                <w:lang w:val="es-ES"/>
              </w:rPr>
              <w:t>TCC</w:t>
            </w:r>
          </w:p>
        </w:tc>
      </w:tr>
    </w:tbl>
    <w:p w14:paraId="63C0AD98" w14:textId="2C984BF4" w:rsidR="00B10A38" w:rsidRDefault="00B10A38" w:rsidP="008C2070">
      <w:pPr>
        <w:spacing w:beforeLines="120" w:before="288" w:afterLines="120" w:after="288" w:line="276" w:lineRule="auto"/>
        <w:jc w:val="both"/>
        <w:rPr>
          <w:rFonts w:ascii="Times New Roman" w:hAnsi="Times New Roman" w:cs="Times New Roman"/>
          <w:sz w:val="24"/>
          <w:szCs w:val="24"/>
        </w:rPr>
      </w:pPr>
    </w:p>
    <w:p w14:paraId="69A68A4F" w14:textId="77777777" w:rsidR="008C2070" w:rsidRPr="008C2070" w:rsidRDefault="008C2070" w:rsidP="008C2070">
      <w:pPr>
        <w:spacing w:beforeLines="120" w:before="288" w:afterLines="120" w:after="288" w:line="276" w:lineRule="auto"/>
        <w:jc w:val="both"/>
        <w:rPr>
          <w:rFonts w:ascii="Times New Roman" w:hAnsi="Times New Roman" w:cs="Times New Roman"/>
          <w:sz w:val="24"/>
          <w:szCs w:val="24"/>
        </w:rPr>
      </w:pPr>
    </w:p>
    <w:p w14:paraId="1DD85433" w14:textId="3F7B6254" w:rsidR="00B10A38" w:rsidRPr="00F60289" w:rsidRDefault="00F60289" w:rsidP="00F60289">
      <w:pPr>
        <w:spacing w:beforeLines="120" w:before="288" w:afterLines="120" w:after="288"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A. </w:t>
      </w:r>
      <w:r w:rsidR="00B10A38" w:rsidRPr="00F60289">
        <w:rPr>
          <w:rFonts w:ascii="Times New Roman" w:hAnsi="Times New Roman" w:cs="Times New Roman"/>
          <w:b/>
          <w:bCs/>
          <w:sz w:val="24"/>
          <w:szCs w:val="24"/>
        </w:rPr>
        <w:t>Jurisprudencias y tesis relacionadas directamente con el derecho a la protección de la salud</w:t>
      </w:r>
    </w:p>
    <w:p w14:paraId="429D1FCB" w14:textId="276E592F" w:rsidR="00B8541A" w:rsidRPr="008C2070" w:rsidRDefault="00FE5451"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Para aquellas relacionadas directamente con el derecho a la protección de la salud, d</w:t>
      </w:r>
      <w:r w:rsidR="00164BAD" w:rsidRPr="008C2070">
        <w:rPr>
          <w:rFonts w:ascii="Times New Roman" w:hAnsi="Times New Roman" w:cs="Times New Roman"/>
          <w:sz w:val="24"/>
          <w:szCs w:val="24"/>
        </w:rPr>
        <w:t>e 1995 a octubre de 2011</w:t>
      </w:r>
      <w:r w:rsidR="009D4F18" w:rsidRPr="008C2070">
        <w:rPr>
          <w:rFonts w:ascii="Times New Roman" w:hAnsi="Times New Roman" w:cs="Times New Roman"/>
          <w:sz w:val="24"/>
          <w:szCs w:val="24"/>
        </w:rPr>
        <w:t>,</w:t>
      </w:r>
      <w:r w:rsidR="00164BAD" w:rsidRPr="008C2070">
        <w:rPr>
          <w:rFonts w:ascii="Times New Roman" w:hAnsi="Times New Roman" w:cs="Times New Roman"/>
          <w:sz w:val="24"/>
          <w:szCs w:val="24"/>
        </w:rPr>
        <w:t xml:space="preserve"> se </w:t>
      </w:r>
      <w:r w:rsidR="00AA293C" w:rsidRPr="008C2070">
        <w:rPr>
          <w:rFonts w:ascii="Times New Roman" w:hAnsi="Times New Roman" w:cs="Times New Roman"/>
          <w:sz w:val="24"/>
          <w:szCs w:val="24"/>
        </w:rPr>
        <w:t>integr</w:t>
      </w:r>
      <w:r w:rsidR="00B8541A" w:rsidRPr="008C2070">
        <w:rPr>
          <w:rFonts w:ascii="Times New Roman" w:hAnsi="Times New Roman" w:cs="Times New Roman"/>
          <w:sz w:val="24"/>
          <w:szCs w:val="24"/>
        </w:rPr>
        <w:t>aron</w:t>
      </w:r>
      <w:r w:rsidR="00164BAD" w:rsidRPr="008C2070">
        <w:rPr>
          <w:rFonts w:ascii="Times New Roman" w:hAnsi="Times New Roman" w:cs="Times New Roman"/>
          <w:sz w:val="24"/>
          <w:szCs w:val="24"/>
        </w:rPr>
        <w:t xml:space="preserve"> un mayor número de </w:t>
      </w:r>
      <w:r w:rsidR="00AA293C" w:rsidRPr="008C2070">
        <w:rPr>
          <w:rFonts w:ascii="Times New Roman" w:hAnsi="Times New Roman" w:cs="Times New Roman"/>
          <w:sz w:val="24"/>
          <w:szCs w:val="24"/>
        </w:rPr>
        <w:t>jurisprudencias</w:t>
      </w:r>
      <w:r w:rsidR="00164BAD" w:rsidRPr="008C2070">
        <w:rPr>
          <w:rFonts w:ascii="Times New Roman" w:hAnsi="Times New Roman" w:cs="Times New Roman"/>
          <w:sz w:val="24"/>
          <w:szCs w:val="24"/>
        </w:rPr>
        <w:t xml:space="preserve"> </w:t>
      </w:r>
      <w:r w:rsidR="00AA293C" w:rsidRPr="008C2070">
        <w:rPr>
          <w:rFonts w:ascii="Times New Roman" w:hAnsi="Times New Roman" w:cs="Times New Roman"/>
          <w:sz w:val="24"/>
          <w:szCs w:val="24"/>
        </w:rPr>
        <w:t>que d</w:t>
      </w:r>
      <w:r w:rsidR="00F073A5" w:rsidRPr="008C2070">
        <w:rPr>
          <w:rFonts w:ascii="Times New Roman" w:hAnsi="Times New Roman" w:cs="Times New Roman"/>
          <w:sz w:val="24"/>
          <w:szCs w:val="24"/>
        </w:rPr>
        <w:t>urante e</w:t>
      </w:r>
      <w:r w:rsidR="00AA293C" w:rsidRPr="008C2070">
        <w:rPr>
          <w:rFonts w:ascii="Times New Roman" w:hAnsi="Times New Roman" w:cs="Times New Roman"/>
          <w:sz w:val="24"/>
          <w:szCs w:val="24"/>
        </w:rPr>
        <w:t xml:space="preserve">l periodo comprendido </w:t>
      </w:r>
      <w:r w:rsidR="00F073A5" w:rsidRPr="008C2070">
        <w:rPr>
          <w:rFonts w:ascii="Times New Roman" w:hAnsi="Times New Roman" w:cs="Times New Roman"/>
          <w:sz w:val="24"/>
          <w:szCs w:val="24"/>
        </w:rPr>
        <w:t>entre</w:t>
      </w:r>
      <w:r w:rsidR="00AA293C" w:rsidRPr="008C2070">
        <w:rPr>
          <w:rFonts w:ascii="Times New Roman" w:hAnsi="Times New Roman" w:cs="Times New Roman"/>
          <w:sz w:val="24"/>
          <w:szCs w:val="24"/>
        </w:rPr>
        <w:t xml:space="preserve"> 2011 a la fecha. </w:t>
      </w:r>
      <w:r w:rsidR="00B8541A" w:rsidRPr="008C2070">
        <w:rPr>
          <w:rFonts w:ascii="Times New Roman" w:hAnsi="Times New Roman" w:cs="Times New Roman"/>
          <w:sz w:val="24"/>
          <w:szCs w:val="24"/>
        </w:rPr>
        <w:t xml:space="preserve">Dichas jurisprudencias fueron en su mayoría creadas por la SCJN. Para el lapso 2011 a 2021 se observan solo 2 jurisprudencias integradas por la primera sala de la SCJN y un Tribunal Colegiado de Circuito (TCC). Para el primer periodo y relacionado con las tesis se </w:t>
      </w:r>
      <w:r w:rsidR="003B396E" w:rsidRPr="008C2070">
        <w:rPr>
          <w:rFonts w:ascii="Times New Roman" w:hAnsi="Times New Roman" w:cs="Times New Roman"/>
          <w:sz w:val="24"/>
          <w:szCs w:val="24"/>
        </w:rPr>
        <w:t>observa</w:t>
      </w:r>
      <w:r w:rsidR="00B8541A" w:rsidRPr="008C2070">
        <w:rPr>
          <w:rFonts w:ascii="Times New Roman" w:hAnsi="Times New Roman" w:cs="Times New Roman"/>
          <w:sz w:val="24"/>
          <w:szCs w:val="24"/>
        </w:rPr>
        <w:t xml:space="preserve"> un menor número de estas comparado con el periodo posterior. Sin</w:t>
      </w:r>
      <w:r w:rsidR="003B396E" w:rsidRPr="008C2070">
        <w:rPr>
          <w:rFonts w:ascii="Times New Roman" w:hAnsi="Times New Roman" w:cs="Times New Roman"/>
          <w:sz w:val="24"/>
          <w:szCs w:val="24"/>
        </w:rPr>
        <w:t xml:space="preserve"> embargo, </w:t>
      </w:r>
      <w:r w:rsidR="00B8541A" w:rsidRPr="008C2070">
        <w:rPr>
          <w:rFonts w:ascii="Times New Roman" w:hAnsi="Times New Roman" w:cs="Times New Roman"/>
          <w:sz w:val="24"/>
          <w:szCs w:val="24"/>
        </w:rPr>
        <w:t>en el periodo comprendido de 2011 a la fecha</w:t>
      </w:r>
      <w:r w:rsidR="009D4F18" w:rsidRPr="008C2070">
        <w:rPr>
          <w:rFonts w:ascii="Times New Roman" w:hAnsi="Times New Roman" w:cs="Times New Roman"/>
          <w:sz w:val="24"/>
          <w:szCs w:val="24"/>
        </w:rPr>
        <w:t>,</w:t>
      </w:r>
      <w:r w:rsidR="00B8541A" w:rsidRPr="008C2070">
        <w:rPr>
          <w:rFonts w:ascii="Times New Roman" w:hAnsi="Times New Roman" w:cs="Times New Roman"/>
          <w:sz w:val="24"/>
          <w:szCs w:val="24"/>
        </w:rPr>
        <w:t xml:space="preserve"> </w:t>
      </w:r>
      <w:r w:rsidR="003B396E" w:rsidRPr="008C2070">
        <w:rPr>
          <w:rFonts w:ascii="Times New Roman" w:hAnsi="Times New Roman" w:cs="Times New Roman"/>
          <w:sz w:val="24"/>
          <w:szCs w:val="24"/>
        </w:rPr>
        <w:t>se manifiesta la inclusión de la Segunda Sala de la SC</w:t>
      </w:r>
      <w:r w:rsidR="009D4F18" w:rsidRPr="008C2070">
        <w:rPr>
          <w:rFonts w:ascii="Times New Roman" w:hAnsi="Times New Roman" w:cs="Times New Roman"/>
          <w:sz w:val="24"/>
          <w:szCs w:val="24"/>
        </w:rPr>
        <w:t>J</w:t>
      </w:r>
      <w:r w:rsidR="003B396E" w:rsidRPr="008C2070">
        <w:rPr>
          <w:rFonts w:ascii="Times New Roman" w:hAnsi="Times New Roman" w:cs="Times New Roman"/>
          <w:sz w:val="24"/>
          <w:szCs w:val="24"/>
        </w:rPr>
        <w:t xml:space="preserve">N y una mayor representación de los TCC. Esto podría indicar </w:t>
      </w:r>
      <w:r w:rsidR="00937C3E" w:rsidRPr="008C2070">
        <w:rPr>
          <w:rFonts w:ascii="Times New Roman" w:hAnsi="Times New Roman" w:cs="Times New Roman"/>
          <w:sz w:val="24"/>
          <w:szCs w:val="24"/>
        </w:rPr>
        <w:t>que el derecho a la protección de la salud incluyó interpretaciones no solamente</w:t>
      </w:r>
      <w:r w:rsidR="0097560A" w:rsidRPr="008C2070">
        <w:rPr>
          <w:rFonts w:ascii="Times New Roman" w:hAnsi="Times New Roman" w:cs="Times New Roman"/>
          <w:sz w:val="24"/>
          <w:szCs w:val="24"/>
        </w:rPr>
        <w:t xml:space="preserve"> civiles y laborales</w:t>
      </w:r>
      <w:r w:rsidR="009D4F18" w:rsidRPr="008C2070">
        <w:rPr>
          <w:rFonts w:ascii="Times New Roman" w:hAnsi="Times New Roman" w:cs="Times New Roman"/>
          <w:sz w:val="24"/>
          <w:szCs w:val="24"/>
        </w:rPr>
        <w:t>,</w:t>
      </w:r>
      <w:r w:rsidR="0097560A" w:rsidRPr="008C2070">
        <w:rPr>
          <w:rFonts w:ascii="Times New Roman" w:hAnsi="Times New Roman" w:cs="Times New Roman"/>
          <w:sz w:val="24"/>
          <w:szCs w:val="24"/>
        </w:rPr>
        <w:t xml:space="preserve"> como sucedía en el primer periodo, sino que comenzó a tener interpretaciones administrativas durante el segundo periodo y un mayor activismo de otros tribunales.</w:t>
      </w:r>
      <w:r w:rsidR="0057747A" w:rsidRPr="008C2070">
        <w:rPr>
          <w:rFonts w:ascii="Times New Roman" w:hAnsi="Times New Roman" w:cs="Times New Roman"/>
          <w:sz w:val="24"/>
          <w:szCs w:val="24"/>
        </w:rPr>
        <w:t xml:space="preserve"> (</w:t>
      </w:r>
      <w:r w:rsidR="0057747A" w:rsidRPr="008C2070">
        <w:rPr>
          <w:rFonts w:ascii="Times New Roman" w:hAnsi="Times New Roman" w:cs="Times New Roman"/>
          <w:b/>
          <w:bCs/>
          <w:i/>
          <w:iCs/>
          <w:sz w:val="24"/>
          <w:szCs w:val="24"/>
        </w:rPr>
        <w:t>Tabla 2. Jurisprudencias y tesis relacionadas directamente con el derecho a la protección de la salud por periodo y por materia</w:t>
      </w:r>
      <w:r w:rsidR="0057747A" w:rsidRPr="008C2070">
        <w:rPr>
          <w:rFonts w:ascii="Times New Roman" w:hAnsi="Times New Roman" w:cs="Times New Roman"/>
          <w:sz w:val="24"/>
          <w:szCs w:val="24"/>
        </w:rPr>
        <w:t>)</w:t>
      </w:r>
    </w:p>
    <w:p w14:paraId="1CD4CD36" w14:textId="77777777" w:rsidR="00A7628D" w:rsidRPr="008C2070" w:rsidRDefault="00A7628D" w:rsidP="008C2070">
      <w:pPr>
        <w:spacing w:beforeLines="120" w:before="288" w:afterLines="120" w:after="288" w:line="276" w:lineRule="auto"/>
        <w:jc w:val="both"/>
        <w:rPr>
          <w:rFonts w:ascii="Times New Roman" w:hAnsi="Times New Roman" w:cs="Times New Roman"/>
          <w:sz w:val="24"/>
          <w:szCs w:val="24"/>
        </w:rPr>
      </w:pPr>
    </w:p>
    <w:p w14:paraId="02FA25BC" w14:textId="77777777" w:rsidR="00A7628D" w:rsidRPr="008C2070" w:rsidRDefault="00A7628D" w:rsidP="008C2070">
      <w:pPr>
        <w:spacing w:beforeLines="120" w:before="288" w:afterLines="120" w:after="288" w:line="276" w:lineRule="auto"/>
        <w:jc w:val="both"/>
        <w:rPr>
          <w:rFonts w:ascii="Times New Roman" w:hAnsi="Times New Roman" w:cs="Times New Roman"/>
          <w:sz w:val="24"/>
          <w:szCs w:val="24"/>
        </w:rPr>
        <w:sectPr w:rsidR="00A7628D" w:rsidRPr="008C2070">
          <w:footerReference w:type="default" r:id="rId10"/>
          <w:pgSz w:w="12240" w:h="15840"/>
          <w:pgMar w:top="1417" w:right="1701" w:bottom="1417" w:left="1701" w:header="708" w:footer="708" w:gutter="0"/>
          <w:cols w:space="708"/>
          <w:docGrid w:linePitch="360"/>
        </w:sectPr>
      </w:pPr>
    </w:p>
    <w:p w14:paraId="04ADCC45" w14:textId="7E42864F" w:rsidR="00A7628D" w:rsidRPr="008C2070" w:rsidRDefault="00574928" w:rsidP="008C2070">
      <w:pPr>
        <w:pStyle w:val="Descripcin"/>
        <w:keepNext/>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lastRenderedPageBreak/>
        <w:t xml:space="preserve">Tabla </w:t>
      </w:r>
      <w:r w:rsidR="00B54B95" w:rsidRPr="008C2070">
        <w:rPr>
          <w:rFonts w:ascii="Times New Roman" w:hAnsi="Times New Roman" w:cs="Times New Roman"/>
          <w:sz w:val="24"/>
          <w:szCs w:val="24"/>
        </w:rPr>
        <w:fldChar w:fldCharType="begin"/>
      </w:r>
      <w:r w:rsidR="00B54B95" w:rsidRPr="008C2070">
        <w:rPr>
          <w:rFonts w:ascii="Times New Roman" w:hAnsi="Times New Roman" w:cs="Times New Roman"/>
          <w:sz w:val="24"/>
          <w:szCs w:val="24"/>
        </w:rPr>
        <w:instrText xml:space="preserve"> SEQ Tabla \* ARABIC </w:instrText>
      </w:r>
      <w:r w:rsidR="00B54B95" w:rsidRPr="008C2070">
        <w:rPr>
          <w:rFonts w:ascii="Times New Roman" w:hAnsi="Times New Roman" w:cs="Times New Roman"/>
          <w:sz w:val="24"/>
          <w:szCs w:val="24"/>
        </w:rPr>
        <w:fldChar w:fldCharType="separate"/>
      </w:r>
      <w:r w:rsidR="00871B8A" w:rsidRPr="008C2070">
        <w:rPr>
          <w:rFonts w:ascii="Times New Roman" w:hAnsi="Times New Roman" w:cs="Times New Roman"/>
          <w:noProof/>
          <w:sz w:val="24"/>
          <w:szCs w:val="24"/>
        </w:rPr>
        <w:t>2</w:t>
      </w:r>
      <w:r w:rsidR="00B54B95" w:rsidRPr="008C2070">
        <w:rPr>
          <w:rFonts w:ascii="Times New Roman" w:hAnsi="Times New Roman" w:cs="Times New Roman"/>
          <w:noProof/>
          <w:sz w:val="24"/>
          <w:szCs w:val="24"/>
        </w:rPr>
        <w:fldChar w:fldCharType="end"/>
      </w:r>
      <w:r w:rsidRPr="008C2070">
        <w:rPr>
          <w:rFonts w:ascii="Times New Roman" w:hAnsi="Times New Roman" w:cs="Times New Roman"/>
          <w:sz w:val="24"/>
          <w:szCs w:val="24"/>
        </w:rPr>
        <w:t xml:space="preserve">. Jurisprudencias y tesis </w:t>
      </w:r>
      <w:r w:rsidR="00085A5F" w:rsidRPr="008C2070">
        <w:rPr>
          <w:rFonts w:ascii="Times New Roman" w:hAnsi="Times New Roman" w:cs="Times New Roman"/>
          <w:sz w:val="24"/>
          <w:szCs w:val="24"/>
        </w:rPr>
        <w:t xml:space="preserve">aisladas </w:t>
      </w:r>
      <w:r w:rsidRPr="008C2070">
        <w:rPr>
          <w:rFonts w:ascii="Times New Roman" w:hAnsi="Times New Roman" w:cs="Times New Roman"/>
          <w:sz w:val="24"/>
          <w:szCs w:val="24"/>
        </w:rPr>
        <w:t>relacionadas directamente con el derecho a la protección de la salud por periodo y por materia</w:t>
      </w:r>
    </w:p>
    <w:tbl>
      <w:tblPr>
        <w:tblStyle w:val="Tablaconcuadrcula"/>
        <w:tblW w:w="0" w:type="auto"/>
        <w:tblInd w:w="-147" w:type="dxa"/>
        <w:tblLook w:val="04A0" w:firstRow="1" w:lastRow="0" w:firstColumn="1" w:lastColumn="0" w:noHBand="0" w:noVBand="1"/>
      </w:tblPr>
      <w:tblGrid>
        <w:gridCol w:w="1665"/>
        <w:gridCol w:w="2005"/>
        <w:gridCol w:w="1790"/>
        <w:gridCol w:w="2070"/>
        <w:gridCol w:w="1852"/>
        <w:gridCol w:w="1821"/>
        <w:gridCol w:w="1940"/>
      </w:tblGrid>
      <w:tr w:rsidR="008122B6" w:rsidRPr="008C2070" w14:paraId="063AABD6" w14:textId="77777777" w:rsidTr="008C2070">
        <w:tc>
          <w:tcPr>
            <w:tcW w:w="1665" w:type="dxa"/>
          </w:tcPr>
          <w:p w14:paraId="6117B4C2" w14:textId="77777777" w:rsidR="008122B6" w:rsidRPr="008C2070" w:rsidRDefault="008122B6" w:rsidP="008C2070">
            <w:pPr>
              <w:spacing w:before="60" w:after="60"/>
              <w:jc w:val="both"/>
              <w:rPr>
                <w:rFonts w:ascii="Times New Roman" w:hAnsi="Times New Roman" w:cs="Times New Roman"/>
                <w:b/>
                <w:bCs/>
                <w:lang w:val="es-ES"/>
              </w:rPr>
            </w:pPr>
          </w:p>
        </w:tc>
        <w:tc>
          <w:tcPr>
            <w:tcW w:w="2005" w:type="dxa"/>
            <w:shd w:val="clear" w:color="auto" w:fill="F2F2F2"/>
          </w:tcPr>
          <w:p w14:paraId="657E4E37" w14:textId="77777777" w:rsidR="008122B6" w:rsidRPr="008C2070" w:rsidRDefault="008122B6"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Protección de los no fumadores</w:t>
            </w:r>
          </w:p>
        </w:tc>
        <w:tc>
          <w:tcPr>
            <w:tcW w:w="1790" w:type="dxa"/>
            <w:shd w:val="clear" w:color="auto" w:fill="F2F2F2"/>
          </w:tcPr>
          <w:p w14:paraId="398B88B8" w14:textId="77777777" w:rsidR="008122B6" w:rsidRPr="008C2070" w:rsidRDefault="008122B6"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Garantía del derecho</w:t>
            </w:r>
          </w:p>
        </w:tc>
        <w:tc>
          <w:tcPr>
            <w:tcW w:w="2070" w:type="dxa"/>
            <w:shd w:val="clear" w:color="auto" w:fill="F2F2F2"/>
          </w:tcPr>
          <w:p w14:paraId="3908D489" w14:textId="77777777" w:rsidR="008122B6" w:rsidRPr="008C2070" w:rsidRDefault="008122B6"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Financiamiento del derecho</w:t>
            </w:r>
          </w:p>
        </w:tc>
        <w:tc>
          <w:tcPr>
            <w:tcW w:w="1852" w:type="dxa"/>
            <w:shd w:val="clear" w:color="auto" w:fill="F2F2F2"/>
          </w:tcPr>
          <w:p w14:paraId="22CE4F82" w14:textId="77777777" w:rsidR="008122B6" w:rsidRPr="008C2070" w:rsidRDefault="008122B6"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Naturaleza o regulación del derecho</w:t>
            </w:r>
          </w:p>
        </w:tc>
        <w:tc>
          <w:tcPr>
            <w:tcW w:w="1821" w:type="dxa"/>
            <w:shd w:val="clear" w:color="auto" w:fill="F2F2F2"/>
          </w:tcPr>
          <w:p w14:paraId="5FCCE97E" w14:textId="77777777" w:rsidR="008122B6" w:rsidRPr="008C2070" w:rsidRDefault="008122B6"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Contenido del derecho</w:t>
            </w:r>
          </w:p>
        </w:tc>
        <w:tc>
          <w:tcPr>
            <w:tcW w:w="1940" w:type="dxa"/>
            <w:shd w:val="clear" w:color="auto" w:fill="F2F2F2"/>
          </w:tcPr>
          <w:p w14:paraId="53267A9D" w14:textId="77777777" w:rsidR="008122B6" w:rsidRPr="008C2070" w:rsidRDefault="008122B6"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Obligaciones del Estado</w:t>
            </w:r>
          </w:p>
        </w:tc>
      </w:tr>
      <w:tr w:rsidR="008122B6" w:rsidRPr="008C2070" w14:paraId="673F7D06" w14:textId="77777777" w:rsidTr="008C2070">
        <w:tc>
          <w:tcPr>
            <w:tcW w:w="13143" w:type="dxa"/>
            <w:gridSpan w:val="7"/>
            <w:shd w:val="clear" w:color="auto" w:fill="D1CECE"/>
          </w:tcPr>
          <w:p w14:paraId="13DED935" w14:textId="77777777" w:rsidR="008122B6" w:rsidRPr="008C2070" w:rsidRDefault="008122B6"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Jurisprudencias</w:t>
            </w:r>
          </w:p>
        </w:tc>
      </w:tr>
      <w:tr w:rsidR="008122B6" w:rsidRPr="008C2070" w14:paraId="462F9656" w14:textId="77777777" w:rsidTr="008C2070">
        <w:tc>
          <w:tcPr>
            <w:tcW w:w="1665" w:type="dxa"/>
            <w:shd w:val="clear" w:color="auto" w:fill="D1CECE"/>
          </w:tcPr>
          <w:p w14:paraId="09AC46EB" w14:textId="77777777" w:rsidR="008122B6" w:rsidRPr="008C2070" w:rsidRDefault="008122B6" w:rsidP="008C2070">
            <w:pPr>
              <w:spacing w:before="60" w:after="60"/>
              <w:jc w:val="both"/>
              <w:rPr>
                <w:rFonts w:ascii="Times New Roman" w:hAnsi="Times New Roman" w:cs="Times New Roman"/>
                <w:b/>
                <w:bCs/>
                <w:lang w:val="es-ES"/>
              </w:rPr>
            </w:pPr>
            <w:r w:rsidRPr="008C2070">
              <w:rPr>
                <w:rFonts w:ascii="Times New Roman" w:hAnsi="Times New Roman" w:cs="Times New Roman"/>
                <w:b/>
                <w:bCs/>
                <w:lang w:val="es-ES"/>
              </w:rPr>
              <w:t>Antes de 2011 (1995-octubre 2011)</w:t>
            </w:r>
          </w:p>
        </w:tc>
        <w:tc>
          <w:tcPr>
            <w:tcW w:w="2005" w:type="dxa"/>
          </w:tcPr>
          <w:p w14:paraId="312962E3"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SCJN – 1 (161222 – Pleno) </w:t>
            </w:r>
          </w:p>
          <w:p w14:paraId="1BC37D2D" w14:textId="77777777" w:rsidR="008122B6" w:rsidRPr="008C2070" w:rsidRDefault="008122B6" w:rsidP="008C2070">
            <w:pPr>
              <w:spacing w:before="60" w:after="60"/>
              <w:jc w:val="both"/>
              <w:rPr>
                <w:rFonts w:ascii="Times New Roman" w:hAnsi="Times New Roman" w:cs="Times New Roman"/>
                <w:b/>
                <w:bCs/>
                <w:lang w:val="es-ES"/>
              </w:rPr>
            </w:pPr>
          </w:p>
        </w:tc>
        <w:tc>
          <w:tcPr>
            <w:tcW w:w="1790" w:type="dxa"/>
          </w:tcPr>
          <w:p w14:paraId="35A5F19A" w14:textId="77777777" w:rsidR="008122B6" w:rsidRPr="008C2070" w:rsidRDefault="008122B6"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SCJN – 2 (167530 – 1ª Sala, 167370 – 1ª Sala)</w:t>
            </w:r>
          </w:p>
        </w:tc>
        <w:tc>
          <w:tcPr>
            <w:tcW w:w="2070" w:type="dxa"/>
          </w:tcPr>
          <w:p w14:paraId="3A327B03"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SCJN – 1 (168549 – Pleno)</w:t>
            </w:r>
          </w:p>
          <w:p w14:paraId="3DA5E24E" w14:textId="77777777" w:rsidR="008122B6" w:rsidRPr="008C2070" w:rsidRDefault="008122B6"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 xml:space="preserve"> </w:t>
            </w:r>
          </w:p>
        </w:tc>
        <w:tc>
          <w:tcPr>
            <w:tcW w:w="1852" w:type="dxa"/>
          </w:tcPr>
          <w:p w14:paraId="1FE7975D"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p w14:paraId="12A69A23" w14:textId="77777777" w:rsidR="008122B6" w:rsidRPr="008C2070" w:rsidRDefault="008122B6" w:rsidP="008C2070">
            <w:pPr>
              <w:spacing w:before="60" w:after="60"/>
              <w:jc w:val="both"/>
              <w:rPr>
                <w:rFonts w:ascii="Times New Roman" w:hAnsi="Times New Roman" w:cs="Times New Roman"/>
                <w:b/>
                <w:bCs/>
                <w:lang w:val="es-ES"/>
              </w:rPr>
            </w:pPr>
          </w:p>
        </w:tc>
        <w:tc>
          <w:tcPr>
            <w:tcW w:w="1821" w:type="dxa"/>
          </w:tcPr>
          <w:p w14:paraId="1C73F1E8"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c>
          <w:tcPr>
            <w:tcW w:w="1940" w:type="dxa"/>
          </w:tcPr>
          <w:p w14:paraId="271405CF"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r>
      <w:tr w:rsidR="008122B6" w:rsidRPr="008C2070" w14:paraId="74955BE5" w14:textId="77777777" w:rsidTr="008C2070">
        <w:tc>
          <w:tcPr>
            <w:tcW w:w="1665" w:type="dxa"/>
            <w:shd w:val="clear" w:color="auto" w:fill="D1CECE"/>
          </w:tcPr>
          <w:p w14:paraId="2AA74DAA" w14:textId="77777777" w:rsidR="008122B6" w:rsidRPr="008C2070" w:rsidRDefault="008122B6" w:rsidP="008C2070">
            <w:pPr>
              <w:spacing w:before="60" w:after="60"/>
              <w:jc w:val="both"/>
              <w:rPr>
                <w:rFonts w:ascii="Times New Roman" w:hAnsi="Times New Roman" w:cs="Times New Roman"/>
                <w:b/>
                <w:bCs/>
                <w:lang w:val="es-ES"/>
              </w:rPr>
            </w:pPr>
            <w:r w:rsidRPr="008C2070">
              <w:rPr>
                <w:rFonts w:ascii="Times New Roman" w:hAnsi="Times New Roman" w:cs="Times New Roman"/>
                <w:b/>
                <w:bCs/>
                <w:lang w:val="es-ES"/>
              </w:rPr>
              <w:t>De 2011 a la fecha</w:t>
            </w:r>
          </w:p>
        </w:tc>
        <w:tc>
          <w:tcPr>
            <w:tcW w:w="2005" w:type="dxa"/>
          </w:tcPr>
          <w:p w14:paraId="6F5B463A"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c>
          <w:tcPr>
            <w:tcW w:w="1790" w:type="dxa"/>
          </w:tcPr>
          <w:p w14:paraId="31D67D5F" w14:textId="5CB689D2"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Circuito 7 – 1 (2011012)</w:t>
            </w:r>
          </w:p>
        </w:tc>
        <w:tc>
          <w:tcPr>
            <w:tcW w:w="2070" w:type="dxa"/>
          </w:tcPr>
          <w:p w14:paraId="0C94813A"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p w14:paraId="382E4E23" w14:textId="77777777" w:rsidR="008122B6" w:rsidRPr="008C2070" w:rsidRDefault="008122B6" w:rsidP="008C2070">
            <w:pPr>
              <w:spacing w:before="60" w:after="60"/>
              <w:jc w:val="both"/>
              <w:rPr>
                <w:rFonts w:ascii="Times New Roman" w:hAnsi="Times New Roman" w:cs="Times New Roman"/>
                <w:b/>
                <w:bCs/>
                <w:lang w:val="es-ES"/>
              </w:rPr>
            </w:pPr>
          </w:p>
        </w:tc>
        <w:tc>
          <w:tcPr>
            <w:tcW w:w="1852" w:type="dxa"/>
          </w:tcPr>
          <w:p w14:paraId="1A33DD6E" w14:textId="5DFC7C74"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SCJN</w:t>
            </w:r>
            <w:r w:rsidRPr="008C2070" w:rsidDel="00642BDF">
              <w:rPr>
                <w:rFonts w:ascii="Times New Roman" w:hAnsi="Times New Roman" w:cs="Times New Roman"/>
                <w:lang w:val="es-ES"/>
              </w:rPr>
              <w:t xml:space="preserve"> </w:t>
            </w:r>
            <w:r w:rsidRPr="008C2070">
              <w:rPr>
                <w:rFonts w:ascii="Times New Roman" w:hAnsi="Times New Roman" w:cs="Times New Roman"/>
                <w:lang w:val="es-ES"/>
              </w:rPr>
              <w:t>– 1 (2019358 – 1ª Sala)</w:t>
            </w:r>
          </w:p>
        </w:tc>
        <w:tc>
          <w:tcPr>
            <w:tcW w:w="1821" w:type="dxa"/>
          </w:tcPr>
          <w:p w14:paraId="52C28566"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c>
          <w:tcPr>
            <w:tcW w:w="1940" w:type="dxa"/>
          </w:tcPr>
          <w:p w14:paraId="0B847BFD"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r>
      <w:tr w:rsidR="008122B6" w:rsidRPr="008C2070" w14:paraId="303F3D0C" w14:textId="77777777" w:rsidTr="008C2070">
        <w:tc>
          <w:tcPr>
            <w:tcW w:w="13143" w:type="dxa"/>
            <w:gridSpan w:val="7"/>
            <w:shd w:val="clear" w:color="auto" w:fill="D1CECE"/>
          </w:tcPr>
          <w:p w14:paraId="20F348DE" w14:textId="6A602D2A" w:rsidR="008122B6" w:rsidRPr="008C2070" w:rsidRDefault="008122B6"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Tesis</w:t>
            </w:r>
            <w:r w:rsidR="008A101C" w:rsidRPr="008C2070">
              <w:rPr>
                <w:rFonts w:ascii="Times New Roman" w:hAnsi="Times New Roman" w:cs="Times New Roman"/>
                <w:b/>
                <w:bCs/>
                <w:lang w:val="es-ES"/>
              </w:rPr>
              <w:t xml:space="preserve"> aisladas</w:t>
            </w:r>
          </w:p>
        </w:tc>
      </w:tr>
      <w:tr w:rsidR="008122B6" w:rsidRPr="008C2070" w14:paraId="2F6FFA03" w14:textId="77777777" w:rsidTr="008C2070">
        <w:tc>
          <w:tcPr>
            <w:tcW w:w="1665" w:type="dxa"/>
            <w:shd w:val="clear" w:color="auto" w:fill="D1CECE"/>
          </w:tcPr>
          <w:p w14:paraId="0515CB62" w14:textId="77777777" w:rsidR="008122B6" w:rsidRPr="008C2070" w:rsidRDefault="008122B6" w:rsidP="008C2070">
            <w:pPr>
              <w:spacing w:before="60" w:after="60"/>
              <w:jc w:val="both"/>
              <w:rPr>
                <w:rFonts w:ascii="Times New Roman" w:hAnsi="Times New Roman" w:cs="Times New Roman"/>
                <w:b/>
                <w:bCs/>
                <w:lang w:val="es-ES"/>
              </w:rPr>
            </w:pPr>
            <w:r w:rsidRPr="008C2070">
              <w:rPr>
                <w:rFonts w:ascii="Times New Roman" w:hAnsi="Times New Roman" w:cs="Times New Roman"/>
                <w:b/>
                <w:bCs/>
                <w:lang w:val="es-ES"/>
              </w:rPr>
              <w:t>Antes de 2011 (1995-octubre 2011)</w:t>
            </w:r>
          </w:p>
        </w:tc>
        <w:tc>
          <w:tcPr>
            <w:tcW w:w="2005" w:type="dxa"/>
          </w:tcPr>
          <w:p w14:paraId="30280FCC"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c>
          <w:tcPr>
            <w:tcW w:w="1790" w:type="dxa"/>
          </w:tcPr>
          <w:p w14:paraId="7C4F2540" w14:textId="75FC4500"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Circuito 6 – 1 (203666)</w:t>
            </w:r>
          </w:p>
        </w:tc>
        <w:tc>
          <w:tcPr>
            <w:tcW w:w="2070" w:type="dxa"/>
          </w:tcPr>
          <w:p w14:paraId="03551485"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c>
          <w:tcPr>
            <w:tcW w:w="1852" w:type="dxa"/>
          </w:tcPr>
          <w:p w14:paraId="7200E6FD"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SCJN</w:t>
            </w:r>
            <w:r w:rsidRPr="008C2070" w:rsidDel="00642BDF">
              <w:rPr>
                <w:rFonts w:ascii="Times New Roman" w:hAnsi="Times New Roman" w:cs="Times New Roman"/>
                <w:lang w:val="es-ES"/>
              </w:rPr>
              <w:t xml:space="preserve"> </w:t>
            </w:r>
            <w:r w:rsidRPr="008C2070">
              <w:rPr>
                <w:rFonts w:ascii="Times New Roman" w:hAnsi="Times New Roman" w:cs="Times New Roman"/>
                <w:lang w:val="es-ES"/>
              </w:rPr>
              <w:t>– 2 (</w:t>
            </w:r>
          </w:p>
          <w:p w14:paraId="500B8D97" w14:textId="578A76CC"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161331 – Pleno, 169316 –1ª Sala) </w:t>
            </w:r>
          </w:p>
        </w:tc>
        <w:tc>
          <w:tcPr>
            <w:tcW w:w="1821" w:type="dxa"/>
          </w:tcPr>
          <w:p w14:paraId="6643ABFA"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SCJN</w:t>
            </w:r>
            <w:r w:rsidRPr="008C2070" w:rsidDel="00642BDF">
              <w:rPr>
                <w:rFonts w:ascii="Times New Roman" w:hAnsi="Times New Roman" w:cs="Times New Roman"/>
                <w:lang w:val="es-ES"/>
              </w:rPr>
              <w:t xml:space="preserve"> </w:t>
            </w:r>
            <w:r w:rsidRPr="008C2070">
              <w:rPr>
                <w:rFonts w:ascii="Times New Roman" w:hAnsi="Times New Roman" w:cs="Times New Roman"/>
                <w:lang w:val="es-ES"/>
              </w:rPr>
              <w:t>– 3 (</w:t>
            </w:r>
          </w:p>
          <w:p w14:paraId="4A2072E5" w14:textId="49E57234"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161332 – Pleno, 165826 – Pleno, 192160 – Pleno)</w:t>
            </w:r>
          </w:p>
        </w:tc>
        <w:tc>
          <w:tcPr>
            <w:tcW w:w="1940" w:type="dxa"/>
          </w:tcPr>
          <w:p w14:paraId="59E48931" w14:textId="77777777" w:rsidR="008122B6" w:rsidRPr="008C2070" w:rsidRDefault="008122B6"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SCJN</w:t>
            </w:r>
            <w:r w:rsidRPr="008C2070" w:rsidDel="00642BDF">
              <w:rPr>
                <w:rFonts w:ascii="Times New Roman" w:hAnsi="Times New Roman" w:cs="Times New Roman"/>
                <w:lang w:val="es-ES"/>
              </w:rPr>
              <w:t xml:space="preserve"> </w:t>
            </w:r>
            <w:r w:rsidRPr="008C2070">
              <w:rPr>
                <w:rFonts w:ascii="Times New Roman" w:hAnsi="Times New Roman" w:cs="Times New Roman"/>
                <w:lang w:val="es-ES"/>
              </w:rPr>
              <w:t>– 1 (161333 – Pleno)</w:t>
            </w:r>
          </w:p>
        </w:tc>
      </w:tr>
      <w:tr w:rsidR="008122B6" w:rsidRPr="008C2070" w14:paraId="6975CB35" w14:textId="77777777" w:rsidTr="008C2070">
        <w:tc>
          <w:tcPr>
            <w:tcW w:w="1665" w:type="dxa"/>
            <w:shd w:val="clear" w:color="auto" w:fill="D1CECE"/>
          </w:tcPr>
          <w:p w14:paraId="75D71D6D" w14:textId="77777777" w:rsidR="008122B6" w:rsidRPr="008C2070" w:rsidRDefault="008122B6" w:rsidP="008C2070">
            <w:pPr>
              <w:spacing w:before="60" w:after="60"/>
              <w:jc w:val="both"/>
              <w:rPr>
                <w:rFonts w:ascii="Times New Roman" w:hAnsi="Times New Roman" w:cs="Times New Roman"/>
                <w:b/>
                <w:bCs/>
                <w:lang w:val="es-ES"/>
              </w:rPr>
            </w:pPr>
            <w:r w:rsidRPr="008C2070">
              <w:rPr>
                <w:rFonts w:ascii="Times New Roman" w:hAnsi="Times New Roman" w:cs="Times New Roman"/>
                <w:b/>
                <w:bCs/>
                <w:lang w:val="es-ES"/>
              </w:rPr>
              <w:t>De 2011 a la fecha</w:t>
            </w:r>
          </w:p>
        </w:tc>
        <w:tc>
          <w:tcPr>
            <w:tcW w:w="2005" w:type="dxa"/>
          </w:tcPr>
          <w:p w14:paraId="5890E4B8"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c>
          <w:tcPr>
            <w:tcW w:w="1790" w:type="dxa"/>
          </w:tcPr>
          <w:p w14:paraId="49A34614"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Circuito 1 – 1 (2004683)</w:t>
            </w:r>
          </w:p>
          <w:p w14:paraId="5F225167"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Circuito 4 – 1 (2007539)</w:t>
            </w:r>
          </w:p>
          <w:p w14:paraId="203F1924"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Circuito 7 – 1 (2009802)</w:t>
            </w:r>
          </w:p>
          <w:p w14:paraId="2E139475"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Circuito 11 – 1 (2020298)</w:t>
            </w:r>
          </w:p>
          <w:p w14:paraId="0441BBEE"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Circuito 9 – 1 </w:t>
            </w:r>
          </w:p>
          <w:p w14:paraId="0E57F80F" w14:textId="10DC5B4D"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(2010052)</w:t>
            </w:r>
          </w:p>
        </w:tc>
        <w:tc>
          <w:tcPr>
            <w:tcW w:w="2070" w:type="dxa"/>
          </w:tcPr>
          <w:p w14:paraId="5FD4187C"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c>
          <w:tcPr>
            <w:tcW w:w="1852" w:type="dxa"/>
          </w:tcPr>
          <w:p w14:paraId="66BC405C"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SCJN</w:t>
            </w:r>
            <w:r w:rsidRPr="008C2070" w:rsidDel="00642BDF">
              <w:rPr>
                <w:rFonts w:ascii="Times New Roman" w:hAnsi="Times New Roman" w:cs="Times New Roman"/>
                <w:lang w:val="es-ES"/>
              </w:rPr>
              <w:t xml:space="preserve"> </w:t>
            </w:r>
            <w:r w:rsidRPr="008C2070">
              <w:rPr>
                <w:rFonts w:ascii="Times New Roman" w:hAnsi="Times New Roman" w:cs="Times New Roman"/>
                <w:lang w:val="es-ES"/>
              </w:rPr>
              <w:t>– 1 (2013137 – 1ª Sala)</w:t>
            </w:r>
          </w:p>
          <w:p w14:paraId="5EFDF82A" w14:textId="77777777" w:rsidR="008122B6" w:rsidRPr="008C2070" w:rsidRDefault="008122B6" w:rsidP="008C2070">
            <w:pPr>
              <w:spacing w:before="60" w:after="60"/>
              <w:jc w:val="both"/>
              <w:rPr>
                <w:rFonts w:ascii="Times New Roman" w:hAnsi="Times New Roman" w:cs="Times New Roman"/>
                <w:lang w:val="es-ES"/>
              </w:rPr>
            </w:pPr>
          </w:p>
          <w:p w14:paraId="50264EEE"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Circuito 4 – 1 (2014025)</w:t>
            </w:r>
          </w:p>
          <w:p w14:paraId="68AEDAF9" w14:textId="77777777" w:rsidR="008122B6" w:rsidRPr="008C2070" w:rsidRDefault="008122B6" w:rsidP="008C2070">
            <w:pPr>
              <w:spacing w:before="60" w:after="60"/>
              <w:jc w:val="both"/>
              <w:rPr>
                <w:rFonts w:ascii="Times New Roman" w:hAnsi="Times New Roman" w:cs="Times New Roman"/>
                <w:lang w:val="es-ES"/>
              </w:rPr>
            </w:pPr>
          </w:p>
          <w:p w14:paraId="17136C7C" w14:textId="77777777" w:rsidR="008122B6" w:rsidRPr="008C2070" w:rsidRDefault="008122B6" w:rsidP="008C2070">
            <w:pPr>
              <w:spacing w:before="60" w:after="60"/>
              <w:jc w:val="both"/>
              <w:rPr>
                <w:rFonts w:ascii="Times New Roman" w:hAnsi="Times New Roman" w:cs="Times New Roman"/>
                <w:b/>
                <w:bCs/>
                <w:lang w:val="es-ES"/>
              </w:rPr>
            </w:pPr>
          </w:p>
        </w:tc>
        <w:tc>
          <w:tcPr>
            <w:tcW w:w="1821" w:type="dxa"/>
          </w:tcPr>
          <w:p w14:paraId="5F358558"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SCJN</w:t>
            </w:r>
            <w:r w:rsidRPr="008C2070" w:rsidDel="00642BDF">
              <w:rPr>
                <w:rFonts w:ascii="Times New Roman" w:hAnsi="Times New Roman" w:cs="Times New Roman"/>
                <w:lang w:val="es-ES"/>
              </w:rPr>
              <w:t xml:space="preserve"> </w:t>
            </w:r>
            <w:r w:rsidRPr="008C2070">
              <w:rPr>
                <w:rFonts w:ascii="Times New Roman" w:hAnsi="Times New Roman" w:cs="Times New Roman"/>
                <w:lang w:val="es-ES"/>
              </w:rPr>
              <w:t>– 5(</w:t>
            </w:r>
          </w:p>
          <w:p w14:paraId="234978EE" w14:textId="1BC291B0"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2020589– 2ª Sala, 2020588– 2ª Sala, 2005521 – Pleno, 2022890 –1ª Sala)</w:t>
            </w:r>
          </w:p>
          <w:p w14:paraId="54B114E2" w14:textId="77777777" w:rsidR="008122B6" w:rsidRPr="008C2070" w:rsidRDefault="008122B6" w:rsidP="008C2070">
            <w:pPr>
              <w:spacing w:before="60" w:after="60"/>
              <w:jc w:val="both"/>
              <w:rPr>
                <w:rFonts w:ascii="Times New Roman" w:hAnsi="Times New Roman" w:cs="Times New Roman"/>
                <w:lang w:val="es-ES"/>
              </w:rPr>
            </w:pPr>
          </w:p>
          <w:p w14:paraId="287AF473"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Circuito 1 – 2 (2022301, 2024017)</w:t>
            </w:r>
          </w:p>
          <w:p w14:paraId="1000AB29" w14:textId="77777777" w:rsidR="008122B6" w:rsidRPr="008C2070" w:rsidRDefault="008122B6" w:rsidP="008C2070">
            <w:pPr>
              <w:spacing w:before="60" w:after="60"/>
              <w:jc w:val="both"/>
              <w:rPr>
                <w:rFonts w:ascii="Times New Roman" w:hAnsi="Times New Roman" w:cs="Times New Roman"/>
                <w:b/>
                <w:bCs/>
                <w:lang w:val="es-ES"/>
              </w:rPr>
            </w:pPr>
          </w:p>
          <w:p w14:paraId="04B2ED09" w14:textId="77777777" w:rsidR="008122B6" w:rsidRPr="008C2070" w:rsidRDefault="008122B6"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Circuito 17 – 1 (2021055)</w:t>
            </w:r>
          </w:p>
        </w:tc>
        <w:tc>
          <w:tcPr>
            <w:tcW w:w="1940" w:type="dxa"/>
          </w:tcPr>
          <w:p w14:paraId="5F3C1B07"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SCJN</w:t>
            </w:r>
            <w:r w:rsidRPr="008C2070" w:rsidDel="00642BDF">
              <w:rPr>
                <w:rFonts w:ascii="Times New Roman" w:hAnsi="Times New Roman" w:cs="Times New Roman"/>
                <w:lang w:val="es-ES"/>
              </w:rPr>
              <w:t xml:space="preserve"> </w:t>
            </w:r>
            <w:r w:rsidRPr="008C2070">
              <w:rPr>
                <w:rFonts w:ascii="Times New Roman" w:hAnsi="Times New Roman" w:cs="Times New Roman"/>
                <w:lang w:val="es-ES"/>
              </w:rPr>
              <w:t>– 5 (</w:t>
            </w:r>
          </w:p>
          <w:p w14:paraId="1FE5D48E"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2022889 – 1ª Sala, 2022888 – 1ª Sala, 2010420 – 1ª Sala, 2002501 – 1ª Sala</w:t>
            </w:r>
          </w:p>
          <w:p w14:paraId="4F180C79" w14:textId="77777777" w:rsidR="008122B6" w:rsidRPr="008C2070" w:rsidRDefault="008122B6"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2007938 – 2ª Sala) </w:t>
            </w:r>
          </w:p>
          <w:p w14:paraId="68A36355" w14:textId="77777777" w:rsidR="008122B6" w:rsidRPr="008C2070" w:rsidRDefault="008122B6" w:rsidP="008C2070">
            <w:pPr>
              <w:spacing w:before="60" w:after="60"/>
              <w:jc w:val="both"/>
              <w:rPr>
                <w:rFonts w:ascii="Times New Roman" w:hAnsi="Times New Roman" w:cs="Times New Roman"/>
                <w:lang w:val="es-ES"/>
              </w:rPr>
            </w:pPr>
          </w:p>
          <w:p w14:paraId="5F26AADD" w14:textId="77777777" w:rsidR="008122B6" w:rsidRPr="008C2070" w:rsidRDefault="008122B6"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Circuito 4 – 1 (2007539)</w:t>
            </w:r>
          </w:p>
        </w:tc>
      </w:tr>
    </w:tbl>
    <w:p w14:paraId="51866035" w14:textId="642F466E" w:rsidR="008122B6" w:rsidRPr="008C2070" w:rsidRDefault="008122B6" w:rsidP="008C2070">
      <w:pPr>
        <w:spacing w:beforeLines="120" w:before="288" w:afterLines="120" w:after="288" w:line="276" w:lineRule="auto"/>
        <w:jc w:val="both"/>
        <w:rPr>
          <w:rFonts w:ascii="Times New Roman" w:hAnsi="Times New Roman" w:cs="Times New Roman"/>
          <w:sz w:val="24"/>
          <w:szCs w:val="24"/>
        </w:rPr>
        <w:sectPr w:rsidR="008122B6" w:rsidRPr="008C2070" w:rsidSect="00A7628D">
          <w:pgSz w:w="15840" w:h="12240" w:orient="landscape"/>
          <w:pgMar w:top="1701" w:right="1417" w:bottom="1701" w:left="1417" w:header="708" w:footer="708" w:gutter="0"/>
          <w:cols w:space="708"/>
          <w:docGrid w:linePitch="360"/>
        </w:sectPr>
      </w:pPr>
    </w:p>
    <w:p w14:paraId="0E527A7D" w14:textId="0CF984D2" w:rsidR="00D4752E" w:rsidRPr="008C2070" w:rsidRDefault="00AA293C"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lastRenderedPageBreak/>
        <w:t>Se observa que</w:t>
      </w:r>
      <w:r w:rsidR="00FD37C4" w:rsidRPr="008C2070">
        <w:rPr>
          <w:rFonts w:ascii="Times New Roman" w:hAnsi="Times New Roman" w:cs="Times New Roman"/>
          <w:sz w:val="24"/>
          <w:szCs w:val="24"/>
        </w:rPr>
        <w:t>,</w:t>
      </w:r>
      <w:r w:rsidRPr="008C2070">
        <w:rPr>
          <w:rFonts w:ascii="Times New Roman" w:hAnsi="Times New Roman" w:cs="Times New Roman"/>
          <w:sz w:val="24"/>
          <w:szCs w:val="24"/>
        </w:rPr>
        <w:t xml:space="preserve"> durante e</w:t>
      </w:r>
      <w:r w:rsidR="00F073A5" w:rsidRPr="008C2070">
        <w:rPr>
          <w:rFonts w:ascii="Times New Roman" w:hAnsi="Times New Roman" w:cs="Times New Roman"/>
          <w:sz w:val="24"/>
          <w:szCs w:val="24"/>
        </w:rPr>
        <w:t>l primer</w:t>
      </w:r>
      <w:r w:rsidRPr="008C2070">
        <w:rPr>
          <w:rFonts w:ascii="Times New Roman" w:hAnsi="Times New Roman" w:cs="Times New Roman"/>
          <w:sz w:val="24"/>
          <w:szCs w:val="24"/>
        </w:rPr>
        <w:t xml:space="preserve"> periodo </w:t>
      </w:r>
      <w:r w:rsidR="00F073A5" w:rsidRPr="008C2070">
        <w:rPr>
          <w:rFonts w:ascii="Times New Roman" w:hAnsi="Times New Roman" w:cs="Times New Roman"/>
          <w:sz w:val="24"/>
          <w:szCs w:val="24"/>
        </w:rPr>
        <w:t>de estudio</w:t>
      </w:r>
      <w:r w:rsidR="00FD37C4" w:rsidRPr="008C2070">
        <w:rPr>
          <w:rFonts w:ascii="Times New Roman" w:hAnsi="Times New Roman" w:cs="Times New Roman"/>
          <w:sz w:val="24"/>
          <w:szCs w:val="24"/>
        </w:rPr>
        <w:t>,</w:t>
      </w:r>
      <w:r w:rsidR="00F073A5" w:rsidRPr="008C2070">
        <w:rPr>
          <w:rFonts w:ascii="Times New Roman" w:hAnsi="Times New Roman" w:cs="Times New Roman"/>
          <w:sz w:val="24"/>
          <w:szCs w:val="24"/>
        </w:rPr>
        <w:t xml:space="preserve"> </w:t>
      </w:r>
      <w:r w:rsidRPr="008C2070">
        <w:rPr>
          <w:rFonts w:ascii="Times New Roman" w:hAnsi="Times New Roman" w:cs="Times New Roman"/>
          <w:sz w:val="24"/>
          <w:szCs w:val="24"/>
        </w:rPr>
        <w:t xml:space="preserve">el contenido de las jurisprudencias se relacionó con </w:t>
      </w:r>
      <w:r w:rsidR="00DB4A22" w:rsidRPr="008C2070">
        <w:rPr>
          <w:rFonts w:ascii="Times New Roman" w:hAnsi="Times New Roman" w:cs="Times New Roman"/>
          <w:sz w:val="24"/>
          <w:szCs w:val="24"/>
        </w:rPr>
        <w:t>la protección de los no fumadores</w:t>
      </w:r>
      <w:r w:rsidR="00BE476D" w:rsidRPr="008C2070">
        <w:rPr>
          <w:rFonts w:ascii="Times New Roman" w:hAnsi="Times New Roman" w:cs="Times New Roman"/>
          <w:sz w:val="24"/>
          <w:szCs w:val="24"/>
        </w:rPr>
        <w:t>, la garantía efectiva del derecho</w:t>
      </w:r>
      <w:r w:rsidR="00F073A5" w:rsidRPr="008C2070">
        <w:rPr>
          <w:rFonts w:ascii="Times New Roman" w:hAnsi="Times New Roman" w:cs="Times New Roman"/>
          <w:sz w:val="24"/>
          <w:szCs w:val="24"/>
        </w:rPr>
        <w:t xml:space="preserve"> y su financiamiento</w:t>
      </w:r>
      <w:r w:rsidR="008122B6" w:rsidRPr="008C2070">
        <w:rPr>
          <w:rFonts w:ascii="Times New Roman" w:hAnsi="Times New Roman" w:cs="Times New Roman"/>
          <w:sz w:val="24"/>
          <w:szCs w:val="24"/>
        </w:rPr>
        <w:t xml:space="preserve">. </w:t>
      </w:r>
      <w:r w:rsidR="009B5704" w:rsidRPr="008C2070">
        <w:rPr>
          <w:rFonts w:ascii="Times New Roman" w:hAnsi="Times New Roman" w:cs="Times New Roman"/>
          <w:sz w:val="24"/>
          <w:szCs w:val="24"/>
        </w:rPr>
        <w:t>Respecto</w:t>
      </w:r>
      <w:r w:rsidR="003B7F96" w:rsidRPr="008C2070">
        <w:rPr>
          <w:rFonts w:ascii="Times New Roman" w:hAnsi="Times New Roman" w:cs="Times New Roman"/>
          <w:sz w:val="24"/>
          <w:szCs w:val="24"/>
        </w:rPr>
        <w:t xml:space="preserve"> a la protección de los no fumadores </w:t>
      </w:r>
      <w:r w:rsidR="009B5704" w:rsidRPr="008C2070">
        <w:rPr>
          <w:rFonts w:ascii="Times New Roman" w:hAnsi="Times New Roman" w:cs="Times New Roman"/>
          <w:sz w:val="24"/>
          <w:szCs w:val="24"/>
        </w:rPr>
        <w:t>la SCJN sostuvo que las normas contenidas en la</w:t>
      </w:r>
      <w:r w:rsidR="00CC4636" w:rsidRPr="008C2070">
        <w:rPr>
          <w:rFonts w:ascii="Times New Roman" w:hAnsi="Times New Roman" w:cs="Times New Roman"/>
          <w:sz w:val="24"/>
          <w:szCs w:val="24"/>
        </w:rPr>
        <w:t xml:space="preserve"> Ley de Protección a la Salud de los No Fumadores en el Distrito Federal que restringen la posibilidad de fumar en establecimientos mercantiles abiertos al público no tendrían que ser analizadas bajo escrutinio estricto. Lo anterior, debido a que no cumplen los parámetros de discriminación para realizarlo, sino que solo imponen condiciones a algunas actividades relacionadas con la libertad de comercio.</w:t>
      </w:r>
      <w:r w:rsidR="00C32C84" w:rsidRPr="008C2070">
        <w:rPr>
          <w:rStyle w:val="Refdenotaalpie"/>
          <w:rFonts w:ascii="Times New Roman" w:hAnsi="Times New Roman" w:cs="Times New Roman"/>
          <w:sz w:val="24"/>
          <w:szCs w:val="24"/>
        </w:rPr>
        <w:footnoteReference w:id="32"/>
      </w:r>
      <w:r w:rsidR="00C32C84" w:rsidRPr="008C2070">
        <w:rPr>
          <w:rFonts w:ascii="Times New Roman" w:hAnsi="Times New Roman" w:cs="Times New Roman"/>
          <w:sz w:val="24"/>
          <w:szCs w:val="24"/>
        </w:rPr>
        <w:t xml:space="preserve"> </w:t>
      </w:r>
      <w:r w:rsidR="001B7A6A" w:rsidRPr="008C2070">
        <w:rPr>
          <w:rFonts w:ascii="Times New Roman" w:hAnsi="Times New Roman" w:cs="Times New Roman"/>
          <w:sz w:val="24"/>
          <w:szCs w:val="24"/>
        </w:rPr>
        <w:t xml:space="preserve">Este tema solamente fue tratado </w:t>
      </w:r>
      <w:r w:rsidR="00687D92" w:rsidRPr="008C2070">
        <w:rPr>
          <w:rFonts w:ascii="Times New Roman" w:hAnsi="Times New Roman" w:cs="Times New Roman"/>
          <w:sz w:val="24"/>
          <w:szCs w:val="24"/>
        </w:rPr>
        <w:t>por las jurisprudencias</w:t>
      </w:r>
      <w:r w:rsidR="001B7A6A" w:rsidRPr="008C2070">
        <w:rPr>
          <w:rFonts w:ascii="Times New Roman" w:hAnsi="Times New Roman" w:cs="Times New Roman"/>
          <w:sz w:val="24"/>
          <w:szCs w:val="24"/>
        </w:rPr>
        <w:t xml:space="preserve"> el primer periodo de análisis. </w:t>
      </w:r>
      <w:r w:rsidR="00C32C84" w:rsidRPr="008C2070">
        <w:rPr>
          <w:rFonts w:ascii="Times New Roman" w:hAnsi="Times New Roman" w:cs="Times New Roman"/>
          <w:sz w:val="24"/>
          <w:szCs w:val="24"/>
        </w:rPr>
        <w:t>Sobre la</w:t>
      </w:r>
      <w:r w:rsidR="009728D0" w:rsidRPr="008C2070">
        <w:rPr>
          <w:rFonts w:ascii="Times New Roman" w:hAnsi="Times New Roman" w:cs="Times New Roman"/>
          <w:sz w:val="24"/>
          <w:szCs w:val="24"/>
        </w:rPr>
        <w:t xml:space="preserve"> garantía efectiva del derecho </w:t>
      </w:r>
      <w:r w:rsidR="00883697" w:rsidRPr="008C2070">
        <w:rPr>
          <w:rFonts w:ascii="Times New Roman" w:hAnsi="Times New Roman" w:cs="Times New Roman"/>
          <w:sz w:val="24"/>
          <w:szCs w:val="24"/>
        </w:rPr>
        <w:t>las jurisprudencias</w:t>
      </w:r>
      <w:r w:rsidR="00A157D2" w:rsidRPr="008C2070">
        <w:rPr>
          <w:rFonts w:ascii="Times New Roman" w:hAnsi="Times New Roman" w:cs="Times New Roman"/>
          <w:sz w:val="24"/>
          <w:szCs w:val="24"/>
        </w:rPr>
        <w:t xml:space="preserve"> en el primer periodo</w:t>
      </w:r>
      <w:r w:rsidR="00883697" w:rsidRPr="008C2070">
        <w:rPr>
          <w:rFonts w:ascii="Times New Roman" w:hAnsi="Times New Roman" w:cs="Times New Roman"/>
          <w:sz w:val="24"/>
          <w:szCs w:val="24"/>
        </w:rPr>
        <w:t xml:space="preserve"> </w:t>
      </w:r>
      <w:r w:rsidR="00687D92" w:rsidRPr="008C2070">
        <w:rPr>
          <w:rFonts w:ascii="Times New Roman" w:hAnsi="Times New Roman" w:cs="Times New Roman"/>
          <w:sz w:val="24"/>
          <w:szCs w:val="24"/>
        </w:rPr>
        <w:t xml:space="preserve">analizaron </w:t>
      </w:r>
      <w:r w:rsidR="00CB54E8" w:rsidRPr="008C2070">
        <w:rPr>
          <w:rFonts w:ascii="Times New Roman" w:hAnsi="Times New Roman" w:cs="Times New Roman"/>
          <w:sz w:val="24"/>
          <w:szCs w:val="24"/>
        </w:rPr>
        <w:t xml:space="preserve">dos </w:t>
      </w:r>
      <w:r w:rsidR="003A1FDE" w:rsidRPr="008C2070">
        <w:rPr>
          <w:rFonts w:ascii="Times New Roman" w:hAnsi="Times New Roman" w:cs="Times New Roman"/>
          <w:sz w:val="24"/>
          <w:szCs w:val="24"/>
        </w:rPr>
        <w:t>elementos</w:t>
      </w:r>
      <w:r w:rsidR="000C0758" w:rsidRPr="008C2070">
        <w:rPr>
          <w:rFonts w:ascii="Times New Roman" w:hAnsi="Times New Roman" w:cs="Times New Roman"/>
          <w:sz w:val="24"/>
          <w:szCs w:val="24"/>
        </w:rPr>
        <w:t xml:space="preserve"> vinculados con la calidad de la atención médica</w:t>
      </w:r>
      <w:r w:rsidR="003A1FDE" w:rsidRPr="008C2070">
        <w:rPr>
          <w:rFonts w:ascii="Times New Roman" w:hAnsi="Times New Roman" w:cs="Times New Roman"/>
          <w:sz w:val="24"/>
          <w:szCs w:val="24"/>
        </w:rPr>
        <w:t xml:space="preserve">: 1) la </w:t>
      </w:r>
      <w:r w:rsidR="00467843" w:rsidRPr="008C2070">
        <w:rPr>
          <w:rFonts w:ascii="Times New Roman" w:hAnsi="Times New Roman" w:cs="Times New Roman"/>
          <w:sz w:val="24"/>
          <w:szCs w:val="24"/>
        </w:rPr>
        <w:t xml:space="preserve">validez de la </w:t>
      </w:r>
      <w:r w:rsidR="003A1FDE" w:rsidRPr="008C2070">
        <w:rPr>
          <w:rFonts w:ascii="Times New Roman" w:hAnsi="Times New Roman" w:cs="Times New Roman"/>
          <w:sz w:val="24"/>
          <w:szCs w:val="24"/>
        </w:rPr>
        <w:t>regulación</w:t>
      </w:r>
      <w:r w:rsidR="007832BA" w:rsidRPr="008C2070">
        <w:rPr>
          <w:rFonts w:ascii="Times New Roman" w:hAnsi="Times New Roman" w:cs="Times New Roman"/>
          <w:sz w:val="24"/>
          <w:szCs w:val="24"/>
        </w:rPr>
        <w:t xml:space="preserve"> que </w:t>
      </w:r>
      <w:r w:rsidR="00DE06FD" w:rsidRPr="008C2070">
        <w:rPr>
          <w:rFonts w:ascii="Times New Roman" w:hAnsi="Times New Roman" w:cs="Times New Roman"/>
          <w:sz w:val="24"/>
          <w:szCs w:val="24"/>
        </w:rPr>
        <w:t>estable</w:t>
      </w:r>
      <w:r w:rsidR="00E411D9" w:rsidRPr="008C2070">
        <w:rPr>
          <w:rFonts w:ascii="Times New Roman" w:hAnsi="Times New Roman" w:cs="Times New Roman"/>
          <w:sz w:val="24"/>
          <w:szCs w:val="24"/>
        </w:rPr>
        <w:t>ce</w:t>
      </w:r>
      <w:r w:rsidR="00DE06FD" w:rsidRPr="008C2070">
        <w:rPr>
          <w:rFonts w:ascii="Times New Roman" w:hAnsi="Times New Roman" w:cs="Times New Roman"/>
          <w:sz w:val="24"/>
          <w:szCs w:val="24"/>
        </w:rPr>
        <w:t xml:space="preserve"> controles legales que garanticen la calidad de la atención</w:t>
      </w:r>
      <w:r w:rsidR="00EB5D79" w:rsidRPr="008C2070">
        <w:rPr>
          <w:rStyle w:val="Refdenotaalpie"/>
          <w:rFonts w:ascii="Times New Roman" w:hAnsi="Times New Roman" w:cs="Times New Roman"/>
          <w:sz w:val="24"/>
          <w:szCs w:val="24"/>
        </w:rPr>
        <w:footnoteReference w:id="33"/>
      </w:r>
      <w:r w:rsidR="00EB5D79" w:rsidRPr="008C2070">
        <w:rPr>
          <w:rFonts w:ascii="Times New Roman" w:hAnsi="Times New Roman" w:cs="Times New Roman"/>
          <w:sz w:val="24"/>
          <w:szCs w:val="24"/>
        </w:rPr>
        <w:t xml:space="preserve">; y , </w:t>
      </w:r>
      <w:r w:rsidR="003A1FDE" w:rsidRPr="008C2070">
        <w:rPr>
          <w:rFonts w:ascii="Times New Roman" w:hAnsi="Times New Roman" w:cs="Times New Roman"/>
          <w:sz w:val="24"/>
          <w:szCs w:val="24"/>
        </w:rPr>
        <w:t>2)</w:t>
      </w:r>
      <w:r w:rsidR="00CC19CD" w:rsidRPr="008C2070">
        <w:rPr>
          <w:rFonts w:ascii="Times New Roman" w:hAnsi="Times New Roman" w:cs="Times New Roman"/>
          <w:sz w:val="24"/>
          <w:szCs w:val="24"/>
        </w:rPr>
        <w:t xml:space="preserve"> </w:t>
      </w:r>
      <w:r w:rsidR="00467843" w:rsidRPr="008C2070">
        <w:rPr>
          <w:rFonts w:ascii="Times New Roman" w:hAnsi="Times New Roman" w:cs="Times New Roman"/>
          <w:sz w:val="24"/>
          <w:szCs w:val="24"/>
        </w:rPr>
        <w:t xml:space="preserve">la constitucionalidad </w:t>
      </w:r>
      <w:r w:rsidR="00D94F6C" w:rsidRPr="008C2070">
        <w:rPr>
          <w:rFonts w:ascii="Times New Roman" w:hAnsi="Times New Roman" w:cs="Times New Roman"/>
          <w:sz w:val="24"/>
          <w:szCs w:val="24"/>
        </w:rPr>
        <w:t>de</w:t>
      </w:r>
      <w:r w:rsidR="0032559A" w:rsidRPr="008C2070">
        <w:rPr>
          <w:rFonts w:ascii="Times New Roman" w:hAnsi="Times New Roman" w:cs="Times New Roman"/>
          <w:sz w:val="24"/>
          <w:szCs w:val="24"/>
        </w:rPr>
        <w:t xml:space="preserve"> la imposición de</w:t>
      </w:r>
      <w:r w:rsidR="00D94F6C" w:rsidRPr="008C2070">
        <w:rPr>
          <w:rFonts w:ascii="Times New Roman" w:hAnsi="Times New Roman" w:cs="Times New Roman"/>
          <w:sz w:val="24"/>
          <w:szCs w:val="24"/>
        </w:rPr>
        <w:t xml:space="preserve"> requisitos </w:t>
      </w:r>
      <w:r w:rsidR="00E411D9" w:rsidRPr="008C2070">
        <w:rPr>
          <w:rFonts w:ascii="Times New Roman" w:hAnsi="Times New Roman" w:cs="Times New Roman"/>
          <w:sz w:val="24"/>
          <w:szCs w:val="24"/>
        </w:rPr>
        <w:t>legales</w:t>
      </w:r>
      <w:r w:rsidR="00D94F6C" w:rsidRPr="008C2070">
        <w:rPr>
          <w:rFonts w:ascii="Times New Roman" w:hAnsi="Times New Roman" w:cs="Times New Roman"/>
          <w:sz w:val="24"/>
          <w:szCs w:val="24"/>
        </w:rPr>
        <w:t xml:space="preserve"> para el </w:t>
      </w:r>
      <w:r w:rsidR="00E411D9" w:rsidRPr="008C2070">
        <w:rPr>
          <w:rFonts w:ascii="Times New Roman" w:hAnsi="Times New Roman" w:cs="Times New Roman"/>
          <w:sz w:val="24"/>
          <w:szCs w:val="24"/>
        </w:rPr>
        <w:t>ejercicio de profesiones</w:t>
      </w:r>
      <w:r w:rsidR="00D94F6C" w:rsidRPr="008C2070">
        <w:rPr>
          <w:rFonts w:ascii="Times New Roman" w:hAnsi="Times New Roman" w:cs="Times New Roman"/>
          <w:sz w:val="24"/>
          <w:szCs w:val="24"/>
        </w:rPr>
        <w:t xml:space="preserve"> relacionadas con la salud</w:t>
      </w:r>
      <w:r w:rsidR="00EB5D79" w:rsidRPr="008C2070">
        <w:rPr>
          <w:rFonts w:ascii="Times New Roman" w:hAnsi="Times New Roman" w:cs="Times New Roman"/>
          <w:sz w:val="24"/>
          <w:szCs w:val="24"/>
        </w:rPr>
        <w:t>.</w:t>
      </w:r>
      <w:r w:rsidR="00EB5D79" w:rsidRPr="008C2070">
        <w:rPr>
          <w:rStyle w:val="Refdenotaalpie"/>
          <w:rFonts w:ascii="Times New Roman" w:hAnsi="Times New Roman" w:cs="Times New Roman"/>
          <w:sz w:val="24"/>
          <w:szCs w:val="24"/>
        </w:rPr>
        <w:footnoteReference w:id="34"/>
      </w:r>
      <w:r w:rsidR="00DA4049" w:rsidRPr="008C2070">
        <w:rPr>
          <w:rFonts w:ascii="Times New Roman" w:hAnsi="Times New Roman" w:cs="Times New Roman"/>
          <w:sz w:val="24"/>
          <w:szCs w:val="24"/>
        </w:rPr>
        <w:t xml:space="preserve"> </w:t>
      </w:r>
      <w:r w:rsidR="00A157D2" w:rsidRPr="008C2070">
        <w:rPr>
          <w:rFonts w:ascii="Times New Roman" w:hAnsi="Times New Roman" w:cs="Times New Roman"/>
          <w:sz w:val="24"/>
          <w:szCs w:val="24"/>
        </w:rPr>
        <w:t>Sobre la garantía del derecho la jurisprudencia</w:t>
      </w:r>
      <w:r w:rsidR="0004059E" w:rsidRPr="008C2070">
        <w:rPr>
          <w:rFonts w:ascii="Times New Roman" w:hAnsi="Times New Roman" w:cs="Times New Roman"/>
          <w:sz w:val="24"/>
          <w:szCs w:val="24"/>
        </w:rPr>
        <w:t xml:space="preserve"> encontrada</w:t>
      </w:r>
      <w:r w:rsidR="00A157D2" w:rsidRPr="008C2070">
        <w:rPr>
          <w:rFonts w:ascii="Times New Roman" w:hAnsi="Times New Roman" w:cs="Times New Roman"/>
          <w:sz w:val="24"/>
          <w:szCs w:val="24"/>
        </w:rPr>
        <w:t xml:space="preserve"> en el segundo periodo </w:t>
      </w:r>
      <w:r w:rsidR="003303F8" w:rsidRPr="008C2070">
        <w:rPr>
          <w:rFonts w:ascii="Times New Roman" w:hAnsi="Times New Roman" w:cs="Times New Roman"/>
          <w:sz w:val="24"/>
          <w:szCs w:val="24"/>
        </w:rPr>
        <w:t>solamente trat</w:t>
      </w:r>
      <w:r w:rsidR="000D398F" w:rsidRPr="008C2070">
        <w:rPr>
          <w:rFonts w:ascii="Times New Roman" w:hAnsi="Times New Roman" w:cs="Times New Roman"/>
          <w:sz w:val="24"/>
          <w:szCs w:val="24"/>
        </w:rPr>
        <w:t>ó</w:t>
      </w:r>
      <w:r w:rsidR="003303F8" w:rsidRPr="008C2070">
        <w:rPr>
          <w:rFonts w:ascii="Times New Roman" w:hAnsi="Times New Roman" w:cs="Times New Roman"/>
          <w:sz w:val="24"/>
          <w:szCs w:val="24"/>
        </w:rPr>
        <w:t xml:space="preserve"> sobre la preservación</w:t>
      </w:r>
      <w:r w:rsidR="0086028C" w:rsidRPr="008C2070">
        <w:rPr>
          <w:rFonts w:ascii="Times New Roman" w:hAnsi="Times New Roman" w:cs="Times New Roman"/>
          <w:sz w:val="24"/>
          <w:szCs w:val="24"/>
        </w:rPr>
        <w:t xml:space="preserve"> </w:t>
      </w:r>
      <w:r w:rsidR="003303F8" w:rsidRPr="008C2070">
        <w:rPr>
          <w:rFonts w:ascii="Times New Roman" w:hAnsi="Times New Roman" w:cs="Times New Roman"/>
          <w:sz w:val="24"/>
          <w:szCs w:val="24"/>
        </w:rPr>
        <w:t>del derecho a la salud de las personas en situación de reclusión.</w:t>
      </w:r>
      <w:r w:rsidR="0086028C" w:rsidRPr="008C2070">
        <w:rPr>
          <w:rStyle w:val="Refdenotaalpie"/>
          <w:rFonts w:ascii="Times New Roman" w:hAnsi="Times New Roman" w:cs="Times New Roman"/>
          <w:sz w:val="24"/>
          <w:szCs w:val="24"/>
        </w:rPr>
        <w:footnoteReference w:id="35"/>
      </w:r>
      <w:r w:rsidR="0086028C" w:rsidRPr="008C2070">
        <w:rPr>
          <w:rFonts w:ascii="Times New Roman" w:hAnsi="Times New Roman" w:cs="Times New Roman"/>
          <w:sz w:val="24"/>
          <w:szCs w:val="24"/>
        </w:rPr>
        <w:t xml:space="preserve"> </w:t>
      </w:r>
      <w:r w:rsidR="000D398F" w:rsidRPr="008C2070">
        <w:rPr>
          <w:rFonts w:ascii="Times New Roman" w:hAnsi="Times New Roman" w:cs="Times New Roman"/>
          <w:sz w:val="24"/>
          <w:szCs w:val="24"/>
        </w:rPr>
        <w:t xml:space="preserve">Por su parte la tesis aislada </w:t>
      </w:r>
      <w:r w:rsidR="00656873" w:rsidRPr="008C2070">
        <w:rPr>
          <w:rFonts w:ascii="Times New Roman" w:hAnsi="Times New Roman" w:cs="Times New Roman"/>
          <w:sz w:val="24"/>
          <w:szCs w:val="24"/>
        </w:rPr>
        <w:t xml:space="preserve">sobre garantía del derecho </w:t>
      </w:r>
      <w:r w:rsidR="00102A03" w:rsidRPr="008C2070">
        <w:rPr>
          <w:rFonts w:ascii="Times New Roman" w:hAnsi="Times New Roman" w:cs="Times New Roman"/>
          <w:sz w:val="24"/>
          <w:szCs w:val="24"/>
        </w:rPr>
        <w:t>en la primera época recalca la importancia de proteger la salud y brindar atención médica a las personas procesadas.</w:t>
      </w:r>
      <w:r w:rsidR="00102A03" w:rsidRPr="008C2070">
        <w:rPr>
          <w:rStyle w:val="Refdenotaalpie"/>
          <w:rFonts w:ascii="Times New Roman" w:hAnsi="Times New Roman" w:cs="Times New Roman"/>
          <w:sz w:val="24"/>
          <w:szCs w:val="24"/>
        </w:rPr>
        <w:footnoteReference w:id="36"/>
      </w:r>
      <w:r w:rsidR="007104C5" w:rsidRPr="008C2070">
        <w:rPr>
          <w:rFonts w:ascii="Times New Roman" w:hAnsi="Times New Roman" w:cs="Times New Roman"/>
          <w:sz w:val="24"/>
          <w:szCs w:val="24"/>
        </w:rPr>
        <w:t xml:space="preserve"> Este tema también es tratado por las tesis del segundo periodo, sin embargo en cuanto a garantía del derecho estas</w:t>
      </w:r>
      <w:r w:rsidR="003E353A" w:rsidRPr="008C2070">
        <w:rPr>
          <w:rFonts w:ascii="Times New Roman" w:hAnsi="Times New Roman" w:cs="Times New Roman"/>
          <w:sz w:val="24"/>
          <w:szCs w:val="24"/>
        </w:rPr>
        <w:t xml:space="preserve"> amplían recalcando </w:t>
      </w:r>
      <w:r w:rsidR="00E82BDF" w:rsidRPr="008C2070">
        <w:rPr>
          <w:rFonts w:ascii="Times New Roman" w:hAnsi="Times New Roman" w:cs="Times New Roman"/>
          <w:sz w:val="24"/>
          <w:szCs w:val="24"/>
        </w:rPr>
        <w:t>que</w:t>
      </w:r>
      <w:r w:rsidR="003E353A" w:rsidRPr="008C2070">
        <w:rPr>
          <w:rFonts w:ascii="Times New Roman" w:hAnsi="Times New Roman" w:cs="Times New Roman"/>
          <w:sz w:val="24"/>
          <w:szCs w:val="24"/>
        </w:rPr>
        <w:t xml:space="preserve"> </w:t>
      </w:r>
      <w:r w:rsidR="00E82BDF" w:rsidRPr="008C2070">
        <w:rPr>
          <w:rFonts w:ascii="Times New Roman" w:hAnsi="Times New Roman" w:cs="Times New Roman"/>
          <w:sz w:val="24"/>
          <w:szCs w:val="24"/>
        </w:rPr>
        <w:t>el</w:t>
      </w:r>
      <w:r w:rsidR="003E353A" w:rsidRPr="008C2070">
        <w:rPr>
          <w:rFonts w:ascii="Times New Roman" w:hAnsi="Times New Roman" w:cs="Times New Roman"/>
          <w:sz w:val="24"/>
          <w:szCs w:val="24"/>
        </w:rPr>
        <w:t xml:space="preserve"> derecho a la protección de la salud es especialmente importante para las personas internas, ya que es obligación del </w:t>
      </w:r>
      <w:r w:rsidR="00FD37C4" w:rsidRPr="008C2070">
        <w:rPr>
          <w:rFonts w:ascii="Times New Roman" w:hAnsi="Times New Roman" w:cs="Times New Roman"/>
          <w:sz w:val="24"/>
          <w:szCs w:val="24"/>
        </w:rPr>
        <w:t>E</w:t>
      </w:r>
      <w:r w:rsidR="003E353A" w:rsidRPr="008C2070">
        <w:rPr>
          <w:rFonts w:ascii="Times New Roman" w:hAnsi="Times New Roman" w:cs="Times New Roman"/>
          <w:sz w:val="24"/>
          <w:szCs w:val="24"/>
        </w:rPr>
        <w:t>stado procurarlas.</w:t>
      </w:r>
      <w:r w:rsidR="003E353A" w:rsidRPr="008C2070">
        <w:rPr>
          <w:rStyle w:val="Refdenotaalpie"/>
          <w:rFonts w:ascii="Times New Roman" w:hAnsi="Times New Roman" w:cs="Times New Roman"/>
          <w:sz w:val="24"/>
          <w:szCs w:val="24"/>
        </w:rPr>
        <w:footnoteReference w:id="37"/>
      </w:r>
      <w:r w:rsidR="007D2294" w:rsidRPr="008C2070">
        <w:rPr>
          <w:rFonts w:ascii="Times New Roman" w:hAnsi="Times New Roman" w:cs="Times New Roman"/>
          <w:sz w:val="24"/>
          <w:szCs w:val="24"/>
        </w:rPr>
        <w:t xml:space="preserve"> A pesar de lo anterior, para este segundo periodo las tesis van más allá al establecer que la edad no puede generar una excusión para el goce del derecho</w:t>
      </w:r>
      <w:r w:rsidR="00FD37C4" w:rsidRPr="008C2070">
        <w:rPr>
          <w:rFonts w:ascii="Times New Roman" w:hAnsi="Times New Roman" w:cs="Times New Roman"/>
          <w:sz w:val="24"/>
          <w:szCs w:val="24"/>
        </w:rPr>
        <w:t>,</w:t>
      </w:r>
      <w:r w:rsidR="007D2294" w:rsidRPr="008C2070">
        <w:rPr>
          <w:rFonts w:ascii="Times New Roman" w:hAnsi="Times New Roman" w:cs="Times New Roman"/>
          <w:sz w:val="24"/>
          <w:szCs w:val="24"/>
        </w:rPr>
        <w:t xml:space="preserve"> </w:t>
      </w:r>
      <w:r w:rsidR="00DD4DA1" w:rsidRPr="008C2070">
        <w:rPr>
          <w:rStyle w:val="Refdenotaalpie"/>
          <w:rFonts w:ascii="Times New Roman" w:hAnsi="Times New Roman" w:cs="Times New Roman"/>
          <w:sz w:val="24"/>
          <w:szCs w:val="24"/>
        </w:rPr>
        <w:footnoteReference w:id="38"/>
      </w:r>
      <w:r w:rsidR="00682359" w:rsidRPr="008C2070">
        <w:rPr>
          <w:rFonts w:ascii="Times New Roman" w:hAnsi="Times New Roman" w:cs="Times New Roman"/>
          <w:sz w:val="24"/>
          <w:szCs w:val="24"/>
        </w:rPr>
        <w:t xml:space="preserve"> mencionan las </w:t>
      </w:r>
      <w:r w:rsidR="00E82BDF" w:rsidRPr="008C2070">
        <w:rPr>
          <w:rFonts w:ascii="Times New Roman" w:hAnsi="Times New Roman" w:cs="Times New Roman"/>
          <w:sz w:val="24"/>
          <w:szCs w:val="24"/>
        </w:rPr>
        <w:t>obligaciones</w:t>
      </w:r>
      <w:r w:rsidR="00682359" w:rsidRPr="008C2070">
        <w:rPr>
          <w:rFonts w:ascii="Times New Roman" w:hAnsi="Times New Roman" w:cs="Times New Roman"/>
          <w:sz w:val="24"/>
          <w:szCs w:val="24"/>
        </w:rPr>
        <w:t xml:space="preserve"> de</w:t>
      </w:r>
      <w:r w:rsidR="00E82BDF" w:rsidRPr="008C2070">
        <w:rPr>
          <w:rFonts w:ascii="Times New Roman" w:hAnsi="Times New Roman" w:cs="Times New Roman"/>
          <w:sz w:val="24"/>
          <w:szCs w:val="24"/>
        </w:rPr>
        <w:t>l</w:t>
      </w:r>
      <w:r w:rsidR="00682359" w:rsidRPr="008C2070">
        <w:rPr>
          <w:rFonts w:ascii="Times New Roman" w:hAnsi="Times New Roman" w:cs="Times New Roman"/>
          <w:sz w:val="24"/>
          <w:szCs w:val="24"/>
        </w:rPr>
        <w:t xml:space="preserve"> </w:t>
      </w:r>
      <w:r w:rsidR="00FD37C4" w:rsidRPr="008C2070">
        <w:rPr>
          <w:rFonts w:ascii="Times New Roman" w:hAnsi="Times New Roman" w:cs="Times New Roman"/>
          <w:sz w:val="24"/>
          <w:szCs w:val="24"/>
        </w:rPr>
        <w:t>E</w:t>
      </w:r>
      <w:r w:rsidR="00682359" w:rsidRPr="008C2070">
        <w:rPr>
          <w:rFonts w:ascii="Times New Roman" w:hAnsi="Times New Roman" w:cs="Times New Roman"/>
          <w:sz w:val="24"/>
          <w:szCs w:val="24"/>
        </w:rPr>
        <w:t>stado</w:t>
      </w:r>
      <w:r w:rsidR="00E82BDF" w:rsidRPr="008C2070">
        <w:rPr>
          <w:rFonts w:ascii="Times New Roman" w:hAnsi="Times New Roman" w:cs="Times New Roman"/>
          <w:sz w:val="24"/>
          <w:szCs w:val="24"/>
        </w:rPr>
        <w:t xml:space="preserve"> para cumplir con </w:t>
      </w:r>
      <w:r w:rsidR="00682359" w:rsidRPr="008C2070">
        <w:rPr>
          <w:rFonts w:ascii="Times New Roman" w:hAnsi="Times New Roman" w:cs="Times New Roman"/>
          <w:sz w:val="24"/>
          <w:szCs w:val="24"/>
        </w:rPr>
        <w:t>la Observación General 14</w:t>
      </w:r>
      <w:r w:rsidR="00FD37C4" w:rsidRPr="008C2070">
        <w:rPr>
          <w:rFonts w:ascii="Times New Roman" w:hAnsi="Times New Roman" w:cs="Times New Roman"/>
          <w:sz w:val="24"/>
          <w:szCs w:val="24"/>
        </w:rPr>
        <w:t>,</w:t>
      </w:r>
      <w:r w:rsidR="00682359" w:rsidRPr="008C2070">
        <w:rPr>
          <w:rFonts w:ascii="Times New Roman" w:hAnsi="Times New Roman" w:cs="Times New Roman"/>
          <w:sz w:val="24"/>
          <w:szCs w:val="24"/>
        </w:rPr>
        <w:t xml:space="preserve"> </w:t>
      </w:r>
      <w:r w:rsidR="00E82BDF" w:rsidRPr="008C2070">
        <w:rPr>
          <w:rStyle w:val="Refdenotaalpie"/>
          <w:rFonts w:ascii="Times New Roman" w:hAnsi="Times New Roman" w:cs="Times New Roman"/>
          <w:sz w:val="24"/>
          <w:szCs w:val="24"/>
        </w:rPr>
        <w:footnoteReference w:id="39"/>
      </w:r>
      <w:r w:rsidR="00FF4A83" w:rsidRPr="008C2070">
        <w:rPr>
          <w:rFonts w:ascii="Times New Roman" w:hAnsi="Times New Roman" w:cs="Times New Roman"/>
          <w:sz w:val="24"/>
          <w:szCs w:val="24"/>
        </w:rPr>
        <w:t xml:space="preserve"> y llegan a afirmar que las </w:t>
      </w:r>
      <w:r w:rsidR="006D0F01" w:rsidRPr="008C2070">
        <w:rPr>
          <w:rFonts w:ascii="Times New Roman" w:hAnsi="Times New Roman" w:cs="Times New Roman"/>
          <w:sz w:val="24"/>
          <w:szCs w:val="24"/>
        </w:rPr>
        <w:t>instituciones</w:t>
      </w:r>
      <w:r w:rsidR="00FF4A83" w:rsidRPr="008C2070">
        <w:rPr>
          <w:rFonts w:ascii="Times New Roman" w:hAnsi="Times New Roman" w:cs="Times New Roman"/>
          <w:sz w:val="24"/>
          <w:szCs w:val="24"/>
        </w:rPr>
        <w:t xml:space="preserve"> </w:t>
      </w:r>
      <w:r w:rsidR="00FF4A83" w:rsidRPr="008C2070">
        <w:rPr>
          <w:rFonts w:ascii="Times New Roman" w:hAnsi="Times New Roman" w:cs="Times New Roman"/>
          <w:sz w:val="24"/>
          <w:szCs w:val="24"/>
        </w:rPr>
        <w:lastRenderedPageBreak/>
        <w:t xml:space="preserve">prestadoras deben </w:t>
      </w:r>
      <w:r w:rsidR="006D0F01" w:rsidRPr="008C2070">
        <w:rPr>
          <w:rFonts w:ascii="Times New Roman" w:hAnsi="Times New Roman" w:cs="Times New Roman"/>
          <w:sz w:val="24"/>
          <w:szCs w:val="24"/>
        </w:rPr>
        <w:t>otorgar</w:t>
      </w:r>
      <w:r w:rsidR="00FF4A83" w:rsidRPr="008C2070">
        <w:rPr>
          <w:rFonts w:ascii="Times New Roman" w:hAnsi="Times New Roman" w:cs="Times New Roman"/>
          <w:sz w:val="24"/>
          <w:szCs w:val="24"/>
        </w:rPr>
        <w:t xml:space="preserve"> medicamentos a las personas que los necesiten aún cuando estos no estén </w:t>
      </w:r>
      <w:r w:rsidR="006D0F01" w:rsidRPr="008C2070">
        <w:rPr>
          <w:rFonts w:ascii="Times New Roman" w:hAnsi="Times New Roman" w:cs="Times New Roman"/>
          <w:sz w:val="24"/>
          <w:szCs w:val="24"/>
        </w:rPr>
        <w:t>en los</w:t>
      </w:r>
      <w:r w:rsidR="00FF4A83" w:rsidRPr="008C2070">
        <w:rPr>
          <w:rFonts w:ascii="Times New Roman" w:hAnsi="Times New Roman" w:cs="Times New Roman"/>
          <w:sz w:val="24"/>
          <w:szCs w:val="24"/>
        </w:rPr>
        <w:t xml:space="preserve"> cuadros institucionales</w:t>
      </w:r>
      <w:r w:rsidR="00FD37C4" w:rsidRPr="008C2070">
        <w:rPr>
          <w:rFonts w:ascii="Times New Roman" w:hAnsi="Times New Roman" w:cs="Times New Roman"/>
          <w:sz w:val="24"/>
          <w:szCs w:val="24"/>
        </w:rPr>
        <w:t>.</w:t>
      </w:r>
      <w:r w:rsidR="00FF4A83" w:rsidRPr="008C2070">
        <w:rPr>
          <w:rStyle w:val="Refdenotaalpie"/>
          <w:rFonts w:ascii="Times New Roman" w:hAnsi="Times New Roman" w:cs="Times New Roman"/>
          <w:sz w:val="24"/>
          <w:szCs w:val="24"/>
        </w:rPr>
        <w:footnoteReference w:id="40"/>
      </w:r>
    </w:p>
    <w:p w14:paraId="574EE544" w14:textId="1D05752F" w:rsidR="00E71831" w:rsidRPr="008C2070" w:rsidRDefault="00E71831"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 xml:space="preserve">Por lo que respecta al </w:t>
      </w:r>
      <w:r w:rsidR="00DA4049" w:rsidRPr="008C2070">
        <w:rPr>
          <w:rFonts w:ascii="Times New Roman" w:hAnsi="Times New Roman" w:cs="Times New Roman"/>
          <w:sz w:val="24"/>
          <w:szCs w:val="24"/>
        </w:rPr>
        <w:t xml:space="preserve"> tema del </w:t>
      </w:r>
      <w:r w:rsidR="00D55BF0" w:rsidRPr="008C2070">
        <w:rPr>
          <w:rFonts w:ascii="Times New Roman" w:hAnsi="Times New Roman" w:cs="Times New Roman"/>
          <w:sz w:val="24"/>
          <w:szCs w:val="24"/>
        </w:rPr>
        <w:t>financiamiento</w:t>
      </w:r>
      <w:r w:rsidR="00DA4049" w:rsidRPr="008C2070">
        <w:rPr>
          <w:rFonts w:ascii="Times New Roman" w:hAnsi="Times New Roman" w:cs="Times New Roman"/>
          <w:sz w:val="24"/>
          <w:szCs w:val="24"/>
        </w:rPr>
        <w:t xml:space="preserve"> en salud</w:t>
      </w:r>
      <w:r w:rsidRPr="008C2070">
        <w:rPr>
          <w:rFonts w:ascii="Times New Roman" w:hAnsi="Times New Roman" w:cs="Times New Roman"/>
          <w:sz w:val="24"/>
          <w:szCs w:val="24"/>
        </w:rPr>
        <w:t xml:space="preserve">, en las jurisprudencias del primer periodo, </w:t>
      </w:r>
      <w:r w:rsidR="00DA4049" w:rsidRPr="008C2070">
        <w:rPr>
          <w:rFonts w:ascii="Times New Roman" w:hAnsi="Times New Roman" w:cs="Times New Roman"/>
          <w:sz w:val="24"/>
          <w:szCs w:val="24"/>
        </w:rPr>
        <w:t xml:space="preserve"> </w:t>
      </w:r>
      <w:r w:rsidR="00D55BF0" w:rsidRPr="008C2070">
        <w:rPr>
          <w:rFonts w:ascii="Times New Roman" w:hAnsi="Times New Roman" w:cs="Times New Roman"/>
          <w:sz w:val="24"/>
          <w:szCs w:val="24"/>
        </w:rPr>
        <w:t>donde se mencionó que</w:t>
      </w:r>
      <w:r w:rsidR="00FD37C4" w:rsidRPr="008C2070">
        <w:rPr>
          <w:rFonts w:ascii="Times New Roman" w:hAnsi="Times New Roman" w:cs="Times New Roman"/>
          <w:sz w:val="24"/>
          <w:szCs w:val="24"/>
        </w:rPr>
        <w:t xml:space="preserve">, </w:t>
      </w:r>
      <w:r w:rsidR="00D55BF0" w:rsidRPr="008C2070">
        <w:rPr>
          <w:rFonts w:ascii="Times New Roman" w:hAnsi="Times New Roman" w:cs="Times New Roman"/>
          <w:sz w:val="24"/>
          <w:szCs w:val="24"/>
        </w:rPr>
        <w:t xml:space="preserve">en un sistema de salud </w:t>
      </w:r>
      <w:r w:rsidR="00BD2412" w:rsidRPr="008C2070">
        <w:rPr>
          <w:rFonts w:ascii="Times New Roman" w:hAnsi="Times New Roman" w:cs="Times New Roman"/>
          <w:sz w:val="24"/>
          <w:szCs w:val="24"/>
        </w:rPr>
        <w:t>como</w:t>
      </w:r>
      <w:r w:rsidR="00D55BF0" w:rsidRPr="008C2070">
        <w:rPr>
          <w:rFonts w:ascii="Times New Roman" w:hAnsi="Times New Roman" w:cs="Times New Roman"/>
          <w:sz w:val="24"/>
          <w:szCs w:val="24"/>
        </w:rPr>
        <w:t xml:space="preserve"> en el mexicano en el que se tienen prestadores de servicios de salud </w:t>
      </w:r>
      <w:r w:rsidR="00930A15" w:rsidRPr="008C2070">
        <w:rPr>
          <w:rFonts w:ascii="Times New Roman" w:hAnsi="Times New Roman" w:cs="Times New Roman"/>
          <w:sz w:val="24"/>
          <w:szCs w:val="24"/>
        </w:rPr>
        <w:t xml:space="preserve">públicos, de la seguridad </w:t>
      </w:r>
      <w:r w:rsidR="00BD2412" w:rsidRPr="008C2070">
        <w:rPr>
          <w:rFonts w:ascii="Times New Roman" w:hAnsi="Times New Roman" w:cs="Times New Roman"/>
          <w:sz w:val="24"/>
          <w:szCs w:val="24"/>
        </w:rPr>
        <w:t>social, sociales</w:t>
      </w:r>
      <w:r w:rsidR="00930A15" w:rsidRPr="008C2070">
        <w:rPr>
          <w:rFonts w:ascii="Times New Roman" w:hAnsi="Times New Roman" w:cs="Times New Roman"/>
          <w:sz w:val="24"/>
          <w:szCs w:val="24"/>
        </w:rPr>
        <w:t xml:space="preserve"> y privados, no puede decirse que su financiamiento </w:t>
      </w:r>
      <w:r w:rsidR="00BD2412" w:rsidRPr="008C2070">
        <w:rPr>
          <w:rFonts w:ascii="Times New Roman" w:hAnsi="Times New Roman" w:cs="Times New Roman"/>
          <w:sz w:val="24"/>
          <w:szCs w:val="24"/>
        </w:rPr>
        <w:t>ca</w:t>
      </w:r>
      <w:r w:rsidR="00FD37C4" w:rsidRPr="008C2070">
        <w:rPr>
          <w:rFonts w:ascii="Times New Roman" w:hAnsi="Times New Roman" w:cs="Times New Roman"/>
          <w:sz w:val="24"/>
          <w:szCs w:val="24"/>
        </w:rPr>
        <w:t>i</w:t>
      </w:r>
      <w:r w:rsidR="00BD2412" w:rsidRPr="008C2070">
        <w:rPr>
          <w:rFonts w:ascii="Times New Roman" w:hAnsi="Times New Roman" w:cs="Times New Roman"/>
          <w:sz w:val="24"/>
          <w:szCs w:val="24"/>
        </w:rPr>
        <w:t>ga</w:t>
      </w:r>
      <w:r w:rsidR="00930A15" w:rsidRPr="008C2070">
        <w:rPr>
          <w:rFonts w:ascii="Times New Roman" w:hAnsi="Times New Roman" w:cs="Times New Roman"/>
          <w:sz w:val="24"/>
          <w:szCs w:val="24"/>
        </w:rPr>
        <w:t xml:space="preserve"> a cargo exclusivamente del </w:t>
      </w:r>
      <w:r w:rsidR="00FD37C4" w:rsidRPr="008C2070">
        <w:rPr>
          <w:rFonts w:ascii="Times New Roman" w:hAnsi="Times New Roman" w:cs="Times New Roman"/>
          <w:sz w:val="24"/>
          <w:szCs w:val="24"/>
        </w:rPr>
        <w:t>E</w:t>
      </w:r>
      <w:r w:rsidR="00BD2412" w:rsidRPr="008C2070">
        <w:rPr>
          <w:rFonts w:ascii="Times New Roman" w:hAnsi="Times New Roman" w:cs="Times New Roman"/>
          <w:sz w:val="24"/>
          <w:szCs w:val="24"/>
        </w:rPr>
        <w:t>stado</w:t>
      </w:r>
      <w:r w:rsidR="00930A15" w:rsidRPr="008C2070">
        <w:rPr>
          <w:rFonts w:ascii="Times New Roman" w:hAnsi="Times New Roman" w:cs="Times New Roman"/>
          <w:sz w:val="24"/>
          <w:szCs w:val="24"/>
        </w:rPr>
        <w:t>.</w:t>
      </w:r>
      <w:r w:rsidR="00BD2412" w:rsidRPr="008C2070">
        <w:rPr>
          <w:rStyle w:val="Refdenotaalpie"/>
          <w:rFonts w:ascii="Times New Roman" w:hAnsi="Times New Roman" w:cs="Times New Roman"/>
          <w:sz w:val="24"/>
          <w:szCs w:val="24"/>
        </w:rPr>
        <w:footnoteReference w:id="41"/>
      </w:r>
      <w:r w:rsidR="00930A15" w:rsidRPr="008C2070">
        <w:rPr>
          <w:rFonts w:ascii="Times New Roman" w:hAnsi="Times New Roman" w:cs="Times New Roman"/>
          <w:sz w:val="24"/>
          <w:szCs w:val="24"/>
        </w:rPr>
        <w:t xml:space="preserve"> Sobre este tema es importante decir que esta jurisprudencia cita en particular la existencia de las cuotas de recuperación</w:t>
      </w:r>
      <w:r w:rsidR="008C75DA" w:rsidRPr="008C2070">
        <w:rPr>
          <w:rFonts w:ascii="Times New Roman" w:hAnsi="Times New Roman" w:cs="Times New Roman"/>
          <w:sz w:val="24"/>
          <w:szCs w:val="24"/>
        </w:rPr>
        <w:t xml:space="preserve"> mismas que se eliminaron para la población sin seguridad social</w:t>
      </w:r>
      <w:r w:rsidR="00930A15" w:rsidRPr="008C2070">
        <w:rPr>
          <w:rFonts w:ascii="Times New Roman" w:hAnsi="Times New Roman" w:cs="Times New Roman"/>
          <w:sz w:val="24"/>
          <w:szCs w:val="24"/>
        </w:rPr>
        <w:t xml:space="preserve"> con las </w:t>
      </w:r>
      <w:r w:rsidR="000C0758" w:rsidRPr="008C2070">
        <w:rPr>
          <w:rFonts w:ascii="Times New Roman" w:hAnsi="Times New Roman" w:cs="Times New Roman"/>
          <w:sz w:val="24"/>
          <w:szCs w:val="24"/>
        </w:rPr>
        <w:t>reformas</w:t>
      </w:r>
      <w:r w:rsidR="00930A15" w:rsidRPr="008C2070">
        <w:rPr>
          <w:rFonts w:ascii="Times New Roman" w:hAnsi="Times New Roman" w:cs="Times New Roman"/>
          <w:sz w:val="24"/>
          <w:szCs w:val="24"/>
        </w:rPr>
        <w:t xml:space="preserve"> realizadas en 2019 a la Ley Ge</w:t>
      </w:r>
      <w:r w:rsidR="008C75DA" w:rsidRPr="008C2070">
        <w:rPr>
          <w:rFonts w:ascii="Times New Roman" w:hAnsi="Times New Roman" w:cs="Times New Roman"/>
          <w:sz w:val="24"/>
          <w:szCs w:val="24"/>
        </w:rPr>
        <w:t>neral de salud.</w:t>
      </w:r>
      <w:r w:rsidR="008C75DA" w:rsidRPr="008C2070">
        <w:rPr>
          <w:rStyle w:val="Refdenotaalpie"/>
          <w:rFonts w:ascii="Times New Roman" w:hAnsi="Times New Roman" w:cs="Times New Roman"/>
          <w:sz w:val="24"/>
          <w:szCs w:val="24"/>
        </w:rPr>
        <w:footnoteReference w:id="42"/>
      </w:r>
      <w:r w:rsidR="00F454E1" w:rsidRPr="008C2070">
        <w:rPr>
          <w:rFonts w:ascii="Times New Roman" w:hAnsi="Times New Roman" w:cs="Times New Roman"/>
          <w:sz w:val="24"/>
          <w:szCs w:val="24"/>
        </w:rPr>
        <w:t xml:space="preserve"> </w:t>
      </w:r>
      <w:r w:rsidRPr="008C2070">
        <w:rPr>
          <w:rFonts w:ascii="Times New Roman" w:hAnsi="Times New Roman" w:cs="Times New Roman"/>
          <w:sz w:val="24"/>
          <w:szCs w:val="24"/>
        </w:rPr>
        <w:t>En el segundo periodo no se observaron jurisprudencias en materia de financiamiento, tampoco para el primer y segundo periodo de las tesis.</w:t>
      </w:r>
    </w:p>
    <w:p w14:paraId="3E32BC3D" w14:textId="418A999E" w:rsidR="00C91549" w:rsidRPr="008C2070" w:rsidRDefault="00E71831"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Lo relacionado con la naturaleza o regulación del derecho fue u</w:t>
      </w:r>
      <w:r w:rsidR="00F454E1" w:rsidRPr="008C2070">
        <w:rPr>
          <w:rFonts w:ascii="Times New Roman" w:hAnsi="Times New Roman" w:cs="Times New Roman"/>
          <w:sz w:val="24"/>
          <w:szCs w:val="24"/>
        </w:rPr>
        <w:t xml:space="preserve">n tema no tratado en las jurisprudencias para el primer periodo, pero sí </w:t>
      </w:r>
      <w:r w:rsidR="008F0C74" w:rsidRPr="008C2070">
        <w:rPr>
          <w:rFonts w:ascii="Times New Roman" w:hAnsi="Times New Roman" w:cs="Times New Roman"/>
          <w:sz w:val="24"/>
          <w:szCs w:val="24"/>
        </w:rPr>
        <w:t>en una</w:t>
      </w:r>
      <w:r w:rsidR="007F77AC" w:rsidRPr="008C2070">
        <w:rPr>
          <w:rFonts w:ascii="Times New Roman" w:hAnsi="Times New Roman" w:cs="Times New Roman"/>
          <w:sz w:val="24"/>
          <w:szCs w:val="24"/>
        </w:rPr>
        <w:t xml:space="preserve"> </w:t>
      </w:r>
      <w:r w:rsidR="00485268" w:rsidRPr="008C2070">
        <w:rPr>
          <w:rFonts w:ascii="Times New Roman" w:hAnsi="Times New Roman" w:cs="Times New Roman"/>
          <w:sz w:val="24"/>
          <w:szCs w:val="24"/>
        </w:rPr>
        <w:t>d</w:t>
      </w:r>
      <w:r w:rsidR="00F454E1" w:rsidRPr="008C2070">
        <w:rPr>
          <w:rFonts w:ascii="Times New Roman" w:hAnsi="Times New Roman" w:cs="Times New Roman"/>
          <w:sz w:val="24"/>
          <w:szCs w:val="24"/>
        </w:rPr>
        <w:t xml:space="preserve">el segundo. </w:t>
      </w:r>
      <w:r w:rsidR="0099382E" w:rsidRPr="008C2070">
        <w:rPr>
          <w:rFonts w:ascii="Times New Roman" w:hAnsi="Times New Roman" w:cs="Times New Roman"/>
          <w:sz w:val="24"/>
          <w:szCs w:val="24"/>
        </w:rPr>
        <w:t>En la tesis</w:t>
      </w:r>
      <w:r w:rsidR="00920AE2" w:rsidRPr="008C2070">
        <w:rPr>
          <w:rFonts w:ascii="Times New Roman" w:hAnsi="Times New Roman" w:cs="Times New Roman"/>
          <w:sz w:val="24"/>
          <w:szCs w:val="24"/>
        </w:rPr>
        <w:t xml:space="preserve"> </w:t>
      </w:r>
      <w:r w:rsidR="002338FE" w:rsidRPr="008C2070">
        <w:rPr>
          <w:rFonts w:ascii="Times New Roman" w:hAnsi="Times New Roman" w:cs="Times New Roman"/>
          <w:sz w:val="24"/>
          <w:szCs w:val="24"/>
        </w:rPr>
        <w:t>jurisprudencial</w:t>
      </w:r>
      <w:r w:rsidR="0099382E" w:rsidRPr="008C2070">
        <w:rPr>
          <w:rFonts w:ascii="Times New Roman" w:hAnsi="Times New Roman" w:cs="Times New Roman"/>
          <w:sz w:val="24"/>
          <w:szCs w:val="24"/>
        </w:rPr>
        <w:t xml:space="preserve"> encontrada para este último periodo </w:t>
      </w:r>
      <w:r w:rsidR="00BD1E87" w:rsidRPr="008C2070">
        <w:rPr>
          <w:rFonts w:ascii="Times New Roman" w:hAnsi="Times New Roman" w:cs="Times New Roman"/>
          <w:sz w:val="24"/>
          <w:szCs w:val="24"/>
        </w:rPr>
        <w:t xml:space="preserve">se </w:t>
      </w:r>
      <w:r w:rsidR="003E5C83" w:rsidRPr="008C2070">
        <w:rPr>
          <w:rFonts w:ascii="Times New Roman" w:hAnsi="Times New Roman" w:cs="Times New Roman"/>
          <w:sz w:val="24"/>
          <w:szCs w:val="24"/>
        </w:rPr>
        <w:t>reconoce</w:t>
      </w:r>
      <w:r w:rsidR="00BD1E87" w:rsidRPr="008C2070">
        <w:rPr>
          <w:rFonts w:ascii="Times New Roman" w:hAnsi="Times New Roman" w:cs="Times New Roman"/>
          <w:sz w:val="24"/>
          <w:szCs w:val="24"/>
        </w:rPr>
        <w:t xml:space="preserve"> la dimensión social e individual del derecho por lo que el </w:t>
      </w:r>
      <w:r w:rsidR="00FD37C4" w:rsidRPr="008C2070">
        <w:rPr>
          <w:rFonts w:ascii="Times New Roman" w:hAnsi="Times New Roman" w:cs="Times New Roman"/>
          <w:sz w:val="24"/>
          <w:szCs w:val="24"/>
        </w:rPr>
        <w:t>E</w:t>
      </w:r>
      <w:r w:rsidR="00BD1E87" w:rsidRPr="008C2070">
        <w:rPr>
          <w:rFonts w:ascii="Times New Roman" w:hAnsi="Times New Roman" w:cs="Times New Roman"/>
          <w:sz w:val="24"/>
          <w:szCs w:val="24"/>
        </w:rPr>
        <w:t>stado debe establecer los mecanismos para que todas las personas tengan acceso a servicios de salud.</w:t>
      </w:r>
      <w:r w:rsidR="00BD1E87" w:rsidRPr="008C2070">
        <w:rPr>
          <w:rStyle w:val="Refdenotaalpie"/>
          <w:rFonts w:ascii="Times New Roman" w:hAnsi="Times New Roman" w:cs="Times New Roman"/>
          <w:sz w:val="24"/>
          <w:szCs w:val="24"/>
        </w:rPr>
        <w:footnoteReference w:id="43"/>
      </w:r>
      <w:r w:rsidR="002338FE" w:rsidRPr="008C2070">
        <w:rPr>
          <w:rFonts w:ascii="Times New Roman" w:hAnsi="Times New Roman" w:cs="Times New Roman"/>
          <w:sz w:val="24"/>
          <w:szCs w:val="24"/>
        </w:rPr>
        <w:t xml:space="preserve"> Por su parte, las tesis aisladas para los dos periodos tocaron temas relacionados con la naturaleza y regulación del derecho a la protección de la salud. Las tesis del primer </w:t>
      </w:r>
      <w:r w:rsidR="00FF1926" w:rsidRPr="008C2070">
        <w:rPr>
          <w:rFonts w:ascii="Times New Roman" w:hAnsi="Times New Roman" w:cs="Times New Roman"/>
          <w:sz w:val="24"/>
          <w:szCs w:val="24"/>
        </w:rPr>
        <w:t>periodo establecieron</w:t>
      </w:r>
      <w:r w:rsidR="007C1E85" w:rsidRPr="008C2070">
        <w:rPr>
          <w:rFonts w:ascii="Times New Roman" w:hAnsi="Times New Roman" w:cs="Times New Roman"/>
          <w:sz w:val="24"/>
          <w:szCs w:val="24"/>
        </w:rPr>
        <w:t xml:space="preserve"> criterios orientadores sobre: 1) </w:t>
      </w:r>
      <w:r w:rsidR="0067771F" w:rsidRPr="008C2070">
        <w:rPr>
          <w:rFonts w:ascii="Times New Roman" w:hAnsi="Times New Roman" w:cs="Times New Roman"/>
          <w:sz w:val="24"/>
          <w:szCs w:val="24"/>
        </w:rPr>
        <w:t>el cambio de concepción del derecho a la</w:t>
      </w:r>
      <w:r w:rsidR="00FF1926" w:rsidRPr="008C2070">
        <w:rPr>
          <w:rFonts w:ascii="Times New Roman" w:hAnsi="Times New Roman" w:cs="Times New Roman"/>
          <w:sz w:val="24"/>
          <w:szCs w:val="24"/>
        </w:rPr>
        <w:t xml:space="preserve"> salud de naturaleza prestacional a derecho humano (esta tesis se emitió en agosto de 2011 por lo que entra en este lapso)</w:t>
      </w:r>
      <w:r w:rsidR="00FF1926" w:rsidRPr="008C2070">
        <w:rPr>
          <w:rStyle w:val="Refdenotaalpie"/>
          <w:rFonts w:ascii="Times New Roman" w:hAnsi="Times New Roman" w:cs="Times New Roman"/>
          <w:sz w:val="24"/>
          <w:szCs w:val="24"/>
        </w:rPr>
        <w:footnoteReference w:id="44"/>
      </w:r>
      <w:r w:rsidR="001B40F5" w:rsidRPr="008C2070">
        <w:rPr>
          <w:rFonts w:ascii="Times New Roman" w:hAnsi="Times New Roman" w:cs="Times New Roman"/>
          <w:sz w:val="24"/>
          <w:szCs w:val="24"/>
        </w:rPr>
        <w:t>; y,</w:t>
      </w:r>
      <w:r w:rsidR="00144FB0" w:rsidRPr="008C2070">
        <w:rPr>
          <w:rFonts w:ascii="Times New Roman" w:hAnsi="Times New Roman" w:cs="Times New Roman"/>
          <w:sz w:val="24"/>
          <w:szCs w:val="24"/>
        </w:rPr>
        <w:t xml:space="preserve"> 2) el entendimiento del derecho a la salud como </w:t>
      </w:r>
      <w:r w:rsidR="001B40F5" w:rsidRPr="008C2070">
        <w:rPr>
          <w:rFonts w:ascii="Times New Roman" w:hAnsi="Times New Roman" w:cs="Times New Roman"/>
          <w:sz w:val="24"/>
          <w:szCs w:val="24"/>
        </w:rPr>
        <w:t>precondición</w:t>
      </w:r>
      <w:r w:rsidR="00C32D20" w:rsidRPr="008C2070">
        <w:rPr>
          <w:rFonts w:ascii="Times New Roman" w:hAnsi="Times New Roman" w:cs="Times New Roman"/>
          <w:sz w:val="24"/>
          <w:szCs w:val="24"/>
        </w:rPr>
        <w:t xml:space="preserve"> para el goce de otros </w:t>
      </w:r>
      <w:r w:rsidR="00A67C74" w:rsidRPr="008C2070">
        <w:rPr>
          <w:rFonts w:ascii="Times New Roman" w:hAnsi="Times New Roman" w:cs="Times New Roman"/>
          <w:sz w:val="24"/>
          <w:szCs w:val="24"/>
        </w:rPr>
        <w:t>derechos,</w:t>
      </w:r>
      <w:r w:rsidR="00C32D20" w:rsidRPr="008C2070">
        <w:rPr>
          <w:rFonts w:ascii="Times New Roman" w:hAnsi="Times New Roman" w:cs="Times New Roman"/>
          <w:sz w:val="24"/>
          <w:szCs w:val="24"/>
        </w:rPr>
        <w:t xml:space="preserve"> la obligación de velar por acceso igual y una gama de facilidades, </w:t>
      </w:r>
      <w:r w:rsidR="001B40F5" w:rsidRPr="008C2070">
        <w:rPr>
          <w:rFonts w:ascii="Times New Roman" w:hAnsi="Times New Roman" w:cs="Times New Roman"/>
          <w:sz w:val="24"/>
          <w:szCs w:val="24"/>
        </w:rPr>
        <w:t>bienes</w:t>
      </w:r>
      <w:r w:rsidR="00C32D20" w:rsidRPr="008C2070">
        <w:rPr>
          <w:rFonts w:ascii="Times New Roman" w:hAnsi="Times New Roman" w:cs="Times New Roman"/>
          <w:sz w:val="24"/>
          <w:szCs w:val="24"/>
        </w:rPr>
        <w:t xml:space="preserve"> y servicios para alcanzar el más alto nivel posible de salud</w:t>
      </w:r>
      <w:r w:rsidR="00C32D20" w:rsidRPr="008C2070">
        <w:rPr>
          <w:rStyle w:val="Refdenotaalpie"/>
          <w:rFonts w:ascii="Times New Roman" w:hAnsi="Times New Roman" w:cs="Times New Roman"/>
          <w:sz w:val="24"/>
          <w:szCs w:val="24"/>
        </w:rPr>
        <w:footnoteReference w:id="45"/>
      </w:r>
      <w:r w:rsidR="001B40F5" w:rsidRPr="008C2070">
        <w:rPr>
          <w:rFonts w:ascii="Times New Roman" w:hAnsi="Times New Roman" w:cs="Times New Roman"/>
          <w:sz w:val="24"/>
          <w:szCs w:val="24"/>
        </w:rPr>
        <w:t xml:space="preserve">. </w:t>
      </w:r>
      <w:r w:rsidR="00156A76" w:rsidRPr="008C2070">
        <w:rPr>
          <w:rFonts w:ascii="Times New Roman" w:hAnsi="Times New Roman" w:cs="Times New Roman"/>
          <w:sz w:val="24"/>
          <w:szCs w:val="24"/>
        </w:rPr>
        <w:t>Sobre este punto</w:t>
      </w:r>
      <w:r w:rsidR="00FD37C4" w:rsidRPr="008C2070">
        <w:rPr>
          <w:rFonts w:ascii="Times New Roman" w:hAnsi="Times New Roman" w:cs="Times New Roman"/>
          <w:sz w:val="24"/>
          <w:szCs w:val="24"/>
        </w:rPr>
        <w:t xml:space="preserve">, </w:t>
      </w:r>
      <w:r w:rsidR="00156A76" w:rsidRPr="008C2070">
        <w:rPr>
          <w:rFonts w:ascii="Times New Roman" w:hAnsi="Times New Roman" w:cs="Times New Roman"/>
          <w:sz w:val="24"/>
          <w:szCs w:val="24"/>
        </w:rPr>
        <w:t>en el segundo periodo</w:t>
      </w:r>
      <w:r w:rsidR="00FD37C4" w:rsidRPr="008C2070">
        <w:rPr>
          <w:rFonts w:ascii="Times New Roman" w:hAnsi="Times New Roman" w:cs="Times New Roman"/>
          <w:sz w:val="24"/>
          <w:szCs w:val="24"/>
        </w:rPr>
        <w:t>,</w:t>
      </w:r>
      <w:r w:rsidR="00156A76" w:rsidRPr="008C2070">
        <w:rPr>
          <w:rFonts w:ascii="Times New Roman" w:hAnsi="Times New Roman" w:cs="Times New Roman"/>
          <w:sz w:val="24"/>
          <w:szCs w:val="24"/>
        </w:rPr>
        <w:t xml:space="preserve"> se dijo que el derecho a la protección de la salud tiene un componente prestacional que implica que los </w:t>
      </w:r>
      <w:r w:rsidR="00FD37C4" w:rsidRPr="008C2070">
        <w:rPr>
          <w:rFonts w:ascii="Times New Roman" w:hAnsi="Times New Roman" w:cs="Times New Roman"/>
          <w:sz w:val="24"/>
          <w:szCs w:val="24"/>
        </w:rPr>
        <w:t>E</w:t>
      </w:r>
      <w:r w:rsidR="00156A76" w:rsidRPr="008C2070">
        <w:rPr>
          <w:rFonts w:ascii="Times New Roman" w:hAnsi="Times New Roman" w:cs="Times New Roman"/>
          <w:sz w:val="24"/>
          <w:szCs w:val="24"/>
        </w:rPr>
        <w:t>stados garanticen el acceso, prestación y supervisión con base en los principios de universalidad y progresividad.</w:t>
      </w:r>
      <w:r w:rsidR="00156A76" w:rsidRPr="008C2070">
        <w:rPr>
          <w:rStyle w:val="Refdenotaalpie"/>
          <w:rFonts w:ascii="Times New Roman" w:hAnsi="Times New Roman" w:cs="Times New Roman"/>
          <w:sz w:val="24"/>
          <w:szCs w:val="24"/>
        </w:rPr>
        <w:footnoteReference w:id="46"/>
      </w:r>
      <w:r w:rsidR="007A78CD" w:rsidRPr="008C2070">
        <w:rPr>
          <w:rFonts w:ascii="Times New Roman" w:hAnsi="Times New Roman" w:cs="Times New Roman"/>
          <w:sz w:val="24"/>
          <w:szCs w:val="24"/>
        </w:rPr>
        <w:t xml:space="preserve"> </w:t>
      </w:r>
      <w:r w:rsidR="007A78CD" w:rsidRPr="008C2070">
        <w:rPr>
          <w:rFonts w:ascii="Times New Roman" w:hAnsi="Times New Roman" w:cs="Times New Roman"/>
          <w:sz w:val="24"/>
          <w:szCs w:val="24"/>
        </w:rPr>
        <w:lastRenderedPageBreak/>
        <w:t xml:space="preserve">Asimismo, que el derecho tiene una dimensión individual y social al igual que la </w:t>
      </w:r>
      <w:r w:rsidR="00A67C74" w:rsidRPr="008C2070">
        <w:rPr>
          <w:rFonts w:ascii="Times New Roman" w:hAnsi="Times New Roman" w:cs="Times New Roman"/>
          <w:sz w:val="24"/>
          <w:szCs w:val="24"/>
        </w:rPr>
        <w:t>jurisprudencia</w:t>
      </w:r>
      <w:r w:rsidR="007A78CD" w:rsidRPr="008C2070">
        <w:rPr>
          <w:rFonts w:ascii="Times New Roman" w:hAnsi="Times New Roman" w:cs="Times New Roman"/>
          <w:sz w:val="24"/>
          <w:szCs w:val="24"/>
        </w:rPr>
        <w:t xml:space="preserve"> emitida. </w:t>
      </w:r>
      <w:r w:rsidR="003A09EA" w:rsidRPr="008C2070">
        <w:rPr>
          <w:rStyle w:val="Refdenotaalpie"/>
          <w:rFonts w:ascii="Times New Roman" w:hAnsi="Times New Roman" w:cs="Times New Roman"/>
          <w:sz w:val="24"/>
          <w:szCs w:val="24"/>
        </w:rPr>
        <w:footnoteReference w:id="47"/>
      </w:r>
    </w:p>
    <w:p w14:paraId="46DDF195" w14:textId="7E81EBCB" w:rsidR="00C91549" w:rsidRPr="008C2070" w:rsidRDefault="00BC72CA"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 xml:space="preserve">Solamente las tesis aisladas </w:t>
      </w:r>
      <w:r w:rsidR="00EF46D2" w:rsidRPr="008C2070">
        <w:rPr>
          <w:rFonts w:ascii="Times New Roman" w:hAnsi="Times New Roman" w:cs="Times New Roman"/>
          <w:sz w:val="24"/>
          <w:szCs w:val="24"/>
        </w:rPr>
        <w:t>desarrollaron el contenido del derecho y las obligac</w:t>
      </w:r>
      <w:r w:rsidR="00E01F91" w:rsidRPr="008C2070">
        <w:rPr>
          <w:rFonts w:ascii="Times New Roman" w:hAnsi="Times New Roman" w:cs="Times New Roman"/>
          <w:sz w:val="24"/>
          <w:szCs w:val="24"/>
        </w:rPr>
        <w:t xml:space="preserve">iones específicas del </w:t>
      </w:r>
      <w:r w:rsidR="00FD37C4" w:rsidRPr="008C2070">
        <w:rPr>
          <w:rFonts w:ascii="Times New Roman" w:hAnsi="Times New Roman" w:cs="Times New Roman"/>
          <w:sz w:val="24"/>
          <w:szCs w:val="24"/>
        </w:rPr>
        <w:t>E</w:t>
      </w:r>
      <w:r w:rsidR="00E01F91" w:rsidRPr="008C2070">
        <w:rPr>
          <w:rFonts w:ascii="Times New Roman" w:hAnsi="Times New Roman" w:cs="Times New Roman"/>
          <w:sz w:val="24"/>
          <w:szCs w:val="24"/>
        </w:rPr>
        <w:t xml:space="preserve">stado, no como algo </w:t>
      </w:r>
      <w:r w:rsidR="00E53FBE" w:rsidRPr="008C2070">
        <w:rPr>
          <w:rFonts w:ascii="Times New Roman" w:hAnsi="Times New Roman" w:cs="Times New Roman"/>
          <w:sz w:val="24"/>
          <w:szCs w:val="24"/>
        </w:rPr>
        <w:t>circunstancial</w:t>
      </w:r>
      <w:r w:rsidR="00FD37C4" w:rsidRPr="008C2070">
        <w:rPr>
          <w:rFonts w:ascii="Times New Roman" w:hAnsi="Times New Roman" w:cs="Times New Roman"/>
          <w:sz w:val="24"/>
          <w:szCs w:val="24"/>
        </w:rPr>
        <w:t>,</w:t>
      </w:r>
      <w:r w:rsidR="00E01F91" w:rsidRPr="008C2070">
        <w:rPr>
          <w:rFonts w:ascii="Times New Roman" w:hAnsi="Times New Roman" w:cs="Times New Roman"/>
          <w:sz w:val="24"/>
          <w:szCs w:val="24"/>
        </w:rPr>
        <w:t xml:space="preserve"> como sucede</w:t>
      </w:r>
      <w:r w:rsidR="000710FD" w:rsidRPr="008C2070">
        <w:rPr>
          <w:rFonts w:ascii="Times New Roman" w:hAnsi="Times New Roman" w:cs="Times New Roman"/>
          <w:sz w:val="24"/>
          <w:szCs w:val="24"/>
        </w:rPr>
        <w:t xml:space="preserve"> en aquellas </w:t>
      </w:r>
      <w:r w:rsidR="00FB68B3" w:rsidRPr="008C2070">
        <w:rPr>
          <w:rFonts w:ascii="Times New Roman" w:hAnsi="Times New Roman" w:cs="Times New Roman"/>
          <w:sz w:val="24"/>
          <w:szCs w:val="24"/>
        </w:rPr>
        <w:t xml:space="preserve">que tratan sobre </w:t>
      </w:r>
      <w:r w:rsidR="000710FD" w:rsidRPr="008C2070">
        <w:rPr>
          <w:rFonts w:ascii="Times New Roman" w:hAnsi="Times New Roman" w:cs="Times New Roman"/>
          <w:sz w:val="24"/>
          <w:szCs w:val="24"/>
        </w:rPr>
        <w:t>la garantía del derecho</w:t>
      </w:r>
      <w:r w:rsidR="00B45A31" w:rsidRPr="008C2070">
        <w:rPr>
          <w:rFonts w:ascii="Times New Roman" w:hAnsi="Times New Roman" w:cs="Times New Roman"/>
          <w:sz w:val="24"/>
          <w:szCs w:val="24"/>
        </w:rPr>
        <w:t>, sino como algo específico</w:t>
      </w:r>
      <w:r w:rsidR="000710FD" w:rsidRPr="008C2070">
        <w:rPr>
          <w:rFonts w:ascii="Times New Roman" w:hAnsi="Times New Roman" w:cs="Times New Roman"/>
          <w:sz w:val="24"/>
          <w:szCs w:val="24"/>
        </w:rPr>
        <w:t xml:space="preserve">. </w:t>
      </w:r>
      <w:r w:rsidR="00DA4986" w:rsidRPr="008C2070">
        <w:rPr>
          <w:rFonts w:ascii="Times New Roman" w:hAnsi="Times New Roman" w:cs="Times New Roman"/>
          <w:sz w:val="24"/>
          <w:szCs w:val="24"/>
        </w:rPr>
        <w:t xml:space="preserve">Sobre el contenido del derecho existe un mayor número de tesis </w:t>
      </w:r>
      <w:r w:rsidR="00FB68B3" w:rsidRPr="008C2070">
        <w:rPr>
          <w:rFonts w:ascii="Times New Roman" w:hAnsi="Times New Roman" w:cs="Times New Roman"/>
          <w:sz w:val="24"/>
          <w:szCs w:val="24"/>
        </w:rPr>
        <w:t xml:space="preserve">en el segundo periodo </w:t>
      </w:r>
      <w:r w:rsidR="00DA4986" w:rsidRPr="008C2070">
        <w:rPr>
          <w:rFonts w:ascii="Times New Roman" w:hAnsi="Times New Roman" w:cs="Times New Roman"/>
          <w:sz w:val="24"/>
          <w:szCs w:val="24"/>
        </w:rPr>
        <w:t xml:space="preserve">que en el primero. </w:t>
      </w:r>
      <w:r w:rsidR="009B173F" w:rsidRPr="008C2070">
        <w:rPr>
          <w:rFonts w:ascii="Times New Roman" w:hAnsi="Times New Roman" w:cs="Times New Roman"/>
          <w:sz w:val="24"/>
          <w:szCs w:val="24"/>
        </w:rPr>
        <w:t xml:space="preserve">Lo que indican las tesis versa principalmente sobre: </w:t>
      </w:r>
      <w:r w:rsidR="00C132B7" w:rsidRPr="008C2070">
        <w:rPr>
          <w:rFonts w:ascii="Times New Roman" w:hAnsi="Times New Roman" w:cs="Times New Roman"/>
          <w:sz w:val="24"/>
          <w:szCs w:val="24"/>
        </w:rPr>
        <w:t xml:space="preserve">1) los insumos a los que tiene acceso la población como resultado de los procesos de integración de los cuadros institucionales y políticas de compra de los prestadores, los cuales no pueden ser razón para </w:t>
      </w:r>
      <w:r w:rsidR="00675A2E" w:rsidRPr="008C2070">
        <w:rPr>
          <w:rFonts w:ascii="Times New Roman" w:hAnsi="Times New Roman" w:cs="Times New Roman"/>
          <w:sz w:val="24"/>
          <w:szCs w:val="24"/>
        </w:rPr>
        <w:t>que la atención médica sea deficiente</w:t>
      </w:r>
      <w:r w:rsidR="00675A2E" w:rsidRPr="008C2070">
        <w:rPr>
          <w:rStyle w:val="Refdenotaalpie"/>
          <w:rFonts w:ascii="Times New Roman" w:hAnsi="Times New Roman" w:cs="Times New Roman"/>
          <w:sz w:val="24"/>
          <w:szCs w:val="24"/>
        </w:rPr>
        <w:footnoteReference w:id="48"/>
      </w:r>
      <w:r w:rsidR="00675A2E" w:rsidRPr="008C2070">
        <w:rPr>
          <w:rFonts w:ascii="Times New Roman" w:hAnsi="Times New Roman" w:cs="Times New Roman"/>
          <w:sz w:val="24"/>
          <w:szCs w:val="24"/>
        </w:rPr>
        <w:t xml:space="preserve">, </w:t>
      </w:r>
      <w:r w:rsidR="001C4BAA" w:rsidRPr="008C2070">
        <w:rPr>
          <w:rFonts w:ascii="Times New Roman" w:hAnsi="Times New Roman" w:cs="Times New Roman"/>
          <w:sz w:val="24"/>
          <w:szCs w:val="24"/>
        </w:rPr>
        <w:t xml:space="preserve">2) la atención médica integral que debe proporcional </w:t>
      </w:r>
      <w:r w:rsidR="00E12B3F" w:rsidRPr="008C2070">
        <w:rPr>
          <w:rFonts w:ascii="Times New Roman" w:hAnsi="Times New Roman" w:cs="Times New Roman"/>
          <w:sz w:val="24"/>
          <w:szCs w:val="24"/>
        </w:rPr>
        <w:t>un</w:t>
      </w:r>
      <w:r w:rsidR="001C4BAA" w:rsidRPr="008C2070">
        <w:rPr>
          <w:rFonts w:ascii="Times New Roman" w:hAnsi="Times New Roman" w:cs="Times New Roman"/>
          <w:sz w:val="24"/>
          <w:szCs w:val="24"/>
        </w:rPr>
        <w:t xml:space="preserve"> tratamiento </w:t>
      </w:r>
      <w:r w:rsidR="00F63857" w:rsidRPr="008C2070">
        <w:rPr>
          <w:rFonts w:ascii="Times New Roman" w:hAnsi="Times New Roman" w:cs="Times New Roman"/>
          <w:sz w:val="24"/>
          <w:szCs w:val="24"/>
        </w:rPr>
        <w:t xml:space="preserve">oportuno, </w:t>
      </w:r>
      <w:r w:rsidR="001C4BAA" w:rsidRPr="008C2070">
        <w:rPr>
          <w:rFonts w:ascii="Times New Roman" w:hAnsi="Times New Roman" w:cs="Times New Roman"/>
          <w:sz w:val="24"/>
          <w:szCs w:val="24"/>
        </w:rPr>
        <w:t>adecuado</w:t>
      </w:r>
      <w:r w:rsidR="00F63857" w:rsidRPr="008C2070">
        <w:rPr>
          <w:rFonts w:ascii="Times New Roman" w:hAnsi="Times New Roman" w:cs="Times New Roman"/>
          <w:sz w:val="24"/>
          <w:szCs w:val="24"/>
        </w:rPr>
        <w:t>, apropiado</w:t>
      </w:r>
      <w:r w:rsidR="001C4BAA" w:rsidRPr="008C2070">
        <w:rPr>
          <w:rFonts w:ascii="Times New Roman" w:hAnsi="Times New Roman" w:cs="Times New Roman"/>
          <w:sz w:val="24"/>
          <w:szCs w:val="24"/>
        </w:rPr>
        <w:t xml:space="preserve"> y completo</w:t>
      </w:r>
      <w:r w:rsidR="00E73BE0" w:rsidRPr="008C2070">
        <w:rPr>
          <w:rFonts w:ascii="Times New Roman" w:hAnsi="Times New Roman" w:cs="Times New Roman"/>
          <w:sz w:val="24"/>
          <w:szCs w:val="24"/>
        </w:rPr>
        <w:t xml:space="preserve">; y que puede implicar en casos de salud mental el traslado de una persona </w:t>
      </w:r>
      <w:r w:rsidR="00411EEC" w:rsidRPr="008C2070">
        <w:rPr>
          <w:rFonts w:ascii="Times New Roman" w:hAnsi="Times New Roman" w:cs="Times New Roman"/>
          <w:sz w:val="24"/>
          <w:szCs w:val="24"/>
        </w:rPr>
        <w:t>a otra</w:t>
      </w:r>
      <w:r w:rsidR="00E73BE0" w:rsidRPr="008C2070">
        <w:rPr>
          <w:rFonts w:ascii="Times New Roman" w:hAnsi="Times New Roman" w:cs="Times New Roman"/>
          <w:sz w:val="24"/>
          <w:szCs w:val="24"/>
        </w:rPr>
        <w:t xml:space="preserve"> institución que pueda </w:t>
      </w:r>
      <w:r w:rsidR="00411EEC" w:rsidRPr="008C2070">
        <w:rPr>
          <w:rFonts w:ascii="Times New Roman" w:hAnsi="Times New Roman" w:cs="Times New Roman"/>
          <w:sz w:val="24"/>
          <w:szCs w:val="24"/>
        </w:rPr>
        <w:t>salvaguardar</w:t>
      </w:r>
      <w:r w:rsidR="00E73BE0" w:rsidRPr="008C2070">
        <w:rPr>
          <w:rFonts w:ascii="Times New Roman" w:hAnsi="Times New Roman" w:cs="Times New Roman"/>
          <w:sz w:val="24"/>
          <w:szCs w:val="24"/>
        </w:rPr>
        <w:t xml:space="preserve"> su nivel más alto posible de salud </w:t>
      </w:r>
      <w:r w:rsidR="00E12B3F" w:rsidRPr="008C2070">
        <w:rPr>
          <w:rStyle w:val="Refdenotaalpie"/>
          <w:rFonts w:ascii="Times New Roman" w:hAnsi="Times New Roman" w:cs="Times New Roman"/>
          <w:sz w:val="24"/>
          <w:szCs w:val="24"/>
        </w:rPr>
        <w:footnoteReference w:id="49"/>
      </w:r>
      <w:r w:rsidR="00E12B3F" w:rsidRPr="008C2070">
        <w:rPr>
          <w:rFonts w:ascii="Times New Roman" w:hAnsi="Times New Roman" w:cs="Times New Roman"/>
          <w:sz w:val="24"/>
          <w:szCs w:val="24"/>
        </w:rPr>
        <w:t xml:space="preserve">, 3) </w:t>
      </w:r>
      <w:r w:rsidR="00E4294C" w:rsidRPr="008C2070">
        <w:rPr>
          <w:rFonts w:ascii="Times New Roman" w:hAnsi="Times New Roman" w:cs="Times New Roman"/>
          <w:sz w:val="24"/>
          <w:szCs w:val="24"/>
        </w:rPr>
        <w:t xml:space="preserve">el derecho a la tención médica cuando una persona </w:t>
      </w:r>
      <w:r w:rsidR="000A0809" w:rsidRPr="008C2070">
        <w:rPr>
          <w:rFonts w:ascii="Times New Roman" w:hAnsi="Times New Roman" w:cs="Times New Roman"/>
          <w:sz w:val="24"/>
          <w:szCs w:val="24"/>
        </w:rPr>
        <w:t>derechohabiente</w:t>
      </w:r>
      <w:r w:rsidR="00E4294C" w:rsidRPr="008C2070">
        <w:rPr>
          <w:rFonts w:ascii="Times New Roman" w:hAnsi="Times New Roman" w:cs="Times New Roman"/>
          <w:sz w:val="24"/>
          <w:szCs w:val="24"/>
        </w:rPr>
        <w:t xml:space="preserve"> no </w:t>
      </w:r>
      <w:r w:rsidR="000A0809" w:rsidRPr="008C2070">
        <w:rPr>
          <w:rFonts w:ascii="Times New Roman" w:hAnsi="Times New Roman" w:cs="Times New Roman"/>
          <w:sz w:val="24"/>
          <w:szCs w:val="24"/>
        </w:rPr>
        <w:t>esté</w:t>
      </w:r>
      <w:r w:rsidR="00E4294C" w:rsidRPr="008C2070">
        <w:rPr>
          <w:rFonts w:ascii="Times New Roman" w:hAnsi="Times New Roman" w:cs="Times New Roman"/>
          <w:sz w:val="24"/>
          <w:szCs w:val="24"/>
        </w:rPr>
        <w:t xml:space="preserve"> en activo </w:t>
      </w:r>
      <w:r w:rsidR="003B2264" w:rsidRPr="008C2070">
        <w:rPr>
          <w:rFonts w:ascii="Times New Roman" w:hAnsi="Times New Roman" w:cs="Times New Roman"/>
          <w:sz w:val="24"/>
          <w:szCs w:val="24"/>
        </w:rPr>
        <w:t>si la relación laboral se encuentra pendiente de resolución por un juez</w:t>
      </w:r>
      <w:r w:rsidR="000A0809" w:rsidRPr="008C2070">
        <w:rPr>
          <w:rStyle w:val="Refdenotaalpie"/>
          <w:rFonts w:ascii="Times New Roman" w:hAnsi="Times New Roman" w:cs="Times New Roman"/>
          <w:sz w:val="24"/>
          <w:szCs w:val="24"/>
        </w:rPr>
        <w:footnoteReference w:id="50"/>
      </w:r>
      <w:r w:rsidR="000A0809" w:rsidRPr="008C2070">
        <w:rPr>
          <w:rFonts w:ascii="Times New Roman" w:hAnsi="Times New Roman" w:cs="Times New Roman"/>
          <w:sz w:val="24"/>
          <w:szCs w:val="24"/>
        </w:rPr>
        <w:t xml:space="preserve">, </w:t>
      </w:r>
      <w:r w:rsidR="00FC5E2C" w:rsidRPr="008C2070">
        <w:rPr>
          <w:rFonts w:ascii="Times New Roman" w:hAnsi="Times New Roman" w:cs="Times New Roman"/>
          <w:sz w:val="24"/>
          <w:szCs w:val="24"/>
        </w:rPr>
        <w:t xml:space="preserve">4) la obligación progresiva de las instituciones prestadoras de </w:t>
      </w:r>
      <w:r w:rsidR="00E37161" w:rsidRPr="008C2070">
        <w:rPr>
          <w:rFonts w:ascii="Times New Roman" w:hAnsi="Times New Roman" w:cs="Times New Roman"/>
          <w:sz w:val="24"/>
          <w:szCs w:val="24"/>
        </w:rPr>
        <w:t>otorgar</w:t>
      </w:r>
      <w:r w:rsidR="00FC5E2C" w:rsidRPr="008C2070">
        <w:rPr>
          <w:rFonts w:ascii="Times New Roman" w:hAnsi="Times New Roman" w:cs="Times New Roman"/>
          <w:sz w:val="24"/>
          <w:szCs w:val="24"/>
        </w:rPr>
        <w:t xml:space="preserve"> medicamentos que se encuentren en el cuadro básico </w:t>
      </w:r>
      <w:r w:rsidR="000112AD" w:rsidRPr="008C2070">
        <w:rPr>
          <w:rFonts w:ascii="Times New Roman" w:hAnsi="Times New Roman" w:cs="Times New Roman"/>
          <w:sz w:val="24"/>
          <w:szCs w:val="24"/>
        </w:rPr>
        <w:t>sin imposib</w:t>
      </w:r>
      <w:r w:rsidR="00E37161" w:rsidRPr="008C2070">
        <w:rPr>
          <w:rFonts w:ascii="Times New Roman" w:hAnsi="Times New Roman" w:cs="Times New Roman"/>
          <w:sz w:val="24"/>
          <w:szCs w:val="24"/>
        </w:rPr>
        <w:t>ili</w:t>
      </w:r>
      <w:r w:rsidR="000112AD" w:rsidRPr="008C2070">
        <w:rPr>
          <w:rFonts w:ascii="Times New Roman" w:hAnsi="Times New Roman" w:cs="Times New Roman"/>
          <w:sz w:val="24"/>
          <w:szCs w:val="24"/>
        </w:rPr>
        <w:t>dad de negarlos</w:t>
      </w:r>
      <w:r w:rsidR="000112AD" w:rsidRPr="008C2070">
        <w:rPr>
          <w:rStyle w:val="Refdenotaalpie"/>
          <w:rFonts w:ascii="Times New Roman" w:hAnsi="Times New Roman" w:cs="Times New Roman"/>
          <w:sz w:val="24"/>
          <w:szCs w:val="24"/>
        </w:rPr>
        <w:footnoteReference w:id="51"/>
      </w:r>
      <w:r w:rsidR="000112AD" w:rsidRPr="008C2070">
        <w:rPr>
          <w:rFonts w:ascii="Times New Roman" w:hAnsi="Times New Roman" w:cs="Times New Roman"/>
          <w:sz w:val="24"/>
          <w:szCs w:val="24"/>
        </w:rPr>
        <w:t xml:space="preserve">, </w:t>
      </w:r>
      <w:r w:rsidR="00D95CE0" w:rsidRPr="008C2070">
        <w:rPr>
          <w:rFonts w:ascii="Times New Roman" w:hAnsi="Times New Roman" w:cs="Times New Roman"/>
          <w:sz w:val="24"/>
          <w:szCs w:val="24"/>
        </w:rPr>
        <w:t>5) el entendimiento del derecho a la identidad como parte del derecho a la salud mental</w:t>
      </w:r>
      <w:r w:rsidR="00D95CE0" w:rsidRPr="008C2070">
        <w:rPr>
          <w:rStyle w:val="Refdenotaalpie"/>
          <w:rFonts w:ascii="Times New Roman" w:hAnsi="Times New Roman" w:cs="Times New Roman"/>
          <w:sz w:val="24"/>
          <w:szCs w:val="24"/>
        </w:rPr>
        <w:footnoteReference w:id="52"/>
      </w:r>
      <w:r w:rsidR="00834933" w:rsidRPr="008C2070">
        <w:rPr>
          <w:rFonts w:ascii="Times New Roman" w:hAnsi="Times New Roman" w:cs="Times New Roman"/>
          <w:sz w:val="24"/>
          <w:szCs w:val="24"/>
        </w:rPr>
        <w:t>; y</w:t>
      </w:r>
      <w:r w:rsidR="007435DA" w:rsidRPr="008C2070">
        <w:rPr>
          <w:rFonts w:ascii="Times New Roman" w:hAnsi="Times New Roman" w:cs="Times New Roman"/>
          <w:sz w:val="24"/>
          <w:szCs w:val="24"/>
        </w:rPr>
        <w:t xml:space="preserve"> 6) la limitación del derecho a la salud a las personas físicas, más no a las personas morales</w:t>
      </w:r>
      <w:r w:rsidR="007435DA" w:rsidRPr="008C2070">
        <w:rPr>
          <w:rStyle w:val="Refdenotaalpie"/>
          <w:rFonts w:ascii="Times New Roman" w:hAnsi="Times New Roman" w:cs="Times New Roman"/>
          <w:sz w:val="24"/>
          <w:szCs w:val="24"/>
        </w:rPr>
        <w:footnoteReference w:id="53"/>
      </w:r>
      <w:r w:rsidR="00834933" w:rsidRPr="008C2070">
        <w:rPr>
          <w:rFonts w:ascii="Times New Roman" w:hAnsi="Times New Roman" w:cs="Times New Roman"/>
          <w:sz w:val="24"/>
          <w:szCs w:val="24"/>
        </w:rPr>
        <w:t xml:space="preserve">. Por su parte, las tesis relacionadas </w:t>
      </w:r>
      <w:r w:rsidR="00F77208" w:rsidRPr="008C2070">
        <w:rPr>
          <w:rFonts w:ascii="Times New Roman" w:hAnsi="Times New Roman" w:cs="Times New Roman"/>
          <w:sz w:val="24"/>
          <w:szCs w:val="24"/>
        </w:rPr>
        <w:t>con la</w:t>
      </w:r>
      <w:r w:rsidR="00213D96" w:rsidRPr="008C2070">
        <w:rPr>
          <w:rFonts w:ascii="Times New Roman" w:hAnsi="Times New Roman" w:cs="Times New Roman"/>
          <w:sz w:val="24"/>
          <w:szCs w:val="24"/>
        </w:rPr>
        <w:t xml:space="preserve">s obligaciones directas del </w:t>
      </w:r>
      <w:r w:rsidR="00FD37C4" w:rsidRPr="008C2070">
        <w:rPr>
          <w:rFonts w:ascii="Times New Roman" w:hAnsi="Times New Roman" w:cs="Times New Roman"/>
          <w:sz w:val="24"/>
          <w:szCs w:val="24"/>
        </w:rPr>
        <w:t>E</w:t>
      </w:r>
      <w:r w:rsidR="00213D96" w:rsidRPr="008C2070">
        <w:rPr>
          <w:rFonts w:ascii="Times New Roman" w:hAnsi="Times New Roman" w:cs="Times New Roman"/>
          <w:sz w:val="24"/>
          <w:szCs w:val="24"/>
        </w:rPr>
        <w:t xml:space="preserve">stado </w:t>
      </w:r>
      <w:r w:rsidR="00561D76" w:rsidRPr="008C2070">
        <w:rPr>
          <w:rFonts w:ascii="Times New Roman" w:hAnsi="Times New Roman" w:cs="Times New Roman"/>
          <w:sz w:val="24"/>
          <w:szCs w:val="24"/>
        </w:rPr>
        <w:t xml:space="preserve">las </w:t>
      </w:r>
      <w:r w:rsidR="00696D46" w:rsidRPr="008C2070">
        <w:rPr>
          <w:rFonts w:ascii="Times New Roman" w:hAnsi="Times New Roman" w:cs="Times New Roman"/>
          <w:sz w:val="24"/>
          <w:szCs w:val="24"/>
        </w:rPr>
        <w:t>circunscriben</w:t>
      </w:r>
      <w:r w:rsidR="00561D76" w:rsidRPr="008C2070">
        <w:rPr>
          <w:rFonts w:ascii="Times New Roman" w:hAnsi="Times New Roman" w:cs="Times New Roman"/>
          <w:sz w:val="24"/>
          <w:szCs w:val="24"/>
        </w:rPr>
        <w:t xml:space="preserve"> a: 1) garantizar la progresividad del derecho hasta el máximo de los recursos disponibles</w:t>
      </w:r>
      <w:r w:rsidR="00561D76" w:rsidRPr="008C2070">
        <w:rPr>
          <w:rStyle w:val="Refdenotaalpie"/>
          <w:rFonts w:ascii="Times New Roman" w:hAnsi="Times New Roman" w:cs="Times New Roman"/>
          <w:sz w:val="24"/>
          <w:szCs w:val="24"/>
        </w:rPr>
        <w:footnoteReference w:id="54"/>
      </w:r>
      <w:r w:rsidR="00561D76" w:rsidRPr="008C2070">
        <w:rPr>
          <w:rFonts w:ascii="Times New Roman" w:hAnsi="Times New Roman" w:cs="Times New Roman"/>
          <w:sz w:val="24"/>
          <w:szCs w:val="24"/>
        </w:rPr>
        <w:t xml:space="preserve">, </w:t>
      </w:r>
      <w:r w:rsidR="0043685D" w:rsidRPr="008C2070">
        <w:rPr>
          <w:rFonts w:ascii="Times New Roman" w:hAnsi="Times New Roman" w:cs="Times New Roman"/>
          <w:sz w:val="24"/>
          <w:szCs w:val="24"/>
        </w:rPr>
        <w:t xml:space="preserve">2) </w:t>
      </w:r>
      <w:r w:rsidR="003878C8" w:rsidRPr="008C2070">
        <w:rPr>
          <w:rFonts w:ascii="Times New Roman" w:hAnsi="Times New Roman" w:cs="Times New Roman"/>
          <w:sz w:val="24"/>
          <w:szCs w:val="24"/>
        </w:rPr>
        <w:t xml:space="preserve">la existencia de </w:t>
      </w:r>
      <w:r w:rsidR="00890304" w:rsidRPr="008C2070">
        <w:rPr>
          <w:rFonts w:ascii="Times New Roman" w:hAnsi="Times New Roman" w:cs="Times New Roman"/>
          <w:sz w:val="24"/>
          <w:szCs w:val="24"/>
        </w:rPr>
        <w:t xml:space="preserve">obligaciones inmediatas y </w:t>
      </w:r>
      <w:r w:rsidR="00555B89" w:rsidRPr="008C2070">
        <w:rPr>
          <w:rFonts w:ascii="Times New Roman" w:hAnsi="Times New Roman" w:cs="Times New Roman"/>
          <w:sz w:val="24"/>
          <w:szCs w:val="24"/>
        </w:rPr>
        <w:t>progresivas</w:t>
      </w:r>
      <w:r w:rsidR="00890304" w:rsidRPr="008C2070">
        <w:rPr>
          <w:rFonts w:ascii="Times New Roman" w:hAnsi="Times New Roman" w:cs="Times New Roman"/>
          <w:sz w:val="24"/>
          <w:szCs w:val="24"/>
        </w:rPr>
        <w:t xml:space="preserve"> en este derecho</w:t>
      </w:r>
      <w:r w:rsidR="00890304" w:rsidRPr="008C2070">
        <w:rPr>
          <w:rStyle w:val="Refdenotaalpie"/>
          <w:rFonts w:ascii="Times New Roman" w:hAnsi="Times New Roman" w:cs="Times New Roman"/>
          <w:sz w:val="24"/>
          <w:szCs w:val="24"/>
        </w:rPr>
        <w:footnoteReference w:id="55"/>
      </w:r>
      <w:r w:rsidR="006205F1" w:rsidRPr="008C2070">
        <w:rPr>
          <w:rFonts w:ascii="Times New Roman" w:hAnsi="Times New Roman" w:cs="Times New Roman"/>
          <w:sz w:val="24"/>
          <w:szCs w:val="24"/>
        </w:rPr>
        <w:t>, 3) los criterios que las autoridades responsables deben seguir para garantizarlo</w:t>
      </w:r>
      <w:r w:rsidR="00D367A5" w:rsidRPr="008C2070">
        <w:rPr>
          <w:rFonts w:ascii="Times New Roman" w:hAnsi="Times New Roman" w:cs="Times New Roman"/>
          <w:sz w:val="24"/>
          <w:szCs w:val="24"/>
        </w:rPr>
        <w:t xml:space="preserve"> entre los que se distinguen aquellos de orden subjetivo, </w:t>
      </w:r>
      <w:r w:rsidR="00D367A5" w:rsidRPr="008C2070">
        <w:rPr>
          <w:rFonts w:ascii="Times New Roman" w:hAnsi="Times New Roman" w:cs="Times New Roman"/>
          <w:sz w:val="24"/>
          <w:szCs w:val="24"/>
        </w:rPr>
        <w:lastRenderedPageBreak/>
        <w:t>objetivo, temporal e institucional</w:t>
      </w:r>
      <w:r w:rsidR="006A1935" w:rsidRPr="008C2070">
        <w:rPr>
          <w:rStyle w:val="Refdenotaalpie"/>
          <w:rFonts w:ascii="Times New Roman" w:hAnsi="Times New Roman" w:cs="Times New Roman"/>
          <w:sz w:val="24"/>
          <w:szCs w:val="24"/>
        </w:rPr>
        <w:footnoteReference w:id="56"/>
      </w:r>
      <w:r w:rsidR="00BD279B" w:rsidRPr="008C2070">
        <w:rPr>
          <w:rFonts w:ascii="Times New Roman" w:hAnsi="Times New Roman" w:cs="Times New Roman"/>
          <w:sz w:val="24"/>
          <w:szCs w:val="24"/>
        </w:rPr>
        <w:t xml:space="preserve">; y, </w:t>
      </w:r>
      <w:r w:rsidR="00B401A2" w:rsidRPr="008C2070">
        <w:rPr>
          <w:rFonts w:ascii="Times New Roman" w:hAnsi="Times New Roman" w:cs="Times New Roman"/>
          <w:sz w:val="24"/>
          <w:szCs w:val="24"/>
        </w:rPr>
        <w:t xml:space="preserve"> 3) el reconocimiento de la existencia de deberes públicos y privados para este derecho</w:t>
      </w:r>
      <w:r w:rsidR="00B401A2" w:rsidRPr="008C2070">
        <w:rPr>
          <w:rStyle w:val="Refdenotaalpie"/>
          <w:rFonts w:ascii="Times New Roman" w:hAnsi="Times New Roman" w:cs="Times New Roman"/>
          <w:sz w:val="24"/>
          <w:szCs w:val="24"/>
        </w:rPr>
        <w:footnoteReference w:id="57"/>
      </w:r>
      <w:r w:rsidR="00BD279B" w:rsidRPr="008C2070">
        <w:rPr>
          <w:rFonts w:ascii="Times New Roman" w:hAnsi="Times New Roman" w:cs="Times New Roman"/>
          <w:sz w:val="24"/>
          <w:szCs w:val="24"/>
        </w:rPr>
        <w:t>.</w:t>
      </w:r>
    </w:p>
    <w:p w14:paraId="7E733EE5" w14:textId="404C9126" w:rsidR="00B10A38" w:rsidRPr="008C2070" w:rsidRDefault="00B161FB"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 xml:space="preserve">A manera de conclusión de la siguiente sección se observa un </w:t>
      </w:r>
      <w:r w:rsidR="002D762B" w:rsidRPr="008C2070">
        <w:rPr>
          <w:rFonts w:ascii="Times New Roman" w:hAnsi="Times New Roman" w:cs="Times New Roman"/>
          <w:sz w:val="24"/>
          <w:szCs w:val="24"/>
        </w:rPr>
        <w:t>mayor</w:t>
      </w:r>
      <w:r w:rsidRPr="008C2070">
        <w:rPr>
          <w:rFonts w:ascii="Times New Roman" w:hAnsi="Times New Roman" w:cs="Times New Roman"/>
          <w:sz w:val="24"/>
          <w:szCs w:val="24"/>
        </w:rPr>
        <w:t xml:space="preserve"> desarrollo jurisprudencial en el segundo periodo de análisis tanto de la SCJN como de los TCC. Tanto tesis </w:t>
      </w:r>
      <w:r w:rsidR="000D71EA" w:rsidRPr="008C2070">
        <w:rPr>
          <w:rFonts w:ascii="Times New Roman" w:hAnsi="Times New Roman" w:cs="Times New Roman"/>
          <w:sz w:val="24"/>
          <w:szCs w:val="24"/>
        </w:rPr>
        <w:t>jurisprudenciales</w:t>
      </w:r>
      <w:r w:rsidRPr="008C2070">
        <w:rPr>
          <w:rFonts w:ascii="Times New Roman" w:hAnsi="Times New Roman" w:cs="Times New Roman"/>
          <w:sz w:val="24"/>
          <w:szCs w:val="24"/>
        </w:rPr>
        <w:t xml:space="preserve"> como aisladas construyen su entendimiento sobre los componentes del derecho como principios más que como reglas. </w:t>
      </w:r>
      <w:r w:rsidR="009261A6" w:rsidRPr="008C2070">
        <w:rPr>
          <w:rFonts w:ascii="Times New Roman" w:hAnsi="Times New Roman" w:cs="Times New Roman"/>
          <w:sz w:val="24"/>
          <w:szCs w:val="24"/>
        </w:rPr>
        <w:t xml:space="preserve">Las reglas se observan para criterios de poblaciones muy específicas como el caso del derecho a la protección de la salud de las personas en situación de reclusión procesadas. Solamente la jurisprudencia trata el tema del </w:t>
      </w:r>
      <w:r w:rsidR="002D762B" w:rsidRPr="008C2070">
        <w:rPr>
          <w:rFonts w:ascii="Times New Roman" w:hAnsi="Times New Roman" w:cs="Times New Roman"/>
          <w:sz w:val="24"/>
          <w:szCs w:val="24"/>
        </w:rPr>
        <w:t>financiamiento</w:t>
      </w:r>
      <w:r w:rsidR="009261A6" w:rsidRPr="008C2070">
        <w:rPr>
          <w:rFonts w:ascii="Times New Roman" w:hAnsi="Times New Roman" w:cs="Times New Roman"/>
          <w:sz w:val="24"/>
          <w:szCs w:val="24"/>
        </w:rPr>
        <w:t xml:space="preserve"> en salud </w:t>
      </w:r>
      <w:r w:rsidR="001C4F42" w:rsidRPr="008C2070">
        <w:rPr>
          <w:rFonts w:ascii="Times New Roman" w:hAnsi="Times New Roman" w:cs="Times New Roman"/>
          <w:sz w:val="24"/>
          <w:szCs w:val="24"/>
        </w:rPr>
        <w:t xml:space="preserve">diciendo que este </w:t>
      </w:r>
      <w:r w:rsidR="009261A6" w:rsidRPr="008C2070">
        <w:rPr>
          <w:rFonts w:ascii="Times New Roman" w:hAnsi="Times New Roman" w:cs="Times New Roman"/>
          <w:sz w:val="24"/>
          <w:szCs w:val="24"/>
        </w:rPr>
        <w:t xml:space="preserve">es solamente público. </w:t>
      </w:r>
      <w:r w:rsidR="001C4F42" w:rsidRPr="008C2070">
        <w:rPr>
          <w:rFonts w:ascii="Times New Roman" w:hAnsi="Times New Roman" w:cs="Times New Roman"/>
          <w:sz w:val="24"/>
          <w:szCs w:val="24"/>
        </w:rPr>
        <w:t>L</w:t>
      </w:r>
      <w:r w:rsidR="000D71EA" w:rsidRPr="008C2070">
        <w:rPr>
          <w:rFonts w:ascii="Times New Roman" w:hAnsi="Times New Roman" w:cs="Times New Roman"/>
          <w:sz w:val="24"/>
          <w:szCs w:val="24"/>
        </w:rPr>
        <w:t>a</w:t>
      </w:r>
      <w:r w:rsidR="001C4F42" w:rsidRPr="008C2070">
        <w:rPr>
          <w:rFonts w:ascii="Times New Roman" w:hAnsi="Times New Roman" w:cs="Times New Roman"/>
          <w:sz w:val="24"/>
          <w:szCs w:val="24"/>
        </w:rPr>
        <w:t xml:space="preserve"> juri</w:t>
      </w:r>
      <w:r w:rsidR="000D71EA" w:rsidRPr="008C2070">
        <w:rPr>
          <w:rFonts w:ascii="Times New Roman" w:hAnsi="Times New Roman" w:cs="Times New Roman"/>
          <w:sz w:val="24"/>
          <w:szCs w:val="24"/>
        </w:rPr>
        <w:t xml:space="preserve">sprudencia </w:t>
      </w:r>
      <w:r w:rsidR="001C4F42" w:rsidRPr="008C2070">
        <w:rPr>
          <w:rFonts w:ascii="Times New Roman" w:hAnsi="Times New Roman" w:cs="Times New Roman"/>
          <w:sz w:val="24"/>
          <w:szCs w:val="24"/>
        </w:rPr>
        <w:t xml:space="preserve">reconoce el componente público y privado del </w:t>
      </w:r>
      <w:r w:rsidR="000D71EA" w:rsidRPr="008C2070">
        <w:rPr>
          <w:rFonts w:ascii="Times New Roman" w:hAnsi="Times New Roman" w:cs="Times New Roman"/>
          <w:sz w:val="24"/>
          <w:szCs w:val="24"/>
        </w:rPr>
        <w:t>derecho</w:t>
      </w:r>
      <w:r w:rsidR="001C4F42" w:rsidRPr="008C2070">
        <w:rPr>
          <w:rFonts w:ascii="Times New Roman" w:hAnsi="Times New Roman" w:cs="Times New Roman"/>
          <w:sz w:val="24"/>
          <w:szCs w:val="24"/>
        </w:rPr>
        <w:t xml:space="preserve"> a la salud, pero son las tesis aisladas del segundo periodo las que reafirman </w:t>
      </w:r>
      <w:r w:rsidR="003807E2" w:rsidRPr="008C2070">
        <w:rPr>
          <w:rFonts w:ascii="Times New Roman" w:hAnsi="Times New Roman" w:cs="Times New Roman"/>
          <w:sz w:val="24"/>
          <w:szCs w:val="24"/>
        </w:rPr>
        <w:t xml:space="preserve">un </w:t>
      </w:r>
      <w:r w:rsidR="000D71EA" w:rsidRPr="008C2070">
        <w:rPr>
          <w:rFonts w:ascii="Times New Roman" w:hAnsi="Times New Roman" w:cs="Times New Roman"/>
          <w:sz w:val="24"/>
          <w:szCs w:val="24"/>
        </w:rPr>
        <w:t>cambio</w:t>
      </w:r>
      <w:r w:rsidR="001C4F42" w:rsidRPr="008C2070">
        <w:rPr>
          <w:rFonts w:ascii="Times New Roman" w:hAnsi="Times New Roman" w:cs="Times New Roman"/>
          <w:sz w:val="24"/>
          <w:szCs w:val="24"/>
        </w:rPr>
        <w:t xml:space="preserve"> de </w:t>
      </w:r>
      <w:r w:rsidR="000D71EA" w:rsidRPr="008C2070">
        <w:rPr>
          <w:rFonts w:ascii="Times New Roman" w:hAnsi="Times New Roman" w:cs="Times New Roman"/>
          <w:sz w:val="24"/>
          <w:szCs w:val="24"/>
        </w:rPr>
        <w:t>concepción</w:t>
      </w:r>
      <w:r w:rsidR="001C4F42" w:rsidRPr="008C2070">
        <w:rPr>
          <w:rFonts w:ascii="Times New Roman" w:hAnsi="Times New Roman" w:cs="Times New Roman"/>
          <w:sz w:val="24"/>
          <w:szCs w:val="24"/>
        </w:rPr>
        <w:t xml:space="preserve"> </w:t>
      </w:r>
      <w:r w:rsidR="003807E2" w:rsidRPr="008C2070">
        <w:rPr>
          <w:rFonts w:ascii="Times New Roman" w:hAnsi="Times New Roman" w:cs="Times New Roman"/>
          <w:sz w:val="24"/>
          <w:szCs w:val="24"/>
        </w:rPr>
        <w:t>en su entendimiento</w:t>
      </w:r>
      <w:r w:rsidR="001C4F42" w:rsidRPr="008C2070">
        <w:rPr>
          <w:rFonts w:ascii="Times New Roman" w:hAnsi="Times New Roman" w:cs="Times New Roman"/>
          <w:sz w:val="24"/>
          <w:szCs w:val="24"/>
        </w:rPr>
        <w:t xml:space="preserve"> de garantía individual a derecho humano </w:t>
      </w:r>
      <w:r w:rsidR="000D71EA" w:rsidRPr="008C2070">
        <w:rPr>
          <w:rFonts w:ascii="Times New Roman" w:hAnsi="Times New Roman" w:cs="Times New Roman"/>
          <w:sz w:val="24"/>
          <w:szCs w:val="24"/>
        </w:rPr>
        <w:t>de carácter</w:t>
      </w:r>
      <w:r w:rsidR="001C4F42" w:rsidRPr="008C2070">
        <w:rPr>
          <w:rFonts w:ascii="Times New Roman" w:hAnsi="Times New Roman" w:cs="Times New Roman"/>
          <w:sz w:val="24"/>
          <w:szCs w:val="24"/>
        </w:rPr>
        <w:t xml:space="preserve"> prestacional</w:t>
      </w:r>
      <w:r w:rsidR="00D5386F" w:rsidRPr="008C2070">
        <w:rPr>
          <w:rFonts w:ascii="Times New Roman" w:hAnsi="Times New Roman" w:cs="Times New Roman"/>
          <w:sz w:val="24"/>
          <w:szCs w:val="24"/>
        </w:rPr>
        <w:t xml:space="preserve"> y confirman los criterios de </w:t>
      </w:r>
      <w:r w:rsidR="000D71EA" w:rsidRPr="008C2070">
        <w:rPr>
          <w:rFonts w:ascii="Times New Roman" w:hAnsi="Times New Roman" w:cs="Times New Roman"/>
          <w:sz w:val="24"/>
          <w:szCs w:val="24"/>
        </w:rPr>
        <w:t>universalidad, y</w:t>
      </w:r>
      <w:r w:rsidR="00D5386F" w:rsidRPr="008C2070">
        <w:rPr>
          <w:rFonts w:ascii="Times New Roman" w:hAnsi="Times New Roman" w:cs="Times New Roman"/>
          <w:sz w:val="24"/>
          <w:szCs w:val="24"/>
        </w:rPr>
        <w:t xml:space="preserve"> </w:t>
      </w:r>
      <w:r w:rsidR="000D71EA" w:rsidRPr="008C2070">
        <w:rPr>
          <w:rFonts w:ascii="Times New Roman" w:hAnsi="Times New Roman" w:cs="Times New Roman"/>
          <w:sz w:val="24"/>
          <w:szCs w:val="24"/>
        </w:rPr>
        <w:t>progresividad</w:t>
      </w:r>
      <w:r w:rsidR="00D5386F" w:rsidRPr="008C2070">
        <w:rPr>
          <w:rFonts w:ascii="Times New Roman" w:hAnsi="Times New Roman" w:cs="Times New Roman"/>
          <w:sz w:val="24"/>
          <w:szCs w:val="24"/>
        </w:rPr>
        <w:t xml:space="preserve"> en su garantía. </w:t>
      </w:r>
      <w:r w:rsidR="000D71EA" w:rsidRPr="008C2070">
        <w:rPr>
          <w:rFonts w:ascii="Times New Roman" w:hAnsi="Times New Roman" w:cs="Times New Roman"/>
          <w:sz w:val="24"/>
          <w:szCs w:val="24"/>
        </w:rPr>
        <w:t>Asimismo</w:t>
      </w:r>
      <w:r w:rsidR="00D5386F" w:rsidRPr="008C2070">
        <w:rPr>
          <w:rFonts w:ascii="Times New Roman" w:hAnsi="Times New Roman" w:cs="Times New Roman"/>
          <w:sz w:val="24"/>
          <w:szCs w:val="24"/>
        </w:rPr>
        <w:t>, son las tesis asiladas del segundo periodo</w:t>
      </w:r>
      <w:r w:rsidR="003807E2" w:rsidRPr="008C2070">
        <w:rPr>
          <w:rFonts w:ascii="Times New Roman" w:hAnsi="Times New Roman" w:cs="Times New Roman"/>
          <w:sz w:val="24"/>
          <w:szCs w:val="24"/>
        </w:rPr>
        <w:t>,</w:t>
      </w:r>
      <w:r w:rsidR="00D5386F" w:rsidRPr="008C2070">
        <w:rPr>
          <w:rFonts w:ascii="Times New Roman" w:hAnsi="Times New Roman" w:cs="Times New Roman"/>
          <w:sz w:val="24"/>
          <w:szCs w:val="24"/>
        </w:rPr>
        <w:t xml:space="preserve"> no la jurisprudencia</w:t>
      </w:r>
      <w:r w:rsidR="003807E2" w:rsidRPr="008C2070">
        <w:rPr>
          <w:rFonts w:ascii="Times New Roman" w:hAnsi="Times New Roman" w:cs="Times New Roman"/>
          <w:sz w:val="24"/>
          <w:szCs w:val="24"/>
        </w:rPr>
        <w:t>,</w:t>
      </w:r>
      <w:r w:rsidR="00D5386F" w:rsidRPr="008C2070">
        <w:rPr>
          <w:rFonts w:ascii="Times New Roman" w:hAnsi="Times New Roman" w:cs="Times New Roman"/>
          <w:sz w:val="24"/>
          <w:szCs w:val="24"/>
        </w:rPr>
        <w:t xml:space="preserve"> las que tratan los temas </w:t>
      </w:r>
      <w:r w:rsidR="000D71EA" w:rsidRPr="008C2070">
        <w:rPr>
          <w:rFonts w:ascii="Times New Roman" w:hAnsi="Times New Roman" w:cs="Times New Roman"/>
          <w:sz w:val="24"/>
          <w:szCs w:val="24"/>
        </w:rPr>
        <w:t>álgidos</w:t>
      </w:r>
      <w:r w:rsidR="002D762B" w:rsidRPr="008C2070">
        <w:rPr>
          <w:rFonts w:ascii="Times New Roman" w:hAnsi="Times New Roman" w:cs="Times New Roman"/>
          <w:sz w:val="24"/>
          <w:szCs w:val="24"/>
        </w:rPr>
        <w:t xml:space="preserve"> en el sistema de salud, es decir</w:t>
      </w:r>
      <w:r w:rsidR="003807E2" w:rsidRPr="008C2070">
        <w:rPr>
          <w:rFonts w:ascii="Times New Roman" w:hAnsi="Times New Roman" w:cs="Times New Roman"/>
          <w:sz w:val="24"/>
          <w:szCs w:val="24"/>
        </w:rPr>
        <w:t>,</w:t>
      </w:r>
      <w:r w:rsidR="002D762B" w:rsidRPr="008C2070">
        <w:rPr>
          <w:rFonts w:ascii="Times New Roman" w:hAnsi="Times New Roman" w:cs="Times New Roman"/>
          <w:sz w:val="24"/>
          <w:szCs w:val="24"/>
        </w:rPr>
        <w:t xml:space="preserve"> aquellos relacionados con la provisión de medicamentos encontrándose estos o</w:t>
      </w:r>
      <w:r w:rsidR="003807E2" w:rsidRPr="008C2070">
        <w:rPr>
          <w:rFonts w:ascii="Times New Roman" w:hAnsi="Times New Roman" w:cs="Times New Roman"/>
          <w:sz w:val="24"/>
          <w:szCs w:val="24"/>
        </w:rPr>
        <w:t xml:space="preserve"> no</w:t>
      </w:r>
      <w:r w:rsidR="002D762B" w:rsidRPr="008C2070">
        <w:rPr>
          <w:rFonts w:ascii="Times New Roman" w:hAnsi="Times New Roman" w:cs="Times New Roman"/>
          <w:sz w:val="24"/>
          <w:szCs w:val="24"/>
        </w:rPr>
        <w:t xml:space="preserve"> en los cuadros, compendios o </w:t>
      </w:r>
      <w:r w:rsidR="000D71EA" w:rsidRPr="008C2070">
        <w:rPr>
          <w:rFonts w:ascii="Times New Roman" w:hAnsi="Times New Roman" w:cs="Times New Roman"/>
          <w:sz w:val="24"/>
          <w:szCs w:val="24"/>
        </w:rPr>
        <w:t>catálogos</w:t>
      </w:r>
      <w:r w:rsidR="002D762B" w:rsidRPr="008C2070">
        <w:rPr>
          <w:rFonts w:ascii="Times New Roman" w:hAnsi="Times New Roman" w:cs="Times New Roman"/>
          <w:sz w:val="24"/>
          <w:szCs w:val="24"/>
        </w:rPr>
        <w:t xml:space="preserve"> institucionales</w:t>
      </w:r>
      <w:r w:rsidR="003807E2" w:rsidRPr="008C2070">
        <w:rPr>
          <w:rFonts w:ascii="Times New Roman" w:hAnsi="Times New Roman" w:cs="Times New Roman"/>
          <w:sz w:val="24"/>
          <w:szCs w:val="24"/>
        </w:rPr>
        <w:t>;</w:t>
      </w:r>
      <w:r w:rsidR="002D762B" w:rsidRPr="008C2070">
        <w:rPr>
          <w:rFonts w:ascii="Times New Roman" w:hAnsi="Times New Roman" w:cs="Times New Roman"/>
          <w:sz w:val="24"/>
          <w:szCs w:val="24"/>
        </w:rPr>
        <w:t xml:space="preserve"> las que </w:t>
      </w:r>
      <w:r w:rsidR="000D71EA" w:rsidRPr="008C2070">
        <w:rPr>
          <w:rFonts w:ascii="Times New Roman" w:hAnsi="Times New Roman" w:cs="Times New Roman"/>
          <w:sz w:val="24"/>
          <w:szCs w:val="24"/>
        </w:rPr>
        <w:t>reconocen</w:t>
      </w:r>
      <w:r w:rsidR="002D762B" w:rsidRPr="008C2070">
        <w:rPr>
          <w:rFonts w:ascii="Times New Roman" w:hAnsi="Times New Roman" w:cs="Times New Roman"/>
          <w:sz w:val="24"/>
          <w:szCs w:val="24"/>
        </w:rPr>
        <w:t xml:space="preserve"> las obligaciones convencionales del </w:t>
      </w:r>
      <w:r w:rsidR="003807E2" w:rsidRPr="008C2070">
        <w:rPr>
          <w:rFonts w:ascii="Times New Roman" w:hAnsi="Times New Roman" w:cs="Times New Roman"/>
          <w:sz w:val="24"/>
          <w:szCs w:val="24"/>
        </w:rPr>
        <w:t>E</w:t>
      </w:r>
      <w:r w:rsidR="002D762B" w:rsidRPr="008C2070">
        <w:rPr>
          <w:rFonts w:ascii="Times New Roman" w:hAnsi="Times New Roman" w:cs="Times New Roman"/>
          <w:sz w:val="24"/>
          <w:szCs w:val="24"/>
        </w:rPr>
        <w:t>stado para este derecho</w:t>
      </w:r>
      <w:r w:rsidR="003807E2" w:rsidRPr="008C2070">
        <w:rPr>
          <w:rFonts w:ascii="Times New Roman" w:hAnsi="Times New Roman" w:cs="Times New Roman"/>
          <w:sz w:val="24"/>
          <w:szCs w:val="24"/>
        </w:rPr>
        <w:t>,</w:t>
      </w:r>
      <w:r w:rsidR="002D762B" w:rsidRPr="008C2070">
        <w:rPr>
          <w:rFonts w:ascii="Times New Roman" w:hAnsi="Times New Roman" w:cs="Times New Roman"/>
          <w:sz w:val="24"/>
          <w:szCs w:val="24"/>
        </w:rPr>
        <w:t xml:space="preserve"> y las que además </w:t>
      </w:r>
      <w:r w:rsidR="000D71EA" w:rsidRPr="008C2070">
        <w:rPr>
          <w:rFonts w:ascii="Times New Roman" w:hAnsi="Times New Roman" w:cs="Times New Roman"/>
          <w:sz w:val="24"/>
          <w:szCs w:val="24"/>
        </w:rPr>
        <w:t xml:space="preserve">sientan </w:t>
      </w:r>
      <w:r w:rsidR="002D762B" w:rsidRPr="008C2070">
        <w:rPr>
          <w:rFonts w:ascii="Times New Roman" w:hAnsi="Times New Roman" w:cs="Times New Roman"/>
          <w:sz w:val="24"/>
          <w:szCs w:val="24"/>
        </w:rPr>
        <w:t xml:space="preserve">los </w:t>
      </w:r>
      <w:r w:rsidR="000D71EA" w:rsidRPr="008C2070">
        <w:rPr>
          <w:rFonts w:ascii="Times New Roman" w:hAnsi="Times New Roman" w:cs="Times New Roman"/>
          <w:sz w:val="24"/>
          <w:szCs w:val="24"/>
        </w:rPr>
        <w:t>criterios</w:t>
      </w:r>
      <w:r w:rsidR="002D762B" w:rsidRPr="008C2070">
        <w:rPr>
          <w:rFonts w:ascii="Times New Roman" w:hAnsi="Times New Roman" w:cs="Times New Roman"/>
          <w:sz w:val="24"/>
          <w:szCs w:val="24"/>
        </w:rPr>
        <w:t xml:space="preserve"> para evaluar su garantía. </w:t>
      </w:r>
      <w:r w:rsidR="00C173E6" w:rsidRPr="008C2070">
        <w:rPr>
          <w:rFonts w:ascii="Times New Roman" w:hAnsi="Times New Roman" w:cs="Times New Roman"/>
          <w:sz w:val="24"/>
          <w:szCs w:val="24"/>
        </w:rPr>
        <w:t>Se considera que esta última tesis aislada</w:t>
      </w:r>
      <w:r w:rsidR="00C173E6" w:rsidRPr="008C2070">
        <w:rPr>
          <w:rStyle w:val="Refdenotaalpie"/>
          <w:rFonts w:ascii="Times New Roman" w:hAnsi="Times New Roman" w:cs="Times New Roman"/>
          <w:sz w:val="24"/>
          <w:szCs w:val="24"/>
        </w:rPr>
        <w:footnoteReference w:id="58"/>
      </w:r>
      <w:r w:rsidR="00C173E6" w:rsidRPr="008C2070">
        <w:rPr>
          <w:rFonts w:ascii="Times New Roman" w:hAnsi="Times New Roman" w:cs="Times New Roman"/>
          <w:sz w:val="24"/>
          <w:szCs w:val="24"/>
        </w:rPr>
        <w:t xml:space="preserve"> es de suma importancia, ya que representa un esfuerzo para evaluar si el sistema de salud cumple adecuadamente con su obligación de garantizar el derecho a la protección de la salud.  </w:t>
      </w:r>
    </w:p>
    <w:p w14:paraId="3B1ABB83" w14:textId="1C9743AB" w:rsidR="00525754" w:rsidRDefault="00525754"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Respecto al uso de fuentes internacionales en la integración de las jurisprudencias y tesis aisladas, es posible percatarse que existen más referencias directas en el segundo periodo, especialmente en las tesis asiladas. (</w:t>
      </w:r>
      <w:r w:rsidRPr="008C2070">
        <w:rPr>
          <w:rFonts w:ascii="Times New Roman" w:hAnsi="Times New Roman" w:cs="Times New Roman"/>
          <w:b/>
          <w:bCs/>
          <w:i/>
          <w:iCs/>
          <w:sz w:val="24"/>
          <w:szCs w:val="24"/>
        </w:rPr>
        <w:t>Tabla 3. Referencias directas a fuentes internacionales en las jurisprudencias y tesis aisladas</w:t>
      </w:r>
      <w:r w:rsidRPr="008C2070">
        <w:rPr>
          <w:rFonts w:ascii="Times New Roman" w:hAnsi="Times New Roman" w:cs="Times New Roman"/>
          <w:sz w:val="24"/>
          <w:szCs w:val="24"/>
        </w:rPr>
        <w:t>)</w:t>
      </w:r>
    </w:p>
    <w:p w14:paraId="720BBFB9" w14:textId="77777777" w:rsidR="00CE377C" w:rsidRPr="008C2070" w:rsidRDefault="00CE377C" w:rsidP="008C2070">
      <w:pPr>
        <w:spacing w:beforeLines="120" w:before="288" w:afterLines="120" w:after="288" w:line="276" w:lineRule="auto"/>
        <w:jc w:val="both"/>
        <w:rPr>
          <w:rFonts w:ascii="Times New Roman" w:hAnsi="Times New Roman" w:cs="Times New Roman"/>
          <w:sz w:val="24"/>
          <w:szCs w:val="24"/>
        </w:rPr>
      </w:pPr>
    </w:p>
    <w:p w14:paraId="768007F7" w14:textId="3B9980EE" w:rsidR="00525754" w:rsidRPr="008C2070" w:rsidRDefault="00525754" w:rsidP="008C2070">
      <w:pPr>
        <w:pStyle w:val="Descripcin"/>
        <w:keepNext/>
        <w:spacing w:beforeLines="120" w:before="288" w:afterLines="120" w:after="288" w:line="276" w:lineRule="auto"/>
        <w:ind w:left="284"/>
        <w:jc w:val="both"/>
        <w:rPr>
          <w:rFonts w:ascii="Times New Roman" w:hAnsi="Times New Roman" w:cs="Times New Roman"/>
          <w:sz w:val="24"/>
          <w:szCs w:val="24"/>
        </w:rPr>
      </w:pPr>
      <w:r w:rsidRPr="008C2070">
        <w:rPr>
          <w:rFonts w:ascii="Times New Roman" w:hAnsi="Times New Roman" w:cs="Times New Roman"/>
          <w:sz w:val="24"/>
          <w:szCs w:val="24"/>
        </w:rPr>
        <w:lastRenderedPageBreak/>
        <w:t xml:space="preserve">Tabla </w:t>
      </w:r>
      <w:r w:rsidR="00B54B95" w:rsidRPr="008C2070">
        <w:rPr>
          <w:rFonts w:ascii="Times New Roman" w:hAnsi="Times New Roman" w:cs="Times New Roman"/>
          <w:sz w:val="24"/>
          <w:szCs w:val="24"/>
        </w:rPr>
        <w:fldChar w:fldCharType="begin"/>
      </w:r>
      <w:r w:rsidR="00B54B95" w:rsidRPr="008C2070">
        <w:rPr>
          <w:rFonts w:ascii="Times New Roman" w:hAnsi="Times New Roman" w:cs="Times New Roman"/>
          <w:sz w:val="24"/>
          <w:szCs w:val="24"/>
        </w:rPr>
        <w:instrText xml:space="preserve"> SEQ Tabla \* ARABIC </w:instrText>
      </w:r>
      <w:r w:rsidR="00B54B95" w:rsidRPr="008C2070">
        <w:rPr>
          <w:rFonts w:ascii="Times New Roman" w:hAnsi="Times New Roman" w:cs="Times New Roman"/>
          <w:sz w:val="24"/>
          <w:szCs w:val="24"/>
        </w:rPr>
        <w:fldChar w:fldCharType="separate"/>
      </w:r>
      <w:r w:rsidR="00871B8A" w:rsidRPr="008C2070">
        <w:rPr>
          <w:rFonts w:ascii="Times New Roman" w:hAnsi="Times New Roman" w:cs="Times New Roman"/>
          <w:noProof/>
          <w:sz w:val="24"/>
          <w:szCs w:val="24"/>
        </w:rPr>
        <w:t>3</w:t>
      </w:r>
      <w:r w:rsidR="00B54B95" w:rsidRPr="008C2070">
        <w:rPr>
          <w:rFonts w:ascii="Times New Roman" w:hAnsi="Times New Roman" w:cs="Times New Roman"/>
          <w:noProof/>
          <w:sz w:val="24"/>
          <w:szCs w:val="24"/>
        </w:rPr>
        <w:fldChar w:fldCharType="end"/>
      </w:r>
      <w:r w:rsidRPr="008C2070">
        <w:rPr>
          <w:rFonts w:ascii="Times New Roman" w:hAnsi="Times New Roman" w:cs="Times New Roman"/>
          <w:sz w:val="24"/>
          <w:szCs w:val="24"/>
        </w:rPr>
        <w:t>. Referencias directas a fuentes internacionales en las jurisprudencias y tesis aisladas</w:t>
      </w:r>
    </w:p>
    <w:tbl>
      <w:tblPr>
        <w:tblStyle w:val="Tablaconcuadrcula"/>
        <w:tblW w:w="0" w:type="auto"/>
        <w:tblInd w:w="1134" w:type="dxa"/>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ook w:val="04A0" w:firstRow="1" w:lastRow="0" w:firstColumn="1" w:lastColumn="0" w:noHBand="0" w:noVBand="1"/>
      </w:tblPr>
      <w:tblGrid>
        <w:gridCol w:w="1552"/>
        <w:gridCol w:w="2482"/>
        <w:gridCol w:w="2482"/>
      </w:tblGrid>
      <w:tr w:rsidR="003807E2" w:rsidRPr="008C2070" w14:paraId="0AF17C9F" w14:textId="77777777" w:rsidTr="008C2070">
        <w:trPr>
          <w:trHeight w:val="238"/>
        </w:trPr>
        <w:tc>
          <w:tcPr>
            <w:tcW w:w="1552" w:type="dxa"/>
            <w:tcBorders>
              <w:top w:val="nil"/>
              <w:left w:val="nil"/>
              <w:bottom w:val="single" w:sz="8" w:space="0" w:color="D0CECE"/>
              <w:right w:val="nil"/>
            </w:tcBorders>
          </w:tcPr>
          <w:p w14:paraId="2180313E" w14:textId="77777777" w:rsidR="0053156E" w:rsidRPr="008C2070" w:rsidRDefault="0053156E" w:rsidP="008C2070">
            <w:pPr>
              <w:spacing w:before="60" w:after="60" w:line="276" w:lineRule="auto"/>
              <w:jc w:val="both"/>
              <w:rPr>
                <w:rFonts w:ascii="Times New Roman" w:hAnsi="Times New Roman" w:cs="Times New Roman"/>
                <w:lang w:val="es-ES"/>
              </w:rPr>
            </w:pPr>
          </w:p>
        </w:tc>
        <w:tc>
          <w:tcPr>
            <w:tcW w:w="2482" w:type="dxa"/>
            <w:tcBorders>
              <w:left w:val="nil"/>
            </w:tcBorders>
            <w:shd w:val="clear" w:color="auto" w:fill="E7E6E6" w:themeFill="background2"/>
          </w:tcPr>
          <w:p w14:paraId="4DEDDC4F" w14:textId="77777777" w:rsidR="0053156E" w:rsidRPr="008C2070" w:rsidRDefault="0053156E" w:rsidP="008C2070">
            <w:pPr>
              <w:spacing w:before="60" w:after="60" w:line="276" w:lineRule="auto"/>
              <w:jc w:val="center"/>
              <w:rPr>
                <w:rFonts w:ascii="Times New Roman" w:hAnsi="Times New Roman" w:cs="Times New Roman"/>
                <w:b/>
                <w:bCs/>
                <w:lang w:val="es-ES"/>
              </w:rPr>
            </w:pPr>
            <w:r w:rsidRPr="008C2070">
              <w:rPr>
                <w:rFonts w:ascii="Times New Roman" w:hAnsi="Times New Roman" w:cs="Times New Roman"/>
                <w:b/>
                <w:bCs/>
                <w:lang w:val="es-ES"/>
              </w:rPr>
              <w:t>Jurisprudencias</w:t>
            </w:r>
          </w:p>
        </w:tc>
        <w:tc>
          <w:tcPr>
            <w:tcW w:w="2482" w:type="dxa"/>
            <w:shd w:val="clear" w:color="auto" w:fill="E7E6E6" w:themeFill="background2"/>
          </w:tcPr>
          <w:p w14:paraId="392992CC" w14:textId="77777777" w:rsidR="0053156E" w:rsidRPr="008C2070" w:rsidRDefault="0053156E" w:rsidP="008C2070">
            <w:pPr>
              <w:spacing w:before="60" w:after="60" w:line="276" w:lineRule="auto"/>
              <w:jc w:val="center"/>
              <w:rPr>
                <w:rFonts w:ascii="Times New Roman" w:hAnsi="Times New Roman" w:cs="Times New Roman"/>
                <w:b/>
                <w:bCs/>
                <w:lang w:val="es-ES"/>
              </w:rPr>
            </w:pPr>
            <w:r w:rsidRPr="008C2070">
              <w:rPr>
                <w:rFonts w:ascii="Times New Roman" w:hAnsi="Times New Roman" w:cs="Times New Roman"/>
                <w:b/>
                <w:bCs/>
                <w:lang w:val="es-ES"/>
              </w:rPr>
              <w:t>Tesis</w:t>
            </w:r>
          </w:p>
        </w:tc>
      </w:tr>
      <w:tr w:rsidR="003807E2" w:rsidRPr="008C2070" w14:paraId="37C8B193" w14:textId="77777777" w:rsidTr="008C2070">
        <w:trPr>
          <w:trHeight w:val="238"/>
        </w:trPr>
        <w:tc>
          <w:tcPr>
            <w:tcW w:w="1552" w:type="dxa"/>
            <w:tcBorders>
              <w:top w:val="single" w:sz="8" w:space="0" w:color="D0CECE"/>
              <w:left w:val="single" w:sz="8" w:space="0" w:color="D0CECE"/>
              <w:bottom w:val="single" w:sz="8" w:space="0" w:color="D0CECE"/>
              <w:right w:val="single" w:sz="8" w:space="0" w:color="D0CECE"/>
            </w:tcBorders>
          </w:tcPr>
          <w:p w14:paraId="6D469170" w14:textId="5D2E5048" w:rsidR="0053156E" w:rsidRPr="008C2070" w:rsidRDefault="0053156E" w:rsidP="008C2070">
            <w:pPr>
              <w:spacing w:before="60" w:after="60" w:line="276" w:lineRule="auto"/>
              <w:jc w:val="center"/>
              <w:rPr>
                <w:rFonts w:ascii="Times New Roman" w:hAnsi="Times New Roman" w:cs="Times New Roman"/>
                <w:lang w:val="es-ES"/>
              </w:rPr>
            </w:pPr>
            <w:r w:rsidRPr="008C2070">
              <w:rPr>
                <w:rFonts w:ascii="Times New Roman" w:hAnsi="Times New Roman" w:cs="Times New Roman"/>
                <w:lang w:val="es-ES"/>
              </w:rPr>
              <w:t>Antes de 2011 (1995-octubre 2011)</w:t>
            </w:r>
          </w:p>
        </w:tc>
        <w:tc>
          <w:tcPr>
            <w:tcW w:w="2482" w:type="dxa"/>
            <w:tcBorders>
              <w:left w:val="single" w:sz="8" w:space="0" w:color="D0CECE"/>
            </w:tcBorders>
          </w:tcPr>
          <w:p w14:paraId="47465FF0" w14:textId="77777777" w:rsidR="0053156E" w:rsidRPr="008C2070" w:rsidRDefault="0053156E" w:rsidP="008C2070">
            <w:pPr>
              <w:spacing w:before="60" w:after="60" w:line="276" w:lineRule="auto"/>
              <w:jc w:val="right"/>
              <w:rPr>
                <w:rFonts w:ascii="Times New Roman" w:hAnsi="Times New Roman" w:cs="Times New Roman"/>
                <w:lang w:val="es-ES"/>
              </w:rPr>
            </w:pPr>
            <w:r w:rsidRPr="008C2070">
              <w:rPr>
                <w:rFonts w:ascii="Times New Roman" w:hAnsi="Times New Roman" w:cs="Times New Roman"/>
                <w:lang w:val="es-ES"/>
              </w:rPr>
              <w:t>0 de 4</w:t>
            </w:r>
          </w:p>
          <w:p w14:paraId="71DB438A" w14:textId="77777777" w:rsidR="0053156E" w:rsidRPr="008C2070" w:rsidRDefault="0053156E" w:rsidP="008C2070">
            <w:pPr>
              <w:spacing w:before="60" w:after="60" w:line="276" w:lineRule="auto"/>
              <w:jc w:val="right"/>
              <w:rPr>
                <w:rFonts w:ascii="Times New Roman" w:hAnsi="Times New Roman" w:cs="Times New Roman"/>
                <w:lang w:val="es-ES"/>
              </w:rPr>
            </w:pPr>
            <w:r w:rsidRPr="008C2070">
              <w:rPr>
                <w:rFonts w:ascii="Times New Roman" w:hAnsi="Times New Roman" w:cs="Times New Roman"/>
                <w:lang w:val="es-ES"/>
              </w:rPr>
              <w:t xml:space="preserve"> </w:t>
            </w:r>
          </w:p>
        </w:tc>
        <w:tc>
          <w:tcPr>
            <w:tcW w:w="2482" w:type="dxa"/>
          </w:tcPr>
          <w:p w14:paraId="03BAFEAC" w14:textId="77777777" w:rsidR="0053156E" w:rsidRPr="008C2070" w:rsidRDefault="0053156E" w:rsidP="008C2070">
            <w:pPr>
              <w:spacing w:before="60" w:after="60" w:line="276" w:lineRule="auto"/>
              <w:jc w:val="right"/>
              <w:rPr>
                <w:rFonts w:ascii="Times New Roman" w:hAnsi="Times New Roman" w:cs="Times New Roman"/>
                <w:lang w:val="es-ES"/>
              </w:rPr>
            </w:pPr>
            <w:r w:rsidRPr="008C2070">
              <w:rPr>
                <w:rFonts w:ascii="Times New Roman" w:hAnsi="Times New Roman" w:cs="Times New Roman"/>
                <w:lang w:val="es-ES"/>
              </w:rPr>
              <w:t>2 de 7 (161333, 169316)</w:t>
            </w:r>
          </w:p>
        </w:tc>
      </w:tr>
      <w:tr w:rsidR="003807E2" w:rsidRPr="008C2070" w14:paraId="019379B1" w14:textId="77777777" w:rsidTr="008C2070">
        <w:trPr>
          <w:trHeight w:val="238"/>
        </w:trPr>
        <w:tc>
          <w:tcPr>
            <w:tcW w:w="1552" w:type="dxa"/>
            <w:tcBorders>
              <w:top w:val="single" w:sz="8" w:space="0" w:color="D0CECE"/>
            </w:tcBorders>
          </w:tcPr>
          <w:p w14:paraId="29512ADF" w14:textId="54CAB964" w:rsidR="0053156E" w:rsidRPr="008C2070" w:rsidRDefault="0053156E" w:rsidP="008C2070">
            <w:pPr>
              <w:spacing w:before="60" w:after="60" w:line="276" w:lineRule="auto"/>
              <w:jc w:val="center"/>
              <w:rPr>
                <w:rFonts w:ascii="Times New Roman" w:hAnsi="Times New Roman" w:cs="Times New Roman"/>
                <w:lang w:val="es-ES"/>
              </w:rPr>
            </w:pPr>
            <w:r w:rsidRPr="008C2070">
              <w:rPr>
                <w:rFonts w:ascii="Times New Roman" w:hAnsi="Times New Roman" w:cs="Times New Roman"/>
                <w:lang w:val="es-ES"/>
              </w:rPr>
              <w:t>De 2011 a la fecha</w:t>
            </w:r>
          </w:p>
        </w:tc>
        <w:tc>
          <w:tcPr>
            <w:tcW w:w="2482" w:type="dxa"/>
          </w:tcPr>
          <w:p w14:paraId="29E67804" w14:textId="77777777" w:rsidR="0053156E" w:rsidRPr="008C2070" w:rsidRDefault="0053156E" w:rsidP="008C2070">
            <w:pPr>
              <w:spacing w:before="60" w:after="60" w:line="276" w:lineRule="auto"/>
              <w:jc w:val="right"/>
              <w:rPr>
                <w:rFonts w:ascii="Times New Roman" w:hAnsi="Times New Roman" w:cs="Times New Roman"/>
                <w:lang w:val="es-ES"/>
              </w:rPr>
            </w:pPr>
            <w:r w:rsidRPr="008C2070">
              <w:rPr>
                <w:rFonts w:ascii="Times New Roman" w:hAnsi="Times New Roman" w:cs="Times New Roman"/>
                <w:lang w:val="es-ES"/>
              </w:rPr>
              <w:t>1 de 2 (2011012)</w:t>
            </w:r>
          </w:p>
        </w:tc>
        <w:tc>
          <w:tcPr>
            <w:tcW w:w="2482" w:type="dxa"/>
          </w:tcPr>
          <w:p w14:paraId="0997047A" w14:textId="77777777" w:rsidR="0053156E" w:rsidRPr="008C2070" w:rsidRDefault="0053156E" w:rsidP="008C2070">
            <w:pPr>
              <w:spacing w:before="60" w:after="60" w:line="276" w:lineRule="auto"/>
              <w:jc w:val="right"/>
              <w:rPr>
                <w:rFonts w:ascii="Times New Roman" w:hAnsi="Times New Roman" w:cs="Times New Roman"/>
                <w:lang w:val="es-ES"/>
              </w:rPr>
            </w:pPr>
            <w:r w:rsidRPr="008C2070">
              <w:rPr>
                <w:rFonts w:ascii="Times New Roman" w:hAnsi="Times New Roman" w:cs="Times New Roman"/>
                <w:lang w:val="es-ES"/>
              </w:rPr>
              <w:t xml:space="preserve">11 de 20 (2022889, 2007938, 2007539, 2022888, 2009802, 2020298, 2007539, 2004683, 2010052, 2020589, 2022890) </w:t>
            </w:r>
          </w:p>
        </w:tc>
      </w:tr>
    </w:tbl>
    <w:p w14:paraId="7E509BFC" w14:textId="77777777" w:rsidR="00B10A38" w:rsidRPr="008C2070" w:rsidRDefault="00B10A38" w:rsidP="008C2070">
      <w:pPr>
        <w:spacing w:beforeLines="120" w:before="288" w:afterLines="120" w:after="288" w:line="276" w:lineRule="auto"/>
        <w:jc w:val="both"/>
        <w:rPr>
          <w:rFonts w:ascii="Times New Roman" w:hAnsi="Times New Roman" w:cs="Times New Roman"/>
          <w:sz w:val="24"/>
          <w:szCs w:val="24"/>
        </w:rPr>
      </w:pPr>
    </w:p>
    <w:p w14:paraId="6258BD56" w14:textId="071AB231" w:rsidR="00B10A38" w:rsidRPr="00F60289" w:rsidRDefault="00F60289" w:rsidP="00F60289">
      <w:pPr>
        <w:spacing w:beforeLines="120" w:before="288" w:afterLines="120" w:after="288"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 </w:t>
      </w:r>
      <w:r w:rsidR="00B10A38" w:rsidRPr="00F60289">
        <w:rPr>
          <w:rFonts w:ascii="Times New Roman" w:hAnsi="Times New Roman" w:cs="Times New Roman"/>
          <w:b/>
          <w:bCs/>
          <w:sz w:val="24"/>
          <w:szCs w:val="24"/>
        </w:rPr>
        <w:t>Jurisprudencias y tesis aisladas relacionadas con cuestiones procesales del juicio de amparo y reparación del daño en casos de derecho a la protección de la salud</w:t>
      </w:r>
    </w:p>
    <w:p w14:paraId="733F942D" w14:textId="77777777" w:rsidR="00871B8A" w:rsidRPr="008C2070" w:rsidRDefault="00B10A38" w:rsidP="008C2070">
      <w:pPr>
        <w:spacing w:beforeLines="120" w:before="288" w:afterLines="120" w:after="288" w:line="276" w:lineRule="auto"/>
        <w:jc w:val="both"/>
        <w:rPr>
          <w:rFonts w:ascii="Times New Roman" w:hAnsi="Times New Roman" w:cs="Times New Roman"/>
          <w:b/>
          <w:bCs/>
          <w:i/>
          <w:iCs/>
          <w:sz w:val="24"/>
          <w:szCs w:val="24"/>
        </w:rPr>
        <w:sectPr w:rsidR="00871B8A" w:rsidRPr="008C2070">
          <w:pgSz w:w="12240" w:h="15840"/>
          <w:pgMar w:top="1417" w:right="1701" w:bottom="1417" w:left="1701" w:header="708" w:footer="708" w:gutter="0"/>
          <w:cols w:space="708"/>
          <w:docGrid w:linePitch="360"/>
        </w:sectPr>
      </w:pPr>
      <w:r w:rsidRPr="008C2070">
        <w:rPr>
          <w:rFonts w:ascii="Times New Roman" w:hAnsi="Times New Roman" w:cs="Times New Roman"/>
          <w:sz w:val="24"/>
          <w:szCs w:val="24"/>
        </w:rPr>
        <w:t>Para aquellas jurisprudencias y tesis</w:t>
      </w:r>
      <w:r w:rsidR="00D66020" w:rsidRPr="008C2070">
        <w:rPr>
          <w:rFonts w:ascii="Times New Roman" w:hAnsi="Times New Roman" w:cs="Times New Roman"/>
          <w:sz w:val="24"/>
          <w:szCs w:val="24"/>
        </w:rPr>
        <w:t xml:space="preserve"> aisladas</w:t>
      </w:r>
      <w:r w:rsidRPr="008C2070">
        <w:rPr>
          <w:rFonts w:ascii="Times New Roman" w:hAnsi="Times New Roman" w:cs="Times New Roman"/>
          <w:sz w:val="24"/>
          <w:szCs w:val="24"/>
        </w:rPr>
        <w:t xml:space="preserve"> relacionadas con cuestiones procesales del juicio de amparo y la reparación del daño en caso de derecho a la protección de la </w:t>
      </w:r>
      <w:r w:rsidR="00F74821" w:rsidRPr="008C2070">
        <w:rPr>
          <w:rFonts w:ascii="Times New Roman" w:hAnsi="Times New Roman" w:cs="Times New Roman"/>
          <w:sz w:val="24"/>
          <w:szCs w:val="24"/>
        </w:rPr>
        <w:t>salud</w:t>
      </w:r>
      <w:r w:rsidR="00416274" w:rsidRPr="008C2070">
        <w:rPr>
          <w:rFonts w:ascii="Times New Roman" w:hAnsi="Times New Roman" w:cs="Times New Roman"/>
          <w:sz w:val="24"/>
          <w:szCs w:val="24"/>
        </w:rPr>
        <w:t xml:space="preserve">, se observa que durante el primer periodo comprendido </w:t>
      </w:r>
      <w:r w:rsidR="00D66020" w:rsidRPr="008C2070">
        <w:rPr>
          <w:rFonts w:ascii="Times New Roman" w:hAnsi="Times New Roman" w:cs="Times New Roman"/>
          <w:sz w:val="24"/>
          <w:szCs w:val="24"/>
        </w:rPr>
        <w:t>entre febrero de</w:t>
      </w:r>
      <w:r w:rsidR="00416274" w:rsidRPr="008C2070">
        <w:rPr>
          <w:rFonts w:ascii="Times New Roman" w:hAnsi="Times New Roman" w:cs="Times New Roman"/>
          <w:sz w:val="24"/>
          <w:szCs w:val="24"/>
        </w:rPr>
        <w:t xml:space="preserve"> 1995 a octubre</w:t>
      </w:r>
      <w:r w:rsidR="00D66020" w:rsidRPr="008C2070">
        <w:rPr>
          <w:rFonts w:ascii="Times New Roman" w:hAnsi="Times New Roman" w:cs="Times New Roman"/>
          <w:sz w:val="24"/>
          <w:szCs w:val="24"/>
        </w:rPr>
        <w:t xml:space="preserve"> de</w:t>
      </w:r>
      <w:r w:rsidR="00416274" w:rsidRPr="008C2070">
        <w:rPr>
          <w:rFonts w:ascii="Times New Roman" w:hAnsi="Times New Roman" w:cs="Times New Roman"/>
          <w:sz w:val="24"/>
          <w:szCs w:val="24"/>
        </w:rPr>
        <w:t xml:space="preserve"> 2011 no se integraron jurisprudencias, solamente 1 tesis aislada</w:t>
      </w:r>
      <w:r w:rsidR="00557F69" w:rsidRPr="008C2070">
        <w:rPr>
          <w:rFonts w:ascii="Times New Roman" w:hAnsi="Times New Roman" w:cs="Times New Roman"/>
          <w:sz w:val="24"/>
          <w:szCs w:val="24"/>
        </w:rPr>
        <w:t xml:space="preserve"> sobre el medio adecuado de tutela</w:t>
      </w:r>
      <w:r w:rsidR="00416274" w:rsidRPr="008C2070">
        <w:rPr>
          <w:rFonts w:ascii="Times New Roman" w:hAnsi="Times New Roman" w:cs="Times New Roman"/>
          <w:sz w:val="24"/>
          <w:szCs w:val="24"/>
        </w:rPr>
        <w:t xml:space="preserve">. Dicha tesis aislada fue creada en agosto de 2011 para mencionar que la procedencia del juicio de amparo en materia de salud necesita de una </w:t>
      </w:r>
      <w:r w:rsidR="0079552E" w:rsidRPr="008C2070">
        <w:rPr>
          <w:rFonts w:ascii="Times New Roman" w:hAnsi="Times New Roman" w:cs="Times New Roman"/>
          <w:sz w:val="24"/>
          <w:szCs w:val="24"/>
        </w:rPr>
        <w:t>pretensión</w:t>
      </w:r>
      <w:r w:rsidR="00416274" w:rsidRPr="008C2070">
        <w:rPr>
          <w:rFonts w:ascii="Times New Roman" w:hAnsi="Times New Roman" w:cs="Times New Roman"/>
          <w:sz w:val="24"/>
          <w:szCs w:val="24"/>
        </w:rPr>
        <w:t xml:space="preserve"> jurídica subjetiva y de una invasión al derecho </w:t>
      </w:r>
      <w:r w:rsidR="0079552E" w:rsidRPr="008C2070">
        <w:rPr>
          <w:rFonts w:ascii="Times New Roman" w:hAnsi="Times New Roman" w:cs="Times New Roman"/>
          <w:sz w:val="24"/>
          <w:szCs w:val="24"/>
        </w:rPr>
        <w:t>que</w:t>
      </w:r>
      <w:r w:rsidR="00416274" w:rsidRPr="008C2070">
        <w:rPr>
          <w:rFonts w:ascii="Times New Roman" w:hAnsi="Times New Roman" w:cs="Times New Roman"/>
          <w:sz w:val="24"/>
          <w:szCs w:val="24"/>
        </w:rPr>
        <w:t xml:space="preserve"> sea remediable por la vía del juicio de amparo.</w:t>
      </w:r>
      <w:r w:rsidR="00416274" w:rsidRPr="008C2070">
        <w:rPr>
          <w:rStyle w:val="Refdenotaalpie"/>
          <w:rFonts w:ascii="Times New Roman" w:hAnsi="Times New Roman" w:cs="Times New Roman"/>
          <w:sz w:val="24"/>
          <w:szCs w:val="24"/>
        </w:rPr>
        <w:footnoteReference w:id="59"/>
      </w:r>
      <w:r w:rsidR="00557F69" w:rsidRPr="008C2070">
        <w:rPr>
          <w:rFonts w:ascii="Times New Roman" w:hAnsi="Times New Roman" w:cs="Times New Roman"/>
          <w:sz w:val="24"/>
          <w:szCs w:val="24"/>
        </w:rPr>
        <w:t xml:space="preserve"> Sin </w:t>
      </w:r>
      <w:r w:rsidR="00227FBB" w:rsidRPr="008C2070">
        <w:rPr>
          <w:rFonts w:ascii="Times New Roman" w:hAnsi="Times New Roman" w:cs="Times New Roman"/>
          <w:sz w:val="24"/>
          <w:szCs w:val="24"/>
        </w:rPr>
        <w:t>embargo</w:t>
      </w:r>
      <w:r w:rsidR="00557F69" w:rsidRPr="008C2070">
        <w:rPr>
          <w:rFonts w:ascii="Times New Roman" w:hAnsi="Times New Roman" w:cs="Times New Roman"/>
          <w:sz w:val="24"/>
          <w:szCs w:val="24"/>
        </w:rPr>
        <w:t xml:space="preserve">, para el segundo periodo </w:t>
      </w:r>
      <w:r w:rsidR="00227FBB" w:rsidRPr="008C2070">
        <w:rPr>
          <w:rFonts w:ascii="Times New Roman" w:hAnsi="Times New Roman" w:cs="Times New Roman"/>
          <w:sz w:val="24"/>
          <w:szCs w:val="24"/>
        </w:rPr>
        <w:t xml:space="preserve">se encontraron 5 jurisprudencias relacionadas con la suspensión definitiva, provisional y la autoridad responsable. </w:t>
      </w:r>
      <w:r w:rsidR="00691FC4" w:rsidRPr="008C2070">
        <w:rPr>
          <w:rFonts w:ascii="Times New Roman" w:hAnsi="Times New Roman" w:cs="Times New Roman"/>
          <w:sz w:val="24"/>
          <w:szCs w:val="24"/>
        </w:rPr>
        <w:t xml:space="preserve"> </w:t>
      </w:r>
      <w:r w:rsidR="00BB290A" w:rsidRPr="008C2070">
        <w:rPr>
          <w:rFonts w:ascii="Times New Roman" w:hAnsi="Times New Roman" w:cs="Times New Roman"/>
          <w:sz w:val="24"/>
          <w:szCs w:val="24"/>
        </w:rPr>
        <w:t>Las jurisprudencias y tesis aisladas del segundo periodo encontradas ya prevén situaciones relacionadas con el virus del SARS-CoV2</w:t>
      </w:r>
      <w:r w:rsidR="008330B3" w:rsidRPr="008C2070">
        <w:rPr>
          <w:rFonts w:ascii="Times New Roman" w:hAnsi="Times New Roman" w:cs="Times New Roman"/>
          <w:sz w:val="24"/>
          <w:szCs w:val="24"/>
        </w:rPr>
        <w:t xml:space="preserve"> (COVID-19)</w:t>
      </w:r>
      <w:r w:rsidR="00BB290A" w:rsidRPr="008C2070">
        <w:rPr>
          <w:rFonts w:ascii="Times New Roman" w:hAnsi="Times New Roman" w:cs="Times New Roman"/>
          <w:sz w:val="24"/>
          <w:szCs w:val="24"/>
        </w:rPr>
        <w:t xml:space="preserve">. </w:t>
      </w:r>
      <w:r w:rsidR="00E36EBF" w:rsidRPr="008C2070">
        <w:rPr>
          <w:rFonts w:ascii="Times New Roman" w:hAnsi="Times New Roman" w:cs="Times New Roman"/>
          <w:sz w:val="24"/>
          <w:szCs w:val="24"/>
        </w:rPr>
        <w:t>Sobre la suspensión definitiva la</w:t>
      </w:r>
      <w:r w:rsidR="008330B3" w:rsidRPr="008C2070">
        <w:rPr>
          <w:rFonts w:ascii="Times New Roman" w:hAnsi="Times New Roman" w:cs="Times New Roman"/>
          <w:sz w:val="24"/>
          <w:szCs w:val="24"/>
        </w:rPr>
        <w:t xml:space="preserve"> jurisprudencia encontrada se relaciona en su totalidad con situaciones derivadas de la pandemia por COVID-19. En ella se menciona que la suspensión definitiva procede </w:t>
      </w:r>
      <w:r w:rsidR="00853142" w:rsidRPr="008C2070">
        <w:rPr>
          <w:rFonts w:ascii="Times New Roman" w:hAnsi="Times New Roman" w:cs="Times New Roman"/>
          <w:sz w:val="24"/>
          <w:szCs w:val="24"/>
        </w:rPr>
        <w:t>concederla</w:t>
      </w:r>
      <w:r w:rsidR="008330B3" w:rsidRPr="008C2070">
        <w:rPr>
          <w:rFonts w:ascii="Times New Roman" w:hAnsi="Times New Roman" w:cs="Times New Roman"/>
          <w:sz w:val="24"/>
          <w:szCs w:val="24"/>
        </w:rPr>
        <w:t xml:space="preserve"> a los empleados del sector salud que sean grupo vulnerable durante la pandemia.</w:t>
      </w:r>
      <w:r w:rsidR="008330B3" w:rsidRPr="008C2070">
        <w:rPr>
          <w:rStyle w:val="Refdenotaalpie"/>
          <w:rFonts w:ascii="Times New Roman" w:hAnsi="Times New Roman" w:cs="Times New Roman"/>
          <w:sz w:val="24"/>
          <w:szCs w:val="24"/>
        </w:rPr>
        <w:footnoteReference w:id="60"/>
      </w:r>
      <w:r w:rsidR="00E36EBF" w:rsidRPr="008C2070">
        <w:rPr>
          <w:rFonts w:ascii="Times New Roman" w:hAnsi="Times New Roman" w:cs="Times New Roman"/>
          <w:sz w:val="24"/>
          <w:szCs w:val="24"/>
        </w:rPr>
        <w:t xml:space="preserve"> </w:t>
      </w:r>
      <w:r w:rsidR="00C83725" w:rsidRPr="008C2070">
        <w:rPr>
          <w:rFonts w:ascii="Times New Roman" w:hAnsi="Times New Roman" w:cs="Times New Roman"/>
          <w:sz w:val="24"/>
          <w:szCs w:val="24"/>
        </w:rPr>
        <w:t xml:space="preserve">La otra </w:t>
      </w:r>
      <w:r w:rsidR="00F55C94" w:rsidRPr="008C2070">
        <w:rPr>
          <w:rFonts w:ascii="Times New Roman" w:hAnsi="Times New Roman" w:cs="Times New Roman"/>
          <w:sz w:val="24"/>
          <w:szCs w:val="24"/>
        </w:rPr>
        <w:t>jurisprudencia</w:t>
      </w:r>
      <w:r w:rsidR="00C83725" w:rsidRPr="008C2070">
        <w:rPr>
          <w:rFonts w:ascii="Times New Roman" w:hAnsi="Times New Roman" w:cs="Times New Roman"/>
          <w:sz w:val="24"/>
          <w:szCs w:val="24"/>
        </w:rPr>
        <w:t xml:space="preserve"> encontrada dice que cuando se reclame la </w:t>
      </w:r>
      <w:r w:rsidR="00F55C94" w:rsidRPr="008C2070">
        <w:rPr>
          <w:rFonts w:ascii="Times New Roman" w:hAnsi="Times New Roman" w:cs="Times New Roman"/>
          <w:sz w:val="24"/>
          <w:szCs w:val="24"/>
        </w:rPr>
        <w:t>omisión</w:t>
      </w:r>
      <w:r w:rsidR="00C83725" w:rsidRPr="008C2070">
        <w:rPr>
          <w:rFonts w:ascii="Times New Roman" w:hAnsi="Times New Roman" w:cs="Times New Roman"/>
          <w:sz w:val="24"/>
          <w:szCs w:val="24"/>
        </w:rPr>
        <w:t xml:space="preserve"> de las autoridades de </w:t>
      </w:r>
      <w:r w:rsidR="00F55C94" w:rsidRPr="008C2070">
        <w:rPr>
          <w:rFonts w:ascii="Times New Roman" w:hAnsi="Times New Roman" w:cs="Times New Roman"/>
          <w:sz w:val="24"/>
          <w:szCs w:val="24"/>
        </w:rPr>
        <w:t>proveer</w:t>
      </w:r>
      <w:r w:rsidR="00C83725" w:rsidRPr="008C2070">
        <w:rPr>
          <w:rFonts w:ascii="Times New Roman" w:hAnsi="Times New Roman" w:cs="Times New Roman"/>
          <w:sz w:val="24"/>
          <w:szCs w:val="24"/>
        </w:rPr>
        <w:t xml:space="preserve"> al personal </w:t>
      </w:r>
      <w:r w:rsidR="00F55C94" w:rsidRPr="008C2070">
        <w:rPr>
          <w:rFonts w:ascii="Times New Roman" w:hAnsi="Times New Roman" w:cs="Times New Roman"/>
          <w:sz w:val="24"/>
          <w:szCs w:val="24"/>
        </w:rPr>
        <w:t>médico</w:t>
      </w:r>
      <w:r w:rsidR="00C83725" w:rsidRPr="008C2070">
        <w:rPr>
          <w:rFonts w:ascii="Times New Roman" w:hAnsi="Times New Roman" w:cs="Times New Roman"/>
          <w:sz w:val="24"/>
          <w:szCs w:val="24"/>
        </w:rPr>
        <w:t xml:space="preserve"> de </w:t>
      </w:r>
      <w:r w:rsidR="00F55C94" w:rsidRPr="008C2070">
        <w:rPr>
          <w:rFonts w:ascii="Times New Roman" w:hAnsi="Times New Roman" w:cs="Times New Roman"/>
          <w:sz w:val="24"/>
          <w:szCs w:val="24"/>
        </w:rPr>
        <w:t>insumos</w:t>
      </w:r>
      <w:r w:rsidR="00C83725" w:rsidRPr="008C2070">
        <w:rPr>
          <w:rFonts w:ascii="Times New Roman" w:hAnsi="Times New Roman" w:cs="Times New Roman"/>
          <w:sz w:val="24"/>
          <w:szCs w:val="24"/>
        </w:rPr>
        <w:t xml:space="preserve"> y equipo para tratar a contagiados </w:t>
      </w:r>
      <w:r w:rsidR="00F55C94" w:rsidRPr="008C2070">
        <w:rPr>
          <w:rFonts w:ascii="Times New Roman" w:hAnsi="Times New Roman" w:cs="Times New Roman"/>
          <w:sz w:val="24"/>
          <w:szCs w:val="24"/>
        </w:rPr>
        <w:t>por</w:t>
      </w:r>
      <w:r w:rsidR="00C83725" w:rsidRPr="008C2070">
        <w:rPr>
          <w:rFonts w:ascii="Times New Roman" w:hAnsi="Times New Roman" w:cs="Times New Roman"/>
          <w:sz w:val="24"/>
          <w:szCs w:val="24"/>
        </w:rPr>
        <w:t xml:space="preserve"> el virus procede la suspensión de oficio y de plano.</w:t>
      </w:r>
      <w:r w:rsidR="00C83725" w:rsidRPr="008C2070">
        <w:rPr>
          <w:rStyle w:val="Refdenotaalpie"/>
          <w:rFonts w:ascii="Times New Roman" w:hAnsi="Times New Roman" w:cs="Times New Roman"/>
          <w:sz w:val="24"/>
          <w:szCs w:val="24"/>
        </w:rPr>
        <w:footnoteReference w:id="61"/>
      </w:r>
      <w:r w:rsidR="00B46415" w:rsidRPr="008C2070">
        <w:rPr>
          <w:rFonts w:ascii="Times New Roman" w:hAnsi="Times New Roman" w:cs="Times New Roman"/>
          <w:sz w:val="24"/>
          <w:szCs w:val="24"/>
        </w:rPr>
        <w:t xml:space="preserve"> Las tesis </w:t>
      </w:r>
      <w:r w:rsidR="00B46415" w:rsidRPr="008C2070">
        <w:rPr>
          <w:rFonts w:ascii="Times New Roman" w:hAnsi="Times New Roman" w:cs="Times New Roman"/>
          <w:sz w:val="24"/>
          <w:szCs w:val="24"/>
        </w:rPr>
        <w:lastRenderedPageBreak/>
        <w:t>aisladas concernientes a la suspensión</w:t>
      </w:r>
      <w:r w:rsidR="00494199" w:rsidRPr="008C2070">
        <w:rPr>
          <w:rFonts w:ascii="Times New Roman" w:hAnsi="Times New Roman" w:cs="Times New Roman"/>
          <w:sz w:val="24"/>
          <w:szCs w:val="24"/>
        </w:rPr>
        <w:t xml:space="preserve"> definitiva</w:t>
      </w:r>
      <w:r w:rsidR="00B46415" w:rsidRPr="008C2070">
        <w:rPr>
          <w:rFonts w:ascii="Times New Roman" w:hAnsi="Times New Roman" w:cs="Times New Roman"/>
          <w:sz w:val="24"/>
          <w:szCs w:val="24"/>
        </w:rPr>
        <w:t xml:space="preserve"> </w:t>
      </w:r>
      <w:r w:rsidR="00F05FC4" w:rsidRPr="008C2070">
        <w:rPr>
          <w:rFonts w:ascii="Times New Roman" w:hAnsi="Times New Roman" w:cs="Times New Roman"/>
          <w:sz w:val="24"/>
          <w:szCs w:val="24"/>
        </w:rPr>
        <w:t xml:space="preserve">tocan temas sobre su </w:t>
      </w:r>
      <w:r w:rsidR="005C3B5C" w:rsidRPr="008C2070">
        <w:rPr>
          <w:rFonts w:ascii="Times New Roman" w:hAnsi="Times New Roman" w:cs="Times New Roman"/>
          <w:sz w:val="24"/>
          <w:szCs w:val="24"/>
        </w:rPr>
        <w:t>procedencia</w:t>
      </w:r>
      <w:r w:rsidR="00F05FC4" w:rsidRPr="008C2070">
        <w:rPr>
          <w:rFonts w:ascii="Times New Roman" w:hAnsi="Times New Roman" w:cs="Times New Roman"/>
          <w:sz w:val="24"/>
          <w:szCs w:val="24"/>
        </w:rPr>
        <w:t xml:space="preserve"> en materia de </w:t>
      </w:r>
      <w:r w:rsidR="005C3B5C" w:rsidRPr="008C2070">
        <w:rPr>
          <w:rFonts w:ascii="Times New Roman" w:hAnsi="Times New Roman" w:cs="Times New Roman"/>
          <w:sz w:val="24"/>
          <w:szCs w:val="24"/>
        </w:rPr>
        <w:t>etiquetado</w:t>
      </w:r>
      <w:r w:rsidR="00F05FC4" w:rsidRPr="008C2070">
        <w:rPr>
          <w:rFonts w:ascii="Times New Roman" w:hAnsi="Times New Roman" w:cs="Times New Roman"/>
          <w:sz w:val="24"/>
          <w:szCs w:val="24"/>
        </w:rPr>
        <w:t xml:space="preserve"> de alimentos cuando se </w:t>
      </w:r>
      <w:r w:rsidR="005C3B5C" w:rsidRPr="008C2070">
        <w:rPr>
          <w:rFonts w:ascii="Times New Roman" w:hAnsi="Times New Roman" w:cs="Times New Roman"/>
          <w:sz w:val="24"/>
          <w:szCs w:val="24"/>
        </w:rPr>
        <w:t>controvierten los numerales de la NOM-051 en materia de etiquetado frontal</w:t>
      </w:r>
      <w:r w:rsidR="00C36D0D" w:rsidRPr="008C2070">
        <w:rPr>
          <w:rStyle w:val="Refdenotaalpie"/>
          <w:rFonts w:ascii="Times New Roman" w:hAnsi="Times New Roman" w:cs="Times New Roman"/>
          <w:sz w:val="24"/>
          <w:szCs w:val="24"/>
        </w:rPr>
        <w:footnoteReference w:id="62"/>
      </w:r>
      <w:r w:rsidR="00C36D0D" w:rsidRPr="008C2070">
        <w:rPr>
          <w:rFonts w:ascii="Times New Roman" w:hAnsi="Times New Roman" w:cs="Times New Roman"/>
          <w:sz w:val="24"/>
          <w:szCs w:val="24"/>
        </w:rPr>
        <w:t>;</w:t>
      </w:r>
      <w:r w:rsidR="005C3B5C" w:rsidRPr="008C2070">
        <w:rPr>
          <w:rFonts w:ascii="Times New Roman" w:hAnsi="Times New Roman" w:cs="Times New Roman"/>
          <w:sz w:val="24"/>
          <w:szCs w:val="24"/>
        </w:rPr>
        <w:t xml:space="preserve"> </w:t>
      </w:r>
      <w:r w:rsidR="00C36D0D" w:rsidRPr="008C2070">
        <w:rPr>
          <w:rFonts w:ascii="Times New Roman" w:hAnsi="Times New Roman" w:cs="Times New Roman"/>
          <w:sz w:val="24"/>
          <w:szCs w:val="24"/>
        </w:rPr>
        <w:t>y, para que una menor con dis</w:t>
      </w:r>
      <w:r w:rsidR="0094323F" w:rsidRPr="008C2070">
        <w:rPr>
          <w:rFonts w:ascii="Times New Roman" w:hAnsi="Times New Roman" w:cs="Times New Roman"/>
          <w:sz w:val="24"/>
          <w:szCs w:val="24"/>
        </w:rPr>
        <w:t>ca</w:t>
      </w:r>
      <w:r w:rsidR="00C36D0D" w:rsidRPr="008C2070">
        <w:rPr>
          <w:rFonts w:ascii="Times New Roman" w:hAnsi="Times New Roman" w:cs="Times New Roman"/>
          <w:sz w:val="24"/>
          <w:szCs w:val="24"/>
        </w:rPr>
        <w:t>pacidad auditiva pueda ser integrada a un programa social adecuado</w:t>
      </w:r>
      <w:r w:rsidR="0094323F" w:rsidRPr="008C2070">
        <w:rPr>
          <w:rStyle w:val="Refdenotaalpie"/>
          <w:rFonts w:ascii="Times New Roman" w:hAnsi="Times New Roman" w:cs="Times New Roman"/>
          <w:sz w:val="24"/>
          <w:szCs w:val="24"/>
        </w:rPr>
        <w:footnoteReference w:id="63"/>
      </w:r>
      <w:r w:rsidR="00C36D0D" w:rsidRPr="008C2070">
        <w:rPr>
          <w:rFonts w:ascii="Times New Roman" w:hAnsi="Times New Roman" w:cs="Times New Roman"/>
          <w:sz w:val="24"/>
          <w:szCs w:val="24"/>
        </w:rPr>
        <w:t>.</w:t>
      </w:r>
      <w:r w:rsidR="009E7135" w:rsidRPr="008C2070">
        <w:rPr>
          <w:rFonts w:ascii="Times New Roman" w:hAnsi="Times New Roman" w:cs="Times New Roman"/>
          <w:sz w:val="24"/>
          <w:szCs w:val="24"/>
        </w:rPr>
        <w:t xml:space="preserve"> </w:t>
      </w:r>
      <w:r w:rsidR="004549E5" w:rsidRPr="008C2070">
        <w:rPr>
          <w:rFonts w:ascii="Times New Roman" w:hAnsi="Times New Roman" w:cs="Times New Roman"/>
          <w:sz w:val="24"/>
          <w:szCs w:val="24"/>
        </w:rPr>
        <w:t xml:space="preserve">El concepto principal </w:t>
      </w:r>
      <w:r w:rsidR="0066452B" w:rsidRPr="008C2070">
        <w:rPr>
          <w:rFonts w:ascii="Times New Roman" w:hAnsi="Times New Roman" w:cs="Times New Roman"/>
          <w:sz w:val="24"/>
          <w:szCs w:val="24"/>
        </w:rPr>
        <w:t>esgrimido</w:t>
      </w:r>
      <w:r w:rsidR="004549E5" w:rsidRPr="008C2070">
        <w:rPr>
          <w:rFonts w:ascii="Times New Roman" w:hAnsi="Times New Roman" w:cs="Times New Roman"/>
          <w:sz w:val="24"/>
          <w:szCs w:val="24"/>
        </w:rPr>
        <w:t xml:space="preserve"> en la tesis de etiquetado de alimentos es </w:t>
      </w:r>
      <w:r w:rsidR="0066452B" w:rsidRPr="008C2070">
        <w:rPr>
          <w:rFonts w:ascii="Times New Roman" w:hAnsi="Times New Roman" w:cs="Times New Roman"/>
          <w:sz w:val="24"/>
          <w:szCs w:val="24"/>
        </w:rPr>
        <w:t>que</w:t>
      </w:r>
      <w:r w:rsidR="004549E5" w:rsidRPr="008C2070">
        <w:rPr>
          <w:rFonts w:ascii="Times New Roman" w:hAnsi="Times New Roman" w:cs="Times New Roman"/>
          <w:sz w:val="24"/>
          <w:szCs w:val="24"/>
        </w:rPr>
        <w:t xml:space="preserve"> la suspensión provisional no procede, y que se causaría perjuicio al interés </w:t>
      </w:r>
      <w:r w:rsidR="0066452B" w:rsidRPr="008C2070">
        <w:rPr>
          <w:rFonts w:ascii="Times New Roman" w:hAnsi="Times New Roman" w:cs="Times New Roman"/>
          <w:sz w:val="24"/>
          <w:szCs w:val="24"/>
        </w:rPr>
        <w:t>social</w:t>
      </w:r>
      <w:r w:rsidR="004549E5" w:rsidRPr="008C2070">
        <w:rPr>
          <w:rFonts w:ascii="Times New Roman" w:hAnsi="Times New Roman" w:cs="Times New Roman"/>
          <w:sz w:val="24"/>
          <w:szCs w:val="24"/>
        </w:rPr>
        <w:t xml:space="preserve"> y</w:t>
      </w:r>
      <w:r w:rsidR="0066452B" w:rsidRPr="008C2070">
        <w:rPr>
          <w:rFonts w:ascii="Times New Roman" w:hAnsi="Times New Roman" w:cs="Times New Roman"/>
          <w:sz w:val="24"/>
          <w:szCs w:val="24"/>
        </w:rPr>
        <w:t xml:space="preserve"> se contravendrían disposiciones de orden público. </w:t>
      </w:r>
      <w:r w:rsidR="00ED08A9" w:rsidRPr="008C2070">
        <w:rPr>
          <w:rFonts w:ascii="Times New Roman" w:hAnsi="Times New Roman" w:cs="Times New Roman"/>
          <w:sz w:val="24"/>
          <w:szCs w:val="24"/>
        </w:rPr>
        <w:t xml:space="preserve">La última tesis aislada relacionada con la </w:t>
      </w:r>
      <w:r w:rsidR="00494199" w:rsidRPr="008C2070">
        <w:rPr>
          <w:rFonts w:ascii="Times New Roman" w:hAnsi="Times New Roman" w:cs="Times New Roman"/>
          <w:sz w:val="24"/>
          <w:szCs w:val="24"/>
        </w:rPr>
        <w:t>suspensión</w:t>
      </w:r>
      <w:r w:rsidR="00ED08A9" w:rsidRPr="008C2070">
        <w:rPr>
          <w:rFonts w:ascii="Times New Roman" w:hAnsi="Times New Roman" w:cs="Times New Roman"/>
          <w:sz w:val="24"/>
          <w:szCs w:val="24"/>
        </w:rPr>
        <w:t xml:space="preserve"> </w:t>
      </w:r>
      <w:r w:rsidR="00494199" w:rsidRPr="008C2070">
        <w:rPr>
          <w:rFonts w:ascii="Times New Roman" w:hAnsi="Times New Roman" w:cs="Times New Roman"/>
          <w:sz w:val="24"/>
          <w:szCs w:val="24"/>
        </w:rPr>
        <w:t xml:space="preserve">definitiva </w:t>
      </w:r>
      <w:r w:rsidR="005E2966" w:rsidRPr="008C2070">
        <w:rPr>
          <w:rFonts w:ascii="Times New Roman" w:hAnsi="Times New Roman" w:cs="Times New Roman"/>
          <w:sz w:val="24"/>
          <w:szCs w:val="24"/>
        </w:rPr>
        <w:t>manifestó que cuando por vía de amparo indirecto se relame la omisión de otorgar servicios médicos para una enfermedad que pone en peligro la vida, esta debe decretarse de plano.</w:t>
      </w:r>
      <w:r w:rsidR="005E2966" w:rsidRPr="008C2070">
        <w:rPr>
          <w:rStyle w:val="Refdenotaalpie"/>
          <w:rFonts w:ascii="Times New Roman" w:hAnsi="Times New Roman" w:cs="Times New Roman"/>
          <w:sz w:val="24"/>
          <w:szCs w:val="24"/>
        </w:rPr>
        <w:footnoteReference w:id="64"/>
      </w:r>
      <w:r w:rsidR="002051D9" w:rsidRPr="008C2070">
        <w:rPr>
          <w:rFonts w:ascii="Times New Roman" w:hAnsi="Times New Roman" w:cs="Times New Roman"/>
          <w:sz w:val="24"/>
          <w:szCs w:val="24"/>
        </w:rPr>
        <w:t xml:space="preserve"> Esta última tesis aislada es consonante con el criterio de la jurisprudencia donde por el virus de la COVID19 se debe otorgar la suspensión definitiva. </w:t>
      </w:r>
      <w:r w:rsidR="005B2518" w:rsidRPr="008C2070">
        <w:rPr>
          <w:rFonts w:ascii="Times New Roman" w:hAnsi="Times New Roman" w:cs="Times New Roman"/>
          <w:sz w:val="24"/>
          <w:szCs w:val="24"/>
        </w:rPr>
        <w:t>(</w:t>
      </w:r>
      <w:r w:rsidR="005B2518" w:rsidRPr="008C2070">
        <w:rPr>
          <w:rFonts w:ascii="Times New Roman" w:hAnsi="Times New Roman" w:cs="Times New Roman"/>
          <w:b/>
          <w:bCs/>
          <w:i/>
          <w:iCs/>
          <w:sz w:val="24"/>
          <w:szCs w:val="24"/>
        </w:rPr>
        <w:t>Tabla 4. Jurisprudencias y tesis aisladas relacionadas con cuestiones procesales del juicio de amparo y reparación del daño en casos de derecho a la protección de la salud.)</w:t>
      </w:r>
    </w:p>
    <w:p w14:paraId="67F2D514" w14:textId="7CA50845" w:rsidR="00871B8A" w:rsidRPr="008C2070" w:rsidRDefault="00871B8A" w:rsidP="008C2070">
      <w:pPr>
        <w:pStyle w:val="Descripcin"/>
        <w:keepNext/>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lastRenderedPageBreak/>
        <w:t>Tabla 4. Jurisprudencias y tesis aisladas relacionadas con cuestiones procesales del juicio de amparo y reparación del daño en casos de derecho a la protección de la salud</w:t>
      </w:r>
    </w:p>
    <w:tbl>
      <w:tblPr>
        <w:tblStyle w:val="Tablaconcuadrcula"/>
        <w:tblW w:w="0" w:type="auto"/>
        <w:tblLook w:val="04A0" w:firstRow="1" w:lastRow="0" w:firstColumn="1" w:lastColumn="0" w:noHBand="0" w:noVBand="1"/>
      </w:tblPr>
      <w:tblGrid>
        <w:gridCol w:w="1328"/>
        <w:gridCol w:w="1781"/>
        <w:gridCol w:w="1667"/>
        <w:gridCol w:w="1709"/>
        <w:gridCol w:w="1692"/>
        <w:gridCol w:w="1793"/>
        <w:gridCol w:w="1512"/>
        <w:gridCol w:w="1514"/>
      </w:tblGrid>
      <w:tr w:rsidR="000D6B28" w:rsidRPr="008C2070" w14:paraId="3C6921DB" w14:textId="77777777" w:rsidTr="008A27A6">
        <w:tc>
          <w:tcPr>
            <w:tcW w:w="1851" w:type="dxa"/>
          </w:tcPr>
          <w:p w14:paraId="31350121" w14:textId="77777777" w:rsidR="001D78FB" w:rsidRPr="008C2070" w:rsidRDefault="001D78FB" w:rsidP="008C2070">
            <w:pPr>
              <w:spacing w:before="60" w:after="60"/>
              <w:jc w:val="both"/>
              <w:rPr>
                <w:rFonts w:ascii="Times New Roman" w:hAnsi="Times New Roman" w:cs="Times New Roman"/>
                <w:b/>
                <w:bCs/>
                <w:lang w:val="es-ES"/>
              </w:rPr>
            </w:pPr>
          </w:p>
        </w:tc>
        <w:tc>
          <w:tcPr>
            <w:tcW w:w="2471" w:type="dxa"/>
            <w:shd w:val="clear" w:color="auto" w:fill="F2F2F2"/>
          </w:tcPr>
          <w:p w14:paraId="59790FBA" w14:textId="77777777" w:rsidR="001D78FB" w:rsidRPr="008C2070" w:rsidRDefault="001D78FB"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Suspensión definitiva</w:t>
            </w:r>
          </w:p>
        </w:tc>
        <w:tc>
          <w:tcPr>
            <w:tcW w:w="2205" w:type="dxa"/>
            <w:shd w:val="clear" w:color="auto" w:fill="F2F2F2"/>
          </w:tcPr>
          <w:p w14:paraId="145D2A04" w14:textId="77777777" w:rsidR="001D78FB" w:rsidRPr="008C2070" w:rsidRDefault="001D78FB"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Suspensión provisional</w:t>
            </w:r>
          </w:p>
        </w:tc>
        <w:tc>
          <w:tcPr>
            <w:tcW w:w="2221" w:type="dxa"/>
            <w:shd w:val="clear" w:color="auto" w:fill="F2F2F2"/>
          </w:tcPr>
          <w:p w14:paraId="55218DF4" w14:textId="77777777" w:rsidR="001D78FB" w:rsidRPr="008C2070" w:rsidRDefault="001D78FB"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Autoridad responsable</w:t>
            </w:r>
          </w:p>
        </w:tc>
        <w:tc>
          <w:tcPr>
            <w:tcW w:w="2215" w:type="dxa"/>
            <w:shd w:val="clear" w:color="auto" w:fill="F2F2F2"/>
          </w:tcPr>
          <w:p w14:paraId="034FB3D1" w14:textId="77777777" w:rsidR="001D78FB" w:rsidRPr="008C2070" w:rsidRDefault="001D78FB"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Reparación</w:t>
            </w:r>
          </w:p>
        </w:tc>
        <w:tc>
          <w:tcPr>
            <w:tcW w:w="2254" w:type="dxa"/>
            <w:shd w:val="clear" w:color="auto" w:fill="F2F2F2"/>
          </w:tcPr>
          <w:p w14:paraId="23B21B2A" w14:textId="09003B22" w:rsidR="001D78FB" w:rsidRPr="008C2070" w:rsidRDefault="000D6B28"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 xml:space="preserve">Principio de </w:t>
            </w:r>
            <w:r w:rsidR="001D78FB" w:rsidRPr="008C2070">
              <w:rPr>
                <w:rFonts w:ascii="Times New Roman" w:hAnsi="Times New Roman" w:cs="Times New Roman"/>
                <w:b/>
                <w:bCs/>
                <w:lang w:val="es-ES"/>
              </w:rPr>
              <w:t>Definitividad</w:t>
            </w:r>
          </w:p>
        </w:tc>
        <w:tc>
          <w:tcPr>
            <w:tcW w:w="2170" w:type="dxa"/>
            <w:shd w:val="clear" w:color="auto" w:fill="F2F2F2"/>
          </w:tcPr>
          <w:p w14:paraId="02C8E39E" w14:textId="77777777" w:rsidR="001D78FB" w:rsidRPr="008C2070" w:rsidRDefault="001D78FB"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Medio de tutela</w:t>
            </w:r>
          </w:p>
        </w:tc>
        <w:tc>
          <w:tcPr>
            <w:tcW w:w="1929" w:type="dxa"/>
            <w:shd w:val="clear" w:color="auto" w:fill="F2F2F2"/>
          </w:tcPr>
          <w:p w14:paraId="6FD0E835" w14:textId="77777777" w:rsidR="001D78FB" w:rsidRPr="008C2070" w:rsidRDefault="001D78FB"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Acto reclamado</w:t>
            </w:r>
          </w:p>
        </w:tc>
      </w:tr>
      <w:tr w:rsidR="001D78FB" w:rsidRPr="008C2070" w14:paraId="6DFA1758" w14:textId="77777777" w:rsidTr="008A27A6">
        <w:tc>
          <w:tcPr>
            <w:tcW w:w="17316" w:type="dxa"/>
            <w:gridSpan w:val="8"/>
            <w:shd w:val="clear" w:color="auto" w:fill="D1CECE"/>
          </w:tcPr>
          <w:p w14:paraId="2844AEFE" w14:textId="77777777" w:rsidR="001D78FB" w:rsidRPr="008C2070" w:rsidRDefault="001D78FB"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Jurisprudencias</w:t>
            </w:r>
          </w:p>
        </w:tc>
      </w:tr>
      <w:tr w:rsidR="000D6B28" w:rsidRPr="008C2070" w14:paraId="2769D658" w14:textId="77777777" w:rsidTr="008A27A6">
        <w:tc>
          <w:tcPr>
            <w:tcW w:w="1851" w:type="dxa"/>
            <w:shd w:val="clear" w:color="auto" w:fill="D1CECE"/>
          </w:tcPr>
          <w:p w14:paraId="2E5E7957"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b/>
                <w:bCs/>
                <w:lang w:val="es-ES"/>
              </w:rPr>
              <w:t>Antes de 2011 (1995-octubre 2011)</w:t>
            </w:r>
          </w:p>
        </w:tc>
        <w:tc>
          <w:tcPr>
            <w:tcW w:w="2471" w:type="dxa"/>
          </w:tcPr>
          <w:p w14:paraId="7961C782"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p w14:paraId="372FBC50" w14:textId="77777777" w:rsidR="001D78FB" w:rsidRPr="008C2070" w:rsidRDefault="001D78FB" w:rsidP="008C2070">
            <w:pPr>
              <w:spacing w:before="60" w:after="60"/>
              <w:jc w:val="both"/>
              <w:rPr>
                <w:rFonts w:ascii="Times New Roman" w:hAnsi="Times New Roman" w:cs="Times New Roman"/>
                <w:b/>
                <w:bCs/>
                <w:lang w:val="es-ES"/>
              </w:rPr>
            </w:pPr>
          </w:p>
        </w:tc>
        <w:tc>
          <w:tcPr>
            <w:tcW w:w="2205" w:type="dxa"/>
          </w:tcPr>
          <w:p w14:paraId="3D582D18"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NA</w:t>
            </w:r>
          </w:p>
        </w:tc>
        <w:tc>
          <w:tcPr>
            <w:tcW w:w="2221" w:type="dxa"/>
          </w:tcPr>
          <w:p w14:paraId="7AC6B800"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p w14:paraId="348DC060"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 xml:space="preserve"> </w:t>
            </w:r>
          </w:p>
        </w:tc>
        <w:tc>
          <w:tcPr>
            <w:tcW w:w="2215" w:type="dxa"/>
          </w:tcPr>
          <w:p w14:paraId="3D19FDC3"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p w14:paraId="29290858" w14:textId="77777777" w:rsidR="001D78FB" w:rsidRPr="008C2070" w:rsidRDefault="001D78FB" w:rsidP="008C2070">
            <w:pPr>
              <w:spacing w:before="60" w:after="60"/>
              <w:jc w:val="both"/>
              <w:rPr>
                <w:rFonts w:ascii="Times New Roman" w:hAnsi="Times New Roman" w:cs="Times New Roman"/>
                <w:b/>
                <w:bCs/>
                <w:lang w:val="es-ES"/>
              </w:rPr>
            </w:pPr>
          </w:p>
        </w:tc>
        <w:tc>
          <w:tcPr>
            <w:tcW w:w="2254" w:type="dxa"/>
          </w:tcPr>
          <w:p w14:paraId="2631DE07"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p w14:paraId="621F8603" w14:textId="77777777" w:rsidR="001D78FB" w:rsidRPr="008C2070" w:rsidRDefault="001D78FB" w:rsidP="008C2070">
            <w:pPr>
              <w:spacing w:before="60" w:after="60"/>
              <w:jc w:val="both"/>
              <w:rPr>
                <w:rFonts w:ascii="Times New Roman" w:hAnsi="Times New Roman" w:cs="Times New Roman"/>
                <w:lang w:val="es-ES"/>
              </w:rPr>
            </w:pPr>
          </w:p>
        </w:tc>
        <w:tc>
          <w:tcPr>
            <w:tcW w:w="2170" w:type="dxa"/>
          </w:tcPr>
          <w:p w14:paraId="6E650843"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c>
          <w:tcPr>
            <w:tcW w:w="1929" w:type="dxa"/>
          </w:tcPr>
          <w:p w14:paraId="34FAF71D"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p w14:paraId="1AE6E848"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 </w:t>
            </w:r>
          </w:p>
        </w:tc>
      </w:tr>
      <w:tr w:rsidR="000D6B28" w:rsidRPr="008C2070" w14:paraId="25F55176" w14:textId="77777777" w:rsidTr="008A27A6">
        <w:tc>
          <w:tcPr>
            <w:tcW w:w="1851" w:type="dxa"/>
            <w:shd w:val="clear" w:color="auto" w:fill="D1CECE"/>
          </w:tcPr>
          <w:p w14:paraId="2250ACB0"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b/>
                <w:bCs/>
                <w:lang w:val="es-ES"/>
              </w:rPr>
              <w:t>De 2011 a la fecha</w:t>
            </w:r>
          </w:p>
        </w:tc>
        <w:tc>
          <w:tcPr>
            <w:tcW w:w="2471" w:type="dxa"/>
          </w:tcPr>
          <w:p w14:paraId="0BFD90B1"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TCC (7mo circuito)– 1</w:t>
            </w:r>
          </w:p>
          <w:p w14:paraId="19A484FC"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(2022736)</w:t>
            </w:r>
          </w:p>
          <w:p w14:paraId="578E713E" w14:textId="77777777" w:rsidR="001D78FB" w:rsidRPr="008C2070" w:rsidRDefault="001D78FB" w:rsidP="008C2070">
            <w:pPr>
              <w:spacing w:before="60" w:after="60"/>
              <w:jc w:val="both"/>
              <w:rPr>
                <w:rFonts w:ascii="Times New Roman" w:hAnsi="Times New Roman" w:cs="Times New Roman"/>
                <w:lang w:val="es-ES"/>
              </w:rPr>
            </w:pPr>
          </w:p>
          <w:p w14:paraId="0E9B2C1F"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Circuito 17 – 1 (</w:t>
            </w:r>
          </w:p>
          <w:p w14:paraId="71F85782"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2022253)</w:t>
            </w:r>
          </w:p>
        </w:tc>
        <w:tc>
          <w:tcPr>
            <w:tcW w:w="2205" w:type="dxa"/>
          </w:tcPr>
          <w:p w14:paraId="5F42038C"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SCJN – 1</w:t>
            </w:r>
          </w:p>
          <w:p w14:paraId="028EEC4D"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(2022231 – 2ª Sala)</w:t>
            </w:r>
          </w:p>
        </w:tc>
        <w:tc>
          <w:tcPr>
            <w:tcW w:w="2221" w:type="dxa"/>
          </w:tcPr>
          <w:p w14:paraId="400C02AA"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Pleno de circuito (primer circuito) – 2</w:t>
            </w:r>
          </w:p>
          <w:p w14:paraId="27CF128C"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(2023762, 2023761)</w:t>
            </w:r>
          </w:p>
        </w:tc>
        <w:tc>
          <w:tcPr>
            <w:tcW w:w="2215" w:type="dxa"/>
          </w:tcPr>
          <w:p w14:paraId="4E0746B9"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p w14:paraId="0830F416" w14:textId="77777777" w:rsidR="001D78FB" w:rsidRPr="008C2070" w:rsidRDefault="001D78FB" w:rsidP="008C2070">
            <w:pPr>
              <w:spacing w:before="60" w:after="60"/>
              <w:jc w:val="both"/>
              <w:rPr>
                <w:rFonts w:ascii="Times New Roman" w:hAnsi="Times New Roman" w:cs="Times New Roman"/>
                <w:b/>
                <w:bCs/>
                <w:lang w:val="es-ES"/>
              </w:rPr>
            </w:pPr>
          </w:p>
        </w:tc>
        <w:tc>
          <w:tcPr>
            <w:tcW w:w="2254" w:type="dxa"/>
          </w:tcPr>
          <w:p w14:paraId="5910B167"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p w14:paraId="7072AC35" w14:textId="77777777" w:rsidR="001D78FB" w:rsidRPr="008C2070" w:rsidRDefault="001D78FB" w:rsidP="008C2070">
            <w:pPr>
              <w:spacing w:before="60" w:after="60"/>
              <w:jc w:val="both"/>
              <w:rPr>
                <w:rFonts w:ascii="Times New Roman" w:hAnsi="Times New Roman" w:cs="Times New Roman"/>
                <w:lang w:val="es-ES"/>
              </w:rPr>
            </w:pPr>
          </w:p>
        </w:tc>
        <w:tc>
          <w:tcPr>
            <w:tcW w:w="2170" w:type="dxa"/>
          </w:tcPr>
          <w:p w14:paraId="7A456DC1"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c>
          <w:tcPr>
            <w:tcW w:w="1929" w:type="dxa"/>
          </w:tcPr>
          <w:p w14:paraId="549072BC"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p w14:paraId="448E663F"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 </w:t>
            </w:r>
          </w:p>
        </w:tc>
      </w:tr>
      <w:tr w:rsidR="001D78FB" w:rsidRPr="008C2070" w14:paraId="52106985" w14:textId="77777777" w:rsidTr="008A27A6">
        <w:tc>
          <w:tcPr>
            <w:tcW w:w="17316" w:type="dxa"/>
            <w:gridSpan w:val="8"/>
            <w:shd w:val="clear" w:color="auto" w:fill="D1CECE"/>
          </w:tcPr>
          <w:p w14:paraId="4F42D5C9" w14:textId="2E709483" w:rsidR="001D78FB" w:rsidRPr="008C2070" w:rsidRDefault="001D78FB"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Tesis</w:t>
            </w:r>
            <w:r w:rsidR="000D6B28" w:rsidRPr="008C2070">
              <w:rPr>
                <w:rFonts w:ascii="Times New Roman" w:hAnsi="Times New Roman" w:cs="Times New Roman"/>
                <w:b/>
                <w:bCs/>
                <w:lang w:val="es-ES"/>
              </w:rPr>
              <w:t xml:space="preserve"> aisladas</w:t>
            </w:r>
          </w:p>
        </w:tc>
      </w:tr>
      <w:tr w:rsidR="000D6B28" w:rsidRPr="008C2070" w14:paraId="040D57BD" w14:textId="77777777" w:rsidTr="008A27A6">
        <w:tc>
          <w:tcPr>
            <w:tcW w:w="1851" w:type="dxa"/>
            <w:shd w:val="clear" w:color="auto" w:fill="D1CECE"/>
          </w:tcPr>
          <w:p w14:paraId="5AACE390"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b/>
                <w:bCs/>
                <w:lang w:val="es-ES"/>
              </w:rPr>
              <w:t>Antes de 2011 (1995-octubre 2011)</w:t>
            </w:r>
          </w:p>
        </w:tc>
        <w:tc>
          <w:tcPr>
            <w:tcW w:w="2471" w:type="dxa"/>
          </w:tcPr>
          <w:p w14:paraId="35A2F9C2"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NA </w:t>
            </w:r>
          </w:p>
        </w:tc>
        <w:tc>
          <w:tcPr>
            <w:tcW w:w="2205" w:type="dxa"/>
          </w:tcPr>
          <w:p w14:paraId="48545746"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p w14:paraId="66A5036D" w14:textId="77777777" w:rsidR="001D78FB" w:rsidRPr="008C2070" w:rsidRDefault="001D78FB" w:rsidP="008C2070">
            <w:pPr>
              <w:spacing w:before="60" w:after="60"/>
              <w:jc w:val="both"/>
              <w:rPr>
                <w:rFonts w:ascii="Times New Roman" w:hAnsi="Times New Roman" w:cs="Times New Roman"/>
                <w:b/>
                <w:bCs/>
                <w:lang w:val="es-ES"/>
              </w:rPr>
            </w:pPr>
          </w:p>
        </w:tc>
        <w:tc>
          <w:tcPr>
            <w:tcW w:w="2221" w:type="dxa"/>
          </w:tcPr>
          <w:p w14:paraId="6381551F"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p w14:paraId="73AB6F02" w14:textId="77777777" w:rsidR="001D78FB" w:rsidRPr="008C2070" w:rsidRDefault="001D78FB" w:rsidP="008C2070">
            <w:pPr>
              <w:spacing w:before="60" w:after="60"/>
              <w:jc w:val="both"/>
              <w:rPr>
                <w:rFonts w:ascii="Times New Roman" w:hAnsi="Times New Roman" w:cs="Times New Roman"/>
                <w:lang w:val="es-ES"/>
              </w:rPr>
            </w:pPr>
          </w:p>
        </w:tc>
        <w:tc>
          <w:tcPr>
            <w:tcW w:w="2215" w:type="dxa"/>
          </w:tcPr>
          <w:p w14:paraId="12CE9D62"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 xml:space="preserve">NA </w:t>
            </w:r>
          </w:p>
        </w:tc>
        <w:tc>
          <w:tcPr>
            <w:tcW w:w="2254" w:type="dxa"/>
          </w:tcPr>
          <w:p w14:paraId="1B78839B"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NA</w:t>
            </w:r>
          </w:p>
        </w:tc>
        <w:tc>
          <w:tcPr>
            <w:tcW w:w="2170" w:type="dxa"/>
          </w:tcPr>
          <w:p w14:paraId="795DA453"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SCJN Pleno – 1 (161330)</w:t>
            </w:r>
          </w:p>
        </w:tc>
        <w:tc>
          <w:tcPr>
            <w:tcW w:w="1929" w:type="dxa"/>
          </w:tcPr>
          <w:p w14:paraId="18760E3F"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r>
      <w:tr w:rsidR="000D6B28" w:rsidRPr="008C2070" w14:paraId="1CF1B178" w14:textId="77777777" w:rsidTr="008A27A6">
        <w:tc>
          <w:tcPr>
            <w:tcW w:w="1851" w:type="dxa"/>
            <w:shd w:val="clear" w:color="auto" w:fill="D1CECE"/>
          </w:tcPr>
          <w:p w14:paraId="0EEBA0C4"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b/>
                <w:bCs/>
                <w:lang w:val="es-ES"/>
              </w:rPr>
              <w:t>De 2011 a la fecha</w:t>
            </w:r>
          </w:p>
        </w:tc>
        <w:tc>
          <w:tcPr>
            <w:tcW w:w="2471" w:type="dxa"/>
          </w:tcPr>
          <w:p w14:paraId="00832E0A"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Circuito 1 – 3 (2023965, 2023093, 2020283)</w:t>
            </w:r>
          </w:p>
          <w:p w14:paraId="4389D6E7" w14:textId="77777777" w:rsidR="001D78FB" w:rsidRPr="008C2070" w:rsidRDefault="001D78FB" w:rsidP="008C2070">
            <w:pPr>
              <w:spacing w:before="60" w:after="60"/>
              <w:jc w:val="both"/>
              <w:rPr>
                <w:rFonts w:ascii="Times New Roman" w:hAnsi="Times New Roman" w:cs="Times New Roman"/>
                <w:lang w:val="es-ES"/>
              </w:rPr>
            </w:pPr>
          </w:p>
        </w:tc>
        <w:tc>
          <w:tcPr>
            <w:tcW w:w="2205" w:type="dxa"/>
          </w:tcPr>
          <w:p w14:paraId="1A062846"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Circuito 17 – 2</w:t>
            </w:r>
          </w:p>
          <w:p w14:paraId="7943C7E3"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(2023921, 2023829)</w:t>
            </w:r>
          </w:p>
        </w:tc>
        <w:tc>
          <w:tcPr>
            <w:tcW w:w="2221" w:type="dxa"/>
          </w:tcPr>
          <w:p w14:paraId="38585417"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NA</w:t>
            </w:r>
          </w:p>
        </w:tc>
        <w:tc>
          <w:tcPr>
            <w:tcW w:w="2215" w:type="dxa"/>
          </w:tcPr>
          <w:p w14:paraId="2F9EBD50"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SCJN – 1 </w:t>
            </w:r>
          </w:p>
          <w:p w14:paraId="77D1806C"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(2001745 – 1ª Sala, 2010420 – 1ª Sala))</w:t>
            </w:r>
          </w:p>
          <w:p w14:paraId="3B38B1AF" w14:textId="77777777" w:rsidR="001D78FB" w:rsidRPr="008C2070" w:rsidRDefault="001D78FB" w:rsidP="008C2070">
            <w:pPr>
              <w:spacing w:before="60" w:after="60"/>
              <w:jc w:val="both"/>
              <w:rPr>
                <w:rFonts w:ascii="Times New Roman" w:hAnsi="Times New Roman" w:cs="Times New Roman"/>
                <w:lang w:val="es-ES"/>
              </w:rPr>
            </w:pPr>
          </w:p>
          <w:p w14:paraId="0905698F" w14:textId="77777777" w:rsidR="001D78FB" w:rsidRPr="008C2070" w:rsidRDefault="001D78FB" w:rsidP="008C2070">
            <w:pPr>
              <w:spacing w:before="60" w:after="60"/>
              <w:jc w:val="both"/>
              <w:rPr>
                <w:rFonts w:ascii="Times New Roman" w:hAnsi="Times New Roman" w:cs="Times New Roman"/>
                <w:b/>
                <w:bCs/>
                <w:lang w:val="es-ES"/>
              </w:rPr>
            </w:pPr>
          </w:p>
        </w:tc>
        <w:tc>
          <w:tcPr>
            <w:tcW w:w="2254" w:type="dxa"/>
          </w:tcPr>
          <w:p w14:paraId="2FAF4467"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Circuito 1 – 1 (2017338)</w:t>
            </w:r>
          </w:p>
        </w:tc>
        <w:tc>
          <w:tcPr>
            <w:tcW w:w="2170" w:type="dxa"/>
          </w:tcPr>
          <w:p w14:paraId="71DFF8C2" w14:textId="77777777" w:rsidR="001D78FB" w:rsidRPr="008C2070" w:rsidRDefault="001D78FB" w:rsidP="008C2070">
            <w:pPr>
              <w:spacing w:before="60" w:after="60"/>
              <w:jc w:val="both"/>
              <w:rPr>
                <w:rFonts w:ascii="Times New Roman" w:hAnsi="Times New Roman" w:cs="Times New Roman"/>
                <w:b/>
                <w:bCs/>
                <w:lang w:val="es-ES"/>
              </w:rPr>
            </w:pPr>
            <w:r w:rsidRPr="008C2070">
              <w:rPr>
                <w:rFonts w:ascii="Times New Roman" w:hAnsi="Times New Roman" w:cs="Times New Roman"/>
                <w:lang w:val="es-ES"/>
              </w:rPr>
              <w:t>NA</w:t>
            </w:r>
          </w:p>
        </w:tc>
        <w:tc>
          <w:tcPr>
            <w:tcW w:w="1929" w:type="dxa"/>
          </w:tcPr>
          <w:p w14:paraId="38572669" w14:textId="77777777" w:rsidR="001D78FB" w:rsidRPr="008C2070" w:rsidRDefault="001D78FB"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Circuito 1 – 1 (2015427)</w:t>
            </w:r>
          </w:p>
          <w:p w14:paraId="02694E69" w14:textId="77777777" w:rsidR="001D78FB" w:rsidRPr="008C2070" w:rsidRDefault="001D78FB" w:rsidP="008C2070">
            <w:pPr>
              <w:spacing w:before="60" w:after="60"/>
              <w:jc w:val="both"/>
              <w:rPr>
                <w:rFonts w:ascii="Times New Roman" w:hAnsi="Times New Roman" w:cs="Times New Roman"/>
                <w:lang w:val="es-ES"/>
              </w:rPr>
            </w:pPr>
          </w:p>
        </w:tc>
      </w:tr>
    </w:tbl>
    <w:p w14:paraId="69247536" w14:textId="0B0B5187" w:rsidR="00871B8A" w:rsidRPr="008C2070" w:rsidRDefault="00871B8A" w:rsidP="008C2070">
      <w:pPr>
        <w:tabs>
          <w:tab w:val="left" w:pos="3783"/>
        </w:tabs>
        <w:spacing w:beforeLines="120" w:before="288" w:afterLines="120" w:after="288" w:line="276" w:lineRule="auto"/>
        <w:jc w:val="both"/>
        <w:rPr>
          <w:rFonts w:ascii="Times New Roman" w:hAnsi="Times New Roman" w:cs="Times New Roman"/>
          <w:sz w:val="24"/>
          <w:szCs w:val="24"/>
        </w:rPr>
        <w:sectPr w:rsidR="00871B8A" w:rsidRPr="008C2070" w:rsidSect="00871B8A">
          <w:pgSz w:w="15840" w:h="12240" w:orient="landscape"/>
          <w:pgMar w:top="1701" w:right="1417" w:bottom="1701" w:left="1417" w:header="708" w:footer="708" w:gutter="0"/>
          <w:cols w:space="708"/>
          <w:docGrid w:linePitch="360"/>
        </w:sectPr>
      </w:pPr>
    </w:p>
    <w:p w14:paraId="15763709" w14:textId="6E9C8A19" w:rsidR="006133AB" w:rsidRPr="008C2070" w:rsidRDefault="009E7135"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lastRenderedPageBreak/>
        <w:t>Por su parte,</w:t>
      </w:r>
      <w:r w:rsidR="0066452B" w:rsidRPr="008C2070">
        <w:rPr>
          <w:rFonts w:ascii="Times New Roman" w:hAnsi="Times New Roman" w:cs="Times New Roman"/>
          <w:sz w:val="24"/>
          <w:szCs w:val="24"/>
        </w:rPr>
        <w:t xml:space="preserve"> en lo</w:t>
      </w:r>
      <w:r w:rsidRPr="008C2070">
        <w:rPr>
          <w:rFonts w:ascii="Times New Roman" w:hAnsi="Times New Roman" w:cs="Times New Roman"/>
          <w:sz w:val="24"/>
          <w:szCs w:val="24"/>
        </w:rPr>
        <w:t xml:space="preserve"> relacionado con la </w:t>
      </w:r>
      <w:r w:rsidR="00511650" w:rsidRPr="008C2070">
        <w:rPr>
          <w:rFonts w:ascii="Times New Roman" w:hAnsi="Times New Roman" w:cs="Times New Roman"/>
          <w:sz w:val="24"/>
          <w:szCs w:val="24"/>
        </w:rPr>
        <w:t>suspensión</w:t>
      </w:r>
      <w:r w:rsidRPr="008C2070">
        <w:rPr>
          <w:rFonts w:ascii="Times New Roman" w:hAnsi="Times New Roman" w:cs="Times New Roman"/>
          <w:sz w:val="24"/>
          <w:szCs w:val="24"/>
        </w:rPr>
        <w:t xml:space="preserve"> provisional</w:t>
      </w:r>
      <w:r w:rsidR="0066452B" w:rsidRPr="008C2070">
        <w:rPr>
          <w:rFonts w:ascii="Times New Roman" w:hAnsi="Times New Roman" w:cs="Times New Roman"/>
          <w:sz w:val="24"/>
          <w:szCs w:val="24"/>
        </w:rPr>
        <w:t>, en las jurisprudencias</w:t>
      </w:r>
      <w:r w:rsidRPr="008C2070">
        <w:rPr>
          <w:rFonts w:ascii="Times New Roman" w:hAnsi="Times New Roman" w:cs="Times New Roman"/>
          <w:sz w:val="24"/>
          <w:szCs w:val="24"/>
        </w:rPr>
        <w:t xml:space="preserve"> se </w:t>
      </w:r>
      <w:r w:rsidR="0066452B" w:rsidRPr="008C2070">
        <w:rPr>
          <w:rFonts w:ascii="Times New Roman" w:hAnsi="Times New Roman" w:cs="Times New Roman"/>
          <w:sz w:val="24"/>
          <w:szCs w:val="24"/>
        </w:rPr>
        <w:t>asentó</w:t>
      </w:r>
      <w:r w:rsidRPr="008C2070">
        <w:rPr>
          <w:rFonts w:ascii="Times New Roman" w:hAnsi="Times New Roman" w:cs="Times New Roman"/>
          <w:sz w:val="24"/>
          <w:szCs w:val="24"/>
        </w:rPr>
        <w:t xml:space="preserve"> que procede </w:t>
      </w:r>
      <w:r w:rsidR="00511650" w:rsidRPr="008C2070">
        <w:rPr>
          <w:rFonts w:ascii="Times New Roman" w:hAnsi="Times New Roman" w:cs="Times New Roman"/>
          <w:sz w:val="24"/>
          <w:szCs w:val="24"/>
        </w:rPr>
        <w:t>otorgarla</w:t>
      </w:r>
      <w:r w:rsidRPr="008C2070">
        <w:rPr>
          <w:rFonts w:ascii="Times New Roman" w:hAnsi="Times New Roman" w:cs="Times New Roman"/>
          <w:sz w:val="24"/>
          <w:szCs w:val="24"/>
        </w:rPr>
        <w:t xml:space="preserve"> cuando </w:t>
      </w:r>
      <w:r w:rsidR="00FB4B23" w:rsidRPr="008C2070">
        <w:rPr>
          <w:rFonts w:ascii="Times New Roman" w:hAnsi="Times New Roman" w:cs="Times New Roman"/>
          <w:sz w:val="24"/>
          <w:szCs w:val="24"/>
        </w:rPr>
        <w:t xml:space="preserve">las personas quejosas soliciten la provisión de medicamentos. En tales casos </w:t>
      </w:r>
      <w:r w:rsidR="00104199" w:rsidRPr="008C2070">
        <w:rPr>
          <w:rFonts w:ascii="Times New Roman" w:hAnsi="Times New Roman" w:cs="Times New Roman"/>
          <w:sz w:val="24"/>
          <w:szCs w:val="24"/>
        </w:rPr>
        <w:t>la suspensión provisional</w:t>
      </w:r>
      <w:r w:rsidR="00FB4B23" w:rsidRPr="008C2070">
        <w:rPr>
          <w:rFonts w:ascii="Times New Roman" w:hAnsi="Times New Roman" w:cs="Times New Roman"/>
          <w:sz w:val="24"/>
          <w:szCs w:val="24"/>
        </w:rPr>
        <w:t xml:space="preserve"> funciona para que se verifique </w:t>
      </w:r>
      <w:r w:rsidR="007579A8" w:rsidRPr="008C2070">
        <w:rPr>
          <w:rFonts w:ascii="Times New Roman" w:hAnsi="Times New Roman" w:cs="Times New Roman"/>
          <w:sz w:val="24"/>
          <w:szCs w:val="24"/>
        </w:rPr>
        <w:t xml:space="preserve">con los médicos de la </w:t>
      </w:r>
      <w:r w:rsidR="00511650" w:rsidRPr="008C2070">
        <w:rPr>
          <w:rFonts w:ascii="Times New Roman" w:hAnsi="Times New Roman" w:cs="Times New Roman"/>
          <w:sz w:val="24"/>
          <w:szCs w:val="24"/>
        </w:rPr>
        <w:t>institución</w:t>
      </w:r>
      <w:r w:rsidR="007579A8" w:rsidRPr="008C2070">
        <w:rPr>
          <w:rFonts w:ascii="Times New Roman" w:hAnsi="Times New Roman" w:cs="Times New Roman"/>
          <w:sz w:val="24"/>
          <w:szCs w:val="24"/>
        </w:rPr>
        <w:t xml:space="preserve"> si el </w:t>
      </w:r>
      <w:r w:rsidR="00511650" w:rsidRPr="008C2070">
        <w:rPr>
          <w:rFonts w:ascii="Times New Roman" w:hAnsi="Times New Roman" w:cs="Times New Roman"/>
          <w:sz w:val="24"/>
          <w:szCs w:val="24"/>
        </w:rPr>
        <w:t>medicamento</w:t>
      </w:r>
      <w:r w:rsidR="007579A8" w:rsidRPr="008C2070">
        <w:rPr>
          <w:rFonts w:ascii="Times New Roman" w:hAnsi="Times New Roman" w:cs="Times New Roman"/>
          <w:sz w:val="24"/>
          <w:szCs w:val="24"/>
        </w:rPr>
        <w:t xml:space="preserve"> solicitado es de mayor eficacia </w:t>
      </w:r>
      <w:r w:rsidR="00511650" w:rsidRPr="008C2070">
        <w:rPr>
          <w:rFonts w:ascii="Times New Roman" w:hAnsi="Times New Roman" w:cs="Times New Roman"/>
          <w:sz w:val="24"/>
          <w:szCs w:val="24"/>
        </w:rPr>
        <w:t>terapéutica</w:t>
      </w:r>
      <w:r w:rsidR="007579A8" w:rsidRPr="008C2070">
        <w:rPr>
          <w:rFonts w:ascii="Times New Roman" w:hAnsi="Times New Roman" w:cs="Times New Roman"/>
          <w:sz w:val="24"/>
          <w:szCs w:val="24"/>
        </w:rPr>
        <w:t xml:space="preserve">, seguridad y </w:t>
      </w:r>
      <w:r w:rsidR="00511650" w:rsidRPr="008C2070">
        <w:rPr>
          <w:rFonts w:ascii="Times New Roman" w:hAnsi="Times New Roman" w:cs="Times New Roman"/>
          <w:sz w:val="24"/>
          <w:szCs w:val="24"/>
        </w:rPr>
        <w:t xml:space="preserve">eficiencia </w:t>
      </w:r>
      <w:r w:rsidR="00DD3B7F" w:rsidRPr="008C2070">
        <w:rPr>
          <w:rFonts w:ascii="Times New Roman" w:hAnsi="Times New Roman" w:cs="Times New Roman"/>
          <w:sz w:val="24"/>
          <w:szCs w:val="24"/>
        </w:rPr>
        <w:t>que otros sí incluidos en los catálogos o compendios.</w:t>
      </w:r>
      <w:r w:rsidR="00DD3B7F" w:rsidRPr="008C2070">
        <w:rPr>
          <w:rStyle w:val="Refdenotaalpie"/>
          <w:rFonts w:ascii="Times New Roman" w:hAnsi="Times New Roman" w:cs="Times New Roman"/>
          <w:sz w:val="24"/>
          <w:szCs w:val="24"/>
        </w:rPr>
        <w:footnoteReference w:id="65"/>
      </w:r>
      <w:r w:rsidR="00104199" w:rsidRPr="008C2070">
        <w:rPr>
          <w:rFonts w:ascii="Times New Roman" w:hAnsi="Times New Roman" w:cs="Times New Roman"/>
          <w:sz w:val="24"/>
          <w:szCs w:val="24"/>
        </w:rPr>
        <w:t xml:space="preserve"> </w:t>
      </w:r>
      <w:r w:rsidR="00067F26" w:rsidRPr="008C2070">
        <w:rPr>
          <w:rFonts w:ascii="Times New Roman" w:hAnsi="Times New Roman" w:cs="Times New Roman"/>
          <w:sz w:val="24"/>
          <w:szCs w:val="24"/>
        </w:rPr>
        <w:t xml:space="preserve">Las tesis aisladas relacionadas con la </w:t>
      </w:r>
      <w:r w:rsidR="00040FD4" w:rsidRPr="008C2070">
        <w:rPr>
          <w:rFonts w:ascii="Times New Roman" w:hAnsi="Times New Roman" w:cs="Times New Roman"/>
          <w:sz w:val="24"/>
          <w:szCs w:val="24"/>
        </w:rPr>
        <w:t>suspensión</w:t>
      </w:r>
      <w:r w:rsidR="00067F26" w:rsidRPr="008C2070">
        <w:rPr>
          <w:rFonts w:ascii="Times New Roman" w:hAnsi="Times New Roman" w:cs="Times New Roman"/>
          <w:sz w:val="24"/>
          <w:szCs w:val="24"/>
        </w:rPr>
        <w:t xml:space="preserve"> provisional versaron solamente por vacunación contra COVID-19 y en ellas se asentó que procede la suspensión </w:t>
      </w:r>
      <w:r w:rsidR="00040FD4" w:rsidRPr="008C2070">
        <w:rPr>
          <w:rFonts w:ascii="Times New Roman" w:hAnsi="Times New Roman" w:cs="Times New Roman"/>
          <w:sz w:val="24"/>
          <w:szCs w:val="24"/>
        </w:rPr>
        <w:t>provisional</w:t>
      </w:r>
      <w:r w:rsidR="00067F26" w:rsidRPr="008C2070">
        <w:rPr>
          <w:rFonts w:ascii="Times New Roman" w:hAnsi="Times New Roman" w:cs="Times New Roman"/>
          <w:sz w:val="24"/>
          <w:szCs w:val="24"/>
        </w:rPr>
        <w:t xml:space="preserve"> a menores de 12 a 17 años </w:t>
      </w:r>
      <w:r w:rsidR="00431A15" w:rsidRPr="008C2070">
        <w:rPr>
          <w:rFonts w:ascii="Times New Roman" w:hAnsi="Times New Roman" w:cs="Times New Roman"/>
          <w:sz w:val="24"/>
          <w:szCs w:val="24"/>
        </w:rPr>
        <w:t>.</w:t>
      </w:r>
      <w:r w:rsidR="00431A15" w:rsidRPr="008C2070">
        <w:rPr>
          <w:rStyle w:val="Refdenotaalpie"/>
          <w:rFonts w:ascii="Times New Roman" w:hAnsi="Times New Roman" w:cs="Times New Roman"/>
          <w:sz w:val="24"/>
          <w:szCs w:val="24"/>
        </w:rPr>
        <w:footnoteReference w:id="66"/>
      </w:r>
    </w:p>
    <w:p w14:paraId="6FCD7D87" w14:textId="7856D115" w:rsidR="00471FB3" w:rsidRPr="008C2070" w:rsidRDefault="005315DF"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 xml:space="preserve">La jurisprudencia relacionada con la autoridad responsable para el segundo periodo también </w:t>
      </w:r>
      <w:r w:rsidR="003164EC" w:rsidRPr="008C2070">
        <w:rPr>
          <w:rFonts w:ascii="Times New Roman" w:hAnsi="Times New Roman" w:cs="Times New Roman"/>
          <w:sz w:val="24"/>
          <w:szCs w:val="24"/>
        </w:rPr>
        <w:t xml:space="preserve">concierne a temas de la COVID-19. Esta jurisprudencia dice </w:t>
      </w:r>
      <w:r w:rsidR="0095676D" w:rsidRPr="008C2070">
        <w:rPr>
          <w:rFonts w:ascii="Times New Roman" w:hAnsi="Times New Roman" w:cs="Times New Roman"/>
          <w:sz w:val="24"/>
          <w:szCs w:val="24"/>
        </w:rPr>
        <w:t xml:space="preserve">que las entidades patronales son autoridad </w:t>
      </w:r>
      <w:r w:rsidR="00227EB3" w:rsidRPr="008C2070">
        <w:rPr>
          <w:rFonts w:ascii="Times New Roman" w:hAnsi="Times New Roman" w:cs="Times New Roman"/>
          <w:sz w:val="24"/>
          <w:szCs w:val="24"/>
        </w:rPr>
        <w:t>responsable</w:t>
      </w:r>
      <w:r w:rsidR="0095676D" w:rsidRPr="008C2070">
        <w:rPr>
          <w:rFonts w:ascii="Times New Roman" w:hAnsi="Times New Roman" w:cs="Times New Roman"/>
          <w:sz w:val="24"/>
          <w:szCs w:val="24"/>
        </w:rPr>
        <w:t xml:space="preserve"> cuando </w:t>
      </w:r>
      <w:r w:rsidR="00227EB3" w:rsidRPr="008C2070">
        <w:rPr>
          <w:rFonts w:ascii="Times New Roman" w:hAnsi="Times New Roman" w:cs="Times New Roman"/>
          <w:sz w:val="24"/>
          <w:szCs w:val="24"/>
        </w:rPr>
        <w:t>no atienden las recomendaciones para que sus personas empleadas en situación de vulnerabilidad se ausenten físicamente de sus laborales durante la pandemia.</w:t>
      </w:r>
      <w:r w:rsidR="00227EB3" w:rsidRPr="008C2070">
        <w:rPr>
          <w:rStyle w:val="Refdenotaalpie"/>
          <w:rFonts w:ascii="Times New Roman" w:hAnsi="Times New Roman" w:cs="Times New Roman"/>
          <w:sz w:val="24"/>
          <w:szCs w:val="24"/>
        </w:rPr>
        <w:footnoteReference w:id="67"/>
      </w:r>
      <w:r w:rsidR="00471FB3" w:rsidRPr="008C2070">
        <w:rPr>
          <w:rFonts w:ascii="Times New Roman" w:hAnsi="Times New Roman" w:cs="Times New Roman"/>
          <w:sz w:val="24"/>
          <w:szCs w:val="24"/>
        </w:rPr>
        <w:t xml:space="preserve"> </w:t>
      </w:r>
      <w:r w:rsidR="009E61CF" w:rsidRPr="008C2070">
        <w:rPr>
          <w:rFonts w:ascii="Times New Roman" w:hAnsi="Times New Roman" w:cs="Times New Roman"/>
          <w:sz w:val="24"/>
          <w:szCs w:val="24"/>
        </w:rPr>
        <w:t xml:space="preserve">No se encontraron tesis aisladas que trataran el tema de la autoridad responsable para el juicio de amparo. </w:t>
      </w:r>
    </w:p>
    <w:p w14:paraId="00DFA230" w14:textId="2BC85AA9" w:rsidR="00821502" w:rsidRPr="008C2070" w:rsidRDefault="000D477F"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 xml:space="preserve">Las tesis aisladas del segundo periodo a diferencia de la jurisprudencia tratan temáticas referentes a la </w:t>
      </w:r>
      <w:r w:rsidR="0043557B" w:rsidRPr="008C2070">
        <w:rPr>
          <w:rFonts w:ascii="Times New Roman" w:hAnsi="Times New Roman" w:cs="Times New Roman"/>
          <w:sz w:val="24"/>
          <w:szCs w:val="24"/>
        </w:rPr>
        <w:t>reparación,</w:t>
      </w:r>
      <w:r w:rsidRPr="008C2070">
        <w:rPr>
          <w:rFonts w:ascii="Times New Roman" w:hAnsi="Times New Roman" w:cs="Times New Roman"/>
          <w:sz w:val="24"/>
          <w:szCs w:val="24"/>
        </w:rPr>
        <w:t xml:space="preserve"> al </w:t>
      </w:r>
      <w:r w:rsidR="009262C8" w:rsidRPr="008C2070">
        <w:rPr>
          <w:rFonts w:ascii="Times New Roman" w:hAnsi="Times New Roman" w:cs="Times New Roman"/>
          <w:sz w:val="24"/>
          <w:szCs w:val="24"/>
        </w:rPr>
        <w:t>principio</w:t>
      </w:r>
      <w:r w:rsidRPr="008C2070">
        <w:rPr>
          <w:rFonts w:ascii="Times New Roman" w:hAnsi="Times New Roman" w:cs="Times New Roman"/>
          <w:sz w:val="24"/>
          <w:szCs w:val="24"/>
        </w:rPr>
        <w:t xml:space="preserve"> de </w:t>
      </w:r>
      <w:r w:rsidR="009262C8" w:rsidRPr="008C2070">
        <w:rPr>
          <w:rFonts w:ascii="Times New Roman" w:hAnsi="Times New Roman" w:cs="Times New Roman"/>
          <w:sz w:val="24"/>
          <w:szCs w:val="24"/>
        </w:rPr>
        <w:t>definitividad</w:t>
      </w:r>
      <w:r w:rsidRPr="008C2070">
        <w:rPr>
          <w:rFonts w:ascii="Times New Roman" w:hAnsi="Times New Roman" w:cs="Times New Roman"/>
          <w:sz w:val="24"/>
          <w:szCs w:val="24"/>
        </w:rPr>
        <w:t xml:space="preserve">, </w:t>
      </w:r>
      <w:r w:rsidR="009262C8" w:rsidRPr="008C2070">
        <w:rPr>
          <w:rFonts w:ascii="Times New Roman" w:hAnsi="Times New Roman" w:cs="Times New Roman"/>
          <w:sz w:val="24"/>
          <w:szCs w:val="24"/>
        </w:rPr>
        <w:t xml:space="preserve">y al acto reclamado. </w:t>
      </w:r>
      <w:r w:rsidR="00BD06E2" w:rsidRPr="008C2070">
        <w:rPr>
          <w:rFonts w:ascii="Times New Roman" w:hAnsi="Times New Roman" w:cs="Times New Roman"/>
          <w:sz w:val="24"/>
          <w:szCs w:val="24"/>
        </w:rPr>
        <w:t>En</w:t>
      </w:r>
      <w:r w:rsidR="00E37FF9" w:rsidRPr="008C2070">
        <w:rPr>
          <w:rFonts w:ascii="Times New Roman" w:hAnsi="Times New Roman" w:cs="Times New Roman"/>
          <w:sz w:val="24"/>
          <w:szCs w:val="24"/>
        </w:rPr>
        <w:t xml:space="preserve"> </w:t>
      </w:r>
      <w:r w:rsidR="00BD06E2" w:rsidRPr="008C2070">
        <w:rPr>
          <w:rFonts w:ascii="Times New Roman" w:hAnsi="Times New Roman" w:cs="Times New Roman"/>
          <w:sz w:val="24"/>
          <w:szCs w:val="24"/>
        </w:rPr>
        <w:t xml:space="preserve">lo tocante a la reparación </w:t>
      </w:r>
      <w:r w:rsidR="00A04560" w:rsidRPr="008C2070">
        <w:rPr>
          <w:rFonts w:ascii="Times New Roman" w:hAnsi="Times New Roman" w:cs="Times New Roman"/>
          <w:sz w:val="24"/>
          <w:szCs w:val="24"/>
        </w:rPr>
        <w:t xml:space="preserve">por daños </w:t>
      </w:r>
      <w:r w:rsidR="00BD06E2" w:rsidRPr="008C2070">
        <w:rPr>
          <w:rFonts w:ascii="Times New Roman" w:hAnsi="Times New Roman" w:cs="Times New Roman"/>
          <w:sz w:val="24"/>
          <w:szCs w:val="24"/>
        </w:rPr>
        <w:t>se dice que la compensación por accidente debe ser justa</w:t>
      </w:r>
      <w:r w:rsidR="00BF2E60" w:rsidRPr="008C2070">
        <w:rPr>
          <w:rFonts w:ascii="Times New Roman" w:hAnsi="Times New Roman" w:cs="Times New Roman"/>
          <w:sz w:val="24"/>
          <w:szCs w:val="24"/>
        </w:rPr>
        <w:t xml:space="preserve"> y proporcional al daño que se cause al derecho a la salud de</w:t>
      </w:r>
      <w:r w:rsidR="00D747B5" w:rsidRPr="008C2070">
        <w:rPr>
          <w:rFonts w:ascii="Times New Roman" w:hAnsi="Times New Roman" w:cs="Times New Roman"/>
          <w:sz w:val="24"/>
          <w:szCs w:val="24"/>
        </w:rPr>
        <w:t xml:space="preserve"> </w:t>
      </w:r>
      <w:r w:rsidR="00BF2E60" w:rsidRPr="008C2070">
        <w:rPr>
          <w:rFonts w:ascii="Times New Roman" w:hAnsi="Times New Roman" w:cs="Times New Roman"/>
          <w:sz w:val="24"/>
          <w:szCs w:val="24"/>
        </w:rPr>
        <w:t xml:space="preserve">la persona, ya que este es presupuesto para el goce de otros derechos. </w:t>
      </w:r>
      <w:r w:rsidR="00BF2E60" w:rsidRPr="008C2070">
        <w:rPr>
          <w:rStyle w:val="Refdenotaalpie"/>
          <w:rFonts w:ascii="Times New Roman" w:hAnsi="Times New Roman" w:cs="Times New Roman"/>
          <w:sz w:val="24"/>
          <w:szCs w:val="24"/>
        </w:rPr>
        <w:footnoteReference w:id="68"/>
      </w:r>
      <w:r w:rsidR="00705C93" w:rsidRPr="008C2070">
        <w:rPr>
          <w:rFonts w:ascii="Times New Roman" w:hAnsi="Times New Roman" w:cs="Times New Roman"/>
          <w:sz w:val="24"/>
          <w:szCs w:val="24"/>
        </w:rPr>
        <w:t xml:space="preserve">En este mismo tema </w:t>
      </w:r>
      <w:r w:rsidR="00DA0E6E" w:rsidRPr="008C2070">
        <w:rPr>
          <w:rFonts w:ascii="Times New Roman" w:hAnsi="Times New Roman" w:cs="Times New Roman"/>
          <w:sz w:val="24"/>
          <w:szCs w:val="24"/>
        </w:rPr>
        <w:t xml:space="preserve">se mencionó que la reparación integral en violaciones al derecho a la salud no debe generar una ganancia para la </w:t>
      </w:r>
      <w:r w:rsidR="00A914CE" w:rsidRPr="008C2070">
        <w:rPr>
          <w:rFonts w:ascii="Times New Roman" w:hAnsi="Times New Roman" w:cs="Times New Roman"/>
          <w:sz w:val="24"/>
          <w:szCs w:val="24"/>
        </w:rPr>
        <w:t>víctima,</w:t>
      </w:r>
      <w:r w:rsidR="00DA0E6E" w:rsidRPr="008C2070">
        <w:rPr>
          <w:rFonts w:ascii="Times New Roman" w:hAnsi="Times New Roman" w:cs="Times New Roman"/>
          <w:sz w:val="24"/>
          <w:szCs w:val="24"/>
        </w:rPr>
        <w:t xml:space="preserve"> sino otorgarle un resarcimiento adecuado.</w:t>
      </w:r>
      <w:r w:rsidR="00DA0E6E" w:rsidRPr="008C2070">
        <w:rPr>
          <w:rStyle w:val="Refdenotaalpie"/>
          <w:rFonts w:ascii="Times New Roman" w:hAnsi="Times New Roman" w:cs="Times New Roman"/>
          <w:sz w:val="24"/>
          <w:szCs w:val="24"/>
        </w:rPr>
        <w:footnoteReference w:id="69"/>
      </w:r>
      <w:r w:rsidR="00D747B5" w:rsidRPr="008C2070">
        <w:rPr>
          <w:rFonts w:ascii="Times New Roman" w:hAnsi="Times New Roman" w:cs="Times New Roman"/>
          <w:sz w:val="24"/>
          <w:szCs w:val="24"/>
        </w:rPr>
        <w:t xml:space="preserve"> </w:t>
      </w:r>
      <w:r w:rsidR="005C2F54" w:rsidRPr="008C2070">
        <w:rPr>
          <w:rFonts w:ascii="Times New Roman" w:hAnsi="Times New Roman" w:cs="Times New Roman"/>
          <w:sz w:val="24"/>
          <w:szCs w:val="24"/>
        </w:rPr>
        <w:t xml:space="preserve">Sobre el acto reclamado </w:t>
      </w:r>
      <w:r w:rsidR="00A914CE" w:rsidRPr="008C2070">
        <w:rPr>
          <w:rFonts w:ascii="Times New Roman" w:hAnsi="Times New Roman" w:cs="Times New Roman"/>
          <w:sz w:val="24"/>
          <w:szCs w:val="24"/>
        </w:rPr>
        <w:t>s</w:t>
      </w:r>
      <w:r w:rsidR="005C2F54" w:rsidRPr="008C2070">
        <w:rPr>
          <w:rFonts w:ascii="Times New Roman" w:hAnsi="Times New Roman" w:cs="Times New Roman"/>
          <w:sz w:val="24"/>
          <w:szCs w:val="24"/>
        </w:rPr>
        <w:t xml:space="preserve">e menciona que el análisis de tratados internacionales no es necesario cuando en violaciones de derechos humanos </w:t>
      </w:r>
      <w:r w:rsidR="00005EB7" w:rsidRPr="008C2070">
        <w:rPr>
          <w:rFonts w:ascii="Times New Roman" w:hAnsi="Times New Roman" w:cs="Times New Roman"/>
          <w:sz w:val="24"/>
          <w:szCs w:val="24"/>
        </w:rPr>
        <w:t xml:space="preserve">solo se use el estudio de la Constitución Política de los Estados Unidos Mexicanos. </w:t>
      </w:r>
      <w:r w:rsidR="00F96AC9" w:rsidRPr="008C2070">
        <w:rPr>
          <w:rStyle w:val="Refdenotaalpie"/>
          <w:rFonts w:ascii="Times New Roman" w:hAnsi="Times New Roman" w:cs="Times New Roman"/>
          <w:sz w:val="24"/>
          <w:szCs w:val="24"/>
        </w:rPr>
        <w:footnoteReference w:id="70"/>
      </w:r>
      <w:r w:rsidR="00E371FE" w:rsidRPr="008C2070">
        <w:rPr>
          <w:rFonts w:ascii="Times New Roman" w:hAnsi="Times New Roman" w:cs="Times New Roman"/>
          <w:sz w:val="24"/>
          <w:szCs w:val="24"/>
        </w:rPr>
        <w:t xml:space="preserve"> </w:t>
      </w:r>
      <w:r w:rsidR="00D55036" w:rsidRPr="008C2070">
        <w:rPr>
          <w:rFonts w:ascii="Times New Roman" w:hAnsi="Times New Roman" w:cs="Times New Roman"/>
          <w:sz w:val="24"/>
          <w:szCs w:val="24"/>
        </w:rPr>
        <w:t>Finalmente,</w:t>
      </w:r>
      <w:r w:rsidR="00E371FE" w:rsidRPr="008C2070">
        <w:rPr>
          <w:rFonts w:ascii="Times New Roman" w:hAnsi="Times New Roman" w:cs="Times New Roman"/>
          <w:sz w:val="24"/>
          <w:szCs w:val="24"/>
        </w:rPr>
        <w:t xml:space="preserve"> sobre el principio de definitividad se dice que la impugnación de actos que </w:t>
      </w:r>
      <w:r w:rsidR="00D55036" w:rsidRPr="008C2070">
        <w:rPr>
          <w:rFonts w:ascii="Times New Roman" w:hAnsi="Times New Roman" w:cs="Times New Roman"/>
          <w:sz w:val="24"/>
          <w:szCs w:val="24"/>
        </w:rPr>
        <w:lastRenderedPageBreak/>
        <w:t>afecten</w:t>
      </w:r>
      <w:r w:rsidR="00E371FE" w:rsidRPr="008C2070">
        <w:rPr>
          <w:rFonts w:ascii="Times New Roman" w:hAnsi="Times New Roman" w:cs="Times New Roman"/>
          <w:sz w:val="24"/>
          <w:szCs w:val="24"/>
        </w:rPr>
        <w:t xml:space="preserve"> el </w:t>
      </w:r>
      <w:r w:rsidR="00D55036" w:rsidRPr="008C2070">
        <w:rPr>
          <w:rFonts w:ascii="Times New Roman" w:hAnsi="Times New Roman" w:cs="Times New Roman"/>
          <w:sz w:val="24"/>
          <w:szCs w:val="24"/>
        </w:rPr>
        <w:t>derecho</w:t>
      </w:r>
      <w:r w:rsidR="00E371FE" w:rsidRPr="008C2070">
        <w:rPr>
          <w:rFonts w:ascii="Times New Roman" w:hAnsi="Times New Roman" w:cs="Times New Roman"/>
          <w:sz w:val="24"/>
          <w:szCs w:val="24"/>
        </w:rPr>
        <w:t xml:space="preserve"> a la salud </w:t>
      </w:r>
      <w:r w:rsidR="00D55036" w:rsidRPr="008C2070">
        <w:rPr>
          <w:rFonts w:ascii="Times New Roman" w:hAnsi="Times New Roman" w:cs="Times New Roman"/>
          <w:sz w:val="24"/>
          <w:szCs w:val="24"/>
        </w:rPr>
        <w:t>actualiza</w:t>
      </w:r>
      <w:r w:rsidR="00E371FE" w:rsidRPr="008C2070">
        <w:rPr>
          <w:rFonts w:ascii="Times New Roman" w:hAnsi="Times New Roman" w:cs="Times New Roman"/>
          <w:sz w:val="24"/>
          <w:szCs w:val="24"/>
        </w:rPr>
        <w:t xml:space="preserve"> una </w:t>
      </w:r>
      <w:r w:rsidR="00D55036" w:rsidRPr="008C2070">
        <w:rPr>
          <w:rFonts w:ascii="Times New Roman" w:hAnsi="Times New Roman" w:cs="Times New Roman"/>
          <w:sz w:val="24"/>
          <w:szCs w:val="24"/>
        </w:rPr>
        <w:t>excepción</w:t>
      </w:r>
      <w:r w:rsidR="00E371FE" w:rsidRPr="008C2070">
        <w:rPr>
          <w:rFonts w:ascii="Times New Roman" w:hAnsi="Times New Roman" w:cs="Times New Roman"/>
          <w:sz w:val="24"/>
          <w:szCs w:val="24"/>
        </w:rPr>
        <w:t xml:space="preserve"> a este principio</w:t>
      </w:r>
      <w:r w:rsidR="00EA09BA" w:rsidRPr="008C2070">
        <w:rPr>
          <w:rFonts w:ascii="Times New Roman" w:hAnsi="Times New Roman" w:cs="Times New Roman"/>
          <w:sz w:val="24"/>
          <w:szCs w:val="24"/>
        </w:rPr>
        <w:t xml:space="preserve"> ya que el juicio de amparo es juicio adecuado para </w:t>
      </w:r>
      <w:r w:rsidR="00D55036" w:rsidRPr="008C2070">
        <w:rPr>
          <w:rFonts w:ascii="Times New Roman" w:hAnsi="Times New Roman" w:cs="Times New Roman"/>
          <w:sz w:val="24"/>
          <w:szCs w:val="24"/>
        </w:rPr>
        <w:t>impugnarlos</w:t>
      </w:r>
      <w:r w:rsidR="00EA09BA" w:rsidRPr="008C2070">
        <w:rPr>
          <w:rFonts w:ascii="Times New Roman" w:hAnsi="Times New Roman" w:cs="Times New Roman"/>
          <w:sz w:val="24"/>
          <w:szCs w:val="24"/>
        </w:rPr>
        <w:t xml:space="preserve"> y no los medios ordinarios de defensa.</w:t>
      </w:r>
      <w:r w:rsidR="00EA09BA" w:rsidRPr="008C2070">
        <w:rPr>
          <w:rStyle w:val="Refdenotaalpie"/>
          <w:rFonts w:ascii="Times New Roman" w:hAnsi="Times New Roman" w:cs="Times New Roman"/>
          <w:sz w:val="24"/>
          <w:szCs w:val="24"/>
        </w:rPr>
        <w:footnoteReference w:id="71"/>
      </w:r>
    </w:p>
    <w:p w14:paraId="4B460C66" w14:textId="2BC575AD" w:rsidR="00821502" w:rsidRPr="008C2070" w:rsidRDefault="00A31D27"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Para este conjunto de jurisprudencias y tesis aisladas s</w:t>
      </w:r>
      <w:r w:rsidR="00821502" w:rsidRPr="008C2070">
        <w:rPr>
          <w:rFonts w:ascii="Times New Roman" w:hAnsi="Times New Roman" w:cs="Times New Roman"/>
          <w:sz w:val="24"/>
          <w:szCs w:val="24"/>
        </w:rPr>
        <w:t>e puede concluir que</w:t>
      </w:r>
      <w:r w:rsidRPr="008C2070">
        <w:rPr>
          <w:rFonts w:ascii="Times New Roman" w:hAnsi="Times New Roman" w:cs="Times New Roman"/>
          <w:sz w:val="24"/>
          <w:szCs w:val="24"/>
        </w:rPr>
        <w:t xml:space="preserve"> en lo referente a la pandemia por COVID-19, las jurisprudencias</w:t>
      </w:r>
      <w:r w:rsidR="00F722C9" w:rsidRPr="008C2070">
        <w:rPr>
          <w:rFonts w:ascii="Times New Roman" w:hAnsi="Times New Roman" w:cs="Times New Roman"/>
          <w:sz w:val="24"/>
          <w:szCs w:val="24"/>
        </w:rPr>
        <w:t xml:space="preserve"> y tesis aisladas</w:t>
      </w:r>
      <w:r w:rsidRPr="008C2070">
        <w:rPr>
          <w:rFonts w:ascii="Times New Roman" w:hAnsi="Times New Roman" w:cs="Times New Roman"/>
          <w:sz w:val="24"/>
          <w:szCs w:val="24"/>
        </w:rPr>
        <w:t xml:space="preserve"> tienen la función de reglas. Lo anterior, al establecer claramente las obligaciones con las que las personas empleadoras o instituciones proveedoras de servicios de salud </w:t>
      </w:r>
      <w:r w:rsidR="00F722C9" w:rsidRPr="008C2070">
        <w:rPr>
          <w:rFonts w:ascii="Times New Roman" w:hAnsi="Times New Roman" w:cs="Times New Roman"/>
          <w:sz w:val="24"/>
          <w:szCs w:val="24"/>
        </w:rPr>
        <w:t xml:space="preserve">deben cumplir.  Lo mismo sucede con </w:t>
      </w:r>
      <w:r w:rsidR="00B00B83" w:rsidRPr="008C2070">
        <w:rPr>
          <w:rFonts w:ascii="Times New Roman" w:hAnsi="Times New Roman" w:cs="Times New Roman"/>
          <w:sz w:val="24"/>
          <w:szCs w:val="24"/>
        </w:rPr>
        <w:t>la tesis</w:t>
      </w:r>
      <w:r w:rsidR="00F722C9" w:rsidRPr="008C2070">
        <w:rPr>
          <w:rFonts w:ascii="Times New Roman" w:hAnsi="Times New Roman" w:cs="Times New Roman"/>
          <w:sz w:val="24"/>
          <w:szCs w:val="24"/>
        </w:rPr>
        <w:t xml:space="preserve"> aislada en materia de etiquetado de alimentos, la cual solo funciona para los casos en los que impugne la norma oficial mexicana controvertida. Resulta de especial interés las diferencias que existen entre los criterios </w:t>
      </w:r>
      <w:r w:rsidR="00B00B83" w:rsidRPr="008C2070">
        <w:rPr>
          <w:rFonts w:ascii="Times New Roman" w:hAnsi="Times New Roman" w:cs="Times New Roman"/>
          <w:sz w:val="24"/>
          <w:szCs w:val="24"/>
        </w:rPr>
        <w:t>de las tesis aisladas</w:t>
      </w:r>
      <w:r w:rsidR="00EE2F97" w:rsidRPr="008C2070">
        <w:rPr>
          <w:rFonts w:ascii="Times New Roman" w:hAnsi="Times New Roman" w:cs="Times New Roman"/>
          <w:sz w:val="24"/>
          <w:szCs w:val="24"/>
        </w:rPr>
        <w:t xml:space="preserve"> y la jurisprudencia</w:t>
      </w:r>
      <w:r w:rsidR="00B00B83" w:rsidRPr="008C2070">
        <w:rPr>
          <w:rFonts w:ascii="Times New Roman" w:hAnsi="Times New Roman" w:cs="Times New Roman"/>
          <w:sz w:val="24"/>
          <w:szCs w:val="24"/>
        </w:rPr>
        <w:t xml:space="preserve"> </w:t>
      </w:r>
      <w:r w:rsidR="00F722C9" w:rsidRPr="008C2070">
        <w:rPr>
          <w:rFonts w:ascii="Times New Roman" w:hAnsi="Times New Roman" w:cs="Times New Roman"/>
          <w:sz w:val="24"/>
          <w:szCs w:val="24"/>
        </w:rPr>
        <w:t>relacionados con la suspensión definitiva y la suspensión provisional en casos d</w:t>
      </w:r>
      <w:r w:rsidR="00CB1D01" w:rsidRPr="008C2070">
        <w:rPr>
          <w:rFonts w:ascii="Times New Roman" w:hAnsi="Times New Roman" w:cs="Times New Roman"/>
          <w:sz w:val="24"/>
          <w:szCs w:val="24"/>
        </w:rPr>
        <w:t>e solicitud</w:t>
      </w:r>
      <w:r w:rsidR="00EE2F97" w:rsidRPr="008C2070">
        <w:rPr>
          <w:rFonts w:ascii="Times New Roman" w:hAnsi="Times New Roman" w:cs="Times New Roman"/>
          <w:sz w:val="24"/>
          <w:szCs w:val="24"/>
        </w:rPr>
        <w:t xml:space="preserve"> de servicios médicos de urgencia y de medicamentos</w:t>
      </w:r>
      <w:r w:rsidR="00F722C9" w:rsidRPr="008C2070">
        <w:rPr>
          <w:rFonts w:ascii="Times New Roman" w:hAnsi="Times New Roman" w:cs="Times New Roman"/>
          <w:sz w:val="24"/>
          <w:szCs w:val="24"/>
        </w:rPr>
        <w:t xml:space="preserve">. </w:t>
      </w:r>
      <w:r w:rsidR="00B00B83" w:rsidRPr="008C2070">
        <w:rPr>
          <w:rFonts w:ascii="Times New Roman" w:hAnsi="Times New Roman" w:cs="Times New Roman"/>
          <w:sz w:val="24"/>
          <w:szCs w:val="24"/>
        </w:rPr>
        <w:t xml:space="preserve"> La tesis aislada menciona que </w:t>
      </w:r>
      <w:r w:rsidR="004E7E3D" w:rsidRPr="008C2070">
        <w:rPr>
          <w:rFonts w:ascii="Times New Roman" w:hAnsi="Times New Roman" w:cs="Times New Roman"/>
          <w:sz w:val="24"/>
          <w:szCs w:val="24"/>
        </w:rPr>
        <w:t>cuando exi</w:t>
      </w:r>
      <w:r w:rsidR="00EE2F97" w:rsidRPr="008C2070">
        <w:rPr>
          <w:rFonts w:ascii="Times New Roman" w:hAnsi="Times New Roman" w:cs="Times New Roman"/>
          <w:sz w:val="24"/>
          <w:szCs w:val="24"/>
        </w:rPr>
        <w:t>s</w:t>
      </w:r>
      <w:r w:rsidR="004E7E3D" w:rsidRPr="008C2070">
        <w:rPr>
          <w:rFonts w:ascii="Times New Roman" w:hAnsi="Times New Roman" w:cs="Times New Roman"/>
          <w:sz w:val="24"/>
          <w:szCs w:val="24"/>
        </w:rPr>
        <w:t>ta</w:t>
      </w:r>
      <w:r w:rsidR="00EE2F97" w:rsidRPr="008C2070">
        <w:rPr>
          <w:rFonts w:ascii="Times New Roman" w:hAnsi="Times New Roman" w:cs="Times New Roman"/>
          <w:sz w:val="24"/>
          <w:szCs w:val="24"/>
        </w:rPr>
        <w:t xml:space="preserve"> una omisión de </w:t>
      </w:r>
      <w:r w:rsidR="00CB1D01" w:rsidRPr="008C2070">
        <w:rPr>
          <w:rFonts w:ascii="Times New Roman" w:hAnsi="Times New Roman" w:cs="Times New Roman"/>
          <w:sz w:val="24"/>
          <w:szCs w:val="24"/>
        </w:rPr>
        <w:t>otorgar</w:t>
      </w:r>
      <w:r w:rsidR="00EE2F97" w:rsidRPr="008C2070">
        <w:rPr>
          <w:rFonts w:ascii="Times New Roman" w:hAnsi="Times New Roman" w:cs="Times New Roman"/>
          <w:sz w:val="24"/>
          <w:szCs w:val="24"/>
        </w:rPr>
        <w:t xml:space="preserve"> servicios médicos para </w:t>
      </w:r>
      <w:r w:rsidR="004E7E3D" w:rsidRPr="008C2070">
        <w:rPr>
          <w:rFonts w:ascii="Times New Roman" w:hAnsi="Times New Roman" w:cs="Times New Roman"/>
          <w:sz w:val="24"/>
          <w:szCs w:val="24"/>
        </w:rPr>
        <w:t xml:space="preserve">una </w:t>
      </w:r>
      <w:r w:rsidR="00CB1D01" w:rsidRPr="008C2070">
        <w:rPr>
          <w:rFonts w:ascii="Times New Roman" w:hAnsi="Times New Roman" w:cs="Times New Roman"/>
          <w:sz w:val="24"/>
          <w:szCs w:val="24"/>
        </w:rPr>
        <w:t>enfermedad</w:t>
      </w:r>
      <w:r w:rsidR="004E7E3D" w:rsidRPr="008C2070">
        <w:rPr>
          <w:rFonts w:ascii="Times New Roman" w:hAnsi="Times New Roman" w:cs="Times New Roman"/>
          <w:sz w:val="24"/>
          <w:szCs w:val="24"/>
        </w:rPr>
        <w:t xml:space="preserve"> que pone en peligro la vida</w:t>
      </w:r>
      <w:r w:rsidR="00EE2F97" w:rsidRPr="008C2070">
        <w:rPr>
          <w:rFonts w:ascii="Times New Roman" w:hAnsi="Times New Roman" w:cs="Times New Roman"/>
          <w:sz w:val="24"/>
          <w:szCs w:val="24"/>
        </w:rPr>
        <w:t xml:space="preserve">, la suspensión se debe decretar de plano. Sin embargo, con respecto a la suspensión </w:t>
      </w:r>
      <w:r w:rsidR="00CB1D01" w:rsidRPr="008C2070">
        <w:rPr>
          <w:rFonts w:ascii="Times New Roman" w:hAnsi="Times New Roman" w:cs="Times New Roman"/>
          <w:sz w:val="24"/>
          <w:szCs w:val="24"/>
        </w:rPr>
        <w:t>provisional</w:t>
      </w:r>
      <w:r w:rsidR="00EE2F97" w:rsidRPr="008C2070">
        <w:rPr>
          <w:rFonts w:ascii="Times New Roman" w:hAnsi="Times New Roman" w:cs="Times New Roman"/>
          <w:sz w:val="24"/>
          <w:szCs w:val="24"/>
        </w:rPr>
        <w:t xml:space="preserve"> </w:t>
      </w:r>
      <w:r w:rsidR="00CB1D01" w:rsidRPr="008C2070">
        <w:rPr>
          <w:rFonts w:ascii="Times New Roman" w:hAnsi="Times New Roman" w:cs="Times New Roman"/>
          <w:sz w:val="24"/>
          <w:szCs w:val="24"/>
        </w:rPr>
        <w:t>l</w:t>
      </w:r>
      <w:r w:rsidR="00EE2F97" w:rsidRPr="008C2070">
        <w:rPr>
          <w:rFonts w:ascii="Times New Roman" w:hAnsi="Times New Roman" w:cs="Times New Roman"/>
          <w:sz w:val="24"/>
          <w:szCs w:val="24"/>
        </w:rPr>
        <w:t xml:space="preserve">a jurisprudencia establece que procede </w:t>
      </w:r>
      <w:r w:rsidR="00CB1D01" w:rsidRPr="008C2070">
        <w:rPr>
          <w:rFonts w:ascii="Times New Roman" w:hAnsi="Times New Roman" w:cs="Times New Roman"/>
          <w:sz w:val="24"/>
          <w:szCs w:val="24"/>
        </w:rPr>
        <w:t>otorgarla</w:t>
      </w:r>
      <w:r w:rsidR="00EE2F97" w:rsidRPr="008C2070">
        <w:rPr>
          <w:rFonts w:ascii="Times New Roman" w:hAnsi="Times New Roman" w:cs="Times New Roman"/>
          <w:sz w:val="24"/>
          <w:szCs w:val="24"/>
        </w:rPr>
        <w:t xml:space="preserve"> cuando las personas quejosas soliciten la provisión de medicamentos en lo que se verifica su idoneidad</w:t>
      </w:r>
      <w:r w:rsidR="00193100" w:rsidRPr="008C2070">
        <w:rPr>
          <w:rFonts w:ascii="Times New Roman" w:hAnsi="Times New Roman" w:cs="Times New Roman"/>
          <w:sz w:val="24"/>
          <w:szCs w:val="24"/>
        </w:rPr>
        <w:t xml:space="preserve">. </w:t>
      </w:r>
      <w:r w:rsidR="000D33DD" w:rsidRPr="008C2070">
        <w:rPr>
          <w:rFonts w:ascii="Times New Roman" w:hAnsi="Times New Roman" w:cs="Times New Roman"/>
          <w:sz w:val="24"/>
          <w:szCs w:val="24"/>
        </w:rPr>
        <w:t>No obstante</w:t>
      </w:r>
      <w:r w:rsidR="00193100" w:rsidRPr="008C2070">
        <w:rPr>
          <w:rFonts w:ascii="Times New Roman" w:hAnsi="Times New Roman" w:cs="Times New Roman"/>
          <w:sz w:val="24"/>
          <w:szCs w:val="24"/>
        </w:rPr>
        <w:t xml:space="preserve">, </w:t>
      </w:r>
      <w:r w:rsidR="00CB1D01" w:rsidRPr="008C2070">
        <w:rPr>
          <w:rFonts w:ascii="Times New Roman" w:hAnsi="Times New Roman" w:cs="Times New Roman"/>
          <w:sz w:val="24"/>
          <w:szCs w:val="24"/>
        </w:rPr>
        <w:t xml:space="preserve">en algunos casos la suspensión debería otorgarse de plano, ya que </w:t>
      </w:r>
      <w:r w:rsidR="00193100" w:rsidRPr="008C2070">
        <w:rPr>
          <w:rFonts w:ascii="Times New Roman" w:hAnsi="Times New Roman" w:cs="Times New Roman"/>
          <w:sz w:val="24"/>
          <w:szCs w:val="24"/>
        </w:rPr>
        <w:t xml:space="preserve">la provisión inoportuna de un medicamento </w:t>
      </w:r>
      <w:r w:rsidR="00CB1D01" w:rsidRPr="008C2070">
        <w:rPr>
          <w:rFonts w:ascii="Times New Roman" w:hAnsi="Times New Roman" w:cs="Times New Roman"/>
          <w:sz w:val="24"/>
          <w:szCs w:val="24"/>
        </w:rPr>
        <w:t>puede constituir</w:t>
      </w:r>
      <w:r w:rsidR="00193100" w:rsidRPr="008C2070">
        <w:rPr>
          <w:rFonts w:ascii="Times New Roman" w:hAnsi="Times New Roman" w:cs="Times New Roman"/>
          <w:sz w:val="24"/>
          <w:szCs w:val="24"/>
        </w:rPr>
        <w:t xml:space="preserve"> la negativa a un servicio médico que pone en </w:t>
      </w:r>
      <w:r w:rsidR="00CB1D01" w:rsidRPr="008C2070">
        <w:rPr>
          <w:rFonts w:ascii="Times New Roman" w:hAnsi="Times New Roman" w:cs="Times New Roman"/>
          <w:sz w:val="24"/>
          <w:szCs w:val="24"/>
        </w:rPr>
        <w:t xml:space="preserve">peligro la vida como es el caso de los medicamentos antirretrovirales no otorgados en tiempo y forma. </w:t>
      </w:r>
      <w:r w:rsidR="000D33DD" w:rsidRPr="008C2070">
        <w:rPr>
          <w:rFonts w:ascii="Times New Roman" w:hAnsi="Times New Roman" w:cs="Times New Roman"/>
          <w:sz w:val="24"/>
          <w:szCs w:val="24"/>
        </w:rPr>
        <w:t xml:space="preserve">Es </w:t>
      </w:r>
      <w:r w:rsidR="00202EB0" w:rsidRPr="008C2070">
        <w:rPr>
          <w:rFonts w:ascii="Times New Roman" w:hAnsi="Times New Roman" w:cs="Times New Roman"/>
          <w:sz w:val="24"/>
          <w:szCs w:val="24"/>
        </w:rPr>
        <w:t>decir,</w:t>
      </w:r>
      <w:r w:rsidR="000D33DD" w:rsidRPr="008C2070">
        <w:rPr>
          <w:rFonts w:ascii="Times New Roman" w:hAnsi="Times New Roman" w:cs="Times New Roman"/>
          <w:sz w:val="24"/>
          <w:szCs w:val="24"/>
        </w:rPr>
        <w:t xml:space="preserve"> se debe repensar el sentido de urgencia aún en la negativa o provisión de ciertos insumos para la salud que no necesariamente impliquen un soporte de vida.</w:t>
      </w:r>
      <w:r w:rsidR="00202EB0" w:rsidRPr="008C2070">
        <w:rPr>
          <w:rFonts w:ascii="Times New Roman" w:hAnsi="Times New Roman" w:cs="Times New Roman"/>
          <w:sz w:val="24"/>
          <w:szCs w:val="24"/>
        </w:rPr>
        <w:t xml:space="preserve">  Sobre el criterio aislado referente a la suspensión provisional para la vacunación de personas de 12 a 17 años, esta representa una </w:t>
      </w:r>
      <w:r w:rsidR="001C04BA" w:rsidRPr="008C2070">
        <w:rPr>
          <w:rFonts w:ascii="Times New Roman" w:hAnsi="Times New Roman" w:cs="Times New Roman"/>
          <w:sz w:val="24"/>
          <w:szCs w:val="24"/>
        </w:rPr>
        <w:t xml:space="preserve">verdadera postura de contrapeso contra </w:t>
      </w:r>
      <w:r w:rsidR="00073FFE" w:rsidRPr="008C2070">
        <w:rPr>
          <w:rFonts w:ascii="Times New Roman" w:hAnsi="Times New Roman" w:cs="Times New Roman"/>
          <w:sz w:val="24"/>
          <w:szCs w:val="24"/>
        </w:rPr>
        <w:t>el plan de vacunación del Gobierno Federal que en ese momento no permitía la vacunación a este grupo etario.</w:t>
      </w:r>
    </w:p>
    <w:p w14:paraId="76FD9D01" w14:textId="2FC6F774" w:rsidR="00871B8A" w:rsidRPr="008C2070" w:rsidRDefault="00871B8A"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Sobre el uso de fuentes internacionales en la integración de jurisprudencias y tesis aisladas, se observaron pocas citas directas. (</w:t>
      </w:r>
      <w:r w:rsidRPr="008C2070">
        <w:rPr>
          <w:rFonts w:ascii="Times New Roman" w:hAnsi="Times New Roman" w:cs="Times New Roman"/>
          <w:b/>
          <w:bCs/>
          <w:i/>
          <w:iCs/>
          <w:sz w:val="24"/>
          <w:szCs w:val="24"/>
        </w:rPr>
        <w:t>Tabla 5. Referencias directas a fuentes internacionales en las jurisprudencias y tesis aisladas</w:t>
      </w:r>
      <w:r w:rsidRPr="008C2070">
        <w:rPr>
          <w:rFonts w:ascii="Times New Roman" w:hAnsi="Times New Roman" w:cs="Times New Roman"/>
          <w:sz w:val="24"/>
          <w:szCs w:val="24"/>
        </w:rPr>
        <w:t>)</w:t>
      </w:r>
    </w:p>
    <w:p w14:paraId="0233C928" w14:textId="2B5E71A3" w:rsidR="00871B8A" w:rsidRPr="008C2070" w:rsidRDefault="00871B8A" w:rsidP="008C2070">
      <w:pPr>
        <w:pStyle w:val="Descripcin"/>
        <w:keepNext/>
        <w:spacing w:beforeLines="120" w:before="288" w:afterLines="120" w:after="288" w:line="276" w:lineRule="auto"/>
        <w:ind w:left="1134"/>
        <w:jc w:val="both"/>
        <w:rPr>
          <w:rFonts w:ascii="Times New Roman" w:hAnsi="Times New Roman" w:cs="Times New Roman"/>
          <w:sz w:val="24"/>
          <w:szCs w:val="24"/>
        </w:rPr>
      </w:pPr>
      <w:r w:rsidRPr="008C2070">
        <w:rPr>
          <w:rFonts w:ascii="Times New Roman" w:hAnsi="Times New Roman" w:cs="Times New Roman"/>
          <w:sz w:val="24"/>
          <w:szCs w:val="24"/>
        </w:rPr>
        <w:t>Tabla 5. Referencias directas a fuentes internacionales en las jurisprudencias y tesis aisladas</w:t>
      </w:r>
    </w:p>
    <w:tbl>
      <w:tblPr>
        <w:tblStyle w:val="Tablaconcuadrcula"/>
        <w:tblW w:w="0" w:type="auto"/>
        <w:tblInd w:w="1134" w:type="dxa"/>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ook w:val="04A0" w:firstRow="1" w:lastRow="0" w:firstColumn="1" w:lastColumn="0" w:noHBand="0" w:noVBand="1"/>
      </w:tblPr>
      <w:tblGrid>
        <w:gridCol w:w="1552"/>
        <w:gridCol w:w="2482"/>
        <w:gridCol w:w="2482"/>
      </w:tblGrid>
      <w:tr w:rsidR="00C10746" w:rsidRPr="008C2070" w14:paraId="017506B3" w14:textId="77777777" w:rsidTr="008C2070">
        <w:trPr>
          <w:trHeight w:val="238"/>
        </w:trPr>
        <w:tc>
          <w:tcPr>
            <w:tcW w:w="1552" w:type="dxa"/>
            <w:tcBorders>
              <w:top w:val="nil"/>
              <w:left w:val="nil"/>
              <w:bottom w:val="single" w:sz="8" w:space="0" w:color="D0CECE"/>
              <w:right w:val="nil"/>
            </w:tcBorders>
          </w:tcPr>
          <w:p w14:paraId="17B8AB19" w14:textId="77777777" w:rsidR="0065333C" w:rsidRPr="008C2070" w:rsidRDefault="0065333C" w:rsidP="008C2070">
            <w:pPr>
              <w:spacing w:before="60" w:after="60" w:line="276" w:lineRule="auto"/>
              <w:jc w:val="both"/>
              <w:rPr>
                <w:rFonts w:ascii="Times New Roman" w:hAnsi="Times New Roman" w:cs="Times New Roman"/>
                <w:lang w:val="es-ES"/>
              </w:rPr>
            </w:pPr>
          </w:p>
        </w:tc>
        <w:tc>
          <w:tcPr>
            <w:tcW w:w="2482" w:type="dxa"/>
            <w:tcBorders>
              <w:left w:val="nil"/>
            </w:tcBorders>
            <w:shd w:val="clear" w:color="auto" w:fill="E7E6E6" w:themeFill="background2"/>
          </w:tcPr>
          <w:p w14:paraId="22888DF7" w14:textId="77777777" w:rsidR="0065333C" w:rsidRPr="008C2070" w:rsidRDefault="0065333C" w:rsidP="008C2070">
            <w:pPr>
              <w:spacing w:before="60" w:after="60" w:line="276" w:lineRule="auto"/>
              <w:jc w:val="center"/>
              <w:rPr>
                <w:rFonts w:ascii="Times New Roman" w:hAnsi="Times New Roman" w:cs="Times New Roman"/>
                <w:b/>
                <w:bCs/>
                <w:lang w:val="es-ES"/>
              </w:rPr>
            </w:pPr>
            <w:r w:rsidRPr="008C2070">
              <w:rPr>
                <w:rFonts w:ascii="Times New Roman" w:hAnsi="Times New Roman" w:cs="Times New Roman"/>
                <w:b/>
                <w:bCs/>
                <w:lang w:val="es-ES"/>
              </w:rPr>
              <w:t>Jurisprudencias</w:t>
            </w:r>
          </w:p>
        </w:tc>
        <w:tc>
          <w:tcPr>
            <w:tcW w:w="2482" w:type="dxa"/>
            <w:shd w:val="clear" w:color="auto" w:fill="E7E6E6" w:themeFill="background2"/>
          </w:tcPr>
          <w:p w14:paraId="6BBB09D4" w14:textId="77777777" w:rsidR="0065333C" w:rsidRPr="008C2070" w:rsidRDefault="0065333C" w:rsidP="008C2070">
            <w:pPr>
              <w:spacing w:before="60" w:after="60" w:line="276" w:lineRule="auto"/>
              <w:jc w:val="center"/>
              <w:rPr>
                <w:rFonts w:ascii="Times New Roman" w:hAnsi="Times New Roman" w:cs="Times New Roman"/>
                <w:b/>
                <w:bCs/>
                <w:lang w:val="es-ES"/>
              </w:rPr>
            </w:pPr>
            <w:r w:rsidRPr="008C2070">
              <w:rPr>
                <w:rFonts w:ascii="Times New Roman" w:hAnsi="Times New Roman" w:cs="Times New Roman"/>
                <w:b/>
                <w:bCs/>
                <w:lang w:val="es-ES"/>
              </w:rPr>
              <w:t>Tesis</w:t>
            </w:r>
          </w:p>
        </w:tc>
      </w:tr>
      <w:tr w:rsidR="00C10746" w:rsidRPr="008C2070" w14:paraId="552FC941" w14:textId="77777777" w:rsidTr="008C2070">
        <w:trPr>
          <w:trHeight w:val="238"/>
        </w:trPr>
        <w:tc>
          <w:tcPr>
            <w:tcW w:w="1552" w:type="dxa"/>
            <w:tcBorders>
              <w:top w:val="single" w:sz="8" w:space="0" w:color="D0CECE"/>
              <w:left w:val="single" w:sz="8" w:space="0" w:color="D0CECE"/>
              <w:bottom w:val="single" w:sz="8" w:space="0" w:color="D0CECE"/>
              <w:right w:val="single" w:sz="8" w:space="0" w:color="D0CECE"/>
            </w:tcBorders>
          </w:tcPr>
          <w:p w14:paraId="018EBE19" w14:textId="77777777" w:rsidR="0065333C" w:rsidRPr="008C2070" w:rsidRDefault="0065333C" w:rsidP="008C2070">
            <w:pPr>
              <w:spacing w:before="60" w:after="60" w:line="276" w:lineRule="auto"/>
              <w:jc w:val="both"/>
              <w:rPr>
                <w:rFonts w:ascii="Times New Roman" w:hAnsi="Times New Roman" w:cs="Times New Roman"/>
                <w:lang w:val="es-ES"/>
              </w:rPr>
            </w:pPr>
            <w:r w:rsidRPr="008C2070">
              <w:rPr>
                <w:rFonts w:ascii="Times New Roman" w:hAnsi="Times New Roman" w:cs="Times New Roman"/>
                <w:lang w:val="es-ES"/>
              </w:rPr>
              <w:t xml:space="preserve">Antes de 2011 (1995-octubre 2011) </w:t>
            </w:r>
          </w:p>
        </w:tc>
        <w:tc>
          <w:tcPr>
            <w:tcW w:w="2482" w:type="dxa"/>
            <w:tcBorders>
              <w:left w:val="single" w:sz="8" w:space="0" w:color="D0CECE"/>
            </w:tcBorders>
          </w:tcPr>
          <w:p w14:paraId="5C1F79FB" w14:textId="77777777" w:rsidR="0065333C" w:rsidRPr="008C2070" w:rsidRDefault="0065333C" w:rsidP="008C2070">
            <w:pPr>
              <w:spacing w:before="60" w:after="60" w:line="276" w:lineRule="auto"/>
              <w:jc w:val="both"/>
              <w:rPr>
                <w:rFonts w:ascii="Times New Roman" w:hAnsi="Times New Roman" w:cs="Times New Roman"/>
                <w:lang w:val="es-ES"/>
              </w:rPr>
            </w:pPr>
            <w:r w:rsidRPr="008C2070">
              <w:rPr>
                <w:rFonts w:ascii="Times New Roman" w:hAnsi="Times New Roman" w:cs="Times New Roman"/>
                <w:lang w:val="es-ES"/>
              </w:rPr>
              <w:t xml:space="preserve">0 de 0 </w:t>
            </w:r>
          </w:p>
        </w:tc>
        <w:tc>
          <w:tcPr>
            <w:tcW w:w="2482" w:type="dxa"/>
          </w:tcPr>
          <w:p w14:paraId="3E9780AA" w14:textId="77777777" w:rsidR="0065333C" w:rsidRPr="008C2070" w:rsidRDefault="0065333C" w:rsidP="008C2070">
            <w:pPr>
              <w:spacing w:before="60" w:after="60" w:line="276" w:lineRule="auto"/>
              <w:jc w:val="both"/>
              <w:rPr>
                <w:rFonts w:ascii="Times New Roman" w:hAnsi="Times New Roman" w:cs="Times New Roman"/>
                <w:lang w:val="es-ES"/>
              </w:rPr>
            </w:pPr>
            <w:r w:rsidRPr="008C2070">
              <w:rPr>
                <w:rFonts w:ascii="Times New Roman" w:hAnsi="Times New Roman" w:cs="Times New Roman"/>
                <w:lang w:val="es-ES"/>
              </w:rPr>
              <w:t>0 de 1</w:t>
            </w:r>
          </w:p>
        </w:tc>
      </w:tr>
      <w:tr w:rsidR="00C10746" w:rsidRPr="008C2070" w14:paraId="6F6E84D5" w14:textId="77777777" w:rsidTr="008C2070">
        <w:trPr>
          <w:trHeight w:val="238"/>
        </w:trPr>
        <w:tc>
          <w:tcPr>
            <w:tcW w:w="1552" w:type="dxa"/>
            <w:tcBorders>
              <w:top w:val="single" w:sz="8" w:space="0" w:color="D0CECE"/>
            </w:tcBorders>
          </w:tcPr>
          <w:p w14:paraId="2548B81A" w14:textId="77777777" w:rsidR="0065333C" w:rsidRPr="008C2070" w:rsidRDefault="0065333C" w:rsidP="008C2070">
            <w:pPr>
              <w:spacing w:before="60" w:after="60" w:line="276" w:lineRule="auto"/>
              <w:jc w:val="both"/>
              <w:rPr>
                <w:rFonts w:ascii="Times New Roman" w:hAnsi="Times New Roman" w:cs="Times New Roman"/>
                <w:lang w:val="es-ES"/>
              </w:rPr>
            </w:pPr>
            <w:r w:rsidRPr="008C2070">
              <w:rPr>
                <w:rFonts w:ascii="Times New Roman" w:hAnsi="Times New Roman" w:cs="Times New Roman"/>
                <w:lang w:val="es-ES"/>
              </w:rPr>
              <w:t xml:space="preserve">De 2011 a la fecha </w:t>
            </w:r>
          </w:p>
        </w:tc>
        <w:tc>
          <w:tcPr>
            <w:tcW w:w="2482" w:type="dxa"/>
          </w:tcPr>
          <w:p w14:paraId="71CB9017" w14:textId="77777777" w:rsidR="0065333C" w:rsidRPr="008C2070" w:rsidRDefault="0065333C" w:rsidP="008C2070">
            <w:pPr>
              <w:spacing w:before="60" w:after="60" w:line="276" w:lineRule="auto"/>
              <w:jc w:val="both"/>
              <w:rPr>
                <w:rFonts w:ascii="Times New Roman" w:hAnsi="Times New Roman" w:cs="Times New Roman"/>
                <w:lang w:val="es-ES"/>
              </w:rPr>
            </w:pPr>
            <w:r w:rsidRPr="008C2070">
              <w:rPr>
                <w:rFonts w:ascii="Times New Roman" w:hAnsi="Times New Roman" w:cs="Times New Roman"/>
                <w:lang w:val="es-ES"/>
              </w:rPr>
              <w:t>1 de 5 (2022253)</w:t>
            </w:r>
          </w:p>
        </w:tc>
        <w:tc>
          <w:tcPr>
            <w:tcW w:w="2482" w:type="dxa"/>
          </w:tcPr>
          <w:p w14:paraId="2963A99C" w14:textId="0D08858B" w:rsidR="0065333C" w:rsidRPr="00F60289" w:rsidRDefault="0065333C" w:rsidP="00F60289">
            <w:pPr>
              <w:pStyle w:val="Prrafodelista"/>
              <w:numPr>
                <w:ilvl w:val="0"/>
                <w:numId w:val="8"/>
              </w:numPr>
              <w:spacing w:before="60" w:after="60" w:line="276" w:lineRule="auto"/>
              <w:jc w:val="both"/>
              <w:rPr>
                <w:rFonts w:ascii="Times New Roman" w:hAnsi="Times New Roman" w:cs="Times New Roman"/>
                <w:lang w:val="es-ES"/>
              </w:rPr>
            </w:pPr>
            <w:r w:rsidRPr="00F60289">
              <w:rPr>
                <w:rFonts w:ascii="Times New Roman" w:hAnsi="Times New Roman" w:cs="Times New Roman"/>
                <w:lang w:val="es-ES"/>
              </w:rPr>
              <w:t xml:space="preserve">de 9 (2023093) </w:t>
            </w:r>
          </w:p>
        </w:tc>
      </w:tr>
    </w:tbl>
    <w:p w14:paraId="2ECFC9A2" w14:textId="3BFA08E3" w:rsidR="0065333C" w:rsidRPr="008C2070" w:rsidRDefault="0065333C" w:rsidP="008C2070">
      <w:pPr>
        <w:spacing w:beforeLines="120" w:before="288" w:afterLines="120" w:after="288" w:line="276" w:lineRule="auto"/>
        <w:jc w:val="both"/>
        <w:rPr>
          <w:rFonts w:ascii="Times New Roman" w:hAnsi="Times New Roman" w:cs="Times New Roman"/>
          <w:sz w:val="24"/>
          <w:szCs w:val="24"/>
        </w:rPr>
        <w:sectPr w:rsidR="0065333C" w:rsidRPr="008C2070">
          <w:pgSz w:w="12240" w:h="15840"/>
          <w:pgMar w:top="1417" w:right="1701" w:bottom="1417" w:left="1701" w:header="708" w:footer="708" w:gutter="0"/>
          <w:cols w:space="708"/>
          <w:docGrid w:linePitch="360"/>
        </w:sectPr>
      </w:pPr>
    </w:p>
    <w:p w14:paraId="7B298E11" w14:textId="412014A9" w:rsidR="00164BAD" w:rsidRPr="008C2070" w:rsidRDefault="00164BAD" w:rsidP="008C2070">
      <w:pPr>
        <w:spacing w:beforeLines="120" w:before="288" w:afterLines="120" w:after="288" w:line="276" w:lineRule="auto"/>
        <w:jc w:val="both"/>
        <w:rPr>
          <w:rFonts w:ascii="Times New Roman" w:hAnsi="Times New Roman" w:cs="Times New Roman"/>
          <w:sz w:val="24"/>
          <w:szCs w:val="24"/>
        </w:rPr>
      </w:pPr>
    </w:p>
    <w:p w14:paraId="67C02F43" w14:textId="44E3FAB2" w:rsidR="0041711D" w:rsidRPr="00F60289" w:rsidRDefault="00F60289" w:rsidP="00F60289">
      <w:pPr>
        <w:spacing w:beforeLines="120" w:before="288" w:afterLines="120" w:after="288"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00525754" w:rsidRPr="00F60289">
        <w:rPr>
          <w:rFonts w:ascii="Times New Roman" w:hAnsi="Times New Roman" w:cs="Times New Roman"/>
          <w:b/>
          <w:bCs/>
          <w:sz w:val="24"/>
          <w:szCs w:val="24"/>
        </w:rPr>
        <w:t xml:space="preserve">Conclusiones sobre las interpretaciones judiciales del derecho a la protección de la salud </w:t>
      </w:r>
    </w:p>
    <w:p w14:paraId="3ADA0EF7" w14:textId="151955E0" w:rsidR="00EB3487" w:rsidRPr="008C2070" w:rsidRDefault="00EB3487"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Como es posible observar del análisis realizado</w:t>
      </w:r>
      <w:r w:rsidR="00C10746" w:rsidRPr="008C2070">
        <w:rPr>
          <w:rFonts w:ascii="Times New Roman" w:hAnsi="Times New Roman" w:cs="Times New Roman"/>
          <w:sz w:val="24"/>
          <w:szCs w:val="24"/>
        </w:rPr>
        <w:t>,</w:t>
      </w:r>
      <w:r w:rsidRPr="008C2070">
        <w:rPr>
          <w:rFonts w:ascii="Times New Roman" w:hAnsi="Times New Roman" w:cs="Times New Roman"/>
          <w:sz w:val="24"/>
          <w:szCs w:val="24"/>
        </w:rPr>
        <w:t xml:space="preserve"> tanto las </w:t>
      </w:r>
      <w:r w:rsidR="00140BCD" w:rsidRPr="008C2070">
        <w:rPr>
          <w:rFonts w:ascii="Times New Roman" w:hAnsi="Times New Roman" w:cs="Times New Roman"/>
          <w:sz w:val="24"/>
          <w:szCs w:val="24"/>
        </w:rPr>
        <w:t>jurisprudencias</w:t>
      </w:r>
      <w:r w:rsidRPr="008C2070">
        <w:rPr>
          <w:rFonts w:ascii="Times New Roman" w:hAnsi="Times New Roman" w:cs="Times New Roman"/>
          <w:sz w:val="24"/>
          <w:szCs w:val="24"/>
        </w:rPr>
        <w:t xml:space="preserve"> </w:t>
      </w:r>
      <w:r w:rsidR="00140BCD" w:rsidRPr="008C2070">
        <w:rPr>
          <w:rFonts w:ascii="Times New Roman" w:hAnsi="Times New Roman" w:cs="Times New Roman"/>
          <w:sz w:val="24"/>
          <w:szCs w:val="24"/>
        </w:rPr>
        <w:t>como</w:t>
      </w:r>
      <w:r w:rsidRPr="008C2070">
        <w:rPr>
          <w:rFonts w:ascii="Times New Roman" w:hAnsi="Times New Roman" w:cs="Times New Roman"/>
          <w:sz w:val="24"/>
          <w:szCs w:val="24"/>
        </w:rPr>
        <w:t xml:space="preserve"> las tesis aisladas tienen una función </w:t>
      </w:r>
      <w:r w:rsidR="00140BCD" w:rsidRPr="008C2070">
        <w:rPr>
          <w:rFonts w:ascii="Times New Roman" w:hAnsi="Times New Roman" w:cs="Times New Roman"/>
          <w:sz w:val="24"/>
          <w:szCs w:val="24"/>
        </w:rPr>
        <w:t xml:space="preserve">como principios o reglas dependiendo del tipo de caso que resuelven. Para cuestiones particulares como lo son todas las relacionadas con la COVID19, estas tienen un papel de reglas; sin embargo, en aquello relacionado con las obligaciones estatales parecen funcionar como principios. </w:t>
      </w:r>
      <w:r w:rsidR="00411EEC" w:rsidRPr="008C2070">
        <w:rPr>
          <w:rFonts w:ascii="Times New Roman" w:hAnsi="Times New Roman" w:cs="Times New Roman"/>
          <w:sz w:val="24"/>
          <w:szCs w:val="24"/>
        </w:rPr>
        <w:t>En general</w:t>
      </w:r>
      <w:r w:rsidR="00C10746" w:rsidRPr="008C2070">
        <w:rPr>
          <w:rFonts w:ascii="Times New Roman" w:hAnsi="Times New Roman" w:cs="Times New Roman"/>
          <w:sz w:val="24"/>
          <w:szCs w:val="24"/>
        </w:rPr>
        <w:t>,</w:t>
      </w:r>
      <w:r w:rsidR="00411EEC" w:rsidRPr="008C2070">
        <w:rPr>
          <w:rFonts w:ascii="Times New Roman" w:hAnsi="Times New Roman" w:cs="Times New Roman"/>
          <w:sz w:val="24"/>
          <w:szCs w:val="24"/>
        </w:rPr>
        <w:t xml:space="preserve"> es posible notar que las tesis aisladas </w:t>
      </w:r>
      <w:r w:rsidR="008F2DF6" w:rsidRPr="008C2070">
        <w:rPr>
          <w:rFonts w:ascii="Times New Roman" w:hAnsi="Times New Roman" w:cs="Times New Roman"/>
          <w:sz w:val="24"/>
          <w:szCs w:val="24"/>
        </w:rPr>
        <w:t xml:space="preserve">son en volumen mayores que las jurisprudencias y </w:t>
      </w:r>
      <w:r w:rsidR="00140BCD" w:rsidRPr="008C2070">
        <w:rPr>
          <w:rFonts w:ascii="Times New Roman" w:hAnsi="Times New Roman" w:cs="Times New Roman"/>
          <w:sz w:val="24"/>
          <w:szCs w:val="24"/>
        </w:rPr>
        <w:t xml:space="preserve">que </w:t>
      </w:r>
      <w:r w:rsidR="00570E2F" w:rsidRPr="008C2070">
        <w:rPr>
          <w:rFonts w:ascii="Times New Roman" w:hAnsi="Times New Roman" w:cs="Times New Roman"/>
          <w:sz w:val="24"/>
          <w:szCs w:val="24"/>
        </w:rPr>
        <w:t>una gran cantidad de criterios</w:t>
      </w:r>
      <w:r w:rsidR="008F2DF6" w:rsidRPr="008C2070">
        <w:rPr>
          <w:rFonts w:ascii="Times New Roman" w:hAnsi="Times New Roman" w:cs="Times New Roman"/>
          <w:sz w:val="24"/>
          <w:szCs w:val="24"/>
        </w:rPr>
        <w:t xml:space="preserve"> se encuentran en ellas</w:t>
      </w:r>
      <w:r w:rsidR="00570E2F" w:rsidRPr="008C2070">
        <w:rPr>
          <w:rFonts w:ascii="Times New Roman" w:hAnsi="Times New Roman" w:cs="Times New Roman"/>
          <w:sz w:val="24"/>
          <w:szCs w:val="24"/>
        </w:rPr>
        <w:t xml:space="preserve">. Se espera que con la reforma judicial de 2021 se puedan crear más jurisprudencias por mayoría de razón que permitan revertir esta tendencia. </w:t>
      </w:r>
    </w:p>
    <w:p w14:paraId="54A71053" w14:textId="0324A2D6" w:rsidR="00570E2F" w:rsidRPr="008C2070" w:rsidRDefault="00570E2F"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En los contenidos de ambos tipos de tesis se observan algunos temas problemáticos para la adecuada g</w:t>
      </w:r>
      <w:r w:rsidR="00556CCC" w:rsidRPr="008C2070">
        <w:rPr>
          <w:rFonts w:ascii="Times New Roman" w:hAnsi="Times New Roman" w:cs="Times New Roman"/>
          <w:sz w:val="24"/>
          <w:szCs w:val="24"/>
        </w:rPr>
        <w:t xml:space="preserve">arantía del derecho. En </w:t>
      </w:r>
      <w:r w:rsidR="00A73504" w:rsidRPr="008C2070">
        <w:rPr>
          <w:rFonts w:ascii="Times New Roman" w:hAnsi="Times New Roman" w:cs="Times New Roman"/>
          <w:sz w:val="24"/>
          <w:szCs w:val="24"/>
        </w:rPr>
        <w:t>especial</w:t>
      </w:r>
      <w:r w:rsidR="00556CCC" w:rsidRPr="008C2070">
        <w:rPr>
          <w:rFonts w:ascii="Times New Roman" w:hAnsi="Times New Roman" w:cs="Times New Roman"/>
          <w:sz w:val="24"/>
          <w:szCs w:val="24"/>
        </w:rPr>
        <w:t xml:space="preserve"> lo relativo al financiamiento en el que se menciona que</w:t>
      </w:r>
      <w:r w:rsidR="00C10746" w:rsidRPr="008C2070">
        <w:rPr>
          <w:rFonts w:ascii="Times New Roman" w:hAnsi="Times New Roman" w:cs="Times New Roman"/>
          <w:sz w:val="24"/>
          <w:szCs w:val="24"/>
        </w:rPr>
        <w:t>,</w:t>
      </w:r>
      <w:r w:rsidR="00556CCC" w:rsidRPr="008C2070">
        <w:rPr>
          <w:rFonts w:ascii="Times New Roman" w:hAnsi="Times New Roman" w:cs="Times New Roman"/>
          <w:sz w:val="24"/>
          <w:szCs w:val="24"/>
        </w:rPr>
        <w:t xml:space="preserve"> solo por existir un sistema público y privado de salud, est</w:t>
      </w:r>
      <w:r w:rsidR="00C10746" w:rsidRPr="008C2070">
        <w:rPr>
          <w:rFonts w:ascii="Times New Roman" w:hAnsi="Times New Roman" w:cs="Times New Roman"/>
          <w:sz w:val="24"/>
          <w:szCs w:val="24"/>
        </w:rPr>
        <w:t>e</w:t>
      </w:r>
      <w:r w:rsidR="00556CCC" w:rsidRPr="008C2070">
        <w:rPr>
          <w:rFonts w:ascii="Times New Roman" w:hAnsi="Times New Roman" w:cs="Times New Roman"/>
          <w:sz w:val="24"/>
          <w:szCs w:val="24"/>
        </w:rPr>
        <w:t xml:space="preserve"> debe ser mixt</w:t>
      </w:r>
      <w:r w:rsidR="00C10746" w:rsidRPr="008C2070">
        <w:rPr>
          <w:rFonts w:ascii="Times New Roman" w:hAnsi="Times New Roman" w:cs="Times New Roman"/>
          <w:sz w:val="24"/>
          <w:szCs w:val="24"/>
        </w:rPr>
        <w:t>o</w:t>
      </w:r>
      <w:r w:rsidR="00556CCC" w:rsidRPr="008C2070">
        <w:rPr>
          <w:rFonts w:ascii="Times New Roman" w:hAnsi="Times New Roman" w:cs="Times New Roman"/>
          <w:sz w:val="24"/>
          <w:szCs w:val="24"/>
        </w:rPr>
        <w:t xml:space="preserve">. Se </w:t>
      </w:r>
      <w:r w:rsidR="00A73504" w:rsidRPr="008C2070">
        <w:rPr>
          <w:rFonts w:ascii="Times New Roman" w:hAnsi="Times New Roman" w:cs="Times New Roman"/>
          <w:sz w:val="24"/>
          <w:szCs w:val="24"/>
        </w:rPr>
        <w:t>considera</w:t>
      </w:r>
      <w:r w:rsidR="00556CCC" w:rsidRPr="008C2070">
        <w:rPr>
          <w:rFonts w:ascii="Times New Roman" w:hAnsi="Times New Roman" w:cs="Times New Roman"/>
          <w:sz w:val="24"/>
          <w:szCs w:val="24"/>
        </w:rPr>
        <w:t xml:space="preserve"> esta</w:t>
      </w:r>
      <w:r w:rsidR="00C10746" w:rsidRPr="008C2070">
        <w:rPr>
          <w:rFonts w:ascii="Times New Roman" w:hAnsi="Times New Roman" w:cs="Times New Roman"/>
          <w:sz w:val="24"/>
          <w:szCs w:val="24"/>
        </w:rPr>
        <w:t xml:space="preserve"> visión</w:t>
      </w:r>
      <w:r w:rsidR="00556CCC" w:rsidRPr="008C2070">
        <w:rPr>
          <w:rFonts w:ascii="Times New Roman" w:hAnsi="Times New Roman" w:cs="Times New Roman"/>
          <w:sz w:val="24"/>
          <w:szCs w:val="24"/>
        </w:rPr>
        <w:t xml:space="preserve"> </w:t>
      </w:r>
      <w:r w:rsidR="00A73504" w:rsidRPr="008C2070">
        <w:rPr>
          <w:rFonts w:ascii="Times New Roman" w:hAnsi="Times New Roman" w:cs="Times New Roman"/>
          <w:sz w:val="24"/>
          <w:szCs w:val="24"/>
        </w:rPr>
        <w:t>como</w:t>
      </w:r>
      <w:r w:rsidR="00556CCC" w:rsidRPr="008C2070">
        <w:rPr>
          <w:rFonts w:ascii="Times New Roman" w:hAnsi="Times New Roman" w:cs="Times New Roman"/>
          <w:sz w:val="24"/>
          <w:szCs w:val="24"/>
        </w:rPr>
        <w:t xml:space="preserve"> una apreciación difícil, </w:t>
      </w:r>
      <w:r w:rsidR="00A73504" w:rsidRPr="008C2070">
        <w:rPr>
          <w:rFonts w:ascii="Times New Roman" w:hAnsi="Times New Roman" w:cs="Times New Roman"/>
          <w:sz w:val="24"/>
          <w:szCs w:val="24"/>
        </w:rPr>
        <w:t>ya que,</w:t>
      </w:r>
      <w:r w:rsidR="00556CCC" w:rsidRPr="008C2070">
        <w:rPr>
          <w:rFonts w:ascii="Times New Roman" w:hAnsi="Times New Roman" w:cs="Times New Roman"/>
          <w:sz w:val="24"/>
          <w:szCs w:val="24"/>
        </w:rPr>
        <w:t xml:space="preserve"> sin importar el componente del sistema de salud, el Estado tiene una obligación de hacer para ambos y distintos tipos de deberes para la salud poblacional. En este sentido, el </w:t>
      </w:r>
      <w:r w:rsidR="00A73504" w:rsidRPr="008C2070">
        <w:rPr>
          <w:rFonts w:ascii="Times New Roman" w:hAnsi="Times New Roman" w:cs="Times New Roman"/>
          <w:sz w:val="24"/>
          <w:szCs w:val="24"/>
        </w:rPr>
        <w:t>financiamiento</w:t>
      </w:r>
      <w:r w:rsidR="00556CCC" w:rsidRPr="008C2070">
        <w:rPr>
          <w:rFonts w:ascii="Times New Roman" w:hAnsi="Times New Roman" w:cs="Times New Roman"/>
          <w:sz w:val="24"/>
          <w:szCs w:val="24"/>
        </w:rPr>
        <w:t xml:space="preserve"> en salud no puede ser mixto para todos los tipos de actividades que realiza el sistema, ya que aquellas relacionadas con la salud pública, </w:t>
      </w:r>
      <w:r w:rsidR="00A73504" w:rsidRPr="008C2070">
        <w:rPr>
          <w:rFonts w:ascii="Times New Roman" w:hAnsi="Times New Roman" w:cs="Times New Roman"/>
          <w:sz w:val="24"/>
          <w:szCs w:val="24"/>
        </w:rPr>
        <w:t xml:space="preserve">control de vectores, </w:t>
      </w:r>
      <w:r w:rsidR="00556CCC" w:rsidRPr="008C2070">
        <w:rPr>
          <w:rFonts w:ascii="Times New Roman" w:hAnsi="Times New Roman" w:cs="Times New Roman"/>
          <w:sz w:val="24"/>
          <w:szCs w:val="24"/>
        </w:rPr>
        <w:t xml:space="preserve">regulación de riesgos sanitarios, entre otras </w:t>
      </w:r>
      <w:r w:rsidR="00A73504" w:rsidRPr="008C2070">
        <w:rPr>
          <w:rFonts w:ascii="Times New Roman" w:hAnsi="Times New Roman" w:cs="Times New Roman"/>
          <w:sz w:val="24"/>
          <w:szCs w:val="24"/>
        </w:rPr>
        <w:t>requiere forzosamente de dinero público. Asimismo, si se mantienen dichas diferencias entre el financiamiento</w:t>
      </w:r>
      <w:r w:rsidR="00C10746" w:rsidRPr="008C2070">
        <w:rPr>
          <w:rFonts w:ascii="Times New Roman" w:hAnsi="Times New Roman" w:cs="Times New Roman"/>
          <w:sz w:val="24"/>
          <w:szCs w:val="24"/>
        </w:rPr>
        <w:t>,</w:t>
      </w:r>
      <w:r w:rsidR="00A73504" w:rsidRPr="008C2070">
        <w:rPr>
          <w:rFonts w:ascii="Times New Roman" w:hAnsi="Times New Roman" w:cs="Times New Roman"/>
          <w:sz w:val="24"/>
          <w:szCs w:val="24"/>
        </w:rPr>
        <w:t xml:space="preserve"> existen más argumentos para sostener las inequidades del sistema de salud en términos de acceso a servicios de calidad y tecnología. Lo anterior es así, </w:t>
      </w:r>
      <w:r w:rsidR="00C10746" w:rsidRPr="008C2070">
        <w:rPr>
          <w:rFonts w:ascii="Times New Roman" w:hAnsi="Times New Roman" w:cs="Times New Roman"/>
          <w:sz w:val="24"/>
          <w:szCs w:val="24"/>
        </w:rPr>
        <w:t>porque</w:t>
      </w:r>
      <w:r w:rsidR="00A73504" w:rsidRPr="008C2070">
        <w:rPr>
          <w:rFonts w:ascii="Times New Roman" w:hAnsi="Times New Roman" w:cs="Times New Roman"/>
          <w:sz w:val="24"/>
          <w:szCs w:val="24"/>
        </w:rPr>
        <w:t xml:space="preserve"> se mantiene el paradigma de que quien puede pagar una atención de mayor calidad es quien la tendrá</w:t>
      </w:r>
      <w:r w:rsidR="00411EEC" w:rsidRPr="008C2070">
        <w:rPr>
          <w:rFonts w:ascii="Times New Roman" w:hAnsi="Times New Roman" w:cs="Times New Roman"/>
          <w:sz w:val="24"/>
          <w:szCs w:val="24"/>
        </w:rPr>
        <w:t xml:space="preserve">, razonamiento que </w:t>
      </w:r>
      <w:r w:rsidR="008F2DF6" w:rsidRPr="008C2070">
        <w:rPr>
          <w:rFonts w:ascii="Times New Roman" w:hAnsi="Times New Roman" w:cs="Times New Roman"/>
          <w:sz w:val="24"/>
          <w:szCs w:val="24"/>
        </w:rPr>
        <w:t>juega</w:t>
      </w:r>
      <w:r w:rsidR="00411EEC" w:rsidRPr="008C2070">
        <w:rPr>
          <w:rFonts w:ascii="Times New Roman" w:hAnsi="Times New Roman" w:cs="Times New Roman"/>
          <w:sz w:val="24"/>
          <w:szCs w:val="24"/>
        </w:rPr>
        <w:t xml:space="preserve"> en contra del ideal de tener cobertura universal en salud</w:t>
      </w:r>
      <w:r w:rsidR="00A73504" w:rsidRPr="008C2070">
        <w:rPr>
          <w:rFonts w:ascii="Times New Roman" w:hAnsi="Times New Roman" w:cs="Times New Roman"/>
          <w:sz w:val="24"/>
          <w:szCs w:val="24"/>
        </w:rPr>
        <w:t xml:space="preserve">. </w:t>
      </w:r>
      <w:r w:rsidR="00411EEC" w:rsidRPr="008C2070">
        <w:rPr>
          <w:rFonts w:ascii="Times New Roman" w:hAnsi="Times New Roman" w:cs="Times New Roman"/>
          <w:sz w:val="24"/>
          <w:szCs w:val="24"/>
        </w:rPr>
        <w:t xml:space="preserve">Es relevante que </w:t>
      </w:r>
      <w:r w:rsidR="008F2DF6" w:rsidRPr="008C2070">
        <w:rPr>
          <w:rFonts w:ascii="Times New Roman" w:hAnsi="Times New Roman" w:cs="Times New Roman"/>
          <w:sz w:val="24"/>
          <w:szCs w:val="24"/>
        </w:rPr>
        <w:t>ministros</w:t>
      </w:r>
      <w:r w:rsidR="00411EEC" w:rsidRPr="008C2070">
        <w:rPr>
          <w:rFonts w:ascii="Times New Roman" w:hAnsi="Times New Roman" w:cs="Times New Roman"/>
          <w:sz w:val="24"/>
          <w:szCs w:val="24"/>
        </w:rPr>
        <w:t xml:space="preserve"> y magistrados </w:t>
      </w:r>
      <w:r w:rsidR="008F2DF6" w:rsidRPr="008C2070">
        <w:rPr>
          <w:rFonts w:ascii="Times New Roman" w:hAnsi="Times New Roman" w:cs="Times New Roman"/>
          <w:sz w:val="24"/>
          <w:szCs w:val="24"/>
        </w:rPr>
        <w:t>conozcan</w:t>
      </w:r>
      <w:r w:rsidR="00411EEC" w:rsidRPr="008C2070">
        <w:rPr>
          <w:rFonts w:ascii="Times New Roman" w:hAnsi="Times New Roman" w:cs="Times New Roman"/>
          <w:sz w:val="24"/>
          <w:szCs w:val="24"/>
        </w:rPr>
        <w:t xml:space="preserve"> la importancia del </w:t>
      </w:r>
      <w:r w:rsidR="005824F1" w:rsidRPr="008C2070">
        <w:rPr>
          <w:rFonts w:ascii="Times New Roman" w:hAnsi="Times New Roman" w:cs="Times New Roman"/>
          <w:sz w:val="24"/>
          <w:szCs w:val="24"/>
        </w:rPr>
        <w:t>financiamiento</w:t>
      </w:r>
      <w:r w:rsidR="00411EEC" w:rsidRPr="008C2070">
        <w:rPr>
          <w:rFonts w:ascii="Times New Roman" w:hAnsi="Times New Roman" w:cs="Times New Roman"/>
          <w:sz w:val="24"/>
          <w:szCs w:val="24"/>
        </w:rPr>
        <w:t xml:space="preserve"> e</w:t>
      </w:r>
      <w:r w:rsidR="00C10746" w:rsidRPr="008C2070">
        <w:rPr>
          <w:rFonts w:ascii="Times New Roman" w:hAnsi="Times New Roman" w:cs="Times New Roman"/>
          <w:sz w:val="24"/>
          <w:szCs w:val="24"/>
        </w:rPr>
        <w:t>n</w:t>
      </w:r>
      <w:r w:rsidR="00411EEC" w:rsidRPr="008C2070">
        <w:rPr>
          <w:rFonts w:ascii="Times New Roman" w:hAnsi="Times New Roman" w:cs="Times New Roman"/>
          <w:sz w:val="24"/>
          <w:szCs w:val="24"/>
        </w:rPr>
        <w:t xml:space="preserve"> salud para que</w:t>
      </w:r>
      <w:r w:rsidR="00C10746" w:rsidRPr="008C2070">
        <w:rPr>
          <w:rFonts w:ascii="Times New Roman" w:hAnsi="Times New Roman" w:cs="Times New Roman"/>
          <w:sz w:val="24"/>
          <w:szCs w:val="24"/>
        </w:rPr>
        <w:t>,</w:t>
      </w:r>
      <w:r w:rsidR="00411EEC" w:rsidRPr="008C2070">
        <w:rPr>
          <w:rFonts w:ascii="Times New Roman" w:hAnsi="Times New Roman" w:cs="Times New Roman"/>
          <w:sz w:val="24"/>
          <w:szCs w:val="24"/>
        </w:rPr>
        <w:t xml:space="preserve"> en la medida de lo posible</w:t>
      </w:r>
      <w:r w:rsidR="00C10746" w:rsidRPr="008C2070">
        <w:rPr>
          <w:rFonts w:ascii="Times New Roman" w:hAnsi="Times New Roman" w:cs="Times New Roman"/>
          <w:sz w:val="24"/>
          <w:szCs w:val="24"/>
        </w:rPr>
        <w:t>,</w:t>
      </w:r>
      <w:r w:rsidR="00411EEC" w:rsidRPr="008C2070">
        <w:rPr>
          <w:rFonts w:ascii="Times New Roman" w:hAnsi="Times New Roman" w:cs="Times New Roman"/>
          <w:sz w:val="24"/>
          <w:szCs w:val="24"/>
        </w:rPr>
        <w:t xml:space="preserve"> se pueda fallar este tema con mayor </w:t>
      </w:r>
      <w:r w:rsidR="005824F1" w:rsidRPr="008C2070">
        <w:rPr>
          <w:rFonts w:ascii="Times New Roman" w:hAnsi="Times New Roman" w:cs="Times New Roman"/>
          <w:sz w:val="24"/>
          <w:szCs w:val="24"/>
        </w:rPr>
        <w:t>conocimiento</w:t>
      </w:r>
      <w:r w:rsidR="00411EEC" w:rsidRPr="008C2070">
        <w:rPr>
          <w:rFonts w:ascii="Times New Roman" w:hAnsi="Times New Roman" w:cs="Times New Roman"/>
          <w:sz w:val="24"/>
          <w:szCs w:val="24"/>
        </w:rPr>
        <w:t xml:space="preserve"> de causa. </w:t>
      </w:r>
    </w:p>
    <w:p w14:paraId="45D434AC" w14:textId="666C6675" w:rsidR="008F2DF6" w:rsidRPr="008C2070" w:rsidRDefault="008F2DF6"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 xml:space="preserve">Asimismo, es posible </w:t>
      </w:r>
      <w:r w:rsidR="005824F1" w:rsidRPr="008C2070">
        <w:rPr>
          <w:rFonts w:ascii="Times New Roman" w:hAnsi="Times New Roman" w:cs="Times New Roman"/>
          <w:sz w:val="24"/>
          <w:szCs w:val="24"/>
        </w:rPr>
        <w:t>subrayar que</w:t>
      </w:r>
      <w:r w:rsidR="00C10746" w:rsidRPr="008C2070">
        <w:rPr>
          <w:rFonts w:ascii="Times New Roman" w:hAnsi="Times New Roman" w:cs="Times New Roman"/>
          <w:sz w:val="24"/>
          <w:szCs w:val="24"/>
        </w:rPr>
        <w:t>,</w:t>
      </w:r>
      <w:r w:rsidR="005824F1" w:rsidRPr="008C2070">
        <w:rPr>
          <w:rFonts w:ascii="Times New Roman" w:hAnsi="Times New Roman" w:cs="Times New Roman"/>
          <w:sz w:val="24"/>
          <w:szCs w:val="24"/>
        </w:rPr>
        <w:t xml:space="preserve"> en dichos criterios</w:t>
      </w:r>
      <w:r w:rsidR="00C10746" w:rsidRPr="008C2070">
        <w:rPr>
          <w:rFonts w:ascii="Times New Roman" w:hAnsi="Times New Roman" w:cs="Times New Roman"/>
          <w:sz w:val="24"/>
          <w:szCs w:val="24"/>
        </w:rPr>
        <w:t>,</w:t>
      </w:r>
      <w:r w:rsidR="005824F1" w:rsidRPr="008C2070">
        <w:rPr>
          <w:rFonts w:ascii="Times New Roman" w:hAnsi="Times New Roman" w:cs="Times New Roman"/>
          <w:sz w:val="24"/>
          <w:szCs w:val="24"/>
        </w:rPr>
        <w:t xml:space="preserve"> se observan los problemas más apremiantes de la administración pública en salud. Un buen ejemplo son los casos de medicamentos que no se encuentran en los catálogos </w:t>
      </w:r>
      <w:r w:rsidR="0069661F" w:rsidRPr="008C2070">
        <w:rPr>
          <w:rFonts w:ascii="Times New Roman" w:hAnsi="Times New Roman" w:cs="Times New Roman"/>
          <w:sz w:val="24"/>
          <w:szCs w:val="24"/>
        </w:rPr>
        <w:t>o dentro del Compendio Nacional de Insumos. Es sabido que</w:t>
      </w:r>
      <w:r w:rsidR="009A12BB" w:rsidRPr="008C2070">
        <w:rPr>
          <w:rFonts w:ascii="Times New Roman" w:hAnsi="Times New Roman" w:cs="Times New Roman"/>
          <w:sz w:val="24"/>
          <w:szCs w:val="24"/>
        </w:rPr>
        <w:t xml:space="preserve"> a</w:t>
      </w:r>
      <w:r w:rsidR="0069661F" w:rsidRPr="008C2070">
        <w:rPr>
          <w:rFonts w:ascii="Times New Roman" w:hAnsi="Times New Roman" w:cs="Times New Roman"/>
          <w:sz w:val="24"/>
          <w:szCs w:val="24"/>
        </w:rPr>
        <w:t xml:space="preserve"> </w:t>
      </w:r>
      <w:r w:rsidR="009A12BB" w:rsidRPr="008C2070">
        <w:rPr>
          <w:rFonts w:ascii="Times New Roman" w:hAnsi="Times New Roman" w:cs="Times New Roman"/>
          <w:sz w:val="24"/>
          <w:szCs w:val="24"/>
        </w:rPr>
        <w:t>partir</w:t>
      </w:r>
      <w:r w:rsidR="0069661F" w:rsidRPr="008C2070">
        <w:rPr>
          <w:rFonts w:ascii="Times New Roman" w:hAnsi="Times New Roman" w:cs="Times New Roman"/>
          <w:sz w:val="24"/>
          <w:szCs w:val="24"/>
        </w:rPr>
        <w:t xml:space="preserve"> de ciertas demandas de amparo</w:t>
      </w:r>
      <w:r w:rsidR="00C10746" w:rsidRPr="008C2070">
        <w:rPr>
          <w:rFonts w:ascii="Times New Roman" w:hAnsi="Times New Roman" w:cs="Times New Roman"/>
          <w:sz w:val="24"/>
          <w:szCs w:val="24"/>
        </w:rPr>
        <w:t>,</w:t>
      </w:r>
      <w:r w:rsidR="0069661F" w:rsidRPr="008C2070">
        <w:rPr>
          <w:rFonts w:ascii="Times New Roman" w:hAnsi="Times New Roman" w:cs="Times New Roman"/>
          <w:sz w:val="24"/>
          <w:szCs w:val="24"/>
        </w:rPr>
        <w:t xml:space="preserve"> en especial aquellas relacionadas con enfermedades de baja incidencia, algunas instituciones prestadoras de servicios públicas han sido puedas en problemas que pueden implicar desviaciones </w:t>
      </w:r>
      <w:r w:rsidR="009A12BB" w:rsidRPr="008C2070">
        <w:rPr>
          <w:rFonts w:ascii="Times New Roman" w:hAnsi="Times New Roman" w:cs="Times New Roman"/>
          <w:sz w:val="24"/>
          <w:szCs w:val="24"/>
        </w:rPr>
        <w:t>financieras</w:t>
      </w:r>
      <w:r w:rsidR="0069661F" w:rsidRPr="008C2070">
        <w:rPr>
          <w:rFonts w:ascii="Times New Roman" w:hAnsi="Times New Roman" w:cs="Times New Roman"/>
          <w:sz w:val="24"/>
          <w:szCs w:val="24"/>
        </w:rPr>
        <w:t xml:space="preserve"> importantes por el costo de los insumos</w:t>
      </w:r>
      <w:r w:rsidR="009A12BB" w:rsidRPr="008C2070">
        <w:rPr>
          <w:rFonts w:ascii="Times New Roman" w:hAnsi="Times New Roman" w:cs="Times New Roman"/>
          <w:sz w:val="24"/>
          <w:szCs w:val="24"/>
        </w:rPr>
        <w:t>.</w:t>
      </w:r>
      <w:r w:rsidR="009A12BB" w:rsidRPr="008C2070">
        <w:rPr>
          <w:rStyle w:val="Refdenotaalpie"/>
          <w:rFonts w:ascii="Times New Roman" w:hAnsi="Times New Roman" w:cs="Times New Roman"/>
          <w:sz w:val="24"/>
          <w:szCs w:val="24"/>
        </w:rPr>
        <w:footnoteReference w:id="72"/>
      </w:r>
      <w:r w:rsidR="00C3459F" w:rsidRPr="008C2070">
        <w:rPr>
          <w:rFonts w:ascii="Times New Roman" w:hAnsi="Times New Roman" w:cs="Times New Roman"/>
          <w:sz w:val="24"/>
          <w:szCs w:val="24"/>
        </w:rPr>
        <w:t xml:space="preserve"> Derivado de esta situación</w:t>
      </w:r>
      <w:r w:rsidR="00D77618" w:rsidRPr="008C2070">
        <w:rPr>
          <w:rFonts w:ascii="Times New Roman" w:hAnsi="Times New Roman" w:cs="Times New Roman"/>
          <w:sz w:val="24"/>
          <w:szCs w:val="24"/>
        </w:rPr>
        <w:t>,</w:t>
      </w:r>
      <w:r w:rsidR="00C3459F" w:rsidRPr="008C2070">
        <w:rPr>
          <w:rFonts w:ascii="Times New Roman" w:hAnsi="Times New Roman" w:cs="Times New Roman"/>
          <w:sz w:val="24"/>
          <w:szCs w:val="24"/>
        </w:rPr>
        <w:t xml:space="preserve"> llama la atención que más de 2 tesis hablen sobre </w:t>
      </w:r>
      <w:r w:rsidR="00257E0C" w:rsidRPr="008C2070">
        <w:rPr>
          <w:rFonts w:ascii="Times New Roman" w:hAnsi="Times New Roman" w:cs="Times New Roman"/>
          <w:sz w:val="24"/>
          <w:szCs w:val="24"/>
        </w:rPr>
        <w:t xml:space="preserve">la obligación de proveer medicamentos incluidos o </w:t>
      </w:r>
      <w:r w:rsidR="00257E0C" w:rsidRPr="008C2070">
        <w:rPr>
          <w:rFonts w:ascii="Times New Roman" w:hAnsi="Times New Roman" w:cs="Times New Roman"/>
          <w:sz w:val="24"/>
          <w:szCs w:val="24"/>
        </w:rPr>
        <w:lastRenderedPageBreak/>
        <w:t xml:space="preserve">no incluidos en el Compendio y hasta de la suspensión en este tipo de casos. </w:t>
      </w:r>
      <w:r w:rsidR="00257550" w:rsidRPr="008C2070">
        <w:rPr>
          <w:rFonts w:ascii="Times New Roman" w:hAnsi="Times New Roman" w:cs="Times New Roman"/>
          <w:sz w:val="24"/>
          <w:szCs w:val="24"/>
        </w:rPr>
        <w:t>Otro ejemplo, lo constituyen los casos relacionados con el virus que ocasiona la COVID19 y las decisiones del Poder Ejecutivo relativo a la provisión de insumos y al programa de vacunación para personas menores de edad. Sobre estos últimos</w:t>
      </w:r>
      <w:r w:rsidR="00D77618" w:rsidRPr="008C2070">
        <w:rPr>
          <w:rFonts w:ascii="Times New Roman" w:hAnsi="Times New Roman" w:cs="Times New Roman"/>
          <w:sz w:val="24"/>
          <w:szCs w:val="24"/>
        </w:rPr>
        <w:t>,</w:t>
      </w:r>
      <w:r w:rsidR="00257550" w:rsidRPr="008C2070">
        <w:rPr>
          <w:rFonts w:ascii="Times New Roman" w:hAnsi="Times New Roman" w:cs="Times New Roman"/>
          <w:sz w:val="24"/>
          <w:szCs w:val="24"/>
        </w:rPr>
        <w:t xml:space="preserve"> los criterios son claros al asentar una separación con las determinaciones administrativas</w:t>
      </w:r>
      <w:r w:rsidR="00697933" w:rsidRPr="008C2070">
        <w:rPr>
          <w:rFonts w:ascii="Times New Roman" w:hAnsi="Times New Roman" w:cs="Times New Roman"/>
          <w:sz w:val="24"/>
          <w:szCs w:val="24"/>
        </w:rPr>
        <w:t xml:space="preserve"> o de particulares solo para el caso </w:t>
      </w:r>
      <w:r w:rsidR="00576FDA" w:rsidRPr="008C2070">
        <w:rPr>
          <w:rFonts w:ascii="Times New Roman" w:hAnsi="Times New Roman" w:cs="Times New Roman"/>
          <w:sz w:val="24"/>
          <w:szCs w:val="24"/>
        </w:rPr>
        <w:t>de autoridades</w:t>
      </w:r>
      <w:r w:rsidR="00697933" w:rsidRPr="008C2070">
        <w:rPr>
          <w:rFonts w:ascii="Times New Roman" w:hAnsi="Times New Roman" w:cs="Times New Roman"/>
          <w:sz w:val="24"/>
          <w:szCs w:val="24"/>
        </w:rPr>
        <w:t xml:space="preserve"> patronales</w:t>
      </w:r>
      <w:r w:rsidR="00257550" w:rsidRPr="008C2070">
        <w:rPr>
          <w:rFonts w:ascii="Times New Roman" w:hAnsi="Times New Roman" w:cs="Times New Roman"/>
          <w:sz w:val="24"/>
          <w:szCs w:val="24"/>
        </w:rPr>
        <w:t xml:space="preserve">.  </w:t>
      </w:r>
    </w:p>
    <w:p w14:paraId="0FEC57DE" w14:textId="51A10CB0" w:rsidR="00257E0C" w:rsidRPr="008C2070" w:rsidRDefault="00257E0C"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Sobre el contenido del derecho a la protección de la salud am</w:t>
      </w:r>
      <w:r w:rsidR="00576FDA" w:rsidRPr="008C2070">
        <w:rPr>
          <w:rFonts w:ascii="Times New Roman" w:hAnsi="Times New Roman" w:cs="Times New Roman"/>
          <w:sz w:val="24"/>
          <w:szCs w:val="24"/>
        </w:rPr>
        <w:t>b</w:t>
      </w:r>
      <w:r w:rsidRPr="008C2070">
        <w:rPr>
          <w:rFonts w:ascii="Times New Roman" w:hAnsi="Times New Roman" w:cs="Times New Roman"/>
          <w:sz w:val="24"/>
          <w:szCs w:val="24"/>
        </w:rPr>
        <w:t xml:space="preserve">os tipos de criterios son claros en adoptar parámetros </w:t>
      </w:r>
      <w:r w:rsidR="002D0234" w:rsidRPr="008C2070">
        <w:rPr>
          <w:rFonts w:ascii="Times New Roman" w:hAnsi="Times New Roman" w:cs="Times New Roman"/>
          <w:sz w:val="24"/>
          <w:szCs w:val="24"/>
        </w:rPr>
        <w:t>internacionales</w:t>
      </w:r>
      <w:r w:rsidRPr="008C2070">
        <w:rPr>
          <w:rFonts w:ascii="Times New Roman" w:hAnsi="Times New Roman" w:cs="Times New Roman"/>
          <w:sz w:val="24"/>
          <w:szCs w:val="24"/>
        </w:rPr>
        <w:t xml:space="preserve"> </w:t>
      </w:r>
      <w:r w:rsidR="002D0234" w:rsidRPr="008C2070">
        <w:rPr>
          <w:rFonts w:ascii="Times New Roman" w:hAnsi="Times New Roman" w:cs="Times New Roman"/>
          <w:sz w:val="24"/>
          <w:szCs w:val="24"/>
        </w:rPr>
        <w:t xml:space="preserve">y retomar las obligaciones del Estado que se han manifestado en diversos instrumentos. Algo relevante es el test propuesto </w:t>
      </w:r>
      <w:r w:rsidR="00977354" w:rsidRPr="008C2070">
        <w:rPr>
          <w:rFonts w:ascii="Times New Roman" w:hAnsi="Times New Roman" w:cs="Times New Roman"/>
          <w:sz w:val="24"/>
          <w:szCs w:val="24"/>
        </w:rPr>
        <w:t xml:space="preserve">por la tesis con número de registro </w:t>
      </w:r>
      <w:r w:rsidR="000E68EC" w:rsidRPr="008C2070">
        <w:rPr>
          <w:rFonts w:ascii="Times New Roman" w:hAnsi="Times New Roman" w:cs="Times New Roman"/>
          <w:sz w:val="24"/>
          <w:szCs w:val="24"/>
          <w:lang w:val="es-ES"/>
        </w:rPr>
        <w:t xml:space="preserve">2022888. En esa tesis se proponen los </w:t>
      </w:r>
      <w:r w:rsidR="00290FF5" w:rsidRPr="008C2070">
        <w:rPr>
          <w:rFonts w:ascii="Times New Roman" w:hAnsi="Times New Roman" w:cs="Times New Roman"/>
          <w:sz w:val="24"/>
          <w:szCs w:val="24"/>
          <w:lang w:val="es-ES"/>
        </w:rPr>
        <w:t>criterios</w:t>
      </w:r>
      <w:r w:rsidR="000E68EC" w:rsidRPr="008C2070">
        <w:rPr>
          <w:rFonts w:ascii="Times New Roman" w:hAnsi="Times New Roman" w:cs="Times New Roman"/>
          <w:sz w:val="24"/>
          <w:szCs w:val="24"/>
          <w:lang w:val="es-ES"/>
        </w:rPr>
        <w:t xml:space="preserve"> para evaluar si las autoridades </w:t>
      </w:r>
      <w:r w:rsidR="00290FF5" w:rsidRPr="008C2070">
        <w:rPr>
          <w:rFonts w:ascii="Times New Roman" w:hAnsi="Times New Roman" w:cs="Times New Roman"/>
          <w:sz w:val="24"/>
          <w:szCs w:val="24"/>
          <w:lang w:val="es-ES"/>
        </w:rPr>
        <w:t>responsables</w:t>
      </w:r>
      <w:r w:rsidR="000E68EC" w:rsidRPr="008C2070">
        <w:rPr>
          <w:rFonts w:ascii="Times New Roman" w:hAnsi="Times New Roman" w:cs="Times New Roman"/>
          <w:sz w:val="24"/>
          <w:szCs w:val="24"/>
          <w:lang w:val="es-ES"/>
        </w:rPr>
        <w:t xml:space="preserve"> del sistema garantizaron el derecho</w:t>
      </w:r>
      <w:r w:rsidR="00290FF5" w:rsidRPr="008C2070">
        <w:rPr>
          <w:rFonts w:ascii="Times New Roman" w:hAnsi="Times New Roman" w:cs="Times New Roman"/>
          <w:sz w:val="24"/>
          <w:szCs w:val="24"/>
          <w:lang w:val="es-ES"/>
        </w:rPr>
        <w:t>.</w:t>
      </w:r>
    </w:p>
    <w:p w14:paraId="229FDF0D" w14:textId="177E2177" w:rsidR="00785FFD" w:rsidRPr="008C2070" w:rsidRDefault="008020E0" w:rsidP="008C2070">
      <w:pPr>
        <w:spacing w:beforeLines="120" w:before="288" w:afterLines="120" w:after="288" w:line="276" w:lineRule="auto"/>
        <w:jc w:val="both"/>
        <w:rPr>
          <w:rFonts w:ascii="Times New Roman" w:hAnsi="Times New Roman" w:cs="Times New Roman"/>
          <w:sz w:val="24"/>
          <w:szCs w:val="24"/>
        </w:rPr>
      </w:pPr>
      <w:r w:rsidRPr="008C2070">
        <w:rPr>
          <w:rFonts w:ascii="Times New Roman" w:hAnsi="Times New Roman" w:cs="Times New Roman"/>
          <w:sz w:val="24"/>
          <w:szCs w:val="24"/>
        </w:rPr>
        <w:t>Para terminar</w:t>
      </w:r>
      <w:r w:rsidR="00371E1E" w:rsidRPr="008C2070">
        <w:rPr>
          <w:rFonts w:ascii="Times New Roman" w:hAnsi="Times New Roman" w:cs="Times New Roman"/>
          <w:sz w:val="24"/>
          <w:szCs w:val="24"/>
        </w:rPr>
        <w:t>,</w:t>
      </w:r>
      <w:r w:rsidRPr="008C2070">
        <w:rPr>
          <w:rFonts w:ascii="Times New Roman" w:hAnsi="Times New Roman" w:cs="Times New Roman"/>
          <w:sz w:val="24"/>
          <w:szCs w:val="24"/>
        </w:rPr>
        <w:t xml:space="preserve"> las interpretaciones dan a entender </w:t>
      </w:r>
      <w:r w:rsidR="00371E1E" w:rsidRPr="008C2070">
        <w:rPr>
          <w:rFonts w:ascii="Times New Roman" w:hAnsi="Times New Roman" w:cs="Times New Roman"/>
          <w:sz w:val="24"/>
          <w:szCs w:val="24"/>
        </w:rPr>
        <w:t>que tanto la SCJN como los TCC han adoptado criterios que</w:t>
      </w:r>
      <w:r w:rsidR="00D77618" w:rsidRPr="008C2070">
        <w:rPr>
          <w:rFonts w:ascii="Times New Roman" w:hAnsi="Times New Roman" w:cs="Times New Roman"/>
          <w:sz w:val="24"/>
          <w:szCs w:val="24"/>
        </w:rPr>
        <w:t>,</w:t>
      </w:r>
      <w:r w:rsidR="00371E1E" w:rsidRPr="008C2070">
        <w:rPr>
          <w:rFonts w:ascii="Times New Roman" w:hAnsi="Times New Roman" w:cs="Times New Roman"/>
          <w:sz w:val="24"/>
          <w:szCs w:val="24"/>
        </w:rPr>
        <w:t xml:space="preserve"> con el pasar del tiempo</w:t>
      </w:r>
      <w:r w:rsidR="00D77618" w:rsidRPr="008C2070">
        <w:rPr>
          <w:rFonts w:ascii="Times New Roman" w:hAnsi="Times New Roman" w:cs="Times New Roman"/>
          <w:sz w:val="24"/>
          <w:szCs w:val="24"/>
        </w:rPr>
        <w:t>,</w:t>
      </w:r>
      <w:r w:rsidR="00371E1E" w:rsidRPr="008C2070">
        <w:rPr>
          <w:rFonts w:ascii="Times New Roman" w:hAnsi="Times New Roman" w:cs="Times New Roman"/>
          <w:sz w:val="24"/>
          <w:szCs w:val="24"/>
        </w:rPr>
        <w:t xml:space="preserve"> buscan brindar claridad sobre el contenido del derecho </w:t>
      </w:r>
      <w:r w:rsidR="009F52B9" w:rsidRPr="008C2070">
        <w:rPr>
          <w:rFonts w:ascii="Times New Roman" w:hAnsi="Times New Roman" w:cs="Times New Roman"/>
          <w:sz w:val="24"/>
          <w:szCs w:val="24"/>
        </w:rPr>
        <w:t>a la</w:t>
      </w:r>
      <w:r w:rsidR="00371E1E" w:rsidRPr="008C2070">
        <w:rPr>
          <w:rFonts w:ascii="Times New Roman" w:hAnsi="Times New Roman" w:cs="Times New Roman"/>
          <w:sz w:val="24"/>
          <w:szCs w:val="24"/>
        </w:rPr>
        <w:t xml:space="preserve"> protección de la salud </w:t>
      </w:r>
      <w:r w:rsidR="009F52B9" w:rsidRPr="008C2070">
        <w:rPr>
          <w:rFonts w:ascii="Times New Roman" w:hAnsi="Times New Roman" w:cs="Times New Roman"/>
          <w:sz w:val="24"/>
          <w:szCs w:val="24"/>
        </w:rPr>
        <w:t>y su manera adecuada de garantizarlo. Sin embargo, reflejan evidentes tensiones con el Poder Ejecutivo</w:t>
      </w:r>
      <w:r w:rsidR="00EA0CCA" w:rsidRPr="008C2070">
        <w:rPr>
          <w:rFonts w:ascii="Times New Roman" w:hAnsi="Times New Roman" w:cs="Times New Roman"/>
          <w:sz w:val="24"/>
          <w:szCs w:val="24"/>
        </w:rPr>
        <w:t xml:space="preserve"> y un problema para este</w:t>
      </w:r>
      <w:r w:rsidR="00D77618" w:rsidRPr="008C2070">
        <w:rPr>
          <w:rFonts w:ascii="Times New Roman" w:hAnsi="Times New Roman" w:cs="Times New Roman"/>
          <w:sz w:val="24"/>
          <w:szCs w:val="24"/>
        </w:rPr>
        <w:t>,</w:t>
      </w:r>
      <w:r w:rsidR="00EA0CCA" w:rsidRPr="008C2070">
        <w:rPr>
          <w:rFonts w:ascii="Times New Roman" w:hAnsi="Times New Roman" w:cs="Times New Roman"/>
          <w:sz w:val="24"/>
          <w:szCs w:val="24"/>
        </w:rPr>
        <w:t xml:space="preserve"> en especial con las jurisprudencias; ya que, con base en lo establecido por la Ley de Amparo los tribunales inferiores </w:t>
      </w:r>
      <w:r w:rsidR="00F6423E" w:rsidRPr="008C2070">
        <w:rPr>
          <w:rFonts w:ascii="Times New Roman" w:hAnsi="Times New Roman" w:cs="Times New Roman"/>
          <w:sz w:val="24"/>
          <w:szCs w:val="24"/>
        </w:rPr>
        <w:t xml:space="preserve">están obligados a considerarlas en sus resoluciones con las limitaciones establecidas en la propia ley. </w:t>
      </w:r>
      <w:r w:rsidR="002A77DD" w:rsidRPr="008C2070">
        <w:rPr>
          <w:rFonts w:ascii="Times New Roman" w:hAnsi="Times New Roman" w:cs="Times New Roman"/>
          <w:sz w:val="24"/>
          <w:szCs w:val="24"/>
        </w:rPr>
        <w:t xml:space="preserve">Las instituciones privadas prestadoras de servicios deberán </w:t>
      </w:r>
      <w:r w:rsidR="00EB77CE" w:rsidRPr="008C2070">
        <w:rPr>
          <w:rFonts w:ascii="Times New Roman" w:hAnsi="Times New Roman" w:cs="Times New Roman"/>
          <w:sz w:val="24"/>
          <w:szCs w:val="24"/>
        </w:rPr>
        <w:t xml:space="preserve">estar atentas de la </w:t>
      </w:r>
      <w:r w:rsidR="00912F5B" w:rsidRPr="008C2070">
        <w:rPr>
          <w:rFonts w:ascii="Times New Roman" w:hAnsi="Times New Roman" w:cs="Times New Roman"/>
          <w:sz w:val="24"/>
          <w:szCs w:val="24"/>
        </w:rPr>
        <w:t>calidad</w:t>
      </w:r>
      <w:r w:rsidR="00EB77CE" w:rsidRPr="008C2070">
        <w:rPr>
          <w:rFonts w:ascii="Times New Roman" w:hAnsi="Times New Roman" w:cs="Times New Roman"/>
          <w:sz w:val="24"/>
          <w:szCs w:val="24"/>
        </w:rPr>
        <w:t xml:space="preserve"> de los servicios que proveen y de la judicialización de este derecho; ya que, podrá ser que el Poder Judicial les lleve a tener problemas de priorización de recursos y financiamiento de no revertirse la tendencia en las fallas que este </w:t>
      </w:r>
      <w:r w:rsidR="00912F5B" w:rsidRPr="008C2070">
        <w:rPr>
          <w:rFonts w:ascii="Times New Roman" w:hAnsi="Times New Roman" w:cs="Times New Roman"/>
          <w:sz w:val="24"/>
          <w:szCs w:val="24"/>
        </w:rPr>
        <w:t xml:space="preserve">actualmente presenta. </w:t>
      </w:r>
    </w:p>
    <w:p w14:paraId="625E4B36" w14:textId="77777777" w:rsidR="003D1DDC" w:rsidRPr="008C2070" w:rsidRDefault="003D1DDC" w:rsidP="008C2070">
      <w:pPr>
        <w:spacing w:beforeLines="120" w:before="288" w:afterLines="120" w:after="288" w:line="276" w:lineRule="auto"/>
        <w:jc w:val="both"/>
        <w:rPr>
          <w:rFonts w:ascii="Times New Roman" w:hAnsi="Times New Roman" w:cs="Times New Roman"/>
          <w:sz w:val="24"/>
          <w:szCs w:val="24"/>
        </w:rPr>
      </w:pPr>
    </w:p>
    <w:p w14:paraId="5478C16F" w14:textId="77777777" w:rsidR="00E37B78" w:rsidRPr="008C2070" w:rsidRDefault="00E37B78" w:rsidP="008C2070">
      <w:pPr>
        <w:spacing w:beforeLines="120" w:before="288" w:afterLines="120" w:after="288" w:line="276" w:lineRule="auto"/>
        <w:jc w:val="both"/>
        <w:rPr>
          <w:rFonts w:ascii="Times New Roman" w:hAnsi="Times New Roman" w:cs="Times New Roman"/>
          <w:sz w:val="24"/>
          <w:szCs w:val="24"/>
        </w:rPr>
      </w:pPr>
    </w:p>
    <w:p w14:paraId="54EB31FC" w14:textId="77777777" w:rsidR="00E37B78" w:rsidRPr="008C2070" w:rsidRDefault="00E37B78" w:rsidP="008C2070">
      <w:pPr>
        <w:spacing w:beforeLines="120" w:before="288" w:afterLines="120" w:after="288" w:line="276" w:lineRule="auto"/>
        <w:jc w:val="both"/>
        <w:rPr>
          <w:rFonts w:ascii="Times New Roman" w:hAnsi="Times New Roman" w:cs="Times New Roman"/>
          <w:sz w:val="24"/>
          <w:szCs w:val="24"/>
        </w:rPr>
      </w:pPr>
    </w:p>
    <w:p w14:paraId="6226E128" w14:textId="77777777" w:rsidR="00E37B78" w:rsidRPr="008C2070" w:rsidRDefault="00E37B78" w:rsidP="008C2070">
      <w:pPr>
        <w:spacing w:beforeLines="120" w:before="288" w:afterLines="120" w:after="288" w:line="276" w:lineRule="auto"/>
        <w:jc w:val="both"/>
        <w:rPr>
          <w:rFonts w:ascii="Times New Roman" w:hAnsi="Times New Roman" w:cs="Times New Roman"/>
          <w:sz w:val="24"/>
          <w:szCs w:val="24"/>
        </w:rPr>
      </w:pPr>
    </w:p>
    <w:p w14:paraId="57DF53B3" w14:textId="77777777" w:rsidR="00A45C80" w:rsidRPr="008C2070" w:rsidRDefault="00A45C80" w:rsidP="008C2070">
      <w:pPr>
        <w:spacing w:beforeLines="120" w:before="288" w:afterLines="120" w:after="288" w:line="276" w:lineRule="auto"/>
        <w:jc w:val="both"/>
        <w:rPr>
          <w:rFonts w:ascii="Times New Roman" w:hAnsi="Times New Roman" w:cs="Times New Roman"/>
          <w:sz w:val="24"/>
          <w:szCs w:val="24"/>
        </w:rPr>
        <w:sectPr w:rsidR="00A45C80" w:rsidRPr="008C2070">
          <w:pgSz w:w="12240" w:h="15840"/>
          <w:pgMar w:top="1417" w:right="1701" w:bottom="1417" w:left="1701" w:header="708" w:footer="708" w:gutter="0"/>
          <w:cols w:space="708"/>
          <w:docGrid w:linePitch="360"/>
        </w:sectPr>
      </w:pPr>
    </w:p>
    <w:p w14:paraId="2FDE2CFF" w14:textId="318CDA0F" w:rsidR="00F85459" w:rsidRPr="00F60289" w:rsidRDefault="00A45C80" w:rsidP="00F60289">
      <w:pPr>
        <w:pStyle w:val="Prrafodelista"/>
        <w:numPr>
          <w:ilvl w:val="0"/>
          <w:numId w:val="9"/>
        </w:numPr>
        <w:spacing w:beforeLines="120" w:before="288" w:afterLines="120" w:after="288" w:line="276" w:lineRule="auto"/>
        <w:jc w:val="both"/>
        <w:rPr>
          <w:rFonts w:ascii="Times New Roman" w:hAnsi="Times New Roman" w:cs="Times New Roman"/>
          <w:b/>
          <w:bCs/>
          <w:sz w:val="24"/>
          <w:szCs w:val="24"/>
        </w:rPr>
      </w:pPr>
      <w:r w:rsidRPr="00F60289">
        <w:rPr>
          <w:rFonts w:ascii="Times New Roman" w:hAnsi="Times New Roman" w:cs="Times New Roman"/>
          <w:b/>
          <w:bCs/>
          <w:sz w:val="24"/>
          <w:szCs w:val="24"/>
        </w:rPr>
        <w:lastRenderedPageBreak/>
        <w:t xml:space="preserve">Anexos </w:t>
      </w:r>
    </w:p>
    <w:p w14:paraId="11B20B61" w14:textId="0C5420E4" w:rsidR="00A45C80" w:rsidRPr="008C2070" w:rsidRDefault="00F85459" w:rsidP="008C2070">
      <w:pPr>
        <w:pStyle w:val="Prrafodelista"/>
        <w:numPr>
          <w:ilvl w:val="0"/>
          <w:numId w:val="4"/>
        </w:numPr>
        <w:spacing w:beforeLines="120" w:before="288" w:afterLines="120" w:after="288" w:line="276" w:lineRule="auto"/>
        <w:contextualSpacing w:val="0"/>
        <w:jc w:val="both"/>
        <w:rPr>
          <w:rFonts w:ascii="Times New Roman" w:hAnsi="Times New Roman" w:cs="Times New Roman"/>
          <w:sz w:val="24"/>
          <w:szCs w:val="24"/>
        </w:rPr>
      </w:pPr>
      <w:r w:rsidRPr="008C2070">
        <w:rPr>
          <w:rFonts w:ascii="Times New Roman" w:hAnsi="Times New Roman" w:cs="Times New Roman"/>
          <w:b/>
          <w:bCs/>
          <w:sz w:val="24"/>
          <w:szCs w:val="24"/>
        </w:rPr>
        <w:t>Jurisprudencias y tesis relacionadas directamente con el derecho a la protección de la salud por periodo y por materia</w:t>
      </w:r>
    </w:p>
    <w:tbl>
      <w:tblPr>
        <w:tblStyle w:val="Tablaconcuadrcula"/>
        <w:tblW w:w="14884" w:type="dxa"/>
        <w:tblInd w:w="-1134" w:type="dxa"/>
        <w:tblLayout w:type="fixed"/>
        <w:tblLook w:val="04A0" w:firstRow="1" w:lastRow="0" w:firstColumn="1" w:lastColumn="0" w:noHBand="0" w:noVBand="1"/>
      </w:tblPr>
      <w:tblGrid>
        <w:gridCol w:w="1562"/>
        <w:gridCol w:w="1699"/>
        <w:gridCol w:w="1418"/>
        <w:gridCol w:w="3543"/>
        <w:gridCol w:w="1417"/>
        <w:gridCol w:w="1419"/>
        <w:gridCol w:w="3826"/>
      </w:tblGrid>
      <w:tr w:rsidR="00BA2FD4" w:rsidRPr="008C2070" w14:paraId="314913CC" w14:textId="77777777" w:rsidTr="0007732F">
        <w:trPr>
          <w:trHeight w:val="238"/>
        </w:trPr>
        <w:tc>
          <w:tcPr>
            <w:tcW w:w="1562" w:type="dxa"/>
            <w:tcBorders>
              <w:top w:val="nil"/>
              <w:left w:val="nil"/>
              <w:bottom w:val="nil"/>
              <w:right w:val="single" w:sz="4" w:space="0" w:color="D0CECE"/>
            </w:tcBorders>
          </w:tcPr>
          <w:p w14:paraId="058E18EB" w14:textId="77777777" w:rsidR="00BA2FD4" w:rsidRPr="008C2070" w:rsidRDefault="00BA2FD4" w:rsidP="008C2070">
            <w:pPr>
              <w:spacing w:before="60" w:after="60"/>
              <w:jc w:val="center"/>
              <w:rPr>
                <w:rFonts w:ascii="Times New Roman" w:hAnsi="Times New Roman" w:cs="Times New Roman"/>
                <w:lang w:val="es-ES"/>
              </w:rPr>
            </w:pPr>
          </w:p>
        </w:tc>
        <w:tc>
          <w:tcPr>
            <w:tcW w:w="6660" w:type="dxa"/>
            <w:gridSpan w:val="3"/>
            <w:tcBorders>
              <w:top w:val="single" w:sz="4" w:space="0" w:color="D0CECE"/>
              <w:left w:val="single" w:sz="4" w:space="0" w:color="D0CECE"/>
              <w:bottom w:val="single" w:sz="4" w:space="0" w:color="D0CECE"/>
              <w:right w:val="single" w:sz="24" w:space="0" w:color="D0CECE"/>
            </w:tcBorders>
            <w:shd w:val="clear" w:color="auto" w:fill="D0CECE" w:themeFill="background2" w:themeFillShade="E6"/>
          </w:tcPr>
          <w:p w14:paraId="375E9DAD" w14:textId="77777777" w:rsidR="00BA2FD4" w:rsidRPr="008C2070" w:rsidRDefault="00BA2FD4"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Jurisprudencias</w:t>
            </w:r>
          </w:p>
        </w:tc>
        <w:tc>
          <w:tcPr>
            <w:tcW w:w="6662" w:type="dxa"/>
            <w:gridSpan w:val="3"/>
            <w:tcBorders>
              <w:top w:val="single" w:sz="4" w:space="0" w:color="D0CECE"/>
              <w:left w:val="single" w:sz="24" w:space="0" w:color="D0CECE"/>
              <w:bottom w:val="single" w:sz="4" w:space="0" w:color="D0CECE"/>
              <w:right w:val="single" w:sz="4" w:space="0" w:color="D0CECE"/>
            </w:tcBorders>
            <w:shd w:val="clear" w:color="auto" w:fill="D0CECE" w:themeFill="background2" w:themeFillShade="E6"/>
          </w:tcPr>
          <w:p w14:paraId="43D3D96D" w14:textId="77777777" w:rsidR="00BA2FD4" w:rsidRPr="008C2070" w:rsidRDefault="00BA2FD4"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Tesis</w:t>
            </w:r>
          </w:p>
        </w:tc>
      </w:tr>
      <w:tr w:rsidR="00BA2FD4" w:rsidRPr="008C2070" w14:paraId="2609137E" w14:textId="77777777" w:rsidTr="0007732F">
        <w:trPr>
          <w:trHeight w:val="566"/>
        </w:trPr>
        <w:tc>
          <w:tcPr>
            <w:tcW w:w="1562" w:type="dxa"/>
            <w:tcBorders>
              <w:top w:val="nil"/>
              <w:left w:val="nil"/>
              <w:bottom w:val="single" w:sz="8" w:space="0" w:color="D0CECE"/>
              <w:right w:val="single" w:sz="4" w:space="0" w:color="D0CECE"/>
            </w:tcBorders>
          </w:tcPr>
          <w:p w14:paraId="5B8953D9" w14:textId="77777777" w:rsidR="00BA2FD4" w:rsidRPr="008C2070" w:rsidRDefault="00BA2FD4" w:rsidP="008C2070">
            <w:pPr>
              <w:spacing w:before="60" w:after="60"/>
              <w:jc w:val="center"/>
              <w:rPr>
                <w:rFonts w:ascii="Times New Roman" w:hAnsi="Times New Roman" w:cs="Times New Roman"/>
                <w:lang w:val="es-ES"/>
              </w:rPr>
            </w:pPr>
          </w:p>
        </w:tc>
        <w:tc>
          <w:tcPr>
            <w:tcW w:w="1699" w:type="dxa"/>
            <w:tcBorders>
              <w:top w:val="single" w:sz="4" w:space="0" w:color="D0CECE"/>
              <w:left w:val="single" w:sz="4" w:space="0" w:color="D0CECE"/>
              <w:bottom w:val="single" w:sz="8" w:space="0" w:color="D9D9D9" w:themeColor="background1" w:themeShade="D9"/>
              <w:right w:val="single" w:sz="4" w:space="0" w:color="D0CECE"/>
            </w:tcBorders>
            <w:shd w:val="clear" w:color="auto" w:fill="F2F2F2" w:themeFill="background1" w:themeFillShade="F2"/>
            <w:vAlign w:val="center"/>
          </w:tcPr>
          <w:p w14:paraId="3E628466" w14:textId="77777777" w:rsidR="00BA2FD4" w:rsidRPr="008C2070" w:rsidRDefault="00BA2FD4"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Temáticas tratadas</w:t>
            </w:r>
          </w:p>
        </w:tc>
        <w:tc>
          <w:tcPr>
            <w:tcW w:w="1418" w:type="dxa"/>
            <w:tcBorders>
              <w:top w:val="single" w:sz="4" w:space="0" w:color="D0CECE"/>
              <w:left w:val="single" w:sz="4" w:space="0" w:color="D0CECE"/>
              <w:bottom w:val="single" w:sz="8" w:space="0" w:color="D9D9D9" w:themeColor="background1" w:themeShade="D9"/>
              <w:right w:val="single" w:sz="4" w:space="0" w:color="D0CECE"/>
            </w:tcBorders>
            <w:shd w:val="clear" w:color="auto" w:fill="F2F2F2" w:themeFill="background1" w:themeFillShade="F2"/>
            <w:vAlign w:val="center"/>
          </w:tcPr>
          <w:p w14:paraId="647E0B5A" w14:textId="77777777" w:rsidR="00BA2FD4" w:rsidRPr="008C2070" w:rsidRDefault="00BA2FD4"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Principios analizados</w:t>
            </w:r>
          </w:p>
        </w:tc>
        <w:tc>
          <w:tcPr>
            <w:tcW w:w="3543" w:type="dxa"/>
            <w:tcBorders>
              <w:top w:val="single" w:sz="4" w:space="0" w:color="D0CECE"/>
              <w:left w:val="single" w:sz="4" w:space="0" w:color="D0CECE"/>
              <w:bottom w:val="single" w:sz="8" w:space="0" w:color="D9D9D9" w:themeColor="background1" w:themeShade="D9"/>
              <w:right w:val="single" w:sz="24" w:space="0" w:color="D0CECE"/>
            </w:tcBorders>
            <w:shd w:val="clear" w:color="auto" w:fill="F2F2F2" w:themeFill="background1" w:themeFillShade="F2"/>
            <w:vAlign w:val="center"/>
          </w:tcPr>
          <w:p w14:paraId="528674C7" w14:textId="77777777" w:rsidR="00BA2FD4" w:rsidRPr="008C2070" w:rsidRDefault="00BA2FD4"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Alcance del derecho</w:t>
            </w:r>
          </w:p>
        </w:tc>
        <w:tc>
          <w:tcPr>
            <w:tcW w:w="1417" w:type="dxa"/>
            <w:tcBorders>
              <w:top w:val="single" w:sz="4" w:space="0" w:color="D0CECE"/>
              <w:left w:val="single" w:sz="24" w:space="0" w:color="D0CECE"/>
              <w:bottom w:val="single" w:sz="8" w:space="0" w:color="D9D9D9" w:themeColor="background1" w:themeShade="D9"/>
              <w:right w:val="single" w:sz="4" w:space="0" w:color="D0CECE"/>
            </w:tcBorders>
            <w:shd w:val="clear" w:color="auto" w:fill="F2F2F2" w:themeFill="background1" w:themeFillShade="F2"/>
            <w:vAlign w:val="center"/>
          </w:tcPr>
          <w:p w14:paraId="0B3AE484" w14:textId="77777777" w:rsidR="00BA2FD4" w:rsidRPr="008C2070" w:rsidRDefault="00BA2FD4"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Temáticas tratadas</w:t>
            </w:r>
          </w:p>
        </w:tc>
        <w:tc>
          <w:tcPr>
            <w:tcW w:w="1419" w:type="dxa"/>
            <w:tcBorders>
              <w:top w:val="single" w:sz="4" w:space="0" w:color="D0CECE"/>
              <w:left w:val="single" w:sz="4" w:space="0" w:color="D0CECE"/>
              <w:bottom w:val="single" w:sz="8" w:space="0" w:color="D9D9D9" w:themeColor="background1" w:themeShade="D9"/>
              <w:right w:val="single" w:sz="4" w:space="0" w:color="D0CECE"/>
            </w:tcBorders>
            <w:shd w:val="clear" w:color="auto" w:fill="F2F2F2" w:themeFill="background1" w:themeFillShade="F2"/>
            <w:vAlign w:val="center"/>
          </w:tcPr>
          <w:p w14:paraId="6D5D56D8" w14:textId="77777777" w:rsidR="00BA2FD4" w:rsidRPr="008C2070" w:rsidRDefault="00BA2FD4"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Principios analizados</w:t>
            </w:r>
          </w:p>
        </w:tc>
        <w:tc>
          <w:tcPr>
            <w:tcW w:w="3826" w:type="dxa"/>
            <w:tcBorders>
              <w:top w:val="single" w:sz="4" w:space="0" w:color="D0CECE"/>
              <w:left w:val="single" w:sz="4" w:space="0" w:color="D0CECE"/>
              <w:bottom w:val="single" w:sz="8" w:space="0" w:color="D9D9D9" w:themeColor="background1" w:themeShade="D9"/>
              <w:right w:val="single" w:sz="4" w:space="0" w:color="D0CECE"/>
            </w:tcBorders>
            <w:shd w:val="clear" w:color="auto" w:fill="F2F2F2" w:themeFill="background1" w:themeFillShade="F2"/>
            <w:vAlign w:val="center"/>
          </w:tcPr>
          <w:p w14:paraId="30D993D5" w14:textId="77777777" w:rsidR="00BA2FD4" w:rsidRPr="008C2070" w:rsidRDefault="00BA2FD4"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Alcance del derecho</w:t>
            </w:r>
          </w:p>
        </w:tc>
      </w:tr>
      <w:tr w:rsidR="00BA2FD4" w:rsidRPr="008C2070" w14:paraId="6C6ED9C7" w14:textId="77777777" w:rsidTr="0007732F">
        <w:trPr>
          <w:trHeight w:val="600"/>
        </w:trPr>
        <w:tc>
          <w:tcPr>
            <w:tcW w:w="1562" w:type="dxa"/>
            <w:vMerge w:val="restart"/>
            <w:tcBorders>
              <w:top w:val="single" w:sz="8" w:space="0" w:color="D0CECE"/>
              <w:left w:val="single" w:sz="8" w:space="0" w:color="D0CECE"/>
              <w:bottom w:val="single" w:sz="8" w:space="0" w:color="D0CECE"/>
              <w:right w:val="single" w:sz="8" w:space="0" w:color="D9D9D9" w:themeColor="background1" w:themeShade="D9"/>
            </w:tcBorders>
            <w:shd w:val="clear" w:color="auto" w:fill="D0CECE" w:themeFill="background2" w:themeFillShade="E6"/>
          </w:tcPr>
          <w:p w14:paraId="453D9CB1" w14:textId="58D14405" w:rsidR="00BA2FD4" w:rsidRPr="008C2070" w:rsidRDefault="00BA2FD4"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Antes de 2011 (1995-octubre 2011)</w:t>
            </w:r>
          </w:p>
        </w:tc>
        <w:tc>
          <w:tcPr>
            <w:tcW w:w="169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7B11CEC" w14:textId="6E48B56E"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Protección de los no fumadores</w:t>
            </w:r>
          </w:p>
        </w:tc>
        <w:tc>
          <w:tcPr>
            <w:tcW w:w="1418"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0AF75C9"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Análisis de restricciones bajo escrutinio estricto (161222)</w:t>
            </w:r>
            <w:r w:rsidRPr="008C2070">
              <w:rPr>
                <w:rStyle w:val="Refdenotaalpie"/>
                <w:rFonts w:ascii="Times New Roman" w:hAnsi="Times New Roman" w:cs="Times New Roman"/>
                <w:lang w:val="es-ES"/>
              </w:rPr>
              <w:footnoteReference w:id="73"/>
            </w:r>
          </w:p>
        </w:tc>
        <w:tc>
          <w:tcPr>
            <w:tcW w:w="354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64650A6"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Las normas de la Ley de Protección a la Salud de los No Fumadores en el Distrito Federal que restringen la posibilidad de fumar en establecimientos mercantiles abiertos al público no cumplen las características para ser estudiadas bajo un escrutinio de constitucionalidad especialmente intenso, ya que la restricción introducida por el legislador no implica una limitación a la posibilidad de ser titular de un establecimiento mercantil o una discriminación en función de género, edad, origen étnico, etc,  sino solamente impone condiciones a algunas de las actividades que pueden desarrollarse en éste. .</w:t>
            </w:r>
          </w:p>
        </w:tc>
        <w:tc>
          <w:tcPr>
            <w:tcW w:w="141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4290C5B9"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Obligaciones del Estado</w:t>
            </w: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6FE26BE"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Responsabilidad del estado (161333)</w:t>
            </w:r>
            <w:r w:rsidRPr="008C2070">
              <w:rPr>
                <w:rStyle w:val="Refdenotaalpie"/>
                <w:rFonts w:ascii="Times New Roman" w:hAnsi="Times New Roman" w:cs="Times New Roman"/>
                <w:lang w:val="es-ES"/>
              </w:rPr>
              <w:footnoteReference w:id="74"/>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F212D61" w14:textId="222AE590"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El Estado tiene obligaciones de cumplimiento inmediato (como garantizar el acceso sin discriminación) y otras de progresivo. la realización progresiva del derecho a la salud a lo largo de un determinado periodo no priva de contenido significativo a las obligaciones de los Estados, sino que les impone el deber concreto y constante de avanzar hacia su plena realización.</w:t>
            </w:r>
          </w:p>
          <w:p w14:paraId="56D69A5C" w14:textId="77777777" w:rsidR="00BA2FD4" w:rsidRPr="008C2070" w:rsidRDefault="00BA2FD4" w:rsidP="008C2070">
            <w:pPr>
              <w:spacing w:before="60" w:after="60"/>
              <w:jc w:val="both"/>
              <w:rPr>
                <w:rFonts w:ascii="Times New Roman" w:hAnsi="Times New Roman" w:cs="Times New Roman"/>
                <w:lang w:val="es-ES"/>
              </w:rPr>
            </w:pPr>
          </w:p>
          <w:p w14:paraId="01EC9723"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Cita fuentes internacionales (Observación general 14, PIDESC)</w:t>
            </w:r>
          </w:p>
        </w:tc>
      </w:tr>
      <w:tr w:rsidR="00BA2FD4" w:rsidRPr="008C2070" w14:paraId="3C3E287F" w14:textId="77777777" w:rsidTr="0007732F">
        <w:trPr>
          <w:trHeight w:val="2520"/>
        </w:trPr>
        <w:tc>
          <w:tcPr>
            <w:tcW w:w="1562" w:type="dxa"/>
            <w:vMerge/>
            <w:tcBorders>
              <w:top w:val="single" w:sz="8" w:space="0" w:color="D0CECE"/>
              <w:left w:val="single" w:sz="8" w:space="0" w:color="D0CECE"/>
              <w:bottom w:val="single" w:sz="8" w:space="0" w:color="D0CECE"/>
              <w:right w:val="single" w:sz="8" w:space="0" w:color="D9D9D9" w:themeColor="background1" w:themeShade="D9"/>
            </w:tcBorders>
            <w:shd w:val="clear" w:color="auto" w:fill="D0CECE" w:themeFill="background2" w:themeFillShade="E6"/>
          </w:tcPr>
          <w:p w14:paraId="73A58CBF"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31156A0F" w14:textId="62B58779"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Garantía del derecho</w:t>
            </w:r>
          </w:p>
        </w:tc>
        <w:tc>
          <w:tcPr>
            <w:tcW w:w="1418"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D927FDE"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Garantía del derecho a través de la regulación de requisitos que determinan la calidad de la atención  y capacitaciones (167530)</w:t>
            </w:r>
            <w:r w:rsidRPr="008C2070">
              <w:rPr>
                <w:rStyle w:val="Refdenotaalpie"/>
                <w:rFonts w:ascii="Times New Roman" w:hAnsi="Times New Roman" w:cs="Times New Roman"/>
                <w:lang w:val="es-ES"/>
              </w:rPr>
              <w:footnoteReference w:id="75"/>
            </w:r>
          </w:p>
        </w:tc>
        <w:tc>
          <w:tcPr>
            <w:tcW w:w="3543"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84026E4"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El derecho a la salud comprende el disfrute de servicios de salud de calidad en todas sus formas y niveles, entendiendo calidad como la exigencia de que sean apropiados médica y científicamente. Por lo mismo, para garantizar el derecho a la salud, es menester que se proporcionen con calidad los servicios de salud, lo cual tiene estrecha relación con el control que el Estado haga de los mismos, a través de políticas, regulación  y controles legales </w:t>
            </w:r>
            <w:r w:rsidRPr="008C2070">
              <w:rPr>
                <w:rFonts w:ascii="Times New Roman" w:hAnsi="Times New Roman" w:cs="Times New Roman"/>
                <w:color w:val="212529"/>
                <w:shd w:val="clear" w:color="auto" w:fill="FFFFFF"/>
              </w:rPr>
              <w:t>destinados a que los prestadores de servicios de salud satisfagan las condiciones necesarias de capacitación, educación, experiencia y tecnología, en establecimientos con condiciones sanitarias adecuadas y en donde se utilicen medicamentos y equipo hospitalario científicamente aprobados y en buen estado</w:t>
            </w:r>
            <w:r w:rsidRPr="008C2070">
              <w:rPr>
                <w:rFonts w:ascii="Times New Roman" w:hAnsi="Times New Roman" w:cs="Times New Roman"/>
                <w:lang w:val="es-ES"/>
              </w:rPr>
              <w:t>.</w:t>
            </w:r>
          </w:p>
        </w:tc>
        <w:tc>
          <w:tcPr>
            <w:tcW w:w="1417"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7020B7FD"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Garantía del derecho</w:t>
            </w: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23F69D6" w14:textId="77777777" w:rsidR="00BA2FD4" w:rsidRPr="008C2070" w:rsidRDefault="00BA2FD4" w:rsidP="008C2070">
            <w:pPr>
              <w:spacing w:before="60" w:after="60"/>
              <w:jc w:val="center"/>
              <w:rPr>
                <w:rFonts w:ascii="Times New Roman" w:hAnsi="Times New Roman" w:cs="Times New Roman"/>
                <w:lang w:val="es-ES"/>
              </w:rPr>
            </w:pP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5CBF336" w14:textId="77777777" w:rsidR="00BA2FD4" w:rsidRPr="008C2070" w:rsidRDefault="00BA2FD4" w:rsidP="008C2070">
            <w:pPr>
              <w:spacing w:before="60" w:after="60"/>
              <w:jc w:val="both"/>
              <w:rPr>
                <w:rFonts w:ascii="Times New Roman" w:hAnsi="Times New Roman" w:cs="Times New Roman"/>
                <w:lang w:val="es-ES"/>
              </w:rPr>
            </w:pPr>
          </w:p>
        </w:tc>
      </w:tr>
      <w:tr w:rsidR="00BA2FD4" w:rsidRPr="008C2070" w14:paraId="5730CB11" w14:textId="77777777" w:rsidTr="0007732F">
        <w:trPr>
          <w:trHeight w:val="2520"/>
        </w:trPr>
        <w:tc>
          <w:tcPr>
            <w:tcW w:w="1562" w:type="dxa"/>
            <w:vMerge/>
            <w:tcBorders>
              <w:top w:val="single" w:sz="8" w:space="0" w:color="D0CECE"/>
              <w:left w:val="single" w:sz="8" w:space="0" w:color="D0CECE"/>
              <w:bottom w:val="single" w:sz="8" w:space="0" w:color="D0CECE"/>
              <w:right w:val="single" w:sz="8" w:space="0" w:color="D9D9D9" w:themeColor="background1" w:themeShade="D9"/>
            </w:tcBorders>
            <w:shd w:val="clear" w:color="auto" w:fill="D0CECE" w:themeFill="background2" w:themeFillShade="E6"/>
          </w:tcPr>
          <w:p w14:paraId="37A46DB9"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3A122707"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657002B2"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52447A0" w14:textId="77777777" w:rsidR="00BA2FD4" w:rsidRPr="008C2070" w:rsidRDefault="00BA2FD4" w:rsidP="008C2070">
            <w:pPr>
              <w:spacing w:before="60" w:after="60"/>
              <w:jc w:val="both"/>
              <w:rPr>
                <w:rFonts w:ascii="Times New Roman" w:hAnsi="Times New Roman" w:cs="Times New Roman"/>
                <w:lang w:val="es-ES"/>
              </w:rPr>
            </w:pPr>
          </w:p>
        </w:tc>
        <w:tc>
          <w:tcPr>
            <w:tcW w:w="1417"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2BDC7A40"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44ABAC6"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Tratamiento a procesados (203666)</w:t>
            </w:r>
            <w:r w:rsidRPr="008C2070">
              <w:rPr>
                <w:rStyle w:val="Refdenotaalpie"/>
                <w:rFonts w:ascii="Times New Roman" w:hAnsi="Times New Roman" w:cs="Times New Roman"/>
                <w:lang w:val="es-ES"/>
              </w:rPr>
              <w:footnoteReference w:id="76"/>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1EC0963" w14:textId="691B15B4"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Toda persona tiene derecho a la protección de su salud y acceso a los servicios correspondientes, el quejoso tiene tal derecho. Luego, que el Estado no proporcione la atención médica a un procesado o niegue su traslado viola esa garantía.</w:t>
            </w:r>
          </w:p>
        </w:tc>
      </w:tr>
      <w:tr w:rsidR="00BA2FD4" w:rsidRPr="008C2070" w14:paraId="4E506798" w14:textId="77777777" w:rsidTr="0007732F">
        <w:trPr>
          <w:trHeight w:val="1815"/>
        </w:trPr>
        <w:tc>
          <w:tcPr>
            <w:tcW w:w="1562" w:type="dxa"/>
            <w:vMerge/>
            <w:tcBorders>
              <w:top w:val="single" w:sz="8" w:space="0" w:color="D0CECE"/>
              <w:left w:val="single" w:sz="8" w:space="0" w:color="D0CECE"/>
              <w:bottom w:val="single" w:sz="8" w:space="0" w:color="D0CECE"/>
              <w:right w:val="single" w:sz="8" w:space="0" w:color="D9D9D9" w:themeColor="background1" w:themeShade="D9"/>
            </w:tcBorders>
            <w:shd w:val="clear" w:color="auto" w:fill="D0CECE" w:themeFill="background2" w:themeFillShade="E6"/>
          </w:tcPr>
          <w:p w14:paraId="05EB3C8C"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2C7E8A85"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D94EAFC"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 xml:space="preserve">Requisitos para el ejercicio de profesiones relacionadas </w:t>
            </w:r>
            <w:r w:rsidRPr="008C2070">
              <w:rPr>
                <w:rFonts w:ascii="Times New Roman" w:hAnsi="Times New Roman" w:cs="Times New Roman"/>
                <w:lang w:val="es-ES"/>
              </w:rPr>
              <w:lastRenderedPageBreak/>
              <w:t>con la salud  (167370)</w:t>
            </w:r>
            <w:r w:rsidRPr="008C2070">
              <w:rPr>
                <w:rStyle w:val="Refdenotaalpie"/>
                <w:rFonts w:ascii="Times New Roman" w:hAnsi="Times New Roman" w:cs="Times New Roman"/>
                <w:lang w:val="es-ES"/>
              </w:rPr>
              <w:footnoteReference w:id="77"/>
            </w:r>
          </w:p>
        </w:tc>
        <w:tc>
          <w:tcPr>
            <w:tcW w:w="3543"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50770C8" w14:textId="4F1C980B"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lastRenderedPageBreak/>
              <w:t xml:space="preserve">El establecimiento de requisitos legales para el ejercicio de profesiones relacionadas con la salud no viola el principio de irretroactividad de la ley. , Los profesionales de la salud no tienen un derecho adquirido para ejercer su </w:t>
            </w:r>
            <w:r w:rsidRPr="008C2070">
              <w:rPr>
                <w:rFonts w:ascii="Times New Roman" w:hAnsi="Times New Roman" w:cs="Times New Roman"/>
                <w:lang w:val="es-ES"/>
              </w:rPr>
              <w:lastRenderedPageBreak/>
              <w:t>profesión en condiciones libres de toda regulación máxime que pueden afectar el derecho a la protección de la salud en el ejercicio de su profesión.</w:t>
            </w:r>
          </w:p>
        </w:tc>
        <w:tc>
          <w:tcPr>
            <w:tcW w:w="1417"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297E7B14"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lastRenderedPageBreak/>
              <w:t>Naturaleza y regulación del derecho</w:t>
            </w: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444809C" w14:textId="1701CF4A"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Naturaleza normativa</w:t>
            </w:r>
          </w:p>
          <w:p w14:paraId="0306D26B"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(161331)</w:t>
            </w:r>
            <w:r w:rsidRPr="008C2070">
              <w:rPr>
                <w:rStyle w:val="Refdenotaalpie"/>
                <w:rFonts w:ascii="Times New Roman" w:hAnsi="Times New Roman" w:cs="Times New Roman"/>
                <w:lang w:val="es-ES"/>
              </w:rPr>
              <w:footnoteReference w:id="78"/>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7C2FC28" w14:textId="3B7A15F0"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Cambio en el entendimiento del derecho a la salud. Antes se entendía como una declaración de intensiones. Por lo que, su efectiva consecución estaba ligada a las actuaciones legislativas y administrativas, sin que el Poder Judicial pudiera intervenir. Ahora, se parte de la </w:t>
            </w:r>
            <w:r w:rsidRPr="008C2070">
              <w:rPr>
                <w:rFonts w:ascii="Times New Roman" w:hAnsi="Times New Roman" w:cs="Times New Roman"/>
                <w:lang w:val="es-ES"/>
              </w:rPr>
              <w:lastRenderedPageBreak/>
              <w:t>premisa que las autoridades tienen un margen amplio de actuación, mismo que puede ser revisado por los jueces en contraste con la constitución y los tratados de derechos humanos.</w:t>
            </w:r>
          </w:p>
        </w:tc>
      </w:tr>
      <w:tr w:rsidR="00BA2FD4" w:rsidRPr="008C2070" w14:paraId="48F27D1B" w14:textId="77777777" w:rsidTr="0007732F">
        <w:trPr>
          <w:trHeight w:val="1814"/>
        </w:trPr>
        <w:tc>
          <w:tcPr>
            <w:tcW w:w="1562" w:type="dxa"/>
            <w:vMerge/>
            <w:tcBorders>
              <w:top w:val="single" w:sz="8" w:space="0" w:color="D0CECE"/>
              <w:left w:val="single" w:sz="8" w:space="0" w:color="D0CECE"/>
              <w:bottom w:val="single" w:sz="8" w:space="0" w:color="D0CECE"/>
              <w:right w:val="single" w:sz="8" w:space="0" w:color="D9D9D9" w:themeColor="background1" w:themeShade="D9"/>
            </w:tcBorders>
            <w:shd w:val="clear" w:color="auto" w:fill="D0CECE" w:themeFill="background2" w:themeFillShade="E6"/>
          </w:tcPr>
          <w:p w14:paraId="7DA3139F"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7434C00E"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6B8DEAF"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D43B452" w14:textId="77777777" w:rsidR="00BA2FD4" w:rsidRPr="008C2070" w:rsidRDefault="00BA2FD4" w:rsidP="008C2070">
            <w:pPr>
              <w:spacing w:before="60" w:after="60"/>
              <w:jc w:val="both"/>
              <w:rPr>
                <w:rFonts w:ascii="Times New Roman" w:hAnsi="Times New Roman" w:cs="Times New Roman"/>
                <w:lang w:val="es-ES"/>
              </w:rPr>
            </w:pPr>
          </w:p>
        </w:tc>
        <w:tc>
          <w:tcPr>
            <w:tcW w:w="1417"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496971F9"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6D464288"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Regulación en el artículo 4 y complementariedad en los tratados internacionales (169316)</w:t>
            </w:r>
            <w:r w:rsidRPr="008C2070">
              <w:rPr>
                <w:rStyle w:val="Refdenotaalpie"/>
                <w:rFonts w:ascii="Times New Roman" w:hAnsi="Times New Roman" w:cs="Times New Roman"/>
                <w:lang w:val="es-ES"/>
              </w:rPr>
              <w:footnoteReference w:id="79"/>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B735CE2"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El derecho a la protección de la salud tiene, entre otras finalidades, la de garantizar el disfrute de servicios de salud y de asistencia social que satisfagan a las necesidades de la población.</w:t>
            </w:r>
          </w:p>
          <w:p w14:paraId="53BF1F25"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El derecho a la salud debe entenderse como una garantía fundamental e indispensable para el ejercicio de los demás derechos humanos y no sólo como el derecho a estar sano. Así, el derecho a la salud entraña libertades y derechos. Asimismo, la protección del derecho a la salud incluye, entre otras, las obligaciones de adoptar leyes u otras medidas para velar por el acceso igual a la atención de la salud y los servicios relacionados con ella.</w:t>
            </w:r>
          </w:p>
          <w:p w14:paraId="661AAE7F" w14:textId="77777777" w:rsidR="00BA2FD4" w:rsidRPr="008C2070" w:rsidRDefault="00BA2FD4" w:rsidP="008C2070">
            <w:pPr>
              <w:spacing w:before="60" w:after="60"/>
              <w:jc w:val="both"/>
              <w:rPr>
                <w:rFonts w:ascii="Times New Roman" w:hAnsi="Times New Roman" w:cs="Times New Roman"/>
                <w:lang w:val="es-ES"/>
              </w:rPr>
            </w:pPr>
          </w:p>
          <w:p w14:paraId="28A53919"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El derecho a la salud debe entenderse como un derecho al disfrute de toda una gama de facilidades, bienes, servicios y condiciones necesarios para alcanzar el más alto nivel posible de salud.</w:t>
            </w:r>
          </w:p>
          <w:p w14:paraId="658C2A54" w14:textId="77777777" w:rsidR="00BA2FD4" w:rsidRPr="008C2070" w:rsidRDefault="00BA2FD4" w:rsidP="008C2070">
            <w:pPr>
              <w:spacing w:before="60" w:after="60"/>
              <w:jc w:val="both"/>
              <w:rPr>
                <w:rFonts w:ascii="Times New Roman" w:hAnsi="Times New Roman" w:cs="Times New Roman"/>
                <w:lang w:val="es-ES"/>
              </w:rPr>
            </w:pPr>
          </w:p>
          <w:p w14:paraId="4D40C5D6"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Cita fuentes internacionales ("Protocolo de San Salvador")</w:t>
            </w:r>
          </w:p>
        </w:tc>
      </w:tr>
      <w:tr w:rsidR="00BA2FD4" w:rsidRPr="008C2070" w14:paraId="64D09D2B" w14:textId="77777777" w:rsidTr="0007732F">
        <w:trPr>
          <w:trHeight w:val="2520"/>
        </w:trPr>
        <w:tc>
          <w:tcPr>
            <w:tcW w:w="1562" w:type="dxa"/>
            <w:vMerge/>
            <w:tcBorders>
              <w:top w:val="single" w:sz="8" w:space="0" w:color="D0CECE"/>
              <w:left w:val="single" w:sz="8" w:space="0" w:color="D0CECE"/>
              <w:bottom w:val="single" w:sz="8" w:space="0" w:color="D0CECE"/>
              <w:right w:val="single" w:sz="8" w:space="0" w:color="D0CECE"/>
            </w:tcBorders>
            <w:shd w:val="clear" w:color="auto" w:fill="D0CECE" w:themeFill="background2" w:themeFillShade="E6"/>
          </w:tcPr>
          <w:p w14:paraId="19B650E6"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val="restart"/>
            <w:tcBorders>
              <w:top w:val="single" w:sz="8" w:space="0" w:color="D9D9D9" w:themeColor="background1" w:themeShade="D9"/>
              <w:left w:val="single" w:sz="8" w:space="0" w:color="D0CECE"/>
              <w:right w:val="single" w:sz="8" w:space="0" w:color="D0CECE"/>
            </w:tcBorders>
            <w:shd w:val="clear" w:color="auto" w:fill="F2F2F2" w:themeFill="background1" w:themeFillShade="F2"/>
            <w:vAlign w:val="center"/>
          </w:tcPr>
          <w:p w14:paraId="024A441A"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Financiamiento del derecho a la salud</w:t>
            </w:r>
          </w:p>
        </w:tc>
        <w:tc>
          <w:tcPr>
            <w:tcW w:w="1418" w:type="dxa"/>
            <w:vMerge w:val="restart"/>
            <w:tcBorders>
              <w:top w:val="single" w:sz="8" w:space="0" w:color="D9D9D9" w:themeColor="background1" w:themeShade="D9"/>
              <w:left w:val="single" w:sz="8" w:space="0" w:color="D0CECE"/>
              <w:bottom w:val="single" w:sz="8" w:space="0" w:color="D0CECE"/>
              <w:right w:val="single" w:sz="8" w:space="0" w:color="D0CECE"/>
            </w:tcBorders>
            <w:vAlign w:val="center"/>
          </w:tcPr>
          <w:p w14:paraId="762343ED"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Responsabilidad social (168549)</w:t>
            </w:r>
            <w:r w:rsidRPr="008C2070">
              <w:rPr>
                <w:rStyle w:val="Refdenotaalpie"/>
                <w:rFonts w:ascii="Times New Roman" w:hAnsi="Times New Roman" w:cs="Times New Roman"/>
                <w:lang w:val="es-ES"/>
              </w:rPr>
              <w:footnoteReference w:id="80"/>
            </w:r>
          </w:p>
        </w:tc>
        <w:tc>
          <w:tcPr>
            <w:tcW w:w="3543" w:type="dxa"/>
            <w:vMerge w:val="restart"/>
            <w:tcBorders>
              <w:top w:val="single" w:sz="8" w:space="0" w:color="D9D9D9" w:themeColor="background1" w:themeShade="D9"/>
              <w:left w:val="single" w:sz="8" w:space="0" w:color="D0CECE"/>
              <w:bottom w:val="single" w:sz="8" w:space="0" w:color="D0CECE"/>
              <w:right w:val="single" w:sz="8" w:space="0" w:color="D0CECE"/>
            </w:tcBorders>
            <w:vAlign w:val="center"/>
          </w:tcPr>
          <w:p w14:paraId="41F1DAEE"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El derecho a la protección de la salud  se traduce en la obligación del Estado de establecer los mecanismos necesarios para que todas las personas tengan acceso a los servicios de salud. Sin embargo, </w:t>
            </w:r>
            <w:r w:rsidRPr="008C2070">
              <w:rPr>
                <w:rFonts w:ascii="Times New Roman" w:hAnsi="Times New Roman" w:cs="Times New Roman"/>
                <w:u w:val="single"/>
                <w:lang w:val="es-ES"/>
              </w:rPr>
              <w:t>la responsabilidad de financiamiento no corre a cargo exclusivamente del Estado.</w:t>
            </w:r>
            <w:r w:rsidRPr="008C2070">
              <w:rPr>
                <w:rFonts w:ascii="Times New Roman" w:hAnsi="Times New Roman" w:cs="Times New Roman"/>
                <w:lang w:val="es-ES"/>
              </w:rPr>
              <w:t xml:space="preserve"> La salud es una responsabilidad que comparten indisolublemente el Estado, la sociedad y los interesados, con base en criterios de capacidad contributiva y redistribución del ingreso.</w:t>
            </w:r>
          </w:p>
        </w:tc>
        <w:tc>
          <w:tcPr>
            <w:tcW w:w="1417" w:type="dxa"/>
            <w:vMerge w:val="restart"/>
            <w:tcBorders>
              <w:top w:val="single" w:sz="8" w:space="0" w:color="D9D9D9" w:themeColor="background1" w:themeShade="D9"/>
              <w:left w:val="single" w:sz="8" w:space="0" w:color="D0CECE"/>
              <w:bottom w:val="single" w:sz="8" w:space="0" w:color="D0CECE"/>
              <w:right w:val="single" w:sz="8" w:space="0" w:color="D0CECE"/>
            </w:tcBorders>
            <w:shd w:val="clear" w:color="auto" w:fill="F2F2F2" w:themeFill="background1" w:themeFillShade="F2"/>
            <w:vAlign w:val="center"/>
          </w:tcPr>
          <w:p w14:paraId="7668A25E"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Contenido del derecho</w:t>
            </w:r>
          </w:p>
        </w:tc>
        <w:tc>
          <w:tcPr>
            <w:tcW w:w="1419" w:type="dxa"/>
            <w:tcBorders>
              <w:top w:val="single" w:sz="8" w:space="0" w:color="D9D9D9" w:themeColor="background1" w:themeShade="D9"/>
              <w:left w:val="single" w:sz="8" w:space="0" w:color="D0CECE"/>
              <w:bottom w:val="single" w:sz="8" w:space="0" w:color="D0CECE"/>
              <w:right w:val="single" w:sz="8" w:space="0" w:color="D0CECE"/>
            </w:tcBorders>
            <w:vAlign w:val="center"/>
          </w:tcPr>
          <w:p w14:paraId="2729DC0C"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Delimitación del contenido del derecho a partir de la imposición de obligaciones (161332)</w:t>
            </w:r>
            <w:r w:rsidRPr="008C2070">
              <w:rPr>
                <w:rStyle w:val="Refdenotaalpie"/>
                <w:rFonts w:ascii="Times New Roman" w:hAnsi="Times New Roman" w:cs="Times New Roman"/>
                <w:lang w:val="es-ES"/>
              </w:rPr>
              <w:footnoteReference w:id="81"/>
            </w:r>
          </w:p>
        </w:tc>
        <w:tc>
          <w:tcPr>
            <w:tcW w:w="3826" w:type="dxa"/>
            <w:tcBorders>
              <w:top w:val="single" w:sz="8" w:space="0" w:color="D9D9D9" w:themeColor="background1" w:themeShade="D9"/>
              <w:left w:val="single" w:sz="8" w:space="0" w:color="D0CECE"/>
              <w:bottom w:val="single" w:sz="8" w:space="0" w:color="D0CECE"/>
              <w:right w:val="single" w:sz="8" w:space="0" w:color="D0CECE"/>
            </w:tcBorders>
            <w:vAlign w:val="center"/>
          </w:tcPr>
          <w:p w14:paraId="0BEB816B"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La naturaleza y la intensidad de las obligaciones que las normas imponen a los poderes públicos o a los particulares para mantener, preservar, restablecer o promover la salud son directamente relevantes desde la perspectiva del contenido garantizado por el derecho a la salud y pueden ser denunciadas por los particulares en caso de afectación.</w:t>
            </w:r>
          </w:p>
        </w:tc>
      </w:tr>
      <w:tr w:rsidR="00BA2FD4" w:rsidRPr="008C2070" w14:paraId="4EA9B57E" w14:textId="77777777" w:rsidTr="0007732F">
        <w:trPr>
          <w:trHeight w:val="1815"/>
        </w:trPr>
        <w:tc>
          <w:tcPr>
            <w:tcW w:w="1562" w:type="dxa"/>
            <w:vMerge/>
            <w:tcBorders>
              <w:top w:val="single" w:sz="8" w:space="0" w:color="D0CECE"/>
              <w:left w:val="single" w:sz="8" w:space="0" w:color="D0CECE"/>
              <w:bottom w:val="single" w:sz="8" w:space="0" w:color="D0CECE"/>
              <w:right w:val="single" w:sz="8" w:space="0" w:color="D0CECE"/>
            </w:tcBorders>
            <w:shd w:val="clear" w:color="auto" w:fill="D0CECE" w:themeFill="background2" w:themeFillShade="E6"/>
          </w:tcPr>
          <w:p w14:paraId="322A5669"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left w:val="single" w:sz="8" w:space="0" w:color="D0CECE"/>
              <w:right w:val="single" w:sz="8" w:space="0" w:color="D0CECE"/>
            </w:tcBorders>
            <w:shd w:val="clear" w:color="auto" w:fill="F2F2F2" w:themeFill="background1" w:themeFillShade="F2"/>
            <w:vAlign w:val="center"/>
          </w:tcPr>
          <w:p w14:paraId="1D41C12E"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top w:val="single" w:sz="8" w:space="0" w:color="D0CECE"/>
              <w:left w:val="single" w:sz="8" w:space="0" w:color="D0CECE"/>
              <w:bottom w:val="single" w:sz="8" w:space="0" w:color="D0CECE"/>
              <w:right w:val="single" w:sz="8" w:space="0" w:color="D0CECE"/>
            </w:tcBorders>
            <w:vAlign w:val="center"/>
          </w:tcPr>
          <w:p w14:paraId="7E9CBCAD"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top w:val="single" w:sz="8" w:space="0" w:color="D0CECE"/>
              <w:left w:val="single" w:sz="8" w:space="0" w:color="D0CECE"/>
              <w:bottom w:val="single" w:sz="8" w:space="0" w:color="D0CECE"/>
              <w:right w:val="single" w:sz="8" w:space="0" w:color="D0CECE"/>
            </w:tcBorders>
            <w:vAlign w:val="center"/>
          </w:tcPr>
          <w:p w14:paraId="5DFF372D" w14:textId="77777777" w:rsidR="00BA2FD4" w:rsidRPr="008C2070" w:rsidRDefault="00BA2FD4" w:rsidP="008C2070">
            <w:pPr>
              <w:spacing w:before="60" w:after="60"/>
              <w:jc w:val="both"/>
              <w:rPr>
                <w:rFonts w:ascii="Times New Roman" w:hAnsi="Times New Roman" w:cs="Times New Roman"/>
                <w:lang w:val="es-ES"/>
              </w:rPr>
            </w:pPr>
          </w:p>
        </w:tc>
        <w:tc>
          <w:tcPr>
            <w:tcW w:w="1417" w:type="dxa"/>
            <w:vMerge/>
            <w:tcBorders>
              <w:top w:val="single" w:sz="8" w:space="0" w:color="D0CECE"/>
              <w:left w:val="single" w:sz="8" w:space="0" w:color="D0CECE"/>
              <w:bottom w:val="single" w:sz="8" w:space="0" w:color="D0CECE"/>
              <w:right w:val="single" w:sz="8" w:space="0" w:color="D0CECE"/>
            </w:tcBorders>
            <w:shd w:val="clear" w:color="auto" w:fill="F2F2F2" w:themeFill="background1" w:themeFillShade="F2"/>
            <w:vAlign w:val="center"/>
          </w:tcPr>
          <w:p w14:paraId="22F49CC8"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0CECE"/>
              <w:left w:val="single" w:sz="8" w:space="0" w:color="D0CECE"/>
              <w:bottom w:val="single" w:sz="8" w:space="0" w:color="D0CECE"/>
              <w:right w:val="single" w:sz="8" w:space="0" w:color="D0CECE"/>
            </w:tcBorders>
            <w:vAlign w:val="center"/>
          </w:tcPr>
          <w:p w14:paraId="1D2F598F"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Obtención de un bienestar general (165826)</w:t>
            </w:r>
            <w:r w:rsidRPr="008C2070">
              <w:rPr>
                <w:rStyle w:val="Refdenotaalpie"/>
                <w:rFonts w:ascii="Times New Roman" w:hAnsi="Times New Roman" w:cs="Times New Roman"/>
                <w:lang w:val="es-ES"/>
              </w:rPr>
              <w:footnoteReference w:id="82"/>
            </w:r>
          </w:p>
        </w:tc>
        <w:tc>
          <w:tcPr>
            <w:tcW w:w="3826" w:type="dxa"/>
            <w:tcBorders>
              <w:top w:val="single" w:sz="8" w:space="0" w:color="D0CECE"/>
              <w:left w:val="single" w:sz="8" w:space="0" w:color="D0CECE"/>
              <w:bottom w:val="single" w:sz="8" w:space="0" w:color="D0CECE"/>
              <w:right w:val="single" w:sz="8" w:space="0" w:color="D0CECE"/>
            </w:tcBorders>
            <w:vAlign w:val="center"/>
          </w:tcPr>
          <w:p w14:paraId="3C8B7F91"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El derecho a la salud no se limita a la salud física del individuo, es decir, a no padecer, o bien, a prevenir y tratar una enfermedad, sino que atento a la propia naturaleza humana, va más allá, en tanto comprende aspectos externos e internos, como el buen estado mental y emocional del individuo. De ahí que el derecho a la salud se traduzca en la obtención de un determinado bienestar general integrado por el estado físico, mental, emocional y social de la persona.</w:t>
            </w:r>
          </w:p>
        </w:tc>
      </w:tr>
      <w:tr w:rsidR="00BA2FD4" w:rsidRPr="008C2070" w14:paraId="5270FDFB" w14:textId="77777777" w:rsidTr="0007732F">
        <w:trPr>
          <w:trHeight w:val="1814"/>
        </w:trPr>
        <w:tc>
          <w:tcPr>
            <w:tcW w:w="1562" w:type="dxa"/>
            <w:vMerge/>
            <w:tcBorders>
              <w:top w:val="single" w:sz="8" w:space="0" w:color="D0CECE"/>
              <w:left w:val="single" w:sz="8" w:space="0" w:color="D0CECE"/>
              <w:bottom w:val="single" w:sz="8" w:space="0" w:color="D0CECE"/>
              <w:right w:val="single" w:sz="8" w:space="0" w:color="D0CECE"/>
            </w:tcBorders>
            <w:shd w:val="clear" w:color="auto" w:fill="D0CECE" w:themeFill="background2" w:themeFillShade="E6"/>
          </w:tcPr>
          <w:p w14:paraId="5FA4781D"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left w:val="single" w:sz="8" w:space="0" w:color="D0CECE"/>
              <w:bottom w:val="single" w:sz="8" w:space="0" w:color="D0CECE"/>
              <w:right w:val="single" w:sz="8" w:space="0" w:color="D0CECE"/>
            </w:tcBorders>
            <w:shd w:val="clear" w:color="auto" w:fill="F2F2F2" w:themeFill="background1" w:themeFillShade="F2"/>
            <w:vAlign w:val="center"/>
          </w:tcPr>
          <w:p w14:paraId="43A0EC77"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top w:val="single" w:sz="8" w:space="0" w:color="D0CECE"/>
              <w:left w:val="single" w:sz="8" w:space="0" w:color="D0CECE"/>
              <w:bottom w:val="single" w:sz="8" w:space="0" w:color="D0CECE"/>
              <w:right w:val="single" w:sz="8" w:space="0" w:color="D0CECE"/>
            </w:tcBorders>
            <w:vAlign w:val="center"/>
          </w:tcPr>
          <w:p w14:paraId="0F9C7BB5"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top w:val="single" w:sz="8" w:space="0" w:color="D0CECE"/>
              <w:left w:val="single" w:sz="8" w:space="0" w:color="D0CECE"/>
              <w:bottom w:val="single" w:sz="8" w:space="0" w:color="D0CECE"/>
              <w:right w:val="single" w:sz="8" w:space="0" w:color="D0CECE"/>
            </w:tcBorders>
            <w:vAlign w:val="center"/>
          </w:tcPr>
          <w:p w14:paraId="01428681" w14:textId="77777777" w:rsidR="00BA2FD4" w:rsidRPr="008C2070" w:rsidRDefault="00BA2FD4" w:rsidP="008C2070">
            <w:pPr>
              <w:spacing w:before="60" w:after="60"/>
              <w:jc w:val="both"/>
              <w:rPr>
                <w:rFonts w:ascii="Times New Roman" w:hAnsi="Times New Roman" w:cs="Times New Roman"/>
                <w:lang w:val="es-ES"/>
              </w:rPr>
            </w:pPr>
          </w:p>
        </w:tc>
        <w:tc>
          <w:tcPr>
            <w:tcW w:w="1417" w:type="dxa"/>
            <w:vMerge/>
            <w:tcBorders>
              <w:top w:val="single" w:sz="8" w:space="0" w:color="D0CECE"/>
              <w:left w:val="single" w:sz="8" w:space="0" w:color="D0CECE"/>
              <w:bottom w:val="single" w:sz="8" w:space="0" w:color="D0CECE"/>
              <w:right w:val="single" w:sz="8" w:space="0" w:color="D0CECE"/>
            </w:tcBorders>
            <w:shd w:val="clear" w:color="auto" w:fill="F2F2F2" w:themeFill="background1" w:themeFillShade="F2"/>
            <w:vAlign w:val="center"/>
          </w:tcPr>
          <w:p w14:paraId="702EBBBB"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0CECE"/>
              <w:left w:val="single" w:sz="8" w:space="0" w:color="D0CECE"/>
              <w:bottom w:val="single" w:sz="18" w:space="0" w:color="767171" w:themeColor="background2" w:themeShade="80"/>
              <w:right w:val="single" w:sz="8" w:space="0" w:color="D0CECE"/>
            </w:tcBorders>
            <w:vAlign w:val="center"/>
          </w:tcPr>
          <w:p w14:paraId="4BE4EFF7"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Inclusión de medicamentos básicos (192160)</w:t>
            </w:r>
            <w:r w:rsidRPr="008C2070">
              <w:rPr>
                <w:rStyle w:val="Refdenotaalpie"/>
                <w:rFonts w:ascii="Times New Roman" w:hAnsi="Times New Roman" w:cs="Times New Roman"/>
                <w:lang w:val="es-ES"/>
              </w:rPr>
              <w:footnoteReference w:id="83"/>
            </w:r>
          </w:p>
        </w:tc>
        <w:tc>
          <w:tcPr>
            <w:tcW w:w="3826" w:type="dxa"/>
            <w:tcBorders>
              <w:top w:val="single" w:sz="8" w:space="0" w:color="D0CECE"/>
              <w:left w:val="single" w:sz="8" w:space="0" w:color="D0CECE"/>
              <w:bottom w:val="single" w:sz="18" w:space="0" w:color="767171" w:themeColor="background2" w:themeShade="80"/>
              <w:right w:val="single" w:sz="8" w:space="0" w:color="D0CECE"/>
            </w:tcBorders>
            <w:vAlign w:val="center"/>
          </w:tcPr>
          <w:p w14:paraId="28D6C5DA"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La garantía del derecho comprende la recepción de los medicamentos básicos para el tratamiento de una enfermedad, como parte integrante del servicio básico de salud consistente en la atención médica, que en su actividad curativa significa el proporcionar un tratamiento oportuno al enfermo.</w:t>
            </w:r>
          </w:p>
        </w:tc>
      </w:tr>
      <w:tr w:rsidR="00BA2FD4" w:rsidRPr="008C2070" w14:paraId="587D3DC5" w14:textId="77777777" w:rsidTr="0007732F">
        <w:trPr>
          <w:trHeight w:val="240"/>
        </w:trPr>
        <w:tc>
          <w:tcPr>
            <w:tcW w:w="1562" w:type="dxa"/>
            <w:vMerge w:val="restart"/>
            <w:tcBorders>
              <w:top w:val="single" w:sz="18" w:space="0" w:color="767171" w:themeColor="background2" w:themeShade="80"/>
              <w:left w:val="single" w:sz="8" w:space="0" w:color="D0CECE"/>
              <w:right w:val="single" w:sz="8" w:space="0" w:color="D0CECE"/>
            </w:tcBorders>
            <w:shd w:val="clear" w:color="auto" w:fill="D0CECE" w:themeFill="background2" w:themeFillShade="E6"/>
          </w:tcPr>
          <w:p w14:paraId="53CC7274" w14:textId="77777777" w:rsidR="00BA2FD4" w:rsidRPr="008C2070" w:rsidRDefault="00BA2FD4" w:rsidP="008C2070">
            <w:pPr>
              <w:spacing w:before="60" w:after="60"/>
              <w:jc w:val="center"/>
              <w:rPr>
                <w:rFonts w:ascii="Times New Roman" w:hAnsi="Times New Roman" w:cs="Times New Roman"/>
                <w:b/>
                <w:bCs/>
                <w:lang w:val="es-ES"/>
              </w:rPr>
            </w:pPr>
          </w:p>
          <w:p w14:paraId="654FB809" w14:textId="6F2B6182" w:rsidR="00BA2FD4" w:rsidRPr="008C2070" w:rsidRDefault="00BA2FD4" w:rsidP="008C207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De 2011 a la fecha</w:t>
            </w:r>
          </w:p>
        </w:tc>
        <w:tc>
          <w:tcPr>
            <w:tcW w:w="1699" w:type="dxa"/>
            <w:vMerge w:val="restart"/>
            <w:tcBorders>
              <w:top w:val="single" w:sz="18" w:space="0" w:color="767171" w:themeColor="background2" w:themeShade="80"/>
              <w:left w:val="single" w:sz="8" w:space="0" w:color="D0CECE"/>
              <w:right w:val="single" w:sz="8" w:space="0" w:color="D0CECE"/>
            </w:tcBorders>
            <w:shd w:val="clear" w:color="auto" w:fill="F2F2F2" w:themeFill="background1" w:themeFillShade="F2"/>
            <w:vAlign w:val="center"/>
          </w:tcPr>
          <w:p w14:paraId="3E5420B0"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Naturaleza y regulación del derecho</w:t>
            </w:r>
          </w:p>
        </w:tc>
        <w:tc>
          <w:tcPr>
            <w:tcW w:w="1418" w:type="dxa"/>
            <w:vMerge w:val="restart"/>
            <w:tcBorders>
              <w:top w:val="single" w:sz="18" w:space="0" w:color="767171" w:themeColor="background2" w:themeShade="80"/>
              <w:left w:val="single" w:sz="8" w:space="0" w:color="D0CECE"/>
              <w:right w:val="single" w:sz="8" w:space="0" w:color="D0CECE"/>
            </w:tcBorders>
            <w:vAlign w:val="center"/>
          </w:tcPr>
          <w:p w14:paraId="3C76DD99"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Dimensión individual y social del derecho (2019358)</w:t>
            </w:r>
            <w:r w:rsidRPr="008C2070">
              <w:rPr>
                <w:rStyle w:val="Refdenotaalpie"/>
                <w:rFonts w:ascii="Times New Roman" w:hAnsi="Times New Roman" w:cs="Times New Roman"/>
                <w:lang w:val="es-ES"/>
              </w:rPr>
              <w:footnoteReference w:id="84"/>
            </w:r>
          </w:p>
        </w:tc>
        <w:tc>
          <w:tcPr>
            <w:tcW w:w="3543" w:type="dxa"/>
            <w:vMerge w:val="restart"/>
            <w:tcBorders>
              <w:top w:val="single" w:sz="18" w:space="0" w:color="767171" w:themeColor="background2" w:themeShade="80"/>
              <w:left w:val="single" w:sz="8" w:space="0" w:color="D0CECE"/>
              <w:right w:val="single" w:sz="8" w:space="0" w:color="D0CECE"/>
            </w:tcBorders>
            <w:vAlign w:val="center"/>
          </w:tcPr>
          <w:p w14:paraId="3720125F"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Los Estados no sólo tienen la obligación de respetar, absteniéndose de negar el acceso, también tienen del deber de dar el tratamiento médico solicitado, pues al tratarse de un derecho de naturaleza prestacional está sujeto a la obligación de hacer del Estado -realizar una adecuada prestación y supervisión de la asistencia médica-, ello bajo los principios de universalidad y progresividad.</w:t>
            </w:r>
          </w:p>
          <w:p w14:paraId="646D8D8B" w14:textId="55A859AD"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La protección de la salud es un objetivo que legítimamente puede perseguir el Estado. Este derecho tiene una proyección tanto individual o personal, como una pública o social.</w:t>
            </w:r>
          </w:p>
          <w:p w14:paraId="59DBEED4" w14:textId="77777777" w:rsidR="00BA2FD4" w:rsidRPr="008C2070" w:rsidRDefault="00BA2FD4" w:rsidP="008C2070">
            <w:pPr>
              <w:spacing w:before="60" w:after="60"/>
              <w:jc w:val="both"/>
              <w:rPr>
                <w:rFonts w:ascii="Times New Roman" w:hAnsi="Times New Roman" w:cs="Times New Roman"/>
                <w:lang w:val="es-ES"/>
              </w:rPr>
            </w:pPr>
          </w:p>
          <w:p w14:paraId="656612FB"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lastRenderedPageBreak/>
              <w:t>Respecto a la protección a la salud de las personas en lo individual, el derecho a la salud se traduce en la obtención de un determinado bienestar general integrado por el estado físico, mental, emocional y social de la persona. Por otro lado, la faceta social o pública del derecho a la salud consiste en el deber del Estado de atender los problemas de salud que afectan a la sociedad en general, así como en establecer los mecanismos necesarios para que todas las personas tengan acceso a los servicios de salud. (Mismo contenido que la TA 201313)</w:t>
            </w:r>
          </w:p>
        </w:tc>
        <w:tc>
          <w:tcPr>
            <w:tcW w:w="1417" w:type="dxa"/>
            <w:vMerge w:val="restart"/>
            <w:tcBorders>
              <w:top w:val="single" w:sz="18" w:space="0" w:color="767171" w:themeColor="background2" w:themeShade="80"/>
              <w:left w:val="single" w:sz="8" w:space="0" w:color="D0CECE"/>
              <w:right w:val="single" w:sz="8" w:space="0" w:color="D0CECE"/>
            </w:tcBorders>
            <w:shd w:val="clear" w:color="auto" w:fill="F2F2F2" w:themeFill="background1" w:themeFillShade="F2"/>
            <w:vAlign w:val="center"/>
          </w:tcPr>
          <w:p w14:paraId="17F30A77" w14:textId="3685123F"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lastRenderedPageBreak/>
              <w:t>Obligaciones del Estado</w:t>
            </w:r>
          </w:p>
        </w:tc>
        <w:tc>
          <w:tcPr>
            <w:tcW w:w="1419" w:type="dxa"/>
            <w:tcBorders>
              <w:top w:val="single" w:sz="18" w:space="0" w:color="767171" w:themeColor="background2" w:themeShade="80"/>
              <w:left w:val="single" w:sz="8" w:space="0" w:color="D0CECE"/>
              <w:bottom w:val="single" w:sz="8" w:space="0" w:color="D9D9D9" w:themeColor="background1" w:themeShade="D9"/>
              <w:right w:val="single" w:sz="8" w:space="0" w:color="D0CECE"/>
            </w:tcBorders>
            <w:vAlign w:val="center"/>
          </w:tcPr>
          <w:p w14:paraId="61E5448E" w14:textId="2A19D0E8"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Efectividad progresiva del derecho (2022889)</w:t>
            </w:r>
            <w:r w:rsidRPr="008C2070">
              <w:rPr>
                <w:rStyle w:val="Refdenotaalpie"/>
                <w:rFonts w:ascii="Times New Roman" w:hAnsi="Times New Roman" w:cs="Times New Roman"/>
                <w:lang w:val="es-ES"/>
              </w:rPr>
              <w:footnoteReference w:id="85"/>
            </w:r>
          </w:p>
        </w:tc>
        <w:tc>
          <w:tcPr>
            <w:tcW w:w="3826" w:type="dxa"/>
            <w:tcBorders>
              <w:top w:val="single" w:sz="18" w:space="0" w:color="767171" w:themeColor="background2" w:themeShade="80"/>
              <w:left w:val="single" w:sz="8" w:space="0" w:color="D0CECE"/>
              <w:bottom w:val="single" w:sz="8" w:space="0" w:color="D9D9D9" w:themeColor="background1" w:themeShade="D9"/>
              <w:right w:val="single" w:sz="8" w:space="0" w:color="D0CECE"/>
            </w:tcBorders>
            <w:vAlign w:val="center"/>
          </w:tcPr>
          <w:p w14:paraId="3383E6CF"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En aras de garantizar el derecho humano a la salud, el Estado debe adoptar las medidas necesarias, hasta el máximo de los recursos de que disponga, para lograr progresivamente, por todos los medios apropiados, su plena efectividad. En esa tesitura, tiene la carga de la prueba de demostrar que realizó el esfuerzo para utilizar todos los recursos que están a su disposición</w:t>
            </w:r>
          </w:p>
          <w:p w14:paraId="663A6A44" w14:textId="77777777" w:rsidR="00BA2FD4" w:rsidRPr="008C2070" w:rsidRDefault="00BA2FD4" w:rsidP="008C2070">
            <w:pPr>
              <w:spacing w:before="60" w:after="60"/>
              <w:jc w:val="both"/>
              <w:rPr>
                <w:rFonts w:ascii="Times New Roman" w:hAnsi="Times New Roman" w:cs="Times New Roman"/>
                <w:lang w:val="es-ES"/>
              </w:rPr>
            </w:pPr>
          </w:p>
          <w:p w14:paraId="6A0B8F16"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Cita fuente internacional (PIDESC)</w:t>
            </w:r>
          </w:p>
        </w:tc>
      </w:tr>
      <w:tr w:rsidR="00BA2FD4" w:rsidRPr="008C2070" w14:paraId="67E50E99" w14:textId="77777777" w:rsidTr="0007732F">
        <w:trPr>
          <w:trHeight w:val="356"/>
        </w:trPr>
        <w:tc>
          <w:tcPr>
            <w:tcW w:w="1562" w:type="dxa"/>
            <w:vMerge/>
            <w:tcBorders>
              <w:left w:val="single" w:sz="8" w:space="0" w:color="D0CECE"/>
              <w:right w:val="single" w:sz="8" w:space="0" w:color="D0CECE"/>
            </w:tcBorders>
            <w:shd w:val="clear" w:color="auto" w:fill="D0CECE" w:themeFill="background2" w:themeFillShade="E6"/>
          </w:tcPr>
          <w:p w14:paraId="57B7954B"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left w:val="single" w:sz="8" w:space="0" w:color="D0CECE"/>
              <w:right w:val="single" w:sz="8" w:space="0" w:color="D0CECE"/>
            </w:tcBorders>
            <w:shd w:val="clear" w:color="auto" w:fill="F2F2F2" w:themeFill="background1" w:themeFillShade="F2"/>
            <w:vAlign w:val="center"/>
          </w:tcPr>
          <w:p w14:paraId="38E73936"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left w:val="single" w:sz="8" w:space="0" w:color="D0CECE"/>
              <w:right w:val="single" w:sz="8" w:space="0" w:color="D0CECE"/>
            </w:tcBorders>
            <w:vAlign w:val="center"/>
          </w:tcPr>
          <w:p w14:paraId="198A93BA"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left w:val="single" w:sz="8" w:space="0" w:color="D0CECE"/>
              <w:right w:val="single" w:sz="8" w:space="0" w:color="D0CECE"/>
            </w:tcBorders>
            <w:vAlign w:val="center"/>
          </w:tcPr>
          <w:p w14:paraId="74520881" w14:textId="77777777" w:rsidR="00BA2FD4" w:rsidRPr="008C2070" w:rsidRDefault="00BA2FD4" w:rsidP="008C2070">
            <w:pPr>
              <w:spacing w:before="60" w:after="60"/>
              <w:jc w:val="both"/>
              <w:rPr>
                <w:rFonts w:ascii="Times New Roman" w:hAnsi="Times New Roman" w:cs="Times New Roman"/>
                <w:lang w:val="es-ES"/>
              </w:rPr>
            </w:pPr>
          </w:p>
        </w:tc>
        <w:tc>
          <w:tcPr>
            <w:tcW w:w="1417" w:type="dxa"/>
            <w:vMerge/>
            <w:tcBorders>
              <w:left w:val="single" w:sz="8" w:space="0" w:color="D0CECE"/>
              <w:right w:val="single" w:sz="8" w:space="0" w:color="D9D9D9" w:themeColor="background1" w:themeShade="D9"/>
            </w:tcBorders>
            <w:shd w:val="clear" w:color="auto" w:fill="F2F2F2" w:themeFill="background1" w:themeFillShade="F2"/>
            <w:vAlign w:val="center"/>
          </w:tcPr>
          <w:p w14:paraId="0A1D3713"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DD69145" w14:textId="77777777" w:rsidR="00BA2FD4" w:rsidRPr="008C2070" w:rsidRDefault="00BA2FD4" w:rsidP="008C2070">
            <w:pPr>
              <w:spacing w:before="60" w:after="60"/>
              <w:jc w:val="center"/>
              <w:rPr>
                <w:rFonts w:ascii="Times New Roman" w:hAnsi="Times New Roman" w:cs="Times New Roman"/>
                <w:lang w:val="es-ES"/>
              </w:rPr>
            </w:pP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B8FD4D7" w14:textId="77777777" w:rsidR="00BA2FD4" w:rsidRPr="008C2070" w:rsidRDefault="00BA2FD4" w:rsidP="008C2070">
            <w:pPr>
              <w:spacing w:before="60" w:after="60"/>
              <w:jc w:val="both"/>
              <w:rPr>
                <w:rFonts w:ascii="Times New Roman" w:hAnsi="Times New Roman" w:cs="Times New Roman"/>
                <w:lang w:val="es-ES"/>
              </w:rPr>
            </w:pPr>
          </w:p>
        </w:tc>
      </w:tr>
      <w:tr w:rsidR="00BA2FD4" w:rsidRPr="008C2070" w14:paraId="78DAB67E" w14:textId="77777777" w:rsidTr="0007732F">
        <w:trPr>
          <w:trHeight w:val="356"/>
        </w:trPr>
        <w:tc>
          <w:tcPr>
            <w:tcW w:w="1562" w:type="dxa"/>
            <w:vMerge/>
            <w:tcBorders>
              <w:left w:val="single" w:sz="8" w:space="0" w:color="D0CECE"/>
              <w:right w:val="single" w:sz="8" w:space="0" w:color="D0CECE"/>
            </w:tcBorders>
            <w:shd w:val="clear" w:color="auto" w:fill="D0CECE" w:themeFill="background2" w:themeFillShade="E6"/>
          </w:tcPr>
          <w:p w14:paraId="596E0342"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left w:val="single" w:sz="8" w:space="0" w:color="D0CECE"/>
              <w:right w:val="single" w:sz="8" w:space="0" w:color="D0CECE"/>
            </w:tcBorders>
            <w:shd w:val="clear" w:color="auto" w:fill="F2F2F2" w:themeFill="background1" w:themeFillShade="F2"/>
            <w:vAlign w:val="center"/>
          </w:tcPr>
          <w:p w14:paraId="6C7FE898"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left w:val="single" w:sz="8" w:space="0" w:color="D0CECE"/>
              <w:right w:val="single" w:sz="8" w:space="0" w:color="D0CECE"/>
            </w:tcBorders>
            <w:vAlign w:val="center"/>
          </w:tcPr>
          <w:p w14:paraId="020B0576"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left w:val="single" w:sz="8" w:space="0" w:color="D0CECE"/>
              <w:right w:val="single" w:sz="8" w:space="0" w:color="D0CECE"/>
            </w:tcBorders>
            <w:vAlign w:val="center"/>
          </w:tcPr>
          <w:p w14:paraId="7BDD2541" w14:textId="77777777" w:rsidR="00BA2FD4" w:rsidRPr="008C2070" w:rsidRDefault="00BA2FD4" w:rsidP="008C2070">
            <w:pPr>
              <w:spacing w:before="60" w:after="60"/>
              <w:jc w:val="both"/>
              <w:rPr>
                <w:rFonts w:ascii="Times New Roman" w:hAnsi="Times New Roman" w:cs="Times New Roman"/>
                <w:lang w:val="es-ES"/>
              </w:rPr>
            </w:pPr>
          </w:p>
        </w:tc>
        <w:tc>
          <w:tcPr>
            <w:tcW w:w="1417" w:type="dxa"/>
            <w:vMerge/>
            <w:tcBorders>
              <w:left w:val="single" w:sz="8" w:space="0" w:color="D0CECE"/>
              <w:right w:val="single" w:sz="8" w:space="0" w:color="D9D9D9" w:themeColor="background1" w:themeShade="D9"/>
            </w:tcBorders>
            <w:shd w:val="clear" w:color="auto" w:fill="F2F2F2" w:themeFill="background1" w:themeFillShade="F2"/>
            <w:vAlign w:val="center"/>
          </w:tcPr>
          <w:p w14:paraId="6DEB20F4"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05C2899"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Obligaciones inmediatas y progresivas (2007938)</w:t>
            </w:r>
            <w:r w:rsidRPr="008C2070">
              <w:rPr>
                <w:rStyle w:val="Refdenotaalpie"/>
                <w:rFonts w:ascii="Times New Roman" w:hAnsi="Times New Roman" w:cs="Times New Roman"/>
                <w:lang w:val="es-ES"/>
              </w:rPr>
              <w:footnoteReference w:id="86"/>
            </w:r>
            <w:r w:rsidRPr="008C2070">
              <w:rPr>
                <w:rFonts w:ascii="Times New Roman" w:hAnsi="Times New Roman" w:cs="Times New Roman"/>
                <w:lang w:val="es-ES"/>
              </w:rPr>
              <w:t xml:space="preserve"> (2007539)</w:t>
            </w:r>
            <w:r w:rsidRPr="008C2070">
              <w:rPr>
                <w:rStyle w:val="Refdenotaalpie"/>
                <w:rFonts w:ascii="Times New Roman" w:hAnsi="Times New Roman" w:cs="Times New Roman"/>
                <w:lang w:val="es-ES"/>
              </w:rPr>
              <w:footnoteReference w:id="87"/>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A8E6E72"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El artículo 2 del Pacto Internacional de Derechos Económicos, Sociales y Culturales prevé obligaciones de contenido y de resultado; aquéllas, de carácter inmediato, se refieren a que los </w:t>
            </w:r>
            <w:r w:rsidRPr="008C2070">
              <w:rPr>
                <w:rFonts w:ascii="Times New Roman" w:hAnsi="Times New Roman" w:cs="Times New Roman"/>
                <w:lang w:val="es-ES"/>
              </w:rPr>
              <w:lastRenderedPageBreak/>
              <w:t>derechos se ejerciten sin discriminación y a que el Estado adopte dentro de un plazo breve medidas deliberadas, concretas y orientadas a satisfacer las obligaciones convencionales, mientras que las de resultado o mediatas, se relacionan con el principio de progresividad, el cual debe analizarse a la luz de un dispositivo de flexibilidad que refleje las realidades del mundo y las dificultades que implica para cada país asegurar la plena efectividad</w:t>
            </w:r>
          </w:p>
          <w:p w14:paraId="652FBE70" w14:textId="77777777" w:rsidR="00BA2FD4" w:rsidRPr="008C2070" w:rsidRDefault="00BA2FD4" w:rsidP="008C2070">
            <w:pPr>
              <w:spacing w:before="60" w:after="60"/>
              <w:jc w:val="both"/>
              <w:rPr>
                <w:rFonts w:ascii="Times New Roman" w:hAnsi="Times New Roman" w:cs="Times New Roman"/>
                <w:lang w:val="es-ES"/>
              </w:rPr>
            </w:pPr>
          </w:p>
          <w:p w14:paraId="73A9C346"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Cita fuentes internacionales (PIDESC)</w:t>
            </w:r>
          </w:p>
          <w:p w14:paraId="52B5468B" w14:textId="77777777" w:rsidR="00BA2FD4" w:rsidRPr="008C2070" w:rsidRDefault="00BA2FD4" w:rsidP="008C2070">
            <w:pPr>
              <w:spacing w:before="60" w:after="60"/>
              <w:jc w:val="both"/>
              <w:rPr>
                <w:rFonts w:ascii="Times New Roman" w:hAnsi="Times New Roman" w:cs="Times New Roman"/>
                <w:lang w:val="es-ES"/>
              </w:rPr>
            </w:pPr>
          </w:p>
          <w:p w14:paraId="0F6034EA"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Cita fuentes internacionales (Convención sobre la Eliminación de todas las Formas de Discriminación contra la Mujer)</w:t>
            </w:r>
          </w:p>
        </w:tc>
      </w:tr>
      <w:tr w:rsidR="00BA2FD4" w:rsidRPr="008C2070" w14:paraId="6550013A" w14:textId="77777777" w:rsidTr="0007732F">
        <w:trPr>
          <w:trHeight w:val="356"/>
        </w:trPr>
        <w:tc>
          <w:tcPr>
            <w:tcW w:w="1562" w:type="dxa"/>
            <w:vMerge/>
            <w:tcBorders>
              <w:left w:val="single" w:sz="8" w:space="0" w:color="D0CECE"/>
              <w:right w:val="single" w:sz="8" w:space="0" w:color="D0CECE"/>
            </w:tcBorders>
            <w:shd w:val="clear" w:color="auto" w:fill="D0CECE" w:themeFill="background2" w:themeFillShade="E6"/>
          </w:tcPr>
          <w:p w14:paraId="36451339"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left w:val="single" w:sz="8" w:space="0" w:color="D0CECE"/>
              <w:right w:val="single" w:sz="8" w:space="0" w:color="D0CECE"/>
            </w:tcBorders>
            <w:shd w:val="clear" w:color="auto" w:fill="F2F2F2" w:themeFill="background1" w:themeFillShade="F2"/>
            <w:vAlign w:val="center"/>
          </w:tcPr>
          <w:p w14:paraId="12FF3B97"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left w:val="single" w:sz="8" w:space="0" w:color="D0CECE"/>
              <w:right w:val="single" w:sz="8" w:space="0" w:color="D0CECE"/>
            </w:tcBorders>
            <w:vAlign w:val="center"/>
          </w:tcPr>
          <w:p w14:paraId="649DDE14"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left w:val="single" w:sz="8" w:space="0" w:color="D0CECE"/>
              <w:right w:val="single" w:sz="8" w:space="0" w:color="D0CECE"/>
            </w:tcBorders>
            <w:vAlign w:val="center"/>
          </w:tcPr>
          <w:p w14:paraId="175D9762" w14:textId="77777777" w:rsidR="00BA2FD4" w:rsidRPr="008C2070" w:rsidRDefault="00BA2FD4" w:rsidP="008C2070">
            <w:pPr>
              <w:spacing w:before="60" w:after="60"/>
              <w:jc w:val="both"/>
              <w:rPr>
                <w:rFonts w:ascii="Times New Roman" w:hAnsi="Times New Roman" w:cs="Times New Roman"/>
                <w:lang w:val="es-ES"/>
              </w:rPr>
            </w:pPr>
          </w:p>
        </w:tc>
        <w:tc>
          <w:tcPr>
            <w:tcW w:w="1417" w:type="dxa"/>
            <w:vMerge/>
            <w:tcBorders>
              <w:left w:val="single" w:sz="8" w:space="0" w:color="D0CECE"/>
              <w:right w:val="single" w:sz="8" w:space="0" w:color="D9D9D9" w:themeColor="background1" w:themeShade="D9"/>
            </w:tcBorders>
            <w:shd w:val="clear" w:color="auto" w:fill="F2F2F2" w:themeFill="background1" w:themeFillShade="F2"/>
            <w:vAlign w:val="center"/>
          </w:tcPr>
          <w:p w14:paraId="7C855693"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2574CA6"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Criterios para garantizar el derecho (2022888)</w:t>
            </w:r>
            <w:r w:rsidRPr="008C2070">
              <w:rPr>
                <w:rStyle w:val="Refdenotaalpie"/>
                <w:rFonts w:ascii="Times New Roman" w:hAnsi="Times New Roman" w:cs="Times New Roman"/>
                <w:lang w:val="es-ES"/>
              </w:rPr>
              <w:footnoteReference w:id="88"/>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A2450E7" w14:textId="3B701BD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Las autoridades responsables del SNS deben garantizar el derecho a la salud de acuerdo con los criterios:</w:t>
            </w:r>
          </w:p>
          <w:p w14:paraId="2E40642B" w14:textId="77777777" w:rsidR="00BA2FD4" w:rsidRPr="008C2070" w:rsidRDefault="00BA2FD4" w:rsidP="008C2070">
            <w:pPr>
              <w:pStyle w:val="Prrafodelista"/>
              <w:numPr>
                <w:ilvl w:val="0"/>
                <w:numId w:val="5"/>
              </w:numPr>
              <w:spacing w:before="60" w:after="60"/>
              <w:contextualSpacing w:val="0"/>
              <w:jc w:val="both"/>
              <w:rPr>
                <w:rFonts w:ascii="Times New Roman" w:hAnsi="Times New Roman" w:cs="Times New Roman"/>
                <w:lang w:val="es-ES"/>
              </w:rPr>
            </w:pPr>
            <w:r w:rsidRPr="008C2070">
              <w:rPr>
                <w:rFonts w:ascii="Times New Roman" w:hAnsi="Times New Roman" w:cs="Times New Roman"/>
                <w:lang w:val="es-ES"/>
              </w:rPr>
              <w:t>Subjetivo: l Estado deberá actuar con el propósito de procurar el tratamiento terapéutico y farmacéutico del paciente.</w:t>
            </w:r>
          </w:p>
          <w:p w14:paraId="774F8C93" w14:textId="77777777" w:rsidR="00BA2FD4" w:rsidRPr="008C2070" w:rsidRDefault="00BA2FD4" w:rsidP="008C2070">
            <w:pPr>
              <w:pStyle w:val="Prrafodelista"/>
              <w:numPr>
                <w:ilvl w:val="0"/>
                <w:numId w:val="5"/>
              </w:numPr>
              <w:spacing w:before="60" w:after="60"/>
              <w:contextualSpacing w:val="0"/>
              <w:jc w:val="both"/>
              <w:rPr>
                <w:rFonts w:ascii="Times New Roman" w:hAnsi="Times New Roman" w:cs="Times New Roman"/>
                <w:lang w:val="es-ES"/>
              </w:rPr>
            </w:pPr>
            <w:r w:rsidRPr="008C2070">
              <w:rPr>
                <w:rFonts w:ascii="Times New Roman" w:hAnsi="Times New Roman" w:cs="Times New Roman"/>
                <w:lang w:val="es-ES"/>
              </w:rPr>
              <w:t>Objetivo: el Estado deberá garantizar que el tratamiento sea adecuado, de modo que si el paciente requiere algún medicamento, éste contenga las sales originales o genéricas.</w:t>
            </w:r>
          </w:p>
          <w:p w14:paraId="41D0E421" w14:textId="77777777" w:rsidR="00BA2FD4" w:rsidRPr="008C2070" w:rsidRDefault="00BA2FD4" w:rsidP="008C2070">
            <w:pPr>
              <w:pStyle w:val="Prrafodelista"/>
              <w:numPr>
                <w:ilvl w:val="0"/>
                <w:numId w:val="5"/>
              </w:numPr>
              <w:spacing w:before="60" w:after="60"/>
              <w:contextualSpacing w:val="0"/>
              <w:jc w:val="both"/>
              <w:rPr>
                <w:rFonts w:ascii="Times New Roman" w:hAnsi="Times New Roman" w:cs="Times New Roman"/>
                <w:lang w:val="es-ES"/>
              </w:rPr>
            </w:pPr>
            <w:r w:rsidRPr="008C2070">
              <w:rPr>
                <w:rFonts w:ascii="Times New Roman" w:hAnsi="Times New Roman" w:cs="Times New Roman"/>
                <w:lang w:val="es-ES"/>
              </w:rPr>
              <w:lastRenderedPageBreak/>
              <w:t>Temporal: el Estado deberá garantizar que el tratamiento del paciente se garantice de forma oportuna, permanente y constante.</w:t>
            </w:r>
          </w:p>
          <w:p w14:paraId="05CCA23B" w14:textId="77777777" w:rsidR="00BA2FD4" w:rsidRPr="008C2070" w:rsidRDefault="00BA2FD4" w:rsidP="008C2070">
            <w:pPr>
              <w:pStyle w:val="Prrafodelista"/>
              <w:numPr>
                <w:ilvl w:val="0"/>
                <w:numId w:val="5"/>
              </w:numPr>
              <w:spacing w:before="60" w:after="60"/>
              <w:contextualSpacing w:val="0"/>
              <w:jc w:val="both"/>
              <w:rPr>
                <w:rFonts w:ascii="Times New Roman" w:hAnsi="Times New Roman" w:cs="Times New Roman"/>
                <w:lang w:val="es-ES"/>
              </w:rPr>
            </w:pPr>
            <w:r w:rsidRPr="008C2070">
              <w:rPr>
                <w:rFonts w:ascii="Times New Roman" w:hAnsi="Times New Roman" w:cs="Times New Roman"/>
                <w:lang w:val="es-ES"/>
              </w:rPr>
              <w:t>Institucional: el Estado debe garantizar que las unidades médicas o instituciones de salud que se encarguen de la garantía del tratamiento lo hagan de conformidad con los estándares más altos de tecnología y especialización médica.</w:t>
            </w:r>
          </w:p>
          <w:p w14:paraId="1678558D" w14:textId="77777777" w:rsidR="00BA2FD4" w:rsidRPr="008C2070" w:rsidRDefault="00BA2FD4" w:rsidP="008C2070">
            <w:pPr>
              <w:spacing w:before="60" w:after="60"/>
              <w:jc w:val="both"/>
              <w:rPr>
                <w:rFonts w:ascii="Times New Roman" w:hAnsi="Times New Roman" w:cs="Times New Roman"/>
                <w:lang w:val="es-ES"/>
              </w:rPr>
            </w:pPr>
          </w:p>
          <w:p w14:paraId="2176CAD5"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Cita fuentes internacionales (DUDH, PIDESC, Convención Internacional sobre la Eliminación de todas las Formas de Discriminación Ración, Convención sobre la Eliminación de todas las formas de Discriminación contra la Mujeres, Convención sobre los derechos del niño)</w:t>
            </w:r>
          </w:p>
        </w:tc>
      </w:tr>
      <w:tr w:rsidR="00BA2FD4" w:rsidRPr="008C2070" w14:paraId="6CBD3F46" w14:textId="77777777" w:rsidTr="0007732F">
        <w:trPr>
          <w:trHeight w:val="355"/>
        </w:trPr>
        <w:tc>
          <w:tcPr>
            <w:tcW w:w="1562" w:type="dxa"/>
            <w:vMerge/>
            <w:tcBorders>
              <w:left w:val="single" w:sz="8" w:space="0" w:color="D0CECE"/>
              <w:bottom w:val="single" w:sz="8" w:space="0" w:color="D0CECE"/>
              <w:right w:val="single" w:sz="8" w:space="0" w:color="D0CECE"/>
            </w:tcBorders>
            <w:shd w:val="clear" w:color="auto" w:fill="D0CECE" w:themeFill="background2" w:themeFillShade="E6"/>
          </w:tcPr>
          <w:p w14:paraId="494C0295"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left w:val="single" w:sz="8" w:space="0" w:color="D0CECE"/>
              <w:bottom w:val="single" w:sz="8" w:space="0" w:color="D9D9D9" w:themeColor="background1" w:themeShade="D9"/>
              <w:right w:val="single" w:sz="8" w:space="0" w:color="D0CECE"/>
            </w:tcBorders>
            <w:shd w:val="clear" w:color="auto" w:fill="F2F2F2" w:themeFill="background1" w:themeFillShade="F2"/>
            <w:vAlign w:val="center"/>
          </w:tcPr>
          <w:p w14:paraId="040BF948"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left w:val="single" w:sz="8" w:space="0" w:color="D0CECE"/>
              <w:bottom w:val="single" w:sz="8" w:space="0" w:color="D9D9D9" w:themeColor="background1" w:themeShade="D9"/>
              <w:right w:val="single" w:sz="8" w:space="0" w:color="D0CECE"/>
            </w:tcBorders>
            <w:vAlign w:val="center"/>
          </w:tcPr>
          <w:p w14:paraId="5A66E8E4"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left w:val="single" w:sz="8" w:space="0" w:color="D0CECE"/>
              <w:bottom w:val="single" w:sz="8" w:space="0" w:color="D9D9D9" w:themeColor="background1" w:themeShade="D9"/>
              <w:right w:val="single" w:sz="8" w:space="0" w:color="D0CECE"/>
            </w:tcBorders>
            <w:vAlign w:val="center"/>
          </w:tcPr>
          <w:p w14:paraId="39015356" w14:textId="77777777" w:rsidR="00BA2FD4" w:rsidRPr="008C2070" w:rsidRDefault="00BA2FD4" w:rsidP="008C2070">
            <w:pPr>
              <w:spacing w:before="60" w:after="60"/>
              <w:jc w:val="both"/>
              <w:rPr>
                <w:rFonts w:ascii="Times New Roman" w:hAnsi="Times New Roman" w:cs="Times New Roman"/>
                <w:lang w:val="es-ES"/>
              </w:rPr>
            </w:pPr>
          </w:p>
        </w:tc>
        <w:tc>
          <w:tcPr>
            <w:tcW w:w="1417" w:type="dxa"/>
            <w:vMerge/>
            <w:tcBorders>
              <w:left w:val="single" w:sz="8" w:space="0" w:color="D0CECE"/>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02E6E249"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6E83CE67"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Deberes de los poderes públicos y particulares (2002501)</w:t>
            </w:r>
            <w:r w:rsidRPr="008C2070">
              <w:rPr>
                <w:rStyle w:val="Refdenotaalpie"/>
                <w:rFonts w:ascii="Times New Roman" w:hAnsi="Times New Roman" w:cs="Times New Roman"/>
                <w:lang w:val="es-ES"/>
              </w:rPr>
              <w:footnoteReference w:id="89"/>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19234FD" w14:textId="56E8CC7D" w:rsidR="00BA2FD4" w:rsidRPr="008C2070" w:rsidRDefault="00BA2FD4" w:rsidP="008C2070">
            <w:pPr>
              <w:spacing w:before="60" w:after="60"/>
              <w:jc w:val="both"/>
              <w:rPr>
                <w:rFonts w:ascii="Times New Roman" w:hAnsi="Times New Roman" w:cs="Times New Roman"/>
                <w:u w:val="single"/>
                <w:lang w:val="es-ES"/>
              </w:rPr>
            </w:pPr>
            <w:r w:rsidRPr="008C2070">
              <w:rPr>
                <w:rFonts w:ascii="Times New Roman" w:hAnsi="Times New Roman" w:cs="Times New Roman"/>
                <w:lang w:val="es-ES"/>
              </w:rPr>
              <w:t xml:space="preserve">El derecho a la salud impone deberes complejos a todos los poderes públicos y a los particulares, como a los médicos y hospitales privados. Del análisis del contenido y estructura del derecho fundamental a la salud, se desprende que éste es vinculante </w:t>
            </w:r>
            <w:r w:rsidRPr="008C2070">
              <w:rPr>
                <w:rFonts w:ascii="Times New Roman" w:hAnsi="Times New Roman" w:cs="Times New Roman"/>
                <w:u w:val="single"/>
                <w:lang w:val="es-ES"/>
              </w:rPr>
              <w:t>no sólo frente a los órganos del Estado, sino que adicionalmente, posee eficacia jurídica en ciertas relaciones entre particulares</w:t>
            </w:r>
            <w:r w:rsidRPr="008C2070">
              <w:rPr>
                <w:rFonts w:ascii="Times New Roman" w:hAnsi="Times New Roman" w:cs="Times New Roman"/>
                <w:lang w:val="es-ES"/>
              </w:rPr>
              <w:t>.</w:t>
            </w:r>
          </w:p>
          <w:p w14:paraId="7107AA25" w14:textId="77777777" w:rsidR="00BA2FD4" w:rsidRPr="008C2070" w:rsidRDefault="00BA2FD4" w:rsidP="008C2070">
            <w:pPr>
              <w:spacing w:before="60" w:after="60"/>
              <w:jc w:val="both"/>
              <w:rPr>
                <w:rFonts w:ascii="Times New Roman" w:hAnsi="Times New Roman" w:cs="Times New Roman"/>
                <w:u w:val="single"/>
                <w:lang w:val="es-ES"/>
              </w:rPr>
            </w:pPr>
          </w:p>
          <w:p w14:paraId="4E173E48"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Así las cosas, en virtud de la fuerza normativa de la Constitución, no resulta compatible concebir que los hospitales privados y su personal médico son regidos únicamente bajo figuras de derecho privado.</w:t>
            </w:r>
          </w:p>
        </w:tc>
      </w:tr>
      <w:tr w:rsidR="00BA2FD4" w:rsidRPr="008C2070" w14:paraId="4D25F81F" w14:textId="77777777" w:rsidTr="0007732F">
        <w:trPr>
          <w:trHeight w:val="356"/>
        </w:trPr>
        <w:tc>
          <w:tcPr>
            <w:tcW w:w="1562" w:type="dxa"/>
            <w:vMerge w:val="restart"/>
            <w:tcBorders>
              <w:top w:val="single" w:sz="8" w:space="0" w:color="D0CECE"/>
              <w:left w:val="single" w:sz="8" w:space="0" w:color="D0CECE"/>
              <w:right w:val="single" w:sz="8" w:space="0" w:color="D9D9D9" w:themeColor="background1" w:themeShade="D9"/>
            </w:tcBorders>
            <w:shd w:val="clear" w:color="auto" w:fill="D0CECE" w:themeFill="background2" w:themeFillShade="E6"/>
          </w:tcPr>
          <w:p w14:paraId="33314895"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04BA4231"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Garantía del derecho</w:t>
            </w:r>
          </w:p>
        </w:tc>
        <w:tc>
          <w:tcPr>
            <w:tcW w:w="1418"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7889FEE8"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Preservación del derecho a la salud de los reclusos (2011012)</w:t>
            </w:r>
            <w:r w:rsidRPr="008C2070">
              <w:rPr>
                <w:rStyle w:val="Refdenotaalpie"/>
                <w:rFonts w:ascii="Times New Roman" w:hAnsi="Times New Roman" w:cs="Times New Roman"/>
                <w:lang w:val="es-ES"/>
              </w:rPr>
              <w:footnoteReference w:id="90"/>
            </w:r>
          </w:p>
          <w:p w14:paraId="6104F175" w14:textId="77777777" w:rsidR="00BA2FD4" w:rsidRPr="008C2070" w:rsidRDefault="00BA2FD4" w:rsidP="008C2070">
            <w:pPr>
              <w:spacing w:before="60" w:after="60"/>
              <w:jc w:val="center"/>
              <w:rPr>
                <w:rFonts w:ascii="Times New Roman" w:hAnsi="Times New Roman" w:cs="Times New Roman"/>
                <w:lang w:val="es-ES"/>
              </w:rPr>
            </w:pPr>
          </w:p>
          <w:p w14:paraId="15AFF3FE"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Mismo contenido que la TA 2009802)</w:t>
            </w:r>
          </w:p>
        </w:tc>
        <w:tc>
          <w:tcPr>
            <w:tcW w:w="3543"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1A300CA0"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El derecho a la salud está garantizado para todo ser humano, a cuyo reconocimiento está obligado cualquier servidor público, aun cuando se trate de un interno, pues su protección no se merma, sino que el Estado tiene la obligación de procurarla.</w:t>
            </w:r>
          </w:p>
          <w:p w14:paraId="40611630" w14:textId="77777777" w:rsidR="00BA2FD4" w:rsidRPr="008C2070" w:rsidRDefault="00BA2FD4" w:rsidP="008C2070">
            <w:pPr>
              <w:spacing w:before="60" w:after="60"/>
              <w:jc w:val="both"/>
              <w:rPr>
                <w:rFonts w:ascii="Times New Roman" w:hAnsi="Times New Roman" w:cs="Times New Roman"/>
                <w:lang w:val="es-ES"/>
              </w:rPr>
            </w:pPr>
          </w:p>
          <w:p w14:paraId="679D14E3"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Cita fuentes internacionales (DUDH, PIDESC, Declaración Americana de derechos del Hombre, Protocolo San Salvador”</w:t>
            </w:r>
          </w:p>
        </w:tc>
        <w:tc>
          <w:tcPr>
            <w:tcW w:w="1417"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1037466C"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Garantía del derecho</w:t>
            </w: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3955DAC"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Derecho de procesados (2020298)</w:t>
            </w:r>
            <w:r w:rsidRPr="008C2070">
              <w:rPr>
                <w:rStyle w:val="Refdenotaalpie"/>
                <w:rFonts w:ascii="Times New Roman" w:hAnsi="Times New Roman" w:cs="Times New Roman"/>
                <w:lang w:val="es-ES"/>
              </w:rPr>
              <w:footnoteReference w:id="91"/>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437716B"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El derecho a la salud es de especial importancia para las personas privadas de su libertad en un centro de reclusión, ya que como no pueden satisfacerlo por sí mismas, el Estado se convierte en su único garante</w:t>
            </w:r>
          </w:p>
          <w:p w14:paraId="5E06D8DB" w14:textId="77777777" w:rsidR="00BA2FD4" w:rsidRPr="008C2070" w:rsidRDefault="00BA2FD4" w:rsidP="008C2070">
            <w:pPr>
              <w:spacing w:before="60" w:after="60"/>
              <w:jc w:val="both"/>
              <w:rPr>
                <w:rFonts w:ascii="Times New Roman" w:hAnsi="Times New Roman" w:cs="Times New Roman"/>
                <w:lang w:val="es-ES"/>
              </w:rPr>
            </w:pPr>
          </w:p>
          <w:p w14:paraId="47BA323C"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Cita fuentes internacionales (Reglas Mínimas de las Naciones Unidas para el Tratamiento de Reclusos, Convención Americana sobre Derechos Humanos)</w:t>
            </w:r>
          </w:p>
        </w:tc>
      </w:tr>
      <w:tr w:rsidR="00BA2FD4" w:rsidRPr="008C2070" w14:paraId="26B75F48" w14:textId="77777777" w:rsidTr="0007732F">
        <w:trPr>
          <w:trHeight w:val="355"/>
        </w:trPr>
        <w:tc>
          <w:tcPr>
            <w:tcW w:w="1562" w:type="dxa"/>
            <w:vMerge/>
            <w:tcBorders>
              <w:left w:val="single" w:sz="8" w:space="0" w:color="D0CECE"/>
              <w:bottom w:val="single" w:sz="8" w:space="0" w:color="D0CECE"/>
              <w:right w:val="single" w:sz="8" w:space="0" w:color="D9D9D9" w:themeColor="background1" w:themeShade="D9"/>
            </w:tcBorders>
            <w:shd w:val="clear" w:color="auto" w:fill="D0CECE" w:themeFill="background2" w:themeFillShade="E6"/>
          </w:tcPr>
          <w:p w14:paraId="44AC8C50"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2A8FA4BE"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left w:val="single" w:sz="8" w:space="0" w:color="D9D9D9" w:themeColor="background1" w:themeShade="D9"/>
              <w:right w:val="single" w:sz="8" w:space="0" w:color="D9D9D9" w:themeColor="background1" w:themeShade="D9"/>
            </w:tcBorders>
            <w:vAlign w:val="center"/>
          </w:tcPr>
          <w:p w14:paraId="63AFD208"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left w:val="single" w:sz="8" w:space="0" w:color="D9D9D9" w:themeColor="background1" w:themeShade="D9"/>
              <w:right w:val="single" w:sz="8" w:space="0" w:color="D9D9D9" w:themeColor="background1" w:themeShade="D9"/>
            </w:tcBorders>
            <w:vAlign w:val="center"/>
          </w:tcPr>
          <w:p w14:paraId="6B1961E8" w14:textId="77777777" w:rsidR="00BA2FD4" w:rsidRPr="008C2070" w:rsidRDefault="00BA2FD4" w:rsidP="008C2070">
            <w:pPr>
              <w:spacing w:before="60" w:after="60"/>
              <w:jc w:val="center"/>
              <w:rPr>
                <w:rFonts w:ascii="Times New Roman" w:hAnsi="Times New Roman" w:cs="Times New Roman"/>
                <w:lang w:val="es-ES"/>
              </w:rPr>
            </w:pPr>
          </w:p>
        </w:tc>
        <w:tc>
          <w:tcPr>
            <w:tcW w:w="1417"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47CDFBCA"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4414D9F"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Preservación del derecho a la salud de los reclusos (2009802</w:t>
            </w:r>
            <w:r w:rsidRPr="008C2070">
              <w:rPr>
                <w:rStyle w:val="Refdenotaalpie"/>
                <w:rFonts w:ascii="Times New Roman" w:hAnsi="Times New Roman" w:cs="Times New Roman"/>
                <w:lang w:val="es-ES"/>
              </w:rPr>
              <w:footnoteReference w:id="92"/>
            </w:r>
            <w:r w:rsidRPr="008C2070">
              <w:rPr>
                <w:rFonts w:ascii="Times New Roman" w:hAnsi="Times New Roman" w:cs="Times New Roman"/>
                <w:lang w:val="es-ES"/>
              </w:rPr>
              <w:t>)</w:t>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84BB36B" w14:textId="3BF9B8E4"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El derecho a la salud está garantizado para todo ser humano, a cuyo reconocimiento está obligado cualquier servidor público, aun cuando se trate de un interno, pues su protección no se merma, sino que el Estado tiene la obligación de procurarla.</w:t>
            </w:r>
          </w:p>
          <w:p w14:paraId="2B2EBD81" w14:textId="77777777" w:rsidR="00BA2FD4" w:rsidRPr="008C2070" w:rsidRDefault="00BA2FD4" w:rsidP="008C2070">
            <w:pPr>
              <w:spacing w:before="60" w:after="60"/>
              <w:jc w:val="both"/>
              <w:rPr>
                <w:rFonts w:ascii="Times New Roman" w:hAnsi="Times New Roman" w:cs="Times New Roman"/>
                <w:lang w:val="es-ES"/>
              </w:rPr>
            </w:pPr>
          </w:p>
          <w:p w14:paraId="3B28C918" w14:textId="77777777" w:rsidR="00BA2FD4" w:rsidRPr="008C2070" w:rsidRDefault="00BA2FD4" w:rsidP="008C2070">
            <w:pPr>
              <w:spacing w:before="60" w:after="60"/>
              <w:jc w:val="both"/>
              <w:rPr>
                <w:rFonts w:ascii="Times New Roman" w:hAnsi="Times New Roman" w:cs="Times New Roman"/>
                <w:u w:val="single"/>
                <w:lang w:val="es-ES"/>
              </w:rPr>
            </w:pPr>
            <w:r w:rsidRPr="008C2070">
              <w:rPr>
                <w:rFonts w:ascii="Times New Roman" w:hAnsi="Times New Roman" w:cs="Times New Roman"/>
                <w:u w:val="single"/>
                <w:lang w:val="es-ES"/>
              </w:rPr>
              <w:t>Cita fuentes (DUDH, PIDESC, Protocolo de San Salvador)</w:t>
            </w:r>
          </w:p>
        </w:tc>
      </w:tr>
      <w:tr w:rsidR="00BA2FD4" w:rsidRPr="008C2070" w14:paraId="45B1AE68" w14:textId="77777777" w:rsidTr="0007732F">
        <w:trPr>
          <w:trHeight w:val="260"/>
        </w:trPr>
        <w:tc>
          <w:tcPr>
            <w:tcW w:w="1562" w:type="dxa"/>
            <w:vMerge w:val="restart"/>
            <w:tcBorders>
              <w:left w:val="single" w:sz="8" w:space="0" w:color="D0CECE"/>
              <w:right w:val="single" w:sz="8" w:space="0" w:color="D9D9D9" w:themeColor="background1" w:themeShade="D9"/>
            </w:tcBorders>
            <w:shd w:val="clear" w:color="auto" w:fill="D0CECE" w:themeFill="background2" w:themeFillShade="E6"/>
          </w:tcPr>
          <w:p w14:paraId="63CF2485"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1CB8FA94"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left w:val="single" w:sz="8" w:space="0" w:color="D9D9D9" w:themeColor="background1" w:themeShade="D9"/>
              <w:right w:val="single" w:sz="8" w:space="0" w:color="D9D9D9" w:themeColor="background1" w:themeShade="D9"/>
            </w:tcBorders>
            <w:vAlign w:val="center"/>
          </w:tcPr>
          <w:p w14:paraId="7F71C7B1"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left w:val="single" w:sz="8" w:space="0" w:color="D9D9D9" w:themeColor="background1" w:themeShade="D9"/>
              <w:right w:val="single" w:sz="8" w:space="0" w:color="D9D9D9" w:themeColor="background1" w:themeShade="D9"/>
            </w:tcBorders>
            <w:vAlign w:val="center"/>
          </w:tcPr>
          <w:p w14:paraId="4B06DFE4" w14:textId="77777777" w:rsidR="00BA2FD4" w:rsidRPr="008C2070" w:rsidRDefault="00BA2FD4" w:rsidP="008C2070">
            <w:pPr>
              <w:spacing w:before="60" w:after="60"/>
              <w:jc w:val="center"/>
              <w:rPr>
                <w:rFonts w:ascii="Times New Roman" w:hAnsi="Times New Roman" w:cs="Times New Roman"/>
                <w:lang w:val="es-ES"/>
              </w:rPr>
            </w:pPr>
          </w:p>
        </w:tc>
        <w:tc>
          <w:tcPr>
            <w:tcW w:w="1417"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1C7FAC7"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FEC9309"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La edad no puede generar una exclusión al goce del derecho (2007539</w:t>
            </w:r>
            <w:r w:rsidRPr="008C2070">
              <w:rPr>
                <w:rStyle w:val="Refdenotaalpie"/>
                <w:rFonts w:ascii="Times New Roman" w:hAnsi="Times New Roman" w:cs="Times New Roman"/>
                <w:lang w:val="es-ES"/>
              </w:rPr>
              <w:footnoteReference w:id="93"/>
            </w:r>
            <w:r w:rsidRPr="008C2070">
              <w:rPr>
                <w:rFonts w:ascii="Times New Roman" w:hAnsi="Times New Roman" w:cs="Times New Roman"/>
                <w:lang w:val="es-ES"/>
              </w:rPr>
              <w:t>)</w:t>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1D1ABF1"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Los ordenamientos nacionales e internacionales reconocer el derecho a la salud como un derecho humano para todas las personas. Las leyes en materia de seguridad social no deben ocasionar ningún tipo de discriminación por razón de edad, máxime si por razones que tienen un origen variado, las personas no pueden acceder a un primer empleo a una edad temprana, lo cual de ninguna forma puede ser una circunstancia para excluirlas de la cobertura de los seguros sociales</w:t>
            </w:r>
          </w:p>
          <w:p w14:paraId="23BE1711" w14:textId="77777777" w:rsidR="00BA2FD4" w:rsidRPr="008C2070" w:rsidRDefault="00BA2FD4" w:rsidP="008C2070">
            <w:pPr>
              <w:spacing w:before="60" w:after="60"/>
              <w:jc w:val="both"/>
              <w:rPr>
                <w:rFonts w:ascii="Times New Roman" w:hAnsi="Times New Roman" w:cs="Times New Roman"/>
                <w:lang w:val="es-ES"/>
              </w:rPr>
            </w:pPr>
          </w:p>
          <w:p w14:paraId="4E87AAD6"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Menciona fuente internacional (Convención sobre la Eliminación de todas las Formas de Discriminación contra la Mujer)</w:t>
            </w:r>
          </w:p>
        </w:tc>
      </w:tr>
      <w:tr w:rsidR="00BA2FD4" w:rsidRPr="008C2070" w14:paraId="5CF4BF04" w14:textId="77777777" w:rsidTr="0007732F">
        <w:trPr>
          <w:trHeight w:val="1410"/>
        </w:trPr>
        <w:tc>
          <w:tcPr>
            <w:tcW w:w="1562" w:type="dxa"/>
            <w:vMerge/>
            <w:tcBorders>
              <w:left w:val="single" w:sz="8" w:space="0" w:color="D0CECE"/>
              <w:right w:val="single" w:sz="8" w:space="0" w:color="D9D9D9" w:themeColor="background1" w:themeShade="D9"/>
            </w:tcBorders>
            <w:shd w:val="clear" w:color="auto" w:fill="D0CECE" w:themeFill="background2" w:themeFillShade="E6"/>
          </w:tcPr>
          <w:p w14:paraId="4C7C9D61"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3AE64A8"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left w:val="single" w:sz="8" w:space="0" w:color="D9D9D9" w:themeColor="background1" w:themeShade="D9"/>
              <w:right w:val="single" w:sz="8" w:space="0" w:color="D9D9D9" w:themeColor="background1" w:themeShade="D9"/>
            </w:tcBorders>
            <w:vAlign w:val="center"/>
          </w:tcPr>
          <w:p w14:paraId="345879BE"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left w:val="single" w:sz="8" w:space="0" w:color="D9D9D9" w:themeColor="background1" w:themeShade="D9"/>
              <w:right w:val="single" w:sz="8" w:space="0" w:color="D9D9D9" w:themeColor="background1" w:themeShade="D9"/>
            </w:tcBorders>
            <w:vAlign w:val="center"/>
          </w:tcPr>
          <w:p w14:paraId="41433967" w14:textId="77777777" w:rsidR="00BA2FD4" w:rsidRPr="008C2070" w:rsidRDefault="00BA2FD4" w:rsidP="008C2070">
            <w:pPr>
              <w:spacing w:before="60" w:after="60"/>
              <w:jc w:val="center"/>
              <w:rPr>
                <w:rFonts w:ascii="Times New Roman" w:hAnsi="Times New Roman" w:cs="Times New Roman"/>
                <w:lang w:val="es-ES"/>
              </w:rPr>
            </w:pPr>
          </w:p>
        </w:tc>
        <w:tc>
          <w:tcPr>
            <w:tcW w:w="1417"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4AFDF3EB"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B834D80"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Cumplimiento de la Observación General #14 (2004683)</w:t>
            </w:r>
            <w:r w:rsidRPr="008C2070">
              <w:rPr>
                <w:rStyle w:val="Refdenotaalpie"/>
                <w:rFonts w:ascii="Times New Roman" w:hAnsi="Times New Roman" w:cs="Times New Roman"/>
                <w:lang w:val="es-ES"/>
              </w:rPr>
              <w:footnoteReference w:id="94"/>
            </w:r>
          </w:p>
        </w:tc>
        <w:tc>
          <w:tcPr>
            <w:tcW w:w="3826" w:type="dxa"/>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4740D3C8"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El cumplimiento de la observación requiere que los Estados reconozcan suficientemente el derecho a la salud en sus sistemas políticos y ordenamientos jurídicos nacionales, de preferencia mediante la aplicación de leyes, adoptando una política nacional de salud acompañada de un plan detallado para su ejercicio, cuando menos en un mínimo vital que permita la eficacia y garantía de otros derechos, y emprendan actividades </w:t>
            </w:r>
            <w:r w:rsidRPr="008C2070">
              <w:rPr>
                <w:rFonts w:ascii="Times New Roman" w:hAnsi="Times New Roman" w:cs="Times New Roman"/>
                <w:lang w:val="es-ES"/>
              </w:rPr>
              <w:lastRenderedPageBreak/>
              <w:t>para promover, mantener y restablecer la salud de la población</w:t>
            </w:r>
          </w:p>
          <w:p w14:paraId="1D0986E9" w14:textId="77777777" w:rsidR="00BA2FD4" w:rsidRPr="008C2070" w:rsidRDefault="00BA2FD4" w:rsidP="008C2070">
            <w:pPr>
              <w:spacing w:before="60" w:after="60"/>
              <w:jc w:val="both"/>
              <w:rPr>
                <w:rFonts w:ascii="Times New Roman" w:hAnsi="Times New Roman" w:cs="Times New Roman"/>
                <w:lang w:val="es-ES"/>
              </w:rPr>
            </w:pPr>
          </w:p>
          <w:p w14:paraId="118957AA"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Cita fuentes internacionales (Observación General #14, PIDESC)</w:t>
            </w:r>
          </w:p>
        </w:tc>
      </w:tr>
      <w:tr w:rsidR="00BA2FD4" w:rsidRPr="008C2070" w14:paraId="5077A5FF" w14:textId="77777777" w:rsidTr="0007732F">
        <w:trPr>
          <w:trHeight w:val="1410"/>
        </w:trPr>
        <w:tc>
          <w:tcPr>
            <w:tcW w:w="1562" w:type="dxa"/>
            <w:vMerge/>
            <w:tcBorders>
              <w:left w:val="single" w:sz="8" w:space="0" w:color="D0CECE"/>
              <w:bottom w:val="single" w:sz="8" w:space="0" w:color="D0CECE"/>
              <w:right w:val="single" w:sz="8" w:space="0" w:color="D9D9D9" w:themeColor="background1" w:themeShade="D9"/>
            </w:tcBorders>
            <w:shd w:val="clear" w:color="auto" w:fill="D0CECE" w:themeFill="background2" w:themeFillShade="E6"/>
          </w:tcPr>
          <w:p w14:paraId="3450E760"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1EC92F6F"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72D7BD5"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6F4714C" w14:textId="77777777" w:rsidR="00BA2FD4" w:rsidRPr="008C2070" w:rsidRDefault="00BA2FD4" w:rsidP="008C2070">
            <w:pPr>
              <w:spacing w:before="60" w:after="60"/>
              <w:jc w:val="center"/>
              <w:rPr>
                <w:rFonts w:ascii="Times New Roman" w:hAnsi="Times New Roman" w:cs="Times New Roman"/>
                <w:lang w:val="es-ES"/>
              </w:rPr>
            </w:pPr>
          </w:p>
        </w:tc>
        <w:tc>
          <w:tcPr>
            <w:tcW w:w="1417"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3AAB3F0F"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69F031B"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Entrega medicamentos (2010052)</w:t>
            </w:r>
            <w:r w:rsidRPr="008C2070">
              <w:rPr>
                <w:rStyle w:val="Refdenotaalpie"/>
                <w:rFonts w:ascii="Times New Roman" w:hAnsi="Times New Roman" w:cs="Times New Roman"/>
                <w:lang w:val="es-ES"/>
              </w:rPr>
              <w:footnoteReference w:id="95"/>
            </w:r>
          </w:p>
        </w:tc>
        <w:tc>
          <w:tcPr>
            <w:tcW w:w="3826" w:type="dxa"/>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D4708CA" w14:textId="7636E8BA"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Para garantizarlo, el instituto mexicano del seguro social debe suministrar a sus beneficiarios los medicamentos que se les prescriban, aun cuando no estén incluidos en el cuadro básico y catálogo de insumos del sector salud.</w:t>
            </w:r>
          </w:p>
          <w:p w14:paraId="1928E907" w14:textId="77777777" w:rsidR="00BA2FD4" w:rsidRPr="008C2070" w:rsidRDefault="00BA2FD4" w:rsidP="008C2070">
            <w:pPr>
              <w:spacing w:before="60" w:after="60"/>
              <w:jc w:val="both"/>
              <w:rPr>
                <w:rFonts w:ascii="Times New Roman" w:hAnsi="Times New Roman" w:cs="Times New Roman"/>
                <w:lang w:val="es-ES"/>
              </w:rPr>
            </w:pPr>
          </w:p>
          <w:p w14:paraId="51807B7F" w14:textId="338B28F9"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Cita fuentes internacionales:</w:t>
            </w:r>
          </w:p>
          <w:p w14:paraId="490E9BB1"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(DUDH, PIDESC, Protocolo Adicional a la Convención Americana sobre Derechos Humanos en Materia de Derechos Económicos, Sociales y Culturales)</w:t>
            </w:r>
          </w:p>
        </w:tc>
      </w:tr>
      <w:tr w:rsidR="00F85459" w:rsidRPr="008C2070" w14:paraId="2857A69A" w14:textId="77777777" w:rsidTr="0007732F">
        <w:trPr>
          <w:trHeight w:val="3906"/>
        </w:trPr>
        <w:tc>
          <w:tcPr>
            <w:tcW w:w="1562" w:type="dxa"/>
            <w:tcBorders>
              <w:top w:val="single" w:sz="8" w:space="0" w:color="D0CECE"/>
              <w:left w:val="single" w:sz="8" w:space="0" w:color="D0CECE"/>
              <w:right w:val="single" w:sz="8" w:space="0" w:color="D9D9D9" w:themeColor="background1" w:themeShade="D9"/>
            </w:tcBorders>
            <w:shd w:val="clear" w:color="auto" w:fill="D0CECE" w:themeFill="background2" w:themeFillShade="E6"/>
          </w:tcPr>
          <w:p w14:paraId="19281988" w14:textId="77777777" w:rsidR="00F85459" w:rsidRPr="008C2070" w:rsidRDefault="00F85459" w:rsidP="008C2070">
            <w:pPr>
              <w:spacing w:before="60" w:after="60"/>
              <w:jc w:val="center"/>
              <w:rPr>
                <w:rFonts w:ascii="Times New Roman" w:hAnsi="Times New Roman" w:cs="Times New Roman"/>
                <w:b/>
                <w:bCs/>
                <w:lang w:val="es-ES"/>
              </w:rPr>
            </w:pPr>
          </w:p>
        </w:tc>
        <w:tc>
          <w:tcPr>
            <w:tcW w:w="1699" w:type="dxa"/>
            <w:tcBorders>
              <w:top w:val="single" w:sz="8" w:space="0" w:color="D9D9D9" w:themeColor="background1" w:themeShade="D9"/>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32682D7B" w14:textId="77777777" w:rsidR="00F85459" w:rsidRPr="008C2070" w:rsidRDefault="00F85459" w:rsidP="008C2070">
            <w:pPr>
              <w:spacing w:before="60" w:after="60"/>
              <w:jc w:val="center"/>
              <w:rPr>
                <w:rFonts w:ascii="Times New Roman" w:hAnsi="Times New Roman" w:cs="Times New Roman"/>
                <w:lang w:val="es-ES"/>
              </w:rPr>
            </w:pPr>
          </w:p>
        </w:tc>
        <w:tc>
          <w:tcPr>
            <w:tcW w:w="1418" w:type="dxa"/>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61A58E90" w14:textId="77777777" w:rsidR="00F85459" w:rsidRPr="008C2070" w:rsidRDefault="00F85459" w:rsidP="008C2070">
            <w:pPr>
              <w:spacing w:before="60" w:after="60"/>
              <w:jc w:val="center"/>
              <w:rPr>
                <w:rFonts w:ascii="Times New Roman" w:hAnsi="Times New Roman" w:cs="Times New Roman"/>
                <w:lang w:val="es-ES"/>
              </w:rPr>
            </w:pPr>
          </w:p>
        </w:tc>
        <w:tc>
          <w:tcPr>
            <w:tcW w:w="3543" w:type="dxa"/>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275B2413" w14:textId="77777777" w:rsidR="00F85459" w:rsidRPr="008C2070" w:rsidRDefault="00F85459" w:rsidP="008C2070">
            <w:pPr>
              <w:spacing w:before="60" w:after="60"/>
              <w:jc w:val="center"/>
              <w:rPr>
                <w:rFonts w:ascii="Times New Roman" w:hAnsi="Times New Roman" w:cs="Times New Roman"/>
                <w:lang w:val="es-ES"/>
              </w:rPr>
            </w:pPr>
          </w:p>
        </w:tc>
        <w:tc>
          <w:tcPr>
            <w:tcW w:w="1417"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E83A6BF" w14:textId="77777777" w:rsidR="00F85459" w:rsidRPr="008C2070" w:rsidRDefault="00F85459"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Contenido del derecho</w:t>
            </w:r>
          </w:p>
        </w:tc>
        <w:tc>
          <w:tcPr>
            <w:tcW w:w="1419" w:type="dxa"/>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4BA0CFEB" w14:textId="6E43EF5F" w:rsidR="00F85459" w:rsidRPr="008C2070" w:rsidRDefault="00F85459"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Atención en otra institución (Salud mental) (2021055)</w:t>
            </w:r>
            <w:r w:rsidRPr="008C2070">
              <w:rPr>
                <w:rStyle w:val="Refdenotaalpie"/>
                <w:rFonts w:ascii="Times New Roman" w:hAnsi="Times New Roman" w:cs="Times New Roman"/>
                <w:lang w:val="es-ES"/>
              </w:rPr>
              <w:footnoteReference w:id="96"/>
            </w:r>
          </w:p>
        </w:tc>
        <w:tc>
          <w:tcPr>
            <w:tcW w:w="3826" w:type="dxa"/>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73553ED0" w14:textId="7ECF2C38" w:rsidR="00F85459" w:rsidRPr="008C2070" w:rsidRDefault="00F85459"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En esa tesitura, cuando un beneficiario del Instituto Mexicano del Seguro Social requiera de un internamiento psiquiátrico prolongado y ello no fuera compatible con sus políticas públicas implementadas en materia de salud, entonces podrá realizar las gestiones pertinentes para que sea atendido en alguna otra institución hospitalaria o clínica del sector salud con las condiciones adecuadas e idóneas para el tratamiento de su enfermedad, a fin de salvaguardar al nivel más alto posible el derecho humano a la salud física y mental.</w:t>
            </w:r>
          </w:p>
        </w:tc>
      </w:tr>
      <w:tr w:rsidR="00BA2FD4" w:rsidRPr="008C2070" w14:paraId="34379B90" w14:textId="77777777" w:rsidTr="0007732F">
        <w:trPr>
          <w:trHeight w:val="238"/>
        </w:trPr>
        <w:tc>
          <w:tcPr>
            <w:tcW w:w="1562" w:type="dxa"/>
            <w:tcBorders>
              <w:top w:val="single" w:sz="8" w:space="0" w:color="D0CECE"/>
              <w:left w:val="single" w:sz="8" w:space="0" w:color="D0CECE"/>
              <w:bottom w:val="single" w:sz="8" w:space="0" w:color="D0CECE"/>
              <w:right w:val="single" w:sz="8" w:space="0" w:color="D9D9D9" w:themeColor="background1" w:themeShade="D9"/>
            </w:tcBorders>
            <w:shd w:val="clear" w:color="auto" w:fill="D0CECE" w:themeFill="background2" w:themeFillShade="E6"/>
          </w:tcPr>
          <w:p w14:paraId="62009A57"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4C2DE2A2"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75C3154"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6DD1A23" w14:textId="77777777" w:rsidR="00BA2FD4" w:rsidRPr="008C2070" w:rsidRDefault="00BA2FD4" w:rsidP="008C2070">
            <w:pPr>
              <w:spacing w:before="60" w:after="60"/>
              <w:jc w:val="center"/>
              <w:rPr>
                <w:rFonts w:ascii="Times New Roman" w:hAnsi="Times New Roman" w:cs="Times New Roman"/>
                <w:lang w:val="es-ES"/>
              </w:rPr>
            </w:pPr>
          </w:p>
        </w:tc>
        <w:tc>
          <w:tcPr>
            <w:tcW w:w="1417"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2B409A84"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68747FB6"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Facultad discrecional para la compra de medicamentos (2022301)</w:t>
            </w:r>
            <w:r w:rsidRPr="008C2070">
              <w:rPr>
                <w:rStyle w:val="Refdenotaalpie"/>
                <w:rFonts w:ascii="Times New Roman" w:hAnsi="Times New Roman" w:cs="Times New Roman"/>
                <w:lang w:val="es-ES"/>
              </w:rPr>
              <w:footnoteReference w:id="97"/>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8544713" w14:textId="7CAFA69B"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Este Tribunal Colegiado de Circuito establece que el ejercicio de la facultad discrecional del IMSS para decidir qué medicamentos del Cuadro Básico y Catálogo de Insumos del Sector Salud comprar, en función de lo que dispongan sus políticas institucionales, el impacto y disponibilidad financieros correspondientes, no debe tener como resultado una deficiente e insuficiente atención médica a sus derechohabientes.</w:t>
            </w:r>
          </w:p>
        </w:tc>
      </w:tr>
      <w:tr w:rsidR="00BA2FD4" w:rsidRPr="008C2070" w14:paraId="3CF26BFE" w14:textId="77777777" w:rsidTr="0007732F">
        <w:trPr>
          <w:trHeight w:val="238"/>
        </w:trPr>
        <w:tc>
          <w:tcPr>
            <w:tcW w:w="1562" w:type="dxa"/>
            <w:tcBorders>
              <w:top w:val="single" w:sz="8" w:space="0" w:color="D0CECE"/>
              <w:left w:val="single" w:sz="8" w:space="0" w:color="D0CECE"/>
              <w:bottom w:val="single" w:sz="8" w:space="0" w:color="D9D9D9" w:themeColor="background1" w:themeShade="D9"/>
              <w:right w:val="single" w:sz="8" w:space="0" w:color="D9D9D9" w:themeColor="background1" w:themeShade="D9"/>
            </w:tcBorders>
            <w:shd w:val="clear" w:color="auto" w:fill="D0CECE" w:themeFill="background2" w:themeFillShade="E6"/>
          </w:tcPr>
          <w:p w14:paraId="5457C039"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45762D8A"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61BDD103"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A083DAD" w14:textId="77777777" w:rsidR="00BA2FD4" w:rsidRPr="008C2070" w:rsidRDefault="00BA2FD4" w:rsidP="008C2070">
            <w:pPr>
              <w:spacing w:before="60" w:after="60"/>
              <w:jc w:val="center"/>
              <w:rPr>
                <w:rFonts w:ascii="Times New Roman" w:hAnsi="Times New Roman" w:cs="Times New Roman"/>
                <w:lang w:val="es-ES"/>
              </w:rPr>
            </w:pPr>
          </w:p>
        </w:tc>
        <w:tc>
          <w:tcPr>
            <w:tcW w:w="1417"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3932EAAB" w14:textId="77777777" w:rsidR="00BA2FD4" w:rsidRPr="008C2070" w:rsidRDefault="00BA2FD4" w:rsidP="008C2070">
            <w:pPr>
              <w:spacing w:before="60" w:after="60"/>
              <w:jc w:val="center"/>
              <w:rPr>
                <w:rFonts w:ascii="Times New Roman" w:hAnsi="Times New Roman" w:cs="Times New Roman"/>
                <w:lang w:val="es-ES"/>
              </w:rPr>
            </w:pPr>
          </w:p>
        </w:tc>
        <w:tc>
          <w:tcPr>
            <w:tcW w:w="1419"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71616D45" w14:textId="79977374"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Atención médica  integral</w:t>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1A9F763"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El Estado mexicano se encuentra obligado a crear las condiciones que aseguren a todas las personas la asistencia médica y servicios médicos en </w:t>
            </w:r>
            <w:r w:rsidRPr="008C2070">
              <w:rPr>
                <w:rFonts w:ascii="Times New Roman" w:hAnsi="Times New Roman" w:cs="Times New Roman"/>
                <w:lang w:val="es-ES"/>
              </w:rPr>
              <w:lastRenderedPageBreak/>
              <w:t xml:space="preserve">casos de enfermedad. Asimismo, se advierte que una cuestión fundamental e inherente a la debida protección del derecho a la salud es que los servicios se presten de manera integral, </w:t>
            </w:r>
            <w:r w:rsidRPr="008C2070">
              <w:rPr>
                <w:rFonts w:ascii="Times New Roman" w:hAnsi="Times New Roman" w:cs="Times New Roman"/>
                <w:u w:val="single"/>
                <w:lang w:val="es-ES"/>
              </w:rPr>
              <w:t xml:space="preserve">lo que implica que se debe proporcionar un tratamiento adecuado y completo. </w:t>
            </w:r>
            <w:r w:rsidRPr="008C2070">
              <w:rPr>
                <w:rFonts w:ascii="Times New Roman" w:hAnsi="Times New Roman" w:cs="Times New Roman"/>
                <w:lang w:val="es-ES"/>
              </w:rPr>
              <w:t>En este sentido, la debida protección del derecho a la salud incluye, cuando menos, el suministro de medicamentos básicos. (2020589)</w:t>
            </w:r>
            <w:r w:rsidRPr="008C2070">
              <w:rPr>
                <w:rStyle w:val="Refdenotaalpie"/>
                <w:rFonts w:ascii="Times New Roman" w:hAnsi="Times New Roman" w:cs="Times New Roman"/>
                <w:lang w:val="es-ES"/>
              </w:rPr>
              <w:footnoteReference w:id="98"/>
            </w:r>
          </w:p>
          <w:p w14:paraId="30846C9A" w14:textId="77777777" w:rsidR="00BA2FD4" w:rsidRPr="008C2070" w:rsidRDefault="00BA2FD4" w:rsidP="008C2070">
            <w:pPr>
              <w:spacing w:before="60" w:after="60"/>
              <w:jc w:val="both"/>
              <w:rPr>
                <w:rFonts w:ascii="Times New Roman" w:hAnsi="Times New Roman" w:cs="Times New Roman"/>
                <w:lang w:val="es-ES"/>
              </w:rPr>
            </w:pPr>
          </w:p>
          <w:p w14:paraId="63472F67"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Cita fuentes internacionales (PIDESC)</w:t>
            </w:r>
          </w:p>
        </w:tc>
      </w:tr>
      <w:tr w:rsidR="00BA2FD4" w:rsidRPr="008C2070" w14:paraId="06ECCB33" w14:textId="77777777" w:rsidTr="0007732F">
        <w:trPr>
          <w:trHeight w:val="238"/>
        </w:trPr>
        <w:tc>
          <w:tcPr>
            <w:tcW w:w="1562" w:type="dxa"/>
            <w:tcBorders>
              <w:top w:val="single" w:sz="8" w:space="0" w:color="D0CECE"/>
              <w:left w:val="single" w:sz="8" w:space="0" w:color="D0CECE"/>
              <w:bottom w:val="single" w:sz="8" w:space="0" w:color="D9D9D9" w:themeColor="background1" w:themeShade="D9"/>
              <w:right w:val="single" w:sz="8" w:space="0" w:color="D9D9D9" w:themeColor="background1" w:themeShade="D9"/>
            </w:tcBorders>
            <w:shd w:val="clear" w:color="auto" w:fill="D0CECE" w:themeFill="background2" w:themeFillShade="E6"/>
          </w:tcPr>
          <w:p w14:paraId="3B25C67E"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333C93BC"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5FC6379"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E80DA12" w14:textId="77777777" w:rsidR="00BA2FD4" w:rsidRPr="008C2070" w:rsidRDefault="00BA2FD4" w:rsidP="008C2070">
            <w:pPr>
              <w:spacing w:before="60" w:after="60"/>
              <w:jc w:val="center"/>
              <w:rPr>
                <w:rFonts w:ascii="Times New Roman" w:hAnsi="Times New Roman" w:cs="Times New Roman"/>
                <w:lang w:val="es-ES"/>
              </w:rPr>
            </w:pPr>
          </w:p>
        </w:tc>
        <w:tc>
          <w:tcPr>
            <w:tcW w:w="1417"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203AB876" w14:textId="77777777" w:rsidR="00BA2FD4" w:rsidRPr="008C2070" w:rsidRDefault="00BA2FD4" w:rsidP="008C2070">
            <w:pPr>
              <w:spacing w:before="60" w:after="60"/>
              <w:jc w:val="center"/>
              <w:rPr>
                <w:rFonts w:ascii="Times New Roman" w:hAnsi="Times New Roman" w:cs="Times New Roman"/>
                <w:lang w:val="es-ES"/>
              </w:rPr>
            </w:pPr>
          </w:p>
        </w:tc>
        <w:tc>
          <w:tcPr>
            <w:tcW w:w="1419"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7C34B21" w14:textId="77777777" w:rsidR="00BA2FD4" w:rsidRPr="008C2070" w:rsidRDefault="00BA2FD4" w:rsidP="008C2070">
            <w:pPr>
              <w:spacing w:before="60" w:after="60"/>
              <w:jc w:val="center"/>
              <w:rPr>
                <w:rFonts w:ascii="Times New Roman" w:hAnsi="Times New Roman" w:cs="Times New Roman"/>
                <w:lang w:val="es-ES"/>
              </w:rPr>
            </w:pP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6A25F6AB" w14:textId="42351FC1"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Las autoridades obligadas directamente a garantizar el derecho humano a la salud deben brindar asistencia médica y tratamiento de forma </w:t>
            </w:r>
            <w:r w:rsidRPr="008C2070">
              <w:rPr>
                <w:rFonts w:ascii="Times New Roman" w:hAnsi="Times New Roman" w:cs="Times New Roman"/>
                <w:u w:val="single"/>
                <w:lang w:val="es-ES"/>
              </w:rPr>
              <w:t xml:space="preserve">oportuna, permanente y constante. </w:t>
            </w:r>
            <w:r w:rsidRPr="008C2070">
              <w:rPr>
                <w:rFonts w:ascii="Times New Roman" w:hAnsi="Times New Roman" w:cs="Times New Roman"/>
                <w:lang w:val="es-ES"/>
              </w:rPr>
              <w:t>Esto incluye el tratamiento apropiado de enfermedades, lesiones y discapacidades (2022890)</w:t>
            </w:r>
            <w:r w:rsidRPr="008C2070">
              <w:rPr>
                <w:rStyle w:val="Refdenotaalpie"/>
                <w:rFonts w:ascii="Times New Roman" w:hAnsi="Times New Roman" w:cs="Times New Roman"/>
                <w:lang w:val="es-ES"/>
              </w:rPr>
              <w:footnoteReference w:id="99"/>
            </w:r>
            <w:r w:rsidRPr="008C2070">
              <w:rPr>
                <w:rFonts w:ascii="Times New Roman" w:hAnsi="Times New Roman" w:cs="Times New Roman"/>
                <w:lang w:val="es-ES"/>
              </w:rPr>
              <w:t>.</w:t>
            </w:r>
          </w:p>
          <w:p w14:paraId="4D74FB7A" w14:textId="77777777" w:rsidR="00BA2FD4" w:rsidRPr="008C2070" w:rsidRDefault="00BA2FD4" w:rsidP="008C2070">
            <w:pPr>
              <w:spacing w:before="60" w:after="60"/>
              <w:jc w:val="both"/>
              <w:rPr>
                <w:rFonts w:ascii="Times New Roman" w:hAnsi="Times New Roman" w:cs="Times New Roman"/>
                <w:u w:val="single"/>
                <w:lang w:val="es-ES"/>
              </w:rPr>
            </w:pPr>
          </w:p>
          <w:p w14:paraId="1BE04CBE" w14:textId="77777777" w:rsidR="00BA2FD4" w:rsidRPr="008C2070" w:rsidRDefault="00BA2FD4" w:rsidP="008C2070">
            <w:pPr>
              <w:spacing w:before="60" w:after="60"/>
              <w:jc w:val="both"/>
              <w:rPr>
                <w:rFonts w:ascii="Times New Roman" w:hAnsi="Times New Roman" w:cs="Times New Roman"/>
                <w:u w:val="single"/>
                <w:lang w:val="es-ES"/>
              </w:rPr>
            </w:pPr>
            <w:r w:rsidRPr="008C2070">
              <w:rPr>
                <w:rFonts w:ascii="Times New Roman" w:hAnsi="Times New Roman" w:cs="Times New Roman"/>
                <w:u w:val="single"/>
                <w:lang w:val="es-ES"/>
              </w:rPr>
              <w:t>Cita fuentes internacionales (DUDH, PIDESC, Convención sobre la Eliminación de Discriminación Racial, Convención sobre la eliminación de discriminación sobre la mujer, Convención sobre los derechos del niño)</w:t>
            </w:r>
          </w:p>
        </w:tc>
      </w:tr>
      <w:tr w:rsidR="00BA2FD4" w:rsidRPr="008C2070" w14:paraId="33B12DA6" w14:textId="77777777" w:rsidTr="0007732F">
        <w:trPr>
          <w:trHeight w:val="238"/>
        </w:trPr>
        <w:tc>
          <w:tcPr>
            <w:tcW w:w="1562" w:type="dxa"/>
            <w:tcBorders>
              <w:top w:val="single" w:sz="8" w:space="0" w:color="D0CECE"/>
              <w:left w:val="single" w:sz="8" w:space="0" w:color="D0CECE"/>
              <w:bottom w:val="single" w:sz="8" w:space="0" w:color="D9D9D9" w:themeColor="background1" w:themeShade="D9"/>
              <w:right w:val="single" w:sz="8" w:space="0" w:color="D9D9D9" w:themeColor="background1" w:themeShade="D9"/>
            </w:tcBorders>
            <w:shd w:val="clear" w:color="auto" w:fill="D0CECE" w:themeFill="background2" w:themeFillShade="E6"/>
          </w:tcPr>
          <w:p w14:paraId="453C2384"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2F2B5D70"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DAC6D67"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AEDC87B" w14:textId="77777777" w:rsidR="00BA2FD4" w:rsidRPr="008C2070" w:rsidRDefault="00BA2FD4" w:rsidP="008C2070">
            <w:pPr>
              <w:spacing w:before="60" w:after="60"/>
              <w:jc w:val="center"/>
              <w:rPr>
                <w:rFonts w:ascii="Times New Roman" w:hAnsi="Times New Roman" w:cs="Times New Roman"/>
                <w:lang w:val="es-ES"/>
              </w:rPr>
            </w:pPr>
          </w:p>
        </w:tc>
        <w:tc>
          <w:tcPr>
            <w:tcW w:w="1417"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1F30FC24"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545A24F"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 xml:space="preserve">Derecho al servicio </w:t>
            </w:r>
            <w:r w:rsidRPr="008C2070">
              <w:rPr>
                <w:rFonts w:ascii="Times New Roman" w:hAnsi="Times New Roman" w:cs="Times New Roman"/>
                <w:lang w:val="es-ES"/>
              </w:rPr>
              <w:lastRenderedPageBreak/>
              <w:t>médico cuando no estén en activo (2024017)</w:t>
            </w:r>
            <w:r w:rsidRPr="008C2070">
              <w:rPr>
                <w:rStyle w:val="Refdenotaalpie"/>
                <w:rFonts w:ascii="Times New Roman" w:hAnsi="Times New Roman" w:cs="Times New Roman"/>
                <w:lang w:val="es-ES"/>
              </w:rPr>
              <w:footnoteReference w:id="100"/>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B707123"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lastRenderedPageBreak/>
              <w:t xml:space="preserve">De la interpretación conforme de la Ley del ISSSTE, los trabajadores tienen </w:t>
            </w:r>
            <w:r w:rsidRPr="008C2070">
              <w:rPr>
                <w:rFonts w:ascii="Times New Roman" w:hAnsi="Times New Roman" w:cs="Times New Roman"/>
                <w:lang w:val="es-ES"/>
              </w:rPr>
              <w:lastRenderedPageBreak/>
              <w:t>derecho al servicio médico, rehabilitación y tratamiento que proporciona dicho organismo, mediante el pago de las cuotas correspondientes, aun cuando no estén en activo o en el periodo de conservación de derechos, si está subjúdice la existencia de la relación laboral.</w:t>
            </w:r>
          </w:p>
        </w:tc>
      </w:tr>
      <w:tr w:rsidR="00BA2FD4" w:rsidRPr="008C2070" w14:paraId="6FB504C3" w14:textId="77777777" w:rsidTr="0007732F">
        <w:trPr>
          <w:trHeight w:val="260"/>
        </w:trPr>
        <w:tc>
          <w:tcPr>
            <w:tcW w:w="1562"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D0CECE" w:themeFill="background2" w:themeFillShade="E6"/>
          </w:tcPr>
          <w:p w14:paraId="2F30FC4B"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054B8B90"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E35BD46"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EAAF57B" w14:textId="77777777" w:rsidR="00BA2FD4" w:rsidRPr="008C2070" w:rsidRDefault="00BA2FD4" w:rsidP="008C2070">
            <w:pPr>
              <w:spacing w:before="60" w:after="60"/>
              <w:jc w:val="center"/>
              <w:rPr>
                <w:rFonts w:ascii="Times New Roman" w:hAnsi="Times New Roman" w:cs="Times New Roman"/>
                <w:lang w:val="es-ES"/>
              </w:rPr>
            </w:pPr>
          </w:p>
        </w:tc>
        <w:tc>
          <w:tcPr>
            <w:tcW w:w="1417"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F983B5C"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E2A23CB"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Progresividad en el suministro de medicamentos (2020588)</w:t>
            </w:r>
            <w:r w:rsidRPr="008C2070">
              <w:rPr>
                <w:rStyle w:val="Refdenotaalpie"/>
                <w:rFonts w:ascii="Times New Roman" w:hAnsi="Times New Roman" w:cs="Times New Roman"/>
                <w:lang w:val="es-ES"/>
              </w:rPr>
              <w:footnoteReference w:id="101"/>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1AC07D2"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La obligación progresiva del derecho a la salud relativa al suministro de medicamentos implica, por lo menos, otorgarlos sin discriminación para todas las personas en general y, en particular, a los grupos vulnerables. Esta obligación no conlleva que cualquier medicamento que se solicite deba ser suministrado, sino que una vez que se decide que un medicamento es parte del cuadro básico, el Estado no puede negar de manera regresiva estos medicamentos a quien los requiera ni otorgarlos de forma discriminatoria.</w:t>
            </w:r>
          </w:p>
        </w:tc>
      </w:tr>
      <w:tr w:rsidR="00BA2FD4" w:rsidRPr="008C2070" w14:paraId="39C6F1B9" w14:textId="77777777" w:rsidTr="0007732F">
        <w:trPr>
          <w:trHeight w:val="648"/>
        </w:trPr>
        <w:tc>
          <w:tcPr>
            <w:tcW w:w="1562"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D0CECE" w:themeFill="background2" w:themeFillShade="E6"/>
          </w:tcPr>
          <w:p w14:paraId="0E84A840"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12375906"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05EF060"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53891BC" w14:textId="77777777" w:rsidR="00BA2FD4" w:rsidRPr="008C2070" w:rsidRDefault="00BA2FD4" w:rsidP="008C2070">
            <w:pPr>
              <w:spacing w:before="60" w:after="60"/>
              <w:jc w:val="center"/>
              <w:rPr>
                <w:rFonts w:ascii="Times New Roman" w:hAnsi="Times New Roman" w:cs="Times New Roman"/>
                <w:lang w:val="es-ES"/>
              </w:rPr>
            </w:pPr>
          </w:p>
        </w:tc>
        <w:tc>
          <w:tcPr>
            <w:tcW w:w="1417"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63B7A57"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2D1396B"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Salud física y mental y el derecho a la identidad (2001745)</w:t>
            </w:r>
            <w:r w:rsidRPr="008C2070">
              <w:rPr>
                <w:rStyle w:val="Refdenotaalpie"/>
                <w:rFonts w:ascii="Times New Roman" w:hAnsi="Times New Roman" w:cs="Times New Roman"/>
                <w:lang w:val="es-ES"/>
              </w:rPr>
              <w:footnoteReference w:id="102"/>
            </w:r>
          </w:p>
          <w:p w14:paraId="7F94813A" w14:textId="77777777" w:rsidR="00BA2FD4" w:rsidRPr="008C2070" w:rsidRDefault="00BA2FD4" w:rsidP="008C2070">
            <w:pPr>
              <w:spacing w:before="60" w:after="60"/>
              <w:jc w:val="center"/>
              <w:rPr>
                <w:rFonts w:ascii="Times New Roman" w:hAnsi="Times New Roman" w:cs="Times New Roman"/>
                <w:lang w:val="es-ES"/>
              </w:rPr>
            </w:pP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F2E9995" w14:textId="0B0FF746"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El derecho a la salud mental se encuentra en estrecha relación con el derecho a la identidad, en tanto es relevante para el individuo el conocer su origen biológico para la debida formación de su personalidad. . En efecto, el desconocer el origen biológico puede generar </w:t>
            </w:r>
            <w:r w:rsidRPr="008C2070">
              <w:rPr>
                <w:rFonts w:ascii="Times New Roman" w:hAnsi="Times New Roman" w:cs="Times New Roman"/>
                <w:lang w:val="es-ES"/>
              </w:rPr>
              <w:lastRenderedPageBreak/>
              <w:t>problemas personales, psiquiátricos y de desarrollo de la personalidad, por lo que el conocimiento de dichos orígenes está protegido tanto desde el derecho a la identidad como del derecho a la salud mental.</w:t>
            </w:r>
          </w:p>
        </w:tc>
      </w:tr>
      <w:tr w:rsidR="00BA2FD4" w:rsidRPr="008C2070" w14:paraId="76447129" w14:textId="77777777" w:rsidTr="0007732F">
        <w:trPr>
          <w:trHeight w:val="648"/>
        </w:trPr>
        <w:tc>
          <w:tcPr>
            <w:tcW w:w="1562"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D0CECE" w:themeFill="background2" w:themeFillShade="E6"/>
          </w:tcPr>
          <w:p w14:paraId="20342525"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0B81B53E"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A12B2DD"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A6489A0" w14:textId="77777777" w:rsidR="00BA2FD4" w:rsidRPr="008C2070" w:rsidRDefault="00BA2FD4" w:rsidP="008C2070">
            <w:pPr>
              <w:spacing w:before="60" w:after="60"/>
              <w:jc w:val="center"/>
              <w:rPr>
                <w:rFonts w:ascii="Times New Roman" w:hAnsi="Times New Roman" w:cs="Times New Roman"/>
                <w:lang w:val="es-ES"/>
              </w:rPr>
            </w:pPr>
          </w:p>
        </w:tc>
        <w:tc>
          <w:tcPr>
            <w:tcW w:w="1417"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4E008196"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47835C2"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Titularidad de las personas morales al derecho a la salud (2005521)</w:t>
            </w:r>
            <w:r w:rsidRPr="008C2070">
              <w:rPr>
                <w:rStyle w:val="Refdenotaalpie"/>
                <w:rFonts w:ascii="Times New Roman" w:hAnsi="Times New Roman" w:cs="Times New Roman"/>
                <w:lang w:val="es-ES"/>
              </w:rPr>
              <w:footnoteReference w:id="103"/>
            </w:r>
          </w:p>
        </w:tc>
        <w:tc>
          <w:tcPr>
            <w:tcW w:w="382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2B2F3EC" w14:textId="7E8DE8D4"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La titularidad de los derechos fundamentales dependerá necesariamente de la naturaleza del derecho en cuestión y, en su caso, de la función o actividad de aquéllas. En esa medida, el juzgador deberá determinar, en cada caso concreto, si un derecho les corresponde o no. El derecho a la salud es uno de los que son de índole humana, por lo que, no puede ser atribuible a las personas morales.</w:t>
            </w:r>
          </w:p>
        </w:tc>
      </w:tr>
      <w:tr w:rsidR="00F85459" w:rsidRPr="008C2070" w14:paraId="43F3FBBC" w14:textId="77777777" w:rsidTr="0007732F">
        <w:trPr>
          <w:trHeight w:val="3194"/>
        </w:trPr>
        <w:tc>
          <w:tcPr>
            <w:tcW w:w="1562" w:type="dxa"/>
            <w:vMerge/>
            <w:tcBorders>
              <w:top w:val="single" w:sz="8" w:space="0" w:color="D9D9D9" w:themeColor="background1" w:themeShade="D9"/>
              <w:left w:val="single" w:sz="8" w:space="0" w:color="D0CECE"/>
              <w:right w:val="single" w:sz="8" w:space="0" w:color="D9D9D9" w:themeColor="background1" w:themeShade="D9"/>
            </w:tcBorders>
            <w:shd w:val="clear" w:color="auto" w:fill="D0CECE" w:themeFill="background2" w:themeFillShade="E6"/>
          </w:tcPr>
          <w:p w14:paraId="3AB61639" w14:textId="77777777" w:rsidR="00F85459" w:rsidRPr="008C2070" w:rsidRDefault="00F85459" w:rsidP="008C2070">
            <w:pPr>
              <w:spacing w:before="60" w:after="60"/>
              <w:jc w:val="center"/>
              <w:rPr>
                <w:rFonts w:ascii="Times New Roman" w:hAnsi="Times New Roman" w:cs="Times New Roman"/>
                <w:b/>
                <w:bCs/>
                <w:lang w:val="es-ES"/>
              </w:rPr>
            </w:pPr>
          </w:p>
        </w:tc>
        <w:tc>
          <w:tcPr>
            <w:tcW w:w="1699" w:type="dxa"/>
            <w:vMerge/>
            <w:tcBorders>
              <w:top w:val="single" w:sz="8" w:space="0" w:color="D9D9D9" w:themeColor="background1" w:themeShade="D9"/>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767F6AEF" w14:textId="77777777" w:rsidR="00F85459" w:rsidRPr="008C2070" w:rsidRDefault="00F85459" w:rsidP="008C2070">
            <w:pPr>
              <w:spacing w:before="60" w:after="60"/>
              <w:jc w:val="center"/>
              <w:rPr>
                <w:rFonts w:ascii="Times New Roman" w:hAnsi="Times New Roman" w:cs="Times New Roman"/>
                <w:lang w:val="es-ES"/>
              </w:rPr>
            </w:pPr>
          </w:p>
        </w:tc>
        <w:tc>
          <w:tcPr>
            <w:tcW w:w="1418" w:type="dxa"/>
            <w:vMerge/>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1136580D" w14:textId="77777777" w:rsidR="00F85459" w:rsidRPr="008C2070" w:rsidRDefault="00F85459" w:rsidP="008C2070">
            <w:pPr>
              <w:spacing w:before="60" w:after="60"/>
              <w:jc w:val="center"/>
              <w:rPr>
                <w:rFonts w:ascii="Times New Roman" w:hAnsi="Times New Roman" w:cs="Times New Roman"/>
                <w:lang w:val="es-ES"/>
              </w:rPr>
            </w:pPr>
          </w:p>
        </w:tc>
        <w:tc>
          <w:tcPr>
            <w:tcW w:w="3543" w:type="dxa"/>
            <w:vMerge/>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6CDC9CB3" w14:textId="77777777" w:rsidR="00F85459" w:rsidRPr="008C2070" w:rsidRDefault="00F85459" w:rsidP="008C2070">
            <w:pPr>
              <w:spacing w:before="60" w:after="60"/>
              <w:jc w:val="center"/>
              <w:rPr>
                <w:rFonts w:ascii="Times New Roman" w:hAnsi="Times New Roman" w:cs="Times New Roman"/>
                <w:lang w:val="es-ES"/>
              </w:rPr>
            </w:pPr>
          </w:p>
        </w:tc>
        <w:tc>
          <w:tcPr>
            <w:tcW w:w="1417" w:type="dxa"/>
            <w:vMerge w:val="restart"/>
            <w:tcBorders>
              <w:top w:val="single" w:sz="8" w:space="0" w:color="D9D9D9" w:themeColor="background1" w:themeShade="D9"/>
              <w:left w:val="single" w:sz="8" w:space="0" w:color="D9D9D9" w:themeColor="background1" w:themeShade="D9"/>
              <w:right w:val="single" w:sz="8" w:space="0" w:color="D0CECE"/>
            </w:tcBorders>
            <w:shd w:val="clear" w:color="auto" w:fill="F2F2F2" w:themeFill="background1" w:themeFillShade="F2"/>
            <w:vAlign w:val="center"/>
          </w:tcPr>
          <w:p w14:paraId="66745EC9" w14:textId="77777777" w:rsidR="00F85459" w:rsidRPr="008C2070" w:rsidRDefault="00F85459"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Naturaleza y regulación del derecho</w:t>
            </w:r>
          </w:p>
        </w:tc>
        <w:tc>
          <w:tcPr>
            <w:tcW w:w="1419" w:type="dxa"/>
            <w:tcBorders>
              <w:top w:val="single" w:sz="8" w:space="0" w:color="D9D9D9" w:themeColor="background1" w:themeShade="D9"/>
              <w:left w:val="single" w:sz="8" w:space="0" w:color="D0CECE"/>
              <w:right w:val="single" w:sz="8" w:space="0" w:color="D9D9D9" w:themeColor="background1" w:themeShade="D9"/>
            </w:tcBorders>
            <w:vAlign w:val="center"/>
          </w:tcPr>
          <w:p w14:paraId="19652442" w14:textId="50B1BAA8" w:rsidR="00F85459" w:rsidRPr="008C2070" w:rsidRDefault="00F85459"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Naturaleza prestacional (2014025)</w:t>
            </w:r>
            <w:r w:rsidRPr="008C2070">
              <w:rPr>
                <w:rStyle w:val="Refdenotaalpie"/>
                <w:rFonts w:ascii="Times New Roman" w:hAnsi="Times New Roman" w:cs="Times New Roman"/>
                <w:lang w:val="es-ES"/>
              </w:rPr>
              <w:footnoteReference w:id="104"/>
            </w:r>
          </w:p>
        </w:tc>
        <w:tc>
          <w:tcPr>
            <w:tcW w:w="3826" w:type="dxa"/>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582CA648" w14:textId="0F8E17D9" w:rsidR="00F85459" w:rsidRPr="008C2070" w:rsidRDefault="00F85459"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Los Estados no sólo tienen la obligación de respetar, absteniéndose de negar el acceso, también tienen del deber de dar el tratamiento médico solicitado, pues al tratarse de un derecho de naturaleza prestacional está sujeto a la obligación de hacer del Estado -realizar una adecuada prestación y supervisión de la asistencia médica-, ello bajo los principios de universalidad y progresividad.</w:t>
            </w:r>
          </w:p>
        </w:tc>
      </w:tr>
      <w:tr w:rsidR="00BA2FD4" w:rsidRPr="008C2070" w14:paraId="23C9761F" w14:textId="77777777" w:rsidTr="0007732F">
        <w:trPr>
          <w:trHeight w:val="238"/>
        </w:trPr>
        <w:tc>
          <w:tcPr>
            <w:tcW w:w="1562" w:type="dxa"/>
            <w:vMerge/>
            <w:tcBorders>
              <w:left w:val="single" w:sz="8" w:space="0" w:color="D0CECE"/>
              <w:bottom w:val="single" w:sz="8" w:space="0" w:color="D0CECE"/>
              <w:right w:val="single" w:sz="8" w:space="0" w:color="D9D9D9" w:themeColor="background1" w:themeShade="D9"/>
            </w:tcBorders>
            <w:shd w:val="clear" w:color="auto" w:fill="D0CECE" w:themeFill="background2" w:themeFillShade="E6"/>
          </w:tcPr>
          <w:p w14:paraId="44ECCC0D" w14:textId="77777777" w:rsidR="00BA2FD4" w:rsidRPr="008C2070" w:rsidRDefault="00BA2FD4" w:rsidP="008C2070">
            <w:pPr>
              <w:spacing w:before="60" w:after="60"/>
              <w:jc w:val="center"/>
              <w:rPr>
                <w:rFonts w:ascii="Times New Roman" w:hAnsi="Times New Roman" w:cs="Times New Roman"/>
                <w:b/>
                <w:bCs/>
                <w:lang w:val="es-ES"/>
              </w:rPr>
            </w:pPr>
          </w:p>
        </w:tc>
        <w:tc>
          <w:tcPr>
            <w:tcW w:w="1699" w:type="dxa"/>
            <w:vMerge/>
            <w:tcBorders>
              <w:left w:val="single" w:sz="8" w:space="0" w:color="D9D9D9" w:themeColor="background1" w:themeShade="D9"/>
              <w:bottom w:val="single" w:sz="8" w:space="0" w:color="D0CECE"/>
              <w:right w:val="single" w:sz="8" w:space="0" w:color="D9D9D9" w:themeColor="background1" w:themeShade="D9"/>
            </w:tcBorders>
            <w:shd w:val="clear" w:color="auto" w:fill="F2F2F2" w:themeFill="background1" w:themeFillShade="F2"/>
            <w:vAlign w:val="center"/>
          </w:tcPr>
          <w:p w14:paraId="4B5CDC0C" w14:textId="77777777" w:rsidR="00BA2FD4" w:rsidRPr="008C2070" w:rsidRDefault="00BA2FD4" w:rsidP="008C2070">
            <w:pPr>
              <w:spacing w:before="60" w:after="60"/>
              <w:jc w:val="center"/>
              <w:rPr>
                <w:rFonts w:ascii="Times New Roman" w:hAnsi="Times New Roman" w:cs="Times New Roman"/>
                <w:lang w:val="es-ES"/>
              </w:rPr>
            </w:pPr>
          </w:p>
        </w:tc>
        <w:tc>
          <w:tcPr>
            <w:tcW w:w="1418" w:type="dxa"/>
            <w:vMerge/>
            <w:tcBorders>
              <w:left w:val="single" w:sz="8" w:space="0" w:color="D9D9D9" w:themeColor="background1" w:themeShade="D9"/>
              <w:bottom w:val="single" w:sz="8" w:space="0" w:color="D0CECE"/>
              <w:right w:val="single" w:sz="8" w:space="0" w:color="D9D9D9" w:themeColor="background1" w:themeShade="D9"/>
            </w:tcBorders>
            <w:vAlign w:val="center"/>
          </w:tcPr>
          <w:p w14:paraId="4472A395" w14:textId="77777777" w:rsidR="00BA2FD4" w:rsidRPr="008C2070" w:rsidRDefault="00BA2FD4" w:rsidP="008C2070">
            <w:pPr>
              <w:spacing w:before="60" w:after="60"/>
              <w:jc w:val="center"/>
              <w:rPr>
                <w:rFonts w:ascii="Times New Roman" w:hAnsi="Times New Roman" w:cs="Times New Roman"/>
                <w:lang w:val="es-ES"/>
              </w:rPr>
            </w:pPr>
          </w:p>
        </w:tc>
        <w:tc>
          <w:tcPr>
            <w:tcW w:w="3543" w:type="dxa"/>
            <w:vMerge/>
            <w:tcBorders>
              <w:left w:val="single" w:sz="8" w:space="0" w:color="D9D9D9" w:themeColor="background1" w:themeShade="D9"/>
              <w:bottom w:val="single" w:sz="8" w:space="0" w:color="D0CECE"/>
              <w:right w:val="single" w:sz="8" w:space="0" w:color="D9D9D9" w:themeColor="background1" w:themeShade="D9"/>
            </w:tcBorders>
            <w:vAlign w:val="center"/>
          </w:tcPr>
          <w:p w14:paraId="7CFA6231" w14:textId="77777777" w:rsidR="00BA2FD4" w:rsidRPr="008C2070" w:rsidRDefault="00BA2FD4" w:rsidP="008C2070">
            <w:pPr>
              <w:spacing w:before="60" w:after="60"/>
              <w:jc w:val="center"/>
              <w:rPr>
                <w:rFonts w:ascii="Times New Roman" w:hAnsi="Times New Roman" w:cs="Times New Roman"/>
                <w:lang w:val="es-ES"/>
              </w:rPr>
            </w:pPr>
          </w:p>
        </w:tc>
        <w:tc>
          <w:tcPr>
            <w:tcW w:w="1417" w:type="dxa"/>
            <w:vMerge/>
            <w:tcBorders>
              <w:left w:val="single" w:sz="8" w:space="0" w:color="D9D9D9" w:themeColor="background1" w:themeShade="D9"/>
              <w:bottom w:val="single" w:sz="8" w:space="0" w:color="D0CECE"/>
              <w:right w:val="single" w:sz="8" w:space="0" w:color="D0CECE"/>
            </w:tcBorders>
            <w:shd w:val="clear" w:color="auto" w:fill="F2F2F2" w:themeFill="background1" w:themeFillShade="F2"/>
            <w:vAlign w:val="center"/>
          </w:tcPr>
          <w:p w14:paraId="2C95F48D" w14:textId="77777777" w:rsidR="00BA2FD4" w:rsidRPr="008C2070" w:rsidRDefault="00BA2FD4" w:rsidP="008C2070">
            <w:pPr>
              <w:spacing w:before="60" w:after="60"/>
              <w:jc w:val="center"/>
              <w:rPr>
                <w:rFonts w:ascii="Times New Roman" w:hAnsi="Times New Roman" w:cs="Times New Roman"/>
                <w:lang w:val="es-ES"/>
              </w:rPr>
            </w:pPr>
          </w:p>
        </w:tc>
        <w:tc>
          <w:tcPr>
            <w:tcW w:w="1419" w:type="dxa"/>
            <w:tcBorders>
              <w:top w:val="single" w:sz="8" w:space="0" w:color="D0CECE"/>
              <w:left w:val="single" w:sz="8" w:space="0" w:color="D0CECE"/>
              <w:bottom w:val="single" w:sz="8" w:space="0" w:color="D0CECE"/>
              <w:right w:val="single" w:sz="8" w:space="0" w:color="D0CECE"/>
            </w:tcBorders>
            <w:vAlign w:val="center"/>
          </w:tcPr>
          <w:p w14:paraId="0FD39DB7" w14:textId="77777777" w:rsidR="00BA2FD4" w:rsidRPr="008C2070" w:rsidRDefault="00BA2FD4" w:rsidP="008C2070">
            <w:pPr>
              <w:spacing w:before="60" w:after="60"/>
              <w:jc w:val="center"/>
              <w:rPr>
                <w:rFonts w:ascii="Times New Roman" w:hAnsi="Times New Roman" w:cs="Times New Roman"/>
                <w:lang w:val="es-ES"/>
              </w:rPr>
            </w:pPr>
            <w:r w:rsidRPr="008C2070">
              <w:rPr>
                <w:rFonts w:ascii="Times New Roman" w:hAnsi="Times New Roman" w:cs="Times New Roman"/>
                <w:lang w:val="es-ES"/>
              </w:rPr>
              <w:t>Dimensión individual y social del derecho (2013137)</w:t>
            </w:r>
            <w:r w:rsidRPr="008C2070">
              <w:rPr>
                <w:rStyle w:val="Refdenotaalpie"/>
                <w:rFonts w:ascii="Times New Roman" w:hAnsi="Times New Roman" w:cs="Times New Roman"/>
                <w:lang w:val="es-ES"/>
              </w:rPr>
              <w:footnoteReference w:id="105"/>
            </w:r>
          </w:p>
        </w:tc>
        <w:tc>
          <w:tcPr>
            <w:tcW w:w="3826" w:type="dxa"/>
            <w:tcBorders>
              <w:top w:val="single" w:sz="8" w:space="0" w:color="D9D9D9" w:themeColor="background1" w:themeShade="D9"/>
              <w:left w:val="single" w:sz="8" w:space="0" w:color="D0CECE"/>
              <w:bottom w:val="single" w:sz="8" w:space="0" w:color="D0CECE"/>
              <w:right w:val="single" w:sz="8" w:space="0" w:color="D0CECE"/>
            </w:tcBorders>
            <w:vAlign w:val="center"/>
          </w:tcPr>
          <w:p w14:paraId="44563CD0" w14:textId="252A1A42"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La protección de la salud es un objetivo que legítimamente puede perseguir el Estado. Este derecho tiene una proyección tanto individual o personal, como una pública o social.</w:t>
            </w:r>
          </w:p>
          <w:p w14:paraId="3B67CE68" w14:textId="77777777" w:rsidR="00BA2FD4" w:rsidRPr="008C2070" w:rsidRDefault="00BA2FD4" w:rsidP="008C2070">
            <w:pPr>
              <w:spacing w:before="60" w:after="60"/>
              <w:jc w:val="both"/>
              <w:rPr>
                <w:rFonts w:ascii="Times New Roman" w:hAnsi="Times New Roman" w:cs="Times New Roman"/>
                <w:lang w:val="es-ES"/>
              </w:rPr>
            </w:pPr>
          </w:p>
          <w:p w14:paraId="18663344" w14:textId="77777777" w:rsidR="00BA2FD4" w:rsidRPr="008C2070" w:rsidRDefault="00BA2FD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Respecto a la protección a la salud de las personas en lo individual, el derecho a la salud se traduce en la obtención de un determinado bienestar general integrado por el estado físico, mental, emocional y social de la persona. Por otro lado, la faceta social o pública del derecho a la salud consiste en el deber del Estado de atender los problemas de salud que afectan a la sociedad en general, así como en establecer los mecanismos necesarios para que todas las personas tengan acceso a los servicios de salud. (Mismo contenido que la jurisprudencia)</w:t>
            </w:r>
          </w:p>
        </w:tc>
      </w:tr>
    </w:tbl>
    <w:p w14:paraId="1BC4958D" w14:textId="7881BDDD" w:rsidR="00CE377C" w:rsidRDefault="00CE377C" w:rsidP="008C2070">
      <w:pPr>
        <w:spacing w:beforeLines="120" w:before="288" w:afterLines="120" w:after="288" w:line="276" w:lineRule="auto"/>
        <w:jc w:val="both"/>
        <w:rPr>
          <w:rFonts w:ascii="Times New Roman" w:hAnsi="Times New Roman" w:cs="Times New Roman"/>
          <w:sz w:val="24"/>
          <w:szCs w:val="24"/>
        </w:rPr>
      </w:pPr>
    </w:p>
    <w:p w14:paraId="245DC8B0" w14:textId="77777777" w:rsidR="00CE377C" w:rsidRDefault="00CE377C">
      <w:pPr>
        <w:rPr>
          <w:rFonts w:ascii="Times New Roman" w:hAnsi="Times New Roman" w:cs="Times New Roman"/>
          <w:sz w:val="24"/>
          <w:szCs w:val="24"/>
        </w:rPr>
      </w:pPr>
      <w:r>
        <w:rPr>
          <w:rFonts w:ascii="Times New Roman" w:hAnsi="Times New Roman" w:cs="Times New Roman"/>
          <w:sz w:val="24"/>
          <w:szCs w:val="24"/>
        </w:rPr>
        <w:br w:type="page"/>
      </w:r>
    </w:p>
    <w:p w14:paraId="6E060885" w14:textId="77777777" w:rsidR="00BA2FD4" w:rsidRPr="008C2070" w:rsidRDefault="00BA2FD4" w:rsidP="008C2070">
      <w:pPr>
        <w:spacing w:beforeLines="120" w:before="288" w:afterLines="120" w:after="288" w:line="276" w:lineRule="auto"/>
        <w:jc w:val="both"/>
        <w:rPr>
          <w:rFonts w:ascii="Times New Roman" w:hAnsi="Times New Roman" w:cs="Times New Roman"/>
          <w:sz w:val="24"/>
          <w:szCs w:val="24"/>
        </w:rPr>
      </w:pPr>
    </w:p>
    <w:p w14:paraId="506B5956" w14:textId="77777777" w:rsidR="00F85459" w:rsidRPr="008C2070" w:rsidRDefault="00F85459" w:rsidP="008C2070">
      <w:pPr>
        <w:pStyle w:val="Prrafodelista"/>
        <w:numPr>
          <w:ilvl w:val="0"/>
          <w:numId w:val="6"/>
        </w:numPr>
        <w:spacing w:beforeLines="120" w:before="288" w:afterLines="120" w:after="288" w:line="276" w:lineRule="auto"/>
        <w:contextualSpacing w:val="0"/>
        <w:jc w:val="both"/>
        <w:rPr>
          <w:rFonts w:ascii="Times New Roman" w:hAnsi="Times New Roman" w:cs="Times New Roman"/>
          <w:b/>
          <w:bCs/>
          <w:sz w:val="24"/>
          <w:szCs w:val="24"/>
        </w:rPr>
      </w:pPr>
      <w:r w:rsidRPr="008C2070">
        <w:rPr>
          <w:rFonts w:ascii="Times New Roman" w:hAnsi="Times New Roman" w:cs="Times New Roman"/>
          <w:b/>
          <w:bCs/>
          <w:sz w:val="24"/>
          <w:szCs w:val="24"/>
        </w:rPr>
        <w:t>Jurisprudencias y tesis aisladas relacionadas con cuestiones procesales del juicio de amparo y reparación del daño en casos de derecho a la protección de la salud</w:t>
      </w:r>
    </w:p>
    <w:tbl>
      <w:tblPr>
        <w:tblStyle w:val="Tablaconcuadrcula"/>
        <w:tblW w:w="14742" w:type="dxa"/>
        <w:tblInd w:w="-1134" w:type="dxa"/>
        <w:tblLook w:val="04A0" w:firstRow="1" w:lastRow="0" w:firstColumn="1" w:lastColumn="0" w:noHBand="0" w:noVBand="1"/>
      </w:tblPr>
      <w:tblGrid>
        <w:gridCol w:w="1465"/>
        <w:gridCol w:w="1638"/>
        <w:gridCol w:w="2397"/>
        <w:gridCol w:w="2556"/>
        <w:gridCol w:w="1408"/>
        <w:gridCol w:w="1859"/>
        <w:gridCol w:w="3419"/>
      </w:tblGrid>
      <w:tr w:rsidR="00A44F84" w:rsidRPr="008C2070" w14:paraId="4C434768" w14:textId="77777777" w:rsidTr="0007732F">
        <w:trPr>
          <w:trHeight w:val="238"/>
        </w:trPr>
        <w:tc>
          <w:tcPr>
            <w:tcW w:w="1465" w:type="dxa"/>
            <w:tcBorders>
              <w:top w:val="nil"/>
              <w:left w:val="nil"/>
              <w:bottom w:val="nil"/>
              <w:right w:val="single" w:sz="4" w:space="0" w:color="D0CECE"/>
            </w:tcBorders>
          </w:tcPr>
          <w:p w14:paraId="56E13A1C" w14:textId="77777777" w:rsidR="00A44F84" w:rsidRPr="008C2070" w:rsidRDefault="00A44F84" w:rsidP="008C2070">
            <w:pPr>
              <w:spacing w:before="60" w:after="60"/>
              <w:jc w:val="both"/>
              <w:rPr>
                <w:rFonts w:ascii="Times New Roman" w:hAnsi="Times New Roman" w:cs="Times New Roman"/>
                <w:lang w:val="es-ES"/>
              </w:rPr>
            </w:pPr>
          </w:p>
        </w:tc>
        <w:tc>
          <w:tcPr>
            <w:tcW w:w="6591" w:type="dxa"/>
            <w:gridSpan w:val="3"/>
            <w:tcBorders>
              <w:top w:val="single" w:sz="4" w:space="0" w:color="D0CECE"/>
              <w:left w:val="single" w:sz="4" w:space="0" w:color="D0CECE"/>
              <w:bottom w:val="single" w:sz="4" w:space="0" w:color="D0CECE"/>
              <w:right w:val="single" w:sz="24" w:space="0" w:color="D0CECE"/>
            </w:tcBorders>
            <w:shd w:val="clear" w:color="auto" w:fill="D0CECE" w:themeFill="background2" w:themeFillShade="E6"/>
          </w:tcPr>
          <w:p w14:paraId="197F256E" w14:textId="77777777" w:rsidR="00A44F84" w:rsidRPr="008C2070" w:rsidRDefault="00A44F84" w:rsidP="002D2FE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Jurisprudencias</w:t>
            </w:r>
          </w:p>
        </w:tc>
        <w:tc>
          <w:tcPr>
            <w:tcW w:w="6686" w:type="dxa"/>
            <w:gridSpan w:val="3"/>
            <w:tcBorders>
              <w:top w:val="single" w:sz="4" w:space="0" w:color="D0CECE"/>
              <w:left w:val="single" w:sz="24" w:space="0" w:color="D0CECE"/>
              <w:bottom w:val="single" w:sz="4" w:space="0" w:color="D0CECE"/>
              <w:right w:val="single" w:sz="4" w:space="0" w:color="D0CECE"/>
            </w:tcBorders>
            <w:shd w:val="clear" w:color="auto" w:fill="D0CECE" w:themeFill="background2" w:themeFillShade="E6"/>
          </w:tcPr>
          <w:p w14:paraId="3DCBBDF5" w14:textId="77777777" w:rsidR="00A44F84" w:rsidRPr="008C2070" w:rsidRDefault="00A44F84" w:rsidP="002D2FE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Tesis</w:t>
            </w:r>
          </w:p>
        </w:tc>
      </w:tr>
      <w:tr w:rsidR="00A44F84" w:rsidRPr="008C2070" w14:paraId="1AE6DEC1" w14:textId="77777777" w:rsidTr="0007732F">
        <w:trPr>
          <w:trHeight w:val="566"/>
        </w:trPr>
        <w:tc>
          <w:tcPr>
            <w:tcW w:w="1465" w:type="dxa"/>
            <w:tcBorders>
              <w:top w:val="nil"/>
              <w:left w:val="nil"/>
              <w:bottom w:val="single" w:sz="8" w:space="0" w:color="D0CECE"/>
              <w:right w:val="single" w:sz="4" w:space="0" w:color="D0CECE"/>
            </w:tcBorders>
          </w:tcPr>
          <w:p w14:paraId="4C172DBB" w14:textId="77777777" w:rsidR="00A44F84" w:rsidRPr="008C2070" w:rsidRDefault="00A44F84" w:rsidP="008C2070">
            <w:pPr>
              <w:spacing w:before="60" w:after="60"/>
              <w:jc w:val="both"/>
              <w:rPr>
                <w:rFonts w:ascii="Times New Roman" w:hAnsi="Times New Roman" w:cs="Times New Roman"/>
                <w:lang w:val="es-ES"/>
              </w:rPr>
            </w:pPr>
          </w:p>
        </w:tc>
        <w:tc>
          <w:tcPr>
            <w:tcW w:w="1638" w:type="dxa"/>
            <w:tcBorders>
              <w:top w:val="single" w:sz="4" w:space="0" w:color="D0CECE"/>
              <w:left w:val="single" w:sz="4" w:space="0" w:color="D0CECE"/>
              <w:bottom w:val="single" w:sz="8" w:space="0" w:color="D9D9D9" w:themeColor="background1" w:themeShade="D9"/>
              <w:right w:val="single" w:sz="4" w:space="0" w:color="D0CECE"/>
            </w:tcBorders>
            <w:shd w:val="clear" w:color="auto" w:fill="F2F2F2" w:themeFill="background1" w:themeFillShade="F2"/>
            <w:vAlign w:val="center"/>
          </w:tcPr>
          <w:p w14:paraId="30424DAE" w14:textId="77777777" w:rsidR="00A44F84" w:rsidRPr="008C2070" w:rsidRDefault="00A44F84" w:rsidP="002D2FE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Efecto</w:t>
            </w:r>
          </w:p>
        </w:tc>
        <w:tc>
          <w:tcPr>
            <w:tcW w:w="2397" w:type="dxa"/>
            <w:tcBorders>
              <w:top w:val="single" w:sz="4" w:space="0" w:color="D0CECE"/>
              <w:left w:val="single" w:sz="4" w:space="0" w:color="D0CECE"/>
              <w:bottom w:val="single" w:sz="8" w:space="0" w:color="D9D9D9" w:themeColor="background1" w:themeShade="D9"/>
              <w:right w:val="single" w:sz="4" w:space="0" w:color="D0CECE"/>
            </w:tcBorders>
            <w:shd w:val="clear" w:color="auto" w:fill="F2F2F2" w:themeFill="background1" w:themeFillShade="F2"/>
            <w:vAlign w:val="center"/>
          </w:tcPr>
          <w:p w14:paraId="7AAAD184" w14:textId="6677F9B9" w:rsidR="00A44F84" w:rsidRPr="008C2070" w:rsidRDefault="00A44F84" w:rsidP="002D2FE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Temática analizada</w:t>
            </w:r>
          </w:p>
        </w:tc>
        <w:tc>
          <w:tcPr>
            <w:tcW w:w="2556" w:type="dxa"/>
            <w:tcBorders>
              <w:top w:val="single" w:sz="4" w:space="0" w:color="D0CECE"/>
              <w:left w:val="single" w:sz="4" w:space="0" w:color="D0CECE"/>
              <w:bottom w:val="single" w:sz="8" w:space="0" w:color="D9D9D9" w:themeColor="background1" w:themeShade="D9"/>
              <w:right w:val="single" w:sz="24" w:space="0" w:color="D0CECE"/>
            </w:tcBorders>
            <w:shd w:val="clear" w:color="auto" w:fill="F2F2F2" w:themeFill="background1" w:themeFillShade="F2"/>
            <w:vAlign w:val="center"/>
          </w:tcPr>
          <w:p w14:paraId="0634B5D5" w14:textId="77777777" w:rsidR="00A44F84" w:rsidRPr="008C2070" w:rsidRDefault="00A44F84" w:rsidP="002D2FE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Contenido</w:t>
            </w:r>
          </w:p>
        </w:tc>
        <w:tc>
          <w:tcPr>
            <w:tcW w:w="1408" w:type="dxa"/>
            <w:tcBorders>
              <w:top w:val="single" w:sz="4" w:space="0" w:color="D0CECE"/>
              <w:left w:val="single" w:sz="24" w:space="0" w:color="D0CECE"/>
              <w:bottom w:val="single" w:sz="8" w:space="0" w:color="D9D9D9" w:themeColor="background1" w:themeShade="D9"/>
              <w:right w:val="single" w:sz="4" w:space="0" w:color="D0CECE"/>
            </w:tcBorders>
            <w:shd w:val="clear" w:color="auto" w:fill="F2F2F2" w:themeFill="background1" w:themeFillShade="F2"/>
            <w:vAlign w:val="center"/>
          </w:tcPr>
          <w:p w14:paraId="2F30700A" w14:textId="77777777" w:rsidR="00A44F84" w:rsidRPr="008C2070" w:rsidRDefault="00A44F84" w:rsidP="002D2FE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Efecto</w:t>
            </w:r>
          </w:p>
        </w:tc>
        <w:tc>
          <w:tcPr>
            <w:tcW w:w="1859" w:type="dxa"/>
            <w:tcBorders>
              <w:top w:val="single" w:sz="4" w:space="0" w:color="D0CECE"/>
              <w:left w:val="single" w:sz="4" w:space="0" w:color="D0CECE"/>
              <w:bottom w:val="single" w:sz="8" w:space="0" w:color="D9D9D9" w:themeColor="background1" w:themeShade="D9"/>
              <w:right w:val="single" w:sz="4" w:space="0" w:color="D0CECE"/>
            </w:tcBorders>
            <w:shd w:val="clear" w:color="auto" w:fill="F2F2F2" w:themeFill="background1" w:themeFillShade="F2"/>
            <w:vAlign w:val="center"/>
          </w:tcPr>
          <w:p w14:paraId="70470A4B" w14:textId="23B42C04" w:rsidR="00A44F84" w:rsidRPr="008C2070" w:rsidRDefault="00A44F84" w:rsidP="002D2FE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Temática analizada</w:t>
            </w:r>
          </w:p>
        </w:tc>
        <w:tc>
          <w:tcPr>
            <w:tcW w:w="3419" w:type="dxa"/>
            <w:tcBorders>
              <w:top w:val="single" w:sz="4" w:space="0" w:color="D0CECE"/>
              <w:left w:val="single" w:sz="4" w:space="0" w:color="D0CECE"/>
              <w:bottom w:val="single" w:sz="8" w:space="0" w:color="D9D9D9" w:themeColor="background1" w:themeShade="D9"/>
              <w:right w:val="single" w:sz="4" w:space="0" w:color="D0CECE"/>
            </w:tcBorders>
            <w:shd w:val="clear" w:color="auto" w:fill="F2F2F2" w:themeFill="background1" w:themeFillShade="F2"/>
            <w:vAlign w:val="center"/>
          </w:tcPr>
          <w:p w14:paraId="7062D734" w14:textId="77777777" w:rsidR="00A44F84" w:rsidRPr="008C2070" w:rsidRDefault="00A44F84" w:rsidP="002D2FE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Contenido</w:t>
            </w:r>
          </w:p>
        </w:tc>
      </w:tr>
      <w:tr w:rsidR="00A44F84" w:rsidRPr="008C2070" w14:paraId="093D6E42" w14:textId="77777777" w:rsidTr="0007732F">
        <w:trPr>
          <w:trHeight w:val="600"/>
        </w:trPr>
        <w:tc>
          <w:tcPr>
            <w:tcW w:w="1465" w:type="dxa"/>
            <w:tcBorders>
              <w:top w:val="single" w:sz="8" w:space="0" w:color="D0CECE"/>
              <w:left w:val="single" w:sz="8" w:space="0" w:color="D0CECE"/>
              <w:bottom w:val="single" w:sz="8" w:space="0" w:color="D0CECE"/>
              <w:right w:val="single" w:sz="8" w:space="0" w:color="D9D9D9" w:themeColor="background1" w:themeShade="D9"/>
            </w:tcBorders>
            <w:shd w:val="clear" w:color="auto" w:fill="D0CECE" w:themeFill="background2" w:themeFillShade="E6"/>
          </w:tcPr>
          <w:p w14:paraId="25FC4524" w14:textId="520947F4" w:rsidR="00A44F84" w:rsidRPr="008C2070" w:rsidRDefault="00A44F84" w:rsidP="002D2FE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Antes de 2011 (1995-octubre 2011)</w:t>
            </w:r>
          </w:p>
        </w:tc>
        <w:tc>
          <w:tcPr>
            <w:tcW w:w="1638"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59F5444D" w14:textId="77777777" w:rsidR="00A44F84" w:rsidRPr="008C2070" w:rsidRDefault="00A44F84" w:rsidP="008C2070">
            <w:pPr>
              <w:spacing w:before="60" w:after="60"/>
              <w:jc w:val="both"/>
              <w:rPr>
                <w:rFonts w:ascii="Times New Roman" w:hAnsi="Times New Roman" w:cs="Times New Roman"/>
                <w:lang w:val="es-ES"/>
              </w:rPr>
            </w:pPr>
          </w:p>
        </w:tc>
        <w:tc>
          <w:tcPr>
            <w:tcW w:w="239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14A3017" w14:textId="77777777" w:rsidR="00A44F84" w:rsidRPr="008C2070" w:rsidRDefault="00A44F84" w:rsidP="008C2070">
            <w:pPr>
              <w:spacing w:before="60" w:after="60"/>
              <w:jc w:val="both"/>
              <w:rPr>
                <w:rFonts w:ascii="Times New Roman" w:hAnsi="Times New Roman" w:cs="Times New Roman"/>
                <w:lang w:val="es-ES"/>
              </w:rPr>
            </w:pPr>
          </w:p>
        </w:tc>
        <w:tc>
          <w:tcPr>
            <w:tcW w:w="2556" w:type="dxa"/>
            <w:tcBorders>
              <w:top w:val="single" w:sz="8" w:space="0" w:color="D9D9D9" w:themeColor="background1" w:themeShade="D9"/>
              <w:left w:val="single" w:sz="8" w:space="0" w:color="D9D9D9" w:themeColor="background1" w:themeShade="D9"/>
              <w:bottom w:val="single" w:sz="24" w:space="0" w:color="7F7F7F" w:themeColor="text1" w:themeTint="80"/>
              <w:right w:val="single" w:sz="8" w:space="0" w:color="D9D9D9" w:themeColor="background1" w:themeShade="D9"/>
            </w:tcBorders>
            <w:vAlign w:val="center"/>
          </w:tcPr>
          <w:p w14:paraId="0623AE56" w14:textId="77777777" w:rsidR="00A44F84" w:rsidRPr="008C2070" w:rsidRDefault="00A44F84" w:rsidP="008C2070">
            <w:pPr>
              <w:spacing w:before="60" w:after="60"/>
              <w:jc w:val="both"/>
              <w:rPr>
                <w:rFonts w:ascii="Times New Roman" w:hAnsi="Times New Roman" w:cs="Times New Roman"/>
                <w:lang w:val="es-ES"/>
              </w:rPr>
            </w:pPr>
          </w:p>
        </w:tc>
        <w:tc>
          <w:tcPr>
            <w:tcW w:w="1408" w:type="dxa"/>
            <w:tcBorders>
              <w:top w:val="single" w:sz="8" w:space="0" w:color="D9D9D9" w:themeColor="background1" w:themeShade="D9"/>
              <w:left w:val="single" w:sz="8" w:space="0" w:color="D9D9D9" w:themeColor="background1" w:themeShade="D9"/>
              <w:bottom w:val="single" w:sz="24" w:space="0" w:color="7F7F7F" w:themeColor="text1" w:themeTint="80"/>
              <w:right w:val="single" w:sz="8" w:space="0" w:color="D9D9D9" w:themeColor="background1" w:themeShade="D9"/>
            </w:tcBorders>
            <w:shd w:val="clear" w:color="auto" w:fill="F2F2F2" w:themeFill="background1" w:themeFillShade="F2"/>
            <w:vAlign w:val="center"/>
          </w:tcPr>
          <w:p w14:paraId="21E3D3C3"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Medio de tutela</w:t>
            </w:r>
          </w:p>
        </w:tc>
        <w:tc>
          <w:tcPr>
            <w:tcW w:w="1859" w:type="dxa"/>
            <w:tcBorders>
              <w:top w:val="single" w:sz="8" w:space="0" w:color="D9D9D9" w:themeColor="background1" w:themeShade="D9"/>
              <w:left w:val="single" w:sz="8" w:space="0" w:color="D9D9D9" w:themeColor="background1" w:themeShade="D9"/>
              <w:bottom w:val="single" w:sz="24" w:space="0" w:color="7F7F7F" w:themeColor="text1" w:themeTint="80"/>
              <w:right w:val="single" w:sz="8" w:space="0" w:color="D9D9D9" w:themeColor="background1" w:themeShade="D9"/>
            </w:tcBorders>
            <w:vAlign w:val="center"/>
          </w:tcPr>
          <w:p w14:paraId="3C3FB45C"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Juicio de amparo (161330)</w:t>
            </w:r>
            <w:r w:rsidRPr="008C2070">
              <w:rPr>
                <w:rStyle w:val="Refdenotaalpie"/>
                <w:rFonts w:ascii="Times New Roman" w:hAnsi="Times New Roman" w:cs="Times New Roman"/>
                <w:lang w:val="es-ES"/>
              </w:rPr>
              <w:footnoteReference w:id="106"/>
            </w:r>
            <w:r w:rsidRPr="008C2070">
              <w:rPr>
                <w:rFonts w:ascii="Times New Roman" w:hAnsi="Times New Roman" w:cs="Times New Roman"/>
                <w:lang w:val="es-ES"/>
              </w:rPr>
              <w:t xml:space="preserve"> </w:t>
            </w:r>
          </w:p>
        </w:tc>
        <w:tc>
          <w:tcPr>
            <w:tcW w:w="3419" w:type="dxa"/>
            <w:tcBorders>
              <w:top w:val="single" w:sz="8" w:space="0" w:color="D9D9D9" w:themeColor="background1" w:themeShade="D9"/>
              <w:left w:val="single" w:sz="8" w:space="0" w:color="D9D9D9" w:themeColor="background1" w:themeShade="D9"/>
              <w:bottom w:val="single" w:sz="24" w:space="0" w:color="7F7F7F" w:themeColor="text1" w:themeTint="80"/>
              <w:right w:val="single" w:sz="8" w:space="0" w:color="D9D9D9" w:themeColor="background1" w:themeShade="D9"/>
            </w:tcBorders>
            <w:vAlign w:val="center"/>
          </w:tcPr>
          <w:p w14:paraId="72F70310"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La justiciabilidad del derecho a la salud no tiene manifestaciones idénticas cuando su violación se denuncia por los ciudadanos en vía de amparo y cuando se reclama por otras vías como por ejemplo, la acción de inconstitucionalidad. Para determinar qué tipo de pretensiones pueden estudiarse en vía de amparo hay que constatar no sólo que se invoque la violación de un derecho fundamental que incorpora pretensiones jurídicas subjetivas, sino también que la invasión al derecho que se denuncia represente un tipo de vulneración remediable por dicha vía</w:t>
            </w:r>
          </w:p>
        </w:tc>
      </w:tr>
      <w:tr w:rsidR="00A44F84" w:rsidRPr="008C2070" w14:paraId="1A8C344B" w14:textId="77777777" w:rsidTr="0007732F">
        <w:trPr>
          <w:trHeight w:val="1642"/>
        </w:trPr>
        <w:tc>
          <w:tcPr>
            <w:tcW w:w="1465" w:type="dxa"/>
            <w:vMerge w:val="restart"/>
            <w:tcBorders>
              <w:top w:val="single" w:sz="24" w:space="0" w:color="7F7F7F" w:themeColor="text1" w:themeTint="80"/>
              <w:left w:val="single" w:sz="8" w:space="0" w:color="D0CECE"/>
              <w:right w:val="single" w:sz="8" w:space="0" w:color="D9D9D9" w:themeColor="background1" w:themeShade="D9"/>
            </w:tcBorders>
            <w:shd w:val="clear" w:color="auto" w:fill="D0CECE" w:themeFill="background2" w:themeFillShade="E6"/>
          </w:tcPr>
          <w:p w14:paraId="14BB8DC1" w14:textId="77777777" w:rsidR="00A44F84" w:rsidRPr="008C2070" w:rsidRDefault="00A44F84" w:rsidP="008C2070">
            <w:pPr>
              <w:spacing w:before="60" w:after="60"/>
              <w:jc w:val="both"/>
              <w:rPr>
                <w:rFonts w:ascii="Times New Roman" w:hAnsi="Times New Roman" w:cs="Times New Roman"/>
                <w:b/>
                <w:bCs/>
                <w:lang w:val="es-ES"/>
              </w:rPr>
            </w:pPr>
          </w:p>
          <w:p w14:paraId="7A39EC4B" w14:textId="491A45D0" w:rsidR="00A44F84" w:rsidRPr="008C2070" w:rsidRDefault="00A44F84" w:rsidP="002D2FE0">
            <w:pPr>
              <w:spacing w:before="60" w:after="60"/>
              <w:jc w:val="center"/>
              <w:rPr>
                <w:rFonts w:ascii="Times New Roman" w:hAnsi="Times New Roman" w:cs="Times New Roman"/>
                <w:b/>
                <w:bCs/>
                <w:lang w:val="es-ES"/>
              </w:rPr>
            </w:pPr>
            <w:r w:rsidRPr="008C2070">
              <w:rPr>
                <w:rFonts w:ascii="Times New Roman" w:hAnsi="Times New Roman" w:cs="Times New Roman"/>
                <w:b/>
                <w:bCs/>
                <w:lang w:val="es-ES"/>
              </w:rPr>
              <w:t>De 2011 a la fecha</w:t>
            </w:r>
          </w:p>
        </w:tc>
        <w:tc>
          <w:tcPr>
            <w:tcW w:w="1638" w:type="dxa"/>
            <w:vMerge w:val="restart"/>
            <w:tcBorders>
              <w:top w:val="single" w:sz="24" w:space="0" w:color="7F7F7F" w:themeColor="text1" w:themeTint="80"/>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1B2AE884"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Autoridad responsable </w:t>
            </w:r>
          </w:p>
        </w:tc>
        <w:tc>
          <w:tcPr>
            <w:tcW w:w="2397" w:type="dxa"/>
            <w:vMerge w:val="restart"/>
            <w:tcBorders>
              <w:top w:val="single" w:sz="24" w:space="0" w:color="7F7F7F" w:themeColor="text1" w:themeTint="80"/>
              <w:left w:val="single" w:sz="8" w:space="0" w:color="D9D9D9" w:themeColor="background1" w:themeShade="D9"/>
              <w:right w:val="single" w:sz="8" w:space="0" w:color="D9D9D9" w:themeColor="background1" w:themeShade="D9"/>
            </w:tcBorders>
            <w:vAlign w:val="center"/>
          </w:tcPr>
          <w:p w14:paraId="5826DFC0"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Patrones normatividad relacionada con COVID-19 (2023761,</w:t>
            </w:r>
            <w:r w:rsidRPr="008C2070">
              <w:rPr>
                <w:rStyle w:val="Refdenotaalpie"/>
                <w:rFonts w:ascii="Times New Roman" w:hAnsi="Times New Roman" w:cs="Times New Roman"/>
                <w:lang w:val="es-ES"/>
              </w:rPr>
              <w:footnoteReference w:id="107"/>
            </w:r>
            <w:r w:rsidRPr="008C2070">
              <w:rPr>
                <w:rFonts w:ascii="Times New Roman" w:hAnsi="Times New Roman" w:cs="Times New Roman"/>
                <w:lang w:val="es-ES"/>
              </w:rPr>
              <w:t xml:space="preserve"> 2023762)</w:t>
            </w:r>
            <w:r w:rsidRPr="008C2070">
              <w:rPr>
                <w:rStyle w:val="Refdenotaalpie"/>
                <w:rFonts w:ascii="Times New Roman" w:hAnsi="Times New Roman" w:cs="Times New Roman"/>
                <w:lang w:val="es-ES"/>
              </w:rPr>
              <w:footnoteReference w:id="108"/>
            </w:r>
          </w:p>
        </w:tc>
        <w:tc>
          <w:tcPr>
            <w:tcW w:w="2556" w:type="dxa"/>
            <w:vMerge w:val="restart"/>
            <w:tcBorders>
              <w:top w:val="single" w:sz="24" w:space="0" w:color="7F7F7F" w:themeColor="text1" w:themeTint="80"/>
              <w:left w:val="single" w:sz="8" w:space="0" w:color="D9D9D9" w:themeColor="background1" w:themeShade="D9"/>
              <w:bottom w:val="single" w:sz="8" w:space="0" w:color="D9E2F3" w:themeColor="accent1" w:themeTint="33"/>
              <w:right w:val="single" w:sz="8" w:space="0" w:color="D9D9D9" w:themeColor="background1" w:themeShade="D9"/>
            </w:tcBorders>
            <w:vAlign w:val="center"/>
          </w:tcPr>
          <w:p w14:paraId="6662B3BF"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Las entidades patronales actúan como autoridad responsable equiparable al desatender la normativa, los mandatos administrativos o las recomendaciones de la Organización Mundial de la Salud (OMS), generados de manera extraordinaria para combatir la pandemia por el virus SARS-CoV2 (COVID-19), cuando niegan, impiden u omiten autorizar la ausencia al centro de trabajo de un trabajador en situación de vulnerabilidad en el contexto de la epidemia generada por la enfermedad citada, ya que ponen en riesgo los derechos humanos a la vida, a la salud y a la integridad personal de la parte trabajadora.</w:t>
            </w:r>
          </w:p>
        </w:tc>
        <w:tc>
          <w:tcPr>
            <w:tcW w:w="1408" w:type="dxa"/>
            <w:tcBorders>
              <w:top w:val="single" w:sz="24" w:space="0" w:color="7F7F7F" w:themeColor="text1" w:themeTint="80"/>
              <w:left w:val="single" w:sz="8" w:space="0" w:color="D9D9D9" w:themeColor="background1" w:themeShade="D9"/>
              <w:bottom w:val="single" w:sz="8" w:space="0" w:color="D9E2F3" w:themeColor="accent1" w:themeTint="33"/>
              <w:right w:val="single" w:sz="8" w:space="0" w:color="D9D9D9" w:themeColor="background1" w:themeShade="D9"/>
            </w:tcBorders>
            <w:shd w:val="clear" w:color="auto" w:fill="F2F2F2" w:themeFill="background1" w:themeFillShade="F2"/>
            <w:vAlign w:val="center"/>
          </w:tcPr>
          <w:p w14:paraId="73968EE9"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Acto reclamado</w:t>
            </w:r>
          </w:p>
        </w:tc>
        <w:tc>
          <w:tcPr>
            <w:tcW w:w="1859" w:type="dxa"/>
            <w:tcBorders>
              <w:top w:val="single" w:sz="24" w:space="0" w:color="7F7F7F" w:themeColor="text1" w:themeTint="80"/>
              <w:left w:val="single" w:sz="8" w:space="0" w:color="D9D9D9" w:themeColor="background1" w:themeShade="D9"/>
              <w:bottom w:val="single" w:sz="8" w:space="0" w:color="D9E2F3" w:themeColor="accent1" w:themeTint="33"/>
              <w:right w:val="single" w:sz="8" w:space="0" w:color="D9D9D9" w:themeColor="background1" w:themeShade="D9"/>
            </w:tcBorders>
            <w:vAlign w:val="center"/>
          </w:tcPr>
          <w:p w14:paraId="71F56964"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Análisis de tratados internacionales para determinar la constitucionalidad (2015427)</w:t>
            </w:r>
            <w:r w:rsidRPr="008C2070">
              <w:rPr>
                <w:rStyle w:val="Refdenotaalpie"/>
                <w:rFonts w:ascii="Times New Roman" w:hAnsi="Times New Roman" w:cs="Times New Roman"/>
                <w:lang w:val="es-ES"/>
              </w:rPr>
              <w:footnoteReference w:id="109"/>
            </w:r>
          </w:p>
        </w:tc>
        <w:tc>
          <w:tcPr>
            <w:tcW w:w="3419" w:type="dxa"/>
            <w:tcBorders>
              <w:top w:val="single" w:sz="24" w:space="0" w:color="7F7F7F" w:themeColor="text1" w:themeTint="80"/>
              <w:left w:val="single" w:sz="8" w:space="0" w:color="D9D9D9" w:themeColor="background1" w:themeShade="D9"/>
              <w:bottom w:val="single" w:sz="8" w:space="0" w:color="D9E2F3" w:themeColor="accent1" w:themeTint="33"/>
              <w:right w:val="single" w:sz="8" w:space="0" w:color="D9D9D9" w:themeColor="background1" w:themeShade="D9"/>
            </w:tcBorders>
            <w:vAlign w:val="center"/>
          </w:tcPr>
          <w:p w14:paraId="6ED91F21"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Si al analizar los derechos humanos que se estiman violados, es suficiente la previsión que al respecto contenga la Constitución Política de los Estados Unidos Mexicanos y, por tanto, basta el estudio que se realice del precepto de la Norma Suprema que los prevea, es innecesario considerar el contenido de los tratados o instrumentos internacionales al respecto. </w:t>
            </w:r>
          </w:p>
        </w:tc>
      </w:tr>
      <w:tr w:rsidR="00A44F84" w:rsidRPr="008C2070" w14:paraId="00D77798" w14:textId="77777777" w:rsidTr="0007732F">
        <w:trPr>
          <w:trHeight w:val="1642"/>
        </w:trPr>
        <w:tc>
          <w:tcPr>
            <w:tcW w:w="1465" w:type="dxa"/>
            <w:vMerge/>
            <w:tcBorders>
              <w:left w:val="single" w:sz="8" w:space="0" w:color="D0CECE"/>
              <w:bottom w:val="single" w:sz="8" w:space="0" w:color="D0CECE"/>
              <w:right w:val="single" w:sz="8" w:space="0" w:color="D9D9D9" w:themeColor="background1" w:themeShade="D9"/>
            </w:tcBorders>
            <w:shd w:val="clear" w:color="auto" w:fill="D0CECE" w:themeFill="background2" w:themeFillShade="E6"/>
          </w:tcPr>
          <w:p w14:paraId="0FBEEC1A" w14:textId="77777777" w:rsidR="00A44F84" w:rsidRPr="008C2070" w:rsidRDefault="00A44F84" w:rsidP="008C2070">
            <w:pPr>
              <w:spacing w:before="60" w:after="60"/>
              <w:jc w:val="both"/>
              <w:rPr>
                <w:rFonts w:ascii="Times New Roman" w:hAnsi="Times New Roman" w:cs="Times New Roman"/>
                <w:b/>
                <w:bCs/>
                <w:lang w:val="es-ES"/>
              </w:rPr>
            </w:pPr>
          </w:p>
        </w:tc>
        <w:tc>
          <w:tcPr>
            <w:tcW w:w="1638"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2A746688" w14:textId="77777777" w:rsidR="00A44F84" w:rsidRPr="008C2070" w:rsidRDefault="00A44F84" w:rsidP="008C2070">
            <w:pPr>
              <w:spacing w:before="60" w:after="60"/>
              <w:jc w:val="both"/>
              <w:rPr>
                <w:rFonts w:ascii="Times New Roman" w:hAnsi="Times New Roman" w:cs="Times New Roman"/>
                <w:lang w:val="es-ES"/>
              </w:rPr>
            </w:pPr>
          </w:p>
        </w:tc>
        <w:tc>
          <w:tcPr>
            <w:tcW w:w="2397"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E8E3504" w14:textId="77777777" w:rsidR="00A44F84" w:rsidRPr="008C2070" w:rsidRDefault="00A44F84" w:rsidP="008C2070">
            <w:pPr>
              <w:spacing w:before="60" w:after="60"/>
              <w:jc w:val="both"/>
              <w:rPr>
                <w:rFonts w:ascii="Times New Roman" w:hAnsi="Times New Roman" w:cs="Times New Roman"/>
                <w:lang w:val="es-ES"/>
              </w:rPr>
            </w:pPr>
          </w:p>
        </w:tc>
        <w:tc>
          <w:tcPr>
            <w:tcW w:w="2556" w:type="dxa"/>
            <w:vMerge/>
            <w:tcBorders>
              <w:top w:val="single" w:sz="8" w:space="0" w:color="D9E2F3" w:themeColor="accent1" w:themeTint="33"/>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094AA7A" w14:textId="77777777" w:rsidR="00A44F84" w:rsidRPr="008C2070" w:rsidRDefault="00A44F84" w:rsidP="008C2070">
            <w:pPr>
              <w:spacing w:before="60" w:after="60"/>
              <w:jc w:val="both"/>
              <w:rPr>
                <w:rFonts w:ascii="Times New Roman" w:hAnsi="Times New Roman" w:cs="Times New Roman"/>
                <w:lang w:val="es-ES"/>
              </w:rPr>
            </w:pPr>
          </w:p>
        </w:tc>
        <w:tc>
          <w:tcPr>
            <w:tcW w:w="1408" w:type="dxa"/>
            <w:vMerge w:val="restart"/>
            <w:tcBorders>
              <w:top w:val="single" w:sz="8" w:space="0" w:color="D9E2F3" w:themeColor="accent1" w:themeTint="33"/>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225CE3DD"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Suspensión definitiva/ plano</w:t>
            </w:r>
          </w:p>
        </w:tc>
        <w:tc>
          <w:tcPr>
            <w:tcW w:w="1859" w:type="dxa"/>
            <w:tcBorders>
              <w:top w:val="single" w:sz="8" w:space="0" w:color="D9E2F3" w:themeColor="accent1" w:themeTint="33"/>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609E4B15"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Etiquetado de alimentos. Suspensión de los preceptos de la NOM-051 (2023965)</w:t>
            </w:r>
            <w:r w:rsidRPr="008C2070">
              <w:rPr>
                <w:rStyle w:val="Refdenotaalpie"/>
                <w:rFonts w:ascii="Times New Roman" w:hAnsi="Times New Roman" w:cs="Times New Roman"/>
                <w:lang w:val="es-ES"/>
              </w:rPr>
              <w:footnoteReference w:id="110"/>
            </w:r>
          </w:p>
        </w:tc>
        <w:tc>
          <w:tcPr>
            <w:tcW w:w="3419" w:type="dxa"/>
            <w:tcBorders>
              <w:top w:val="single" w:sz="8" w:space="0" w:color="D9E2F3" w:themeColor="accent1" w:themeTint="33"/>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3B34E81"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Es improcedente conceder la suspensión definitiva contra los preceptos 4.1.5., 4.5.3.4.1., 7.1.3. y 7.1.4. de la modificación a la norma oficial mexicana citada, que regulan el etiquetado o sellos de advertencia y leyendas precautorias frontales para alimentos y bebidas no alcohólicas preenvasados, porque se causaría perjuicio al interés social y se contravendrían disposiciones de orden público.</w:t>
            </w:r>
          </w:p>
        </w:tc>
      </w:tr>
      <w:tr w:rsidR="00A44F84" w:rsidRPr="008C2070" w14:paraId="4F2415D3" w14:textId="77777777" w:rsidTr="0007732F">
        <w:trPr>
          <w:trHeight w:val="1120"/>
        </w:trPr>
        <w:tc>
          <w:tcPr>
            <w:tcW w:w="1465" w:type="dxa"/>
            <w:vMerge w:val="restart"/>
            <w:tcBorders>
              <w:top w:val="single" w:sz="8" w:space="0" w:color="D0CECE"/>
              <w:left w:val="single" w:sz="8" w:space="0" w:color="D0CECE"/>
              <w:right w:val="single" w:sz="8" w:space="0" w:color="D9D9D9" w:themeColor="background1" w:themeShade="D9"/>
            </w:tcBorders>
            <w:shd w:val="clear" w:color="auto" w:fill="D0CECE" w:themeFill="background2" w:themeFillShade="E6"/>
          </w:tcPr>
          <w:p w14:paraId="6513B5B1" w14:textId="77777777" w:rsidR="00A44F84" w:rsidRPr="008C2070" w:rsidRDefault="00A44F84" w:rsidP="008C2070">
            <w:pPr>
              <w:spacing w:before="60" w:after="60"/>
              <w:jc w:val="both"/>
              <w:rPr>
                <w:rFonts w:ascii="Times New Roman" w:hAnsi="Times New Roman" w:cs="Times New Roman"/>
                <w:b/>
                <w:bCs/>
                <w:lang w:val="es-ES"/>
              </w:rPr>
            </w:pPr>
          </w:p>
        </w:tc>
        <w:tc>
          <w:tcPr>
            <w:tcW w:w="1638"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402E3F56"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Suspensión definitiva</w:t>
            </w:r>
          </w:p>
        </w:tc>
        <w:tc>
          <w:tcPr>
            <w:tcW w:w="2397"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4940AB18"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Empleados (COVID-19) (2022736)</w:t>
            </w:r>
            <w:r w:rsidRPr="008C2070">
              <w:rPr>
                <w:rStyle w:val="Refdenotaalpie"/>
                <w:rFonts w:ascii="Times New Roman" w:hAnsi="Times New Roman" w:cs="Times New Roman"/>
                <w:lang w:val="es-ES"/>
              </w:rPr>
              <w:footnoteReference w:id="111"/>
            </w:r>
          </w:p>
        </w:tc>
        <w:tc>
          <w:tcPr>
            <w:tcW w:w="2556"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50F0A44A"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Procede concederla a los empleados del sector salud que formen parte de un grupo vulnerable durante el fenómeno de salud pública derivado del virus sars-cov2 (covid-19).</w:t>
            </w:r>
          </w:p>
        </w:tc>
        <w:tc>
          <w:tcPr>
            <w:tcW w:w="1408"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3ADB8C4A" w14:textId="77777777" w:rsidR="00A44F84" w:rsidRPr="008C2070" w:rsidRDefault="00A44F84" w:rsidP="008C2070">
            <w:pPr>
              <w:spacing w:before="60" w:after="60"/>
              <w:jc w:val="both"/>
              <w:rPr>
                <w:rFonts w:ascii="Times New Roman" w:hAnsi="Times New Roman" w:cs="Times New Roman"/>
                <w:lang w:val="es-ES"/>
              </w:rPr>
            </w:pPr>
          </w:p>
        </w:tc>
        <w:tc>
          <w:tcPr>
            <w:tcW w:w="185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3A1D1D2"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Discapacidad auditiva (2023093)</w:t>
            </w:r>
            <w:r w:rsidRPr="008C2070">
              <w:rPr>
                <w:rStyle w:val="Refdenotaalpie"/>
                <w:rFonts w:ascii="Times New Roman" w:hAnsi="Times New Roman" w:cs="Times New Roman"/>
                <w:lang w:val="es-ES"/>
              </w:rPr>
              <w:footnoteReference w:id="112"/>
            </w:r>
          </w:p>
        </w:tc>
        <w:tc>
          <w:tcPr>
            <w:tcW w:w="3419" w:type="dxa"/>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41FB1E16"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Procede conceder la suspensión definitiva con efectos restitutorios a una menor de edad con discapacidad auditiva, para que las autoridades responsables inicien inmediatamente un procedimiento para integrarla a un programa social acorde con su situación particular.</w:t>
            </w:r>
          </w:p>
          <w:p w14:paraId="59BDFFB1" w14:textId="77777777" w:rsidR="00A44F84" w:rsidRPr="008C2070" w:rsidRDefault="00A44F84" w:rsidP="008C2070">
            <w:pPr>
              <w:spacing w:before="60" w:after="60"/>
              <w:jc w:val="both"/>
              <w:rPr>
                <w:rFonts w:ascii="Times New Roman" w:hAnsi="Times New Roman" w:cs="Times New Roman"/>
                <w:lang w:val="es-ES"/>
              </w:rPr>
            </w:pPr>
          </w:p>
          <w:p w14:paraId="69071100"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Cita fuente internacional (Obervación General 9 Comité de los Derechos del Niño de la Organización de las Naciones Unidas, PIDESC, DUDH) </w:t>
            </w:r>
          </w:p>
        </w:tc>
      </w:tr>
      <w:tr w:rsidR="00A44F84" w:rsidRPr="008C2070" w14:paraId="0BCB0135" w14:textId="77777777" w:rsidTr="0007732F">
        <w:trPr>
          <w:trHeight w:val="1120"/>
        </w:trPr>
        <w:tc>
          <w:tcPr>
            <w:tcW w:w="1465" w:type="dxa"/>
            <w:vMerge/>
            <w:tcBorders>
              <w:left w:val="single" w:sz="8" w:space="0" w:color="D0CECE"/>
              <w:bottom w:val="single" w:sz="8" w:space="0" w:color="D0CECE"/>
              <w:right w:val="single" w:sz="8" w:space="0" w:color="D9D9D9" w:themeColor="background1" w:themeShade="D9"/>
            </w:tcBorders>
            <w:shd w:val="clear" w:color="auto" w:fill="D0CECE" w:themeFill="background2" w:themeFillShade="E6"/>
          </w:tcPr>
          <w:p w14:paraId="36661DEA" w14:textId="77777777" w:rsidR="00A44F84" w:rsidRPr="008C2070" w:rsidRDefault="00A44F84" w:rsidP="008C2070">
            <w:pPr>
              <w:spacing w:before="60" w:after="60"/>
              <w:jc w:val="both"/>
              <w:rPr>
                <w:rFonts w:ascii="Times New Roman" w:hAnsi="Times New Roman" w:cs="Times New Roman"/>
                <w:b/>
                <w:bCs/>
                <w:lang w:val="es-ES"/>
              </w:rPr>
            </w:pPr>
          </w:p>
        </w:tc>
        <w:tc>
          <w:tcPr>
            <w:tcW w:w="1638"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069660D2" w14:textId="77777777" w:rsidR="00A44F84" w:rsidRPr="008C2070" w:rsidRDefault="00A44F84" w:rsidP="008C2070">
            <w:pPr>
              <w:spacing w:before="60" w:after="60"/>
              <w:jc w:val="both"/>
              <w:rPr>
                <w:rFonts w:ascii="Times New Roman" w:hAnsi="Times New Roman" w:cs="Times New Roman"/>
                <w:lang w:val="es-ES"/>
              </w:rPr>
            </w:pPr>
          </w:p>
        </w:tc>
        <w:tc>
          <w:tcPr>
            <w:tcW w:w="2397"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20CFE5A" w14:textId="77777777" w:rsidR="00A44F84" w:rsidRPr="008C2070" w:rsidRDefault="00A44F84" w:rsidP="008C2070">
            <w:pPr>
              <w:spacing w:before="60" w:after="60"/>
              <w:jc w:val="both"/>
              <w:rPr>
                <w:rFonts w:ascii="Times New Roman" w:hAnsi="Times New Roman" w:cs="Times New Roman"/>
                <w:lang w:val="es-ES"/>
              </w:rPr>
            </w:pPr>
          </w:p>
        </w:tc>
        <w:tc>
          <w:tcPr>
            <w:tcW w:w="2556"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786A706" w14:textId="77777777" w:rsidR="00A44F84" w:rsidRPr="008C2070" w:rsidRDefault="00A44F84" w:rsidP="008C2070">
            <w:pPr>
              <w:spacing w:before="60" w:after="60"/>
              <w:jc w:val="both"/>
              <w:rPr>
                <w:rFonts w:ascii="Times New Roman" w:hAnsi="Times New Roman" w:cs="Times New Roman"/>
                <w:lang w:val="es-ES"/>
              </w:rPr>
            </w:pPr>
          </w:p>
        </w:tc>
        <w:tc>
          <w:tcPr>
            <w:tcW w:w="1408"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3C27355" w14:textId="77777777" w:rsidR="00A44F84" w:rsidRPr="008C2070" w:rsidRDefault="00A44F84" w:rsidP="008C2070">
            <w:pPr>
              <w:spacing w:before="60" w:after="60"/>
              <w:jc w:val="both"/>
              <w:rPr>
                <w:rFonts w:ascii="Times New Roman" w:hAnsi="Times New Roman" w:cs="Times New Roman"/>
                <w:lang w:val="es-ES"/>
              </w:rPr>
            </w:pPr>
          </w:p>
        </w:tc>
        <w:tc>
          <w:tcPr>
            <w:tcW w:w="185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5CF8222"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Reclamación afectación a la salud (2020283)</w:t>
            </w:r>
            <w:r w:rsidRPr="008C2070">
              <w:rPr>
                <w:rStyle w:val="Refdenotaalpie"/>
                <w:rFonts w:ascii="Times New Roman" w:hAnsi="Times New Roman" w:cs="Times New Roman"/>
                <w:lang w:val="es-ES"/>
              </w:rPr>
              <w:footnoteReference w:id="113"/>
            </w:r>
          </w:p>
        </w:tc>
        <w:tc>
          <w:tcPr>
            <w:tcW w:w="3419" w:type="dxa"/>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4C02EA9"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El derecho a la salud conlleva, entre otras, la obligación del Estado de brindar los servicios y prestaciones para garantizar el más alto nivel de protección a la salud de las personas (mediante atención médica, tratamiento, medicamentos, rehabilitación, otorgamiento de licencias médicas, etcétera). Por tanto, cuando en el amparo indirecto se reclame la omisión de otorgar los servicios médicos para el tratamiento de una enfermedad que pone en peligro la vida del quejoso, </w:t>
            </w:r>
            <w:r w:rsidRPr="008C2070">
              <w:rPr>
                <w:rFonts w:ascii="Times New Roman" w:hAnsi="Times New Roman" w:cs="Times New Roman"/>
                <w:lang w:val="es-ES"/>
              </w:rPr>
              <w:lastRenderedPageBreak/>
              <w:t>debe decretarse la suspensión de plano.</w:t>
            </w:r>
          </w:p>
        </w:tc>
      </w:tr>
      <w:tr w:rsidR="00A44F84" w:rsidRPr="008C2070" w14:paraId="35FDB0CB" w14:textId="77777777" w:rsidTr="0007732F">
        <w:trPr>
          <w:trHeight w:val="2520"/>
        </w:trPr>
        <w:tc>
          <w:tcPr>
            <w:tcW w:w="1465" w:type="dxa"/>
            <w:tcBorders>
              <w:top w:val="single" w:sz="8" w:space="0" w:color="D0CECE"/>
              <w:left w:val="single" w:sz="8" w:space="0" w:color="D0CECE"/>
              <w:bottom w:val="single" w:sz="8" w:space="0" w:color="D0CECE"/>
              <w:right w:val="single" w:sz="8" w:space="0" w:color="D9D9D9" w:themeColor="background1" w:themeShade="D9"/>
            </w:tcBorders>
            <w:shd w:val="clear" w:color="auto" w:fill="D0CECE" w:themeFill="background2" w:themeFillShade="E6"/>
          </w:tcPr>
          <w:p w14:paraId="05FA12D1" w14:textId="77777777" w:rsidR="00A44F84" w:rsidRPr="008C2070" w:rsidRDefault="00A44F84" w:rsidP="008C2070">
            <w:pPr>
              <w:spacing w:before="60" w:after="60"/>
              <w:jc w:val="both"/>
              <w:rPr>
                <w:rFonts w:ascii="Times New Roman" w:hAnsi="Times New Roman" w:cs="Times New Roman"/>
                <w:b/>
                <w:bCs/>
                <w:lang w:val="es-ES"/>
              </w:rPr>
            </w:pPr>
          </w:p>
        </w:tc>
        <w:tc>
          <w:tcPr>
            <w:tcW w:w="1638"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5B0971E" w14:textId="77777777" w:rsidR="00A44F84" w:rsidRPr="008C2070" w:rsidRDefault="00A44F84" w:rsidP="008C2070">
            <w:pPr>
              <w:spacing w:before="60" w:after="60"/>
              <w:jc w:val="both"/>
              <w:rPr>
                <w:rFonts w:ascii="Times New Roman" w:hAnsi="Times New Roman" w:cs="Times New Roman"/>
                <w:lang w:val="es-ES"/>
              </w:rPr>
            </w:pPr>
          </w:p>
        </w:tc>
        <w:tc>
          <w:tcPr>
            <w:tcW w:w="239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2A246C5"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Omisión equipo de protección (COVID-19) (2022253)</w:t>
            </w:r>
            <w:r w:rsidRPr="008C2070">
              <w:rPr>
                <w:rStyle w:val="Refdenotaalpie"/>
                <w:rFonts w:ascii="Times New Roman" w:hAnsi="Times New Roman" w:cs="Times New Roman"/>
                <w:lang w:val="es-ES"/>
              </w:rPr>
              <w:footnoteReference w:id="114"/>
            </w:r>
          </w:p>
          <w:p w14:paraId="6681CA7B" w14:textId="77777777" w:rsidR="00A44F84" w:rsidRPr="008C2070" w:rsidRDefault="00A44F84" w:rsidP="008C2070">
            <w:pPr>
              <w:spacing w:before="60" w:after="60"/>
              <w:jc w:val="both"/>
              <w:rPr>
                <w:rFonts w:ascii="Times New Roman" w:hAnsi="Times New Roman" w:cs="Times New Roman"/>
                <w:lang w:val="es-ES"/>
              </w:rPr>
            </w:pPr>
          </w:p>
        </w:tc>
        <w:tc>
          <w:tcPr>
            <w:tcW w:w="255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C41C580"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Cuando se reclama de las autoridades responsables la omisión de proveer al personal mencionado los insumos y equipo médico adecuados a efecto de tratar a la población en general, con la finalidad de contar con la protección personal correspondiente para no ser contagiados por el virus SARS-CoV2 (COVID-19), procede conceder la suspensión de oficio y de plano</w:t>
            </w:r>
          </w:p>
          <w:p w14:paraId="224279CC" w14:textId="77777777" w:rsidR="00A44F84" w:rsidRPr="008C2070" w:rsidRDefault="00A44F84" w:rsidP="008C2070">
            <w:pPr>
              <w:spacing w:before="60" w:after="60"/>
              <w:jc w:val="both"/>
              <w:rPr>
                <w:rFonts w:ascii="Times New Roman" w:hAnsi="Times New Roman" w:cs="Times New Roman"/>
                <w:lang w:val="es-ES"/>
              </w:rPr>
            </w:pPr>
          </w:p>
          <w:p w14:paraId="6B4746B9"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Cita fuente internacional: Resolución Número 1/2020, sobre la Pandemia y Derechos Humanos en las Américas (adoptada por la Comisión Interamericana de Derechos Humanos el diez de abril de dos mil veinte)</w:t>
            </w:r>
          </w:p>
          <w:p w14:paraId="28710937" w14:textId="77777777" w:rsidR="00A44F84" w:rsidRPr="008C2070" w:rsidRDefault="00A44F84" w:rsidP="008C2070">
            <w:pPr>
              <w:spacing w:before="60" w:after="60"/>
              <w:jc w:val="both"/>
              <w:rPr>
                <w:rFonts w:ascii="Times New Roman" w:hAnsi="Times New Roman" w:cs="Times New Roman"/>
                <w:lang w:val="es-ES"/>
              </w:rPr>
            </w:pPr>
          </w:p>
        </w:tc>
        <w:tc>
          <w:tcPr>
            <w:tcW w:w="1408"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137B4CF0"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lastRenderedPageBreak/>
              <w:t>Suspensión provisional</w:t>
            </w:r>
          </w:p>
        </w:tc>
        <w:tc>
          <w:tcPr>
            <w:tcW w:w="185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C435160"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Vacunación COVID-19 (2023921</w:t>
            </w:r>
            <w:r w:rsidRPr="008C2070">
              <w:rPr>
                <w:rStyle w:val="Refdenotaalpie"/>
                <w:rFonts w:ascii="Times New Roman" w:hAnsi="Times New Roman" w:cs="Times New Roman"/>
                <w:lang w:val="es-ES"/>
              </w:rPr>
              <w:footnoteReference w:id="115"/>
            </w:r>
            <w:r w:rsidRPr="008C2070">
              <w:rPr>
                <w:rFonts w:ascii="Times New Roman" w:hAnsi="Times New Roman" w:cs="Times New Roman"/>
                <w:lang w:val="es-ES"/>
              </w:rPr>
              <w:t>, 2023829)</w:t>
            </w:r>
            <w:r w:rsidRPr="008C2070">
              <w:rPr>
                <w:rStyle w:val="Refdenotaalpie"/>
                <w:rFonts w:ascii="Times New Roman" w:hAnsi="Times New Roman" w:cs="Times New Roman"/>
                <w:lang w:val="es-ES"/>
              </w:rPr>
              <w:footnoteReference w:id="116"/>
            </w:r>
          </w:p>
        </w:tc>
        <w:tc>
          <w:tcPr>
            <w:tcW w:w="3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D95C6F0"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Procede conceder la suspensión provisional contra la omisión de vacunar contra el virus SARS-CoV-2 para la prevención de la COVID-19 en nuestro país, a los menores de doce a diecisiete años de edad, porque no se sigue perjuicio al interés social ni se contravienen disposiciones de orden público.</w:t>
            </w:r>
          </w:p>
        </w:tc>
      </w:tr>
      <w:tr w:rsidR="00A44F84" w:rsidRPr="008C2070" w14:paraId="1ADCFC56" w14:textId="77777777" w:rsidTr="0007732F">
        <w:trPr>
          <w:trHeight w:val="2520"/>
        </w:trPr>
        <w:tc>
          <w:tcPr>
            <w:tcW w:w="1465" w:type="dxa"/>
            <w:vMerge w:val="restart"/>
            <w:tcBorders>
              <w:top w:val="single" w:sz="8" w:space="0" w:color="D0CECE"/>
              <w:left w:val="single" w:sz="8" w:space="0" w:color="D0CECE"/>
              <w:right w:val="single" w:sz="8" w:space="0" w:color="D9D9D9" w:themeColor="background1" w:themeShade="D9"/>
            </w:tcBorders>
            <w:shd w:val="clear" w:color="auto" w:fill="D0CECE" w:themeFill="background2" w:themeFillShade="E6"/>
          </w:tcPr>
          <w:p w14:paraId="607419C9" w14:textId="77777777" w:rsidR="00A44F84" w:rsidRPr="008C2070" w:rsidRDefault="00A44F84" w:rsidP="008C2070">
            <w:pPr>
              <w:spacing w:before="60" w:after="60"/>
              <w:jc w:val="both"/>
              <w:rPr>
                <w:rFonts w:ascii="Times New Roman" w:hAnsi="Times New Roman" w:cs="Times New Roman"/>
                <w:b/>
                <w:bCs/>
                <w:lang w:val="es-ES"/>
              </w:rPr>
            </w:pPr>
          </w:p>
        </w:tc>
        <w:tc>
          <w:tcPr>
            <w:tcW w:w="1638"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10E1D24"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Suspensión provisional </w:t>
            </w:r>
          </w:p>
        </w:tc>
        <w:tc>
          <w:tcPr>
            <w:tcW w:w="2397"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7580E835"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Entrega medicamentos (2022231)</w:t>
            </w:r>
            <w:r w:rsidRPr="008C2070">
              <w:rPr>
                <w:rStyle w:val="Refdenotaalpie"/>
                <w:rFonts w:ascii="Times New Roman" w:hAnsi="Times New Roman" w:cs="Times New Roman"/>
                <w:lang w:val="es-ES"/>
              </w:rPr>
              <w:footnoteReference w:id="117"/>
            </w:r>
          </w:p>
        </w:tc>
        <w:tc>
          <w:tcPr>
            <w:tcW w:w="2556"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6D593C4D"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 xml:space="preserve">Cuando se soliciten medicamentos fuera del Cuadro Básico o Compendio Nacional de Insumos, el Juez de Distrito debe conceder la suspensión provisional para el efecto de que los médicos de la Institución responsable, de inmediato, revisen la solicitud del promovente y certifiquen si el medicamento es el de mayor eficacia terapéutica, seguridad y eficiencia para el padecimiento del quejoso, comparado con otras alternativas que sí están incluidas en el Cuadro Básico o Compendio </w:t>
            </w:r>
            <w:r w:rsidRPr="008C2070">
              <w:rPr>
                <w:rFonts w:ascii="Times New Roman" w:hAnsi="Times New Roman" w:cs="Times New Roman"/>
                <w:lang w:val="es-ES"/>
              </w:rPr>
              <w:lastRenderedPageBreak/>
              <w:t>Nacional de Insumos para la Salud o en sus propios catálogos institucionales, y si la conclusión de ese análisis es que el medicamento solicitado es el mejor tratamiento para el paciente-quejoso, la Institución debe otorgarlo de inmediato-</w:t>
            </w:r>
          </w:p>
        </w:tc>
        <w:tc>
          <w:tcPr>
            <w:tcW w:w="1408"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136B4A57"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lastRenderedPageBreak/>
              <w:t xml:space="preserve">Reparación </w:t>
            </w:r>
          </w:p>
        </w:tc>
        <w:tc>
          <w:tcPr>
            <w:tcW w:w="185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60FA288"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Reparación de violaciones al derecho (2010420)</w:t>
            </w:r>
            <w:r w:rsidRPr="008C2070">
              <w:rPr>
                <w:rStyle w:val="Refdenotaalpie"/>
                <w:rFonts w:ascii="Times New Roman" w:hAnsi="Times New Roman" w:cs="Times New Roman"/>
                <w:lang w:val="es-ES"/>
              </w:rPr>
              <w:footnoteReference w:id="118"/>
            </w:r>
            <w:r w:rsidRPr="008C2070">
              <w:rPr>
                <w:rFonts w:ascii="Times New Roman" w:hAnsi="Times New Roman" w:cs="Times New Roman"/>
                <w:lang w:val="es-ES"/>
              </w:rPr>
              <w:t xml:space="preserve"> </w:t>
            </w:r>
          </w:p>
        </w:tc>
        <w:tc>
          <w:tcPr>
            <w:tcW w:w="3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0DAF459"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El derecho a la salud es una garantía fundamental e indispensable para el ejercicio de los demás derechos humanos. Así, una persona afectada en su salud a raíz de un accidente tiene derecho a una indemnización que la compense del daño sufrido, y para que ésta sea justa, su determinación depende del daño ocasionado.</w:t>
            </w:r>
          </w:p>
        </w:tc>
      </w:tr>
      <w:tr w:rsidR="00A44F84" w:rsidRPr="008C2070" w14:paraId="7F5252E7" w14:textId="77777777" w:rsidTr="0007732F">
        <w:trPr>
          <w:trHeight w:val="2520"/>
        </w:trPr>
        <w:tc>
          <w:tcPr>
            <w:tcW w:w="1465" w:type="dxa"/>
            <w:vMerge/>
            <w:tcBorders>
              <w:left w:val="single" w:sz="8" w:space="0" w:color="D0CECE"/>
              <w:bottom w:val="single" w:sz="8" w:space="0" w:color="D0CECE"/>
              <w:right w:val="single" w:sz="8" w:space="0" w:color="D9D9D9" w:themeColor="background1" w:themeShade="D9"/>
            </w:tcBorders>
            <w:shd w:val="clear" w:color="auto" w:fill="D0CECE" w:themeFill="background2" w:themeFillShade="E6"/>
          </w:tcPr>
          <w:p w14:paraId="2AC9286A" w14:textId="77777777" w:rsidR="00A44F84" w:rsidRPr="008C2070" w:rsidRDefault="00A44F84" w:rsidP="008C2070">
            <w:pPr>
              <w:spacing w:before="60" w:after="60"/>
              <w:jc w:val="both"/>
              <w:rPr>
                <w:rFonts w:ascii="Times New Roman" w:hAnsi="Times New Roman" w:cs="Times New Roman"/>
                <w:b/>
                <w:bCs/>
                <w:lang w:val="es-ES"/>
              </w:rPr>
            </w:pPr>
          </w:p>
        </w:tc>
        <w:tc>
          <w:tcPr>
            <w:tcW w:w="1638"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022034B1" w14:textId="77777777" w:rsidR="00A44F84" w:rsidRPr="008C2070" w:rsidRDefault="00A44F84" w:rsidP="008C2070">
            <w:pPr>
              <w:spacing w:before="60" w:after="60"/>
              <w:jc w:val="both"/>
              <w:rPr>
                <w:rFonts w:ascii="Times New Roman" w:hAnsi="Times New Roman" w:cs="Times New Roman"/>
                <w:lang w:val="es-ES"/>
              </w:rPr>
            </w:pPr>
          </w:p>
        </w:tc>
        <w:tc>
          <w:tcPr>
            <w:tcW w:w="2397"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8921709" w14:textId="77777777" w:rsidR="00A44F84" w:rsidRPr="008C2070" w:rsidRDefault="00A44F84" w:rsidP="008C2070">
            <w:pPr>
              <w:spacing w:before="60" w:after="60"/>
              <w:jc w:val="both"/>
              <w:rPr>
                <w:rFonts w:ascii="Times New Roman" w:hAnsi="Times New Roman" w:cs="Times New Roman"/>
                <w:lang w:val="es-ES"/>
              </w:rPr>
            </w:pPr>
          </w:p>
        </w:tc>
        <w:tc>
          <w:tcPr>
            <w:tcW w:w="2556"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78A789C" w14:textId="77777777" w:rsidR="00A44F84" w:rsidRPr="008C2070" w:rsidRDefault="00A44F84" w:rsidP="008C2070">
            <w:pPr>
              <w:spacing w:before="60" w:after="60"/>
              <w:jc w:val="both"/>
              <w:rPr>
                <w:rFonts w:ascii="Times New Roman" w:hAnsi="Times New Roman" w:cs="Times New Roman"/>
                <w:lang w:val="es-ES"/>
              </w:rPr>
            </w:pPr>
          </w:p>
        </w:tc>
        <w:tc>
          <w:tcPr>
            <w:tcW w:w="1408"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641B5F6" w14:textId="77777777" w:rsidR="00A44F84" w:rsidRPr="008C2070" w:rsidRDefault="00A44F84" w:rsidP="008C2070">
            <w:pPr>
              <w:spacing w:before="60" w:after="60"/>
              <w:jc w:val="both"/>
              <w:rPr>
                <w:rFonts w:ascii="Times New Roman" w:hAnsi="Times New Roman" w:cs="Times New Roman"/>
                <w:lang w:val="es-ES"/>
              </w:rPr>
            </w:pPr>
          </w:p>
        </w:tc>
        <w:tc>
          <w:tcPr>
            <w:tcW w:w="185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1EE8E8A" w14:textId="77777777" w:rsidR="00A44F84" w:rsidRPr="008C2070" w:rsidRDefault="00A44F84" w:rsidP="008C2070">
            <w:pPr>
              <w:spacing w:before="60" w:after="60"/>
              <w:jc w:val="both"/>
              <w:rPr>
                <w:rFonts w:ascii="Times New Roman" w:hAnsi="Times New Roman" w:cs="Times New Roman"/>
                <w:lang w:val="es-ES"/>
              </w:rPr>
            </w:pPr>
          </w:p>
        </w:tc>
        <w:tc>
          <w:tcPr>
            <w:tcW w:w="3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7DEF463" w14:textId="77777777" w:rsidR="00A44F84" w:rsidRPr="008C2070" w:rsidRDefault="00A44F84" w:rsidP="008C2070">
            <w:pPr>
              <w:spacing w:before="60" w:after="60"/>
              <w:jc w:val="both"/>
              <w:rPr>
                <w:rFonts w:ascii="Times New Roman" w:hAnsi="Times New Roman" w:cs="Times New Roman"/>
                <w:lang w:val="es-ES"/>
              </w:rPr>
            </w:pPr>
          </w:p>
        </w:tc>
      </w:tr>
      <w:tr w:rsidR="00A44F84" w:rsidRPr="008C2070" w14:paraId="583E5D0B" w14:textId="77777777" w:rsidTr="0007732F">
        <w:trPr>
          <w:trHeight w:val="1508"/>
        </w:trPr>
        <w:tc>
          <w:tcPr>
            <w:tcW w:w="1465" w:type="dxa"/>
            <w:vMerge w:val="restart"/>
            <w:tcBorders>
              <w:top w:val="single" w:sz="8" w:space="0" w:color="D0CECE"/>
              <w:left w:val="single" w:sz="8" w:space="0" w:color="D0CECE"/>
              <w:right w:val="single" w:sz="8" w:space="0" w:color="D9D9D9" w:themeColor="background1" w:themeShade="D9"/>
            </w:tcBorders>
            <w:shd w:val="clear" w:color="auto" w:fill="D0CECE" w:themeFill="background2" w:themeFillShade="E6"/>
          </w:tcPr>
          <w:p w14:paraId="14437011" w14:textId="77777777" w:rsidR="00A44F84" w:rsidRPr="008C2070" w:rsidRDefault="00A44F84" w:rsidP="008C2070">
            <w:pPr>
              <w:spacing w:before="60" w:after="60"/>
              <w:jc w:val="both"/>
              <w:rPr>
                <w:rFonts w:ascii="Times New Roman" w:hAnsi="Times New Roman" w:cs="Times New Roman"/>
                <w:b/>
                <w:bCs/>
                <w:lang w:val="es-ES"/>
              </w:rPr>
            </w:pPr>
          </w:p>
        </w:tc>
        <w:tc>
          <w:tcPr>
            <w:tcW w:w="1638"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7A2EF14C" w14:textId="77777777" w:rsidR="00A44F84" w:rsidRPr="008C2070" w:rsidRDefault="00A44F84" w:rsidP="008C2070">
            <w:pPr>
              <w:spacing w:before="60" w:after="60"/>
              <w:jc w:val="both"/>
              <w:rPr>
                <w:rFonts w:ascii="Times New Roman" w:hAnsi="Times New Roman" w:cs="Times New Roman"/>
                <w:lang w:val="es-ES"/>
              </w:rPr>
            </w:pPr>
          </w:p>
        </w:tc>
        <w:tc>
          <w:tcPr>
            <w:tcW w:w="2397"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75EBE87E" w14:textId="77777777" w:rsidR="00A44F84" w:rsidRPr="008C2070" w:rsidRDefault="00A44F84" w:rsidP="008C2070">
            <w:pPr>
              <w:spacing w:before="60" w:after="60"/>
              <w:jc w:val="both"/>
              <w:rPr>
                <w:rFonts w:ascii="Times New Roman" w:hAnsi="Times New Roman" w:cs="Times New Roman"/>
                <w:lang w:val="es-ES"/>
              </w:rPr>
            </w:pPr>
          </w:p>
        </w:tc>
        <w:tc>
          <w:tcPr>
            <w:tcW w:w="2556" w:type="dxa"/>
            <w:vMerge w:val="restart"/>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76431B96" w14:textId="77777777" w:rsidR="00A44F84" w:rsidRPr="008C2070" w:rsidRDefault="00A44F84" w:rsidP="008C2070">
            <w:pPr>
              <w:spacing w:before="60" w:after="60"/>
              <w:jc w:val="both"/>
              <w:rPr>
                <w:rFonts w:ascii="Times New Roman" w:hAnsi="Times New Roman" w:cs="Times New Roman"/>
                <w:lang w:val="es-ES"/>
              </w:rPr>
            </w:pPr>
          </w:p>
        </w:tc>
        <w:tc>
          <w:tcPr>
            <w:tcW w:w="1408"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07864667" w14:textId="77777777" w:rsidR="00A44F84" w:rsidRPr="008C2070" w:rsidRDefault="00A44F84" w:rsidP="008C2070">
            <w:pPr>
              <w:spacing w:before="60" w:after="60"/>
              <w:jc w:val="both"/>
              <w:rPr>
                <w:rFonts w:ascii="Times New Roman" w:hAnsi="Times New Roman" w:cs="Times New Roman"/>
                <w:lang w:val="es-ES"/>
              </w:rPr>
            </w:pPr>
          </w:p>
        </w:tc>
        <w:tc>
          <w:tcPr>
            <w:tcW w:w="185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547891A" w14:textId="77777777" w:rsidR="00A44F84" w:rsidRPr="008C2070" w:rsidRDefault="00A44F84" w:rsidP="008C2070">
            <w:pPr>
              <w:spacing w:before="60" w:after="60"/>
              <w:jc w:val="both"/>
              <w:rPr>
                <w:rFonts w:ascii="Times New Roman" w:hAnsi="Times New Roman" w:cs="Times New Roman"/>
                <w:lang w:val="es-ES"/>
              </w:rPr>
            </w:pPr>
          </w:p>
        </w:tc>
        <w:tc>
          <w:tcPr>
            <w:tcW w:w="3419" w:type="dxa"/>
            <w:tcBorders>
              <w:top w:val="single" w:sz="8" w:space="0" w:color="D9D9D9" w:themeColor="background1" w:themeShade="D9"/>
              <w:left w:val="single" w:sz="8" w:space="0" w:color="D9D9D9" w:themeColor="background1" w:themeShade="D9"/>
              <w:right w:val="single" w:sz="8" w:space="0" w:color="D9D9D9" w:themeColor="background1" w:themeShade="D9"/>
            </w:tcBorders>
            <w:vAlign w:val="center"/>
          </w:tcPr>
          <w:p w14:paraId="64638050" w14:textId="77777777" w:rsidR="00A44F84" w:rsidRPr="008C2070" w:rsidRDefault="00A44F84" w:rsidP="008C2070">
            <w:pPr>
              <w:spacing w:before="60" w:after="60"/>
              <w:jc w:val="both"/>
              <w:rPr>
                <w:rFonts w:ascii="Times New Roman" w:hAnsi="Times New Roman" w:cs="Times New Roman"/>
                <w:lang w:val="es-ES"/>
              </w:rPr>
            </w:pPr>
          </w:p>
        </w:tc>
      </w:tr>
      <w:tr w:rsidR="00A44F84" w:rsidRPr="008C2070" w14:paraId="4C093208" w14:textId="77777777" w:rsidTr="0007732F">
        <w:trPr>
          <w:trHeight w:val="1507"/>
        </w:trPr>
        <w:tc>
          <w:tcPr>
            <w:tcW w:w="1465" w:type="dxa"/>
            <w:vMerge/>
            <w:tcBorders>
              <w:left w:val="single" w:sz="8" w:space="0" w:color="D0CECE"/>
              <w:bottom w:val="single" w:sz="8" w:space="0" w:color="D0CECE"/>
              <w:right w:val="single" w:sz="8" w:space="0" w:color="D9D9D9" w:themeColor="background1" w:themeShade="D9"/>
            </w:tcBorders>
            <w:shd w:val="clear" w:color="auto" w:fill="D0CECE" w:themeFill="background2" w:themeFillShade="E6"/>
          </w:tcPr>
          <w:p w14:paraId="6B8462FC" w14:textId="77777777" w:rsidR="00A44F84" w:rsidRPr="008C2070" w:rsidRDefault="00A44F84" w:rsidP="008C2070">
            <w:pPr>
              <w:spacing w:before="60" w:after="60"/>
              <w:jc w:val="both"/>
              <w:rPr>
                <w:rFonts w:ascii="Times New Roman" w:hAnsi="Times New Roman" w:cs="Times New Roman"/>
                <w:b/>
                <w:bCs/>
                <w:lang w:val="es-ES"/>
              </w:rPr>
            </w:pPr>
          </w:p>
        </w:tc>
        <w:tc>
          <w:tcPr>
            <w:tcW w:w="1638"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50D63E47" w14:textId="77777777" w:rsidR="00A44F84" w:rsidRPr="008C2070" w:rsidRDefault="00A44F84" w:rsidP="008C2070">
            <w:pPr>
              <w:spacing w:before="60" w:after="60"/>
              <w:jc w:val="both"/>
              <w:rPr>
                <w:rFonts w:ascii="Times New Roman" w:hAnsi="Times New Roman" w:cs="Times New Roman"/>
                <w:lang w:val="es-ES"/>
              </w:rPr>
            </w:pPr>
          </w:p>
        </w:tc>
        <w:tc>
          <w:tcPr>
            <w:tcW w:w="2397"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62016D0" w14:textId="77777777" w:rsidR="00A44F84" w:rsidRPr="008C2070" w:rsidRDefault="00A44F84" w:rsidP="008C2070">
            <w:pPr>
              <w:spacing w:before="60" w:after="60"/>
              <w:jc w:val="both"/>
              <w:rPr>
                <w:rFonts w:ascii="Times New Roman" w:hAnsi="Times New Roman" w:cs="Times New Roman"/>
                <w:lang w:val="es-ES"/>
              </w:rPr>
            </w:pPr>
          </w:p>
        </w:tc>
        <w:tc>
          <w:tcPr>
            <w:tcW w:w="2556" w:type="dxa"/>
            <w:vMerge/>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8180E6A" w14:textId="77777777" w:rsidR="00A44F84" w:rsidRPr="008C2070" w:rsidRDefault="00A44F84" w:rsidP="008C2070">
            <w:pPr>
              <w:spacing w:before="60" w:after="60"/>
              <w:jc w:val="both"/>
              <w:rPr>
                <w:rFonts w:ascii="Times New Roman" w:hAnsi="Times New Roman" w:cs="Times New Roman"/>
                <w:lang w:val="es-ES"/>
              </w:rPr>
            </w:pPr>
          </w:p>
        </w:tc>
        <w:tc>
          <w:tcPr>
            <w:tcW w:w="1408" w:type="dxa"/>
            <w:vMerge/>
            <w:tcBorders>
              <w:left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2DEDE515" w14:textId="77777777" w:rsidR="00A44F84" w:rsidRPr="008C2070" w:rsidRDefault="00A44F84" w:rsidP="008C2070">
            <w:pPr>
              <w:spacing w:before="60" w:after="60"/>
              <w:jc w:val="both"/>
              <w:rPr>
                <w:rFonts w:ascii="Times New Roman" w:hAnsi="Times New Roman" w:cs="Times New Roman"/>
                <w:lang w:val="es-ES"/>
              </w:rPr>
            </w:pPr>
          </w:p>
        </w:tc>
        <w:tc>
          <w:tcPr>
            <w:tcW w:w="185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A7A11AD"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Reparación integral violaciones derecho a la salud (2001745)</w:t>
            </w:r>
            <w:r w:rsidRPr="008C2070">
              <w:rPr>
                <w:rStyle w:val="Refdenotaalpie"/>
                <w:rFonts w:ascii="Times New Roman" w:hAnsi="Times New Roman" w:cs="Times New Roman"/>
                <w:lang w:val="es-ES"/>
              </w:rPr>
              <w:footnoteReference w:id="119"/>
            </w:r>
          </w:p>
        </w:tc>
        <w:tc>
          <w:tcPr>
            <w:tcW w:w="3419" w:type="dxa"/>
            <w:tcBorders>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804D26B"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Así, una persona afectada en su salud a raíz de un accidente tiene derecho a una indemnización que la compense del daño sufrido, y para que ésta sea justa, su determinación depende del daño ocasionado; en este sentido, el derecho moderno de daños mira a la naturaleza y extensión del daño, a las víctimas y no a los victimarios, por lo que las reparaciones no deben generar una ganancia a la víctima, sino otorgarle un resarcimiento adecuado.</w:t>
            </w:r>
          </w:p>
        </w:tc>
      </w:tr>
      <w:tr w:rsidR="00A44F84" w:rsidRPr="008C2070" w14:paraId="54932E9B" w14:textId="77777777" w:rsidTr="0007732F">
        <w:trPr>
          <w:trHeight w:val="2520"/>
        </w:trPr>
        <w:tc>
          <w:tcPr>
            <w:tcW w:w="1465" w:type="dxa"/>
            <w:tcBorders>
              <w:top w:val="single" w:sz="8" w:space="0" w:color="D0CECE"/>
              <w:left w:val="single" w:sz="8" w:space="0" w:color="D0CECE"/>
              <w:bottom w:val="single" w:sz="8" w:space="0" w:color="D0CECE"/>
              <w:right w:val="single" w:sz="8" w:space="0" w:color="D9D9D9" w:themeColor="background1" w:themeShade="D9"/>
            </w:tcBorders>
            <w:shd w:val="clear" w:color="auto" w:fill="D0CECE" w:themeFill="background2" w:themeFillShade="E6"/>
          </w:tcPr>
          <w:p w14:paraId="17D12A9C" w14:textId="77777777" w:rsidR="00A44F84" w:rsidRPr="008C2070" w:rsidRDefault="00A44F84" w:rsidP="008C2070">
            <w:pPr>
              <w:spacing w:before="60" w:after="60"/>
              <w:jc w:val="both"/>
              <w:rPr>
                <w:rFonts w:ascii="Times New Roman" w:hAnsi="Times New Roman" w:cs="Times New Roman"/>
                <w:b/>
                <w:bCs/>
                <w:lang w:val="es-ES"/>
              </w:rPr>
            </w:pPr>
          </w:p>
        </w:tc>
        <w:tc>
          <w:tcPr>
            <w:tcW w:w="1638"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4E5C6402" w14:textId="77777777" w:rsidR="00A44F84" w:rsidRPr="008C2070" w:rsidRDefault="00A44F84" w:rsidP="008C2070">
            <w:pPr>
              <w:spacing w:before="60" w:after="60"/>
              <w:jc w:val="both"/>
              <w:rPr>
                <w:rFonts w:ascii="Times New Roman" w:hAnsi="Times New Roman" w:cs="Times New Roman"/>
                <w:lang w:val="es-ES"/>
              </w:rPr>
            </w:pPr>
          </w:p>
        </w:tc>
        <w:tc>
          <w:tcPr>
            <w:tcW w:w="2397"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975898D" w14:textId="77777777" w:rsidR="00A44F84" w:rsidRPr="008C2070" w:rsidRDefault="00A44F84" w:rsidP="008C2070">
            <w:pPr>
              <w:spacing w:before="60" w:after="60"/>
              <w:jc w:val="both"/>
              <w:rPr>
                <w:rFonts w:ascii="Times New Roman" w:hAnsi="Times New Roman" w:cs="Times New Roman"/>
                <w:lang w:val="es-ES"/>
              </w:rPr>
            </w:pPr>
          </w:p>
        </w:tc>
        <w:tc>
          <w:tcPr>
            <w:tcW w:w="255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D2AC47C" w14:textId="77777777" w:rsidR="00A44F84" w:rsidRPr="008C2070" w:rsidRDefault="00A44F84" w:rsidP="008C2070">
            <w:pPr>
              <w:spacing w:before="60" w:after="60"/>
              <w:jc w:val="both"/>
              <w:rPr>
                <w:rFonts w:ascii="Times New Roman" w:hAnsi="Times New Roman" w:cs="Times New Roman"/>
                <w:lang w:val="es-ES"/>
              </w:rPr>
            </w:pPr>
          </w:p>
        </w:tc>
        <w:tc>
          <w:tcPr>
            <w:tcW w:w="1408" w:type="dxa"/>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2CC08FDB"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Definitividad juicio de amparo</w:t>
            </w:r>
          </w:p>
        </w:tc>
        <w:tc>
          <w:tcPr>
            <w:tcW w:w="185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25B90FC"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Actos que afectan derechos fundamentales (2017338)</w:t>
            </w:r>
            <w:r w:rsidRPr="008C2070">
              <w:rPr>
                <w:rStyle w:val="Refdenotaalpie"/>
                <w:rFonts w:ascii="Times New Roman" w:hAnsi="Times New Roman" w:cs="Times New Roman"/>
                <w:lang w:val="es-ES"/>
              </w:rPr>
              <w:footnoteReference w:id="120"/>
            </w:r>
          </w:p>
        </w:tc>
        <w:tc>
          <w:tcPr>
            <w:tcW w:w="34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DD5F7E0" w14:textId="77777777" w:rsidR="00A44F84" w:rsidRPr="008C2070" w:rsidRDefault="00A44F84" w:rsidP="008C2070">
            <w:pPr>
              <w:spacing w:before="60" w:after="60"/>
              <w:jc w:val="both"/>
              <w:rPr>
                <w:rFonts w:ascii="Times New Roman" w:hAnsi="Times New Roman" w:cs="Times New Roman"/>
                <w:lang w:val="es-ES"/>
              </w:rPr>
            </w:pPr>
            <w:r w:rsidRPr="008C2070">
              <w:rPr>
                <w:rFonts w:ascii="Times New Roman" w:hAnsi="Times New Roman" w:cs="Times New Roman"/>
                <w:lang w:val="es-ES"/>
              </w:rPr>
              <w:t>Reconoce los derechos fundamentales de la persona a la salud, alimentación, agua, vivienda digna, entre otros, y prevé el juicio de amparo como garantía de su efectividad. De lo anterior se concluye que se trata de derechos a los que, constitucionalmente, se les otorga una mayor entidad, por su relación con la dignidad y subsistencia humanas. Consecuentemente, la impugnación en el amparo de actos que afectan o puedan afectarlos, debe considerarse una violación directa a derechos humanos fundamentales, lo que actualiza una excepción al principio de definitividad,</w:t>
            </w:r>
          </w:p>
        </w:tc>
      </w:tr>
    </w:tbl>
    <w:p w14:paraId="694C5555" w14:textId="1D09B889" w:rsidR="00F85459" w:rsidRPr="008C2070" w:rsidRDefault="00F85459" w:rsidP="008C2070">
      <w:pPr>
        <w:spacing w:beforeLines="120" w:before="288" w:afterLines="120" w:after="288" w:line="276" w:lineRule="auto"/>
        <w:jc w:val="both"/>
        <w:rPr>
          <w:rFonts w:ascii="Times New Roman" w:hAnsi="Times New Roman" w:cs="Times New Roman"/>
          <w:sz w:val="24"/>
          <w:szCs w:val="24"/>
        </w:rPr>
      </w:pPr>
    </w:p>
    <w:sectPr w:rsidR="00F85459" w:rsidRPr="008C2070" w:rsidSect="00E90EB7">
      <w:pgSz w:w="15840" w:h="12240" w:orient="landscape"/>
      <w:pgMar w:top="1701" w:right="1417" w:bottom="1701"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obo Armijo María Fernanda" w:date="2022-02-03T15:17:00Z" w:initials="CAMF">
    <w:p w14:paraId="63DBB068" w14:textId="77777777" w:rsidR="00B54B95" w:rsidRDefault="00B54B95" w:rsidP="008A27A6">
      <w:pPr>
        <w:pStyle w:val="Textocomentario"/>
      </w:pPr>
      <w:r>
        <w:rPr>
          <w:rStyle w:val="Refdecomentario"/>
        </w:rPr>
        <w:annotationRef/>
      </w:r>
      <w:r>
        <w:t>¿Pam qué es esto? ¿Puedes por favor complementarlo de manera adecuada y que los demás lo entiendan? jajajaja</w:t>
      </w:r>
    </w:p>
  </w:comment>
  <w:comment w:id="2" w:author="Cobo Armijo María Fernanda" w:date="2022-02-03T19:28:00Z" w:initials="CAMF">
    <w:p w14:paraId="1ED5DCA7" w14:textId="77777777" w:rsidR="00B54B95" w:rsidRDefault="00B54B95" w:rsidP="008A27A6">
      <w:pPr>
        <w:pStyle w:val="Textocomentario"/>
      </w:pPr>
      <w:r>
        <w:rPr>
          <w:rStyle w:val="Refdecomentario"/>
        </w:rPr>
        <w:annotationRef/>
      </w:r>
      <w:r>
        <w:t xml:space="preserve">Pamsi puedes revisar todo este párrafo y compelemntar </w:t>
      </w:r>
    </w:p>
  </w:comment>
  <w:comment w:id="3" w:author="Cobo Armijo María Fernanda" w:date="2022-02-03T19:28:00Z" w:initials="CAMF">
    <w:p w14:paraId="0C4EC9FB" w14:textId="77777777" w:rsidR="00B54B95" w:rsidRDefault="00B54B95" w:rsidP="008A27A6">
      <w:pPr>
        <w:pStyle w:val="Textocomentario"/>
      </w:pPr>
      <w:r>
        <w:rPr>
          <w:rStyle w:val="Refdecomentario"/>
        </w:rPr>
        <w:annotationRef/>
      </w:r>
      <w:r>
        <w:t xml:space="preserve">Pamsi puedes revisar fechas please </w:t>
      </w:r>
    </w:p>
  </w:comment>
  <w:comment w:id="4" w:author="YESSICA PAMELA FLORES SUBIAS" w:date="2022-02-04T14:17:00Z" w:initials="YPFS">
    <w:p w14:paraId="492A5E9C" w14:textId="4C53C131" w:rsidR="00B54B95" w:rsidRDefault="00B54B95">
      <w:pPr>
        <w:pStyle w:val="Textocomentario"/>
      </w:pPr>
      <w:r>
        <w:rPr>
          <w:rStyle w:val="Refdecomentario"/>
        </w:rPr>
        <w:annotationRef/>
      </w:r>
      <w:r>
        <w:t>Si son las fechas. Ya lo corroboré</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3DBB068" w15:done="1"/>
  <w15:commentEx w15:paraId="1ED5DCA7" w15:done="1"/>
  <w15:commentEx w15:paraId="0C4EC9FB" w15:done="1"/>
  <w15:commentEx w15:paraId="492A5E9C" w15:paraIdParent="0C4EC9F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67073" w16cex:dateUtc="2022-02-03T21:17:00Z"/>
  <w16cex:commentExtensible w16cex:durableId="25A6AB64" w16cex:dateUtc="2022-02-04T01:28:00Z"/>
  <w16cex:commentExtensible w16cex:durableId="25A6AB72" w16cex:dateUtc="2022-02-04T01:28:00Z"/>
  <w16cex:commentExtensible w16cex:durableId="25A7B40A" w16cex:dateUtc="2022-02-04T20: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DBB068" w16cid:durableId="25A67073"/>
  <w16cid:commentId w16cid:paraId="1ED5DCA7" w16cid:durableId="25A6AB64"/>
  <w16cid:commentId w16cid:paraId="0C4EC9FB" w16cid:durableId="25A6AB72"/>
  <w16cid:commentId w16cid:paraId="492A5E9C" w16cid:durableId="25A7B40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10182" w14:textId="77777777" w:rsidR="002A2BD1" w:rsidRDefault="002A2BD1" w:rsidP="00496F72">
      <w:pPr>
        <w:spacing w:after="0" w:line="240" w:lineRule="auto"/>
      </w:pPr>
      <w:r>
        <w:separator/>
      </w:r>
    </w:p>
  </w:endnote>
  <w:endnote w:type="continuationSeparator" w:id="0">
    <w:p w14:paraId="141E0AF4" w14:textId="77777777" w:rsidR="002A2BD1" w:rsidRDefault="002A2BD1" w:rsidP="00496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7824389"/>
      <w:docPartObj>
        <w:docPartGallery w:val="Page Numbers (Bottom of Page)"/>
        <w:docPartUnique/>
      </w:docPartObj>
    </w:sdtPr>
    <w:sdtEndPr/>
    <w:sdtContent>
      <w:p w14:paraId="13528130" w14:textId="55EEBB05" w:rsidR="00B54B95" w:rsidRDefault="00B54B95">
        <w:pPr>
          <w:pStyle w:val="Piedepgina"/>
          <w:jc w:val="right"/>
        </w:pPr>
        <w:r>
          <w:fldChar w:fldCharType="begin"/>
        </w:r>
        <w:r>
          <w:instrText>PAGE   \* MERGEFORMAT</w:instrText>
        </w:r>
        <w:r>
          <w:fldChar w:fldCharType="separate"/>
        </w:r>
        <w:r w:rsidR="00820F23" w:rsidRPr="00820F23">
          <w:rPr>
            <w:noProof/>
            <w:lang w:val="es-ES"/>
          </w:rPr>
          <w:t>1</w:t>
        </w:r>
        <w:r>
          <w:fldChar w:fldCharType="end"/>
        </w:r>
      </w:p>
    </w:sdtContent>
  </w:sdt>
  <w:p w14:paraId="5F6AD0E9" w14:textId="77777777" w:rsidR="00B54B95" w:rsidRDefault="00B54B9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1C293" w14:textId="77777777" w:rsidR="002A2BD1" w:rsidRDefault="002A2BD1" w:rsidP="00496F72">
      <w:pPr>
        <w:spacing w:after="0" w:line="240" w:lineRule="auto"/>
      </w:pPr>
      <w:r>
        <w:separator/>
      </w:r>
    </w:p>
  </w:footnote>
  <w:footnote w:type="continuationSeparator" w:id="0">
    <w:p w14:paraId="0117357D" w14:textId="77777777" w:rsidR="002A2BD1" w:rsidRDefault="002A2BD1" w:rsidP="00496F72">
      <w:pPr>
        <w:spacing w:after="0" w:line="240" w:lineRule="auto"/>
      </w:pPr>
      <w:r>
        <w:continuationSeparator/>
      </w:r>
    </w:p>
  </w:footnote>
  <w:footnote w:id="1">
    <w:p w14:paraId="0E66240A" w14:textId="2E8A1BFF"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Agradecimientos a la Lic. Pamela Flores Subias por su invaluable apoyo en la investigación relacionada con este trabajo y al Mtro. Salvador Guerrero por sus enriquecedoras y retadoras pláticas y retroalimentación. </w:t>
      </w:r>
    </w:p>
  </w:footnote>
  <w:footnote w:id="2">
    <w:p w14:paraId="41053D3D" w14:textId="68302DFB"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Cfr. Con lo mencionado en Lancheros, Gámez, Juan Carlos, 2009, </w:t>
      </w:r>
      <w:r w:rsidRPr="008C2070">
        <w:rPr>
          <w:rFonts w:ascii="Times New Roman" w:hAnsi="Times New Roman" w:cs="Times New Roman"/>
          <w:i/>
          <w:iCs/>
        </w:rPr>
        <w:t>Del Estado Liberal al Estado Constitucional. Implicaciones en la Comprensión de la Dignidad Humana</w:t>
      </w:r>
      <w:r w:rsidRPr="008C2070">
        <w:rPr>
          <w:rFonts w:ascii="Times New Roman" w:hAnsi="Times New Roman" w:cs="Times New Roman"/>
        </w:rPr>
        <w:t xml:space="preserve">, Díkaion, núm. 18, diciembre. </w:t>
      </w:r>
    </w:p>
  </w:footnote>
  <w:footnote w:id="3">
    <w:p w14:paraId="1C5C2775" w14:textId="1B55C0CB"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Salazar Ugarte, Pedro, </w:t>
      </w:r>
      <w:r w:rsidRPr="008C2070">
        <w:rPr>
          <w:rFonts w:ascii="Times New Roman" w:hAnsi="Times New Roman" w:cs="Times New Roman"/>
          <w:i/>
          <w:iCs/>
        </w:rPr>
        <w:t>La disputa por los derechos</w:t>
      </w:r>
      <w:r w:rsidRPr="008C2070">
        <w:rPr>
          <w:rFonts w:ascii="Times New Roman" w:hAnsi="Times New Roman" w:cs="Times New Roman"/>
        </w:rPr>
        <w:t xml:space="preserve">, en Carbonell Sánchez, Miguel; Fix Fierro, Héctor y Valadés, Diego (comp.), 2015, </w:t>
      </w:r>
      <w:r w:rsidRPr="008C2070">
        <w:rPr>
          <w:rFonts w:ascii="Times New Roman" w:hAnsi="Times New Roman" w:cs="Times New Roman"/>
          <w:i/>
          <w:iCs/>
        </w:rPr>
        <w:t>Estado constitucional, derechos humanos, justicia y vida universitaria. Estudios en homenaje a Jorge Carpizo</w:t>
      </w:r>
      <w:r w:rsidRPr="008C2070">
        <w:rPr>
          <w:rFonts w:ascii="Times New Roman" w:hAnsi="Times New Roman" w:cs="Times New Roman"/>
        </w:rPr>
        <w:t>. Derechos humanos, tomo V, vol. 2, México, UNAM, Instituto de Investigaciones Jurídicas, pp. 385 – 407.</w:t>
      </w:r>
    </w:p>
  </w:footnote>
  <w:footnote w:id="4">
    <w:p w14:paraId="154CEE9E" w14:textId="43D1E0A5"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Constitución Política de los Estados Unidos Mexicanos, 2021, art. 94.  </w:t>
      </w:r>
    </w:p>
  </w:footnote>
  <w:footnote w:id="5">
    <w:p w14:paraId="1CEBCC4B" w14:textId="65A3FCEB"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Ley de Amparo Reglamentaria de los Artículos 103 y 107 de la Constitución Política de los Estados Unidos Mexicanos, 2021, art. 216.</w:t>
      </w:r>
    </w:p>
  </w:footnote>
  <w:footnote w:id="6">
    <w:p w14:paraId="15FB87F3" w14:textId="5F2AC18C"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2a./J. 195/2016 (10a.), </w:t>
      </w:r>
      <w:r w:rsidRPr="008C2070">
        <w:rPr>
          <w:rFonts w:ascii="Times New Roman" w:hAnsi="Times New Roman" w:cs="Times New Roman"/>
          <w:i/>
          <w:iCs/>
        </w:rPr>
        <w:t>Semanario Judicial de la Federación y su Gaceta</w:t>
      </w:r>
      <w:r w:rsidRPr="008C2070">
        <w:rPr>
          <w:rFonts w:ascii="Times New Roman" w:hAnsi="Times New Roman" w:cs="Times New Roman"/>
        </w:rPr>
        <w:t>, Décima Época, t.1, enero de 2017, p. 778.</w:t>
      </w:r>
    </w:p>
  </w:footnote>
  <w:footnote w:id="7">
    <w:p w14:paraId="5CC71B73" w14:textId="06501392"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I.6o.C. J/27, , </w:t>
      </w:r>
      <w:r w:rsidRPr="008C2070">
        <w:rPr>
          <w:rFonts w:ascii="Times New Roman" w:hAnsi="Times New Roman" w:cs="Times New Roman"/>
          <w:i/>
          <w:iCs/>
        </w:rPr>
        <w:t>Semanario Judicial de la Federación y su Gaceta</w:t>
      </w:r>
      <w:r w:rsidRPr="008C2070">
        <w:rPr>
          <w:rFonts w:ascii="Times New Roman" w:hAnsi="Times New Roman" w:cs="Times New Roman"/>
        </w:rPr>
        <w:t xml:space="preserve">, Novena Época, t.XIII, marzo de 2001, p. 1684. </w:t>
      </w:r>
    </w:p>
  </w:footnote>
  <w:footnote w:id="8">
    <w:p w14:paraId="114BED27" w14:textId="62F5B815"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Poder Judicial de la Federación, 2021, </w:t>
      </w:r>
      <w:r w:rsidRPr="008C2070">
        <w:rPr>
          <w:rFonts w:ascii="Times New Roman" w:hAnsi="Times New Roman" w:cs="Times New Roman"/>
          <w:i/>
          <w:iCs/>
        </w:rPr>
        <w:t>Proyecto de reformas con y para el Poder Judicial de la Federación</w:t>
      </w:r>
      <w:r w:rsidRPr="008C2070">
        <w:rPr>
          <w:rFonts w:ascii="Times New Roman" w:hAnsi="Times New Roman" w:cs="Times New Roman"/>
        </w:rPr>
        <w:t xml:space="preserve">, México, p. 7, 8 , 33, 34. </w:t>
      </w:r>
    </w:p>
  </w:footnote>
  <w:footnote w:id="9">
    <w:p w14:paraId="042398CA" w14:textId="490B773E"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Ley de Amparo Reglamentaria de los Artículos 103 y 107 de la Constitución Política de los Estados Unidos Mexicanos, 2021, art. 222, 223. </w:t>
      </w:r>
    </w:p>
  </w:footnote>
  <w:footnote w:id="10">
    <w:p w14:paraId="43D28E7C" w14:textId="57EA6FFF"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Ley de Amparo Reglamentaria de los Artículos 103 y 107 de la Constitución Política de los Estados Unidos Mexicanos, 2021, art. 218. </w:t>
      </w:r>
    </w:p>
  </w:footnote>
  <w:footnote w:id="11">
    <w:p w14:paraId="2346B152" w14:textId="7DB3E99E"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Cfr. En este artículo se acepta la definición de Caballero para la teoría pragmática donde es una racionalidad lingüística y normativa circunscrita a las prácticas comunicativas de los usuarios del lenguaje. Caballero Elbersci, Pedro, 2019, </w:t>
      </w:r>
      <w:r w:rsidRPr="008C2070">
        <w:rPr>
          <w:rFonts w:ascii="Times New Roman" w:hAnsi="Times New Roman" w:cs="Times New Roman"/>
          <w:i/>
          <w:iCs/>
        </w:rPr>
        <w:t>Las decisiones judiciales: justificación y racionalidad</w:t>
      </w:r>
      <w:r w:rsidRPr="008C2070">
        <w:rPr>
          <w:rFonts w:ascii="Times New Roman" w:hAnsi="Times New Roman" w:cs="Times New Roman"/>
        </w:rPr>
        <w:t>, Anuario de Filosofía y Teoría del Derecho, núm. 13, enero-diciembre.</w:t>
      </w:r>
    </w:p>
  </w:footnote>
  <w:footnote w:id="12">
    <w:p w14:paraId="5B12C1F4" w14:textId="44A558B1"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Caballero Elbersci, Pedro, 2019, </w:t>
      </w:r>
      <w:r w:rsidRPr="008C2070">
        <w:rPr>
          <w:rFonts w:ascii="Times New Roman" w:hAnsi="Times New Roman" w:cs="Times New Roman"/>
          <w:i/>
          <w:iCs/>
        </w:rPr>
        <w:t>Las decisiones judiciales: justificación y racionalidad</w:t>
      </w:r>
      <w:r w:rsidRPr="008C2070">
        <w:rPr>
          <w:rFonts w:ascii="Times New Roman" w:hAnsi="Times New Roman" w:cs="Times New Roman"/>
        </w:rPr>
        <w:t>, Anuario de Filosofía y Teoría del Derecho, núm. 13, enero-diciembre.</w:t>
      </w:r>
    </w:p>
  </w:footnote>
  <w:footnote w:id="13">
    <w:p w14:paraId="375C5883" w14:textId="6F113E44"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García Godinez, Miguel Angel,  2017, </w:t>
      </w:r>
      <w:r w:rsidRPr="008C2070">
        <w:rPr>
          <w:rFonts w:ascii="Times New Roman" w:hAnsi="Times New Roman" w:cs="Times New Roman"/>
          <w:i/>
          <w:iCs/>
        </w:rPr>
        <w:t>Los criterios de corrección en la teoría del razonamiento jurídico de Neil MacCormick</w:t>
      </w:r>
      <w:r w:rsidRPr="008C2070">
        <w:rPr>
          <w:rFonts w:ascii="Times New Roman" w:hAnsi="Times New Roman" w:cs="Times New Roman"/>
        </w:rPr>
        <w:t xml:space="preserve">, núm. 3, Serie Interpretación Constitucional Aplicada. </w:t>
      </w:r>
    </w:p>
  </w:footnote>
  <w:footnote w:id="14">
    <w:p w14:paraId="4000EF14" w14:textId="14597C0D"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Cfr. Para Dworkin las reglas en el sentido manifestado por Hart son aquellas que pueden ser identificadas a través de su origen &lt;&lt;regla de reconocimiento&gt;&gt; o que responden a un proceso de creación de normas jurídicas válidas. Dworkin, Ronald, 1977, </w:t>
      </w:r>
      <w:r w:rsidRPr="008C2070">
        <w:rPr>
          <w:rFonts w:ascii="Times New Roman" w:hAnsi="Times New Roman" w:cs="Times New Roman"/>
          <w:i/>
          <w:iCs/>
        </w:rPr>
        <w:t>Los derechos en serio</w:t>
      </w:r>
      <w:r w:rsidRPr="008C2070">
        <w:rPr>
          <w:rFonts w:ascii="Times New Roman" w:hAnsi="Times New Roman" w:cs="Times New Roman"/>
        </w:rPr>
        <w:t>.</w:t>
      </w:r>
    </w:p>
  </w:footnote>
  <w:footnote w:id="15">
    <w:p w14:paraId="5766D4B9" w14:textId="47F8ABAE"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Ver. Para especificaciones de los casos de obligatoriedad Ley de Amparo Reglamentaria de los Artículos 103 y 107 de la Constitución Política de los Estados Unidos Mexicanos, 2021, art. 217.</w:t>
      </w:r>
    </w:p>
  </w:footnote>
  <w:footnote w:id="16">
    <w:p w14:paraId="2EE286CA" w14:textId="29DF0B74"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Ley de Amparo Reglamentaria de los Artículos 103 y 107 de la Constitución Política de los Estados Unidos Mexicanos, 2021, art. 216.</w:t>
      </w:r>
    </w:p>
  </w:footnote>
  <w:footnote w:id="17">
    <w:p w14:paraId="0C7FF994" w14:textId="59471E4E" w:rsidR="00B54B95" w:rsidRPr="008C2070"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8C2070">
        <w:rPr>
          <w:rFonts w:ascii="Times New Roman" w:hAnsi="Times New Roman" w:cs="Times New Roman"/>
          <w:lang w:val="en-US"/>
        </w:rPr>
        <w:t xml:space="preserve"> Leiter, Brian, 2020, </w:t>
      </w:r>
      <w:r w:rsidRPr="008C2070">
        <w:rPr>
          <w:rFonts w:ascii="Times New Roman" w:hAnsi="Times New Roman" w:cs="Times New Roman"/>
          <w:i/>
          <w:iCs/>
          <w:lang w:val="en-US"/>
        </w:rPr>
        <w:t>What is a realist theory of law?</w:t>
      </w:r>
      <w:r w:rsidRPr="008C2070">
        <w:rPr>
          <w:rFonts w:ascii="Times New Roman" w:hAnsi="Times New Roman" w:cs="Times New Roman"/>
          <w:lang w:val="en-US"/>
        </w:rPr>
        <w:t xml:space="preserve">, Revista Estudios Institucionais, num. 6, enero – abril. </w:t>
      </w:r>
    </w:p>
  </w:footnote>
  <w:footnote w:id="18">
    <w:p w14:paraId="21F3A2C0" w14:textId="1862853C"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Constitución Política de los Estados Unidos Mexicanos, 2021, México, art. 1°, 4°. </w:t>
      </w:r>
    </w:p>
  </w:footnote>
  <w:footnote w:id="19">
    <w:p w14:paraId="504970C5" w14:textId="169DFBAF"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Ley General de Salud , 2021, México, art. 1° BIS. </w:t>
      </w:r>
    </w:p>
  </w:footnote>
  <w:footnote w:id="20">
    <w:p w14:paraId="054EA3AC" w14:textId="45CD147B"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Organización de las Naciones Unidades, Comité de Derechos Económicos, Sociales y Culturales, 1999, </w:t>
      </w:r>
      <w:r w:rsidRPr="008C2070">
        <w:rPr>
          <w:rFonts w:ascii="Times New Roman" w:hAnsi="Times New Roman" w:cs="Times New Roman"/>
          <w:i/>
          <w:iCs/>
        </w:rPr>
        <w:t>Observación General No. 12</w:t>
      </w:r>
      <w:r w:rsidRPr="008C2070">
        <w:rPr>
          <w:rFonts w:ascii="Times New Roman" w:hAnsi="Times New Roman" w:cs="Times New Roman"/>
        </w:rPr>
        <w:t xml:space="preserve">, Ginebra, Párrafo 12. </w:t>
      </w:r>
    </w:p>
  </w:footnote>
  <w:footnote w:id="21">
    <w:p w14:paraId="6E771A92" w14:textId="67979D74"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Bengoetxea Joxerramon, 2010, </w:t>
      </w:r>
      <w:r w:rsidRPr="008C2070">
        <w:rPr>
          <w:rFonts w:ascii="Times New Roman" w:hAnsi="Times New Roman" w:cs="Times New Roman"/>
          <w:i/>
          <w:iCs/>
        </w:rPr>
        <w:t>Razonamiento jurídico y post-positivismo: La contribución de Neil Maccormick</w:t>
      </w:r>
      <w:r w:rsidRPr="008C2070">
        <w:rPr>
          <w:rFonts w:ascii="Times New Roman" w:hAnsi="Times New Roman" w:cs="Times New Roman"/>
        </w:rPr>
        <w:t>, 36, Anuario de Filosofía del Derecho 267, 280–1.</w:t>
      </w:r>
    </w:p>
  </w:footnote>
  <w:footnote w:id="22">
    <w:p w14:paraId="0049B4F6" w14:textId="77777777" w:rsidR="00B54B95" w:rsidRPr="008C2070" w:rsidRDefault="00B54B95" w:rsidP="00605BDB">
      <w:pPr>
        <w:pStyle w:val="Textonotapie"/>
        <w:jc w:val="both"/>
        <w:rPr>
          <w:rFonts w:ascii="Times New Roman" w:hAnsi="Times New Roman" w:cs="Times New Roman"/>
          <w:i/>
          <w:iCs/>
          <w:lang w:val="en-US"/>
        </w:rPr>
      </w:pPr>
      <w:r w:rsidRPr="008C2070">
        <w:rPr>
          <w:rStyle w:val="Refdenotaalpie"/>
          <w:rFonts w:ascii="Times New Roman" w:hAnsi="Times New Roman" w:cs="Times New Roman"/>
        </w:rPr>
        <w:footnoteRef/>
      </w:r>
      <w:r w:rsidRPr="008C2070">
        <w:rPr>
          <w:rFonts w:ascii="Times New Roman" w:hAnsi="Times New Roman" w:cs="Times New Roman"/>
          <w:lang w:val="en-US"/>
        </w:rPr>
        <w:t xml:space="preserve"> Cobo – Armijo, Fernanda, Charvel, Sofía, 2021, </w:t>
      </w:r>
      <w:r w:rsidRPr="008C2070">
        <w:rPr>
          <w:rFonts w:ascii="Times New Roman" w:hAnsi="Times New Roman" w:cs="Times New Roman"/>
          <w:i/>
          <w:iCs/>
          <w:lang w:val="en-US"/>
        </w:rPr>
        <w:t>Mexican apex judiciary and its multiple interpretations:</w:t>
      </w:r>
    </w:p>
    <w:p w14:paraId="26AFDF7E" w14:textId="77777777" w:rsidR="00B54B95" w:rsidRPr="008C2070" w:rsidRDefault="00B54B95" w:rsidP="00605BDB">
      <w:pPr>
        <w:pStyle w:val="Textonotapie"/>
        <w:jc w:val="both"/>
        <w:rPr>
          <w:rFonts w:ascii="Times New Roman" w:hAnsi="Times New Roman" w:cs="Times New Roman"/>
          <w:lang w:val="en-US"/>
        </w:rPr>
      </w:pPr>
      <w:r w:rsidRPr="008C2070">
        <w:rPr>
          <w:rFonts w:ascii="Times New Roman" w:hAnsi="Times New Roman" w:cs="Times New Roman"/>
          <w:i/>
          <w:iCs/>
          <w:lang w:val="en-US"/>
        </w:rPr>
        <w:t>Challenges for the constitutional right to health</w:t>
      </w:r>
      <w:r w:rsidRPr="008C2070">
        <w:rPr>
          <w:rFonts w:ascii="Times New Roman" w:hAnsi="Times New Roman" w:cs="Times New Roman"/>
          <w:lang w:val="en-US"/>
        </w:rPr>
        <w:t>, International Journal of Constitutional Law, Oxford University Press and New York University School of Law.</w:t>
      </w:r>
    </w:p>
  </w:footnote>
  <w:footnote w:id="23">
    <w:p w14:paraId="1DBEC005" w14:textId="5B71EF98" w:rsidR="00B54B95" w:rsidRPr="008C2070"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8C2070">
        <w:rPr>
          <w:rFonts w:ascii="Times New Roman" w:hAnsi="Times New Roman" w:cs="Times New Roman"/>
          <w:lang w:val="en-US"/>
        </w:rPr>
        <w:t xml:space="preserve"> Idem. </w:t>
      </w:r>
    </w:p>
  </w:footnote>
  <w:footnote w:id="24">
    <w:p w14:paraId="2A5F2312" w14:textId="5E64D96A" w:rsidR="00B54B95" w:rsidRPr="008C2070"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8C2070">
        <w:rPr>
          <w:rFonts w:ascii="Times New Roman" w:hAnsi="Times New Roman" w:cs="Times New Roman"/>
          <w:lang w:val="en-US"/>
        </w:rPr>
        <w:t xml:space="preserve"> Idem. </w:t>
      </w:r>
    </w:p>
  </w:footnote>
  <w:footnote w:id="25">
    <w:p w14:paraId="2A9C7ED8" w14:textId="5EB44B60" w:rsidR="00B54B95" w:rsidRPr="008C2070"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8C2070">
        <w:rPr>
          <w:rFonts w:ascii="Times New Roman" w:hAnsi="Times New Roman" w:cs="Times New Roman"/>
          <w:lang w:val="en-US"/>
        </w:rPr>
        <w:t xml:space="preserve"> Brinks, Daniel M., Forbath, William, 2014, </w:t>
      </w:r>
      <w:r w:rsidRPr="008C2070">
        <w:rPr>
          <w:rFonts w:ascii="Times New Roman" w:hAnsi="Times New Roman" w:cs="Times New Roman"/>
          <w:i/>
          <w:iCs/>
          <w:lang w:val="en-US"/>
        </w:rPr>
        <w:t>The role of the courts and constituions in the newo politics od welfare in Latin America</w:t>
      </w:r>
      <w:r w:rsidRPr="008C2070">
        <w:rPr>
          <w:rFonts w:ascii="Times New Roman" w:hAnsi="Times New Roman" w:cs="Times New Roman"/>
          <w:lang w:val="en-US"/>
        </w:rPr>
        <w:t xml:space="preserve">, en Peremboom, Randall y Ginsburg, Tom (editores), </w:t>
      </w:r>
      <w:r w:rsidRPr="008C2070">
        <w:rPr>
          <w:rFonts w:ascii="Times New Roman" w:hAnsi="Times New Roman" w:cs="Times New Roman"/>
          <w:i/>
          <w:iCs/>
          <w:lang w:val="en-US"/>
        </w:rPr>
        <w:t>Law and Development of Middle-Income Countries</w:t>
      </w:r>
      <w:r w:rsidRPr="008C2070">
        <w:rPr>
          <w:rFonts w:ascii="Times New Roman" w:hAnsi="Times New Roman" w:cs="Times New Roman"/>
          <w:lang w:val="en-US"/>
        </w:rPr>
        <w:t xml:space="preserve">, USA, Cambridge University Press. </w:t>
      </w:r>
    </w:p>
  </w:footnote>
  <w:footnote w:id="26">
    <w:p w14:paraId="7D6F12A9" w14:textId="6A56137D" w:rsidR="00B54B95" w:rsidRPr="008C2070"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8C2070">
        <w:rPr>
          <w:rFonts w:ascii="Times New Roman" w:hAnsi="Times New Roman" w:cs="Times New Roman"/>
          <w:lang w:val="en-US"/>
        </w:rPr>
        <w:t xml:space="preserve"> </w:t>
      </w:r>
      <w:r w:rsidRPr="00CE377C">
        <w:rPr>
          <w:rFonts w:ascii="Times New Roman" w:hAnsi="Times New Roman" w:cs="Times New Roman"/>
          <w:i/>
          <w:iCs/>
          <w:lang w:val="en-US"/>
        </w:rPr>
        <w:t>Op. Cit.</w:t>
      </w:r>
      <w:r w:rsidRPr="008C2070">
        <w:rPr>
          <w:rFonts w:ascii="Times New Roman" w:hAnsi="Times New Roman" w:cs="Times New Roman"/>
          <w:lang w:val="en-US"/>
        </w:rPr>
        <w:t xml:space="preserve"> Cobo – Armijo, Fernanda, Charvel, Sofía y Souza d’Ávila, Luciana, Gurgel Andrade, Eli Iola, 2020, </w:t>
      </w:r>
      <w:r w:rsidRPr="008C2070">
        <w:rPr>
          <w:rFonts w:ascii="Times New Roman" w:hAnsi="Times New Roman" w:cs="Times New Roman"/>
          <w:i/>
          <w:iCs/>
          <w:lang w:val="en-US"/>
        </w:rPr>
        <w:t>Judicialization of health in Brazil and Colombia: a discussion in light of the new Latin American constitutionalism</w:t>
      </w:r>
      <w:r w:rsidRPr="008C2070">
        <w:rPr>
          <w:rFonts w:ascii="Times New Roman" w:hAnsi="Times New Roman" w:cs="Times New Roman"/>
          <w:lang w:val="en-US"/>
        </w:rPr>
        <w:t>, Saúde Soc. São Paulo, v.29, n.3.</w:t>
      </w:r>
    </w:p>
  </w:footnote>
  <w:footnote w:id="27">
    <w:p w14:paraId="727E4DED" w14:textId="796D07EF" w:rsidR="00B54B95" w:rsidRPr="008C2070"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8C2070">
        <w:rPr>
          <w:rFonts w:ascii="Times New Roman" w:hAnsi="Times New Roman" w:cs="Times New Roman"/>
          <w:lang w:val="en-US"/>
        </w:rPr>
        <w:t xml:space="preserve"> Octavio Luiz Motta Ferraz, 2011, </w:t>
      </w:r>
      <w:r w:rsidRPr="008C2070">
        <w:rPr>
          <w:rFonts w:ascii="Times New Roman" w:hAnsi="Times New Roman" w:cs="Times New Roman"/>
          <w:i/>
          <w:iCs/>
          <w:lang w:val="en-US"/>
        </w:rPr>
        <w:t>Harming the Poor Through Social Rights Litigation</w:t>
      </w:r>
      <w:r w:rsidRPr="008C2070">
        <w:rPr>
          <w:rFonts w:ascii="Times New Roman" w:hAnsi="Times New Roman" w:cs="Times New Roman"/>
          <w:lang w:val="en-US"/>
        </w:rPr>
        <w:t>, 89 Tex. L. Rev. 1643.</w:t>
      </w:r>
    </w:p>
  </w:footnote>
  <w:footnote w:id="28">
    <w:p w14:paraId="16B60219" w14:textId="0BEC97E4" w:rsidR="00B54B95" w:rsidRPr="008C2070"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8C2070">
        <w:rPr>
          <w:rFonts w:ascii="Times New Roman" w:hAnsi="Times New Roman" w:cs="Times New Roman"/>
          <w:lang w:val="en-US"/>
        </w:rPr>
        <w:t xml:space="preserve"> Octavio Luiz Motta Ferraz, 2009, </w:t>
      </w:r>
      <w:r w:rsidRPr="008C2070">
        <w:rPr>
          <w:rFonts w:ascii="Times New Roman" w:hAnsi="Times New Roman" w:cs="Times New Roman"/>
          <w:i/>
          <w:iCs/>
          <w:lang w:val="en-US"/>
        </w:rPr>
        <w:t>The right to health in the courts of Brazil: Worsening health inequities?</w:t>
      </w:r>
      <w:r w:rsidRPr="008C2070">
        <w:rPr>
          <w:rFonts w:ascii="Times New Roman" w:hAnsi="Times New Roman" w:cs="Times New Roman"/>
          <w:lang w:val="en-US"/>
        </w:rPr>
        <w:t>, Health and Human Rights 11/2.</w:t>
      </w:r>
    </w:p>
  </w:footnote>
  <w:footnote w:id="29">
    <w:p w14:paraId="162615AD" w14:textId="4784AF9E" w:rsidR="00B54B95" w:rsidRPr="008C2070"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8C2070">
        <w:rPr>
          <w:rFonts w:ascii="Times New Roman" w:hAnsi="Times New Roman" w:cs="Times New Roman"/>
          <w:lang w:val="en-US"/>
        </w:rPr>
        <w:t xml:space="preserve"> : Nunes-Nogueira VS, Leite MSF, 2020, </w:t>
      </w:r>
      <w:r w:rsidRPr="008C2070">
        <w:rPr>
          <w:rFonts w:ascii="Times New Roman" w:hAnsi="Times New Roman" w:cs="Times New Roman"/>
          <w:i/>
          <w:iCs/>
          <w:lang w:val="en-US"/>
        </w:rPr>
        <w:t>Evidence-based health and the judicialization of health in Brazil</w:t>
      </w:r>
      <w:r w:rsidRPr="008C2070">
        <w:rPr>
          <w:rFonts w:ascii="Times New Roman" w:hAnsi="Times New Roman" w:cs="Times New Roman"/>
          <w:lang w:val="en-US"/>
        </w:rPr>
        <w:t>. J Évid-Based Healthc, núm 2, vól. 1, p. 41-44. doi: 10.17267/2675-021Xevidence.v2i1.3032</w:t>
      </w:r>
    </w:p>
  </w:footnote>
  <w:footnote w:id="30">
    <w:p w14:paraId="27A1E335" w14:textId="6C57B59E"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La muestra se distribuye de la siguiente manera para los periodos analizados: 1) antes de 2011, se obtuvieron 4 jurisprudencias y 8 tesis aisladas, 2) posterior a 2011 a la actualidad, se identificaron 29 tesis aisladas y 7 jurisprudencias.</w:t>
      </w:r>
    </w:p>
  </w:footnote>
  <w:footnote w:id="31">
    <w:p w14:paraId="204FFD7D" w14:textId="0901B251"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La reforma judicial de 2021 cambió a los plenos de circuito por plenos regionales. </w:t>
      </w:r>
    </w:p>
  </w:footnote>
  <w:footnote w:id="32">
    <w:p w14:paraId="20C4E794" w14:textId="4CC91132"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P./J. 29/2011, Semanario Judicial de la Federación y su Gaceta, Novena Época, t. XXXIV, agosto de 2011, p. 20</w:t>
      </w:r>
    </w:p>
  </w:footnote>
  <w:footnote w:id="33">
    <w:p w14:paraId="5D1B0562" w14:textId="357B3B54"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1a./J. 50/2009, Semanario Judicial de la Federación y su Gaceta, Novena Época, t. XXIX, abril de 2009, p.164</w:t>
      </w:r>
    </w:p>
  </w:footnote>
  <w:footnote w:id="34">
    <w:p w14:paraId="2A4A3367" w14:textId="188BB4E7"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1a./J. 47/2009, Semanario Judicial de la Federación y su Gaceta, Novena Época, t. XXIX, abril de 2009, p. 511</w:t>
      </w:r>
    </w:p>
  </w:footnote>
  <w:footnote w:id="35">
    <w:p w14:paraId="004FD56B" w14:textId="2186D877"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VII.2o.P. J/2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27, t. III, febrero 2016, p 1966</w:t>
      </w:r>
    </w:p>
  </w:footnote>
  <w:footnote w:id="36">
    <w:p w14:paraId="75E60368" w14:textId="2180F9FC"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VI.2o.37 P</w:t>
      </w:r>
      <w:r w:rsidRPr="008C2070">
        <w:rPr>
          <w:rFonts w:ascii="Times New Roman" w:hAnsi="Times New Roman" w:cs="Times New Roman"/>
          <w:lang w:val="es-ES"/>
        </w:rPr>
        <w:t xml:space="preserve">, </w:t>
      </w:r>
      <w:r w:rsidRPr="008C2070">
        <w:rPr>
          <w:rFonts w:ascii="Times New Roman" w:hAnsi="Times New Roman" w:cs="Times New Roman"/>
          <w:i/>
          <w:iCs/>
        </w:rPr>
        <w:t>Semanario Judicial de la Federación y su Gaceta</w:t>
      </w:r>
      <w:r w:rsidRPr="008C2070">
        <w:rPr>
          <w:rFonts w:ascii="Times New Roman" w:hAnsi="Times New Roman" w:cs="Times New Roman"/>
        </w:rPr>
        <w:t>, Novena Época, t.</w:t>
      </w:r>
      <w:r w:rsidRPr="008C2070">
        <w:rPr>
          <w:rFonts w:ascii="Times New Roman" w:hAnsi="Times New Roman" w:cs="Times New Roman"/>
          <w:color w:val="212529"/>
          <w:shd w:val="clear" w:color="auto" w:fill="FFFFFF"/>
        </w:rPr>
        <w:t xml:space="preserve"> </w:t>
      </w:r>
      <w:r w:rsidRPr="008C2070">
        <w:rPr>
          <w:rFonts w:ascii="Times New Roman" w:hAnsi="Times New Roman" w:cs="Times New Roman"/>
        </w:rPr>
        <w:t xml:space="preserve">II, </w:t>
      </w:r>
      <w:r w:rsidRPr="008C2070">
        <w:rPr>
          <w:rFonts w:ascii="Times New Roman" w:hAnsi="Times New Roman" w:cs="Times New Roman"/>
          <w:lang w:val="es-ES"/>
        </w:rPr>
        <w:t>d</w:t>
      </w:r>
      <w:r w:rsidRPr="008C2070">
        <w:rPr>
          <w:rFonts w:ascii="Times New Roman" w:hAnsi="Times New Roman" w:cs="Times New Roman"/>
        </w:rPr>
        <w:t>iciembre de 1995, p</w:t>
      </w:r>
      <w:r w:rsidRPr="008C2070">
        <w:rPr>
          <w:rFonts w:ascii="Times New Roman" w:hAnsi="Times New Roman" w:cs="Times New Roman"/>
          <w:lang w:val="es-ES"/>
        </w:rPr>
        <w:t>.</w:t>
      </w:r>
      <w:r w:rsidRPr="008C2070">
        <w:rPr>
          <w:rFonts w:ascii="Times New Roman" w:hAnsi="Times New Roman" w:cs="Times New Roman"/>
        </w:rPr>
        <w:t>574</w:t>
      </w:r>
    </w:p>
  </w:footnote>
  <w:footnote w:id="37">
    <w:p w14:paraId="728BEAF4" w14:textId="48522CAB"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XI.P.28 P (10a.), Gaceta del Semanario Judicial de la Federación, Décima Época, l. 68, t. III, julio 2019, p. 2112,  VII.2o.P.3 P (10a.), Gaceta del Semanario Judicial de la Federación, Décima Época, l. 21, t. III, agosto 2015, p. 2171, I.18o.A.18 K (10a.), Gaceta del Semanario Judicial de la Federación, Décima Época, l. 56, t. II, julio 2018, p. 1481</w:t>
      </w:r>
    </w:p>
  </w:footnote>
  <w:footnote w:id="38">
    <w:p w14:paraId="6C813CE2" w14:textId="0B807058"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IV.1o.A.24 A (10a.), Gaceta del Semanario Judicial de la Federación, Décima Época, l. 10, t. III, septiembre 2014, p. 2593</w:t>
      </w:r>
    </w:p>
  </w:footnote>
  <w:footnote w:id="39">
    <w:p w14:paraId="7919FB95" w14:textId="5A7F78C3"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I.4o.A.86 A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XXV, t. 3, octubre 2013, p. 1759</w:t>
      </w:r>
    </w:p>
  </w:footnote>
  <w:footnote w:id="40">
    <w:p w14:paraId="31BEA3F2" w14:textId="0F70C0E3"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IX.1o.1 CS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22, t. III, septiembre 2015, p. 2014</w:t>
      </w:r>
    </w:p>
  </w:footnote>
  <w:footnote w:id="41">
    <w:p w14:paraId="58BF5C6A" w14:textId="2CCC36FE"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P./J. 136/2008, Semanario Judicial de la Federación y su Gaceta, Novena Época, t. XXVIII, Octubre de 2008, p. 61</w:t>
      </w:r>
    </w:p>
  </w:footnote>
  <w:footnote w:id="42">
    <w:p w14:paraId="518CCF15" w14:textId="13888805"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Ley General de Salud , 2021, México, art. 77 bis 37, fracc. XIV. </w:t>
      </w:r>
    </w:p>
  </w:footnote>
  <w:footnote w:id="43">
    <w:p w14:paraId="5CDC5895" w14:textId="77D6F0DE"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1a. CCLXVII/2016 (10a.)</w:t>
      </w:r>
      <w:r w:rsidRPr="008C2070">
        <w:rPr>
          <w:rFonts w:ascii="Times New Roman" w:hAnsi="Times New Roman" w:cs="Times New Roman"/>
          <w:lang w:val="es-ES"/>
        </w:rPr>
        <w:t>,</w:t>
      </w:r>
      <w:r w:rsidRPr="008C2070">
        <w:rPr>
          <w:rFonts w:ascii="Times New Roman" w:hAnsi="Times New Roman" w:cs="Times New Roman"/>
          <w:i/>
          <w:iCs/>
          <w:lang w:val="es-ES"/>
        </w:rPr>
        <w:t xml:space="preserve"> 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36, t. II, noviembre 2016, p. 895</w:t>
      </w:r>
    </w:p>
  </w:footnote>
  <w:footnote w:id="44">
    <w:p w14:paraId="57033451" w14:textId="60157076"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P. XV/2011</w:t>
      </w:r>
      <w:r w:rsidRPr="008C2070">
        <w:rPr>
          <w:rFonts w:ascii="Times New Roman" w:hAnsi="Times New Roman" w:cs="Times New Roman"/>
          <w:lang w:val="es-ES"/>
        </w:rPr>
        <w:t xml:space="preserve">, </w:t>
      </w:r>
      <w:r w:rsidRPr="008C2070">
        <w:rPr>
          <w:rFonts w:ascii="Times New Roman" w:hAnsi="Times New Roman" w:cs="Times New Roman"/>
          <w:i/>
          <w:iCs/>
        </w:rPr>
        <w:t>Semanario Judicial de la Federación y su Gaceta</w:t>
      </w:r>
      <w:r w:rsidRPr="008C2070">
        <w:rPr>
          <w:rFonts w:ascii="Times New Roman" w:hAnsi="Times New Roman" w:cs="Times New Roman"/>
        </w:rPr>
        <w:t>, Novena Época, t</w:t>
      </w:r>
      <w:r w:rsidRPr="008C2070">
        <w:rPr>
          <w:rFonts w:ascii="Times New Roman" w:hAnsi="Times New Roman" w:cs="Times New Roman"/>
          <w:lang w:val="es-ES"/>
        </w:rPr>
        <w:t xml:space="preserve"> </w:t>
      </w:r>
      <w:r w:rsidRPr="008C2070">
        <w:rPr>
          <w:rFonts w:ascii="Times New Roman" w:hAnsi="Times New Roman" w:cs="Times New Roman"/>
        </w:rPr>
        <w:t xml:space="preserve">XXXIV, </w:t>
      </w:r>
      <w:r w:rsidRPr="008C2070">
        <w:rPr>
          <w:rFonts w:ascii="Times New Roman" w:hAnsi="Times New Roman" w:cs="Times New Roman"/>
          <w:lang w:val="es-ES"/>
        </w:rPr>
        <w:t>ag</w:t>
      </w:r>
      <w:r w:rsidRPr="008C2070">
        <w:rPr>
          <w:rFonts w:ascii="Times New Roman" w:hAnsi="Times New Roman" w:cs="Times New Roman"/>
        </w:rPr>
        <w:t>osto de 2011, p</w:t>
      </w:r>
      <w:r w:rsidRPr="008C2070">
        <w:rPr>
          <w:rFonts w:ascii="Times New Roman" w:hAnsi="Times New Roman" w:cs="Times New Roman"/>
          <w:lang w:val="es-ES"/>
        </w:rPr>
        <w:t>.</w:t>
      </w:r>
      <w:r w:rsidRPr="008C2070">
        <w:rPr>
          <w:rFonts w:ascii="Times New Roman" w:hAnsi="Times New Roman" w:cs="Times New Roman"/>
        </w:rPr>
        <w:t xml:space="preserve"> 31</w:t>
      </w:r>
    </w:p>
  </w:footnote>
  <w:footnote w:id="45">
    <w:p w14:paraId="6333DA58" w14:textId="44CB2897"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1a. LXV/2008, </w:t>
      </w:r>
      <w:r w:rsidRPr="008C2070">
        <w:rPr>
          <w:rFonts w:ascii="Times New Roman" w:hAnsi="Times New Roman" w:cs="Times New Roman"/>
          <w:i/>
          <w:iCs/>
        </w:rPr>
        <w:t>Semanario Judicial de la Federación y su Gaceta</w:t>
      </w:r>
      <w:r w:rsidRPr="008C2070">
        <w:rPr>
          <w:rFonts w:ascii="Times New Roman" w:hAnsi="Times New Roman" w:cs="Times New Roman"/>
        </w:rPr>
        <w:t>, Novena Época, t</w:t>
      </w:r>
      <w:r w:rsidRPr="008C2070">
        <w:rPr>
          <w:rFonts w:ascii="Times New Roman" w:hAnsi="Times New Roman" w:cs="Times New Roman"/>
          <w:lang w:val="es-ES"/>
        </w:rPr>
        <w:t>. XXVIII, julio de 2008, p.457</w:t>
      </w:r>
    </w:p>
  </w:footnote>
  <w:footnote w:id="46">
    <w:p w14:paraId="05219B7A" w14:textId="27C5B439"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(VIII Región)2o.16 L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40, t. IV, marzo 2017, p. 2660</w:t>
      </w:r>
    </w:p>
  </w:footnote>
  <w:footnote w:id="47">
    <w:p w14:paraId="5EC26E9A" w14:textId="14FFB4D7"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1a. CCLXVII/2016 (10a.)</w:t>
      </w:r>
      <w:r w:rsidRPr="008C2070">
        <w:rPr>
          <w:rFonts w:ascii="Times New Roman" w:hAnsi="Times New Roman" w:cs="Times New Roman"/>
          <w:lang w:val="es-ES"/>
        </w:rPr>
        <w:t>,</w:t>
      </w:r>
      <w:r w:rsidRPr="008C2070">
        <w:rPr>
          <w:rFonts w:ascii="Times New Roman" w:hAnsi="Times New Roman" w:cs="Times New Roman"/>
          <w:i/>
          <w:iCs/>
          <w:lang w:val="es-ES"/>
        </w:rPr>
        <w:t xml:space="preserve"> 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36, t. II, noviembre 2016, p. 895</w:t>
      </w:r>
    </w:p>
  </w:footnote>
  <w:footnote w:id="48">
    <w:p w14:paraId="6583D719" w14:textId="49BBEB1A"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I.4o.A.200 A (10a.), Gaceta del Semanario Judicial de la Federación, Décima Época, l. 79, t. III, octubre 2020, p. 1838</w:t>
      </w:r>
    </w:p>
  </w:footnote>
  <w:footnote w:id="49">
    <w:p w14:paraId="5493E0CE" w14:textId="0BE378AD"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2a. LVIII/2019 (10a.), Gaceta del Semanario Judicial de la Federación, l. 70, t. I, septiembre 2019, p.420, y Tesis 1a. XIII/2021 (10a.), Gaceta del Semanario Judicial de la Federación, Décima Época, l. 84, t. II, marzo 2021, p. 1225; y, Tesis XVII.2o.C.T.11 L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72, t. III, noviembre 2019, p. 2406</w:t>
      </w:r>
    </w:p>
  </w:footnote>
  <w:footnote w:id="50">
    <w:p w14:paraId="4A2043F4" w14:textId="32483169"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VI.1o.T.1 L (11a.), Semanario Judicial de la Federación, Úndécima Época, enero 2022.</w:t>
      </w:r>
    </w:p>
  </w:footnote>
  <w:footnote w:id="51">
    <w:p w14:paraId="51AF1DFD" w14:textId="12E38DF5"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2a. LVII/2019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70, t. I, septiembre 2019, p. 420</w:t>
      </w:r>
    </w:p>
  </w:footnote>
  <w:footnote w:id="52">
    <w:p w14:paraId="571AE9CA" w14:textId="341A89B1" w:rsidR="00B54B95" w:rsidRPr="008C2070" w:rsidRDefault="00B54B95" w:rsidP="00605BDB">
      <w:pPr>
        <w:pStyle w:val="Textonotapie"/>
        <w:jc w:val="both"/>
        <w:rPr>
          <w:rFonts w:ascii="Times New Roman" w:hAnsi="Times New Roman" w:cs="Times New Roman"/>
          <w:i/>
          <w:iCs/>
          <w:lang w:val="es-ES"/>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1a. CXCVI/2012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Seminario Judicial de la Federación y su Gaceta, </w:t>
      </w:r>
      <w:r w:rsidRPr="008C2070">
        <w:rPr>
          <w:rFonts w:ascii="Times New Roman" w:hAnsi="Times New Roman" w:cs="Times New Roman"/>
          <w:lang w:val="es-ES"/>
        </w:rPr>
        <w:t>Décima Época</w:t>
      </w:r>
      <w:r w:rsidRPr="008C2070">
        <w:rPr>
          <w:rFonts w:ascii="Times New Roman" w:hAnsi="Times New Roman" w:cs="Times New Roman"/>
          <w:i/>
          <w:iCs/>
          <w:lang w:val="es-ES"/>
        </w:rPr>
        <w:t xml:space="preserve"> l. XII, t. 1, septiembre 2012, p. 522</w:t>
      </w:r>
    </w:p>
  </w:footnote>
  <w:footnote w:id="53">
    <w:p w14:paraId="047C23F9" w14:textId="66CB2A44"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P. I/2014 (10a.), Gaceta del Semanario Judicial de la Federación, Décima Época, l. 3, t. I, febrero 2014, p. 273</w:t>
      </w:r>
    </w:p>
  </w:footnote>
  <w:footnote w:id="54">
    <w:p w14:paraId="281356A7" w14:textId="5D5B5A45"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1a. XV/2021 (10a.)</w:t>
      </w:r>
      <w:r w:rsidRPr="008C2070">
        <w:rPr>
          <w:rFonts w:ascii="Times New Roman" w:hAnsi="Times New Roman" w:cs="Times New Roman"/>
          <w:lang w:val="es-ES"/>
        </w:rPr>
        <w:t xml:space="preserve">, </w:t>
      </w:r>
      <w:r w:rsidRPr="008C2070">
        <w:rPr>
          <w:rFonts w:ascii="Times New Roman" w:hAnsi="Times New Roman" w:cs="Times New Roman"/>
          <w:i/>
          <w:iCs/>
        </w:rPr>
        <w:t>Semanario Judicial de la Federación y su Gaceta</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xml:space="preserve"> l. 84, t. II, marzo 2021, p. 1224</w:t>
      </w:r>
    </w:p>
  </w:footnote>
  <w:footnote w:id="55">
    <w:p w14:paraId="5B5B4A7F" w14:textId="1C50CB7B" w:rsidR="00B54B95" w:rsidRPr="008C2070" w:rsidRDefault="00B54B95" w:rsidP="00605BDB">
      <w:pPr>
        <w:pStyle w:val="Textonotapie"/>
        <w:jc w:val="both"/>
        <w:rPr>
          <w:rFonts w:ascii="Times New Roman" w:hAnsi="Times New Roman" w:cs="Times New Roman"/>
          <w:lang w:val="es-ES"/>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2a. CVIII/2014 (10a.), Gaceta del Semanario Judicial de la Federación, Décima Época, l. 12, t. I, noviembre 2014, p.1192 y IV.1o.A.24 A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10, t. III, septiembre 2014, p.2593</w:t>
      </w:r>
    </w:p>
  </w:footnote>
  <w:footnote w:id="56">
    <w:p w14:paraId="65A63F87" w14:textId="7B25A360"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1a. XIV/2021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84, t. II, marzo 2021, p. 1222. Esta tesis manifiesta que los criterios implican: 1) para el subjetivo que el Estado deberá actuar con el propósito de procurar el tratamiento terapéutico y farmacéutico del paciente, 2) para el objetivo, que el Estado deberá garantizar que el tratamiento sea adecuado, de modo que si el paciente requiere algún medicamento, éste contenga las sales originales o genéricas, 3) para el temporal, que el  Estado deberá garantizar que el tratamiento del paciente se garantice de forma oportuna, permanente y constante; y, 3) para el institucional, que el Estado debe garantizar que las unidades médicas o instituciones de salud que se encarguen de la garantía del tratamiento lo hagan de conformidad con los estándares más altos de tecnología y especialización médica.</w:t>
      </w:r>
    </w:p>
  </w:footnote>
  <w:footnote w:id="57">
    <w:p w14:paraId="1BA9896E" w14:textId="5303B19E"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1a. XXIII/2013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XVI, t. I, enero 2013, p. 626</w:t>
      </w:r>
    </w:p>
  </w:footnote>
  <w:footnote w:id="58">
    <w:p w14:paraId="198C7B9B" w14:textId="69B3729E" w:rsidR="00B54B95" w:rsidRPr="00CE377C" w:rsidRDefault="00B54B95" w:rsidP="00605BDB">
      <w:pPr>
        <w:pStyle w:val="Textonotapie"/>
        <w:jc w:val="both"/>
        <w:rPr>
          <w:rFonts w:ascii="Times New Roman" w:hAnsi="Times New Roman" w:cs="Times New Roman"/>
          <w:i/>
          <w:iCs/>
        </w:rPr>
      </w:pPr>
      <w:r w:rsidRPr="008C2070">
        <w:rPr>
          <w:rStyle w:val="Refdenotaalpie"/>
          <w:rFonts w:ascii="Times New Roman" w:hAnsi="Times New Roman" w:cs="Times New Roman"/>
        </w:rPr>
        <w:footnoteRef/>
      </w:r>
      <w:r w:rsidRPr="008C2070">
        <w:rPr>
          <w:rFonts w:ascii="Times New Roman" w:hAnsi="Times New Roman" w:cs="Times New Roman"/>
        </w:rPr>
        <w:t xml:space="preserve"> </w:t>
      </w:r>
      <w:r w:rsidR="00CE377C" w:rsidRPr="008C2070">
        <w:rPr>
          <w:rFonts w:ascii="Times New Roman" w:hAnsi="Times New Roman" w:cs="Times New Roman"/>
        </w:rPr>
        <w:t>Tesis 1a. XIV/2021 (10a.)</w:t>
      </w:r>
      <w:r w:rsidR="00CE377C">
        <w:rPr>
          <w:rFonts w:ascii="Times New Roman" w:hAnsi="Times New Roman" w:cs="Times New Roman"/>
        </w:rPr>
        <w:t xml:space="preserve">, </w:t>
      </w:r>
      <w:r w:rsidR="00CE377C">
        <w:rPr>
          <w:rFonts w:ascii="Times New Roman" w:hAnsi="Times New Roman" w:cs="Times New Roman"/>
          <w:i/>
          <w:iCs/>
        </w:rPr>
        <w:t>o</w:t>
      </w:r>
      <w:r w:rsidRPr="00CE377C">
        <w:rPr>
          <w:rFonts w:ascii="Times New Roman" w:hAnsi="Times New Roman" w:cs="Times New Roman"/>
          <w:i/>
          <w:iCs/>
        </w:rPr>
        <w:t xml:space="preserve">p. </w:t>
      </w:r>
      <w:r w:rsidR="00CE377C">
        <w:rPr>
          <w:rFonts w:ascii="Times New Roman" w:hAnsi="Times New Roman" w:cs="Times New Roman"/>
          <w:i/>
          <w:iCs/>
        </w:rPr>
        <w:t>c</w:t>
      </w:r>
      <w:r w:rsidRPr="00CE377C">
        <w:rPr>
          <w:rFonts w:ascii="Times New Roman" w:hAnsi="Times New Roman" w:cs="Times New Roman"/>
          <w:i/>
          <w:iCs/>
        </w:rPr>
        <w:t>it.</w:t>
      </w:r>
      <w:r w:rsidRPr="008C2070">
        <w:rPr>
          <w:rFonts w:ascii="Times New Roman" w:hAnsi="Times New Roman" w:cs="Times New Roman"/>
        </w:rPr>
        <w:t xml:space="preserve"> </w:t>
      </w:r>
    </w:p>
  </w:footnote>
  <w:footnote w:id="59">
    <w:p w14:paraId="114E9E46" w14:textId="65EC240E"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P. XVIII/2011</w:t>
      </w:r>
      <w:r w:rsidRPr="008C2070">
        <w:rPr>
          <w:rFonts w:ascii="Times New Roman" w:hAnsi="Times New Roman" w:cs="Times New Roman"/>
          <w:lang w:val="es-ES"/>
        </w:rPr>
        <w:t xml:space="preserve">, </w:t>
      </w:r>
      <w:r w:rsidRPr="008C2070">
        <w:rPr>
          <w:rFonts w:ascii="Times New Roman" w:hAnsi="Times New Roman" w:cs="Times New Roman"/>
          <w:i/>
          <w:iCs/>
        </w:rPr>
        <w:t>Semanario Judicial de la Federación y su Gaceta</w:t>
      </w:r>
      <w:r w:rsidRPr="008C2070">
        <w:rPr>
          <w:rFonts w:ascii="Times New Roman" w:hAnsi="Times New Roman" w:cs="Times New Roman"/>
        </w:rPr>
        <w:t>, Novena Época</w:t>
      </w:r>
      <w:r w:rsidRPr="008C2070">
        <w:rPr>
          <w:rFonts w:ascii="Times New Roman" w:hAnsi="Times New Roman" w:cs="Times New Roman"/>
          <w:lang w:val="es-ES"/>
        </w:rPr>
        <w:t>, t. XXXIV, agosto 2011, p. 32</w:t>
      </w:r>
    </w:p>
  </w:footnote>
  <w:footnote w:id="60">
    <w:p w14:paraId="32637890" w14:textId="3A363B0E"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VII.2o.T. J/68 L (10a.), Gaceta del Semanario Judicial de la Federación, Décima Época, l. 83, t. III, febrero 2021, p. 2808</w:t>
      </w:r>
    </w:p>
  </w:footnote>
  <w:footnote w:id="61">
    <w:p w14:paraId="24E6C173" w14:textId="7E2E155C"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XVII.1o.P.A. J/30 K (10a.)</w:t>
      </w:r>
      <w:r w:rsidRPr="008C2070">
        <w:rPr>
          <w:rFonts w:ascii="Times New Roman" w:hAnsi="Times New Roman" w:cs="Times New Roman"/>
          <w:lang w:val="es-ES"/>
        </w:rPr>
        <w:t xml:space="preserve">, </w:t>
      </w:r>
      <w:r w:rsidRPr="008C2070">
        <w:rPr>
          <w:rFonts w:ascii="Times New Roman" w:hAnsi="Times New Roman" w:cs="Times New Roman"/>
        </w:rPr>
        <w:t>.)</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79, t. II, octubre 2020, p. 1763</w:t>
      </w:r>
    </w:p>
  </w:footnote>
  <w:footnote w:id="62">
    <w:p w14:paraId="1D55FCD8" w14:textId="544C375B"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I.4o.A.3 A (11a.)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Úndécima</w:t>
      </w:r>
      <w:r w:rsidRPr="008C2070">
        <w:rPr>
          <w:rFonts w:ascii="Times New Roman" w:hAnsi="Times New Roman" w:cs="Times New Roman"/>
        </w:rPr>
        <w:t xml:space="preserve"> Época</w:t>
      </w:r>
      <w:r w:rsidRPr="008C2070">
        <w:rPr>
          <w:rFonts w:ascii="Times New Roman" w:hAnsi="Times New Roman" w:cs="Times New Roman"/>
          <w:lang w:val="es-ES"/>
        </w:rPr>
        <w:t>, l. 8, t. III, diciembre 2021, p. 2278</w:t>
      </w:r>
    </w:p>
  </w:footnote>
  <w:footnote w:id="63">
    <w:p w14:paraId="437B554A" w14:textId="4E1AF46B"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I.4o.A.46 K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Úndécima</w:t>
      </w:r>
      <w:r w:rsidRPr="008C2070">
        <w:rPr>
          <w:rFonts w:ascii="Times New Roman" w:hAnsi="Times New Roman" w:cs="Times New Roman"/>
        </w:rPr>
        <w:t xml:space="preserve"> Época</w:t>
      </w:r>
      <w:r w:rsidRPr="008C2070">
        <w:rPr>
          <w:rFonts w:ascii="Times New Roman" w:hAnsi="Times New Roman" w:cs="Times New Roman"/>
          <w:lang w:val="es-ES"/>
        </w:rPr>
        <w:t>, l. 1, t. III, mayo 2021, p. 2635</w:t>
      </w:r>
    </w:p>
  </w:footnote>
  <w:footnote w:id="64">
    <w:p w14:paraId="5B6F263C" w14:textId="6EE68736"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I.18o.A.33 K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68, t. III, julio 2019, p. 2160</w:t>
      </w:r>
    </w:p>
  </w:footnote>
  <w:footnote w:id="65">
    <w:p w14:paraId="4EA6993F" w14:textId="30993A6C" w:rsidR="00B54B95" w:rsidRPr="008C2070" w:rsidRDefault="00B54B95" w:rsidP="00605BDB">
      <w:pPr>
        <w:pStyle w:val="Textonotapie"/>
        <w:jc w:val="both"/>
        <w:rPr>
          <w:rFonts w:ascii="Times New Roman" w:hAnsi="Times New Roman" w:cs="Times New Roman"/>
          <w:lang w:val="es-ES"/>
        </w:rPr>
      </w:pPr>
      <w:r w:rsidRPr="008C2070">
        <w:rPr>
          <w:rStyle w:val="Refdenotaalpie"/>
          <w:rFonts w:ascii="Times New Roman" w:hAnsi="Times New Roman" w:cs="Times New Roman"/>
        </w:rPr>
        <w:footnoteRef/>
      </w:r>
      <w:r w:rsidRPr="008C2070">
        <w:rPr>
          <w:rFonts w:ascii="Times New Roman" w:hAnsi="Times New Roman" w:cs="Times New Roman"/>
        </w:rPr>
        <w:t>Tesis 2a./J. 40/2020 (10a.)</w:t>
      </w:r>
      <w:r w:rsidRPr="008C2070">
        <w:rPr>
          <w:rFonts w:ascii="Times New Roman" w:hAnsi="Times New Roman" w:cs="Times New Roman"/>
          <w:lang w:val="es-ES"/>
        </w:rPr>
        <w:t xml:space="preserve">, </w:t>
      </w:r>
      <w:r w:rsidRPr="008C2070">
        <w:rPr>
          <w:rFonts w:ascii="Times New Roman" w:hAnsi="Times New Roman" w:cs="Times New Roman"/>
          <w:i/>
          <w:iCs/>
          <w:lang w:val="es-ES"/>
        </w:rPr>
        <w:t xml:space="preserve">Gaceta del </w:t>
      </w:r>
      <w:r w:rsidRPr="008C2070">
        <w:rPr>
          <w:rFonts w:ascii="Times New Roman" w:hAnsi="Times New Roman" w:cs="Times New Roman"/>
          <w:i/>
          <w:iCs/>
        </w:rPr>
        <w:t>Semanario Judicial de la Federación</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79, t. I, octubre 2020, p. 974</w:t>
      </w:r>
    </w:p>
  </w:footnote>
  <w:footnote w:id="66">
    <w:p w14:paraId="10ACF840" w14:textId="1287D485"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XVII.1o.P.A.6 A (11a.), Gaceta del Semanario Judicial de la Federación, Úndécima Época, l. 8, t. III, diciembre 2021, p. 2286</w:t>
      </w:r>
    </w:p>
    <w:p w14:paraId="1334FE9C" w14:textId="56BC6D37" w:rsidR="00B54B95" w:rsidRPr="008C2070" w:rsidRDefault="00B54B95" w:rsidP="00605BDB">
      <w:pPr>
        <w:pStyle w:val="Textonotapie"/>
        <w:jc w:val="both"/>
        <w:rPr>
          <w:rFonts w:ascii="Times New Roman" w:hAnsi="Times New Roman" w:cs="Times New Roman"/>
        </w:rPr>
      </w:pPr>
      <w:r w:rsidRPr="008C2070">
        <w:rPr>
          <w:rFonts w:ascii="Times New Roman" w:hAnsi="Times New Roman" w:cs="Times New Roman"/>
        </w:rPr>
        <w:t xml:space="preserve">  XVII.2o.P.A.5 A (11a.), Gaceta del Semanario Judicial de la Federación, Úndécima Época, l. 7, t. IV, noviembre 2021, p. 3416</w:t>
      </w:r>
    </w:p>
  </w:footnote>
  <w:footnote w:id="67">
    <w:p w14:paraId="16FD3586" w14:textId="01631635"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PC.I.L. J/5 L (11a.) , </w:t>
      </w:r>
      <w:r w:rsidRPr="008C2070">
        <w:rPr>
          <w:rFonts w:ascii="Times New Roman" w:hAnsi="Times New Roman" w:cs="Times New Roman"/>
          <w:i/>
          <w:iCs/>
        </w:rPr>
        <w:t>Gaceta del Semanario Judicial de la Federación</w:t>
      </w:r>
      <w:r w:rsidRPr="008C2070">
        <w:rPr>
          <w:rFonts w:ascii="Times New Roman" w:hAnsi="Times New Roman" w:cs="Times New Roman"/>
        </w:rPr>
        <w:t>, Úndécima Época, l. 7, t. III, noviembre 2021, p. 2218; y, PC.I.L. J/6 L (11a.), Gaceta del Semanario Judicial de la Federación, Úndécima Época, l. 7, t. III, noviembre 2021, p. 2360</w:t>
      </w:r>
    </w:p>
  </w:footnote>
  <w:footnote w:id="68">
    <w:p w14:paraId="6A2316A2" w14:textId="1F46FA01"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1a. CCCXLIII/2015 (10a.)</w:t>
      </w:r>
      <w:r w:rsidRPr="008C2070">
        <w:rPr>
          <w:rFonts w:ascii="Times New Roman" w:hAnsi="Times New Roman" w:cs="Times New Roman"/>
          <w:lang w:val="es-ES"/>
        </w:rPr>
        <w:t xml:space="preserve">, </w:t>
      </w:r>
      <w:r w:rsidRPr="008C2070">
        <w:rPr>
          <w:rFonts w:ascii="Times New Roman" w:hAnsi="Times New Roman" w:cs="Times New Roman"/>
          <w:i/>
          <w:iCs/>
        </w:rPr>
        <w:t>Semanario Judicial de la Federación y su Gaceta</w:t>
      </w:r>
      <w:r w:rsidRPr="008C2070">
        <w:rPr>
          <w:rFonts w:ascii="Times New Roman" w:hAnsi="Times New Roman" w:cs="Times New Roman"/>
          <w:lang w:val="es-ES"/>
        </w:rPr>
        <w:t>, Décima</w:t>
      </w:r>
      <w:r w:rsidRPr="008C2070">
        <w:rPr>
          <w:rFonts w:ascii="Times New Roman" w:hAnsi="Times New Roman" w:cs="Times New Roman"/>
        </w:rPr>
        <w:t xml:space="preserve"> Época,</w:t>
      </w:r>
      <w:r w:rsidRPr="008C2070">
        <w:rPr>
          <w:rFonts w:ascii="Times New Roman" w:hAnsi="Times New Roman" w:cs="Times New Roman"/>
          <w:lang w:val="es-ES"/>
        </w:rPr>
        <w:t>, l. 24, t. I, noviembre 2015, p. 969</w:t>
      </w:r>
    </w:p>
  </w:footnote>
  <w:footnote w:id="69">
    <w:p w14:paraId="3259DE78" w14:textId="2119C00D"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1a. CXCVI/2012 (10a.), Gaceta del Semanario Judicial de la Federación, Décima Época, l. XII, t. 1, septiembre 2012, p. 522.</w:t>
      </w:r>
    </w:p>
  </w:footnote>
  <w:footnote w:id="70">
    <w:p w14:paraId="64A6783F" w14:textId="75532681"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I.8o.A.6 CS (10a.), Gaceta del Semanario Judicial de la Federación, Décima Época, l. 47, t. IV, octubre 2017, p. 2431</w:t>
      </w:r>
    </w:p>
  </w:footnote>
  <w:footnote w:id="71">
    <w:p w14:paraId="54CEE36B" w14:textId="224C9C01"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I.18o.A.18 K (10a.) Gaceta del Semanario Judicial de la Federación, Décima Época, l. 56, t. II, julio 2018, p. 1481</w:t>
      </w:r>
    </w:p>
  </w:footnote>
  <w:footnote w:id="72">
    <w:p w14:paraId="29FF21C9" w14:textId="2DA680E5"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Ver AR 350/2014</w:t>
      </w:r>
    </w:p>
  </w:footnote>
  <w:footnote w:id="73">
    <w:p w14:paraId="02C54281" w14:textId="6BEBACBE" w:rsidR="00B54B95" w:rsidRPr="008C2070" w:rsidRDefault="00B54B95" w:rsidP="00605BDB">
      <w:pPr>
        <w:pStyle w:val="Textonotapie"/>
        <w:jc w:val="both"/>
        <w:rPr>
          <w:rFonts w:ascii="Times New Roman" w:hAnsi="Times New Roman" w:cs="Times New Roman"/>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P./J. 29/2011, </w:t>
      </w:r>
      <w:r w:rsidR="00CE377C">
        <w:rPr>
          <w:rFonts w:ascii="Times New Roman" w:hAnsi="Times New Roman" w:cs="Times New Roman"/>
          <w:i/>
          <w:iCs/>
        </w:rPr>
        <w:t>o</w:t>
      </w:r>
      <w:r w:rsidR="00CE377C" w:rsidRPr="00CE377C">
        <w:rPr>
          <w:rFonts w:ascii="Times New Roman" w:hAnsi="Times New Roman" w:cs="Times New Roman"/>
          <w:i/>
          <w:iCs/>
        </w:rPr>
        <w:t xml:space="preserve">p. </w:t>
      </w:r>
      <w:r w:rsidR="00CE377C">
        <w:rPr>
          <w:rFonts w:ascii="Times New Roman" w:hAnsi="Times New Roman" w:cs="Times New Roman"/>
          <w:i/>
          <w:iCs/>
        </w:rPr>
        <w:t>c</w:t>
      </w:r>
      <w:r w:rsidR="00CE377C" w:rsidRPr="00CE377C">
        <w:rPr>
          <w:rFonts w:ascii="Times New Roman" w:hAnsi="Times New Roman" w:cs="Times New Roman"/>
          <w:i/>
          <w:iCs/>
        </w:rPr>
        <w:t>it.</w:t>
      </w:r>
    </w:p>
  </w:footnote>
  <w:footnote w:id="74">
    <w:p w14:paraId="64950E07" w14:textId="2BD849C9"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P. XVI/2011, </w:t>
      </w:r>
      <w:r w:rsidR="00CE377C" w:rsidRPr="00CE377C">
        <w:rPr>
          <w:rFonts w:ascii="Times New Roman" w:hAnsi="Times New Roman" w:cs="Times New Roman"/>
          <w:i/>
          <w:iCs/>
          <w:lang w:val="en-US"/>
        </w:rPr>
        <w:t>op. cit.</w:t>
      </w:r>
    </w:p>
  </w:footnote>
  <w:footnote w:id="75">
    <w:p w14:paraId="4548011B" w14:textId="6B505E1A"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w:t>
      </w:r>
      <w:bookmarkStart w:id="5" w:name="_Hlk94636806"/>
      <w:r w:rsidRPr="00CE377C">
        <w:rPr>
          <w:rFonts w:ascii="Times New Roman" w:hAnsi="Times New Roman" w:cs="Times New Roman"/>
          <w:lang w:val="en-US"/>
        </w:rPr>
        <w:t xml:space="preserve">Tesis 1a./J. 50/2009, </w:t>
      </w:r>
      <w:bookmarkEnd w:id="5"/>
      <w:r w:rsidR="00CE377C" w:rsidRPr="00CE377C">
        <w:rPr>
          <w:rFonts w:ascii="Times New Roman" w:hAnsi="Times New Roman" w:cs="Times New Roman"/>
          <w:i/>
          <w:iCs/>
          <w:lang w:val="en-US"/>
        </w:rPr>
        <w:t>op. cit.</w:t>
      </w:r>
    </w:p>
  </w:footnote>
  <w:footnote w:id="76">
    <w:p w14:paraId="765F3C20" w14:textId="594FC701"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VI.2o.37 P, </w:t>
      </w:r>
      <w:r w:rsidR="00CE377C" w:rsidRPr="00CE377C">
        <w:rPr>
          <w:rFonts w:ascii="Times New Roman" w:hAnsi="Times New Roman" w:cs="Times New Roman"/>
          <w:i/>
          <w:iCs/>
          <w:lang w:val="en-US"/>
        </w:rPr>
        <w:t>op. cit.</w:t>
      </w:r>
    </w:p>
  </w:footnote>
  <w:footnote w:id="77">
    <w:p w14:paraId="3E92973A" w14:textId="089C55E5"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w:t>
      </w:r>
      <w:bookmarkStart w:id="6" w:name="_Hlk94636838"/>
      <w:r w:rsidRPr="00CE377C">
        <w:rPr>
          <w:rFonts w:ascii="Times New Roman" w:hAnsi="Times New Roman" w:cs="Times New Roman"/>
          <w:lang w:val="en-US"/>
        </w:rPr>
        <w:t xml:space="preserve">Tesis 1a./J. 47/2009, </w:t>
      </w:r>
      <w:bookmarkEnd w:id="6"/>
      <w:r w:rsidR="00CE377C" w:rsidRPr="00CE377C">
        <w:rPr>
          <w:rFonts w:ascii="Times New Roman" w:hAnsi="Times New Roman" w:cs="Times New Roman"/>
          <w:i/>
          <w:iCs/>
          <w:lang w:val="en-US"/>
        </w:rPr>
        <w:t>op. cit.</w:t>
      </w:r>
    </w:p>
  </w:footnote>
  <w:footnote w:id="78">
    <w:p w14:paraId="18C072CD" w14:textId="5A70262A"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P. XV/2011, </w:t>
      </w:r>
      <w:r w:rsidR="00CE377C" w:rsidRPr="00CE377C">
        <w:rPr>
          <w:rFonts w:ascii="Times New Roman" w:hAnsi="Times New Roman" w:cs="Times New Roman"/>
          <w:i/>
          <w:iCs/>
          <w:lang w:val="en-US"/>
        </w:rPr>
        <w:t>op. cit.</w:t>
      </w:r>
    </w:p>
  </w:footnote>
  <w:footnote w:id="79">
    <w:p w14:paraId="2A00D713" w14:textId="10666ADF"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1a. LXV/2008, </w:t>
      </w:r>
      <w:r w:rsidR="00CE377C" w:rsidRPr="00CE377C">
        <w:rPr>
          <w:rFonts w:ascii="Times New Roman" w:hAnsi="Times New Roman" w:cs="Times New Roman"/>
          <w:i/>
          <w:iCs/>
          <w:lang w:val="en-US"/>
        </w:rPr>
        <w:t>op. cit.</w:t>
      </w:r>
    </w:p>
  </w:footnote>
  <w:footnote w:id="80">
    <w:p w14:paraId="7D47BB02" w14:textId="224D9A81" w:rsidR="00B54B95" w:rsidRPr="00E6439E" w:rsidRDefault="00B54B95" w:rsidP="00605BDB">
      <w:pPr>
        <w:pStyle w:val="Textonotapie"/>
        <w:jc w:val="both"/>
        <w:rPr>
          <w:rFonts w:ascii="Times New Roman" w:hAnsi="Times New Roman" w:cs="Times New Roman"/>
          <w:i/>
          <w:iCs/>
          <w:lang w:val="en-US"/>
        </w:rPr>
      </w:pPr>
      <w:r w:rsidRPr="008C2070">
        <w:rPr>
          <w:rStyle w:val="Refdenotaalpie"/>
          <w:rFonts w:ascii="Times New Roman" w:hAnsi="Times New Roman" w:cs="Times New Roman"/>
        </w:rPr>
        <w:footnoteRef/>
      </w:r>
      <w:r w:rsidRPr="00E6439E">
        <w:rPr>
          <w:rFonts w:ascii="Times New Roman" w:hAnsi="Times New Roman" w:cs="Times New Roman"/>
          <w:lang w:val="en-US"/>
        </w:rPr>
        <w:t xml:space="preserve"> </w:t>
      </w:r>
      <w:bookmarkStart w:id="7" w:name="_Hlk94637297"/>
      <w:r w:rsidRPr="00E6439E">
        <w:rPr>
          <w:rFonts w:ascii="Times New Roman" w:hAnsi="Times New Roman" w:cs="Times New Roman"/>
          <w:lang w:val="en-US"/>
        </w:rPr>
        <w:t xml:space="preserve">Tesis P./J. 136/2008, </w:t>
      </w:r>
      <w:bookmarkEnd w:id="7"/>
      <w:r w:rsidR="00CE377C" w:rsidRPr="00E6439E">
        <w:rPr>
          <w:rFonts w:ascii="Times New Roman" w:hAnsi="Times New Roman" w:cs="Times New Roman"/>
          <w:i/>
          <w:iCs/>
          <w:lang w:val="en-US"/>
        </w:rPr>
        <w:t>op. cit.</w:t>
      </w:r>
    </w:p>
  </w:footnote>
  <w:footnote w:id="81">
    <w:p w14:paraId="43DE2407" w14:textId="09D3AAB0" w:rsidR="00B54B95" w:rsidRPr="00E6439E"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E6439E">
        <w:rPr>
          <w:rFonts w:ascii="Times New Roman" w:hAnsi="Times New Roman" w:cs="Times New Roman"/>
          <w:lang w:val="en-US"/>
        </w:rPr>
        <w:t xml:space="preserve"> Tesis P. XVII/2011, </w:t>
      </w:r>
      <w:r w:rsidR="00CE377C" w:rsidRPr="00E6439E">
        <w:rPr>
          <w:rFonts w:ascii="Times New Roman" w:hAnsi="Times New Roman" w:cs="Times New Roman"/>
          <w:i/>
          <w:iCs/>
          <w:lang w:val="en-US"/>
        </w:rPr>
        <w:t xml:space="preserve">op. cit. </w:t>
      </w:r>
    </w:p>
  </w:footnote>
  <w:footnote w:id="82">
    <w:p w14:paraId="3C18F463" w14:textId="007C680C" w:rsidR="00B54B95" w:rsidRPr="00CE377C" w:rsidRDefault="00B54B95" w:rsidP="00605BDB">
      <w:pPr>
        <w:pStyle w:val="Textonotapie"/>
        <w:jc w:val="both"/>
        <w:rPr>
          <w:rFonts w:ascii="Times New Roman" w:hAnsi="Times New Roman" w:cs="Times New Roman"/>
          <w:i/>
          <w:iCs/>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P. LXVIII/2009, </w:t>
      </w:r>
      <w:r w:rsidR="00CE377C" w:rsidRPr="00CE377C">
        <w:rPr>
          <w:rFonts w:ascii="Times New Roman" w:hAnsi="Times New Roman" w:cs="Times New Roman"/>
          <w:i/>
          <w:iCs/>
          <w:lang w:val="en-US"/>
        </w:rPr>
        <w:t>op. cit.</w:t>
      </w:r>
    </w:p>
  </w:footnote>
  <w:footnote w:id="83">
    <w:p w14:paraId="24645D9F" w14:textId="1CCB68CF"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P. XIX/2000,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84">
    <w:p w14:paraId="39686691" w14:textId="26A3ECF8"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1a./J. 8/2019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85">
    <w:p w14:paraId="75339F4A" w14:textId="53E43D5D"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E6439E">
        <w:rPr>
          <w:rFonts w:ascii="Times New Roman" w:hAnsi="Times New Roman" w:cs="Times New Roman"/>
          <w:lang w:val="en-US"/>
        </w:rPr>
        <w:t xml:space="preserve"> Tesis 1a. </w:t>
      </w:r>
      <w:r w:rsidRPr="00CE377C">
        <w:rPr>
          <w:rFonts w:ascii="Times New Roman" w:hAnsi="Times New Roman" w:cs="Times New Roman"/>
          <w:lang w:val="en-US"/>
        </w:rPr>
        <w:t xml:space="preserve">XV/2021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86">
    <w:p w14:paraId="5872D92F" w14:textId="57EA0473"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w:t>
      </w:r>
      <w:r w:rsidRPr="00CE377C">
        <w:rPr>
          <w:rFonts w:ascii="Times New Roman" w:hAnsi="Times New Roman" w:cs="Times New Roman"/>
          <w:color w:val="212529"/>
          <w:shd w:val="clear" w:color="auto" w:fill="FFFFFF"/>
          <w:lang w:val="en-US"/>
        </w:rPr>
        <w:t xml:space="preserve">2a. CVIII/2014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87">
    <w:p w14:paraId="4902D14A" w14:textId="33A7C6A8"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IV.1o.A.24 A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88">
    <w:p w14:paraId="0C23EF55" w14:textId="439417A1"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1a. XIV/2021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89">
    <w:p w14:paraId="59A1557C" w14:textId="04972A27"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1a. XXIII/2013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90">
    <w:p w14:paraId="1D596C70" w14:textId="3D66B6E8"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VII.2o.P. J/2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91">
    <w:p w14:paraId="0AA1B7DE" w14:textId="7D2AC284"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XI.P.28 P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92">
    <w:p w14:paraId="79177572" w14:textId="67C5BDBB"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VII.2o.P.3 P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93">
    <w:p w14:paraId="1401804A" w14:textId="051E57A3" w:rsidR="00B54B95" w:rsidRPr="00E6439E"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E6439E">
        <w:rPr>
          <w:rFonts w:ascii="Times New Roman" w:hAnsi="Times New Roman" w:cs="Times New Roman"/>
          <w:lang w:val="en-US"/>
        </w:rPr>
        <w:t xml:space="preserve"> Tesis IV.1o.A.24 A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94">
    <w:p w14:paraId="18A363B0" w14:textId="35327E33" w:rsidR="00B54B95" w:rsidRPr="00E6439E"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E6439E">
        <w:rPr>
          <w:rFonts w:ascii="Times New Roman" w:hAnsi="Times New Roman" w:cs="Times New Roman"/>
          <w:lang w:val="en-US"/>
        </w:rPr>
        <w:t xml:space="preserve"> Tesis I.4o.A.86 A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95">
    <w:p w14:paraId="4F341162" w14:textId="44C9736B"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IX.1o.1 CS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96">
    <w:p w14:paraId="3F42F6D7" w14:textId="47755A97"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XVII.2o.C.T.11 L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97">
    <w:p w14:paraId="580B73EE" w14:textId="20ADEF7A"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I.4o.A.200 A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98">
    <w:p w14:paraId="4A6B6287" w14:textId="78F8E8CB"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2a. LVIII/2019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99">
    <w:p w14:paraId="14AFB28E" w14:textId="40AE5320" w:rsidR="00B54B95" w:rsidRPr="00E6439E"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E6439E">
        <w:rPr>
          <w:rFonts w:ascii="Times New Roman" w:hAnsi="Times New Roman" w:cs="Times New Roman"/>
          <w:lang w:val="en-US"/>
        </w:rPr>
        <w:t xml:space="preserve"> Tesis 1a. XIII/2021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100">
    <w:p w14:paraId="3361BF70" w14:textId="5C529357"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VI.1o.T.1 L (11a.),</w:t>
      </w:r>
      <w:r w:rsidR="00CE377C" w:rsidRPr="00CE377C">
        <w:rPr>
          <w:rFonts w:ascii="Times New Roman" w:hAnsi="Times New Roman" w:cs="Times New Roman"/>
          <w:i/>
          <w:iCs/>
          <w:lang w:val="en-US"/>
        </w:rPr>
        <w:t xml:space="preserve"> op</w:t>
      </w:r>
      <w:r w:rsidR="00CE377C">
        <w:rPr>
          <w:rFonts w:ascii="Times New Roman" w:hAnsi="Times New Roman" w:cs="Times New Roman"/>
          <w:i/>
          <w:iCs/>
          <w:lang w:val="en-US"/>
        </w:rPr>
        <w:t>. cit.</w:t>
      </w:r>
    </w:p>
  </w:footnote>
  <w:footnote w:id="101">
    <w:p w14:paraId="47F9FAF6" w14:textId="34B69A84"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2a. LVII/2019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102">
    <w:p w14:paraId="5C1D8FF3" w14:textId="6F95FAEA" w:rsidR="00B54B95" w:rsidRPr="00CE377C" w:rsidRDefault="00B54B95" w:rsidP="00605BDB">
      <w:pPr>
        <w:pStyle w:val="Textonotapie"/>
        <w:jc w:val="both"/>
        <w:rPr>
          <w:rFonts w:ascii="Times New Roman" w:hAnsi="Times New Roman" w:cs="Times New Roman"/>
          <w:i/>
          <w:iCs/>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1a. CXCVI/2012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103">
    <w:p w14:paraId="75283C49" w14:textId="7850985C"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P. I/2014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104">
    <w:p w14:paraId="4D5293A0" w14:textId="4E7FBA13" w:rsidR="00B54B95" w:rsidRPr="00CE377C" w:rsidRDefault="00B54B95" w:rsidP="00605BDB">
      <w:pPr>
        <w:pStyle w:val="Textonotapie"/>
        <w:jc w:val="both"/>
        <w:rPr>
          <w:rFonts w:ascii="Times New Roman" w:hAnsi="Times New Roman" w:cs="Times New Roman"/>
          <w:lang w:val="es-ES"/>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(VIII Región)2o.16 L (10a.)</w:t>
      </w:r>
      <w:r w:rsidRPr="008C2070">
        <w:rPr>
          <w:rFonts w:ascii="Times New Roman" w:hAnsi="Times New Roman" w:cs="Times New Roman"/>
          <w:lang w:val="es-ES"/>
        </w:rPr>
        <w:t xml:space="preserve">, </w:t>
      </w:r>
      <w:r w:rsidR="00CE377C" w:rsidRPr="00CE377C">
        <w:rPr>
          <w:rFonts w:ascii="Times New Roman" w:hAnsi="Times New Roman" w:cs="Times New Roman"/>
          <w:i/>
          <w:iCs/>
          <w:lang w:val="es-ES"/>
        </w:rPr>
        <w:t>op. cit.</w:t>
      </w:r>
    </w:p>
  </w:footnote>
  <w:footnote w:id="105">
    <w:p w14:paraId="717583F5" w14:textId="6F686229" w:rsidR="00B54B95" w:rsidRPr="00E6439E"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E6439E">
        <w:rPr>
          <w:rFonts w:ascii="Times New Roman" w:hAnsi="Times New Roman" w:cs="Times New Roman"/>
          <w:lang w:val="en-US"/>
        </w:rPr>
        <w:t xml:space="preserve"> Tesis 1a. CCLXVII/2016 (10a.),</w:t>
      </w:r>
      <w:r w:rsidRPr="00E6439E">
        <w:rPr>
          <w:rFonts w:ascii="Times New Roman" w:hAnsi="Times New Roman" w:cs="Times New Roman"/>
          <w:i/>
          <w:iCs/>
          <w:lang w:val="en-US"/>
        </w:rPr>
        <w:t xml:space="preserve">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106">
    <w:p w14:paraId="2D6FCF2B" w14:textId="4B69F524" w:rsidR="00B54B95" w:rsidRPr="00E6439E"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E6439E">
        <w:rPr>
          <w:rFonts w:ascii="Times New Roman" w:hAnsi="Times New Roman" w:cs="Times New Roman"/>
          <w:lang w:val="en-US"/>
        </w:rPr>
        <w:t xml:space="preserve"> Tesis P. XVIII/2011, </w:t>
      </w:r>
      <w:r w:rsidR="00CE377C" w:rsidRPr="00E6439E">
        <w:rPr>
          <w:rFonts w:ascii="Times New Roman" w:hAnsi="Times New Roman" w:cs="Times New Roman"/>
          <w:i/>
          <w:iCs/>
          <w:lang w:val="en-US"/>
        </w:rPr>
        <w:t>op. cit.</w:t>
      </w:r>
    </w:p>
  </w:footnote>
  <w:footnote w:id="107">
    <w:p w14:paraId="356B7CD0" w14:textId="47A87599" w:rsidR="00B54B95" w:rsidRPr="00CE377C" w:rsidRDefault="00B54B95" w:rsidP="00605BDB">
      <w:pPr>
        <w:pStyle w:val="Textonotapie"/>
        <w:jc w:val="both"/>
        <w:rPr>
          <w:rFonts w:ascii="Times New Roman" w:hAnsi="Times New Roman" w:cs="Times New Roman"/>
          <w:lang w:val="es-ES"/>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PC.I.L. J/5 L (11a.) </w:t>
      </w:r>
      <w:r w:rsidRPr="008C2070">
        <w:rPr>
          <w:rFonts w:ascii="Times New Roman" w:hAnsi="Times New Roman" w:cs="Times New Roman"/>
          <w:lang w:val="es-ES"/>
        </w:rPr>
        <w:t xml:space="preserve">, </w:t>
      </w:r>
      <w:r w:rsidR="00CE377C" w:rsidRPr="00CE377C">
        <w:rPr>
          <w:rFonts w:ascii="Times New Roman" w:hAnsi="Times New Roman" w:cs="Times New Roman"/>
          <w:i/>
          <w:iCs/>
          <w:lang w:val="es-ES"/>
        </w:rPr>
        <w:t>op. cit.</w:t>
      </w:r>
    </w:p>
  </w:footnote>
  <w:footnote w:id="108">
    <w:p w14:paraId="77A00962" w14:textId="3BA9BBBA" w:rsidR="00B54B95" w:rsidRPr="008C2070" w:rsidRDefault="00B54B95" w:rsidP="00605BDB">
      <w:pPr>
        <w:pStyle w:val="Textonotapie"/>
        <w:jc w:val="both"/>
        <w:rPr>
          <w:rFonts w:ascii="Times New Roman" w:hAnsi="Times New Roman" w:cs="Times New Roman"/>
          <w:lang w:val="es-ES"/>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PC.I.L. J/6 L (11a.)</w:t>
      </w:r>
      <w:r w:rsidRPr="008C2070">
        <w:rPr>
          <w:rFonts w:ascii="Times New Roman" w:hAnsi="Times New Roman" w:cs="Times New Roman"/>
          <w:lang w:val="es-ES"/>
        </w:rPr>
        <w:t xml:space="preserve">, </w:t>
      </w:r>
      <w:r w:rsidR="00CE377C" w:rsidRPr="00CE377C">
        <w:rPr>
          <w:rFonts w:ascii="Times New Roman" w:hAnsi="Times New Roman" w:cs="Times New Roman"/>
          <w:i/>
          <w:iCs/>
          <w:lang w:val="es-ES"/>
        </w:rPr>
        <w:t>op. cit.</w:t>
      </w:r>
    </w:p>
  </w:footnote>
  <w:footnote w:id="109">
    <w:p w14:paraId="5194DBED" w14:textId="2FBF20AE"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I.8o.A.6 CS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r w:rsidRPr="00CE377C">
        <w:rPr>
          <w:rFonts w:ascii="Times New Roman" w:hAnsi="Times New Roman" w:cs="Times New Roman"/>
          <w:lang w:val="en-US"/>
        </w:rPr>
        <w:t>1</w:t>
      </w:r>
    </w:p>
  </w:footnote>
  <w:footnote w:id="110">
    <w:p w14:paraId="56C5FF85" w14:textId="14093436" w:rsidR="00B54B95" w:rsidRPr="008C2070" w:rsidRDefault="00B54B95" w:rsidP="00605BDB">
      <w:pPr>
        <w:pStyle w:val="Textonotapie"/>
        <w:jc w:val="both"/>
        <w:rPr>
          <w:rFonts w:ascii="Times New Roman" w:hAnsi="Times New Roman" w:cs="Times New Roman"/>
          <w:lang w:val="es-ES"/>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I.4o.A.3 A (11a.)</w:t>
      </w:r>
      <w:r w:rsidRPr="008C2070">
        <w:rPr>
          <w:rFonts w:ascii="Times New Roman" w:hAnsi="Times New Roman" w:cs="Times New Roman"/>
          <w:lang w:val="es-ES"/>
        </w:rPr>
        <w:t xml:space="preserve">, </w:t>
      </w:r>
      <w:r w:rsidR="00CE377C" w:rsidRPr="00CE377C">
        <w:rPr>
          <w:rFonts w:ascii="Times New Roman" w:hAnsi="Times New Roman" w:cs="Times New Roman"/>
          <w:i/>
          <w:iCs/>
          <w:lang w:val="es-ES"/>
        </w:rPr>
        <w:t>op. cit.</w:t>
      </w:r>
    </w:p>
  </w:footnote>
  <w:footnote w:id="111">
    <w:p w14:paraId="04E864CA" w14:textId="59136C43"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VII.2o.T. J/68 L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112">
    <w:p w14:paraId="626F5A32" w14:textId="757929DB"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I.4o.A.46 K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113">
    <w:p w14:paraId="64E40E92" w14:textId="0AD14FE8"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I.18o.A.33 K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114">
    <w:p w14:paraId="1C0FF226" w14:textId="0A2FBFF0"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XVII.1o.P.A. J/30 K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115">
    <w:p w14:paraId="2AC95FFE" w14:textId="74A16F29"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XVII.1o.P.A.6 A (11a.),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116">
    <w:p w14:paraId="0A7451FE" w14:textId="5AA94F3D" w:rsidR="00B54B95" w:rsidRPr="00CE377C" w:rsidRDefault="00B54B95" w:rsidP="00605BDB">
      <w:pPr>
        <w:pStyle w:val="Textonotapie"/>
        <w:jc w:val="both"/>
        <w:rPr>
          <w:rFonts w:ascii="Times New Roman" w:hAnsi="Times New Roman" w:cs="Times New Roman"/>
          <w:lang w:val="es-ES"/>
        </w:rPr>
      </w:pPr>
      <w:r w:rsidRPr="008C2070">
        <w:rPr>
          <w:rStyle w:val="Refdenotaalpie"/>
          <w:rFonts w:ascii="Times New Roman" w:hAnsi="Times New Roman" w:cs="Times New Roman"/>
        </w:rPr>
        <w:footnoteRef/>
      </w:r>
      <w:r w:rsidRPr="008C2070">
        <w:rPr>
          <w:rFonts w:ascii="Times New Roman" w:hAnsi="Times New Roman" w:cs="Times New Roman"/>
        </w:rPr>
        <w:t xml:space="preserve"> Tesis XVII.2o.P.A.5 A (11a.)</w:t>
      </w:r>
      <w:r w:rsidRPr="008C2070">
        <w:rPr>
          <w:rFonts w:ascii="Times New Roman" w:hAnsi="Times New Roman" w:cs="Times New Roman"/>
          <w:lang w:val="es-ES"/>
        </w:rPr>
        <w:t xml:space="preserve">, </w:t>
      </w:r>
      <w:r w:rsidR="00CE377C" w:rsidRPr="00CE377C">
        <w:rPr>
          <w:rFonts w:ascii="Times New Roman" w:hAnsi="Times New Roman" w:cs="Times New Roman"/>
          <w:i/>
          <w:iCs/>
          <w:lang w:val="es-ES"/>
        </w:rPr>
        <w:t>op. cit.</w:t>
      </w:r>
    </w:p>
  </w:footnote>
  <w:footnote w:id="117">
    <w:p w14:paraId="2B7A3206" w14:textId="1F903B53" w:rsidR="00B54B95" w:rsidRPr="00E6439E"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E6439E">
        <w:rPr>
          <w:rFonts w:ascii="Times New Roman" w:hAnsi="Times New Roman" w:cs="Times New Roman"/>
          <w:lang w:val="en-US"/>
        </w:rPr>
        <w:t xml:space="preserve"> Tesis 2a./J. 40/2020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118">
    <w:p w14:paraId="09DDE53A" w14:textId="7BC6A84C" w:rsidR="00B54B95" w:rsidRPr="00E6439E"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E6439E">
        <w:rPr>
          <w:rFonts w:ascii="Times New Roman" w:hAnsi="Times New Roman" w:cs="Times New Roman"/>
          <w:lang w:val="en-US"/>
        </w:rPr>
        <w:t xml:space="preserve"> Tesis 1a. CCCXLIII/2015 (10a.),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 w:id="119">
    <w:p w14:paraId="20AF9BC4" w14:textId="47E56FDE"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E6439E">
        <w:rPr>
          <w:rFonts w:ascii="Times New Roman" w:hAnsi="Times New Roman" w:cs="Times New Roman"/>
          <w:lang w:val="en-US"/>
        </w:rPr>
        <w:t xml:space="preserve"> Tesis 1a. </w:t>
      </w:r>
      <w:r w:rsidRPr="00CE377C">
        <w:rPr>
          <w:rFonts w:ascii="Times New Roman" w:hAnsi="Times New Roman" w:cs="Times New Roman"/>
          <w:lang w:val="en-US"/>
        </w:rPr>
        <w:t>CXCVI/2012 (10a.),</w:t>
      </w:r>
      <w:r w:rsidR="00CE377C" w:rsidRPr="00CE377C">
        <w:rPr>
          <w:rFonts w:ascii="Times New Roman" w:hAnsi="Times New Roman" w:cs="Times New Roman"/>
          <w:i/>
          <w:iCs/>
          <w:lang w:val="en-US"/>
        </w:rPr>
        <w:t xml:space="preserve"> op</w:t>
      </w:r>
      <w:r w:rsidR="00CE377C">
        <w:rPr>
          <w:rFonts w:ascii="Times New Roman" w:hAnsi="Times New Roman" w:cs="Times New Roman"/>
          <w:i/>
          <w:iCs/>
          <w:lang w:val="en-US"/>
        </w:rPr>
        <w:t>. cit.</w:t>
      </w:r>
      <w:r w:rsidRPr="00CE377C">
        <w:rPr>
          <w:rFonts w:ascii="Times New Roman" w:hAnsi="Times New Roman" w:cs="Times New Roman"/>
          <w:lang w:val="en-US"/>
        </w:rPr>
        <w:t>.</w:t>
      </w:r>
    </w:p>
  </w:footnote>
  <w:footnote w:id="120">
    <w:p w14:paraId="0BF782CD" w14:textId="5F90DC0D" w:rsidR="00B54B95" w:rsidRPr="00CE377C" w:rsidRDefault="00B54B95" w:rsidP="00605BDB">
      <w:pPr>
        <w:pStyle w:val="Textonotapie"/>
        <w:jc w:val="both"/>
        <w:rPr>
          <w:rFonts w:ascii="Times New Roman" w:hAnsi="Times New Roman" w:cs="Times New Roman"/>
          <w:lang w:val="en-US"/>
        </w:rPr>
      </w:pPr>
      <w:r w:rsidRPr="008C2070">
        <w:rPr>
          <w:rStyle w:val="Refdenotaalpie"/>
          <w:rFonts w:ascii="Times New Roman" w:hAnsi="Times New Roman" w:cs="Times New Roman"/>
        </w:rPr>
        <w:footnoteRef/>
      </w:r>
      <w:r w:rsidRPr="00CE377C">
        <w:rPr>
          <w:rFonts w:ascii="Times New Roman" w:hAnsi="Times New Roman" w:cs="Times New Roman"/>
          <w:lang w:val="en-US"/>
        </w:rPr>
        <w:t xml:space="preserve"> Tesis I.18o.A.18 K (10a.)</w:t>
      </w:r>
      <w:r w:rsidR="00CE377C" w:rsidRPr="00CE377C">
        <w:rPr>
          <w:rFonts w:ascii="Times New Roman" w:hAnsi="Times New Roman" w:cs="Times New Roman"/>
          <w:lang w:val="en-US"/>
        </w:rPr>
        <w:t>,</w:t>
      </w:r>
      <w:r w:rsidRPr="00CE377C">
        <w:rPr>
          <w:rFonts w:ascii="Times New Roman" w:hAnsi="Times New Roman" w:cs="Times New Roman"/>
          <w:lang w:val="en-US"/>
        </w:rPr>
        <w:t xml:space="preserve"> </w:t>
      </w:r>
      <w:r w:rsidR="00CE377C" w:rsidRPr="00CE377C">
        <w:rPr>
          <w:rFonts w:ascii="Times New Roman" w:hAnsi="Times New Roman" w:cs="Times New Roman"/>
          <w:i/>
          <w:iCs/>
          <w:lang w:val="en-US"/>
        </w:rPr>
        <w:t>op</w:t>
      </w:r>
      <w:r w:rsidR="00CE377C">
        <w:rPr>
          <w:rFonts w:ascii="Times New Roman" w:hAnsi="Times New Roman" w:cs="Times New Roman"/>
          <w:i/>
          <w:iCs/>
          <w:lang w:val="en-US"/>
        </w:rPr>
        <w:t>. cit.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63851"/>
    <w:multiLevelType w:val="hybridMultilevel"/>
    <w:tmpl w:val="506EED50"/>
    <w:lvl w:ilvl="0" w:tplc="232E153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42FC1"/>
    <w:multiLevelType w:val="hybridMultilevel"/>
    <w:tmpl w:val="77B283A2"/>
    <w:lvl w:ilvl="0" w:tplc="51F0FC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AF7344D"/>
    <w:multiLevelType w:val="hybridMultilevel"/>
    <w:tmpl w:val="5AD4D8D0"/>
    <w:lvl w:ilvl="0" w:tplc="81F2AA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DF3D8E"/>
    <w:multiLevelType w:val="hybridMultilevel"/>
    <w:tmpl w:val="DDBE7B3C"/>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8624B54"/>
    <w:multiLevelType w:val="hybridMultilevel"/>
    <w:tmpl w:val="DDBE7B3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B527396"/>
    <w:multiLevelType w:val="hybridMultilevel"/>
    <w:tmpl w:val="830023D4"/>
    <w:lvl w:ilvl="0" w:tplc="9E60585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3778BE"/>
    <w:multiLevelType w:val="hybridMultilevel"/>
    <w:tmpl w:val="BE3A5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E86CFD"/>
    <w:multiLevelType w:val="hybridMultilevel"/>
    <w:tmpl w:val="72EAEC7C"/>
    <w:lvl w:ilvl="0" w:tplc="04A2289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C7D2C85"/>
    <w:multiLevelType w:val="hybridMultilevel"/>
    <w:tmpl w:val="655E67F2"/>
    <w:lvl w:ilvl="0" w:tplc="1AB4BF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1"/>
  </w:num>
  <w:num w:numId="3">
    <w:abstractNumId w:val="3"/>
  </w:num>
  <w:num w:numId="4">
    <w:abstractNumId w:val="7"/>
  </w:num>
  <w:num w:numId="5">
    <w:abstractNumId w:val="6"/>
  </w:num>
  <w:num w:numId="6">
    <w:abstractNumId w:val="4"/>
  </w:num>
  <w:num w:numId="7">
    <w:abstractNumId w:val="5"/>
  </w:num>
  <w:num w:numId="8">
    <w:abstractNumId w:val="2"/>
  </w:num>
  <w:num w:numId="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obo Armijo María Fernanda">
    <w15:presenceInfo w15:providerId="None" w15:userId="Cobo Armijo María Fernanda"/>
  </w15:person>
  <w15:person w15:author="YESSICA PAMELA FLORES SUBIAS">
    <w15:presenceInfo w15:providerId="AD" w15:userId="S::yessica.flores@itam.mx::5508593a-fe91-4835-8b68-78cd98d16f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luebook-Law Review&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t2wddz722v56erspvxxd2zff0sdewf5esf&quot;&gt;My EndNote Library&lt;record-ids&gt;&lt;item&gt;38&lt;/item&gt;&lt;/record-ids&gt;&lt;/item&gt;&lt;/Libraries&gt;"/>
  </w:docVars>
  <w:rsids>
    <w:rsidRoot w:val="00D05B12"/>
    <w:rsid w:val="000004DA"/>
    <w:rsid w:val="00002AE1"/>
    <w:rsid w:val="00005EB7"/>
    <w:rsid w:val="00007E0D"/>
    <w:rsid w:val="000112AD"/>
    <w:rsid w:val="000126B5"/>
    <w:rsid w:val="000127ED"/>
    <w:rsid w:val="0002557F"/>
    <w:rsid w:val="00033A52"/>
    <w:rsid w:val="0004059E"/>
    <w:rsid w:val="00040FD4"/>
    <w:rsid w:val="0004448B"/>
    <w:rsid w:val="00046EBB"/>
    <w:rsid w:val="000476B0"/>
    <w:rsid w:val="00050E39"/>
    <w:rsid w:val="000617C8"/>
    <w:rsid w:val="00065090"/>
    <w:rsid w:val="00067F26"/>
    <w:rsid w:val="00070A17"/>
    <w:rsid w:val="0007103C"/>
    <w:rsid w:val="000710FD"/>
    <w:rsid w:val="00073B2F"/>
    <w:rsid w:val="00073FFE"/>
    <w:rsid w:val="0007459C"/>
    <w:rsid w:val="0007628C"/>
    <w:rsid w:val="0007732F"/>
    <w:rsid w:val="00077379"/>
    <w:rsid w:val="00080E99"/>
    <w:rsid w:val="00081354"/>
    <w:rsid w:val="0008186C"/>
    <w:rsid w:val="00085A5F"/>
    <w:rsid w:val="00090DDB"/>
    <w:rsid w:val="00090EE8"/>
    <w:rsid w:val="0009449B"/>
    <w:rsid w:val="0009561B"/>
    <w:rsid w:val="000A0809"/>
    <w:rsid w:val="000A3156"/>
    <w:rsid w:val="000B17EA"/>
    <w:rsid w:val="000B40AC"/>
    <w:rsid w:val="000B5041"/>
    <w:rsid w:val="000C0758"/>
    <w:rsid w:val="000C1CB6"/>
    <w:rsid w:val="000C517F"/>
    <w:rsid w:val="000C587A"/>
    <w:rsid w:val="000D16FE"/>
    <w:rsid w:val="000D33DD"/>
    <w:rsid w:val="000D35C4"/>
    <w:rsid w:val="000D398F"/>
    <w:rsid w:val="000D477F"/>
    <w:rsid w:val="000D658B"/>
    <w:rsid w:val="000D6B28"/>
    <w:rsid w:val="000D7085"/>
    <w:rsid w:val="000D71EA"/>
    <w:rsid w:val="000E4407"/>
    <w:rsid w:val="000E68EC"/>
    <w:rsid w:val="000F18D2"/>
    <w:rsid w:val="000F19DA"/>
    <w:rsid w:val="000F508E"/>
    <w:rsid w:val="000F7776"/>
    <w:rsid w:val="00102A03"/>
    <w:rsid w:val="00104199"/>
    <w:rsid w:val="00110008"/>
    <w:rsid w:val="001129CC"/>
    <w:rsid w:val="00120136"/>
    <w:rsid w:val="0012259A"/>
    <w:rsid w:val="00123F2D"/>
    <w:rsid w:val="00127957"/>
    <w:rsid w:val="00134964"/>
    <w:rsid w:val="00136268"/>
    <w:rsid w:val="00140BCD"/>
    <w:rsid w:val="00144BD3"/>
    <w:rsid w:val="00144FB0"/>
    <w:rsid w:val="001453EB"/>
    <w:rsid w:val="00156A76"/>
    <w:rsid w:val="00160554"/>
    <w:rsid w:val="00164B9C"/>
    <w:rsid w:val="00164BAD"/>
    <w:rsid w:val="00167835"/>
    <w:rsid w:val="00182929"/>
    <w:rsid w:val="0018543B"/>
    <w:rsid w:val="001909FB"/>
    <w:rsid w:val="00193100"/>
    <w:rsid w:val="00195D34"/>
    <w:rsid w:val="001A2E02"/>
    <w:rsid w:val="001A4C2C"/>
    <w:rsid w:val="001A4EE3"/>
    <w:rsid w:val="001B40F5"/>
    <w:rsid w:val="001B5711"/>
    <w:rsid w:val="001B5904"/>
    <w:rsid w:val="001B7A6A"/>
    <w:rsid w:val="001C04BA"/>
    <w:rsid w:val="001C1950"/>
    <w:rsid w:val="001C2348"/>
    <w:rsid w:val="001C32DC"/>
    <w:rsid w:val="001C4BAA"/>
    <w:rsid w:val="001C4F42"/>
    <w:rsid w:val="001C5E49"/>
    <w:rsid w:val="001D39C4"/>
    <w:rsid w:val="001D78FB"/>
    <w:rsid w:val="001E04D0"/>
    <w:rsid w:val="001F161C"/>
    <w:rsid w:val="001F5215"/>
    <w:rsid w:val="001F68D4"/>
    <w:rsid w:val="0020197E"/>
    <w:rsid w:val="00202EB0"/>
    <w:rsid w:val="0020364B"/>
    <w:rsid w:val="002051D9"/>
    <w:rsid w:val="002127FD"/>
    <w:rsid w:val="00213D96"/>
    <w:rsid w:val="0022209B"/>
    <w:rsid w:val="00223DEF"/>
    <w:rsid w:val="00225A42"/>
    <w:rsid w:val="00227EB3"/>
    <w:rsid w:val="00227FBB"/>
    <w:rsid w:val="0023176B"/>
    <w:rsid w:val="002338FE"/>
    <w:rsid w:val="002443FE"/>
    <w:rsid w:val="0024528C"/>
    <w:rsid w:val="002462A6"/>
    <w:rsid w:val="002476ED"/>
    <w:rsid w:val="00251043"/>
    <w:rsid w:val="00254CCE"/>
    <w:rsid w:val="00257550"/>
    <w:rsid w:val="00257E0C"/>
    <w:rsid w:val="00260D6D"/>
    <w:rsid w:val="0026752A"/>
    <w:rsid w:val="0026752F"/>
    <w:rsid w:val="00272BED"/>
    <w:rsid w:val="0027421D"/>
    <w:rsid w:val="00277090"/>
    <w:rsid w:val="002839F5"/>
    <w:rsid w:val="002845F3"/>
    <w:rsid w:val="00286FF2"/>
    <w:rsid w:val="00290FF5"/>
    <w:rsid w:val="0029151C"/>
    <w:rsid w:val="002929CB"/>
    <w:rsid w:val="002A2BD1"/>
    <w:rsid w:val="002A3F02"/>
    <w:rsid w:val="002A77DD"/>
    <w:rsid w:val="002B2259"/>
    <w:rsid w:val="002B66E2"/>
    <w:rsid w:val="002C1189"/>
    <w:rsid w:val="002C13A2"/>
    <w:rsid w:val="002C6F16"/>
    <w:rsid w:val="002D0234"/>
    <w:rsid w:val="002D2FE0"/>
    <w:rsid w:val="002D4397"/>
    <w:rsid w:val="002D6E78"/>
    <w:rsid w:val="002D762B"/>
    <w:rsid w:val="002E5D31"/>
    <w:rsid w:val="002F03D9"/>
    <w:rsid w:val="002F685A"/>
    <w:rsid w:val="00300D01"/>
    <w:rsid w:val="003018C1"/>
    <w:rsid w:val="003100DC"/>
    <w:rsid w:val="003114A9"/>
    <w:rsid w:val="0031214D"/>
    <w:rsid w:val="00312BC2"/>
    <w:rsid w:val="00315DA5"/>
    <w:rsid w:val="003164EC"/>
    <w:rsid w:val="00317CC4"/>
    <w:rsid w:val="003213AB"/>
    <w:rsid w:val="00325166"/>
    <w:rsid w:val="0032559A"/>
    <w:rsid w:val="00326F26"/>
    <w:rsid w:val="003303F8"/>
    <w:rsid w:val="00331812"/>
    <w:rsid w:val="00331F07"/>
    <w:rsid w:val="00337E63"/>
    <w:rsid w:val="003431F4"/>
    <w:rsid w:val="003440A9"/>
    <w:rsid w:val="0035120D"/>
    <w:rsid w:val="00355BCE"/>
    <w:rsid w:val="003573C5"/>
    <w:rsid w:val="00362BDC"/>
    <w:rsid w:val="00371E1E"/>
    <w:rsid w:val="00373559"/>
    <w:rsid w:val="003807E2"/>
    <w:rsid w:val="003835F4"/>
    <w:rsid w:val="00384D7E"/>
    <w:rsid w:val="003878C8"/>
    <w:rsid w:val="0039150A"/>
    <w:rsid w:val="00393CD4"/>
    <w:rsid w:val="00397E35"/>
    <w:rsid w:val="003A09EA"/>
    <w:rsid w:val="003A1C51"/>
    <w:rsid w:val="003A1FDE"/>
    <w:rsid w:val="003A71B4"/>
    <w:rsid w:val="003B2264"/>
    <w:rsid w:val="003B396E"/>
    <w:rsid w:val="003B5A1A"/>
    <w:rsid w:val="003B7F96"/>
    <w:rsid w:val="003C2B91"/>
    <w:rsid w:val="003C41AE"/>
    <w:rsid w:val="003C4B5B"/>
    <w:rsid w:val="003C759A"/>
    <w:rsid w:val="003D1DDC"/>
    <w:rsid w:val="003D2A82"/>
    <w:rsid w:val="003D36DA"/>
    <w:rsid w:val="003D3C90"/>
    <w:rsid w:val="003E1F64"/>
    <w:rsid w:val="003E353A"/>
    <w:rsid w:val="003E5C83"/>
    <w:rsid w:val="003F023C"/>
    <w:rsid w:val="00400ED0"/>
    <w:rsid w:val="00400EF9"/>
    <w:rsid w:val="00402DB2"/>
    <w:rsid w:val="00403578"/>
    <w:rsid w:val="00411EEC"/>
    <w:rsid w:val="004127EE"/>
    <w:rsid w:val="00416274"/>
    <w:rsid w:val="0041711D"/>
    <w:rsid w:val="004238FC"/>
    <w:rsid w:val="00425C7A"/>
    <w:rsid w:val="00431A15"/>
    <w:rsid w:val="00432BB2"/>
    <w:rsid w:val="0043557B"/>
    <w:rsid w:val="0043685D"/>
    <w:rsid w:val="004433FA"/>
    <w:rsid w:val="0044413A"/>
    <w:rsid w:val="004464E5"/>
    <w:rsid w:val="0045478A"/>
    <w:rsid w:val="004547CF"/>
    <w:rsid w:val="004549E5"/>
    <w:rsid w:val="00457109"/>
    <w:rsid w:val="00465203"/>
    <w:rsid w:val="00467843"/>
    <w:rsid w:val="00471FB3"/>
    <w:rsid w:val="00472120"/>
    <w:rsid w:val="00480ADA"/>
    <w:rsid w:val="004823D5"/>
    <w:rsid w:val="00485268"/>
    <w:rsid w:val="00493F10"/>
    <w:rsid w:val="00494199"/>
    <w:rsid w:val="004942D2"/>
    <w:rsid w:val="00496F72"/>
    <w:rsid w:val="004A0D9E"/>
    <w:rsid w:val="004A7B27"/>
    <w:rsid w:val="004D601F"/>
    <w:rsid w:val="004E054F"/>
    <w:rsid w:val="004E3F8F"/>
    <w:rsid w:val="004E68B6"/>
    <w:rsid w:val="004E7E3D"/>
    <w:rsid w:val="004F282D"/>
    <w:rsid w:val="004F3C79"/>
    <w:rsid w:val="004F3E21"/>
    <w:rsid w:val="004F45B3"/>
    <w:rsid w:val="0050324B"/>
    <w:rsid w:val="00511650"/>
    <w:rsid w:val="00512224"/>
    <w:rsid w:val="00517258"/>
    <w:rsid w:val="00525754"/>
    <w:rsid w:val="005258B7"/>
    <w:rsid w:val="0053156E"/>
    <w:rsid w:val="005315DF"/>
    <w:rsid w:val="00546C2B"/>
    <w:rsid w:val="0054716E"/>
    <w:rsid w:val="00547F06"/>
    <w:rsid w:val="00550878"/>
    <w:rsid w:val="00552B43"/>
    <w:rsid w:val="005535BD"/>
    <w:rsid w:val="00555B89"/>
    <w:rsid w:val="00556CCC"/>
    <w:rsid w:val="00557168"/>
    <w:rsid w:val="00557F69"/>
    <w:rsid w:val="00561D76"/>
    <w:rsid w:val="00564C06"/>
    <w:rsid w:val="00570881"/>
    <w:rsid w:val="00570E2F"/>
    <w:rsid w:val="00574928"/>
    <w:rsid w:val="00576FDA"/>
    <w:rsid w:val="0057747A"/>
    <w:rsid w:val="005807A6"/>
    <w:rsid w:val="005820A6"/>
    <w:rsid w:val="005824F1"/>
    <w:rsid w:val="00584128"/>
    <w:rsid w:val="00584C95"/>
    <w:rsid w:val="00587041"/>
    <w:rsid w:val="00590496"/>
    <w:rsid w:val="00591918"/>
    <w:rsid w:val="00591D80"/>
    <w:rsid w:val="00592E1A"/>
    <w:rsid w:val="00592FE3"/>
    <w:rsid w:val="00596CC0"/>
    <w:rsid w:val="005A1594"/>
    <w:rsid w:val="005A3BE9"/>
    <w:rsid w:val="005A47AA"/>
    <w:rsid w:val="005B007C"/>
    <w:rsid w:val="005B1B8D"/>
    <w:rsid w:val="005B2518"/>
    <w:rsid w:val="005C0A53"/>
    <w:rsid w:val="005C2F54"/>
    <w:rsid w:val="005C3B5C"/>
    <w:rsid w:val="005C52DE"/>
    <w:rsid w:val="005C6BBE"/>
    <w:rsid w:val="005C73A8"/>
    <w:rsid w:val="005D6263"/>
    <w:rsid w:val="005E2966"/>
    <w:rsid w:val="00604969"/>
    <w:rsid w:val="00605BDB"/>
    <w:rsid w:val="006073B6"/>
    <w:rsid w:val="00607ADE"/>
    <w:rsid w:val="0061147C"/>
    <w:rsid w:val="00612CD6"/>
    <w:rsid w:val="00612E9F"/>
    <w:rsid w:val="006133AB"/>
    <w:rsid w:val="00614563"/>
    <w:rsid w:val="00617643"/>
    <w:rsid w:val="006205F1"/>
    <w:rsid w:val="0062084D"/>
    <w:rsid w:val="00621F0D"/>
    <w:rsid w:val="00625C9E"/>
    <w:rsid w:val="006339CC"/>
    <w:rsid w:val="006357A5"/>
    <w:rsid w:val="00636F1F"/>
    <w:rsid w:val="00645034"/>
    <w:rsid w:val="00645458"/>
    <w:rsid w:val="0064567B"/>
    <w:rsid w:val="00646C9B"/>
    <w:rsid w:val="00652862"/>
    <w:rsid w:val="006529F8"/>
    <w:rsid w:val="00652A94"/>
    <w:rsid w:val="0065333C"/>
    <w:rsid w:val="00654AE8"/>
    <w:rsid w:val="0065529E"/>
    <w:rsid w:val="00656873"/>
    <w:rsid w:val="00661428"/>
    <w:rsid w:val="006624EF"/>
    <w:rsid w:val="0066452B"/>
    <w:rsid w:val="006711D3"/>
    <w:rsid w:val="0067389C"/>
    <w:rsid w:val="00675A2E"/>
    <w:rsid w:val="00676900"/>
    <w:rsid w:val="0067771F"/>
    <w:rsid w:val="00680351"/>
    <w:rsid w:val="0068128F"/>
    <w:rsid w:val="00682359"/>
    <w:rsid w:val="00687356"/>
    <w:rsid w:val="00687D92"/>
    <w:rsid w:val="00691FC4"/>
    <w:rsid w:val="006934FD"/>
    <w:rsid w:val="00693647"/>
    <w:rsid w:val="0069661F"/>
    <w:rsid w:val="00696D46"/>
    <w:rsid w:val="00697933"/>
    <w:rsid w:val="006A0A3D"/>
    <w:rsid w:val="006A1935"/>
    <w:rsid w:val="006A5155"/>
    <w:rsid w:val="006B2164"/>
    <w:rsid w:val="006B4CB7"/>
    <w:rsid w:val="006C338A"/>
    <w:rsid w:val="006C6576"/>
    <w:rsid w:val="006D0F01"/>
    <w:rsid w:val="006D21A9"/>
    <w:rsid w:val="006E1DA1"/>
    <w:rsid w:val="006E6958"/>
    <w:rsid w:val="006E6F87"/>
    <w:rsid w:val="006F145C"/>
    <w:rsid w:val="006F1CA4"/>
    <w:rsid w:val="006F4B6A"/>
    <w:rsid w:val="006F4E8D"/>
    <w:rsid w:val="006F5073"/>
    <w:rsid w:val="00705C93"/>
    <w:rsid w:val="00705F63"/>
    <w:rsid w:val="007103ED"/>
    <w:rsid w:val="007104C5"/>
    <w:rsid w:val="0072183A"/>
    <w:rsid w:val="007256C5"/>
    <w:rsid w:val="00732725"/>
    <w:rsid w:val="007435DA"/>
    <w:rsid w:val="007472FF"/>
    <w:rsid w:val="00747F8F"/>
    <w:rsid w:val="007579A8"/>
    <w:rsid w:val="007643DB"/>
    <w:rsid w:val="0077769E"/>
    <w:rsid w:val="00781109"/>
    <w:rsid w:val="007832BA"/>
    <w:rsid w:val="00784BA1"/>
    <w:rsid w:val="00785FFD"/>
    <w:rsid w:val="00791083"/>
    <w:rsid w:val="0079424A"/>
    <w:rsid w:val="0079436A"/>
    <w:rsid w:val="0079552E"/>
    <w:rsid w:val="007A1C0F"/>
    <w:rsid w:val="007A68EE"/>
    <w:rsid w:val="007A7431"/>
    <w:rsid w:val="007A78CD"/>
    <w:rsid w:val="007A7AB6"/>
    <w:rsid w:val="007B13BA"/>
    <w:rsid w:val="007B26ED"/>
    <w:rsid w:val="007B2E20"/>
    <w:rsid w:val="007B53ED"/>
    <w:rsid w:val="007C1E85"/>
    <w:rsid w:val="007C4E84"/>
    <w:rsid w:val="007C7E58"/>
    <w:rsid w:val="007D2294"/>
    <w:rsid w:val="007D4021"/>
    <w:rsid w:val="007D58B0"/>
    <w:rsid w:val="007E01A3"/>
    <w:rsid w:val="007E0F59"/>
    <w:rsid w:val="007F132D"/>
    <w:rsid w:val="007F77AC"/>
    <w:rsid w:val="008020E0"/>
    <w:rsid w:val="008029D8"/>
    <w:rsid w:val="008032A9"/>
    <w:rsid w:val="008045A8"/>
    <w:rsid w:val="008058D6"/>
    <w:rsid w:val="00811363"/>
    <w:rsid w:val="008122B6"/>
    <w:rsid w:val="00813875"/>
    <w:rsid w:val="0081558B"/>
    <w:rsid w:val="0081683D"/>
    <w:rsid w:val="00820695"/>
    <w:rsid w:val="00820F23"/>
    <w:rsid w:val="00821276"/>
    <w:rsid w:val="00821502"/>
    <w:rsid w:val="00821D1F"/>
    <w:rsid w:val="008221FC"/>
    <w:rsid w:val="00824BCD"/>
    <w:rsid w:val="00826FA8"/>
    <w:rsid w:val="0082792A"/>
    <w:rsid w:val="008330B3"/>
    <w:rsid w:val="00834933"/>
    <w:rsid w:val="00835D85"/>
    <w:rsid w:val="008376D7"/>
    <w:rsid w:val="0083772D"/>
    <w:rsid w:val="008419FD"/>
    <w:rsid w:val="008425F1"/>
    <w:rsid w:val="00851A39"/>
    <w:rsid w:val="00853142"/>
    <w:rsid w:val="00853455"/>
    <w:rsid w:val="00855C31"/>
    <w:rsid w:val="0086028C"/>
    <w:rsid w:val="00864816"/>
    <w:rsid w:val="00867BA3"/>
    <w:rsid w:val="00871B8A"/>
    <w:rsid w:val="008727D2"/>
    <w:rsid w:val="00874EF6"/>
    <w:rsid w:val="008805FD"/>
    <w:rsid w:val="0088146A"/>
    <w:rsid w:val="00883697"/>
    <w:rsid w:val="00887E31"/>
    <w:rsid w:val="00890304"/>
    <w:rsid w:val="0089078F"/>
    <w:rsid w:val="00890B66"/>
    <w:rsid w:val="008937C9"/>
    <w:rsid w:val="00894877"/>
    <w:rsid w:val="00895B52"/>
    <w:rsid w:val="008A0ED8"/>
    <w:rsid w:val="008A101C"/>
    <w:rsid w:val="008A27A6"/>
    <w:rsid w:val="008A5149"/>
    <w:rsid w:val="008A5869"/>
    <w:rsid w:val="008A791D"/>
    <w:rsid w:val="008B1C22"/>
    <w:rsid w:val="008B2C16"/>
    <w:rsid w:val="008C2070"/>
    <w:rsid w:val="008C2374"/>
    <w:rsid w:val="008C2A76"/>
    <w:rsid w:val="008C686C"/>
    <w:rsid w:val="008C75DA"/>
    <w:rsid w:val="008D28BE"/>
    <w:rsid w:val="008D3512"/>
    <w:rsid w:val="008D58CF"/>
    <w:rsid w:val="008E0185"/>
    <w:rsid w:val="008E08D5"/>
    <w:rsid w:val="008E207C"/>
    <w:rsid w:val="008E2EEA"/>
    <w:rsid w:val="008E31DC"/>
    <w:rsid w:val="008E4F4F"/>
    <w:rsid w:val="008E59FA"/>
    <w:rsid w:val="008F0C74"/>
    <w:rsid w:val="008F205F"/>
    <w:rsid w:val="008F2DF6"/>
    <w:rsid w:val="009015BF"/>
    <w:rsid w:val="00901968"/>
    <w:rsid w:val="00902B41"/>
    <w:rsid w:val="0090500F"/>
    <w:rsid w:val="00906CA2"/>
    <w:rsid w:val="00911813"/>
    <w:rsid w:val="00912F5B"/>
    <w:rsid w:val="00915E35"/>
    <w:rsid w:val="00920AE2"/>
    <w:rsid w:val="00920DDB"/>
    <w:rsid w:val="0092112D"/>
    <w:rsid w:val="009261A6"/>
    <w:rsid w:val="009262C8"/>
    <w:rsid w:val="00930A15"/>
    <w:rsid w:val="0093427C"/>
    <w:rsid w:val="00935A96"/>
    <w:rsid w:val="009363EF"/>
    <w:rsid w:val="00937C3E"/>
    <w:rsid w:val="00942E25"/>
    <w:rsid w:val="00943116"/>
    <w:rsid w:val="0094323F"/>
    <w:rsid w:val="00945BF7"/>
    <w:rsid w:val="0094760A"/>
    <w:rsid w:val="0095031F"/>
    <w:rsid w:val="00950996"/>
    <w:rsid w:val="0095676D"/>
    <w:rsid w:val="0096047E"/>
    <w:rsid w:val="00961378"/>
    <w:rsid w:val="00964966"/>
    <w:rsid w:val="00970CEF"/>
    <w:rsid w:val="00971FE3"/>
    <w:rsid w:val="009728D0"/>
    <w:rsid w:val="0097560A"/>
    <w:rsid w:val="00976321"/>
    <w:rsid w:val="00976AC7"/>
    <w:rsid w:val="00977354"/>
    <w:rsid w:val="00980F8C"/>
    <w:rsid w:val="00985AEC"/>
    <w:rsid w:val="00991A37"/>
    <w:rsid w:val="0099364A"/>
    <w:rsid w:val="0099382E"/>
    <w:rsid w:val="0099415E"/>
    <w:rsid w:val="009A12BB"/>
    <w:rsid w:val="009A33FC"/>
    <w:rsid w:val="009A7756"/>
    <w:rsid w:val="009B173F"/>
    <w:rsid w:val="009B19DE"/>
    <w:rsid w:val="009B3E08"/>
    <w:rsid w:val="009B5704"/>
    <w:rsid w:val="009B71CB"/>
    <w:rsid w:val="009C0706"/>
    <w:rsid w:val="009C67C0"/>
    <w:rsid w:val="009C7AA7"/>
    <w:rsid w:val="009D14B0"/>
    <w:rsid w:val="009D31AE"/>
    <w:rsid w:val="009D39F6"/>
    <w:rsid w:val="009D4F18"/>
    <w:rsid w:val="009E61CF"/>
    <w:rsid w:val="009E6E49"/>
    <w:rsid w:val="009E7135"/>
    <w:rsid w:val="009F0C8F"/>
    <w:rsid w:val="009F52B9"/>
    <w:rsid w:val="00A01044"/>
    <w:rsid w:val="00A04560"/>
    <w:rsid w:val="00A157D2"/>
    <w:rsid w:val="00A217FA"/>
    <w:rsid w:val="00A25F0F"/>
    <w:rsid w:val="00A260BB"/>
    <w:rsid w:val="00A31D27"/>
    <w:rsid w:val="00A33399"/>
    <w:rsid w:val="00A35D14"/>
    <w:rsid w:val="00A37D5E"/>
    <w:rsid w:val="00A4138A"/>
    <w:rsid w:val="00A44F84"/>
    <w:rsid w:val="00A45C80"/>
    <w:rsid w:val="00A50E35"/>
    <w:rsid w:val="00A52BD6"/>
    <w:rsid w:val="00A53AF2"/>
    <w:rsid w:val="00A55F0E"/>
    <w:rsid w:val="00A55F34"/>
    <w:rsid w:val="00A60F9D"/>
    <w:rsid w:val="00A62C21"/>
    <w:rsid w:val="00A67C74"/>
    <w:rsid w:val="00A70997"/>
    <w:rsid w:val="00A70D12"/>
    <w:rsid w:val="00A73504"/>
    <w:rsid w:val="00A7449F"/>
    <w:rsid w:val="00A75107"/>
    <w:rsid w:val="00A7628D"/>
    <w:rsid w:val="00A81733"/>
    <w:rsid w:val="00A82451"/>
    <w:rsid w:val="00A8276D"/>
    <w:rsid w:val="00A90685"/>
    <w:rsid w:val="00A914CE"/>
    <w:rsid w:val="00A94E51"/>
    <w:rsid w:val="00A94E75"/>
    <w:rsid w:val="00AA293C"/>
    <w:rsid w:val="00AA4B75"/>
    <w:rsid w:val="00AA4DDA"/>
    <w:rsid w:val="00AB77AB"/>
    <w:rsid w:val="00AC03F4"/>
    <w:rsid w:val="00AC292F"/>
    <w:rsid w:val="00AC6864"/>
    <w:rsid w:val="00AC7387"/>
    <w:rsid w:val="00AD373F"/>
    <w:rsid w:val="00AE2BA7"/>
    <w:rsid w:val="00AE36D5"/>
    <w:rsid w:val="00AF0B81"/>
    <w:rsid w:val="00AF2E3B"/>
    <w:rsid w:val="00B00B83"/>
    <w:rsid w:val="00B02DE2"/>
    <w:rsid w:val="00B041D4"/>
    <w:rsid w:val="00B10104"/>
    <w:rsid w:val="00B10A38"/>
    <w:rsid w:val="00B161FB"/>
    <w:rsid w:val="00B24252"/>
    <w:rsid w:val="00B253E2"/>
    <w:rsid w:val="00B26B15"/>
    <w:rsid w:val="00B303BB"/>
    <w:rsid w:val="00B3736D"/>
    <w:rsid w:val="00B401A2"/>
    <w:rsid w:val="00B41260"/>
    <w:rsid w:val="00B45A31"/>
    <w:rsid w:val="00B45C52"/>
    <w:rsid w:val="00B46415"/>
    <w:rsid w:val="00B51DA9"/>
    <w:rsid w:val="00B5457D"/>
    <w:rsid w:val="00B54B95"/>
    <w:rsid w:val="00B62117"/>
    <w:rsid w:val="00B70F83"/>
    <w:rsid w:val="00B71AE5"/>
    <w:rsid w:val="00B729F3"/>
    <w:rsid w:val="00B749F4"/>
    <w:rsid w:val="00B7611E"/>
    <w:rsid w:val="00B7737D"/>
    <w:rsid w:val="00B82284"/>
    <w:rsid w:val="00B83AC8"/>
    <w:rsid w:val="00B8541A"/>
    <w:rsid w:val="00B92235"/>
    <w:rsid w:val="00B94567"/>
    <w:rsid w:val="00BA2FD4"/>
    <w:rsid w:val="00BA6A0D"/>
    <w:rsid w:val="00BB0A97"/>
    <w:rsid w:val="00BB290A"/>
    <w:rsid w:val="00BB314B"/>
    <w:rsid w:val="00BB6B20"/>
    <w:rsid w:val="00BC131B"/>
    <w:rsid w:val="00BC2B63"/>
    <w:rsid w:val="00BC3B88"/>
    <w:rsid w:val="00BC6FB6"/>
    <w:rsid w:val="00BC72CA"/>
    <w:rsid w:val="00BD06E2"/>
    <w:rsid w:val="00BD07F3"/>
    <w:rsid w:val="00BD1E87"/>
    <w:rsid w:val="00BD2412"/>
    <w:rsid w:val="00BD279B"/>
    <w:rsid w:val="00BD45F7"/>
    <w:rsid w:val="00BD6901"/>
    <w:rsid w:val="00BE289A"/>
    <w:rsid w:val="00BE28F1"/>
    <w:rsid w:val="00BE3998"/>
    <w:rsid w:val="00BE476D"/>
    <w:rsid w:val="00BE611F"/>
    <w:rsid w:val="00BE70FD"/>
    <w:rsid w:val="00BF2E60"/>
    <w:rsid w:val="00BF4F74"/>
    <w:rsid w:val="00C0397F"/>
    <w:rsid w:val="00C04C90"/>
    <w:rsid w:val="00C066BC"/>
    <w:rsid w:val="00C10746"/>
    <w:rsid w:val="00C132B7"/>
    <w:rsid w:val="00C173E6"/>
    <w:rsid w:val="00C2150C"/>
    <w:rsid w:val="00C26B53"/>
    <w:rsid w:val="00C31C02"/>
    <w:rsid w:val="00C31DBC"/>
    <w:rsid w:val="00C32C84"/>
    <w:rsid w:val="00C32D20"/>
    <w:rsid w:val="00C3459F"/>
    <w:rsid w:val="00C36D0D"/>
    <w:rsid w:val="00C43DFF"/>
    <w:rsid w:val="00C46264"/>
    <w:rsid w:val="00C4638B"/>
    <w:rsid w:val="00C47DE7"/>
    <w:rsid w:val="00C554F4"/>
    <w:rsid w:val="00C61F2F"/>
    <w:rsid w:val="00C75998"/>
    <w:rsid w:val="00C76156"/>
    <w:rsid w:val="00C81B8F"/>
    <w:rsid w:val="00C83725"/>
    <w:rsid w:val="00C87FD0"/>
    <w:rsid w:val="00C90D2B"/>
    <w:rsid w:val="00C91549"/>
    <w:rsid w:val="00C92911"/>
    <w:rsid w:val="00CA32A3"/>
    <w:rsid w:val="00CA3D5E"/>
    <w:rsid w:val="00CA7D66"/>
    <w:rsid w:val="00CB1D01"/>
    <w:rsid w:val="00CB34B2"/>
    <w:rsid w:val="00CB54E8"/>
    <w:rsid w:val="00CB6DB2"/>
    <w:rsid w:val="00CB6E6A"/>
    <w:rsid w:val="00CB7B80"/>
    <w:rsid w:val="00CC19CD"/>
    <w:rsid w:val="00CC22CB"/>
    <w:rsid w:val="00CC29DC"/>
    <w:rsid w:val="00CC2E67"/>
    <w:rsid w:val="00CC4636"/>
    <w:rsid w:val="00CC6043"/>
    <w:rsid w:val="00CE3641"/>
    <w:rsid w:val="00CE377C"/>
    <w:rsid w:val="00CE390E"/>
    <w:rsid w:val="00CE6622"/>
    <w:rsid w:val="00CE798E"/>
    <w:rsid w:val="00CF1DF2"/>
    <w:rsid w:val="00CF45F8"/>
    <w:rsid w:val="00CF735D"/>
    <w:rsid w:val="00D01529"/>
    <w:rsid w:val="00D02FFB"/>
    <w:rsid w:val="00D04C80"/>
    <w:rsid w:val="00D05B12"/>
    <w:rsid w:val="00D05C3D"/>
    <w:rsid w:val="00D13E1B"/>
    <w:rsid w:val="00D147E0"/>
    <w:rsid w:val="00D1596F"/>
    <w:rsid w:val="00D201D8"/>
    <w:rsid w:val="00D21448"/>
    <w:rsid w:val="00D27C22"/>
    <w:rsid w:val="00D366DC"/>
    <w:rsid w:val="00D367A5"/>
    <w:rsid w:val="00D42564"/>
    <w:rsid w:val="00D473F6"/>
    <w:rsid w:val="00D4752E"/>
    <w:rsid w:val="00D50633"/>
    <w:rsid w:val="00D50C2E"/>
    <w:rsid w:val="00D5386F"/>
    <w:rsid w:val="00D55036"/>
    <w:rsid w:val="00D55BF0"/>
    <w:rsid w:val="00D575FD"/>
    <w:rsid w:val="00D57D53"/>
    <w:rsid w:val="00D66020"/>
    <w:rsid w:val="00D71BE1"/>
    <w:rsid w:val="00D747B5"/>
    <w:rsid w:val="00D77618"/>
    <w:rsid w:val="00D80025"/>
    <w:rsid w:val="00D82308"/>
    <w:rsid w:val="00D825C1"/>
    <w:rsid w:val="00D85DAA"/>
    <w:rsid w:val="00D903DF"/>
    <w:rsid w:val="00D91C18"/>
    <w:rsid w:val="00D92E64"/>
    <w:rsid w:val="00D94F6C"/>
    <w:rsid w:val="00D95CE0"/>
    <w:rsid w:val="00DA0E6E"/>
    <w:rsid w:val="00DA4049"/>
    <w:rsid w:val="00DA4986"/>
    <w:rsid w:val="00DA5C38"/>
    <w:rsid w:val="00DB4A22"/>
    <w:rsid w:val="00DB5CFD"/>
    <w:rsid w:val="00DB6CB7"/>
    <w:rsid w:val="00DC7D66"/>
    <w:rsid w:val="00DD3B7F"/>
    <w:rsid w:val="00DD4DA1"/>
    <w:rsid w:val="00DE06FD"/>
    <w:rsid w:val="00DE34F3"/>
    <w:rsid w:val="00DF49AB"/>
    <w:rsid w:val="00E01F91"/>
    <w:rsid w:val="00E0606F"/>
    <w:rsid w:val="00E1027B"/>
    <w:rsid w:val="00E12B3F"/>
    <w:rsid w:val="00E17354"/>
    <w:rsid w:val="00E30E4F"/>
    <w:rsid w:val="00E353CD"/>
    <w:rsid w:val="00E36EBF"/>
    <w:rsid w:val="00E37161"/>
    <w:rsid w:val="00E371FE"/>
    <w:rsid w:val="00E37B78"/>
    <w:rsid w:val="00E37FF9"/>
    <w:rsid w:val="00E4056E"/>
    <w:rsid w:val="00E411D9"/>
    <w:rsid w:val="00E42245"/>
    <w:rsid w:val="00E4294C"/>
    <w:rsid w:val="00E44D7F"/>
    <w:rsid w:val="00E46B66"/>
    <w:rsid w:val="00E53FBE"/>
    <w:rsid w:val="00E5772F"/>
    <w:rsid w:val="00E62E6B"/>
    <w:rsid w:val="00E6439E"/>
    <w:rsid w:val="00E643F9"/>
    <w:rsid w:val="00E67F0E"/>
    <w:rsid w:val="00E71831"/>
    <w:rsid w:val="00E73BE0"/>
    <w:rsid w:val="00E82BDF"/>
    <w:rsid w:val="00E843A3"/>
    <w:rsid w:val="00E90EB7"/>
    <w:rsid w:val="00E92328"/>
    <w:rsid w:val="00E96588"/>
    <w:rsid w:val="00E97B14"/>
    <w:rsid w:val="00EA09BA"/>
    <w:rsid w:val="00EA0CCA"/>
    <w:rsid w:val="00EA4BDF"/>
    <w:rsid w:val="00EA4F46"/>
    <w:rsid w:val="00EB130E"/>
    <w:rsid w:val="00EB3487"/>
    <w:rsid w:val="00EB5D79"/>
    <w:rsid w:val="00EB77CE"/>
    <w:rsid w:val="00EC3BA0"/>
    <w:rsid w:val="00ED08A9"/>
    <w:rsid w:val="00ED2BAE"/>
    <w:rsid w:val="00ED2C22"/>
    <w:rsid w:val="00ED4AC8"/>
    <w:rsid w:val="00ED57A4"/>
    <w:rsid w:val="00ED5A27"/>
    <w:rsid w:val="00ED6611"/>
    <w:rsid w:val="00ED6683"/>
    <w:rsid w:val="00ED798B"/>
    <w:rsid w:val="00EE0D62"/>
    <w:rsid w:val="00EE18DC"/>
    <w:rsid w:val="00EE2F97"/>
    <w:rsid w:val="00EE73D6"/>
    <w:rsid w:val="00EF0238"/>
    <w:rsid w:val="00EF02F5"/>
    <w:rsid w:val="00EF0650"/>
    <w:rsid w:val="00EF46D2"/>
    <w:rsid w:val="00F017EE"/>
    <w:rsid w:val="00F01880"/>
    <w:rsid w:val="00F0357A"/>
    <w:rsid w:val="00F05FC4"/>
    <w:rsid w:val="00F073A5"/>
    <w:rsid w:val="00F13E6C"/>
    <w:rsid w:val="00F1497A"/>
    <w:rsid w:val="00F155E6"/>
    <w:rsid w:val="00F27DAC"/>
    <w:rsid w:val="00F301EC"/>
    <w:rsid w:val="00F437EB"/>
    <w:rsid w:val="00F454E1"/>
    <w:rsid w:val="00F46E08"/>
    <w:rsid w:val="00F4786B"/>
    <w:rsid w:val="00F52B2B"/>
    <w:rsid w:val="00F53D1A"/>
    <w:rsid w:val="00F55C94"/>
    <w:rsid w:val="00F56695"/>
    <w:rsid w:val="00F60289"/>
    <w:rsid w:val="00F63857"/>
    <w:rsid w:val="00F6423E"/>
    <w:rsid w:val="00F65C63"/>
    <w:rsid w:val="00F701FF"/>
    <w:rsid w:val="00F722C9"/>
    <w:rsid w:val="00F74787"/>
    <w:rsid w:val="00F74821"/>
    <w:rsid w:val="00F77208"/>
    <w:rsid w:val="00F80DC8"/>
    <w:rsid w:val="00F8330B"/>
    <w:rsid w:val="00F85459"/>
    <w:rsid w:val="00F95591"/>
    <w:rsid w:val="00F96AC9"/>
    <w:rsid w:val="00FA302E"/>
    <w:rsid w:val="00FB1FD9"/>
    <w:rsid w:val="00FB2323"/>
    <w:rsid w:val="00FB4B23"/>
    <w:rsid w:val="00FB68B3"/>
    <w:rsid w:val="00FC3812"/>
    <w:rsid w:val="00FC3861"/>
    <w:rsid w:val="00FC5E2C"/>
    <w:rsid w:val="00FC60AF"/>
    <w:rsid w:val="00FC779A"/>
    <w:rsid w:val="00FD37C4"/>
    <w:rsid w:val="00FE129E"/>
    <w:rsid w:val="00FE5451"/>
    <w:rsid w:val="00FE6346"/>
    <w:rsid w:val="00FE67F3"/>
    <w:rsid w:val="00FF0FF1"/>
    <w:rsid w:val="00FF1926"/>
    <w:rsid w:val="00FF4A83"/>
    <w:rsid w:val="00FF5D99"/>
    <w:rsid w:val="00FF68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079E4"/>
  <w15:chartTrackingRefBased/>
  <w15:docId w15:val="{9DACDBF8-943D-4CA2-A685-94A42D0A8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05B12"/>
    <w:rPr>
      <w:color w:val="0563C1" w:themeColor="hyperlink"/>
      <w:u w:val="single"/>
    </w:rPr>
  </w:style>
  <w:style w:type="character" w:customStyle="1" w:styleId="UnresolvedMention">
    <w:name w:val="Unresolved Mention"/>
    <w:basedOn w:val="Fuentedeprrafopredeter"/>
    <w:uiPriority w:val="99"/>
    <w:semiHidden/>
    <w:unhideWhenUsed/>
    <w:rsid w:val="00D05B12"/>
    <w:rPr>
      <w:color w:val="605E5C"/>
      <w:shd w:val="clear" w:color="auto" w:fill="E1DFDD"/>
    </w:rPr>
  </w:style>
  <w:style w:type="paragraph" w:customStyle="1" w:styleId="EndNoteBibliographyTitle">
    <w:name w:val="EndNote Bibliography Title"/>
    <w:basedOn w:val="Normal"/>
    <w:link w:val="EndNoteBibliographyTitleCar"/>
    <w:rsid w:val="003431F4"/>
    <w:pPr>
      <w:spacing w:after="0"/>
      <w:jc w:val="center"/>
    </w:pPr>
    <w:rPr>
      <w:rFonts w:ascii="Calibri" w:hAnsi="Calibri" w:cs="Calibri"/>
      <w:noProof/>
      <w:lang w:val="en-US"/>
    </w:rPr>
  </w:style>
  <w:style w:type="character" w:customStyle="1" w:styleId="EndNoteBibliographyTitleCar">
    <w:name w:val="EndNote Bibliography Title Car"/>
    <w:basedOn w:val="Fuentedeprrafopredeter"/>
    <w:link w:val="EndNoteBibliographyTitle"/>
    <w:rsid w:val="003431F4"/>
    <w:rPr>
      <w:rFonts w:ascii="Calibri" w:hAnsi="Calibri" w:cs="Calibri"/>
      <w:noProof/>
      <w:lang w:val="en-US"/>
    </w:rPr>
  </w:style>
  <w:style w:type="paragraph" w:customStyle="1" w:styleId="EndNoteBibliography">
    <w:name w:val="EndNote Bibliography"/>
    <w:basedOn w:val="Normal"/>
    <w:link w:val="EndNoteBibliographyCar"/>
    <w:rsid w:val="003431F4"/>
    <w:pPr>
      <w:spacing w:line="240" w:lineRule="auto"/>
    </w:pPr>
    <w:rPr>
      <w:rFonts w:ascii="Calibri" w:hAnsi="Calibri" w:cs="Calibri"/>
      <w:noProof/>
      <w:lang w:val="en-US"/>
    </w:rPr>
  </w:style>
  <w:style w:type="character" w:customStyle="1" w:styleId="EndNoteBibliographyCar">
    <w:name w:val="EndNote Bibliography Car"/>
    <w:basedOn w:val="Fuentedeprrafopredeter"/>
    <w:link w:val="EndNoteBibliography"/>
    <w:rsid w:val="003431F4"/>
    <w:rPr>
      <w:rFonts w:ascii="Calibri" w:hAnsi="Calibri" w:cs="Calibri"/>
      <w:noProof/>
      <w:lang w:val="en-US"/>
    </w:rPr>
  </w:style>
  <w:style w:type="paragraph" w:styleId="Textonotapie">
    <w:name w:val="footnote text"/>
    <w:basedOn w:val="Normal"/>
    <w:link w:val="TextonotapieCar"/>
    <w:uiPriority w:val="99"/>
    <w:unhideWhenUsed/>
    <w:rsid w:val="00496F72"/>
    <w:pPr>
      <w:spacing w:after="0" w:line="240" w:lineRule="auto"/>
    </w:pPr>
    <w:rPr>
      <w:sz w:val="20"/>
      <w:szCs w:val="20"/>
    </w:rPr>
  </w:style>
  <w:style w:type="character" w:customStyle="1" w:styleId="TextonotapieCar">
    <w:name w:val="Texto nota pie Car"/>
    <w:basedOn w:val="Fuentedeprrafopredeter"/>
    <w:link w:val="Textonotapie"/>
    <w:uiPriority w:val="99"/>
    <w:rsid w:val="00496F72"/>
    <w:rPr>
      <w:sz w:val="20"/>
      <w:szCs w:val="20"/>
    </w:rPr>
  </w:style>
  <w:style w:type="character" w:styleId="Refdenotaalpie">
    <w:name w:val="footnote reference"/>
    <w:basedOn w:val="Fuentedeprrafopredeter"/>
    <w:uiPriority w:val="99"/>
    <w:semiHidden/>
    <w:unhideWhenUsed/>
    <w:rsid w:val="00496F72"/>
    <w:rPr>
      <w:vertAlign w:val="superscript"/>
    </w:rPr>
  </w:style>
  <w:style w:type="paragraph" w:styleId="Prrafodelista">
    <w:name w:val="List Paragraph"/>
    <w:basedOn w:val="Normal"/>
    <w:uiPriority w:val="34"/>
    <w:qFormat/>
    <w:rsid w:val="005D6263"/>
    <w:pPr>
      <w:ind w:left="720"/>
      <w:contextualSpacing/>
    </w:pPr>
  </w:style>
  <w:style w:type="paragraph" w:styleId="Encabezado">
    <w:name w:val="header"/>
    <w:basedOn w:val="Normal"/>
    <w:link w:val="EncabezadoCar"/>
    <w:uiPriority w:val="99"/>
    <w:unhideWhenUsed/>
    <w:rsid w:val="00EE0D6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E0D62"/>
  </w:style>
  <w:style w:type="paragraph" w:styleId="Piedepgina">
    <w:name w:val="footer"/>
    <w:basedOn w:val="Normal"/>
    <w:link w:val="PiedepginaCar"/>
    <w:uiPriority w:val="99"/>
    <w:unhideWhenUsed/>
    <w:rsid w:val="00EE0D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0D62"/>
  </w:style>
  <w:style w:type="character" w:styleId="Refdecomentario">
    <w:name w:val="annotation reference"/>
    <w:basedOn w:val="Fuentedeprrafopredeter"/>
    <w:uiPriority w:val="99"/>
    <w:semiHidden/>
    <w:unhideWhenUsed/>
    <w:rsid w:val="00CE3641"/>
    <w:rPr>
      <w:sz w:val="16"/>
      <w:szCs w:val="16"/>
    </w:rPr>
  </w:style>
  <w:style w:type="paragraph" w:styleId="Textocomentario">
    <w:name w:val="annotation text"/>
    <w:basedOn w:val="Normal"/>
    <w:link w:val="TextocomentarioCar"/>
    <w:uiPriority w:val="99"/>
    <w:unhideWhenUsed/>
    <w:rsid w:val="00CE3641"/>
    <w:pPr>
      <w:spacing w:line="240" w:lineRule="auto"/>
    </w:pPr>
    <w:rPr>
      <w:sz w:val="20"/>
      <w:szCs w:val="20"/>
    </w:rPr>
  </w:style>
  <w:style w:type="character" w:customStyle="1" w:styleId="TextocomentarioCar">
    <w:name w:val="Texto comentario Car"/>
    <w:basedOn w:val="Fuentedeprrafopredeter"/>
    <w:link w:val="Textocomentario"/>
    <w:uiPriority w:val="99"/>
    <w:rsid w:val="00CE3641"/>
    <w:rPr>
      <w:sz w:val="20"/>
      <w:szCs w:val="20"/>
    </w:rPr>
  </w:style>
  <w:style w:type="paragraph" w:styleId="Asuntodelcomentario">
    <w:name w:val="annotation subject"/>
    <w:basedOn w:val="Textocomentario"/>
    <w:next w:val="Textocomentario"/>
    <w:link w:val="AsuntodelcomentarioCar"/>
    <w:uiPriority w:val="99"/>
    <w:semiHidden/>
    <w:unhideWhenUsed/>
    <w:rsid w:val="00CE3641"/>
    <w:rPr>
      <w:b/>
      <w:bCs/>
    </w:rPr>
  </w:style>
  <w:style w:type="character" w:customStyle="1" w:styleId="AsuntodelcomentarioCar">
    <w:name w:val="Asunto del comentario Car"/>
    <w:basedOn w:val="TextocomentarioCar"/>
    <w:link w:val="Asuntodelcomentario"/>
    <w:uiPriority w:val="99"/>
    <w:semiHidden/>
    <w:rsid w:val="00CE3641"/>
    <w:rPr>
      <w:b/>
      <w:bCs/>
      <w:sz w:val="20"/>
      <w:szCs w:val="20"/>
    </w:rPr>
  </w:style>
  <w:style w:type="table" w:styleId="Tablaconcuadrcula">
    <w:name w:val="Table Grid"/>
    <w:basedOn w:val="Tablanormal"/>
    <w:uiPriority w:val="39"/>
    <w:rsid w:val="00164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AA293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8/08/relationships/commentsExtensible" Target="commentsExtensi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15056-F395-4A96-AFCB-45DA1D91E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11409</Words>
  <Characters>58874</Characters>
  <Application>Microsoft Office Word</Application>
  <DocSecurity>0</DocSecurity>
  <Lines>905</Lines>
  <Paragraphs>163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Cobo Armijo</dc:creator>
  <cp:keywords/>
  <dc:description/>
  <cp:lastModifiedBy>UCA</cp:lastModifiedBy>
  <cp:revision>2</cp:revision>
  <dcterms:created xsi:type="dcterms:W3CDTF">2022-02-09T08:26:00Z</dcterms:created>
  <dcterms:modified xsi:type="dcterms:W3CDTF">2022-02-09T08:26:00Z</dcterms:modified>
</cp:coreProperties>
</file>